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0E5A6B">
      <w:pPr>
        <w:spacing w:line="240" w:lineRule="auto"/>
        <w:ind w:left="3119"/>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7E995B4E" w:rsidR="003B6CF0" w:rsidRPr="00CB6405" w:rsidRDefault="003B6CF0" w:rsidP="000E5A6B">
      <w:pPr>
        <w:spacing w:line="240" w:lineRule="auto"/>
        <w:ind w:left="3119"/>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2641F2">
        <w:rPr>
          <w:rFonts w:ascii="Arial" w:hAnsi="Arial" w:cs="Arial"/>
          <w:b/>
          <w:sz w:val="26"/>
          <w:szCs w:val="26"/>
        </w:rPr>
        <w:t>001</w:t>
      </w:r>
      <w:r>
        <w:rPr>
          <w:rFonts w:ascii="Arial" w:hAnsi="Arial" w:cs="Arial"/>
          <w:b/>
          <w:sz w:val="26"/>
          <w:szCs w:val="26"/>
        </w:rPr>
        <w:t>/202</w:t>
      </w:r>
      <w:r w:rsidR="002641F2">
        <w:rPr>
          <w:rFonts w:ascii="Arial" w:hAnsi="Arial" w:cs="Arial"/>
          <w:b/>
          <w:sz w:val="26"/>
          <w:szCs w:val="26"/>
        </w:rPr>
        <w:t>2</w:t>
      </w:r>
      <w:r>
        <w:rPr>
          <w:rFonts w:ascii="Arial" w:hAnsi="Arial" w:cs="Arial"/>
          <w:b/>
          <w:sz w:val="26"/>
          <w:szCs w:val="26"/>
        </w:rPr>
        <w:t>.</w:t>
      </w:r>
    </w:p>
    <w:p w14:paraId="4DFA70CD" w14:textId="47730F06" w:rsidR="003B6CF0" w:rsidRDefault="003B6CF0" w:rsidP="000E5A6B">
      <w:pPr>
        <w:spacing w:line="240" w:lineRule="auto"/>
        <w:ind w:left="3119"/>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2641F2">
        <w:rPr>
          <w:rFonts w:ascii="Arial" w:hAnsi="Arial" w:cs="Arial"/>
          <w:b/>
          <w:sz w:val="26"/>
          <w:szCs w:val="26"/>
        </w:rPr>
        <w:t>0001</w:t>
      </w:r>
      <w:r>
        <w:rPr>
          <w:rFonts w:ascii="Arial" w:hAnsi="Arial" w:cs="Arial"/>
          <w:b/>
          <w:sz w:val="26"/>
          <w:szCs w:val="26"/>
        </w:rPr>
        <w:t>/</w:t>
      </w:r>
      <w:r w:rsidR="002641F2">
        <w:rPr>
          <w:rFonts w:ascii="Arial" w:hAnsi="Arial" w:cs="Arial"/>
          <w:b/>
          <w:sz w:val="26"/>
          <w:szCs w:val="26"/>
        </w:rPr>
        <w:t>2021</w:t>
      </w:r>
      <w:r w:rsidRPr="00CB6405">
        <w:rPr>
          <w:rFonts w:ascii="Arial" w:hAnsi="Arial" w:cs="Arial"/>
          <w:b/>
          <w:sz w:val="26"/>
          <w:szCs w:val="26"/>
        </w:rPr>
        <w:t xml:space="preserve"> </w:t>
      </w:r>
      <w:r w:rsidR="0056797D">
        <w:rPr>
          <w:rFonts w:ascii="Arial" w:hAnsi="Arial" w:cs="Arial"/>
          <w:b/>
          <w:sz w:val="26"/>
          <w:szCs w:val="26"/>
        </w:rPr>
        <w:t xml:space="preserve">DE LA </w:t>
      </w:r>
      <w:r w:rsidR="00A202FC">
        <w:rPr>
          <w:rFonts w:ascii="Arial" w:hAnsi="Arial" w:cs="Arial"/>
          <w:b/>
          <w:sz w:val="26"/>
          <w:szCs w:val="26"/>
        </w:rPr>
        <w:t>S</w:t>
      </w:r>
      <w:r w:rsidR="007716CC">
        <w:rPr>
          <w:rFonts w:ascii="Arial" w:hAnsi="Arial" w:cs="Arial"/>
          <w:b/>
          <w:sz w:val="26"/>
          <w:szCs w:val="26"/>
        </w:rPr>
        <w:t>EXTA</w:t>
      </w:r>
      <w:r>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1BC6550C" w14:textId="77777777" w:rsidR="003B6CF0" w:rsidRDefault="003B6CF0" w:rsidP="000E5A6B">
      <w:pPr>
        <w:spacing w:line="240" w:lineRule="auto"/>
        <w:ind w:left="3119"/>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77777777" w:rsidR="003B6CF0" w:rsidRDefault="003B6CF0" w:rsidP="003B6CF0">
      <w:pPr>
        <w:spacing w:before="240" w:line="360" w:lineRule="auto"/>
        <w:jc w:val="both"/>
        <w:rPr>
          <w:rFonts w:ascii="Arial" w:hAnsi="Arial" w:cs="Arial"/>
          <w:b/>
          <w:sz w:val="26"/>
          <w:szCs w:val="26"/>
        </w:rPr>
      </w:pPr>
    </w:p>
    <w:p w14:paraId="3DE7165A" w14:textId="1EBA92F4"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0E5A6B">
        <w:rPr>
          <w:rFonts w:ascii="Arial" w:hAnsi="Arial" w:cs="Arial"/>
          <w:b/>
          <w:sz w:val="26"/>
          <w:szCs w:val="26"/>
        </w:rPr>
        <w:t>SEIS</w:t>
      </w:r>
      <w:r>
        <w:rPr>
          <w:rFonts w:ascii="Arial" w:hAnsi="Arial" w:cs="Arial"/>
          <w:b/>
          <w:sz w:val="26"/>
          <w:szCs w:val="26"/>
        </w:rPr>
        <w:t xml:space="preserve"> DE </w:t>
      </w:r>
      <w:r w:rsidR="000E5A6B">
        <w:rPr>
          <w:rFonts w:ascii="Arial" w:hAnsi="Arial" w:cs="Arial"/>
          <w:b/>
          <w:sz w:val="26"/>
          <w:szCs w:val="26"/>
        </w:rPr>
        <w:t xml:space="preserve">OCTUBRE </w:t>
      </w:r>
      <w:r>
        <w:rPr>
          <w:rFonts w:ascii="Arial" w:hAnsi="Arial" w:cs="Arial"/>
          <w:b/>
          <w:sz w:val="26"/>
          <w:szCs w:val="26"/>
        </w:rPr>
        <w:t>DE DOS MIL VEIN</w:t>
      </w:r>
      <w:r w:rsidR="002B2D70">
        <w:rPr>
          <w:rFonts w:ascii="Arial" w:hAnsi="Arial" w:cs="Arial"/>
          <w:b/>
          <w:sz w:val="26"/>
          <w:szCs w:val="26"/>
        </w:rPr>
        <w:t>TIDÓS</w:t>
      </w:r>
      <w:r>
        <w:rPr>
          <w:rFonts w:ascii="Arial" w:hAnsi="Arial" w:cs="Arial"/>
          <w:b/>
          <w:sz w:val="26"/>
          <w:szCs w:val="26"/>
        </w:rPr>
        <w:t xml:space="preserve">. - - - - - - - - - - - - - - - - - - - - - - - - - - - - - - - - - - - - - - - - - - - </w:t>
      </w:r>
    </w:p>
    <w:p w14:paraId="04A0533E" w14:textId="0DFC56C6" w:rsidR="000E5A6B" w:rsidRPr="000E5A6B" w:rsidRDefault="003B6CF0" w:rsidP="000E5A6B">
      <w:pPr>
        <w:spacing w:line="360" w:lineRule="auto"/>
        <w:ind w:firstLine="708"/>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2641F2">
        <w:rPr>
          <w:rFonts w:ascii="Arial" w:hAnsi="Arial" w:cs="Arial"/>
          <w:b/>
          <w:sz w:val="26"/>
          <w:szCs w:val="26"/>
        </w:rPr>
        <w:t>001</w:t>
      </w:r>
      <w:r w:rsidRPr="00CB6405">
        <w:rPr>
          <w:rFonts w:ascii="Arial" w:hAnsi="Arial" w:cs="Arial"/>
          <w:b/>
          <w:sz w:val="26"/>
          <w:szCs w:val="26"/>
        </w:rPr>
        <w:t>/20</w:t>
      </w:r>
      <w:r>
        <w:rPr>
          <w:rFonts w:ascii="Arial" w:hAnsi="Arial" w:cs="Arial"/>
          <w:b/>
          <w:sz w:val="26"/>
          <w:szCs w:val="26"/>
        </w:rPr>
        <w:t>2</w:t>
      </w:r>
      <w:r w:rsidR="002641F2">
        <w:rPr>
          <w:rFonts w:ascii="Arial" w:hAnsi="Arial" w:cs="Arial"/>
          <w:b/>
          <w:sz w:val="26"/>
          <w:szCs w:val="26"/>
        </w:rPr>
        <w:t>2</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 por</w:t>
      </w:r>
      <w:r w:rsidR="0056797D">
        <w:rPr>
          <w:rFonts w:ascii="Arial" w:hAnsi="Arial" w:cs="Arial"/>
          <w:b/>
          <w:sz w:val="26"/>
          <w:szCs w:val="26"/>
        </w:rPr>
        <w:t xml:space="preserve"> </w:t>
      </w:r>
      <w:r w:rsidR="002641F2">
        <w:rPr>
          <w:rFonts w:ascii="Arial" w:hAnsi="Arial" w:cs="Arial"/>
          <w:b/>
          <w:sz w:val="26"/>
          <w:szCs w:val="26"/>
        </w:rPr>
        <w:t xml:space="preserve">OFELIA SÁNCHEZ CÓRDOVA, </w:t>
      </w:r>
      <w:r w:rsidR="009F5420">
        <w:rPr>
          <w:rFonts w:ascii="Arial" w:hAnsi="Arial" w:cs="Arial"/>
          <w:b/>
          <w:sz w:val="26"/>
          <w:szCs w:val="26"/>
        </w:rPr>
        <w:t>POLICÍA VIAL CON NÚMERO ESTADÍSTICO PV-171</w:t>
      </w:r>
      <w:r w:rsidR="00154591">
        <w:rPr>
          <w:rFonts w:ascii="Arial" w:hAnsi="Arial" w:cs="Arial"/>
          <w:b/>
          <w:sz w:val="26"/>
          <w:szCs w:val="26"/>
        </w:rPr>
        <w:t>, ADSCRITA</w:t>
      </w:r>
      <w:r w:rsidR="009F5420">
        <w:rPr>
          <w:rFonts w:ascii="Arial" w:hAnsi="Arial" w:cs="Arial"/>
          <w:b/>
          <w:sz w:val="26"/>
          <w:szCs w:val="26"/>
        </w:rPr>
        <w:t xml:space="preserve"> A LA SUBDIRECCIÓN DE TRÁNSITO Y MOVILIDAD DEL MUNICIPIO DE OAXACA DE JUÁREZ, OAXACA</w:t>
      </w:r>
      <w:r w:rsidR="009E51FB">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tra de</w:t>
      </w:r>
      <w:r w:rsidR="0056797D">
        <w:rPr>
          <w:rFonts w:ascii="Arial" w:hAnsi="Arial" w:cs="Arial"/>
          <w:sz w:val="26"/>
          <w:szCs w:val="26"/>
        </w:rPr>
        <w:t xml:space="preserve"> </w:t>
      </w:r>
      <w:r w:rsidR="002B2D70">
        <w:rPr>
          <w:rFonts w:ascii="Arial" w:hAnsi="Arial" w:cs="Arial"/>
          <w:sz w:val="26"/>
          <w:szCs w:val="26"/>
        </w:rPr>
        <w:t>l</w:t>
      </w:r>
      <w:r w:rsidR="0056797D">
        <w:rPr>
          <w:rFonts w:ascii="Arial" w:hAnsi="Arial" w:cs="Arial"/>
          <w:sz w:val="26"/>
          <w:szCs w:val="26"/>
        </w:rPr>
        <w:t>a sentencia</w:t>
      </w:r>
      <w:r w:rsidR="002B2D70">
        <w:rPr>
          <w:rFonts w:ascii="Arial" w:hAnsi="Arial" w:cs="Arial"/>
          <w:sz w:val="26"/>
          <w:szCs w:val="26"/>
        </w:rPr>
        <w:t xml:space="preserve"> </w:t>
      </w:r>
      <w:r w:rsidR="00A202FC">
        <w:rPr>
          <w:rFonts w:ascii="Arial" w:hAnsi="Arial" w:cs="Arial"/>
          <w:sz w:val="26"/>
          <w:szCs w:val="26"/>
        </w:rPr>
        <w:t xml:space="preserve">de </w:t>
      </w:r>
      <w:r w:rsidR="002641F2">
        <w:rPr>
          <w:rFonts w:ascii="Arial" w:hAnsi="Arial" w:cs="Arial"/>
          <w:sz w:val="26"/>
          <w:szCs w:val="26"/>
        </w:rPr>
        <w:t>veintitrés</w:t>
      </w:r>
      <w:r w:rsidR="00224CD0">
        <w:rPr>
          <w:rFonts w:ascii="Arial" w:hAnsi="Arial" w:cs="Arial"/>
          <w:sz w:val="26"/>
          <w:szCs w:val="26"/>
        </w:rPr>
        <w:t xml:space="preserve"> de </w:t>
      </w:r>
      <w:r w:rsidR="002641F2">
        <w:rPr>
          <w:rFonts w:ascii="Arial" w:hAnsi="Arial" w:cs="Arial"/>
          <w:sz w:val="26"/>
          <w:szCs w:val="26"/>
        </w:rPr>
        <w:t>noviem</w:t>
      </w:r>
      <w:r w:rsidR="009F5420">
        <w:rPr>
          <w:rFonts w:ascii="Arial" w:hAnsi="Arial" w:cs="Arial"/>
          <w:sz w:val="26"/>
          <w:szCs w:val="26"/>
        </w:rPr>
        <w:t>bre</w:t>
      </w:r>
      <w:r w:rsidR="00224CD0">
        <w:rPr>
          <w:rFonts w:ascii="Arial" w:hAnsi="Arial" w:cs="Arial"/>
          <w:sz w:val="26"/>
          <w:szCs w:val="26"/>
        </w:rPr>
        <w:t xml:space="preserve"> </w:t>
      </w:r>
      <w:r w:rsidR="0056797D">
        <w:rPr>
          <w:rFonts w:ascii="Arial" w:hAnsi="Arial" w:cs="Arial"/>
          <w:sz w:val="26"/>
          <w:szCs w:val="26"/>
        </w:rPr>
        <w:t>de dos mil veintiuno, dictada</w:t>
      </w:r>
      <w:r>
        <w:rPr>
          <w:rFonts w:ascii="Arial" w:hAnsi="Arial" w:cs="Arial"/>
          <w:sz w:val="26"/>
          <w:szCs w:val="26"/>
        </w:rPr>
        <w:t xml:space="preserve"> en el expediente </w:t>
      </w:r>
      <w:r w:rsidR="00224CD0">
        <w:rPr>
          <w:rFonts w:ascii="Arial" w:hAnsi="Arial" w:cs="Arial"/>
          <w:b/>
          <w:sz w:val="26"/>
          <w:szCs w:val="26"/>
        </w:rPr>
        <w:t>0</w:t>
      </w:r>
      <w:r w:rsidR="002641F2">
        <w:rPr>
          <w:rFonts w:ascii="Arial" w:hAnsi="Arial" w:cs="Arial"/>
          <w:b/>
          <w:sz w:val="26"/>
          <w:szCs w:val="26"/>
        </w:rPr>
        <w:t>001</w:t>
      </w:r>
      <w:r w:rsidR="002B2D70">
        <w:rPr>
          <w:rFonts w:ascii="Arial" w:hAnsi="Arial" w:cs="Arial"/>
          <w:b/>
          <w:sz w:val="26"/>
          <w:szCs w:val="26"/>
        </w:rPr>
        <w:t>/202</w:t>
      </w:r>
      <w:r w:rsidR="009F5420">
        <w:rPr>
          <w:rFonts w:ascii="Arial" w:hAnsi="Arial" w:cs="Arial"/>
          <w:b/>
          <w:sz w:val="26"/>
          <w:szCs w:val="26"/>
        </w:rPr>
        <w:t>1</w:t>
      </w:r>
      <w:r>
        <w:rPr>
          <w:rFonts w:ascii="Arial" w:hAnsi="Arial" w:cs="Arial"/>
          <w:b/>
          <w:sz w:val="26"/>
          <w:szCs w:val="26"/>
        </w:rPr>
        <w:t xml:space="preserve"> </w:t>
      </w:r>
      <w:r w:rsidR="007007A1">
        <w:rPr>
          <w:rFonts w:ascii="Arial" w:hAnsi="Arial" w:cs="Arial"/>
          <w:sz w:val="26"/>
          <w:szCs w:val="26"/>
        </w:rPr>
        <w:t xml:space="preserve">del índice de la </w:t>
      </w:r>
      <w:r w:rsidR="00A202FC">
        <w:rPr>
          <w:rFonts w:ascii="Arial" w:hAnsi="Arial" w:cs="Arial"/>
          <w:sz w:val="26"/>
          <w:szCs w:val="26"/>
        </w:rPr>
        <w:t>S</w:t>
      </w:r>
      <w:r w:rsidR="009E51FB">
        <w:rPr>
          <w:rFonts w:ascii="Arial" w:hAnsi="Arial" w:cs="Arial"/>
          <w:sz w:val="26"/>
          <w:szCs w:val="26"/>
        </w:rPr>
        <w:t>ext</w:t>
      </w:r>
      <w:r w:rsidR="00A202FC">
        <w:rPr>
          <w:rFonts w:ascii="Arial" w:hAnsi="Arial" w:cs="Arial"/>
          <w:sz w:val="26"/>
          <w:szCs w:val="26"/>
        </w:rPr>
        <w:t>a</w:t>
      </w:r>
      <w:r>
        <w:rPr>
          <w:rFonts w:ascii="Arial" w:hAnsi="Arial" w:cs="Arial"/>
          <w:sz w:val="26"/>
          <w:szCs w:val="26"/>
        </w:rPr>
        <w:t xml:space="preserve"> Sala Unitaria de Primera Instancia, relativo al </w:t>
      </w:r>
      <w:r w:rsidR="00D733BC">
        <w:rPr>
          <w:rFonts w:ascii="Arial" w:hAnsi="Arial" w:cs="Arial"/>
          <w:sz w:val="26"/>
          <w:szCs w:val="26"/>
        </w:rPr>
        <w:t>juicio de nulidad promovido por</w:t>
      </w:r>
      <w:r w:rsidR="009F5420">
        <w:rPr>
          <w:rFonts w:ascii="Arial" w:hAnsi="Arial" w:cs="Arial"/>
          <w:b/>
          <w:sz w:val="26"/>
          <w:szCs w:val="26"/>
        </w:rPr>
        <w:t xml:space="preserve"> </w:t>
      </w:r>
      <w:r w:rsidR="00E13B48">
        <w:rPr>
          <w:rFonts w:ascii="Arial" w:hAnsi="Arial" w:cs="Arial"/>
          <w:b/>
          <w:sz w:val="26"/>
          <w:szCs w:val="26"/>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3B2BC1">
        <w:rPr>
          <w:rFonts w:ascii="Arial" w:hAnsi="Arial" w:cs="Arial"/>
          <w:sz w:val="26"/>
          <w:szCs w:val="26"/>
        </w:rPr>
        <w:t xml:space="preserve"> </w:t>
      </w:r>
      <w:r w:rsidR="002641F2">
        <w:rPr>
          <w:rFonts w:ascii="Arial" w:hAnsi="Arial" w:cs="Arial"/>
          <w:b/>
          <w:sz w:val="26"/>
          <w:szCs w:val="26"/>
        </w:rPr>
        <w:t>OFELIA SÁNCHEZ CÓRDOVA, POLICÍA VIAL CON NÚMERO ESTADÍSTICO PV-171, ADSCRITA A LA SUBDIRECCIÓN DE TRÁNSITO Y MOVILIDAD DEL MUNICIPIO DE OAXACA DE JUÁREZ, OAXACA</w:t>
      </w:r>
      <w:r w:rsidR="00B736E2">
        <w:rPr>
          <w:rFonts w:ascii="Arial" w:hAnsi="Arial" w:cs="Arial"/>
          <w:b/>
          <w:sz w:val="26"/>
          <w:szCs w:val="26"/>
        </w:rPr>
        <w:t>;</w:t>
      </w:r>
      <w:r>
        <w:rPr>
          <w:rFonts w:ascii="Arial" w:hAnsi="Arial" w:cs="Arial"/>
          <w:sz w:val="26"/>
          <w:szCs w:val="26"/>
        </w:rPr>
        <w:t xml:space="preserve"> por lo que, con fundamento en los artículos 237 y 23</w:t>
      </w:r>
      <w:r w:rsidRPr="00671697">
        <w:rPr>
          <w:rFonts w:ascii="Arial" w:hAnsi="Arial" w:cs="Arial"/>
          <w:sz w:val="26"/>
          <w:szCs w:val="26"/>
        </w:rPr>
        <w:t>8</w:t>
      </w:r>
      <w:r>
        <w:rPr>
          <w:rFonts w:ascii="Arial" w:hAnsi="Arial" w:cs="Arial"/>
          <w:sz w:val="26"/>
          <w:szCs w:val="26"/>
        </w:rPr>
        <w:t xml:space="preserve"> de la Ley de Procedimiento y Justicia Administrativa para el Estado de Oaxaca vigente, se admite. Por consiguiente, se procede a dictar resolución en los siguientes términos:</w:t>
      </w:r>
      <w:r w:rsidR="000E5A6B">
        <w:rPr>
          <w:rFonts w:ascii="Arial" w:hAnsi="Arial" w:cs="Arial"/>
          <w:sz w:val="26"/>
          <w:szCs w:val="26"/>
        </w:rPr>
        <w:t xml:space="preserve"> - - - - - - - - - - - - </w:t>
      </w:r>
      <w:r w:rsidR="00E13B48">
        <w:rPr>
          <w:rFonts w:ascii="Arial" w:hAnsi="Arial" w:cs="Arial"/>
          <w:sz w:val="26"/>
          <w:szCs w:val="26"/>
        </w:rPr>
        <w:t>- - - - - - - - - - - - - - - - - - - - - - -</w:t>
      </w: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11FF08F0"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sidR="00414FCD">
        <w:rPr>
          <w:rFonts w:ascii="Arial" w:hAnsi="Arial" w:cs="Arial"/>
          <w:sz w:val="26"/>
          <w:szCs w:val="26"/>
        </w:rPr>
        <w:t xml:space="preserve"> </w:t>
      </w:r>
      <w:r w:rsidR="004B265C">
        <w:rPr>
          <w:rFonts w:ascii="Arial" w:hAnsi="Arial" w:cs="Arial"/>
          <w:sz w:val="26"/>
          <w:szCs w:val="26"/>
        </w:rPr>
        <w:t xml:space="preserve">la sentencia de </w:t>
      </w:r>
      <w:r w:rsidR="00B64678">
        <w:rPr>
          <w:rFonts w:ascii="Arial" w:hAnsi="Arial" w:cs="Arial"/>
          <w:sz w:val="26"/>
          <w:szCs w:val="26"/>
        </w:rPr>
        <w:t>veintitrés</w:t>
      </w:r>
      <w:r w:rsidR="00224CD0">
        <w:rPr>
          <w:rFonts w:ascii="Arial" w:hAnsi="Arial" w:cs="Arial"/>
          <w:sz w:val="26"/>
          <w:szCs w:val="26"/>
        </w:rPr>
        <w:t xml:space="preserve"> de </w:t>
      </w:r>
      <w:r w:rsidR="00B64678">
        <w:rPr>
          <w:rFonts w:ascii="Arial" w:hAnsi="Arial" w:cs="Arial"/>
          <w:sz w:val="26"/>
          <w:szCs w:val="26"/>
        </w:rPr>
        <w:t>noviemb</w:t>
      </w:r>
      <w:r w:rsidR="000017DD">
        <w:rPr>
          <w:rFonts w:ascii="Arial" w:hAnsi="Arial" w:cs="Arial"/>
          <w:sz w:val="26"/>
          <w:szCs w:val="26"/>
        </w:rPr>
        <w:t>re</w:t>
      </w:r>
      <w:r w:rsidR="00224CD0">
        <w:rPr>
          <w:rFonts w:ascii="Arial" w:hAnsi="Arial" w:cs="Arial"/>
          <w:sz w:val="26"/>
          <w:szCs w:val="26"/>
        </w:rPr>
        <w:t xml:space="preserve"> de dos mil veintiuno</w:t>
      </w:r>
      <w:r>
        <w:rPr>
          <w:rFonts w:ascii="Arial" w:hAnsi="Arial" w:cs="Arial"/>
          <w:sz w:val="26"/>
          <w:szCs w:val="26"/>
        </w:rPr>
        <w:t xml:space="preserve">, </w:t>
      </w:r>
      <w:r w:rsidRPr="00CB6405">
        <w:rPr>
          <w:rFonts w:ascii="Arial" w:hAnsi="Arial" w:cs="Arial"/>
          <w:sz w:val="26"/>
          <w:szCs w:val="26"/>
        </w:rPr>
        <w:t>dictad</w:t>
      </w:r>
      <w:r w:rsidR="004B265C">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 xml:space="preserve">por la </w:t>
      </w:r>
      <w:r w:rsidR="005F286D">
        <w:rPr>
          <w:rFonts w:ascii="Arial" w:hAnsi="Arial" w:cs="Arial"/>
          <w:sz w:val="26"/>
          <w:szCs w:val="26"/>
        </w:rPr>
        <w:t>Sext</w:t>
      </w:r>
      <w:r>
        <w:rPr>
          <w:rFonts w:ascii="Arial" w:hAnsi="Arial" w:cs="Arial"/>
          <w:sz w:val="26"/>
          <w:szCs w:val="26"/>
        </w:rPr>
        <w:t xml:space="preserve">a </w:t>
      </w:r>
      <w:r w:rsidRPr="00CB6405">
        <w:rPr>
          <w:rFonts w:ascii="Arial" w:hAnsi="Arial" w:cs="Arial"/>
          <w:sz w:val="26"/>
          <w:szCs w:val="26"/>
        </w:rPr>
        <w:t>Sala</w:t>
      </w:r>
      <w:r>
        <w:rPr>
          <w:rFonts w:ascii="Arial" w:hAnsi="Arial" w:cs="Arial"/>
          <w:sz w:val="26"/>
          <w:szCs w:val="26"/>
        </w:rPr>
        <w:t xml:space="preserve"> Unitaria de Primera Instancia, </w:t>
      </w:r>
      <w:r w:rsidR="00B64678">
        <w:rPr>
          <w:rFonts w:ascii="Arial" w:hAnsi="Arial" w:cs="Arial"/>
          <w:b/>
          <w:sz w:val="26"/>
          <w:szCs w:val="26"/>
        </w:rPr>
        <w:t>OFELIA SÁNCHEZ CÓRDOVA, POLICÍA VIAL CON NÚMERO ESTADÍSTICO PV-171, ADSCRITA A LA SUBDIRECCIÓN DE TRÁNSITO Y MOVILIDAD DEL MUNICIPIO DE OAXACA DE JUÁREZ, OAXACA</w:t>
      </w:r>
      <w:r w:rsidR="004B265C">
        <w:rPr>
          <w:rFonts w:ascii="Arial" w:hAnsi="Arial" w:cs="Arial"/>
          <w:b/>
          <w:sz w:val="26"/>
          <w:szCs w:val="26"/>
        </w:rPr>
        <w:t xml:space="preserve">, </w:t>
      </w:r>
      <w:r w:rsidR="00003FDD" w:rsidRPr="00003FDD">
        <w:rPr>
          <w:rFonts w:ascii="Arial" w:hAnsi="Arial" w:cs="Arial"/>
          <w:sz w:val="26"/>
          <w:szCs w:val="26"/>
        </w:rPr>
        <w:t>interpuso</w:t>
      </w:r>
      <w:r w:rsidRPr="00CB6405">
        <w:rPr>
          <w:rFonts w:ascii="Arial" w:hAnsi="Arial" w:cs="Arial"/>
          <w:sz w:val="26"/>
          <w:szCs w:val="26"/>
        </w:rPr>
        <w:t xml:space="preserve"> en su contra recurso de revisión.</w:t>
      </w:r>
      <w:r w:rsidR="000E5A6B">
        <w:rPr>
          <w:rFonts w:ascii="Arial" w:hAnsi="Arial" w:cs="Arial"/>
          <w:sz w:val="26"/>
          <w:szCs w:val="26"/>
        </w:rPr>
        <w:t xml:space="preserve"> - - - - - </w:t>
      </w:r>
    </w:p>
    <w:p w14:paraId="550CA227" w14:textId="77777777" w:rsidR="004B265C" w:rsidRPr="003B084B" w:rsidRDefault="003B6CF0" w:rsidP="004B265C">
      <w:pPr>
        <w:spacing w:after="0" w:line="360" w:lineRule="auto"/>
        <w:ind w:firstLine="567"/>
        <w:jc w:val="both"/>
        <w:rPr>
          <w:rFonts w:ascii="Arial" w:hAnsi="Arial" w:cs="Arial"/>
          <w:bCs/>
          <w:iCs/>
          <w:sz w:val="26"/>
          <w:szCs w:val="26"/>
        </w:rPr>
      </w:pPr>
      <w:r w:rsidRPr="003B084B">
        <w:rPr>
          <w:rFonts w:ascii="Arial" w:hAnsi="Arial" w:cs="Arial"/>
          <w:b/>
          <w:bCs/>
          <w:iCs/>
          <w:sz w:val="26"/>
          <w:szCs w:val="26"/>
        </w:rPr>
        <w:lastRenderedPageBreak/>
        <w:t xml:space="preserve">SEGUNDO. </w:t>
      </w:r>
      <w:r w:rsidR="004B265C" w:rsidRPr="003B084B">
        <w:rPr>
          <w:rFonts w:ascii="Arial" w:hAnsi="Arial" w:cs="Arial"/>
          <w:bCs/>
          <w:iCs/>
          <w:sz w:val="26"/>
          <w:szCs w:val="26"/>
        </w:rPr>
        <w:t>Los puntos resolutivos de la sentencia recurrida son los siguientes:</w:t>
      </w:r>
    </w:p>
    <w:p w14:paraId="61891F66" w14:textId="41E38C08" w:rsidR="004B265C" w:rsidRDefault="004B265C" w:rsidP="000E5A6B">
      <w:pPr>
        <w:spacing w:after="0"/>
        <w:ind w:left="567" w:right="616"/>
        <w:jc w:val="both"/>
        <w:rPr>
          <w:rFonts w:ascii="Arial" w:eastAsia="Times New Roman" w:hAnsi="Arial" w:cs="Arial"/>
          <w:bCs/>
          <w:i/>
          <w:iCs/>
          <w:lang w:eastAsia="es-ES"/>
        </w:rPr>
      </w:pPr>
      <w:r w:rsidRPr="00660B82">
        <w:rPr>
          <w:rFonts w:ascii="Arial" w:eastAsia="Times New Roman" w:hAnsi="Arial" w:cs="Arial"/>
          <w:b/>
          <w:bCs/>
          <w:i/>
          <w:iCs/>
          <w:lang w:eastAsia="es-ES"/>
        </w:rPr>
        <w:t xml:space="preserve"> </w:t>
      </w:r>
      <w:r w:rsidR="00C603A5" w:rsidRPr="00660B82">
        <w:rPr>
          <w:rFonts w:ascii="Arial" w:eastAsia="Times New Roman" w:hAnsi="Arial" w:cs="Arial"/>
          <w:b/>
          <w:bCs/>
          <w:i/>
          <w:iCs/>
          <w:lang w:eastAsia="es-ES"/>
        </w:rPr>
        <w:t>“</w:t>
      </w:r>
      <w:r w:rsidR="00C603A5">
        <w:rPr>
          <w:rFonts w:ascii="Arial" w:eastAsia="Times New Roman" w:hAnsi="Arial" w:cs="Arial"/>
          <w:b/>
          <w:bCs/>
          <w:i/>
          <w:iCs/>
          <w:lang w:eastAsia="es-ES"/>
        </w:rPr>
        <w:t>PRIMERO. -</w:t>
      </w:r>
      <w:r>
        <w:rPr>
          <w:rFonts w:ascii="Arial" w:eastAsia="Times New Roman" w:hAnsi="Arial" w:cs="Arial"/>
          <w:b/>
          <w:bCs/>
          <w:i/>
          <w:iCs/>
          <w:lang w:eastAsia="es-ES"/>
        </w:rPr>
        <w:t xml:space="preserve"> </w:t>
      </w:r>
      <w:r w:rsidR="00C603A5">
        <w:rPr>
          <w:rFonts w:ascii="Arial" w:eastAsia="Times New Roman" w:hAnsi="Arial" w:cs="Arial"/>
          <w:bCs/>
          <w:i/>
          <w:iCs/>
          <w:lang w:eastAsia="es-ES"/>
        </w:rPr>
        <w:t xml:space="preserve">Esta Sexta Sala Unitaria de Primera Instancia de este Tribunal de Justicia Administrativa para el Estado de Oaxaca, fue competente para conocer y resolver del presente asunto. - - - - - - - - - - - </w:t>
      </w:r>
    </w:p>
    <w:p w14:paraId="63FF56EA" w14:textId="517FD7F6" w:rsidR="00C603A5" w:rsidRDefault="00EE5DC3" w:rsidP="000E5A6B">
      <w:pPr>
        <w:spacing w:after="0"/>
        <w:ind w:left="567" w:right="616"/>
        <w:jc w:val="both"/>
        <w:rPr>
          <w:rFonts w:ascii="Arial" w:eastAsia="Times New Roman" w:hAnsi="Arial" w:cs="Arial"/>
          <w:bCs/>
          <w:i/>
          <w:iCs/>
          <w:lang w:eastAsia="es-ES"/>
        </w:rPr>
      </w:pPr>
      <w:r>
        <w:rPr>
          <w:rFonts w:ascii="Arial" w:eastAsia="Times New Roman" w:hAnsi="Arial" w:cs="Arial"/>
          <w:b/>
          <w:bCs/>
          <w:i/>
          <w:iCs/>
          <w:lang w:eastAsia="es-ES"/>
        </w:rPr>
        <w:t>SEGUNDO. -</w:t>
      </w:r>
      <w:r w:rsidR="00C603A5">
        <w:rPr>
          <w:rFonts w:ascii="Arial" w:eastAsia="Times New Roman" w:hAnsi="Arial" w:cs="Arial"/>
          <w:b/>
          <w:bCs/>
          <w:i/>
          <w:iCs/>
          <w:lang w:eastAsia="es-ES"/>
        </w:rPr>
        <w:t xml:space="preserve"> </w:t>
      </w:r>
      <w:r w:rsidR="00C603A5">
        <w:rPr>
          <w:rFonts w:ascii="Arial" w:eastAsia="Times New Roman" w:hAnsi="Arial" w:cs="Arial"/>
          <w:bCs/>
          <w:i/>
          <w:iCs/>
          <w:lang w:eastAsia="es-ES"/>
        </w:rPr>
        <w:t xml:space="preserve">La personalidad de las partes quedó acreditada en </w:t>
      </w:r>
      <w:r>
        <w:rPr>
          <w:rFonts w:ascii="Arial" w:eastAsia="Times New Roman" w:hAnsi="Arial" w:cs="Arial"/>
          <w:bCs/>
          <w:i/>
          <w:iCs/>
          <w:lang w:eastAsia="es-ES"/>
        </w:rPr>
        <w:t xml:space="preserve">autos. - </w:t>
      </w:r>
    </w:p>
    <w:p w14:paraId="255AD743" w14:textId="259DD8B4" w:rsidR="00EE5DC3" w:rsidRDefault="00CA6EFF" w:rsidP="000E5A6B">
      <w:pPr>
        <w:spacing w:after="0"/>
        <w:ind w:left="567" w:right="616"/>
        <w:jc w:val="both"/>
        <w:rPr>
          <w:rFonts w:ascii="Arial" w:eastAsia="Times New Roman" w:hAnsi="Arial" w:cs="Arial"/>
          <w:bCs/>
          <w:i/>
          <w:iCs/>
          <w:lang w:eastAsia="es-ES"/>
        </w:rPr>
      </w:pPr>
      <w:r>
        <w:rPr>
          <w:rFonts w:ascii="Arial" w:eastAsia="Times New Roman" w:hAnsi="Arial" w:cs="Arial"/>
          <w:b/>
          <w:bCs/>
          <w:i/>
          <w:iCs/>
          <w:lang w:eastAsia="es-ES"/>
        </w:rPr>
        <w:t>TERCERO. -</w:t>
      </w:r>
      <w:r w:rsidR="00EE5DC3">
        <w:rPr>
          <w:rFonts w:ascii="Arial" w:eastAsia="Times New Roman" w:hAnsi="Arial" w:cs="Arial"/>
          <w:b/>
          <w:bCs/>
          <w:i/>
          <w:iCs/>
          <w:lang w:eastAsia="es-ES"/>
        </w:rPr>
        <w:t xml:space="preserve"> </w:t>
      </w:r>
      <w:r>
        <w:rPr>
          <w:rFonts w:ascii="Arial" w:eastAsia="Times New Roman" w:hAnsi="Arial" w:cs="Arial"/>
          <w:bCs/>
          <w:i/>
          <w:iCs/>
          <w:lang w:eastAsia="es-ES"/>
        </w:rPr>
        <w:t xml:space="preserve">No se actualizaron causales de improcedencia y sobreseimiento en el presente asunto, por lo que </w:t>
      </w:r>
      <w:r>
        <w:rPr>
          <w:rFonts w:ascii="Arial" w:eastAsia="Times New Roman" w:hAnsi="Arial" w:cs="Arial"/>
          <w:b/>
          <w:bCs/>
          <w:i/>
          <w:iCs/>
          <w:lang w:eastAsia="es-ES"/>
        </w:rPr>
        <w:t xml:space="preserve">no se sobresee </w:t>
      </w:r>
      <w:r>
        <w:rPr>
          <w:rFonts w:ascii="Arial" w:eastAsia="Times New Roman" w:hAnsi="Arial" w:cs="Arial"/>
          <w:bCs/>
          <w:i/>
          <w:iCs/>
          <w:lang w:eastAsia="es-ES"/>
        </w:rPr>
        <w:t xml:space="preserve">el juicio. - - - - - - - - - - - - - - - - - - - </w:t>
      </w:r>
      <w:r w:rsidR="000E5A6B">
        <w:rPr>
          <w:rFonts w:ascii="Arial" w:eastAsia="Times New Roman" w:hAnsi="Arial" w:cs="Arial"/>
          <w:bCs/>
          <w:i/>
          <w:iCs/>
          <w:lang w:eastAsia="es-ES"/>
        </w:rPr>
        <w:t xml:space="preserve">- - - - - - - - - - - - - - - - - - - - - - - - - - - - - </w:t>
      </w:r>
    </w:p>
    <w:p w14:paraId="13AC5344" w14:textId="58D2C161" w:rsidR="00CA6EFF" w:rsidRDefault="00CA6EFF" w:rsidP="000E5A6B">
      <w:pPr>
        <w:spacing w:after="0"/>
        <w:ind w:left="567" w:right="616"/>
        <w:jc w:val="both"/>
        <w:rPr>
          <w:rFonts w:ascii="Arial" w:eastAsia="Times New Roman" w:hAnsi="Arial" w:cs="Arial"/>
          <w:bCs/>
          <w:i/>
          <w:iCs/>
          <w:lang w:eastAsia="es-ES"/>
        </w:rPr>
      </w:pPr>
      <w:r>
        <w:rPr>
          <w:rFonts w:ascii="Arial" w:eastAsia="Times New Roman" w:hAnsi="Arial" w:cs="Arial"/>
          <w:b/>
          <w:bCs/>
          <w:i/>
          <w:iCs/>
          <w:lang w:eastAsia="es-ES"/>
        </w:rPr>
        <w:t xml:space="preserve">CUARTO. - </w:t>
      </w:r>
      <w:r>
        <w:rPr>
          <w:rFonts w:ascii="Arial" w:eastAsia="Times New Roman" w:hAnsi="Arial" w:cs="Arial"/>
          <w:bCs/>
          <w:i/>
          <w:iCs/>
          <w:lang w:eastAsia="es-ES"/>
        </w:rPr>
        <w:t xml:space="preserve">Se declara la </w:t>
      </w:r>
      <w:r>
        <w:rPr>
          <w:rFonts w:ascii="Arial" w:eastAsia="Times New Roman" w:hAnsi="Arial" w:cs="Arial"/>
          <w:b/>
          <w:bCs/>
          <w:i/>
          <w:iCs/>
          <w:lang w:eastAsia="es-ES"/>
        </w:rPr>
        <w:t xml:space="preserve">NULIDAD LISA Y LLANA </w:t>
      </w:r>
      <w:r w:rsidR="00BB26AE">
        <w:rPr>
          <w:rFonts w:ascii="Arial" w:eastAsia="Times New Roman" w:hAnsi="Arial" w:cs="Arial"/>
          <w:b/>
          <w:bCs/>
          <w:i/>
          <w:iCs/>
          <w:lang w:eastAsia="es-ES"/>
        </w:rPr>
        <w:t>de</w:t>
      </w:r>
      <w:r w:rsidR="00BB26AE">
        <w:rPr>
          <w:rFonts w:ascii="Arial" w:eastAsia="Times New Roman" w:hAnsi="Arial" w:cs="Arial"/>
          <w:bCs/>
          <w:i/>
          <w:iCs/>
          <w:lang w:eastAsia="es-ES"/>
        </w:rPr>
        <w:t>l acta de</w:t>
      </w:r>
      <w:r>
        <w:rPr>
          <w:rFonts w:ascii="Arial" w:eastAsia="Times New Roman" w:hAnsi="Arial" w:cs="Arial"/>
          <w:bCs/>
          <w:i/>
          <w:iCs/>
          <w:lang w:eastAsia="es-ES"/>
        </w:rPr>
        <w:t xml:space="preserve"> infracción de tránsito </w:t>
      </w:r>
      <w:r w:rsidR="00E13B48">
        <w:rPr>
          <w:rFonts w:ascii="Arial" w:eastAsia="Times New Roman" w:hAnsi="Arial" w:cs="Arial"/>
          <w:bCs/>
          <w:i/>
          <w:iCs/>
          <w:lang w:eastAsia="es-ES"/>
        </w:rPr>
        <w:t>*******</w:t>
      </w:r>
      <w:r w:rsidR="00BA24F0">
        <w:rPr>
          <w:rFonts w:ascii="Arial" w:eastAsia="Times New Roman" w:hAnsi="Arial" w:cs="Arial"/>
          <w:bCs/>
          <w:i/>
          <w:iCs/>
          <w:lang w:eastAsia="es-ES"/>
        </w:rPr>
        <w:t xml:space="preserve"> de</w:t>
      </w:r>
      <w:r w:rsidR="00473555">
        <w:rPr>
          <w:rFonts w:ascii="Arial" w:eastAsia="Times New Roman" w:hAnsi="Arial" w:cs="Arial"/>
          <w:bCs/>
          <w:i/>
          <w:iCs/>
          <w:lang w:eastAsia="es-ES"/>
        </w:rPr>
        <w:t xml:space="preserve"> </w:t>
      </w:r>
      <w:r w:rsidR="000017DD">
        <w:rPr>
          <w:rFonts w:ascii="Arial" w:eastAsia="Times New Roman" w:hAnsi="Arial" w:cs="Arial"/>
          <w:bCs/>
          <w:i/>
          <w:iCs/>
          <w:lang w:eastAsia="es-ES"/>
        </w:rPr>
        <w:t>d</w:t>
      </w:r>
      <w:r w:rsidR="00473555">
        <w:rPr>
          <w:rFonts w:ascii="Arial" w:eastAsia="Times New Roman" w:hAnsi="Arial" w:cs="Arial"/>
          <w:bCs/>
          <w:i/>
          <w:iCs/>
          <w:lang w:eastAsia="es-ES"/>
        </w:rPr>
        <w:t>o</w:t>
      </w:r>
      <w:r w:rsidR="000017DD">
        <w:rPr>
          <w:rFonts w:ascii="Arial" w:eastAsia="Times New Roman" w:hAnsi="Arial" w:cs="Arial"/>
          <w:bCs/>
          <w:i/>
          <w:iCs/>
          <w:lang w:eastAsia="es-ES"/>
        </w:rPr>
        <w:t>ce</w:t>
      </w:r>
      <w:r w:rsidR="00473555">
        <w:rPr>
          <w:rFonts w:ascii="Arial" w:eastAsia="Times New Roman" w:hAnsi="Arial" w:cs="Arial"/>
          <w:bCs/>
          <w:i/>
          <w:iCs/>
          <w:lang w:eastAsia="es-ES"/>
        </w:rPr>
        <w:t xml:space="preserve"> de </w:t>
      </w:r>
      <w:r w:rsidR="000017DD">
        <w:rPr>
          <w:rFonts w:ascii="Arial" w:eastAsia="Times New Roman" w:hAnsi="Arial" w:cs="Arial"/>
          <w:bCs/>
          <w:i/>
          <w:iCs/>
          <w:lang w:eastAsia="es-ES"/>
        </w:rPr>
        <w:t>novie</w:t>
      </w:r>
      <w:r w:rsidR="00473555">
        <w:rPr>
          <w:rFonts w:ascii="Arial" w:eastAsia="Times New Roman" w:hAnsi="Arial" w:cs="Arial"/>
          <w:bCs/>
          <w:i/>
          <w:iCs/>
          <w:lang w:eastAsia="es-ES"/>
        </w:rPr>
        <w:t xml:space="preserve">mbre de dos mil </w:t>
      </w:r>
      <w:r w:rsidR="000017DD">
        <w:rPr>
          <w:rFonts w:ascii="Arial" w:eastAsia="Times New Roman" w:hAnsi="Arial" w:cs="Arial"/>
          <w:bCs/>
          <w:i/>
          <w:iCs/>
          <w:lang w:eastAsia="es-ES"/>
        </w:rPr>
        <w:t>veinte</w:t>
      </w:r>
      <w:r w:rsidR="00BA24F0">
        <w:rPr>
          <w:rFonts w:ascii="Arial" w:eastAsia="Times New Roman" w:hAnsi="Arial" w:cs="Arial"/>
          <w:bCs/>
          <w:i/>
          <w:iCs/>
          <w:lang w:eastAsia="es-ES"/>
        </w:rPr>
        <w:t>, emitida por el</w:t>
      </w:r>
      <w:r w:rsidR="00F268B2">
        <w:rPr>
          <w:rFonts w:ascii="Arial" w:eastAsia="Times New Roman" w:hAnsi="Arial" w:cs="Arial"/>
          <w:bCs/>
          <w:i/>
          <w:iCs/>
          <w:lang w:eastAsia="es-ES"/>
        </w:rPr>
        <w:t xml:space="preserve"> (sic)</w:t>
      </w:r>
      <w:r w:rsidR="00BA24F0">
        <w:rPr>
          <w:rFonts w:ascii="Arial" w:eastAsia="Times New Roman" w:hAnsi="Arial" w:cs="Arial"/>
          <w:bCs/>
          <w:i/>
          <w:iCs/>
          <w:lang w:eastAsia="es-ES"/>
        </w:rPr>
        <w:t xml:space="preserve"> Policía Vial </w:t>
      </w:r>
      <w:r w:rsidR="000017DD">
        <w:rPr>
          <w:rFonts w:ascii="Arial" w:eastAsia="Times New Roman" w:hAnsi="Arial" w:cs="Arial"/>
          <w:bCs/>
          <w:i/>
          <w:iCs/>
          <w:lang w:eastAsia="es-ES"/>
        </w:rPr>
        <w:t>con número estadístico PV-17</w:t>
      </w:r>
      <w:r w:rsidR="003B2BC1">
        <w:rPr>
          <w:rFonts w:ascii="Arial" w:eastAsia="Times New Roman" w:hAnsi="Arial" w:cs="Arial"/>
          <w:bCs/>
          <w:i/>
          <w:iCs/>
          <w:lang w:eastAsia="es-ES"/>
        </w:rPr>
        <w:t>1</w:t>
      </w:r>
      <w:r w:rsidR="00473555">
        <w:rPr>
          <w:rFonts w:ascii="Arial" w:eastAsia="Times New Roman" w:hAnsi="Arial" w:cs="Arial"/>
          <w:bCs/>
          <w:i/>
          <w:iCs/>
          <w:lang w:eastAsia="es-ES"/>
        </w:rPr>
        <w:t xml:space="preserve"> </w:t>
      </w:r>
      <w:r w:rsidR="00BA24F0">
        <w:rPr>
          <w:rFonts w:ascii="Arial" w:eastAsia="Times New Roman" w:hAnsi="Arial" w:cs="Arial"/>
          <w:bCs/>
          <w:i/>
          <w:iCs/>
          <w:lang w:eastAsia="es-ES"/>
        </w:rPr>
        <w:t xml:space="preserve">adscrito a la </w:t>
      </w:r>
      <w:r w:rsidR="000017DD">
        <w:rPr>
          <w:rFonts w:ascii="Arial" w:eastAsia="Times New Roman" w:hAnsi="Arial" w:cs="Arial"/>
          <w:bCs/>
          <w:i/>
          <w:iCs/>
          <w:lang w:eastAsia="es-ES"/>
        </w:rPr>
        <w:t xml:space="preserve">Subdirección de Tránsito y Movilidad de la Dirección de Seguridad Pública, Vialidad y Protección Ciudadana del Municipio de Oaxaca de Juárez, Oaxaca; </w:t>
      </w:r>
      <w:r w:rsidR="00BA24F0">
        <w:rPr>
          <w:rFonts w:ascii="Arial" w:eastAsia="Times New Roman" w:hAnsi="Arial" w:cs="Arial"/>
          <w:bCs/>
          <w:i/>
          <w:iCs/>
          <w:lang w:eastAsia="es-ES"/>
        </w:rPr>
        <w:t>en consecuencia, se restituye a</w:t>
      </w:r>
      <w:r w:rsidR="000017DD">
        <w:rPr>
          <w:rFonts w:ascii="Arial" w:eastAsia="Times New Roman" w:hAnsi="Arial" w:cs="Arial"/>
          <w:bCs/>
          <w:i/>
          <w:iCs/>
          <w:lang w:eastAsia="es-ES"/>
        </w:rPr>
        <w:t xml:space="preserve"> </w:t>
      </w:r>
      <w:r w:rsidR="00E13B48">
        <w:rPr>
          <w:rFonts w:ascii="Arial" w:eastAsia="Times New Roman" w:hAnsi="Arial" w:cs="Arial"/>
          <w:bCs/>
          <w:i/>
          <w:iCs/>
          <w:lang w:eastAsia="es-ES"/>
        </w:rPr>
        <w:t>*******</w:t>
      </w:r>
      <w:r w:rsidR="000017DD">
        <w:rPr>
          <w:rFonts w:ascii="Arial" w:eastAsia="Times New Roman" w:hAnsi="Arial" w:cs="Arial"/>
          <w:bCs/>
          <w:i/>
          <w:iCs/>
          <w:lang w:eastAsia="es-ES"/>
        </w:rPr>
        <w:t>,</w:t>
      </w:r>
      <w:r w:rsidR="00BA24F0">
        <w:rPr>
          <w:rFonts w:ascii="Arial" w:eastAsia="Times New Roman" w:hAnsi="Arial" w:cs="Arial"/>
          <w:bCs/>
          <w:i/>
          <w:iCs/>
          <w:lang w:eastAsia="es-ES"/>
        </w:rPr>
        <w:t xml:space="preserve"> </w:t>
      </w:r>
      <w:r w:rsidR="008C6820">
        <w:rPr>
          <w:rFonts w:ascii="Arial" w:eastAsia="Times New Roman" w:hAnsi="Arial" w:cs="Arial"/>
          <w:bCs/>
          <w:i/>
          <w:iCs/>
          <w:lang w:eastAsia="es-ES"/>
        </w:rPr>
        <w:t xml:space="preserve">en el pleno goce de sus derechos afectados, como quedó precisado en el considerando que antecede. </w:t>
      </w:r>
      <w:r w:rsidR="000E5A6B">
        <w:rPr>
          <w:rFonts w:ascii="Arial" w:eastAsia="Times New Roman" w:hAnsi="Arial" w:cs="Arial"/>
          <w:bCs/>
          <w:i/>
          <w:iCs/>
          <w:lang w:eastAsia="es-ES"/>
        </w:rPr>
        <w:t xml:space="preserve">- - - - - - - - - - - - - - - - - - - - </w:t>
      </w:r>
      <w:r w:rsidR="00E13B48">
        <w:rPr>
          <w:rFonts w:ascii="Arial" w:eastAsia="Times New Roman" w:hAnsi="Arial" w:cs="Arial"/>
          <w:bCs/>
          <w:i/>
          <w:iCs/>
          <w:lang w:eastAsia="es-ES"/>
        </w:rPr>
        <w:t>- - - - - - - - - - - - - - - - - - - - - -</w:t>
      </w:r>
    </w:p>
    <w:p w14:paraId="7C859840" w14:textId="4710E661" w:rsidR="008C6820" w:rsidRDefault="008C6820" w:rsidP="000E5A6B">
      <w:pPr>
        <w:spacing w:after="0"/>
        <w:ind w:left="567" w:right="616"/>
        <w:jc w:val="both"/>
        <w:rPr>
          <w:rFonts w:ascii="Arial" w:eastAsia="Times New Roman" w:hAnsi="Arial" w:cs="Arial"/>
          <w:b/>
          <w:bCs/>
          <w:i/>
          <w:iCs/>
          <w:lang w:eastAsia="es-ES"/>
        </w:rPr>
      </w:pPr>
      <w:r>
        <w:rPr>
          <w:rFonts w:ascii="Arial" w:eastAsia="Times New Roman" w:hAnsi="Arial" w:cs="Arial"/>
          <w:b/>
          <w:bCs/>
          <w:i/>
          <w:iCs/>
          <w:lang w:eastAsia="es-ES"/>
        </w:rPr>
        <w:t xml:space="preserve">QUINTO. </w:t>
      </w:r>
      <w:r w:rsidR="00473555">
        <w:rPr>
          <w:rFonts w:ascii="Arial" w:eastAsia="Times New Roman" w:hAnsi="Arial" w:cs="Arial"/>
          <w:b/>
          <w:bCs/>
          <w:i/>
          <w:iCs/>
          <w:lang w:eastAsia="es-ES"/>
        </w:rPr>
        <w:t xml:space="preserve">NOTIFÍQUESE </w:t>
      </w:r>
      <w:r w:rsidR="00473555" w:rsidRPr="00473555">
        <w:rPr>
          <w:rFonts w:ascii="Arial" w:eastAsia="Times New Roman" w:hAnsi="Arial" w:cs="Arial"/>
          <w:bCs/>
          <w:i/>
          <w:iCs/>
          <w:u w:val="single"/>
          <w:lang w:eastAsia="es-ES"/>
        </w:rPr>
        <w:t>personalmente</w:t>
      </w:r>
      <w:r w:rsidR="00473555">
        <w:rPr>
          <w:rFonts w:ascii="Arial" w:eastAsia="Times New Roman" w:hAnsi="Arial" w:cs="Arial"/>
          <w:bCs/>
          <w:i/>
          <w:iCs/>
          <w:lang w:eastAsia="es-ES"/>
        </w:rPr>
        <w:t xml:space="preserve"> a la parte actora y por </w:t>
      </w:r>
      <w:r w:rsidR="00473555" w:rsidRPr="00473555">
        <w:rPr>
          <w:rFonts w:ascii="Arial" w:eastAsia="Times New Roman" w:hAnsi="Arial" w:cs="Arial"/>
          <w:bCs/>
          <w:i/>
          <w:iCs/>
          <w:u w:val="single"/>
          <w:lang w:eastAsia="es-ES"/>
        </w:rPr>
        <w:t>oficio</w:t>
      </w:r>
      <w:r w:rsidR="00473555">
        <w:rPr>
          <w:rFonts w:ascii="Arial" w:eastAsia="Times New Roman" w:hAnsi="Arial" w:cs="Arial"/>
          <w:bCs/>
          <w:i/>
          <w:iCs/>
          <w:lang w:eastAsia="es-ES"/>
        </w:rPr>
        <w:t xml:space="preserve"> a la autoridad demandada</w:t>
      </w:r>
      <w:r w:rsidR="000017DD">
        <w:rPr>
          <w:rFonts w:ascii="Arial" w:eastAsia="Times New Roman" w:hAnsi="Arial" w:cs="Arial"/>
          <w:bCs/>
          <w:i/>
          <w:iCs/>
          <w:lang w:eastAsia="es-ES"/>
        </w:rPr>
        <w:t xml:space="preserve"> vía correo certificado,</w:t>
      </w:r>
      <w:r w:rsidR="00473555">
        <w:rPr>
          <w:rFonts w:ascii="Arial" w:eastAsia="Times New Roman" w:hAnsi="Arial" w:cs="Arial"/>
          <w:bCs/>
          <w:i/>
          <w:iCs/>
          <w:lang w:eastAsia="es-ES"/>
        </w:rPr>
        <w:t xml:space="preserve"> conforme a lo dispuesto </w:t>
      </w:r>
      <w:r>
        <w:rPr>
          <w:rFonts w:ascii="Arial" w:eastAsia="Times New Roman" w:hAnsi="Arial" w:cs="Arial"/>
          <w:bCs/>
          <w:i/>
          <w:iCs/>
          <w:lang w:eastAsia="es-ES"/>
        </w:rPr>
        <w:t>en los artículos 172 fracción I y</w:t>
      </w:r>
      <w:r w:rsidR="000017DD">
        <w:rPr>
          <w:rFonts w:ascii="Arial" w:eastAsia="Times New Roman" w:hAnsi="Arial" w:cs="Arial"/>
          <w:bCs/>
          <w:i/>
          <w:iCs/>
          <w:lang w:eastAsia="es-ES"/>
        </w:rPr>
        <w:t xml:space="preserve"> V y</w:t>
      </w:r>
      <w:r>
        <w:rPr>
          <w:rFonts w:ascii="Arial" w:eastAsia="Times New Roman" w:hAnsi="Arial" w:cs="Arial"/>
          <w:bCs/>
          <w:i/>
          <w:iCs/>
          <w:lang w:eastAsia="es-ES"/>
        </w:rPr>
        <w:t xml:space="preserve"> 173 fracciones I y II, de la Ley de Procedimiento y Justicia Administrativa para el Estado de Oaxaca</w:t>
      </w:r>
      <w:r w:rsidR="00264AA1">
        <w:rPr>
          <w:rFonts w:ascii="Arial" w:eastAsia="Times New Roman" w:hAnsi="Arial" w:cs="Arial"/>
          <w:bCs/>
          <w:i/>
          <w:iCs/>
          <w:lang w:eastAsia="es-ES"/>
        </w:rPr>
        <w:t xml:space="preserve">. </w:t>
      </w:r>
      <w:r>
        <w:rPr>
          <w:rFonts w:ascii="Arial" w:eastAsia="Times New Roman" w:hAnsi="Arial" w:cs="Arial"/>
          <w:bCs/>
          <w:i/>
          <w:iCs/>
          <w:lang w:eastAsia="es-ES"/>
        </w:rPr>
        <w:t xml:space="preserve"> </w:t>
      </w:r>
      <w:r>
        <w:rPr>
          <w:rFonts w:ascii="Arial" w:eastAsia="Times New Roman" w:hAnsi="Arial" w:cs="Arial"/>
          <w:b/>
          <w:bCs/>
          <w:i/>
          <w:iCs/>
          <w:lang w:eastAsia="es-ES"/>
        </w:rPr>
        <w:t xml:space="preserve">CÚMPLASE. - - - - - - - - - - - - - - - - - - - - - </w:t>
      </w:r>
      <w:r w:rsidR="000E5A6B">
        <w:rPr>
          <w:rFonts w:ascii="Arial" w:eastAsia="Times New Roman" w:hAnsi="Arial" w:cs="Arial"/>
          <w:b/>
          <w:bCs/>
          <w:i/>
          <w:iCs/>
          <w:lang w:eastAsia="es-ES"/>
        </w:rPr>
        <w:t xml:space="preserve">- - - - - - - - - - - - - - - - - - - - - - </w:t>
      </w:r>
    </w:p>
    <w:p w14:paraId="1DD2B178" w14:textId="1D5EC670" w:rsidR="003B6CF0" w:rsidRPr="002614F4" w:rsidRDefault="008C6820" w:rsidP="000E5A6B">
      <w:pPr>
        <w:spacing w:after="0"/>
        <w:ind w:left="567" w:right="616"/>
        <w:jc w:val="both"/>
        <w:rPr>
          <w:rFonts w:ascii="Arial" w:eastAsia="Times New Roman" w:hAnsi="Arial" w:cs="Arial"/>
          <w:bCs/>
          <w:i/>
          <w:iCs/>
          <w:lang w:eastAsia="es-ES"/>
        </w:rPr>
      </w:pPr>
      <w:r>
        <w:rPr>
          <w:rFonts w:ascii="Arial" w:eastAsia="Times New Roman" w:hAnsi="Arial" w:cs="Arial"/>
          <w:bCs/>
          <w:i/>
          <w:iCs/>
          <w:lang w:eastAsia="es-ES"/>
        </w:rPr>
        <w:t xml:space="preserve">Así lo resolvió y firma la </w:t>
      </w:r>
      <w:r>
        <w:rPr>
          <w:rFonts w:ascii="Arial" w:eastAsia="Times New Roman" w:hAnsi="Arial" w:cs="Arial"/>
          <w:b/>
          <w:bCs/>
          <w:i/>
          <w:iCs/>
          <w:lang w:eastAsia="es-ES"/>
        </w:rPr>
        <w:t xml:space="preserve">Licenciada Adriana Arcega Ordoñez, </w:t>
      </w:r>
      <w:r>
        <w:rPr>
          <w:rFonts w:ascii="Arial" w:eastAsia="Times New Roman" w:hAnsi="Arial" w:cs="Arial"/>
          <w:bCs/>
          <w:i/>
          <w:iCs/>
          <w:lang w:eastAsia="es-ES"/>
        </w:rPr>
        <w:t xml:space="preserve">Secretaria de Acuerdos de la Sexta Sala Unitaria de Primera Instancia del Tribunal de Justicia Administrativa del Estado de Oaxaca, habilitada para tramitar </w:t>
      </w:r>
      <w:r w:rsidR="004C415F">
        <w:rPr>
          <w:rFonts w:ascii="Arial" w:eastAsia="Times New Roman" w:hAnsi="Arial" w:cs="Arial"/>
          <w:bCs/>
          <w:i/>
          <w:iCs/>
          <w:lang w:eastAsia="es-ES"/>
        </w:rPr>
        <w:t xml:space="preserve">y resolver los asuntos sustanciados en esta Sala, mediante sesión administrativa extraordinaria del Pleno de este Tribunal, celebrada el ocho de abril de dos mil veintiuno; lo anterior en términos de lo dispuesto por el artículo 20 fracción XXII de la Ley Orgánica del Tribunal de Justicia Administrativa para el Estado de Oaxaca publicada en el Periódico Oficial </w:t>
      </w:r>
      <w:r w:rsidR="000016CC">
        <w:rPr>
          <w:rFonts w:ascii="Arial" w:eastAsia="Times New Roman" w:hAnsi="Arial" w:cs="Arial"/>
          <w:bCs/>
          <w:i/>
          <w:iCs/>
          <w:lang w:eastAsia="es-ES"/>
        </w:rPr>
        <w:t xml:space="preserve">el siete de noviembre de dos mil diecinueve; quien actúa con la </w:t>
      </w:r>
      <w:r w:rsidR="000016CC">
        <w:rPr>
          <w:rFonts w:ascii="Arial" w:eastAsia="Times New Roman" w:hAnsi="Arial" w:cs="Arial"/>
          <w:b/>
          <w:bCs/>
          <w:i/>
          <w:iCs/>
          <w:lang w:eastAsia="es-ES"/>
        </w:rPr>
        <w:t xml:space="preserve">Licenciada Dulce Eloísa Huerta Contreras, </w:t>
      </w:r>
      <w:r w:rsidR="00432A71">
        <w:rPr>
          <w:rFonts w:ascii="Arial" w:eastAsia="Times New Roman" w:hAnsi="Arial" w:cs="Arial"/>
          <w:bCs/>
          <w:i/>
          <w:iCs/>
          <w:lang w:eastAsia="es-ES"/>
        </w:rPr>
        <w:t xml:space="preserve">Actuaria adscrita a esta Sala, </w:t>
      </w:r>
      <w:r w:rsidR="000675A4">
        <w:rPr>
          <w:rFonts w:ascii="Arial" w:eastAsia="Times New Roman" w:hAnsi="Arial" w:cs="Arial"/>
          <w:bCs/>
          <w:i/>
          <w:iCs/>
          <w:lang w:eastAsia="es-ES"/>
        </w:rPr>
        <w:t xml:space="preserve">habilitada para que actúe conjuntamente con la Secretaria de Acuerdos, en el trámite y desahogo </w:t>
      </w:r>
      <w:r w:rsidR="00CB2A1D">
        <w:rPr>
          <w:rFonts w:ascii="Arial" w:eastAsia="Times New Roman" w:hAnsi="Arial" w:cs="Arial"/>
          <w:bCs/>
          <w:i/>
          <w:iCs/>
          <w:lang w:eastAsia="es-ES"/>
        </w:rPr>
        <w:t>de las diligencias, conforme a lo previsto por los artículos 139 fracción IV de la Ley de Procedimiento y Justicia Administrativa y 72 del Reglamento Interno del</w:t>
      </w:r>
      <w:r w:rsidR="000017DD">
        <w:rPr>
          <w:rFonts w:ascii="Arial" w:eastAsia="Times New Roman" w:hAnsi="Arial" w:cs="Arial"/>
          <w:bCs/>
          <w:i/>
          <w:iCs/>
          <w:lang w:eastAsia="es-ES"/>
        </w:rPr>
        <w:t xml:space="preserve"> Tribunal, que autoriza y da fe</w:t>
      </w:r>
      <w:r w:rsidR="003B6CF0" w:rsidRPr="003B084B">
        <w:rPr>
          <w:rFonts w:ascii="Arial" w:hAnsi="Arial" w:cs="Arial"/>
          <w:i/>
        </w:rPr>
        <w:t>.</w:t>
      </w:r>
      <w:r w:rsidR="003B6CF0">
        <w:rPr>
          <w:rFonts w:ascii="Arial" w:hAnsi="Arial" w:cs="Arial"/>
          <w:i/>
        </w:rPr>
        <w:t>”</w:t>
      </w:r>
      <w:r w:rsidR="003B6CF0" w:rsidRPr="00001C39">
        <w:rPr>
          <w:rFonts w:ascii="Arial" w:eastAsia="Times New Roman" w:hAnsi="Arial" w:cs="Arial"/>
          <w:b/>
          <w:bCs/>
          <w:i/>
          <w:iCs/>
          <w:lang w:eastAsia="es-ES"/>
        </w:rPr>
        <w:t xml:space="preserve"> </w:t>
      </w:r>
    </w:p>
    <w:p w14:paraId="36EF0AC2" w14:textId="6E630335" w:rsidR="003B6CF0" w:rsidRPr="00CB6405" w:rsidRDefault="003B6CF0" w:rsidP="003B6CF0">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0B7C76DE" w14:textId="50A0F4D9" w:rsidR="003B6CF0" w:rsidRPr="00B434C8" w:rsidRDefault="003B6CF0" w:rsidP="003B6CF0">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w:t>
      </w:r>
      <w:r w:rsidR="00F268B2">
        <w:rPr>
          <w:rFonts w:ascii="Arial" w:hAnsi="Arial" w:cs="Arial"/>
          <w:bCs/>
          <w:iCs/>
          <w:sz w:val="26"/>
          <w:szCs w:val="26"/>
        </w:rPr>
        <w:t>del Estado de Oaxaca</w:t>
      </w:r>
      <w:r w:rsidRPr="00455424">
        <w:rPr>
          <w:rFonts w:ascii="Arial" w:hAnsi="Arial" w:cs="Arial"/>
          <w:bCs/>
          <w:iCs/>
          <w:sz w:val="26"/>
          <w:szCs w:val="26"/>
        </w:rPr>
        <w:t>;</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 xml:space="preserve">dado que se trata de un recurso de revisión interpuesto en contra </w:t>
      </w:r>
      <w:r w:rsidR="006E0D0A">
        <w:rPr>
          <w:rFonts w:ascii="Arial" w:hAnsi="Arial" w:cs="Arial"/>
          <w:bCs/>
          <w:iCs/>
          <w:sz w:val="26"/>
          <w:szCs w:val="26"/>
        </w:rPr>
        <w:t xml:space="preserve">de </w:t>
      </w:r>
      <w:r w:rsidR="00F268B2">
        <w:rPr>
          <w:rFonts w:ascii="Arial" w:hAnsi="Arial" w:cs="Arial"/>
          <w:sz w:val="26"/>
          <w:szCs w:val="26"/>
        </w:rPr>
        <w:t>la sentencia de veintitrés de noviem</w:t>
      </w:r>
      <w:r w:rsidR="000017DD">
        <w:rPr>
          <w:rFonts w:ascii="Arial" w:hAnsi="Arial" w:cs="Arial"/>
          <w:sz w:val="26"/>
          <w:szCs w:val="26"/>
        </w:rPr>
        <w:t>bre</w:t>
      </w:r>
      <w:r w:rsidR="00264AA1">
        <w:rPr>
          <w:rFonts w:ascii="Arial" w:hAnsi="Arial" w:cs="Arial"/>
          <w:sz w:val="26"/>
          <w:szCs w:val="26"/>
        </w:rPr>
        <w:t xml:space="preserve"> de dos mil veintiuno</w:t>
      </w:r>
      <w:r w:rsidRPr="008E3662">
        <w:rPr>
          <w:rFonts w:ascii="Arial" w:hAnsi="Arial" w:cs="Arial"/>
          <w:bCs/>
          <w:iCs/>
          <w:sz w:val="26"/>
          <w:szCs w:val="26"/>
        </w:rPr>
        <w:t xml:space="preserve">, </w:t>
      </w:r>
      <w:r w:rsidRPr="008E3662">
        <w:rPr>
          <w:rFonts w:ascii="Arial" w:hAnsi="Arial" w:cs="Arial"/>
          <w:bCs/>
          <w:iCs/>
          <w:sz w:val="26"/>
          <w:szCs w:val="26"/>
        </w:rPr>
        <w:lastRenderedPageBreak/>
        <w:t>dictad</w:t>
      </w:r>
      <w:r w:rsidR="006E0D0A">
        <w:rPr>
          <w:rFonts w:ascii="Arial" w:hAnsi="Arial" w:cs="Arial"/>
          <w:bCs/>
          <w:iCs/>
          <w:sz w:val="26"/>
          <w:szCs w:val="26"/>
        </w:rPr>
        <w:t>a</w:t>
      </w:r>
      <w:r w:rsidRPr="008E3662">
        <w:rPr>
          <w:rFonts w:ascii="Arial" w:hAnsi="Arial" w:cs="Arial"/>
          <w:bCs/>
          <w:iCs/>
          <w:sz w:val="26"/>
          <w:szCs w:val="26"/>
        </w:rPr>
        <w:t xml:space="preserve"> por la </w:t>
      </w:r>
      <w:r w:rsidR="00A202FC">
        <w:rPr>
          <w:rFonts w:ascii="Arial" w:hAnsi="Arial" w:cs="Arial"/>
          <w:bCs/>
          <w:iCs/>
          <w:sz w:val="26"/>
          <w:szCs w:val="26"/>
        </w:rPr>
        <w:t>S</w:t>
      </w:r>
      <w:r w:rsidR="00D21FAC">
        <w:rPr>
          <w:rFonts w:ascii="Arial" w:hAnsi="Arial" w:cs="Arial"/>
          <w:bCs/>
          <w:iCs/>
          <w:sz w:val="26"/>
          <w:szCs w:val="26"/>
        </w:rPr>
        <w:t>ext</w:t>
      </w:r>
      <w:r w:rsidR="00A202FC" w:rsidRPr="008E3662">
        <w:rPr>
          <w:rFonts w:ascii="Arial" w:hAnsi="Arial" w:cs="Arial"/>
          <w:bCs/>
          <w:iCs/>
          <w:sz w:val="26"/>
          <w:szCs w:val="26"/>
        </w:rPr>
        <w:t>a</w:t>
      </w:r>
      <w:r w:rsidRPr="008E3662">
        <w:rPr>
          <w:rFonts w:ascii="Arial" w:hAnsi="Arial" w:cs="Arial"/>
          <w:bCs/>
          <w:iCs/>
          <w:sz w:val="26"/>
          <w:szCs w:val="26"/>
        </w:rPr>
        <w:t xml:space="preserve">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F268B2">
        <w:rPr>
          <w:rFonts w:ascii="Arial" w:hAnsi="Arial" w:cs="Arial"/>
          <w:b/>
          <w:bCs/>
          <w:iCs/>
          <w:sz w:val="26"/>
          <w:szCs w:val="26"/>
        </w:rPr>
        <w:t>001</w:t>
      </w:r>
      <w:r w:rsidR="000017DD">
        <w:rPr>
          <w:rFonts w:ascii="Arial" w:hAnsi="Arial" w:cs="Arial"/>
          <w:b/>
          <w:bCs/>
          <w:iCs/>
          <w:sz w:val="26"/>
          <w:szCs w:val="26"/>
        </w:rPr>
        <w:t>/2021</w:t>
      </w:r>
      <w:r w:rsidRPr="00AE78C3">
        <w:rPr>
          <w:rFonts w:ascii="Arial" w:hAnsi="Arial" w:cs="Arial"/>
          <w:b/>
          <w:bCs/>
          <w:iCs/>
          <w:sz w:val="26"/>
          <w:szCs w:val="26"/>
        </w:rPr>
        <w:t>.</w:t>
      </w:r>
      <w:r w:rsidR="000E5A6B">
        <w:rPr>
          <w:rFonts w:ascii="Arial" w:hAnsi="Arial" w:cs="Arial"/>
          <w:b/>
          <w:bCs/>
          <w:iCs/>
          <w:sz w:val="26"/>
          <w:szCs w:val="26"/>
        </w:rPr>
        <w:t xml:space="preserve"> </w:t>
      </w:r>
      <w:r w:rsidR="000E5A6B" w:rsidRPr="000E5A6B">
        <w:rPr>
          <w:rFonts w:ascii="Arial" w:hAnsi="Arial" w:cs="Arial"/>
          <w:iCs/>
          <w:sz w:val="26"/>
          <w:szCs w:val="26"/>
        </w:rPr>
        <w:t>- - - - - - - - - - - - - - - - - - - - - - - - - - - -</w:t>
      </w:r>
    </w:p>
    <w:p w14:paraId="2E4A9DA7" w14:textId="77777777" w:rsidR="000017DD" w:rsidRPr="00011CEC" w:rsidRDefault="000017DD" w:rsidP="000017DD">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011CEC">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Mayo de 2010, visible a página 830, </w:t>
      </w:r>
      <w:r w:rsidRPr="00011CEC">
        <w:rPr>
          <w:rFonts w:ascii="Arial" w:eastAsia="Times New Roman" w:hAnsi="Arial" w:cs="Arial"/>
          <w:bCs/>
          <w:sz w:val="26"/>
          <w:szCs w:val="26"/>
        </w:rPr>
        <w:t xml:space="preserve">bajo el rubro y texto siguiente: </w:t>
      </w:r>
    </w:p>
    <w:p w14:paraId="7F8EDF2A" w14:textId="77E35E13" w:rsidR="000017DD" w:rsidRDefault="000017DD" w:rsidP="000E5A6B">
      <w:pPr>
        <w:spacing w:before="240"/>
        <w:ind w:left="709" w:right="616"/>
        <w:jc w:val="both"/>
        <w:rPr>
          <w:rFonts w:ascii="Arial" w:eastAsia="Times New Roman" w:hAnsi="Arial" w:cs="Arial"/>
          <w:i/>
          <w:iCs/>
        </w:rPr>
      </w:pPr>
      <w:r w:rsidRPr="00011CEC">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689D02B3" w14:textId="77777777" w:rsidR="000E5A6B" w:rsidRPr="00011CEC" w:rsidRDefault="000E5A6B" w:rsidP="000E5A6B">
      <w:pPr>
        <w:spacing w:before="240"/>
        <w:ind w:left="709" w:right="616"/>
        <w:jc w:val="both"/>
        <w:rPr>
          <w:rFonts w:ascii="Arial" w:eastAsia="Times New Roman" w:hAnsi="Arial" w:cs="Arial"/>
          <w:i/>
          <w:iCs/>
        </w:rPr>
      </w:pPr>
    </w:p>
    <w:p w14:paraId="40EBA9E8" w14:textId="6BFF70CD" w:rsidR="00F268B2" w:rsidRPr="000E5A6B" w:rsidRDefault="00F268B2" w:rsidP="000E5A6B">
      <w:pPr>
        <w:spacing w:before="240" w:line="360" w:lineRule="auto"/>
        <w:ind w:firstLine="708"/>
        <w:jc w:val="both"/>
        <w:rPr>
          <w:rFonts w:ascii="Arial" w:hAnsi="Arial" w:cs="Arial"/>
          <w:bCs/>
          <w:iCs/>
          <w:sz w:val="26"/>
          <w:szCs w:val="26"/>
        </w:rPr>
      </w:pPr>
      <w:r>
        <w:rPr>
          <w:rFonts w:ascii="Arial" w:eastAsia="Calibri" w:hAnsi="Arial" w:cs="Arial"/>
          <w:b/>
          <w:bCs/>
          <w:sz w:val="26"/>
          <w:szCs w:val="26"/>
        </w:rPr>
        <w:t xml:space="preserve">TERCERO. </w:t>
      </w:r>
      <w:r>
        <w:rPr>
          <w:rFonts w:ascii="Arial" w:eastAsia="Calibri" w:hAnsi="Arial" w:cs="Arial"/>
          <w:bCs/>
          <w:sz w:val="26"/>
          <w:szCs w:val="26"/>
        </w:rPr>
        <w:t xml:space="preserve">En el segmento inicial del primer agravio, señala el        recurrente que le causa perjuicio el considerando cuarto de la sentencia, al violar en perjuicio de la autoridad que representa, los artículos 14 y 16 de la Constitución Política de los Estados Unidos Mexicanos y 207, fracción II, de la Ley de Procedimiento y Justicia Administrativa para el Estado de Oaxaca, en virtud de que la sentencia que se recurre, no está emitida en forma congruente con el acto impugnado, porque quedó debidamente acreditada la correcta fundamentación y motivación del acto, y con ello, la validez del mismo, la Primera Instancia hizo un </w:t>
      </w:r>
      <w:r>
        <w:rPr>
          <w:rFonts w:ascii="Arial" w:eastAsia="Calibri" w:hAnsi="Arial" w:cs="Arial"/>
          <w:bCs/>
          <w:sz w:val="26"/>
          <w:szCs w:val="26"/>
        </w:rPr>
        <w:lastRenderedPageBreak/>
        <w:t>razonamiento omiso, cuando determinó que se declaró la nulidad lisa y llana.</w:t>
      </w:r>
      <w:r w:rsidR="000E5A6B">
        <w:rPr>
          <w:rFonts w:ascii="Arial" w:eastAsia="Calibri" w:hAnsi="Arial" w:cs="Arial"/>
          <w:bCs/>
          <w:sz w:val="26"/>
          <w:szCs w:val="26"/>
        </w:rPr>
        <w:t xml:space="preserve"> </w:t>
      </w:r>
      <w:r w:rsidR="000E5A6B" w:rsidRPr="000E5A6B">
        <w:rPr>
          <w:rFonts w:ascii="Arial" w:hAnsi="Arial" w:cs="Arial"/>
          <w:iCs/>
          <w:sz w:val="26"/>
          <w:szCs w:val="26"/>
        </w:rPr>
        <w:t>- - - - - - - - - - - - - - - - - - - - - - - - -</w:t>
      </w:r>
      <w:r w:rsidR="000E5A6B">
        <w:rPr>
          <w:rFonts w:ascii="Arial" w:hAnsi="Arial" w:cs="Arial"/>
          <w:bCs/>
          <w:iCs/>
          <w:sz w:val="26"/>
          <w:szCs w:val="26"/>
        </w:rPr>
        <w:t xml:space="preserve"> - - - - - - - - - - - - - - - - - - - - - - </w:t>
      </w:r>
    </w:p>
    <w:p w14:paraId="2BE2104F" w14:textId="220DE04A" w:rsidR="00F268B2" w:rsidRDefault="00F268B2" w:rsidP="00F268B2">
      <w:pPr>
        <w:spacing w:line="360" w:lineRule="auto"/>
        <w:ind w:right="49" w:firstLine="567"/>
        <w:jc w:val="both"/>
        <w:rPr>
          <w:rFonts w:ascii="Arial" w:eastAsia="Calibri" w:hAnsi="Arial" w:cs="Arial"/>
          <w:bCs/>
          <w:sz w:val="26"/>
          <w:szCs w:val="26"/>
          <w:lang w:val="es-ES" w:eastAsia="en-US"/>
        </w:rPr>
      </w:pPr>
      <w:r w:rsidRPr="00B066F1">
        <w:rPr>
          <w:rFonts w:ascii="Arial" w:eastAsia="Calibri" w:hAnsi="Arial" w:cs="Arial"/>
          <w:bCs/>
          <w:iCs/>
          <w:sz w:val="26"/>
          <w:szCs w:val="26"/>
          <w:lang w:eastAsia="en-US"/>
        </w:rPr>
        <w:t xml:space="preserve">Esta Sala Superior advierte que </w:t>
      </w:r>
      <w:r>
        <w:rPr>
          <w:rFonts w:ascii="Arial" w:eastAsia="Calibri" w:hAnsi="Arial" w:cs="Arial"/>
          <w:bCs/>
          <w:iCs/>
          <w:sz w:val="26"/>
          <w:szCs w:val="26"/>
          <w:lang w:eastAsia="en-US"/>
        </w:rPr>
        <w:t>este argumento</w:t>
      </w:r>
      <w:r w:rsidRPr="00B066F1">
        <w:rPr>
          <w:rFonts w:ascii="Arial" w:eastAsia="Calibri" w:hAnsi="Arial" w:cs="Arial"/>
          <w:bCs/>
          <w:iCs/>
          <w:sz w:val="26"/>
          <w:szCs w:val="26"/>
          <w:lang w:eastAsia="en-US"/>
        </w:rPr>
        <w:t xml:space="preserve"> </w:t>
      </w:r>
      <w:r>
        <w:rPr>
          <w:rFonts w:ascii="Arial" w:eastAsia="Calibri" w:hAnsi="Arial" w:cs="Arial"/>
          <w:bCs/>
          <w:sz w:val="26"/>
          <w:szCs w:val="26"/>
          <w:lang w:val="es-ES" w:eastAsia="en-US"/>
        </w:rPr>
        <w:t>expresado</w:t>
      </w:r>
      <w:r w:rsidRPr="00B066F1">
        <w:rPr>
          <w:rFonts w:ascii="Arial" w:eastAsia="Calibri" w:hAnsi="Arial" w:cs="Arial"/>
          <w:bCs/>
          <w:sz w:val="26"/>
          <w:szCs w:val="26"/>
          <w:lang w:val="es-ES" w:eastAsia="en-US"/>
        </w:rPr>
        <w:t xml:space="preserve"> por la autoridad inconforme en su oficio de recurso de revisión número </w:t>
      </w:r>
      <w:r w:rsidR="00E13B48">
        <w:rPr>
          <w:rFonts w:ascii="Arial" w:eastAsia="Calibri" w:hAnsi="Arial" w:cs="Arial"/>
          <w:b/>
          <w:bCs/>
          <w:sz w:val="26"/>
          <w:szCs w:val="26"/>
          <w:lang w:val="es-ES" w:eastAsia="en-US"/>
        </w:rPr>
        <w:t>*******</w:t>
      </w:r>
      <w:r w:rsidR="004269A6">
        <w:rPr>
          <w:rFonts w:ascii="Arial" w:eastAsia="Calibri" w:hAnsi="Arial" w:cs="Arial"/>
          <w:b/>
          <w:bCs/>
          <w:sz w:val="26"/>
          <w:szCs w:val="26"/>
          <w:lang w:val="es-ES" w:eastAsia="en-US"/>
        </w:rPr>
        <w:t xml:space="preserve"> </w:t>
      </w:r>
      <w:r>
        <w:rPr>
          <w:rFonts w:ascii="Arial" w:eastAsia="Calibri" w:hAnsi="Arial" w:cs="Arial"/>
          <w:bCs/>
          <w:sz w:val="26"/>
          <w:szCs w:val="26"/>
          <w:lang w:val="es-ES" w:eastAsia="en-US"/>
        </w:rPr>
        <w:t>deviene</w:t>
      </w:r>
      <w:r>
        <w:rPr>
          <w:rFonts w:ascii="Arial" w:eastAsia="Calibri" w:hAnsi="Arial" w:cs="Arial"/>
          <w:b/>
          <w:bCs/>
          <w:sz w:val="26"/>
          <w:szCs w:val="26"/>
          <w:lang w:val="es-ES" w:eastAsia="en-US"/>
        </w:rPr>
        <w:t xml:space="preserve"> INOPERANTE</w:t>
      </w:r>
      <w:r w:rsidRPr="00B066F1">
        <w:rPr>
          <w:rFonts w:ascii="Arial" w:eastAsia="Calibri" w:hAnsi="Arial" w:cs="Arial"/>
          <w:b/>
          <w:bCs/>
          <w:sz w:val="26"/>
          <w:szCs w:val="26"/>
          <w:lang w:val="es-ES" w:eastAsia="en-US"/>
        </w:rPr>
        <w:t>,</w:t>
      </w:r>
      <w:r w:rsidRPr="00B066F1">
        <w:rPr>
          <w:rFonts w:ascii="Arial" w:eastAsia="Calibri" w:hAnsi="Arial" w:cs="Arial"/>
          <w:bCs/>
          <w:sz w:val="26"/>
          <w:szCs w:val="26"/>
          <w:lang w:val="es-ES" w:eastAsia="en-US"/>
        </w:rPr>
        <w:t xml:space="preserve"> porque esas manifestaciones </w:t>
      </w:r>
      <w:r>
        <w:rPr>
          <w:rFonts w:ascii="Arial" w:eastAsia="Calibri" w:hAnsi="Arial" w:cs="Arial"/>
          <w:bCs/>
          <w:sz w:val="26"/>
          <w:szCs w:val="26"/>
          <w:lang w:val="es-ES" w:eastAsia="en-US"/>
        </w:rPr>
        <w:t>de ninguna manera van encaminada</w:t>
      </w:r>
      <w:r w:rsidRPr="00B066F1">
        <w:rPr>
          <w:rFonts w:ascii="Arial" w:eastAsia="Calibri" w:hAnsi="Arial" w:cs="Arial"/>
          <w:bCs/>
          <w:sz w:val="26"/>
          <w:szCs w:val="26"/>
          <w:lang w:val="es-ES" w:eastAsia="en-US"/>
        </w:rPr>
        <w:t xml:space="preserve">s a controvertir las consideraciones principales de la sentencia </w:t>
      </w:r>
      <w:r>
        <w:rPr>
          <w:rFonts w:ascii="Arial" w:eastAsia="Calibri" w:hAnsi="Arial" w:cs="Arial"/>
          <w:bCs/>
          <w:sz w:val="26"/>
          <w:szCs w:val="26"/>
          <w:lang w:val="es-ES" w:eastAsia="en-US"/>
        </w:rPr>
        <w:t>en revisión</w:t>
      </w:r>
      <w:r w:rsidRPr="00B066F1">
        <w:rPr>
          <w:rFonts w:ascii="Arial" w:eastAsia="Calibri" w:hAnsi="Arial" w:cs="Arial"/>
          <w:bCs/>
          <w:sz w:val="26"/>
          <w:szCs w:val="26"/>
          <w:lang w:val="es-ES" w:eastAsia="en-US"/>
        </w:rPr>
        <w:t xml:space="preserve">, en la que la </w:t>
      </w:r>
      <w:r>
        <w:rPr>
          <w:rFonts w:ascii="Arial" w:eastAsia="Calibri" w:hAnsi="Arial" w:cs="Arial"/>
          <w:bCs/>
          <w:sz w:val="26"/>
          <w:szCs w:val="26"/>
          <w:lang w:val="es-ES" w:eastAsia="en-US"/>
        </w:rPr>
        <w:t>Sexta Sala U</w:t>
      </w:r>
      <w:r w:rsidRPr="00B066F1">
        <w:rPr>
          <w:rFonts w:ascii="Arial" w:eastAsia="Calibri" w:hAnsi="Arial" w:cs="Arial"/>
          <w:bCs/>
          <w:sz w:val="26"/>
          <w:szCs w:val="26"/>
          <w:lang w:val="es-ES" w:eastAsia="en-US"/>
        </w:rPr>
        <w:t xml:space="preserve">nitaria de Primera Instancia declaró la nulidad lisa y llana del acta de infracción con número de folio </w:t>
      </w:r>
      <w:r w:rsidR="00E13B48">
        <w:rPr>
          <w:rFonts w:ascii="Arial" w:eastAsia="Calibri" w:hAnsi="Arial" w:cs="Arial"/>
          <w:bCs/>
          <w:sz w:val="26"/>
          <w:szCs w:val="26"/>
          <w:lang w:val="es-ES" w:eastAsia="en-US"/>
        </w:rPr>
        <w:t>*******</w:t>
      </w:r>
      <w:r>
        <w:rPr>
          <w:rFonts w:ascii="Arial" w:eastAsia="Calibri" w:hAnsi="Arial" w:cs="Arial"/>
          <w:bCs/>
          <w:sz w:val="26"/>
          <w:szCs w:val="26"/>
          <w:lang w:val="es-ES" w:eastAsia="en-US"/>
        </w:rPr>
        <w:t xml:space="preserve"> de </w:t>
      </w:r>
      <w:r w:rsidR="004269A6">
        <w:rPr>
          <w:rFonts w:ascii="Arial" w:eastAsia="Calibri" w:hAnsi="Arial" w:cs="Arial"/>
          <w:bCs/>
          <w:sz w:val="26"/>
          <w:szCs w:val="26"/>
          <w:lang w:val="es-ES" w:eastAsia="en-US"/>
        </w:rPr>
        <w:t>doce</w:t>
      </w:r>
      <w:r>
        <w:rPr>
          <w:rFonts w:ascii="Arial" w:eastAsia="Calibri" w:hAnsi="Arial" w:cs="Arial"/>
          <w:bCs/>
          <w:sz w:val="26"/>
          <w:szCs w:val="26"/>
          <w:lang w:val="es-ES" w:eastAsia="en-US"/>
        </w:rPr>
        <w:t xml:space="preserve"> de </w:t>
      </w:r>
      <w:r w:rsidR="004269A6">
        <w:rPr>
          <w:rFonts w:ascii="Arial" w:eastAsia="Calibri" w:hAnsi="Arial" w:cs="Arial"/>
          <w:bCs/>
          <w:sz w:val="26"/>
          <w:szCs w:val="26"/>
          <w:lang w:val="es-ES" w:eastAsia="en-US"/>
        </w:rPr>
        <w:t>noviembre</w:t>
      </w:r>
      <w:r>
        <w:rPr>
          <w:rFonts w:ascii="Arial" w:eastAsia="Calibri" w:hAnsi="Arial" w:cs="Arial"/>
          <w:bCs/>
          <w:sz w:val="26"/>
          <w:szCs w:val="26"/>
          <w:lang w:val="es-ES" w:eastAsia="en-US"/>
        </w:rPr>
        <w:t xml:space="preserve"> de dos mil </w:t>
      </w:r>
      <w:r w:rsidR="004269A6">
        <w:rPr>
          <w:rFonts w:ascii="Arial" w:eastAsia="Calibri" w:hAnsi="Arial" w:cs="Arial"/>
          <w:bCs/>
          <w:sz w:val="26"/>
          <w:szCs w:val="26"/>
          <w:lang w:val="es-ES" w:eastAsia="en-US"/>
        </w:rPr>
        <w:t>veinte</w:t>
      </w:r>
      <w:r w:rsidRPr="00B066F1">
        <w:rPr>
          <w:rFonts w:ascii="Arial" w:eastAsia="Calibri" w:hAnsi="Arial" w:cs="Arial"/>
          <w:bCs/>
          <w:sz w:val="26"/>
          <w:szCs w:val="26"/>
          <w:vertAlign w:val="superscript"/>
          <w:lang w:val="es-ES" w:eastAsia="en-US"/>
        </w:rPr>
        <w:footnoteReference w:id="1"/>
      </w:r>
      <w:r w:rsidRPr="00B066F1">
        <w:rPr>
          <w:rFonts w:ascii="Arial" w:eastAsia="Calibri" w:hAnsi="Arial" w:cs="Arial"/>
          <w:bCs/>
          <w:sz w:val="26"/>
          <w:szCs w:val="26"/>
          <w:lang w:val="es-ES" w:eastAsia="en-US"/>
        </w:rPr>
        <w:t xml:space="preserve">, y era indispensable que planteara el recurrente, las razones por las cuales a su juicio, </w:t>
      </w:r>
      <w:r>
        <w:rPr>
          <w:rFonts w:ascii="Arial" w:eastAsia="Calibri" w:hAnsi="Arial" w:cs="Arial"/>
          <w:bCs/>
          <w:sz w:val="26"/>
          <w:szCs w:val="26"/>
          <w:lang w:val="es-ES" w:eastAsia="en-US"/>
        </w:rPr>
        <w:t>la Primera Instancia contravino el principio de congruencia cuando dictó la sentencia en revisión.</w:t>
      </w:r>
      <w:r w:rsidR="000E5A6B">
        <w:rPr>
          <w:rFonts w:ascii="Arial" w:eastAsia="Calibri" w:hAnsi="Arial" w:cs="Arial"/>
          <w:bCs/>
          <w:sz w:val="26"/>
          <w:szCs w:val="26"/>
          <w:lang w:val="es-ES" w:eastAsia="en-US"/>
        </w:rPr>
        <w:t xml:space="preserve"> - - - - - - </w:t>
      </w:r>
      <w:r w:rsidR="00E13B48">
        <w:rPr>
          <w:rFonts w:ascii="Arial" w:eastAsia="Calibri" w:hAnsi="Arial" w:cs="Arial"/>
          <w:bCs/>
          <w:sz w:val="26"/>
          <w:szCs w:val="26"/>
          <w:lang w:val="es-ES" w:eastAsia="en-US"/>
        </w:rPr>
        <w:t xml:space="preserve">- - - - - - - - - - - - - - - - - - </w:t>
      </w:r>
    </w:p>
    <w:p w14:paraId="1A98772D" w14:textId="77777777" w:rsidR="00F268B2" w:rsidRPr="00B066F1" w:rsidRDefault="00F268B2" w:rsidP="00F268B2">
      <w:pPr>
        <w:spacing w:before="240" w:line="360" w:lineRule="auto"/>
        <w:ind w:firstLine="708"/>
        <w:jc w:val="both"/>
        <w:rPr>
          <w:rFonts w:ascii="Arial" w:eastAsia="Calibri" w:hAnsi="Arial" w:cs="Arial"/>
          <w:bCs/>
          <w:sz w:val="26"/>
          <w:szCs w:val="26"/>
          <w:lang w:val="es-ES" w:eastAsia="en-US"/>
        </w:rPr>
      </w:pPr>
      <w:r w:rsidRPr="00B066F1">
        <w:rPr>
          <w:rFonts w:ascii="Arial" w:eastAsia="Calibri" w:hAnsi="Arial" w:cs="Arial"/>
          <w:bCs/>
          <w:sz w:val="26"/>
          <w:szCs w:val="26"/>
          <w:lang w:val="es-ES" w:eastAsia="en-US"/>
        </w:rPr>
        <w:t>Es aplicable al presente caso, la jurisprudencia IV.3o.J/12 emitida por el Tercer Tribunal Colegiado del Cuarto Circuito, visible en la Gaceta del Semanario Judicial de la Federación, perteneciente a la Octava Época, Septiembre de 1992, consultable a página 57, de rubro y texto siguientes:</w:t>
      </w:r>
    </w:p>
    <w:p w14:paraId="6620AFF8" w14:textId="77777777" w:rsidR="00F268B2" w:rsidRPr="00E670C0" w:rsidRDefault="00F268B2" w:rsidP="00F268B2">
      <w:pPr>
        <w:spacing w:before="240" w:line="360" w:lineRule="auto"/>
        <w:ind w:left="567" w:right="616"/>
        <w:jc w:val="both"/>
        <w:rPr>
          <w:rFonts w:ascii="Arial" w:eastAsia="Calibri" w:hAnsi="Arial" w:cs="Arial"/>
          <w:bCs/>
          <w:i/>
          <w:lang w:val="es-ES" w:eastAsia="en-US"/>
        </w:rPr>
      </w:pPr>
      <w:r w:rsidRPr="00B066F1">
        <w:rPr>
          <w:rFonts w:ascii="Arial" w:eastAsia="Calibri" w:hAnsi="Arial" w:cs="Arial"/>
          <w:bCs/>
          <w:i/>
          <w:lang w:val="es-ES" w:eastAsia="en-US"/>
        </w:rPr>
        <w:t>“</w:t>
      </w:r>
      <w:r w:rsidRPr="00B066F1">
        <w:rPr>
          <w:rFonts w:ascii="Arial" w:eastAsia="Calibri" w:hAnsi="Arial" w:cs="Arial"/>
          <w:b/>
          <w:bCs/>
          <w:i/>
          <w:lang w:val="es-ES" w:eastAsia="en-US"/>
        </w:rPr>
        <w:t>AGRAVIOS. DEBEN DE IMPUGNAR LA ILEGALIDAD DEL FALLO RECURRIDO.</w:t>
      </w:r>
      <w:r w:rsidRPr="00B066F1">
        <w:rPr>
          <w:rFonts w:ascii="Arial" w:eastAsia="Calibri" w:hAnsi="Arial" w:cs="Arial"/>
          <w:bCs/>
          <w:i/>
          <w:lang w:val="es-ES" w:eastAsia="en-US"/>
        </w:rPr>
        <w:t xml:space="preserve">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w:t>
      </w:r>
      <w:r>
        <w:rPr>
          <w:rFonts w:ascii="Arial" w:eastAsia="Calibri" w:hAnsi="Arial" w:cs="Arial"/>
          <w:bCs/>
          <w:i/>
          <w:lang w:val="es-ES" w:eastAsia="en-US"/>
        </w:rPr>
        <w:t xml:space="preserve"> </w:t>
      </w:r>
      <w:r w:rsidRPr="00B066F1">
        <w:rPr>
          <w:rFonts w:ascii="Arial" w:eastAsia="Calibri" w:hAnsi="Arial" w:cs="Arial"/>
          <w:bCs/>
          <w:i/>
          <w:lang w:val="es-ES" w:eastAsia="en-US"/>
        </w:rPr>
        <w:t>ilegalidad del fallo, señalando las violaciones que cometió la autoridad recurrida.”</w:t>
      </w:r>
    </w:p>
    <w:p w14:paraId="0F0BA6E5" w14:textId="34774E1E" w:rsidR="00F268B2" w:rsidRPr="000E5A6B" w:rsidRDefault="00F268B2" w:rsidP="000E5A6B">
      <w:pPr>
        <w:spacing w:before="240" w:line="360" w:lineRule="auto"/>
        <w:ind w:firstLine="708"/>
        <w:jc w:val="both"/>
        <w:rPr>
          <w:rFonts w:ascii="Arial" w:hAnsi="Arial" w:cs="Arial"/>
          <w:bCs/>
          <w:iCs/>
          <w:sz w:val="26"/>
          <w:szCs w:val="26"/>
        </w:rPr>
      </w:pPr>
      <w:r>
        <w:rPr>
          <w:rFonts w:ascii="Arial" w:eastAsia="Calibri" w:hAnsi="Arial" w:cs="Arial"/>
          <w:bCs/>
          <w:sz w:val="26"/>
          <w:szCs w:val="26"/>
        </w:rPr>
        <w:t xml:space="preserve">En otro fragmento del primer agravio, manifiesta que la sentencia recurrida le causa agravios a su investidura como Policía Vial del Municipio de Oaxaca de Juárez, ya que en primer término la citada infracción se encuentra debidamente fundada y motivada, razón por la cual emitió el acta de infracción con número de folio </w:t>
      </w:r>
      <w:r w:rsidR="00E13B48">
        <w:rPr>
          <w:rFonts w:ascii="Arial" w:eastAsia="Calibri" w:hAnsi="Arial" w:cs="Arial"/>
          <w:bCs/>
          <w:sz w:val="26"/>
          <w:szCs w:val="26"/>
        </w:rPr>
        <w:t>*******</w:t>
      </w:r>
      <w:r>
        <w:rPr>
          <w:rFonts w:ascii="Arial" w:eastAsia="Calibri" w:hAnsi="Arial" w:cs="Arial"/>
          <w:bCs/>
          <w:sz w:val="26"/>
          <w:szCs w:val="26"/>
        </w:rPr>
        <w:t xml:space="preserve">, de </w:t>
      </w:r>
      <w:r w:rsidR="004269A6">
        <w:rPr>
          <w:rFonts w:ascii="Arial" w:eastAsia="Calibri" w:hAnsi="Arial" w:cs="Arial"/>
          <w:bCs/>
          <w:sz w:val="26"/>
          <w:szCs w:val="26"/>
        </w:rPr>
        <w:t>doce</w:t>
      </w:r>
      <w:r>
        <w:rPr>
          <w:rFonts w:ascii="Arial" w:eastAsia="Calibri" w:hAnsi="Arial" w:cs="Arial"/>
          <w:bCs/>
          <w:sz w:val="26"/>
          <w:szCs w:val="26"/>
        </w:rPr>
        <w:t xml:space="preserve"> de </w:t>
      </w:r>
      <w:r w:rsidR="004269A6">
        <w:rPr>
          <w:rFonts w:ascii="Arial" w:eastAsia="Calibri" w:hAnsi="Arial" w:cs="Arial"/>
          <w:bCs/>
          <w:sz w:val="26"/>
          <w:szCs w:val="26"/>
        </w:rPr>
        <w:t>noviembre</w:t>
      </w:r>
      <w:r>
        <w:rPr>
          <w:rFonts w:ascii="Arial" w:eastAsia="Calibri" w:hAnsi="Arial" w:cs="Arial"/>
          <w:bCs/>
          <w:sz w:val="26"/>
          <w:szCs w:val="26"/>
        </w:rPr>
        <w:t xml:space="preserve"> de dos mil ve</w:t>
      </w:r>
      <w:r w:rsidR="004269A6">
        <w:rPr>
          <w:rFonts w:ascii="Arial" w:eastAsia="Calibri" w:hAnsi="Arial" w:cs="Arial"/>
          <w:bCs/>
          <w:sz w:val="26"/>
          <w:szCs w:val="26"/>
        </w:rPr>
        <w:t>inte</w:t>
      </w:r>
      <w:r>
        <w:rPr>
          <w:rFonts w:ascii="Arial" w:eastAsia="Calibri" w:hAnsi="Arial" w:cs="Arial"/>
          <w:bCs/>
          <w:sz w:val="26"/>
          <w:szCs w:val="26"/>
        </w:rPr>
        <w:t xml:space="preserve">, ya que afirma que en la misma se encuentran plasmados los artículos </w:t>
      </w:r>
      <w:r w:rsidR="004269A6">
        <w:rPr>
          <w:rFonts w:ascii="Arial" w:eastAsia="Calibri" w:hAnsi="Arial" w:cs="Arial"/>
          <w:bCs/>
          <w:sz w:val="26"/>
          <w:szCs w:val="26"/>
        </w:rPr>
        <w:t>59</w:t>
      </w:r>
      <w:r>
        <w:rPr>
          <w:rFonts w:ascii="Arial" w:eastAsia="Calibri" w:hAnsi="Arial" w:cs="Arial"/>
          <w:bCs/>
          <w:sz w:val="26"/>
          <w:szCs w:val="26"/>
        </w:rPr>
        <w:t xml:space="preserve">, fracción </w:t>
      </w:r>
      <w:r w:rsidR="004269A6">
        <w:rPr>
          <w:rFonts w:ascii="Arial" w:eastAsia="Calibri" w:hAnsi="Arial" w:cs="Arial"/>
          <w:bCs/>
          <w:sz w:val="26"/>
          <w:szCs w:val="26"/>
        </w:rPr>
        <w:t>VI</w:t>
      </w:r>
      <w:r>
        <w:rPr>
          <w:rFonts w:ascii="Arial" w:eastAsia="Calibri" w:hAnsi="Arial" w:cs="Arial"/>
          <w:bCs/>
          <w:sz w:val="26"/>
          <w:szCs w:val="26"/>
        </w:rPr>
        <w:t xml:space="preserve"> y</w:t>
      </w:r>
      <w:r w:rsidR="004269A6">
        <w:rPr>
          <w:rFonts w:ascii="Arial" w:eastAsia="Calibri" w:hAnsi="Arial" w:cs="Arial"/>
          <w:bCs/>
          <w:sz w:val="26"/>
          <w:szCs w:val="26"/>
        </w:rPr>
        <w:t xml:space="preserve"> 60, fracción XVIII</w:t>
      </w:r>
      <w:r>
        <w:rPr>
          <w:rFonts w:ascii="Arial" w:eastAsia="Calibri" w:hAnsi="Arial" w:cs="Arial"/>
          <w:bCs/>
          <w:sz w:val="26"/>
          <w:szCs w:val="26"/>
        </w:rPr>
        <w:t xml:space="preserve"> del Reglamento de Vialidad para el Municipio de Oaxaca de Juárez,  ya </w:t>
      </w:r>
      <w:r>
        <w:rPr>
          <w:rFonts w:ascii="Arial" w:eastAsia="Calibri" w:hAnsi="Arial" w:cs="Arial"/>
          <w:bCs/>
          <w:sz w:val="26"/>
          <w:szCs w:val="26"/>
        </w:rPr>
        <w:lastRenderedPageBreak/>
        <w:t xml:space="preserve">que prevén la conducta ilegal del infractor, ordenamiento jurídico de orden público y de carácter obligatorio, y que tal como lo reza el principio general de derecho </w:t>
      </w:r>
      <w:r w:rsidRPr="009E70B7">
        <w:rPr>
          <w:rFonts w:ascii="Arial" w:eastAsia="Calibri" w:hAnsi="Arial" w:cs="Arial"/>
          <w:bCs/>
          <w:i/>
          <w:iCs/>
          <w:sz w:val="26"/>
          <w:szCs w:val="26"/>
        </w:rPr>
        <w:t>“la ignorancia de la ley, no exime de su cumplimiento”</w:t>
      </w:r>
      <w:r>
        <w:rPr>
          <w:rFonts w:ascii="Arial" w:eastAsia="Calibri" w:hAnsi="Arial" w:cs="Arial"/>
          <w:bCs/>
          <w:sz w:val="26"/>
          <w:szCs w:val="26"/>
        </w:rPr>
        <w:t>, el efecto de cometerse una infracción prevista en el mismo, se hace acreedor a una sanción; y en el caso que les ocupa, el infractor debió ser acreedor a una multa, que resulta ser la consecuencia de su conducta ilegal, de lo que se desprende la i</w:t>
      </w:r>
      <w:r w:rsidR="00B132F0">
        <w:rPr>
          <w:rFonts w:ascii="Arial" w:eastAsia="Calibri" w:hAnsi="Arial" w:cs="Arial"/>
          <w:bCs/>
          <w:sz w:val="26"/>
          <w:szCs w:val="26"/>
        </w:rPr>
        <w:t>legalidad de la multa impuesta, transcribe los artículos 16, 59, 60, 130, del Reglamento de Vialidad para el Municipio de Oaxaca de Juárez.</w:t>
      </w:r>
      <w:r w:rsidR="000E5A6B">
        <w:rPr>
          <w:rFonts w:ascii="Arial" w:eastAsia="Calibri" w:hAnsi="Arial" w:cs="Arial"/>
          <w:bCs/>
          <w:sz w:val="26"/>
          <w:szCs w:val="26"/>
        </w:rPr>
        <w:t xml:space="preserve"> </w:t>
      </w:r>
      <w:r w:rsidR="000E5A6B" w:rsidRPr="000E5A6B">
        <w:rPr>
          <w:rFonts w:ascii="Arial" w:hAnsi="Arial" w:cs="Arial"/>
          <w:iCs/>
          <w:sz w:val="26"/>
          <w:szCs w:val="26"/>
        </w:rPr>
        <w:t xml:space="preserve">- - - - - - - - - - - - - - - - - </w:t>
      </w:r>
    </w:p>
    <w:p w14:paraId="4D0E64F3" w14:textId="6F552EA6" w:rsidR="00F268B2" w:rsidRDefault="00F268B2" w:rsidP="00F268B2">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Refiere que se citaron en el acta de infracción, las circunstancias de modo, tiempo y lugar, por lo que resulta suficiente para cumplir con el requisito de fundamentación y motivación, que exige el artículo 17, fracción V, de la Ley de Procedimiento y Justicia Administrativa para el Estado de Oaxaca.</w:t>
      </w:r>
      <w:r w:rsidR="000E5A6B">
        <w:rPr>
          <w:rFonts w:ascii="Arial" w:eastAsia="Calibri" w:hAnsi="Arial" w:cs="Arial"/>
          <w:bCs/>
          <w:sz w:val="26"/>
          <w:szCs w:val="26"/>
        </w:rPr>
        <w:t xml:space="preserve"> </w:t>
      </w:r>
      <w:r w:rsidR="000E5A6B" w:rsidRPr="000E5A6B">
        <w:rPr>
          <w:rFonts w:ascii="Arial" w:hAnsi="Arial" w:cs="Arial"/>
          <w:iCs/>
          <w:sz w:val="26"/>
          <w:szCs w:val="26"/>
        </w:rPr>
        <w:t>- - - - - - - - - - - - - - - - -</w:t>
      </w:r>
      <w:r w:rsidR="000E5A6B">
        <w:rPr>
          <w:rFonts w:ascii="Arial" w:hAnsi="Arial" w:cs="Arial"/>
          <w:iCs/>
          <w:sz w:val="26"/>
          <w:szCs w:val="26"/>
        </w:rPr>
        <w:t xml:space="preserve"> </w:t>
      </w:r>
      <w:r w:rsidR="000E5A6B" w:rsidRPr="000E5A6B">
        <w:rPr>
          <w:rFonts w:ascii="Arial" w:hAnsi="Arial" w:cs="Arial"/>
          <w:iCs/>
          <w:sz w:val="26"/>
          <w:szCs w:val="26"/>
        </w:rPr>
        <w:t>- - - - - - - - - - - - - - - - -</w:t>
      </w:r>
      <w:r w:rsidR="000E5A6B">
        <w:rPr>
          <w:rFonts w:ascii="Arial" w:hAnsi="Arial" w:cs="Arial"/>
          <w:iCs/>
          <w:sz w:val="26"/>
          <w:szCs w:val="26"/>
        </w:rPr>
        <w:t xml:space="preserve"> - - - -</w:t>
      </w:r>
    </w:p>
    <w:p w14:paraId="3C439C3D" w14:textId="6C615B98" w:rsidR="00F268B2" w:rsidRDefault="00F268B2" w:rsidP="00F268B2">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Hace mención que los fundamentos jurídicos que sirvieron para emitir la infracción, están previstos tanto en el Reglamento de Vialidad del Municipio de Oaxaca de Juárez, como en el Bando de Policía y Gobierno del Municipio de Oaxaca de Juárez y Ley de Ingresos del Municipio de Oaxaca de Juárez, por lo cual precisa que, si bien es cierto que el artículo 16 Constitucional, establece la obligación para las autoridades, de fundar y motivar sus actos. </w:t>
      </w:r>
      <w:r w:rsidR="009E70B7">
        <w:rPr>
          <w:rFonts w:ascii="Arial" w:eastAsia="Calibri" w:hAnsi="Arial" w:cs="Arial"/>
          <w:bCs/>
          <w:sz w:val="26"/>
          <w:szCs w:val="26"/>
        </w:rPr>
        <w:t>- - - - - - - - - - - - - - - - - - - - -</w:t>
      </w:r>
    </w:p>
    <w:p w14:paraId="5075DF56" w14:textId="09622C3C" w:rsidR="00F268B2" w:rsidRPr="00D10F11" w:rsidRDefault="00F268B2" w:rsidP="00F268B2">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Alega el recurrente que en el acta de infracción número </w:t>
      </w:r>
      <w:r w:rsidR="00E13B48">
        <w:rPr>
          <w:rFonts w:ascii="Arial" w:eastAsia="Calibri" w:hAnsi="Arial" w:cs="Arial"/>
          <w:bCs/>
          <w:sz w:val="26"/>
          <w:szCs w:val="26"/>
        </w:rPr>
        <w:t>*******</w:t>
      </w:r>
      <w:r>
        <w:rPr>
          <w:rFonts w:ascii="Arial" w:eastAsia="Calibri" w:hAnsi="Arial" w:cs="Arial"/>
          <w:bCs/>
          <w:sz w:val="26"/>
          <w:szCs w:val="26"/>
        </w:rPr>
        <w:t xml:space="preserve"> de </w:t>
      </w:r>
      <w:r w:rsidR="00B132F0">
        <w:rPr>
          <w:rFonts w:ascii="Arial" w:eastAsia="Calibri" w:hAnsi="Arial" w:cs="Arial"/>
          <w:bCs/>
          <w:sz w:val="26"/>
          <w:szCs w:val="26"/>
        </w:rPr>
        <w:t>doce</w:t>
      </w:r>
      <w:r>
        <w:rPr>
          <w:rFonts w:ascii="Arial" w:eastAsia="Calibri" w:hAnsi="Arial" w:cs="Arial"/>
          <w:bCs/>
          <w:sz w:val="26"/>
          <w:szCs w:val="26"/>
        </w:rPr>
        <w:t xml:space="preserve"> de </w:t>
      </w:r>
      <w:r w:rsidR="00B132F0">
        <w:rPr>
          <w:rFonts w:ascii="Arial" w:eastAsia="Calibri" w:hAnsi="Arial" w:cs="Arial"/>
          <w:bCs/>
          <w:sz w:val="26"/>
          <w:szCs w:val="26"/>
        </w:rPr>
        <w:t>noviembre</w:t>
      </w:r>
      <w:r>
        <w:rPr>
          <w:rFonts w:ascii="Arial" w:eastAsia="Calibri" w:hAnsi="Arial" w:cs="Arial"/>
          <w:bCs/>
          <w:sz w:val="26"/>
          <w:szCs w:val="26"/>
        </w:rPr>
        <w:t xml:space="preserve"> de dos mil </w:t>
      </w:r>
      <w:r w:rsidR="00B132F0">
        <w:rPr>
          <w:rFonts w:ascii="Arial" w:eastAsia="Calibri" w:hAnsi="Arial" w:cs="Arial"/>
          <w:bCs/>
          <w:sz w:val="26"/>
          <w:szCs w:val="26"/>
        </w:rPr>
        <w:t>veinte</w:t>
      </w:r>
      <w:r>
        <w:rPr>
          <w:rFonts w:ascii="Arial" w:eastAsia="Calibri" w:hAnsi="Arial" w:cs="Arial"/>
          <w:bCs/>
          <w:sz w:val="26"/>
          <w:szCs w:val="26"/>
        </w:rPr>
        <w:t xml:space="preserve">, se indicaron claramente los motivos que la originaron y que fueron del conocimiento del infractor </w:t>
      </w:r>
      <w:r w:rsidR="00E13B48">
        <w:rPr>
          <w:rFonts w:ascii="Arial" w:eastAsia="Calibri" w:hAnsi="Arial" w:cs="Arial"/>
          <w:bCs/>
          <w:sz w:val="26"/>
          <w:szCs w:val="26"/>
        </w:rPr>
        <w:t>*******</w:t>
      </w:r>
      <w:r>
        <w:rPr>
          <w:rFonts w:ascii="Arial" w:eastAsia="Calibri" w:hAnsi="Arial" w:cs="Arial"/>
          <w:bCs/>
          <w:sz w:val="26"/>
          <w:szCs w:val="26"/>
        </w:rPr>
        <w:t xml:space="preserve">, que fue </w:t>
      </w:r>
      <w:r w:rsidR="00B132F0" w:rsidRPr="009E70B7">
        <w:rPr>
          <w:rFonts w:ascii="Arial" w:eastAsia="Calibri" w:hAnsi="Arial" w:cs="Arial"/>
          <w:bCs/>
          <w:i/>
          <w:iCs/>
          <w:sz w:val="26"/>
          <w:szCs w:val="26"/>
        </w:rPr>
        <w:t>“</w:t>
      </w:r>
      <w:r w:rsidRPr="009E70B7">
        <w:rPr>
          <w:rFonts w:ascii="Arial" w:eastAsia="Calibri" w:hAnsi="Arial" w:cs="Arial"/>
          <w:bCs/>
          <w:i/>
          <w:iCs/>
          <w:sz w:val="26"/>
          <w:szCs w:val="26"/>
        </w:rPr>
        <w:t>por</w:t>
      </w:r>
      <w:r w:rsidR="00B132F0" w:rsidRPr="009E70B7">
        <w:rPr>
          <w:rFonts w:ascii="Arial" w:eastAsia="Calibri" w:hAnsi="Arial" w:cs="Arial"/>
          <w:bCs/>
          <w:i/>
          <w:iCs/>
          <w:sz w:val="26"/>
          <w:szCs w:val="26"/>
        </w:rPr>
        <w:t xml:space="preserve"> no utilizar el conductor y los pasajeros los cinturones de seguridad siempre que el </w:t>
      </w:r>
      <w:r w:rsidR="009E70B7" w:rsidRPr="009E70B7">
        <w:rPr>
          <w:rFonts w:ascii="Arial" w:eastAsia="Calibri" w:hAnsi="Arial" w:cs="Arial"/>
          <w:bCs/>
          <w:i/>
          <w:iCs/>
          <w:sz w:val="26"/>
          <w:szCs w:val="26"/>
        </w:rPr>
        <w:t>vehículo</w:t>
      </w:r>
      <w:r w:rsidR="00B132F0" w:rsidRPr="009E70B7">
        <w:rPr>
          <w:rFonts w:ascii="Arial" w:eastAsia="Calibri" w:hAnsi="Arial" w:cs="Arial"/>
          <w:bCs/>
          <w:i/>
          <w:iCs/>
          <w:sz w:val="26"/>
          <w:szCs w:val="26"/>
        </w:rPr>
        <w:t xml:space="preserve"> los traiga de origen y por usar teléfonos celulares o cualquier otro dispositivo de telecomunicación mientras se conduce”</w:t>
      </w:r>
      <w:r>
        <w:rPr>
          <w:rFonts w:ascii="Arial" w:eastAsia="Calibri" w:hAnsi="Arial" w:cs="Arial"/>
          <w:bCs/>
          <w:sz w:val="26"/>
          <w:szCs w:val="26"/>
        </w:rPr>
        <w:t xml:space="preserve"> e indicó como fundamentación el artículo </w:t>
      </w:r>
      <w:r w:rsidR="00B132F0">
        <w:rPr>
          <w:rFonts w:ascii="Arial" w:eastAsia="Calibri" w:hAnsi="Arial" w:cs="Arial"/>
          <w:bCs/>
          <w:sz w:val="26"/>
          <w:szCs w:val="26"/>
        </w:rPr>
        <w:t xml:space="preserve">59, </w:t>
      </w:r>
      <w:r>
        <w:rPr>
          <w:rFonts w:ascii="Arial" w:eastAsia="Calibri" w:hAnsi="Arial" w:cs="Arial"/>
          <w:bCs/>
          <w:sz w:val="26"/>
          <w:szCs w:val="26"/>
        </w:rPr>
        <w:t xml:space="preserve">fracción </w:t>
      </w:r>
      <w:r w:rsidR="00B132F0">
        <w:rPr>
          <w:rFonts w:ascii="Arial" w:eastAsia="Calibri" w:hAnsi="Arial" w:cs="Arial"/>
          <w:bCs/>
          <w:sz w:val="26"/>
          <w:szCs w:val="26"/>
        </w:rPr>
        <w:t>X</w:t>
      </w:r>
      <w:r>
        <w:rPr>
          <w:rFonts w:ascii="Arial" w:eastAsia="Calibri" w:hAnsi="Arial" w:cs="Arial"/>
          <w:bCs/>
          <w:sz w:val="26"/>
          <w:szCs w:val="26"/>
        </w:rPr>
        <w:t xml:space="preserve">I y </w:t>
      </w:r>
      <w:r w:rsidR="00B132F0">
        <w:rPr>
          <w:rFonts w:ascii="Arial" w:eastAsia="Calibri" w:hAnsi="Arial" w:cs="Arial"/>
          <w:bCs/>
          <w:sz w:val="26"/>
          <w:szCs w:val="26"/>
        </w:rPr>
        <w:t xml:space="preserve">60, fracción XVIII, </w:t>
      </w:r>
      <w:r>
        <w:rPr>
          <w:rFonts w:ascii="Arial" w:eastAsia="Calibri" w:hAnsi="Arial" w:cs="Arial"/>
          <w:bCs/>
          <w:sz w:val="26"/>
          <w:szCs w:val="26"/>
        </w:rPr>
        <w:t>del Reglamento de Vialidad, sin que la Primera Instancia lo haya tomado en cuenta, por tal razón, es claro que no hizo una valoración correcta de las pruebas que obran en autos, que cumple con los requisitos de validez que debe contener todo acto de autoridad, en términos de lo dispuesto por el artículo 17 de la Ley de Procedimiento y Justicia Admi</w:t>
      </w:r>
      <w:r w:rsidR="00B132F0">
        <w:rPr>
          <w:rFonts w:ascii="Arial" w:eastAsia="Calibri" w:hAnsi="Arial" w:cs="Arial"/>
          <w:bCs/>
          <w:sz w:val="26"/>
          <w:szCs w:val="26"/>
        </w:rPr>
        <w:t>nistrativa del Estado de Oaxaca e</w:t>
      </w:r>
      <w:r>
        <w:rPr>
          <w:rFonts w:ascii="Arial" w:eastAsia="Calibri" w:hAnsi="Arial" w:cs="Arial"/>
          <w:bCs/>
          <w:sz w:val="26"/>
          <w:szCs w:val="26"/>
        </w:rPr>
        <w:t xml:space="preserve"> invoca la tesis de rubro siguiente:</w:t>
      </w:r>
      <w:r>
        <w:rPr>
          <w:rFonts w:ascii="Arial" w:eastAsia="Calibri" w:hAnsi="Arial" w:cs="Arial"/>
          <w:b/>
          <w:bCs/>
          <w:sz w:val="26"/>
          <w:szCs w:val="26"/>
        </w:rPr>
        <w:t xml:space="preserve"> </w:t>
      </w:r>
      <w:r w:rsidRPr="009E70B7">
        <w:rPr>
          <w:rFonts w:ascii="Arial" w:eastAsia="Calibri" w:hAnsi="Arial" w:cs="Arial"/>
          <w:b/>
          <w:bCs/>
          <w:i/>
          <w:iCs/>
          <w:sz w:val="26"/>
          <w:szCs w:val="26"/>
        </w:rPr>
        <w:t xml:space="preserve">“FUNDAMENTACIÓN Y MOTIVACIÓN. VIOLACIÓN FORMAL Y MATERIAL.” </w:t>
      </w:r>
      <w:r w:rsidR="009E70B7" w:rsidRPr="009E70B7">
        <w:rPr>
          <w:rFonts w:ascii="Arial" w:eastAsia="Calibri" w:hAnsi="Arial" w:cs="Arial"/>
          <w:sz w:val="26"/>
          <w:szCs w:val="26"/>
        </w:rPr>
        <w:t xml:space="preserve">- - - - - - - - - - - - - - - - - - - - - - - - </w:t>
      </w:r>
    </w:p>
    <w:p w14:paraId="5505D67C" w14:textId="292AA7F6" w:rsidR="00F268B2" w:rsidRDefault="00F268B2" w:rsidP="00F268B2">
      <w:pPr>
        <w:widowControl w:val="0"/>
        <w:tabs>
          <w:tab w:val="left" w:pos="0"/>
        </w:tabs>
        <w:spacing w:before="240" w:after="0" w:line="360" w:lineRule="auto"/>
        <w:ind w:right="18"/>
        <w:jc w:val="both"/>
        <w:rPr>
          <w:rFonts w:ascii="Arial" w:eastAsia="Calibri" w:hAnsi="Arial" w:cs="Arial"/>
          <w:b/>
          <w:bCs/>
          <w:sz w:val="26"/>
          <w:szCs w:val="26"/>
        </w:rPr>
      </w:pPr>
      <w:r>
        <w:rPr>
          <w:rFonts w:ascii="Arial" w:eastAsia="Calibri" w:hAnsi="Arial" w:cs="Arial"/>
          <w:b/>
          <w:bCs/>
          <w:sz w:val="26"/>
          <w:szCs w:val="26"/>
        </w:rPr>
        <w:lastRenderedPageBreak/>
        <w:tab/>
      </w:r>
      <w:r>
        <w:rPr>
          <w:rFonts w:ascii="Arial" w:eastAsia="Calibri" w:hAnsi="Arial" w:cs="Arial"/>
          <w:bCs/>
          <w:sz w:val="26"/>
          <w:szCs w:val="26"/>
        </w:rPr>
        <w:t xml:space="preserve">En su </w:t>
      </w:r>
      <w:r w:rsidRPr="00E670C0">
        <w:rPr>
          <w:rFonts w:ascii="Arial" w:eastAsia="Calibri" w:hAnsi="Arial" w:cs="Arial"/>
          <w:b/>
          <w:bCs/>
          <w:sz w:val="26"/>
          <w:szCs w:val="26"/>
        </w:rPr>
        <w:t>segundo agravio</w:t>
      </w:r>
      <w:r>
        <w:rPr>
          <w:rFonts w:ascii="Arial" w:eastAsia="Calibri" w:hAnsi="Arial" w:cs="Arial"/>
          <w:bCs/>
          <w:sz w:val="26"/>
          <w:szCs w:val="26"/>
        </w:rPr>
        <w:t xml:space="preserve">, señala que la motivación del acta de infracción fue la correcta y los preceptos legales citados, son aplicables al caso particular, es por ello, que de ninguna manera se dejó al administrado en estado de indefensión, dado que se señalaron los motivos, circunstancias especiales o razones particulares para determinar la conducta ilegal del infractor, ya que la falta administrativa plasmada en la misma, así como lo establecen los artículos invocados por el recurrente como Policía Vial del Municipio de Oaxaca de Juárez, son elementos que resultan suficientes para cumplir con los requisitos de fundamentación y motivación, previsto por el artículo 17, fracción V, de la Ley de Procedimiento y Justicia Administrativa para el Estado de Oaxaca, sostiene que la sentencia que se recurre, fue dictada en contravención al artículo 207, fracción II, de la Ley en cita, invoca la tesis </w:t>
      </w:r>
      <w:proofErr w:type="gramStart"/>
      <w:r>
        <w:rPr>
          <w:rFonts w:ascii="Arial" w:eastAsia="Calibri" w:hAnsi="Arial" w:cs="Arial"/>
          <w:bCs/>
          <w:sz w:val="26"/>
          <w:szCs w:val="26"/>
        </w:rPr>
        <w:t>de</w:t>
      </w:r>
      <w:proofErr w:type="gramEnd"/>
      <w:r>
        <w:rPr>
          <w:rFonts w:ascii="Arial" w:eastAsia="Calibri" w:hAnsi="Arial" w:cs="Arial"/>
          <w:bCs/>
          <w:sz w:val="26"/>
          <w:szCs w:val="26"/>
        </w:rPr>
        <w:t xml:space="preserve"> rubro siguiente:</w:t>
      </w:r>
      <w:r>
        <w:rPr>
          <w:rFonts w:ascii="Arial" w:eastAsia="Calibri" w:hAnsi="Arial" w:cs="Arial"/>
          <w:b/>
          <w:bCs/>
          <w:sz w:val="26"/>
          <w:szCs w:val="26"/>
        </w:rPr>
        <w:t xml:space="preserve"> </w:t>
      </w:r>
      <w:r w:rsidRPr="009E70B7">
        <w:rPr>
          <w:rFonts w:ascii="Arial" w:eastAsia="Calibri" w:hAnsi="Arial" w:cs="Arial"/>
          <w:b/>
          <w:bCs/>
          <w:i/>
          <w:iCs/>
          <w:sz w:val="26"/>
          <w:szCs w:val="26"/>
        </w:rPr>
        <w:t>“NULIDAD. REGLAS PARA SU DETERMINACIÓN EN EL JUICIO CONTENCIOSO ADMINISTRATIVO EN EL DISTRITO FEDERAL.”, “FUNDAMENTACIÓN Y MOTIVACIÓN, FALTA O INDEBIDA. EN CUANTO SON DISTINTAS, UNAS GENERAN NULIDAD LISA Y LLANA Y OTRAS PARA EFECTOS.”</w:t>
      </w:r>
      <w:r w:rsidR="009E70B7">
        <w:rPr>
          <w:rFonts w:ascii="Arial" w:eastAsia="Calibri" w:hAnsi="Arial" w:cs="Arial"/>
          <w:b/>
          <w:bCs/>
          <w:i/>
          <w:iCs/>
          <w:sz w:val="26"/>
          <w:szCs w:val="26"/>
        </w:rPr>
        <w:t xml:space="preserve"> </w:t>
      </w:r>
      <w:r w:rsidR="009E70B7" w:rsidRPr="009E70B7">
        <w:rPr>
          <w:rFonts w:ascii="Arial" w:eastAsia="Calibri" w:hAnsi="Arial" w:cs="Arial"/>
          <w:sz w:val="26"/>
          <w:szCs w:val="26"/>
        </w:rPr>
        <w:t>- - - - - - - - - -</w:t>
      </w:r>
      <w:r w:rsidR="009E70B7">
        <w:rPr>
          <w:rFonts w:ascii="Arial" w:eastAsia="Calibri" w:hAnsi="Arial" w:cs="Arial"/>
          <w:b/>
          <w:bCs/>
          <w:i/>
          <w:iCs/>
          <w:sz w:val="26"/>
          <w:szCs w:val="26"/>
        </w:rPr>
        <w:t xml:space="preserve"> </w:t>
      </w:r>
    </w:p>
    <w:p w14:paraId="5C0230A2" w14:textId="77777777" w:rsidR="00F268B2" w:rsidRPr="00E95D19" w:rsidRDefault="00F268B2" w:rsidP="00F268B2">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
          <w:bCs/>
          <w:sz w:val="26"/>
          <w:szCs w:val="26"/>
        </w:rPr>
        <w:tab/>
      </w:r>
      <w:r>
        <w:rPr>
          <w:rFonts w:ascii="Arial" w:eastAsia="Calibri" w:hAnsi="Arial" w:cs="Arial"/>
          <w:bCs/>
          <w:sz w:val="26"/>
          <w:szCs w:val="26"/>
        </w:rPr>
        <w:t xml:space="preserve">Concluye sus agravios manifestando que como Policía Vial Municipal, procedió de acuerdo a las facultades previstas en los diversos ordenamientos jurídicos indicados, los cuales le autorizan al infraccionar al actor y hacer acreedor a una sanción pecuniaria, al haber incumplido con lo preceptuado en los mismos, siendo las razones suficientes, para tener por cumplidos los requisitos de fundamentación y motivación, previstos por el artículo 17, fracción V, de la Ley de Procedimiento y Justicia Administrativa para el Estado de Oaxaca, asimismo este tipo de infracción por pasarse la luz roja o ámbar del semáforo se considera grave, por atentar o poner en riesgo la vida, la salud, la integridad física o el patrimonio propio o de terceras personas.    </w:t>
      </w:r>
    </w:p>
    <w:p w14:paraId="5B108BAB" w14:textId="2D190A26" w:rsidR="00F268B2" w:rsidRPr="00A21B79" w:rsidRDefault="00F268B2" w:rsidP="009E70B7">
      <w:pPr>
        <w:widowControl w:val="0"/>
        <w:tabs>
          <w:tab w:val="left" w:pos="0"/>
        </w:tabs>
        <w:spacing w:before="240" w:line="360" w:lineRule="auto"/>
        <w:ind w:right="18"/>
        <w:jc w:val="both"/>
        <w:rPr>
          <w:rFonts w:ascii="Arial" w:eastAsia="Calibri" w:hAnsi="Arial" w:cs="Arial"/>
          <w:bCs/>
          <w:sz w:val="26"/>
          <w:szCs w:val="26"/>
        </w:rPr>
      </w:pPr>
      <w:r>
        <w:rPr>
          <w:rFonts w:ascii="Arial" w:eastAsia="Calibri" w:hAnsi="Arial" w:cs="Arial"/>
          <w:bCs/>
          <w:sz w:val="26"/>
          <w:szCs w:val="26"/>
        </w:rPr>
        <w:tab/>
      </w:r>
      <w:r w:rsidRPr="00A21B79">
        <w:rPr>
          <w:rFonts w:ascii="Arial" w:eastAsia="Calibri" w:hAnsi="Arial" w:cs="Arial"/>
          <w:bCs/>
          <w:iCs/>
          <w:sz w:val="26"/>
          <w:szCs w:val="26"/>
          <w:lang w:val="es-ES" w:eastAsia="en-US"/>
        </w:rPr>
        <w:t xml:space="preserve">Estos argumentos son </w:t>
      </w:r>
      <w:r w:rsidRPr="00A21B79">
        <w:rPr>
          <w:rFonts w:ascii="Arial" w:eastAsia="Calibri" w:hAnsi="Arial" w:cs="Arial"/>
          <w:b/>
          <w:bCs/>
          <w:iCs/>
          <w:sz w:val="26"/>
          <w:szCs w:val="26"/>
          <w:lang w:val="es-ES" w:eastAsia="en-US"/>
        </w:rPr>
        <w:t>INOPERANTES</w:t>
      </w:r>
      <w:r w:rsidRPr="00A21B79">
        <w:rPr>
          <w:rFonts w:ascii="Arial" w:eastAsia="Calibri" w:hAnsi="Arial" w:cs="Arial"/>
          <w:bCs/>
          <w:iCs/>
          <w:sz w:val="26"/>
          <w:szCs w:val="26"/>
          <w:lang w:val="es-ES" w:eastAsia="en-US"/>
        </w:rPr>
        <w:t>, ya que se advierte que tratan de complementar la defensa de los elementos y requisitos de validez del acto impugnado, relativos a la fundamentación y motivación, expresados por la autoridad en el oficio de contestación, mismos que no pueden ser tomados en cuenta como agravios en segunda instancia, porque l</w:t>
      </w:r>
      <w:r w:rsidRPr="00A21B79">
        <w:rPr>
          <w:rFonts w:ascii="Arial" w:eastAsia="Calibri" w:hAnsi="Arial" w:cs="Arial"/>
          <w:bCs/>
          <w:sz w:val="26"/>
          <w:szCs w:val="26"/>
          <w:lang w:eastAsia="en-US"/>
        </w:rPr>
        <w:t xml:space="preserve">a autoridad recurrente debió expresar ese argumento al momento de formular su oficio de contestación de demanda, ya que </w:t>
      </w:r>
      <w:r w:rsidRPr="00A21B79">
        <w:rPr>
          <w:rFonts w:ascii="Arial" w:eastAsia="Calibri" w:hAnsi="Arial" w:cs="Arial"/>
          <w:bCs/>
          <w:sz w:val="26"/>
          <w:szCs w:val="26"/>
          <w:lang w:eastAsia="en-US"/>
        </w:rPr>
        <w:lastRenderedPageBreak/>
        <w:t>desde que fue emplazado a juicio, era conocedor de todos</w:t>
      </w:r>
      <w:r>
        <w:rPr>
          <w:rFonts w:ascii="Arial" w:eastAsia="Calibri" w:hAnsi="Arial" w:cs="Arial"/>
          <w:bCs/>
          <w:sz w:val="26"/>
          <w:szCs w:val="26"/>
          <w:lang w:eastAsia="en-US"/>
        </w:rPr>
        <w:t xml:space="preserve"> los elementos para formular la defensa del acto impugnado a través de su contestación de demanda</w:t>
      </w:r>
      <w:r w:rsidRPr="00A21B79">
        <w:rPr>
          <w:rFonts w:ascii="Arial" w:eastAsia="Calibri" w:hAnsi="Arial" w:cs="Arial"/>
          <w:bCs/>
          <w:sz w:val="26"/>
          <w:szCs w:val="26"/>
          <w:lang w:eastAsia="en-US"/>
        </w:rPr>
        <w:t>, siendo ese momento procesal el oportuno para esgrimir los argumentos relativos a la defensa de los elementos y requisitos de validez del acto impugnado, lo cual no hizo, como se desprende del contenido del oficio de contestación de demanda</w:t>
      </w:r>
      <w:r w:rsidRPr="00A21B79">
        <w:rPr>
          <w:rFonts w:ascii="Arial" w:eastAsia="Calibri" w:hAnsi="Arial" w:cs="Arial"/>
          <w:bCs/>
          <w:sz w:val="26"/>
          <w:szCs w:val="26"/>
          <w:vertAlign w:val="superscript"/>
          <w:lang w:eastAsia="en-US"/>
        </w:rPr>
        <w:footnoteReference w:id="2"/>
      </w:r>
      <w:r w:rsidRPr="00A21B79">
        <w:rPr>
          <w:rFonts w:ascii="Arial" w:eastAsia="Calibri" w:hAnsi="Arial" w:cs="Arial"/>
          <w:bCs/>
          <w:sz w:val="26"/>
          <w:szCs w:val="26"/>
          <w:lang w:eastAsia="en-US"/>
        </w:rPr>
        <w:t xml:space="preserve">, por lo tanto, ese argumento no puede ser analizado en esta Instancia. </w:t>
      </w:r>
      <w:r>
        <w:rPr>
          <w:rFonts w:ascii="Arial" w:eastAsia="Calibri" w:hAnsi="Arial" w:cs="Arial"/>
          <w:bCs/>
          <w:sz w:val="26"/>
          <w:szCs w:val="26"/>
          <w:lang w:eastAsia="en-US"/>
        </w:rPr>
        <w:t xml:space="preserve">De ahí lo </w:t>
      </w:r>
      <w:r w:rsidRPr="00E313C5">
        <w:rPr>
          <w:rFonts w:ascii="Arial" w:eastAsia="Calibri" w:hAnsi="Arial" w:cs="Arial"/>
          <w:b/>
          <w:bCs/>
          <w:sz w:val="26"/>
          <w:szCs w:val="26"/>
          <w:lang w:eastAsia="en-US"/>
        </w:rPr>
        <w:t>INOPERANTE</w:t>
      </w:r>
      <w:r>
        <w:rPr>
          <w:rFonts w:ascii="Arial" w:eastAsia="Calibri" w:hAnsi="Arial" w:cs="Arial"/>
          <w:bCs/>
          <w:sz w:val="26"/>
          <w:szCs w:val="26"/>
          <w:lang w:eastAsia="en-US"/>
        </w:rPr>
        <w:t xml:space="preserve"> de estos agravios.</w:t>
      </w:r>
      <w:r w:rsidR="009E70B7">
        <w:rPr>
          <w:rFonts w:ascii="Arial" w:eastAsia="Calibri" w:hAnsi="Arial" w:cs="Arial"/>
          <w:bCs/>
          <w:sz w:val="26"/>
          <w:szCs w:val="26"/>
          <w:lang w:eastAsia="en-US"/>
        </w:rPr>
        <w:t xml:space="preserve"> - - - - - - - - - - - - - - - - - - - - - - - - - - - </w:t>
      </w:r>
    </w:p>
    <w:p w14:paraId="24CB10A4" w14:textId="77777777" w:rsidR="00F268B2" w:rsidRPr="00A21B79" w:rsidRDefault="00F268B2" w:rsidP="00F268B2">
      <w:pPr>
        <w:spacing w:after="120" w:line="360" w:lineRule="auto"/>
        <w:ind w:right="49" w:firstLine="567"/>
        <w:jc w:val="both"/>
        <w:rPr>
          <w:rFonts w:ascii="Arial" w:eastAsia="Calibri" w:hAnsi="Arial" w:cs="Arial"/>
          <w:sz w:val="26"/>
          <w:szCs w:val="26"/>
          <w:lang w:val="es-ES" w:eastAsia="en-US"/>
        </w:rPr>
      </w:pPr>
      <w:r w:rsidRPr="00A21B79">
        <w:rPr>
          <w:rFonts w:ascii="Arial" w:eastAsia="Calibri" w:hAnsi="Arial" w:cs="Arial"/>
          <w:sz w:val="26"/>
          <w:szCs w:val="26"/>
          <w:lang w:val="es-ES" w:eastAsia="en-US"/>
        </w:rPr>
        <w:t xml:space="preserve">Es aplicable al presente caso, la siguiente jurisprudencia emitida por la Segunda Sala de la Suprema Corte de Justicia de la Nación, en la Novena Época, con número de registro 1002996, visible en el Apéndice de 2011, Tomo II. Procesal Constitucional 1. Común Primera Parte - SCJN Décima Sección – Recursos, Página: 1263, que se cita a continuación: </w:t>
      </w:r>
    </w:p>
    <w:p w14:paraId="1D4A1E2D" w14:textId="77777777" w:rsidR="00F268B2" w:rsidRPr="00A21B79" w:rsidRDefault="00F268B2" w:rsidP="009E70B7">
      <w:pPr>
        <w:tabs>
          <w:tab w:val="left" w:pos="8364"/>
        </w:tabs>
        <w:autoSpaceDE w:val="0"/>
        <w:autoSpaceDN w:val="0"/>
        <w:adjustRightInd w:val="0"/>
        <w:ind w:left="567" w:right="758"/>
        <w:jc w:val="both"/>
        <w:rPr>
          <w:rFonts w:ascii="Arial" w:eastAsia="Calibri" w:hAnsi="Arial" w:cs="Arial"/>
          <w:i/>
          <w:lang w:val="es-ES" w:eastAsia="en-US"/>
        </w:rPr>
      </w:pPr>
      <w:r w:rsidRPr="00A21B79">
        <w:rPr>
          <w:rFonts w:ascii="Arial" w:eastAsia="Calibri" w:hAnsi="Arial" w:cs="Arial"/>
          <w:b/>
          <w:i/>
          <w:lang w:val="es-ES" w:eastAsia="en-US"/>
        </w:rPr>
        <w:t xml:space="preserve">AGRAVIOS INOPERANTES EN LA REVISIÓN. SON AQUELLOS QUE REITERAN LOS CONCEPTOS DE VIOLACIÓN, ABUNDAN SOBRE ELLOS O LOS COMPLEMENTAN, SIN COMBATIR LAS CONSIDERACIONES DE LA SENTENCIA RECURRIDA. </w:t>
      </w:r>
      <w:r w:rsidRPr="00A21B79">
        <w:rPr>
          <w:rFonts w:ascii="Arial" w:eastAsia="Calibri" w:hAnsi="Arial" w:cs="Arial"/>
          <w:i/>
          <w:lang w:val="es-ES" w:eastAsia="en-US"/>
        </w:rPr>
        <w:t>Conforme al artículo 88 de la Ley de Amparo, el recurrente debe expresar los agravios que le causa la sentencia impugnada, lo que se traduce en que tenga la carga, en los casos en que no deba suplirse la queja deficiente en términos del artículo 76 Bis de la ley de la materia, de controvertir los razonamientos jurídicos sustentados por el órgano jurisdiccional que conoció del amparo en primera instancia. Consecuentemente, son inoperantes los agravios que en el recurso de revisión reiteran los conceptos de violación formulados en la demanda, abundan sobre ellos o los complementan, sin combatir las consideraciones de la sentencia recurrida.</w:t>
      </w:r>
    </w:p>
    <w:p w14:paraId="3F745979" w14:textId="3571193E" w:rsidR="00F268B2" w:rsidRPr="006E3E4B" w:rsidRDefault="00F268B2" w:rsidP="00F268B2">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
          <w:bCs/>
          <w:sz w:val="26"/>
          <w:szCs w:val="26"/>
        </w:rPr>
        <w:tab/>
      </w:r>
      <w:r>
        <w:rPr>
          <w:rFonts w:ascii="Arial" w:eastAsia="Calibri" w:hAnsi="Arial" w:cs="Arial"/>
          <w:bCs/>
          <w:sz w:val="26"/>
          <w:szCs w:val="26"/>
        </w:rPr>
        <w:t>Finalmente, atendiendo a las consideraciones anteriormente expuestas, es procedente</w:t>
      </w:r>
      <w:r>
        <w:rPr>
          <w:rFonts w:ascii="Arial" w:eastAsia="Calibri" w:hAnsi="Arial" w:cs="Arial"/>
          <w:b/>
          <w:bCs/>
          <w:sz w:val="26"/>
          <w:szCs w:val="26"/>
        </w:rPr>
        <w:t xml:space="preserve"> CONFIRMAR </w:t>
      </w:r>
      <w:r w:rsidRPr="00867780">
        <w:rPr>
          <w:rFonts w:ascii="Arial" w:eastAsia="Calibri" w:hAnsi="Arial" w:cs="Arial"/>
          <w:sz w:val="26"/>
          <w:szCs w:val="26"/>
        </w:rPr>
        <w:t>la sentencia recurrida por las consideraciones expuestas por esta Sala Superior,</w:t>
      </w:r>
      <w:r>
        <w:rPr>
          <w:rFonts w:ascii="Arial" w:eastAsia="Calibri" w:hAnsi="Arial" w:cs="Arial"/>
          <w:bCs/>
          <w:sz w:val="26"/>
          <w:szCs w:val="26"/>
        </w:rPr>
        <w:t xml:space="preserve"> </w:t>
      </w:r>
      <w:r w:rsidRPr="006406CE">
        <w:rPr>
          <w:rFonts w:ascii="Arial" w:eastAsia="Calibri" w:hAnsi="Arial" w:cs="Arial"/>
          <w:sz w:val="26"/>
          <w:szCs w:val="26"/>
        </w:rPr>
        <w:t>y con fundamento en los artículos 237 y 238 de la Ley de Procedimiento y Justicia Administrativa para el Estado</w:t>
      </w:r>
      <w:r>
        <w:rPr>
          <w:rFonts w:ascii="Arial" w:eastAsia="Calibri" w:hAnsi="Arial" w:cs="Arial"/>
          <w:sz w:val="26"/>
          <w:szCs w:val="26"/>
        </w:rPr>
        <w:t xml:space="preserve"> de Oaxaca</w:t>
      </w:r>
      <w:r w:rsidRPr="006406CE">
        <w:rPr>
          <w:rFonts w:ascii="Arial" w:eastAsia="Calibri" w:hAnsi="Arial" w:cs="Arial"/>
          <w:sz w:val="26"/>
          <w:szCs w:val="26"/>
        </w:rPr>
        <w:t>, se</w:t>
      </w:r>
      <w:r>
        <w:rPr>
          <w:rFonts w:ascii="Arial" w:hAnsi="Arial" w:cs="Arial"/>
          <w:sz w:val="26"/>
          <w:szCs w:val="26"/>
        </w:rPr>
        <w:t>:</w:t>
      </w:r>
      <w:r w:rsidR="009E70B7">
        <w:rPr>
          <w:rFonts w:ascii="Arial" w:hAnsi="Arial" w:cs="Arial"/>
          <w:sz w:val="26"/>
          <w:szCs w:val="26"/>
        </w:rPr>
        <w:t xml:space="preserve"> - - - - - - - - - - - - - - - - - - - </w:t>
      </w:r>
    </w:p>
    <w:p w14:paraId="6D99487A" w14:textId="77777777" w:rsidR="00F268B2" w:rsidRPr="009E70B7" w:rsidRDefault="00F268B2" w:rsidP="00F268B2">
      <w:pPr>
        <w:pStyle w:val="Sinespaciado"/>
        <w:spacing w:before="240" w:line="360" w:lineRule="auto"/>
        <w:jc w:val="center"/>
        <w:rPr>
          <w:rFonts w:ascii="Arial" w:hAnsi="Arial" w:cs="Arial"/>
          <w:b/>
          <w:sz w:val="26"/>
          <w:szCs w:val="26"/>
        </w:rPr>
      </w:pPr>
      <w:r w:rsidRPr="009E70B7">
        <w:rPr>
          <w:rFonts w:ascii="Arial" w:hAnsi="Arial" w:cs="Arial"/>
          <w:b/>
          <w:sz w:val="26"/>
          <w:szCs w:val="26"/>
        </w:rPr>
        <w:t>R E S U E L V E</w:t>
      </w:r>
    </w:p>
    <w:p w14:paraId="2C7E6223" w14:textId="77777777" w:rsidR="00F268B2" w:rsidRDefault="00F268B2" w:rsidP="00F268B2">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sidRPr="009E70B7">
        <w:rPr>
          <w:rFonts w:ascii="Arial" w:hAnsi="Arial" w:cs="Arial"/>
          <w:b/>
          <w:bCs/>
          <w:color w:val="000000"/>
          <w:sz w:val="26"/>
          <w:szCs w:val="26"/>
        </w:rPr>
        <w:t>.</w:t>
      </w:r>
      <w:r>
        <w:rPr>
          <w:rFonts w:ascii="Arial" w:hAnsi="Arial" w:cs="Arial"/>
          <w:color w:val="000000"/>
          <w:sz w:val="26"/>
          <w:szCs w:val="26"/>
        </w:rPr>
        <w:t xml:space="preserve"> </w:t>
      </w:r>
      <w:r>
        <w:rPr>
          <w:rFonts w:ascii="Arial" w:hAnsi="Arial" w:cs="Arial"/>
          <w:color w:val="000000"/>
          <w:sz w:val="26"/>
          <w:szCs w:val="26"/>
          <w:lang w:val="es-MX"/>
        </w:rPr>
        <w:t>Se</w:t>
      </w:r>
      <w:r>
        <w:rPr>
          <w:rFonts w:ascii="Arial" w:hAnsi="Arial" w:cs="Arial"/>
          <w:b/>
          <w:color w:val="000000"/>
          <w:sz w:val="26"/>
          <w:szCs w:val="26"/>
          <w:lang w:val="es-MX"/>
        </w:rPr>
        <w:t xml:space="preserve"> CONFIRMA </w:t>
      </w:r>
      <w:r w:rsidRPr="00867780">
        <w:rPr>
          <w:rFonts w:ascii="Arial" w:hAnsi="Arial" w:cs="Arial"/>
          <w:bCs/>
          <w:color w:val="000000"/>
          <w:sz w:val="26"/>
          <w:szCs w:val="26"/>
          <w:lang w:val="es-MX"/>
        </w:rPr>
        <w:t>la sentencia recurrida</w:t>
      </w:r>
      <w:r>
        <w:rPr>
          <w:rFonts w:ascii="Arial" w:hAnsi="Arial" w:cs="Arial"/>
          <w:color w:val="000000"/>
          <w:sz w:val="26"/>
          <w:szCs w:val="26"/>
          <w:lang w:val="es-MX"/>
        </w:rPr>
        <w:t>, por las razones expuestas por esta Sala Superior en el considerando que antecede.</w:t>
      </w:r>
    </w:p>
    <w:p w14:paraId="0787AF43" w14:textId="474C19E9" w:rsidR="00F268B2" w:rsidRDefault="00F268B2" w:rsidP="00F268B2">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SEGUNDO.</w:t>
      </w:r>
      <w:r w:rsidR="009E70B7">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Sexta Sala Unitaria de Primera </w:t>
      </w:r>
      <w:r>
        <w:rPr>
          <w:rFonts w:ascii="Arial" w:hAnsi="Arial" w:cs="Arial"/>
          <w:sz w:val="26"/>
          <w:szCs w:val="26"/>
        </w:rPr>
        <w:lastRenderedPageBreak/>
        <w:t>Instancia de este Tribunal y en su oportunidad archívese el presente cuaderno de revisión como asunto concluido.</w:t>
      </w:r>
      <w:r w:rsidR="003B7570">
        <w:rPr>
          <w:rFonts w:ascii="Arial" w:hAnsi="Arial" w:cs="Arial"/>
          <w:sz w:val="26"/>
          <w:szCs w:val="26"/>
        </w:rPr>
        <w:t xml:space="preserve"> - - - - - - - - - - - - - - - - - - </w:t>
      </w:r>
    </w:p>
    <w:p w14:paraId="7B5B48F2" w14:textId="0490D78A" w:rsidR="00F268B2" w:rsidRPr="00B32A93" w:rsidRDefault="00F268B2" w:rsidP="00F268B2">
      <w:pPr>
        <w:spacing w:before="240" w:line="360" w:lineRule="auto"/>
        <w:ind w:firstLine="708"/>
        <w:jc w:val="both"/>
        <w:rPr>
          <w:rFonts w:ascii="Arial" w:hAnsi="Arial" w:cs="Arial"/>
          <w:sz w:val="26"/>
          <w:szCs w:val="26"/>
        </w:rPr>
      </w:pPr>
      <w:r w:rsidRPr="00B32A93">
        <w:rPr>
          <w:rFonts w:ascii="Arial" w:hAnsi="Arial" w:cs="Arial"/>
          <w:sz w:val="26"/>
          <w:szCs w:val="26"/>
        </w:rPr>
        <w:t xml:space="preserve">Por unanimidad de votos, lo resolvieron y firmaron los Magistrados Manuel Velasco Alcántara; Raúl Palomares Palomino </w:t>
      </w:r>
      <w:r w:rsidRPr="003B7570">
        <w:rPr>
          <w:rFonts w:ascii="Arial" w:hAnsi="Arial" w:cs="Arial"/>
          <w:b/>
          <w:sz w:val="26"/>
          <w:szCs w:val="26"/>
        </w:rPr>
        <w:t>(ponente)</w:t>
      </w:r>
      <w:r w:rsidR="003B7570">
        <w:rPr>
          <w:rFonts w:ascii="Arial" w:hAnsi="Arial" w:cs="Arial"/>
          <w:bCs/>
          <w:sz w:val="26"/>
          <w:szCs w:val="26"/>
        </w:rPr>
        <w:t>,</w:t>
      </w:r>
      <w:r w:rsidRPr="00B32A93">
        <w:rPr>
          <w:rFonts w:ascii="Arial" w:hAnsi="Arial" w:cs="Arial"/>
          <w:sz w:val="26"/>
          <w:szCs w:val="26"/>
        </w:rPr>
        <w:t xml:space="preserve"> Gloria del Carmen Camacho Meza, Paulo José Luis Tapia Palacios y Elías Cortés López, quienes actúan con el Licenciado Juan Edy García Coronado, Secretario General de Acuerdos de este Tribunal, que autoriza y da fe. </w:t>
      </w:r>
      <w:r w:rsidR="003B7570">
        <w:rPr>
          <w:rFonts w:ascii="Arial" w:hAnsi="Arial" w:cs="Arial"/>
          <w:sz w:val="26"/>
          <w:szCs w:val="26"/>
        </w:rPr>
        <w:t>- - - - - - - - - - - - - - - - - - - - - - - - - - - - - - - - - - - - - - - -</w:t>
      </w:r>
    </w:p>
    <w:p w14:paraId="3800C891" w14:textId="77777777" w:rsidR="003B7570" w:rsidRDefault="003B7570" w:rsidP="00E13B48">
      <w:pPr>
        <w:tabs>
          <w:tab w:val="center" w:pos="4135"/>
          <w:tab w:val="left" w:pos="7515"/>
        </w:tabs>
        <w:spacing w:after="0" w:line="360" w:lineRule="auto"/>
        <w:rPr>
          <w:rFonts w:ascii="Arial" w:hAnsi="Arial" w:cs="Arial"/>
          <w:sz w:val="26"/>
          <w:szCs w:val="26"/>
        </w:rPr>
      </w:pPr>
    </w:p>
    <w:p w14:paraId="5AFEFBDE" w14:textId="77777777" w:rsidR="003B7570" w:rsidRDefault="003B7570" w:rsidP="00F268B2">
      <w:pPr>
        <w:tabs>
          <w:tab w:val="center" w:pos="4135"/>
          <w:tab w:val="left" w:pos="7515"/>
        </w:tabs>
        <w:spacing w:after="0" w:line="360" w:lineRule="auto"/>
        <w:jc w:val="center"/>
        <w:rPr>
          <w:rFonts w:ascii="Arial" w:hAnsi="Arial" w:cs="Arial"/>
          <w:sz w:val="26"/>
          <w:szCs w:val="26"/>
        </w:rPr>
      </w:pPr>
    </w:p>
    <w:p w14:paraId="4C82A74D" w14:textId="77777777" w:rsidR="003B7570" w:rsidRDefault="003B7570" w:rsidP="00F268B2">
      <w:pPr>
        <w:tabs>
          <w:tab w:val="center" w:pos="4135"/>
          <w:tab w:val="left" w:pos="7515"/>
        </w:tabs>
        <w:spacing w:after="0" w:line="360" w:lineRule="auto"/>
        <w:jc w:val="center"/>
        <w:rPr>
          <w:rFonts w:ascii="Arial" w:hAnsi="Arial" w:cs="Arial"/>
          <w:sz w:val="26"/>
          <w:szCs w:val="26"/>
        </w:rPr>
      </w:pPr>
    </w:p>
    <w:p w14:paraId="35070E4E" w14:textId="77777777" w:rsidR="003B7570" w:rsidRDefault="003B7570" w:rsidP="00F268B2">
      <w:pPr>
        <w:tabs>
          <w:tab w:val="center" w:pos="4135"/>
          <w:tab w:val="left" w:pos="7515"/>
        </w:tabs>
        <w:spacing w:after="0" w:line="360" w:lineRule="auto"/>
        <w:jc w:val="center"/>
        <w:rPr>
          <w:rFonts w:ascii="Arial" w:hAnsi="Arial" w:cs="Arial"/>
          <w:sz w:val="26"/>
          <w:szCs w:val="26"/>
        </w:rPr>
      </w:pPr>
    </w:p>
    <w:p w14:paraId="780A612C" w14:textId="4B591F00" w:rsidR="00F268B2" w:rsidRPr="00B32A93" w:rsidRDefault="00F268B2" w:rsidP="003B7570">
      <w:pPr>
        <w:tabs>
          <w:tab w:val="center" w:pos="4135"/>
          <w:tab w:val="left" w:pos="7515"/>
        </w:tabs>
        <w:spacing w:after="0" w:line="240" w:lineRule="auto"/>
        <w:jc w:val="center"/>
        <w:rPr>
          <w:rFonts w:ascii="Arial" w:hAnsi="Arial" w:cs="Arial"/>
          <w:sz w:val="26"/>
          <w:szCs w:val="26"/>
        </w:rPr>
      </w:pPr>
      <w:r w:rsidRPr="00B32A93">
        <w:rPr>
          <w:rFonts w:ascii="Arial" w:hAnsi="Arial" w:cs="Arial"/>
          <w:sz w:val="26"/>
          <w:szCs w:val="26"/>
        </w:rPr>
        <w:t>MAGISTRADO MANUEL VELASCO ALCÁNTARA.</w:t>
      </w:r>
    </w:p>
    <w:p w14:paraId="413EDF87" w14:textId="1AE73237" w:rsidR="00F268B2" w:rsidRDefault="00F268B2" w:rsidP="003B7570">
      <w:pPr>
        <w:tabs>
          <w:tab w:val="center" w:pos="4135"/>
          <w:tab w:val="left" w:pos="7515"/>
        </w:tabs>
        <w:spacing w:after="0" w:line="240" w:lineRule="auto"/>
        <w:jc w:val="center"/>
        <w:rPr>
          <w:rFonts w:ascii="Arial" w:hAnsi="Arial" w:cs="Arial"/>
          <w:sz w:val="26"/>
          <w:szCs w:val="26"/>
        </w:rPr>
      </w:pPr>
      <w:r w:rsidRPr="00B32A93">
        <w:rPr>
          <w:rFonts w:ascii="Arial" w:hAnsi="Arial" w:cs="Arial"/>
          <w:sz w:val="26"/>
          <w:szCs w:val="26"/>
        </w:rPr>
        <w:t>PRESIDENTE</w:t>
      </w:r>
    </w:p>
    <w:p w14:paraId="327E2520" w14:textId="2C62F87F" w:rsidR="003B7570" w:rsidRDefault="003B7570" w:rsidP="003B7570">
      <w:pPr>
        <w:tabs>
          <w:tab w:val="center" w:pos="4135"/>
          <w:tab w:val="left" w:pos="7515"/>
        </w:tabs>
        <w:spacing w:after="0" w:line="240" w:lineRule="auto"/>
        <w:jc w:val="center"/>
        <w:rPr>
          <w:rFonts w:ascii="Arial" w:hAnsi="Arial" w:cs="Arial"/>
          <w:sz w:val="26"/>
          <w:szCs w:val="26"/>
        </w:rPr>
      </w:pPr>
    </w:p>
    <w:p w14:paraId="6BE3D8A1" w14:textId="1EFA970B" w:rsidR="003B7570" w:rsidRDefault="003B7570" w:rsidP="003B7570">
      <w:pPr>
        <w:tabs>
          <w:tab w:val="center" w:pos="4135"/>
          <w:tab w:val="left" w:pos="7515"/>
        </w:tabs>
        <w:spacing w:after="0" w:line="240" w:lineRule="auto"/>
        <w:jc w:val="center"/>
        <w:rPr>
          <w:rFonts w:ascii="Arial" w:hAnsi="Arial" w:cs="Arial"/>
          <w:sz w:val="26"/>
          <w:szCs w:val="26"/>
        </w:rPr>
      </w:pPr>
    </w:p>
    <w:p w14:paraId="72D936C5" w14:textId="5EA3D17F" w:rsidR="003B7570" w:rsidRDefault="003B7570" w:rsidP="003B7570">
      <w:pPr>
        <w:tabs>
          <w:tab w:val="center" w:pos="4135"/>
          <w:tab w:val="left" w:pos="7515"/>
        </w:tabs>
        <w:spacing w:after="0" w:line="240" w:lineRule="auto"/>
        <w:jc w:val="center"/>
        <w:rPr>
          <w:rFonts w:ascii="Arial" w:hAnsi="Arial" w:cs="Arial"/>
          <w:sz w:val="26"/>
          <w:szCs w:val="26"/>
        </w:rPr>
      </w:pPr>
    </w:p>
    <w:p w14:paraId="4DA8EC46" w14:textId="77777777" w:rsidR="003B7570" w:rsidRDefault="003B7570" w:rsidP="003B7570">
      <w:pPr>
        <w:tabs>
          <w:tab w:val="center" w:pos="4135"/>
          <w:tab w:val="left" w:pos="7515"/>
        </w:tabs>
        <w:spacing w:after="0" w:line="240" w:lineRule="auto"/>
        <w:jc w:val="center"/>
        <w:rPr>
          <w:rFonts w:ascii="Arial" w:hAnsi="Arial" w:cs="Arial"/>
          <w:sz w:val="26"/>
          <w:szCs w:val="26"/>
        </w:rPr>
      </w:pPr>
    </w:p>
    <w:p w14:paraId="19F84E98" w14:textId="65EBD484" w:rsidR="003B7570" w:rsidRDefault="003B7570" w:rsidP="003B7570">
      <w:pPr>
        <w:tabs>
          <w:tab w:val="center" w:pos="4135"/>
          <w:tab w:val="left" w:pos="7515"/>
        </w:tabs>
        <w:spacing w:after="0" w:line="240" w:lineRule="auto"/>
        <w:jc w:val="center"/>
        <w:rPr>
          <w:rFonts w:ascii="Arial" w:hAnsi="Arial" w:cs="Arial"/>
          <w:sz w:val="26"/>
          <w:szCs w:val="26"/>
        </w:rPr>
      </w:pPr>
    </w:p>
    <w:p w14:paraId="2344A7BE" w14:textId="77777777" w:rsidR="003B7570" w:rsidRPr="00B32A93" w:rsidRDefault="003B7570" w:rsidP="003B7570">
      <w:pPr>
        <w:tabs>
          <w:tab w:val="center" w:pos="4135"/>
          <w:tab w:val="left" w:pos="7515"/>
        </w:tabs>
        <w:spacing w:after="0" w:line="240" w:lineRule="auto"/>
        <w:jc w:val="center"/>
        <w:rPr>
          <w:rFonts w:ascii="Arial" w:hAnsi="Arial" w:cs="Arial"/>
          <w:sz w:val="26"/>
          <w:szCs w:val="26"/>
        </w:rPr>
      </w:pPr>
    </w:p>
    <w:p w14:paraId="64565457" w14:textId="2253458B" w:rsidR="00F268B2" w:rsidRDefault="00F268B2" w:rsidP="003B7570">
      <w:pPr>
        <w:tabs>
          <w:tab w:val="center" w:pos="4135"/>
          <w:tab w:val="left" w:pos="7515"/>
        </w:tabs>
        <w:spacing w:after="0" w:line="360" w:lineRule="auto"/>
        <w:jc w:val="center"/>
        <w:rPr>
          <w:rFonts w:ascii="Arial" w:hAnsi="Arial" w:cs="Arial"/>
          <w:sz w:val="26"/>
          <w:szCs w:val="26"/>
        </w:rPr>
      </w:pPr>
      <w:r w:rsidRPr="00B32A93">
        <w:rPr>
          <w:rFonts w:ascii="Arial" w:hAnsi="Arial" w:cs="Arial"/>
          <w:sz w:val="26"/>
          <w:szCs w:val="26"/>
        </w:rPr>
        <w:t>MAGISTRADO RAÚL PALOMARES PALOMINO</w:t>
      </w:r>
    </w:p>
    <w:p w14:paraId="6F9FA149" w14:textId="59FB6BC6" w:rsidR="003B7570" w:rsidRDefault="003B7570" w:rsidP="003B7570">
      <w:pPr>
        <w:tabs>
          <w:tab w:val="center" w:pos="4135"/>
          <w:tab w:val="left" w:pos="7515"/>
        </w:tabs>
        <w:spacing w:after="0" w:line="360" w:lineRule="auto"/>
        <w:jc w:val="center"/>
        <w:rPr>
          <w:rFonts w:ascii="Arial" w:hAnsi="Arial" w:cs="Arial"/>
          <w:sz w:val="26"/>
          <w:szCs w:val="26"/>
        </w:rPr>
      </w:pPr>
    </w:p>
    <w:p w14:paraId="1D626752" w14:textId="632266D7" w:rsidR="003B7570" w:rsidRDefault="003B7570" w:rsidP="003B7570">
      <w:pPr>
        <w:tabs>
          <w:tab w:val="center" w:pos="4135"/>
          <w:tab w:val="left" w:pos="7515"/>
        </w:tabs>
        <w:spacing w:after="0" w:line="360" w:lineRule="auto"/>
        <w:jc w:val="center"/>
        <w:rPr>
          <w:rFonts w:ascii="Arial" w:hAnsi="Arial" w:cs="Arial"/>
          <w:sz w:val="26"/>
          <w:szCs w:val="26"/>
        </w:rPr>
      </w:pPr>
    </w:p>
    <w:p w14:paraId="3E72BC6F" w14:textId="52B3B954" w:rsidR="003B7570" w:rsidRDefault="003B7570" w:rsidP="003B7570">
      <w:pPr>
        <w:tabs>
          <w:tab w:val="center" w:pos="4135"/>
          <w:tab w:val="left" w:pos="7515"/>
        </w:tabs>
        <w:spacing w:after="0" w:line="360" w:lineRule="auto"/>
        <w:jc w:val="center"/>
        <w:rPr>
          <w:rFonts w:ascii="Arial" w:hAnsi="Arial" w:cs="Arial"/>
          <w:sz w:val="26"/>
          <w:szCs w:val="26"/>
        </w:rPr>
      </w:pPr>
    </w:p>
    <w:p w14:paraId="53D99E89" w14:textId="77777777" w:rsidR="003B7570" w:rsidRPr="003B7570" w:rsidRDefault="003B7570" w:rsidP="003B7570">
      <w:pPr>
        <w:tabs>
          <w:tab w:val="center" w:pos="4135"/>
          <w:tab w:val="left" w:pos="7515"/>
        </w:tabs>
        <w:spacing w:after="0" w:line="360" w:lineRule="auto"/>
        <w:jc w:val="center"/>
        <w:rPr>
          <w:rFonts w:ascii="Arial" w:hAnsi="Arial" w:cs="Arial"/>
          <w:sz w:val="26"/>
          <w:szCs w:val="26"/>
        </w:rPr>
      </w:pPr>
    </w:p>
    <w:p w14:paraId="5EEE8B69" w14:textId="647D0BED" w:rsidR="00F268B2" w:rsidRDefault="00F268B2" w:rsidP="00F268B2">
      <w:pPr>
        <w:tabs>
          <w:tab w:val="center" w:pos="4135"/>
          <w:tab w:val="left" w:pos="7515"/>
        </w:tabs>
        <w:spacing w:after="0" w:line="360" w:lineRule="auto"/>
        <w:jc w:val="center"/>
        <w:rPr>
          <w:rFonts w:ascii="Arial" w:eastAsia="Times New Roman" w:hAnsi="Arial" w:cs="Arial"/>
          <w:sz w:val="26"/>
          <w:szCs w:val="26"/>
        </w:rPr>
      </w:pPr>
      <w:r w:rsidRPr="00B32A93">
        <w:rPr>
          <w:rFonts w:ascii="Arial" w:eastAsia="Times New Roman" w:hAnsi="Arial" w:cs="Arial"/>
          <w:sz w:val="26"/>
          <w:szCs w:val="26"/>
        </w:rPr>
        <w:t>MAGISTRADA GLORIA DEL CARMEN CAMACHO MEZA</w:t>
      </w:r>
    </w:p>
    <w:p w14:paraId="2C3F5C6A" w14:textId="15C915C4" w:rsidR="003B7570" w:rsidRDefault="003B7570" w:rsidP="00F268B2">
      <w:pPr>
        <w:tabs>
          <w:tab w:val="center" w:pos="4135"/>
          <w:tab w:val="left" w:pos="7515"/>
        </w:tabs>
        <w:spacing w:after="0" w:line="360" w:lineRule="auto"/>
        <w:jc w:val="center"/>
        <w:rPr>
          <w:rFonts w:ascii="Arial" w:eastAsia="Times New Roman" w:hAnsi="Arial" w:cs="Arial"/>
          <w:sz w:val="26"/>
          <w:szCs w:val="26"/>
        </w:rPr>
      </w:pPr>
    </w:p>
    <w:p w14:paraId="5E54D013" w14:textId="76BF5ADE" w:rsidR="003B7570" w:rsidRDefault="003B7570" w:rsidP="00F268B2">
      <w:pPr>
        <w:tabs>
          <w:tab w:val="center" w:pos="4135"/>
          <w:tab w:val="left" w:pos="7515"/>
        </w:tabs>
        <w:spacing w:after="0" w:line="360" w:lineRule="auto"/>
        <w:jc w:val="center"/>
        <w:rPr>
          <w:rFonts w:ascii="Arial" w:eastAsia="Times New Roman" w:hAnsi="Arial" w:cs="Arial"/>
          <w:sz w:val="26"/>
          <w:szCs w:val="26"/>
        </w:rPr>
      </w:pPr>
    </w:p>
    <w:p w14:paraId="639A27F9" w14:textId="2BFC5479" w:rsidR="003B7570" w:rsidRDefault="003B7570" w:rsidP="00F268B2">
      <w:pPr>
        <w:tabs>
          <w:tab w:val="center" w:pos="4135"/>
          <w:tab w:val="left" w:pos="7515"/>
        </w:tabs>
        <w:spacing w:after="0" w:line="360" w:lineRule="auto"/>
        <w:jc w:val="center"/>
        <w:rPr>
          <w:rFonts w:ascii="Arial" w:eastAsia="Times New Roman" w:hAnsi="Arial" w:cs="Arial"/>
          <w:sz w:val="26"/>
          <w:szCs w:val="26"/>
        </w:rPr>
      </w:pPr>
    </w:p>
    <w:p w14:paraId="0A4177B5" w14:textId="77777777" w:rsidR="003B7570" w:rsidRPr="00B32A93" w:rsidRDefault="003B7570" w:rsidP="00F268B2">
      <w:pPr>
        <w:tabs>
          <w:tab w:val="center" w:pos="4135"/>
          <w:tab w:val="left" w:pos="7515"/>
        </w:tabs>
        <w:spacing w:after="0" w:line="360" w:lineRule="auto"/>
        <w:jc w:val="center"/>
        <w:rPr>
          <w:rFonts w:ascii="Arial" w:eastAsia="Times New Roman" w:hAnsi="Arial" w:cs="Arial"/>
          <w:sz w:val="26"/>
          <w:szCs w:val="26"/>
        </w:rPr>
      </w:pPr>
    </w:p>
    <w:p w14:paraId="00671404" w14:textId="135CDAF9" w:rsidR="00F268B2" w:rsidRDefault="00F268B2" w:rsidP="00F268B2">
      <w:pPr>
        <w:tabs>
          <w:tab w:val="center" w:pos="4135"/>
          <w:tab w:val="left" w:pos="7515"/>
        </w:tabs>
        <w:spacing w:after="0" w:line="360" w:lineRule="auto"/>
        <w:jc w:val="center"/>
        <w:rPr>
          <w:rFonts w:ascii="Arial" w:eastAsia="Times New Roman" w:hAnsi="Arial" w:cs="Arial"/>
          <w:sz w:val="26"/>
          <w:szCs w:val="26"/>
        </w:rPr>
      </w:pPr>
      <w:r w:rsidRPr="00B32A93">
        <w:rPr>
          <w:rFonts w:ascii="Arial" w:eastAsia="Times New Roman" w:hAnsi="Arial" w:cs="Arial"/>
          <w:sz w:val="26"/>
          <w:szCs w:val="26"/>
        </w:rPr>
        <w:t>MAGISTRADO PAULO JOSÉ LUIS TAPIA PALACIOS</w:t>
      </w:r>
    </w:p>
    <w:p w14:paraId="6C49327C" w14:textId="4F22A972" w:rsidR="003B7570" w:rsidRDefault="003B7570" w:rsidP="00F268B2">
      <w:pPr>
        <w:tabs>
          <w:tab w:val="center" w:pos="4135"/>
          <w:tab w:val="left" w:pos="7515"/>
        </w:tabs>
        <w:spacing w:after="0" w:line="360" w:lineRule="auto"/>
        <w:jc w:val="center"/>
        <w:rPr>
          <w:rFonts w:ascii="Arial" w:eastAsia="Times New Roman" w:hAnsi="Arial" w:cs="Arial"/>
          <w:sz w:val="26"/>
          <w:szCs w:val="26"/>
        </w:rPr>
      </w:pPr>
    </w:p>
    <w:p w14:paraId="7FCB518D" w14:textId="360497F1" w:rsidR="003B7570" w:rsidRDefault="003B7570" w:rsidP="00F268B2">
      <w:pPr>
        <w:tabs>
          <w:tab w:val="center" w:pos="4135"/>
          <w:tab w:val="left" w:pos="7515"/>
        </w:tabs>
        <w:spacing w:after="0" w:line="360" w:lineRule="auto"/>
        <w:jc w:val="center"/>
        <w:rPr>
          <w:rFonts w:ascii="Arial" w:eastAsia="Times New Roman" w:hAnsi="Arial" w:cs="Arial"/>
          <w:sz w:val="26"/>
          <w:szCs w:val="26"/>
        </w:rPr>
      </w:pPr>
    </w:p>
    <w:p w14:paraId="2B3EBBC6" w14:textId="20B65A52" w:rsidR="003B7570" w:rsidRDefault="003B7570" w:rsidP="00F268B2">
      <w:pPr>
        <w:tabs>
          <w:tab w:val="center" w:pos="4135"/>
          <w:tab w:val="left" w:pos="7515"/>
        </w:tabs>
        <w:spacing w:after="0" w:line="360" w:lineRule="auto"/>
        <w:jc w:val="center"/>
        <w:rPr>
          <w:rFonts w:ascii="Arial" w:eastAsia="Times New Roman" w:hAnsi="Arial" w:cs="Arial"/>
          <w:sz w:val="26"/>
          <w:szCs w:val="26"/>
        </w:rPr>
      </w:pPr>
    </w:p>
    <w:p w14:paraId="0EB3C8E5" w14:textId="77777777" w:rsidR="003B7570" w:rsidRPr="00B32A93" w:rsidRDefault="003B7570" w:rsidP="00F268B2">
      <w:pPr>
        <w:tabs>
          <w:tab w:val="center" w:pos="4135"/>
          <w:tab w:val="left" w:pos="7515"/>
        </w:tabs>
        <w:spacing w:after="0" w:line="360" w:lineRule="auto"/>
        <w:jc w:val="center"/>
        <w:rPr>
          <w:rFonts w:ascii="Arial" w:eastAsia="Times New Roman" w:hAnsi="Arial" w:cs="Arial"/>
          <w:sz w:val="26"/>
          <w:szCs w:val="26"/>
        </w:rPr>
      </w:pPr>
    </w:p>
    <w:p w14:paraId="0D777AE7" w14:textId="731BD3DE" w:rsidR="00F268B2" w:rsidRDefault="00F268B2" w:rsidP="00F268B2">
      <w:pPr>
        <w:tabs>
          <w:tab w:val="center" w:pos="4135"/>
          <w:tab w:val="left" w:pos="7515"/>
        </w:tabs>
        <w:spacing w:after="0" w:line="360" w:lineRule="auto"/>
        <w:jc w:val="center"/>
        <w:rPr>
          <w:rFonts w:ascii="Arial" w:hAnsi="Arial" w:cs="Arial"/>
          <w:sz w:val="26"/>
          <w:szCs w:val="26"/>
        </w:rPr>
      </w:pPr>
      <w:r w:rsidRPr="00B32A93">
        <w:rPr>
          <w:rFonts w:ascii="Arial" w:hAnsi="Arial" w:cs="Arial"/>
          <w:sz w:val="26"/>
          <w:szCs w:val="26"/>
        </w:rPr>
        <w:t>MAGISTRADO ELÍAS CORTÉS LÓPEZ</w:t>
      </w:r>
    </w:p>
    <w:p w14:paraId="0D9BED47" w14:textId="31EA7990" w:rsidR="003B7570" w:rsidRDefault="003B7570" w:rsidP="00F268B2">
      <w:pPr>
        <w:tabs>
          <w:tab w:val="center" w:pos="4135"/>
          <w:tab w:val="left" w:pos="7515"/>
        </w:tabs>
        <w:spacing w:after="0" w:line="360" w:lineRule="auto"/>
        <w:jc w:val="center"/>
        <w:rPr>
          <w:rFonts w:ascii="Arial" w:hAnsi="Arial" w:cs="Arial"/>
          <w:sz w:val="26"/>
          <w:szCs w:val="26"/>
        </w:rPr>
      </w:pPr>
    </w:p>
    <w:p w14:paraId="0B4648B5" w14:textId="225FEE7E" w:rsidR="003B7570" w:rsidRDefault="003B7570" w:rsidP="00F268B2">
      <w:pPr>
        <w:tabs>
          <w:tab w:val="center" w:pos="4135"/>
          <w:tab w:val="left" w:pos="7515"/>
        </w:tabs>
        <w:spacing w:after="0" w:line="360" w:lineRule="auto"/>
        <w:jc w:val="center"/>
        <w:rPr>
          <w:rFonts w:ascii="Arial" w:hAnsi="Arial" w:cs="Arial"/>
          <w:sz w:val="26"/>
          <w:szCs w:val="26"/>
        </w:rPr>
      </w:pPr>
    </w:p>
    <w:p w14:paraId="554D2E17" w14:textId="0CEE0BCA" w:rsidR="003B7570" w:rsidRDefault="003B7570" w:rsidP="00F268B2">
      <w:pPr>
        <w:tabs>
          <w:tab w:val="center" w:pos="4135"/>
          <w:tab w:val="left" w:pos="7515"/>
        </w:tabs>
        <w:spacing w:after="0" w:line="360" w:lineRule="auto"/>
        <w:jc w:val="center"/>
        <w:rPr>
          <w:rFonts w:ascii="Arial" w:hAnsi="Arial" w:cs="Arial"/>
          <w:sz w:val="26"/>
          <w:szCs w:val="26"/>
        </w:rPr>
      </w:pPr>
    </w:p>
    <w:p w14:paraId="4277C477" w14:textId="77777777" w:rsidR="00E13B48" w:rsidRDefault="00E13B48" w:rsidP="00E13B48">
      <w:pPr>
        <w:tabs>
          <w:tab w:val="center" w:pos="4135"/>
          <w:tab w:val="left" w:pos="7515"/>
        </w:tabs>
        <w:spacing w:line="360" w:lineRule="auto"/>
        <w:jc w:val="center"/>
        <w:rPr>
          <w:rFonts w:ascii="Arial" w:eastAsia="Times New Roman" w:hAnsi="Arial" w:cs="Arial"/>
          <w:b/>
          <w:bCs/>
          <w:sz w:val="16"/>
          <w:szCs w:val="16"/>
        </w:rPr>
      </w:pPr>
      <w:r w:rsidRPr="007E36E2">
        <w:rPr>
          <w:rFonts w:ascii="Arial" w:eastAsia="Times New Roman" w:hAnsi="Arial" w:cs="Arial"/>
          <w:b/>
          <w:bCs/>
          <w:sz w:val="16"/>
          <w:szCs w:val="16"/>
        </w:rPr>
        <w:lastRenderedPageBreak/>
        <w:t>LAS PRESENTES FIRMAS CORRESPONDEN A LA RE</w:t>
      </w:r>
      <w:bookmarkStart w:id="0" w:name="_GoBack"/>
      <w:bookmarkEnd w:id="0"/>
      <w:r w:rsidRPr="007E36E2">
        <w:rPr>
          <w:rFonts w:ascii="Arial" w:eastAsia="Times New Roman" w:hAnsi="Arial" w:cs="Arial"/>
          <w:b/>
          <w:bCs/>
          <w:sz w:val="16"/>
          <w:szCs w:val="16"/>
        </w:rPr>
        <w:t xml:space="preserve">SOLUCIÓN DEL RECURSO DE REVISIÓN </w:t>
      </w:r>
      <w:r>
        <w:rPr>
          <w:rFonts w:ascii="Arial" w:eastAsia="Times New Roman" w:hAnsi="Arial" w:cs="Arial"/>
          <w:b/>
          <w:bCs/>
          <w:sz w:val="16"/>
          <w:szCs w:val="16"/>
        </w:rPr>
        <w:t>0001/</w:t>
      </w:r>
      <w:r w:rsidRPr="007E36E2">
        <w:rPr>
          <w:rFonts w:ascii="Arial" w:eastAsia="Times New Roman" w:hAnsi="Arial" w:cs="Arial"/>
          <w:b/>
          <w:bCs/>
          <w:sz w:val="16"/>
          <w:szCs w:val="16"/>
        </w:rPr>
        <w:t>202</w:t>
      </w:r>
      <w:r>
        <w:rPr>
          <w:rFonts w:ascii="Arial" w:eastAsia="Times New Roman" w:hAnsi="Arial" w:cs="Arial"/>
          <w:b/>
          <w:bCs/>
          <w:sz w:val="16"/>
          <w:szCs w:val="16"/>
        </w:rPr>
        <w:t>2.</w:t>
      </w:r>
    </w:p>
    <w:p w14:paraId="2346F949" w14:textId="74D62222" w:rsidR="003B7570" w:rsidRDefault="003B7570" w:rsidP="00F268B2">
      <w:pPr>
        <w:tabs>
          <w:tab w:val="center" w:pos="4135"/>
          <w:tab w:val="left" w:pos="7515"/>
        </w:tabs>
        <w:spacing w:after="0" w:line="360" w:lineRule="auto"/>
        <w:jc w:val="center"/>
        <w:rPr>
          <w:rFonts w:ascii="Arial" w:hAnsi="Arial" w:cs="Arial"/>
          <w:sz w:val="26"/>
          <w:szCs w:val="26"/>
        </w:rPr>
      </w:pPr>
    </w:p>
    <w:p w14:paraId="55E87088" w14:textId="5733F2E6" w:rsidR="003B7570" w:rsidRDefault="003B7570" w:rsidP="00F268B2">
      <w:pPr>
        <w:tabs>
          <w:tab w:val="center" w:pos="4135"/>
          <w:tab w:val="left" w:pos="7515"/>
        </w:tabs>
        <w:spacing w:after="0" w:line="360" w:lineRule="auto"/>
        <w:jc w:val="center"/>
        <w:rPr>
          <w:rFonts w:ascii="Arial" w:hAnsi="Arial" w:cs="Arial"/>
          <w:sz w:val="26"/>
          <w:szCs w:val="26"/>
        </w:rPr>
      </w:pPr>
    </w:p>
    <w:p w14:paraId="7EFA3FAA" w14:textId="616952FE" w:rsidR="003B7570" w:rsidRDefault="003B7570" w:rsidP="00F268B2">
      <w:pPr>
        <w:tabs>
          <w:tab w:val="center" w:pos="4135"/>
          <w:tab w:val="left" w:pos="7515"/>
        </w:tabs>
        <w:spacing w:after="0" w:line="360" w:lineRule="auto"/>
        <w:jc w:val="center"/>
        <w:rPr>
          <w:rFonts w:ascii="Arial" w:hAnsi="Arial" w:cs="Arial"/>
          <w:sz w:val="26"/>
          <w:szCs w:val="26"/>
        </w:rPr>
      </w:pPr>
    </w:p>
    <w:p w14:paraId="20A1CC64" w14:textId="77777777" w:rsidR="003B7570" w:rsidRPr="00B32A93" w:rsidRDefault="003B7570" w:rsidP="00F268B2">
      <w:pPr>
        <w:tabs>
          <w:tab w:val="center" w:pos="4135"/>
          <w:tab w:val="left" w:pos="7515"/>
        </w:tabs>
        <w:spacing w:after="0" w:line="360" w:lineRule="auto"/>
        <w:jc w:val="center"/>
        <w:rPr>
          <w:rFonts w:ascii="Arial" w:hAnsi="Arial" w:cs="Arial"/>
          <w:sz w:val="26"/>
          <w:szCs w:val="26"/>
        </w:rPr>
      </w:pPr>
    </w:p>
    <w:p w14:paraId="3BB2B228" w14:textId="026E2952" w:rsidR="00F268B2" w:rsidRPr="00B32A93" w:rsidRDefault="00F268B2" w:rsidP="00F268B2">
      <w:pPr>
        <w:spacing w:after="0"/>
        <w:jc w:val="center"/>
        <w:rPr>
          <w:rFonts w:ascii="Arial" w:hAnsi="Arial" w:cs="Arial"/>
          <w:sz w:val="26"/>
          <w:szCs w:val="26"/>
        </w:rPr>
      </w:pPr>
      <w:r w:rsidRPr="00B32A93">
        <w:rPr>
          <w:rFonts w:ascii="Arial" w:hAnsi="Arial" w:cs="Arial"/>
          <w:sz w:val="26"/>
          <w:szCs w:val="26"/>
        </w:rPr>
        <w:t>LICENCIADO JUAN EDY GARCÍA CORONADO</w:t>
      </w:r>
    </w:p>
    <w:p w14:paraId="51698041" w14:textId="5131E6C0" w:rsidR="00F268B2" w:rsidRPr="00B32A93" w:rsidRDefault="00F268B2" w:rsidP="00F268B2">
      <w:pPr>
        <w:spacing w:after="0"/>
        <w:jc w:val="center"/>
        <w:rPr>
          <w:sz w:val="26"/>
          <w:szCs w:val="26"/>
        </w:rPr>
      </w:pPr>
      <w:r w:rsidRPr="00B32A93">
        <w:rPr>
          <w:rFonts w:ascii="Arial" w:hAnsi="Arial" w:cs="Arial"/>
          <w:sz w:val="26"/>
          <w:szCs w:val="26"/>
        </w:rPr>
        <w:t>SECRETARIO GENERAL DE ACUERDOS</w:t>
      </w:r>
    </w:p>
    <w:p w14:paraId="63EFA774" w14:textId="203800A9" w:rsidR="003B6CF0" w:rsidRDefault="003B6CF0" w:rsidP="003B6CF0">
      <w:pPr>
        <w:jc w:val="center"/>
        <w:rPr>
          <w:rFonts w:ascii="Arial" w:hAnsi="Arial" w:cs="Arial"/>
          <w:sz w:val="26"/>
          <w:szCs w:val="26"/>
        </w:rPr>
      </w:pPr>
      <w:r>
        <w:rPr>
          <w:rFonts w:ascii="Arial" w:hAnsi="Arial" w:cs="Arial"/>
          <w:sz w:val="26"/>
          <w:szCs w:val="26"/>
        </w:rPr>
        <w:t>.</w:t>
      </w:r>
    </w:p>
    <w:p w14:paraId="50453FE0" w14:textId="00EF8C3C" w:rsidR="00BA258A" w:rsidRPr="003B6CF0" w:rsidRDefault="006D1DB2" w:rsidP="003B6CF0">
      <w:r w:rsidRPr="003B6CF0">
        <w:t xml:space="preserve"> </w:t>
      </w:r>
    </w:p>
    <w:sectPr w:rsidR="00BA258A" w:rsidRPr="003B6CF0"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27B455" w14:textId="77777777" w:rsidR="00073284" w:rsidRDefault="00073284">
      <w:pPr>
        <w:spacing w:after="0" w:line="240" w:lineRule="auto"/>
      </w:pPr>
      <w:r>
        <w:separator/>
      </w:r>
    </w:p>
  </w:endnote>
  <w:endnote w:type="continuationSeparator" w:id="0">
    <w:p w14:paraId="5DDA23C7" w14:textId="77777777" w:rsidR="00073284" w:rsidRDefault="000732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B12458" w14:textId="77777777" w:rsidR="00073284" w:rsidRDefault="00073284">
      <w:pPr>
        <w:spacing w:after="0" w:line="240" w:lineRule="auto"/>
      </w:pPr>
      <w:r>
        <w:separator/>
      </w:r>
    </w:p>
  </w:footnote>
  <w:footnote w:type="continuationSeparator" w:id="0">
    <w:p w14:paraId="41BAC13D" w14:textId="77777777" w:rsidR="00073284" w:rsidRDefault="00073284">
      <w:pPr>
        <w:spacing w:after="0" w:line="240" w:lineRule="auto"/>
      </w:pPr>
      <w:r>
        <w:continuationSeparator/>
      </w:r>
    </w:p>
  </w:footnote>
  <w:footnote w:id="1">
    <w:p w14:paraId="576A13DB" w14:textId="25D439CC" w:rsidR="00F268B2" w:rsidRPr="00B6481F" w:rsidRDefault="00F268B2" w:rsidP="00F268B2">
      <w:pPr>
        <w:pStyle w:val="Textonotapie"/>
        <w:jc w:val="both"/>
        <w:rPr>
          <w:rFonts w:ascii="Arial" w:hAnsi="Arial" w:cs="Arial"/>
          <w:lang w:val="es-ES"/>
        </w:rPr>
      </w:pPr>
      <w:r w:rsidRPr="00B6481F">
        <w:rPr>
          <w:rStyle w:val="Refdenotaalpie"/>
          <w:rFonts w:ascii="Arial" w:hAnsi="Arial" w:cs="Arial"/>
        </w:rPr>
        <w:footnoteRef/>
      </w:r>
      <w:r w:rsidRPr="00B6481F">
        <w:rPr>
          <w:rFonts w:ascii="Arial" w:hAnsi="Arial" w:cs="Arial"/>
        </w:rPr>
        <w:t xml:space="preserve"> </w:t>
      </w:r>
      <w:r>
        <w:rPr>
          <w:rFonts w:ascii="Arial" w:hAnsi="Arial" w:cs="Arial"/>
          <w:lang w:val="es-ES"/>
        </w:rPr>
        <w:t xml:space="preserve">Visible en la foja </w:t>
      </w:r>
      <w:r w:rsidR="004269A6">
        <w:rPr>
          <w:rFonts w:ascii="Arial" w:hAnsi="Arial" w:cs="Arial"/>
          <w:lang w:val="es-ES"/>
        </w:rPr>
        <w:t>6</w:t>
      </w:r>
      <w:r>
        <w:rPr>
          <w:rFonts w:ascii="Arial" w:hAnsi="Arial" w:cs="Arial"/>
          <w:lang w:val="es-ES"/>
        </w:rPr>
        <w:t xml:space="preserve"> (</w:t>
      </w:r>
      <w:r w:rsidR="004269A6">
        <w:rPr>
          <w:rFonts w:ascii="Arial" w:hAnsi="Arial" w:cs="Arial"/>
          <w:lang w:val="es-ES"/>
        </w:rPr>
        <w:t>seis</w:t>
      </w:r>
      <w:r w:rsidRPr="00B6481F">
        <w:rPr>
          <w:rFonts w:ascii="Arial" w:hAnsi="Arial" w:cs="Arial"/>
          <w:lang w:val="es-ES"/>
        </w:rPr>
        <w:t xml:space="preserve">) del expediente </w:t>
      </w:r>
      <w:r>
        <w:rPr>
          <w:rFonts w:ascii="Arial" w:hAnsi="Arial" w:cs="Arial"/>
          <w:b/>
          <w:lang w:val="es-ES"/>
        </w:rPr>
        <w:t>0</w:t>
      </w:r>
      <w:r w:rsidR="004269A6">
        <w:rPr>
          <w:rFonts w:ascii="Arial" w:hAnsi="Arial" w:cs="Arial"/>
          <w:b/>
          <w:lang w:val="es-ES"/>
        </w:rPr>
        <w:t>001</w:t>
      </w:r>
      <w:r>
        <w:rPr>
          <w:rFonts w:ascii="Arial" w:hAnsi="Arial" w:cs="Arial"/>
          <w:b/>
          <w:lang w:val="es-ES"/>
        </w:rPr>
        <w:t>/20</w:t>
      </w:r>
      <w:r w:rsidR="004269A6">
        <w:rPr>
          <w:rFonts w:ascii="Arial" w:hAnsi="Arial" w:cs="Arial"/>
          <w:b/>
          <w:lang w:val="es-ES"/>
        </w:rPr>
        <w:t>2</w:t>
      </w:r>
      <w:r>
        <w:rPr>
          <w:rFonts w:ascii="Arial" w:hAnsi="Arial" w:cs="Arial"/>
          <w:b/>
          <w:lang w:val="es-ES"/>
        </w:rPr>
        <w:t>1</w:t>
      </w:r>
      <w:r w:rsidRPr="00B6481F">
        <w:rPr>
          <w:rFonts w:ascii="Arial" w:hAnsi="Arial" w:cs="Arial"/>
          <w:lang w:val="es-ES"/>
        </w:rPr>
        <w:t xml:space="preserve"> del índice de la </w:t>
      </w:r>
      <w:r>
        <w:rPr>
          <w:rFonts w:ascii="Arial" w:hAnsi="Arial" w:cs="Arial"/>
          <w:lang w:val="es-ES"/>
        </w:rPr>
        <w:t>Sexta</w:t>
      </w:r>
      <w:r w:rsidRPr="00B6481F">
        <w:rPr>
          <w:rFonts w:ascii="Arial" w:hAnsi="Arial" w:cs="Arial"/>
          <w:lang w:val="es-ES"/>
        </w:rPr>
        <w:t xml:space="preserve"> Sala Unitaria de Primera Instancia.</w:t>
      </w:r>
    </w:p>
  </w:footnote>
  <w:footnote w:id="2">
    <w:p w14:paraId="1B889506" w14:textId="185041F8" w:rsidR="00F268B2" w:rsidRPr="00E313C5" w:rsidRDefault="00F268B2" w:rsidP="00F268B2">
      <w:pPr>
        <w:pStyle w:val="Textonotapie"/>
        <w:jc w:val="both"/>
        <w:rPr>
          <w:rFonts w:ascii="Arial" w:hAnsi="Arial" w:cs="Arial"/>
          <w:lang w:val="es-ES"/>
        </w:rPr>
      </w:pPr>
      <w:r w:rsidRPr="00E313C5">
        <w:rPr>
          <w:rStyle w:val="Refdenotaalpie"/>
          <w:rFonts w:ascii="Arial" w:hAnsi="Arial" w:cs="Arial"/>
        </w:rPr>
        <w:footnoteRef/>
      </w:r>
      <w:r w:rsidRPr="00E313C5">
        <w:rPr>
          <w:rFonts w:ascii="Arial" w:hAnsi="Arial" w:cs="Arial"/>
        </w:rPr>
        <w:t xml:space="preserve"> </w:t>
      </w:r>
      <w:r>
        <w:rPr>
          <w:rFonts w:ascii="Arial" w:hAnsi="Arial" w:cs="Arial"/>
          <w:lang w:val="es-ES"/>
        </w:rPr>
        <w:t xml:space="preserve">Consultable de la foja </w:t>
      </w:r>
      <w:r w:rsidR="00B132F0">
        <w:rPr>
          <w:rFonts w:ascii="Arial" w:hAnsi="Arial" w:cs="Arial"/>
          <w:lang w:val="es-ES"/>
        </w:rPr>
        <w:t>21</w:t>
      </w:r>
      <w:r>
        <w:rPr>
          <w:rFonts w:ascii="Arial" w:hAnsi="Arial" w:cs="Arial"/>
          <w:lang w:val="es-ES"/>
        </w:rPr>
        <w:t xml:space="preserve"> (</w:t>
      </w:r>
      <w:r w:rsidR="00B132F0">
        <w:rPr>
          <w:rFonts w:ascii="Arial" w:hAnsi="Arial" w:cs="Arial"/>
          <w:lang w:val="es-ES"/>
        </w:rPr>
        <w:t>veintiuno</w:t>
      </w:r>
      <w:r w:rsidRPr="00E313C5">
        <w:rPr>
          <w:rFonts w:ascii="Arial" w:hAnsi="Arial" w:cs="Arial"/>
          <w:lang w:val="es-ES"/>
        </w:rPr>
        <w:t>)</w:t>
      </w:r>
      <w:r w:rsidR="00B132F0">
        <w:rPr>
          <w:rFonts w:ascii="Arial" w:hAnsi="Arial" w:cs="Arial"/>
          <w:lang w:val="es-ES"/>
        </w:rPr>
        <w:t xml:space="preserve"> a la 24 (veinticuatro</w:t>
      </w:r>
      <w:r>
        <w:rPr>
          <w:rFonts w:ascii="Arial" w:hAnsi="Arial" w:cs="Arial"/>
          <w:lang w:val="es-ES"/>
        </w:rPr>
        <w:t>)</w:t>
      </w:r>
      <w:r w:rsidRPr="00E313C5">
        <w:rPr>
          <w:rFonts w:ascii="Arial" w:hAnsi="Arial" w:cs="Arial"/>
          <w:lang w:val="es-ES"/>
        </w:rPr>
        <w:t xml:space="preserve"> del expediente </w:t>
      </w:r>
      <w:r w:rsidR="00B132F0">
        <w:rPr>
          <w:rFonts w:ascii="Arial" w:hAnsi="Arial" w:cs="Arial"/>
          <w:b/>
          <w:lang w:val="es-ES"/>
        </w:rPr>
        <w:t>0001</w:t>
      </w:r>
      <w:r>
        <w:rPr>
          <w:rFonts w:ascii="Arial" w:hAnsi="Arial" w:cs="Arial"/>
          <w:b/>
          <w:lang w:val="es-ES"/>
        </w:rPr>
        <w:t>/20</w:t>
      </w:r>
      <w:r w:rsidR="00B132F0">
        <w:rPr>
          <w:rFonts w:ascii="Arial" w:hAnsi="Arial" w:cs="Arial"/>
          <w:b/>
          <w:lang w:val="es-ES"/>
        </w:rPr>
        <w:t>2</w:t>
      </w:r>
      <w:r>
        <w:rPr>
          <w:rFonts w:ascii="Arial" w:hAnsi="Arial" w:cs="Arial"/>
          <w:b/>
          <w:lang w:val="es-ES"/>
        </w:rPr>
        <w:t>1</w:t>
      </w:r>
      <w:r>
        <w:rPr>
          <w:rFonts w:ascii="Arial" w:hAnsi="Arial" w:cs="Arial"/>
          <w:lang w:val="es-ES"/>
        </w:rPr>
        <w:t xml:space="preserve"> del índice de la Sexta</w:t>
      </w:r>
      <w:r w:rsidRPr="00E313C5">
        <w:rPr>
          <w:rFonts w:ascii="Arial" w:hAnsi="Arial" w:cs="Arial"/>
          <w:lang w:val="es-ES"/>
        </w:rPr>
        <w:t xml:space="preserve"> Sala de Primera Instancia.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65CD262" w:rsidR="000F5C41" w:rsidRDefault="00E13B48">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E13B48">
          <w:rPr>
            <w:noProof/>
            <w:lang w:val="es-ES"/>
          </w:rPr>
          <w:t>8</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77CC3577" w:rsidR="000F5C41" w:rsidRDefault="00E13B48">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E13B48">
          <w:rPr>
            <w:noProof/>
            <w:lang w:val="es-ES"/>
          </w:rPr>
          <w:t>9</w:t>
        </w:r>
        <w:r w:rsidR="000F5C41">
          <w:fldChar w:fldCharType="end"/>
        </w:r>
      </w:sdtContent>
    </w:sdt>
  </w:p>
  <w:p w14:paraId="51E22156" w14:textId="6F6C5C77" w:rsidR="00655BA3" w:rsidRDefault="00E13B48"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6386204A" wp14:editId="76AD3F90">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2B91B2E4" w14:textId="77777777" w:rsidR="00E13B48" w:rsidRDefault="00E13B48" w:rsidP="00E13B48">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86204A"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2B91B2E4" w14:textId="77777777" w:rsidR="00E13B48" w:rsidRDefault="00E13B48" w:rsidP="00E13B48">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E13B48">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6CC"/>
    <w:rsid w:val="000017DD"/>
    <w:rsid w:val="0000187B"/>
    <w:rsid w:val="00001FA6"/>
    <w:rsid w:val="0000259B"/>
    <w:rsid w:val="00002B85"/>
    <w:rsid w:val="00003193"/>
    <w:rsid w:val="00003CC3"/>
    <w:rsid w:val="00003FDD"/>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5E9F"/>
    <w:rsid w:val="000675A4"/>
    <w:rsid w:val="00067B5A"/>
    <w:rsid w:val="00070777"/>
    <w:rsid w:val="00070AA4"/>
    <w:rsid w:val="00071C6F"/>
    <w:rsid w:val="00071E8C"/>
    <w:rsid w:val="00071F15"/>
    <w:rsid w:val="000728B9"/>
    <w:rsid w:val="00073284"/>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37DB"/>
    <w:rsid w:val="00085132"/>
    <w:rsid w:val="0008514D"/>
    <w:rsid w:val="00085CA7"/>
    <w:rsid w:val="00085F74"/>
    <w:rsid w:val="00087470"/>
    <w:rsid w:val="000875DB"/>
    <w:rsid w:val="000900BD"/>
    <w:rsid w:val="000904A5"/>
    <w:rsid w:val="0009077C"/>
    <w:rsid w:val="00090D7D"/>
    <w:rsid w:val="000910E0"/>
    <w:rsid w:val="00091B93"/>
    <w:rsid w:val="00092EE6"/>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ED"/>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5E5"/>
    <w:rsid w:val="000E3FF4"/>
    <w:rsid w:val="000E40FD"/>
    <w:rsid w:val="000E4AC8"/>
    <w:rsid w:val="000E4C30"/>
    <w:rsid w:val="000E5501"/>
    <w:rsid w:val="000E5766"/>
    <w:rsid w:val="000E5A6B"/>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083E"/>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4591"/>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69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07E6"/>
    <w:rsid w:val="002010A9"/>
    <w:rsid w:val="00201769"/>
    <w:rsid w:val="0020247E"/>
    <w:rsid w:val="002025FD"/>
    <w:rsid w:val="00203FD3"/>
    <w:rsid w:val="0020568B"/>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F3"/>
    <w:rsid w:val="002161AD"/>
    <w:rsid w:val="00216595"/>
    <w:rsid w:val="002165D6"/>
    <w:rsid w:val="00216AB7"/>
    <w:rsid w:val="002170A5"/>
    <w:rsid w:val="00217F57"/>
    <w:rsid w:val="00221687"/>
    <w:rsid w:val="00221709"/>
    <w:rsid w:val="0022187C"/>
    <w:rsid w:val="00222A05"/>
    <w:rsid w:val="00222E1E"/>
    <w:rsid w:val="0022341D"/>
    <w:rsid w:val="0022360E"/>
    <w:rsid w:val="00223F75"/>
    <w:rsid w:val="00224412"/>
    <w:rsid w:val="002246DF"/>
    <w:rsid w:val="002248E9"/>
    <w:rsid w:val="00224CD0"/>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02"/>
    <w:rsid w:val="00256E7D"/>
    <w:rsid w:val="00256F27"/>
    <w:rsid w:val="00257816"/>
    <w:rsid w:val="00257C5E"/>
    <w:rsid w:val="00260433"/>
    <w:rsid w:val="0026116F"/>
    <w:rsid w:val="002614F4"/>
    <w:rsid w:val="002617F9"/>
    <w:rsid w:val="00262666"/>
    <w:rsid w:val="00262D7C"/>
    <w:rsid w:val="00263720"/>
    <w:rsid w:val="002641F2"/>
    <w:rsid w:val="00264AA1"/>
    <w:rsid w:val="00265161"/>
    <w:rsid w:val="00265F1B"/>
    <w:rsid w:val="002665A2"/>
    <w:rsid w:val="00267012"/>
    <w:rsid w:val="00267221"/>
    <w:rsid w:val="00270087"/>
    <w:rsid w:val="00270831"/>
    <w:rsid w:val="0027275E"/>
    <w:rsid w:val="00272A7D"/>
    <w:rsid w:val="00273171"/>
    <w:rsid w:val="00273266"/>
    <w:rsid w:val="002748AA"/>
    <w:rsid w:val="00275418"/>
    <w:rsid w:val="00276159"/>
    <w:rsid w:val="002805AC"/>
    <w:rsid w:val="00280919"/>
    <w:rsid w:val="00281661"/>
    <w:rsid w:val="00281D05"/>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2D70"/>
    <w:rsid w:val="002B3BA3"/>
    <w:rsid w:val="002B4040"/>
    <w:rsid w:val="002B5C09"/>
    <w:rsid w:val="002B5C82"/>
    <w:rsid w:val="002B5E81"/>
    <w:rsid w:val="002B6893"/>
    <w:rsid w:val="002B6B9D"/>
    <w:rsid w:val="002B6C19"/>
    <w:rsid w:val="002B6D0D"/>
    <w:rsid w:val="002B79C4"/>
    <w:rsid w:val="002C01BF"/>
    <w:rsid w:val="002C06FE"/>
    <w:rsid w:val="002C2259"/>
    <w:rsid w:val="002C3470"/>
    <w:rsid w:val="002C348A"/>
    <w:rsid w:val="002C39A6"/>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0FB"/>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9F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16EF"/>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43F"/>
    <w:rsid w:val="003B0A5E"/>
    <w:rsid w:val="003B0AA1"/>
    <w:rsid w:val="003B0AB6"/>
    <w:rsid w:val="003B0AD5"/>
    <w:rsid w:val="003B0B21"/>
    <w:rsid w:val="003B16F0"/>
    <w:rsid w:val="003B210B"/>
    <w:rsid w:val="003B2BC1"/>
    <w:rsid w:val="003B2F00"/>
    <w:rsid w:val="003B354A"/>
    <w:rsid w:val="003B3575"/>
    <w:rsid w:val="003B3697"/>
    <w:rsid w:val="003B373B"/>
    <w:rsid w:val="003B3A74"/>
    <w:rsid w:val="003B4BAF"/>
    <w:rsid w:val="003B5111"/>
    <w:rsid w:val="003B57C3"/>
    <w:rsid w:val="003B609E"/>
    <w:rsid w:val="003B6C7E"/>
    <w:rsid w:val="003B6CF0"/>
    <w:rsid w:val="003B757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1B0"/>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4FCD"/>
    <w:rsid w:val="0041540D"/>
    <w:rsid w:val="0041584F"/>
    <w:rsid w:val="00415924"/>
    <w:rsid w:val="004165A7"/>
    <w:rsid w:val="00416D45"/>
    <w:rsid w:val="00416F89"/>
    <w:rsid w:val="00417B7B"/>
    <w:rsid w:val="004211BE"/>
    <w:rsid w:val="0042205F"/>
    <w:rsid w:val="00423C26"/>
    <w:rsid w:val="00423E43"/>
    <w:rsid w:val="00424839"/>
    <w:rsid w:val="00424D35"/>
    <w:rsid w:val="004256FF"/>
    <w:rsid w:val="004258D6"/>
    <w:rsid w:val="004264F9"/>
    <w:rsid w:val="00426777"/>
    <w:rsid w:val="004269A6"/>
    <w:rsid w:val="00427031"/>
    <w:rsid w:val="00427142"/>
    <w:rsid w:val="00427899"/>
    <w:rsid w:val="00427DBB"/>
    <w:rsid w:val="00427FBB"/>
    <w:rsid w:val="00430399"/>
    <w:rsid w:val="00430E42"/>
    <w:rsid w:val="0043209C"/>
    <w:rsid w:val="004322A6"/>
    <w:rsid w:val="00432A71"/>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555"/>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265C"/>
    <w:rsid w:val="004B4654"/>
    <w:rsid w:val="004B5540"/>
    <w:rsid w:val="004B5F62"/>
    <w:rsid w:val="004B6800"/>
    <w:rsid w:val="004B69CB"/>
    <w:rsid w:val="004B6B98"/>
    <w:rsid w:val="004B748E"/>
    <w:rsid w:val="004B7C5E"/>
    <w:rsid w:val="004C05E4"/>
    <w:rsid w:val="004C1578"/>
    <w:rsid w:val="004C1927"/>
    <w:rsid w:val="004C2276"/>
    <w:rsid w:val="004C3A42"/>
    <w:rsid w:val="004C415F"/>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2F0B"/>
    <w:rsid w:val="004F421C"/>
    <w:rsid w:val="004F4289"/>
    <w:rsid w:val="004F48BF"/>
    <w:rsid w:val="004F5821"/>
    <w:rsid w:val="004F674E"/>
    <w:rsid w:val="004F6C74"/>
    <w:rsid w:val="004F7B3C"/>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97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1B5D"/>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8B5"/>
    <w:rsid w:val="005D4EDA"/>
    <w:rsid w:val="005D58F0"/>
    <w:rsid w:val="005D65FC"/>
    <w:rsid w:val="005D6747"/>
    <w:rsid w:val="005D6918"/>
    <w:rsid w:val="005E08EE"/>
    <w:rsid w:val="005E3A57"/>
    <w:rsid w:val="005E3BA2"/>
    <w:rsid w:val="005E40A8"/>
    <w:rsid w:val="005E521F"/>
    <w:rsid w:val="005E5F15"/>
    <w:rsid w:val="005E7897"/>
    <w:rsid w:val="005F0996"/>
    <w:rsid w:val="005F1394"/>
    <w:rsid w:val="005F156F"/>
    <w:rsid w:val="005F1C5A"/>
    <w:rsid w:val="005F1D9F"/>
    <w:rsid w:val="005F2084"/>
    <w:rsid w:val="005F2179"/>
    <w:rsid w:val="005F286D"/>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689"/>
    <w:rsid w:val="00656C6E"/>
    <w:rsid w:val="00660B82"/>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1DA"/>
    <w:rsid w:val="006747AB"/>
    <w:rsid w:val="00676465"/>
    <w:rsid w:val="006775C4"/>
    <w:rsid w:val="0068056E"/>
    <w:rsid w:val="00680E31"/>
    <w:rsid w:val="00681AC1"/>
    <w:rsid w:val="00681EE7"/>
    <w:rsid w:val="00682165"/>
    <w:rsid w:val="00683178"/>
    <w:rsid w:val="0068325D"/>
    <w:rsid w:val="00684F50"/>
    <w:rsid w:val="00685785"/>
    <w:rsid w:val="0068638C"/>
    <w:rsid w:val="00686F6A"/>
    <w:rsid w:val="00687828"/>
    <w:rsid w:val="00687BEB"/>
    <w:rsid w:val="00691515"/>
    <w:rsid w:val="00692673"/>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0D0A"/>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6CC"/>
    <w:rsid w:val="00771AF2"/>
    <w:rsid w:val="007722CF"/>
    <w:rsid w:val="00772E06"/>
    <w:rsid w:val="00773C44"/>
    <w:rsid w:val="00774396"/>
    <w:rsid w:val="007743DD"/>
    <w:rsid w:val="00775335"/>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26"/>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6765"/>
    <w:rsid w:val="007D7816"/>
    <w:rsid w:val="007E1E1A"/>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3F24"/>
    <w:rsid w:val="008155CB"/>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411F"/>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57E00"/>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3F4A"/>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820"/>
    <w:rsid w:val="008C7C52"/>
    <w:rsid w:val="008D1236"/>
    <w:rsid w:val="008D1EDE"/>
    <w:rsid w:val="008D2167"/>
    <w:rsid w:val="008D32AD"/>
    <w:rsid w:val="008D3620"/>
    <w:rsid w:val="008D458F"/>
    <w:rsid w:val="008D52D9"/>
    <w:rsid w:val="008D6772"/>
    <w:rsid w:val="008D7AC6"/>
    <w:rsid w:val="008D7AD1"/>
    <w:rsid w:val="008E02E6"/>
    <w:rsid w:val="008E08A8"/>
    <w:rsid w:val="008E0B04"/>
    <w:rsid w:val="008E15B5"/>
    <w:rsid w:val="008E1606"/>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A59"/>
    <w:rsid w:val="00923E83"/>
    <w:rsid w:val="00923FD8"/>
    <w:rsid w:val="009250CB"/>
    <w:rsid w:val="00925893"/>
    <w:rsid w:val="00926AC7"/>
    <w:rsid w:val="00926FCD"/>
    <w:rsid w:val="00927607"/>
    <w:rsid w:val="0093141F"/>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6B3"/>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5BAB"/>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47D"/>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51FB"/>
    <w:rsid w:val="009E646B"/>
    <w:rsid w:val="009E70B7"/>
    <w:rsid w:val="009E7B07"/>
    <w:rsid w:val="009F050C"/>
    <w:rsid w:val="009F1587"/>
    <w:rsid w:val="009F344F"/>
    <w:rsid w:val="009F3537"/>
    <w:rsid w:val="009F3962"/>
    <w:rsid w:val="009F3A8E"/>
    <w:rsid w:val="009F3B12"/>
    <w:rsid w:val="009F4300"/>
    <w:rsid w:val="009F46F3"/>
    <w:rsid w:val="009F4CDD"/>
    <w:rsid w:val="009F52DB"/>
    <w:rsid w:val="009F5420"/>
    <w:rsid w:val="009F5F75"/>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47B"/>
    <w:rsid w:val="00A17A7F"/>
    <w:rsid w:val="00A202FC"/>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5B7E"/>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0F"/>
    <w:rsid w:val="00AB00F1"/>
    <w:rsid w:val="00AB0CE7"/>
    <w:rsid w:val="00AB11B8"/>
    <w:rsid w:val="00AB22DC"/>
    <w:rsid w:val="00AB3569"/>
    <w:rsid w:val="00AB45BF"/>
    <w:rsid w:val="00AB4803"/>
    <w:rsid w:val="00AB511E"/>
    <w:rsid w:val="00AB5C16"/>
    <w:rsid w:val="00AB5C8E"/>
    <w:rsid w:val="00AB628D"/>
    <w:rsid w:val="00AC00B1"/>
    <w:rsid w:val="00AC0229"/>
    <w:rsid w:val="00AC12CF"/>
    <w:rsid w:val="00AC154D"/>
    <w:rsid w:val="00AC2548"/>
    <w:rsid w:val="00AC3C32"/>
    <w:rsid w:val="00AC3DB8"/>
    <w:rsid w:val="00AC648A"/>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2EF"/>
    <w:rsid w:val="00AE4CFF"/>
    <w:rsid w:val="00AE4E46"/>
    <w:rsid w:val="00AE52B0"/>
    <w:rsid w:val="00AE54F8"/>
    <w:rsid w:val="00AE5C7F"/>
    <w:rsid w:val="00AF1629"/>
    <w:rsid w:val="00AF2172"/>
    <w:rsid w:val="00AF3B8C"/>
    <w:rsid w:val="00AF3E80"/>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574D"/>
    <w:rsid w:val="00B0768C"/>
    <w:rsid w:val="00B10264"/>
    <w:rsid w:val="00B1212B"/>
    <w:rsid w:val="00B125A0"/>
    <w:rsid w:val="00B13177"/>
    <w:rsid w:val="00B132F0"/>
    <w:rsid w:val="00B13E8D"/>
    <w:rsid w:val="00B151C4"/>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67CE"/>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678"/>
    <w:rsid w:val="00B64DB8"/>
    <w:rsid w:val="00B6596E"/>
    <w:rsid w:val="00B65D72"/>
    <w:rsid w:val="00B661AF"/>
    <w:rsid w:val="00B6786A"/>
    <w:rsid w:val="00B67AA4"/>
    <w:rsid w:val="00B7058E"/>
    <w:rsid w:val="00B70EC1"/>
    <w:rsid w:val="00B70F1D"/>
    <w:rsid w:val="00B7103E"/>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4F0"/>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26AE"/>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6DC2"/>
    <w:rsid w:val="00BD71F1"/>
    <w:rsid w:val="00BD74CF"/>
    <w:rsid w:val="00BE1BBE"/>
    <w:rsid w:val="00BE2C9F"/>
    <w:rsid w:val="00BE36D5"/>
    <w:rsid w:val="00BE4FDC"/>
    <w:rsid w:val="00BE6056"/>
    <w:rsid w:val="00BE6217"/>
    <w:rsid w:val="00BE6785"/>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0E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57C51"/>
    <w:rsid w:val="00C603A5"/>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A82"/>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A6EFF"/>
    <w:rsid w:val="00CB1AC1"/>
    <w:rsid w:val="00CB26F2"/>
    <w:rsid w:val="00CB2A1D"/>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167D"/>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4B2"/>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16A74"/>
    <w:rsid w:val="00D20368"/>
    <w:rsid w:val="00D209D8"/>
    <w:rsid w:val="00D20B6C"/>
    <w:rsid w:val="00D20DAB"/>
    <w:rsid w:val="00D2186C"/>
    <w:rsid w:val="00D21FA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3BC"/>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676"/>
    <w:rsid w:val="00DE1E31"/>
    <w:rsid w:val="00DE2C26"/>
    <w:rsid w:val="00DE2CFB"/>
    <w:rsid w:val="00DE414D"/>
    <w:rsid w:val="00DE4C11"/>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0746F"/>
    <w:rsid w:val="00E1063D"/>
    <w:rsid w:val="00E10676"/>
    <w:rsid w:val="00E10E12"/>
    <w:rsid w:val="00E119EA"/>
    <w:rsid w:val="00E11DFA"/>
    <w:rsid w:val="00E123BB"/>
    <w:rsid w:val="00E12B19"/>
    <w:rsid w:val="00E12DB1"/>
    <w:rsid w:val="00E13856"/>
    <w:rsid w:val="00E13B48"/>
    <w:rsid w:val="00E13E2F"/>
    <w:rsid w:val="00E14C82"/>
    <w:rsid w:val="00E15278"/>
    <w:rsid w:val="00E156FD"/>
    <w:rsid w:val="00E1582A"/>
    <w:rsid w:val="00E158E9"/>
    <w:rsid w:val="00E15B98"/>
    <w:rsid w:val="00E16411"/>
    <w:rsid w:val="00E16654"/>
    <w:rsid w:val="00E17B49"/>
    <w:rsid w:val="00E17DE3"/>
    <w:rsid w:val="00E17F03"/>
    <w:rsid w:val="00E20346"/>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5DC3"/>
    <w:rsid w:val="00EE71BF"/>
    <w:rsid w:val="00EE73E5"/>
    <w:rsid w:val="00EE7B44"/>
    <w:rsid w:val="00EE7D04"/>
    <w:rsid w:val="00EE7FB9"/>
    <w:rsid w:val="00EF09AC"/>
    <w:rsid w:val="00EF1431"/>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8B2"/>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3F55"/>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7C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B46"/>
    <w:rsid w:val="00FA3C84"/>
    <w:rsid w:val="00FA46ED"/>
    <w:rsid w:val="00FA4A5E"/>
    <w:rsid w:val="00FA4B22"/>
    <w:rsid w:val="00FA5829"/>
    <w:rsid w:val="00FA746C"/>
    <w:rsid w:val="00FA7B8D"/>
    <w:rsid w:val="00FB0C83"/>
    <w:rsid w:val="00FB1043"/>
    <w:rsid w:val="00FB20F3"/>
    <w:rsid w:val="00FB43AC"/>
    <w:rsid w:val="00FB47EA"/>
    <w:rsid w:val="00FB567E"/>
    <w:rsid w:val="00FB5DA1"/>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0E0"/>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3CBC"/>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B0574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B0574D"/>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03206779">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656571063">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D9C1C5-CDEA-42D6-8C0D-C3FFB27FD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1646</TotalTime>
  <Pages>9</Pages>
  <Words>2833</Words>
  <Characters>15584</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38</cp:revision>
  <cp:lastPrinted>2022-10-18T19:02:00Z</cp:lastPrinted>
  <dcterms:created xsi:type="dcterms:W3CDTF">2021-02-11T19:49:00Z</dcterms:created>
  <dcterms:modified xsi:type="dcterms:W3CDTF">2023-02-24T18:24:00Z</dcterms:modified>
</cp:coreProperties>
</file>