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00C902" w14:textId="77777777" w:rsidR="004B768F" w:rsidRDefault="004B768F" w:rsidP="004B768F">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14:paraId="2C2C07C0" w14:textId="77777777" w:rsidR="004B768F" w:rsidRDefault="004B768F" w:rsidP="004B768F">
      <w:pPr>
        <w:spacing w:line="360" w:lineRule="auto"/>
        <w:jc w:val="both"/>
        <w:rPr>
          <w:rFonts w:ascii="Arial" w:hAnsi="Arial" w:cs="Arial"/>
          <w:b/>
          <w:sz w:val="24"/>
          <w:szCs w:val="24"/>
        </w:rPr>
      </w:pPr>
      <w:r>
        <w:rPr>
          <w:rFonts w:ascii="Arial" w:hAnsi="Arial" w:cs="Arial"/>
          <w:b/>
          <w:sz w:val="24"/>
          <w:szCs w:val="24"/>
        </w:rPr>
        <w:t xml:space="preserve">OAXACA DE JUÁREZ, OAXACA; A </w:t>
      </w:r>
      <w:r w:rsidR="00413B0F">
        <w:rPr>
          <w:rFonts w:ascii="Arial" w:hAnsi="Arial" w:cs="Arial"/>
          <w:b/>
          <w:sz w:val="24"/>
          <w:szCs w:val="24"/>
        </w:rPr>
        <w:t>DIECINUEVE</w:t>
      </w:r>
      <w:r>
        <w:rPr>
          <w:rFonts w:ascii="Arial" w:hAnsi="Arial" w:cs="Arial"/>
          <w:b/>
          <w:sz w:val="24"/>
          <w:szCs w:val="24"/>
        </w:rPr>
        <w:t xml:space="preserve"> DE NOVIEMBRE DE DOS MIL DIECINUEVE (1</w:t>
      </w:r>
      <w:r w:rsidR="00413B0F">
        <w:rPr>
          <w:rFonts w:ascii="Arial" w:hAnsi="Arial" w:cs="Arial"/>
          <w:b/>
          <w:sz w:val="24"/>
          <w:szCs w:val="24"/>
        </w:rPr>
        <w:t>9</w:t>
      </w:r>
      <w:r>
        <w:rPr>
          <w:rFonts w:ascii="Arial" w:hAnsi="Arial" w:cs="Arial"/>
          <w:b/>
          <w:sz w:val="24"/>
          <w:szCs w:val="24"/>
        </w:rPr>
        <w:t xml:space="preserve">/11/2019). - - - - - - - - - - - - - - - - - - - - - - - - - - - - </w:t>
      </w:r>
    </w:p>
    <w:p w14:paraId="3032292B" w14:textId="3CA02321" w:rsidR="004B768F" w:rsidRDefault="004B768F" w:rsidP="004B768F">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004/2019, promovido por </w:t>
      </w:r>
      <w:r w:rsidR="00112181">
        <w:rPr>
          <w:rFonts w:ascii="Arial" w:hAnsi="Arial" w:cs="Arial"/>
          <w:sz w:val="24"/>
          <w:szCs w:val="24"/>
        </w:rPr>
        <w:t>***** ***** ***** *****</w:t>
      </w:r>
      <w:r>
        <w:rPr>
          <w:rFonts w:ascii="Arial" w:hAnsi="Arial" w:cs="Arial"/>
          <w:sz w:val="24"/>
          <w:szCs w:val="24"/>
        </w:rPr>
        <w:t xml:space="preserve">, solicitando la nulidad de la resolución contenida en el oficio número </w:t>
      </w:r>
      <w:r w:rsidR="00112181">
        <w:rPr>
          <w:rFonts w:ascii="Arial" w:hAnsi="Arial" w:cs="Arial"/>
          <w:sz w:val="24"/>
          <w:szCs w:val="24"/>
        </w:rPr>
        <w:t>FP/IPSP/ST/****/2018</w:t>
      </w:r>
      <w:r>
        <w:rPr>
          <w:rFonts w:ascii="Arial" w:hAnsi="Arial" w:cs="Arial"/>
          <w:sz w:val="24"/>
          <w:szCs w:val="24"/>
        </w:rPr>
        <w:t xml:space="preserve">, de fecha diecinueve de diciembre de dos mil dieciocho (19/12/2018), suscrito por el Secretario Técnico del Comité Técnico del Fondo de Pensiones y Director General de la Oficina de Pensiones del Estado de Oaxaca, mediante el cual negó la pensión por fallecimiento del extinto </w:t>
      </w:r>
      <w:r w:rsidR="00706AB7">
        <w:rPr>
          <w:rFonts w:ascii="Arial" w:hAnsi="Arial" w:cs="Arial"/>
          <w:sz w:val="24"/>
          <w:szCs w:val="24"/>
        </w:rPr>
        <w:t>***** ***** *****</w:t>
      </w:r>
      <w:r>
        <w:rPr>
          <w:rFonts w:ascii="Arial" w:hAnsi="Arial" w:cs="Arial"/>
          <w:sz w:val="24"/>
          <w:szCs w:val="24"/>
        </w:rPr>
        <w:t xml:space="preserve">; y, - </w:t>
      </w:r>
      <w:r w:rsidR="00112181">
        <w:rPr>
          <w:rFonts w:ascii="Arial" w:hAnsi="Arial" w:cs="Arial"/>
          <w:sz w:val="24"/>
          <w:szCs w:val="24"/>
        </w:rPr>
        <w:t xml:space="preserve">- - - - - - - - - - - - - - - - - - - - - - - - - - - </w:t>
      </w:r>
      <w:r w:rsidR="00706AB7">
        <w:rPr>
          <w:rFonts w:ascii="Arial" w:hAnsi="Arial" w:cs="Arial"/>
          <w:sz w:val="24"/>
          <w:szCs w:val="24"/>
        </w:rPr>
        <w:t xml:space="preserve"> - - - - - - - - - - </w:t>
      </w:r>
    </w:p>
    <w:p w14:paraId="0F6216FD" w14:textId="77777777" w:rsidR="004B768F" w:rsidRDefault="004B768F" w:rsidP="004B768F">
      <w:pPr>
        <w:spacing w:line="360" w:lineRule="auto"/>
        <w:jc w:val="center"/>
        <w:rPr>
          <w:rFonts w:ascii="Arial" w:hAnsi="Arial" w:cs="Arial"/>
          <w:b/>
          <w:sz w:val="24"/>
          <w:szCs w:val="24"/>
        </w:rPr>
      </w:pPr>
      <w:r>
        <w:rPr>
          <w:rFonts w:ascii="Arial" w:hAnsi="Arial" w:cs="Arial"/>
          <w:b/>
          <w:sz w:val="24"/>
          <w:szCs w:val="24"/>
        </w:rPr>
        <w:t>R E S U L T A N D O</w:t>
      </w:r>
    </w:p>
    <w:p w14:paraId="41189C83" w14:textId="77777777" w:rsidR="004B768F" w:rsidRDefault="004B768F" w:rsidP="004B768F">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veinticinco de enero de dos mil diecinueve (25/01/2019), se recibió el escrito de demanda en la Oficialía de Partes de este Tribunal y con fecha veintiocho del mismo mes y año (28/01/2019) se tuvo por admitida a trámite, ordenándose emplazar a Juicio a la autoridad demandada y tercero afectado. - - - - - - - - - - - - - - - - - - - - - - - - - - - - - - - - </w:t>
      </w:r>
      <w:r w:rsidR="00413B0F">
        <w:rPr>
          <w:rFonts w:ascii="Arial" w:hAnsi="Arial" w:cs="Arial"/>
          <w:sz w:val="24"/>
          <w:szCs w:val="24"/>
        </w:rPr>
        <w:t xml:space="preserve">- </w:t>
      </w:r>
    </w:p>
    <w:p w14:paraId="683914B2" w14:textId="77777777" w:rsidR="004B768F" w:rsidRDefault="004B768F" w:rsidP="004B768F">
      <w:pPr>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C</w:t>
      </w:r>
      <w:r w:rsidRPr="0006170D">
        <w:rPr>
          <w:rFonts w:ascii="Arial" w:hAnsi="Arial" w:cs="Arial"/>
          <w:sz w:val="24"/>
          <w:szCs w:val="24"/>
        </w:rPr>
        <w:t>on fecha</w:t>
      </w:r>
      <w:r>
        <w:rPr>
          <w:rFonts w:ascii="Arial" w:hAnsi="Arial" w:cs="Arial"/>
          <w:sz w:val="24"/>
          <w:szCs w:val="24"/>
        </w:rPr>
        <w:t xml:space="preserve"> uno de marzo de dos mil diecinueve (01/03/2019), se tuvo a la autoridad demandada Secretario Técnico del Comité Técnico del Fondo de Pensiones y Director General de la Oficina de Pensiones del Estado de Oaxaca, contestando en tiempo la demanda, y por lo que respecta al tercero afectado </w:t>
      </w:r>
      <w:proofErr w:type="gramStart"/>
      <w:r>
        <w:rPr>
          <w:rFonts w:ascii="Arial" w:hAnsi="Arial" w:cs="Arial"/>
          <w:sz w:val="24"/>
          <w:szCs w:val="24"/>
        </w:rPr>
        <w:t>Director</w:t>
      </w:r>
      <w:proofErr w:type="gramEnd"/>
      <w:r>
        <w:rPr>
          <w:rFonts w:ascii="Arial" w:hAnsi="Arial" w:cs="Arial"/>
          <w:sz w:val="24"/>
          <w:szCs w:val="24"/>
        </w:rPr>
        <w:t xml:space="preserve"> de la Policía Vial Estatal, se le tuvo por perdido su derecho para apersonarse al Juicio, toda vez que lo hizo de manera extemporánea; por lo que con fecha veintiocho de mayo de dos mil diecinueve (28/05/2019), se señaló fecha y hora para el desahogo de la audiencia final. - - - - - - - - - - - - - - - - - - - - - - - - - - - - - - - - - - - - - - - - </w:t>
      </w:r>
      <w:r w:rsidR="00ED2A23">
        <w:rPr>
          <w:rFonts w:ascii="Arial" w:hAnsi="Arial" w:cs="Arial"/>
          <w:sz w:val="24"/>
          <w:szCs w:val="24"/>
        </w:rPr>
        <w:t>- - - - -</w:t>
      </w:r>
    </w:p>
    <w:p w14:paraId="70DBD8F6" w14:textId="77777777" w:rsidR="004B768F" w:rsidRDefault="004B768F" w:rsidP="004B768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dieciocho de septiembre de dos mil diecinueve (18/09/2019), </w:t>
      </w:r>
      <w:r w:rsidR="00F652B5">
        <w:rPr>
          <w:rFonts w:ascii="Arial" w:hAnsi="Arial" w:cs="Arial"/>
          <w:sz w:val="24"/>
          <w:szCs w:val="24"/>
        </w:rPr>
        <w:t>se celebró</w:t>
      </w:r>
      <w:r>
        <w:rPr>
          <w:rFonts w:ascii="Arial" w:hAnsi="Arial" w:cs="Arial"/>
          <w:sz w:val="24"/>
          <w:szCs w:val="24"/>
        </w:rPr>
        <w:t xml:space="preserve">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actora, quedando el asunto integrado y en estado de resolución; y, - - - </w:t>
      </w:r>
    </w:p>
    <w:p w14:paraId="3D1F4F93" w14:textId="77777777" w:rsidR="004B768F" w:rsidRDefault="004B768F" w:rsidP="004B768F">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753C9E21" w14:textId="77777777" w:rsidR="004B768F" w:rsidRDefault="004B768F" w:rsidP="004B768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w:t>
      </w:r>
      <w:r>
        <w:rPr>
          <w:rFonts w:ascii="Arial" w:hAnsi="Arial" w:cs="Arial"/>
          <w:sz w:val="24"/>
          <w:szCs w:val="24"/>
        </w:rPr>
        <w:lastRenderedPageBreak/>
        <w:t xml:space="preserve">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F652B5">
        <w:rPr>
          <w:rFonts w:ascii="Arial" w:hAnsi="Arial" w:cs="Arial"/>
          <w:sz w:val="24"/>
          <w:szCs w:val="24"/>
        </w:rPr>
        <w:t>- - - -</w:t>
      </w:r>
    </w:p>
    <w:p w14:paraId="318B4F20" w14:textId="77777777" w:rsidR="004B768F" w:rsidRPr="00F17911" w:rsidRDefault="004B768F" w:rsidP="004B768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 xml:space="preserve">testimonial, y demás pruebas, quedarán  a la prudente y razonada </w:t>
      </w:r>
      <w:r w:rsidRPr="00F17911">
        <w:rPr>
          <w:rFonts w:ascii="Arial" w:hAnsi="Arial" w:cs="Arial"/>
          <w:sz w:val="24"/>
          <w:szCs w:val="24"/>
        </w:rPr>
        <w:t>apreciación del juzgador.</w:t>
      </w:r>
    </w:p>
    <w:p w14:paraId="48675145" w14:textId="2DF8D2F9" w:rsidR="004B768F" w:rsidRPr="00BC1741" w:rsidRDefault="004B768F" w:rsidP="004B768F">
      <w:pPr>
        <w:spacing w:line="360" w:lineRule="auto"/>
        <w:ind w:firstLine="708"/>
        <w:jc w:val="both"/>
        <w:rPr>
          <w:rFonts w:ascii="Arial" w:hAnsi="Arial" w:cs="Arial"/>
          <w:sz w:val="24"/>
          <w:szCs w:val="24"/>
        </w:rPr>
      </w:pPr>
      <w:r w:rsidRPr="00F7433D">
        <w:rPr>
          <w:rFonts w:ascii="Arial" w:hAnsi="Arial" w:cs="Arial"/>
          <w:sz w:val="24"/>
          <w:szCs w:val="24"/>
        </w:rPr>
        <w:t xml:space="preserve">Las pruebas DOCUMENTALES ofrecidas </w:t>
      </w:r>
      <w:r>
        <w:rPr>
          <w:rFonts w:ascii="Arial" w:hAnsi="Arial" w:cs="Arial"/>
          <w:sz w:val="24"/>
          <w:szCs w:val="24"/>
        </w:rPr>
        <w:t xml:space="preserve">y admitidas a </w:t>
      </w:r>
      <w:r w:rsidRPr="00F7433D">
        <w:rPr>
          <w:rFonts w:ascii="Arial" w:hAnsi="Arial" w:cs="Arial"/>
          <w:sz w:val="24"/>
          <w:szCs w:val="24"/>
        </w:rPr>
        <w:t xml:space="preserve">la parte </w:t>
      </w:r>
      <w:r w:rsidRPr="00F7433D">
        <w:rPr>
          <w:rFonts w:ascii="Arial" w:hAnsi="Arial" w:cs="Arial"/>
          <w:sz w:val="24"/>
          <w:szCs w:val="24"/>
          <w:u w:val="single"/>
        </w:rPr>
        <w:t>actora</w:t>
      </w:r>
      <w:r w:rsidRPr="00F7433D">
        <w:rPr>
          <w:rFonts w:ascii="Arial" w:hAnsi="Arial" w:cs="Arial"/>
          <w:sz w:val="24"/>
          <w:szCs w:val="24"/>
        </w:rPr>
        <w:t xml:space="preserve"> </w:t>
      </w:r>
      <w:r w:rsidR="00112181">
        <w:rPr>
          <w:rFonts w:ascii="Arial" w:hAnsi="Arial" w:cs="Arial"/>
          <w:sz w:val="24"/>
          <w:szCs w:val="24"/>
        </w:rPr>
        <w:t>***** ***** ***** *****</w:t>
      </w:r>
      <w:r w:rsidRPr="00F7433D">
        <w:rPr>
          <w:rFonts w:ascii="Arial" w:hAnsi="Arial" w:cs="Arial"/>
          <w:sz w:val="24"/>
          <w:szCs w:val="24"/>
        </w:rPr>
        <w:t xml:space="preserve">, consisten en: </w:t>
      </w:r>
      <w:r w:rsidRPr="001C142B">
        <w:rPr>
          <w:rFonts w:ascii="Arial" w:hAnsi="Arial" w:cs="Arial"/>
          <w:b/>
          <w:sz w:val="24"/>
          <w:szCs w:val="24"/>
        </w:rPr>
        <w:t>1.-</w:t>
      </w:r>
      <w:r>
        <w:rPr>
          <w:rFonts w:ascii="Arial" w:hAnsi="Arial" w:cs="Arial"/>
          <w:sz w:val="24"/>
          <w:szCs w:val="24"/>
        </w:rPr>
        <w:t xml:space="preserve"> Copia simple de escrito que contiene un sello de recibido del Departamento de Prestaciones de las Instituciones Policiales, de la Oficina de Pensiones del Estado de Oaxaca de fecha diez de diciembre de dos mil dieciocho (10/12/2018), mediante el cual la actora solicitó pensión para sus menores hijos por fallecimiento de su concubino </w:t>
      </w:r>
      <w:r w:rsidR="00703248">
        <w:rPr>
          <w:rFonts w:ascii="Arial" w:hAnsi="Arial" w:cs="Arial"/>
          <w:sz w:val="24"/>
          <w:szCs w:val="24"/>
        </w:rPr>
        <w:t>***** ***** *****</w:t>
      </w:r>
      <w:r>
        <w:rPr>
          <w:rFonts w:ascii="Arial" w:hAnsi="Arial" w:cs="Arial"/>
          <w:sz w:val="24"/>
          <w:szCs w:val="24"/>
        </w:rPr>
        <w:t xml:space="preserve">; </w:t>
      </w:r>
      <w:r w:rsidRPr="003B025E">
        <w:rPr>
          <w:rFonts w:ascii="Arial" w:hAnsi="Arial" w:cs="Arial"/>
          <w:b/>
          <w:sz w:val="24"/>
          <w:szCs w:val="24"/>
        </w:rPr>
        <w:t>2.-</w:t>
      </w:r>
      <w:r>
        <w:rPr>
          <w:rFonts w:ascii="Arial" w:hAnsi="Arial" w:cs="Arial"/>
          <w:sz w:val="24"/>
          <w:szCs w:val="24"/>
        </w:rPr>
        <w:t xml:space="preserve"> Original de oficio </w:t>
      </w:r>
      <w:r w:rsidR="00112181">
        <w:rPr>
          <w:rFonts w:ascii="Arial" w:hAnsi="Arial" w:cs="Arial"/>
          <w:sz w:val="24"/>
          <w:szCs w:val="24"/>
        </w:rPr>
        <w:t>FP/IPSP/ST/****/2018</w:t>
      </w:r>
      <w:r>
        <w:rPr>
          <w:rFonts w:ascii="Arial" w:hAnsi="Arial" w:cs="Arial"/>
          <w:sz w:val="24"/>
          <w:szCs w:val="24"/>
        </w:rPr>
        <w:t xml:space="preserve">, expedido con fecha diecinueve de diciembre de dos mil dieciocho(19/12/2018), por el Director General de la Oficina de Pensiones, negando la pensión solicitada por la actora (acto impugnado); </w:t>
      </w:r>
      <w:r>
        <w:rPr>
          <w:rFonts w:ascii="Arial" w:hAnsi="Arial" w:cs="Arial"/>
          <w:b/>
          <w:sz w:val="24"/>
          <w:szCs w:val="24"/>
        </w:rPr>
        <w:t>3</w:t>
      </w:r>
      <w:r w:rsidRPr="00F74B6E">
        <w:rPr>
          <w:rFonts w:ascii="Arial" w:hAnsi="Arial" w:cs="Arial"/>
          <w:b/>
          <w:sz w:val="24"/>
          <w:szCs w:val="24"/>
        </w:rPr>
        <w:t>-</w:t>
      </w:r>
      <w:r>
        <w:rPr>
          <w:rFonts w:ascii="Arial" w:hAnsi="Arial" w:cs="Arial"/>
          <w:sz w:val="24"/>
          <w:szCs w:val="24"/>
        </w:rPr>
        <w:t xml:space="preserve"> Escrito que contiene un sello de recibido por la Dirección General de la Oficina de Pensiones del Estado de Oaxaca de fecha veinticuatro de enero de dos mil diecinueve (24/01/2019), mediante el cual la actora solicito copia certificada de la constancia de notificación del acto aquí impugnado; </w:t>
      </w:r>
      <w:r>
        <w:rPr>
          <w:rFonts w:ascii="Arial" w:hAnsi="Arial" w:cs="Arial"/>
          <w:b/>
          <w:sz w:val="24"/>
          <w:szCs w:val="24"/>
        </w:rPr>
        <w:t xml:space="preserve">4.- </w:t>
      </w:r>
      <w:r w:rsidRPr="00EE2F97">
        <w:rPr>
          <w:rFonts w:ascii="Arial" w:hAnsi="Arial" w:cs="Arial"/>
          <w:sz w:val="24"/>
          <w:szCs w:val="24"/>
        </w:rPr>
        <w:t>Original de Atestado</w:t>
      </w:r>
      <w:r>
        <w:rPr>
          <w:rFonts w:ascii="Arial" w:hAnsi="Arial" w:cs="Arial"/>
          <w:sz w:val="24"/>
          <w:szCs w:val="24"/>
        </w:rPr>
        <w:t xml:space="preserve"> de defunción, expedido por la Oficialía del Registro Civil del Municipio de Santo Domingo Tehuantepec, Oaxaca, respecto del finado </w:t>
      </w:r>
      <w:r w:rsidR="00706AB7">
        <w:rPr>
          <w:rFonts w:ascii="Arial" w:hAnsi="Arial" w:cs="Arial"/>
          <w:sz w:val="24"/>
          <w:szCs w:val="24"/>
        </w:rPr>
        <w:t>***** ***** *****</w:t>
      </w:r>
      <w:r>
        <w:rPr>
          <w:rFonts w:ascii="Arial" w:hAnsi="Arial" w:cs="Arial"/>
          <w:sz w:val="24"/>
          <w:szCs w:val="24"/>
        </w:rPr>
        <w:t xml:space="preserve">; </w:t>
      </w:r>
      <w:r>
        <w:rPr>
          <w:rFonts w:ascii="Arial" w:hAnsi="Arial" w:cs="Arial"/>
          <w:b/>
          <w:sz w:val="24"/>
          <w:szCs w:val="24"/>
        </w:rPr>
        <w:t>5.-</w:t>
      </w:r>
      <w:r w:rsidRPr="00917F49">
        <w:rPr>
          <w:rFonts w:ascii="Arial" w:hAnsi="Arial" w:cs="Arial"/>
          <w:sz w:val="24"/>
          <w:szCs w:val="24"/>
        </w:rPr>
        <w:t xml:space="preserve"> Copia simple de </w:t>
      </w:r>
      <w:r>
        <w:rPr>
          <w:rFonts w:ascii="Arial" w:hAnsi="Arial" w:cs="Arial"/>
          <w:sz w:val="24"/>
          <w:szCs w:val="24"/>
        </w:rPr>
        <w:t xml:space="preserve">credencial para votar con fotografía expedida a favor del hoy extinto </w:t>
      </w:r>
      <w:r w:rsidR="00706AB7">
        <w:rPr>
          <w:rFonts w:ascii="Arial" w:hAnsi="Arial" w:cs="Arial"/>
          <w:sz w:val="24"/>
          <w:szCs w:val="24"/>
        </w:rPr>
        <w:t>***** ***** *****</w:t>
      </w:r>
      <w:r>
        <w:rPr>
          <w:rFonts w:ascii="Arial" w:hAnsi="Arial" w:cs="Arial"/>
          <w:sz w:val="24"/>
          <w:szCs w:val="24"/>
        </w:rPr>
        <w:t xml:space="preserve">; </w:t>
      </w:r>
      <w:r>
        <w:rPr>
          <w:rFonts w:ascii="Arial" w:hAnsi="Arial" w:cs="Arial"/>
          <w:b/>
          <w:sz w:val="24"/>
          <w:szCs w:val="24"/>
        </w:rPr>
        <w:t xml:space="preserve">6.- </w:t>
      </w:r>
      <w:r>
        <w:rPr>
          <w:rFonts w:ascii="Arial" w:hAnsi="Arial" w:cs="Arial"/>
          <w:sz w:val="24"/>
          <w:szCs w:val="24"/>
        </w:rPr>
        <w:t xml:space="preserve">Copia simple de oficio de solicitud de vacaciones del extinto </w:t>
      </w:r>
      <w:r w:rsidR="00706AB7">
        <w:rPr>
          <w:rFonts w:ascii="Arial" w:hAnsi="Arial" w:cs="Arial"/>
          <w:sz w:val="24"/>
          <w:szCs w:val="24"/>
        </w:rPr>
        <w:t>***** ***** *****</w:t>
      </w:r>
      <w:r>
        <w:rPr>
          <w:rFonts w:ascii="Arial" w:hAnsi="Arial" w:cs="Arial"/>
          <w:sz w:val="24"/>
          <w:szCs w:val="24"/>
        </w:rPr>
        <w:t xml:space="preserve">, de fecha veinticuatro de enero de dos mil dieciocho (24/01/2018), y su </w:t>
      </w:r>
      <w:r>
        <w:rPr>
          <w:rFonts w:ascii="Arial" w:hAnsi="Arial" w:cs="Arial"/>
          <w:sz w:val="24"/>
          <w:szCs w:val="24"/>
        </w:rPr>
        <w:lastRenderedPageBreak/>
        <w:t xml:space="preserve">duplicado con las firmas de visto bueno, así como del escrito en que se informa la situación especial de vacaciones otorgadas al extinto </w:t>
      </w:r>
      <w:r w:rsidR="00706AB7">
        <w:rPr>
          <w:rFonts w:ascii="Arial" w:hAnsi="Arial" w:cs="Arial"/>
          <w:sz w:val="24"/>
          <w:szCs w:val="24"/>
        </w:rPr>
        <w:t>***** ***** *****</w:t>
      </w:r>
      <w:r>
        <w:rPr>
          <w:rFonts w:ascii="Arial" w:hAnsi="Arial" w:cs="Arial"/>
          <w:sz w:val="24"/>
          <w:szCs w:val="24"/>
        </w:rPr>
        <w:t xml:space="preserve"> durante el periodo </w:t>
      </w:r>
      <w:proofErr w:type="spellStart"/>
      <w:r>
        <w:rPr>
          <w:rFonts w:ascii="Arial" w:hAnsi="Arial" w:cs="Arial"/>
          <w:sz w:val="24"/>
          <w:szCs w:val="24"/>
        </w:rPr>
        <w:t>del</w:t>
      </w:r>
      <w:proofErr w:type="spellEnd"/>
      <w:r>
        <w:rPr>
          <w:rFonts w:ascii="Arial" w:hAnsi="Arial" w:cs="Arial"/>
          <w:sz w:val="24"/>
          <w:szCs w:val="24"/>
        </w:rPr>
        <w:t xml:space="preserve"> diez al veintiuno de febrero de dos mil dieciocho (10-21/02-2018); </w:t>
      </w:r>
      <w:r>
        <w:rPr>
          <w:rFonts w:ascii="Arial" w:hAnsi="Arial" w:cs="Arial"/>
          <w:b/>
          <w:sz w:val="24"/>
          <w:szCs w:val="24"/>
        </w:rPr>
        <w:t xml:space="preserve">7.- </w:t>
      </w:r>
      <w:r>
        <w:rPr>
          <w:rFonts w:ascii="Arial" w:hAnsi="Arial" w:cs="Arial"/>
          <w:sz w:val="24"/>
          <w:szCs w:val="24"/>
        </w:rPr>
        <w:t xml:space="preserve">Original de Constancia de percepciones a favor del extinto </w:t>
      </w:r>
      <w:r w:rsidR="00706AB7">
        <w:rPr>
          <w:rFonts w:ascii="Arial" w:hAnsi="Arial" w:cs="Arial"/>
          <w:sz w:val="24"/>
          <w:szCs w:val="24"/>
        </w:rPr>
        <w:t>***** ***** *****</w:t>
      </w:r>
      <w:r>
        <w:rPr>
          <w:rFonts w:ascii="Arial" w:hAnsi="Arial" w:cs="Arial"/>
          <w:sz w:val="24"/>
          <w:szCs w:val="24"/>
        </w:rPr>
        <w:t xml:space="preserve">, mediante oficio </w:t>
      </w:r>
      <w:r w:rsidR="00703248">
        <w:rPr>
          <w:rFonts w:ascii="Arial" w:hAnsi="Arial" w:cs="Arial"/>
          <w:sz w:val="24"/>
          <w:szCs w:val="24"/>
        </w:rPr>
        <w:t>SSP/PE/DGPVE/UA/DRH/****/2018</w:t>
      </w:r>
      <w:r>
        <w:rPr>
          <w:rFonts w:ascii="Arial" w:hAnsi="Arial" w:cs="Arial"/>
          <w:sz w:val="24"/>
          <w:szCs w:val="24"/>
        </w:rPr>
        <w:t xml:space="preserve">, expedido con fecha diez de diciembre de dos mil dieciocho (10/12/2018), por el Encargado de la Unidad Administrativa de la Policía Vial Estatal; </w:t>
      </w:r>
      <w:r>
        <w:rPr>
          <w:rFonts w:ascii="Arial" w:hAnsi="Arial" w:cs="Arial"/>
          <w:b/>
          <w:sz w:val="24"/>
          <w:szCs w:val="24"/>
        </w:rPr>
        <w:t>8.-</w:t>
      </w:r>
      <w:r w:rsidRPr="00B32DFB">
        <w:rPr>
          <w:rFonts w:ascii="Arial" w:hAnsi="Arial" w:cs="Arial"/>
          <w:sz w:val="24"/>
          <w:szCs w:val="24"/>
        </w:rPr>
        <w:t xml:space="preserve"> Copia certificada de </w:t>
      </w:r>
      <w:r>
        <w:rPr>
          <w:rFonts w:ascii="Arial" w:hAnsi="Arial" w:cs="Arial"/>
          <w:sz w:val="24"/>
          <w:szCs w:val="24"/>
        </w:rPr>
        <w:t xml:space="preserve"> constancia de antigüedad expedida a favor del extinto </w:t>
      </w:r>
      <w:r w:rsidR="00706AB7">
        <w:rPr>
          <w:rFonts w:ascii="Arial" w:hAnsi="Arial" w:cs="Arial"/>
          <w:sz w:val="24"/>
          <w:szCs w:val="24"/>
        </w:rPr>
        <w:t>***** ***** *****</w:t>
      </w:r>
      <w:r>
        <w:rPr>
          <w:rFonts w:ascii="Arial" w:hAnsi="Arial" w:cs="Arial"/>
          <w:sz w:val="24"/>
          <w:szCs w:val="24"/>
        </w:rPr>
        <w:t xml:space="preserve">, por la Jefa del Departamento de Recursos Humanos de la Secretaría de Seguridad Pública de Oaxaca; </w:t>
      </w:r>
      <w:r>
        <w:rPr>
          <w:rFonts w:ascii="Arial" w:hAnsi="Arial" w:cs="Arial"/>
          <w:b/>
          <w:sz w:val="24"/>
          <w:szCs w:val="24"/>
        </w:rPr>
        <w:t xml:space="preserve">9.- </w:t>
      </w:r>
      <w:r w:rsidRPr="003A0E74">
        <w:rPr>
          <w:rFonts w:ascii="Arial" w:hAnsi="Arial" w:cs="Arial"/>
          <w:sz w:val="24"/>
          <w:szCs w:val="24"/>
        </w:rPr>
        <w:t>Copia simple de contrato de enganche voluntario</w:t>
      </w:r>
      <w:r>
        <w:rPr>
          <w:rFonts w:ascii="Arial" w:hAnsi="Arial" w:cs="Arial"/>
          <w:sz w:val="24"/>
          <w:szCs w:val="24"/>
        </w:rPr>
        <w:t>,</w:t>
      </w:r>
      <w:r w:rsidRPr="003A0E74">
        <w:rPr>
          <w:rFonts w:ascii="Arial" w:hAnsi="Arial" w:cs="Arial"/>
          <w:sz w:val="24"/>
          <w:szCs w:val="24"/>
        </w:rPr>
        <w:t xml:space="preserve"> celebrado entre el Gobierno del Estado de Oaxaca y el hoy extinto </w:t>
      </w:r>
      <w:r w:rsidR="00706AB7">
        <w:rPr>
          <w:rFonts w:ascii="Arial" w:hAnsi="Arial" w:cs="Arial"/>
          <w:sz w:val="24"/>
          <w:szCs w:val="24"/>
        </w:rPr>
        <w:t>***** ***** *****</w:t>
      </w:r>
      <w:r>
        <w:rPr>
          <w:rFonts w:ascii="Arial" w:hAnsi="Arial" w:cs="Arial"/>
          <w:sz w:val="24"/>
          <w:szCs w:val="24"/>
        </w:rPr>
        <w:t xml:space="preserve">; </w:t>
      </w:r>
      <w:r w:rsidRPr="003A0E74">
        <w:rPr>
          <w:rFonts w:ascii="Arial" w:hAnsi="Arial" w:cs="Arial"/>
          <w:b/>
          <w:sz w:val="24"/>
          <w:szCs w:val="24"/>
        </w:rPr>
        <w:t>10.-</w:t>
      </w:r>
      <w:r>
        <w:rPr>
          <w:rFonts w:ascii="Arial" w:hAnsi="Arial" w:cs="Arial"/>
          <w:sz w:val="24"/>
          <w:szCs w:val="24"/>
        </w:rPr>
        <w:t xml:space="preserve"> Copia certificada de un cuadernillo compuesto de </w:t>
      </w:r>
      <w:r w:rsidRPr="004230DA">
        <w:rPr>
          <w:rFonts w:ascii="Arial" w:hAnsi="Arial" w:cs="Arial"/>
          <w:sz w:val="24"/>
          <w:szCs w:val="24"/>
        </w:rPr>
        <w:t>ochos fojas</w:t>
      </w:r>
      <w:r>
        <w:rPr>
          <w:rFonts w:ascii="Arial" w:hAnsi="Arial" w:cs="Arial"/>
          <w:sz w:val="24"/>
          <w:szCs w:val="24"/>
        </w:rPr>
        <w:t>,</w:t>
      </w:r>
      <w:r w:rsidRPr="004230DA">
        <w:rPr>
          <w:rFonts w:ascii="Arial" w:hAnsi="Arial" w:cs="Arial"/>
          <w:sz w:val="24"/>
          <w:szCs w:val="24"/>
        </w:rPr>
        <w:t xml:space="preserve"> correspondientes al expediente administrativo (hoja de servicios) del hoy extinto</w:t>
      </w:r>
      <w:r>
        <w:rPr>
          <w:rFonts w:ascii="Arial" w:hAnsi="Arial" w:cs="Arial"/>
          <w:b/>
          <w:sz w:val="24"/>
          <w:szCs w:val="24"/>
        </w:rPr>
        <w:t xml:space="preserve"> </w:t>
      </w:r>
      <w:r w:rsidR="00706AB7">
        <w:rPr>
          <w:rFonts w:ascii="Arial" w:hAnsi="Arial" w:cs="Arial"/>
          <w:sz w:val="24"/>
          <w:szCs w:val="24"/>
        </w:rPr>
        <w:t>***** ***** *****</w:t>
      </w:r>
      <w:r>
        <w:rPr>
          <w:rFonts w:ascii="Arial" w:hAnsi="Arial" w:cs="Arial"/>
          <w:sz w:val="24"/>
          <w:szCs w:val="24"/>
        </w:rPr>
        <w:t xml:space="preserve">; </w:t>
      </w:r>
      <w:r w:rsidRPr="00BD6143">
        <w:rPr>
          <w:rFonts w:ascii="Arial" w:hAnsi="Arial" w:cs="Arial"/>
          <w:b/>
          <w:sz w:val="24"/>
          <w:szCs w:val="24"/>
        </w:rPr>
        <w:t>11.-</w:t>
      </w:r>
      <w:r>
        <w:rPr>
          <w:rFonts w:ascii="Arial" w:hAnsi="Arial" w:cs="Arial"/>
          <w:sz w:val="24"/>
          <w:szCs w:val="24"/>
        </w:rPr>
        <w:t xml:space="preserve"> Original de acta de nacimiento a favor del hoy extinto </w:t>
      </w:r>
      <w:r w:rsidR="00706AB7">
        <w:rPr>
          <w:rFonts w:ascii="Arial" w:hAnsi="Arial" w:cs="Arial"/>
          <w:sz w:val="24"/>
          <w:szCs w:val="24"/>
        </w:rPr>
        <w:t>***** ***** *****</w:t>
      </w:r>
      <w:r>
        <w:rPr>
          <w:rFonts w:ascii="Arial" w:hAnsi="Arial" w:cs="Arial"/>
          <w:sz w:val="24"/>
          <w:szCs w:val="24"/>
        </w:rPr>
        <w:t xml:space="preserve">, expedida por la Oficialía del Registro Civil  del Municipio de Juchitán de Zaragoza, Oaxaca; </w:t>
      </w:r>
      <w:r w:rsidRPr="00BD6143">
        <w:rPr>
          <w:rFonts w:ascii="Arial" w:hAnsi="Arial" w:cs="Arial"/>
          <w:b/>
          <w:sz w:val="24"/>
          <w:szCs w:val="24"/>
        </w:rPr>
        <w:t>12.-</w:t>
      </w:r>
      <w:r>
        <w:rPr>
          <w:rFonts w:ascii="Arial" w:hAnsi="Arial" w:cs="Arial"/>
          <w:sz w:val="24"/>
          <w:szCs w:val="24"/>
        </w:rPr>
        <w:t xml:space="preserve"> Constancia de la clave única de registro de población expedida a favor del extinto </w:t>
      </w:r>
      <w:r w:rsidR="00706AB7">
        <w:rPr>
          <w:rFonts w:ascii="Arial" w:hAnsi="Arial" w:cs="Arial"/>
          <w:sz w:val="24"/>
          <w:szCs w:val="24"/>
        </w:rPr>
        <w:t>***** ***** *****</w:t>
      </w:r>
      <w:r>
        <w:rPr>
          <w:rFonts w:ascii="Arial" w:hAnsi="Arial" w:cs="Arial"/>
          <w:sz w:val="24"/>
          <w:szCs w:val="24"/>
        </w:rPr>
        <w:t xml:space="preserve">, por la Dirección General del Registro Nacional de Población e Identificación Personal; </w:t>
      </w:r>
      <w:r w:rsidRPr="00BD6143">
        <w:rPr>
          <w:rFonts w:ascii="Arial" w:hAnsi="Arial" w:cs="Arial"/>
          <w:b/>
          <w:sz w:val="24"/>
          <w:szCs w:val="24"/>
        </w:rPr>
        <w:t>13.-</w:t>
      </w:r>
      <w:r>
        <w:rPr>
          <w:rFonts w:ascii="Arial" w:hAnsi="Arial" w:cs="Arial"/>
          <w:sz w:val="24"/>
          <w:szCs w:val="24"/>
        </w:rPr>
        <w:t xml:space="preserve"> Copia simple de credencial para votar con fotografía, expedida a favor de la actora </w:t>
      </w:r>
      <w:r w:rsidR="00703248">
        <w:rPr>
          <w:rFonts w:ascii="Arial" w:hAnsi="Arial" w:cs="Arial"/>
          <w:sz w:val="24"/>
          <w:szCs w:val="24"/>
        </w:rPr>
        <w:t>***** ***** ***** *****</w:t>
      </w:r>
      <w:r>
        <w:rPr>
          <w:rFonts w:ascii="Arial" w:hAnsi="Arial" w:cs="Arial"/>
          <w:sz w:val="24"/>
          <w:szCs w:val="24"/>
        </w:rPr>
        <w:t xml:space="preserve">; </w:t>
      </w:r>
      <w:r w:rsidRPr="00BC1741">
        <w:rPr>
          <w:rFonts w:ascii="Arial" w:hAnsi="Arial" w:cs="Arial"/>
          <w:b/>
          <w:sz w:val="24"/>
          <w:szCs w:val="24"/>
        </w:rPr>
        <w:t>14.-</w:t>
      </w:r>
      <w:r>
        <w:rPr>
          <w:rFonts w:ascii="Arial" w:hAnsi="Arial" w:cs="Arial"/>
          <w:sz w:val="24"/>
          <w:szCs w:val="24"/>
        </w:rPr>
        <w:t xml:space="preserve"> Original de acta de nacimiento expedida a favor de la actora, por la Oficialía del Registro Civil de Santo Domingo Tehuantepec, Oaxaca; </w:t>
      </w:r>
      <w:r>
        <w:rPr>
          <w:rFonts w:ascii="Arial" w:hAnsi="Arial" w:cs="Arial"/>
          <w:b/>
          <w:sz w:val="24"/>
          <w:szCs w:val="24"/>
        </w:rPr>
        <w:t xml:space="preserve">15.- </w:t>
      </w:r>
      <w:r>
        <w:rPr>
          <w:rFonts w:ascii="Arial" w:hAnsi="Arial" w:cs="Arial"/>
          <w:sz w:val="24"/>
          <w:szCs w:val="24"/>
        </w:rPr>
        <w:t xml:space="preserve">Original de acta de nacimiento expedida a favor de </w:t>
      </w:r>
      <w:r w:rsidR="00703248">
        <w:rPr>
          <w:rFonts w:ascii="Arial" w:hAnsi="Arial" w:cs="Arial"/>
          <w:sz w:val="24"/>
          <w:szCs w:val="24"/>
        </w:rPr>
        <w:t>***** ***** ***** *****</w:t>
      </w:r>
      <w:r>
        <w:rPr>
          <w:rFonts w:ascii="Arial" w:hAnsi="Arial" w:cs="Arial"/>
          <w:sz w:val="24"/>
          <w:szCs w:val="24"/>
        </w:rPr>
        <w:t xml:space="preserve">, por la Segunda Oficialía del Registro Civil de Salina Cruz, Tehuantepec, Oaxaca; </w:t>
      </w:r>
      <w:r>
        <w:rPr>
          <w:rFonts w:ascii="Arial" w:hAnsi="Arial" w:cs="Arial"/>
          <w:b/>
          <w:sz w:val="24"/>
          <w:szCs w:val="24"/>
        </w:rPr>
        <w:t xml:space="preserve">16.- </w:t>
      </w:r>
      <w:r>
        <w:rPr>
          <w:rFonts w:ascii="Arial" w:hAnsi="Arial" w:cs="Arial"/>
          <w:sz w:val="24"/>
          <w:szCs w:val="24"/>
        </w:rPr>
        <w:t xml:space="preserve"> Original de acta de nacimiento expedida a favor de </w:t>
      </w:r>
      <w:r w:rsidR="00703248">
        <w:rPr>
          <w:rFonts w:ascii="Arial" w:hAnsi="Arial" w:cs="Arial"/>
          <w:sz w:val="24"/>
          <w:szCs w:val="24"/>
        </w:rPr>
        <w:t>***** ***** ***** *****</w:t>
      </w:r>
      <w:r>
        <w:rPr>
          <w:rFonts w:ascii="Arial" w:hAnsi="Arial" w:cs="Arial"/>
          <w:sz w:val="24"/>
          <w:szCs w:val="24"/>
        </w:rPr>
        <w:t xml:space="preserve">, por la Primera Oficialía del Registro Civil de Salina Cruz, Tehuantepec, Oaxaca; </w:t>
      </w:r>
      <w:r>
        <w:rPr>
          <w:rFonts w:ascii="Arial" w:hAnsi="Arial" w:cs="Arial"/>
          <w:b/>
          <w:sz w:val="24"/>
          <w:szCs w:val="24"/>
        </w:rPr>
        <w:t xml:space="preserve">17.- </w:t>
      </w:r>
      <w:r w:rsidRPr="00F93BAD">
        <w:rPr>
          <w:rFonts w:ascii="Arial" w:hAnsi="Arial" w:cs="Arial"/>
          <w:sz w:val="24"/>
          <w:szCs w:val="24"/>
        </w:rPr>
        <w:t>Tres</w:t>
      </w:r>
      <w:r>
        <w:rPr>
          <w:rFonts w:ascii="Arial" w:hAnsi="Arial" w:cs="Arial"/>
          <w:b/>
          <w:sz w:val="24"/>
          <w:szCs w:val="24"/>
        </w:rPr>
        <w:t xml:space="preserve"> </w:t>
      </w:r>
      <w:r>
        <w:rPr>
          <w:rFonts w:ascii="Arial" w:hAnsi="Arial" w:cs="Arial"/>
          <w:sz w:val="24"/>
          <w:szCs w:val="24"/>
        </w:rPr>
        <w:t xml:space="preserve">Constancias de la clave única de registro de población expedidas a favor de la actora </w:t>
      </w:r>
      <w:r w:rsidR="00703248">
        <w:rPr>
          <w:rFonts w:ascii="Arial" w:hAnsi="Arial" w:cs="Arial"/>
          <w:sz w:val="24"/>
          <w:szCs w:val="24"/>
        </w:rPr>
        <w:t>***** ***** ***** *****</w:t>
      </w:r>
      <w:r>
        <w:rPr>
          <w:rFonts w:ascii="Arial" w:hAnsi="Arial" w:cs="Arial"/>
          <w:sz w:val="24"/>
          <w:szCs w:val="24"/>
        </w:rPr>
        <w:t xml:space="preserve">, y sus hijas </w:t>
      </w:r>
      <w:r w:rsidR="00703248">
        <w:rPr>
          <w:rFonts w:ascii="Arial" w:hAnsi="Arial" w:cs="Arial"/>
          <w:sz w:val="24"/>
          <w:szCs w:val="24"/>
        </w:rPr>
        <w:t>***** ***** ***** *****</w:t>
      </w:r>
      <w:r>
        <w:rPr>
          <w:rFonts w:ascii="Arial" w:hAnsi="Arial" w:cs="Arial"/>
          <w:sz w:val="24"/>
          <w:szCs w:val="24"/>
        </w:rPr>
        <w:t xml:space="preserve"> y </w:t>
      </w:r>
      <w:r w:rsidR="00703248">
        <w:rPr>
          <w:rFonts w:ascii="Arial" w:hAnsi="Arial" w:cs="Arial"/>
          <w:sz w:val="24"/>
          <w:szCs w:val="24"/>
        </w:rPr>
        <w:t>***** ***** ***** *****</w:t>
      </w:r>
      <w:r>
        <w:rPr>
          <w:rFonts w:ascii="Arial" w:hAnsi="Arial" w:cs="Arial"/>
          <w:sz w:val="24"/>
          <w:szCs w:val="24"/>
        </w:rPr>
        <w:t xml:space="preserve">; </w:t>
      </w:r>
      <w:r>
        <w:rPr>
          <w:rFonts w:ascii="Arial" w:hAnsi="Arial" w:cs="Arial"/>
          <w:b/>
          <w:sz w:val="24"/>
          <w:szCs w:val="24"/>
        </w:rPr>
        <w:t xml:space="preserve">18.- </w:t>
      </w:r>
      <w:r w:rsidRPr="00F675C4">
        <w:rPr>
          <w:rFonts w:ascii="Arial" w:hAnsi="Arial" w:cs="Arial"/>
          <w:sz w:val="24"/>
          <w:szCs w:val="24"/>
        </w:rPr>
        <w:t xml:space="preserve">Cuadernillo compuesto de veinticuatro fojas certificadas del expediente número </w:t>
      </w:r>
      <w:r w:rsidR="00703248">
        <w:rPr>
          <w:rFonts w:ascii="Arial" w:hAnsi="Arial" w:cs="Arial"/>
          <w:sz w:val="24"/>
          <w:szCs w:val="24"/>
        </w:rPr>
        <w:t>***/2018</w:t>
      </w:r>
      <w:r w:rsidRPr="00F675C4">
        <w:rPr>
          <w:rFonts w:ascii="Arial" w:hAnsi="Arial" w:cs="Arial"/>
          <w:sz w:val="24"/>
          <w:szCs w:val="24"/>
        </w:rPr>
        <w:t xml:space="preserve"> del índice del Juzgado Primero de lo Familiar de Salina Cruz, Oaxaca;</w:t>
      </w:r>
      <w:r>
        <w:rPr>
          <w:rFonts w:ascii="Arial" w:hAnsi="Arial" w:cs="Arial"/>
          <w:b/>
          <w:sz w:val="24"/>
          <w:szCs w:val="24"/>
        </w:rPr>
        <w:t xml:space="preserve"> 19.- </w:t>
      </w:r>
      <w:r w:rsidRPr="00D374B6">
        <w:rPr>
          <w:rFonts w:ascii="Arial" w:hAnsi="Arial" w:cs="Arial"/>
          <w:sz w:val="24"/>
          <w:szCs w:val="24"/>
        </w:rPr>
        <w:t xml:space="preserve">Cuadernillo compuesto de ciento un fojas útiles de la carpeta de investigación número </w:t>
      </w:r>
      <w:r w:rsidR="00703248">
        <w:rPr>
          <w:rFonts w:ascii="Arial" w:hAnsi="Arial" w:cs="Arial"/>
          <w:sz w:val="24"/>
          <w:szCs w:val="24"/>
        </w:rPr>
        <w:t>***/TH/2018</w:t>
      </w:r>
      <w:r w:rsidRPr="00D374B6">
        <w:rPr>
          <w:rFonts w:ascii="Arial" w:hAnsi="Arial" w:cs="Arial"/>
          <w:sz w:val="24"/>
          <w:szCs w:val="24"/>
        </w:rPr>
        <w:t>, del índice de la agencia del Ministerio Público de la unidad de asuntos pendientes por resolver de ciudad Ixtepec, Oaxaca</w:t>
      </w:r>
      <w:r>
        <w:rPr>
          <w:rFonts w:ascii="Arial" w:hAnsi="Arial" w:cs="Arial"/>
          <w:b/>
          <w:sz w:val="24"/>
          <w:szCs w:val="24"/>
        </w:rPr>
        <w:t>.</w:t>
      </w:r>
    </w:p>
    <w:p w14:paraId="3EA5AB51" w14:textId="158A3310" w:rsidR="004B768F" w:rsidRDefault="004B768F" w:rsidP="004B768F">
      <w:pPr>
        <w:spacing w:line="360" w:lineRule="auto"/>
        <w:ind w:firstLine="708"/>
        <w:jc w:val="both"/>
        <w:rPr>
          <w:rFonts w:ascii="Arial" w:hAnsi="Arial" w:cs="Arial"/>
          <w:sz w:val="24"/>
          <w:szCs w:val="24"/>
        </w:rPr>
      </w:pPr>
      <w:r>
        <w:rPr>
          <w:rFonts w:ascii="Arial" w:hAnsi="Arial" w:cs="Arial"/>
          <w:sz w:val="24"/>
          <w:szCs w:val="24"/>
        </w:rPr>
        <w:t xml:space="preserve">A la </w:t>
      </w:r>
      <w:r w:rsidRPr="00BB03D2">
        <w:rPr>
          <w:rFonts w:ascii="Arial" w:hAnsi="Arial" w:cs="Arial"/>
          <w:sz w:val="24"/>
          <w:szCs w:val="24"/>
        </w:rPr>
        <w:t>autoridad demandada Secretario</w:t>
      </w:r>
      <w:r>
        <w:rPr>
          <w:rFonts w:ascii="Arial" w:hAnsi="Arial" w:cs="Arial"/>
          <w:sz w:val="24"/>
          <w:szCs w:val="24"/>
        </w:rPr>
        <w:t xml:space="preserve"> Técnico del Comité Técnico del Fondo de Pensiones y Director General de la Oficina de Pensiones del Estado de Oaxaca, se le admitieron las </w:t>
      </w:r>
      <w:r w:rsidRPr="00BB4931">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copia simple de: </w:t>
      </w:r>
      <w:r w:rsidRPr="00AE10A5">
        <w:rPr>
          <w:rFonts w:ascii="Arial" w:hAnsi="Arial" w:cs="Arial"/>
          <w:b/>
          <w:sz w:val="24"/>
          <w:szCs w:val="24"/>
        </w:rPr>
        <w:t>1.-</w:t>
      </w:r>
      <w:r>
        <w:rPr>
          <w:rFonts w:ascii="Arial" w:hAnsi="Arial" w:cs="Arial"/>
          <w:sz w:val="24"/>
          <w:szCs w:val="24"/>
        </w:rPr>
        <w:t xml:space="preserve"> Oficio </w:t>
      </w:r>
      <w:r w:rsidR="00112181">
        <w:rPr>
          <w:rFonts w:ascii="Arial" w:hAnsi="Arial" w:cs="Arial"/>
          <w:sz w:val="24"/>
          <w:szCs w:val="24"/>
        </w:rPr>
        <w:t>FP/IPSP/ST/****/2018</w:t>
      </w:r>
      <w:r>
        <w:rPr>
          <w:rFonts w:ascii="Arial" w:hAnsi="Arial" w:cs="Arial"/>
          <w:sz w:val="24"/>
          <w:szCs w:val="24"/>
        </w:rPr>
        <w:t xml:space="preserve">, expedido con fecha diecinueve de diciembre de dos mil dieciocho(19/12/2018), por el Director </w:t>
      </w:r>
      <w:r>
        <w:rPr>
          <w:rFonts w:ascii="Arial" w:hAnsi="Arial" w:cs="Arial"/>
          <w:sz w:val="24"/>
          <w:szCs w:val="24"/>
        </w:rPr>
        <w:lastRenderedPageBreak/>
        <w:t>General de la Oficina de Pensiones, negando la pensión por fallecimiento solicitada por la actora (acto impugnado);</w:t>
      </w:r>
      <w:r w:rsidRPr="00D72E18">
        <w:rPr>
          <w:rFonts w:ascii="Arial" w:hAnsi="Arial" w:cs="Arial"/>
          <w:b/>
          <w:sz w:val="24"/>
          <w:szCs w:val="24"/>
        </w:rPr>
        <w:t xml:space="preserve"> 2.- </w:t>
      </w:r>
      <w:r>
        <w:rPr>
          <w:rFonts w:ascii="Arial" w:hAnsi="Arial" w:cs="Arial"/>
          <w:sz w:val="24"/>
          <w:szCs w:val="24"/>
        </w:rPr>
        <w:t xml:space="preserve">Copia simple de impresión de guía de correo  certificado número </w:t>
      </w:r>
      <w:r w:rsidR="00703248">
        <w:rPr>
          <w:rFonts w:ascii="Arial" w:hAnsi="Arial" w:cs="Arial"/>
          <w:sz w:val="24"/>
          <w:szCs w:val="24"/>
        </w:rPr>
        <w:t>MC********MX</w:t>
      </w:r>
      <w:r>
        <w:rPr>
          <w:rFonts w:ascii="Arial" w:hAnsi="Arial" w:cs="Arial"/>
          <w:sz w:val="24"/>
          <w:szCs w:val="24"/>
        </w:rPr>
        <w:t xml:space="preserve">, expedida por el Servicio Postal Mexicano; </w:t>
      </w:r>
      <w:r w:rsidRPr="00D72E18">
        <w:rPr>
          <w:rFonts w:ascii="Arial" w:hAnsi="Arial" w:cs="Arial"/>
          <w:b/>
          <w:sz w:val="24"/>
          <w:szCs w:val="24"/>
        </w:rPr>
        <w:t>3.-</w:t>
      </w:r>
      <w:r>
        <w:rPr>
          <w:rFonts w:ascii="Arial" w:hAnsi="Arial" w:cs="Arial"/>
          <w:sz w:val="24"/>
          <w:szCs w:val="24"/>
        </w:rPr>
        <w:t xml:space="preserve"> Solicitud de la actora de pensión por fallecimiento del extinto </w:t>
      </w:r>
      <w:r w:rsidR="00706AB7">
        <w:rPr>
          <w:rFonts w:ascii="Arial" w:hAnsi="Arial" w:cs="Arial"/>
          <w:sz w:val="24"/>
          <w:szCs w:val="24"/>
        </w:rPr>
        <w:t>***** ***** *****</w:t>
      </w:r>
      <w:r>
        <w:rPr>
          <w:rFonts w:ascii="Arial" w:hAnsi="Arial" w:cs="Arial"/>
          <w:sz w:val="24"/>
          <w:szCs w:val="24"/>
        </w:rPr>
        <w:t xml:space="preserve">; </w:t>
      </w:r>
      <w:r w:rsidRPr="00D72E18">
        <w:rPr>
          <w:rFonts w:ascii="Arial" w:hAnsi="Arial" w:cs="Arial"/>
          <w:b/>
          <w:sz w:val="24"/>
          <w:szCs w:val="24"/>
        </w:rPr>
        <w:t>4.-</w:t>
      </w:r>
      <w:r>
        <w:rPr>
          <w:rFonts w:ascii="Arial" w:hAnsi="Arial" w:cs="Arial"/>
          <w:sz w:val="24"/>
          <w:szCs w:val="24"/>
        </w:rPr>
        <w:t xml:space="preserve"> Oficio </w:t>
      </w:r>
      <w:r w:rsidR="00703248">
        <w:rPr>
          <w:rFonts w:ascii="Arial" w:hAnsi="Arial" w:cs="Arial"/>
          <w:sz w:val="24"/>
          <w:szCs w:val="24"/>
        </w:rPr>
        <w:t>OP/DP/***/2019</w:t>
      </w:r>
      <w:r>
        <w:rPr>
          <w:rFonts w:ascii="Arial" w:hAnsi="Arial" w:cs="Arial"/>
          <w:sz w:val="24"/>
          <w:szCs w:val="24"/>
        </w:rPr>
        <w:t xml:space="preserve">, expedido con fecha veintiocho de enero de dos mil diecinueve (28/01/2019) por la Dirección de Prestaciones de la Oficina de Pensiones del Estado de Oaxaca, remitiendo a la actora el expediente administrativo; </w:t>
      </w:r>
      <w:r w:rsidRPr="00D72E18">
        <w:rPr>
          <w:rFonts w:ascii="Arial" w:hAnsi="Arial" w:cs="Arial"/>
          <w:b/>
          <w:sz w:val="24"/>
          <w:szCs w:val="24"/>
        </w:rPr>
        <w:t>5.-</w:t>
      </w:r>
      <w:r>
        <w:rPr>
          <w:rFonts w:ascii="Arial" w:hAnsi="Arial" w:cs="Arial"/>
          <w:sz w:val="24"/>
          <w:szCs w:val="24"/>
        </w:rPr>
        <w:t xml:space="preserve"> Acta de nacimiento expedida a favor del extinto </w:t>
      </w:r>
      <w:r w:rsidR="00706AB7">
        <w:rPr>
          <w:rFonts w:ascii="Arial" w:hAnsi="Arial" w:cs="Arial"/>
          <w:sz w:val="24"/>
          <w:szCs w:val="24"/>
        </w:rPr>
        <w:t>***** ***** *****</w:t>
      </w:r>
      <w:r>
        <w:rPr>
          <w:rFonts w:ascii="Arial" w:hAnsi="Arial" w:cs="Arial"/>
          <w:sz w:val="24"/>
          <w:szCs w:val="24"/>
        </w:rPr>
        <w:t xml:space="preserve">; </w:t>
      </w:r>
      <w:r w:rsidRPr="00D72E18">
        <w:rPr>
          <w:rFonts w:ascii="Arial" w:hAnsi="Arial" w:cs="Arial"/>
          <w:b/>
          <w:sz w:val="24"/>
          <w:szCs w:val="24"/>
        </w:rPr>
        <w:t>6.-</w:t>
      </w:r>
      <w:r>
        <w:rPr>
          <w:rFonts w:ascii="Arial" w:hAnsi="Arial" w:cs="Arial"/>
          <w:sz w:val="24"/>
          <w:szCs w:val="24"/>
        </w:rPr>
        <w:t xml:space="preserve"> Constancia de antigüedad expedida a favor del extinto </w:t>
      </w:r>
      <w:r w:rsidR="00706AB7">
        <w:rPr>
          <w:rFonts w:ascii="Arial" w:hAnsi="Arial" w:cs="Arial"/>
          <w:sz w:val="24"/>
          <w:szCs w:val="24"/>
        </w:rPr>
        <w:t>***** ***** *****</w:t>
      </w:r>
      <w:r>
        <w:rPr>
          <w:rFonts w:ascii="Arial" w:hAnsi="Arial" w:cs="Arial"/>
          <w:sz w:val="24"/>
          <w:szCs w:val="24"/>
        </w:rPr>
        <w:t>, con fecha diez de diciembre de dos mil dieciocho (10/12/2018), por la Jefa del Departamento de Recursos Humanos de la Secretaría de Seguridad Pública del Estado.</w:t>
      </w:r>
    </w:p>
    <w:p w14:paraId="74AA27CD" w14:textId="77777777" w:rsidR="004B768F" w:rsidRDefault="004B768F" w:rsidP="004B768F">
      <w:pPr>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EC36B2">
        <w:rPr>
          <w:rFonts w:ascii="Arial" w:hAnsi="Arial" w:cs="Arial"/>
          <w:b/>
          <w:sz w:val="24"/>
          <w:szCs w:val="24"/>
        </w:rPr>
        <w:t>tercero afectado</w:t>
      </w:r>
      <w:r>
        <w:rPr>
          <w:rFonts w:ascii="Arial" w:hAnsi="Arial" w:cs="Arial"/>
          <w:sz w:val="24"/>
          <w:szCs w:val="24"/>
        </w:rPr>
        <w:t xml:space="preserve"> </w:t>
      </w:r>
      <w:proofErr w:type="gramStart"/>
      <w:r>
        <w:rPr>
          <w:rFonts w:ascii="Arial" w:hAnsi="Arial" w:cs="Arial"/>
          <w:sz w:val="24"/>
          <w:szCs w:val="24"/>
        </w:rPr>
        <w:t>Director</w:t>
      </w:r>
      <w:proofErr w:type="gramEnd"/>
      <w:r>
        <w:rPr>
          <w:rFonts w:ascii="Arial" w:hAnsi="Arial" w:cs="Arial"/>
          <w:sz w:val="24"/>
          <w:szCs w:val="24"/>
        </w:rPr>
        <w:t xml:space="preserve"> de la Policía Vial Estatal, no existe prueba que valorar en este asunto, pues como se indicó en líneas que anteceden, se tuvo por perdido su derecho para apersonarse al presente Juicio.</w:t>
      </w:r>
    </w:p>
    <w:p w14:paraId="3EC5DA76" w14:textId="77777777" w:rsidR="004B768F" w:rsidRDefault="004B768F" w:rsidP="004B768F">
      <w:pPr>
        <w:spacing w:line="360" w:lineRule="auto"/>
        <w:ind w:firstLine="708"/>
        <w:jc w:val="both"/>
        <w:rPr>
          <w:rFonts w:ascii="Arial" w:hAnsi="Arial" w:cs="Arial"/>
          <w:sz w:val="24"/>
          <w:szCs w:val="24"/>
        </w:rPr>
      </w:pPr>
      <w:r>
        <w:rPr>
          <w:rFonts w:ascii="Arial" w:hAnsi="Arial" w:cs="Arial"/>
          <w:sz w:val="24"/>
          <w:szCs w:val="24"/>
        </w:rPr>
        <w:t xml:space="preserve">A los documentos remitidos en original y copia certificada descritos, se les otorga </w:t>
      </w:r>
      <w:r w:rsidRPr="002B5089">
        <w:rPr>
          <w:rFonts w:ascii="Arial" w:hAnsi="Arial" w:cs="Arial"/>
          <w:b/>
          <w:sz w:val="24"/>
          <w:szCs w:val="24"/>
        </w:rPr>
        <w:t>pleno valor probatorio</w:t>
      </w:r>
      <w:r>
        <w:rPr>
          <w:rFonts w:ascii="Arial" w:hAnsi="Arial" w:cs="Arial"/>
          <w:sz w:val="24"/>
          <w:szCs w:val="24"/>
        </w:rPr>
        <w:t>, pues en los primeros se advierte el nombre, firma, cargo y dependencia a la que pertenecen las personas que los emitieron de ahí que su existencia y veracidad de su contenido haya quedado de manifiesto en este asunto; el resto de ellos fueron certificados por personas con plenas facultades para ello como son  la Jefa del Departamento de Recursos Humanos dependiente de la Dirección General de la Policía Vial Estatal quien actuó de conformidad con lo dispuesto en los artículos 41 fracción XXIX del Reglamento Interno de la Secretaría de Seguridad Públi</w:t>
      </w:r>
      <w:r w:rsidRPr="000356D6">
        <w:rPr>
          <w:rFonts w:ascii="Arial" w:hAnsi="Arial" w:cs="Arial"/>
          <w:sz w:val="24"/>
          <w:szCs w:val="24"/>
        </w:rPr>
        <w:t>ca del Poder Ejecutivo del Estado y 15 último párrafo de la Ley de Tránsito, Movilidad y Vialidad del Estado de Oaxaca; la Secretaria de Acuerdos del Juzgado Primero de lo Familiar de Salina Cruz, Oaxaca; y el</w:t>
      </w:r>
      <w:r>
        <w:rPr>
          <w:rFonts w:ascii="Arial" w:hAnsi="Arial" w:cs="Arial"/>
          <w:sz w:val="24"/>
          <w:szCs w:val="24"/>
        </w:rPr>
        <w:t xml:space="preserve"> Agente del Ministerio Público de la Unidad de asuntos pendientes por resolver de Ciudad Ixtepec, Oaxaca, quienes actuaron en uso de sus atribuciones, de ahí la convicción sobre la existencia y veracidad del contenido de dichos documentos.</w:t>
      </w:r>
      <w:r w:rsidRPr="000356D6">
        <w:rPr>
          <w:rFonts w:ascii="Arial" w:hAnsi="Arial" w:cs="Arial"/>
          <w:sz w:val="24"/>
          <w:szCs w:val="24"/>
        </w:rPr>
        <w:t xml:space="preserve"> </w:t>
      </w:r>
      <w:r>
        <w:rPr>
          <w:rFonts w:ascii="Arial" w:hAnsi="Arial" w:cs="Arial"/>
          <w:sz w:val="24"/>
          <w:szCs w:val="24"/>
        </w:rPr>
        <w:t xml:space="preserve">Sirve de apoyo a lo anterior la jurisprudencia sustentada por la Suprema Corte de Justicia de la Nación, con datos de identificación: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w:t>
      </w:r>
      <w:r w:rsidRPr="00A31E74">
        <w:rPr>
          <w:rFonts w:ascii="Arial" w:hAnsi="Arial" w:cs="Arial"/>
          <w:i/>
          <w:sz w:val="24"/>
          <w:szCs w:val="24"/>
        </w:rPr>
        <w:lastRenderedPageBreak/>
        <w:t xml:space="preserve">CONTENIDA EN EL ARTÍCULO 217 DEL CÓDIGO FEDERAL DE PROCEDIMIENTOS CIVILES, TRATÁNDOSE DE LA EMITIDA </w:t>
      </w:r>
      <w:r w:rsidRPr="00BB2FA9">
        <w:rPr>
          <w:rFonts w:ascii="Arial" w:hAnsi="Arial" w:cs="Arial"/>
          <w:i/>
          <w:sz w:val="24"/>
          <w:szCs w:val="24"/>
        </w:rPr>
        <w:t>POR AUTORIDADES ADMINISTRATIVAS EN EJERCICIO DE SUS FUNCIONES.</w:t>
      </w:r>
      <w:r w:rsidRPr="00BB2FA9">
        <w:rPr>
          <w:rFonts w:ascii="Arial" w:hAnsi="Arial" w:cs="Arial"/>
          <w:sz w:val="24"/>
          <w:szCs w:val="24"/>
        </w:rPr>
        <w:t>”</w:t>
      </w:r>
    </w:p>
    <w:p w14:paraId="475AA56D" w14:textId="77777777" w:rsidR="004B768F" w:rsidRDefault="004B768F" w:rsidP="004B768F">
      <w:pPr>
        <w:spacing w:line="360" w:lineRule="auto"/>
        <w:ind w:firstLine="708"/>
        <w:jc w:val="both"/>
        <w:rPr>
          <w:rFonts w:ascii="Arial" w:hAnsi="Arial" w:cs="Arial"/>
          <w:sz w:val="24"/>
          <w:szCs w:val="24"/>
        </w:rPr>
      </w:pPr>
      <w:r>
        <w:rPr>
          <w:rFonts w:ascii="Arial" w:hAnsi="Arial" w:cs="Arial"/>
          <w:sz w:val="24"/>
          <w:szCs w:val="24"/>
        </w:rPr>
        <w:t xml:space="preserve">Por lo que respecta a las copias simples remitidas por la actora y autoridad demandada, se les otorga valor probatorio indiciario, pues todas y cada una se relacionan con los documentos originales y copias certificadas que obran en este asunto, pues todas tienen un vínculo directo con el acto que aquí se impugna, advirtiéndose en los antecedentes de la petición de pensión por fallecimiento, y la notificación del mismo, de ahí que no sean documentos aislados. Sirve de apoyo a lo anterior, la jurisprudencia sustentada por la Suprema Corte de Justicia de la Nación con datos de identificación: Semanario Judicial de la Federación y su Gaceta, Tomo III, </w:t>
      </w:r>
      <w:proofErr w:type="gramStart"/>
      <w:r>
        <w:rPr>
          <w:rFonts w:ascii="Arial" w:hAnsi="Arial" w:cs="Arial"/>
          <w:sz w:val="24"/>
          <w:szCs w:val="24"/>
        </w:rPr>
        <w:t>Mayo</w:t>
      </w:r>
      <w:proofErr w:type="gramEnd"/>
      <w:r>
        <w:rPr>
          <w:rFonts w:ascii="Arial" w:hAnsi="Arial" w:cs="Arial"/>
          <w:sz w:val="24"/>
          <w:szCs w:val="24"/>
        </w:rPr>
        <w:t xml:space="preserve">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 xml:space="preserve">”. </w:t>
      </w:r>
    </w:p>
    <w:p w14:paraId="7B892827" w14:textId="77777777" w:rsidR="004B768F" w:rsidRDefault="004B768F" w:rsidP="004B768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w:t>
      </w:r>
      <w:r w:rsidRPr="00753200">
        <w:rPr>
          <w:rFonts w:ascii="Arial" w:hAnsi="Arial" w:cs="Arial"/>
          <w:sz w:val="24"/>
          <w:szCs w:val="24"/>
        </w:rPr>
        <w:t>fracción I de la Ley de Procedimiento y Justicia Administrativa para el Estado de Oaxaca.</w:t>
      </w:r>
    </w:p>
    <w:p w14:paraId="57D64D0A" w14:textId="77777777" w:rsidR="004B768F" w:rsidRDefault="004B768F" w:rsidP="004B768F">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actora y demandada, se constituye de la totalidad de las pruebas recabadas en el presente Juicio, y con ellas se confirma el contenido del enjuiciamiento, porque los hechos contenidos en las documentales son afirmaciones expresadas por ellas. </w:t>
      </w:r>
    </w:p>
    <w:p w14:paraId="53564FA0" w14:textId="77777777" w:rsidR="004B768F" w:rsidRDefault="004B768F" w:rsidP="004B768F">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PRESUNCIONAL LEGAL Y HUMANA también ofrecida por la actora y autoridad demandada,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controvertido. En tanto que la presunción humana, es una inferencia que el Juez deduce de un hecho conocido, obtenido de la totalidad de las pruebas para arribar al que se desconoce. - - - - - - - - - - - - - - - - - - - - - - - - - - - - - - </w:t>
      </w:r>
      <w:r w:rsidR="000C5A57">
        <w:rPr>
          <w:rFonts w:ascii="Arial" w:hAnsi="Arial" w:cs="Arial"/>
          <w:sz w:val="24"/>
          <w:szCs w:val="24"/>
        </w:rPr>
        <w:t>- -</w:t>
      </w:r>
    </w:p>
    <w:p w14:paraId="3139828B" w14:textId="77777777" w:rsidR="004B768F" w:rsidRDefault="004B768F" w:rsidP="004B768F">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Pr>
          <w:rFonts w:ascii="Arial" w:hAnsi="Arial" w:cs="Arial"/>
          <w:sz w:val="24"/>
        </w:rPr>
        <w:t>No se</w:t>
      </w:r>
      <w:r w:rsidRPr="00653BD0">
        <w:rPr>
          <w:rFonts w:ascii="Arial" w:hAnsi="Arial" w:cs="Arial"/>
          <w:sz w:val="24"/>
        </w:rPr>
        <w:t xml:space="preserve">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w:t>
      </w:r>
      <w:r w:rsidRPr="00653BD0">
        <w:rPr>
          <w:rFonts w:ascii="Arial" w:hAnsi="Arial" w:cs="Arial"/>
          <w:i/>
          <w:sz w:val="24"/>
        </w:rPr>
        <w:lastRenderedPageBreak/>
        <w:t>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w:t>
      </w:r>
      <w:r w:rsidR="003232EF">
        <w:rPr>
          <w:rFonts w:ascii="Arial" w:hAnsi="Arial" w:cs="Arial"/>
          <w:sz w:val="24"/>
        </w:rPr>
        <w:t>- - - - - - - - - - - - -</w:t>
      </w:r>
    </w:p>
    <w:p w14:paraId="0651EB09" w14:textId="60F5361D" w:rsidR="004B768F" w:rsidRDefault="004B768F" w:rsidP="004B768F">
      <w:pPr>
        <w:tabs>
          <w:tab w:val="center" w:pos="4574"/>
        </w:tabs>
        <w:spacing w:line="360" w:lineRule="auto"/>
        <w:ind w:firstLine="708"/>
        <w:jc w:val="both"/>
        <w:rPr>
          <w:rFonts w:ascii="Arial" w:hAnsi="Arial" w:cs="Arial"/>
          <w:sz w:val="24"/>
          <w:szCs w:val="24"/>
        </w:rPr>
      </w:pPr>
      <w:r w:rsidRPr="00337D99">
        <w:rPr>
          <w:rFonts w:ascii="Arial" w:hAnsi="Arial" w:cs="Arial"/>
          <w:b/>
          <w:sz w:val="24"/>
          <w:szCs w:val="24"/>
        </w:rPr>
        <w:t xml:space="preserve">CUARTO.- </w:t>
      </w:r>
      <w:r w:rsidRPr="00337D99">
        <w:rPr>
          <w:rFonts w:ascii="Arial" w:hAnsi="Arial" w:cs="Arial"/>
          <w:sz w:val="24"/>
          <w:szCs w:val="24"/>
        </w:rPr>
        <w:t>La personalidad de la actora</w:t>
      </w:r>
      <w:r>
        <w:rPr>
          <w:rFonts w:ascii="Arial" w:hAnsi="Arial" w:cs="Arial"/>
          <w:sz w:val="24"/>
          <w:szCs w:val="24"/>
        </w:rPr>
        <w:t xml:space="preserve"> </w:t>
      </w:r>
      <w:r w:rsidR="00112181">
        <w:rPr>
          <w:rFonts w:ascii="Arial" w:hAnsi="Arial" w:cs="Arial"/>
          <w:sz w:val="24"/>
          <w:szCs w:val="24"/>
        </w:rPr>
        <w:t>***** ***** ***** *****</w:t>
      </w:r>
      <w:r w:rsidRPr="00337D99">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el acto administrativo que impugna fue dirigido a su persona, en el que no obstante que la autoridad demandada dio respuesta a su petición de pensión por fallecimiento, ésta no le favoreció, surgiendo así la </w:t>
      </w:r>
      <w:r w:rsidRPr="00BB03D2">
        <w:rPr>
          <w:rFonts w:ascii="Arial" w:hAnsi="Arial" w:cs="Arial"/>
          <w:sz w:val="24"/>
          <w:szCs w:val="24"/>
        </w:rPr>
        <w:t>afectación a su esfera jurídica, por la cual instaura el presente Juicio en defensa de sus derechos, por lo que sin duda quedó justificada su personalidad jurídica y legítima en el presente</w:t>
      </w:r>
      <w:r w:rsidRPr="000B5F57">
        <w:rPr>
          <w:rFonts w:ascii="Arial" w:hAnsi="Arial" w:cs="Arial"/>
          <w:sz w:val="24"/>
          <w:szCs w:val="24"/>
        </w:rPr>
        <w:t xml:space="preserve"> Juicio.</w:t>
      </w:r>
    </w:p>
    <w:p w14:paraId="0FB27843" w14:textId="77777777" w:rsidR="004B768F" w:rsidRPr="00104EF9" w:rsidRDefault="004B768F" w:rsidP="004B768F">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Pr>
          <w:rFonts w:ascii="Arial" w:hAnsi="Arial" w:cs="Arial"/>
          <w:b/>
          <w:sz w:val="24"/>
        </w:rPr>
        <w:t xml:space="preserve"> </w:t>
      </w:r>
      <w:r>
        <w:rPr>
          <w:rFonts w:ascii="Arial" w:hAnsi="Arial" w:cs="Arial"/>
          <w:sz w:val="24"/>
          <w:szCs w:val="24"/>
        </w:rPr>
        <w:t>Secretario Técnico del Comité Técnico del Fondo de Pensiones y Director General de la Oficina de Pensiones del Estado de Oaxaca,</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w:t>
      </w:r>
      <w:r w:rsidRPr="000B5F57">
        <w:rPr>
          <w:rFonts w:ascii="Arial" w:hAnsi="Arial" w:cs="Arial"/>
          <w:sz w:val="24"/>
        </w:rPr>
        <w:t>del Estado de Oaxaca, toda vez que ésta no fue impugnada por la parte actora.- -</w:t>
      </w:r>
      <w:r w:rsidRPr="00104EF9">
        <w:rPr>
          <w:rFonts w:ascii="Arial" w:hAnsi="Arial" w:cs="Arial"/>
          <w:sz w:val="24"/>
        </w:rPr>
        <w:t xml:space="preserve"> - - </w:t>
      </w:r>
      <w:r>
        <w:rPr>
          <w:rFonts w:ascii="Arial" w:hAnsi="Arial" w:cs="Arial"/>
          <w:sz w:val="24"/>
        </w:rPr>
        <w:t>- - - - - - - - - - - - - - - - -</w:t>
      </w:r>
      <w:r w:rsidR="006E10CA">
        <w:rPr>
          <w:rFonts w:ascii="Arial" w:hAnsi="Arial" w:cs="Arial"/>
          <w:sz w:val="24"/>
        </w:rPr>
        <w:t xml:space="preserve"> - - - - - - - - - - - - - - - - - - - - - -</w:t>
      </w:r>
    </w:p>
    <w:p w14:paraId="4CBC5A76" w14:textId="77777777" w:rsidR="004B768F" w:rsidRDefault="004B768F" w:rsidP="004B768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proofErr w:type="gramEnd"/>
      <w:r>
        <w:rPr>
          <w:rFonts w:ascii="Arial" w:hAnsi="Arial" w:cs="Arial"/>
          <w:b/>
          <w:sz w:val="24"/>
          <w:szCs w:val="24"/>
        </w:rPr>
        <w:t xml:space="preserve">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70E73C94" w14:textId="77777777" w:rsidR="004B768F" w:rsidRDefault="004B768F" w:rsidP="004B768F">
      <w:pPr>
        <w:pStyle w:val="corte4fondoCarCarCar"/>
        <w:spacing w:before="240"/>
        <w:ind w:firstLine="708"/>
        <w:rPr>
          <w:rFonts w:cs="Arial"/>
          <w:bCs/>
          <w:sz w:val="24"/>
        </w:rPr>
      </w:pPr>
      <w:r>
        <w:rPr>
          <w:rFonts w:cs="Arial"/>
          <w:bCs/>
          <w:sz w:val="24"/>
        </w:rPr>
        <w:t xml:space="preserve">La autoridad demanda hizo valer las causales de improcedencia previstas en las fracciones IX del artículo 161 y V y VI del artículo 162 ambos de la ley de Procedimiento y Justicia Administrativa para el Estado de Oaxaca, además invocó las excepciones de FALTA DE </w:t>
      </w:r>
      <w:proofErr w:type="gramStart"/>
      <w:r>
        <w:rPr>
          <w:rFonts w:cs="Arial"/>
          <w:bCs/>
          <w:sz w:val="24"/>
        </w:rPr>
        <w:t>DERECHO  y</w:t>
      </w:r>
      <w:proofErr w:type="gramEnd"/>
      <w:r>
        <w:rPr>
          <w:rFonts w:cs="Arial"/>
          <w:bCs/>
          <w:sz w:val="24"/>
        </w:rPr>
        <w:t xml:space="preserve"> la FALSEDAD DE LOS HECHOS DE LA DEMANDA.</w:t>
      </w:r>
    </w:p>
    <w:p w14:paraId="720BE031" w14:textId="43E44B44" w:rsidR="004B768F" w:rsidRDefault="004B768F" w:rsidP="004B768F">
      <w:pPr>
        <w:pStyle w:val="corte4fondoCarCarCar"/>
        <w:spacing w:before="240"/>
        <w:ind w:firstLine="708"/>
        <w:rPr>
          <w:rFonts w:cs="Arial"/>
          <w:bCs/>
          <w:sz w:val="24"/>
        </w:rPr>
      </w:pPr>
      <w:r>
        <w:rPr>
          <w:rFonts w:cs="Arial"/>
          <w:bCs/>
          <w:sz w:val="24"/>
        </w:rPr>
        <w:t xml:space="preserve">Las hipótesis contenidas en la fracción IX, del artículo 161, así como de la fracción V del artículo 162 referidos, prevén que el Juicio es improcedente y por ende debe sobreseerse, cuando de las constancias de autos apareciere que no existe el acto reclamado o cuando no se probare su existencia; al respecto debe decirse que </w:t>
      </w:r>
      <w:r w:rsidRPr="00302851">
        <w:rPr>
          <w:rFonts w:cs="Arial"/>
          <w:b/>
          <w:bCs/>
          <w:sz w:val="24"/>
        </w:rPr>
        <w:t>éstas causales no se actualizan</w:t>
      </w:r>
      <w:r>
        <w:rPr>
          <w:rFonts w:cs="Arial"/>
          <w:bCs/>
          <w:sz w:val="24"/>
        </w:rPr>
        <w:t xml:space="preserve">, </w:t>
      </w:r>
      <w:r>
        <w:rPr>
          <w:rFonts w:cs="Arial"/>
          <w:bCs/>
          <w:sz w:val="24"/>
        </w:rPr>
        <w:lastRenderedPageBreak/>
        <w:t xml:space="preserve">porque fue la propia autoridad demandada quien remitió copia simple del oficio </w:t>
      </w:r>
      <w:r w:rsidR="00112181">
        <w:rPr>
          <w:rFonts w:cs="Arial"/>
          <w:bCs/>
          <w:sz w:val="24"/>
        </w:rPr>
        <w:t>FP/IPSP/ST/****/2018</w:t>
      </w:r>
      <w:r>
        <w:rPr>
          <w:rFonts w:cs="Arial"/>
          <w:bCs/>
          <w:sz w:val="24"/>
        </w:rPr>
        <w:t xml:space="preserve">, que es el acto impugnado en el presente asunto, luego entonces, resulta incomprensible que desconozca el acto impugnado y lo refiera inexistente, cuando fue al propia autoridad quien lo emitió, además que sostiene su legalidad al contestar la demanda, de ahí que sean injustificadas las causales invocadas. </w:t>
      </w:r>
    </w:p>
    <w:p w14:paraId="4CA49D54" w14:textId="77777777" w:rsidR="004B768F" w:rsidRDefault="004B768F" w:rsidP="004B768F">
      <w:pPr>
        <w:pStyle w:val="corte4fondoCarCarCar"/>
        <w:spacing w:before="240"/>
        <w:ind w:firstLine="708"/>
        <w:rPr>
          <w:rFonts w:cs="Arial"/>
          <w:bCs/>
          <w:sz w:val="24"/>
        </w:rPr>
      </w:pPr>
      <w:r>
        <w:rPr>
          <w:rFonts w:cs="Arial"/>
          <w:bCs/>
          <w:sz w:val="24"/>
        </w:rPr>
        <w:t xml:space="preserve">La causal de sobreseimiento prevista en la fracción VI del artículo 162 de la ley de la Materia, se refiere a los casos en que por disposición legal exista impedimento para emitir resolución; ésta causal también resulta injustificada, pues la autoridad demandada no argumentó en que normatividad se establece tal prohibición, </w:t>
      </w:r>
      <w:proofErr w:type="gramStart"/>
      <w:r>
        <w:rPr>
          <w:rFonts w:cs="Arial"/>
          <w:bCs/>
          <w:sz w:val="24"/>
        </w:rPr>
        <w:t>y</w:t>
      </w:r>
      <w:proofErr w:type="gramEnd"/>
      <w:r>
        <w:rPr>
          <w:rFonts w:cs="Arial"/>
          <w:bCs/>
          <w:sz w:val="24"/>
        </w:rPr>
        <w:t xml:space="preserve"> además, esta Juzgadora no advierte su existencia, consecuentemente, esas consideraciones nos llevan a concluir, que tampoco se actualiza dicha causal.</w:t>
      </w:r>
    </w:p>
    <w:p w14:paraId="62347E26" w14:textId="77777777" w:rsidR="004B768F" w:rsidRDefault="004B768F" w:rsidP="004B768F">
      <w:pPr>
        <w:pStyle w:val="corte4fondoCarCarCar"/>
        <w:spacing w:before="240"/>
        <w:ind w:firstLine="708"/>
        <w:rPr>
          <w:rFonts w:cs="Arial"/>
          <w:bCs/>
          <w:sz w:val="24"/>
        </w:rPr>
      </w:pPr>
      <w:r>
        <w:rPr>
          <w:rFonts w:cs="Arial"/>
          <w:bCs/>
          <w:sz w:val="24"/>
        </w:rPr>
        <w:t>Para la actualización de la e</w:t>
      </w:r>
      <w:r w:rsidRPr="004037C9">
        <w:rPr>
          <w:rFonts w:cs="Arial"/>
          <w:bCs/>
          <w:sz w:val="24"/>
        </w:rPr>
        <w:t>xcepció</w:t>
      </w:r>
      <w:r>
        <w:rPr>
          <w:rFonts w:cs="Arial"/>
          <w:bCs/>
          <w:sz w:val="24"/>
        </w:rPr>
        <w:t>n de</w:t>
      </w:r>
      <w:r w:rsidRPr="004037C9">
        <w:rPr>
          <w:rFonts w:cs="Arial"/>
          <w:bCs/>
          <w:sz w:val="24"/>
        </w:rPr>
        <w:t xml:space="preserve"> </w:t>
      </w:r>
      <w:r w:rsidRPr="000C1D44">
        <w:rPr>
          <w:rFonts w:cs="Arial"/>
          <w:bCs/>
          <w:sz w:val="24"/>
        </w:rPr>
        <w:t>FALTA DE ACCIÓN Y DERECHO DE</w:t>
      </w:r>
      <w:r>
        <w:rPr>
          <w:rFonts w:cs="Arial"/>
          <w:bCs/>
          <w:sz w:val="24"/>
        </w:rPr>
        <w:t xml:space="preserve"> </w:t>
      </w:r>
      <w:r w:rsidRPr="000C1D44">
        <w:rPr>
          <w:rFonts w:cs="Arial"/>
          <w:bCs/>
          <w:sz w:val="24"/>
        </w:rPr>
        <w:t>L</w:t>
      </w:r>
      <w:r>
        <w:rPr>
          <w:rFonts w:cs="Arial"/>
          <w:bCs/>
          <w:sz w:val="24"/>
        </w:rPr>
        <w:t>A</w:t>
      </w:r>
      <w:r w:rsidRPr="000C1D44">
        <w:rPr>
          <w:rFonts w:cs="Arial"/>
          <w:bCs/>
          <w:sz w:val="24"/>
        </w:rPr>
        <w:t xml:space="preserve"> ACTOR</w:t>
      </w:r>
      <w:r>
        <w:rPr>
          <w:rFonts w:cs="Arial"/>
          <w:bCs/>
          <w:sz w:val="24"/>
        </w:rPr>
        <w:t>A, basa la autoridad demandada su argumento</w:t>
      </w:r>
      <w:r w:rsidRPr="00706DF8">
        <w:rPr>
          <w:rFonts w:cs="Arial"/>
          <w:bCs/>
          <w:sz w:val="24"/>
        </w:rPr>
        <w:t xml:space="preserve"> </w:t>
      </w:r>
      <w:r>
        <w:rPr>
          <w:rFonts w:cs="Arial"/>
          <w:bCs/>
          <w:sz w:val="24"/>
        </w:rPr>
        <w:t>en</w:t>
      </w:r>
      <w:r w:rsidRPr="00B24EAB">
        <w:rPr>
          <w:rFonts w:cs="Arial"/>
          <w:bCs/>
          <w:sz w:val="24"/>
        </w:rPr>
        <w:t xml:space="preserve"> </w:t>
      </w:r>
      <w:r>
        <w:rPr>
          <w:rFonts w:cs="Arial"/>
          <w:bCs/>
          <w:sz w:val="24"/>
        </w:rPr>
        <w:t>que el acto impugnado es válido, pues considera cumple con los requisitos dispuestos en el artículo 17 de la Ley de Procedimiento y Justicia Administrativa para el Estado de Oaxaca, sin embargo,  no aporta mayores datos y en consecuencia tales argumentos son insuficientes para sustentar dicha excepción, y sus alegatos resultan improcedentes, pues no están encaminados a destruir la acción o impedir el estudio de fondo de este asunto, sino a sustentar la validez del acto impugnado, y de ese tema se encargará esta autoridad en el considerando siguiente.</w:t>
      </w:r>
    </w:p>
    <w:p w14:paraId="12D86175" w14:textId="77777777" w:rsidR="004B768F" w:rsidRDefault="004B768F" w:rsidP="004B768F">
      <w:pPr>
        <w:pStyle w:val="corte4fondoCarCarCar"/>
        <w:spacing w:before="240"/>
        <w:ind w:firstLine="708"/>
        <w:rPr>
          <w:rFonts w:cs="Arial"/>
          <w:bCs/>
          <w:sz w:val="24"/>
        </w:rPr>
      </w:pPr>
      <w:r>
        <w:rPr>
          <w:rFonts w:cs="Arial"/>
          <w:bCs/>
          <w:sz w:val="24"/>
        </w:rPr>
        <w:t xml:space="preserve">Respecto a la excepción de FALSEDAD DE LOS HECHOS, resulta también improcedente, porque los hechos narrados por la actora en la demanda, quedaron sustentados con los documentos que remitió, y que corroboró la demandada con la documental exhibida, que es precisamente el acto impugnado, hechos que también son descritos en el oficio impugnado, luego entonces, los hechos descritos por la actora quedaron de manifiesto con las documentales exhibidas por la actora, de ahí la improcedencia de la excepción planteada. </w:t>
      </w:r>
    </w:p>
    <w:p w14:paraId="121F7D54" w14:textId="77777777" w:rsidR="004B768F" w:rsidRPr="001042B6" w:rsidRDefault="004B768F" w:rsidP="004B768F">
      <w:pPr>
        <w:pStyle w:val="corte4fondoCarCarCar"/>
        <w:spacing w:before="240"/>
        <w:ind w:firstLine="708"/>
        <w:rPr>
          <w:rFonts w:cs="Arial"/>
          <w:bCs/>
          <w:sz w:val="24"/>
        </w:rPr>
      </w:pPr>
      <w:r>
        <w:rPr>
          <w:rFonts w:cs="Arial"/>
          <w:bCs/>
          <w:sz w:val="24"/>
        </w:rPr>
        <w:t>No advi</w:t>
      </w:r>
      <w:r w:rsidRPr="001042B6">
        <w:rPr>
          <w:rFonts w:cs="Arial"/>
          <w:bCs/>
          <w:sz w:val="24"/>
        </w:rPr>
        <w:t>rt</w:t>
      </w:r>
      <w:r>
        <w:rPr>
          <w:rFonts w:cs="Arial"/>
          <w:bCs/>
          <w:sz w:val="24"/>
        </w:rPr>
        <w:t>iéndose la actualización de</w:t>
      </w:r>
      <w:r w:rsidRPr="001042B6">
        <w:rPr>
          <w:rFonts w:cs="Arial"/>
          <w:bCs/>
          <w:sz w:val="24"/>
        </w:rPr>
        <w:t xml:space="preserve"> alguna </w:t>
      </w:r>
      <w:r>
        <w:rPr>
          <w:rFonts w:cs="Arial"/>
          <w:bCs/>
          <w:sz w:val="24"/>
        </w:rPr>
        <w:t xml:space="preserve">otra </w:t>
      </w:r>
      <w:r w:rsidRPr="001042B6">
        <w:rPr>
          <w:rFonts w:cs="Arial"/>
          <w:bCs/>
          <w:sz w:val="24"/>
        </w:rPr>
        <w:t xml:space="preserve">causa que impida entrar a estudiar el fondo del presente asunto, este Juicio de Nulidad NO SE </w:t>
      </w:r>
      <w:proofErr w:type="gramStart"/>
      <w:r w:rsidRPr="001042B6">
        <w:rPr>
          <w:rFonts w:cs="Arial"/>
          <w:bCs/>
          <w:sz w:val="24"/>
        </w:rPr>
        <w:t>SOBRESEE.-</w:t>
      </w:r>
      <w:proofErr w:type="gramEnd"/>
      <w:r w:rsidRPr="001042B6">
        <w:rPr>
          <w:rFonts w:cs="Arial"/>
          <w:bCs/>
          <w:sz w:val="24"/>
        </w:rPr>
        <w:t xml:space="preserve"> - - </w:t>
      </w:r>
      <w:r>
        <w:rPr>
          <w:rFonts w:cs="Arial"/>
          <w:bCs/>
          <w:sz w:val="24"/>
        </w:rPr>
        <w:t xml:space="preserve">- - - - - - - - - - - - - - - - - - - - - - - - - - - - - - - - - - - - - - - - </w:t>
      </w:r>
      <w:r w:rsidR="00D35A3C">
        <w:rPr>
          <w:rFonts w:cs="Arial"/>
          <w:bCs/>
          <w:sz w:val="24"/>
        </w:rPr>
        <w:t>- - -</w:t>
      </w:r>
    </w:p>
    <w:p w14:paraId="5D17BF5A" w14:textId="77777777" w:rsidR="004B768F" w:rsidRDefault="004B768F" w:rsidP="004B768F">
      <w:pPr>
        <w:tabs>
          <w:tab w:val="left" w:pos="284"/>
          <w:tab w:val="left" w:pos="567"/>
        </w:tabs>
        <w:spacing w:before="240" w:line="360" w:lineRule="auto"/>
        <w:jc w:val="both"/>
        <w:rPr>
          <w:rFonts w:ascii="Arial" w:hAnsi="Arial" w:cs="Arial"/>
          <w:color w:val="000000"/>
          <w:sz w:val="26"/>
          <w:szCs w:val="26"/>
          <w:highlight w:val="cyan"/>
        </w:rPr>
      </w:pPr>
      <w:r>
        <w:rPr>
          <w:rFonts w:ascii="Arial" w:hAnsi="Arial" w:cs="Arial"/>
          <w:b/>
          <w:sz w:val="24"/>
          <w:szCs w:val="24"/>
        </w:rPr>
        <w:tab/>
      </w:r>
      <w:r>
        <w:rPr>
          <w:rFonts w:ascii="Arial" w:hAnsi="Arial" w:cs="Arial"/>
          <w:b/>
          <w:sz w:val="24"/>
          <w:szCs w:val="24"/>
        </w:rPr>
        <w:tab/>
      </w:r>
      <w:r w:rsidRPr="006D7488">
        <w:rPr>
          <w:rFonts w:ascii="Arial" w:hAnsi="Arial" w:cs="Arial"/>
          <w:b/>
          <w:sz w:val="24"/>
          <w:szCs w:val="24"/>
        </w:rPr>
        <w:t>SEXTO.-</w:t>
      </w:r>
      <w:r>
        <w:rPr>
          <w:rFonts w:ascii="Arial" w:hAnsi="Arial" w:cs="Arial"/>
          <w:b/>
          <w:sz w:val="24"/>
          <w:szCs w:val="24"/>
        </w:rPr>
        <w:t xml:space="preserve"> </w:t>
      </w:r>
      <w:r w:rsidRPr="007C5DFE">
        <w:rPr>
          <w:rFonts w:ascii="Arial" w:hAnsi="Arial" w:cs="Arial"/>
          <w:sz w:val="24"/>
          <w:szCs w:val="24"/>
        </w:rPr>
        <w:t xml:space="preserve">En el presente asunto, se advierte que el acto combatido fue dictado por autoridad no competente y en consecuencia de conformidad con </w:t>
      </w:r>
      <w:r w:rsidRPr="007C5DFE">
        <w:rPr>
          <w:rFonts w:ascii="Arial" w:hAnsi="Arial" w:cs="Arial"/>
          <w:sz w:val="24"/>
          <w:szCs w:val="24"/>
        </w:rPr>
        <w:lastRenderedPageBreak/>
        <w:t>el</w:t>
      </w:r>
      <w:r>
        <w:rPr>
          <w:rFonts w:ascii="Arial" w:hAnsi="Arial" w:cs="Arial"/>
          <w:b/>
          <w:sz w:val="24"/>
          <w:szCs w:val="24"/>
        </w:rPr>
        <w:t xml:space="preserve"> </w:t>
      </w:r>
      <w:r w:rsidRPr="005B590B">
        <w:rPr>
          <w:rFonts w:ascii="Arial" w:hAnsi="Arial" w:cs="Arial"/>
          <w:sz w:val="24"/>
          <w:szCs w:val="24"/>
        </w:rPr>
        <w:t>artículo 208 último párrafo de la Ley de Procedimiento y Justicia Administrativa para el Estado de Oaxaca,</w:t>
      </w:r>
      <w:r>
        <w:rPr>
          <w:rFonts w:ascii="Arial" w:hAnsi="Arial" w:cs="Arial"/>
          <w:sz w:val="24"/>
          <w:szCs w:val="24"/>
        </w:rPr>
        <w:t xml:space="preserve"> que establecen que esta autoridad podrá hacer valer </w:t>
      </w:r>
      <w:r w:rsidRPr="00A63C19">
        <w:rPr>
          <w:rFonts w:ascii="Arial" w:hAnsi="Arial" w:cs="Arial"/>
          <w:b/>
          <w:sz w:val="24"/>
          <w:szCs w:val="24"/>
        </w:rPr>
        <w:t>de oficio</w:t>
      </w:r>
      <w:r>
        <w:rPr>
          <w:rFonts w:ascii="Arial" w:hAnsi="Arial" w:cs="Arial"/>
          <w:sz w:val="24"/>
          <w:szCs w:val="24"/>
        </w:rPr>
        <w:t xml:space="preserve">, </w:t>
      </w:r>
      <w:r w:rsidRPr="00A63C19">
        <w:rPr>
          <w:rFonts w:ascii="Arial" w:hAnsi="Arial" w:cs="Arial"/>
          <w:b/>
          <w:sz w:val="24"/>
          <w:szCs w:val="24"/>
        </w:rPr>
        <w:t>por ser de orden público</w:t>
      </w:r>
      <w:r>
        <w:rPr>
          <w:rFonts w:ascii="Arial" w:hAnsi="Arial" w:cs="Arial"/>
          <w:sz w:val="24"/>
          <w:szCs w:val="24"/>
        </w:rPr>
        <w:t>, la incompetencia de la autoridad para dictar la resolución impugnada, criterio compartido por el máximo Tribunal del País, al considerar q</w:t>
      </w:r>
      <w:r w:rsidRPr="00BF586A">
        <w:rPr>
          <w:rFonts w:ascii="Arial" w:hAnsi="Arial" w:cs="Arial"/>
          <w:color w:val="000000"/>
          <w:sz w:val="26"/>
          <w:szCs w:val="26"/>
        </w:rPr>
        <w:t xml:space="preserve">ue en el caso de que </w:t>
      </w:r>
      <w:r>
        <w:rPr>
          <w:rFonts w:ascii="Arial" w:hAnsi="Arial" w:cs="Arial"/>
          <w:color w:val="000000"/>
          <w:sz w:val="26"/>
          <w:szCs w:val="26"/>
        </w:rPr>
        <w:t>se estime</w:t>
      </w:r>
      <w:r w:rsidRPr="00BF586A">
        <w:rPr>
          <w:rFonts w:ascii="Arial" w:hAnsi="Arial" w:cs="Arial"/>
          <w:color w:val="000000"/>
          <w:sz w:val="26"/>
          <w:szCs w:val="26"/>
        </w:rPr>
        <w:t xml:space="preserve"> que la autoridad administrativa es incompetente, su pro</w:t>
      </w:r>
      <w:r>
        <w:rPr>
          <w:rFonts w:ascii="Arial" w:hAnsi="Arial" w:cs="Arial"/>
          <w:color w:val="000000"/>
          <w:sz w:val="26"/>
          <w:szCs w:val="26"/>
        </w:rPr>
        <w:t>nunciamiento es</w:t>
      </w:r>
      <w:r w:rsidRPr="00BF586A">
        <w:rPr>
          <w:rFonts w:ascii="Arial" w:hAnsi="Arial" w:cs="Arial"/>
          <w:color w:val="000000"/>
          <w:sz w:val="26"/>
          <w:szCs w:val="26"/>
        </w:rPr>
        <w:t xml:space="preserve"> indispensable, </w:t>
      </w:r>
      <w:r w:rsidRPr="001E5DF2">
        <w:rPr>
          <w:rFonts w:ascii="Arial" w:hAnsi="Arial" w:cs="Arial"/>
          <w:color w:val="000000"/>
          <w:sz w:val="26"/>
          <w:szCs w:val="26"/>
        </w:rPr>
        <w:t>porque ello constituirá causa de nulidad de la resolución impugnada.</w:t>
      </w:r>
    </w:p>
    <w:p w14:paraId="7314D69B" w14:textId="77910003" w:rsidR="004B768F" w:rsidRDefault="004B768F" w:rsidP="004B768F">
      <w:pPr>
        <w:tabs>
          <w:tab w:val="left" w:pos="284"/>
          <w:tab w:val="left" w:pos="567"/>
        </w:tabs>
        <w:spacing w:before="240" w:line="360" w:lineRule="auto"/>
        <w:jc w:val="both"/>
        <w:rPr>
          <w:rFonts w:ascii="Arial" w:hAnsi="Arial" w:cs="Arial"/>
          <w:sz w:val="24"/>
          <w:szCs w:val="24"/>
        </w:rPr>
      </w:pPr>
      <w:r>
        <w:rPr>
          <w:rFonts w:ascii="Arial" w:hAnsi="Arial" w:cs="Arial"/>
          <w:color w:val="000000"/>
          <w:sz w:val="26"/>
          <w:szCs w:val="26"/>
        </w:rPr>
        <w:tab/>
        <w:t xml:space="preserve">En efecto, esta Juzgadora considera que la autoridad aquí demandada, </w:t>
      </w:r>
      <w:r>
        <w:rPr>
          <w:rFonts w:ascii="Arial" w:hAnsi="Arial" w:cs="Arial"/>
          <w:sz w:val="24"/>
          <w:szCs w:val="24"/>
        </w:rPr>
        <w:t xml:space="preserve">Secretario Técnico del Comité Técnico del Fondo de Pensiones y Director General de la Oficina de Pensiones del Estado de Oaxaca, </w:t>
      </w:r>
      <w:r w:rsidRPr="001A5CF1">
        <w:rPr>
          <w:rFonts w:ascii="Arial" w:hAnsi="Arial" w:cs="Arial"/>
          <w:b/>
          <w:sz w:val="24"/>
          <w:szCs w:val="24"/>
        </w:rPr>
        <w:t>es incompetente</w:t>
      </w:r>
      <w:r>
        <w:rPr>
          <w:rFonts w:ascii="Arial" w:hAnsi="Arial" w:cs="Arial"/>
          <w:sz w:val="24"/>
          <w:szCs w:val="24"/>
        </w:rPr>
        <w:t xml:space="preserve"> para resolver la petición de pensión por fallecimiento presentada por la actora, el día diez de diciembre de dos mil dieciocho (10/12/2018), pues de las atribuciones previstas para esa autoridad en el artículo 56 de la Ley de Pensiones para los Integrantes de las Instituciones Policiales de la Secretaría de Seguridad Pública del Estado de Oaxaca, no se advierte la de dar respuesta a las peticiones de pensiones, pues por disposición expresa del artículo 30 de dicha normatividad, su función en ese tipo de solicitudes, se centra en someterlas a consideración del Comité Técnico para su  resolución correspondiente; por ello el numeral 24 del mismo ordenamiento legal, dispone que el Comité Técnico del Fondo de Pensiones, tiene la facultad de otorgar los beneficios señalados en la Ley, incluso los complementarios,  es decir, es el citado Comité Técnico del Fondo de Pensiones, es la autoridad competente para dar respuesta a la petición de pensión por fallecimiento presentada por la actora, en consecuencia, al arrogarse el Secretario Técnico del Comité Técnico del Fondo de Pensiones y Director General de la Oficina de Pensiones del Estado de Oaxaca, una facultad que no le corresponde, procede declarar la </w:t>
      </w:r>
      <w:r w:rsidRPr="00ED09BA">
        <w:rPr>
          <w:rFonts w:ascii="Arial" w:hAnsi="Arial" w:cs="Arial"/>
          <w:b/>
          <w:sz w:val="24"/>
          <w:szCs w:val="24"/>
        </w:rPr>
        <w:t>ILEGALIDAD</w:t>
      </w:r>
      <w:r>
        <w:rPr>
          <w:rFonts w:ascii="Arial" w:hAnsi="Arial" w:cs="Arial"/>
          <w:sz w:val="24"/>
          <w:szCs w:val="24"/>
        </w:rPr>
        <w:t xml:space="preserve"> del oficio </w:t>
      </w:r>
      <w:r w:rsidR="00112181">
        <w:rPr>
          <w:rFonts w:ascii="Arial" w:hAnsi="Arial" w:cs="Arial"/>
          <w:sz w:val="24"/>
          <w:szCs w:val="24"/>
        </w:rPr>
        <w:t>FP/IPSP/ST/****/2018</w:t>
      </w:r>
      <w:r>
        <w:rPr>
          <w:rFonts w:ascii="Arial" w:hAnsi="Arial" w:cs="Arial"/>
          <w:sz w:val="24"/>
          <w:szCs w:val="24"/>
        </w:rPr>
        <w:t xml:space="preserve">, expedido con fecha diecinueve de diciembre de dos mil dieciocho(19/12/2018), pues carece de un requisito indispensable de validez y legalidad, como es el dispuesto en la fracción I del artículo 17 de la Ley de Procedimiento y Justicia Administrativa para el Estado de Oaxaca, es decir, el de ser emitido por autoridad competente; y a ese respecto, ha sido criterio del máximo </w:t>
      </w:r>
      <w:r w:rsidRPr="00F17E2B">
        <w:rPr>
          <w:rFonts w:ascii="Arial" w:hAnsi="Arial" w:cs="Arial"/>
          <w:sz w:val="24"/>
          <w:szCs w:val="24"/>
        </w:rPr>
        <w:t xml:space="preserve">Tribunal de País, que de </w:t>
      </w:r>
      <w:r w:rsidRPr="00F17E2B">
        <w:rPr>
          <w:rFonts w:ascii="Arial" w:eastAsia="Times New Roman" w:hAnsi="Arial" w:cs="Arial"/>
          <w:color w:val="000000"/>
          <w:sz w:val="24"/>
          <w:szCs w:val="24"/>
          <w:lang w:eastAsia="es-MX"/>
        </w:rPr>
        <w:t xml:space="preserve">las garantías individuales de legalidad y seguridad jurídica que consagran los artículos 14 y 16 constitucionales, los actos de molestia </w:t>
      </w:r>
      <w:r>
        <w:rPr>
          <w:rFonts w:ascii="Arial" w:eastAsia="Times New Roman" w:hAnsi="Arial" w:cs="Arial"/>
          <w:color w:val="000000"/>
          <w:sz w:val="24"/>
          <w:szCs w:val="24"/>
          <w:lang w:eastAsia="es-MX"/>
        </w:rPr>
        <w:t>deben</w:t>
      </w:r>
      <w:r w:rsidRPr="00F17E2B">
        <w:rPr>
          <w:rFonts w:ascii="Arial" w:eastAsia="Times New Roman" w:hAnsi="Arial" w:cs="Arial"/>
          <w:color w:val="000000"/>
          <w:sz w:val="24"/>
          <w:szCs w:val="24"/>
          <w:lang w:eastAsia="es-MX"/>
        </w:rPr>
        <w:t xml:space="preserve"> ser emitidos por autoridad competente</w:t>
      </w:r>
      <w:r>
        <w:rPr>
          <w:rFonts w:ascii="Arial" w:eastAsia="Times New Roman" w:hAnsi="Arial" w:cs="Arial"/>
          <w:color w:val="000000"/>
          <w:sz w:val="24"/>
          <w:szCs w:val="24"/>
          <w:lang w:eastAsia="es-MX"/>
        </w:rPr>
        <w:t xml:space="preserve">, cumpliendo con ello </w:t>
      </w:r>
      <w:r w:rsidRPr="00F17E2B">
        <w:rPr>
          <w:rFonts w:ascii="Arial" w:eastAsia="Times New Roman" w:hAnsi="Arial" w:cs="Arial"/>
          <w:color w:val="000000"/>
          <w:sz w:val="24"/>
          <w:szCs w:val="24"/>
          <w:lang w:eastAsia="es-MX"/>
        </w:rPr>
        <w:t xml:space="preserve">las formalidades esenciales que les den eficacia jurídica, lo que significa que todo acto de autoridad necesariamente </w:t>
      </w:r>
      <w:r w:rsidRPr="00F17E2B">
        <w:rPr>
          <w:rFonts w:ascii="Arial" w:eastAsia="Times New Roman" w:hAnsi="Arial" w:cs="Arial"/>
          <w:color w:val="000000"/>
          <w:sz w:val="24"/>
          <w:szCs w:val="24"/>
          <w:lang w:eastAsia="es-MX"/>
        </w:rPr>
        <w:lastRenderedPageBreak/>
        <w:t>debe emitirse por quien para ello esté facultado, lo que en el presente asunto no ocurri</w:t>
      </w:r>
      <w:r>
        <w:rPr>
          <w:rFonts w:ascii="Arial" w:eastAsia="Times New Roman" w:hAnsi="Arial" w:cs="Arial"/>
          <w:color w:val="000000"/>
          <w:sz w:val="24"/>
          <w:szCs w:val="24"/>
          <w:lang w:eastAsia="es-MX"/>
        </w:rPr>
        <w:t xml:space="preserve">ó, como ya se expuso; por lo que de conformidad con lo dispuesto en los artículos 208 fracción I y último párrafo, y 209 ambos de la Ley de Procedimiento y Justicia Administrativa para el Estado de Oaxaca, se declara la </w:t>
      </w:r>
      <w:r w:rsidRPr="00545655">
        <w:rPr>
          <w:rFonts w:ascii="Arial" w:eastAsia="Times New Roman" w:hAnsi="Arial" w:cs="Arial"/>
          <w:b/>
          <w:color w:val="000000"/>
          <w:sz w:val="24"/>
          <w:szCs w:val="24"/>
          <w:lang w:eastAsia="es-MX"/>
        </w:rPr>
        <w:t>NULIDAD</w:t>
      </w:r>
      <w:r>
        <w:rPr>
          <w:rFonts w:ascii="Arial" w:eastAsia="Times New Roman" w:hAnsi="Arial" w:cs="Arial"/>
          <w:color w:val="000000"/>
          <w:sz w:val="24"/>
          <w:szCs w:val="24"/>
          <w:lang w:eastAsia="es-MX"/>
        </w:rPr>
        <w:t xml:space="preserve"> del oficio </w:t>
      </w:r>
      <w:r w:rsidR="00112181">
        <w:rPr>
          <w:rFonts w:ascii="Arial" w:hAnsi="Arial" w:cs="Arial"/>
          <w:sz w:val="24"/>
          <w:szCs w:val="24"/>
        </w:rPr>
        <w:t>FP/IPSP/ST/****/2018</w:t>
      </w:r>
      <w:r>
        <w:rPr>
          <w:rFonts w:ascii="Arial" w:hAnsi="Arial" w:cs="Arial"/>
          <w:sz w:val="24"/>
          <w:szCs w:val="24"/>
        </w:rPr>
        <w:t xml:space="preserve">, expedido con fecha diecinueve de diciembre de dos mil dieciocho(19/12/2018), </w:t>
      </w:r>
      <w:r>
        <w:rPr>
          <w:rFonts w:ascii="Arial" w:eastAsia="Times New Roman" w:hAnsi="Arial" w:cs="Arial"/>
          <w:color w:val="000000"/>
          <w:sz w:val="24"/>
          <w:szCs w:val="24"/>
          <w:lang w:eastAsia="es-MX"/>
        </w:rPr>
        <w:t xml:space="preserve">aquí declarado ilegal, y toda vez que éste proviene de una petición que no puede quedar sin respuesta, la presente determinación es </w:t>
      </w:r>
      <w:r w:rsidRPr="00545655">
        <w:rPr>
          <w:rFonts w:ascii="Arial" w:eastAsia="Times New Roman" w:hAnsi="Arial" w:cs="Arial"/>
          <w:b/>
          <w:color w:val="000000"/>
          <w:sz w:val="24"/>
          <w:szCs w:val="24"/>
          <w:lang w:eastAsia="es-MX"/>
        </w:rPr>
        <w:t xml:space="preserve">PARA EL EFECTO </w:t>
      </w:r>
      <w:r>
        <w:rPr>
          <w:rFonts w:ascii="Arial" w:eastAsia="Times New Roman" w:hAnsi="Arial" w:cs="Arial"/>
          <w:color w:val="000000"/>
          <w:sz w:val="24"/>
          <w:szCs w:val="24"/>
          <w:lang w:eastAsia="es-MX"/>
        </w:rPr>
        <w:t xml:space="preserve">de que la autoridad demandada, </w:t>
      </w:r>
      <w:r>
        <w:rPr>
          <w:rFonts w:ascii="Arial" w:hAnsi="Arial" w:cs="Arial"/>
          <w:sz w:val="24"/>
          <w:szCs w:val="24"/>
        </w:rPr>
        <w:t>Secretario Técnico del Comité Técnico del Fondo de Pensiones y Director General de la Oficina de Pensiones del Estado de Oaxaca, de trámite a la petición de pensión por fallecimiento de la actora, presentada el día diez de diciembre de dos mil dieciocho (10/12/2018), sometiéndola a consideración del Comité Técnico del Fondo de Pensiones, para que éste, con plenitud de jurisdicción, y en uso de sus atribuciones resuelva lo que corresponda.</w:t>
      </w:r>
    </w:p>
    <w:p w14:paraId="0179DC44" w14:textId="77777777" w:rsidR="004B768F" w:rsidRPr="0082789C" w:rsidRDefault="004B768F" w:rsidP="004B76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lo anterior, las Jurisprudencias con datos de identificación: </w:t>
      </w:r>
      <w:r w:rsidRPr="0082789C">
        <w:rPr>
          <w:rFonts w:ascii="Arial" w:hAnsi="Arial" w:cs="Arial"/>
          <w:sz w:val="24"/>
          <w:szCs w:val="24"/>
        </w:rPr>
        <w:t xml:space="preserve">Gaceta del Semanario Judicial de la Federación, Núm. 77, </w:t>
      </w:r>
      <w:proofErr w:type="gramStart"/>
      <w:r w:rsidRPr="0082789C">
        <w:rPr>
          <w:rFonts w:ascii="Arial" w:hAnsi="Arial" w:cs="Arial"/>
          <w:sz w:val="24"/>
          <w:szCs w:val="24"/>
        </w:rPr>
        <w:t>Mayo</w:t>
      </w:r>
      <w:proofErr w:type="gramEnd"/>
      <w:r w:rsidRPr="0082789C">
        <w:rPr>
          <w:rFonts w:ascii="Arial" w:hAnsi="Arial" w:cs="Arial"/>
          <w:sz w:val="24"/>
          <w:szCs w:val="24"/>
        </w:rPr>
        <w:t xml:space="preserve"> de 1994, Octava Época, pág. 12, registro </w:t>
      </w:r>
      <w:r w:rsidRPr="00DD6B3D">
        <w:rPr>
          <w:rFonts w:ascii="Arial" w:hAnsi="Arial" w:cs="Arial"/>
          <w:sz w:val="24"/>
          <w:szCs w:val="24"/>
        </w:rPr>
        <w:t>205463, Jurisprudencia Común, Pleno y de rubro: “</w:t>
      </w:r>
      <w:r w:rsidRPr="00DD6B3D">
        <w:rPr>
          <w:rFonts w:ascii="Arial" w:hAnsi="Arial" w:cs="Arial"/>
          <w:i/>
          <w:sz w:val="24"/>
          <w:szCs w:val="24"/>
        </w:rPr>
        <w:t>COMPETENCIA. SU FUNDAMENTACIÓN</w:t>
      </w:r>
      <w:r w:rsidRPr="0082789C">
        <w:rPr>
          <w:rFonts w:ascii="Arial" w:hAnsi="Arial" w:cs="Arial"/>
          <w:i/>
          <w:sz w:val="24"/>
          <w:szCs w:val="24"/>
        </w:rPr>
        <w:t xml:space="preserve"> ES REQUISITO ESENCIAL DEL ACTO DE AUTORIDAD.”</w:t>
      </w:r>
    </w:p>
    <w:p w14:paraId="3B03DC2B" w14:textId="77777777" w:rsidR="004B768F" w:rsidRPr="000719CA" w:rsidRDefault="004B768F" w:rsidP="004B768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Semanario Judicial de la Federación y su Gaceta, Tomo XXVI, </w:t>
      </w:r>
      <w:proofErr w:type="gramStart"/>
      <w:r>
        <w:rPr>
          <w:rFonts w:ascii="Arial" w:hAnsi="Arial" w:cs="Arial"/>
          <w:sz w:val="24"/>
          <w:szCs w:val="24"/>
        </w:rPr>
        <w:t>Diciembre</w:t>
      </w:r>
      <w:proofErr w:type="gramEnd"/>
      <w:r>
        <w:rPr>
          <w:rFonts w:ascii="Arial" w:hAnsi="Arial" w:cs="Arial"/>
          <w:sz w:val="24"/>
          <w:szCs w:val="24"/>
        </w:rPr>
        <w:t xml:space="preserve"> de 2007, Novena Época, pág. 154, registro 170827, Jurisprudencia (Administrativa), Segunda Sala, y bajo el rubro: “</w:t>
      </w:r>
      <w:r w:rsidRPr="006B3950">
        <w:rPr>
          <w:rFonts w:ascii="Arial" w:hAnsi="Arial" w:cs="Arial"/>
          <w:i/>
          <w:sz w:val="24"/>
          <w:szCs w:val="24"/>
        </w:rPr>
        <w:t>COMPETENCIA. SU ESTUDIO OFICIOSO RESPECTO DE LA AUTORIDAD DEMANDADA EN</w:t>
      </w:r>
      <w:r>
        <w:rPr>
          <w:rFonts w:ascii="Arial" w:hAnsi="Arial" w:cs="Arial"/>
          <w:i/>
          <w:sz w:val="24"/>
          <w:szCs w:val="24"/>
        </w:rPr>
        <w:t xml:space="preserve"> </w:t>
      </w:r>
      <w:r w:rsidRPr="006B3950">
        <w:rPr>
          <w:rFonts w:ascii="Arial" w:hAnsi="Arial" w:cs="Arial"/>
          <w:i/>
          <w:sz w:val="24"/>
          <w:szCs w:val="24"/>
        </w:rPr>
        <w:t>EL JUICIO CONTENCIOSO ADMINISTRATIVO, DEBE SER ANALIZADA POR LAS SALAS DEL TRIBUNAL FEDERAL DE JUSTICIA FISCAL Y ADMINISTRATIVA.”</w:t>
      </w:r>
    </w:p>
    <w:p w14:paraId="1E2231B2" w14:textId="77777777" w:rsidR="004B768F" w:rsidRPr="00395A24" w:rsidRDefault="004B768F" w:rsidP="004B76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Declarada la nulidad del acto impugnado, resulta ocioso analizar los conceptos de impugnación expresados por la actora, pues no puede destruirse un actor legalmente destruido.</w:t>
      </w:r>
    </w:p>
    <w:p w14:paraId="20D930F7" w14:textId="77777777" w:rsidR="004B768F" w:rsidRDefault="004B768F" w:rsidP="004B768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63702E">
        <w:rPr>
          <w:rFonts w:ascii="Arial" w:hAnsi="Arial" w:cs="Arial"/>
          <w:sz w:val="24"/>
          <w:szCs w:val="24"/>
        </w:rPr>
        <w:t xml:space="preserve">- - - </w:t>
      </w:r>
    </w:p>
    <w:p w14:paraId="47382927" w14:textId="77777777" w:rsidR="004B768F" w:rsidRDefault="004B768F" w:rsidP="004B768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08FAA90" w14:textId="77777777" w:rsidR="004B768F" w:rsidRDefault="004B768F" w:rsidP="004B768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6224F4">
        <w:rPr>
          <w:rFonts w:ascii="Arial" w:hAnsi="Arial" w:cs="Arial"/>
          <w:sz w:val="24"/>
          <w:szCs w:val="24"/>
        </w:rPr>
        <w:t>-</w:t>
      </w:r>
    </w:p>
    <w:p w14:paraId="328F37A5" w14:textId="77777777" w:rsidR="004B768F" w:rsidRDefault="004B768F" w:rsidP="004B768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6224F4">
        <w:rPr>
          <w:rFonts w:ascii="Arial" w:hAnsi="Arial" w:cs="Arial"/>
          <w:sz w:val="24"/>
          <w:szCs w:val="24"/>
        </w:rPr>
        <w:t>- - - - - - - - -</w:t>
      </w:r>
    </w:p>
    <w:p w14:paraId="3B568CE8" w14:textId="5B13FF82" w:rsidR="004B768F" w:rsidRDefault="00FD3894" w:rsidP="004B768F">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004B768F" w:rsidRPr="00972356">
        <w:rPr>
          <w:rFonts w:ascii="Arial" w:hAnsi="Arial" w:cs="Arial"/>
          <w:b/>
          <w:sz w:val="24"/>
          <w:szCs w:val="24"/>
        </w:rPr>
        <w:t>TERCERO.-</w:t>
      </w:r>
      <w:r w:rsidR="004B768F">
        <w:rPr>
          <w:rFonts w:ascii="Arial" w:hAnsi="Arial" w:cs="Arial"/>
          <w:sz w:val="24"/>
          <w:szCs w:val="24"/>
        </w:rPr>
        <w:t xml:space="preserve"> Se declara la </w:t>
      </w:r>
      <w:r w:rsidR="004B768F" w:rsidRPr="00DE5509">
        <w:rPr>
          <w:rFonts w:ascii="Arial" w:hAnsi="Arial" w:cs="Arial"/>
          <w:b/>
          <w:sz w:val="24"/>
          <w:szCs w:val="24"/>
        </w:rPr>
        <w:t>NULIDAD</w:t>
      </w:r>
      <w:r w:rsidR="004B768F">
        <w:rPr>
          <w:rFonts w:ascii="Arial" w:hAnsi="Arial" w:cs="Arial"/>
          <w:b/>
          <w:sz w:val="24"/>
          <w:szCs w:val="24"/>
        </w:rPr>
        <w:t xml:space="preserve"> </w:t>
      </w:r>
      <w:r w:rsidR="004B768F">
        <w:rPr>
          <w:rFonts w:ascii="Arial" w:hAnsi="Arial" w:cs="Arial"/>
          <w:sz w:val="24"/>
          <w:szCs w:val="24"/>
        </w:rPr>
        <w:t xml:space="preserve">del oficio </w:t>
      </w:r>
      <w:r w:rsidR="00112181">
        <w:rPr>
          <w:rFonts w:ascii="Arial" w:hAnsi="Arial" w:cs="Arial"/>
          <w:sz w:val="24"/>
          <w:szCs w:val="24"/>
        </w:rPr>
        <w:t>FP/IPSP/ST/****/2018</w:t>
      </w:r>
      <w:r w:rsidR="004B768F">
        <w:rPr>
          <w:rFonts w:ascii="Arial" w:hAnsi="Arial" w:cs="Arial"/>
          <w:sz w:val="24"/>
          <w:szCs w:val="24"/>
        </w:rPr>
        <w:t xml:space="preserve">, dictado por el Secretario Técnico del Comité Técnico del Fondo de Pensiones y Director General de la Oficina de Pensiones del Estado de Oaxaca, </w:t>
      </w:r>
      <w:r w:rsidR="004B768F" w:rsidRPr="00367DC3">
        <w:rPr>
          <w:rFonts w:ascii="Arial" w:hAnsi="Arial" w:cs="Arial"/>
          <w:b/>
          <w:sz w:val="24"/>
          <w:szCs w:val="24"/>
        </w:rPr>
        <w:t>PARA EL EFECTO</w:t>
      </w:r>
      <w:r w:rsidR="004B768F">
        <w:rPr>
          <w:rFonts w:ascii="Arial" w:hAnsi="Arial" w:cs="Arial"/>
          <w:sz w:val="24"/>
          <w:szCs w:val="24"/>
        </w:rPr>
        <w:t xml:space="preserve"> de que </w:t>
      </w:r>
      <w:r w:rsidR="004B768F">
        <w:rPr>
          <w:rFonts w:ascii="Arial" w:eastAsia="Times New Roman" w:hAnsi="Arial" w:cs="Arial"/>
          <w:color w:val="000000"/>
          <w:sz w:val="24"/>
          <w:szCs w:val="24"/>
          <w:lang w:eastAsia="es-MX"/>
        </w:rPr>
        <w:t xml:space="preserve">la citada autoridad demandada </w:t>
      </w:r>
      <w:r w:rsidR="004B768F">
        <w:rPr>
          <w:rFonts w:ascii="Arial" w:hAnsi="Arial" w:cs="Arial"/>
          <w:sz w:val="24"/>
          <w:szCs w:val="24"/>
        </w:rPr>
        <w:t xml:space="preserve">de trámite a la petición de pensión por fallecimiento solicitada por la actora, de fecha diez de diciembre de dos mil dieciocho (10/12/2018), sometiéndola a consideración del Comité Técnico del Fondo de Pensiones, para que éste, con plenitud de jurisdicción, resuelva lo que corresponda; lo anterior en términos precisados en el considerando SEXTO de esta resolución. - - - - - </w:t>
      </w:r>
      <w:r>
        <w:rPr>
          <w:rFonts w:ascii="Arial" w:hAnsi="Arial" w:cs="Arial"/>
          <w:sz w:val="24"/>
          <w:szCs w:val="24"/>
        </w:rPr>
        <w:t>- -</w:t>
      </w:r>
    </w:p>
    <w:p w14:paraId="02688391" w14:textId="77777777" w:rsidR="004B768F" w:rsidRDefault="004B768F" w:rsidP="004B768F">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II, y segundo párrafo, de la Ley de Procedimiento y Justicia Administrativa para el Estado de Oaxaca, </w:t>
      </w:r>
      <w:r>
        <w:rPr>
          <w:rFonts w:ascii="Arial" w:hAnsi="Arial" w:cs="Arial"/>
          <w:b/>
          <w:sz w:val="24"/>
          <w:szCs w:val="24"/>
        </w:rPr>
        <w:t>NOTIFÍQUESE PERSONALMENTE A LA PARTE ACTORA, POR OFICIO A LA AUTORIDAD DEMANDADA Y POR LISTA AL TERCERO AFECTADO. CÚMPLASE</w:t>
      </w:r>
      <w:r w:rsidRPr="00441770">
        <w:rPr>
          <w:rFonts w:ascii="Arial" w:hAnsi="Arial" w:cs="Arial"/>
          <w:sz w:val="24"/>
          <w:szCs w:val="24"/>
        </w:rPr>
        <w:t xml:space="preserve">. </w:t>
      </w:r>
      <w:r>
        <w:rPr>
          <w:rFonts w:ascii="Arial" w:hAnsi="Arial" w:cs="Arial"/>
          <w:sz w:val="24"/>
          <w:szCs w:val="24"/>
        </w:rPr>
        <w:t>- - - - - - - - - - - - - - - - - - - - - - - - - - - - - - - - - - - - - - - - - - - - -</w:t>
      </w:r>
      <w:r w:rsidR="0090463C">
        <w:rPr>
          <w:rFonts w:ascii="Arial" w:hAnsi="Arial" w:cs="Arial"/>
          <w:sz w:val="24"/>
          <w:szCs w:val="24"/>
        </w:rPr>
        <w:t xml:space="preserve"> -</w:t>
      </w:r>
    </w:p>
    <w:p w14:paraId="7E8BF8A3" w14:textId="77777777" w:rsidR="004B768F" w:rsidRPr="00746184" w:rsidRDefault="004B768F" w:rsidP="004B768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90463C">
        <w:rPr>
          <w:rFonts w:ascii="Arial" w:hAnsi="Arial" w:cs="Arial"/>
          <w:sz w:val="24"/>
          <w:szCs w:val="24"/>
        </w:rPr>
        <w:t xml:space="preserve">- - - - - - - - - - - </w:t>
      </w:r>
    </w:p>
    <w:p w14:paraId="5ACE7070" w14:textId="77777777" w:rsidR="0048608F" w:rsidRPr="007C6B9D" w:rsidRDefault="0048608F" w:rsidP="007C6B9D"/>
    <w:sectPr w:rsidR="0048608F" w:rsidRPr="007C6B9D" w:rsidSect="001130B3">
      <w:headerReference w:type="even" r:id="rId7"/>
      <w:headerReference w:type="default" r:id="rId8"/>
      <w:footerReference w:type="default" r:id="rId9"/>
      <w:headerReference w:type="first" r:id="rId10"/>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4B258B" w14:textId="77777777" w:rsidR="00414063" w:rsidRDefault="00414063" w:rsidP="007A5B5E">
      <w:pPr>
        <w:spacing w:after="0" w:line="240" w:lineRule="auto"/>
      </w:pPr>
      <w:r>
        <w:separator/>
      </w:r>
    </w:p>
  </w:endnote>
  <w:endnote w:type="continuationSeparator" w:id="0">
    <w:p w14:paraId="614D5100" w14:textId="77777777" w:rsidR="00414063" w:rsidRDefault="00414063"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5D496766"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374D217" wp14:editId="03AC6545">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37A3AF91"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0463C" w:rsidRPr="0090463C">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74D21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37A3AF91"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0463C" w:rsidRPr="0090463C">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BC66C2" w14:textId="77777777" w:rsidR="00414063" w:rsidRDefault="00414063" w:rsidP="007A5B5E">
      <w:pPr>
        <w:spacing w:after="0" w:line="240" w:lineRule="auto"/>
      </w:pPr>
      <w:r>
        <w:separator/>
      </w:r>
    </w:p>
  </w:footnote>
  <w:footnote w:type="continuationSeparator" w:id="0">
    <w:p w14:paraId="129BB25A" w14:textId="77777777" w:rsidR="00414063" w:rsidRDefault="00414063"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5240F1" w14:textId="77777777" w:rsidR="00A4373C" w:rsidRDefault="00466E5A">
    <w:pPr>
      <w:pStyle w:val="Encabezado"/>
    </w:pPr>
    <w:r>
      <w:rPr>
        <w:noProof/>
        <w:lang w:eastAsia="es-MX"/>
      </w:rPr>
      <w:pict w14:anchorId="1060BC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32B84" w14:textId="710876BA"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680" behindDoc="0" locked="0" layoutInCell="1" allowOverlap="1" wp14:anchorId="6A2E8028" wp14:editId="2DFC2C6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2EB4987" w14:textId="77777777" w:rsidR="00A4373C" w:rsidRDefault="00440D9A" w:rsidP="009F5E77">
                          <w:r>
                            <w:rPr>
                              <w:noProof/>
                              <w:lang w:eastAsia="es-MX"/>
                            </w:rPr>
                            <w:drawing>
                              <wp:inline distT="0" distB="0" distL="0" distR="0" wp14:anchorId="6A02AA80" wp14:editId="0353E04C">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2E8028"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62EB4987" w14:textId="77777777" w:rsidR="00A4373C" w:rsidRDefault="00440D9A" w:rsidP="009F5E77">
                    <w:r>
                      <w:rPr>
                        <w:noProof/>
                        <w:lang w:eastAsia="es-MX"/>
                      </w:rPr>
                      <w:drawing>
                        <wp:inline distT="0" distB="0" distL="0" distR="0" wp14:anchorId="6A02AA80" wp14:editId="0353E04C">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7C6B9D">
      <w:rPr>
        <w:rFonts w:ascii="Bookman Old Style" w:hAnsi="Bookman Old Style"/>
        <w:b/>
        <w:sz w:val="24"/>
        <w:szCs w:val="24"/>
      </w:rPr>
      <w:t>00</w:t>
    </w:r>
    <w:r w:rsidR="00FF5557">
      <w:rPr>
        <w:rFonts w:ascii="Bookman Old Style" w:hAnsi="Bookman Old Style"/>
        <w:b/>
        <w:sz w:val="24"/>
        <w:szCs w:val="24"/>
      </w:rPr>
      <w:t>4</w:t>
    </w:r>
    <w:r w:rsidRPr="00391F24">
      <w:rPr>
        <w:rFonts w:ascii="Bookman Old Style" w:hAnsi="Bookman Old Style"/>
        <w:b/>
        <w:sz w:val="24"/>
        <w:szCs w:val="24"/>
      </w:rPr>
      <w:t>/</w:t>
    </w:r>
    <w:r w:rsidRPr="002F2D7B">
      <w:rPr>
        <w:rFonts w:ascii="Bookman Old Style" w:hAnsi="Bookman Old Style"/>
        <w:b/>
        <w:sz w:val="24"/>
        <w:szCs w:val="24"/>
      </w:rPr>
      <w:t>201</w:t>
    </w:r>
    <w:r w:rsidR="00FF5557">
      <w:rPr>
        <w:rFonts w:ascii="Bookman Old Style" w:hAnsi="Bookman Old Style"/>
        <w:b/>
        <w:sz w:val="24"/>
        <w:szCs w:val="24"/>
      </w:rPr>
      <w:t>9</w:t>
    </w:r>
  </w:p>
  <w:p w14:paraId="70D92D9C" w14:textId="6CBFBAC6" w:rsidR="00A4373C" w:rsidRPr="00071C38" w:rsidRDefault="00706AB7" w:rsidP="00C3581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1" locked="0" layoutInCell="1" allowOverlap="1" wp14:anchorId="49CCA0B8" wp14:editId="7DFAF5D3">
              <wp:simplePos x="0" y="0"/>
              <wp:positionH relativeFrom="column">
                <wp:posOffset>-1251585</wp:posOffset>
              </wp:positionH>
              <wp:positionV relativeFrom="paragraph">
                <wp:posOffset>4600575</wp:posOffset>
              </wp:positionV>
              <wp:extent cx="1137285" cy="130492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04925"/>
                      </a:xfrm>
                      <a:prstGeom prst="rect">
                        <a:avLst/>
                      </a:prstGeom>
                      <a:solidFill>
                        <a:srgbClr val="FFFFFF"/>
                      </a:solidFill>
                      <a:ln w="9525">
                        <a:solidFill>
                          <a:srgbClr val="000000"/>
                        </a:solidFill>
                        <a:miter lim="800000"/>
                        <a:headEnd/>
                        <a:tailEnd/>
                      </a:ln>
                    </wps:spPr>
                    <wps:txbx>
                      <w:txbxContent>
                        <w:p w14:paraId="250188E2" w14:textId="77777777" w:rsidR="00706AB7" w:rsidRDefault="00706AB7" w:rsidP="00706AB7">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CCA0B8" id="Cuadro de texto 4" o:spid="_x0000_s1027" type="#_x0000_t202" style="position:absolute;left:0;text-align:left;margin-left:-98.55pt;margin-top:362.25pt;width:89.55pt;height:102.7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">
              <v:textbox>
                <w:txbxContent>
                  <w:p w14:paraId="250188E2" w14:textId="77777777" w:rsidR="00706AB7" w:rsidRDefault="00706AB7" w:rsidP="00706AB7">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7128591E" wp14:editId="33EFD96C">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5956BF" w14:textId="77777777" w:rsidR="00A4373C" w:rsidRDefault="00466E5A">
    <w:pPr>
      <w:pStyle w:val="Encabezado"/>
    </w:pPr>
    <w:r>
      <w:rPr>
        <w:noProof/>
        <w:lang w:eastAsia="es-MX"/>
      </w:rPr>
      <w:pict w14:anchorId="07B5C2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0528"/>
    <w:rsid w:val="000125A9"/>
    <w:rsid w:val="00012762"/>
    <w:rsid w:val="00022D97"/>
    <w:rsid w:val="00023964"/>
    <w:rsid w:val="000268AE"/>
    <w:rsid w:val="00033A92"/>
    <w:rsid w:val="00034A10"/>
    <w:rsid w:val="00037568"/>
    <w:rsid w:val="00041042"/>
    <w:rsid w:val="00045647"/>
    <w:rsid w:val="00047223"/>
    <w:rsid w:val="00054DF6"/>
    <w:rsid w:val="00056EEE"/>
    <w:rsid w:val="000606E5"/>
    <w:rsid w:val="00062DC6"/>
    <w:rsid w:val="000679B2"/>
    <w:rsid w:val="00067DE1"/>
    <w:rsid w:val="00080379"/>
    <w:rsid w:val="00085C5D"/>
    <w:rsid w:val="00086629"/>
    <w:rsid w:val="000920FC"/>
    <w:rsid w:val="00092B13"/>
    <w:rsid w:val="000A1953"/>
    <w:rsid w:val="000A7EF7"/>
    <w:rsid w:val="000B07FD"/>
    <w:rsid w:val="000B41EC"/>
    <w:rsid w:val="000C2D07"/>
    <w:rsid w:val="000C5A57"/>
    <w:rsid w:val="000D332F"/>
    <w:rsid w:val="000D7002"/>
    <w:rsid w:val="000F2A5A"/>
    <w:rsid w:val="000F682D"/>
    <w:rsid w:val="0010130E"/>
    <w:rsid w:val="0010171D"/>
    <w:rsid w:val="00102428"/>
    <w:rsid w:val="00103E7F"/>
    <w:rsid w:val="001062D2"/>
    <w:rsid w:val="00112181"/>
    <w:rsid w:val="001130B3"/>
    <w:rsid w:val="0011343F"/>
    <w:rsid w:val="001138F8"/>
    <w:rsid w:val="00117886"/>
    <w:rsid w:val="00121484"/>
    <w:rsid w:val="00124E09"/>
    <w:rsid w:val="001323F3"/>
    <w:rsid w:val="00132D25"/>
    <w:rsid w:val="00150601"/>
    <w:rsid w:val="00150787"/>
    <w:rsid w:val="00160942"/>
    <w:rsid w:val="00164320"/>
    <w:rsid w:val="0016706C"/>
    <w:rsid w:val="00185A8C"/>
    <w:rsid w:val="0019193E"/>
    <w:rsid w:val="001A273D"/>
    <w:rsid w:val="001A3488"/>
    <w:rsid w:val="001A420D"/>
    <w:rsid w:val="001B0015"/>
    <w:rsid w:val="001B31AA"/>
    <w:rsid w:val="001B3EDE"/>
    <w:rsid w:val="001C581E"/>
    <w:rsid w:val="001D595D"/>
    <w:rsid w:val="001D7D72"/>
    <w:rsid w:val="002019F1"/>
    <w:rsid w:val="00225794"/>
    <w:rsid w:val="002273C1"/>
    <w:rsid w:val="00227673"/>
    <w:rsid w:val="00227B0E"/>
    <w:rsid w:val="00231BB4"/>
    <w:rsid w:val="00237BFA"/>
    <w:rsid w:val="00242030"/>
    <w:rsid w:val="002476D8"/>
    <w:rsid w:val="00256213"/>
    <w:rsid w:val="00264419"/>
    <w:rsid w:val="00266D60"/>
    <w:rsid w:val="00273025"/>
    <w:rsid w:val="00274840"/>
    <w:rsid w:val="00277F55"/>
    <w:rsid w:val="00282C25"/>
    <w:rsid w:val="0028642F"/>
    <w:rsid w:val="002A1A88"/>
    <w:rsid w:val="002A70E2"/>
    <w:rsid w:val="002B1091"/>
    <w:rsid w:val="002C3F59"/>
    <w:rsid w:val="002D049B"/>
    <w:rsid w:val="002D1C5C"/>
    <w:rsid w:val="002D50CB"/>
    <w:rsid w:val="002E0A6B"/>
    <w:rsid w:val="002E45CD"/>
    <w:rsid w:val="002F0DE0"/>
    <w:rsid w:val="002F510D"/>
    <w:rsid w:val="002F7E67"/>
    <w:rsid w:val="00314069"/>
    <w:rsid w:val="0032191E"/>
    <w:rsid w:val="003232EF"/>
    <w:rsid w:val="00324531"/>
    <w:rsid w:val="00334280"/>
    <w:rsid w:val="0034172C"/>
    <w:rsid w:val="0034623D"/>
    <w:rsid w:val="003605D0"/>
    <w:rsid w:val="00362621"/>
    <w:rsid w:val="00362B10"/>
    <w:rsid w:val="00362B9F"/>
    <w:rsid w:val="0036559B"/>
    <w:rsid w:val="00367CD8"/>
    <w:rsid w:val="00372164"/>
    <w:rsid w:val="00372348"/>
    <w:rsid w:val="003739C0"/>
    <w:rsid w:val="00375885"/>
    <w:rsid w:val="00375B6F"/>
    <w:rsid w:val="0037735A"/>
    <w:rsid w:val="00387429"/>
    <w:rsid w:val="00387F33"/>
    <w:rsid w:val="00391F24"/>
    <w:rsid w:val="00393A57"/>
    <w:rsid w:val="003A4548"/>
    <w:rsid w:val="003A766C"/>
    <w:rsid w:val="003B1785"/>
    <w:rsid w:val="003B3C3C"/>
    <w:rsid w:val="003C5391"/>
    <w:rsid w:val="003E104E"/>
    <w:rsid w:val="003E525F"/>
    <w:rsid w:val="003E6BD1"/>
    <w:rsid w:val="003F5F1A"/>
    <w:rsid w:val="003F7AB5"/>
    <w:rsid w:val="00402CA6"/>
    <w:rsid w:val="00407214"/>
    <w:rsid w:val="00412725"/>
    <w:rsid w:val="00413B0F"/>
    <w:rsid w:val="00414063"/>
    <w:rsid w:val="00420019"/>
    <w:rsid w:val="00427547"/>
    <w:rsid w:val="004319A5"/>
    <w:rsid w:val="00433354"/>
    <w:rsid w:val="00433706"/>
    <w:rsid w:val="00433716"/>
    <w:rsid w:val="00434450"/>
    <w:rsid w:val="00434D4A"/>
    <w:rsid w:val="00440D9A"/>
    <w:rsid w:val="00440DC5"/>
    <w:rsid w:val="00454AEC"/>
    <w:rsid w:val="004667D8"/>
    <w:rsid w:val="00473912"/>
    <w:rsid w:val="00475A77"/>
    <w:rsid w:val="00476F7D"/>
    <w:rsid w:val="004847B0"/>
    <w:rsid w:val="00485500"/>
    <w:rsid w:val="0048552C"/>
    <w:rsid w:val="0048608F"/>
    <w:rsid w:val="004B074C"/>
    <w:rsid w:val="004B524C"/>
    <w:rsid w:val="004B768F"/>
    <w:rsid w:val="004C1605"/>
    <w:rsid w:val="004D3942"/>
    <w:rsid w:val="004D7A34"/>
    <w:rsid w:val="004F162F"/>
    <w:rsid w:val="004F74B5"/>
    <w:rsid w:val="00502478"/>
    <w:rsid w:val="00502589"/>
    <w:rsid w:val="00502D4F"/>
    <w:rsid w:val="00504FCD"/>
    <w:rsid w:val="005221FE"/>
    <w:rsid w:val="00522A4F"/>
    <w:rsid w:val="00524EF5"/>
    <w:rsid w:val="00533998"/>
    <w:rsid w:val="005401D7"/>
    <w:rsid w:val="00542573"/>
    <w:rsid w:val="00544394"/>
    <w:rsid w:val="00553A79"/>
    <w:rsid w:val="00555EC8"/>
    <w:rsid w:val="005650AD"/>
    <w:rsid w:val="00566511"/>
    <w:rsid w:val="00571121"/>
    <w:rsid w:val="00572C64"/>
    <w:rsid w:val="00580EEB"/>
    <w:rsid w:val="0058166F"/>
    <w:rsid w:val="0058281B"/>
    <w:rsid w:val="0059235B"/>
    <w:rsid w:val="00594EC0"/>
    <w:rsid w:val="005A7099"/>
    <w:rsid w:val="005A776C"/>
    <w:rsid w:val="005A7853"/>
    <w:rsid w:val="005B1B32"/>
    <w:rsid w:val="005B211C"/>
    <w:rsid w:val="005B3800"/>
    <w:rsid w:val="005B6473"/>
    <w:rsid w:val="005C4441"/>
    <w:rsid w:val="005C5DF2"/>
    <w:rsid w:val="005E1297"/>
    <w:rsid w:val="005E1383"/>
    <w:rsid w:val="005E583E"/>
    <w:rsid w:val="00604785"/>
    <w:rsid w:val="006050EC"/>
    <w:rsid w:val="00605FD1"/>
    <w:rsid w:val="00606A66"/>
    <w:rsid w:val="006179D5"/>
    <w:rsid w:val="006224F4"/>
    <w:rsid w:val="00627280"/>
    <w:rsid w:val="00631E6F"/>
    <w:rsid w:val="00633B84"/>
    <w:rsid w:val="0063702E"/>
    <w:rsid w:val="00640240"/>
    <w:rsid w:val="006406B1"/>
    <w:rsid w:val="00641999"/>
    <w:rsid w:val="00644003"/>
    <w:rsid w:val="006532EB"/>
    <w:rsid w:val="006635AF"/>
    <w:rsid w:val="00665C49"/>
    <w:rsid w:val="006663FA"/>
    <w:rsid w:val="00667494"/>
    <w:rsid w:val="006675F6"/>
    <w:rsid w:val="00671276"/>
    <w:rsid w:val="006715DA"/>
    <w:rsid w:val="006720CF"/>
    <w:rsid w:val="00674769"/>
    <w:rsid w:val="00674CC7"/>
    <w:rsid w:val="00680A5D"/>
    <w:rsid w:val="006A11E3"/>
    <w:rsid w:val="006A1E8F"/>
    <w:rsid w:val="006A28D2"/>
    <w:rsid w:val="006A673B"/>
    <w:rsid w:val="006A6B10"/>
    <w:rsid w:val="006B5994"/>
    <w:rsid w:val="006B5E0A"/>
    <w:rsid w:val="006C1E72"/>
    <w:rsid w:val="006C74D9"/>
    <w:rsid w:val="006D0360"/>
    <w:rsid w:val="006D192F"/>
    <w:rsid w:val="006D317A"/>
    <w:rsid w:val="006D6A52"/>
    <w:rsid w:val="006E0198"/>
    <w:rsid w:val="006E10CA"/>
    <w:rsid w:val="006E1531"/>
    <w:rsid w:val="006E5138"/>
    <w:rsid w:val="006F0A48"/>
    <w:rsid w:val="006F51F4"/>
    <w:rsid w:val="006F5239"/>
    <w:rsid w:val="00703248"/>
    <w:rsid w:val="00706AB7"/>
    <w:rsid w:val="0071474B"/>
    <w:rsid w:val="00714E8F"/>
    <w:rsid w:val="0071537A"/>
    <w:rsid w:val="00723AAA"/>
    <w:rsid w:val="007312A2"/>
    <w:rsid w:val="00755D85"/>
    <w:rsid w:val="00766AB5"/>
    <w:rsid w:val="0076779D"/>
    <w:rsid w:val="00770A31"/>
    <w:rsid w:val="00772907"/>
    <w:rsid w:val="007846E5"/>
    <w:rsid w:val="0078531B"/>
    <w:rsid w:val="00787149"/>
    <w:rsid w:val="0079545D"/>
    <w:rsid w:val="007A22EE"/>
    <w:rsid w:val="007A43ED"/>
    <w:rsid w:val="007A44BA"/>
    <w:rsid w:val="007A5119"/>
    <w:rsid w:val="007A5B5E"/>
    <w:rsid w:val="007A774E"/>
    <w:rsid w:val="007A7A48"/>
    <w:rsid w:val="007B3EBE"/>
    <w:rsid w:val="007B4FFD"/>
    <w:rsid w:val="007C6008"/>
    <w:rsid w:val="007C6B9D"/>
    <w:rsid w:val="007C6EFA"/>
    <w:rsid w:val="007D55ED"/>
    <w:rsid w:val="007E2943"/>
    <w:rsid w:val="007E41A0"/>
    <w:rsid w:val="007E51B4"/>
    <w:rsid w:val="007E66DC"/>
    <w:rsid w:val="007F0760"/>
    <w:rsid w:val="007F2831"/>
    <w:rsid w:val="007F60E9"/>
    <w:rsid w:val="008144D8"/>
    <w:rsid w:val="00814D65"/>
    <w:rsid w:val="00820232"/>
    <w:rsid w:val="0082288F"/>
    <w:rsid w:val="00836BB6"/>
    <w:rsid w:val="00836D84"/>
    <w:rsid w:val="00846D5B"/>
    <w:rsid w:val="00850F70"/>
    <w:rsid w:val="00851860"/>
    <w:rsid w:val="00854294"/>
    <w:rsid w:val="00863FE3"/>
    <w:rsid w:val="008846DD"/>
    <w:rsid w:val="00890C8B"/>
    <w:rsid w:val="008911C8"/>
    <w:rsid w:val="00896F1B"/>
    <w:rsid w:val="008973C3"/>
    <w:rsid w:val="008A0DB8"/>
    <w:rsid w:val="008A4EBD"/>
    <w:rsid w:val="008B4928"/>
    <w:rsid w:val="008D17E8"/>
    <w:rsid w:val="008D2F2D"/>
    <w:rsid w:val="008E656B"/>
    <w:rsid w:val="008F378D"/>
    <w:rsid w:val="008F4675"/>
    <w:rsid w:val="008F4EA9"/>
    <w:rsid w:val="0090118B"/>
    <w:rsid w:val="009015F9"/>
    <w:rsid w:val="009032BC"/>
    <w:rsid w:val="00904443"/>
    <w:rsid w:val="0090463C"/>
    <w:rsid w:val="00913A5B"/>
    <w:rsid w:val="009151E7"/>
    <w:rsid w:val="009156C4"/>
    <w:rsid w:val="009178C8"/>
    <w:rsid w:val="0092037B"/>
    <w:rsid w:val="0093030F"/>
    <w:rsid w:val="0093147D"/>
    <w:rsid w:val="0093785B"/>
    <w:rsid w:val="00944386"/>
    <w:rsid w:val="00953189"/>
    <w:rsid w:val="009575F5"/>
    <w:rsid w:val="009963CC"/>
    <w:rsid w:val="009963D8"/>
    <w:rsid w:val="009972DA"/>
    <w:rsid w:val="009A10C0"/>
    <w:rsid w:val="009A23EA"/>
    <w:rsid w:val="009A3359"/>
    <w:rsid w:val="009B3A19"/>
    <w:rsid w:val="009B7578"/>
    <w:rsid w:val="009B7B93"/>
    <w:rsid w:val="009C5F23"/>
    <w:rsid w:val="009D23D6"/>
    <w:rsid w:val="009D6D39"/>
    <w:rsid w:val="009F2123"/>
    <w:rsid w:val="00A057F6"/>
    <w:rsid w:val="00A068EB"/>
    <w:rsid w:val="00A13F37"/>
    <w:rsid w:val="00A17ABB"/>
    <w:rsid w:val="00A206A3"/>
    <w:rsid w:val="00A3160F"/>
    <w:rsid w:val="00A357D2"/>
    <w:rsid w:val="00A371D5"/>
    <w:rsid w:val="00A377F9"/>
    <w:rsid w:val="00A44239"/>
    <w:rsid w:val="00A47699"/>
    <w:rsid w:val="00A51258"/>
    <w:rsid w:val="00A56A2F"/>
    <w:rsid w:val="00A57E36"/>
    <w:rsid w:val="00A811AE"/>
    <w:rsid w:val="00A879E4"/>
    <w:rsid w:val="00A917BE"/>
    <w:rsid w:val="00A968B7"/>
    <w:rsid w:val="00AA4103"/>
    <w:rsid w:val="00AA62AE"/>
    <w:rsid w:val="00AA7145"/>
    <w:rsid w:val="00AB1630"/>
    <w:rsid w:val="00AB5C18"/>
    <w:rsid w:val="00AC05A6"/>
    <w:rsid w:val="00AF5B34"/>
    <w:rsid w:val="00B00359"/>
    <w:rsid w:val="00B044C2"/>
    <w:rsid w:val="00B11332"/>
    <w:rsid w:val="00B22B25"/>
    <w:rsid w:val="00B22DC7"/>
    <w:rsid w:val="00B37BED"/>
    <w:rsid w:val="00B438E5"/>
    <w:rsid w:val="00B4639E"/>
    <w:rsid w:val="00B46E86"/>
    <w:rsid w:val="00B53C8F"/>
    <w:rsid w:val="00B61077"/>
    <w:rsid w:val="00B61428"/>
    <w:rsid w:val="00B7407D"/>
    <w:rsid w:val="00B81C77"/>
    <w:rsid w:val="00B86059"/>
    <w:rsid w:val="00B94C99"/>
    <w:rsid w:val="00BA251A"/>
    <w:rsid w:val="00BB4F0B"/>
    <w:rsid w:val="00BC5D03"/>
    <w:rsid w:val="00BD0DA4"/>
    <w:rsid w:val="00BE1DD4"/>
    <w:rsid w:val="00BE26D9"/>
    <w:rsid w:val="00BE3865"/>
    <w:rsid w:val="00BF2E0E"/>
    <w:rsid w:val="00C046EC"/>
    <w:rsid w:val="00C15DB6"/>
    <w:rsid w:val="00C201E1"/>
    <w:rsid w:val="00C20B6F"/>
    <w:rsid w:val="00C3005E"/>
    <w:rsid w:val="00C33CED"/>
    <w:rsid w:val="00C349DF"/>
    <w:rsid w:val="00C37DF5"/>
    <w:rsid w:val="00C41270"/>
    <w:rsid w:val="00C44DDE"/>
    <w:rsid w:val="00C50828"/>
    <w:rsid w:val="00C519F2"/>
    <w:rsid w:val="00C56B89"/>
    <w:rsid w:val="00C67280"/>
    <w:rsid w:val="00C7097E"/>
    <w:rsid w:val="00C753F3"/>
    <w:rsid w:val="00C81E73"/>
    <w:rsid w:val="00C86A96"/>
    <w:rsid w:val="00CB0191"/>
    <w:rsid w:val="00CB1103"/>
    <w:rsid w:val="00CB466F"/>
    <w:rsid w:val="00CB5CCC"/>
    <w:rsid w:val="00CC7806"/>
    <w:rsid w:val="00CD140A"/>
    <w:rsid w:val="00CD3746"/>
    <w:rsid w:val="00CD43CA"/>
    <w:rsid w:val="00CD707F"/>
    <w:rsid w:val="00D11FEF"/>
    <w:rsid w:val="00D266C0"/>
    <w:rsid w:val="00D300B5"/>
    <w:rsid w:val="00D341B7"/>
    <w:rsid w:val="00D35A3C"/>
    <w:rsid w:val="00D35CB2"/>
    <w:rsid w:val="00D36878"/>
    <w:rsid w:val="00D44940"/>
    <w:rsid w:val="00D4537E"/>
    <w:rsid w:val="00D459CC"/>
    <w:rsid w:val="00D5194F"/>
    <w:rsid w:val="00D52AE9"/>
    <w:rsid w:val="00D54B83"/>
    <w:rsid w:val="00D55CA1"/>
    <w:rsid w:val="00D67F35"/>
    <w:rsid w:val="00D80489"/>
    <w:rsid w:val="00D8282E"/>
    <w:rsid w:val="00D841BC"/>
    <w:rsid w:val="00D8770B"/>
    <w:rsid w:val="00DA2E36"/>
    <w:rsid w:val="00DB142A"/>
    <w:rsid w:val="00DC0E04"/>
    <w:rsid w:val="00DC14DE"/>
    <w:rsid w:val="00DC24B5"/>
    <w:rsid w:val="00DD3263"/>
    <w:rsid w:val="00DE04F5"/>
    <w:rsid w:val="00DE3267"/>
    <w:rsid w:val="00DF1654"/>
    <w:rsid w:val="00DF431D"/>
    <w:rsid w:val="00DF596A"/>
    <w:rsid w:val="00E05E49"/>
    <w:rsid w:val="00E27318"/>
    <w:rsid w:val="00E278E3"/>
    <w:rsid w:val="00E3025F"/>
    <w:rsid w:val="00E355F4"/>
    <w:rsid w:val="00E452E5"/>
    <w:rsid w:val="00E5122D"/>
    <w:rsid w:val="00E5150B"/>
    <w:rsid w:val="00E551C5"/>
    <w:rsid w:val="00E578BA"/>
    <w:rsid w:val="00E619E9"/>
    <w:rsid w:val="00E70AF2"/>
    <w:rsid w:val="00E764E3"/>
    <w:rsid w:val="00E76510"/>
    <w:rsid w:val="00E90C31"/>
    <w:rsid w:val="00E91751"/>
    <w:rsid w:val="00E9337C"/>
    <w:rsid w:val="00EA2229"/>
    <w:rsid w:val="00EA5B8C"/>
    <w:rsid w:val="00EC616C"/>
    <w:rsid w:val="00ED0588"/>
    <w:rsid w:val="00ED0959"/>
    <w:rsid w:val="00ED2A23"/>
    <w:rsid w:val="00ED5611"/>
    <w:rsid w:val="00EE3204"/>
    <w:rsid w:val="00EE66A3"/>
    <w:rsid w:val="00EE69CB"/>
    <w:rsid w:val="00EE7010"/>
    <w:rsid w:val="00EF0DD2"/>
    <w:rsid w:val="00EF77C0"/>
    <w:rsid w:val="00F0095B"/>
    <w:rsid w:val="00F00D08"/>
    <w:rsid w:val="00F1260F"/>
    <w:rsid w:val="00F13121"/>
    <w:rsid w:val="00F14EC5"/>
    <w:rsid w:val="00F2100B"/>
    <w:rsid w:val="00F21161"/>
    <w:rsid w:val="00F228AA"/>
    <w:rsid w:val="00F24B6D"/>
    <w:rsid w:val="00F25B5E"/>
    <w:rsid w:val="00F2726B"/>
    <w:rsid w:val="00F35133"/>
    <w:rsid w:val="00F4521C"/>
    <w:rsid w:val="00F57AB8"/>
    <w:rsid w:val="00F652B5"/>
    <w:rsid w:val="00F65989"/>
    <w:rsid w:val="00F668A7"/>
    <w:rsid w:val="00F66A57"/>
    <w:rsid w:val="00F767DC"/>
    <w:rsid w:val="00F85C13"/>
    <w:rsid w:val="00F85E9E"/>
    <w:rsid w:val="00F869F5"/>
    <w:rsid w:val="00F9203A"/>
    <w:rsid w:val="00F965D8"/>
    <w:rsid w:val="00F969CE"/>
    <w:rsid w:val="00FA2DE8"/>
    <w:rsid w:val="00FC45EE"/>
    <w:rsid w:val="00FC47E6"/>
    <w:rsid w:val="00FC4F6A"/>
    <w:rsid w:val="00FD3894"/>
    <w:rsid w:val="00FE2437"/>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F80D827"/>
  <w15:docId w15:val="{F82AFE6B-23EC-408C-917F-E8410D615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68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10</Pages>
  <Words>3866</Words>
  <Characters>21268</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451</cp:revision>
  <cp:lastPrinted>2019-10-28T19:07:00Z</cp:lastPrinted>
  <dcterms:created xsi:type="dcterms:W3CDTF">2019-07-08T16:38:00Z</dcterms:created>
  <dcterms:modified xsi:type="dcterms:W3CDTF">2020-08-04T15:18:00Z</dcterms:modified>
</cp:coreProperties>
</file>