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CEF483" w14:textId="77777777" w:rsidR="0051494B" w:rsidRPr="0051494B" w:rsidRDefault="0051494B" w:rsidP="0051494B">
      <w:pPr>
        <w:numPr>
          <w:ilvl w:val="1"/>
          <w:numId w:val="0"/>
        </w:numPr>
        <w:spacing w:after="160" w:line="259" w:lineRule="auto"/>
        <w:jc w:val="center"/>
        <w:rPr>
          <w:rFonts w:ascii="Arial" w:eastAsia="Times New Roman" w:hAnsi="Arial" w:cs="Arial"/>
          <w:b/>
          <w:bCs/>
          <w:color w:val="000000"/>
          <w:spacing w:val="15"/>
          <w:sz w:val="24"/>
          <w:szCs w:val="24"/>
          <w:lang w:eastAsia="en-US"/>
        </w:rPr>
      </w:pPr>
      <w:r w:rsidRPr="0051494B">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01872CC5" w14:textId="77777777" w:rsidR="0051494B" w:rsidRPr="0051494B" w:rsidRDefault="0051494B" w:rsidP="0051494B">
      <w:pPr>
        <w:tabs>
          <w:tab w:val="left" w:pos="6480"/>
        </w:tabs>
        <w:spacing w:after="160" w:line="259" w:lineRule="auto"/>
        <w:jc w:val="right"/>
        <w:rPr>
          <w:rFonts w:ascii="Calibri" w:eastAsia="Calibri" w:hAnsi="Calibri" w:cs="Times New Roman"/>
          <w:lang w:eastAsia="en-US"/>
        </w:rPr>
      </w:pPr>
    </w:p>
    <w:p w14:paraId="39CD399D" w14:textId="77777777" w:rsidR="0051494B" w:rsidRPr="0051494B" w:rsidRDefault="0051494B" w:rsidP="0051494B">
      <w:pPr>
        <w:spacing w:after="160" w:line="259" w:lineRule="auto"/>
        <w:rPr>
          <w:rFonts w:ascii="Arial" w:eastAsia="Calibri" w:hAnsi="Arial" w:cs="Arial"/>
          <w:b/>
          <w:bCs/>
          <w:sz w:val="24"/>
          <w:szCs w:val="24"/>
          <w:lang w:eastAsia="en-US"/>
        </w:rPr>
      </w:pPr>
      <w:r w:rsidRPr="0051494B">
        <w:rPr>
          <w:rFonts w:ascii="Arial" w:eastAsia="Calibri" w:hAnsi="Arial" w:cs="Arial"/>
          <w:b/>
          <w:bCs/>
          <w:sz w:val="24"/>
          <w:szCs w:val="24"/>
          <w:lang w:eastAsia="en-US"/>
        </w:rPr>
        <w:t>Oaxaca de Juárez, Oaxaca, 8 de marzo 2022.</w:t>
      </w:r>
    </w:p>
    <w:p w14:paraId="112810C9" w14:textId="77777777" w:rsidR="0051494B" w:rsidRPr="0051494B" w:rsidRDefault="0051494B" w:rsidP="0051494B">
      <w:pPr>
        <w:tabs>
          <w:tab w:val="left" w:pos="6480"/>
        </w:tabs>
        <w:spacing w:after="160" w:line="259" w:lineRule="auto"/>
        <w:rPr>
          <w:rFonts w:ascii="Calibri" w:eastAsia="Calibri" w:hAnsi="Calibri" w:cs="Times New Roman"/>
          <w:lang w:eastAsia="en-US"/>
        </w:rPr>
      </w:pPr>
    </w:p>
    <w:p w14:paraId="4F97C565" w14:textId="04EDC6A3" w:rsidR="0051494B" w:rsidRPr="0051494B" w:rsidRDefault="0051494B" w:rsidP="00481FF2">
      <w:pPr>
        <w:tabs>
          <w:tab w:val="left" w:pos="6480"/>
        </w:tabs>
        <w:spacing w:after="160" w:line="259" w:lineRule="auto"/>
        <w:jc w:val="center"/>
        <w:rPr>
          <w:rFonts w:ascii="Arial" w:eastAsia="Calibri" w:hAnsi="Arial" w:cs="Arial"/>
          <w:b/>
          <w:bCs/>
          <w:sz w:val="24"/>
          <w:szCs w:val="24"/>
          <w:lang w:eastAsia="en-US"/>
        </w:rPr>
      </w:pPr>
      <w:r w:rsidRPr="0051494B">
        <w:rPr>
          <w:rFonts w:ascii="Arial" w:eastAsia="Calibri" w:hAnsi="Arial" w:cs="Arial"/>
          <w:b/>
          <w:bCs/>
          <w:sz w:val="24"/>
          <w:szCs w:val="24"/>
          <w:lang w:eastAsia="en-US"/>
        </w:rPr>
        <w:t>A S U N T O</w:t>
      </w:r>
    </w:p>
    <w:p w14:paraId="0C7CA476" w14:textId="5D0FB60F" w:rsidR="0051494B" w:rsidRPr="0051494B" w:rsidRDefault="0051494B" w:rsidP="0051494B">
      <w:pPr>
        <w:tabs>
          <w:tab w:val="left" w:pos="6480"/>
        </w:tabs>
        <w:spacing w:after="16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Se emite sentencia en el juicio </w:t>
      </w:r>
      <w:r w:rsidRPr="0051494B">
        <w:rPr>
          <w:rFonts w:ascii="Arial" w:eastAsia="Calibri" w:hAnsi="Arial" w:cs="Arial"/>
          <w:b/>
          <w:bCs/>
          <w:sz w:val="24"/>
          <w:szCs w:val="24"/>
          <w:lang w:eastAsia="en-US"/>
        </w:rPr>
        <w:t>0011/2021</w:t>
      </w:r>
      <w:r w:rsidRPr="0051494B">
        <w:rPr>
          <w:rFonts w:ascii="Arial" w:eastAsia="Calibri" w:hAnsi="Arial" w:cs="Arial"/>
          <w:sz w:val="24"/>
          <w:szCs w:val="24"/>
          <w:lang w:eastAsia="en-US"/>
        </w:rPr>
        <w:t xml:space="preserve">, con motivo de la demanda interpuesta por </w:t>
      </w:r>
      <w:r w:rsidR="00481FF2">
        <w:rPr>
          <w:rFonts w:ascii="Arial" w:eastAsia="Calibri" w:hAnsi="Arial" w:cs="Arial"/>
          <w:b/>
          <w:bCs/>
          <w:sz w:val="24"/>
          <w:szCs w:val="24"/>
          <w:lang w:eastAsia="en-US"/>
        </w:rPr>
        <w:t>**********</w:t>
      </w:r>
      <w:r w:rsidRPr="0051494B">
        <w:rPr>
          <w:rFonts w:ascii="Arial" w:eastAsia="Calibri" w:hAnsi="Arial" w:cs="Arial"/>
          <w:b/>
          <w:bCs/>
          <w:sz w:val="24"/>
          <w:szCs w:val="24"/>
          <w:lang w:eastAsia="en-US"/>
        </w:rPr>
        <w:t xml:space="preserve"> </w:t>
      </w:r>
      <w:r w:rsidRPr="0051494B">
        <w:rPr>
          <w:rFonts w:ascii="Arial" w:eastAsia="Calibri" w:hAnsi="Arial" w:cs="Arial"/>
          <w:sz w:val="24"/>
          <w:szCs w:val="24"/>
          <w:lang w:eastAsia="en-US"/>
        </w:rPr>
        <w:t xml:space="preserve">en contra del </w:t>
      </w:r>
      <w:r w:rsidRPr="0051494B">
        <w:rPr>
          <w:rFonts w:ascii="Arial" w:eastAsia="Calibri" w:hAnsi="Arial" w:cs="Arial"/>
          <w:b/>
          <w:bCs/>
          <w:sz w:val="24"/>
          <w:szCs w:val="24"/>
          <w:lang w:eastAsia="en-US"/>
        </w:rPr>
        <w:t>Policía Vial del Municipio de Santa Cruz Xoxocotlán, Oaxaca.</w:t>
      </w:r>
    </w:p>
    <w:p w14:paraId="24BE0482" w14:textId="77777777" w:rsidR="0051494B" w:rsidRPr="0051494B" w:rsidRDefault="0051494B" w:rsidP="0051494B">
      <w:pPr>
        <w:spacing w:after="160" w:line="360" w:lineRule="auto"/>
        <w:rPr>
          <w:rFonts w:ascii="Calibri" w:eastAsia="Calibri" w:hAnsi="Calibri" w:cs="Times New Roman"/>
          <w:lang w:eastAsia="en-US"/>
        </w:rPr>
      </w:pPr>
    </w:p>
    <w:p w14:paraId="28BFA733" w14:textId="77777777" w:rsidR="0051494B" w:rsidRPr="0051494B" w:rsidRDefault="0051494B" w:rsidP="0051494B">
      <w:pPr>
        <w:spacing w:after="160" w:line="259" w:lineRule="auto"/>
        <w:jc w:val="center"/>
        <w:rPr>
          <w:rFonts w:ascii="Arial" w:eastAsia="Calibri" w:hAnsi="Arial" w:cs="Arial"/>
          <w:b/>
          <w:bCs/>
          <w:sz w:val="24"/>
          <w:szCs w:val="24"/>
          <w:lang w:eastAsia="en-US"/>
        </w:rPr>
      </w:pPr>
      <w:r w:rsidRPr="0051494B">
        <w:rPr>
          <w:rFonts w:ascii="Arial" w:eastAsia="Calibri" w:hAnsi="Arial" w:cs="Arial"/>
          <w:b/>
          <w:bCs/>
          <w:sz w:val="24"/>
          <w:szCs w:val="24"/>
          <w:lang w:eastAsia="en-US"/>
        </w:rPr>
        <w:t xml:space="preserve">R E S U L T A N D O </w:t>
      </w:r>
    </w:p>
    <w:p w14:paraId="5B7E1D4D" w14:textId="77777777" w:rsidR="0051494B" w:rsidRPr="0051494B" w:rsidRDefault="0051494B" w:rsidP="0051494B">
      <w:pPr>
        <w:spacing w:after="160" w:line="259" w:lineRule="auto"/>
        <w:jc w:val="center"/>
        <w:rPr>
          <w:rFonts w:ascii="Arial" w:eastAsia="Calibri" w:hAnsi="Arial" w:cs="Arial"/>
          <w:b/>
          <w:bCs/>
          <w:sz w:val="24"/>
          <w:szCs w:val="24"/>
          <w:lang w:eastAsia="en-US"/>
        </w:rPr>
      </w:pPr>
    </w:p>
    <w:p w14:paraId="103701A5" w14:textId="26B64152" w:rsidR="0051494B" w:rsidRPr="0051494B" w:rsidRDefault="0051494B" w:rsidP="0051494B">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1°.</w:t>
      </w:r>
      <w:r w:rsidRPr="0051494B">
        <w:rPr>
          <w:rFonts w:ascii="Arial" w:eastAsia="Calibri" w:hAnsi="Arial" w:cs="Arial"/>
          <w:sz w:val="24"/>
          <w:szCs w:val="24"/>
          <w:lang w:eastAsia="en-US"/>
        </w:rPr>
        <w:t xml:space="preserve"> Mediante escrito presentado el veinticuatro de febrero de dos mil veintiuno, ante la oficialía de partes común de este Tribunal, </w:t>
      </w:r>
      <w:r w:rsidR="00481FF2">
        <w:rPr>
          <w:rFonts w:ascii="Arial" w:eastAsia="Calibri" w:hAnsi="Arial" w:cs="Arial"/>
          <w:sz w:val="24"/>
          <w:szCs w:val="24"/>
          <w:lang w:eastAsia="en-US"/>
        </w:rPr>
        <w:t>**********</w:t>
      </w:r>
      <w:r w:rsidRPr="0051494B">
        <w:rPr>
          <w:rFonts w:ascii="Arial" w:eastAsia="Calibri" w:hAnsi="Arial" w:cs="Arial"/>
          <w:sz w:val="24"/>
          <w:szCs w:val="24"/>
          <w:lang w:eastAsia="en-US"/>
        </w:rPr>
        <w:t xml:space="preserve">, demandó del Policía Vial Municipal de Santa Cruz Xoxocotlán, Oaxaca, la nulidad lisa y llana de la infracción con folio </w:t>
      </w:r>
      <w:r w:rsidR="00481FF2">
        <w:rPr>
          <w:rFonts w:ascii="Arial" w:eastAsia="Calibri" w:hAnsi="Arial" w:cs="Arial"/>
          <w:sz w:val="24"/>
          <w:szCs w:val="24"/>
          <w:lang w:eastAsia="en-US"/>
        </w:rPr>
        <w:t>**********</w:t>
      </w:r>
      <w:r w:rsidRPr="0051494B">
        <w:rPr>
          <w:rFonts w:ascii="Arial" w:eastAsia="Calibri" w:hAnsi="Arial" w:cs="Arial"/>
          <w:sz w:val="24"/>
          <w:szCs w:val="24"/>
          <w:lang w:eastAsia="en-US"/>
        </w:rPr>
        <w:t>, de fecha siete de diciembre de dos mil veinte; demanda que por razón de turno tocó conocer a esta Primera Sala Unitaria de Primera Instancia del Tribunal de Justicia Administrativa del Estado.</w:t>
      </w:r>
    </w:p>
    <w:p w14:paraId="2946D549" w14:textId="77777777" w:rsidR="0051494B" w:rsidRPr="0051494B" w:rsidRDefault="0051494B" w:rsidP="0051494B">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2°.</w:t>
      </w:r>
      <w:r w:rsidRPr="0051494B">
        <w:rPr>
          <w:rFonts w:ascii="Arial" w:eastAsia="Calibri" w:hAnsi="Arial" w:cs="Arial"/>
          <w:sz w:val="24"/>
          <w:szCs w:val="24"/>
          <w:lang w:eastAsia="en-US"/>
        </w:rPr>
        <w:t xml:space="preserve"> Por acuerdo del dieciséis de febrero de dos mil veintiuno, se admitió a trámite  la demanda de referencia, y ordenó correrle traslado a la autoridad enjuiciada para que diera contestación  a la misma dentro del término de nueve días hábiles siguientes a aquel en que surtiera efectos la notificación correspondiente, con el apercibimiento de que en caso de no hacerlo este Tribunal lo tendría por contestando en sentido afirmativo  y también que en  caso de no referirse a todos los hechos planteados en la demanda se le tendría por ciertos, salvo prueba en contrario; en otro aspecto y de las pruebas ofrecidas se  tuvieron por admitidas las señaladas en el acuerdo mencionado.</w:t>
      </w:r>
    </w:p>
    <w:p w14:paraId="1D7109CB" w14:textId="77777777" w:rsidR="0051494B" w:rsidRPr="0051494B" w:rsidRDefault="0051494B" w:rsidP="0051494B">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3°.</w:t>
      </w:r>
      <w:r w:rsidRPr="0051494B">
        <w:rPr>
          <w:rFonts w:ascii="Arial" w:eastAsia="Calibri" w:hAnsi="Arial" w:cs="Arial"/>
          <w:sz w:val="24"/>
          <w:szCs w:val="24"/>
          <w:lang w:eastAsia="en-US"/>
        </w:rPr>
        <w:t xml:space="preserve"> Por acuerdo de dieciséis de abril de dos mil veintiuno se tuvo a la autoridad demandada contestando en tiempo y forma la demanda entablada en su contra, por opuestas sus excepciones y defensas, así como por ofrecidas y admitidas sus pruebas, ordenándose correr traslado a la parte actora para los efectos precisados en el artículo 185 de la Ley de Procedimiento y Justicia Administrativa para el Estado de Oaxaca.</w:t>
      </w:r>
    </w:p>
    <w:p w14:paraId="2B1D3518" w14:textId="1E482DB7" w:rsidR="0051494B" w:rsidRPr="0051494B" w:rsidRDefault="0051494B" w:rsidP="00481FF2">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lastRenderedPageBreak/>
        <w:t>4°.</w:t>
      </w:r>
      <w:r w:rsidRPr="0051494B">
        <w:rPr>
          <w:rFonts w:ascii="Arial" w:eastAsia="Calibri" w:hAnsi="Arial" w:cs="Arial"/>
          <w:sz w:val="24"/>
          <w:szCs w:val="24"/>
          <w:lang w:eastAsia="en-US"/>
        </w:rPr>
        <w:t xml:space="preserve"> Con fecha veinticinco de febrero de dos mil veintidós, con fundamento en el artículo 204 de la Ley  antes citada, sin la asistencia de las partes  se celebró la audiencia final; en el periodo de pruebas se tuvieron por  desahogadas por su propia y especial naturaleza las pruebas ofrecidas por las partes; en el periodo de alegatos  se hizo constar que las partes no presentaron escrito alguno, por lo que se tuvo por cerrado dicho periodo quedando el asunto integrado y en estado de resolución, finalmente se emite sentencia en los siguientes términos:</w:t>
      </w:r>
      <w:bookmarkStart w:id="0" w:name="_GoBack"/>
      <w:bookmarkEnd w:id="0"/>
    </w:p>
    <w:p w14:paraId="1A8A998F" w14:textId="77777777" w:rsidR="0051494B" w:rsidRPr="0051494B" w:rsidRDefault="0051494B" w:rsidP="0051494B">
      <w:pPr>
        <w:spacing w:after="160" w:line="259" w:lineRule="auto"/>
        <w:jc w:val="center"/>
        <w:rPr>
          <w:rFonts w:ascii="Arial" w:eastAsia="Calibri" w:hAnsi="Arial" w:cs="Arial"/>
          <w:b/>
          <w:bCs/>
          <w:sz w:val="24"/>
          <w:szCs w:val="24"/>
          <w:lang w:eastAsia="en-US"/>
        </w:rPr>
      </w:pPr>
      <w:r w:rsidRPr="0051494B">
        <w:rPr>
          <w:rFonts w:ascii="Arial" w:eastAsia="Calibri" w:hAnsi="Arial" w:cs="Arial"/>
          <w:b/>
          <w:bCs/>
          <w:sz w:val="24"/>
          <w:szCs w:val="24"/>
          <w:lang w:eastAsia="en-US"/>
        </w:rPr>
        <w:t xml:space="preserve">C O N S I D E R A N D O </w:t>
      </w:r>
    </w:p>
    <w:p w14:paraId="5231D37F" w14:textId="77777777" w:rsidR="0051494B" w:rsidRPr="0051494B" w:rsidRDefault="0051494B" w:rsidP="0051494B">
      <w:pPr>
        <w:spacing w:after="160" w:line="259" w:lineRule="auto"/>
        <w:jc w:val="center"/>
        <w:rPr>
          <w:rFonts w:ascii="Arial" w:eastAsia="Calibri" w:hAnsi="Arial" w:cs="Arial"/>
          <w:sz w:val="24"/>
          <w:szCs w:val="24"/>
          <w:lang w:eastAsia="en-US"/>
        </w:rPr>
      </w:pPr>
    </w:p>
    <w:p w14:paraId="5C8B9317" w14:textId="77777777" w:rsidR="0051494B" w:rsidRPr="0051494B" w:rsidRDefault="0051494B" w:rsidP="0051494B">
      <w:pPr>
        <w:spacing w:after="160" w:line="360" w:lineRule="auto"/>
        <w:ind w:firstLine="709"/>
        <w:jc w:val="both"/>
        <w:rPr>
          <w:rFonts w:ascii="Arial" w:eastAsia="Calibri" w:hAnsi="Arial" w:cs="Arial"/>
          <w:sz w:val="24"/>
          <w:szCs w:val="24"/>
          <w:lang w:eastAsia="en-US"/>
        </w:rPr>
      </w:pPr>
      <w:r w:rsidRPr="0051494B">
        <w:rPr>
          <w:rFonts w:ascii="Arial" w:eastAsia="Calibri" w:hAnsi="Arial" w:cs="Arial"/>
          <w:b/>
          <w:bCs/>
          <w:sz w:val="24"/>
          <w:szCs w:val="24"/>
          <w:lang w:eastAsia="en-US"/>
        </w:rPr>
        <w:t>PRIMERO.</w:t>
      </w:r>
      <w:r w:rsidRPr="0051494B">
        <w:rPr>
          <w:rFonts w:ascii="Arial" w:eastAsia="Calibri" w:hAnsi="Arial" w:cs="Arial"/>
          <w:sz w:val="24"/>
          <w:szCs w:val="24"/>
          <w:lang w:eastAsia="en-US"/>
        </w:rPr>
        <w:t xml:space="preserve">  Esta Primera Sala Unitaria de Primera Instancia del Tribunal de Justicia Administrativa del Estado de Oaxaca, es </w:t>
      </w:r>
      <w:r w:rsidRPr="0051494B">
        <w:rPr>
          <w:rFonts w:ascii="Arial" w:eastAsia="Calibri" w:hAnsi="Arial" w:cs="Arial"/>
          <w:b/>
          <w:bCs/>
          <w:sz w:val="24"/>
          <w:szCs w:val="24"/>
          <w:lang w:eastAsia="en-US"/>
        </w:rPr>
        <w:t>competente</w:t>
      </w:r>
      <w:r w:rsidRPr="0051494B">
        <w:rPr>
          <w:rFonts w:ascii="Arial" w:eastAsia="Calibri" w:hAnsi="Arial" w:cs="Arial"/>
          <w:sz w:val="24"/>
          <w:szCs w:val="24"/>
          <w:lang w:eastAsia="en-US"/>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51494B">
        <w:rPr>
          <w:rFonts w:ascii="Arial" w:eastAsia="Calibri" w:hAnsi="Arial" w:cs="Arial"/>
          <w:b/>
          <w:sz w:val="24"/>
          <w:szCs w:val="24"/>
          <w:lang w:eastAsia="en-US"/>
        </w:rPr>
        <w:t>carácter municipal</w:t>
      </w:r>
      <w:r w:rsidRPr="0051494B">
        <w:rPr>
          <w:rFonts w:ascii="Arial" w:eastAsia="Calibri" w:hAnsi="Arial" w:cs="Arial"/>
          <w:sz w:val="24"/>
          <w:szCs w:val="24"/>
          <w:lang w:eastAsia="en-US"/>
        </w:rPr>
        <w:t xml:space="preserve">. </w:t>
      </w:r>
    </w:p>
    <w:p w14:paraId="7196BF08" w14:textId="77777777" w:rsidR="0051494B" w:rsidRPr="0051494B" w:rsidRDefault="0051494B" w:rsidP="0051494B">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SEGUNDO.</w:t>
      </w:r>
      <w:r w:rsidRPr="0051494B">
        <w:rPr>
          <w:rFonts w:ascii="Arial" w:eastAsia="Calibri" w:hAnsi="Arial" w:cs="Arial"/>
          <w:sz w:val="24"/>
          <w:szCs w:val="24"/>
          <w:lang w:eastAsia="en-US"/>
        </w:rPr>
        <w:t xml:space="preserve"> </w:t>
      </w:r>
      <w:r w:rsidRPr="0051494B">
        <w:rPr>
          <w:rFonts w:ascii="Arial" w:eastAsia="Calibri" w:hAnsi="Arial" w:cs="Arial"/>
          <w:b/>
          <w:bCs/>
          <w:sz w:val="24"/>
          <w:szCs w:val="24"/>
          <w:lang w:eastAsia="en-US"/>
        </w:rPr>
        <w:t xml:space="preserve">Personalidad. </w:t>
      </w:r>
      <w:r w:rsidRPr="0051494B">
        <w:rPr>
          <w:rFonts w:ascii="Arial" w:eastAsia="Calibri" w:hAnsi="Arial" w:cs="Arial"/>
          <w:sz w:val="24"/>
          <w:szCs w:val="24"/>
          <w:lang w:eastAsia="en-US"/>
        </w:rPr>
        <w:t xml:space="preserve"> La personalidad de las partes se tuvo acreditada de conformidad con los artículos 150</w:t>
      </w:r>
      <w:r w:rsidRPr="0051494B">
        <w:rPr>
          <w:rFonts w:ascii="Arial" w:eastAsia="Calibri" w:hAnsi="Arial" w:cs="Arial"/>
          <w:sz w:val="24"/>
          <w:szCs w:val="24"/>
          <w:vertAlign w:val="superscript"/>
          <w:lang w:eastAsia="en-US"/>
        </w:rPr>
        <w:footnoteReference w:id="1"/>
      </w:r>
      <w:r w:rsidRPr="0051494B">
        <w:rPr>
          <w:rFonts w:ascii="Arial" w:eastAsia="Calibri" w:hAnsi="Arial" w:cs="Arial"/>
          <w:sz w:val="24"/>
          <w:szCs w:val="24"/>
          <w:lang w:eastAsia="en-US"/>
        </w:rPr>
        <w:t xml:space="preserve"> y 151</w:t>
      </w:r>
      <w:r w:rsidRPr="0051494B">
        <w:rPr>
          <w:rFonts w:ascii="Arial" w:eastAsia="Calibri" w:hAnsi="Arial" w:cs="Arial"/>
          <w:sz w:val="24"/>
          <w:szCs w:val="24"/>
          <w:vertAlign w:val="superscript"/>
          <w:lang w:eastAsia="en-US"/>
        </w:rPr>
        <w:footnoteReference w:id="2"/>
      </w:r>
      <w:r w:rsidRPr="0051494B">
        <w:rPr>
          <w:rFonts w:ascii="Arial" w:eastAsia="Calibri" w:hAnsi="Arial" w:cs="Arial"/>
          <w:sz w:val="24"/>
          <w:szCs w:val="24"/>
          <w:lang w:eastAsia="en-US"/>
        </w:rPr>
        <w:t xml:space="preserve"> de la Ley de Procedimiento y Justicia Administrativa.</w:t>
      </w:r>
    </w:p>
    <w:p w14:paraId="3F2B8267" w14:textId="77777777" w:rsidR="0051494B" w:rsidRPr="0051494B" w:rsidRDefault="0051494B" w:rsidP="0051494B">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TERCERO.</w:t>
      </w:r>
      <w:r w:rsidRPr="0051494B">
        <w:rPr>
          <w:rFonts w:ascii="Arial" w:eastAsia="Calibri" w:hAnsi="Arial" w:cs="Arial"/>
          <w:sz w:val="24"/>
          <w:szCs w:val="24"/>
          <w:lang w:eastAsia="en-US"/>
        </w:rPr>
        <w:t xml:space="preserve">  </w:t>
      </w:r>
      <w:r w:rsidRPr="0051494B">
        <w:rPr>
          <w:rFonts w:ascii="Arial" w:eastAsia="Calibri" w:hAnsi="Arial" w:cs="Arial"/>
          <w:b/>
          <w:bCs/>
          <w:sz w:val="24"/>
          <w:szCs w:val="24"/>
          <w:lang w:eastAsia="en-US"/>
        </w:rPr>
        <w:t>Acreditación del acto impugnado.</w:t>
      </w:r>
      <w:r w:rsidRPr="0051494B">
        <w:rPr>
          <w:rFonts w:ascii="Arial" w:eastAsia="Calibri" w:hAnsi="Arial" w:cs="Arial"/>
          <w:sz w:val="24"/>
          <w:szCs w:val="24"/>
          <w:lang w:eastAsia="en-US"/>
        </w:rPr>
        <w:t xml:space="preserve"> Lo es el acta de infracción, de fecha siete de diciembre de dos mil veinte emitido por el policía municipal demandado, cuyo original obra a foja 09 del expediente al rubro indicado, con valor probatorio pleno en términos de lo dispuesto por el artículo 203 fracción I</w:t>
      </w:r>
      <w:r w:rsidRPr="0051494B">
        <w:rPr>
          <w:rFonts w:ascii="Arial" w:eastAsia="Calibri" w:hAnsi="Arial" w:cs="Arial"/>
          <w:sz w:val="24"/>
          <w:szCs w:val="24"/>
          <w:vertAlign w:val="superscript"/>
          <w:lang w:eastAsia="en-US"/>
        </w:rPr>
        <w:footnoteReference w:id="3"/>
      </w:r>
      <w:r w:rsidRPr="0051494B">
        <w:rPr>
          <w:rFonts w:ascii="Arial" w:eastAsia="Calibri" w:hAnsi="Arial" w:cs="Arial"/>
          <w:sz w:val="24"/>
          <w:szCs w:val="24"/>
          <w:lang w:eastAsia="en-US"/>
        </w:rPr>
        <w:t xml:space="preserve"> de la Ley de Procedimiento arriba señalada; también reconocida por la autoridad demandada de forma expresa en su contestación a foja 14 vuelta, por lo que esta Sala tiene por acreditado el acto impugnado.</w:t>
      </w:r>
    </w:p>
    <w:p w14:paraId="033683DC" w14:textId="77777777" w:rsidR="0051494B" w:rsidRPr="0051494B" w:rsidRDefault="0051494B" w:rsidP="0051494B">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CUARTO.</w:t>
      </w:r>
      <w:r w:rsidRPr="0051494B">
        <w:rPr>
          <w:rFonts w:ascii="Arial" w:eastAsia="Calibri" w:hAnsi="Arial" w:cs="Arial"/>
          <w:sz w:val="24"/>
          <w:szCs w:val="24"/>
          <w:lang w:eastAsia="en-US"/>
        </w:rPr>
        <w:t xml:space="preserve"> </w:t>
      </w:r>
      <w:r w:rsidRPr="0051494B">
        <w:rPr>
          <w:rFonts w:ascii="Arial" w:eastAsia="Calibri" w:hAnsi="Arial" w:cs="Arial"/>
          <w:b/>
          <w:bCs/>
          <w:sz w:val="24"/>
          <w:szCs w:val="24"/>
          <w:lang w:eastAsia="en-US"/>
        </w:rPr>
        <w:t>Causales de improcedencia y sobreseimiento.</w:t>
      </w:r>
      <w:r w:rsidRPr="0051494B">
        <w:rPr>
          <w:rFonts w:ascii="Arial" w:eastAsia="Calibri" w:hAnsi="Arial" w:cs="Arial"/>
          <w:sz w:val="24"/>
          <w:szCs w:val="24"/>
          <w:lang w:eastAsia="en-US"/>
        </w:rPr>
        <w:t xml:space="preserve"> Tomando en cuenta que las mismas son de orden público y de estudio preferente a </w:t>
      </w:r>
      <w:r w:rsidRPr="0051494B">
        <w:rPr>
          <w:rFonts w:ascii="Arial" w:eastAsia="Calibri" w:hAnsi="Arial" w:cs="Arial"/>
          <w:sz w:val="24"/>
          <w:szCs w:val="24"/>
          <w:lang w:eastAsia="en-US"/>
        </w:rPr>
        <w:lastRenderedPageBreak/>
        <w:t>cualquier otra cuestión, previo al estudio de los conceptos de impugnación, ya que de actualizarse las hipótesis normativas, impide la resolución del fondo del asunto debiéndose sobreseer en términos de los artículos 161 y 162 de la ley mencionada.</w:t>
      </w:r>
    </w:p>
    <w:p w14:paraId="5D6D4B9D" w14:textId="77777777" w:rsidR="0051494B" w:rsidRPr="0051494B" w:rsidRDefault="0051494B" w:rsidP="0051494B">
      <w:pPr>
        <w:spacing w:after="160" w:line="360" w:lineRule="auto"/>
        <w:ind w:firstLine="709"/>
        <w:jc w:val="both"/>
        <w:rPr>
          <w:rFonts w:ascii="Arial" w:eastAsia="Calibri" w:hAnsi="Arial" w:cs="Arial"/>
          <w:sz w:val="24"/>
          <w:szCs w:val="24"/>
          <w:lang w:eastAsia="en-US"/>
        </w:rPr>
      </w:pPr>
      <w:r w:rsidRPr="0051494B">
        <w:rPr>
          <w:rFonts w:ascii="Arial" w:eastAsia="Calibri" w:hAnsi="Arial" w:cs="Arial"/>
          <w:sz w:val="24"/>
          <w:szCs w:val="24"/>
          <w:lang w:eastAsia="en-US"/>
        </w:rPr>
        <w:t>En su escrito de contestación la autoridad demandada presentó excepciones y defensas la falta de acción y derecho, las cuales no proceden en virtud de que como ya se dijo la parte actora acreditó su interés legítimo y jurídico para comparecer a juicio derivado del acta de infracción mencionada. En consecuencia al ser improcedentes dichas causales y al advertirse que no existe otra causal, se procede al estudio del fondo.</w:t>
      </w:r>
    </w:p>
    <w:p w14:paraId="44FAA4D2" w14:textId="084DB0CB" w:rsidR="0051494B" w:rsidRPr="0051494B" w:rsidRDefault="0051494B" w:rsidP="0051494B">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QUINTO. Fijación de la Litis.</w:t>
      </w:r>
      <w:r w:rsidRPr="0051494B">
        <w:rPr>
          <w:rFonts w:ascii="Arial" w:eastAsia="Calibri" w:hAnsi="Arial" w:cs="Arial"/>
          <w:sz w:val="24"/>
          <w:szCs w:val="24"/>
          <w:lang w:eastAsia="en-US"/>
        </w:rPr>
        <w:t xml:space="preserve"> La parte actora demandó la nulidad del acta de infracción emitida por el policía vial municipal respecto a su vehículo particular, con placas </w:t>
      </w:r>
      <w:r w:rsidR="00481FF2">
        <w:rPr>
          <w:rFonts w:ascii="Arial" w:eastAsia="Calibri" w:hAnsi="Arial" w:cs="Arial"/>
          <w:sz w:val="24"/>
          <w:szCs w:val="24"/>
          <w:lang w:eastAsia="en-US"/>
        </w:rPr>
        <w:t>***********</w:t>
      </w:r>
      <w:r w:rsidRPr="0051494B">
        <w:rPr>
          <w:rFonts w:ascii="Arial" w:eastAsia="Calibri" w:hAnsi="Arial" w:cs="Arial"/>
          <w:sz w:val="24"/>
          <w:szCs w:val="24"/>
          <w:lang w:eastAsia="en-US"/>
        </w:rPr>
        <w:t xml:space="preserve"> del Estado de </w:t>
      </w:r>
      <w:r w:rsidR="00481FF2">
        <w:rPr>
          <w:rFonts w:ascii="Arial" w:eastAsia="Calibri" w:hAnsi="Arial" w:cs="Arial"/>
          <w:sz w:val="24"/>
          <w:szCs w:val="24"/>
          <w:lang w:eastAsia="en-US"/>
        </w:rPr>
        <w:t>**********</w:t>
      </w:r>
      <w:r w:rsidRPr="0051494B">
        <w:rPr>
          <w:rFonts w:ascii="Arial" w:eastAsia="Calibri" w:hAnsi="Arial" w:cs="Arial"/>
          <w:sz w:val="24"/>
          <w:szCs w:val="24"/>
          <w:lang w:eastAsia="en-US"/>
        </w:rPr>
        <w:t xml:space="preserve"> por ser ilegal, al estar indebidamente fundada y motivada, dejándolo así en estado de indefensión violentando su derecho humano de acceso pleno a la justicia.</w:t>
      </w:r>
    </w:p>
    <w:p w14:paraId="5E91F483" w14:textId="77777777" w:rsidR="0051494B" w:rsidRPr="0051494B" w:rsidRDefault="0051494B" w:rsidP="0051494B">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La autoridad demandada al contestar la demanda, señaló que la parte actora no le asiste la razón para reclamar la nulidad del acto aquí impugnado, porque cumple a cabalidad con los requisitos de legalidad conforme al artículo 17 de la Ley de Procedimiento y Justicia Administrativa del Estado de Oaxaca, al ser emitido por autoridad competente ya que los preceptos citados en el cuerpo de la infracción en cuestión lo facultan para generar actos de molestia de esa naturaleza.</w:t>
      </w:r>
    </w:p>
    <w:p w14:paraId="205E38D5" w14:textId="77777777" w:rsidR="0051494B" w:rsidRPr="0051494B" w:rsidRDefault="0051494B" w:rsidP="0051494B">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SEXTO. Estudio del Fondo del Asunto.</w:t>
      </w:r>
      <w:r w:rsidRPr="0051494B">
        <w:rPr>
          <w:rFonts w:ascii="Arial" w:eastAsia="Calibri" w:hAnsi="Arial" w:cs="Arial"/>
          <w:sz w:val="24"/>
          <w:szCs w:val="24"/>
          <w:lang w:eastAsia="en-US"/>
        </w:rPr>
        <w:t xml:space="preserve"> El acta de infracción, a la que se le ha dado valor probatorio pleno de conformidad con el precepto 203 fracción I de la Ley de la materia, en la parte que interesa menciona que tuvo lugar: </w:t>
      </w:r>
    </w:p>
    <w:p w14:paraId="59B704CA" w14:textId="77777777" w:rsidR="0051494B" w:rsidRPr="0051494B" w:rsidRDefault="0051494B" w:rsidP="0051494B">
      <w:pPr>
        <w:spacing w:after="0" w:line="259" w:lineRule="auto"/>
        <w:ind w:left="709" w:right="758"/>
        <w:jc w:val="both"/>
        <w:rPr>
          <w:rFonts w:ascii="Arial" w:eastAsia="Calibri" w:hAnsi="Arial" w:cs="Arial"/>
          <w:i/>
          <w:iCs/>
          <w:lang w:eastAsia="en-US"/>
        </w:rPr>
      </w:pPr>
      <w:r w:rsidRPr="0051494B">
        <w:rPr>
          <w:rFonts w:ascii="Arial" w:eastAsia="Calibri" w:hAnsi="Arial" w:cs="Arial"/>
          <w:lang w:eastAsia="en-US"/>
        </w:rPr>
        <w:t xml:space="preserve">“ </w:t>
      </w:r>
      <w:r w:rsidRPr="0051494B">
        <w:rPr>
          <w:rFonts w:ascii="Arial" w:eastAsia="Calibri" w:hAnsi="Arial" w:cs="Arial"/>
          <w:i/>
          <w:iCs/>
          <w:lang w:eastAsia="en-US"/>
        </w:rPr>
        <w:t>por hacer uso del teléfono celular al momento de conducir prevista por el (los artículos (s): 60. Motivación: El vehículo circulaba sobre carretera al tequio mismo que el conductor hacía uso del teléfono celular al momento de conducir. … FUNDAMENTO LEGAL DE LA SANCIÓN EN TÉRMINOS DEL ART. 156 DEL REGLAMENTO DE TRÁNSITO Y VIALIDAD DE SANTA CRUZ XOXOCOTLÁN. Artículo 60 … del Reglamento  (sic) Municipio de Santa Cruz Xoxocotlán. ”</w:t>
      </w:r>
    </w:p>
    <w:p w14:paraId="5D3FA92D" w14:textId="77777777" w:rsidR="0051494B" w:rsidRPr="0051494B" w:rsidRDefault="0051494B" w:rsidP="0051494B">
      <w:pPr>
        <w:spacing w:after="0" w:line="259" w:lineRule="auto"/>
        <w:ind w:left="709" w:right="758"/>
        <w:jc w:val="both"/>
        <w:rPr>
          <w:rFonts w:ascii="Arial" w:eastAsia="Calibri" w:hAnsi="Arial" w:cs="Arial"/>
          <w:i/>
          <w:iCs/>
          <w:lang w:eastAsia="en-US"/>
        </w:rPr>
      </w:pPr>
    </w:p>
    <w:p w14:paraId="6E49FD7C" w14:textId="77777777" w:rsidR="0051494B" w:rsidRPr="0051494B" w:rsidRDefault="0051494B" w:rsidP="0051494B">
      <w:pPr>
        <w:spacing w:after="160" w:line="360" w:lineRule="auto"/>
        <w:ind w:firstLine="567"/>
        <w:jc w:val="both"/>
        <w:rPr>
          <w:rFonts w:ascii="Calibri" w:eastAsia="Calibri" w:hAnsi="Calibri" w:cs="Times New Roman"/>
          <w:lang w:eastAsia="en-US"/>
        </w:rPr>
      </w:pPr>
      <w:r w:rsidRPr="0051494B">
        <w:rPr>
          <w:rFonts w:ascii="Arial" w:eastAsia="Calibri" w:hAnsi="Arial" w:cs="Arial"/>
          <w:sz w:val="24"/>
          <w:szCs w:val="24"/>
          <w:lang w:eastAsia="en-US"/>
        </w:rPr>
        <w:t>En la parte posterior de dicha acta se dice que</w:t>
      </w:r>
      <w:r w:rsidRPr="0051494B">
        <w:rPr>
          <w:rFonts w:ascii="Calibri" w:eastAsia="Calibri" w:hAnsi="Calibri" w:cs="Times New Roman"/>
          <w:lang w:eastAsia="en-US"/>
        </w:rPr>
        <w:t xml:space="preserve"> </w:t>
      </w:r>
      <w:r w:rsidRPr="0051494B">
        <w:rPr>
          <w:rFonts w:ascii="Arial" w:eastAsia="Calibri" w:hAnsi="Arial" w:cs="Arial"/>
          <w:sz w:val="24"/>
          <w:szCs w:val="24"/>
          <w:lang w:eastAsia="en-US"/>
        </w:rPr>
        <w:t>se aseguró a título de garantía</w:t>
      </w:r>
      <w:r w:rsidRPr="0051494B">
        <w:rPr>
          <w:rFonts w:ascii="Calibri" w:eastAsia="Calibri" w:hAnsi="Calibri" w:cs="Times New Roman"/>
          <w:lang w:eastAsia="en-US"/>
        </w:rPr>
        <w:t xml:space="preserve"> la</w:t>
      </w:r>
      <w:r w:rsidRPr="0051494B">
        <w:rPr>
          <w:rFonts w:ascii="Arial" w:eastAsia="Calibri" w:hAnsi="Arial" w:cs="Arial"/>
          <w:lang w:eastAsia="en-US"/>
        </w:rPr>
        <w:t xml:space="preserve"> </w:t>
      </w:r>
      <w:r w:rsidRPr="0051494B">
        <w:rPr>
          <w:rFonts w:ascii="Arial" w:eastAsia="Calibri" w:hAnsi="Arial" w:cs="Arial"/>
          <w:i/>
          <w:iCs/>
          <w:lang w:eastAsia="en-US"/>
        </w:rPr>
        <w:t>“Tarjeta de Circulación”</w:t>
      </w:r>
      <w:r w:rsidRPr="0051494B">
        <w:rPr>
          <w:rFonts w:ascii="Calibri" w:eastAsia="Calibri" w:hAnsi="Calibri" w:cs="Times New Roman"/>
          <w:lang w:eastAsia="en-US"/>
        </w:rPr>
        <w:t xml:space="preserve"> </w:t>
      </w:r>
      <w:r w:rsidRPr="0051494B">
        <w:rPr>
          <w:rFonts w:ascii="Arial" w:eastAsia="Calibri" w:hAnsi="Arial" w:cs="Arial"/>
          <w:sz w:val="24"/>
          <w:szCs w:val="24"/>
          <w:lang w:eastAsia="en-US"/>
        </w:rPr>
        <w:t>del vehículo referido.</w:t>
      </w:r>
    </w:p>
    <w:p w14:paraId="278E6B98" w14:textId="77777777" w:rsidR="0051494B" w:rsidRPr="0051494B" w:rsidRDefault="0051494B" w:rsidP="0051494B">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En atención a la transcripción anterior, se evidencia la falta de la debida fundamentación y motivación del acta de infracción impugnada, esto es así, </w:t>
      </w:r>
      <w:r w:rsidRPr="0051494B">
        <w:rPr>
          <w:rFonts w:ascii="Arial" w:eastAsia="Calibri" w:hAnsi="Arial" w:cs="Arial"/>
          <w:sz w:val="24"/>
          <w:szCs w:val="24"/>
          <w:lang w:eastAsia="en-US"/>
        </w:rPr>
        <w:lastRenderedPageBreak/>
        <w:t xml:space="preserve">porque la autoridad emisora del acto señaló como fundamento lo dispuesto en el artículo 60, sin embargo de lo asentado por la misma, se aprecia que no se entiende a que ley u ordenamiento se refiere; así también se fundó en el precepto 156 del Reglamento de Tránsito y Vialidad de Santa Cruz Xoxocotlán, que indica: </w:t>
      </w:r>
    </w:p>
    <w:p w14:paraId="1DC26F47" w14:textId="77777777" w:rsidR="0051494B" w:rsidRPr="0051494B" w:rsidRDefault="0051494B" w:rsidP="0051494B">
      <w:pPr>
        <w:spacing w:after="160" w:line="360" w:lineRule="auto"/>
        <w:ind w:left="567" w:right="758"/>
        <w:jc w:val="both"/>
        <w:rPr>
          <w:rFonts w:ascii="Arial" w:eastAsia="Calibri" w:hAnsi="Arial" w:cs="Arial"/>
          <w:i/>
          <w:iCs/>
          <w:lang w:eastAsia="en-US"/>
        </w:rPr>
      </w:pPr>
      <w:r w:rsidRPr="0051494B">
        <w:rPr>
          <w:rFonts w:ascii="Arial" w:eastAsia="Calibri" w:hAnsi="Arial" w:cs="Arial"/>
          <w:i/>
          <w:iCs/>
          <w:lang w:eastAsia="en-US"/>
        </w:rPr>
        <w:t>“Las multas a conductores por infracciones al presente Reglamento quedan en la Ley de Ingresos del Municipio, para el ejercicio fiscal que corresponda.”</w:t>
      </w:r>
    </w:p>
    <w:p w14:paraId="4733AE17" w14:textId="120666D7" w:rsidR="0051494B" w:rsidRPr="0051494B" w:rsidRDefault="0051494B" w:rsidP="0051494B">
      <w:pPr>
        <w:spacing w:after="160" w:line="360" w:lineRule="auto"/>
        <w:ind w:firstLine="567"/>
        <w:jc w:val="both"/>
        <w:rPr>
          <w:rFonts w:ascii="Arial" w:eastAsia="Calibri" w:hAnsi="Arial" w:cs="Arial"/>
          <w:i/>
          <w:iCs/>
          <w:sz w:val="24"/>
          <w:szCs w:val="24"/>
          <w:lang w:eastAsia="en-US"/>
        </w:rPr>
      </w:pPr>
      <w:r w:rsidRPr="0051494B">
        <w:rPr>
          <w:rFonts w:ascii="Arial" w:eastAsia="Calibri" w:hAnsi="Arial" w:cs="Arial"/>
          <w:sz w:val="24"/>
          <w:szCs w:val="24"/>
          <w:lang w:eastAsia="en-US"/>
        </w:rPr>
        <w:t xml:space="preserve">De lo anterior, se desprende que si bien la autoridad demandada al levantar el acta de infracción, citó dispositivos legales que consideró fueron transgredidos por el actor </w:t>
      </w:r>
      <w:r w:rsidR="00481FF2">
        <w:rPr>
          <w:rFonts w:ascii="Arial" w:eastAsia="Calibri" w:hAnsi="Arial" w:cs="Arial"/>
          <w:sz w:val="24"/>
          <w:szCs w:val="24"/>
          <w:lang w:eastAsia="en-US"/>
        </w:rPr>
        <w:t>**********</w:t>
      </w:r>
      <w:r w:rsidRPr="0051494B">
        <w:rPr>
          <w:rFonts w:ascii="Arial" w:eastAsia="Calibri" w:hAnsi="Arial" w:cs="Arial"/>
          <w:sz w:val="24"/>
          <w:szCs w:val="24"/>
          <w:lang w:eastAsia="en-US"/>
        </w:rPr>
        <w:t xml:space="preserve">, estos no señalan la conducta o falta que supuestamente cometió, así como omitió señalar con precisión, las circunstancias especiales, razones particulares o causas inmediatas que </w:t>
      </w:r>
      <w:r w:rsidR="00F90FE6" w:rsidRPr="0051494B">
        <w:rPr>
          <w:rFonts w:ascii="Arial" w:eastAsia="Calibri" w:hAnsi="Arial" w:cs="Arial"/>
          <w:sz w:val="24"/>
          <w:szCs w:val="24"/>
          <w:lang w:eastAsia="en-US"/>
        </w:rPr>
        <w:t>tomó</w:t>
      </w:r>
      <w:r w:rsidRPr="0051494B">
        <w:rPr>
          <w:rFonts w:ascii="Arial" w:eastAsia="Calibri" w:hAnsi="Arial" w:cs="Arial"/>
          <w:sz w:val="24"/>
          <w:szCs w:val="24"/>
          <w:lang w:eastAsia="en-US"/>
        </w:rPr>
        <w:t xml:space="preserve"> en consideración para la emisión del acto, con las cuales se tipificara que la parte actora precisamente incurrió en conducta infractora, así como carece también de un señalamiento expreso y motivación de las sanciones consecuentes. Esta conducta omisa de la autoridad demandada encuadra en la fracción V del artículo 17</w:t>
      </w:r>
      <w:r w:rsidRPr="0051494B">
        <w:rPr>
          <w:rFonts w:ascii="Arial" w:eastAsia="Calibri" w:hAnsi="Arial" w:cs="Arial"/>
          <w:sz w:val="24"/>
          <w:szCs w:val="24"/>
          <w:vertAlign w:val="superscript"/>
          <w:lang w:eastAsia="en-US"/>
        </w:rPr>
        <w:footnoteReference w:id="4"/>
      </w:r>
      <w:r w:rsidRPr="0051494B">
        <w:rPr>
          <w:rFonts w:ascii="Arial" w:eastAsia="Calibri" w:hAnsi="Arial" w:cs="Arial"/>
          <w:sz w:val="24"/>
          <w:szCs w:val="24"/>
          <w:lang w:eastAsia="en-US"/>
        </w:rPr>
        <w:t xml:space="preserve"> de la Ley de Procedimiento y Justicia Administrativa para el Estado de Oaxaca, pues se trata de un elemento de validez que debe revestir todo acto administrativo, como el aquí impugnado, por lo que resulta </w:t>
      </w:r>
      <w:r w:rsidRPr="0051494B">
        <w:rPr>
          <w:rFonts w:ascii="Arial" w:eastAsia="Calibri" w:hAnsi="Arial" w:cs="Arial"/>
          <w:b/>
          <w:sz w:val="24"/>
          <w:szCs w:val="24"/>
          <w:lang w:eastAsia="en-US"/>
        </w:rPr>
        <w:t>ilegal.</w:t>
      </w:r>
      <w:r w:rsidRPr="0051494B">
        <w:rPr>
          <w:rFonts w:ascii="Arial" w:eastAsia="Calibri" w:hAnsi="Arial" w:cs="Arial"/>
          <w:sz w:val="24"/>
          <w:szCs w:val="24"/>
          <w:lang w:eastAsia="en-US"/>
        </w:rPr>
        <w:t xml:space="preserve"> </w:t>
      </w:r>
    </w:p>
    <w:p w14:paraId="24AA8425" w14:textId="77777777" w:rsidR="0051494B" w:rsidRPr="0051494B" w:rsidRDefault="0051494B" w:rsidP="0051494B">
      <w:pPr>
        <w:tabs>
          <w:tab w:val="right" w:pos="8789"/>
        </w:tabs>
        <w:spacing w:after="0" w:line="259" w:lineRule="auto"/>
        <w:jc w:val="both"/>
        <w:rPr>
          <w:rFonts w:ascii="Arial" w:eastAsia="Calibri" w:hAnsi="Arial" w:cs="Arial"/>
          <w:lang w:eastAsia="en-US"/>
        </w:rPr>
      </w:pPr>
    </w:p>
    <w:p w14:paraId="3C9C4679" w14:textId="77777777" w:rsidR="0051494B" w:rsidRPr="0051494B" w:rsidRDefault="0051494B" w:rsidP="0051494B">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De ahí que resultan esencialmente </w:t>
      </w:r>
      <w:r w:rsidRPr="0051494B">
        <w:rPr>
          <w:rFonts w:ascii="Arial" w:eastAsia="Calibri" w:hAnsi="Arial" w:cs="Arial"/>
          <w:b/>
          <w:sz w:val="24"/>
          <w:szCs w:val="24"/>
          <w:lang w:eastAsia="en-US"/>
        </w:rPr>
        <w:t>fundados</w:t>
      </w:r>
      <w:r w:rsidRPr="0051494B">
        <w:rPr>
          <w:rFonts w:ascii="Arial" w:eastAsia="Calibri" w:hAnsi="Arial" w:cs="Arial"/>
          <w:sz w:val="24"/>
          <w:szCs w:val="24"/>
          <w:lang w:eastAsia="en-US"/>
        </w:rPr>
        <w:t xml:space="preserve"> los conceptos de impugnación de la parte actora relativos a la indebida fundamentación y motivación de la que adolece el acta de infracción de tránsito impugnada, expuesta por el actor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51494B">
        <w:rPr>
          <w:rFonts w:ascii="Arial" w:eastAsia="Calibri" w:hAnsi="Arial" w:cs="Arial"/>
          <w:sz w:val="24"/>
          <w:szCs w:val="24"/>
          <w:vertAlign w:val="superscript"/>
          <w:lang w:eastAsia="en-US"/>
        </w:rPr>
        <w:footnoteReference w:id="5"/>
      </w:r>
      <w:r w:rsidRPr="0051494B">
        <w:rPr>
          <w:rFonts w:ascii="Arial" w:eastAsia="Calibri" w:hAnsi="Arial" w:cs="Arial"/>
          <w:sz w:val="24"/>
          <w:szCs w:val="24"/>
          <w:lang w:eastAsia="en-US"/>
        </w:rPr>
        <w:t>”</w:t>
      </w:r>
    </w:p>
    <w:p w14:paraId="5248714A" w14:textId="77777777" w:rsidR="0051494B" w:rsidRPr="0051494B" w:rsidRDefault="0051494B" w:rsidP="0051494B">
      <w:pPr>
        <w:tabs>
          <w:tab w:val="right" w:pos="8789"/>
        </w:tabs>
        <w:spacing w:after="0" w:line="259" w:lineRule="auto"/>
        <w:jc w:val="both"/>
        <w:rPr>
          <w:rFonts w:ascii="Arial" w:eastAsia="Calibri" w:hAnsi="Arial" w:cs="Arial"/>
          <w:i/>
          <w:lang w:eastAsia="en-US"/>
        </w:rPr>
      </w:pPr>
    </w:p>
    <w:p w14:paraId="402EFBD9" w14:textId="77777777" w:rsidR="0051494B" w:rsidRPr="0051494B" w:rsidRDefault="0051494B" w:rsidP="0051494B">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lo llevaron a concluir que los hechos encuadran en la hipótesis legal aplicable al caso. </w:t>
      </w:r>
    </w:p>
    <w:p w14:paraId="6580971C" w14:textId="77777777" w:rsidR="0051494B" w:rsidRPr="0051494B" w:rsidRDefault="0051494B" w:rsidP="0051494B">
      <w:pPr>
        <w:tabs>
          <w:tab w:val="right" w:pos="8789"/>
        </w:tabs>
        <w:spacing w:after="0" w:line="259" w:lineRule="auto"/>
        <w:ind w:firstLine="567"/>
        <w:jc w:val="both"/>
        <w:rPr>
          <w:rFonts w:ascii="Arial" w:eastAsia="Calibri" w:hAnsi="Arial" w:cs="Arial"/>
          <w:lang w:eastAsia="en-US"/>
        </w:rPr>
      </w:pPr>
    </w:p>
    <w:p w14:paraId="113200DD" w14:textId="77777777" w:rsidR="0051494B" w:rsidRPr="0051494B" w:rsidRDefault="0051494B" w:rsidP="0051494B">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lastRenderedPageBreak/>
        <w:t>Tienen aplicación a la presente resolución la jurisprudencia con número de registro 170307, emitida por los Tribunales Colegiados de Circuito, publicada en el Seminario Judicial de la Federación y su Gaceta, Novena Época, Tomo XXVII, febrero de 2008, página 1964 que para su mejor compresión se transcribe:</w:t>
      </w:r>
      <w:r w:rsidRPr="0051494B">
        <w:rPr>
          <w:rFonts w:ascii="Arial" w:eastAsia="Calibri" w:hAnsi="Arial" w:cs="Arial"/>
          <w:noProof/>
          <w:sz w:val="24"/>
          <w:szCs w:val="24"/>
          <w:lang w:eastAsia="en-US"/>
        </w:rPr>
        <w:t xml:space="preserve">     </w:t>
      </w:r>
      <w:r w:rsidRPr="0051494B">
        <w:rPr>
          <w:rFonts w:ascii="Arial" w:eastAsia="Calibri" w:hAnsi="Arial" w:cs="Arial"/>
          <w:sz w:val="24"/>
          <w:szCs w:val="24"/>
          <w:lang w:eastAsia="en-US"/>
        </w:rPr>
        <w:t xml:space="preserve">   </w:t>
      </w:r>
    </w:p>
    <w:p w14:paraId="4657E325" w14:textId="77777777" w:rsidR="0051494B" w:rsidRPr="0051494B" w:rsidRDefault="0051494B" w:rsidP="0051494B">
      <w:pPr>
        <w:tabs>
          <w:tab w:val="right" w:pos="8789"/>
        </w:tabs>
        <w:spacing w:after="0" w:line="259" w:lineRule="auto"/>
        <w:ind w:left="1134" w:right="616"/>
        <w:jc w:val="both"/>
        <w:rPr>
          <w:rFonts w:ascii="Arial" w:eastAsia="Calibri" w:hAnsi="Arial" w:cs="Arial"/>
          <w:i/>
          <w:lang w:eastAsia="en-US"/>
        </w:rPr>
      </w:pPr>
    </w:p>
    <w:p w14:paraId="34B1D982" w14:textId="77777777" w:rsidR="0051494B" w:rsidRPr="0051494B" w:rsidRDefault="0051494B" w:rsidP="0051494B">
      <w:pPr>
        <w:tabs>
          <w:tab w:val="right" w:pos="8789"/>
        </w:tabs>
        <w:spacing w:after="0" w:line="259" w:lineRule="auto"/>
        <w:jc w:val="both"/>
        <w:rPr>
          <w:rFonts w:ascii="Arial" w:eastAsia="Calibri" w:hAnsi="Arial" w:cs="Arial"/>
          <w:b/>
          <w:i/>
          <w:lang w:eastAsia="en-US"/>
        </w:rPr>
      </w:pPr>
    </w:p>
    <w:p w14:paraId="25F22C9D" w14:textId="77777777" w:rsidR="0051494B" w:rsidRPr="0051494B" w:rsidRDefault="0051494B" w:rsidP="0051494B">
      <w:pPr>
        <w:autoSpaceDE w:val="0"/>
        <w:autoSpaceDN w:val="0"/>
        <w:adjustRightInd w:val="0"/>
        <w:spacing w:after="0" w:line="240" w:lineRule="auto"/>
        <w:ind w:left="567" w:right="758"/>
        <w:jc w:val="both"/>
        <w:rPr>
          <w:rFonts w:ascii="Arial" w:eastAsia="Calibri" w:hAnsi="Arial" w:cs="Arial"/>
          <w:i/>
          <w:iCs/>
          <w:color w:val="000000"/>
          <w:lang w:eastAsia="en-US"/>
        </w:rPr>
      </w:pPr>
      <w:r w:rsidRPr="0051494B">
        <w:rPr>
          <w:rFonts w:ascii="Arial" w:eastAsia="Calibri" w:hAnsi="Arial" w:cs="Arial"/>
          <w:i/>
          <w:iCs/>
          <w:color w:val="000000"/>
          <w:lang w:eastAsia="en-US"/>
        </w:rPr>
        <w:t>“</w:t>
      </w:r>
      <w:r w:rsidRPr="0051494B">
        <w:rPr>
          <w:rFonts w:ascii="Arial" w:eastAsia="Calibri" w:hAnsi="Arial" w:cs="Arial"/>
          <w:b/>
          <w:bCs/>
          <w:i/>
          <w:iCs/>
          <w:color w:val="000000"/>
          <w:lang w:eastAsia="en-US"/>
        </w:rPr>
        <w:t>FUNDAMENTACIÓN Y MOTIVACIÓN. LA DIFERENCIA ENTRE LA FALTA Y LA INDEBIDA SATISFACCIÓN DE AMBOS REQUISITOS CONSTITUCIONALES TRASCIENDE AL ORDEN EN QUE DEBEN ESTUDIARSE LOS CONCEPTOS DE VIOLACIÓN Y A LOS EFECTOS DEL FALLO PROTECTOR.</w:t>
      </w:r>
      <w:r w:rsidRPr="0051494B">
        <w:rPr>
          <w:rFonts w:ascii="Arial" w:eastAsia="Calibri" w:hAnsi="Arial" w:cs="Arial"/>
          <w:i/>
          <w:iCs/>
          <w:color w:val="000000"/>
          <w:lang w:eastAsia="en-US"/>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w:t>
      </w:r>
      <w:r w:rsidRPr="0051494B">
        <w:rPr>
          <w:rFonts w:ascii="Arial" w:eastAsia="Calibri" w:hAnsi="Arial" w:cs="Arial"/>
          <w:i/>
          <w:iCs/>
          <w:color w:val="000000"/>
          <w:lang w:eastAsia="en-US"/>
        </w:rPr>
        <w:lastRenderedPageBreak/>
        <w:t>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56A65B73" w14:textId="77777777" w:rsidR="0051494B" w:rsidRPr="0051494B" w:rsidRDefault="0051494B" w:rsidP="0051494B">
      <w:pPr>
        <w:autoSpaceDE w:val="0"/>
        <w:autoSpaceDN w:val="0"/>
        <w:adjustRightInd w:val="0"/>
        <w:spacing w:after="0" w:line="240" w:lineRule="auto"/>
        <w:rPr>
          <w:rFonts w:ascii="NimbusSanL" w:eastAsia="Calibri" w:hAnsi="NimbusSanL" w:cs="NimbusSanL"/>
          <w:color w:val="000000"/>
          <w:sz w:val="24"/>
          <w:szCs w:val="24"/>
          <w:lang w:eastAsia="en-US"/>
        </w:rPr>
      </w:pPr>
    </w:p>
    <w:p w14:paraId="470F3181" w14:textId="77777777" w:rsidR="0051494B" w:rsidRPr="0051494B" w:rsidRDefault="0051494B" w:rsidP="0051494B">
      <w:pPr>
        <w:tabs>
          <w:tab w:val="right" w:pos="8789"/>
        </w:tabs>
        <w:spacing w:after="0" w:line="259" w:lineRule="auto"/>
        <w:jc w:val="both"/>
        <w:rPr>
          <w:rFonts w:ascii="Arial" w:eastAsia="Calibri" w:hAnsi="Arial" w:cs="Arial"/>
          <w:color w:val="FF0000"/>
          <w:lang w:eastAsia="en-US"/>
        </w:rPr>
      </w:pPr>
    </w:p>
    <w:p w14:paraId="2CEAFCD4" w14:textId="77777777" w:rsidR="0051494B" w:rsidRPr="0051494B" w:rsidRDefault="0051494B" w:rsidP="0051494B">
      <w:pPr>
        <w:tabs>
          <w:tab w:val="right" w:pos="8789"/>
        </w:tabs>
        <w:spacing w:after="0" w:line="360" w:lineRule="auto"/>
        <w:ind w:firstLine="567"/>
        <w:jc w:val="both"/>
        <w:rPr>
          <w:rFonts w:ascii="Arial" w:eastAsia="Calibri" w:hAnsi="Arial" w:cs="Arial"/>
          <w:noProof/>
          <w:sz w:val="24"/>
          <w:szCs w:val="24"/>
          <w:lang w:eastAsia="en-US"/>
        </w:rPr>
      </w:pPr>
      <w:r w:rsidRPr="0051494B">
        <w:rPr>
          <w:rFonts w:ascii="Arial" w:eastAsia="Calibri" w:hAnsi="Arial" w:cs="Arial"/>
          <w:sz w:val="24"/>
          <w:szCs w:val="24"/>
          <w:lang w:eastAsia="en-US"/>
        </w:rPr>
        <w:t>Este criterio también se sostiene en la Jurisprudencia de número 173565, emitida por los Tribunales Colegiados de Circuito, publicada en el Semanario Judicial de la Federación y su Gaceta, Novena Época, tomo XXV, enero de 2007, página 2127:</w:t>
      </w:r>
      <w:r w:rsidRPr="0051494B">
        <w:rPr>
          <w:rFonts w:ascii="Arial" w:eastAsia="Calibri" w:hAnsi="Arial" w:cs="Arial"/>
          <w:noProof/>
          <w:sz w:val="24"/>
          <w:szCs w:val="24"/>
          <w:lang w:eastAsia="en-US"/>
        </w:rPr>
        <w:t xml:space="preserve">     </w:t>
      </w:r>
    </w:p>
    <w:p w14:paraId="4DF2181F" w14:textId="77777777" w:rsidR="0051494B" w:rsidRPr="0051494B" w:rsidRDefault="0051494B" w:rsidP="0051494B">
      <w:pPr>
        <w:tabs>
          <w:tab w:val="right" w:pos="8789"/>
        </w:tabs>
        <w:spacing w:after="0" w:line="259" w:lineRule="auto"/>
        <w:jc w:val="both"/>
        <w:rPr>
          <w:rFonts w:ascii="Arial" w:eastAsia="Calibri" w:hAnsi="Arial" w:cs="Arial"/>
          <w:b/>
          <w:noProof/>
          <w:lang w:eastAsia="en-US"/>
        </w:rPr>
      </w:pPr>
    </w:p>
    <w:p w14:paraId="5B94458F" w14:textId="77777777" w:rsidR="0051494B" w:rsidRPr="0051494B" w:rsidRDefault="0051494B" w:rsidP="0051494B">
      <w:pPr>
        <w:autoSpaceDE w:val="0"/>
        <w:autoSpaceDN w:val="0"/>
        <w:adjustRightInd w:val="0"/>
        <w:spacing w:after="0" w:line="240" w:lineRule="auto"/>
        <w:ind w:left="567" w:right="758"/>
        <w:jc w:val="both"/>
        <w:rPr>
          <w:rFonts w:ascii="Arial" w:eastAsia="Calibri" w:hAnsi="Arial" w:cs="Arial"/>
          <w:i/>
          <w:iCs/>
          <w:color w:val="000000"/>
          <w:lang w:eastAsia="en-US"/>
        </w:rPr>
      </w:pPr>
      <w:r w:rsidRPr="0051494B">
        <w:rPr>
          <w:rFonts w:ascii="Arial" w:eastAsia="Calibri" w:hAnsi="Arial" w:cs="Arial"/>
          <w:b/>
          <w:bCs/>
          <w:i/>
          <w:iCs/>
          <w:color w:val="000000"/>
          <w:lang w:eastAsia="en-US"/>
        </w:rPr>
        <w:t>“FUNDAMENTACIÓN Y MOTIVACIÓN. SU DISTINCIÓN ENTRE SU FALTA Y CUANDO ES INDEBIDA.</w:t>
      </w:r>
      <w:r w:rsidRPr="0051494B">
        <w:rPr>
          <w:rFonts w:ascii="Arial" w:eastAsia="Calibri" w:hAnsi="Arial" w:cs="Arial"/>
          <w:i/>
          <w:iCs/>
          <w:color w:val="000000"/>
          <w:lang w:eastAsia="en-US"/>
        </w:rPr>
        <w:t xml:space="preserve">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623D7928" w14:textId="77777777" w:rsidR="0051494B" w:rsidRPr="0051494B" w:rsidRDefault="0051494B" w:rsidP="0051494B">
      <w:pPr>
        <w:tabs>
          <w:tab w:val="right" w:pos="8789"/>
        </w:tabs>
        <w:spacing w:after="0" w:line="259" w:lineRule="auto"/>
        <w:ind w:left="567" w:right="758"/>
        <w:jc w:val="both"/>
        <w:rPr>
          <w:rFonts w:ascii="Arial" w:eastAsia="Calibri" w:hAnsi="Arial" w:cs="Arial"/>
          <w:b/>
          <w:i/>
          <w:noProof/>
          <w:lang w:eastAsia="en-US"/>
        </w:rPr>
      </w:pPr>
    </w:p>
    <w:p w14:paraId="6B5DD72F" w14:textId="02DB9A12" w:rsidR="0051494B" w:rsidRPr="0051494B" w:rsidRDefault="0051494B" w:rsidP="0051494B">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lo expuesto, resulta procedente, conforme a la fracción II del artículo 208</w:t>
      </w:r>
      <w:r w:rsidRPr="0051494B">
        <w:rPr>
          <w:rFonts w:ascii="Arial" w:eastAsia="Calibri" w:hAnsi="Arial" w:cs="Arial"/>
          <w:sz w:val="24"/>
          <w:szCs w:val="24"/>
          <w:vertAlign w:val="superscript"/>
          <w:lang w:eastAsia="en-US"/>
        </w:rPr>
        <w:footnoteReference w:id="6"/>
      </w:r>
      <w:r w:rsidRPr="0051494B">
        <w:rPr>
          <w:rFonts w:ascii="Arial" w:eastAsia="Calibri" w:hAnsi="Arial" w:cs="Arial"/>
          <w:sz w:val="24"/>
          <w:szCs w:val="24"/>
          <w:lang w:eastAsia="en-US"/>
        </w:rPr>
        <w:t xml:space="preserve"> de la Ley de la materia, declarar la </w:t>
      </w:r>
      <w:r w:rsidRPr="0051494B">
        <w:rPr>
          <w:rFonts w:ascii="Arial" w:eastAsia="Calibri" w:hAnsi="Arial" w:cs="Arial"/>
          <w:b/>
          <w:sz w:val="24"/>
          <w:szCs w:val="24"/>
          <w:lang w:eastAsia="en-US"/>
        </w:rPr>
        <w:t>NULIDAD LISA Y LLANA</w:t>
      </w:r>
      <w:r w:rsidRPr="0051494B">
        <w:rPr>
          <w:rFonts w:ascii="Arial" w:eastAsia="Calibri" w:hAnsi="Arial" w:cs="Arial"/>
          <w:sz w:val="24"/>
          <w:szCs w:val="24"/>
          <w:lang w:eastAsia="en-US"/>
        </w:rPr>
        <w:t xml:space="preserve"> del acta de infracción de tránsito con número de folio </w:t>
      </w:r>
      <w:r w:rsidR="00481FF2">
        <w:rPr>
          <w:rFonts w:ascii="Arial" w:eastAsia="Calibri" w:hAnsi="Arial" w:cs="Arial"/>
          <w:sz w:val="24"/>
          <w:szCs w:val="24"/>
          <w:lang w:eastAsia="en-US"/>
        </w:rPr>
        <w:t>**********</w:t>
      </w:r>
      <w:r w:rsidRPr="0051494B">
        <w:rPr>
          <w:rFonts w:ascii="Arial" w:eastAsia="Calibri" w:hAnsi="Arial" w:cs="Arial"/>
          <w:sz w:val="24"/>
          <w:szCs w:val="24"/>
          <w:lang w:eastAsia="en-US"/>
        </w:rPr>
        <w:t xml:space="preserve"> de fecha siete de diciembre de dos mil veinte, respecto del vehículo particular, tipo </w:t>
      </w:r>
      <w:r w:rsidR="00481FF2">
        <w:rPr>
          <w:rFonts w:ascii="Arial" w:eastAsia="Calibri" w:hAnsi="Arial" w:cs="Arial"/>
          <w:sz w:val="24"/>
          <w:szCs w:val="24"/>
          <w:lang w:eastAsia="en-US"/>
        </w:rPr>
        <w:t>**********</w:t>
      </w:r>
      <w:r w:rsidRPr="0051494B">
        <w:rPr>
          <w:rFonts w:ascii="Arial" w:eastAsia="Calibri" w:hAnsi="Arial" w:cs="Arial"/>
          <w:sz w:val="24"/>
          <w:szCs w:val="24"/>
          <w:lang w:eastAsia="en-US"/>
        </w:rPr>
        <w:t xml:space="preserve">, marca </w:t>
      </w:r>
      <w:r w:rsidR="00481FF2">
        <w:rPr>
          <w:rFonts w:ascii="Arial" w:eastAsia="Calibri" w:hAnsi="Arial" w:cs="Arial"/>
          <w:sz w:val="24"/>
          <w:szCs w:val="24"/>
          <w:lang w:eastAsia="en-US"/>
        </w:rPr>
        <w:t>**********</w:t>
      </w:r>
      <w:r w:rsidRPr="0051494B">
        <w:rPr>
          <w:rFonts w:ascii="Arial" w:eastAsia="Calibri" w:hAnsi="Arial" w:cs="Arial"/>
          <w:sz w:val="24"/>
          <w:szCs w:val="24"/>
          <w:lang w:eastAsia="en-US"/>
        </w:rPr>
        <w:t xml:space="preserve">, modelo </w:t>
      </w:r>
      <w:r w:rsidR="00481FF2">
        <w:rPr>
          <w:rFonts w:ascii="Arial" w:eastAsia="Calibri" w:hAnsi="Arial" w:cs="Arial"/>
          <w:sz w:val="24"/>
          <w:szCs w:val="24"/>
          <w:lang w:eastAsia="en-US"/>
        </w:rPr>
        <w:t>**********</w:t>
      </w:r>
      <w:r w:rsidRPr="0051494B">
        <w:rPr>
          <w:rFonts w:ascii="Arial" w:eastAsia="Calibri" w:hAnsi="Arial" w:cs="Arial"/>
          <w:sz w:val="24"/>
          <w:szCs w:val="24"/>
          <w:lang w:eastAsia="en-US"/>
        </w:rPr>
        <w:t xml:space="preserve">, con placas de circulación </w:t>
      </w:r>
      <w:r w:rsidR="00481FF2">
        <w:rPr>
          <w:rFonts w:ascii="Arial" w:eastAsia="Calibri" w:hAnsi="Arial" w:cs="Arial"/>
          <w:sz w:val="24"/>
          <w:szCs w:val="24"/>
          <w:lang w:eastAsia="en-US"/>
        </w:rPr>
        <w:t>**********</w:t>
      </w:r>
      <w:r w:rsidRPr="0051494B">
        <w:rPr>
          <w:rFonts w:ascii="Arial" w:eastAsia="Calibri" w:hAnsi="Arial" w:cs="Arial"/>
          <w:sz w:val="24"/>
          <w:szCs w:val="24"/>
          <w:lang w:eastAsia="en-US"/>
        </w:rPr>
        <w:t xml:space="preserve">, levantada por </w:t>
      </w:r>
      <w:r w:rsidR="00481FF2">
        <w:rPr>
          <w:rFonts w:ascii="Arial" w:eastAsia="Calibri" w:hAnsi="Arial" w:cs="Arial"/>
          <w:sz w:val="24"/>
          <w:szCs w:val="24"/>
          <w:lang w:eastAsia="en-US"/>
        </w:rPr>
        <w:t>**********</w:t>
      </w:r>
      <w:r w:rsidRPr="0051494B">
        <w:rPr>
          <w:rFonts w:ascii="Arial" w:eastAsia="Calibri" w:hAnsi="Arial" w:cs="Arial"/>
          <w:sz w:val="24"/>
          <w:szCs w:val="24"/>
          <w:lang w:eastAsia="en-US"/>
        </w:rPr>
        <w:t xml:space="preserve"> en su carácter de Agente de Tránsito del Municipio de Santa Cruz Xoxocotlán, Oaxaca. Por consiguiente, siendo un acto consecuente, inmediato y directo del aquí acto impugnado que se declaró nulo en forma lisa y llana, como efecto propio de tal declaración</w:t>
      </w:r>
      <w:r w:rsidRPr="0051494B">
        <w:rPr>
          <w:rFonts w:ascii="Arial" w:eastAsia="Calibri" w:hAnsi="Arial" w:cs="Arial"/>
          <w:sz w:val="24"/>
          <w:szCs w:val="24"/>
          <w:vertAlign w:val="superscript"/>
          <w:lang w:eastAsia="en-US"/>
        </w:rPr>
        <w:footnoteReference w:id="7"/>
      </w:r>
      <w:r w:rsidRPr="0051494B">
        <w:rPr>
          <w:rFonts w:ascii="Arial" w:eastAsia="Calibri" w:hAnsi="Arial" w:cs="Arial"/>
          <w:sz w:val="24"/>
          <w:szCs w:val="24"/>
          <w:lang w:eastAsia="en-US"/>
        </w:rPr>
        <w:t xml:space="preserve">, se ordena al Agente de Tránsito del Municipio de Santa Cruz Xoxocotlán, Oaxaca, </w:t>
      </w:r>
      <w:r w:rsidR="00481FF2">
        <w:rPr>
          <w:rFonts w:ascii="Arial" w:eastAsia="Calibri" w:hAnsi="Arial" w:cs="Arial"/>
          <w:sz w:val="24"/>
          <w:szCs w:val="24"/>
          <w:lang w:eastAsia="en-US"/>
        </w:rPr>
        <w:t>**********</w:t>
      </w:r>
      <w:r w:rsidRPr="0051494B">
        <w:rPr>
          <w:rFonts w:ascii="Arial" w:eastAsia="Calibri" w:hAnsi="Arial" w:cs="Arial"/>
          <w:sz w:val="24"/>
          <w:szCs w:val="24"/>
          <w:lang w:eastAsia="en-US"/>
        </w:rPr>
        <w:t xml:space="preserve"> y/o a quien resulte autoridad competente para que: de </w:t>
      </w:r>
      <w:r w:rsidRPr="0051494B">
        <w:rPr>
          <w:rFonts w:ascii="Arial" w:eastAsia="Calibri" w:hAnsi="Arial" w:cs="Arial"/>
          <w:b/>
          <w:bCs/>
          <w:sz w:val="24"/>
          <w:szCs w:val="24"/>
          <w:lang w:eastAsia="en-US"/>
        </w:rPr>
        <w:t>de baja</w:t>
      </w:r>
      <w:r w:rsidRPr="0051494B">
        <w:rPr>
          <w:rFonts w:ascii="Arial" w:eastAsia="Calibri" w:hAnsi="Arial" w:cs="Arial"/>
          <w:sz w:val="24"/>
          <w:szCs w:val="24"/>
          <w:lang w:eastAsia="en-US"/>
        </w:rPr>
        <w:t xml:space="preserve"> de los registros correspondientes la infracción de tránsito antes señalada; también, sí así fuera el caso, devuelva la garantía retenida consistente en la tarjeta de circulación mencionada en la </w:t>
      </w:r>
      <w:r w:rsidRPr="0051494B">
        <w:rPr>
          <w:rFonts w:ascii="Arial" w:eastAsia="Calibri" w:hAnsi="Arial" w:cs="Arial"/>
          <w:sz w:val="24"/>
          <w:szCs w:val="24"/>
          <w:lang w:eastAsia="en-US"/>
        </w:rPr>
        <w:lastRenderedPageBreak/>
        <w:t xml:space="preserve">parte inferior del  acto que aquí se declaró nulo, visto a foja 9 del presente expediente; y, si se hubiere impuesto y/o cobrado multa alguna, deje sin efectos la misma y haga la devolución correspondiente; esto es así, a fin de restituir al administrado, aquí actor, </w:t>
      </w:r>
      <w:r w:rsidR="00481FF2">
        <w:rPr>
          <w:rFonts w:ascii="Arial" w:eastAsia="Calibri" w:hAnsi="Arial" w:cs="Arial"/>
          <w:b/>
          <w:sz w:val="24"/>
          <w:szCs w:val="24"/>
          <w:lang w:eastAsia="en-US"/>
        </w:rPr>
        <w:t>**********</w:t>
      </w:r>
      <w:r w:rsidRPr="0051494B">
        <w:rPr>
          <w:rFonts w:ascii="Arial" w:eastAsia="Calibri" w:hAnsi="Arial" w:cs="Arial"/>
          <w:b/>
          <w:sz w:val="24"/>
          <w:szCs w:val="24"/>
          <w:lang w:eastAsia="en-US"/>
        </w:rPr>
        <w:t xml:space="preserve"> </w:t>
      </w:r>
      <w:r w:rsidRPr="0051494B">
        <w:rPr>
          <w:rFonts w:ascii="Arial" w:eastAsia="Calibri" w:hAnsi="Arial" w:cs="Arial"/>
          <w:sz w:val="24"/>
          <w:szCs w:val="24"/>
          <w:lang w:eastAsia="en-US"/>
        </w:rPr>
        <w:t xml:space="preserve"> en el pleno goce de sus derechos afectados con la emisión de el acto declarado nulo. </w:t>
      </w:r>
    </w:p>
    <w:p w14:paraId="0A15163F" w14:textId="77777777" w:rsidR="0051494B" w:rsidRPr="0051494B" w:rsidRDefault="0051494B" w:rsidP="0051494B">
      <w:pPr>
        <w:tabs>
          <w:tab w:val="right" w:pos="8789"/>
        </w:tabs>
        <w:spacing w:after="0" w:line="360" w:lineRule="auto"/>
        <w:ind w:firstLine="567"/>
        <w:jc w:val="both"/>
        <w:rPr>
          <w:rFonts w:ascii="Arial" w:eastAsia="Calibri" w:hAnsi="Arial" w:cs="Arial"/>
          <w:sz w:val="24"/>
          <w:szCs w:val="24"/>
          <w:lang w:eastAsia="en-US"/>
        </w:rPr>
      </w:pPr>
    </w:p>
    <w:p w14:paraId="20D160E4" w14:textId="30EA0ED7" w:rsidR="0051494B" w:rsidRPr="0051494B" w:rsidRDefault="0051494B" w:rsidP="00481FF2">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lo antes expuesto y con fundamento en los artículos 207, 208 y 209 de la Ley de Procedimiento y Justicia Administrativa para el Estado de Oaxaca, se;</w:t>
      </w:r>
    </w:p>
    <w:p w14:paraId="1B7ED17D" w14:textId="77777777" w:rsidR="0051494B" w:rsidRPr="0051494B" w:rsidRDefault="0051494B" w:rsidP="0051494B">
      <w:pPr>
        <w:spacing w:after="160" w:line="259" w:lineRule="auto"/>
        <w:jc w:val="center"/>
        <w:rPr>
          <w:rFonts w:ascii="Arial" w:eastAsia="Calibri" w:hAnsi="Arial" w:cs="Arial"/>
          <w:b/>
          <w:bCs/>
          <w:sz w:val="24"/>
          <w:szCs w:val="24"/>
          <w:lang w:eastAsia="en-US"/>
        </w:rPr>
      </w:pPr>
      <w:r w:rsidRPr="0051494B">
        <w:rPr>
          <w:rFonts w:ascii="Arial" w:eastAsia="Calibri" w:hAnsi="Arial" w:cs="Arial"/>
          <w:b/>
          <w:bCs/>
          <w:sz w:val="24"/>
          <w:szCs w:val="24"/>
          <w:lang w:eastAsia="en-US"/>
        </w:rPr>
        <w:t>R E S U E L V E</w:t>
      </w:r>
    </w:p>
    <w:p w14:paraId="6B3766E6" w14:textId="77777777" w:rsidR="0051494B" w:rsidRPr="0051494B" w:rsidRDefault="0051494B" w:rsidP="0051494B">
      <w:pPr>
        <w:spacing w:after="160" w:line="259" w:lineRule="auto"/>
        <w:jc w:val="center"/>
        <w:rPr>
          <w:rFonts w:ascii="Arial" w:eastAsia="Calibri" w:hAnsi="Arial" w:cs="Arial"/>
          <w:b/>
          <w:bCs/>
          <w:sz w:val="24"/>
          <w:szCs w:val="24"/>
          <w:lang w:eastAsia="en-US"/>
        </w:rPr>
      </w:pPr>
    </w:p>
    <w:p w14:paraId="47737220" w14:textId="77777777" w:rsidR="0051494B" w:rsidRPr="0051494B" w:rsidRDefault="0051494B" w:rsidP="0051494B">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Primero.</w:t>
      </w:r>
      <w:r w:rsidRPr="0051494B">
        <w:rPr>
          <w:rFonts w:ascii="Arial" w:eastAsia="Times New Roman" w:hAnsi="Arial" w:cs="Arial"/>
          <w:sz w:val="24"/>
          <w:szCs w:val="24"/>
        </w:rPr>
        <w:t xml:space="preserve"> Esta Primera Sala Unitaria fue competente para conocer y resolver del presente asunto.</w:t>
      </w:r>
    </w:p>
    <w:p w14:paraId="32EE171C" w14:textId="77777777" w:rsidR="0051494B" w:rsidRPr="0051494B" w:rsidRDefault="0051494B" w:rsidP="0051494B">
      <w:pPr>
        <w:spacing w:after="0" w:line="360" w:lineRule="auto"/>
        <w:ind w:right="49" w:firstLine="567"/>
        <w:jc w:val="both"/>
        <w:rPr>
          <w:rFonts w:ascii="Arial" w:eastAsia="Times New Roman" w:hAnsi="Arial" w:cs="Arial"/>
        </w:rPr>
      </w:pPr>
    </w:p>
    <w:p w14:paraId="72F94CB5" w14:textId="77777777" w:rsidR="0051494B" w:rsidRPr="0051494B" w:rsidRDefault="0051494B" w:rsidP="0051494B">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Segundo.</w:t>
      </w:r>
      <w:r w:rsidRPr="0051494B">
        <w:rPr>
          <w:rFonts w:ascii="Arial" w:eastAsia="Times New Roman" w:hAnsi="Arial" w:cs="Arial"/>
          <w:sz w:val="24"/>
          <w:szCs w:val="24"/>
        </w:rPr>
        <w:t xml:space="preserve"> No se actualizaron causales de improcedencia y sobreseimiento hechas valer por la autoridad demandada por lo que no se sobresee el juicio. </w:t>
      </w:r>
    </w:p>
    <w:p w14:paraId="6100BD27" w14:textId="77777777" w:rsidR="0051494B" w:rsidRPr="0051494B" w:rsidRDefault="0051494B" w:rsidP="0051494B">
      <w:pPr>
        <w:spacing w:after="160" w:line="259" w:lineRule="auto"/>
        <w:rPr>
          <w:rFonts w:ascii="Arial" w:eastAsia="Calibri" w:hAnsi="Arial" w:cs="Arial"/>
          <w:b/>
          <w:bCs/>
          <w:sz w:val="24"/>
          <w:szCs w:val="24"/>
          <w:lang w:eastAsia="en-US"/>
        </w:rPr>
      </w:pPr>
    </w:p>
    <w:p w14:paraId="746575AE" w14:textId="2F4854E6" w:rsidR="0051494B" w:rsidRPr="0051494B" w:rsidRDefault="0051494B" w:rsidP="0051494B">
      <w:pPr>
        <w:spacing w:after="0" w:line="360" w:lineRule="auto"/>
        <w:ind w:right="49"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Tercero.</w:t>
      </w:r>
      <w:r w:rsidRPr="0051494B">
        <w:rPr>
          <w:rFonts w:ascii="Arial" w:eastAsia="Calibri" w:hAnsi="Arial" w:cs="Arial"/>
          <w:sz w:val="24"/>
          <w:szCs w:val="24"/>
          <w:lang w:eastAsia="en-US"/>
        </w:rPr>
        <w:t xml:space="preserve"> Se declara la </w:t>
      </w:r>
      <w:r w:rsidRPr="0051494B">
        <w:rPr>
          <w:rFonts w:ascii="Arial" w:eastAsia="Calibri" w:hAnsi="Arial" w:cs="Arial"/>
          <w:b/>
          <w:bCs/>
          <w:sz w:val="24"/>
          <w:szCs w:val="24"/>
          <w:lang w:eastAsia="en-US"/>
        </w:rPr>
        <w:t>nulidad</w:t>
      </w:r>
      <w:r w:rsidRPr="0051494B">
        <w:rPr>
          <w:rFonts w:ascii="Arial" w:eastAsia="Calibri" w:hAnsi="Arial" w:cs="Arial"/>
          <w:sz w:val="24"/>
          <w:szCs w:val="24"/>
          <w:lang w:eastAsia="en-US"/>
        </w:rPr>
        <w:t xml:space="preserve"> </w:t>
      </w:r>
      <w:r w:rsidRPr="0051494B">
        <w:rPr>
          <w:rFonts w:ascii="Arial" w:eastAsia="Calibri" w:hAnsi="Arial" w:cs="Arial"/>
          <w:b/>
          <w:bCs/>
          <w:sz w:val="24"/>
          <w:szCs w:val="24"/>
          <w:lang w:eastAsia="en-US"/>
        </w:rPr>
        <w:t>lisa y llana</w:t>
      </w:r>
      <w:r w:rsidRPr="0051494B">
        <w:rPr>
          <w:rFonts w:ascii="Arial" w:eastAsia="Calibri" w:hAnsi="Arial" w:cs="Arial"/>
          <w:sz w:val="24"/>
          <w:szCs w:val="24"/>
          <w:lang w:eastAsia="en-US"/>
        </w:rPr>
        <w:t xml:space="preserve"> del acta de infracción de tránsito con número de folio </w:t>
      </w:r>
      <w:r w:rsidR="00481FF2">
        <w:rPr>
          <w:rFonts w:ascii="Arial" w:eastAsia="Calibri" w:hAnsi="Arial" w:cs="Arial"/>
          <w:sz w:val="24"/>
          <w:szCs w:val="24"/>
          <w:lang w:eastAsia="en-US"/>
        </w:rPr>
        <w:t>**********</w:t>
      </w:r>
      <w:r w:rsidRPr="0051494B">
        <w:rPr>
          <w:rFonts w:ascii="Arial" w:eastAsia="Calibri" w:hAnsi="Arial" w:cs="Arial"/>
          <w:sz w:val="24"/>
          <w:szCs w:val="24"/>
          <w:lang w:eastAsia="en-US"/>
        </w:rPr>
        <w:t xml:space="preserve"> de siete de diciembre de dos mil veinte, emitida por </w:t>
      </w:r>
      <w:r w:rsidR="00481FF2">
        <w:rPr>
          <w:rFonts w:ascii="Arial" w:eastAsia="Calibri" w:hAnsi="Arial" w:cs="Arial"/>
          <w:sz w:val="24"/>
          <w:szCs w:val="24"/>
          <w:lang w:eastAsia="en-US"/>
        </w:rPr>
        <w:t>**********</w:t>
      </w:r>
      <w:r w:rsidRPr="0051494B">
        <w:rPr>
          <w:rFonts w:ascii="Arial" w:eastAsia="Calibri" w:hAnsi="Arial" w:cs="Arial"/>
          <w:sz w:val="24"/>
          <w:szCs w:val="24"/>
          <w:lang w:eastAsia="en-US"/>
        </w:rPr>
        <w:t xml:space="preserve"> en su carácter de Agente de Tránsito del Municipio de Santa Cruz Xoxocotlán, Oaxaca; y en consecuencia, se le restituya al actor en el pleno goce de sus derechos afectados, como quedó precisado en el considerando que antecede. </w:t>
      </w:r>
    </w:p>
    <w:p w14:paraId="73607F5B" w14:textId="77777777" w:rsidR="0051494B" w:rsidRPr="0051494B" w:rsidRDefault="0051494B" w:rsidP="0051494B">
      <w:pPr>
        <w:spacing w:after="0" w:line="360" w:lineRule="auto"/>
        <w:ind w:right="49"/>
        <w:jc w:val="both"/>
        <w:rPr>
          <w:rFonts w:ascii="Arial" w:eastAsia="Calibri" w:hAnsi="Arial" w:cs="Arial"/>
          <w:sz w:val="24"/>
          <w:szCs w:val="24"/>
          <w:lang w:eastAsia="en-US"/>
        </w:rPr>
      </w:pPr>
    </w:p>
    <w:p w14:paraId="5802BCAB" w14:textId="77777777" w:rsidR="0051494B" w:rsidRPr="0051494B" w:rsidRDefault="0051494B" w:rsidP="0051494B">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Cuarto. Notifíquese personalmente a la parte actora y por oficio a la autoridad demandada</w:t>
      </w:r>
      <w:r w:rsidRPr="0051494B">
        <w:rPr>
          <w:rFonts w:ascii="Arial" w:eastAsia="Times New Roman" w:hAnsi="Arial" w:cs="Arial"/>
          <w:sz w:val="24"/>
          <w:szCs w:val="24"/>
        </w:rPr>
        <w:t>, con fundamento en los artículos 172 fracción I y 173 fracciones I y II, de la Ley de Procedimiento y Justicia Administrativa para el Estado de Oaxaca,</w:t>
      </w:r>
      <w:r w:rsidRPr="0051494B">
        <w:rPr>
          <w:rFonts w:ascii="Arial" w:eastAsia="Times New Roman" w:hAnsi="Arial" w:cs="Arial"/>
          <w:b/>
          <w:iCs/>
          <w:sz w:val="24"/>
          <w:szCs w:val="24"/>
        </w:rPr>
        <w:t xml:space="preserve"> - CÚMPLASE</w:t>
      </w:r>
      <w:r w:rsidRPr="0051494B">
        <w:rPr>
          <w:rFonts w:ascii="Arial" w:eastAsia="Times New Roman" w:hAnsi="Arial" w:cs="Arial"/>
          <w:sz w:val="24"/>
          <w:szCs w:val="24"/>
        </w:rPr>
        <w:t xml:space="preserve">. </w:t>
      </w:r>
    </w:p>
    <w:p w14:paraId="7C0CDAA3" w14:textId="77777777" w:rsidR="0051494B" w:rsidRPr="0051494B" w:rsidRDefault="0051494B" w:rsidP="0051494B">
      <w:pPr>
        <w:spacing w:after="0" w:line="360" w:lineRule="auto"/>
        <w:ind w:right="49" w:firstLine="567"/>
        <w:jc w:val="both"/>
        <w:rPr>
          <w:rFonts w:ascii="Arial" w:eastAsia="Times New Roman" w:hAnsi="Arial" w:cs="Arial"/>
          <w:b/>
          <w:sz w:val="24"/>
          <w:szCs w:val="24"/>
        </w:rPr>
      </w:pPr>
    </w:p>
    <w:p w14:paraId="142C9C59" w14:textId="77777777" w:rsidR="0051494B" w:rsidRPr="0051494B" w:rsidRDefault="0051494B" w:rsidP="0051494B">
      <w:pPr>
        <w:spacing w:after="0" w:line="360" w:lineRule="auto"/>
        <w:ind w:right="49" w:firstLine="567"/>
        <w:jc w:val="both"/>
        <w:rPr>
          <w:rFonts w:ascii="Arial" w:eastAsia="Times New Roman" w:hAnsi="Arial" w:cs="Arial"/>
          <w:b/>
          <w:sz w:val="24"/>
          <w:szCs w:val="24"/>
          <w:lang w:val="es-ES"/>
        </w:rPr>
      </w:pPr>
      <w:r w:rsidRPr="0051494B">
        <w:rPr>
          <w:rFonts w:ascii="Arial" w:eastAsia="Times New Roman" w:hAnsi="Arial" w:cs="Arial"/>
          <w:sz w:val="24"/>
          <w:szCs w:val="24"/>
        </w:rPr>
        <w:t>Así lo resolvió y firmó el Titular de la Primera Sala Unitaria de Primera Instancia del Tribunal de Justicia Administrativa del Estado de Oaxaca, Magistrado Abraham Santiago Soriano, quien actúa con el Licenciado Christian Mauricio Morales Morales, Secretario de Acuerdos, que autoriza y da fe.</w:t>
      </w:r>
    </w:p>
    <w:p w14:paraId="0E76C300" w14:textId="77777777" w:rsidR="0051494B" w:rsidRPr="0051494B" w:rsidRDefault="0051494B" w:rsidP="0051494B">
      <w:pPr>
        <w:tabs>
          <w:tab w:val="right" w:pos="8789"/>
        </w:tabs>
        <w:spacing w:after="0" w:line="259" w:lineRule="auto"/>
        <w:jc w:val="both"/>
        <w:rPr>
          <w:rFonts w:ascii="Arial" w:eastAsia="Calibri" w:hAnsi="Arial" w:cs="Arial"/>
          <w:lang w:val="es-ES" w:eastAsia="en-US"/>
        </w:rPr>
      </w:pPr>
    </w:p>
    <w:p w14:paraId="7D23811B" w14:textId="77777777" w:rsidR="0051494B" w:rsidRPr="0051494B" w:rsidRDefault="0051494B" w:rsidP="0051494B">
      <w:pPr>
        <w:spacing w:after="160" w:line="259" w:lineRule="auto"/>
        <w:rPr>
          <w:rFonts w:ascii="Calibri" w:eastAsia="Calibri" w:hAnsi="Calibri" w:cs="Times New Roman"/>
          <w:lang w:eastAsia="en-US"/>
        </w:rPr>
      </w:pPr>
    </w:p>
    <w:p w14:paraId="50453FE0" w14:textId="197A691C" w:rsidR="00BA258A" w:rsidRPr="00BC59CF" w:rsidRDefault="00BA258A" w:rsidP="00BC59CF"/>
    <w:sectPr w:rsidR="00BA258A" w:rsidRPr="00BC59CF" w:rsidSect="0051494B">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4924C1" w14:textId="77777777" w:rsidR="00BC5F4A" w:rsidRDefault="00BC5F4A">
      <w:pPr>
        <w:spacing w:after="0" w:line="240" w:lineRule="auto"/>
      </w:pPr>
      <w:r>
        <w:separator/>
      </w:r>
    </w:p>
  </w:endnote>
  <w:endnote w:type="continuationSeparator" w:id="0">
    <w:p w14:paraId="2706E47D" w14:textId="77777777" w:rsidR="00BC5F4A" w:rsidRDefault="00BC5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NimbusSanL">
    <w:altName w:val="Calibri"/>
    <w:panose1 w:val="00000000000000000000"/>
    <w:charset w:val="00"/>
    <w:family w:val="auto"/>
    <w:notTrueType/>
    <w:pitch w:val="default"/>
    <w:sig w:usb0="00000003" w:usb1="00000000" w:usb2="00000000" w:usb3="00000000" w:csb0="00000001"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2659292"/>
      <w:docPartObj>
        <w:docPartGallery w:val="Page Numbers (Bottom of Page)"/>
        <w:docPartUnique/>
      </w:docPartObj>
    </w:sdtPr>
    <w:sdtEndPr/>
    <w:sdtContent>
      <w:p w14:paraId="742221A4" w14:textId="0CA0D0D6" w:rsidR="005A6789" w:rsidRDefault="005A6789">
        <w:pPr>
          <w:pStyle w:val="Piedepgina"/>
          <w:jc w:val="center"/>
        </w:pPr>
        <w:r>
          <w:fldChar w:fldCharType="begin"/>
        </w:r>
        <w:r>
          <w:instrText>PAGE   \* MERGEFORMAT</w:instrText>
        </w:r>
        <w:r>
          <w:fldChar w:fldCharType="separate"/>
        </w:r>
        <w:r w:rsidR="00481FF2" w:rsidRPr="00481FF2">
          <w:rPr>
            <w:noProof/>
            <w:lang w:val="es-ES"/>
          </w:rPr>
          <w:t>7</w:t>
        </w:r>
        <w:r>
          <w:fldChar w:fldCharType="end"/>
        </w:r>
      </w:p>
    </w:sdtContent>
  </w:sdt>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E62556" w14:textId="77777777" w:rsidR="00BC5F4A" w:rsidRDefault="00BC5F4A">
      <w:pPr>
        <w:spacing w:after="0" w:line="240" w:lineRule="auto"/>
      </w:pPr>
      <w:r>
        <w:separator/>
      </w:r>
    </w:p>
  </w:footnote>
  <w:footnote w:type="continuationSeparator" w:id="0">
    <w:p w14:paraId="27140673" w14:textId="77777777" w:rsidR="00BC5F4A" w:rsidRDefault="00BC5F4A">
      <w:pPr>
        <w:spacing w:after="0" w:line="240" w:lineRule="auto"/>
      </w:pPr>
      <w:r>
        <w:continuationSeparator/>
      </w:r>
    </w:p>
  </w:footnote>
  <w:footnote w:id="1">
    <w:p w14:paraId="561CEC28" w14:textId="77777777" w:rsidR="0051494B" w:rsidRDefault="0051494B" w:rsidP="0051494B">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2E9CA468" w14:textId="77777777" w:rsidR="0051494B" w:rsidRPr="005B4F51" w:rsidRDefault="0051494B" w:rsidP="0051494B">
      <w:pPr>
        <w:autoSpaceDE w:val="0"/>
        <w:autoSpaceDN w:val="0"/>
        <w:adjustRightInd w:val="0"/>
        <w:spacing w:after="0" w:line="240" w:lineRule="auto"/>
        <w:jc w:val="both"/>
        <w:rPr>
          <w:rFonts w:ascii="Arial" w:hAnsi="Arial" w:cs="Arial"/>
          <w:color w:val="000000"/>
        </w:rPr>
      </w:pPr>
    </w:p>
  </w:footnote>
  <w:footnote w:id="2">
    <w:p w14:paraId="4A5BF682" w14:textId="77777777" w:rsidR="0051494B" w:rsidRDefault="0051494B" w:rsidP="0051494B">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450CB311" w14:textId="77777777" w:rsidR="0051494B" w:rsidRPr="005B4F51" w:rsidRDefault="0051494B" w:rsidP="0051494B">
      <w:pPr>
        <w:autoSpaceDE w:val="0"/>
        <w:autoSpaceDN w:val="0"/>
        <w:adjustRightInd w:val="0"/>
        <w:spacing w:after="0" w:line="240" w:lineRule="auto"/>
        <w:rPr>
          <w:rFonts w:ascii="Arial" w:hAnsi="Arial" w:cs="Arial"/>
          <w:color w:val="000000"/>
          <w:sz w:val="16"/>
          <w:szCs w:val="16"/>
        </w:rPr>
      </w:pPr>
    </w:p>
  </w:footnote>
  <w:footnote w:id="3">
    <w:p w14:paraId="133E64DA" w14:textId="77777777" w:rsidR="0051494B" w:rsidRPr="009F02A1" w:rsidRDefault="0051494B" w:rsidP="0051494B">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5BAFB238" w14:textId="77777777" w:rsidR="0051494B" w:rsidRPr="009F02A1" w:rsidRDefault="0051494B" w:rsidP="0051494B">
      <w:pPr>
        <w:autoSpaceDE w:val="0"/>
        <w:autoSpaceDN w:val="0"/>
        <w:adjustRightInd w:val="0"/>
        <w:spacing w:after="0" w:line="240" w:lineRule="auto"/>
        <w:rPr>
          <w:rFonts w:ascii="Arial" w:hAnsi="Arial" w:cs="Arial"/>
          <w:color w:val="000000"/>
          <w:sz w:val="16"/>
          <w:szCs w:val="16"/>
        </w:rPr>
      </w:pPr>
    </w:p>
    <w:p w14:paraId="7E5502EE" w14:textId="77777777" w:rsidR="0051494B" w:rsidRPr="009F02A1" w:rsidRDefault="0051494B" w:rsidP="0051494B">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1E5E5694" w14:textId="77777777" w:rsidR="0051494B" w:rsidRPr="00B61A4A" w:rsidRDefault="0051494B" w:rsidP="0051494B">
      <w:pPr>
        <w:pStyle w:val="Textonotapie"/>
        <w:jc w:val="both"/>
        <w:rPr>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footnote>
  <w:footnote w:id="5">
    <w:p w14:paraId="242C37D2" w14:textId="77777777" w:rsidR="0051494B" w:rsidRPr="00B61A4A" w:rsidRDefault="0051494B" w:rsidP="0051494B">
      <w:pPr>
        <w:pStyle w:val="Textonotapie"/>
        <w:jc w:val="both"/>
        <w:rPr>
          <w:sz w:val="16"/>
          <w:szCs w:val="16"/>
        </w:rPr>
      </w:pPr>
      <w:r w:rsidRPr="00B61A4A">
        <w:rPr>
          <w:rStyle w:val="Refdenotaalpie"/>
          <w:sz w:val="16"/>
          <w:szCs w:val="16"/>
        </w:rPr>
        <w:footnoteRef/>
      </w:r>
      <w:r w:rsidRPr="00B61A4A">
        <w:rPr>
          <w:sz w:val="16"/>
          <w:szCs w:val="16"/>
        </w:rPr>
        <w:t xml:space="preserve"> </w:t>
      </w:r>
      <w:r w:rsidRPr="00D23FEF">
        <w:rPr>
          <w:rFonts w:ascii="Arial" w:hAnsi="Arial" w:cs="Arial"/>
          <w:sz w:val="16"/>
          <w:szCs w:val="16"/>
        </w:rPr>
        <w:t>Constitución Política de los Estados Unidos Mexicanos, publicada en el Diario Oficial de la Federación el 5 de febrero de 1917.</w:t>
      </w:r>
    </w:p>
  </w:footnote>
  <w:footnote w:id="6">
    <w:p w14:paraId="4F6634C7" w14:textId="77777777" w:rsidR="0051494B" w:rsidRDefault="0051494B" w:rsidP="0051494B">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Pr>
          <w:rFonts w:ascii="Arial" w:hAnsi="Arial" w:cs="Arial"/>
          <w:sz w:val="16"/>
          <w:szCs w:val="16"/>
        </w:rPr>
        <w:t>208</w:t>
      </w:r>
      <w:r w:rsidRPr="00155F2F">
        <w:rPr>
          <w:rFonts w:ascii="Arial" w:hAnsi="Arial" w:cs="Arial"/>
          <w:sz w:val="16"/>
          <w:szCs w:val="16"/>
        </w:rPr>
        <w:t>.- “Se declarará que un acto administrativo es ilegal si de  esa ilegalidad nace su nulidad relativa o absoluta, cuando se demuestre alguna de las siguientes causales: … II. Omisión de los requisitos formales exigidos  por las leyes que afecten las defensas del particular y trasciendan al sentido de la resolución impugnada, inclusive la usencia de fundamento o motivación, en su caso...”</w:t>
      </w:r>
    </w:p>
    <w:p w14:paraId="1F0386B2" w14:textId="77777777" w:rsidR="0051494B" w:rsidRPr="00155F2F" w:rsidRDefault="0051494B" w:rsidP="0051494B">
      <w:pPr>
        <w:pStyle w:val="Textonotapie"/>
        <w:jc w:val="both"/>
        <w:rPr>
          <w:rFonts w:ascii="Arial" w:hAnsi="Arial" w:cs="Arial"/>
          <w:sz w:val="16"/>
          <w:szCs w:val="16"/>
        </w:rPr>
      </w:pPr>
    </w:p>
  </w:footnote>
  <w:footnote w:id="7">
    <w:p w14:paraId="65530A51" w14:textId="77777777" w:rsidR="0051494B" w:rsidRDefault="0051494B" w:rsidP="0051494B">
      <w:pPr>
        <w:pStyle w:val="Textonotapie"/>
        <w:ind w:right="49"/>
        <w:jc w:val="both"/>
      </w:pPr>
      <w:r w:rsidRPr="005A0696">
        <w:rPr>
          <w:rStyle w:val="Refdenotaalpie"/>
          <w:rFonts w:ascii="Arial" w:hAnsi="Arial" w:cs="Arial"/>
          <w:sz w:val="16"/>
          <w:szCs w:val="16"/>
        </w:rPr>
        <w:footnoteRef/>
      </w:r>
      <w:r w:rsidRPr="005A0696">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BC5F4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481FF2" w:rsidRPr="00481FF2">
          <w:rPr>
            <w:noProof/>
            <w:lang w:val="es-ES"/>
          </w:rPr>
          <w:t>2</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17BF2" w14:textId="77777777" w:rsidR="0051494B" w:rsidRDefault="0051494B" w:rsidP="0051494B">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0</w:t>
    </w:r>
    <w:r>
      <w:rPr>
        <w:rFonts w:ascii="Century Schoolbook" w:hAnsi="Century Schoolbook" w:cs="Arial"/>
        <w:b/>
        <w:bCs/>
      </w:rPr>
      <w:t>011</w:t>
    </w:r>
    <w:r w:rsidRPr="00B61D83">
      <w:rPr>
        <w:rFonts w:ascii="Century Schoolbook" w:hAnsi="Century Schoolbook" w:cs="Arial"/>
        <w:b/>
        <w:bCs/>
      </w:rPr>
      <w:t>/2021</w:t>
    </w:r>
  </w:p>
  <w:p w14:paraId="769279C5" w14:textId="77777777" w:rsidR="00481FF2" w:rsidRPr="00B61D83" w:rsidRDefault="00481FF2" w:rsidP="0051494B">
    <w:pPr>
      <w:pStyle w:val="Encabezado"/>
      <w:jc w:val="right"/>
      <w:rPr>
        <w:rFonts w:ascii="Century Schoolbook" w:hAnsi="Century Schoolbook" w:cs="Arial"/>
        <w:b/>
        <w:bCs/>
      </w:rPr>
    </w:pPr>
  </w:p>
  <w:p w14:paraId="1779B90A" w14:textId="77777777" w:rsidR="00481FF2" w:rsidRDefault="00481FF2" w:rsidP="00481FF2">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6DEC9321" w14:textId="77777777" w:rsidR="0051494B" w:rsidRDefault="0051494B" w:rsidP="0051494B">
    <w:pPr>
      <w:pStyle w:val="Encabezado"/>
    </w:pPr>
  </w:p>
  <w:p w14:paraId="51E22156" w14:textId="4770DA10" w:rsidR="00A360DF" w:rsidRDefault="00BC5F4A" w:rsidP="0051494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r w:rsidR="00A360D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BC5F4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9C"/>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41A9"/>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1FF2"/>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94B"/>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789"/>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5466"/>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C45"/>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5F4A"/>
    <w:rsid w:val="00BC64CE"/>
    <w:rsid w:val="00BC68AD"/>
    <w:rsid w:val="00BC7112"/>
    <w:rsid w:val="00BD0C00"/>
    <w:rsid w:val="00BD0DA0"/>
    <w:rsid w:val="00BD0DD3"/>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7E1"/>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FE6"/>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0363609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72A7E-F4CE-4936-92DE-3B9DA53C6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2607</Words>
  <Characters>14341</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6</cp:revision>
  <cp:lastPrinted>2023-01-09T22:23:00Z</cp:lastPrinted>
  <dcterms:created xsi:type="dcterms:W3CDTF">2022-03-18T18:37:00Z</dcterms:created>
  <dcterms:modified xsi:type="dcterms:W3CDTF">2023-01-09T22:24:00Z</dcterms:modified>
</cp:coreProperties>
</file>