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E7899" w14:textId="77777777" w:rsidR="00A04528" w:rsidRDefault="00A04528" w:rsidP="00A0452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4F1574B3" w14:textId="77777777" w:rsidR="00A04528" w:rsidRDefault="00A04528" w:rsidP="00A04528">
      <w:pPr>
        <w:spacing w:line="360" w:lineRule="auto"/>
        <w:jc w:val="both"/>
        <w:rPr>
          <w:rFonts w:ascii="Arial" w:hAnsi="Arial" w:cs="Arial"/>
          <w:b/>
          <w:sz w:val="24"/>
          <w:szCs w:val="24"/>
        </w:rPr>
      </w:pPr>
      <w:r>
        <w:rPr>
          <w:rFonts w:ascii="Arial" w:hAnsi="Arial" w:cs="Arial"/>
          <w:b/>
          <w:sz w:val="24"/>
          <w:szCs w:val="24"/>
        </w:rPr>
        <w:t>OAXACA DE JUÁREZ, OAXACA; A VEINTISÉIS DE FEBRER</w:t>
      </w:r>
      <w:r w:rsidR="00163ADE">
        <w:rPr>
          <w:rFonts w:ascii="Arial" w:hAnsi="Arial" w:cs="Arial"/>
          <w:b/>
          <w:sz w:val="24"/>
          <w:szCs w:val="24"/>
        </w:rPr>
        <w:t>O DEL AÑO DOS MIL DIECINUEVE (26</w:t>
      </w:r>
      <w:r>
        <w:rPr>
          <w:rFonts w:ascii="Arial" w:hAnsi="Arial" w:cs="Arial"/>
          <w:b/>
          <w:sz w:val="24"/>
          <w:szCs w:val="24"/>
        </w:rPr>
        <w:t xml:space="preserve">/02/2019). - - - - - - - - - - - - - - - - - - - - - - - - - - - - </w:t>
      </w:r>
    </w:p>
    <w:p w14:paraId="052ADF2E" w14:textId="4BC856D8" w:rsidR="00A04528" w:rsidRDefault="00A04528" w:rsidP="00A0452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016/2018, promovido por </w:t>
      </w:r>
      <w:r w:rsidR="00AD2F48">
        <w:rPr>
          <w:rFonts w:ascii="Arial" w:hAnsi="Arial" w:cs="Arial"/>
          <w:sz w:val="24"/>
          <w:szCs w:val="24"/>
        </w:rPr>
        <w:t>***** ***** ***** *****</w:t>
      </w:r>
      <w:r>
        <w:rPr>
          <w:rFonts w:ascii="Arial" w:hAnsi="Arial" w:cs="Arial"/>
          <w:sz w:val="24"/>
          <w:szCs w:val="24"/>
        </w:rPr>
        <w:t xml:space="preserve">, solicitando la nulidad del acuerdo dictado con fecha </w:t>
      </w:r>
      <w:r w:rsidR="00AD2F48">
        <w:rPr>
          <w:rFonts w:ascii="Arial" w:hAnsi="Arial" w:cs="Arial"/>
          <w:sz w:val="24"/>
          <w:szCs w:val="24"/>
        </w:rPr>
        <w:t>***** de *****</w:t>
      </w:r>
      <w:r>
        <w:rPr>
          <w:rFonts w:ascii="Arial" w:hAnsi="Arial" w:cs="Arial"/>
          <w:sz w:val="24"/>
          <w:szCs w:val="24"/>
        </w:rPr>
        <w:t xml:space="preserve">de dos mil diecisiete </w:t>
      </w:r>
      <w:r w:rsidR="00AD2F48">
        <w:rPr>
          <w:rFonts w:ascii="Arial" w:hAnsi="Arial" w:cs="Arial"/>
          <w:sz w:val="24"/>
          <w:szCs w:val="24"/>
        </w:rPr>
        <w:t>(**/**/2017)</w:t>
      </w:r>
      <w:r>
        <w:rPr>
          <w:rFonts w:ascii="Arial" w:hAnsi="Arial" w:cs="Arial"/>
          <w:sz w:val="24"/>
          <w:szCs w:val="24"/>
        </w:rPr>
        <w:t xml:space="preserve">, por el Jefe de la Unidad Jurídica del Instituto Catastral del Estado de Oaxaca, en el Recurso de Revocación número </w:t>
      </w:r>
      <w:r w:rsidR="00AD2F48">
        <w:rPr>
          <w:rFonts w:ascii="Arial" w:hAnsi="Arial" w:cs="Arial"/>
          <w:sz w:val="24"/>
          <w:szCs w:val="24"/>
        </w:rPr>
        <w:t>**/2017</w:t>
      </w:r>
      <w:r>
        <w:rPr>
          <w:rFonts w:ascii="Arial" w:hAnsi="Arial" w:cs="Arial"/>
          <w:sz w:val="24"/>
          <w:szCs w:val="24"/>
        </w:rPr>
        <w:t xml:space="preserve">, que  desechó por improcedente; y, - - - - - - - - - - - - - - - - - - </w:t>
      </w:r>
    </w:p>
    <w:p w14:paraId="58C0AD9E" w14:textId="77777777" w:rsidR="00A04528" w:rsidRDefault="00A04528" w:rsidP="00A04528">
      <w:pPr>
        <w:spacing w:line="360" w:lineRule="auto"/>
        <w:jc w:val="center"/>
        <w:rPr>
          <w:rFonts w:ascii="Arial" w:hAnsi="Arial" w:cs="Arial"/>
          <w:b/>
          <w:sz w:val="24"/>
          <w:szCs w:val="24"/>
        </w:rPr>
      </w:pPr>
      <w:r>
        <w:rPr>
          <w:rFonts w:ascii="Arial" w:hAnsi="Arial" w:cs="Arial"/>
          <w:b/>
          <w:sz w:val="24"/>
          <w:szCs w:val="24"/>
        </w:rPr>
        <w:t>R E S U L T A N D O</w:t>
      </w:r>
    </w:p>
    <w:p w14:paraId="72D1724B" w14:textId="77777777" w:rsidR="00A04528" w:rsidRDefault="00A04528" w:rsidP="00A0452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uno de marzo de dos mil dieciocho (01/03/2018), se recibió el escrito de demanda en la Oficialía de Partes de este Tribunal y con fecha seis de junio del mismo año (06/06/2018) previo requerimiento, se tuvo por admitida a trámite, ordenándose emplazar a Juicio a la autoridad demandada. - - - - - - - - - - - - - - - - - - - - - - - - - - - - - - </w:t>
      </w:r>
      <w:r w:rsidR="001D3235">
        <w:rPr>
          <w:rFonts w:ascii="Arial" w:hAnsi="Arial" w:cs="Arial"/>
          <w:sz w:val="24"/>
          <w:szCs w:val="24"/>
        </w:rPr>
        <w:t xml:space="preserve">- - - - - - </w:t>
      </w:r>
    </w:p>
    <w:p w14:paraId="681A96AA" w14:textId="77777777" w:rsidR="00A04528" w:rsidRDefault="00A04528" w:rsidP="00A0452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trece de septiembre de dos mil dieciocho (13/09/2018), se tuvo a la demandada Instituto Catastral del Estado de Oaxaca, contestando la demanda en sentido afirmativo, pues el escrito presentado por el Jefe de la Unidad Jurídica de dicho Instituto fue extemporáneo; además se señaló fecha y hora para el desahogo de la audiencia final.- - - - - - - - - - - - - - - - - - - - - - - - - - - - - - - - - - - - - - - - - - - - </w:t>
      </w:r>
      <w:r w:rsidR="004E12F8">
        <w:rPr>
          <w:rFonts w:ascii="Arial" w:hAnsi="Arial" w:cs="Arial"/>
          <w:sz w:val="24"/>
          <w:szCs w:val="24"/>
        </w:rPr>
        <w:t xml:space="preserve">- </w:t>
      </w:r>
    </w:p>
    <w:p w14:paraId="5F12D57E"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catorce de noviembre de dos mil dieciocho (14/11/2018),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actora, quedando el asunto integrado y en estado de resolución; y, - - - - - </w:t>
      </w:r>
    </w:p>
    <w:p w14:paraId="70952587" w14:textId="77777777" w:rsidR="00A04528" w:rsidRDefault="00A04528" w:rsidP="00A04528">
      <w:pPr>
        <w:spacing w:line="360" w:lineRule="auto"/>
        <w:jc w:val="center"/>
        <w:rPr>
          <w:rFonts w:ascii="Arial" w:hAnsi="Arial" w:cs="Arial"/>
          <w:b/>
          <w:sz w:val="24"/>
          <w:szCs w:val="24"/>
        </w:rPr>
      </w:pPr>
      <w:r>
        <w:rPr>
          <w:rFonts w:ascii="Arial" w:hAnsi="Arial" w:cs="Arial"/>
          <w:b/>
          <w:sz w:val="24"/>
          <w:szCs w:val="24"/>
        </w:rPr>
        <w:t>C O N S I D E R A N D O</w:t>
      </w:r>
    </w:p>
    <w:p w14:paraId="24CD9552"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1134, de la Ley de </w:t>
      </w:r>
      <w:r>
        <w:rPr>
          <w:rFonts w:ascii="Arial" w:hAnsi="Arial" w:cs="Arial"/>
          <w:sz w:val="24"/>
          <w:szCs w:val="24"/>
        </w:rPr>
        <w:lastRenderedPageBreak/>
        <w:t xml:space="preserve">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F6677C">
        <w:rPr>
          <w:rFonts w:ascii="Arial" w:hAnsi="Arial" w:cs="Arial"/>
          <w:sz w:val="24"/>
          <w:szCs w:val="24"/>
        </w:rPr>
        <w:t>- - - -</w:t>
      </w:r>
    </w:p>
    <w:p w14:paraId="7DE62634"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1549AAC" w14:textId="2658D768" w:rsidR="00A04528" w:rsidRDefault="00A04528" w:rsidP="00A0452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AD2F48">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w:t>
      </w:r>
      <w:r w:rsidRPr="00D7460F">
        <w:rPr>
          <w:rFonts w:ascii="Arial" w:hAnsi="Arial" w:cs="Arial"/>
          <w:b/>
          <w:sz w:val="24"/>
          <w:szCs w:val="24"/>
        </w:rPr>
        <w:t>1.-</w:t>
      </w:r>
      <w:r>
        <w:rPr>
          <w:rFonts w:ascii="Arial" w:hAnsi="Arial" w:cs="Arial"/>
          <w:sz w:val="24"/>
          <w:szCs w:val="24"/>
        </w:rPr>
        <w:t xml:space="preserve"> Copia simple del acuerdo de fecha </w:t>
      </w:r>
      <w:r w:rsidR="00AD2F48">
        <w:rPr>
          <w:rFonts w:ascii="Arial" w:hAnsi="Arial" w:cs="Arial"/>
          <w:sz w:val="24"/>
          <w:szCs w:val="24"/>
        </w:rPr>
        <w:t>***** de *****</w:t>
      </w:r>
      <w:r>
        <w:rPr>
          <w:rFonts w:ascii="Arial" w:hAnsi="Arial" w:cs="Arial"/>
          <w:sz w:val="24"/>
          <w:szCs w:val="24"/>
        </w:rPr>
        <w:t xml:space="preserve">de dos mil diecisiete </w:t>
      </w:r>
      <w:r w:rsidR="00AD2F48">
        <w:rPr>
          <w:rFonts w:ascii="Arial" w:hAnsi="Arial" w:cs="Arial"/>
          <w:sz w:val="24"/>
          <w:szCs w:val="24"/>
        </w:rPr>
        <w:t>(**/**/2017)</w:t>
      </w:r>
      <w:r>
        <w:rPr>
          <w:rFonts w:ascii="Arial" w:hAnsi="Arial" w:cs="Arial"/>
          <w:sz w:val="24"/>
          <w:szCs w:val="24"/>
        </w:rPr>
        <w:t xml:space="preserve"> por el </w:t>
      </w:r>
      <w:proofErr w:type="gramStart"/>
      <w:r>
        <w:rPr>
          <w:rFonts w:ascii="Arial" w:hAnsi="Arial" w:cs="Arial"/>
          <w:sz w:val="24"/>
          <w:szCs w:val="24"/>
        </w:rPr>
        <w:t>Jefe</w:t>
      </w:r>
      <w:proofErr w:type="gramEnd"/>
      <w:r>
        <w:rPr>
          <w:rFonts w:ascii="Arial" w:hAnsi="Arial" w:cs="Arial"/>
          <w:sz w:val="24"/>
          <w:szCs w:val="24"/>
        </w:rPr>
        <w:t xml:space="preserve"> de la Unidad Jurídica del Instituto Catastral del Estado de Oaxaca, desechando el Recurso de Revocación interpuesto por la actora.</w:t>
      </w:r>
    </w:p>
    <w:p w14:paraId="25BE5CAD" w14:textId="77777777" w:rsidR="00A04528" w:rsidRDefault="00A04528" w:rsidP="00A04528">
      <w:pPr>
        <w:spacing w:line="360" w:lineRule="auto"/>
        <w:ind w:firstLine="708"/>
        <w:jc w:val="both"/>
        <w:rPr>
          <w:rFonts w:ascii="Arial" w:hAnsi="Arial" w:cs="Arial"/>
          <w:sz w:val="24"/>
          <w:szCs w:val="24"/>
        </w:rPr>
      </w:pPr>
      <w:r>
        <w:rPr>
          <w:rFonts w:ascii="Arial" w:hAnsi="Arial" w:cs="Arial"/>
          <w:sz w:val="24"/>
          <w:szCs w:val="24"/>
        </w:rPr>
        <w:t>Por lo que respecta a la autoridad demandada no existe prueba que valorar en su favor, pues con fecha trece de septiembre de dos mil dieciocho (13/09/2018) se le tuvo contestando la demanda en sentido afirmativo al presentar el escrito de contestación extemporáneo.</w:t>
      </w:r>
    </w:p>
    <w:p w14:paraId="12F6286D" w14:textId="77777777" w:rsidR="00A04528" w:rsidRDefault="00A04528" w:rsidP="00A04528">
      <w:pPr>
        <w:spacing w:line="360" w:lineRule="auto"/>
        <w:ind w:firstLine="708"/>
        <w:jc w:val="both"/>
        <w:rPr>
          <w:rFonts w:ascii="Arial" w:hAnsi="Arial" w:cs="Arial"/>
          <w:sz w:val="24"/>
          <w:szCs w:val="24"/>
        </w:rPr>
      </w:pPr>
      <w:r>
        <w:rPr>
          <w:rFonts w:ascii="Arial" w:hAnsi="Arial" w:cs="Arial"/>
          <w:sz w:val="24"/>
          <w:szCs w:val="24"/>
        </w:rPr>
        <w:t xml:space="preserve">A la copia simple remitida por la actora se le otorga </w:t>
      </w:r>
      <w:r w:rsidRPr="00EE41ED">
        <w:rPr>
          <w:rFonts w:ascii="Arial" w:hAnsi="Arial" w:cs="Arial"/>
          <w:b/>
          <w:sz w:val="24"/>
          <w:szCs w:val="24"/>
        </w:rPr>
        <w:t>valor probatorio pleno</w:t>
      </w:r>
      <w:r>
        <w:rPr>
          <w:rFonts w:ascii="Arial" w:hAnsi="Arial" w:cs="Arial"/>
          <w:sz w:val="24"/>
          <w:szCs w:val="24"/>
        </w:rPr>
        <w:t>, ello como consecuencia de que la autoridad demandada no contestó la demanda, por lo que se presume cierto el hecho que contiene la copia simple remitida, ante la ausencia de prueba que desvirtúe su contenido, de conformidad con lo dispuesto en el tercer párrafo del artículo 183 de la Ley de Procedimiento y Justicia Administrativa para el Estado de Oaxaca.</w:t>
      </w:r>
    </w:p>
    <w:p w14:paraId="087998D5"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 documental ofrecida, cumple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E8DA31" w14:textId="77777777" w:rsidR="00A04528" w:rsidRDefault="00A04528" w:rsidP="00A0452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se constituye de la totalidad de las pruebas recabadas en el presente Juicio, y </w:t>
      </w:r>
      <w:r>
        <w:rPr>
          <w:rFonts w:ascii="Arial" w:hAnsi="Arial" w:cs="Arial"/>
          <w:sz w:val="24"/>
          <w:szCs w:val="24"/>
        </w:rPr>
        <w:lastRenderedPageBreak/>
        <w:t>con ellas se confirma el contenido del enjuiciamiento, porque los hechos contenidos en las documentales son afirmaciones expresadas por ellas.</w:t>
      </w:r>
    </w:p>
    <w:p w14:paraId="6F074B79" w14:textId="77777777" w:rsidR="00A04528" w:rsidRDefault="00A04528" w:rsidP="00A0452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actora,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w:t>
      </w:r>
      <w:r w:rsidR="00F46D6F">
        <w:rPr>
          <w:rFonts w:ascii="Arial" w:hAnsi="Arial" w:cs="Arial"/>
          <w:sz w:val="24"/>
          <w:szCs w:val="24"/>
        </w:rPr>
        <w:t xml:space="preserve">- </w:t>
      </w:r>
    </w:p>
    <w:p w14:paraId="05E75600" w14:textId="77777777" w:rsidR="00A04528" w:rsidRDefault="00A04528" w:rsidP="00A0452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4E7620">
        <w:rPr>
          <w:rFonts w:cs="Arial"/>
          <w:sz w:val="24"/>
        </w:rPr>
        <w:t xml:space="preserve">- - </w:t>
      </w:r>
    </w:p>
    <w:p w14:paraId="16DAE6FD" w14:textId="07F4A4DC"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 la actora C. </w:t>
      </w:r>
      <w:r w:rsidR="00AD2F48">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el acuerdo que impugna es contrario a sus pretensiones declarando firme la negativa de asignarle cuenta catastral de un inmueble, por lo que esa circunstancia vulnera su esfera jurídica, acreditando así su interés jurídico y legítimo con el presente juicio.</w:t>
      </w:r>
    </w:p>
    <w:p w14:paraId="66DC3919" w14:textId="77777777" w:rsidR="00A04528" w:rsidRDefault="00A04528" w:rsidP="00A0452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rPr>
        <w:t xml:space="preserve">Instituto Catastral del Estado de Oaxaca, no se apersonó autoridad alguna a defender sus intereses y derechos en el presente juicio, y quien pretendió hacerlo, lo hizo a destiempo, y no obstante ello, el artículo 151 de la Ley de Procedimiento y Justicia Administrativa para el Estado de Oaxaca, prevé que la personalidad de la autoridad demandada se tendrá por acreditada y solo existe necesidad de justificarla cuando ésta se impugna, circunstancia que en el presente caso no ocurrió, de ahí que se tenga por acreditada.- - - - - - </w:t>
      </w:r>
      <w:r w:rsidR="004E7620">
        <w:rPr>
          <w:rFonts w:ascii="Arial" w:hAnsi="Arial" w:cs="Arial"/>
          <w:sz w:val="24"/>
        </w:rPr>
        <w:t xml:space="preserve">- - - - - - - - - - - - - - - - </w:t>
      </w:r>
    </w:p>
    <w:p w14:paraId="29874EF9"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6ED6698" w14:textId="77777777" w:rsidR="00A04528" w:rsidRDefault="00A04528" w:rsidP="00A04528">
      <w:pPr>
        <w:pStyle w:val="corte4fondoCarCarCar"/>
        <w:spacing w:before="240"/>
        <w:ind w:firstLine="708"/>
        <w:rPr>
          <w:rFonts w:cs="Arial"/>
          <w:sz w:val="24"/>
        </w:rPr>
      </w:pPr>
      <w:r>
        <w:rPr>
          <w:rFonts w:cs="Arial"/>
          <w:bCs/>
          <w:sz w:val="24"/>
        </w:rPr>
        <w:t>Ahora bien, la autoridad demandada perdió su derecho de hacer valer excepciones al no contestar la demanda en tiempo, y por otra parte esta Juzgadora no advierte que se actualice alguna causa o motivo que impida entrar al estudio de fondo del presente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 - - - - - - - - - - - - - - </w:t>
      </w:r>
      <w:r w:rsidR="008D37FE">
        <w:rPr>
          <w:rFonts w:cs="Arial"/>
          <w:sz w:val="24"/>
        </w:rPr>
        <w:t>- - - - - - -</w:t>
      </w:r>
    </w:p>
    <w:p w14:paraId="1C85C1A4"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La actora argumenta que no debió desecharse el Recurso de Revocación que interpuso, pues se sustenta en el artículo 76 de la Ley de Catastro para el Estado de Oaxaca, el cual prevé que los propietarios o poseedores de bienes inmuebles ubicados en el territorio del Estado podrán interponer recurso de revocación en contra de los actos de las autoridades catastrales, </w:t>
      </w:r>
      <w:r w:rsidRPr="008C3AC8">
        <w:rPr>
          <w:rFonts w:ascii="Arial" w:hAnsi="Arial" w:cs="Arial"/>
          <w:b/>
          <w:sz w:val="24"/>
          <w:szCs w:val="24"/>
        </w:rPr>
        <w:t>argumento que resulta fundado</w:t>
      </w:r>
      <w:r>
        <w:rPr>
          <w:rFonts w:ascii="Arial" w:hAnsi="Arial" w:cs="Arial"/>
          <w:sz w:val="24"/>
          <w:szCs w:val="24"/>
        </w:rPr>
        <w:t>.</w:t>
      </w:r>
    </w:p>
    <w:p w14:paraId="5262840C"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efecto, de las constancias remitidas por la actora, se advierte que la autoridad demandada sustenta el </w:t>
      </w:r>
      <w:proofErr w:type="spellStart"/>
      <w:r>
        <w:rPr>
          <w:rFonts w:ascii="Arial" w:hAnsi="Arial" w:cs="Arial"/>
          <w:sz w:val="24"/>
          <w:szCs w:val="24"/>
        </w:rPr>
        <w:t>desechamiento</w:t>
      </w:r>
      <w:proofErr w:type="spellEnd"/>
      <w:r>
        <w:rPr>
          <w:rFonts w:ascii="Arial" w:hAnsi="Arial" w:cs="Arial"/>
          <w:sz w:val="24"/>
          <w:szCs w:val="24"/>
        </w:rPr>
        <w:t xml:space="preserve"> del recurso de revocación, argumentando que la Ley de Catastro para el Estado de Oaxaca, no contempla un medio de defensa en contra de la improcedencia de un trámite catastral, ya que los artículos del 76 al 79 de dicha legislación, se refieren a la procedencia del recurso de revocación, cuando la base catastral asignada por las autoridades catastrales, no se haya determinado conforme a los procedimientos y términos establecidos por esa ley y su reglamento; por ello consideró, que atendiendo a la supletoriedad, debe aplicarse el libro primero de la Ley de Justicia Administrativa para el Estado de Oaxaca, y que el recurso que debió interponer la actora es el de Revisión, por lo que consideró el </w:t>
      </w:r>
      <w:proofErr w:type="spellStart"/>
      <w:r>
        <w:rPr>
          <w:rFonts w:ascii="Arial" w:hAnsi="Arial" w:cs="Arial"/>
          <w:sz w:val="24"/>
          <w:szCs w:val="24"/>
        </w:rPr>
        <w:t>desechamiento</w:t>
      </w:r>
      <w:proofErr w:type="spellEnd"/>
      <w:r>
        <w:rPr>
          <w:rFonts w:ascii="Arial" w:hAnsi="Arial" w:cs="Arial"/>
          <w:sz w:val="24"/>
          <w:szCs w:val="24"/>
        </w:rPr>
        <w:t xml:space="preserve"> del Recurso.</w:t>
      </w:r>
    </w:p>
    <w:p w14:paraId="2870A78A"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Ahora bien, esta Juzgadora considera que dicha </w:t>
      </w:r>
      <w:r>
        <w:rPr>
          <w:rFonts w:ascii="Arial" w:hAnsi="Arial" w:cs="Arial"/>
          <w:b/>
          <w:sz w:val="24"/>
          <w:szCs w:val="24"/>
        </w:rPr>
        <w:t>apreciación resulta</w:t>
      </w:r>
      <w:r w:rsidRPr="00E5040C">
        <w:rPr>
          <w:rFonts w:ascii="Arial" w:hAnsi="Arial" w:cs="Arial"/>
          <w:b/>
          <w:sz w:val="24"/>
          <w:szCs w:val="24"/>
        </w:rPr>
        <w:t xml:space="preserve"> errónea</w:t>
      </w:r>
      <w:r>
        <w:rPr>
          <w:rFonts w:ascii="Arial" w:hAnsi="Arial" w:cs="Arial"/>
          <w:sz w:val="24"/>
          <w:szCs w:val="24"/>
        </w:rPr>
        <w:t>, ya que como acertadamente lo refiere la actora, el supuesto de la improcedencia de un trámite catastral, se encuentra inmerso dentro de las hipótesis del Recurso de Revocación que refiere el artículo 76</w:t>
      </w:r>
      <w:r w:rsidRPr="00A06A26">
        <w:rPr>
          <w:rFonts w:ascii="Arial" w:hAnsi="Arial" w:cs="Arial"/>
          <w:sz w:val="24"/>
          <w:szCs w:val="24"/>
        </w:rPr>
        <w:t xml:space="preserve"> </w:t>
      </w:r>
      <w:r>
        <w:rPr>
          <w:rFonts w:ascii="Arial" w:hAnsi="Arial" w:cs="Arial"/>
          <w:sz w:val="24"/>
          <w:szCs w:val="24"/>
        </w:rPr>
        <w:t>de la Ley de Catastro para el Estado de Oaxaca, el cual dispone:</w:t>
      </w:r>
    </w:p>
    <w:p w14:paraId="04D8112F" w14:textId="77777777" w:rsidR="00A04528" w:rsidRPr="00A06A26" w:rsidRDefault="00A04528" w:rsidP="00A04528">
      <w:pPr>
        <w:tabs>
          <w:tab w:val="left" w:pos="284"/>
          <w:tab w:val="left" w:pos="567"/>
        </w:tabs>
        <w:spacing w:before="240" w:after="0" w:line="240" w:lineRule="auto"/>
        <w:jc w:val="both"/>
        <w:rPr>
          <w:rFonts w:ascii="Arial" w:hAnsi="Arial" w:cs="Arial"/>
          <w:i/>
          <w:sz w:val="24"/>
          <w:szCs w:val="24"/>
        </w:rPr>
      </w:pPr>
      <w:r>
        <w:rPr>
          <w:rFonts w:ascii="Arial" w:hAnsi="Arial" w:cs="Arial"/>
          <w:sz w:val="24"/>
          <w:szCs w:val="24"/>
        </w:rPr>
        <w:lastRenderedPageBreak/>
        <w:t>“</w:t>
      </w:r>
      <w:r w:rsidRPr="00A06A26">
        <w:rPr>
          <w:rFonts w:ascii="Arial" w:hAnsi="Arial" w:cs="Arial"/>
          <w:b/>
          <w:i/>
          <w:sz w:val="24"/>
          <w:szCs w:val="24"/>
        </w:rPr>
        <w:t>ARTÍCULO 76.-</w:t>
      </w:r>
      <w:r w:rsidRPr="00A06A26">
        <w:rPr>
          <w:rFonts w:ascii="Arial" w:hAnsi="Arial" w:cs="Arial"/>
          <w:i/>
          <w:sz w:val="24"/>
          <w:szCs w:val="24"/>
        </w:rPr>
        <w:t xml:space="preserve"> Los propietarios o poseedores de bienes inmuebles ubicados en el territorio del Estado, podrán interponer ante el Instituto por sí o por conducto de sus representantes legales </w:t>
      </w:r>
      <w:r w:rsidRPr="00E5040C">
        <w:rPr>
          <w:rFonts w:ascii="Arial" w:hAnsi="Arial" w:cs="Arial"/>
          <w:b/>
          <w:i/>
          <w:sz w:val="24"/>
          <w:szCs w:val="24"/>
        </w:rPr>
        <w:t>el recurso de revocación en contra de los actos de las autoridades catastrales</w:t>
      </w:r>
      <w:r w:rsidRPr="00A06A26">
        <w:rPr>
          <w:rFonts w:ascii="Arial" w:hAnsi="Arial" w:cs="Arial"/>
          <w:i/>
          <w:sz w:val="24"/>
          <w:szCs w:val="24"/>
        </w:rPr>
        <w:t>, en los términos y conforme a los procedimientos previstos en el presente capítulo.”</w:t>
      </w:r>
      <w:r>
        <w:rPr>
          <w:rFonts w:ascii="Arial" w:hAnsi="Arial" w:cs="Arial"/>
          <w:i/>
          <w:sz w:val="24"/>
          <w:szCs w:val="24"/>
        </w:rPr>
        <w:t xml:space="preserve"> </w:t>
      </w:r>
      <w:r w:rsidRPr="00C91804">
        <w:rPr>
          <w:rFonts w:ascii="Arial" w:hAnsi="Arial" w:cs="Arial"/>
          <w:sz w:val="24"/>
          <w:szCs w:val="24"/>
        </w:rPr>
        <w:t>(Lo resaltado no es de origen)</w:t>
      </w:r>
    </w:p>
    <w:p w14:paraId="7017E674" w14:textId="2A18D5BE"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el Recurso de Revocación procede en contra de los actos de las autoridades catastrales, ahora bien, el acto que la actora impugnó ante el Instituto Catastral del Estado de Oaxaca, fue la negativa de asignarle una cuenta catastral, acto proveniente de una autoridad catastral, pues éste fue emitido y firmado por la Encargada de la Unidad Jurídica de ese Instituto, mediante oficio </w:t>
      </w:r>
      <w:r w:rsidR="00AD2F48">
        <w:rPr>
          <w:rFonts w:ascii="Arial" w:hAnsi="Arial" w:cs="Arial"/>
          <w:sz w:val="24"/>
          <w:szCs w:val="24"/>
        </w:rPr>
        <w:t>ICEO/DG/UJ/***/2017</w:t>
      </w:r>
      <w:r>
        <w:rPr>
          <w:rFonts w:ascii="Arial" w:hAnsi="Arial" w:cs="Arial"/>
          <w:sz w:val="24"/>
          <w:szCs w:val="24"/>
        </w:rPr>
        <w:t xml:space="preserve">, supuesto que encuadra perfectamente en el concepto de </w:t>
      </w:r>
      <w:r w:rsidRPr="0094535F">
        <w:rPr>
          <w:rFonts w:ascii="Arial" w:hAnsi="Arial" w:cs="Arial"/>
          <w:b/>
          <w:sz w:val="24"/>
          <w:szCs w:val="24"/>
        </w:rPr>
        <w:t>acto de autoridad</w:t>
      </w:r>
      <w:r>
        <w:rPr>
          <w:rFonts w:ascii="Arial" w:hAnsi="Arial" w:cs="Arial"/>
          <w:b/>
          <w:sz w:val="24"/>
          <w:szCs w:val="24"/>
        </w:rPr>
        <w:t>,</w:t>
      </w:r>
      <w:r>
        <w:rPr>
          <w:rFonts w:ascii="Arial" w:hAnsi="Arial" w:cs="Arial"/>
          <w:sz w:val="24"/>
          <w:szCs w:val="24"/>
        </w:rPr>
        <w:t xml:space="preserve"> definido por el más alto Tribunal del País, como</w:t>
      </w:r>
      <w:r w:rsidRPr="005435BC">
        <w:rPr>
          <w:rFonts w:ascii="Arial" w:hAnsi="Arial" w:cs="Arial"/>
          <w:sz w:val="24"/>
          <w:szCs w:val="24"/>
        </w:rPr>
        <w:t xml:space="preserve"> la actuación o abstención de un órgano</w:t>
      </w:r>
      <w:r>
        <w:rPr>
          <w:rFonts w:ascii="Arial" w:hAnsi="Arial" w:cs="Arial"/>
          <w:sz w:val="24"/>
          <w:szCs w:val="24"/>
        </w:rPr>
        <w:t xml:space="preserve"> </w:t>
      </w:r>
      <w:r w:rsidRPr="005435BC">
        <w:rPr>
          <w:rFonts w:ascii="Arial" w:hAnsi="Arial" w:cs="Arial"/>
          <w:sz w:val="24"/>
          <w:szCs w:val="24"/>
        </w:rPr>
        <w:t>estatal frente al gobernado, en sus relaciones de supra a subordinación, cuyas características</w:t>
      </w:r>
      <w:r>
        <w:rPr>
          <w:rFonts w:ascii="Arial" w:hAnsi="Arial" w:cs="Arial"/>
          <w:sz w:val="24"/>
          <w:szCs w:val="24"/>
        </w:rPr>
        <w:t xml:space="preserve"> </w:t>
      </w:r>
      <w:r w:rsidRPr="005435BC">
        <w:rPr>
          <w:rFonts w:ascii="Arial" w:hAnsi="Arial" w:cs="Arial"/>
          <w:sz w:val="24"/>
          <w:szCs w:val="24"/>
        </w:rPr>
        <w:t>son la unilateralidad</w:t>
      </w:r>
      <w:r>
        <w:rPr>
          <w:rFonts w:ascii="Arial" w:hAnsi="Arial" w:cs="Arial"/>
          <w:sz w:val="24"/>
          <w:szCs w:val="24"/>
        </w:rPr>
        <w:t xml:space="preserve">, imperatividad y coercitividad; es decir que </w:t>
      </w:r>
      <w:r w:rsidRPr="005D3B93">
        <w:rPr>
          <w:rFonts w:ascii="Arial" w:hAnsi="Arial" w:cs="Arial"/>
          <w:sz w:val="24"/>
          <w:szCs w:val="24"/>
        </w:rPr>
        <w:t>el acto</w:t>
      </w:r>
      <w:r>
        <w:rPr>
          <w:rFonts w:ascii="Arial" w:hAnsi="Arial" w:cs="Arial"/>
          <w:sz w:val="24"/>
          <w:szCs w:val="24"/>
        </w:rPr>
        <w:t xml:space="preserve"> de autoridad </w:t>
      </w:r>
      <w:r w:rsidRPr="005D3B93">
        <w:rPr>
          <w:rFonts w:ascii="Arial" w:hAnsi="Arial" w:cs="Arial"/>
          <w:sz w:val="24"/>
          <w:szCs w:val="24"/>
        </w:rPr>
        <w:t>consiste en un hecho voluntario e intencional, positivo (decisión, ejecución o</w:t>
      </w:r>
      <w:r>
        <w:rPr>
          <w:rFonts w:ascii="Arial" w:hAnsi="Arial" w:cs="Arial"/>
          <w:sz w:val="24"/>
          <w:szCs w:val="24"/>
        </w:rPr>
        <w:t xml:space="preserve"> </w:t>
      </w:r>
      <w:r w:rsidRPr="005D3B93">
        <w:rPr>
          <w:rFonts w:ascii="Arial" w:hAnsi="Arial" w:cs="Arial"/>
          <w:sz w:val="24"/>
          <w:szCs w:val="24"/>
        </w:rPr>
        <w:t>ambas) o negativo (abstención u omisión) que implica una afectación de situaciones jurídicas</w:t>
      </w:r>
      <w:r>
        <w:rPr>
          <w:rFonts w:ascii="Arial" w:hAnsi="Arial" w:cs="Arial"/>
          <w:sz w:val="24"/>
          <w:szCs w:val="24"/>
        </w:rPr>
        <w:t xml:space="preserve"> </w:t>
      </w:r>
      <w:r w:rsidRPr="005D3B93">
        <w:rPr>
          <w:rFonts w:ascii="Arial" w:hAnsi="Arial" w:cs="Arial"/>
          <w:sz w:val="24"/>
          <w:szCs w:val="24"/>
        </w:rPr>
        <w:t>abstractas (ley) o que constituye un acto concreto de efectos particulares (acto stricto sensu),</w:t>
      </w:r>
      <w:r>
        <w:rPr>
          <w:rFonts w:ascii="Arial" w:hAnsi="Arial" w:cs="Arial"/>
          <w:sz w:val="24"/>
          <w:szCs w:val="24"/>
        </w:rPr>
        <w:t xml:space="preserve"> </w:t>
      </w:r>
      <w:r w:rsidRPr="005D3B93">
        <w:rPr>
          <w:rFonts w:ascii="Arial" w:hAnsi="Arial" w:cs="Arial"/>
          <w:sz w:val="24"/>
          <w:szCs w:val="24"/>
        </w:rPr>
        <w:t>imputable a un órgano del Estado e impuesto al gobernado de manera imperativa, unilateral y</w:t>
      </w:r>
      <w:r>
        <w:rPr>
          <w:rFonts w:ascii="Arial" w:hAnsi="Arial" w:cs="Arial"/>
          <w:sz w:val="24"/>
          <w:szCs w:val="24"/>
        </w:rPr>
        <w:t xml:space="preserve"> </w:t>
      </w:r>
      <w:r w:rsidRPr="005D3B93">
        <w:rPr>
          <w:rFonts w:ascii="Arial" w:hAnsi="Arial" w:cs="Arial"/>
          <w:sz w:val="24"/>
          <w:szCs w:val="24"/>
        </w:rPr>
        <w:t>coercitiva</w:t>
      </w:r>
      <w:r>
        <w:rPr>
          <w:rFonts w:ascii="Arial" w:hAnsi="Arial" w:cs="Arial"/>
          <w:sz w:val="24"/>
          <w:szCs w:val="24"/>
        </w:rPr>
        <w:t>. Como apoyo a lo anterior, se invocan los criterios sustentados por le Suprema Corte de Justicia de la Nación siguientes:</w:t>
      </w:r>
    </w:p>
    <w:p w14:paraId="5FF0DAB0"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y su gaceta, Tomo XXXIV, Septiembre de 2011, Novena Época, pág. 1089, registro 161133, Jurisprudencia Común, Segunda Sala, y de rubro: “</w:t>
      </w:r>
      <w:r w:rsidRPr="00831CD2">
        <w:rPr>
          <w:rFonts w:ascii="Arial" w:hAnsi="Arial" w:cs="Arial"/>
          <w:i/>
          <w:sz w:val="24"/>
          <w:szCs w:val="24"/>
        </w:rPr>
        <w:t>AUTORIDAD PARA LOS EFECTOS DEL JUICIO DE AMPARO. NOTAS DISTINTIVAS.”</w:t>
      </w:r>
      <w:r>
        <w:rPr>
          <w:rFonts w:ascii="Arial" w:hAnsi="Arial" w:cs="Arial"/>
          <w:i/>
          <w:sz w:val="24"/>
          <w:szCs w:val="24"/>
        </w:rPr>
        <w:t>;</w:t>
      </w:r>
    </w:p>
    <w:p w14:paraId="3602772B"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Apéndice de 1988, Parte II, Quinta Época, pág. 519, registro 820169, Jurisprudencia, Cuarta Sala, y de rubro: “</w:t>
      </w:r>
      <w:r w:rsidRPr="008D0011">
        <w:rPr>
          <w:rFonts w:ascii="Arial" w:hAnsi="Arial" w:cs="Arial"/>
          <w:i/>
          <w:sz w:val="24"/>
          <w:szCs w:val="24"/>
        </w:rPr>
        <w:t>AUTORIDADES PARA EFECTOS DEL JUICIO DE AMPARO</w:t>
      </w:r>
      <w:r>
        <w:rPr>
          <w:rFonts w:ascii="Arial" w:hAnsi="Arial" w:cs="Arial"/>
          <w:sz w:val="24"/>
          <w:szCs w:val="24"/>
        </w:rPr>
        <w:t>.”;</w:t>
      </w:r>
    </w:p>
    <w:p w14:paraId="17A26F4F"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Tomo XIV, julio de 1994, Octava Época, pág. 390, registro 211002, tesis asilada común, Tribunales Colegiados de Circuito, y de rubro. “</w:t>
      </w:r>
      <w:r w:rsidRPr="008D0011">
        <w:rPr>
          <w:rFonts w:ascii="Arial" w:hAnsi="Arial" w:cs="Arial"/>
          <w:i/>
          <w:sz w:val="24"/>
          <w:szCs w:val="24"/>
        </w:rPr>
        <w:t>ACTO RECLAMADO. CONCEPTO DE</w:t>
      </w:r>
      <w:r>
        <w:rPr>
          <w:rFonts w:ascii="Arial" w:hAnsi="Arial" w:cs="Arial"/>
          <w:sz w:val="24"/>
          <w:szCs w:val="24"/>
        </w:rPr>
        <w:t>.”; y,</w:t>
      </w:r>
    </w:p>
    <w:p w14:paraId="4D94F680"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Semanario Judicial de la Federación y su Gaceta, Tomo XXI, Febrero de 2005, Novena Época, pág. 1620, registro 179407, tesis asilada común, </w:t>
      </w:r>
      <w:r>
        <w:rPr>
          <w:rFonts w:ascii="Arial" w:hAnsi="Arial" w:cs="Arial"/>
          <w:sz w:val="24"/>
          <w:szCs w:val="24"/>
        </w:rPr>
        <w:lastRenderedPageBreak/>
        <w:t>Tribunales Colegiados de Circuito, y de rubro: “</w:t>
      </w:r>
      <w:r w:rsidRPr="005603A1">
        <w:rPr>
          <w:rFonts w:ascii="Arial" w:hAnsi="Arial" w:cs="Arial"/>
          <w:i/>
          <w:sz w:val="24"/>
          <w:szCs w:val="24"/>
        </w:rPr>
        <w:t xml:space="preserve">ACTO DE </w:t>
      </w:r>
      <w:r w:rsidRPr="00A554C7">
        <w:rPr>
          <w:rFonts w:ascii="Arial" w:hAnsi="Arial" w:cs="Arial"/>
          <w:i/>
          <w:sz w:val="24"/>
          <w:szCs w:val="24"/>
        </w:rPr>
        <w:t>AUTORIDAD. ES REQUISITO INDISPENSABLE PARA LA PROCEDENCIA DEL JUICIO DE AMPARO ESTABLECER SI LA ACCIÓN U OMISIÓN DEL ÓRGANO DEL</w:t>
      </w:r>
      <w:r w:rsidRPr="005603A1">
        <w:rPr>
          <w:rFonts w:ascii="Arial" w:hAnsi="Arial" w:cs="Arial"/>
          <w:i/>
          <w:sz w:val="24"/>
          <w:szCs w:val="24"/>
        </w:rPr>
        <w:t xml:space="preserve"> ESTADO REVISTE ESA NATURALEZA</w:t>
      </w:r>
      <w:r w:rsidRPr="005603A1">
        <w:rPr>
          <w:rFonts w:ascii="Arial" w:hAnsi="Arial" w:cs="Arial"/>
          <w:sz w:val="24"/>
          <w:szCs w:val="24"/>
        </w:rPr>
        <w:t>.</w:t>
      </w:r>
      <w:r>
        <w:rPr>
          <w:rFonts w:ascii="Arial" w:hAnsi="Arial" w:cs="Arial"/>
          <w:sz w:val="24"/>
          <w:szCs w:val="24"/>
        </w:rPr>
        <w:t>”</w:t>
      </w:r>
    </w:p>
    <w:p w14:paraId="66C16D4E"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pasa desapercibido para esta Juzgadora, que efectivamente el artículo 77 de la Ley de Catastro multicitada, dispone la procedencia del recurso de revocación, </w:t>
      </w:r>
      <w:r w:rsidRPr="00945779">
        <w:rPr>
          <w:rFonts w:ascii="Arial" w:hAnsi="Arial" w:cs="Arial"/>
          <w:sz w:val="24"/>
          <w:szCs w:val="24"/>
        </w:rPr>
        <w:t xml:space="preserve">cuando la base catastral asignada por las autoridades catastrales, no se haya determinado conforme a los procedimientos y términos establecidos por </w:t>
      </w:r>
      <w:r>
        <w:rPr>
          <w:rFonts w:ascii="Arial" w:hAnsi="Arial" w:cs="Arial"/>
          <w:sz w:val="24"/>
          <w:szCs w:val="24"/>
        </w:rPr>
        <w:t xml:space="preserve">la presente Ley y su Reglamento, empero, supuesto diverso del establecido en el artículo 76, por lo que dicho recurso se encuentra dispuesto para varias hipótesis, sin que ello implique limitar ese medio de defensa solo al contenido del artículo 77 referido. </w:t>
      </w:r>
    </w:p>
    <w:p w14:paraId="258B3D40"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se advierte que el Jefe de la Unidad Jurídica refirió, que la Ley que debe aplicarse de manera supletoria a la Ley de Catastro para el Estado de Oaxaca, es la Ley de Justicia Administrativa para el Estado de Oaxaca, empero, de conformidad con el artículo 5 segundo párrafo, de la Ley de Catastro referida, se constata que es el Código Fiscal del Estado, el Código Civil y el de Procedimiento Civiles, las leyes supletorias de dicha normatividad, al prescribir: </w:t>
      </w:r>
    </w:p>
    <w:p w14:paraId="69B99A03" w14:textId="77777777" w:rsidR="00A04528" w:rsidRPr="00570DE4" w:rsidRDefault="00A04528" w:rsidP="00A04528">
      <w:pPr>
        <w:tabs>
          <w:tab w:val="left" w:pos="284"/>
          <w:tab w:val="left" w:pos="567"/>
        </w:tabs>
        <w:spacing w:after="0" w:line="240" w:lineRule="auto"/>
        <w:jc w:val="both"/>
        <w:rPr>
          <w:rFonts w:ascii="Arial" w:hAnsi="Arial" w:cs="Arial"/>
          <w:i/>
          <w:sz w:val="24"/>
          <w:szCs w:val="24"/>
        </w:rPr>
      </w:pPr>
      <w:r w:rsidRPr="00570DE4">
        <w:rPr>
          <w:rFonts w:ascii="Arial" w:hAnsi="Arial" w:cs="Arial"/>
          <w:i/>
          <w:sz w:val="24"/>
          <w:szCs w:val="24"/>
        </w:rPr>
        <w:t>“</w:t>
      </w:r>
      <w:r w:rsidRPr="00570DE4">
        <w:rPr>
          <w:rFonts w:ascii="Arial" w:hAnsi="Arial" w:cs="Arial"/>
          <w:b/>
          <w:i/>
          <w:sz w:val="24"/>
          <w:szCs w:val="24"/>
        </w:rPr>
        <w:t>ARTÍCULO 5.-</w:t>
      </w:r>
      <w:r w:rsidRPr="00570DE4">
        <w:rPr>
          <w:rFonts w:ascii="Arial" w:hAnsi="Arial" w:cs="Arial"/>
          <w:i/>
          <w:sz w:val="24"/>
          <w:szCs w:val="24"/>
        </w:rPr>
        <w:t xml:space="preserve"> Los actos y resoluciones en materia de catastro serán tramitados en la forma, términos y procedimientos establecidos en la presente Ley, su Reglamento y en los Instructivos Técnicos Catastrales.</w:t>
      </w:r>
    </w:p>
    <w:p w14:paraId="10565629" w14:textId="77777777" w:rsidR="00A04528" w:rsidRDefault="00A04528" w:rsidP="00A04528">
      <w:pPr>
        <w:tabs>
          <w:tab w:val="left" w:pos="284"/>
          <w:tab w:val="left" w:pos="567"/>
        </w:tabs>
        <w:spacing w:after="0" w:line="240" w:lineRule="auto"/>
        <w:jc w:val="both"/>
        <w:rPr>
          <w:rFonts w:ascii="Arial" w:hAnsi="Arial" w:cs="Arial"/>
          <w:sz w:val="24"/>
          <w:szCs w:val="24"/>
        </w:rPr>
      </w:pPr>
      <w:r w:rsidRPr="00570DE4">
        <w:rPr>
          <w:rFonts w:ascii="Arial" w:hAnsi="Arial" w:cs="Arial"/>
          <w:b/>
          <w:i/>
          <w:sz w:val="24"/>
          <w:szCs w:val="24"/>
        </w:rPr>
        <w:t>A falta de disposición expresa, se consideran como normas supletorias las disposiciones contenidas en el Código Fiscal del Estado, las del Código Civil y las de sus procedimientos</w:t>
      </w:r>
      <w:r w:rsidRPr="00570DE4">
        <w:rPr>
          <w:rFonts w:ascii="Arial" w:hAnsi="Arial" w:cs="Arial"/>
          <w:sz w:val="24"/>
          <w:szCs w:val="24"/>
        </w:rPr>
        <w:t>.</w:t>
      </w:r>
      <w:r>
        <w:rPr>
          <w:rFonts w:ascii="Arial" w:hAnsi="Arial" w:cs="Arial"/>
          <w:sz w:val="24"/>
          <w:szCs w:val="24"/>
        </w:rPr>
        <w:t>” (Lo resaltado no es de origen)</w:t>
      </w:r>
    </w:p>
    <w:p w14:paraId="5B341A0A"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Luego entonces, la ley de catastro referida es precisa al determinar cuáles son las leyes supletorias que deben aplicarse ante la falta de disposición expresa, por lo que no se acredita la necesidad de acudir a la supletoriedad, pues como se dijo, la propia ley de catastro dispone que es el RECURSO DE REVOCACIÓN el procedente contra actos de autoridades catastrales, dentro de los cuales se encuentra el supuesto de la improcedencia de un trámite catastral, razones por las que se considera que la autoridad demandada incurrió en la ilegalidad al desechar el recurso interpuesto por la actora.</w:t>
      </w:r>
    </w:p>
    <w:p w14:paraId="78D7E5D8" w14:textId="47CDCEAD"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ante la ilegalidad detectada, lo procedente es declarar, como en efecto se declara, la </w:t>
      </w:r>
      <w:r w:rsidRPr="00E64152">
        <w:rPr>
          <w:rFonts w:ascii="Arial" w:hAnsi="Arial" w:cs="Arial"/>
          <w:b/>
          <w:sz w:val="24"/>
          <w:szCs w:val="24"/>
        </w:rPr>
        <w:t>NULIDAD</w:t>
      </w:r>
      <w:r>
        <w:rPr>
          <w:rFonts w:ascii="Arial" w:hAnsi="Arial" w:cs="Arial"/>
          <w:sz w:val="24"/>
          <w:szCs w:val="24"/>
        </w:rPr>
        <w:t xml:space="preserve"> del acuerdo dictado con fecha </w:t>
      </w:r>
      <w:r w:rsidR="00AD2F48">
        <w:rPr>
          <w:rFonts w:ascii="Arial" w:hAnsi="Arial" w:cs="Arial"/>
          <w:sz w:val="24"/>
          <w:szCs w:val="24"/>
        </w:rPr>
        <w:t>***** de *****</w:t>
      </w:r>
      <w:r>
        <w:rPr>
          <w:rFonts w:ascii="Arial" w:hAnsi="Arial" w:cs="Arial"/>
          <w:sz w:val="24"/>
          <w:szCs w:val="24"/>
        </w:rPr>
        <w:t xml:space="preserve">de dos mil diecisiete </w:t>
      </w:r>
      <w:r w:rsidR="00AD2F48">
        <w:rPr>
          <w:rFonts w:ascii="Arial" w:hAnsi="Arial" w:cs="Arial"/>
          <w:sz w:val="24"/>
          <w:szCs w:val="24"/>
        </w:rPr>
        <w:t>(**/**/2017)</w:t>
      </w:r>
      <w:r>
        <w:rPr>
          <w:rFonts w:ascii="Arial" w:hAnsi="Arial" w:cs="Arial"/>
          <w:sz w:val="24"/>
          <w:szCs w:val="24"/>
        </w:rPr>
        <w:t xml:space="preserve"> por el Jefe de la Unidad Jurídica del Instituto Catastral del Estado de Oaxaca, en el Recurso de Revocación </w:t>
      </w:r>
      <w:r w:rsidR="00AD2F48">
        <w:rPr>
          <w:rFonts w:ascii="Arial" w:hAnsi="Arial" w:cs="Arial"/>
          <w:sz w:val="24"/>
          <w:szCs w:val="24"/>
        </w:rPr>
        <w:t>**/2017</w:t>
      </w:r>
      <w:r>
        <w:rPr>
          <w:rFonts w:ascii="Arial" w:hAnsi="Arial" w:cs="Arial"/>
          <w:sz w:val="24"/>
          <w:szCs w:val="24"/>
        </w:rPr>
        <w:t xml:space="preserve">, para el </w:t>
      </w:r>
      <w:r w:rsidRPr="00E64152">
        <w:rPr>
          <w:rFonts w:ascii="Arial" w:hAnsi="Arial" w:cs="Arial"/>
          <w:b/>
          <w:sz w:val="24"/>
          <w:szCs w:val="24"/>
        </w:rPr>
        <w:t>EFECTO</w:t>
      </w:r>
      <w:r>
        <w:rPr>
          <w:rFonts w:ascii="Arial" w:hAnsi="Arial" w:cs="Arial"/>
          <w:sz w:val="24"/>
          <w:szCs w:val="24"/>
        </w:rPr>
        <w:t xml:space="preserve"> de que dicha autoridad dicte otro, en el </w:t>
      </w:r>
      <w:r>
        <w:rPr>
          <w:rFonts w:ascii="Arial" w:hAnsi="Arial" w:cs="Arial"/>
          <w:sz w:val="24"/>
          <w:szCs w:val="24"/>
        </w:rPr>
        <w:lastRenderedPageBreak/>
        <w:t>que con plenitud de jurisdicción, atienda el medio de defensa interpuesto por la actora, lo anterior de conformidad con lo dispuesto en los artículos 208 fracción IV, y 209 de la Ley de Procedimiento y Justicia Administrativa para el Estado de Oaxaca.</w:t>
      </w:r>
    </w:p>
    <w:p w14:paraId="0D99851C" w14:textId="77777777" w:rsidR="00A04528" w:rsidRDefault="00A04528" w:rsidP="00A0452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Por lo expuesto y fundado y con apoyo además en los artículos 207, 208 y 209 todos de la Ley de Procedimiento y Justicia Administrativa para el Estado de Oaxaca, se: - - - - - - - - - - - - - - - - - - - - - - - - - - - - - - - - - - - - </w:t>
      </w:r>
      <w:r w:rsidR="00830961">
        <w:rPr>
          <w:rFonts w:ascii="Arial" w:hAnsi="Arial" w:cs="Arial"/>
          <w:sz w:val="24"/>
          <w:szCs w:val="24"/>
        </w:rPr>
        <w:t xml:space="preserve">- - - </w:t>
      </w:r>
    </w:p>
    <w:p w14:paraId="55943D8A" w14:textId="77777777" w:rsidR="00A04528" w:rsidRDefault="00A04528" w:rsidP="00A0452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309C414"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F42FDC">
        <w:rPr>
          <w:rFonts w:ascii="Arial" w:hAnsi="Arial" w:cs="Arial"/>
          <w:sz w:val="24"/>
          <w:szCs w:val="24"/>
        </w:rPr>
        <w:t xml:space="preserve">- </w:t>
      </w:r>
    </w:p>
    <w:p w14:paraId="18B41127" w14:textId="77777777" w:rsidR="00A04528" w:rsidRDefault="00A04528" w:rsidP="00A0452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0219F2">
        <w:rPr>
          <w:rFonts w:ascii="Arial" w:hAnsi="Arial" w:cs="Arial"/>
          <w:sz w:val="24"/>
          <w:szCs w:val="24"/>
        </w:rPr>
        <w:t>- - - - - - - - -</w:t>
      </w:r>
    </w:p>
    <w:p w14:paraId="4F02CF7F" w14:textId="23A0DAC5" w:rsidR="00A04528" w:rsidRDefault="00A04528" w:rsidP="00A0452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B74CB2">
        <w:rPr>
          <w:rFonts w:ascii="Arial" w:hAnsi="Arial" w:cs="Arial"/>
          <w:sz w:val="24"/>
          <w:szCs w:val="24"/>
        </w:rPr>
        <w:t xml:space="preserve"> </w:t>
      </w:r>
      <w:r>
        <w:rPr>
          <w:rFonts w:ascii="Arial" w:hAnsi="Arial" w:cs="Arial"/>
          <w:sz w:val="24"/>
          <w:szCs w:val="24"/>
        </w:rPr>
        <w:t xml:space="preserve">del acuerdo dictado con fecha </w:t>
      </w:r>
      <w:r w:rsidR="00AD2F48">
        <w:rPr>
          <w:rFonts w:ascii="Arial" w:hAnsi="Arial" w:cs="Arial"/>
          <w:sz w:val="24"/>
          <w:szCs w:val="24"/>
        </w:rPr>
        <w:t>***** de *****</w:t>
      </w:r>
      <w:r>
        <w:rPr>
          <w:rFonts w:ascii="Arial" w:hAnsi="Arial" w:cs="Arial"/>
          <w:sz w:val="24"/>
          <w:szCs w:val="24"/>
        </w:rPr>
        <w:t xml:space="preserve">de dos mil diecisiete </w:t>
      </w:r>
      <w:r w:rsidR="00AD2F48">
        <w:rPr>
          <w:rFonts w:ascii="Arial" w:hAnsi="Arial" w:cs="Arial"/>
          <w:sz w:val="24"/>
          <w:szCs w:val="24"/>
        </w:rPr>
        <w:t>(**/**/2017)</w:t>
      </w:r>
      <w:r>
        <w:rPr>
          <w:rFonts w:ascii="Arial" w:hAnsi="Arial" w:cs="Arial"/>
          <w:sz w:val="24"/>
          <w:szCs w:val="24"/>
        </w:rPr>
        <w:t xml:space="preserve"> por el Jefe de la Unidad Jurídica del Instituto Catastral del Estado de Oaxaca, en el Recurso de Revocación </w:t>
      </w:r>
      <w:r w:rsidR="00AD2F48">
        <w:rPr>
          <w:rFonts w:ascii="Arial" w:hAnsi="Arial" w:cs="Arial"/>
          <w:sz w:val="24"/>
          <w:szCs w:val="24"/>
        </w:rPr>
        <w:t>**/2017</w:t>
      </w:r>
      <w:r>
        <w:rPr>
          <w:rFonts w:ascii="Arial" w:hAnsi="Arial" w:cs="Arial"/>
          <w:sz w:val="24"/>
          <w:szCs w:val="24"/>
        </w:rPr>
        <w:t xml:space="preserve">, para el </w:t>
      </w:r>
      <w:r w:rsidRPr="00E64152">
        <w:rPr>
          <w:rFonts w:ascii="Arial" w:hAnsi="Arial" w:cs="Arial"/>
          <w:b/>
          <w:sz w:val="24"/>
          <w:szCs w:val="24"/>
        </w:rPr>
        <w:t>EFECTO</w:t>
      </w:r>
      <w:r>
        <w:rPr>
          <w:rFonts w:ascii="Arial" w:hAnsi="Arial" w:cs="Arial"/>
          <w:sz w:val="24"/>
          <w:szCs w:val="24"/>
        </w:rPr>
        <w:t xml:space="preserve"> de que dicha autoridad dicte otro, en el que con plenitud de jurisdicción, atienda el medio de defensa interpuesto por la actora; lo anterior en términos precisados en el considerando SEXTO de esta resolución. - - - - - - - - - - - - - - - - - - - - - - - - - </w:t>
      </w:r>
      <w:r w:rsidR="000149E3">
        <w:rPr>
          <w:rFonts w:ascii="Arial" w:hAnsi="Arial" w:cs="Arial"/>
          <w:sz w:val="24"/>
          <w:szCs w:val="24"/>
        </w:rPr>
        <w:t xml:space="preserve">- </w:t>
      </w:r>
      <w:r w:rsidR="006A250A">
        <w:rPr>
          <w:rFonts w:ascii="Arial" w:hAnsi="Arial" w:cs="Arial"/>
          <w:sz w:val="24"/>
          <w:szCs w:val="24"/>
        </w:rPr>
        <w:t xml:space="preserve">- - - - - - - - - - - - - - - - - - </w:t>
      </w:r>
    </w:p>
    <w:p w14:paraId="39DF1C2B" w14:textId="77777777" w:rsidR="00A04528" w:rsidRDefault="00A04528" w:rsidP="00A04528">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F488014" w14:textId="77777777" w:rsidR="00A04528" w:rsidRPr="00746184" w:rsidRDefault="00A04528" w:rsidP="00A045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665059">
        <w:rPr>
          <w:rFonts w:ascii="Arial" w:hAnsi="Arial" w:cs="Arial"/>
          <w:sz w:val="24"/>
          <w:szCs w:val="24"/>
        </w:rPr>
        <w:t xml:space="preserve">- - - - - - - - - - - </w:t>
      </w:r>
    </w:p>
    <w:p w14:paraId="5B664CAA" w14:textId="77777777" w:rsidR="004F578C" w:rsidRPr="00A04528" w:rsidRDefault="004F578C" w:rsidP="00A04528"/>
    <w:sectPr w:rsidR="004F578C" w:rsidRPr="00A04528" w:rsidSect="00AD2F48">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D4E6D" w14:textId="77777777" w:rsidR="003F67A3" w:rsidRDefault="003F67A3" w:rsidP="00D833EF">
      <w:pPr>
        <w:spacing w:after="0" w:line="240" w:lineRule="auto"/>
      </w:pPr>
      <w:r>
        <w:separator/>
      </w:r>
    </w:p>
  </w:endnote>
  <w:endnote w:type="continuationSeparator" w:id="0">
    <w:p w14:paraId="29CB87C2" w14:textId="77777777" w:rsidR="003F67A3" w:rsidRDefault="003F67A3"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20002A87"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3C85E2F3" w14:textId="77777777" w:rsidR="00743773" w:rsidRPr="007D2760" w:rsidRDefault="006A250A"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w14:anchorId="1C7970B2">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200CAB8A"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63ADE" w:rsidRPr="00163ADE">
                      <w:rPr>
                        <w:noProof/>
                        <w:color w:val="000000" w:themeColor="text1"/>
                        <w:lang w:val="es-ES"/>
                      </w:rPr>
                      <w:t>7</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807F2" w14:textId="77777777" w:rsidR="003F67A3" w:rsidRDefault="003F67A3" w:rsidP="00D833EF">
      <w:pPr>
        <w:spacing w:after="0" w:line="240" w:lineRule="auto"/>
      </w:pPr>
      <w:r>
        <w:separator/>
      </w:r>
    </w:p>
  </w:footnote>
  <w:footnote w:type="continuationSeparator" w:id="0">
    <w:p w14:paraId="268F0F8C" w14:textId="77777777" w:rsidR="003F67A3" w:rsidRDefault="003F67A3"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70818" w14:textId="1D237D49" w:rsidR="00743773" w:rsidRDefault="00AD2F48">
    <w:pPr>
      <w:pStyle w:val="Encabezado"/>
    </w:pPr>
    <w:r>
      <w:rPr>
        <w:rFonts w:ascii="Times New Roman" w:hAnsi="Times New Roman" w:cs="Times New Roman"/>
        <w:noProof/>
        <w:sz w:val="24"/>
        <w:szCs w:val="24"/>
        <w:lang w:eastAsia="es-MX"/>
      </w:rPr>
      <w:pict w14:anchorId="758A2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23032" o:spid="_x0000_s2073" type="#_x0000_t75" style="position:absolute;margin-left:0;margin-top:0;width:413.5pt;height:360.7pt;z-index:-251641344;mso-position-horizontal:center;mso-position-horizontal-relative:margin;mso-position-vertical:center;mso-position-vertical-relative:margin" o:allowincell="f">
          <v:imagedata r:id="rId1" o:title="LOGO" gain="19661f" blacklevel="22938f"/>
        </v:shape>
      </w:pict>
    </w:r>
    <w:r>
      <w:rPr>
        <w:rFonts w:ascii="Times New Roman" w:hAnsi="Times New Roman" w:cs="Times New Roman"/>
        <w:sz w:val="24"/>
        <w:szCs w:val="24"/>
        <w:lang w:eastAsia="es-MX"/>
      </w:rPr>
      <w:pict w14:anchorId="6BF19CF7">
        <v:shapetype id="_x0000_t202" coordsize="21600,21600" o:spt="202" path="m,l,21600r21600,l21600,xe">
          <v:stroke joinstyle="miter"/>
          <v:path gradientshapeok="t" o:connecttype="rect"/>
        </v:shapetype>
        <v:shape id="_x0000_s2071" type="#_x0000_t202" style="position:absolute;margin-left:429.9pt;margin-top:406.4pt;width:89.55pt;height:102.7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">
          <v:textbox>
            <w:txbxContent>
              <w:p w14:paraId="2F1F9782" w14:textId="77777777" w:rsidR="00AD2F48" w:rsidRDefault="00AD2F48" w:rsidP="00AD2F48">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7BEC4" w14:textId="498A3D51" w:rsidR="00071C38" w:rsidRDefault="006A250A" w:rsidP="00171F13">
    <w:pPr>
      <w:pStyle w:val="Encabezado"/>
      <w:jc w:val="right"/>
      <w:rPr>
        <w:rFonts w:ascii="Bookman Old Style" w:hAnsi="Bookman Old Style"/>
        <w:b/>
        <w:sz w:val="24"/>
        <w:szCs w:val="24"/>
      </w:rPr>
    </w:pPr>
    <w:r>
      <w:rPr>
        <w:rFonts w:ascii="Bookman Old Style" w:hAnsi="Bookman Old Style"/>
        <w:noProof/>
        <w:lang w:eastAsia="es-MX"/>
      </w:rPr>
      <w:pict w14:anchorId="3C5EFBEF">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14:paraId="68018286" w14:textId="77777777" w:rsidR="009F5E77" w:rsidRDefault="009F5E77" w:rsidP="009F5E77">
                <w:r>
                  <w:rPr>
                    <w:noProof/>
                    <w:lang w:eastAsia="es-MX"/>
                  </w:rPr>
                  <w:drawing>
                    <wp:inline distT="0" distB="0" distL="0" distR="0" wp14:anchorId="0464FB76" wp14:editId="310FA38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04528">
      <w:rPr>
        <w:rFonts w:ascii="Bookman Old Style" w:hAnsi="Bookman Old Style"/>
        <w:b/>
      </w:rPr>
      <w:t>016</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C3780">
      <w:rPr>
        <w:rFonts w:ascii="Bookman Old Style" w:hAnsi="Bookman Old Style"/>
        <w:b/>
        <w:sz w:val="24"/>
        <w:szCs w:val="24"/>
      </w:rPr>
      <w:t>8</w:t>
    </w:r>
  </w:p>
  <w:p w14:paraId="2CEE6F39" w14:textId="6CA3CD47" w:rsidR="00743773" w:rsidRPr="00071C38" w:rsidRDefault="00AD2F48" w:rsidP="00C35811">
    <w:pPr>
      <w:pStyle w:val="Encabezado"/>
      <w:jc w:val="center"/>
      <w:rPr>
        <w:rFonts w:ascii="Arial" w:hAnsi="Arial" w:cs="Arial"/>
        <w:b/>
        <w:sz w:val="24"/>
      </w:rPr>
    </w:pPr>
    <w:r>
      <w:rPr>
        <w:rFonts w:ascii="Times New Roman" w:hAnsi="Times New Roman" w:cs="Times New Roman"/>
        <w:sz w:val="24"/>
        <w:szCs w:val="24"/>
        <w:lang w:eastAsia="es-MX"/>
      </w:rPr>
      <w:pict w14:anchorId="4E327860">
        <v:shape id="Cuadro de texto 4" o:spid="_x0000_s2070" type="#_x0000_t202" style="position:absolute;left:0;text-align:left;margin-left:-101.1pt;margin-top:378.8pt;width:89.55pt;height:102.7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">
          <v:textbox>
            <w:txbxContent>
              <w:p w14:paraId="0140CBCD" w14:textId="77777777" w:rsidR="00AD2F48" w:rsidRDefault="00AD2F48" w:rsidP="00AD2F48">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22F3DA1D" wp14:editId="00035FA8">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8C659" w14:textId="1BFDFB18" w:rsidR="00743773" w:rsidRDefault="00AD2F48">
    <w:pPr>
      <w:pStyle w:val="Encabezado"/>
    </w:pPr>
    <w:r>
      <w:rPr>
        <w:noProof/>
      </w:rPr>
      <w:pict w14:anchorId="79967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23031" o:spid="_x0000_s2072" type="#_x0000_t75" style="position:absolute;margin-left:0;margin-top:0;width:413.5pt;height:360.7pt;z-index:-251642368;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3ADE"/>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21C"/>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250A"/>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5D05"/>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2F48"/>
    <w:rsid w:val="00AD3B15"/>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2EDA2666"/>
  <w15:docId w15:val="{C4903FBD-5A49-486C-8796-302ACCC76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7CA9A-9F26-47B3-B455-57084E370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3922</TotalTime>
  <Pages>7</Pages>
  <Words>2616</Words>
  <Characters>14394</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934</cp:revision>
  <cp:lastPrinted>2019-02-26T16:52:00Z</cp:lastPrinted>
  <dcterms:created xsi:type="dcterms:W3CDTF">2016-06-06T18:19:00Z</dcterms:created>
  <dcterms:modified xsi:type="dcterms:W3CDTF">2020-08-04T15:49:00Z</dcterms:modified>
</cp:coreProperties>
</file>