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B9632" w14:textId="77777777" w:rsidR="007E36E2" w:rsidRPr="007E36E2" w:rsidRDefault="007E36E2" w:rsidP="00C2561D">
      <w:pPr>
        <w:jc w:val="both"/>
        <w:rPr>
          <w:rFonts w:ascii="Arial" w:hAnsi="Arial" w:cs="Arial"/>
          <w:b/>
          <w:sz w:val="26"/>
          <w:szCs w:val="26"/>
        </w:rPr>
      </w:pPr>
      <w:bookmarkStart w:id="0" w:name="_GoBack"/>
      <w:bookmarkEnd w:id="0"/>
    </w:p>
    <w:p w14:paraId="466DF480" w14:textId="77777777" w:rsidR="007E36E2" w:rsidRPr="007E36E2" w:rsidRDefault="007E36E2" w:rsidP="007E36E2">
      <w:pPr>
        <w:ind w:left="2835" w:firstLine="3"/>
        <w:jc w:val="both"/>
        <w:rPr>
          <w:rFonts w:ascii="Arial" w:hAnsi="Arial" w:cs="Arial"/>
          <w:b/>
          <w:sz w:val="26"/>
          <w:szCs w:val="26"/>
        </w:rPr>
      </w:pPr>
      <w:r w:rsidRPr="007E36E2">
        <w:rPr>
          <w:rFonts w:ascii="Arial" w:hAnsi="Arial" w:cs="Arial"/>
          <w:b/>
          <w:sz w:val="26"/>
          <w:szCs w:val="26"/>
        </w:rPr>
        <w:t>SALA SUPERIOR DEL TRIBUNAL DE JUSTICIA ADMINISTRATIVA DEL ESTADO DE OAXACA.</w:t>
      </w:r>
    </w:p>
    <w:p w14:paraId="0349A18E" w14:textId="77777777" w:rsidR="007E36E2" w:rsidRPr="007E36E2" w:rsidRDefault="007E36E2" w:rsidP="007E36E2">
      <w:pPr>
        <w:ind w:left="2835"/>
        <w:jc w:val="both"/>
        <w:rPr>
          <w:rFonts w:ascii="Arial" w:hAnsi="Arial" w:cs="Arial"/>
          <w:b/>
          <w:sz w:val="26"/>
          <w:szCs w:val="26"/>
        </w:rPr>
      </w:pPr>
      <w:r w:rsidRPr="007E36E2">
        <w:rPr>
          <w:rFonts w:ascii="Arial" w:hAnsi="Arial" w:cs="Arial"/>
          <w:b/>
          <w:sz w:val="26"/>
          <w:szCs w:val="26"/>
        </w:rPr>
        <w:t>RECURSO DE REVISIÓN:</w:t>
      </w:r>
      <w:r w:rsidRPr="007E36E2">
        <w:rPr>
          <w:rFonts w:ascii="Arial" w:hAnsi="Arial" w:cs="Arial"/>
          <w:b/>
          <w:sz w:val="26"/>
          <w:szCs w:val="26"/>
        </w:rPr>
        <w:tab/>
        <w:t>0018/2022.</w:t>
      </w:r>
    </w:p>
    <w:p w14:paraId="3AC769E7" w14:textId="77777777" w:rsidR="007E36E2" w:rsidRPr="007E36E2" w:rsidRDefault="007E36E2" w:rsidP="007E36E2">
      <w:pPr>
        <w:ind w:left="2835"/>
        <w:jc w:val="both"/>
        <w:rPr>
          <w:rFonts w:ascii="Arial" w:hAnsi="Arial" w:cs="Arial"/>
          <w:b/>
          <w:sz w:val="26"/>
          <w:szCs w:val="26"/>
        </w:rPr>
      </w:pPr>
      <w:r w:rsidRPr="007E36E2">
        <w:rPr>
          <w:rFonts w:ascii="Arial" w:hAnsi="Arial" w:cs="Arial"/>
          <w:b/>
          <w:sz w:val="26"/>
          <w:szCs w:val="26"/>
        </w:rPr>
        <w:t>EXPEDIENTE:</w:t>
      </w:r>
      <w:r w:rsidRPr="007E36E2">
        <w:rPr>
          <w:rFonts w:ascii="Arial" w:hAnsi="Arial" w:cs="Arial"/>
          <w:b/>
          <w:sz w:val="26"/>
          <w:szCs w:val="26"/>
        </w:rPr>
        <w:tab/>
        <w:t>0146/2019 DE LA QUINTA SALA UNITARIA DE PRIMERA INSTANCIA.</w:t>
      </w:r>
    </w:p>
    <w:p w14:paraId="0F3687EF" w14:textId="77777777" w:rsidR="007E36E2" w:rsidRPr="007E36E2" w:rsidRDefault="007E36E2" w:rsidP="007E36E2">
      <w:pPr>
        <w:ind w:left="2835"/>
        <w:jc w:val="both"/>
        <w:rPr>
          <w:rFonts w:ascii="Arial" w:hAnsi="Arial" w:cs="Arial"/>
          <w:b/>
          <w:sz w:val="26"/>
          <w:szCs w:val="26"/>
        </w:rPr>
      </w:pPr>
      <w:r w:rsidRPr="007E36E2">
        <w:rPr>
          <w:rFonts w:ascii="Arial" w:hAnsi="Arial" w:cs="Arial"/>
          <w:b/>
          <w:sz w:val="26"/>
          <w:szCs w:val="26"/>
        </w:rPr>
        <w:t>PONENTE: MAGISTRADA GLORIA DEL CARMEN CAMACHO MEZA.</w:t>
      </w:r>
    </w:p>
    <w:p w14:paraId="3A098B1B" w14:textId="77777777" w:rsidR="007E36E2" w:rsidRPr="007E36E2" w:rsidRDefault="007E36E2" w:rsidP="007E36E2">
      <w:pPr>
        <w:spacing w:after="0" w:line="240" w:lineRule="auto"/>
        <w:rPr>
          <w:lang w:val="es-ES"/>
        </w:rPr>
      </w:pPr>
    </w:p>
    <w:p w14:paraId="1B2A55E4" w14:textId="77777777" w:rsidR="007E36E2" w:rsidRPr="007E36E2" w:rsidRDefault="007E36E2" w:rsidP="007E36E2">
      <w:pPr>
        <w:spacing w:before="240" w:line="360" w:lineRule="auto"/>
        <w:jc w:val="both"/>
        <w:rPr>
          <w:rFonts w:ascii="Arial" w:hAnsi="Arial" w:cs="Arial"/>
          <w:b/>
          <w:sz w:val="26"/>
          <w:szCs w:val="26"/>
        </w:rPr>
      </w:pPr>
      <w:r w:rsidRPr="007E36E2">
        <w:rPr>
          <w:rFonts w:ascii="Arial" w:hAnsi="Arial" w:cs="Arial"/>
          <w:b/>
          <w:sz w:val="26"/>
          <w:szCs w:val="26"/>
        </w:rPr>
        <w:t xml:space="preserve">OAXACA DE JUÁREZ, OAXACA, A SIETE DE JULIO DE DOS MIL VEINTIDÓS. - - - - - - - - - - - - - - - - - - - - - - - - - - - - - - - - - - - - - - - - - - </w:t>
      </w:r>
    </w:p>
    <w:p w14:paraId="422DBF74" w14:textId="71BA5673" w:rsidR="007E36E2" w:rsidRPr="007E36E2" w:rsidRDefault="007E36E2" w:rsidP="007E36E2">
      <w:pPr>
        <w:spacing w:line="360" w:lineRule="auto"/>
        <w:ind w:firstLine="709"/>
        <w:jc w:val="both"/>
        <w:rPr>
          <w:rFonts w:ascii="Arial" w:hAnsi="Arial" w:cs="Arial"/>
          <w:sz w:val="26"/>
          <w:szCs w:val="26"/>
        </w:rPr>
      </w:pPr>
      <w:r w:rsidRPr="007E36E2">
        <w:rPr>
          <w:rFonts w:ascii="Arial" w:hAnsi="Arial" w:cs="Arial"/>
          <w:sz w:val="26"/>
          <w:szCs w:val="26"/>
        </w:rPr>
        <w:t xml:space="preserve">Se tiene por recibido el cuaderno de recurso de revisión </w:t>
      </w:r>
      <w:r w:rsidRPr="007E36E2">
        <w:rPr>
          <w:rFonts w:ascii="Arial" w:hAnsi="Arial" w:cs="Arial"/>
          <w:b/>
          <w:bCs/>
          <w:sz w:val="26"/>
          <w:szCs w:val="26"/>
        </w:rPr>
        <w:t>0</w:t>
      </w:r>
      <w:r w:rsidRPr="007E36E2">
        <w:rPr>
          <w:rFonts w:ascii="Arial" w:hAnsi="Arial" w:cs="Arial"/>
          <w:b/>
          <w:sz w:val="26"/>
          <w:szCs w:val="26"/>
        </w:rPr>
        <w:t>018/2022</w:t>
      </w:r>
      <w:r w:rsidRPr="007E36E2">
        <w:rPr>
          <w:rFonts w:ascii="Arial" w:hAnsi="Arial" w:cs="Arial"/>
          <w:sz w:val="26"/>
          <w:szCs w:val="26"/>
        </w:rPr>
        <w:t xml:space="preserve">, turnado por la Secretaría General de Acuerdos, con motivo </w:t>
      </w:r>
      <w:bookmarkStart w:id="1" w:name="_Hlk74567089"/>
      <w:r w:rsidRPr="007E36E2">
        <w:rPr>
          <w:rFonts w:ascii="Arial" w:hAnsi="Arial" w:cs="Arial"/>
          <w:b/>
          <w:sz w:val="26"/>
          <w:szCs w:val="26"/>
        </w:rPr>
        <w:t>CANSECO</w:t>
      </w:r>
      <w:r w:rsidRPr="007E36E2">
        <w:rPr>
          <w:rFonts w:ascii="Arial" w:hAnsi="Arial" w:cs="Arial"/>
          <w:sz w:val="26"/>
          <w:szCs w:val="26"/>
        </w:rPr>
        <w:t>,</w:t>
      </w:r>
      <w:r w:rsidRPr="007E36E2">
        <w:rPr>
          <w:rFonts w:ascii="Arial" w:hAnsi="Arial" w:cs="Arial"/>
          <w:b/>
          <w:sz w:val="26"/>
          <w:szCs w:val="26"/>
        </w:rPr>
        <w:t xml:space="preserve"> POLICÍA VIAL CON NÚMERO ESTADÍSTICO PV-170, </w:t>
      </w:r>
      <w:bookmarkEnd w:id="1"/>
      <w:r w:rsidRPr="007E36E2">
        <w:rPr>
          <w:rFonts w:ascii="Arial" w:eastAsia="Calibri" w:hAnsi="Arial" w:cs="Arial"/>
          <w:b/>
          <w:color w:val="000000" w:themeColor="text1"/>
          <w:sz w:val="26"/>
          <w:szCs w:val="26"/>
        </w:rPr>
        <w:t>ADSCRITA A LA SUBDIRECCIÓN DE TRÁNSITO Y MOVILIDAD DEL MUNICIPIO DE OAXACA DE JUÁREZ, OAXACA</w:t>
      </w:r>
      <w:r w:rsidRPr="007E36E2">
        <w:rPr>
          <w:rFonts w:ascii="Arial" w:hAnsi="Arial" w:cs="Arial"/>
          <w:b/>
          <w:sz w:val="26"/>
          <w:szCs w:val="26"/>
        </w:rPr>
        <w:t xml:space="preserve">, </w:t>
      </w:r>
      <w:r w:rsidRPr="007E36E2">
        <w:rPr>
          <w:rFonts w:ascii="Arial" w:hAnsi="Arial" w:cs="Arial"/>
          <w:sz w:val="26"/>
          <w:szCs w:val="26"/>
        </w:rPr>
        <w:t xml:space="preserve">en contra de la sentencia de </w:t>
      </w:r>
      <w:bookmarkStart w:id="2" w:name="_Hlk80613725"/>
      <w:r w:rsidRPr="007E36E2">
        <w:rPr>
          <w:rFonts w:ascii="Arial" w:hAnsi="Arial" w:cs="Arial"/>
          <w:sz w:val="26"/>
          <w:szCs w:val="26"/>
        </w:rPr>
        <w:t xml:space="preserve">quince de diciembre de dos mil veintiuno, </w:t>
      </w:r>
      <w:bookmarkEnd w:id="2"/>
      <w:r w:rsidRPr="007E36E2">
        <w:rPr>
          <w:rFonts w:ascii="Arial" w:eastAsia="Calibri" w:hAnsi="Arial" w:cs="Arial"/>
          <w:sz w:val="26"/>
          <w:szCs w:val="26"/>
          <w:lang w:eastAsia="en-US"/>
        </w:rPr>
        <w:t>dictada en el juicio de nulidad</w:t>
      </w:r>
      <w:r w:rsidRPr="007E36E2">
        <w:rPr>
          <w:rFonts w:ascii="Arial" w:eastAsia="Calibri" w:hAnsi="Arial" w:cs="Arial"/>
          <w:bCs/>
          <w:sz w:val="26"/>
          <w:szCs w:val="26"/>
          <w:lang w:eastAsia="en-US"/>
        </w:rPr>
        <w:t xml:space="preserve"> 0146/2019 de la Quinta</w:t>
      </w:r>
      <w:r w:rsidRPr="007E36E2">
        <w:rPr>
          <w:rFonts w:ascii="Arial" w:eastAsia="Calibri" w:hAnsi="Arial" w:cs="Arial"/>
          <w:sz w:val="26"/>
          <w:szCs w:val="26"/>
          <w:lang w:eastAsia="en-US"/>
        </w:rPr>
        <w:t xml:space="preserve"> Sala Unitaria de Primera Instancia de este Tribunal</w:t>
      </w:r>
      <w:r w:rsidRPr="007E36E2">
        <w:rPr>
          <w:rFonts w:ascii="Arial" w:hAnsi="Arial" w:cs="Arial"/>
          <w:sz w:val="26"/>
          <w:szCs w:val="26"/>
        </w:rPr>
        <w:t>, relativo al juicio de nulidad promovido por</w:t>
      </w:r>
      <w:r w:rsidR="00EC0FBA">
        <w:rPr>
          <w:rFonts w:ascii="Arial" w:hAnsi="Arial" w:cs="Arial"/>
          <w:sz w:val="26"/>
          <w:szCs w:val="26"/>
        </w:rPr>
        <w:t xml:space="preserve"> </w:t>
      </w:r>
      <w:r w:rsidR="00EC0FBA">
        <w:rPr>
          <w:rFonts w:ascii="Arial" w:hAnsi="Arial" w:cs="Arial"/>
          <w:b/>
          <w:bCs/>
          <w:sz w:val="26"/>
          <w:szCs w:val="26"/>
        </w:rPr>
        <w:t>*******</w:t>
      </w:r>
      <w:r w:rsidRPr="007E36E2">
        <w:rPr>
          <w:rFonts w:ascii="Arial" w:hAnsi="Arial" w:cs="Arial"/>
          <w:b/>
          <w:sz w:val="26"/>
          <w:szCs w:val="26"/>
        </w:rPr>
        <w:t>,</w:t>
      </w:r>
      <w:r w:rsidRPr="007E36E2">
        <w:rPr>
          <w:rFonts w:ascii="Arial" w:hAnsi="Arial" w:cs="Arial"/>
          <w:bCs/>
          <w:sz w:val="26"/>
          <w:szCs w:val="26"/>
        </w:rPr>
        <w:t xml:space="preserve"> </w:t>
      </w:r>
      <w:r w:rsidRPr="007E36E2">
        <w:rPr>
          <w:rFonts w:ascii="Arial" w:hAnsi="Arial" w:cs="Arial"/>
          <w:sz w:val="26"/>
          <w:szCs w:val="26"/>
        </w:rPr>
        <w:t xml:space="preserve">en contra de la </w:t>
      </w:r>
      <w:r w:rsidRPr="007E36E2">
        <w:rPr>
          <w:rFonts w:ascii="Arial" w:hAnsi="Arial" w:cs="Arial"/>
          <w:b/>
          <w:sz w:val="26"/>
          <w:szCs w:val="26"/>
        </w:rPr>
        <w:t>RECURRENTE;</w:t>
      </w:r>
      <w:r w:rsidRPr="007E36E2">
        <w:rPr>
          <w:rFonts w:ascii="Arial" w:hAnsi="Arial" w:cs="Arial"/>
          <w:sz w:val="26"/>
          <w:szCs w:val="26"/>
        </w:rPr>
        <w:t xml:space="preserve"> por lo que, con fundamento en los artículos 236, 238 de la Ley de Procedimiento y Justicia Administrativa para el Estado de Oaxaca y </w:t>
      </w:r>
      <w:r w:rsidRPr="007E36E2">
        <w:rPr>
          <w:rFonts w:ascii="Arial" w:hAnsi="Arial" w:cs="Arial"/>
          <w:bCs/>
          <w:iCs/>
          <w:sz w:val="26"/>
          <w:szCs w:val="26"/>
        </w:rPr>
        <w:t xml:space="preserve">24, fracciones I y III de la Ley Orgánica del Tribunal de Justicia Administrativa del Estado de Oaxaca, se da tramite. Por lo consiguiente </w:t>
      </w:r>
      <w:r w:rsidRPr="007E36E2">
        <w:rPr>
          <w:rFonts w:ascii="Arial" w:hAnsi="Arial" w:cs="Arial"/>
          <w:sz w:val="26"/>
          <w:szCs w:val="26"/>
        </w:rPr>
        <w:t xml:space="preserve">se procede a dictar resolución en los siguientes términos: - </w:t>
      </w:r>
    </w:p>
    <w:p w14:paraId="7016A4BF" w14:textId="77777777" w:rsidR="007E36E2" w:rsidRPr="007E36E2" w:rsidRDefault="007E36E2" w:rsidP="007E36E2">
      <w:pPr>
        <w:spacing w:line="360" w:lineRule="auto"/>
        <w:ind w:firstLine="709"/>
        <w:jc w:val="center"/>
        <w:rPr>
          <w:rFonts w:ascii="Arial" w:hAnsi="Arial" w:cs="Arial"/>
          <w:b/>
          <w:sz w:val="26"/>
          <w:szCs w:val="26"/>
        </w:rPr>
      </w:pPr>
      <w:r w:rsidRPr="007E36E2">
        <w:rPr>
          <w:rFonts w:ascii="Arial" w:hAnsi="Arial" w:cs="Arial"/>
          <w:b/>
          <w:bCs/>
          <w:sz w:val="26"/>
          <w:szCs w:val="26"/>
        </w:rPr>
        <w:t>R E S U L T A N D O</w:t>
      </w:r>
    </w:p>
    <w:p w14:paraId="2FBB2AE6" w14:textId="77777777" w:rsidR="007E36E2" w:rsidRPr="007E36E2" w:rsidRDefault="007E36E2" w:rsidP="007E36E2">
      <w:pPr>
        <w:spacing w:line="360" w:lineRule="auto"/>
        <w:ind w:firstLine="708"/>
        <w:jc w:val="both"/>
        <w:rPr>
          <w:rFonts w:ascii="Arial" w:hAnsi="Arial" w:cs="Arial"/>
          <w:sz w:val="26"/>
          <w:szCs w:val="26"/>
        </w:rPr>
      </w:pPr>
      <w:r w:rsidRPr="007E36E2">
        <w:rPr>
          <w:rFonts w:ascii="Arial" w:hAnsi="Arial" w:cs="Arial"/>
          <w:b/>
          <w:bCs/>
          <w:sz w:val="26"/>
          <w:szCs w:val="26"/>
        </w:rPr>
        <w:t xml:space="preserve">PRIMERO. </w:t>
      </w:r>
      <w:r w:rsidRPr="007E36E2">
        <w:rPr>
          <w:rFonts w:ascii="Arial" w:hAnsi="Arial" w:cs="Arial"/>
          <w:sz w:val="26"/>
          <w:szCs w:val="26"/>
        </w:rPr>
        <w:t xml:space="preserve">Inconforme con la sentencia de quince de diciembre de dos mil veintiuno, dictada por la Quinta Sala Unitaria de Primera Instancia, </w:t>
      </w:r>
      <w:r w:rsidRPr="007E36E2">
        <w:rPr>
          <w:rFonts w:ascii="Arial" w:hAnsi="Arial" w:cs="Arial"/>
          <w:b/>
          <w:sz w:val="26"/>
          <w:szCs w:val="26"/>
        </w:rPr>
        <w:t>ERIKA TRINIDAD PÉREZ CANSECO</w:t>
      </w:r>
      <w:r w:rsidRPr="007E36E2">
        <w:rPr>
          <w:rFonts w:ascii="Arial" w:hAnsi="Arial" w:cs="Arial"/>
          <w:sz w:val="26"/>
          <w:szCs w:val="26"/>
        </w:rPr>
        <w:t>,</w:t>
      </w:r>
      <w:r w:rsidRPr="007E36E2">
        <w:rPr>
          <w:rFonts w:ascii="Arial" w:hAnsi="Arial" w:cs="Arial"/>
          <w:b/>
          <w:sz w:val="26"/>
          <w:szCs w:val="26"/>
        </w:rPr>
        <w:t xml:space="preserve"> POLICÍA VIAL CON NÚMERO ESTADÍSTICO PV-170, </w:t>
      </w:r>
      <w:r w:rsidRPr="007E36E2">
        <w:rPr>
          <w:rFonts w:ascii="Arial" w:eastAsia="Calibri" w:hAnsi="Arial" w:cs="Arial"/>
          <w:b/>
          <w:color w:val="000000" w:themeColor="text1"/>
          <w:sz w:val="26"/>
          <w:szCs w:val="26"/>
        </w:rPr>
        <w:t>ADSCRITA A LA SUBDIRECCIÓN DE TRÁNSITO Y MOVILIDAD DEL MUNICIPIO DE OAXACA DE JUÁREZ, OAXACA</w:t>
      </w:r>
      <w:r w:rsidRPr="007E36E2">
        <w:rPr>
          <w:rFonts w:ascii="Arial" w:hAnsi="Arial" w:cs="Arial"/>
          <w:b/>
          <w:sz w:val="26"/>
          <w:szCs w:val="26"/>
        </w:rPr>
        <w:t>,</w:t>
      </w:r>
      <w:r w:rsidRPr="007E36E2">
        <w:rPr>
          <w:rFonts w:ascii="Arial" w:hAnsi="Arial" w:cs="Arial"/>
          <w:sz w:val="26"/>
          <w:szCs w:val="26"/>
        </w:rPr>
        <w:t xml:space="preserve"> interpuso en su contra recurso de revisión.- - - - - -  </w:t>
      </w:r>
    </w:p>
    <w:p w14:paraId="3A69889B" w14:textId="77777777" w:rsidR="007E36E2" w:rsidRPr="007E36E2" w:rsidRDefault="007E36E2" w:rsidP="007E36E2">
      <w:pPr>
        <w:spacing w:after="120" w:line="360" w:lineRule="auto"/>
        <w:ind w:firstLine="567"/>
        <w:jc w:val="both"/>
        <w:rPr>
          <w:rFonts w:ascii="Arial" w:hAnsi="Arial" w:cs="Arial"/>
          <w:bCs/>
          <w:iCs/>
          <w:sz w:val="26"/>
          <w:szCs w:val="26"/>
        </w:rPr>
      </w:pPr>
      <w:r w:rsidRPr="007E36E2">
        <w:rPr>
          <w:rFonts w:ascii="Arial" w:hAnsi="Arial" w:cs="Arial"/>
          <w:b/>
          <w:bCs/>
          <w:iCs/>
          <w:sz w:val="26"/>
          <w:szCs w:val="26"/>
        </w:rPr>
        <w:t xml:space="preserve">SEGUNDO. </w:t>
      </w:r>
      <w:r w:rsidRPr="007E36E2">
        <w:rPr>
          <w:rFonts w:ascii="Arial" w:hAnsi="Arial" w:cs="Arial"/>
          <w:bCs/>
          <w:iCs/>
          <w:sz w:val="26"/>
          <w:szCs w:val="26"/>
        </w:rPr>
        <w:t>Los puntos resolutivos de la sentencia recurrida son los siguientes:- - - - - - - - - - - - - - - - - - - - - - - - - - - - - - - - - - - - - - - - - -</w:t>
      </w:r>
    </w:p>
    <w:p w14:paraId="7DAA6DFC" w14:textId="77777777" w:rsidR="007E36E2" w:rsidRPr="007E36E2" w:rsidRDefault="007E36E2" w:rsidP="007E36E2">
      <w:pPr>
        <w:spacing w:after="0" w:line="360" w:lineRule="auto"/>
        <w:ind w:left="1134" w:right="900" w:firstLine="282"/>
        <w:jc w:val="both"/>
        <w:rPr>
          <w:rFonts w:ascii="Arial" w:eastAsia="Calibri" w:hAnsi="Arial" w:cs="Arial"/>
          <w:bCs/>
          <w:i/>
          <w:color w:val="000000" w:themeColor="text1"/>
        </w:rPr>
      </w:pPr>
      <w:r w:rsidRPr="007E36E2">
        <w:rPr>
          <w:rFonts w:ascii="Arial" w:eastAsia="Calibri" w:hAnsi="Arial" w:cs="Arial"/>
          <w:b/>
          <w:bCs/>
          <w:i/>
          <w:color w:val="000000" w:themeColor="text1"/>
        </w:rPr>
        <w:lastRenderedPageBreak/>
        <w:t xml:space="preserve">PRIMERO.- </w:t>
      </w:r>
      <w:r w:rsidRPr="007E36E2">
        <w:rPr>
          <w:rFonts w:ascii="Arial" w:eastAsia="Calibri" w:hAnsi="Arial" w:cs="Arial"/>
          <w:bCs/>
          <w:i/>
          <w:color w:val="000000" w:themeColor="text1"/>
        </w:rPr>
        <w:t xml:space="preserve">Esta Quinta Sala Unitaria del Tribunal de Justicia Administrativa del Estado de Oaxaca, es </w:t>
      </w:r>
      <w:r w:rsidRPr="007E36E2">
        <w:rPr>
          <w:rFonts w:ascii="Arial" w:eastAsia="Calibri" w:hAnsi="Arial" w:cs="Arial"/>
          <w:i/>
          <w:color w:val="000000" w:themeColor="text1"/>
        </w:rPr>
        <w:t>competente</w:t>
      </w:r>
      <w:r w:rsidRPr="007E36E2">
        <w:rPr>
          <w:rFonts w:ascii="Arial" w:eastAsia="Calibri" w:hAnsi="Arial" w:cs="Arial"/>
          <w:b/>
          <w:bCs/>
          <w:i/>
          <w:color w:val="000000" w:themeColor="text1"/>
        </w:rPr>
        <w:t xml:space="preserve"> </w:t>
      </w:r>
      <w:r w:rsidRPr="007E36E2">
        <w:rPr>
          <w:rFonts w:ascii="Arial" w:eastAsia="Calibri" w:hAnsi="Arial" w:cs="Arial"/>
          <w:bCs/>
          <w:i/>
          <w:color w:val="000000" w:themeColor="text1"/>
        </w:rPr>
        <w:t>para conocer y resolver el presente juicio.</w:t>
      </w:r>
    </w:p>
    <w:p w14:paraId="0E4A47EC" w14:textId="77777777" w:rsidR="007E36E2" w:rsidRPr="007E36E2" w:rsidRDefault="007E36E2" w:rsidP="007E36E2">
      <w:pPr>
        <w:spacing w:after="120" w:line="360" w:lineRule="auto"/>
        <w:ind w:left="1134" w:right="902" w:firstLine="284"/>
        <w:jc w:val="both"/>
        <w:rPr>
          <w:rFonts w:ascii="Arial" w:eastAsia="Calibri" w:hAnsi="Arial" w:cs="Arial"/>
          <w:bCs/>
          <w:i/>
          <w:color w:val="000000" w:themeColor="text1"/>
        </w:rPr>
      </w:pPr>
      <w:r w:rsidRPr="007E36E2">
        <w:rPr>
          <w:rFonts w:ascii="Arial" w:eastAsia="Calibri" w:hAnsi="Arial" w:cs="Arial"/>
          <w:b/>
          <w:bCs/>
          <w:i/>
          <w:color w:val="000000" w:themeColor="text1"/>
        </w:rPr>
        <w:t xml:space="preserve">SEGUNDO.- </w:t>
      </w:r>
      <w:r w:rsidRPr="007E36E2">
        <w:rPr>
          <w:rFonts w:ascii="Arial" w:eastAsia="Calibri" w:hAnsi="Arial" w:cs="Arial"/>
          <w:bCs/>
          <w:i/>
          <w:color w:val="000000" w:themeColor="text1"/>
        </w:rPr>
        <w:t xml:space="preserve">La personalidad de las partes quedó acreditada en autos. </w:t>
      </w:r>
    </w:p>
    <w:p w14:paraId="52B5E773" w14:textId="77777777" w:rsidR="007E36E2" w:rsidRPr="007E36E2" w:rsidRDefault="007E36E2" w:rsidP="007E36E2">
      <w:pPr>
        <w:spacing w:after="120" w:line="360" w:lineRule="auto"/>
        <w:ind w:left="1134" w:right="902" w:firstLine="284"/>
        <w:jc w:val="both"/>
        <w:rPr>
          <w:rFonts w:ascii="Arial" w:eastAsia="Calibri" w:hAnsi="Arial" w:cs="Arial"/>
          <w:bCs/>
          <w:i/>
          <w:color w:val="000000" w:themeColor="text1"/>
        </w:rPr>
      </w:pPr>
      <w:r w:rsidRPr="007E36E2">
        <w:rPr>
          <w:rFonts w:ascii="Arial" w:eastAsia="Calibri" w:hAnsi="Arial" w:cs="Arial"/>
          <w:b/>
          <w:i/>
          <w:color w:val="000000" w:themeColor="text1"/>
        </w:rPr>
        <w:t xml:space="preserve">TERCERO. </w:t>
      </w:r>
      <w:r w:rsidRPr="007E36E2">
        <w:rPr>
          <w:rFonts w:ascii="Arial" w:eastAsia="Calibri" w:hAnsi="Arial" w:cs="Arial"/>
          <w:i/>
          <w:color w:val="000000" w:themeColor="text1"/>
        </w:rPr>
        <w:t>No se actualizó ninguna causal de</w:t>
      </w:r>
      <w:r w:rsidRPr="007E36E2">
        <w:rPr>
          <w:rFonts w:ascii="Arial" w:eastAsia="Calibri" w:hAnsi="Arial" w:cs="Arial"/>
          <w:bCs/>
          <w:i/>
          <w:color w:val="000000" w:themeColor="text1"/>
        </w:rPr>
        <w:t xml:space="preserve"> improcedencia en el juicio, en consecuencia, </w:t>
      </w:r>
      <w:r w:rsidRPr="007E36E2">
        <w:rPr>
          <w:rFonts w:ascii="Arial" w:eastAsia="Calibri" w:hAnsi="Arial" w:cs="Arial"/>
          <w:b/>
          <w:i/>
          <w:color w:val="000000" w:themeColor="text1"/>
        </w:rPr>
        <w:t>NO SE SOBRESEE.</w:t>
      </w:r>
    </w:p>
    <w:p w14:paraId="277D01E4" w14:textId="0CBC1609" w:rsidR="007E36E2" w:rsidRPr="007E36E2" w:rsidRDefault="007E36E2" w:rsidP="007E36E2">
      <w:pPr>
        <w:spacing w:after="120" w:line="360" w:lineRule="auto"/>
        <w:ind w:left="1134" w:right="902" w:firstLine="284"/>
        <w:jc w:val="both"/>
        <w:rPr>
          <w:rFonts w:ascii="Arial" w:eastAsia="Calibri" w:hAnsi="Arial" w:cs="Arial"/>
          <w:bCs/>
          <w:i/>
          <w:color w:val="000000" w:themeColor="text1"/>
        </w:rPr>
      </w:pPr>
      <w:r w:rsidRPr="007E36E2">
        <w:rPr>
          <w:rFonts w:ascii="Arial" w:eastAsia="Calibri" w:hAnsi="Arial" w:cs="Arial"/>
          <w:b/>
          <w:bCs/>
          <w:i/>
          <w:color w:val="000000" w:themeColor="text1"/>
        </w:rPr>
        <w:t>CUARTO.- SE DECLARA LA</w:t>
      </w:r>
      <w:r w:rsidRPr="007E36E2">
        <w:rPr>
          <w:rFonts w:ascii="Arial" w:eastAsia="Calibri" w:hAnsi="Arial" w:cs="Arial"/>
          <w:bCs/>
          <w:i/>
          <w:color w:val="000000" w:themeColor="text1"/>
        </w:rPr>
        <w:t xml:space="preserve"> </w:t>
      </w:r>
      <w:bookmarkStart w:id="3" w:name="_Hlk77236877"/>
      <w:r w:rsidRPr="007E36E2">
        <w:rPr>
          <w:rFonts w:ascii="Arial" w:eastAsia="Calibri" w:hAnsi="Arial" w:cs="Arial"/>
          <w:b/>
          <w:bCs/>
          <w:i/>
          <w:color w:val="000000" w:themeColor="text1"/>
        </w:rPr>
        <w:t xml:space="preserve">NULIDAD LISA Y LLANA </w:t>
      </w:r>
      <w:r w:rsidRPr="007E36E2">
        <w:rPr>
          <w:rFonts w:ascii="Arial" w:eastAsia="Calibri" w:hAnsi="Arial" w:cs="Arial"/>
          <w:i/>
          <w:color w:val="000000" w:themeColor="text1"/>
        </w:rPr>
        <w:t xml:space="preserve">del acta de infracción con número de folio </w:t>
      </w:r>
      <w:r w:rsidR="00EC0FBA">
        <w:rPr>
          <w:rFonts w:ascii="Arial" w:hAnsi="Arial" w:cs="Arial"/>
          <w:b/>
          <w:bCs/>
          <w:sz w:val="26"/>
          <w:szCs w:val="26"/>
        </w:rPr>
        <w:t>*******</w:t>
      </w:r>
      <w:r w:rsidRPr="007E36E2">
        <w:rPr>
          <w:rFonts w:ascii="Arial" w:eastAsia="Calibri" w:hAnsi="Arial" w:cs="Arial"/>
          <w:b/>
          <w:i/>
          <w:color w:val="000000" w:themeColor="text1"/>
        </w:rPr>
        <w:t xml:space="preserve"> </w:t>
      </w:r>
      <w:r w:rsidRPr="007E36E2">
        <w:rPr>
          <w:rFonts w:ascii="Arial" w:eastAsia="Calibri" w:hAnsi="Arial" w:cs="Arial"/>
          <w:i/>
          <w:color w:val="000000" w:themeColor="text1"/>
        </w:rPr>
        <w:t xml:space="preserve">de quince de noviembre de dos mil diecinueve, emitida por la </w:t>
      </w:r>
      <w:r w:rsidRPr="007E36E2">
        <w:rPr>
          <w:rFonts w:ascii="Arial" w:eastAsia="Calibri" w:hAnsi="Arial" w:cs="Arial"/>
          <w:b/>
          <w:i/>
          <w:color w:val="000000" w:themeColor="text1"/>
        </w:rPr>
        <w:t>Policía Vial</w:t>
      </w:r>
      <w:r w:rsidRPr="007E36E2">
        <w:rPr>
          <w:rFonts w:ascii="Arial" w:eastAsia="Calibri" w:hAnsi="Arial" w:cs="Arial"/>
          <w:i/>
          <w:color w:val="000000" w:themeColor="text1"/>
        </w:rPr>
        <w:t xml:space="preserve"> con número estadístico PV-170, Erika Trinidad Pérez Canseco, adscrita a la Subdirección de Tránsito y Movilidad del Municipio de Oaxaca de Juárez, Oaxaca, como quedó precisado en el considerando </w:t>
      </w:r>
      <w:r w:rsidRPr="007E36E2">
        <w:rPr>
          <w:rFonts w:ascii="Arial" w:eastAsia="Calibri" w:hAnsi="Arial" w:cs="Arial"/>
          <w:b/>
          <w:i/>
          <w:color w:val="000000" w:themeColor="text1"/>
        </w:rPr>
        <w:t>CUARTO</w:t>
      </w:r>
      <w:r w:rsidRPr="007E36E2">
        <w:rPr>
          <w:rFonts w:ascii="Arial" w:eastAsia="Calibri" w:hAnsi="Arial" w:cs="Arial"/>
          <w:i/>
          <w:color w:val="000000" w:themeColor="text1"/>
        </w:rPr>
        <w:t xml:space="preserve"> de esta sentencia</w:t>
      </w:r>
      <w:bookmarkEnd w:id="3"/>
      <w:r w:rsidRPr="007E36E2">
        <w:rPr>
          <w:rFonts w:ascii="Arial" w:eastAsia="Calibri" w:hAnsi="Arial" w:cs="Arial"/>
          <w:i/>
          <w:color w:val="000000" w:themeColor="text1"/>
        </w:rPr>
        <w:t>.</w:t>
      </w:r>
    </w:p>
    <w:p w14:paraId="01BE5CE0" w14:textId="77777777" w:rsidR="007E36E2" w:rsidRPr="007E36E2" w:rsidRDefault="007E36E2" w:rsidP="007E36E2">
      <w:pPr>
        <w:spacing w:after="120" w:line="360" w:lineRule="auto"/>
        <w:ind w:left="1134" w:right="902" w:firstLine="284"/>
        <w:jc w:val="both"/>
        <w:rPr>
          <w:rFonts w:ascii="Arial" w:eastAsia="Calibri" w:hAnsi="Arial" w:cs="Arial"/>
          <w:b/>
          <w:bCs/>
          <w:i/>
          <w:color w:val="000000" w:themeColor="text1"/>
        </w:rPr>
      </w:pPr>
      <w:r w:rsidRPr="007E36E2">
        <w:rPr>
          <w:rFonts w:ascii="Arial" w:eastAsia="Calibri" w:hAnsi="Arial" w:cs="Arial"/>
          <w:b/>
          <w:bCs/>
          <w:i/>
          <w:color w:val="000000" w:themeColor="text1"/>
        </w:rPr>
        <w:t xml:space="preserve">QUINTO.- </w:t>
      </w:r>
      <w:r w:rsidRPr="007E36E2">
        <w:rPr>
          <w:rFonts w:ascii="Arial" w:eastAsia="Calibri" w:hAnsi="Arial" w:cs="Arial"/>
          <w:bCs/>
          <w:i/>
          <w:color w:val="000000" w:themeColor="text1"/>
        </w:rPr>
        <w:t xml:space="preserve">Con fundamento en lo dispuesto por los artículos 170, </w:t>
      </w:r>
      <w:r w:rsidRPr="007E36E2">
        <w:rPr>
          <w:rFonts w:ascii="Arial" w:eastAsia="Calibri" w:hAnsi="Arial" w:cs="Arial"/>
          <w:i/>
          <w:color w:val="000000" w:themeColor="text1"/>
        </w:rPr>
        <w:t xml:space="preserve">172, y 173 </w:t>
      </w:r>
      <w:r w:rsidRPr="007E36E2">
        <w:rPr>
          <w:rFonts w:ascii="Arial" w:eastAsia="Calibri" w:hAnsi="Arial" w:cs="Arial"/>
          <w:bCs/>
          <w:i/>
          <w:color w:val="000000" w:themeColor="text1"/>
        </w:rPr>
        <w:t xml:space="preserve">de la Ley de Procedimiento y Justicia Administrativa para el Estado, </w:t>
      </w:r>
      <w:r w:rsidRPr="007E36E2">
        <w:rPr>
          <w:rFonts w:ascii="Arial" w:eastAsia="Calibri" w:hAnsi="Arial" w:cs="Arial"/>
          <w:b/>
          <w:bCs/>
          <w:i/>
          <w:color w:val="000000" w:themeColor="text1"/>
        </w:rPr>
        <w:t xml:space="preserve">NOTIFÍQUESE </w:t>
      </w:r>
      <w:r w:rsidRPr="007E36E2">
        <w:rPr>
          <w:rFonts w:ascii="Arial" w:eastAsia="Calibri" w:hAnsi="Arial" w:cs="Arial"/>
          <w:bCs/>
          <w:i/>
          <w:color w:val="000000" w:themeColor="text1"/>
        </w:rPr>
        <w:t xml:space="preserve">personalmente a la parte actora y por oficio a la autoridad demandada. </w:t>
      </w:r>
      <w:r w:rsidRPr="007E36E2">
        <w:rPr>
          <w:rFonts w:ascii="Arial" w:eastAsia="Calibri" w:hAnsi="Arial" w:cs="Arial"/>
          <w:b/>
          <w:bCs/>
          <w:i/>
          <w:color w:val="000000" w:themeColor="text1"/>
        </w:rPr>
        <w:t>CÚMPLASE."</w:t>
      </w:r>
    </w:p>
    <w:p w14:paraId="7EFDB711" w14:textId="77777777" w:rsidR="007E36E2" w:rsidRPr="007E36E2" w:rsidRDefault="007E36E2" w:rsidP="007E36E2">
      <w:pPr>
        <w:spacing w:after="120" w:line="360" w:lineRule="auto"/>
        <w:ind w:right="49"/>
        <w:jc w:val="center"/>
        <w:rPr>
          <w:rFonts w:ascii="Arial" w:eastAsia="Calibri" w:hAnsi="Arial" w:cs="Arial"/>
          <w:b/>
          <w:bCs/>
          <w:sz w:val="26"/>
          <w:szCs w:val="26"/>
        </w:rPr>
      </w:pPr>
      <w:r w:rsidRPr="007E36E2">
        <w:rPr>
          <w:rFonts w:ascii="Arial" w:eastAsia="Calibri" w:hAnsi="Arial" w:cs="Arial"/>
          <w:b/>
          <w:bCs/>
          <w:sz w:val="26"/>
          <w:szCs w:val="26"/>
        </w:rPr>
        <w:t>C O N S I D E R A N D O</w:t>
      </w:r>
    </w:p>
    <w:p w14:paraId="66650222" w14:textId="77777777" w:rsidR="007E36E2" w:rsidRPr="007E36E2" w:rsidRDefault="007E36E2" w:rsidP="007E36E2">
      <w:pPr>
        <w:spacing w:after="120" w:line="360" w:lineRule="auto"/>
        <w:ind w:firstLine="708"/>
        <w:jc w:val="both"/>
        <w:rPr>
          <w:rFonts w:ascii="Arial" w:hAnsi="Arial" w:cs="Arial"/>
          <w:bCs/>
          <w:iCs/>
          <w:sz w:val="26"/>
          <w:szCs w:val="26"/>
        </w:rPr>
      </w:pPr>
      <w:r w:rsidRPr="007E36E2">
        <w:rPr>
          <w:rFonts w:ascii="Arial" w:hAnsi="Arial" w:cs="Arial"/>
          <w:b/>
          <w:bCs/>
          <w:iCs/>
          <w:sz w:val="26"/>
          <w:szCs w:val="26"/>
        </w:rPr>
        <w:t xml:space="preserve">PRIMERO. </w:t>
      </w:r>
      <w:r w:rsidRPr="007E36E2">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fracciones I y III, 25 fracción I y 27 de la Ley  Orgánica del Tribunal de Justicia Administrativa del Estado de Oaxaca; 120</w:t>
      </w:r>
      <w:r w:rsidRPr="007E36E2">
        <w:rPr>
          <w:rFonts w:ascii="Arial" w:hAnsi="Arial" w:cs="Arial"/>
          <w:bCs/>
          <w:iCs/>
          <w:sz w:val="26"/>
          <w:szCs w:val="26"/>
          <w:lang w:eastAsia="es-ES"/>
        </w:rPr>
        <w:t xml:space="preserve">, 125, 127, 129,130 fracción l, 131, 201, 236 y 238 </w:t>
      </w:r>
      <w:r w:rsidRPr="007E36E2">
        <w:rPr>
          <w:rFonts w:ascii="Arial" w:hAnsi="Arial" w:cs="Arial"/>
          <w:bCs/>
          <w:iCs/>
          <w:sz w:val="26"/>
          <w:szCs w:val="26"/>
        </w:rPr>
        <w:t xml:space="preserve">de la Ley de Procedimiento y Justicia Administrativa para el Estado de Oaxaca, dado que se trata de un recurso de revisión interpuesto en contra de la sentencia de </w:t>
      </w:r>
      <w:r w:rsidRPr="007E36E2">
        <w:rPr>
          <w:rFonts w:ascii="Arial" w:hAnsi="Arial" w:cs="Arial"/>
          <w:sz w:val="26"/>
          <w:szCs w:val="26"/>
        </w:rPr>
        <w:t>quince de diciembre de dos mil veintiuno</w:t>
      </w:r>
      <w:r w:rsidRPr="007E36E2">
        <w:rPr>
          <w:rFonts w:ascii="Arial" w:hAnsi="Arial" w:cs="Arial"/>
          <w:bCs/>
          <w:color w:val="000000"/>
          <w:sz w:val="26"/>
          <w:szCs w:val="26"/>
        </w:rPr>
        <w:t xml:space="preserve">, </w:t>
      </w:r>
      <w:r w:rsidRPr="007E36E2">
        <w:rPr>
          <w:rFonts w:ascii="Arial" w:hAnsi="Arial" w:cs="Arial"/>
          <w:bCs/>
          <w:iCs/>
          <w:sz w:val="26"/>
          <w:szCs w:val="26"/>
        </w:rPr>
        <w:t xml:space="preserve">dictada por la Quinta Sala Unitaria de Primera Instancia de este Tribunal, en el juicio de nulidad </w:t>
      </w:r>
      <w:r w:rsidRPr="007E36E2">
        <w:rPr>
          <w:rFonts w:ascii="Arial" w:hAnsi="Arial" w:cs="Arial"/>
          <w:b/>
          <w:bCs/>
          <w:iCs/>
          <w:sz w:val="26"/>
          <w:szCs w:val="26"/>
        </w:rPr>
        <w:t>0146/2019.</w:t>
      </w:r>
      <w:r w:rsidRPr="007E36E2">
        <w:rPr>
          <w:rFonts w:ascii="Arial" w:hAnsi="Arial" w:cs="Arial"/>
          <w:bCs/>
          <w:iCs/>
          <w:sz w:val="26"/>
          <w:szCs w:val="26"/>
        </w:rPr>
        <w:t xml:space="preserve">- - </w:t>
      </w:r>
    </w:p>
    <w:p w14:paraId="4C0FC5F7" w14:textId="77777777" w:rsidR="007E36E2" w:rsidRPr="007E36E2" w:rsidRDefault="007E36E2" w:rsidP="007E36E2">
      <w:pPr>
        <w:spacing w:line="360" w:lineRule="auto"/>
        <w:ind w:firstLine="708"/>
        <w:jc w:val="both"/>
        <w:rPr>
          <w:rFonts w:ascii="Arial" w:hAnsi="Arial" w:cs="Arial"/>
          <w:sz w:val="26"/>
          <w:szCs w:val="26"/>
        </w:rPr>
      </w:pPr>
      <w:r w:rsidRPr="007E36E2">
        <w:rPr>
          <w:rFonts w:ascii="Arial" w:hAnsi="Arial" w:cs="Arial"/>
          <w:b/>
          <w:sz w:val="26"/>
          <w:szCs w:val="26"/>
        </w:rPr>
        <w:t>SEGUNDO</w:t>
      </w:r>
      <w:r w:rsidRPr="007E36E2">
        <w:rPr>
          <w:rFonts w:ascii="Arial" w:hAnsi="Arial" w:cs="Arial"/>
          <w:sz w:val="26"/>
          <w:szCs w:val="26"/>
        </w:rPr>
        <w:t>. Los agravios hechos valer se encuentran expuestos en el escrito de la recurrente, por lo que no existe necesidad de transcribirlos, al no transgredírsele derecho alguno, como tampoco se vulnera disposición expresa que imponga tal obligación. En apoyo a lo anterior, se invoca el criterio Jurisprudencial</w:t>
      </w:r>
      <w:r w:rsidRPr="007E36E2">
        <w:rPr>
          <w:rFonts w:ascii="Arial" w:hAnsi="Arial" w:cs="Arial"/>
          <w:bCs/>
          <w:color w:val="000000"/>
          <w:sz w:val="26"/>
          <w:szCs w:val="26"/>
        </w:rPr>
        <w:t xml:space="preserve"> 2a./J. 58/2010 emitido por la Segunda Sala de la Suprema Corte de Justicia de la Nación, con número de registro 164618, publicado en la Gaceta del Semanario Judicial de la Federación, tomo XXXI, mayo de 2010, visible a página 830, novena época, bajo el rubro y texto siguiente:- - - - - - - - - - - - - - - </w:t>
      </w:r>
    </w:p>
    <w:p w14:paraId="142A78FD" w14:textId="77777777" w:rsidR="007E36E2" w:rsidRPr="007E36E2" w:rsidRDefault="007E36E2" w:rsidP="007E36E2">
      <w:pPr>
        <w:spacing w:after="120" w:line="240" w:lineRule="auto"/>
        <w:ind w:left="567" w:right="902"/>
        <w:jc w:val="both"/>
        <w:rPr>
          <w:rFonts w:ascii="Arial" w:eastAsia="Calibri" w:hAnsi="Arial" w:cs="Arial"/>
          <w:bCs/>
          <w:i/>
        </w:rPr>
      </w:pPr>
      <w:r w:rsidRPr="007E36E2">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7E36E2">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 - - - - - - - - - - - - </w:t>
      </w:r>
    </w:p>
    <w:p w14:paraId="3C7036BC" w14:textId="5B834658" w:rsidR="007E36E2" w:rsidRPr="007E36E2" w:rsidRDefault="007E36E2" w:rsidP="007E36E2">
      <w:pPr>
        <w:widowControl w:val="0"/>
        <w:tabs>
          <w:tab w:val="left" w:pos="7938"/>
        </w:tabs>
        <w:spacing w:before="240" w:line="360" w:lineRule="auto"/>
        <w:ind w:right="18" w:firstLine="709"/>
        <w:jc w:val="both"/>
        <w:rPr>
          <w:rFonts w:ascii="Arial" w:eastAsia="Times New Roman" w:hAnsi="Arial" w:cs="Arial"/>
          <w:sz w:val="26"/>
          <w:szCs w:val="26"/>
        </w:rPr>
      </w:pPr>
      <w:r w:rsidRPr="007E36E2">
        <w:rPr>
          <w:rFonts w:ascii="Arial" w:eastAsia="Times New Roman" w:hAnsi="Arial" w:cs="Arial"/>
          <w:b/>
          <w:sz w:val="26"/>
          <w:szCs w:val="26"/>
        </w:rPr>
        <w:t xml:space="preserve">TERCERO.- </w:t>
      </w:r>
      <w:r w:rsidRPr="007E36E2">
        <w:rPr>
          <w:rFonts w:ascii="Arial" w:eastAsia="Times New Roman" w:hAnsi="Arial" w:cs="Arial"/>
          <w:sz w:val="26"/>
          <w:szCs w:val="26"/>
        </w:rPr>
        <w:t>La autoridad</w:t>
      </w:r>
      <w:r w:rsidRPr="007E36E2">
        <w:rPr>
          <w:rFonts w:ascii="Arial" w:eastAsia="Calibri" w:hAnsi="Arial" w:cs="Arial"/>
          <w:bCs/>
          <w:sz w:val="26"/>
          <w:szCs w:val="26"/>
          <w:lang w:val="es-ES" w:eastAsia="en-US"/>
        </w:rPr>
        <w:t xml:space="preserve"> recurrente </w:t>
      </w:r>
      <w:r w:rsidRPr="007E36E2">
        <w:rPr>
          <w:rFonts w:ascii="Arial" w:eastAsia="Times New Roman" w:hAnsi="Arial" w:cs="Arial"/>
          <w:sz w:val="26"/>
          <w:szCs w:val="26"/>
        </w:rPr>
        <w:t xml:space="preserve">argumenta en el </w:t>
      </w:r>
      <w:r w:rsidRPr="007E36E2">
        <w:rPr>
          <w:rFonts w:ascii="Arial" w:eastAsia="Times New Roman" w:hAnsi="Arial" w:cs="Arial"/>
          <w:b/>
          <w:bCs/>
          <w:sz w:val="26"/>
          <w:szCs w:val="26"/>
        </w:rPr>
        <w:t>agravio primero</w:t>
      </w:r>
      <w:r w:rsidRPr="007E36E2">
        <w:rPr>
          <w:rFonts w:ascii="Arial" w:eastAsia="Times New Roman" w:hAnsi="Arial" w:cs="Arial"/>
          <w:sz w:val="26"/>
          <w:szCs w:val="26"/>
        </w:rPr>
        <w:t xml:space="preserve"> que le causa perjuicio el considerando cuarto de la sentencia que combate, ya que la misma viola en perjuicio de la autoridad que representa, los artículos 14 y 16 de la Constitución Política de los Estados Unidos Mexicanos y 207 fracción II, de la Ley de Procedimiento y Justicia Administrativa para el Estado de Oaxaca, en virtud de que la sentencia que recurre no está emitida en forma congruente con el acto impugnado, ya que a pesar de que quedó debidamente acreditada la correcta fundamentación y motivación del acto, y con ello la validez del mismo, la A quo hace un razonamiento omiso, cuando determina que se declara la nulidad lisa y llana</w:t>
      </w:r>
      <w:bookmarkStart w:id="4" w:name="_Hlk39776426"/>
      <w:r w:rsidRPr="007E36E2">
        <w:rPr>
          <w:rFonts w:ascii="Arial" w:eastAsia="Times New Roman" w:hAnsi="Arial" w:cs="Arial"/>
          <w:sz w:val="26"/>
          <w:szCs w:val="26"/>
        </w:rPr>
        <w:t xml:space="preserve"> .</w:t>
      </w:r>
      <w:bookmarkStart w:id="5" w:name="_Hlk74574762"/>
      <w:r w:rsidRPr="007E36E2">
        <w:rPr>
          <w:rFonts w:ascii="Arial" w:eastAsia="Times New Roman" w:hAnsi="Arial" w:cs="Arial"/>
          <w:sz w:val="26"/>
          <w:szCs w:val="26"/>
        </w:rPr>
        <w:t>- - - - - - - - - - - - - - - - - - - - - - - - - - - - - --</w:t>
      </w:r>
    </w:p>
    <w:p w14:paraId="37F0A64F" w14:textId="4A395B98" w:rsidR="007E36E2" w:rsidRPr="007E36E2" w:rsidRDefault="007E36E2" w:rsidP="007E36E2">
      <w:pPr>
        <w:spacing w:after="120" w:line="360" w:lineRule="auto"/>
        <w:ind w:firstLine="708"/>
        <w:jc w:val="both"/>
        <w:rPr>
          <w:rFonts w:ascii="Arial" w:eastAsia="Calibri" w:hAnsi="Arial" w:cs="Arial"/>
          <w:bCs/>
          <w:color w:val="FF0000"/>
          <w:sz w:val="26"/>
          <w:szCs w:val="26"/>
        </w:rPr>
      </w:pPr>
      <w:r w:rsidRPr="007E36E2">
        <w:rPr>
          <w:rFonts w:ascii="Arial" w:eastAsia="Calibri" w:hAnsi="Arial" w:cs="Arial"/>
          <w:sz w:val="26"/>
          <w:szCs w:val="26"/>
          <w:lang w:val="es-ES" w:eastAsia="en-US"/>
        </w:rPr>
        <w:t xml:space="preserve">Continúa </w:t>
      </w:r>
      <w:r w:rsidRPr="007E36E2">
        <w:rPr>
          <w:rFonts w:ascii="Arial" w:eastAsia="Calibri" w:hAnsi="Arial" w:cs="Arial"/>
          <w:bCs/>
          <w:sz w:val="26"/>
          <w:szCs w:val="26"/>
        </w:rPr>
        <w:t xml:space="preserve">manifestando la recurrente que la sentencia que combate </w:t>
      </w:r>
      <w:r w:rsidRPr="007E36E2">
        <w:rPr>
          <w:rFonts w:ascii="Arial" w:eastAsia="Calibri" w:hAnsi="Arial" w:cs="Arial"/>
          <w:bCs/>
          <w:color w:val="000000" w:themeColor="text1"/>
          <w:sz w:val="26"/>
          <w:szCs w:val="26"/>
        </w:rPr>
        <w:t xml:space="preserve">le causa afectación a su investidura como Policía Vial Municipal del Municipio de Oaxaca de Juárez, ya que el acta de infracción con número de folio </w:t>
      </w:r>
      <w:r w:rsidR="00EC0FBA">
        <w:rPr>
          <w:rFonts w:ascii="Arial" w:hAnsi="Arial" w:cs="Arial"/>
          <w:b/>
          <w:bCs/>
          <w:sz w:val="26"/>
          <w:szCs w:val="26"/>
        </w:rPr>
        <w:t>*******</w:t>
      </w:r>
      <w:r w:rsidRPr="007E36E2">
        <w:rPr>
          <w:rFonts w:ascii="Arial" w:eastAsia="Calibri" w:hAnsi="Arial" w:cs="Arial"/>
          <w:bCs/>
          <w:color w:val="000000" w:themeColor="text1"/>
          <w:sz w:val="26"/>
          <w:szCs w:val="26"/>
        </w:rPr>
        <w:t xml:space="preserve">, se encuentra debidamente fundada y motivada, pues en la misma se encuentra plasmado el artículo 106, fracción VI del Reglamento de Vialidad para el Municipio de Oaxaca de Juárez, que prevé la conducta ilegal del infractor, ordenamiento jurídico de orden público y de carácter obligatorio, y que tal como reza el principio general de derecho “LA IGNORANCIA DE LA LEY, NO EXIME DE SU CUMPLIMIENTO”; </w:t>
      </w:r>
      <w:r w:rsidRPr="007E36E2">
        <w:rPr>
          <w:rFonts w:ascii="Arial" w:eastAsiaTheme="minorHAnsi" w:hAnsi="Arial" w:cs="Arial"/>
          <w:bCs/>
          <w:iCs/>
          <w:sz w:val="26"/>
          <w:szCs w:val="26"/>
          <w:lang w:eastAsia="en-US"/>
        </w:rPr>
        <w:t xml:space="preserve">el efecto de cometerse una infracción prevista en el mismo, es el de hacerse acreedor a una sanción, y en el caso el infractor debió ser acreedor a la multa, la cual resulta ser la consecuencia de su conducta ilegal. </w:t>
      </w:r>
      <w:r w:rsidRPr="007E36E2">
        <w:rPr>
          <w:rFonts w:ascii="Arial" w:eastAsia="Calibri" w:hAnsi="Arial" w:cs="Arial"/>
          <w:bCs/>
          <w:color w:val="000000" w:themeColor="text1"/>
          <w:sz w:val="26"/>
          <w:szCs w:val="26"/>
        </w:rPr>
        <w:t xml:space="preserve">Tal como se desprende de la boleta de infracción que fue notificada al administrado el día quince de noviembre de dos mil </w:t>
      </w:r>
      <w:r w:rsidRPr="007E36E2">
        <w:rPr>
          <w:rFonts w:ascii="Arial" w:eastAsia="Calibri" w:hAnsi="Arial" w:cs="Arial"/>
          <w:bCs/>
          <w:color w:val="000000" w:themeColor="text1"/>
          <w:sz w:val="26"/>
          <w:szCs w:val="26"/>
        </w:rPr>
        <w:lastRenderedPageBreak/>
        <w:t xml:space="preserve">diecinueve, </w:t>
      </w:r>
      <w:bookmarkStart w:id="6" w:name="_Hlk99533130"/>
      <w:r w:rsidRPr="007E36E2">
        <w:rPr>
          <w:rFonts w:ascii="Arial" w:eastAsia="Calibri" w:hAnsi="Arial" w:cs="Arial"/>
          <w:bCs/>
          <w:sz w:val="26"/>
          <w:szCs w:val="26"/>
        </w:rPr>
        <w:t xml:space="preserve">por ello refiere que la sentencia no está apegada a derecho, ni fundada ni motivada.- - - - - - - - - - - - - - - - - - - - - - - - - - - - - - - - - -  - </w:t>
      </w:r>
    </w:p>
    <w:bookmarkEnd w:id="6"/>
    <w:p w14:paraId="262900A3" w14:textId="77777777" w:rsidR="007E36E2" w:rsidRPr="007E36E2" w:rsidRDefault="007E36E2" w:rsidP="007E36E2">
      <w:pPr>
        <w:spacing w:after="120" w:line="360" w:lineRule="auto"/>
        <w:ind w:firstLine="709"/>
        <w:jc w:val="both"/>
        <w:rPr>
          <w:rFonts w:ascii="Arial" w:eastAsia="Calibri" w:hAnsi="Arial" w:cs="Arial"/>
          <w:bCs/>
          <w:color w:val="000000" w:themeColor="text1"/>
          <w:sz w:val="26"/>
          <w:szCs w:val="26"/>
        </w:rPr>
      </w:pPr>
      <w:r w:rsidRPr="007E36E2">
        <w:rPr>
          <w:rFonts w:ascii="Arial" w:eastAsia="Calibri" w:hAnsi="Arial" w:cs="Arial"/>
          <w:sz w:val="26"/>
          <w:szCs w:val="26"/>
          <w:lang w:val="es-ES" w:eastAsia="en-US"/>
        </w:rPr>
        <w:t xml:space="preserve">Además menciona el revisionista </w:t>
      </w:r>
      <w:r w:rsidRPr="007E36E2">
        <w:rPr>
          <w:rFonts w:ascii="Arial" w:eastAsia="Calibri" w:hAnsi="Arial" w:cs="Arial"/>
          <w:bCs/>
          <w:sz w:val="26"/>
          <w:szCs w:val="26"/>
        </w:rPr>
        <w:t>q</w:t>
      </w:r>
      <w:r w:rsidRPr="007E36E2">
        <w:rPr>
          <w:rFonts w:ascii="Arial" w:eastAsia="Calibri" w:hAnsi="Arial" w:cs="Arial"/>
          <w:bCs/>
          <w:color w:val="000000" w:themeColor="text1"/>
          <w:sz w:val="26"/>
          <w:szCs w:val="26"/>
        </w:rPr>
        <w:t>ue, en el acta de infracción  citó las circunstancias de modo, tiempo</w:t>
      </w:r>
      <w:r w:rsidRPr="007E36E2">
        <w:rPr>
          <w:rFonts w:ascii="Arial" w:hAnsi="Arial" w:cs="Arial"/>
          <w:bCs/>
          <w:iCs/>
          <w:sz w:val="26"/>
          <w:szCs w:val="26"/>
        </w:rPr>
        <w:t xml:space="preserve"> </w:t>
      </w:r>
      <w:r w:rsidRPr="007E36E2">
        <w:rPr>
          <w:rFonts w:ascii="Arial" w:eastAsia="Calibri" w:hAnsi="Arial" w:cs="Arial"/>
          <w:bCs/>
          <w:color w:val="000000" w:themeColor="text1"/>
          <w:sz w:val="26"/>
          <w:szCs w:val="26"/>
        </w:rPr>
        <w:t>y lugar, las cuales resultan suficientes para cumplir con el requisito de fundamentación que exige el artículo 17 fracción V, de la Ley de Procedimiento y Justicia Administrativa para el Estado de Oaxaca, ya que señaló los preceptos jurídicos aplicables y se plasmaron las razones de la emisión del acta de infracción, las que fueron del conocimiento del infractor, sin que se le dejara en estado de indefensión.- - - - - - - - - - - - - - - - - - - - - - - - - - -</w:t>
      </w:r>
    </w:p>
    <w:p w14:paraId="0E0A4230" w14:textId="77777777" w:rsidR="007E36E2" w:rsidRPr="007E36E2" w:rsidRDefault="007E36E2" w:rsidP="007E36E2">
      <w:pPr>
        <w:spacing w:after="120" w:line="360" w:lineRule="auto"/>
        <w:ind w:firstLine="709"/>
        <w:jc w:val="both"/>
        <w:rPr>
          <w:rFonts w:ascii="Arial" w:eastAsia="Calibri" w:hAnsi="Arial" w:cs="Arial"/>
          <w:bCs/>
          <w:color w:val="000000" w:themeColor="text1"/>
          <w:sz w:val="26"/>
          <w:szCs w:val="26"/>
        </w:rPr>
      </w:pPr>
      <w:r w:rsidRPr="007E36E2">
        <w:rPr>
          <w:rFonts w:ascii="Arial" w:eastAsia="Calibri" w:hAnsi="Arial" w:cs="Arial"/>
          <w:bCs/>
          <w:color w:val="000000" w:themeColor="text1"/>
          <w:sz w:val="26"/>
          <w:szCs w:val="26"/>
        </w:rPr>
        <w:t xml:space="preserve">También refiere que como Policía Vial, señaló la falta administrativa en que incurrió la parte actora consistente en “REALIZAR REPARACIONES EN LA VÍA PÚBLICA”, e indicó como fundamentación “Artículo 106 fracción VI” del Reglamento de Vialidad, con lo que el acto impugnado se encuentra debidamente fundado y motivado, sin que el la Titular de la Quinta Sala lo haya tomado en cuenta, razón por la cual, indica que es claro que no hizo una valoración correcta de las pruebas que obran en autos (acta de infracción impugnada), la cual cumple con los requisitos de validez contemplados en el artículo 17 de la Ley de Procedimiento y Justicia Administrativa para el Estado de Oaxaca.- - - - </w:t>
      </w:r>
    </w:p>
    <w:p w14:paraId="3A99DE2A" w14:textId="77777777" w:rsidR="007E36E2" w:rsidRPr="007E36E2" w:rsidRDefault="007E36E2" w:rsidP="007E36E2">
      <w:pPr>
        <w:spacing w:after="120" w:line="360" w:lineRule="auto"/>
        <w:ind w:firstLine="709"/>
        <w:jc w:val="both"/>
        <w:rPr>
          <w:rFonts w:ascii="Arial" w:eastAsia="Calibri" w:hAnsi="Arial" w:cs="Arial"/>
          <w:bCs/>
          <w:color w:val="000000" w:themeColor="text1"/>
          <w:sz w:val="26"/>
          <w:szCs w:val="26"/>
        </w:rPr>
      </w:pPr>
      <w:r w:rsidRPr="007E36E2">
        <w:rPr>
          <w:rFonts w:ascii="Arial" w:eastAsia="Calibri" w:hAnsi="Arial" w:cs="Arial"/>
          <w:bCs/>
          <w:color w:val="000000" w:themeColor="text1"/>
          <w:sz w:val="26"/>
          <w:szCs w:val="26"/>
        </w:rPr>
        <w:t xml:space="preserve">En su </w:t>
      </w:r>
      <w:r w:rsidRPr="007E36E2">
        <w:rPr>
          <w:rFonts w:ascii="Arial" w:eastAsia="Calibri" w:hAnsi="Arial" w:cs="Arial"/>
          <w:b/>
          <w:color w:val="000000" w:themeColor="text1"/>
          <w:sz w:val="26"/>
          <w:szCs w:val="26"/>
        </w:rPr>
        <w:t>agravio segundo</w:t>
      </w:r>
      <w:r w:rsidRPr="007E36E2">
        <w:rPr>
          <w:rFonts w:ascii="Arial" w:eastAsia="Calibri" w:hAnsi="Arial" w:cs="Arial"/>
          <w:bCs/>
          <w:color w:val="000000" w:themeColor="text1"/>
          <w:sz w:val="26"/>
          <w:szCs w:val="26"/>
        </w:rPr>
        <w:t xml:space="preserve">, señala 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 fracción V de la Ley de Procedimiento y Justicia Administrativa para el Estado de Oaxaca.- - - - - - - - - - - - - - - - </w:t>
      </w:r>
    </w:p>
    <w:bookmarkEnd w:id="4"/>
    <w:bookmarkEnd w:id="5"/>
    <w:p w14:paraId="3BECC9F9" w14:textId="77777777" w:rsidR="007E36E2" w:rsidRPr="007E36E2" w:rsidRDefault="007E36E2" w:rsidP="007E36E2">
      <w:pPr>
        <w:spacing w:before="120" w:after="0" w:line="360" w:lineRule="auto"/>
        <w:ind w:firstLine="708"/>
        <w:jc w:val="both"/>
        <w:rPr>
          <w:rFonts w:ascii="Arial" w:hAnsi="Arial" w:cs="Arial"/>
          <w:bCs/>
          <w:iCs/>
          <w:sz w:val="26"/>
          <w:szCs w:val="26"/>
          <w:lang w:eastAsia="es-ES"/>
        </w:rPr>
      </w:pPr>
      <w:r w:rsidRPr="007E36E2">
        <w:rPr>
          <w:rFonts w:ascii="Arial" w:eastAsia="Calibri" w:hAnsi="Arial" w:cs="Arial"/>
          <w:b/>
          <w:bCs/>
          <w:sz w:val="26"/>
          <w:szCs w:val="26"/>
        </w:rPr>
        <w:t xml:space="preserve">Los </w:t>
      </w:r>
      <w:r w:rsidRPr="007E36E2">
        <w:rPr>
          <w:rFonts w:ascii="Arial" w:eastAsia="Calibri" w:hAnsi="Arial" w:cs="Arial"/>
          <w:bCs/>
          <w:sz w:val="26"/>
          <w:szCs w:val="26"/>
        </w:rPr>
        <w:t xml:space="preserve">agravios expuestos por la recurrente son </w:t>
      </w:r>
      <w:r w:rsidRPr="007E36E2">
        <w:rPr>
          <w:rFonts w:ascii="Arial" w:eastAsia="Calibri" w:hAnsi="Arial" w:cs="Arial"/>
          <w:b/>
          <w:bCs/>
          <w:sz w:val="26"/>
          <w:szCs w:val="26"/>
        </w:rPr>
        <w:t xml:space="preserve">INFUNDADOS, </w:t>
      </w:r>
      <w:r w:rsidRPr="007E36E2">
        <w:rPr>
          <w:rFonts w:ascii="Arial" w:eastAsia="Calibri" w:hAnsi="Arial" w:cs="Arial"/>
          <w:bCs/>
          <w:sz w:val="26"/>
          <w:szCs w:val="26"/>
        </w:rPr>
        <w:t>porque del</w:t>
      </w:r>
      <w:r w:rsidRPr="007E36E2">
        <w:rPr>
          <w:rFonts w:ascii="Arial" w:eastAsia="Calibri" w:hAnsi="Arial" w:cs="Arial"/>
          <w:sz w:val="26"/>
          <w:szCs w:val="26"/>
        </w:rPr>
        <w:t xml:space="preserve"> </w:t>
      </w:r>
      <w:r w:rsidRPr="007E36E2">
        <w:rPr>
          <w:rFonts w:ascii="Arial" w:eastAsia="Calibri" w:hAnsi="Arial" w:cs="Arial"/>
          <w:bCs/>
          <w:sz w:val="26"/>
          <w:szCs w:val="26"/>
        </w:rPr>
        <w:t xml:space="preserve">análisis de las constancias </w:t>
      </w:r>
      <w:r w:rsidRPr="007E36E2">
        <w:rPr>
          <w:rFonts w:ascii="Arial" w:hAnsi="Arial" w:cs="Arial"/>
          <w:color w:val="000000"/>
          <w:sz w:val="26"/>
          <w:szCs w:val="26"/>
        </w:rPr>
        <w:t xml:space="preserve">que integran el expediente de Primera Instancia remitido para la substanciación del presente recurso, con valor probatorio pleno, por tratarse de actuaciones procesales, conforme a lo dispuesto por el artículo </w:t>
      </w:r>
      <w:bookmarkStart w:id="7" w:name="_Hlk77171460"/>
      <w:r w:rsidRPr="007E36E2">
        <w:rPr>
          <w:rFonts w:ascii="Arial" w:hAnsi="Arial" w:cs="Arial"/>
          <w:color w:val="000000"/>
          <w:sz w:val="26"/>
          <w:szCs w:val="26"/>
        </w:rPr>
        <w:t xml:space="preserve">203, </w:t>
      </w:r>
      <w:r w:rsidRPr="007E36E2">
        <w:rPr>
          <w:rFonts w:ascii="Arial" w:eastAsia="Calibri" w:hAnsi="Arial" w:cs="Arial"/>
          <w:bCs/>
          <w:sz w:val="26"/>
          <w:szCs w:val="26"/>
          <w:lang w:val="es-ES" w:eastAsia="en-US"/>
        </w:rPr>
        <w:t>fracción I</w:t>
      </w:r>
      <w:r w:rsidRPr="007E36E2">
        <w:rPr>
          <w:rFonts w:ascii="Arial" w:eastAsia="Calibri" w:hAnsi="Arial" w:cs="Arial"/>
          <w:bCs/>
          <w:sz w:val="26"/>
          <w:szCs w:val="26"/>
          <w:vertAlign w:val="superscript"/>
          <w:lang w:val="es-ES" w:eastAsia="en-US"/>
        </w:rPr>
        <w:footnoteReference w:id="1"/>
      </w:r>
      <w:r w:rsidRPr="007E36E2">
        <w:rPr>
          <w:rFonts w:ascii="Arial" w:hAnsi="Arial" w:cs="Arial"/>
          <w:bCs/>
          <w:color w:val="000000"/>
          <w:sz w:val="26"/>
          <w:szCs w:val="26"/>
        </w:rPr>
        <w:t xml:space="preserve"> </w:t>
      </w:r>
      <w:r w:rsidRPr="007E36E2">
        <w:rPr>
          <w:rFonts w:ascii="Arial" w:hAnsi="Arial" w:cs="Arial"/>
          <w:color w:val="000000"/>
          <w:sz w:val="26"/>
          <w:szCs w:val="26"/>
        </w:rPr>
        <w:t xml:space="preserve"> de la Ley de Procedimiento y Justicia Administrativa para el Estado de Oaxaca</w:t>
      </w:r>
      <w:bookmarkEnd w:id="7"/>
      <w:r w:rsidRPr="007E36E2">
        <w:rPr>
          <w:rFonts w:ascii="Arial" w:hAnsi="Arial" w:cs="Arial"/>
          <w:color w:val="000000"/>
          <w:sz w:val="26"/>
          <w:szCs w:val="26"/>
        </w:rPr>
        <w:t xml:space="preserve">, se </w:t>
      </w:r>
      <w:r w:rsidRPr="007E36E2">
        <w:rPr>
          <w:rFonts w:ascii="Arial" w:hAnsi="Arial" w:cs="Arial"/>
          <w:color w:val="000000"/>
          <w:sz w:val="26"/>
          <w:szCs w:val="26"/>
        </w:rPr>
        <w:lastRenderedPageBreak/>
        <w:t xml:space="preserve">tiene la sentencia de </w:t>
      </w:r>
      <w:r w:rsidRPr="007E36E2">
        <w:rPr>
          <w:rFonts w:ascii="Arial" w:hAnsi="Arial" w:cs="Arial"/>
          <w:bCs/>
          <w:color w:val="000000"/>
          <w:sz w:val="26"/>
          <w:szCs w:val="26"/>
        </w:rPr>
        <w:t>quince de diciembre de dos mil veintiuno</w:t>
      </w:r>
      <w:r w:rsidRPr="007E36E2">
        <w:rPr>
          <w:rFonts w:ascii="Arial" w:hAnsi="Arial" w:cs="Arial"/>
          <w:bCs/>
          <w:iCs/>
          <w:sz w:val="26"/>
          <w:szCs w:val="26"/>
          <w:lang w:eastAsia="es-ES"/>
        </w:rPr>
        <w:t>, en la que en su considerando CUARTO se encuentra la siguiente determinación:</w:t>
      </w:r>
    </w:p>
    <w:p w14:paraId="060D31B3" w14:textId="77777777" w:rsidR="007E36E2" w:rsidRPr="007E36E2" w:rsidRDefault="007E36E2" w:rsidP="007E36E2">
      <w:pPr>
        <w:spacing w:before="120" w:after="0" w:line="360" w:lineRule="auto"/>
        <w:ind w:left="851" w:right="900" w:firstLine="567"/>
        <w:jc w:val="both"/>
        <w:rPr>
          <w:rFonts w:ascii="Arial" w:hAnsi="Arial" w:cs="Arial"/>
          <w:bCs/>
          <w:i/>
          <w:iCs/>
          <w:lang w:eastAsia="es-ES"/>
        </w:rPr>
      </w:pPr>
      <w:r w:rsidRPr="007E36E2">
        <w:rPr>
          <w:rFonts w:ascii="Arial" w:hAnsi="Arial" w:cs="Arial"/>
          <w:bCs/>
          <w:i/>
          <w:iCs/>
          <w:lang w:eastAsia="es-ES"/>
        </w:rPr>
        <w:t>“</w:t>
      </w:r>
      <w:r w:rsidRPr="007E36E2">
        <w:rPr>
          <w:rFonts w:ascii="Arial" w:hAnsi="Arial" w:cs="Arial"/>
          <w:b/>
          <w:bCs/>
          <w:i/>
          <w:iCs/>
          <w:lang w:eastAsia="es-ES"/>
        </w:rPr>
        <w:t xml:space="preserve">CUARTO. </w:t>
      </w:r>
      <w:r w:rsidRPr="007E36E2">
        <w:rPr>
          <w:rFonts w:ascii="Arial" w:hAnsi="Arial" w:cs="Arial"/>
          <w:bCs/>
          <w:i/>
          <w:iCs/>
          <w:lang w:eastAsia="es-ES"/>
        </w:rPr>
        <w:t xml:space="preserve">[…] </w:t>
      </w:r>
    </w:p>
    <w:p w14:paraId="43384425" w14:textId="71B0D5C5" w:rsidR="007E36E2" w:rsidRPr="007E36E2" w:rsidRDefault="007E36E2" w:rsidP="007E36E2">
      <w:pPr>
        <w:spacing w:before="120" w:after="0" w:line="360" w:lineRule="auto"/>
        <w:ind w:left="851" w:right="616" w:firstLine="567"/>
        <w:jc w:val="both"/>
        <w:rPr>
          <w:rFonts w:ascii="Arial" w:hAnsi="Arial" w:cs="Arial"/>
          <w:bCs/>
          <w:i/>
          <w:iCs/>
          <w:lang w:eastAsia="es-ES"/>
        </w:rPr>
      </w:pPr>
      <w:r w:rsidRPr="007E36E2">
        <w:rPr>
          <w:rFonts w:ascii="Arial" w:hAnsi="Arial" w:cs="Arial"/>
          <w:bCs/>
          <w:i/>
          <w:iCs/>
          <w:lang w:eastAsia="es-ES"/>
        </w:rPr>
        <w:t xml:space="preserve">Ahora bien, esta juzgadora, después de haber realizado el estudio al contenido del acta de infracción con número de folio </w:t>
      </w:r>
      <w:r w:rsidR="00EC0FBA">
        <w:rPr>
          <w:rFonts w:ascii="Arial" w:hAnsi="Arial" w:cs="Arial"/>
          <w:b/>
          <w:bCs/>
          <w:sz w:val="26"/>
          <w:szCs w:val="26"/>
        </w:rPr>
        <w:t xml:space="preserve">******* </w:t>
      </w:r>
      <w:r w:rsidRPr="007E36E2">
        <w:rPr>
          <w:rFonts w:ascii="Arial" w:hAnsi="Arial" w:cs="Arial"/>
          <w:bCs/>
          <w:i/>
          <w:iCs/>
          <w:lang w:eastAsia="es-ES"/>
        </w:rPr>
        <w:t xml:space="preserve">de quince de noviembre de dos mil diecinueve, signado por la </w:t>
      </w:r>
      <w:r w:rsidRPr="007E36E2">
        <w:rPr>
          <w:rFonts w:ascii="Arial" w:hAnsi="Arial" w:cs="Arial"/>
          <w:b/>
          <w:bCs/>
          <w:i/>
          <w:iCs/>
          <w:lang w:eastAsia="es-ES"/>
        </w:rPr>
        <w:t xml:space="preserve">Policía Vial </w:t>
      </w:r>
      <w:r w:rsidRPr="007E36E2">
        <w:rPr>
          <w:rFonts w:ascii="Arial" w:hAnsi="Arial" w:cs="Arial"/>
          <w:bCs/>
          <w:i/>
          <w:iCs/>
          <w:lang w:eastAsia="es-ES"/>
        </w:rPr>
        <w:t xml:space="preserve">con número estadístico PV-170, adscrita a la Subdirección de Tránsito y Movilidad del Municipio de Oaxaca de Juárez, Ricardo Pérez Reyes, advierte que son </w:t>
      </w:r>
      <w:r w:rsidRPr="007E36E2">
        <w:rPr>
          <w:rFonts w:ascii="Arial" w:hAnsi="Arial" w:cs="Arial"/>
          <w:b/>
          <w:bCs/>
          <w:i/>
          <w:iCs/>
          <w:lang w:eastAsia="es-ES"/>
        </w:rPr>
        <w:t xml:space="preserve">fundados </w:t>
      </w:r>
      <w:r w:rsidRPr="007E36E2">
        <w:rPr>
          <w:rFonts w:ascii="Arial" w:hAnsi="Arial" w:cs="Arial"/>
          <w:bCs/>
          <w:i/>
          <w:iCs/>
          <w:lang w:eastAsia="es-ES"/>
        </w:rPr>
        <w:t>los conceptos de impugnación hechos valer por el actor en el sentido que el acto impugnado carece de la debida fundamentación y motivación, en virtud que la autoridad demanda no motivó el acta de infracción, puesto que el espacio preestablecido para tal concepto lo dejó vacío, y; por lo que compete a fundamentación únicamente insertó: “Artículo 106 fracción VI”, advirtiéndose de lo antes plasmado que la demanda no motiva las razones o causas inmediatas que lo llevaron a concluir que el supuesto infractor había realizado la conducta infractora, más aun cuando en su fundamentación si bien es cierto que plasmó el numeral 106, fracción VI del Reglamento de Vialidad para el Municipio de Oaxaca de Juárez, también lo es que dicho precepto legal contempla cinco supuestos diversos, los cuales no pueden acontecer en un mismo momento.</w:t>
      </w:r>
    </w:p>
    <w:p w14:paraId="609B080C" w14:textId="68A6BAB4" w:rsidR="007E36E2" w:rsidRPr="007E36E2" w:rsidRDefault="007E36E2" w:rsidP="007E36E2">
      <w:pPr>
        <w:spacing w:after="120" w:line="360" w:lineRule="auto"/>
        <w:ind w:left="851" w:right="616" w:firstLine="567"/>
        <w:jc w:val="both"/>
        <w:rPr>
          <w:rFonts w:ascii="Arial" w:hAnsi="Arial" w:cs="Arial"/>
          <w:bCs/>
          <w:i/>
          <w:iCs/>
          <w:lang w:eastAsia="es-ES"/>
        </w:rPr>
      </w:pPr>
      <w:r w:rsidRPr="007E36E2">
        <w:rPr>
          <w:rFonts w:ascii="Arial" w:hAnsi="Arial" w:cs="Arial"/>
          <w:bCs/>
          <w:i/>
          <w:iCs/>
          <w:lang w:eastAsia="es-ES"/>
        </w:rPr>
        <w:t xml:space="preserve">De lo que se concluye que al no existir una adecuada fundamentación y motivación del acto que se combate, (sic) dejando con ello en estado de indefensión al actor, al no tener la certeza jurídica del motivo por el cual se le infracción, ya que la autoridad demandada no fundó ni motivó adecuadamente su actuar, provocando con ello la ilegalidad del acto combatido; con fundamento en lo dispuesto por el artículo 208 fracción VI, de la Ley de Procedimiento y Justicia Administrativa para el Estado de Oaxaca, se declara la </w:t>
      </w:r>
      <w:r w:rsidRPr="007E36E2">
        <w:rPr>
          <w:rFonts w:ascii="Arial" w:hAnsi="Arial" w:cs="Arial"/>
          <w:b/>
          <w:bCs/>
          <w:i/>
          <w:iCs/>
          <w:lang w:eastAsia="es-ES"/>
        </w:rPr>
        <w:t xml:space="preserve">NULIDAD LISA Y LLANA </w:t>
      </w:r>
      <w:r w:rsidRPr="007E36E2">
        <w:rPr>
          <w:rFonts w:ascii="Arial" w:hAnsi="Arial" w:cs="Arial"/>
          <w:bCs/>
          <w:i/>
          <w:iCs/>
          <w:lang w:eastAsia="es-ES"/>
        </w:rPr>
        <w:t xml:space="preserve">del acto de infracción con número de folio </w:t>
      </w:r>
      <w:r w:rsidR="00EC0FBA">
        <w:rPr>
          <w:rFonts w:ascii="Arial" w:hAnsi="Arial" w:cs="Arial"/>
          <w:b/>
          <w:bCs/>
          <w:sz w:val="26"/>
          <w:szCs w:val="26"/>
        </w:rPr>
        <w:t>*******</w:t>
      </w:r>
      <w:r w:rsidRPr="007E36E2">
        <w:rPr>
          <w:rFonts w:ascii="Arial" w:hAnsi="Arial" w:cs="Arial"/>
          <w:b/>
          <w:bCs/>
          <w:i/>
          <w:iCs/>
          <w:lang w:eastAsia="es-ES"/>
        </w:rPr>
        <w:t xml:space="preserve"> </w:t>
      </w:r>
      <w:r w:rsidRPr="007E36E2">
        <w:rPr>
          <w:rFonts w:ascii="Arial" w:hAnsi="Arial" w:cs="Arial"/>
          <w:bCs/>
          <w:i/>
          <w:iCs/>
          <w:lang w:eastAsia="es-ES"/>
        </w:rPr>
        <w:t xml:space="preserve"> de quince de noviembre de dos mil diecinueve, emitida por la </w:t>
      </w:r>
      <w:r w:rsidRPr="007E36E2">
        <w:rPr>
          <w:rFonts w:ascii="Arial" w:hAnsi="Arial" w:cs="Arial"/>
          <w:b/>
          <w:bCs/>
          <w:i/>
          <w:iCs/>
          <w:lang w:eastAsia="es-ES"/>
        </w:rPr>
        <w:t xml:space="preserve">Policía Vial </w:t>
      </w:r>
      <w:r w:rsidRPr="007E36E2">
        <w:rPr>
          <w:rFonts w:ascii="Arial" w:hAnsi="Arial" w:cs="Arial"/>
          <w:bCs/>
          <w:i/>
          <w:iCs/>
          <w:lang w:eastAsia="es-ES"/>
        </w:rPr>
        <w:t>con número estadístico PV-170, Erika Trinidad Pérez Canseco, adscrita a la Subdirección de Tránsito y Movilidad del Municipio de Oaxaca de Juárez, ordenándose dar de baja el acto impugnado de los registros correspondientes de la autoridad demandada.”</w:t>
      </w:r>
    </w:p>
    <w:p w14:paraId="36908E93" w14:textId="650258E0" w:rsidR="007E36E2" w:rsidRPr="007E36E2" w:rsidRDefault="007E36E2" w:rsidP="007E36E2">
      <w:pPr>
        <w:spacing w:after="120" w:line="360" w:lineRule="auto"/>
        <w:ind w:firstLine="709"/>
        <w:jc w:val="both"/>
        <w:rPr>
          <w:rFonts w:ascii="Arial" w:eastAsia="Calibri" w:hAnsi="Arial" w:cs="Arial"/>
          <w:bCs/>
          <w:sz w:val="26"/>
          <w:szCs w:val="26"/>
        </w:rPr>
      </w:pPr>
      <w:r w:rsidRPr="007E36E2">
        <w:rPr>
          <w:rFonts w:ascii="Arial" w:eastAsia="Calibri" w:hAnsi="Arial" w:cs="Arial"/>
          <w:bCs/>
          <w:color w:val="000000" w:themeColor="text1"/>
          <w:sz w:val="26"/>
          <w:szCs w:val="26"/>
        </w:rPr>
        <w:t xml:space="preserve">Transcripción de la que </w:t>
      </w:r>
      <w:r w:rsidRPr="007E36E2">
        <w:rPr>
          <w:rFonts w:ascii="Arial" w:eastAsia="Calibri" w:hAnsi="Arial" w:cs="Arial"/>
          <w:bCs/>
          <w:sz w:val="26"/>
          <w:szCs w:val="26"/>
        </w:rPr>
        <w:t xml:space="preserve">se advierte que, la sentencia combatida se encuentra emitida en forma congruente con el acto impugnado (acta de infracción), pues de su contenido se tiene que la Primera Instancia para arribar a la conclusión de que el acta de infracción folio </w:t>
      </w:r>
      <w:r w:rsidR="00EC0FBA">
        <w:rPr>
          <w:rFonts w:ascii="Arial" w:hAnsi="Arial" w:cs="Arial"/>
          <w:b/>
          <w:bCs/>
          <w:sz w:val="26"/>
          <w:szCs w:val="26"/>
        </w:rPr>
        <w:t>*******</w:t>
      </w:r>
      <w:r w:rsidRPr="007E36E2">
        <w:rPr>
          <w:rFonts w:ascii="Arial" w:eastAsia="Calibri" w:hAnsi="Arial" w:cs="Arial"/>
          <w:bCs/>
          <w:sz w:val="26"/>
          <w:szCs w:val="26"/>
        </w:rPr>
        <w:t xml:space="preserve"> de quince de noviembre de dos mil diecinueve, no se encontraba debidamente fundada y motivada, realizó primeramente una exposición </w:t>
      </w:r>
      <w:r w:rsidRPr="007E36E2">
        <w:rPr>
          <w:rFonts w:ascii="Arial" w:eastAsia="Calibri" w:hAnsi="Arial" w:cs="Arial"/>
          <w:bCs/>
          <w:sz w:val="26"/>
          <w:szCs w:val="26"/>
        </w:rPr>
        <w:lastRenderedPageBreak/>
        <w:t xml:space="preserve">de lo planteado por las partes, así como un análisis detallado del acto impugnado, para después proceder a declarar la nulidad lisa y llana del acta de infracción impugnada, al no cumplir con lo estatuido en la </w:t>
      </w:r>
      <w:r w:rsidRPr="007E36E2">
        <w:rPr>
          <w:rFonts w:ascii="Arial" w:eastAsia="Calibri" w:hAnsi="Arial" w:cs="Arial"/>
          <w:bCs/>
          <w:color w:val="000000" w:themeColor="text1"/>
          <w:sz w:val="26"/>
          <w:szCs w:val="26"/>
        </w:rPr>
        <w:t>fracción V del artículo 17</w:t>
      </w:r>
      <w:r w:rsidRPr="007E36E2">
        <w:rPr>
          <w:rFonts w:ascii="Arial" w:eastAsia="Calibri" w:hAnsi="Arial" w:cs="Arial"/>
          <w:bCs/>
          <w:color w:val="000000" w:themeColor="text1"/>
          <w:sz w:val="26"/>
          <w:szCs w:val="26"/>
          <w:vertAlign w:val="superscript"/>
        </w:rPr>
        <w:footnoteReference w:id="2"/>
      </w:r>
      <w:r w:rsidRPr="007E36E2">
        <w:rPr>
          <w:rFonts w:ascii="Arial" w:eastAsia="Calibri" w:hAnsi="Arial" w:cs="Arial"/>
          <w:bCs/>
          <w:color w:val="000000" w:themeColor="text1"/>
          <w:sz w:val="26"/>
          <w:szCs w:val="26"/>
        </w:rPr>
        <w:t xml:space="preserve"> de la Ley de Procedimiento y Justicia Administrativa para el Estado de Oaxaca</w:t>
      </w:r>
      <w:r w:rsidRPr="007E36E2">
        <w:rPr>
          <w:rFonts w:ascii="Arial" w:eastAsia="Calibri" w:hAnsi="Arial" w:cs="Arial"/>
          <w:bCs/>
          <w:sz w:val="26"/>
          <w:szCs w:val="26"/>
        </w:rPr>
        <w:t xml:space="preserve">, esto, porque la </w:t>
      </w:r>
      <w:r w:rsidRPr="007E36E2">
        <w:rPr>
          <w:rFonts w:ascii="Arial" w:eastAsia="Calibri" w:hAnsi="Arial" w:cs="Arial"/>
          <w:b/>
          <w:bCs/>
          <w:sz w:val="26"/>
          <w:szCs w:val="26"/>
        </w:rPr>
        <w:t>Policía Vial con número estadístico PV-170, adscrita a la Subdirección de Tránsito y Movilidad del Municipio de Oaxaca de Juárez</w:t>
      </w:r>
      <w:r w:rsidRPr="007E36E2">
        <w:rPr>
          <w:rFonts w:ascii="Arial" w:eastAsia="Calibri" w:hAnsi="Arial" w:cs="Arial"/>
          <w:bCs/>
          <w:sz w:val="26"/>
          <w:szCs w:val="26"/>
        </w:rPr>
        <w:t xml:space="preserve">, no precisó con argumentos lógico jurídicos las circunstancias por las cuales estimó que el actor había cometido una falta al Reglamento de Vialidad para el Municipio de Oaxaca de Juárez, soslayando cumplir con la obligación de fundar y motivar el acta de infracción impugnada, pues debió expresar con precisión el o los preceptos legales aplicables al caso y señalar las circunstancias especiales, razones particulares o cosas inmediatas que haya tenido en consideración para la emisión del acto.- - - - - - - - - - - - - </w:t>
      </w:r>
    </w:p>
    <w:p w14:paraId="62BA6B8D" w14:textId="715D448F" w:rsidR="007E36E2" w:rsidRPr="007E36E2" w:rsidRDefault="007E36E2" w:rsidP="007E36E2">
      <w:pPr>
        <w:spacing w:before="120" w:after="0" w:line="360" w:lineRule="auto"/>
        <w:ind w:firstLine="708"/>
        <w:jc w:val="both"/>
        <w:rPr>
          <w:rFonts w:ascii="Arial" w:hAnsi="Arial" w:cs="Arial"/>
          <w:bCs/>
          <w:sz w:val="26"/>
          <w:szCs w:val="26"/>
          <w:lang w:eastAsia="es-ES"/>
        </w:rPr>
      </w:pPr>
      <w:r w:rsidRPr="007E36E2">
        <w:rPr>
          <w:rFonts w:ascii="Arial" w:eastAsia="Calibri" w:hAnsi="Arial" w:cs="Arial"/>
          <w:bCs/>
          <w:sz w:val="26"/>
          <w:szCs w:val="26"/>
        </w:rPr>
        <w:t xml:space="preserve">Por tanto, la afirmación de la inconforme de que la Primera Instancia no hizo una valoración correcta del acta de infracción, resulta equivocada, porque la determinación de la A quo, se basó precisamente en el análisis y valoración que realizó del acta de infracción folio </w:t>
      </w:r>
      <w:r w:rsidR="00EC0FBA">
        <w:rPr>
          <w:rFonts w:ascii="Arial" w:hAnsi="Arial" w:cs="Arial"/>
          <w:b/>
          <w:bCs/>
          <w:sz w:val="26"/>
          <w:szCs w:val="26"/>
        </w:rPr>
        <w:t xml:space="preserve">******* </w:t>
      </w:r>
      <w:r w:rsidRPr="007E36E2">
        <w:rPr>
          <w:rFonts w:ascii="Arial" w:eastAsia="Calibri" w:hAnsi="Arial" w:cs="Arial"/>
          <w:bCs/>
          <w:sz w:val="26"/>
          <w:szCs w:val="26"/>
        </w:rPr>
        <w:t>de quince de noviembre de dos mil diecinueve</w:t>
      </w:r>
      <w:r w:rsidRPr="007E36E2">
        <w:rPr>
          <w:rFonts w:ascii="Arial" w:hAnsi="Arial" w:cs="Arial"/>
          <w:bCs/>
          <w:sz w:val="26"/>
          <w:szCs w:val="26"/>
          <w:lang w:eastAsia="es-ES"/>
        </w:rPr>
        <w:t xml:space="preserve">. - - - - - - - - - - - - - - - - - - </w:t>
      </w:r>
    </w:p>
    <w:p w14:paraId="24BCEB5F" w14:textId="77777777" w:rsidR="007E36E2" w:rsidRPr="007E36E2" w:rsidRDefault="007E36E2" w:rsidP="007E36E2">
      <w:pPr>
        <w:spacing w:after="0" w:line="240" w:lineRule="auto"/>
        <w:rPr>
          <w:lang w:val="es-ES" w:eastAsia="es-ES"/>
        </w:rPr>
      </w:pPr>
    </w:p>
    <w:p w14:paraId="7E9E6B9B" w14:textId="62BE9119" w:rsidR="007E36E2" w:rsidRPr="007E36E2" w:rsidRDefault="007E36E2" w:rsidP="007E36E2">
      <w:pPr>
        <w:spacing w:after="120" w:line="360" w:lineRule="auto"/>
        <w:ind w:right="-93" w:firstLine="567"/>
        <w:jc w:val="both"/>
        <w:rPr>
          <w:rFonts w:ascii="Arial" w:hAnsi="Arial" w:cs="Arial"/>
          <w:bCs/>
          <w:sz w:val="26"/>
          <w:szCs w:val="26"/>
          <w:lang w:eastAsia="es-ES"/>
        </w:rPr>
      </w:pPr>
      <w:r w:rsidRPr="007E36E2">
        <w:rPr>
          <w:rFonts w:ascii="Arial" w:eastAsia="Calibri" w:hAnsi="Arial" w:cs="Arial"/>
          <w:bCs/>
          <w:sz w:val="26"/>
          <w:szCs w:val="26"/>
        </w:rPr>
        <w:t xml:space="preserve">Además, </w:t>
      </w:r>
      <w:r w:rsidRPr="007E36E2">
        <w:rPr>
          <w:rFonts w:ascii="Arial" w:eastAsia="Calibri" w:hAnsi="Arial" w:cs="Arial"/>
          <w:bCs/>
          <w:color w:val="000000" w:themeColor="text1"/>
          <w:sz w:val="26"/>
          <w:szCs w:val="26"/>
        </w:rPr>
        <w:t xml:space="preserve">de la transcripción del considerando cuarto de la  sentencia de quince de diciembre de dos mil veintiuno, se tiene que </w:t>
      </w:r>
      <w:r w:rsidRPr="007E36E2">
        <w:rPr>
          <w:rFonts w:ascii="Arial" w:eastAsia="Calibri" w:hAnsi="Arial" w:cs="Arial"/>
          <w:bCs/>
          <w:sz w:val="26"/>
          <w:szCs w:val="26"/>
        </w:rPr>
        <w:t xml:space="preserve">la Primera Instancia sí fundó y motivó su determinación, cuando señaló las razones por las que consideró que el acta de infracción con número de folio </w:t>
      </w:r>
      <w:r w:rsidR="00EC0FBA">
        <w:rPr>
          <w:rFonts w:ascii="Arial" w:hAnsi="Arial" w:cs="Arial"/>
          <w:b/>
          <w:bCs/>
          <w:sz w:val="26"/>
          <w:szCs w:val="26"/>
        </w:rPr>
        <w:t>*******</w:t>
      </w:r>
      <w:r w:rsidRPr="007E36E2">
        <w:rPr>
          <w:rFonts w:ascii="Arial" w:eastAsia="Calibri" w:hAnsi="Arial" w:cs="Arial"/>
          <w:bCs/>
          <w:sz w:val="26"/>
          <w:szCs w:val="26"/>
        </w:rPr>
        <w:t xml:space="preserve">, carece de la debida fundamentación y motivación, ya que citó los preceptos legales y los criterios con los que sustentó sus consideraciones para arribar a la conclusión que la </w:t>
      </w:r>
      <w:r w:rsidRPr="007E36E2">
        <w:rPr>
          <w:rFonts w:ascii="Arial" w:eastAsia="Calibri" w:hAnsi="Arial" w:cs="Arial"/>
          <w:b/>
          <w:bCs/>
          <w:sz w:val="26"/>
          <w:szCs w:val="26"/>
        </w:rPr>
        <w:t>Policía Vial con</w:t>
      </w:r>
      <w:r w:rsidRPr="007E36E2">
        <w:rPr>
          <w:rFonts w:ascii="Arial" w:eastAsia="Calibri" w:hAnsi="Arial" w:cs="Arial"/>
          <w:bCs/>
          <w:sz w:val="26"/>
          <w:szCs w:val="26"/>
        </w:rPr>
        <w:t xml:space="preserve"> </w:t>
      </w:r>
      <w:r w:rsidRPr="007E36E2">
        <w:rPr>
          <w:rFonts w:ascii="Arial" w:eastAsia="Calibri" w:hAnsi="Arial" w:cs="Arial"/>
          <w:b/>
          <w:bCs/>
          <w:sz w:val="26"/>
          <w:szCs w:val="26"/>
        </w:rPr>
        <w:t>número estadístico PV-170</w:t>
      </w:r>
      <w:r w:rsidRPr="007E36E2">
        <w:rPr>
          <w:rFonts w:ascii="Arial" w:eastAsia="Calibri" w:hAnsi="Arial" w:cs="Arial"/>
          <w:bCs/>
          <w:sz w:val="26"/>
          <w:szCs w:val="26"/>
        </w:rPr>
        <w:t>, soslayó cumplir con la obligación de fundar y motivar el acto impugnado</w:t>
      </w:r>
      <w:bookmarkStart w:id="8" w:name="_Hlk99544118"/>
      <w:r w:rsidRPr="007E36E2">
        <w:rPr>
          <w:rFonts w:ascii="Arial" w:eastAsia="Calibri" w:hAnsi="Arial" w:cs="Arial"/>
          <w:bCs/>
          <w:sz w:val="26"/>
          <w:szCs w:val="26"/>
        </w:rPr>
        <w:t xml:space="preserve">. Asimismo, del </w:t>
      </w:r>
      <w:r w:rsidRPr="007E36E2">
        <w:rPr>
          <w:rFonts w:ascii="Arial" w:eastAsia="Calibri" w:hAnsi="Arial" w:cs="Arial"/>
          <w:bCs/>
          <w:color w:val="000000" w:themeColor="text1"/>
          <w:sz w:val="26"/>
          <w:szCs w:val="26"/>
        </w:rPr>
        <w:t>contenido de la sentencia, se advierte lo siguiente:</w:t>
      </w:r>
      <w:bookmarkEnd w:id="8"/>
      <w:r w:rsidRPr="007E36E2">
        <w:rPr>
          <w:rFonts w:ascii="Arial" w:eastAsia="Calibri" w:hAnsi="Arial" w:cs="Arial"/>
          <w:bCs/>
          <w:color w:val="000000" w:themeColor="text1"/>
          <w:sz w:val="26"/>
          <w:szCs w:val="26"/>
        </w:rPr>
        <w:t xml:space="preserve"> “…</w:t>
      </w:r>
      <w:r w:rsidRPr="007E36E2">
        <w:rPr>
          <w:rFonts w:ascii="Arial" w:hAnsi="Arial" w:cs="Arial"/>
          <w:bCs/>
          <w:i/>
          <w:iCs/>
          <w:lang w:eastAsia="es-ES"/>
        </w:rPr>
        <w:t xml:space="preserve">la autoridad demandada no fundó ni motivó adecuadamente su actuar, provocando con ello la ilegalidad del acto combatido; con fundamento en lo dispuesto por el artículo 208 fracción VI, de la Ley de Procedimiento y Justicia Administrativa para el Estado de Oaxaca, se declara la </w:t>
      </w:r>
      <w:r w:rsidRPr="007E36E2">
        <w:rPr>
          <w:rFonts w:ascii="Arial" w:hAnsi="Arial" w:cs="Arial"/>
          <w:b/>
          <w:bCs/>
          <w:i/>
          <w:iCs/>
          <w:lang w:eastAsia="es-ES"/>
        </w:rPr>
        <w:t xml:space="preserve">NULIDAD LISA Y LLANA </w:t>
      </w:r>
      <w:r w:rsidRPr="007E36E2">
        <w:rPr>
          <w:rFonts w:ascii="Arial" w:hAnsi="Arial" w:cs="Arial"/>
          <w:bCs/>
          <w:i/>
          <w:iCs/>
          <w:lang w:eastAsia="es-ES"/>
        </w:rPr>
        <w:t xml:space="preserve">del acto de infracción con número de folio </w:t>
      </w:r>
      <w:r w:rsidR="00EC0FBA">
        <w:rPr>
          <w:rFonts w:ascii="Arial" w:hAnsi="Arial" w:cs="Arial"/>
          <w:b/>
          <w:bCs/>
          <w:sz w:val="26"/>
          <w:szCs w:val="26"/>
        </w:rPr>
        <w:t>*******</w:t>
      </w:r>
      <w:r w:rsidRPr="007E36E2">
        <w:rPr>
          <w:rFonts w:ascii="Arial" w:hAnsi="Arial" w:cs="Arial"/>
          <w:b/>
          <w:bCs/>
          <w:i/>
          <w:iCs/>
          <w:lang w:eastAsia="es-ES"/>
        </w:rPr>
        <w:t xml:space="preserve"> </w:t>
      </w:r>
      <w:r w:rsidRPr="007E36E2">
        <w:rPr>
          <w:rFonts w:ascii="Arial" w:hAnsi="Arial" w:cs="Arial"/>
          <w:bCs/>
          <w:i/>
          <w:iCs/>
          <w:lang w:eastAsia="es-ES"/>
        </w:rPr>
        <w:t xml:space="preserve"> de quince de noviembre de dos mil diecinueve, emitida por la </w:t>
      </w:r>
      <w:r w:rsidRPr="007E36E2">
        <w:rPr>
          <w:rFonts w:ascii="Arial" w:hAnsi="Arial" w:cs="Arial"/>
          <w:b/>
          <w:bCs/>
          <w:i/>
          <w:iCs/>
          <w:lang w:eastAsia="es-ES"/>
        </w:rPr>
        <w:t xml:space="preserve">Policía Vial </w:t>
      </w:r>
      <w:r w:rsidRPr="007E36E2">
        <w:rPr>
          <w:rFonts w:ascii="Arial" w:hAnsi="Arial" w:cs="Arial"/>
          <w:bCs/>
          <w:i/>
          <w:iCs/>
          <w:lang w:eastAsia="es-ES"/>
        </w:rPr>
        <w:t xml:space="preserve">con número estadístico PV-170, Erika Trinidad Pérez Canseco, adscrita a la Subdirección de Tránsito y Movilidad del Municipio de Oaxaca de Juárez, ordenándose dar de baja el acto impugnado de los registros correspondientes de la autoridad demandada.”, </w:t>
      </w:r>
      <w:r w:rsidRPr="007E36E2">
        <w:rPr>
          <w:rFonts w:ascii="Arial" w:hAnsi="Arial" w:cs="Arial"/>
          <w:bCs/>
          <w:sz w:val="26"/>
          <w:szCs w:val="26"/>
          <w:lang w:eastAsia="es-ES"/>
        </w:rPr>
        <w:t xml:space="preserve">de donde se hace evidente, </w:t>
      </w:r>
      <w:r w:rsidRPr="007E36E2">
        <w:rPr>
          <w:rFonts w:ascii="Arial" w:eastAsia="Calibri" w:hAnsi="Arial" w:cs="Arial"/>
          <w:bCs/>
          <w:color w:val="000000" w:themeColor="text1"/>
          <w:sz w:val="26"/>
          <w:szCs w:val="26"/>
        </w:rPr>
        <w:t xml:space="preserve">que </w:t>
      </w:r>
      <w:r w:rsidRPr="007E36E2">
        <w:rPr>
          <w:rFonts w:ascii="Arial" w:hAnsi="Arial" w:cs="Arial"/>
          <w:bCs/>
          <w:iCs/>
          <w:sz w:val="26"/>
          <w:szCs w:val="26"/>
          <w:lang w:eastAsia="es-ES"/>
        </w:rPr>
        <w:t>la recurrente fue omisa en</w:t>
      </w:r>
      <w:r w:rsidRPr="007E36E2">
        <w:rPr>
          <w:rFonts w:ascii="Arial" w:eastAsia="Calibri" w:hAnsi="Arial" w:cs="Arial"/>
          <w:bCs/>
          <w:color w:val="000000" w:themeColor="text1"/>
          <w:sz w:val="26"/>
          <w:szCs w:val="26"/>
        </w:rPr>
        <w:t xml:space="preserve"> detallar la motivación correspondiente a efecto </w:t>
      </w:r>
      <w:r w:rsidRPr="007E36E2">
        <w:rPr>
          <w:rFonts w:ascii="Arial" w:eastAsia="Calibri" w:hAnsi="Arial" w:cs="Arial"/>
          <w:bCs/>
          <w:color w:val="000000" w:themeColor="text1"/>
          <w:sz w:val="26"/>
          <w:szCs w:val="26"/>
        </w:rPr>
        <w:lastRenderedPageBreak/>
        <w:t xml:space="preserve">de tener el acto administrativo como debidamente fundado y motivado de conformidad con el artículo 16 Constitucional, en relación con el diverso 17, fracción V de la Ley de Procedimiento y Justicia Administrativa para el Estado de Oaxaca.- - - - - - - - - - - - - - - - - - - - - - - - - - - - - - - - - - - - - </w:t>
      </w:r>
    </w:p>
    <w:p w14:paraId="1E93202F" w14:textId="77777777" w:rsidR="007E36E2" w:rsidRPr="007E36E2" w:rsidRDefault="007E36E2" w:rsidP="007E36E2">
      <w:pPr>
        <w:spacing w:after="120" w:line="360" w:lineRule="auto"/>
        <w:ind w:firstLine="851"/>
        <w:jc w:val="both"/>
        <w:rPr>
          <w:rFonts w:ascii="Arial" w:eastAsia="Calibri" w:hAnsi="Arial" w:cs="Arial"/>
          <w:bCs/>
          <w:color w:val="000000" w:themeColor="text1"/>
          <w:sz w:val="26"/>
          <w:szCs w:val="26"/>
        </w:rPr>
      </w:pPr>
      <w:r w:rsidRPr="007E36E2">
        <w:rPr>
          <w:rFonts w:ascii="Arial" w:eastAsia="Calibri" w:hAnsi="Arial" w:cs="Arial"/>
          <w:bCs/>
          <w:color w:val="000000" w:themeColor="text1"/>
          <w:sz w:val="26"/>
          <w:szCs w:val="26"/>
        </w:rPr>
        <w:t>Entendiéndose por fundamentación y motivación, la cita exacta de los artículos aplicables a la conducta desplegada por los justiciables, y los razonamientos lógicos jurídicos que efectivamente acrediten que dicha conducta se adecua a lo establecido en la norma. Tiene sustento lo anterior en la Jurisprudencia, emitida por los Tribunales Colegiados de Circuito, en el Semanario Judicial de la Federación y su Gaceta, en la octava época, materia: común, número 54, junio de 1992, página 49, con número de registro 219034, de rubro y texto siguientes:- - - - - - - - -</w:t>
      </w:r>
    </w:p>
    <w:p w14:paraId="0D465CC1" w14:textId="428133E6" w:rsidR="007E36E2" w:rsidRPr="007E36E2" w:rsidRDefault="007E36E2" w:rsidP="007E36E2">
      <w:pPr>
        <w:spacing w:after="120" w:line="240" w:lineRule="auto"/>
        <w:ind w:left="851" w:right="900"/>
        <w:jc w:val="both"/>
        <w:rPr>
          <w:rFonts w:ascii="Arial" w:eastAsia="Times New Roman" w:hAnsi="Arial" w:cs="Arial"/>
          <w:i/>
          <w:iCs/>
          <w:color w:val="000000" w:themeColor="text1"/>
        </w:rPr>
      </w:pPr>
      <w:r w:rsidRPr="007E36E2">
        <w:rPr>
          <w:rFonts w:ascii="Arial" w:eastAsia="Times New Roman" w:hAnsi="Arial" w:cs="Arial"/>
          <w:b/>
          <w:bCs/>
          <w:i/>
          <w:iCs/>
          <w:color w:val="000000" w:themeColor="text1"/>
        </w:rPr>
        <w:t xml:space="preserve"> “FUNDAMENTACIÓN Y MOTIVACIÓN. </w:t>
      </w:r>
      <w:r w:rsidRPr="007E36E2">
        <w:rPr>
          <w:rFonts w:ascii="Arial" w:eastAsia="Times New Roman" w:hAnsi="Arial" w:cs="Arial"/>
          <w:i/>
          <w:iCs/>
          <w:color w:val="000000" w:themeColor="text1"/>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w:t>
      </w:r>
    </w:p>
    <w:p w14:paraId="5F611BFF" w14:textId="77777777" w:rsidR="007E36E2" w:rsidRPr="007E36E2" w:rsidRDefault="007E36E2" w:rsidP="007E36E2">
      <w:pPr>
        <w:spacing w:after="120" w:line="240" w:lineRule="auto"/>
        <w:ind w:left="851" w:right="900"/>
        <w:jc w:val="both"/>
        <w:rPr>
          <w:rFonts w:ascii="Arial" w:eastAsia="Times New Roman" w:hAnsi="Arial" w:cs="Arial"/>
          <w:i/>
          <w:iCs/>
          <w:color w:val="000000" w:themeColor="text1"/>
        </w:rPr>
      </w:pPr>
    </w:p>
    <w:p w14:paraId="2B7BF535" w14:textId="51FAD7CC" w:rsidR="007E36E2" w:rsidRPr="007E36E2" w:rsidRDefault="007E36E2" w:rsidP="007E36E2">
      <w:pPr>
        <w:autoSpaceDE w:val="0"/>
        <w:autoSpaceDN w:val="0"/>
        <w:adjustRightInd w:val="0"/>
        <w:spacing w:after="120" w:line="360" w:lineRule="auto"/>
        <w:ind w:right="49" w:firstLine="567"/>
        <w:jc w:val="both"/>
        <w:rPr>
          <w:rFonts w:ascii="Arial" w:eastAsia="Calibri" w:hAnsi="Arial" w:cs="Arial"/>
          <w:bCs/>
          <w:sz w:val="26"/>
          <w:szCs w:val="26"/>
          <w:lang w:val="es-ES" w:eastAsia="en-US"/>
        </w:rPr>
      </w:pPr>
      <w:r w:rsidRPr="007E36E2">
        <w:rPr>
          <w:rFonts w:ascii="Arial" w:eastAsia="Calibri" w:hAnsi="Arial" w:cs="Arial"/>
          <w:sz w:val="26"/>
          <w:szCs w:val="26"/>
          <w:lang w:val="es-ES" w:eastAsia="en-US"/>
        </w:rPr>
        <w:t xml:space="preserve">Por tanto, al quedar demostrado que la Primera Instancia en la sentencia de quince de diciembre de dos mil veintiuno, sí realizó una correcta valoración del acta de infracción </w:t>
      </w:r>
      <w:r w:rsidRPr="007E36E2">
        <w:rPr>
          <w:rFonts w:ascii="Arial" w:eastAsia="Calibri" w:hAnsi="Arial" w:cs="Arial"/>
          <w:bCs/>
          <w:sz w:val="26"/>
          <w:szCs w:val="26"/>
        </w:rPr>
        <w:t xml:space="preserve">folio </w:t>
      </w:r>
      <w:r w:rsidR="00EC0FBA">
        <w:rPr>
          <w:rFonts w:ascii="Arial" w:hAnsi="Arial" w:cs="Arial"/>
          <w:b/>
          <w:bCs/>
          <w:sz w:val="26"/>
          <w:szCs w:val="26"/>
        </w:rPr>
        <w:t>*******</w:t>
      </w:r>
      <w:r w:rsidRPr="007E36E2">
        <w:rPr>
          <w:rFonts w:ascii="Arial" w:eastAsia="Calibri" w:hAnsi="Arial" w:cs="Arial"/>
          <w:bCs/>
          <w:sz w:val="26"/>
          <w:szCs w:val="26"/>
        </w:rPr>
        <w:t xml:space="preserve"> de quince de noviembre de dos mil diecinueve</w:t>
      </w:r>
      <w:r w:rsidRPr="007E36E2">
        <w:rPr>
          <w:rFonts w:ascii="Arial" w:eastAsia="Calibri" w:hAnsi="Arial" w:cs="Arial"/>
          <w:sz w:val="26"/>
          <w:szCs w:val="26"/>
          <w:lang w:val="es-ES" w:eastAsia="en-US"/>
        </w:rPr>
        <w:t xml:space="preserve">, que el fallo recurrido se encuentra fundado y motivado, y que la autoridad demandada fue omisa </w:t>
      </w:r>
      <w:r w:rsidRPr="007E36E2">
        <w:rPr>
          <w:rFonts w:ascii="Arial" w:hAnsi="Arial" w:cs="Arial"/>
          <w:bCs/>
          <w:iCs/>
          <w:sz w:val="26"/>
          <w:szCs w:val="26"/>
          <w:lang w:eastAsia="es-ES"/>
        </w:rPr>
        <w:t>en</w:t>
      </w:r>
      <w:r w:rsidRPr="007E36E2">
        <w:rPr>
          <w:rFonts w:ascii="Arial" w:eastAsia="Calibri" w:hAnsi="Arial" w:cs="Arial"/>
          <w:bCs/>
          <w:color w:val="000000" w:themeColor="text1"/>
          <w:sz w:val="26"/>
          <w:szCs w:val="26"/>
        </w:rPr>
        <w:t xml:space="preserve"> detallar la motivación correspondiente a efecto de tener el acto administrativo como debidamente fundado y motivado, </w:t>
      </w:r>
      <w:r w:rsidRPr="007E36E2">
        <w:rPr>
          <w:rFonts w:ascii="Arial" w:eastAsia="Calibri" w:hAnsi="Arial" w:cs="Arial"/>
          <w:sz w:val="26"/>
          <w:szCs w:val="26"/>
          <w:lang w:val="es-ES" w:eastAsia="en-US"/>
        </w:rPr>
        <w:t xml:space="preserve">es que los agravios vertidos por el recurrente sean </w:t>
      </w:r>
      <w:r w:rsidRPr="007E36E2">
        <w:rPr>
          <w:rFonts w:ascii="Arial" w:eastAsia="Calibri" w:hAnsi="Arial" w:cs="Arial"/>
          <w:b/>
          <w:bCs/>
          <w:sz w:val="26"/>
          <w:szCs w:val="26"/>
          <w:lang w:val="es-ES" w:eastAsia="en-US"/>
        </w:rPr>
        <w:t xml:space="preserve">INFUNDADOS. </w:t>
      </w:r>
      <w:bookmarkStart w:id="9" w:name="_Hlk99539027"/>
      <w:r w:rsidRPr="007E36E2">
        <w:rPr>
          <w:rFonts w:ascii="Arial" w:eastAsia="Calibri" w:hAnsi="Arial" w:cs="Arial"/>
          <w:bCs/>
          <w:sz w:val="26"/>
          <w:szCs w:val="26"/>
          <w:lang w:val="es-ES" w:eastAsia="en-US"/>
        </w:rPr>
        <w:t>- - - - - - - - - - - - - - - - - - - - - - - - - --</w:t>
      </w:r>
    </w:p>
    <w:bookmarkEnd w:id="9"/>
    <w:p w14:paraId="4D7AB77D" w14:textId="77777777" w:rsidR="007E36E2" w:rsidRPr="007E36E2" w:rsidRDefault="007E36E2" w:rsidP="007E36E2">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sidRPr="007E36E2">
        <w:rPr>
          <w:rFonts w:ascii="Arial" w:eastAsia="Calibri" w:hAnsi="Arial" w:cs="Arial"/>
          <w:sz w:val="26"/>
          <w:szCs w:val="26"/>
          <w:lang w:val="es-ES" w:eastAsia="en-US"/>
        </w:rPr>
        <w:t xml:space="preserve">En consecuencia, lo procedente es </w:t>
      </w:r>
      <w:r w:rsidRPr="007E36E2">
        <w:rPr>
          <w:rFonts w:ascii="Arial" w:eastAsia="Calibri" w:hAnsi="Arial" w:cs="Arial"/>
          <w:b/>
          <w:bCs/>
          <w:sz w:val="26"/>
          <w:szCs w:val="26"/>
          <w:lang w:val="es-ES" w:eastAsia="en-US"/>
        </w:rPr>
        <w:t>C</w:t>
      </w:r>
      <w:r w:rsidRPr="007E36E2">
        <w:rPr>
          <w:rFonts w:ascii="Arial" w:eastAsia="Calibri" w:hAnsi="Arial" w:cs="Arial"/>
          <w:b/>
          <w:sz w:val="26"/>
          <w:szCs w:val="26"/>
          <w:lang w:val="es-ES" w:eastAsia="en-US"/>
        </w:rPr>
        <w:t>ONFIRMAR</w:t>
      </w:r>
      <w:r w:rsidRPr="007E36E2">
        <w:rPr>
          <w:rFonts w:ascii="Arial" w:eastAsia="Calibri" w:hAnsi="Arial" w:cs="Arial"/>
          <w:sz w:val="26"/>
          <w:szCs w:val="26"/>
          <w:lang w:val="es-ES" w:eastAsia="en-US"/>
        </w:rPr>
        <w:t xml:space="preserve"> la sentencia recurrida; por tanto, </w:t>
      </w:r>
      <w:r w:rsidRPr="007E36E2">
        <w:rPr>
          <w:rFonts w:ascii="Arial" w:eastAsia="Calibri" w:hAnsi="Arial" w:cs="Arial"/>
          <w:bCs/>
          <w:sz w:val="26"/>
          <w:szCs w:val="26"/>
          <w:lang w:val="es-ES" w:eastAsia="en-US"/>
        </w:rPr>
        <w:t>c</w:t>
      </w:r>
      <w:r w:rsidRPr="007E36E2">
        <w:rPr>
          <w:rFonts w:ascii="Arial" w:eastAsia="Calibri" w:hAnsi="Arial" w:cs="Arial"/>
          <w:sz w:val="26"/>
          <w:szCs w:val="26"/>
          <w:lang w:val="es-ES" w:eastAsia="en-US"/>
        </w:rPr>
        <w:t>on fundamento en los artículos 236 y 238 de la Ley de Procedimiento y Justicia Administrativa para el Estado de Oaxaca, se: - - - - - - - - - - - - - - - - - - - - - - - - - - - - - - - - - - - - - - - - - - - - - - - - -</w:t>
      </w:r>
    </w:p>
    <w:p w14:paraId="77DE09F4" w14:textId="77777777" w:rsidR="007E36E2" w:rsidRPr="007E36E2" w:rsidRDefault="007E36E2" w:rsidP="007E36E2">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7E36E2">
        <w:rPr>
          <w:rFonts w:ascii="Arial" w:eastAsia="Times New Roman" w:hAnsi="Arial" w:cs="Arial"/>
          <w:b/>
          <w:sz w:val="24"/>
          <w:szCs w:val="24"/>
          <w:lang w:val="es-ES"/>
        </w:rPr>
        <w:t>R E S U E L V E</w:t>
      </w:r>
    </w:p>
    <w:p w14:paraId="1C30C3CA" w14:textId="77777777" w:rsidR="007E36E2" w:rsidRPr="007E36E2" w:rsidRDefault="007E36E2" w:rsidP="007E36E2">
      <w:pPr>
        <w:spacing w:after="120" w:line="360" w:lineRule="auto"/>
        <w:ind w:firstLine="708"/>
        <w:jc w:val="both"/>
        <w:rPr>
          <w:rFonts w:ascii="Arial" w:eastAsia="Times New Roman" w:hAnsi="Arial" w:cs="Arial"/>
          <w:color w:val="000000"/>
          <w:sz w:val="26"/>
          <w:szCs w:val="26"/>
        </w:rPr>
      </w:pPr>
      <w:r w:rsidRPr="007E36E2">
        <w:rPr>
          <w:rFonts w:ascii="Arial" w:eastAsia="Times New Roman" w:hAnsi="Arial" w:cs="Arial"/>
          <w:b/>
          <w:color w:val="000000"/>
          <w:sz w:val="26"/>
          <w:szCs w:val="26"/>
          <w:lang w:val="es-ES"/>
        </w:rPr>
        <w:t>PRIMERO</w:t>
      </w:r>
      <w:r w:rsidRPr="007E36E2">
        <w:rPr>
          <w:rFonts w:ascii="Arial" w:eastAsia="Times New Roman" w:hAnsi="Arial" w:cs="Arial"/>
          <w:color w:val="000000"/>
          <w:sz w:val="26"/>
          <w:szCs w:val="26"/>
          <w:lang w:val="es-ES"/>
        </w:rPr>
        <w:t xml:space="preserve">. </w:t>
      </w:r>
      <w:r w:rsidRPr="007E36E2">
        <w:rPr>
          <w:rFonts w:ascii="Arial" w:eastAsia="Times New Roman" w:hAnsi="Arial" w:cs="Arial"/>
          <w:color w:val="000000"/>
          <w:sz w:val="26"/>
          <w:szCs w:val="26"/>
        </w:rPr>
        <w:t>Se</w:t>
      </w:r>
      <w:r w:rsidRPr="007E36E2">
        <w:rPr>
          <w:rFonts w:ascii="Arial" w:eastAsia="Times New Roman" w:hAnsi="Arial" w:cs="Arial"/>
          <w:b/>
          <w:color w:val="000000"/>
          <w:sz w:val="26"/>
          <w:szCs w:val="26"/>
        </w:rPr>
        <w:t xml:space="preserve"> CONFIRMA </w:t>
      </w:r>
      <w:r w:rsidRPr="007E36E2">
        <w:rPr>
          <w:rFonts w:ascii="Arial" w:eastAsia="Times New Roman" w:hAnsi="Arial" w:cs="Arial"/>
          <w:bCs/>
          <w:color w:val="000000"/>
          <w:sz w:val="26"/>
          <w:szCs w:val="26"/>
        </w:rPr>
        <w:t xml:space="preserve">la sentencia dictada el quince de diciembre de dos mil veintiuno, </w:t>
      </w:r>
      <w:r w:rsidRPr="007E36E2">
        <w:rPr>
          <w:rFonts w:ascii="Arial" w:eastAsia="Times New Roman" w:hAnsi="Arial" w:cs="Arial"/>
          <w:color w:val="000000"/>
          <w:sz w:val="26"/>
          <w:szCs w:val="26"/>
        </w:rPr>
        <w:t xml:space="preserve">por las razones expuestas en el considerando que antecede.- - - - - - - - - - - - - - - - - - - - - - - - - - - - - - - </w:t>
      </w:r>
    </w:p>
    <w:p w14:paraId="15D3D076" w14:textId="77777777" w:rsidR="007E36E2" w:rsidRPr="007E36E2" w:rsidRDefault="007E36E2" w:rsidP="007E36E2">
      <w:pPr>
        <w:spacing w:after="0" w:line="240" w:lineRule="auto"/>
        <w:rPr>
          <w:rFonts w:eastAsia="Times New Roman"/>
          <w:lang w:val="es-ES"/>
        </w:rPr>
      </w:pPr>
    </w:p>
    <w:p w14:paraId="79F0FB8E" w14:textId="77777777" w:rsidR="007E36E2" w:rsidRPr="007E36E2" w:rsidRDefault="007E36E2" w:rsidP="007E36E2">
      <w:pPr>
        <w:widowControl w:val="0"/>
        <w:tabs>
          <w:tab w:val="left" w:pos="7938"/>
        </w:tabs>
        <w:spacing w:after="120" w:line="360" w:lineRule="auto"/>
        <w:ind w:right="17" w:firstLine="709"/>
        <w:jc w:val="both"/>
        <w:rPr>
          <w:rFonts w:ascii="Arial" w:hAnsi="Arial" w:cs="Arial"/>
          <w:sz w:val="26"/>
          <w:szCs w:val="26"/>
        </w:rPr>
      </w:pPr>
      <w:r w:rsidRPr="007E36E2">
        <w:rPr>
          <w:rFonts w:ascii="Arial" w:hAnsi="Arial" w:cs="Arial"/>
          <w:b/>
          <w:sz w:val="26"/>
          <w:szCs w:val="26"/>
        </w:rPr>
        <w:t>SEGUNDO</w:t>
      </w:r>
      <w:r w:rsidRPr="007E36E2">
        <w:rPr>
          <w:rFonts w:ascii="Arial" w:hAnsi="Arial" w:cs="Arial"/>
          <w:sz w:val="26"/>
          <w:szCs w:val="26"/>
        </w:rPr>
        <w:t xml:space="preserve">. </w:t>
      </w:r>
      <w:r w:rsidRPr="007E36E2">
        <w:rPr>
          <w:rFonts w:ascii="Arial" w:hAnsi="Arial" w:cs="Arial"/>
          <w:b/>
          <w:sz w:val="26"/>
          <w:szCs w:val="26"/>
        </w:rPr>
        <w:t xml:space="preserve">NOTIFÍQUESE Y CÚMPLASE. </w:t>
      </w:r>
      <w:r w:rsidRPr="007E36E2">
        <w:rPr>
          <w:rFonts w:ascii="Arial" w:hAnsi="Arial" w:cs="Arial"/>
          <w:sz w:val="26"/>
          <w:szCs w:val="26"/>
        </w:rPr>
        <w:t xml:space="preserve">Con copia certificada de la presente resolución, devuélvase el expediente a la Quinta Sala </w:t>
      </w:r>
      <w:r w:rsidRPr="007E36E2">
        <w:rPr>
          <w:rFonts w:ascii="Arial" w:hAnsi="Arial" w:cs="Arial"/>
          <w:sz w:val="26"/>
          <w:szCs w:val="26"/>
        </w:rPr>
        <w:lastRenderedPageBreak/>
        <w:t xml:space="preserve">Unitaria de Primera Instancia de este Tribunal, y en su oportunidad archívese el presente cuaderno de revisión como asunto concluido. - - - </w:t>
      </w:r>
    </w:p>
    <w:p w14:paraId="2CEF7BBC" w14:textId="77777777" w:rsidR="007E36E2" w:rsidRPr="007E36E2" w:rsidRDefault="007E36E2" w:rsidP="007E36E2">
      <w:pPr>
        <w:widowControl w:val="0"/>
        <w:tabs>
          <w:tab w:val="left" w:pos="0"/>
        </w:tabs>
        <w:spacing w:after="120" w:line="360" w:lineRule="auto"/>
        <w:ind w:right="18"/>
        <w:jc w:val="both"/>
        <w:rPr>
          <w:rFonts w:ascii="Arial" w:hAnsi="Arial" w:cs="Arial"/>
          <w:sz w:val="26"/>
          <w:szCs w:val="26"/>
        </w:rPr>
      </w:pPr>
      <w:r w:rsidRPr="007E36E2">
        <w:rPr>
          <w:rFonts w:ascii="Arial" w:hAnsi="Arial" w:cs="Arial"/>
          <w:sz w:val="26"/>
          <w:szCs w:val="26"/>
        </w:rPr>
        <w:tab/>
        <w:t>Por unanimidad de votos, lo resolvieron y firmaron los Magistrados Integrantes de la Sala Superior Manuel Velasco Alcántara, Raúl Palomares Palomino,</w:t>
      </w:r>
      <w:r w:rsidRPr="007E36E2">
        <w:rPr>
          <w:rFonts w:ascii="Arial" w:hAnsi="Arial" w:cs="Arial"/>
          <w:b/>
          <w:bCs/>
          <w:sz w:val="26"/>
          <w:szCs w:val="26"/>
        </w:rPr>
        <w:t xml:space="preserve"> </w:t>
      </w:r>
      <w:r w:rsidRPr="007E36E2">
        <w:rPr>
          <w:rFonts w:ascii="Arial" w:hAnsi="Arial" w:cs="Arial"/>
          <w:sz w:val="26"/>
          <w:szCs w:val="26"/>
        </w:rPr>
        <w:t xml:space="preserve">Gloria del Carmen Camacho Meza </w:t>
      </w:r>
      <w:r w:rsidRPr="007E36E2">
        <w:rPr>
          <w:rFonts w:ascii="Arial" w:hAnsi="Arial" w:cs="Arial"/>
          <w:b/>
          <w:sz w:val="26"/>
          <w:szCs w:val="26"/>
        </w:rPr>
        <w:t>(ponente),</w:t>
      </w:r>
      <w:r w:rsidRPr="007E36E2">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7A6AAC97" w14:textId="77777777" w:rsidR="007E36E2" w:rsidRPr="007E36E2" w:rsidRDefault="007E36E2" w:rsidP="007E36E2">
      <w:pPr>
        <w:tabs>
          <w:tab w:val="center" w:pos="4135"/>
          <w:tab w:val="left" w:pos="7515"/>
        </w:tabs>
        <w:spacing w:line="360" w:lineRule="auto"/>
        <w:jc w:val="both"/>
        <w:rPr>
          <w:rFonts w:ascii="Arial" w:eastAsia="Times New Roman" w:hAnsi="Arial" w:cs="Arial"/>
          <w:sz w:val="26"/>
          <w:szCs w:val="26"/>
        </w:rPr>
      </w:pPr>
    </w:p>
    <w:p w14:paraId="696C2021" w14:textId="7B71C84D" w:rsidR="007E36E2" w:rsidRDefault="007E36E2" w:rsidP="007E36E2">
      <w:pPr>
        <w:tabs>
          <w:tab w:val="center" w:pos="4135"/>
          <w:tab w:val="left" w:pos="7515"/>
        </w:tabs>
        <w:spacing w:line="360" w:lineRule="auto"/>
        <w:jc w:val="both"/>
        <w:rPr>
          <w:rFonts w:ascii="Arial" w:eastAsia="Times New Roman" w:hAnsi="Arial" w:cs="Arial"/>
          <w:sz w:val="26"/>
          <w:szCs w:val="26"/>
        </w:rPr>
      </w:pPr>
    </w:p>
    <w:p w14:paraId="571E2A62" w14:textId="3B4CC78C" w:rsidR="0075211B" w:rsidRDefault="0075211B" w:rsidP="007E36E2">
      <w:pPr>
        <w:tabs>
          <w:tab w:val="center" w:pos="4135"/>
          <w:tab w:val="left" w:pos="7515"/>
        </w:tabs>
        <w:spacing w:line="360" w:lineRule="auto"/>
        <w:jc w:val="both"/>
        <w:rPr>
          <w:rFonts w:ascii="Arial" w:eastAsia="Times New Roman" w:hAnsi="Arial" w:cs="Arial"/>
          <w:sz w:val="26"/>
          <w:szCs w:val="26"/>
        </w:rPr>
      </w:pPr>
    </w:p>
    <w:p w14:paraId="0B900673" w14:textId="77777777" w:rsidR="0075211B" w:rsidRPr="007E36E2" w:rsidRDefault="0075211B" w:rsidP="007E36E2">
      <w:pPr>
        <w:tabs>
          <w:tab w:val="center" w:pos="4135"/>
          <w:tab w:val="left" w:pos="7515"/>
        </w:tabs>
        <w:spacing w:line="360" w:lineRule="auto"/>
        <w:jc w:val="both"/>
        <w:rPr>
          <w:rFonts w:ascii="Arial" w:eastAsia="Times New Roman" w:hAnsi="Arial" w:cs="Arial"/>
          <w:sz w:val="26"/>
          <w:szCs w:val="26"/>
        </w:rPr>
      </w:pPr>
    </w:p>
    <w:p w14:paraId="741974D1" w14:textId="77777777" w:rsidR="007E36E2" w:rsidRPr="007E36E2" w:rsidRDefault="007E36E2" w:rsidP="007E36E2">
      <w:pPr>
        <w:tabs>
          <w:tab w:val="center" w:pos="4135"/>
          <w:tab w:val="left" w:pos="7515"/>
        </w:tabs>
        <w:spacing w:line="360" w:lineRule="auto"/>
        <w:jc w:val="both"/>
        <w:rPr>
          <w:rFonts w:ascii="Arial" w:eastAsia="Times New Roman" w:hAnsi="Arial" w:cs="Arial"/>
          <w:sz w:val="26"/>
          <w:szCs w:val="26"/>
        </w:rPr>
      </w:pPr>
    </w:p>
    <w:p w14:paraId="0FA3662C" w14:textId="77777777" w:rsidR="007E36E2" w:rsidRPr="007E36E2" w:rsidRDefault="007E36E2" w:rsidP="007E36E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0A935D5C" w14:textId="77777777" w:rsidR="007E36E2" w:rsidRPr="007E36E2" w:rsidRDefault="007E36E2" w:rsidP="007E36E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52714ED0"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5FE96AD6"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18B47574" w14:textId="2F543349" w:rsidR="007E36E2" w:rsidRDefault="007E36E2" w:rsidP="007E36E2">
      <w:pPr>
        <w:tabs>
          <w:tab w:val="center" w:pos="4135"/>
          <w:tab w:val="left" w:pos="7515"/>
        </w:tabs>
        <w:spacing w:line="360" w:lineRule="auto"/>
        <w:jc w:val="center"/>
        <w:rPr>
          <w:rFonts w:ascii="Arial" w:eastAsia="Times New Roman" w:hAnsi="Arial" w:cs="Arial"/>
          <w:sz w:val="26"/>
          <w:szCs w:val="26"/>
        </w:rPr>
      </w:pPr>
    </w:p>
    <w:p w14:paraId="4C403243" w14:textId="77777777" w:rsidR="0075211B" w:rsidRPr="007E36E2" w:rsidRDefault="0075211B" w:rsidP="007E36E2">
      <w:pPr>
        <w:tabs>
          <w:tab w:val="center" w:pos="4135"/>
          <w:tab w:val="left" w:pos="7515"/>
        </w:tabs>
        <w:spacing w:line="360" w:lineRule="auto"/>
        <w:jc w:val="center"/>
        <w:rPr>
          <w:rFonts w:ascii="Arial" w:eastAsia="Times New Roman" w:hAnsi="Arial" w:cs="Arial"/>
          <w:sz w:val="26"/>
          <w:szCs w:val="26"/>
        </w:rPr>
      </w:pPr>
    </w:p>
    <w:p w14:paraId="5E0A9138"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56720661"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F6BACCC"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10D10E17"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3F16451F"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54669C03"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7F7C128D"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5E0A7E7"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428E6C50" w14:textId="77777777" w:rsidR="007E36E2" w:rsidRPr="007E36E2" w:rsidRDefault="007E36E2" w:rsidP="0075211B">
      <w:pPr>
        <w:tabs>
          <w:tab w:val="center" w:pos="4135"/>
          <w:tab w:val="left" w:pos="7515"/>
        </w:tabs>
        <w:spacing w:line="360" w:lineRule="auto"/>
        <w:rPr>
          <w:rFonts w:ascii="Arial" w:eastAsia="Times New Roman" w:hAnsi="Arial" w:cs="Arial"/>
          <w:sz w:val="26"/>
          <w:szCs w:val="26"/>
        </w:rPr>
      </w:pPr>
    </w:p>
    <w:p w14:paraId="6CDE0EA1"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1DE420F7"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53D15B8D"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55D51DC3" w14:textId="77777777" w:rsidR="0075211B" w:rsidRPr="007E36E2" w:rsidRDefault="0075211B" w:rsidP="0075211B">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RESOLUCIÓN DEL RECURSO DE REVISIÓN 0018/2022.</w:t>
      </w:r>
    </w:p>
    <w:p w14:paraId="21B2166D"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48132425" w14:textId="6BE3B17B" w:rsidR="007E36E2" w:rsidRDefault="007E36E2" w:rsidP="007E36E2">
      <w:pPr>
        <w:tabs>
          <w:tab w:val="center" w:pos="4135"/>
          <w:tab w:val="left" w:pos="7515"/>
        </w:tabs>
        <w:spacing w:line="360" w:lineRule="auto"/>
        <w:jc w:val="center"/>
        <w:rPr>
          <w:rFonts w:ascii="Arial" w:eastAsia="Times New Roman" w:hAnsi="Arial" w:cs="Arial"/>
          <w:sz w:val="26"/>
          <w:szCs w:val="26"/>
        </w:rPr>
      </w:pPr>
    </w:p>
    <w:p w14:paraId="191CAE40" w14:textId="77777777" w:rsidR="0075211B" w:rsidRPr="007E36E2" w:rsidRDefault="0075211B" w:rsidP="007E36E2">
      <w:pPr>
        <w:tabs>
          <w:tab w:val="center" w:pos="4135"/>
          <w:tab w:val="left" w:pos="7515"/>
        </w:tabs>
        <w:spacing w:line="360" w:lineRule="auto"/>
        <w:jc w:val="center"/>
        <w:rPr>
          <w:rFonts w:ascii="Arial" w:eastAsia="Times New Roman" w:hAnsi="Arial" w:cs="Arial"/>
          <w:sz w:val="26"/>
          <w:szCs w:val="26"/>
        </w:rPr>
      </w:pPr>
    </w:p>
    <w:p w14:paraId="215E8366"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41E39F5F"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p>
    <w:p w14:paraId="5465C5A5" w14:textId="77777777" w:rsidR="007E36E2" w:rsidRPr="007E36E2" w:rsidRDefault="007E36E2" w:rsidP="007E36E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5F5C2561" w14:textId="77777777" w:rsidR="007E36E2" w:rsidRPr="007E36E2" w:rsidRDefault="007E36E2" w:rsidP="007E36E2">
      <w:pPr>
        <w:spacing w:after="0" w:line="240" w:lineRule="auto"/>
        <w:jc w:val="center"/>
        <w:rPr>
          <w:rFonts w:ascii="Arial" w:eastAsia="Times New Roman" w:hAnsi="Arial" w:cs="Arial"/>
          <w:sz w:val="26"/>
          <w:szCs w:val="26"/>
        </w:rPr>
      </w:pPr>
    </w:p>
    <w:p w14:paraId="6D12DD4B" w14:textId="77777777" w:rsidR="007E36E2" w:rsidRPr="007E36E2" w:rsidRDefault="007E36E2" w:rsidP="007E36E2">
      <w:pPr>
        <w:spacing w:after="0" w:line="240" w:lineRule="auto"/>
        <w:jc w:val="center"/>
        <w:rPr>
          <w:rFonts w:ascii="Arial" w:eastAsia="Times New Roman" w:hAnsi="Arial" w:cs="Arial"/>
          <w:sz w:val="26"/>
          <w:szCs w:val="26"/>
        </w:rPr>
      </w:pPr>
    </w:p>
    <w:p w14:paraId="07C06509" w14:textId="77777777" w:rsidR="007E36E2" w:rsidRPr="007E36E2" w:rsidRDefault="007E36E2" w:rsidP="007E36E2">
      <w:pPr>
        <w:spacing w:after="0" w:line="240" w:lineRule="auto"/>
        <w:jc w:val="center"/>
        <w:rPr>
          <w:rFonts w:ascii="Arial" w:eastAsia="Times New Roman" w:hAnsi="Arial" w:cs="Arial"/>
          <w:sz w:val="26"/>
          <w:szCs w:val="26"/>
        </w:rPr>
      </w:pPr>
    </w:p>
    <w:p w14:paraId="7AF0B533" w14:textId="77777777" w:rsidR="007E36E2" w:rsidRPr="007E36E2" w:rsidRDefault="007E36E2" w:rsidP="007E36E2">
      <w:pPr>
        <w:spacing w:after="0" w:line="240" w:lineRule="auto"/>
        <w:jc w:val="center"/>
        <w:rPr>
          <w:rFonts w:ascii="Arial" w:eastAsia="Times New Roman" w:hAnsi="Arial" w:cs="Arial"/>
          <w:sz w:val="26"/>
          <w:szCs w:val="26"/>
        </w:rPr>
      </w:pPr>
    </w:p>
    <w:p w14:paraId="7F6468CC" w14:textId="77777777" w:rsidR="007E36E2" w:rsidRPr="007E36E2" w:rsidRDefault="007E36E2" w:rsidP="007E36E2">
      <w:pPr>
        <w:spacing w:after="0" w:line="240" w:lineRule="auto"/>
        <w:jc w:val="center"/>
        <w:rPr>
          <w:rFonts w:ascii="Arial" w:eastAsia="Times New Roman" w:hAnsi="Arial" w:cs="Arial"/>
          <w:sz w:val="26"/>
          <w:szCs w:val="26"/>
        </w:rPr>
      </w:pPr>
    </w:p>
    <w:p w14:paraId="4A15634E" w14:textId="77777777" w:rsidR="007E36E2" w:rsidRPr="007E36E2" w:rsidRDefault="007E36E2" w:rsidP="007E36E2">
      <w:pPr>
        <w:spacing w:after="0" w:line="240" w:lineRule="auto"/>
        <w:jc w:val="center"/>
        <w:rPr>
          <w:rFonts w:ascii="Arial" w:eastAsia="Times New Roman" w:hAnsi="Arial" w:cs="Arial"/>
          <w:sz w:val="26"/>
          <w:szCs w:val="26"/>
        </w:rPr>
      </w:pPr>
    </w:p>
    <w:p w14:paraId="318F714B" w14:textId="77777777" w:rsidR="007E36E2" w:rsidRPr="007E36E2" w:rsidRDefault="007E36E2" w:rsidP="007E36E2">
      <w:pPr>
        <w:spacing w:after="0" w:line="240" w:lineRule="auto"/>
        <w:jc w:val="center"/>
        <w:rPr>
          <w:rFonts w:ascii="Arial" w:eastAsia="Times New Roman" w:hAnsi="Arial" w:cs="Arial"/>
          <w:sz w:val="26"/>
          <w:szCs w:val="26"/>
        </w:rPr>
      </w:pPr>
    </w:p>
    <w:p w14:paraId="66FA086F" w14:textId="77777777" w:rsidR="007E36E2" w:rsidRPr="007E36E2" w:rsidRDefault="007E36E2" w:rsidP="007E36E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1228163" w14:textId="77777777" w:rsidR="007E36E2" w:rsidRPr="007E36E2" w:rsidRDefault="007E36E2" w:rsidP="007E36E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43CA7E7E" w14:textId="6267C86F" w:rsidR="007E36E2" w:rsidRPr="007E36E2" w:rsidRDefault="007E36E2" w:rsidP="007E36E2">
      <w:pPr>
        <w:rPr>
          <w:rFonts w:ascii="Calibri" w:eastAsia="Times New Roman" w:hAnsi="Calibri" w:cs="Times New Roman"/>
        </w:rPr>
      </w:pPr>
      <w:r w:rsidRPr="007E36E2">
        <w:rPr>
          <w:rFonts w:ascii="Calibri" w:eastAsia="Times New Roman" w:hAnsi="Calibri" w:cs="Times New Roman"/>
        </w:rPr>
        <w:t xml:space="preserve"> </w:t>
      </w:r>
    </w:p>
    <w:p w14:paraId="59D0C4DF" w14:textId="4E98C3D7" w:rsidR="000B3F09" w:rsidRDefault="000B3F09" w:rsidP="00E4651E">
      <w:pPr>
        <w:shd w:val="clear" w:color="auto" w:fill="FFFFFF"/>
        <w:ind w:left="720"/>
        <w:rPr>
          <w:rStyle w:val="registros-movil-hide"/>
          <w:sz w:val="26"/>
          <w:szCs w:val="26"/>
        </w:rPr>
      </w:pPr>
    </w:p>
    <w:sectPr w:rsidR="000B3F09" w:rsidSect="00D8523D">
      <w:headerReference w:type="even" r:id="rId8"/>
      <w:headerReference w:type="default" r:id="rId9"/>
      <w:footerReference w:type="default" r:id="rId10"/>
      <w:headerReference w:type="first" r:id="rId11"/>
      <w:pgSz w:w="12240" w:h="20160" w:code="5"/>
      <w:pgMar w:top="1134"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254B0" w14:textId="77777777" w:rsidR="00B30955" w:rsidRDefault="00B30955">
      <w:pPr>
        <w:spacing w:after="0" w:line="240" w:lineRule="auto"/>
      </w:pPr>
      <w:r>
        <w:separator/>
      </w:r>
    </w:p>
  </w:endnote>
  <w:endnote w:type="continuationSeparator" w:id="0">
    <w:p w14:paraId="6145880C" w14:textId="77777777" w:rsidR="00B30955" w:rsidRDefault="00B30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C244A" w14:textId="77777777" w:rsidR="00B30955" w:rsidRDefault="00B30955">
      <w:pPr>
        <w:spacing w:after="0" w:line="240" w:lineRule="auto"/>
      </w:pPr>
      <w:r>
        <w:separator/>
      </w:r>
    </w:p>
  </w:footnote>
  <w:footnote w:type="continuationSeparator" w:id="0">
    <w:p w14:paraId="5824D773" w14:textId="77777777" w:rsidR="00B30955" w:rsidRDefault="00B30955">
      <w:pPr>
        <w:spacing w:after="0" w:line="240" w:lineRule="auto"/>
      </w:pPr>
      <w:r>
        <w:continuationSeparator/>
      </w:r>
    </w:p>
  </w:footnote>
  <w:footnote w:id="1">
    <w:p w14:paraId="4A638535" w14:textId="77777777" w:rsidR="007E36E2" w:rsidRPr="00070FFE" w:rsidRDefault="007E36E2" w:rsidP="007E36E2">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66FA2F7F" w14:textId="77777777" w:rsidR="007E36E2" w:rsidRPr="00070FFE" w:rsidRDefault="007E36E2" w:rsidP="007E36E2">
      <w:pPr>
        <w:pStyle w:val="Textonotapie"/>
        <w:jc w:val="both"/>
        <w:rPr>
          <w:sz w:val="18"/>
          <w:szCs w:val="18"/>
        </w:rPr>
      </w:pPr>
    </w:p>
    <w:p w14:paraId="26FD14E6" w14:textId="77777777" w:rsidR="007E36E2" w:rsidRPr="00070FFE" w:rsidRDefault="007E36E2" w:rsidP="007E36E2">
      <w:pPr>
        <w:pStyle w:val="Textonotapie"/>
        <w:jc w:val="both"/>
        <w:rPr>
          <w:sz w:val="18"/>
          <w:szCs w:val="18"/>
        </w:rPr>
      </w:pPr>
      <w:r w:rsidRPr="00070FFE">
        <w:rPr>
          <w:sz w:val="18"/>
          <w:szCs w:val="18"/>
        </w:rPr>
        <w:t>I. Harán prueba plena la confesión expresa de las partes y los actos contenidos en</w:t>
      </w:r>
      <w:r>
        <w:rPr>
          <w:sz w:val="18"/>
          <w:szCs w:val="18"/>
        </w:rPr>
        <w:t xml:space="preserve"> </w:t>
      </w:r>
      <w:r w:rsidRPr="00070FFE">
        <w:rPr>
          <w:sz w:val="18"/>
          <w:szCs w:val="18"/>
        </w:rPr>
        <w:t>documentos públicos, si en éstos últimos se contienen declaraciones de verdad o</w:t>
      </w:r>
      <w:r>
        <w:rPr>
          <w:sz w:val="18"/>
          <w:szCs w:val="18"/>
        </w:rPr>
        <w:t xml:space="preserve"> </w:t>
      </w:r>
      <w:r w:rsidRPr="00070FFE">
        <w:rPr>
          <w:sz w:val="18"/>
          <w:szCs w:val="18"/>
        </w:rPr>
        <w:t>manifestaciones de hechos de particulares; y …”</w:t>
      </w:r>
    </w:p>
  </w:footnote>
  <w:footnote w:id="2">
    <w:p w14:paraId="56177566" w14:textId="77777777" w:rsidR="007E36E2" w:rsidRPr="009168E6" w:rsidRDefault="007E36E2" w:rsidP="007E36E2">
      <w:pPr>
        <w:pStyle w:val="Textonotapie"/>
        <w:rPr>
          <w:sz w:val="18"/>
          <w:szCs w:val="18"/>
        </w:rPr>
      </w:pPr>
      <w:r w:rsidRPr="009168E6">
        <w:rPr>
          <w:rStyle w:val="Refdenotaalpie"/>
          <w:sz w:val="18"/>
          <w:szCs w:val="18"/>
        </w:rPr>
        <w:footnoteRef/>
      </w:r>
      <w:r w:rsidRPr="009168E6">
        <w:rPr>
          <w:sz w:val="18"/>
          <w:szCs w:val="18"/>
        </w:rPr>
        <w:t xml:space="preserve"> </w:t>
      </w:r>
      <w:r w:rsidRPr="009168E6">
        <w:rPr>
          <w:b/>
          <w:sz w:val="18"/>
          <w:szCs w:val="18"/>
        </w:rPr>
        <w:t>ARTÍCULO 17</w:t>
      </w:r>
      <w:r w:rsidRPr="009168E6">
        <w:rPr>
          <w:sz w:val="18"/>
          <w:szCs w:val="18"/>
        </w:rPr>
        <w:t>.- Son elementos y requisitos de validez del acto administrativo:</w:t>
      </w:r>
    </w:p>
    <w:p w14:paraId="5CFFAC95" w14:textId="77777777" w:rsidR="007E36E2" w:rsidRPr="009168E6" w:rsidRDefault="007E36E2" w:rsidP="007E36E2">
      <w:pPr>
        <w:pStyle w:val="Textonotapie"/>
        <w:rPr>
          <w:sz w:val="18"/>
          <w:szCs w:val="18"/>
        </w:rPr>
      </w:pPr>
      <w:r w:rsidRPr="009168E6">
        <w:rPr>
          <w:sz w:val="18"/>
          <w:szCs w:val="18"/>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5D26C5" w:rsidRDefault="007F0648">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7F0648">
          <w:rPr>
            <w:noProof/>
            <w:lang w:val="es-ES"/>
          </w:rPr>
          <w:t>8</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5172EED" w:rsidR="005D26C5" w:rsidRDefault="007F0648">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7F0648">
          <w:rPr>
            <w:noProof/>
            <w:lang w:val="es-ES"/>
          </w:rPr>
          <w:t>9</w:t>
        </w:r>
        <w:r w:rsidR="005D26C5">
          <w:rPr>
            <w:noProof/>
            <w:lang w:val="es-ES"/>
          </w:rPr>
          <w:fldChar w:fldCharType="end"/>
        </w:r>
      </w:sdtContent>
    </w:sdt>
  </w:p>
  <w:p w14:paraId="318D0739" w14:textId="15703848" w:rsidR="005D26C5" w:rsidRDefault="00E914EA" w:rsidP="00E914EA">
    <w:pPr>
      <w:pStyle w:val="Encabezado"/>
      <w:tabs>
        <w:tab w:val="clear" w:pos="4252"/>
        <w:tab w:val="clear" w:pos="8504"/>
        <w:tab w:val="left" w:pos="142"/>
        <w:tab w:val="left" w:pos="2626"/>
      </w:tabs>
      <w:ind w:left="284"/>
    </w:pPr>
    <w:r>
      <w:rPr>
        <w:noProof/>
        <w:lang w:eastAsia="es-MX"/>
      </w:rPr>
      <mc:AlternateContent>
        <mc:Choice Requires="wps">
          <w:drawing>
            <wp:anchor distT="0" distB="0" distL="114300" distR="114300" simplePos="0" relativeHeight="251667456" behindDoc="0" locked="0" layoutInCell="1" allowOverlap="1" wp14:anchorId="7547A2E7" wp14:editId="12BB1CAA">
              <wp:simplePos x="0" y="0"/>
              <wp:positionH relativeFrom="column">
                <wp:posOffset>-1589971</wp:posOffset>
              </wp:positionH>
              <wp:positionV relativeFrom="paragraph">
                <wp:posOffset>4764662</wp:posOffset>
              </wp:positionV>
              <wp:extent cx="1283335" cy="1160145"/>
              <wp:effectExtent l="0" t="0" r="12065" b="20955"/>
              <wp:wrapNone/>
              <wp:docPr id="23" name="Cuadro de texto 23"/>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417EB6" w14:textId="77777777" w:rsidR="00E914EA" w:rsidRDefault="00E914EA" w:rsidP="00E914EA">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47A2E7" id="_x0000_t202" coordsize="21600,21600" o:spt="202" path="m,l,21600r21600,l21600,xe">
              <v:stroke joinstyle="miter"/>
              <v:path gradientshapeok="t" o:connecttype="rect"/>
            </v:shapetype>
            <v:shape id="Cuadro de texto 23" o:spid="_x0000_s1026" type="#_x0000_t202" style="position:absolute;left:0;text-align:left;margin-left:-125.2pt;margin-top:375.1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" fillcolor="white [3201]" strokeweight=".5pt">
              <v:textbox>
                <w:txbxContent>
                  <w:p w14:paraId="58417EB6" w14:textId="77777777" w:rsidR="00E914EA" w:rsidRDefault="00E914EA" w:rsidP="00E914EA">
                    <w:r>
                      <w:t>Datos personales protegidos por el Art. 116 de la LGTAIP y el Art. 56 de la LTAIPEO</w:t>
                    </w:r>
                  </w:p>
                </w:txbxContent>
              </v:textbox>
            </v:shape>
          </w:pict>
        </mc:Fallback>
      </mc:AlternateConten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7F0648">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8">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2"/>
  </w:num>
  <w:num w:numId="3">
    <w:abstractNumId w:val="0"/>
  </w:num>
  <w:num w:numId="4">
    <w:abstractNumId w:val="10"/>
  </w:num>
  <w:num w:numId="5">
    <w:abstractNumId w:val="19"/>
  </w:num>
  <w:num w:numId="6">
    <w:abstractNumId w:val="6"/>
  </w:num>
  <w:num w:numId="7">
    <w:abstractNumId w:val="4"/>
  </w:num>
  <w:num w:numId="8">
    <w:abstractNumId w:val="1"/>
  </w:num>
  <w:num w:numId="9">
    <w:abstractNumId w:val="3"/>
  </w:num>
  <w:num w:numId="10">
    <w:abstractNumId w:val="8"/>
  </w:num>
  <w:num w:numId="11">
    <w:abstractNumId w:val="11"/>
  </w:num>
  <w:num w:numId="12">
    <w:abstractNumId w:val="5"/>
  </w:num>
  <w:num w:numId="13">
    <w:abstractNumId w:val="18"/>
  </w:num>
  <w:num w:numId="14">
    <w:abstractNumId w:val="7"/>
  </w:num>
  <w:num w:numId="15">
    <w:abstractNumId w:val="14"/>
  </w:num>
  <w:num w:numId="16">
    <w:abstractNumId w:val="15"/>
  </w:num>
  <w:num w:numId="17">
    <w:abstractNumId w:val="13"/>
  </w:num>
  <w:num w:numId="18">
    <w:abstractNumId w:val="9"/>
  </w:num>
  <w:num w:numId="19">
    <w:abstractNumId w:val="21"/>
  </w:num>
  <w:num w:numId="20">
    <w:abstractNumId w:val="1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69F"/>
    <w:rsid w:val="00007105"/>
    <w:rsid w:val="00007296"/>
    <w:rsid w:val="000073F3"/>
    <w:rsid w:val="00007DE0"/>
    <w:rsid w:val="00007E09"/>
    <w:rsid w:val="00007EFD"/>
    <w:rsid w:val="00007FD5"/>
    <w:rsid w:val="00010444"/>
    <w:rsid w:val="000106FE"/>
    <w:rsid w:val="000121A9"/>
    <w:rsid w:val="000126F6"/>
    <w:rsid w:val="00012918"/>
    <w:rsid w:val="00012DC1"/>
    <w:rsid w:val="000130C8"/>
    <w:rsid w:val="000135AF"/>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56F41"/>
    <w:rsid w:val="00060DBB"/>
    <w:rsid w:val="00061268"/>
    <w:rsid w:val="00061414"/>
    <w:rsid w:val="00061610"/>
    <w:rsid w:val="000616B5"/>
    <w:rsid w:val="00061C4C"/>
    <w:rsid w:val="0006202A"/>
    <w:rsid w:val="000620CD"/>
    <w:rsid w:val="00062522"/>
    <w:rsid w:val="00062802"/>
    <w:rsid w:val="00062BE3"/>
    <w:rsid w:val="000640F2"/>
    <w:rsid w:val="00064193"/>
    <w:rsid w:val="00064906"/>
    <w:rsid w:val="00064E90"/>
    <w:rsid w:val="00064FD9"/>
    <w:rsid w:val="0006533C"/>
    <w:rsid w:val="00067B5A"/>
    <w:rsid w:val="00067E6B"/>
    <w:rsid w:val="00070777"/>
    <w:rsid w:val="00070AA4"/>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DFD"/>
    <w:rsid w:val="00080A85"/>
    <w:rsid w:val="00080D0E"/>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1BC8"/>
    <w:rsid w:val="00091FAC"/>
    <w:rsid w:val="000939DB"/>
    <w:rsid w:val="00093C95"/>
    <w:rsid w:val="00094EB2"/>
    <w:rsid w:val="00095419"/>
    <w:rsid w:val="000964DE"/>
    <w:rsid w:val="00096B18"/>
    <w:rsid w:val="00096C5C"/>
    <w:rsid w:val="00096CE1"/>
    <w:rsid w:val="00097571"/>
    <w:rsid w:val="000A084D"/>
    <w:rsid w:val="000A0E5E"/>
    <w:rsid w:val="000A12C0"/>
    <w:rsid w:val="000A1491"/>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3F1"/>
    <w:rsid w:val="000C0569"/>
    <w:rsid w:val="000C1B50"/>
    <w:rsid w:val="000C1E6B"/>
    <w:rsid w:val="000C238B"/>
    <w:rsid w:val="000C2764"/>
    <w:rsid w:val="000C35F6"/>
    <w:rsid w:val="000C3DC9"/>
    <w:rsid w:val="000C4139"/>
    <w:rsid w:val="000C47B5"/>
    <w:rsid w:val="000C4A0A"/>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6EEE"/>
    <w:rsid w:val="00126EEF"/>
    <w:rsid w:val="00126F80"/>
    <w:rsid w:val="00127248"/>
    <w:rsid w:val="00127B1F"/>
    <w:rsid w:val="00127C05"/>
    <w:rsid w:val="00130500"/>
    <w:rsid w:val="0013065F"/>
    <w:rsid w:val="00130C9B"/>
    <w:rsid w:val="001312BC"/>
    <w:rsid w:val="00131911"/>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509D"/>
    <w:rsid w:val="002C5345"/>
    <w:rsid w:val="002C5540"/>
    <w:rsid w:val="002C62F6"/>
    <w:rsid w:val="002C6C58"/>
    <w:rsid w:val="002C6CED"/>
    <w:rsid w:val="002C6F55"/>
    <w:rsid w:val="002C721C"/>
    <w:rsid w:val="002D0290"/>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24E"/>
    <w:rsid w:val="002D72C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508"/>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960"/>
    <w:rsid w:val="0030330D"/>
    <w:rsid w:val="00304999"/>
    <w:rsid w:val="00304F25"/>
    <w:rsid w:val="003056B2"/>
    <w:rsid w:val="00305D48"/>
    <w:rsid w:val="00305D82"/>
    <w:rsid w:val="003062E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175"/>
    <w:rsid w:val="00334A65"/>
    <w:rsid w:val="003359A4"/>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7DD"/>
    <w:rsid w:val="00395933"/>
    <w:rsid w:val="003961E1"/>
    <w:rsid w:val="003974F9"/>
    <w:rsid w:val="0039774F"/>
    <w:rsid w:val="003A0AA1"/>
    <w:rsid w:val="003A0E9C"/>
    <w:rsid w:val="003A0FE5"/>
    <w:rsid w:val="003A24EC"/>
    <w:rsid w:val="003A3EA0"/>
    <w:rsid w:val="003A55EE"/>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40BA"/>
    <w:rsid w:val="004348C5"/>
    <w:rsid w:val="00435579"/>
    <w:rsid w:val="00436B6F"/>
    <w:rsid w:val="00437D5A"/>
    <w:rsid w:val="0044044F"/>
    <w:rsid w:val="00441DE8"/>
    <w:rsid w:val="00442F67"/>
    <w:rsid w:val="00442FBB"/>
    <w:rsid w:val="00443077"/>
    <w:rsid w:val="0044311E"/>
    <w:rsid w:val="00443487"/>
    <w:rsid w:val="0044467E"/>
    <w:rsid w:val="0044496C"/>
    <w:rsid w:val="00444F46"/>
    <w:rsid w:val="0044520F"/>
    <w:rsid w:val="004468EC"/>
    <w:rsid w:val="00446A05"/>
    <w:rsid w:val="00446A09"/>
    <w:rsid w:val="00446B69"/>
    <w:rsid w:val="004502C5"/>
    <w:rsid w:val="004507EA"/>
    <w:rsid w:val="004509CE"/>
    <w:rsid w:val="00450F66"/>
    <w:rsid w:val="004515BE"/>
    <w:rsid w:val="00452B43"/>
    <w:rsid w:val="00453B9A"/>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67F4D"/>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5F9D"/>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810"/>
    <w:rsid w:val="00515B21"/>
    <w:rsid w:val="00515CF2"/>
    <w:rsid w:val="00517079"/>
    <w:rsid w:val="00520023"/>
    <w:rsid w:val="005201C4"/>
    <w:rsid w:val="00520569"/>
    <w:rsid w:val="00520CD2"/>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1390"/>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9B"/>
    <w:rsid w:val="00577656"/>
    <w:rsid w:val="0057772B"/>
    <w:rsid w:val="00580176"/>
    <w:rsid w:val="005802AF"/>
    <w:rsid w:val="00580CDB"/>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A9E"/>
    <w:rsid w:val="005A7140"/>
    <w:rsid w:val="005A752F"/>
    <w:rsid w:val="005B1E67"/>
    <w:rsid w:val="005B2365"/>
    <w:rsid w:val="005B296A"/>
    <w:rsid w:val="005B3184"/>
    <w:rsid w:val="005B36F5"/>
    <w:rsid w:val="005B3BB9"/>
    <w:rsid w:val="005B3F3B"/>
    <w:rsid w:val="005B51EE"/>
    <w:rsid w:val="005B5FC8"/>
    <w:rsid w:val="005B6E2C"/>
    <w:rsid w:val="005B7761"/>
    <w:rsid w:val="005C08BA"/>
    <w:rsid w:val="005C0DC0"/>
    <w:rsid w:val="005C160B"/>
    <w:rsid w:val="005C194D"/>
    <w:rsid w:val="005C1C0E"/>
    <w:rsid w:val="005C21B5"/>
    <w:rsid w:val="005C2D8D"/>
    <w:rsid w:val="005C3179"/>
    <w:rsid w:val="005C44D8"/>
    <w:rsid w:val="005C464F"/>
    <w:rsid w:val="005C49FE"/>
    <w:rsid w:val="005C565F"/>
    <w:rsid w:val="005C5844"/>
    <w:rsid w:val="005C5B71"/>
    <w:rsid w:val="005C639C"/>
    <w:rsid w:val="005C66F8"/>
    <w:rsid w:val="005C7062"/>
    <w:rsid w:val="005C714B"/>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E08EE"/>
    <w:rsid w:val="005E1980"/>
    <w:rsid w:val="005E25CA"/>
    <w:rsid w:val="005E3A57"/>
    <w:rsid w:val="005E3BA2"/>
    <w:rsid w:val="005E40A8"/>
    <w:rsid w:val="005E499E"/>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043"/>
    <w:rsid w:val="006163BF"/>
    <w:rsid w:val="00616F1D"/>
    <w:rsid w:val="00616FA1"/>
    <w:rsid w:val="00617516"/>
    <w:rsid w:val="00617C77"/>
    <w:rsid w:val="0062006E"/>
    <w:rsid w:val="00620357"/>
    <w:rsid w:val="00620FB8"/>
    <w:rsid w:val="006214D7"/>
    <w:rsid w:val="00621B71"/>
    <w:rsid w:val="006225CD"/>
    <w:rsid w:val="00622BEF"/>
    <w:rsid w:val="0062386E"/>
    <w:rsid w:val="00623E6B"/>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B27"/>
    <w:rsid w:val="006E3401"/>
    <w:rsid w:val="006E58AF"/>
    <w:rsid w:val="006E687C"/>
    <w:rsid w:val="006E698C"/>
    <w:rsid w:val="006E6A36"/>
    <w:rsid w:val="006E7B65"/>
    <w:rsid w:val="006E7F21"/>
    <w:rsid w:val="006F017D"/>
    <w:rsid w:val="006F0329"/>
    <w:rsid w:val="006F05CC"/>
    <w:rsid w:val="006F0771"/>
    <w:rsid w:val="006F0913"/>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D6A"/>
    <w:rsid w:val="00705E84"/>
    <w:rsid w:val="00706144"/>
    <w:rsid w:val="007061EE"/>
    <w:rsid w:val="007063E6"/>
    <w:rsid w:val="00707031"/>
    <w:rsid w:val="00707245"/>
    <w:rsid w:val="007073AC"/>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11B"/>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6DE1"/>
    <w:rsid w:val="0076715A"/>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D36"/>
    <w:rsid w:val="007C1271"/>
    <w:rsid w:val="007C1686"/>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1EF"/>
    <w:rsid w:val="007D5692"/>
    <w:rsid w:val="007D5976"/>
    <w:rsid w:val="007D6461"/>
    <w:rsid w:val="007E086A"/>
    <w:rsid w:val="007E2AA7"/>
    <w:rsid w:val="007E3210"/>
    <w:rsid w:val="007E32FC"/>
    <w:rsid w:val="007E36E2"/>
    <w:rsid w:val="007E4266"/>
    <w:rsid w:val="007E4EA5"/>
    <w:rsid w:val="007E5A5C"/>
    <w:rsid w:val="007E5AFE"/>
    <w:rsid w:val="007E7A9C"/>
    <w:rsid w:val="007F0633"/>
    <w:rsid w:val="007F0648"/>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316"/>
    <w:rsid w:val="00801A10"/>
    <w:rsid w:val="00801F35"/>
    <w:rsid w:val="00802922"/>
    <w:rsid w:val="00803391"/>
    <w:rsid w:val="00803D63"/>
    <w:rsid w:val="00805B95"/>
    <w:rsid w:val="008061D6"/>
    <w:rsid w:val="008068C9"/>
    <w:rsid w:val="00806BDD"/>
    <w:rsid w:val="00806D14"/>
    <w:rsid w:val="0080728A"/>
    <w:rsid w:val="00807D76"/>
    <w:rsid w:val="00810C2C"/>
    <w:rsid w:val="00811182"/>
    <w:rsid w:val="00811407"/>
    <w:rsid w:val="00811B44"/>
    <w:rsid w:val="008122E4"/>
    <w:rsid w:val="00812D5A"/>
    <w:rsid w:val="00813206"/>
    <w:rsid w:val="00813494"/>
    <w:rsid w:val="00813755"/>
    <w:rsid w:val="00813833"/>
    <w:rsid w:val="008139EF"/>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42F"/>
    <w:rsid w:val="008309C8"/>
    <w:rsid w:val="008309F3"/>
    <w:rsid w:val="00830E08"/>
    <w:rsid w:val="008312B3"/>
    <w:rsid w:val="0083287B"/>
    <w:rsid w:val="00832A83"/>
    <w:rsid w:val="00832A94"/>
    <w:rsid w:val="00832D2B"/>
    <w:rsid w:val="00833114"/>
    <w:rsid w:val="008357D2"/>
    <w:rsid w:val="00836EFC"/>
    <w:rsid w:val="008370CF"/>
    <w:rsid w:val="00837CEF"/>
    <w:rsid w:val="00840700"/>
    <w:rsid w:val="00840C89"/>
    <w:rsid w:val="0084114B"/>
    <w:rsid w:val="008413FA"/>
    <w:rsid w:val="00842756"/>
    <w:rsid w:val="008430AD"/>
    <w:rsid w:val="008433AE"/>
    <w:rsid w:val="0084355F"/>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4A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513"/>
    <w:rsid w:val="008979CB"/>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1DE0"/>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36A"/>
    <w:rsid w:val="008D1EDE"/>
    <w:rsid w:val="008D2763"/>
    <w:rsid w:val="008D3210"/>
    <w:rsid w:val="008D32AD"/>
    <w:rsid w:val="008D3620"/>
    <w:rsid w:val="008D458F"/>
    <w:rsid w:val="008D4A9D"/>
    <w:rsid w:val="008D5259"/>
    <w:rsid w:val="008D52D9"/>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F9"/>
    <w:rsid w:val="00913C08"/>
    <w:rsid w:val="00914B11"/>
    <w:rsid w:val="00915282"/>
    <w:rsid w:val="00915409"/>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700BB"/>
    <w:rsid w:val="00971321"/>
    <w:rsid w:val="00972697"/>
    <w:rsid w:val="00972B61"/>
    <w:rsid w:val="009730F2"/>
    <w:rsid w:val="00973CD7"/>
    <w:rsid w:val="00974250"/>
    <w:rsid w:val="00974AAF"/>
    <w:rsid w:val="00974DD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3F67"/>
    <w:rsid w:val="00A54A2D"/>
    <w:rsid w:val="00A54AAC"/>
    <w:rsid w:val="00A55548"/>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C07"/>
    <w:rsid w:val="00A96E7D"/>
    <w:rsid w:val="00A97932"/>
    <w:rsid w:val="00A979D7"/>
    <w:rsid w:val="00AA0197"/>
    <w:rsid w:val="00AA029D"/>
    <w:rsid w:val="00AA11A2"/>
    <w:rsid w:val="00AA1BD8"/>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4282"/>
    <w:rsid w:val="00AD5A42"/>
    <w:rsid w:val="00AD7073"/>
    <w:rsid w:val="00AD7559"/>
    <w:rsid w:val="00AD77FD"/>
    <w:rsid w:val="00AD79E2"/>
    <w:rsid w:val="00AD7C6A"/>
    <w:rsid w:val="00AD7FFB"/>
    <w:rsid w:val="00AE099B"/>
    <w:rsid w:val="00AE1B67"/>
    <w:rsid w:val="00AE1C5C"/>
    <w:rsid w:val="00AE271F"/>
    <w:rsid w:val="00AE3DF5"/>
    <w:rsid w:val="00AE4CFF"/>
    <w:rsid w:val="00AE4E46"/>
    <w:rsid w:val="00AE50E1"/>
    <w:rsid w:val="00AE52B0"/>
    <w:rsid w:val="00AE54F8"/>
    <w:rsid w:val="00AE5C7F"/>
    <w:rsid w:val="00AE6BA2"/>
    <w:rsid w:val="00AF0EE5"/>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1FA"/>
    <w:rsid w:val="00AF72B1"/>
    <w:rsid w:val="00AF76CC"/>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459C"/>
    <w:rsid w:val="00B25468"/>
    <w:rsid w:val="00B25FA6"/>
    <w:rsid w:val="00B26009"/>
    <w:rsid w:val="00B26215"/>
    <w:rsid w:val="00B26918"/>
    <w:rsid w:val="00B26C44"/>
    <w:rsid w:val="00B30025"/>
    <w:rsid w:val="00B3095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4D"/>
    <w:rsid w:val="00B636E6"/>
    <w:rsid w:val="00B647EC"/>
    <w:rsid w:val="00B64AED"/>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E2"/>
    <w:rsid w:val="00B814A1"/>
    <w:rsid w:val="00B82205"/>
    <w:rsid w:val="00B8238D"/>
    <w:rsid w:val="00B82642"/>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ED9"/>
    <w:rsid w:val="00B91714"/>
    <w:rsid w:val="00B923B6"/>
    <w:rsid w:val="00B9293A"/>
    <w:rsid w:val="00B92E08"/>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63BB"/>
    <w:rsid w:val="00BA65C8"/>
    <w:rsid w:val="00BA6A89"/>
    <w:rsid w:val="00BA6F7A"/>
    <w:rsid w:val="00BA785A"/>
    <w:rsid w:val="00BA79B7"/>
    <w:rsid w:val="00BA7EF5"/>
    <w:rsid w:val="00BB0D35"/>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1305"/>
    <w:rsid w:val="00BC2587"/>
    <w:rsid w:val="00BC2926"/>
    <w:rsid w:val="00BC327E"/>
    <w:rsid w:val="00BC342A"/>
    <w:rsid w:val="00BC35AD"/>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4EB7"/>
    <w:rsid w:val="00C2561D"/>
    <w:rsid w:val="00C25A02"/>
    <w:rsid w:val="00C268F6"/>
    <w:rsid w:val="00C272CA"/>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2F49"/>
    <w:rsid w:val="00C632FA"/>
    <w:rsid w:val="00C635D0"/>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6B"/>
    <w:rsid w:val="00CA66BE"/>
    <w:rsid w:val="00CA7888"/>
    <w:rsid w:val="00CB1AC1"/>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44B"/>
    <w:rsid w:val="00CD2580"/>
    <w:rsid w:val="00CD3739"/>
    <w:rsid w:val="00CD3AE0"/>
    <w:rsid w:val="00CD3B16"/>
    <w:rsid w:val="00CD4B83"/>
    <w:rsid w:val="00CD5020"/>
    <w:rsid w:val="00CD58BA"/>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E13"/>
    <w:rsid w:val="00D15683"/>
    <w:rsid w:val="00D16547"/>
    <w:rsid w:val="00D20368"/>
    <w:rsid w:val="00D209D8"/>
    <w:rsid w:val="00D20B6C"/>
    <w:rsid w:val="00D20DAB"/>
    <w:rsid w:val="00D20FE7"/>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7688"/>
    <w:rsid w:val="00D67C48"/>
    <w:rsid w:val="00D705DA"/>
    <w:rsid w:val="00D70CA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4FFC"/>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E2"/>
    <w:rsid w:val="00DC5054"/>
    <w:rsid w:val="00DC596B"/>
    <w:rsid w:val="00DC78C5"/>
    <w:rsid w:val="00DC7910"/>
    <w:rsid w:val="00DC7CCB"/>
    <w:rsid w:val="00DD016C"/>
    <w:rsid w:val="00DD054C"/>
    <w:rsid w:val="00DD0B1B"/>
    <w:rsid w:val="00DD0B5B"/>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68DD"/>
    <w:rsid w:val="00DE70A4"/>
    <w:rsid w:val="00DE77DC"/>
    <w:rsid w:val="00DF0FAE"/>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45C"/>
    <w:rsid w:val="00E055B0"/>
    <w:rsid w:val="00E069C1"/>
    <w:rsid w:val="00E0725D"/>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C9D"/>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DA4"/>
    <w:rsid w:val="00E56DAB"/>
    <w:rsid w:val="00E56E97"/>
    <w:rsid w:val="00E56EE4"/>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14EA"/>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7DF"/>
    <w:rsid w:val="00EA3B39"/>
    <w:rsid w:val="00EA3BBF"/>
    <w:rsid w:val="00EA3EA7"/>
    <w:rsid w:val="00EA4F63"/>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550"/>
    <w:rsid w:val="00EB67AA"/>
    <w:rsid w:val="00EB70B5"/>
    <w:rsid w:val="00EB780C"/>
    <w:rsid w:val="00EC0AA1"/>
    <w:rsid w:val="00EC0FBA"/>
    <w:rsid w:val="00EC3CB8"/>
    <w:rsid w:val="00EC45FC"/>
    <w:rsid w:val="00EC4707"/>
    <w:rsid w:val="00EC4A4E"/>
    <w:rsid w:val="00EC4B0C"/>
    <w:rsid w:val="00EC5A01"/>
    <w:rsid w:val="00EC5C0A"/>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0F2"/>
    <w:rsid w:val="00F2789C"/>
    <w:rsid w:val="00F30A9D"/>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007"/>
    <w:rsid w:val="00F66D81"/>
    <w:rsid w:val="00F67C3E"/>
    <w:rsid w:val="00F70281"/>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24F"/>
    <w:rsid w:val="00FE05FC"/>
    <w:rsid w:val="00FE0693"/>
    <w:rsid w:val="00FE086E"/>
    <w:rsid w:val="00FE0AF4"/>
    <w:rsid w:val="00FE127F"/>
    <w:rsid w:val="00FE27EE"/>
    <w:rsid w:val="00FE30E1"/>
    <w:rsid w:val="00FE403F"/>
    <w:rsid w:val="00FE43FC"/>
    <w:rsid w:val="00FE520C"/>
    <w:rsid w:val="00FE57BC"/>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99539-C7CD-4E15-9D50-4FFCA30A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2888</Words>
  <Characters>15884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13</cp:revision>
  <cp:lastPrinted>2022-07-12T19:24:00Z</cp:lastPrinted>
  <dcterms:created xsi:type="dcterms:W3CDTF">2022-06-30T19:43:00Z</dcterms:created>
  <dcterms:modified xsi:type="dcterms:W3CDTF">2023-02-08T19:25:00Z</dcterms:modified>
</cp:coreProperties>
</file>