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9220B9" w14:textId="38C67AAD" w:rsidR="006A03BE" w:rsidRPr="00DD0F0D" w:rsidRDefault="00A41436" w:rsidP="006A03BE">
      <w:pPr>
        <w:pStyle w:val="Encabezado"/>
        <w:tabs>
          <w:tab w:val="clear" w:pos="4419"/>
          <w:tab w:val="clear" w:pos="8838"/>
        </w:tabs>
        <w:ind w:left="3540"/>
        <w:jc w:val="both"/>
        <w:rPr>
          <w:rFonts w:ascii="Arial" w:hAnsi="Arial" w:cs="Arial"/>
          <w:b/>
          <w:sz w:val="24"/>
          <w:szCs w:val="26"/>
        </w:rPr>
      </w:pPr>
      <w:r>
        <w:rPr>
          <w:rFonts w:ascii="Arial" w:hAnsi="Arial" w:cs="Arial"/>
          <w:b/>
          <w:sz w:val="24"/>
          <w:szCs w:val="26"/>
        </w:rPr>
        <w:t>SEXTA</w:t>
      </w:r>
      <w:r w:rsidR="006A03BE" w:rsidRPr="00DD0F0D">
        <w:rPr>
          <w:rFonts w:ascii="Arial" w:hAnsi="Arial" w:cs="Arial"/>
          <w:b/>
          <w:sz w:val="24"/>
          <w:szCs w:val="26"/>
        </w:rPr>
        <w:t xml:space="preserve"> SALA UNITARIA DE PRIMERA INSTANCIA DEL TRIBUNAL DE JUSTICIA ADMINISTRATIVA DEL ESTADO DE OAXACA.</w:t>
      </w:r>
    </w:p>
    <w:p w14:paraId="3AFE0484" w14:textId="77777777" w:rsidR="006A03BE" w:rsidRPr="00DD0F0D" w:rsidRDefault="006A03BE" w:rsidP="006A03BE">
      <w:pPr>
        <w:pStyle w:val="Encabezado"/>
        <w:ind w:left="4248"/>
        <w:jc w:val="both"/>
        <w:rPr>
          <w:rFonts w:ascii="Arial" w:hAnsi="Arial" w:cs="Arial"/>
          <w:b/>
          <w:sz w:val="24"/>
          <w:szCs w:val="26"/>
        </w:rPr>
      </w:pPr>
    </w:p>
    <w:p w14:paraId="3E001558" w14:textId="488AA1AC" w:rsidR="006A03BE" w:rsidRPr="00DD0F0D" w:rsidRDefault="00DF5918" w:rsidP="006A03BE">
      <w:pPr>
        <w:pStyle w:val="Encabezado"/>
        <w:tabs>
          <w:tab w:val="clear" w:pos="4419"/>
          <w:tab w:val="clear" w:pos="8838"/>
        </w:tabs>
        <w:ind w:left="2832" w:firstLine="708"/>
        <w:jc w:val="both"/>
        <w:rPr>
          <w:rFonts w:ascii="Arial" w:hAnsi="Arial" w:cs="Arial"/>
          <w:b/>
          <w:sz w:val="24"/>
          <w:szCs w:val="26"/>
        </w:rPr>
      </w:pPr>
      <w:r w:rsidRPr="00DD0F0D">
        <w:rPr>
          <w:rFonts w:ascii="Arial" w:hAnsi="Arial" w:cs="Arial"/>
          <w:b/>
          <w:sz w:val="24"/>
          <w:szCs w:val="26"/>
        </w:rPr>
        <w:t xml:space="preserve">EXPEDIENTE: </w:t>
      </w:r>
      <w:r w:rsidR="00F9030F">
        <w:rPr>
          <w:rFonts w:ascii="Arial" w:hAnsi="Arial" w:cs="Arial"/>
          <w:b/>
          <w:sz w:val="24"/>
          <w:szCs w:val="26"/>
        </w:rPr>
        <w:t>0019</w:t>
      </w:r>
      <w:r w:rsidR="008230DE">
        <w:rPr>
          <w:rFonts w:ascii="Arial" w:hAnsi="Arial" w:cs="Arial"/>
          <w:b/>
          <w:sz w:val="24"/>
          <w:szCs w:val="26"/>
        </w:rPr>
        <w:t>/2021</w:t>
      </w:r>
    </w:p>
    <w:p w14:paraId="243FB633" w14:textId="6BECCC25" w:rsidR="006A03BE" w:rsidRPr="00DD0F0D" w:rsidRDefault="006A03BE" w:rsidP="006A03BE">
      <w:pPr>
        <w:pStyle w:val="Encabezado"/>
        <w:tabs>
          <w:tab w:val="clear" w:pos="4419"/>
          <w:tab w:val="center" w:pos="8931"/>
        </w:tabs>
        <w:jc w:val="both"/>
        <w:rPr>
          <w:rFonts w:ascii="Arial" w:hAnsi="Arial" w:cs="Arial"/>
          <w:b/>
          <w:sz w:val="24"/>
          <w:szCs w:val="26"/>
        </w:rPr>
      </w:pPr>
    </w:p>
    <w:p w14:paraId="3B3D8537" w14:textId="445B9D43" w:rsidR="006A03BE" w:rsidRDefault="006A03BE" w:rsidP="00DF5918">
      <w:pPr>
        <w:pStyle w:val="Encabezado"/>
        <w:tabs>
          <w:tab w:val="clear" w:pos="4419"/>
          <w:tab w:val="clear" w:pos="8838"/>
        </w:tabs>
        <w:ind w:left="3540"/>
        <w:rPr>
          <w:rFonts w:ascii="Arial" w:hAnsi="Arial" w:cs="Arial"/>
          <w:sz w:val="24"/>
          <w:szCs w:val="26"/>
        </w:rPr>
      </w:pPr>
      <w:r w:rsidRPr="00DD0F0D">
        <w:rPr>
          <w:rFonts w:ascii="Arial" w:hAnsi="Arial" w:cs="Arial"/>
          <w:b/>
          <w:sz w:val="24"/>
          <w:szCs w:val="26"/>
        </w:rPr>
        <w:t>ACTOR</w:t>
      </w:r>
      <w:r w:rsidR="00B76E87">
        <w:rPr>
          <w:rFonts w:ascii="Arial" w:hAnsi="Arial" w:cs="Arial"/>
          <w:b/>
          <w:sz w:val="24"/>
          <w:szCs w:val="26"/>
        </w:rPr>
        <w:t>A</w:t>
      </w:r>
      <w:r w:rsidRPr="00DD0F0D">
        <w:rPr>
          <w:rFonts w:ascii="Arial" w:hAnsi="Arial" w:cs="Arial"/>
          <w:b/>
          <w:sz w:val="24"/>
          <w:szCs w:val="26"/>
        </w:rPr>
        <w:t>:</w:t>
      </w:r>
      <w:r w:rsidR="008230DE">
        <w:rPr>
          <w:rFonts w:ascii="Arial" w:hAnsi="Arial" w:cs="Arial"/>
          <w:sz w:val="24"/>
          <w:szCs w:val="26"/>
        </w:rPr>
        <w:t xml:space="preserve"> </w:t>
      </w:r>
      <w:r w:rsidR="001F5011">
        <w:rPr>
          <w:rFonts w:ascii="Arial" w:hAnsi="Arial" w:cs="Arial"/>
          <w:b/>
          <w:color w:val="FF0000"/>
          <w:sz w:val="24"/>
          <w:szCs w:val="26"/>
        </w:rPr>
        <w:t>**********</w:t>
      </w:r>
      <w:r w:rsidR="00456CC0">
        <w:rPr>
          <w:rFonts w:ascii="Arial" w:hAnsi="Arial" w:cs="Arial"/>
          <w:sz w:val="24"/>
          <w:szCs w:val="26"/>
        </w:rPr>
        <w:t>.</w:t>
      </w:r>
    </w:p>
    <w:p w14:paraId="5D2E760E" w14:textId="706AA172" w:rsidR="00A41436" w:rsidRDefault="00A41436" w:rsidP="00DF5918">
      <w:pPr>
        <w:pStyle w:val="Encabezado"/>
        <w:tabs>
          <w:tab w:val="clear" w:pos="4419"/>
          <w:tab w:val="clear" w:pos="8838"/>
        </w:tabs>
        <w:ind w:left="3540"/>
        <w:rPr>
          <w:rFonts w:ascii="Arial" w:hAnsi="Arial" w:cs="Arial"/>
          <w:sz w:val="24"/>
          <w:szCs w:val="26"/>
        </w:rPr>
      </w:pPr>
    </w:p>
    <w:p w14:paraId="210B76AD" w14:textId="77777777" w:rsidR="00880879" w:rsidRPr="00DD0F0D" w:rsidRDefault="00880879" w:rsidP="00880879">
      <w:pPr>
        <w:pStyle w:val="Encabezado"/>
        <w:tabs>
          <w:tab w:val="clear" w:pos="4419"/>
          <w:tab w:val="clear" w:pos="8838"/>
          <w:tab w:val="center" w:pos="-1418"/>
        </w:tabs>
        <w:ind w:left="3540"/>
        <w:jc w:val="both"/>
        <w:rPr>
          <w:rFonts w:ascii="Arial" w:hAnsi="Arial" w:cs="Arial"/>
          <w:sz w:val="24"/>
          <w:szCs w:val="26"/>
        </w:rPr>
      </w:pPr>
      <w:r w:rsidRPr="00DD0F0D">
        <w:rPr>
          <w:rFonts w:ascii="Arial" w:hAnsi="Arial" w:cs="Arial"/>
          <w:b/>
          <w:sz w:val="24"/>
          <w:szCs w:val="26"/>
        </w:rPr>
        <w:t xml:space="preserve">DEMANDADO: </w:t>
      </w:r>
      <w:r w:rsidRPr="00DD0F0D">
        <w:rPr>
          <w:rFonts w:ascii="Arial" w:hAnsi="Arial" w:cs="Arial"/>
          <w:sz w:val="24"/>
          <w:szCs w:val="26"/>
        </w:rPr>
        <w:t>CONSEJO DIRECTIVO DE PENSIONES DEL ESTADO DE OAXACA.</w:t>
      </w:r>
    </w:p>
    <w:p w14:paraId="03B3BAA1" w14:textId="77777777" w:rsidR="00880879" w:rsidRDefault="00880879" w:rsidP="00DF5918">
      <w:pPr>
        <w:pStyle w:val="Encabezado"/>
        <w:tabs>
          <w:tab w:val="clear" w:pos="4419"/>
          <w:tab w:val="clear" w:pos="8838"/>
        </w:tabs>
        <w:ind w:left="3540"/>
        <w:rPr>
          <w:rFonts w:ascii="Arial" w:hAnsi="Arial" w:cs="Arial"/>
          <w:b/>
          <w:bCs/>
          <w:sz w:val="24"/>
          <w:szCs w:val="26"/>
        </w:rPr>
      </w:pPr>
    </w:p>
    <w:p w14:paraId="422C5BC8" w14:textId="4FD48990" w:rsidR="006A03BE" w:rsidRPr="00880879" w:rsidRDefault="00A41436" w:rsidP="00880879">
      <w:pPr>
        <w:pStyle w:val="Encabezado"/>
        <w:tabs>
          <w:tab w:val="clear" w:pos="4419"/>
          <w:tab w:val="clear" w:pos="8838"/>
        </w:tabs>
        <w:ind w:left="3540"/>
        <w:rPr>
          <w:rFonts w:ascii="Arial" w:hAnsi="Arial" w:cs="Arial"/>
          <w:sz w:val="24"/>
          <w:szCs w:val="26"/>
        </w:rPr>
      </w:pPr>
      <w:r w:rsidRPr="00A41436">
        <w:rPr>
          <w:rFonts w:ascii="Arial" w:hAnsi="Arial" w:cs="Arial"/>
          <w:b/>
          <w:bCs/>
          <w:sz w:val="24"/>
          <w:szCs w:val="26"/>
        </w:rPr>
        <w:t>MAGISTRADA</w:t>
      </w:r>
      <w:r>
        <w:rPr>
          <w:rFonts w:ascii="Arial" w:hAnsi="Arial" w:cs="Arial"/>
          <w:sz w:val="24"/>
          <w:szCs w:val="26"/>
        </w:rPr>
        <w:t xml:space="preserve">: </w:t>
      </w:r>
      <w:r w:rsidRPr="00A41436">
        <w:rPr>
          <w:rFonts w:ascii="Arial" w:hAnsi="Arial" w:cs="Arial"/>
          <w:sz w:val="24"/>
          <w:szCs w:val="26"/>
        </w:rPr>
        <w:t>MAESTRA CAMELIA GASPAR MARTÍNEZ</w:t>
      </w:r>
      <w:r>
        <w:rPr>
          <w:rFonts w:ascii="Arial" w:hAnsi="Arial" w:cs="Arial"/>
          <w:sz w:val="24"/>
          <w:szCs w:val="26"/>
        </w:rPr>
        <w:t>.</w:t>
      </w:r>
    </w:p>
    <w:p w14:paraId="6EE7EAC7" w14:textId="77777777" w:rsidR="006A03BE" w:rsidRPr="00DD0F0D" w:rsidRDefault="006A03BE" w:rsidP="008230DE">
      <w:pPr>
        <w:pStyle w:val="Encabezado"/>
        <w:tabs>
          <w:tab w:val="clear" w:pos="4419"/>
          <w:tab w:val="clear" w:pos="8838"/>
          <w:tab w:val="center" w:pos="-1418"/>
        </w:tabs>
        <w:jc w:val="both"/>
        <w:rPr>
          <w:rFonts w:ascii="Arial" w:hAnsi="Arial" w:cs="Arial"/>
          <w:sz w:val="24"/>
          <w:szCs w:val="26"/>
        </w:rPr>
      </w:pPr>
    </w:p>
    <w:p w14:paraId="5226D46B" w14:textId="77777777" w:rsidR="006A03BE" w:rsidRPr="00DD0F0D" w:rsidRDefault="006A03BE" w:rsidP="006A03BE">
      <w:pPr>
        <w:pStyle w:val="Encabezado"/>
        <w:tabs>
          <w:tab w:val="clear" w:pos="4419"/>
          <w:tab w:val="clear" w:pos="8838"/>
          <w:tab w:val="center" w:pos="-1418"/>
        </w:tabs>
        <w:ind w:left="3540"/>
        <w:jc w:val="both"/>
        <w:rPr>
          <w:rFonts w:ascii="Arial" w:hAnsi="Arial" w:cs="Arial"/>
          <w:sz w:val="24"/>
          <w:szCs w:val="26"/>
        </w:rPr>
      </w:pPr>
      <w:r w:rsidRPr="00DD0F0D">
        <w:rPr>
          <w:rFonts w:ascii="Arial" w:hAnsi="Arial" w:cs="Arial"/>
          <w:b/>
          <w:sz w:val="24"/>
          <w:szCs w:val="26"/>
        </w:rPr>
        <w:t>SECRETARI</w:t>
      </w:r>
      <w:r w:rsidR="00DF5918" w:rsidRPr="00DD0F0D">
        <w:rPr>
          <w:rFonts w:ascii="Arial" w:hAnsi="Arial" w:cs="Arial"/>
          <w:b/>
          <w:sz w:val="24"/>
          <w:szCs w:val="26"/>
        </w:rPr>
        <w:t>O</w:t>
      </w:r>
      <w:r w:rsidR="00845B00">
        <w:rPr>
          <w:rFonts w:ascii="Arial" w:hAnsi="Arial" w:cs="Arial"/>
          <w:b/>
          <w:sz w:val="24"/>
          <w:szCs w:val="26"/>
        </w:rPr>
        <w:t>:</w:t>
      </w:r>
      <w:r w:rsidRPr="00DD0F0D">
        <w:rPr>
          <w:rFonts w:ascii="Arial" w:hAnsi="Arial" w:cs="Arial"/>
          <w:b/>
          <w:sz w:val="24"/>
          <w:szCs w:val="26"/>
        </w:rPr>
        <w:t xml:space="preserve"> </w:t>
      </w:r>
      <w:r w:rsidR="00456CC0">
        <w:rPr>
          <w:rFonts w:ascii="Arial" w:hAnsi="Arial" w:cs="Arial"/>
          <w:sz w:val="24"/>
          <w:szCs w:val="26"/>
        </w:rPr>
        <w:t>LICENCIADO</w:t>
      </w:r>
      <w:r w:rsidR="007033BD" w:rsidRPr="00DD0F0D">
        <w:rPr>
          <w:rFonts w:ascii="Arial" w:hAnsi="Arial" w:cs="Arial"/>
          <w:sz w:val="24"/>
          <w:szCs w:val="26"/>
        </w:rPr>
        <w:t xml:space="preserve"> RENATO GABRIEL IBÁÑEZ CASTELLANOS.</w:t>
      </w:r>
    </w:p>
    <w:p w14:paraId="36AFFE17" w14:textId="77777777" w:rsidR="006A03BE" w:rsidRPr="00DD0F0D" w:rsidRDefault="006A03BE" w:rsidP="006A03BE">
      <w:pPr>
        <w:spacing w:after="0" w:line="360" w:lineRule="auto"/>
        <w:jc w:val="both"/>
        <w:rPr>
          <w:rFonts w:ascii="Arial" w:hAnsi="Arial" w:cs="Arial"/>
          <w:b/>
          <w:sz w:val="24"/>
          <w:szCs w:val="26"/>
        </w:rPr>
      </w:pPr>
    </w:p>
    <w:p w14:paraId="18B37D71" w14:textId="55288055" w:rsidR="006A03BE" w:rsidRPr="00DD0F0D" w:rsidRDefault="006A03BE" w:rsidP="006A03BE">
      <w:pPr>
        <w:spacing w:after="0" w:line="360" w:lineRule="auto"/>
        <w:jc w:val="both"/>
        <w:rPr>
          <w:rFonts w:ascii="Arial" w:hAnsi="Arial" w:cs="Arial"/>
          <w:b/>
          <w:sz w:val="24"/>
          <w:szCs w:val="26"/>
        </w:rPr>
      </w:pPr>
      <w:r w:rsidRPr="00DD0F0D">
        <w:rPr>
          <w:rFonts w:ascii="Arial" w:hAnsi="Arial" w:cs="Arial"/>
          <w:b/>
          <w:sz w:val="24"/>
          <w:szCs w:val="26"/>
        </w:rPr>
        <w:t xml:space="preserve">OAXACA DE JUÁREZ, OAXACA A </w:t>
      </w:r>
      <w:r w:rsidR="00880879">
        <w:rPr>
          <w:rFonts w:ascii="Arial" w:hAnsi="Arial" w:cs="Arial"/>
          <w:b/>
          <w:sz w:val="24"/>
          <w:szCs w:val="26"/>
        </w:rPr>
        <w:t>VEINTITRÉS</w:t>
      </w:r>
      <w:r w:rsidR="00DD0F0D" w:rsidRPr="00DD0F0D">
        <w:rPr>
          <w:rFonts w:ascii="Arial" w:hAnsi="Arial" w:cs="Arial"/>
          <w:b/>
          <w:sz w:val="24"/>
          <w:szCs w:val="26"/>
        </w:rPr>
        <w:t xml:space="preserve"> DE </w:t>
      </w:r>
      <w:r w:rsidR="00F24209">
        <w:rPr>
          <w:rFonts w:ascii="Arial" w:hAnsi="Arial" w:cs="Arial"/>
          <w:b/>
          <w:sz w:val="24"/>
          <w:szCs w:val="26"/>
        </w:rPr>
        <w:t>FEBRERO DE DOS MIL VEINTIDÓS</w:t>
      </w:r>
      <w:r w:rsidR="00456CC0">
        <w:rPr>
          <w:rFonts w:ascii="Arial" w:hAnsi="Arial" w:cs="Arial"/>
          <w:b/>
          <w:sz w:val="24"/>
          <w:szCs w:val="26"/>
        </w:rPr>
        <w:t xml:space="preserve">. - - - - - - - - - - - - - - - - - - - - - - - - - - - - - - - - - - - - - - - - - - - - - - - - - </w:t>
      </w:r>
    </w:p>
    <w:p w14:paraId="38E01DA9" w14:textId="4792CC39" w:rsidR="00550C05" w:rsidRPr="00DD0F0D" w:rsidRDefault="00CA6A78" w:rsidP="004B23F2">
      <w:pPr>
        <w:spacing w:before="240" w:after="0" w:line="360" w:lineRule="auto"/>
        <w:ind w:firstLine="567"/>
        <w:jc w:val="both"/>
        <w:rPr>
          <w:rFonts w:ascii="Arial" w:hAnsi="Arial" w:cs="Arial"/>
          <w:b/>
          <w:sz w:val="24"/>
          <w:szCs w:val="26"/>
        </w:rPr>
      </w:pPr>
      <w:r>
        <w:rPr>
          <w:rFonts w:ascii="Arial" w:hAnsi="Arial" w:cs="Arial"/>
          <w:sz w:val="24"/>
          <w:szCs w:val="26"/>
        </w:rPr>
        <w:t xml:space="preserve">Una vez </w:t>
      </w:r>
      <w:r w:rsidR="00550C05" w:rsidRPr="00DD0F0D">
        <w:rPr>
          <w:rFonts w:ascii="Arial" w:hAnsi="Arial" w:cs="Arial"/>
          <w:b/>
          <w:sz w:val="24"/>
          <w:szCs w:val="26"/>
        </w:rPr>
        <w:t xml:space="preserve">VISTOS, </w:t>
      </w:r>
      <w:r w:rsidR="00550C05" w:rsidRPr="00DD0F0D">
        <w:rPr>
          <w:rFonts w:ascii="Arial" w:hAnsi="Arial" w:cs="Arial"/>
          <w:sz w:val="24"/>
          <w:szCs w:val="26"/>
        </w:rPr>
        <w:t xml:space="preserve">para resolver los autos del juicio de nulidad de número </w:t>
      </w:r>
      <w:r w:rsidR="008230DE">
        <w:rPr>
          <w:rFonts w:ascii="Arial" w:hAnsi="Arial" w:cs="Arial"/>
          <w:b/>
          <w:sz w:val="24"/>
          <w:szCs w:val="26"/>
        </w:rPr>
        <w:t>001</w:t>
      </w:r>
      <w:r w:rsidR="00F9030F">
        <w:rPr>
          <w:rFonts w:ascii="Arial" w:hAnsi="Arial" w:cs="Arial"/>
          <w:b/>
          <w:sz w:val="24"/>
          <w:szCs w:val="26"/>
        </w:rPr>
        <w:t>9</w:t>
      </w:r>
      <w:r w:rsidR="00550C05" w:rsidRPr="00DD0F0D">
        <w:rPr>
          <w:rFonts w:ascii="Arial" w:hAnsi="Arial" w:cs="Arial"/>
          <w:b/>
          <w:sz w:val="24"/>
          <w:szCs w:val="26"/>
        </w:rPr>
        <w:t>/20</w:t>
      </w:r>
      <w:r w:rsidR="008230DE">
        <w:rPr>
          <w:rFonts w:ascii="Arial" w:hAnsi="Arial" w:cs="Arial"/>
          <w:b/>
          <w:sz w:val="24"/>
          <w:szCs w:val="26"/>
        </w:rPr>
        <w:t>21</w:t>
      </w:r>
      <w:r w:rsidR="00550C05" w:rsidRPr="00DD0F0D">
        <w:rPr>
          <w:rFonts w:ascii="Arial" w:hAnsi="Arial" w:cs="Arial"/>
          <w:sz w:val="24"/>
          <w:szCs w:val="26"/>
        </w:rPr>
        <w:t xml:space="preserve">, promovido por </w:t>
      </w:r>
      <w:r w:rsidR="001F5011">
        <w:rPr>
          <w:rFonts w:ascii="Arial" w:hAnsi="Arial" w:cs="Arial"/>
          <w:b/>
          <w:color w:val="FF0000"/>
          <w:sz w:val="24"/>
          <w:szCs w:val="26"/>
        </w:rPr>
        <w:t>**********</w:t>
      </w:r>
      <w:r w:rsidR="00550C05" w:rsidRPr="00DD0F0D">
        <w:rPr>
          <w:rFonts w:ascii="Arial" w:hAnsi="Arial" w:cs="Arial"/>
          <w:b/>
          <w:sz w:val="24"/>
          <w:szCs w:val="26"/>
        </w:rPr>
        <w:t xml:space="preserve">, </w:t>
      </w:r>
      <w:r w:rsidR="00550C05" w:rsidRPr="00DD0F0D">
        <w:rPr>
          <w:rFonts w:ascii="Arial" w:hAnsi="Arial" w:cs="Arial"/>
          <w:sz w:val="24"/>
          <w:szCs w:val="26"/>
        </w:rPr>
        <w:t xml:space="preserve">en contra del </w:t>
      </w:r>
      <w:r w:rsidR="006A03BE" w:rsidRPr="00DD0F0D">
        <w:rPr>
          <w:rFonts w:ascii="Arial" w:hAnsi="Arial" w:cs="Arial"/>
          <w:b/>
          <w:sz w:val="24"/>
          <w:szCs w:val="26"/>
        </w:rPr>
        <w:t xml:space="preserve">CONSEJO DIRECTIVO DE PENSIONES </w:t>
      </w:r>
      <w:r w:rsidR="009C15EA" w:rsidRPr="00DD0F0D">
        <w:rPr>
          <w:rFonts w:ascii="Arial" w:hAnsi="Arial" w:cs="Arial"/>
          <w:b/>
          <w:sz w:val="24"/>
          <w:szCs w:val="26"/>
        </w:rPr>
        <w:t>a través de su representante</w:t>
      </w:r>
      <w:r w:rsidR="009C15EA" w:rsidRPr="00DD0F0D">
        <w:rPr>
          <w:rFonts w:ascii="Arial" w:hAnsi="Arial" w:cs="Arial"/>
          <w:sz w:val="24"/>
          <w:szCs w:val="26"/>
        </w:rPr>
        <w:t xml:space="preserve"> </w:t>
      </w:r>
      <w:r w:rsidR="0018220D" w:rsidRPr="00DD0F0D">
        <w:rPr>
          <w:rFonts w:ascii="Arial" w:hAnsi="Arial" w:cs="Arial"/>
          <w:b/>
          <w:sz w:val="24"/>
          <w:szCs w:val="26"/>
        </w:rPr>
        <w:t>DIRECT</w:t>
      </w:r>
      <w:r w:rsidR="00DE7705" w:rsidRPr="00DD0F0D">
        <w:rPr>
          <w:rFonts w:ascii="Arial" w:hAnsi="Arial" w:cs="Arial"/>
          <w:b/>
          <w:sz w:val="24"/>
          <w:szCs w:val="26"/>
        </w:rPr>
        <w:t xml:space="preserve">OR GENERAL DE LA OFICINA </w:t>
      </w:r>
      <w:r w:rsidR="0018220D" w:rsidRPr="00DD0F0D">
        <w:rPr>
          <w:rFonts w:ascii="Arial" w:hAnsi="Arial" w:cs="Arial"/>
          <w:b/>
          <w:sz w:val="24"/>
          <w:szCs w:val="26"/>
        </w:rPr>
        <w:t xml:space="preserve">DE PENSIONES DEL </w:t>
      </w:r>
      <w:r w:rsidR="00F24209">
        <w:rPr>
          <w:rFonts w:ascii="Arial" w:hAnsi="Arial" w:cs="Arial"/>
          <w:b/>
          <w:sz w:val="24"/>
          <w:szCs w:val="26"/>
        </w:rPr>
        <w:t xml:space="preserve">GOBIERNO DEL </w:t>
      </w:r>
      <w:r w:rsidR="0018220D" w:rsidRPr="00DD0F0D">
        <w:rPr>
          <w:rFonts w:ascii="Arial" w:hAnsi="Arial" w:cs="Arial"/>
          <w:b/>
          <w:sz w:val="24"/>
          <w:szCs w:val="26"/>
        </w:rPr>
        <w:t>ESTADO DE OAXACA</w:t>
      </w:r>
      <w:r w:rsidR="00550C05" w:rsidRPr="00DD0F0D">
        <w:rPr>
          <w:rFonts w:ascii="Arial" w:hAnsi="Arial" w:cs="Arial"/>
          <w:sz w:val="24"/>
          <w:szCs w:val="26"/>
        </w:rPr>
        <w:t xml:space="preserve">.- - - </w:t>
      </w:r>
      <w:r>
        <w:rPr>
          <w:rFonts w:ascii="Arial" w:hAnsi="Arial" w:cs="Arial"/>
          <w:sz w:val="24"/>
          <w:szCs w:val="26"/>
        </w:rPr>
        <w:t xml:space="preserve">- - - - - - - - - - - - - - - - - - - - - - - - - - - - - - - - - - - - - - </w:t>
      </w:r>
    </w:p>
    <w:p w14:paraId="08DEAC6C" w14:textId="77777777" w:rsidR="00550C05" w:rsidRPr="00DD0F0D" w:rsidRDefault="00CA6A78" w:rsidP="004B23F2">
      <w:pPr>
        <w:spacing w:before="240" w:after="0" w:line="360" w:lineRule="auto"/>
        <w:jc w:val="center"/>
        <w:rPr>
          <w:rFonts w:ascii="Arial" w:hAnsi="Arial" w:cs="Arial"/>
          <w:b/>
          <w:sz w:val="24"/>
          <w:szCs w:val="26"/>
        </w:rPr>
      </w:pPr>
      <w:r>
        <w:rPr>
          <w:rFonts w:ascii="Arial" w:hAnsi="Arial" w:cs="Arial"/>
          <w:b/>
          <w:sz w:val="24"/>
          <w:szCs w:val="26"/>
        </w:rPr>
        <w:t>A N T E C E D E N T E S</w:t>
      </w:r>
    </w:p>
    <w:p w14:paraId="3CA6A32F" w14:textId="45BB39B3" w:rsidR="00153B9F" w:rsidRDefault="00DF5918" w:rsidP="00DB5616">
      <w:pPr>
        <w:spacing w:before="240" w:after="0" w:line="360" w:lineRule="auto"/>
        <w:ind w:firstLine="567"/>
        <w:jc w:val="both"/>
        <w:rPr>
          <w:rFonts w:ascii="Arial" w:hAnsi="Arial" w:cs="Arial"/>
          <w:sz w:val="24"/>
          <w:szCs w:val="26"/>
        </w:rPr>
      </w:pPr>
      <w:r w:rsidRPr="00DD0F0D">
        <w:rPr>
          <w:rFonts w:ascii="Arial" w:hAnsi="Arial" w:cs="Arial"/>
          <w:b/>
          <w:sz w:val="24"/>
          <w:szCs w:val="26"/>
        </w:rPr>
        <w:t>PRIMERO</w:t>
      </w:r>
      <w:r w:rsidR="00346921">
        <w:rPr>
          <w:rFonts w:ascii="Arial" w:hAnsi="Arial" w:cs="Arial"/>
          <w:b/>
          <w:sz w:val="24"/>
          <w:szCs w:val="26"/>
        </w:rPr>
        <w:t xml:space="preserve">. </w:t>
      </w:r>
      <w:r w:rsidR="00734E86">
        <w:rPr>
          <w:rFonts w:ascii="Arial" w:hAnsi="Arial" w:cs="Arial"/>
          <w:sz w:val="24"/>
          <w:szCs w:val="26"/>
        </w:rPr>
        <w:t xml:space="preserve">Mediante acuerdo de </w:t>
      </w:r>
      <w:bookmarkStart w:id="0" w:name="_Hlk94190273"/>
      <w:r w:rsidR="00DB5616">
        <w:rPr>
          <w:rFonts w:ascii="Arial" w:hAnsi="Arial" w:cs="Arial"/>
          <w:sz w:val="24"/>
          <w:szCs w:val="26"/>
        </w:rPr>
        <w:t xml:space="preserve">dieciséis de marzo </w:t>
      </w:r>
      <w:r w:rsidR="00734E86">
        <w:rPr>
          <w:rFonts w:ascii="Arial" w:hAnsi="Arial" w:cs="Arial"/>
          <w:sz w:val="24"/>
          <w:szCs w:val="26"/>
        </w:rPr>
        <w:t>de dos mil veintiuno</w:t>
      </w:r>
      <w:bookmarkEnd w:id="0"/>
      <w:r w:rsidR="00267CFB">
        <w:rPr>
          <w:rFonts w:ascii="Arial" w:hAnsi="Arial" w:cs="Arial"/>
          <w:sz w:val="24"/>
          <w:szCs w:val="26"/>
        </w:rPr>
        <w:t xml:space="preserve">, </w:t>
      </w:r>
      <w:r w:rsidR="00346921" w:rsidRPr="00923D64">
        <w:rPr>
          <w:rFonts w:ascii="Arial" w:hAnsi="Arial" w:cs="Arial"/>
          <w:b/>
          <w:bCs/>
          <w:sz w:val="24"/>
          <w:szCs w:val="26"/>
        </w:rPr>
        <w:t>se admitió</w:t>
      </w:r>
      <w:r w:rsidR="00346921" w:rsidRPr="00DD0F0D">
        <w:rPr>
          <w:rFonts w:ascii="Arial" w:hAnsi="Arial" w:cs="Arial"/>
          <w:sz w:val="24"/>
          <w:szCs w:val="26"/>
        </w:rPr>
        <w:t xml:space="preserve"> a trámite la demanda</w:t>
      </w:r>
      <w:r w:rsidR="00346921">
        <w:rPr>
          <w:rFonts w:ascii="Arial" w:hAnsi="Arial" w:cs="Arial"/>
          <w:sz w:val="24"/>
          <w:szCs w:val="26"/>
        </w:rPr>
        <w:t xml:space="preserve"> de nulidad </w:t>
      </w:r>
      <w:r w:rsidR="00DB5616">
        <w:rPr>
          <w:rFonts w:ascii="Arial" w:hAnsi="Arial" w:cs="Arial"/>
          <w:sz w:val="24"/>
          <w:szCs w:val="26"/>
        </w:rPr>
        <w:t>de la actora</w:t>
      </w:r>
      <w:r w:rsidR="00346921">
        <w:rPr>
          <w:rFonts w:ascii="Arial" w:hAnsi="Arial" w:cs="Arial"/>
          <w:sz w:val="24"/>
          <w:szCs w:val="26"/>
        </w:rPr>
        <w:t xml:space="preserve">, </w:t>
      </w:r>
      <w:r w:rsidR="00DB5616" w:rsidRPr="00DB5616">
        <w:rPr>
          <w:rFonts w:ascii="Arial" w:hAnsi="Arial" w:cs="Arial"/>
          <w:sz w:val="24"/>
          <w:szCs w:val="26"/>
        </w:rPr>
        <w:t>ordenándose notificar, emplazar y correr traslado a la demandada, para que dentro del plazo de nueve días produjera su contestación, con el apercibimiento que</w:t>
      </w:r>
      <w:r w:rsidR="00DB5616">
        <w:rPr>
          <w:rFonts w:ascii="Arial" w:hAnsi="Arial" w:cs="Arial"/>
          <w:sz w:val="24"/>
          <w:szCs w:val="26"/>
        </w:rPr>
        <w:t>,</w:t>
      </w:r>
      <w:r w:rsidR="00DB5616" w:rsidRPr="00DB5616">
        <w:rPr>
          <w:rFonts w:ascii="Arial" w:hAnsi="Arial" w:cs="Arial"/>
          <w:sz w:val="24"/>
          <w:szCs w:val="26"/>
        </w:rPr>
        <w:t xml:space="preserve"> de no hacerlo, se les tendría contestando la demanda en sentido afirmativo y en caso de no referirse a todos los hechos, se tendrían como ciertos; se tuvo por ofrecidas y admitidas las pruebas de la parte actora.</w:t>
      </w:r>
    </w:p>
    <w:p w14:paraId="07E5BD8F" w14:textId="690979AE" w:rsidR="00DB5616" w:rsidRPr="000F7FE2" w:rsidRDefault="00DB5616" w:rsidP="000F7FE2">
      <w:pPr>
        <w:spacing w:before="240" w:line="360" w:lineRule="auto"/>
        <w:ind w:firstLine="567"/>
        <w:jc w:val="both"/>
        <w:rPr>
          <w:rFonts w:ascii="Arial" w:hAnsi="Arial" w:cs="Arial"/>
          <w:sz w:val="24"/>
          <w:szCs w:val="26"/>
        </w:rPr>
      </w:pPr>
      <w:r>
        <w:rPr>
          <w:rFonts w:ascii="Arial" w:hAnsi="Arial" w:cs="Arial"/>
          <w:sz w:val="24"/>
          <w:szCs w:val="26"/>
        </w:rPr>
        <w:t xml:space="preserve">En el mismo acuerdo, </w:t>
      </w:r>
      <w:r w:rsidRPr="00DB5616">
        <w:rPr>
          <w:rFonts w:ascii="Arial" w:hAnsi="Arial" w:cs="Arial"/>
          <w:b/>
          <w:bCs/>
          <w:sz w:val="24"/>
          <w:szCs w:val="26"/>
        </w:rPr>
        <w:t>se requirió</w:t>
      </w:r>
      <w:r>
        <w:rPr>
          <w:rFonts w:ascii="Arial" w:hAnsi="Arial" w:cs="Arial"/>
          <w:sz w:val="24"/>
          <w:szCs w:val="26"/>
        </w:rPr>
        <w:t xml:space="preserve"> al </w:t>
      </w:r>
      <w:r w:rsidR="00D43CDE">
        <w:rPr>
          <w:rFonts w:ascii="Arial" w:hAnsi="Arial" w:cs="Arial"/>
          <w:sz w:val="24"/>
          <w:szCs w:val="26"/>
        </w:rPr>
        <w:t xml:space="preserve">Director de Administración y al </w:t>
      </w:r>
      <w:r>
        <w:rPr>
          <w:rFonts w:ascii="Arial" w:hAnsi="Arial" w:cs="Arial"/>
          <w:sz w:val="24"/>
          <w:szCs w:val="26"/>
        </w:rPr>
        <w:t>Jefe de la Unidad de Recursos Humanos</w:t>
      </w:r>
      <w:r w:rsidR="00D43CDE">
        <w:rPr>
          <w:rFonts w:ascii="Arial" w:hAnsi="Arial" w:cs="Arial"/>
          <w:sz w:val="24"/>
          <w:szCs w:val="26"/>
        </w:rPr>
        <w:t>, ambos</w:t>
      </w:r>
      <w:r>
        <w:rPr>
          <w:rFonts w:ascii="Arial" w:hAnsi="Arial" w:cs="Arial"/>
          <w:sz w:val="24"/>
          <w:szCs w:val="26"/>
        </w:rPr>
        <w:t xml:space="preserve"> del Consejo de la Judicatura</w:t>
      </w:r>
      <w:r w:rsidR="000F7FE2">
        <w:rPr>
          <w:rFonts w:ascii="Arial" w:hAnsi="Arial" w:cs="Arial"/>
          <w:sz w:val="24"/>
          <w:szCs w:val="26"/>
        </w:rPr>
        <w:t xml:space="preserve"> del Poder Judicial del Estado</w:t>
      </w:r>
      <w:r w:rsidR="00F533EF">
        <w:rPr>
          <w:rFonts w:ascii="Arial" w:hAnsi="Arial" w:cs="Arial"/>
          <w:sz w:val="24"/>
          <w:szCs w:val="26"/>
        </w:rPr>
        <w:t xml:space="preserve"> de Oaxaca</w:t>
      </w:r>
      <w:r>
        <w:rPr>
          <w:rFonts w:ascii="Arial" w:hAnsi="Arial" w:cs="Arial"/>
          <w:sz w:val="24"/>
          <w:szCs w:val="26"/>
        </w:rPr>
        <w:t xml:space="preserve">, para que, dentro del plazo de tres días, </w:t>
      </w:r>
      <w:r w:rsidR="00D43CDE">
        <w:rPr>
          <w:rFonts w:ascii="Arial" w:hAnsi="Arial" w:cs="Arial"/>
          <w:sz w:val="24"/>
          <w:szCs w:val="26"/>
        </w:rPr>
        <w:t>rindieran</w:t>
      </w:r>
      <w:r w:rsidR="000F7FE2">
        <w:rPr>
          <w:rFonts w:ascii="Arial" w:hAnsi="Arial" w:cs="Arial"/>
          <w:sz w:val="24"/>
          <w:szCs w:val="26"/>
        </w:rPr>
        <w:t xml:space="preserve"> sus respectivos</w:t>
      </w:r>
      <w:r w:rsidR="00D43CDE">
        <w:rPr>
          <w:rFonts w:ascii="Arial" w:hAnsi="Arial" w:cs="Arial"/>
          <w:sz w:val="24"/>
          <w:szCs w:val="26"/>
        </w:rPr>
        <w:t xml:space="preserve"> informe</w:t>
      </w:r>
      <w:r w:rsidR="000F7FE2">
        <w:rPr>
          <w:rFonts w:ascii="Arial" w:hAnsi="Arial" w:cs="Arial"/>
          <w:sz w:val="24"/>
          <w:szCs w:val="26"/>
        </w:rPr>
        <w:t>s</w:t>
      </w:r>
      <w:r>
        <w:rPr>
          <w:rFonts w:ascii="Arial" w:hAnsi="Arial" w:cs="Arial"/>
          <w:sz w:val="24"/>
          <w:szCs w:val="26"/>
        </w:rPr>
        <w:t xml:space="preserve">, </w:t>
      </w:r>
      <w:r w:rsidR="00D43CDE">
        <w:rPr>
          <w:rFonts w:ascii="Arial" w:hAnsi="Arial" w:cs="Arial"/>
          <w:sz w:val="24"/>
          <w:szCs w:val="26"/>
        </w:rPr>
        <w:t>apercibidos</w:t>
      </w:r>
      <w:r>
        <w:rPr>
          <w:rFonts w:ascii="Arial" w:hAnsi="Arial" w:cs="Arial"/>
          <w:sz w:val="24"/>
          <w:szCs w:val="26"/>
        </w:rPr>
        <w:t xml:space="preserve"> que en caso de incumplir con el requerimiento se le</w:t>
      </w:r>
      <w:r w:rsidR="00D43CDE">
        <w:rPr>
          <w:rFonts w:ascii="Arial" w:hAnsi="Arial" w:cs="Arial"/>
          <w:sz w:val="24"/>
          <w:szCs w:val="26"/>
        </w:rPr>
        <w:t>s</w:t>
      </w:r>
      <w:r>
        <w:rPr>
          <w:rFonts w:ascii="Arial" w:hAnsi="Arial" w:cs="Arial"/>
          <w:sz w:val="24"/>
          <w:szCs w:val="26"/>
        </w:rPr>
        <w:t xml:space="preserve"> impondría una multa. </w:t>
      </w:r>
    </w:p>
    <w:p w14:paraId="1CCBC341" w14:textId="4C69E0A0" w:rsidR="00153B9F" w:rsidRDefault="0019557C" w:rsidP="00153B9F">
      <w:pPr>
        <w:spacing w:line="360" w:lineRule="auto"/>
        <w:ind w:firstLine="709"/>
        <w:jc w:val="both"/>
        <w:rPr>
          <w:rFonts w:ascii="Arial" w:hAnsi="Arial" w:cs="Arial"/>
          <w:sz w:val="24"/>
          <w:szCs w:val="24"/>
        </w:rPr>
      </w:pPr>
      <w:r>
        <w:rPr>
          <w:rFonts w:ascii="Arial" w:hAnsi="Arial" w:cs="Arial"/>
          <w:b/>
          <w:sz w:val="24"/>
          <w:szCs w:val="26"/>
        </w:rPr>
        <w:t>SEGUNDO</w:t>
      </w:r>
      <w:r w:rsidR="00204DBA">
        <w:rPr>
          <w:rFonts w:ascii="Arial" w:hAnsi="Arial" w:cs="Arial"/>
          <w:b/>
          <w:sz w:val="24"/>
          <w:szCs w:val="26"/>
        </w:rPr>
        <w:t xml:space="preserve">. </w:t>
      </w:r>
      <w:r w:rsidR="00CA6A78">
        <w:rPr>
          <w:rFonts w:ascii="Arial" w:hAnsi="Arial" w:cs="Arial"/>
          <w:sz w:val="24"/>
          <w:szCs w:val="26"/>
        </w:rPr>
        <w:t xml:space="preserve">Por </w:t>
      </w:r>
      <w:r>
        <w:rPr>
          <w:rFonts w:ascii="Arial" w:hAnsi="Arial" w:cs="Arial"/>
          <w:sz w:val="24"/>
          <w:szCs w:val="26"/>
        </w:rPr>
        <w:t>auto</w:t>
      </w:r>
      <w:r w:rsidR="00CA6A78">
        <w:rPr>
          <w:rFonts w:ascii="Arial" w:hAnsi="Arial" w:cs="Arial"/>
          <w:sz w:val="24"/>
          <w:szCs w:val="26"/>
        </w:rPr>
        <w:t xml:space="preserve"> de </w:t>
      </w:r>
      <w:r>
        <w:rPr>
          <w:rFonts w:ascii="Arial" w:hAnsi="Arial" w:cs="Arial"/>
          <w:sz w:val="24"/>
          <w:szCs w:val="26"/>
        </w:rPr>
        <w:t xml:space="preserve">siete de mayo </w:t>
      </w:r>
      <w:r w:rsidR="00D80D78">
        <w:rPr>
          <w:rFonts w:ascii="Arial" w:hAnsi="Arial" w:cs="Arial"/>
          <w:sz w:val="24"/>
          <w:szCs w:val="26"/>
        </w:rPr>
        <w:t>de dos mil</w:t>
      </w:r>
      <w:r w:rsidR="00DE4E36">
        <w:rPr>
          <w:rFonts w:ascii="Arial" w:hAnsi="Arial" w:cs="Arial"/>
          <w:sz w:val="24"/>
          <w:szCs w:val="26"/>
        </w:rPr>
        <w:t xml:space="preserve"> veintiuno</w:t>
      </w:r>
      <w:r w:rsidR="00CA6A78">
        <w:rPr>
          <w:rFonts w:ascii="Arial" w:hAnsi="Arial" w:cs="Arial"/>
          <w:sz w:val="24"/>
          <w:szCs w:val="26"/>
        </w:rPr>
        <w:t xml:space="preserve">, </w:t>
      </w:r>
      <w:r w:rsidR="0014040B" w:rsidRPr="00267CFB">
        <w:rPr>
          <w:rFonts w:ascii="Arial" w:hAnsi="Arial" w:cs="Arial"/>
          <w:sz w:val="24"/>
          <w:szCs w:val="26"/>
        </w:rPr>
        <w:t>se hizo del conocimiento a las partes la habilitación de la encargada del despacho de la Sexta Sala Unitaria, para tramitar y resolver los asuntos de la Sala;</w:t>
      </w:r>
      <w:r w:rsidR="0014040B" w:rsidRPr="0014040B">
        <w:rPr>
          <w:rFonts w:ascii="Arial" w:hAnsi="Arial" w:cs="Arial"/>
          <w:sz w:val="24"/>
          <w:szCs w:val="24"/>
        </w:rPr>
        <w:t xml:space="preserve"> </w:t>
      </w:r>
      <w:r w:rsidR="0014040B">
        <w:rPr>
          <w:rFonts w:ascii="Arial" w:hAnsi="Arial" w:cs="Arial"/>
          <w:sz w:val="24"/>
          <w:szCs w:val="24"/>
        </w:rPr>
        <w:t xml:space="preserve">así también, se tuvo al </w:t>
      </w:r>
      <w:r w:rsidR="0014040B">
        <w:rPr>
          <w:rFonts w:ascii="Arial" w:hAnsi="Arial" w:cs="Arial"/>
          <w:sz w:val="24"/>
          <w:szCs w:val="26"/>
        </w:rPr>
        <w:t>Jefe de la Unidad de Recursos Humanos del Consejo de la Judicatura</w:t>
      </w:r>
      <w:r w:rsidR="00F533EF">
        <w:rPr>
          <w:rFonts w:ascii="Arial" w:hAnsi="Arial" w:cs="Arial"/>
          <w:sz w:val="24"/>
          <w:szCs w:val="26"/>
        </w:rPr>
        <w:t xml:space="preserve"> del Poder Judicial del Estado de Oaxaca</w:t>
      </w:r>
      <w:r w:rsidR="0014040B">
        <w:rPr>
          <w:rFonts w:ascii="Arial" w:hAnsi="Arial" w:cs="Arial"/>
          <w:sz w:val="24"/>
          <w:szCs w:val="24"/>
        </w:rPr>
        <w:t xml:space="preserve">, dando cumplimiento en tiempo al requerimiento efectuado por auto de </w:t>
      </w:r>
      <w:r w:rsidR="0014040B" w:rsidRPr="0014040B">
        <w:rPr>
          <w:rFonts w:ascii="Arial" w:hAnsi="Arial" w:cs="Arial"/>
          <w:sz w:val="24"/>
          <w:szCs w:val="24"/>
        </w:rPr>
        <w:t>dieciséis de marzo de dos mil veintiuno</w:t>
      </w:r>
      <w:r w:rsidR="0014040B">
        <w:rPr>
          <w:rFonts w:ascii="Arial" w:hAnsi="Arial" w:cs="Arial"/>
          <w:sz w:val="24"/>
          <w:szCs w:val="24"/>
        </w:rPr>
        <w:t xml:space="preserve">; </w:t>
      </w:r>
      <w:r w:rsidR="00FC1A5E">
        <w:rPr>
          <w:rFonts w:ascii="Arial" w:hAnsi="Arial" w:cs="Arial"/>
          <w:sz w:val="24"/>
          <w:szCs w:val="26"/>
        </w:rPr>
        <w:t xml:space="preserve">la </w:t>
      </w:r>
      <w:r w:rsidR="00FC1A5E">
        <w:rPr>
          <w:rFonts w:ascii="Arial" w:hAnsi="Arial" w:cs="Arial"/>
          <w:b/>
          <w:sz w:val="24"/>
          <w:szCs w:val="26"/>
        </w:rPr>
        <w:t xml:space="preserve">autoridad demandada </w:t>
      </w:r>
      <w:r w:rsidR="00FC1A5E">
        <w:rPr>
          <w:rFonts w:ascii="Arial" w:hAnsi="Arial" w:cs="Arial"/>
          <w:sz w:val="24"/>
          <w:szCs w:val="26"/>
        </w:rPr>
        <w:t>contest</w:t>
      </w:r>
      <w:r w:rsidR="0014040B">
        <w:rPr>
          <w:rFonts w:ascii="Arial" w:hAnsi="Arial" w:cs="Arial"/>
          <w:sz w:val="24"/>
          <w:szCs w:val="26"/>
        </w:rPr>
        <w:t xml:space="preserve">ó </w:t>
      </w:r>
      <w:r w:rsidR="00FC1A5E">
        <w:rPr>
          <w:rFonts w:ascii="Arial" w:hAnsi="Arial" w:cs="Arial"/>
          <w:sz w:val="24"/>
          <w:szCs w:val="26"/>
        </w:rPr>
        <w:t xml:space="preserve">la demanda de nulidad, </w:t>
      </w:r>
      <w:r w:rsidR="00DE4E36">
        <w:rPr>
          <w:rFonts w:ascii="Arial" w:hAnsi="Arial" w:cs="Arial"/>
          <w:sz w:val="24"/>
          <w:szCs w:val="24"/>
        </w:rPr>
        <w:t>haciendo</w:t>
      </w:r>
      <w:r w:rsidR="00FC1A5E">
        <w:rPr>
          <w:rFonts w:ascii="Arial" w:hAnsi="Arial" w:cs="Arial"/>
          <w:sz w:val="24"/>
          <w:szCs w:val="24"/>
        </w:rPr>
        <w:t xml:space="preserve"> valer sus </w:t>
      </w:r>
      <w:r w:rsidR="00FC1A5E">
        <w:rPr>
          <w:rFonts w:ascii="Arial" w:hAnsi="Arial" w:cs="Arial"/>
          <w:sz w:val="24"/>
          <w:szCs w:val="24"/>
        </w:rPr>
        <w:lastRenderedPageBreak/>
        <w:t xml:space="preserve">excepciones y defensas; y admitidas las pruebas que </w:t>
      </w:r>
      <w:r w:rsidR="000F7FE2">
        <w:rPr>
          <w:rFonts w:ascii="Arial" w:hAnsi="Arial" w:cs="Arial"/>
          <w:sz w:val="24"/>
          <w:szCs w:val="24"/>
        </w:rPr>
        <w:t>ofreció</w:t>
      </w:r>
      <w:r w:rsidR="00DE4E36">
        <w:rPr>
          <w:rFonts w:ascii="Arial" w:hAnsi="Arial" w:cs="Arial"/>
          <w:sz w:val="24"/>
          <w:szCs w:val="24"/>
        </w:rPr>
        <w:t xml:space="preserve">; </w:t>
      </w:r>
      <w:r w:rsidR="00153B9F">
        <w:rPr>
          <w:rFonts w:ascii="Arial" w:hAnsi="Arial" w:cs="Arial"/>
          <w:sz w:val="24"/>
          <w:szCs w:val="24"/>
        </w:rPr>
        <w:t xml:space="preserve">señalándose día y hora </w:t>
      </w:r>
      <w:r w:rsidR="00153B9F" w:rsidRPr="00240D1C">
        <w:rPr>
          <w:rFonts w:ascii="Arial" w:hAnsi="Arial" w:cs="Arial"/>
          <w:sz w:val="24"/>
          <w:szCs w:val="24"/>
        </w:rPr>
        <w:t>para la cel</w:t>
      </w:r>
      <w:r w:rsidR="00153B9F">
        <w:rPr>
          <w:rFonts w:ascii="Arial" w:hAnsi="Arial" w:cs="Arial"/>
          <w:sz w:val="24"/>
          <w:szCs w:val="24"/>
        </w:rPr>
        <w:t>ebración de la audiencia final</w:t>
      </w:r>
      <w:r w:rsidR="00153B9F" w:rsidRPr="00240D1C">
        <w:rPr>
          <w:rFonts w:ascii="Arial" w:hAnsi="Arial" w:cs="Arial"/>
          <w:sz w:val="24"/>
          <w:szCs w:val="24"/>
        </w:rPr>
        <w:t>.</w:t>
      </w:r>
    </w:p>
    <w:p w14:paraId="730C585D" w14:textId="2A9188EC" w:rsidR="00153B9F" w:rsidRDefault="00484690" w:rsidP="005C0ABE">
      <w:pPr>
        <w:spacing w:before="240" w:after="0" w:line="360" w:lineRule="auto"/>
        <w:ind w:firstLine="567"/>
        <w:jc w:val="both"/>
        <w:rPr>
          <w:rFonts w:ascii="Arial" w:hAnsi="Arial" w:cs="Arial"/>
          <w:sz w:val="24"/>
          <w:szCs w:val="24"/>
        </w:rPr>
      </w:pPr>
      <w:r>
        <w:rPr>
          <w:rFonts w:ascii="Arial" w:hAnsi="Arial" w:cs="Arial"/>
          <w:b/>
          <w:sz w:val="24"/>
          <w:szCs w:val="24"/>
        </w:rPr>
        <w:t>TERCERO</w:t>
      </w:r>
      <w:r w:rsidR="00211C7F">
        <w:rPr>
          <w:rFonts w:ascii="Arial" w:hAnsi="Arial" w:cs="Arial"/>
          <w:b/>
          <w:sz w:val="24"/>
          <w:szCs w:val="24"/>
        </w:rPr>
        <w:t xml:space="preserve">. </w:t>
      </w:r>
      <w:r w:rsidR="00211C7F">
        <w:rPr>
          <w:rFonts w:ascii="Arial" w:hAnsi="Arial" w:cs="Arial"/>
          <w:sz w:val="24"/>
          <w:szCs w:val="24"/>
        </w:rPr>
        <w:t xml:space="preserve">Mediante proveído de </w:t>
      </w:r>
      <w:r>
        <w:rPr>
          <w:rFonts w:ascii="Arial" w:hAnsi="Arial" w:cs="Arial"/>
          <w:sz w:val="24"/>
          <w:szCs w:val="24"/>
        </w:rPr>
        <w:t xml:space="preserve">diez de junio </w:t>
      </w:r>
      <w:r w:rsidR="00153B9F">
        <w:rPr>
          <w:rFonts w:ascii="Arial" w:hAnsi="Arial" w:cs="Arial"/>
          <w:sz w:val="24"/>
          <w:szCs w:val="24"/>
        </w:rPr>
        <w:t>de dos mil veintiuno, se tuvo a</w:t>
      </w:r>
      <w:r>
        <w:rPr>
          <w:rFonts w:ascii="Arial" w:hAnsi="Arial" w:cs="Arial"/>
          <w:sz w:val="24"/>
          <w:szCs w:val="24"/>
        </w:rPr>
        <w:t>l</w:t>
      </w:r>
      <w:r w:rsidR="00153B9F">
        <w:rPr>
          <w:rFonts w:ascii="Arial" w:hAnsi="Arial" w:cs="Arial"/>
          <w:sz w:val="24"/>
          <w:szCs w:val="24"/>
        </w:rPr>
        <w:t xml:space="preserve"> </w:t>
      </w:r>
      <w:r w:rsidRPr="00484690">
        <w:rPr>
          <w:rFonts w:ascii="Arial" w:hAnsi="Arial" w:cs="Arial"/>
          <w:sz w:val="24"/>
          <w:szCs w:val="24"/>
        </w:rPr>
        <w:t>Director de Administración del Consejo de la Judicatura</w:t>
      </w:r>
      <w:r>
        <w:rPr>
          <w:rFonts w:ascii="Arial" w:hAnsi="Arial" w:cs="Arial"/>
          <w:sz w:val="24"/>
          <w:szCs w:val="24"/>
        </w:rPr>
        <w:t xml:space="preserve"> del Poder Judicial del Estado de Oaxaca</w:t>
      </w:r>
      <w:r w:rsidR="00153B9F">
        <w:rPr>
          <w:rFonts w:ascii="Arial" w:hAnsi="Arial" w:cs="Arial"/>
          <w:sz w:val="24"/>
          <w:szCs w:val="24"/>
        </w:rPr>
        <w:t xml:space="preserve">, </w:t>
      </w:r>
      <w:r w:rsidR="00807569">
        <w:rPr>
          <w:rFonts w:ascii="Arial" w:hAnsi="Arial" w:cs="Arial"/>
          <w:sz w:val="24"/>
          <w:szCs w:val="24"/>
        </w:rPr>
        <w:t>dando cumplimiento</w:t>
      </w:r>
      <w:r w:rsidR="00153B9F">
        <w:rPr>
          <w:rFonts w:ascii="Arial" w:hAnsi="Arial" w:cs="Arial"/>
          <w:sz w:val="24"/>
          <w:szCs w:val="24"/>
        </w:rPr>
        <w:t xml:space="preserve"> al requerimiento efectuado por auto de </w:t>
      </w:r>
      <w:r w:rsidR="00807569" w:rsidRPr="00807569">
        <w:rPr>
          <w:rFonts w:ascii="Arial" w:hAnsi="Arial" w:cs="Arial"/>
          <w:sz w:val="24"/>
          <w:szCs w:val="24"/>
        </w:rPr>
        <w:t>dieciséis de marzo de dos mil veintiuno</w:t>
      </w:r>
      <w:r w:rsidR="00807569">
        <w:rPr>
          <w:rFonts w:ascii="Arial" w:hAnsi="Arial" w:cs="Arial"/>
          <w:sz w:val="24"/>
          <w:szCs w:val="24"/>
        </w:rPr>
        <w:t>.</w:t>
      </w:r>
    </w:p>
    <w:p w14:paraId="6A1F4DBC" w14:textId="5CD7715A" w:rsidR="00942FF6" w:rsidRPr="000F7FE2" w:rsidRDefault="00807569" w:rsidP="000F7FE2">
      <w:pPr>
        <w:spacing w:before="240" w:line="360" w:lineRule="auto"/>
        <w:ind w:firstLine="567"/>
        <w:jc w:val="both"/>
        <w:rPr>
          <w:rFonts w:ascii="Arial" w:hAnsi="Arial" w:cs="Arial"/>
          <w:sz w:val="24"/>
          <w:szCs w:val="24"/>
        </w:rPr>
      </w:pPr>
      <w:r>
        <w:rPr>
          <w:rFonts w:ascii="Arial" w:hAnsi="Arial" w:cs="Arial"/>
          <w:b/>
          <w:sz w:val="24"/>
          <w:szCs w:val="24"/>
        </w:rPr>
        <w:t>CUARTO</w:t>
      </w:r>
      <w:r w:rsidR="00B01297">
        <w:rPr>
          <w:rFonts w:ascii="Arial" w:hAnsi="Arial" w:cs="Arial"/>
          <w:b/>
          <w:sz w:val="24"/>
          <w:szCs w:val="24"/>
        </w:rPr>
        <w:t>.</w:t>
      </w:r>
      <w:r w:rsidR="00D42789">
        <w:rPr>
          <w:rFonts w:ascii="Arial" w:hAnsi="Arial" w:cs="Arial"/>
          <w:b/>
          <w:sz w:val="24"/>
          <w:szCs w:val="24"/>
        </w:rPr>
        <w:t xml:space="preserve"> </w:t>
      </w:r>
      <w:r w:rsidR="00D42789" w:rsidRPr="00240D1C">
        <w:rPr>
          <w:rFonts w:ascii="Arial" w:hAnsi="Arial" w:cs="Arial"/>
          <w:sz w:val="24"/>
          <w:szCs w:val="24"/>
        </w:rPr>
        <w:t xml:space="preserve">El </w:t>
      </w:r>
      <w:r>
        <w:rPr>
          <w:rFonts w:ascii="Arial" w:hAnsi="Arial" w:cs="Arial"/>
          <w:sz w:val="24"/>
          <w:szCs w:val="24"/>
        </w:rPr>
        <w:t>veintitrés</w:t>
      </w:r>
      <w:r w:rsidR="00D42789">
        <w:rPr>
          <w:rFonts w:ascii="Arial" w:hAnsi="Arial" w:cs="Arial"/>
          <w:sz w:val="24"/>
          <w:szCs w:val="24"/>
        </w:rPr>
        <w:t xml:space="preserve"> de noviembre </w:t>
      </w:r>
      <w:r w:rsidR="00BB5CE3" w:rsidRPr="00240D1C">
        <w:rPr>
          <w:rFonts w:ascii="Arial" w:hAnsi="Arial" w:cs="Arial"/>
          <w:sz w:val="24"/>
          <w:szCs w:val="24"/>
        </w:rPr>
        <w:t>de dos mil veintiuno, se llevó a cabo la audiencia final, sin comparecencia de las partes ni persona alguna que legalmente las representara; se desahog</w:t>
      </w:r>
      <w:r w:rsidR="00BB5CE3">
        <w:rPr>
          <w:rFonts w:ascii="Arial" w:hAnsi="Arial" w:cs="Arial"/>
          <w:sz w:val="24"/>
          <w:szCs w:val="24"/>
        </w:rPr>
        <w:t xml:space="preserve">aron las pruebas ofrecidas y </w:t>
      </w:r>
      <w:r w:rsidR="00BB5CE3" w:rsidRPr="00B7592E">
        <w:rPr>
          <w:rFonts w:ascii="Arial" w:hAnsi="Arial" w:cs="Arial"/>
          <w:sz w:val="24"/>
          <w:szCs w:val="24"/>
        </w:rPr>
        <w:t xml:space="preserve">se abrió el periodo de alegatos, en donde se hizo constar </w:t>
      </w:r>
      <w:r w:rsidR="00BB5CE3">
        <w:rPr>
          <w:rFonts w:ascii="Arial" w:hAnsi="Arial" w:cs="Arial"/>
          <w:sz w:val="24"/>
          <w:szCs w:val="24"/>
        </w:rPr>
        <w:t>los ofrecidos por la parte actora, no así las autoridades demandadas</w:t>
      </w:r>
      <w:r w:rsidR="00BB5CE3" w:rsidRPr="00B7592E">
        <w:rPr>
          <w:rFonts w:ascii="Arial" w:hAnsi="Arial" w:cs="Arial"/>
          <w:sz w:val="24"/>
          <w:szCs w:val="24"/>
        </w:rPr>
        <w:t>, por lo que se declaró precluido su derecho</w:t>
      </w:r>
      <w:r w:rsidR="00BB5CE3">
        <w:rPr>
          <w:rFonts w:ascii="Arial" w:hAnsi="Arial" w:cs="Arial"/>
          <w:sz w:val="24"/>
          <w:szCs w:val="24"/>
        </w:rPr>
        <w:t xml:space="preserve"> para hacerlos valer con posterioridad</w:t>
      </w:r>
      <w:r w:rsidR="00BB5CE3" w:rsidRPr="00240D1C">
        <w:rPr>
          <w:rFonts w:ascii="Arial" w:hAnsi="Arial" w:cs="Arial"/>
          <w:sz w:val="24"/>
          <w:szCs w:val="24"/>
        </w:rPr>
        <w:t>, declarándose cerrada la etapa de instrucción; y, por último</w:t>
      </w:r>
      <w:r w:rsidR="00BB5CE3">
        <w:rPr>
          <w:rFonts w:ascii="Arial" w:hAnsi="Arial" w:cs="Arial"/>
          <w:sz w:val="24"/>
          <w:szCs w:val="24"/>
        </w:rPr>
        <w:t>,</w:t>
      </w:r>
      <w:r w:rsidR="00BB5CE3" w:rsidRPr="00240D1C">
        <w:rPr>
          <w:rFonts w:ascii="Arial" w:hAnsi="Arial" w:cs="Arial"/>
          <w:sz w:val="24"/>
          <w:szCs w:val="24"/>
        </w:rPr>
        <w:t xml:space="preserve"> se citó a las partes para oír sentencia.</w:t>
      </w:r>
      <w:r w:rsidR="00BB5CE3">
        <w:rPr>
          <w:rFonts w:ascii="Arial" w:hAnsi="Arial" w:cs="Arial"/>
          <w:sz w:val="24"/>
          <w:szCs w:val="24"/>
        </w:rPr>
        <w:t xml:space="preserve"> </w:t>
      </w:r>
    </w:p>
    <w:p w14:paraId="2C2F2AE2" w14:textId="7A476D06" w:rsidR="00982CBC" w:rsidRDefault="00807569" w:rsidP="00982CBC">
      <w:pPr>
        <w:spacing w:line="360" w:lineRule="auto"/>
        <w:ind w:firstLine="709"/>
        <w:jc w:val="both"/>
        <w:rPr>
          <w:rFonts w:ascii="Arial" w:hAnsi="Arial" w:cs="Arial"/>
          <w:sz w:val="24"/>
          <w:szCs w:val="24"/>
        </w:rPr>
      </w:pPr>
      <w:r>
        <w:rPr>
          <w:rFonts w:ascii="Arial" w:hAnsi="Arial" w:cs="Arial"/>
          <w:b/>
          <w:bCs/>
          <w:sz w:val="24"/>
          <w:szCs w:val="24"/>
        </w:rPr>
        <w:t>QUINTO</w:t>
      </w:r>
      <w:r w:rsidR="00982CBC">
        <w:rPr>
          <w:rFonts w:ascii="Arial" w:hAnsi="Arial" w:cs="Arial"/>
          <w:b/>
          <w:bCs/>
          <w:sz w:val="24"/>
          <w:szCs w:val="24"/>
        </w:rPr>
        <w:t>.</w:t>
      </w:r>
      <w:r w:rsidR="00982CBC" w:rsidRPr="00240D1C">
        <w:rPr>
          <w:rFonts w:ascii="Arial" w:hAnsi="Arial" w:cs="Arial"/>
          <w:b/>
          <w:bCs/>
          <w:sz w:val="24"/>
          <w:szCs w:val="24"/>
        </w:rPr>
        <w:t xml:space="preserve"> </w:t>
      </w:r>
      <w:r w:rsidR="00982CBC">
        <w:rPr>
          <w:rFonts w:ascii="Arial" w:hAnsi="Arial" w:cs="Arial"/>
          <w:sz w:val="24"/>
          <w:szCs w:val="24"/>
        </w:rPr>
        <w:t xml:space="preserve">Por auto de uno de diciembre de dos mil veintiuno, </w:t>
      </w:r>
      <w:r w:rsidR="00982CBC">
        <w:rPr>
          <w:rFonts w:ascii="Arial" w:eastAsia="Arial" w:hAnsi="Arial" w:cs="Arial"/>
          <w:sz w:val="24"/>
          <w:szCs w:val="24"/>
        </w:rPr>
        <w:t xml:space="preserve">se le comunicó a las partes, la designación de la Maestra Camelia Gaspar Martínez, como Magistrada del Tribunal de Justicia Administrativa del Estado de Oaxaca y su adscripción como Titular de esta Sexta Sala Unitaria de Primera Instancia; por lo que, se ordenó dar vista a las partes para que dentro del término de tres días hábiles, manifestaran si existía algún impedimento para que la titular de esta Sala resolviera el fondo del asunto. Por lo tanto, una vez notificadas las partes, se ordenó turnar el expediente para el dictado de la sentencia definitiva, misma que ahora se pronuncia.- - - - - - - - - - - - - - - - - - - - - - - - - - - - - - - - - - - - - - - - - - - </w:t>
      </w:r>
    </w:p>
    <w:p w14:paraId="22B8779B" w14:textId="77777777" w:rsidR="00550C05" w:rsidRPr="00DD0F0D" w:rsidRDefault="00BB5CE3" w:rsidP="004B23F2">
      <w:pPr>
        <w:spacing w:before="240" w:after="0" w:line="360" w:lineRule="auto"/>
        <w:jc w:val="center"/>
        <w:rPr>
          <w:rFonts w:ascii="Arial" w:hAnsi="Arial" w:cs="Arial"/>
          <w:b/>
          <w:sz w:val="24"/>
          <w:szCs w:val="26"/>
        </w:rPr>
      </w:pPr>
      <w:r>
        <w:rPr>
          <w:rFonts w:ascii="Arial" w:hAnsi="Arial" w:cs="Arial"/>
          <w:b/>
          <w:sz w:val="24"/>
          <w:szCs w:val="26"/>
        </w:rPr>
        <w:t>C O N S I D E R A N D O</w:t>
      </w:r>
    </w:p>
    <w:p w14:paraId="19D1402A" w14:textId="63CCBC87" w:rsidR="00550C05" w:rsidRPr="00DD0F0D" w:rsidRDefault="00550C05" w:rsidP="004B23F2">
      <w:pPr>
        <w:spacing w:before="240" w:after="0" w:line="360" w:lineRule="auto"/>
        <w:ind w:right="-93" w:firstLine="567"/>
        <w:jc w:val="both"/>
        <w:rPr>
          <w:rFonts w:ascii="Arial" w:hAnsi="Arial" w:cs="Arial"/>
          <w:sz w:val="24"/>
          <w:szCs w:val="26"/>
        </w:rPr>
      </w:pPr>
      <w:r w:rsidRPr="00DD0F0D">
        <w:rPr>
          <w:rFonts w:ascii="Arial" w:hAnsi="Arial" w:cs="Arial"/>
          <w:b/>
          <w:sz w:val="24"/>
          <w:szCs w:val="26"/>
        </w:rPr>
        <w:t xml:space="preserve">PRIMERO.- </w:t>
      </w:r>
      <w:r w:rsidRPr="00DD0F0D">
        <w:rPr>
          <w:rFonts w:ascii="Arial" w:hAnsi="Arial" w:cs="Arial"/>
          <w:sz w:val="24"/>
          <w:szCs w:val="26"/>
        </w:rPr>
        <w:t xml:space="preserve">Esta </w:t>
      </w:r>
      <w:r w:rsidR="008E121E">
        <w:rPr>
          <w:rFonts w:ascii="Arial" w:hAnsi="Arial" w:cs="Arial"/>
          <w:sz w:val="24"/>
          <w:szCs w:val="26"/>
        </w:rPr>
        <w:t>Sexta</w:t>
      </w:r>
      <w:r w:rsidR="008E121E" w:rsidRPr="00DD0F0D">
        <w:rPr>
          <w:rFonts w:ascii="Arial" w:hAnsi="Arial" w:cs="Arial"/>
          <w:sz w:val="24"/>
          <w:szCs w:val="26"/>
        </w:rPr>
        <w:t xml:space="preserve"> </w:t>
      </w:r>
      <w:r w:rsidRPr="00DD0F0D">
        <w:rPr>
          <w:rFonts w:ascii="Arial" w:hAnsi="Arial" w:cs="Arial"/>
          <w:sz w:val="24"/>
          <w:szCs w:val="26"/>
        </w:rPr>
        <w:t xml:space="preserve">Sala Unitaria del Tribunal de Justicia Administrativa del Estado de Oaxaca, </w:t>
      </w:r>
      <w:r w:rsidRPr="006E0CBD">
        <w:rPr>
          <w:rFonts w:ascii="Arial" w:hAnsi="Arial" w:cs="Arial"/>
          <w:b/>
          <w:sz w:val="24"/>
          <w:szCs w:val="26"/>
        </w:rPr>
        <w:t>es competente</w:t>
      </w:r>
      <w:r w:rsidRPr="00DD0F0D">
        <w:rPr>
          <w:rFonts w:ascii="Arial" w:hAnsi="Arial" w:cs="Arial"/>
          <w:sz w:val="24"/>
          <w:szCs w:val="26"/>
        </w:rPr>
        <w:t xml:space="preserve"> para conocer del presente asunto en términos de lo dispuesto por </w:t>
      </w:r>
      <w:r w:rsidR="00A5042D" w:rsidRPr="00DD0F0D">
        <w:rPr>
          <w:rFonts w:ascii="Arial" w:hAnsi="Arial" w:cs="Arial"/>
          <w:color w:val="000000"/>
          <w:sz w:val="24"/>
          <w:szCs w:val="26"/>
        </w:rPr>
        <w:t xml:space="preserve">los artículos </w:t>
      </w:r>
      <w:r w:rsidR="006E0CBD">
        <w:rPr>
          <w:rFonts w:ascii="Arial" w:hAnsi="Arial" w:cs="Arial"/>
          <w:color w:val="000000"/>
          <w:sz w:val="24"/>
          <w:szCs w:val="26"/>
        </w:rPr>
        <w:t xml:space="preserve">116 fracción V de la Constitución Política de los Estados Unidos Mexicanos, </w:t>
      </w:r>
      <w:r w:rsidR="00A5042D" w:rsidRPr="00DD0F0D">
        <w:rPr>
          <w:rFonts w:ascii="Arial" w:hAnsi="Arial" w:cs="Arial"/>
          <w:color w:val="000000"/>
          <w:sz w:val="24"/>
          <w:szCs w:val="26"/>
        </w:rPr>
        <w:t xml:space="preserve">114 QUÁTER de la Constitución Política del Estado Libre y Soberano de Oaxaca; 1 párrafo segundo, 2 párrafos primero y cuarto, 4 fracción VIII, </w:t>
      </w:r>
      <w:r w:rsidR="009F2D5F" w:rsidRPr="00DD0F0D">
        <w:rPr>
          <w:rFonts w:ascii="Arial" w:hAnsi="Arial" w:cs="Arial"/>
          <w:color w:val="000000"/>
          <w:sz w:val="24"/>
          <w:szCs w:val="26"/>
        </w:rPr>
        <w:t>3</w:t>
      </w:r>
      <w:r w:rsidR="00A5042D" w:rsidRPr="00DD0F0D">
        <w:rPr>
          <w:rFonts w:ascii="Arial" w:hAnsi="Arial" w:cs="Arial"/>
          <w:color w:val="000000"/>
          <w:sz w:val="24"/>
          <w:szCs w:val="26"/>
        </w:rPr>
        <w:t xml:space="preserve">3, </w:t>
      </w:r>
      <w:r w:rsidR="009F2D5F" w:rsidRPr="00DD0F0D">
        <w:rPr>
          <w:rFonts w:ascii="Arial" w:hAnsi="Arial" w:cs="Arial"/>
          <w:color w:val="000000"/>
          <w:sz w:val="24"/>
          <w:szCs w:val="26"/>
        </w:rPr>
        <w:t>35</w:t>
      </w:r>
      <w:r w:rsidR="00A5042D" w:rsidRPr="00DD0F0D">
        <w:rPr>
          <w:rFonts w:ascii="Arial" w:hAnsi="Arial" w:cs="Arial"/>
          <w:color w:val="000000"/>
          <w:sz w:val="24"/>
          <w:szCs w:val="26"/>
        </w:rPr>
        <w:t xml:space="preserve"> fracción I</w:t>
      </w:r>
      <w:r w:rsidR="009F2D5F" w:rsidRPr="00DD0F0D">
        <w:rPr>
          <w:rFonts w:ascii="Arial" w:hAnsi="Arial" w:cs="Arial"/>
          <w:color w:val="000000"/>
          <w:sz w:val="24"/>
          <w:szCs w:val="26"/>
        </w:rPr>
        <w:t xml:space="preserve"> y</w:t>
      </w:r>
      <w:r w:rsidR="00A5042D" w:rsidRPr="00DD0F0D">
        <w:rPr>
          <w:rFonts w:ascii="Arial" w:hAnsi="Arial" w:cs="Arial"/>
          <w:color w:val="000000"/>
          <w:sz w:val="24"/>
          <w:szCs w:val="26"/>
        </w:rPr>
        <w:t xml:space="preserve"> </w:t>
      </w:r>
      <w:r w:rsidR="009F2D5F" w:rsidRPr="00DD0F0D">
        <w:rPr>
          <w:rFonts w:ascii="Arial" w:hAnsi="Arial" w:cs="Arial"/>
          <w:color w:val="000000"/>
          <w:sz w:val="24"/>
          <w:szCs w:val="26"/>
        </w:rPr>
        <w:t>36</w:t>
      </w:r>
      <w:r w:rsidR="00A5042D" w:rsidRPr="00DD0F0D">
        <w:rPr>
          <w:rFonts w:ascii="Arial" w:hAnsi="Arial" w:cs="Arial"/>
          <w:color w:val="000000"/>
          <w:sz w:val="24"/>
          <w:szCs w:val="26"/>
        </w:rPr>
        <w:t xml:space="preserve"> fracción I de la Ley Orgánica del Tribunal de Justicia Administrativa del Estado de Oaxaca, publicada en el Periódico Oficial del Estado de Oaxaca, el siete de noviembre de dos mil diecinueve; así como los diversos </w:t>
      </w:r>
      <w:r w:rsidRPr="00DD0F0D">
        <w:rPr>
          <w:rFonts w:ascii="Arial" w:hAnsi="Arial" w:cs="Arial"/>
          <w:color w:val="000000"/>
          <w:sz w:val="24"/>
          <w:szCs w:val="26"/>
        </w:rPr>
        <w:t xml:space="preserve">118, 119, </w:t>
      </w:r>
      <w:r w:rsidR="00220810" w:rsidRPr="00DD0F0D">
        <w:rPr>
          <w:rFonts w:ascii="Arial" w:hAnsi="Arial" w:cs="Arial"/>
          <w:color w:val="000000"/>
          <w:sz w:val="24"/>
          <w:szCs w:val="26"/>
        </w:rPr>
        <w:t>120 fracción I y 133</w:t>
      </w:r>
      <w:r w:rsidRPr="00DD0F0D">
        <w:rPr>
          <w:rFonts w:ascii="Arial" w:hAnsi="Arial" w:cs="Arial"/>
          <w:color w:val="000000"/>
          <w:sz w:val="24"/>
          <w:szCs w:val="26"/>
        </w:rPr>
        <w:t xml:space="preserve"> </w:t>
      </w:r>
      <w:r w:rsidR="00220810" w:rsidRPr="00DD0F0D">
        <w:rPr>
          <w:rFonts w:ascii="Arial" w:hAnsi="Arial" w:cs="Arial"/>
          <w:color w:val="000000"/>
          <w:sz w:val="24"/>
          <w:szCs w:val="26"/>
        </w:rPr>
        <w:t xml:space="preserve">fracción I </w:t>
      </w:r>
      <w:r w:rsidRPr="00DD0F0D">
        <w:rPr>
          <w:rFonts w:ascii="Arial" w:hAnsi="Arial" w:cs="Arial"/>
          <w:color w:val="000000"/>
          <w:sz w:val="24"/>
          <w:szCs w:val="26"/>
        </w:rPr>
        <w:t>de la Ley de Procedimiento y Justicia Administrativa para el Estado de Oaxaca</w:t>
      </w:r>
      <w:r w:rsidRPr="00DD0F0D">
        <w:rPr>
          <w:rFonts w:ascii="Arial" w:hAnsi="Arial" w:cs="Arial"/>
          <w:sz w:val="24"/>
          <w:szCs w:val="26"/>
        </w:rPr>
        <w:t>, por tratarse de un juicio de nulidad promovido en contra de una autoridad admin</w:t>
      </w:r>
      <w:r w:rsidR="005F36E9">
        <w:rPr>
          <w:rFonts w:ascii="Arial" w:hAnsi="Arial" w:cs="Arial"/>
          <w:sz w:val="24"/>
          <w:szCs w:val="26"/>
        </w:rPr>
        <w:t>istrativa de carácter estatal.</w:t>
      </w:r>
    </w:p>
    <w:p w14:paraId="0B975058" w14:textId="77777777" w:rsidR="00DB5752" w:rsidRPr="00DD0F0D" w:rsidRDefault="00DB5752" w:rsidP="00DB5752">
      <w:pPr>
        <w:tabs>
          <w:tab w:val="left" w:pos="6946"/>
        </w:tabs>
        <w:spacing w:before="240" w:after="0" w:line="360" w:lineRule="auto"/>
        <w:ind w:right="-93" w:firstLine="567"/>
        <w:jc w:val="both"/>
        <w:rPr>
          <w:rFonts w:ascii="Arial" w:hAnsi="Arial" w:cs="Arial"/>
          <w:b/>
          <w:sz w:val="24"/>
          <w:szCs w:val="26"/>
        </w:rPr>
      </w:pPr>
      <w:r w:rsidRPr="00DD0F0D">
        <w:rPr>
          <w:rFonts w:ascii="Arial" w:hAnsi="Arial" w:cs="Arial"/>
          <w:b/>
          <w:sz w:val="24"/>
          <w:szCs w:val="26"/>
        </w:rPr>
        <w:t xml:space="preserve">SEGUNDO.- </w:t>
      </w:r>
      <w:r w:rsidRPr="00DD0F0D">
        <w:rPr>
          <w:rFonts w:ascii="Arial" w:hAnsi="Arial" w:cs="Arial"/>
          <w:sz w:val="24"/>
          <w:szCs w:val="26"/>
        </w:rPr>
        <w:t xml:space="preserve">La </w:t>
      </w:r>
      <w:r w:rsidRPr="00DD0F0D">
        <w:rPr>
          <w:rFonts w:ascii="Arial" w:hAnsi="Arial" w:cs="Arial"/>
          <w:b/>
          <w:sz w:val="24"/>
          <w:szCs w:val="26"/>
        </w:rPr>
        <w:t xml:space="preserve">personalidad </w:t>
      </w:r>
      <w:r w:rsidRPr="00DD0F0D">
        <w:rPr>
          <w:rFonts w:ascii="Arial" w:hAnsi="Arial" w:cs="Arial"/>
          <w:sz w:val="24"/>
          <w:szCs w:val="26"/>
        </w:rPr>
        <w:t>de las partes quedó acreditada</w:t>
      </w:r>
      <w:r w:rsidR="00D470EF">
        <w:rPr>
          <w:rFonts w:ascii="Arial" w:hAnsi="Arial" w:cs="Arial"/>
          <w:sz w:val="24"/>
          <w:szCs w:val="26"/>
        </w:rPr>
        <w:t xml:space="preserve"> en autos</w:t>
      </w:r>
      <w:r w:rsidRPr="00DD0F0D">
        <w:rPr>
          <w:rFonts w:ascii="Arial" w:hAnsi="Arial" w:cs="Arial"/>
          <w:sz w:val="24"/>
          <w:szCs w:val="26"/>
        </w:rPr>
        <w:t xml:space="preserve">, toda vez que la parte actora promovió el juicio por propio derecho, conforme lo previsto por el artículo 148 de la Ley de Procedimiento y Justicia Administrativa para el </w:t>
      </w:r>
      <w:r w:rsidRPr="00DD0F0D">
        <w:rPr>
          <w:rFonts w:ascii="Arial" w:hAnsi="Arial" w:cs="Arial"/>
          <w:sz w:val="24"/>
          <w:szCs w:val="26"/>
        </w:rPr>
        <w:lastRenderedPageBreak/>
        <w:t>Estado de Oaxaca; y la de la autoridad demandada no fue impugnada, acreditándose así en términos del artículo 151</w:t>
      </w:r>
      <w:r w:rsidRPr="00DD0F0D">
        <w:rPr>
          <w:rStyle w:val="Refdenotaalpie"/>
          <w:rFonts w:ascii="Arial" w:hAnsi="Arial" w:cs="Arial"/>
          <w:sz w:val="24"/>
          <w:szCs w:val="26"/>
        </w:rPr>
        <w:footnoteReference w:id="1"/>
      </w:r>
      <w:r w:rsidR="005F36E9">
        <w:rPr>
          <w:rFonts w:ascii="Arial" w:hAnsi="Arial" w:cs="Arial"/>
          <w:sz w:val="24"/>
          <w:szCs w:val="26"/>
        </w:rPr>
        <w:t xml:space="preserve"> de la Ley en cita.</w:t>
      </w:r>
    </w:p>
    <w:p w14:paraId="46F20594" w14:textId="77777777" w:rsidR="00A96C07" w:rsidRPr="00DD0F0D" w:rsidRDefault="00A96C07" w:rsidP="00A96C07">
      <w:pPr>
        <w:tabs>
          <w:tab w:val="left" w:pos="6946"/>
        </w:tabs>
        <w:spacing w:before="240" w:after="0" w:line="360" w:lineRule="auto"/>
        <w:ind w:right="-93" w:firstLine="567"/>
        <w:jc w:val="both"/>
        <w:rPr>
          <w:rFonts w:ascii="Arial" w:hAnsi="Arial" w:cs="Arial"/>
          <w:sz w:val="24"/>
          <w:szCs w:val="26"/>
        </w:rPr>
      </w:pPr>
      <w:r w:rsidRPr="00DD0F0D">
        <w:rPr>
          <w:rFonts w:ascii="Arial" w:hAnsi="Arial" w:cs="Arial"/>
          <w:b/>
          <w:sz w:val="24"/>
          <w:szCs w:val="26"/>
        </w:rPr>
        <w:t>TERCERO. Causales de Improcedencia y Sobreseimiento</w:t>
      </w:r>
      <w:r w:rsidRPr="00DD0F0D">
        <w:rPr>
          <w:rFonts w:ascii="Arial" w:hAnsi="Arial" w:cs="Arial"/>
          <w:sz w:val="24"/>
          <w:szCs w:val="26"/>
        </w:rPr>
        <w:t>. Considerando que son de orden público y de estudio preferente a cualquier otra cuestión y derivado del imperioso estudio oficioso que especifica el artículo 161 última parte</w:t>
      </w:r>
      <w:r w:rsidRPr="00DD0F0D">
        <w:rPr>
          <w:rStyle w:val="Refdenotaalpie"/>
          <w:rFonts w:ascii="Arial" w:hAnsi="Arial" w:cs="Arial"/>
          <w:sz w:val="24"/>
          <w:szCs w:val="26"/>
        </w:rPr>
        <w:footnoteReference w:id="2"/>
      </w:r>
      <w:r w:rsidRPr="00DD0F0D">
        <w:rPr>
          <w:rFonts w:ascii="Arial" w:hAnsi="Arial" w:cs="Arial"/>
          <w:sz w:val="24"/>
          <w:szCs w:val="26"/>
        </w:rPr>
        <w:t xml:space="preserve"> de la Ley de la materia respecto a dichas causales, esta Sala advierte que en el presente caso concreto no se actualiza causal de improcedencia ni sobreseimiento, consecuentemente, </w:t>
      </w:r>
      <w:r w:rsidRPr="00DD0F0D">
        <w:rPr>
          <w:rFonts w:ascii="Arial" w:hAnsi="Arial" w:cs="Arial"/>
          <w:b/>
          <w:sz w:val="24"/>
          <w:szCs w:val="26"/>
        </w:rPr>
        <w:t>no se sobresee</w:t>
      </w:r>
      <w:r w:rsidRPr="00DD0F0D">
        <w:rPr>
          <w:rFonts w:ascii="Arial" w:hAnsi="Arial" w:cs="Arial"/>
          <w:sz w:val="24"/>
          <w:szCs w:val="26"/>
        </w:rPr>
        <w:t xml:space="preserve"> el juic</w:t>
      </w:r>
      <w:r w:rsidR="008306ED">
        <w:rPr>
          <w:rFonts w:ascii="Arial" w:hAnsi="Arial" w:cs="Arial"/>
          <w:sz w:val="24"/>
          <w:szCs w:val="26"/>
        </w:rPr>
        <w:t>io.</w:t>
      </w:r>
    </w:p>
    <w:p w14:paraId="4DCCCECA" w14:textId="77777777" w:rsidR="00A96C07" w:rsidRPr="00DD0F0D" w:rsidRDefault="00A96C07" w:rsidP="00A96C07">
      <w:pPr>
        <w:spacing w:before="240" w:after="0" w:line="360" w:lineRule="auto"/>
        <w:ind w:firstLine="567"/>
        <w:jc w:val="both"/>
        <w:rPr>
          <w:rFonts w:ascii="Arial" w:hAnsi="Arial" w:cs="Arial"/>
          <w:sz w:val="24"/>
          <w:szCs w:val="26"/>
        </w:rPr>
      </w:pPr>
      <w:r w:rsidRPr="00DD0F0D">
        <w:rPr>
          <w:rFonts w:ascii="Arial" w:hAnsi="Arial" w:cs="Arial"/>
          <w:b/>
          <w:sz w:val="24"/>
          <w:szCs w:val="26"/>
        </w:rPr>
        <w:t xml:space="preserve">CUARTO. </w:t>
      </w:r>
      <w:r w:rsidRPr="00DD0F0D">
        <w:rPr>
          <w:rFonts w:ascii="Arial" w:hAnsi="Arial" w:cs="Arial"/>
          <w:sz w:val="24"/>
          <w:szCs w:val="26"/>
        </w:rPr>
        <w:t>No se transcriben los conceptos de impugnación vertidos, mismos que se tienen por reproducidos en este apartado, ya que con ello no se vulnera disposición expresa alguna de la Ley de Procedimiento y Justicia Administrativa para el Estado de Oaxaca, que imponga tal obligación, ni se trasgrede derecho alguno de las partes. 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14:paraId="4525F4EC" w14:textId="77777777" w:rsidR="00A96C07" w:rsidRPr="00DD0F0D" w:rsidRDefault="00A96C07" w:rsidP="006E0CBD">
      <w:pPr>
        <w:spacing w:before="240" w:after="0" w:line="276" w:lineRule="auto"/>
        <w:ind w:left="1134" w:right="616"/>
        <w:jc w:val="both"/>
        <w:rPr>
          <w:rFonts w:ascii="Arial" w:hAnsi="Arial" w:cs="Arial"/>
          <w:sz w:val="24"/>
          <w:szCs w:val="26"/>
        </w:rPr>
      </w:pPr>
      <w:r w:rsidRPr="00DD0F0D">
        <w:rPr>
          <w:rFonts w:ascii="Arial" w:hAnsi="Arial" w:cs="Arial"/>
          <w:sz w:val="24"/>
          <w:szCs w:val="26"/>
        </w:rPr>
        <w:t>“</w:t>
      </w:r>
      <w:r w:rsidRPr="00DD0F0D">
        <w:rPr>
          <w:rFonts w:ascii="Arial" w:hAnsi="Arial" w:cs="Arial"/>
          <w:b/>
          <w:i/>
          <w:sz w:val="24"/>
          <w:szCs w:val="26"/>
        </w:rPr>
        <w:t>CONCEPTOS DE VIOLACION. NO ES OBLIGATORIO TRANSCRIBIRLOS EN LA SENTENCIA</w:t>
      </w:r>
      <w:r w:rsidRPr="00DD0F0D">
        <w:rPr>
          <w:rFonts w:ascii="Arial" w:hAnsi="Arial" w:cs="Arial"/>
          <w:sz w:val="24"/>
          <w:szCs w:val="26"/>
        </w:rPr>
        <w:t xml:space="preserve">. </w:t>
      </w:r>
      <w:r w:rsidRPr="00DD0F0D">
        <w:rPr>
          <w:rFonts w:ascii="Arial" w:hAnsi="Arial" w:cs="Arial"/>
          <w:i/>
          <w:sz w:val="24"/>
          <w:szCs w:val="26"/>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DD0F0D">
        <w:rPr>
          <w:rFonts w:ascii="Arial" w:hAnsi="Arial" w:cs="Arial"/>
          <w:sz w:val="24"/>
          <w:szCs w:val="26"/>
        </w:rPr>
        <w:t>.”</w:t>
      </w:r>
    </w:p>
    <w:p w14:paraId="5C31DDE5" w14:textId="557BD72A" w:rsidR="00A96C07" w:rsidRPr="00DD0F0D" w:rsidRDefault="00A96C07" w:rsidP="00A96C07">
      <w:pPr>
        <w:spacing w:before="240" w:after="0" w:line="360" w:lineRule="auto"/>
        <w:ind w:firstLine="567"/>
        <w:jc w:val="both"/>
        <w:rPr>
          <w:rFonts w:ascii="Arial" w:hAnsi="Arial" w:cs="Arial"/>
          <w:sz w:val="24"/>
          <w:szCs w:val="26"/>
        </w:rPr>
      </w:pPr>
      <w:r w:rsidRPr="00B250A9">
        <w:rPr>
          <w:rFonts w:ascii="Arial" w:hAnsi="Arial" w:cs="Arial"/>
          <w:b/>
          <w:sz w:val="24"/>
          <w:szCs w:val="26"/>
        </w:rPr>
        <w:t xml:space="preserve">QUINTO. </w:t>
      </w:r>
      <w:r w:rsidR="006E0CBD" w:rsidRPr="00B250A9">
        <w:rPr>
          <w:rFonts w:ascii="Arial" w:hAnsi="Arial" w:cs="Arial"/>
          <w:b/>
          <w:sz w:val="24"/>
          <w:szCs w:val="26"/>
        </w:rPr>
        <w:t>Análisis</w:t>
      </w:r>
      <w:r w:rsidR="006E0CBD">
        <w:rPr>
          <w:rFonts w:ascii="Arial" w:hAnsi="Arial" w:cs="Arial"/>
          <w:b/>
          <w:sz w:val="24"/>
          <w:szCs w:val="26"/>
        </w:rPr>
        <w:t xml:space="preserve"> del fondo del asunto. </w:t>
      </w:r>
      <w:r w:rsidR="008306ED">
        <w:rPr>
          <w:rFonts w:ascii="Arial" w:hAnsi="Arial" w:cs="Arial"/>
          <w:b/>
          <w:sz w:val="24"/>
          <w:szCs w:val="26"/>
        </w:rPr>
        <w:t xml:space="preserve">La actora </w:t>
      </w:r>
      <w:r w:rsidR="001F5011">
        <w:rPr>
          <w:rFonts w:ascii="Arial" w:hAnsi="Arial" w:cs="Arial"/>
          <w:b/>
          <w:color w:val="FF0000"/>
          <w:sz w:val="24"/>
          <w:szCs w:val="26"/>
        </w:rPr>
        <w:t>**********</w:t>
      </w:r>
      <w:r w:rsidRPr="00DD0F0D">
        <w:rPr>
          <w:rFonts w:ascii="Arial" w:hAnsi="Arial" w:cs="Arial"/>
          <w:sz w:val="24"/>
          <w:szCs w:val="26"/>
        </w:rPr>
        <w:t>, demandó la nulidad del oficio</w:t>
      </w:r>
      <w:r w:rsidR="00AC4D2B">
        <w:rPr>
          <w:rFonts w:ascii="Arial" w:hAnsi="Arial" w:cs="Arial"/>
          <w:sz w:val="24"/>
          <w:szCs w:val="26"/>
        </w:rPr>
        <w:t xml:space="preserve"> número</w:t>
      </w:r>
      <w:r w:rsidRPr="00DD0F0D">
        <w:rPr>
          <w:rFonts w:ascii="Arial" w:hAnsi="Arial" w:cs="Arial"/>
          <w:sz w:val="24"/>
          <w:szCs w:val="26"/>
        </w:rPr>
        <w:t xml:space="preserve"> </w:t>
      </w:r>
      <w:r w:rsidR="001F5011">
        <w:rPr>
          <w:rFonts w:ascii="Arial" w:hAnsi="Arial" w:cs="Arial"/>
          <w:b/>
          <w:color w:val="FF0000"/>
          <w:sz w:val="24"/>
          <w:szCs w:val="26"/>
        </w:rPr>
        <w:t xml:space="preserve">********** </w:t>
      </w:r>
      <w:r w:rsidRPr="00DD0F0D">
        <w:rPr>
          <w:rFonts w:ascii="Arial" w:hAnsi="Arial" w:cs="Arial"/>
          <w:sz w:val="24"/>
          <w:szCs w:val="26"/>
        </w:rPr>
        <w:t xml:space="preserve">de </w:t>
      </w:r>
      <w:r w:rsidR="003E034C">
        <w:rPr>
          <w:rFonts w:ascii="Arial" w:hAnsi="Arial" w:cs="Arial"/>
          <w:sz w:val="24"/>
          <w:szCs w:val="26"/>
        </w:rPr>
        <w:t>dieciséis de diciembre de dos mil veinte</w:t>
      </w:r>
      <w:r w:rsidRPr="00DD0F0D">
        <w:rPr>
          <w:rFonts w:ascii="Arial" w:hAnsi="Arial" w:cs="Arial"/>
          <w:sz w:val="24"/>
          <w:szCs w:val="26"/>
        </w:rPr>
        <w:t>, emitido por el Director General de la Oficina de Pensiones del Estado</w:t>
      </w:r>
      <w:r w:rsidR="00582F61">
        <w:rPr>
          <w:rFonts w:ascii="Arial" w:hAnsi="Arial" w:cs="Arial"/>
          <w:sz w:val="24"/>
          <w:szCs w:val="26"/>
        </w:rPr>
        <w:t xml:space="preserve"> de Oaxaca</w:t>
      </w:r>
      <w:r w:rsidRPr="00DD0F0D">
        <w:rPr>
          <w:rFonts w:ascii="Arial" w:hAnsi="Arial" w:cs="Arial"/>
          <w:sz w:val="24"/>
          <w:szCs w:val="26"/>
        </w:rPr>
        <w:t>, alegando que dicho acto, transgrede en su perjuicio el dere</w:t>
      </w:r>
      <w:r w:rsidR="00EC25B2">
        <w:rPr>
          <w:rFonts w:ascii="Arial" w:hAnsi="Arial" w:cs="Arial"/>
          <w:sz w:val="24"/>
          <w:szCs w:val="26"/>
        </w:rPr>
        <w:t>cho humano de no discriminación,</w:t>
      </w:r>
      <w:r w:rsidRPr="00DD0F0D">
        <w:rPr>
          <w:rFonts w:ascii="Arial" w:hAnsi="Arial" w:cs="Arial"/>
          <w:sz w:val="24"/>
          <w:szCs w:val="26"/>
        </w:rPr>
        <w:t xml:space="preserve"> porque el dictamen por el </w:t>
      </w:r>
      <w:r w:rsidR="002E70AC" w:rsidRPr="00DD0F0D">
        <w:rPr>
          <w:rFonts w:ascii="Arial" w:hAnsi="Arial" w:cs="Arial"/>
          <w:sz w:val="24"/>
          <w:szCs w:val="26"/>
        </w:rPr>
        <w:t xml:space="preserve">que </w:t>
      </w:r>
      <w:r w:rsidRPr="00DD0F0D">
        <w:rPr>
          <w:rFonts w:ascii="Arial" w:hAnsi="Arial" w:cs="Arial"/>
          <w:sz w:val="24"/>
          <w:szCs w:val="26"/>
        </w:rPr>
        <w:t xml:space="preserve">se le concedió su pensión determinó que únicamente tiene derecho al pago de su salario base, determinación que considera arbitraria y discriminatoria, al no aplicar a su favor las prestaciones </w:t>
      </w:r>
      <w:r w:rsidR="00AE05A5">
        <w:rPr>
          <w:rFonts w:ascii="Arial" w:hAnsi="Arial" w:cs="Arial"/>
          <w:sz w:val="24"/>
          <w:szCs w:val="26"/>
        </w:rPr>
        <w:t>contempladas</w:t>
      </w:r>
      <w:r w:rsidRPr="00DD0F0D">
        <w:rPr>
          <w:rFonts w:ascii="Arial" w:hAnsi="Arial" w:cs="Arial"/>
          <w:sz w:val="24"/>
          <w:szCs w:val="26"/>
        </w:rPr>
        <w:t xml:space="preserve"> en la fracción </w:t>
      </w:r>
      <w:r w:rsidR="00621F7E">
        <w:rPr>
          <w:rFonts w:ascii="Arial" w:hAnsi="Arial" w:cs="Arial"/>
          <w:sz w:val="24"/>
          <w:szCs w:val="26"/>
        </w:rPr>
        <w:t xml:space="preserve">I </w:t>
      </w:r>
      <w:r w:rsidRPr="00DD0F0D">
        <w:rPr>
          <w:rFonts w:ascii="Arial" w:hAnsi="Arial" w:cs="Arial"/>
          <w:sz w:val="24"/>
          <w:szCs w:val="26"/>
        </w:rPr>
        <w:t>del referido artículo</w:t>
      </w:r>
      <w:r w:rsidR="00621F7E">
        <w:rPr>
          <w:rFonts w:ascii="Arial" w:hAnsi="Arial" w:cs="Arial"/>
          <w:sz w:val="24"/>
          <w:szCs w:val="26"/>
        </w:rPr>
        <w:t xml:space="preserve"> 54 de la Ley de Pensiones para los Trabajadores del Gobierno del Estado</w:t>
      </w:r>
      <w:r w:rsidRPr="00DD0F0D">
        <w:rPr>
          <w:rFonts w:ascii="Arial" w:hAnsi="Arial" w:cs="Arial"/>
          <w:sz w:val="24"/>
          <w:szCs w:val="26"/>
        </w:rPr>
        <w:t xml:space="preserve">, en la que se </w:t>
      </w:r>
      <w:r w:rsidRPr="00DD0F0D">
        <w:rPr>
          <w:rFonts w:ascii="Arial" w:hAnsi="Arial" w:cs="Arial"/>
          <w:sz w:val="24"/>
          <w:szCs w:val="26"/>
        </w:rPr>
        <w:lastRenderedPageBreak/>
        <w:t>integran prestaciones como previsión social múltiple, despensa, vida cara, quinquenios, aguinaldo, estimulo del día del jubilado, día de las madres, canasta navideña; siendo así un trato discriminatorio el que recibe en cuanto al cálculo de su pensión, pues</w:t>
      </w:r>
      <w:r w:rsidR="00A26EE8">
        <w:rPr>
          <w:rFonts w:ascii="Arial" w:hAnsi="Arial" w:cs="Arial"/>
          <w:sz w:val="24"/>
          <w:szCs w:val="26"/>
        </w:rPr>
        <w:t xml:space="preserve"> aun cuando fue empleada</w:t>
      </w:r>
      <w:r w:rsidR="00EC25B2">
        <w:rPr>
          <w:rFonts w:ascii="Arial" w:hAnsi="Arial" w:cs="Arial"/>
          <w:sz w:val="24"/>
          <w:szCs w:val="26"/>
        </w:rPr>
        <w:t xml:space="preserve"> de confianza</w:t>
      </w:r>
      <w:r w:rsidRPr="00DD0F0D">
        <w:rPr>
          <w:rFonts w:ascii="Arial" w:hAnsi="Arial" w:cs="Arial"/>
          <w:sz w:val="24"/>
          <w:szCs w:val="26"/>
        </w:rPr>
        <w:t>, tiene derecho a que se considere a su favor los conceptos aludidos, pues tiene derecho a recibir un trato igual a los trabajadores de base; que por ello que la resolución impugnada trasgrede en su perjuicio lo dispuesto por el artículo 1 de la Constitución Política de los Estados Unidos Mexicanos</w:t>
      </w:r>
      <w:r w:rsidR="00621F7E">
        <w:rPr>
          <w:rFonts w:ascii="Arial" w:hAnsi="Arial" w:cs="Arial"/>
          <w:sz w:val="24"/>
          <w:szCs w:val="26"/>
        </w:rPr>
        <w:t>.</w:t>
      </w:r>
      <w:r w:rsidR="002E70AC" w:rsidRPr="00DD0F0D">
        <w:rPr>
          <w:rFonts w:ascii="Arial" w:hAnsi="Arial" w:cs="Arial"/>
          <w:sz w:val="24"/>
          <w:szCs w:val="26"/>
        </w:rPr>
        <w:t xml:space="preserve"> </w:t>
      </w:r>
    </w:p>
    <w:p w14:paraId="001A8412" w14:textId="77777777" w:rsidR="00A96C07" w:rsidRPr="00DD0F0D" w:rsidRDefault="00A96C07" w:rsidP="00A96C07">
      <w:pPr>
        <w:pStyle w:val="Sinespaciado"/>
        <w:spacing w:before="240" w:line="360" w:lineRule="auto"/>
        <w:ind w:firstLine="708"/>
        <w:jc w:val="both"/>
        <w:rPr>
          <w:rFonts w:ascii="Arial" w:hAnsi="Arial" w:cs="Arial"/>
          <w:sz w:val="24"/>
          <w:szCs w:val="26"/>
        </w:rPr>
      </w:pPr>
      <w:r w:rsidRPr="00DD0F0D">
        <w:rPr>
          <w:rFonts w:ascii="Arial" w:hAnsi="Arial" w:cs="Arial"/>
          <w:sz w:val="24"/>
          <w:szCs w:val="26"/>
        </w:rPr>
        <w:t>Por su parte la demandada aduce, que el acto impugnado es legalmente valido, porque cumple con los elementos y requisitos de validez que establece el artículo 17 de la Ley de Procedimiento y Justicia Administrativa para el Estado de Oaxaca; sin que le asista derecho a</w:t>
      </w:r>
      <w:r w:rsidR="005464D3">
        <w:rPr>
          <w:rFonts w:ascii="Arial" w:hAnsi="Arial" w:cs="Arial"/>
          <w:sz w:val="24"/>
          <w:szCs w:val="26"/>
        </w:rPr>
        <w:t xml:space="preserve"> </w:t>
      </w:r>
      <w:r w:rsidRPr="00DD0F0D">
        <w:rPr>
          <w:rFonts w:ascii="Arial" w:hAnsi="Arial" w:cs="Arial"/>
          <w:sz w:val="24"/>
          <w:szCs w:val="26"/>
        </w:rPr>
        <w:t>l</w:t>
      </w:r>
      <w:r w:rsidR="005464D3">
        <w:rPr>
          <w:rFonts w:ascii="Arial" w:hAnsi="Arial" w:cs="Arial"/>
          <w:sz w:val="24"/>
          <w:szCs w:val="26"/>
        </w:rPr>
        <w:t>a</w:t>
      </w:r>
      <w:r w:rsidRPr="00DD0F0D">
        <w:rPr>
          <w:rFonts w:ascii="Arial" w:hAnsi="Arial" w:cs="Arial"/>
          <w:sz w:val="24"/>
          <w:szCs w:val="26"/>
        </w:rPr>
        <w:t xml:space="preserve"> actor</w:t>
      </w:r>
      <w:r w:rsidR="005464D3">
        <w:rPr>
          <w:rFonts w:ascii="Arial" w:hAnsi="Arial" w:cs="Arial"/>
          <w:sz w:val="24"/>
          <w:szCs w:val="26"/>
        </w:rPr>
        <w:t>a</w:t>
      </w:r>
      <w:r w:rsidRPr="00DD0F0D">
        <w:rPr>
          <w:rFonts w:ascii="Arial" w:hAnsi="Arial" w:cs="Arial"/>
          <w:sz w:val="24"/>
          <w:szCs w:val="26"/>
        </w:rPr>
        <w:t xml:space="preserve"> para solicitar la nulidad de la resolución, porque cumple cabalmente con los elementos y requisitos de validez, como lo establece el artículo 16 de la Constitución Política de los Estados Unidos Mexicanos</w:t>
      </w:r>
      <w:r w:rsidR="00621F7E">
        <w:rPr>
          <w:rFonts w:ascii="Arial" w:hAnsi="Arial" w:cs="Arial"/>
          <w:sz w:val="24"/>
          <w:szCs w:val="26"/>
        </w:rPr>
        <w:t xml:space="preserve">. </w:t>
      </w:r>
      <w:r w:rsidR="002E70AC" w:rsidRPr="00DD0F0D">
        <w:rPr>
          <w:rFonts w:ascii="Arial" w:hAnsi="Arial" w:cs="Arial"/>
          <w:sz w:val="24"/>
          <w:szCs w:val="26"/>
        </w:rPr>
        <w:t xml:space="preserve"> </w:t>
      </w:r>
    </w:p>
    <w:p w14:paraId="14494CE8" w14:textId="05C4D316" w:rsidR="00A96C07" w:rsidRPr="00947A4E" w:rsidRDefault="00A96C07" w:rsidP="00947A4E">
      <w:pPr>
        <w:spacing w:before="240" w:after="0" w:line="360" w:lineRule="auto"/>
        <w:ind w:firstLine="567"/>
        <w:jc w:val="both"/>
        <w:rPr>
          <w:rFonts w:ascii="Arial" w:hAnsi="Arial" w:cs="Arial"/>
          <w:i/>
          <w:sz w:val="24"/>
          <w:szCs w:val="26"/>
        </w:rPr>
      </w:pPr>
      <w:r w:rsidRPr="00DD0F0D">
        <w:rPr>
          <w:rFonts w:ascii="Arial" w:hAnsi="Arial" w:cs="Arial"/>
          <w:sz w:val="24"/>
          <w:szCs w:val="26"/>
        </w:rPr>
        <w:t xml:space="preserve">Del análisis </w:t>
      </w:r>
      <w:r w:rsidR="00A8294B">
        <w:rPr>
          <w:rFonts w:ascii="Arial" w:hAnsi="Arial" w:cs="Arial"/>
          <w:sz w:val="24"/>
          <w:szCs w:val="26"/>
        </w:rPr>
        <w:t>d</w:t>
      </w:r>
      <w:r w:rsidR="00621F7E">
        <w:rPr>
          <w:rFonts w:ascii="Arial" w:hAnsi="Arial" w:cs="Arial"/>
          <w:sz w:val="24"/>
          <w:szCs w:val="26"/>
        </w:rPr>
        <w:t xml:space="preserve">el oficio </w:t>
      </w:r>
      <w:r w:rsidR="00A8294B">
        <w:rPr>
          <w:rFonts w:ascii="Arial" w:hAnsi="Arial" w:cs="Arial"/>
          <w:sz w:val="24"/>
          <w:szCs w:val="26"/>
        </w:rPr>
        <w:t>número</w:t>
      </w:r>
      <w:r w:rsidRPr="00DD0F0D">
        <w:rPr>
          <w:rFonts w:ascii="Arial" w:hAnsi="Arial" w:cs="Arial"/>
          <w:sz w:val="24"/>
          <w:szCs w:val="26"/>
        </w:rPr>
        <w:t xml:space="preserve"> </w:t>
      </w:r>
      <w:r w:rsidR="001F5011">
        <w:rPr>
          <w:rFonts w:ascii="Arial" w:hAnsi="Arial" w:cs="Arial"/>
          <w:b/>
          <w:color w:val="FF0000"/>
          <w:sz w:val="24"/>
          <w:szCs w:val="26"/>
        </w:rPr>
        <w:t>**********</w:t>
      </w:r>
      <w:r w:rsidR="00A26EE8">
        <w:rPr>
          <w:rFonts w:ascii="Arial" w:hAnsi="Arial" w:cs="Arial"/>
          <w:sz w:val="24"/>
          <w:szCs w:val="26"/>
        </w:rPr>
        <w:t>de dieciséis de diciembre de dos mil veinte</w:t>
      </w:r>
      <w:r w:rsidRPr="00DD0F0D">
        <w:rPr>
          <w:rFonts w:ascii="Arial" w:hAnsi="Arial" w:cs="Arial"/>
          <w:sz w:val="24"/>
          <w:szCs w:val="26"/>
        </w:rPr>
        <w:t>, se ad</w:t>
      </w:r>
      <w:r w:rsidR="006914D7">
        <w:rPr>
          <w:rFonts w:ascii="Arial" w:hAnsi="Arial" w:cs="Arial"/>
          <w:sz w:val="24"/>
          <w:szCs w:val="26"/>
        </w:rPr>
        <w:t xml:space="preserve">vierte que el Consejo Directivo </w:t>
      </w:r>
      <w:r w:rsidRPr="00DD0F0D">
        <w:rPr>
          <w:rFonts w:ascii="Arial" w:hAnsi="Arial" w:cs="Arial"/>
          <w:sz w:val="24"/>
          <w:szCs w:val="26"/>
        </w:rPr>
        <w:t>de Pensiones d</w:t>
      </w:r>
      <w:r w:rsidR="00947A4E">
        <w:rPr>
          <w:rFonts w:ascii="Arial" w:hAnsi="Arial" w:cs="Arial"/>
          <w:sz w:val="24"/>
          <w:szCs w:val="26"/>
        </w:rPr>
        <w:t xml:space="preserve">el Estado de Oaxaca, al resolver </w:t>
      </w:r>
      <w:r w:rsidRPr="00DD0F0D">
        <w:rPr>
          <w:rFonts w:ascii="Arial" w:hAnsi="Arial" w:cs="Arial"/>
          <w:sz w:val="24"/>
          <w:szCs w:val="26"/>
        </w:rPr>
        <w:t xml:space="preserve">la pensión por jubilación </w:t>
      </w:r>
      <w:r w:rsidR="00947A4E">
        <w:rPr>
          <w:rFonts w:ascii="Arial" w:hAnsi="Arial" w:cs="Arial"/>
          <w:sz w:val="24"/>
          <w:szCs w:val="26"/>
        </w:rPr>
        <w:t>d</w:t>
      </w:r>
      <w:r w:rsidR="005464D3">
        <w:rPr>
          <w:rFonts w:ascii="Arial" w:hAnsi="Arial" w:cs="Arial"/>
          <w:sz w:val="24"/>
          <w:szCs w:val="26"/>
        </w:rPr>
        <w:t>e la</w:t>
      </w:r>
      <w:r w:rsidR="00947A4E">
        <w:rPr>
          <w:rFonts w:ascii="Arial" w:hAnsi="Arial" w:cs="Arial"/>
          <w:sz w:val="24"/>
          <w:szCs w:val="26"/>
        </w:rPr>
        <w:t xml:space="preserve"> actor</w:t>
      </w:r>
      <w:r w:rsidR="005464D3">
        <w:rPr>
          <w:rFonts w:ascii="Arial" w:hAnsi="Arial" w:cs="Arial"/>
          <w:sz w:val="24"/>
          <w:szCs w:val="26"/>
        </w:rPr>
        <w:t>a</w:t>
      </w:r>
      <w:r w:rsidR="00947A4E">
        <w:rPr>
          <w:rFonts w:ascii="Arial" w:hAnsi="Arial" w:cs="Arial"/>
          <w:sz w:val="24"/>
          <w:szCs w:val="26"/>
        </w:rPr>
        <w:t xml:space="preserve">, indicó que la </w:t>
      </w:r>
      <w:r w:rsidRPr="00DD0F0D">
        <w:rPr>
          <w:rFonts w:ascii="Arial" w:hAnsi="Arial" w:cs="Arial"/>
          <w:sz w:val="24"/>
          <w:szCs w:val="26"/>
        </w:rPr>
        <w:t xml:space="preserve">fijación de su pensión se determinó tomando únicamente en consideración el sueldo base de un </w:t>
      </w:r>
      <w:r w:rsidR="00A26EE8" w:rsidRPr="00880879">
        <w:rPr>
          <w:rFonts w:ascii="Arial" w:hAnsi="Arial" w:cs="Arial"/>
          <w:sz w:val="24"/>
          <w:szCs w:val="26"/>
        </w:rPr>
        <w:t>Secretario de Acuerdos</w:t>
      </w:r>
      <w:r w:rsidRPr="00DD0F0D">
        <w:rPr>
          <w:rFonts w:ascii="Arial" w:hAnsi="Arial" w:cs="Arial"/>
          <w:sz w:val="24"/>
          <w:szCs w:val="26"/>
        </w:rPr>
        <w:t>, eludiendo los co</w:t>
      </w:r>
      <w:r w:rsidR="0018185E" w:rsidRPr="00DD0F0D">
        <w:rPr>
          <w:rFonts w:ascii="Arial" w:hAnsi="Arial" w:cs="Arial"/>
          <w:sz w:val="24"/>
          <w:szCs w:val="26"/>
        </w:rPr>
        <w:t xml:space="preserve">nceptos de prevé el artículo 54 </w:t>
      </w:r>
      <w:r w:rsidR="00EC25B2">
        <w:rPr>
          <w:rFonts w:ascii="Arial" w:hAnsi="Arial" w:cs="Arial"/>
          <w:sz w:val="24"/>
          <w:szCs w:val="26"/>
        </w:rPr>
        <w:t xml:space="preserve">fracción I </w:t>
      </w:r>
      <w:r w:rsidRPr="00DD0F0D">
        <w:rPr>
          <w:rFonts w:ascii="Arial" w:hAnsi="Arial" w:cs="Arial"/>
          <w:sz w:val="24"/>
          <w:szCs w:val="26"/>
        </w:rPr>
        <w:t>de la Ley de Pensiones para los Trabajadores del Gobierno del Estado, el cual establece</w:t>
      </w:r>
      <w:r w:rsidR="00D31CF8">
        <w:rPr>
          <w:rFonts w:ascii="Arial" w:hAnsi="Arial" w:cs="Arial"/>
          <w:sz w:val="24"/>
          <w:szCs w:val="26"/>
        </w:rPr>
        <w:t>:</w:t>
      </w:r>
      <w:r w:rsidR="0018185E" w:rsidRPr="00DD0F0D">
        <w:rPr>
          <w:rFonts w:ascii="Arial" w:hAnsi="Arial" w:cs="Arial"/>
          <w:sz w:val="24"/>
          <w:szCs w:val="26"/>
        </w:rPr>
        <w:t xml:space="preserve"> </w:t>
      </w:r>
    </w:p>
    <w:p w14:paraId="5B1813C2" w14:textId="77777777" w:rsidR="00A96C07" w:rsidRPr="00DD0F0D" w:rsidRDefault="00A96C07" w:rsidP="00D31CF8">
      <w:pPr>
        <w:spacing w:before="240" w:after="0" w:line="276" w:lineRule="auto"/>
        <w:ind w:left="1134" w:right="616"/>
        <w:jc w:val="both"/>
        <w:rPr>
          <w:rFonts w:ascii="Arial" w:hAnsi="Arial" w:cs="Arial"/>
          <w:i/>
          <w:szCs w:val="24"/>
        </w:rPr>
      </w:pPr>
      <w:r w:rsidRPr="00DD0F0D">
        <w:rPr>
          <w:rFonts w:ascii="Arial" w:hAnsi="Arial" w:cs="Arial"/>
          <w:i/>
          <w:sz w:val="24"/>
          <w:szCs w:val="26"/>
        </w:rPr>
        <w:t>“</w:t>
      </w:r>
      <w:r w:rsidRPr="00DD0F0D">
        <w:rPr>
          <w:rFonts w:ascii="Arial" w:hAnsi="Arial" w:cs="Arial"/>
          <w:b/>
          <w:i/>
          <w:szCs w:val="24"/>
        </w:rPr>
        <w:t xml:space="preserve">ARTÍCULO 54.- </w:t>
      </w:r>
      <w:r w:rsidRPr="00DD0F0D">
        <w:rPr>
          <w:rFonts w:ascii="Arial" w:hAnsi="Arial" w:cs="Arial"/>
          <w:i/>
          <w:szCs w:val="24"/>
        </w:rPr>
        <w:t>Al monto resultante de la pensión señalada en el artículo anterior, se integrarán las prestaciones siguientes:</w:t>
      </w:r>
    </w:p>
    <w:p w14:paraId="45BAD984" w14:textId="77777777" w:rsidR="00A96C07" w:rsidRPr="00DD0F0D" w:rsidRDefault="00A96C07" w:rsidP="00D31CF8">
      <w:pPr>
        <w:spacing w:after="0" w:line="276" w:lineRule="auto"/>
        <w:ind w:left="1134" w:right="616"/>
        <w:jc w:val="both"/>
        <w:rPr>
          <w:rFonts w:ascii="Arial" w:hAnsi="Arial" w:cs="Arial"/>
          <w:i/>
          <w:szCs w:val="24"/>
        </w:rPr>
      </w:pPr>
      <w:r w:rsidRPr="00DD0F0D">
        <w:rPr>
          <w:rFonts w:ascii="Arial" w:hAnsi="Arial" w:cs="Arial"/>
          <w:i/>
          <w:szCs w:val="24"/>
        </w:rPr>
        <w:t>I. Jubilados: tratándose solo de aquéllos que fueron trabajadores de base se integrarán la previsión social múltiple, despensa, vida cara, quinquenios, aguinaldo, estímulo del día del jubilado, día de las madres y canasta navideña.</w:t>
      </w:r>
    </w:p>
    <w:p w14:paraId="2C37796B" w14:textId="77777777" w:rsidR="00A96C07" w:rsidRPr="00DD0F0D" w:rsidRDefault="00A96C07" w:rsidP="00D31CF8">
      <w:pPr>
        <w:spacing w:after="0" w:line="276" w:lineRule="auto"/>
        <w:ind w:left="1134" w:right="616"/>
        <w:jc w:val="both"/>
        <w:rPr>
          <w:rFonts w:ascii="Arial" w:hAnsi="Arial" w:cs="Arial"/>
          <w:i/>
          <w:szCs w:val="24"/>
        </w:rPr>
      </w:pPr>
      <w:r w:rsidRPr="00DD0F0D">
        <w:rPr>
          <w:rFonts w:ascii="Arial" w:hAnsi="Arial" w:cs="Arial"/>
          <w:i/>
          <w:szCs w:val="24"/>
        </w:rPr>
        <w:t>El aguinaldo para jubilados será equivalente a 70 días de la cuantía diaria; y</w:t>
      </w:r>
    </w:p>
    <w:p w14:paraId="6739B6E4" w14:textId="77777777" w:rsidR="00D31CF8" w:rsidRDefault="00F20B25" w:rsidP="00A96C07">
      <w:pPr>
        <w:spacing w:before="240" w:after="0" w:line="360" w:lineRule="auto"/>
        <w:ind w:firstLine="567"/>
        <w:jc w:val="both"/>
        <w:rPr>
          <w:rFonts w:ascii="Arial" w:hAnsi="Arial" w:cs="Arial"/>
          <w:sz w:val="24"/>
          <w:szCs w:val="26"/>
        </w:rPr>
      </w:pPr>
      <w:r>
        <w:rPr>
          <w:rFonts w:ascii="Arial" w:hAnsi="Arial" w:cs="Arial"/>
          <w:sz w:val="24"/>
          <w:szCs w:val="26"/>
        </w:rPr>
        <w:t>Dicho artículo señala</w:t>
      </w:r>
      <w:r w:rsidR="00D31CF8">
        <w:rPr>
          <w:rFonts w:ascii="Arial" w:hAnsi="Arial" w:cs="Arial"/>
          <w:sz w:val="24"/>
          <w:szCs w:val="26"/>
        </w:rPr>
        <w:t xml:space="preserve">, </w:t>
      </w:r>
      <w:r w:rsidR="00A96C07" w:rsidRPr="00DD0F0D">
        <w:rPr>
          <w:rFonts w:ascii="Arial" w:hAnsi="Arial" w:cs="Arial"/>
          <w:sz w:val="24"/>
          <w:szCs w:val="26"/>
        </w:rPr>
        <w:t xml:space="preserve">que </w:t>
      </w:r>
      <w:r w:rsidR="00D31CF8">
        <w:rPr>
          <w:rFonts w:ascii="Arial" w:hAnsi="Arial" w:cs="Arial"/>
          <w:sz w:val="24"/>
          <w:szCs w:val="26"/>
        </w:rPr>
        <w:t xml:space="preserve">solo </w:t>
      </w:r>
      <w:r w:rsidR="00A96C07" w:rsidRPr="00DD0F0D">
        <w:rPr>
          <w:rFonts w:ascii="Arial" w:hAnsi="Arial" w:cs="Arial"/>
          <w:sz w:val="24"/>
          <w:szCs w:val="26"/>
        </w:rPr>
        <w:t xml:space="preserve">los </w:t>
      </w:r>
      <w:r w:rsidR="00A96C07" w:rsidRPr="00DD0F0D">
        <w:rPr>
          <w:rFonts w:ascii="Arial" w:hAnsi="Arial" w:cs="Arial"/>
          <w:b/>
          <w:sz w:val="24"/>
          <w:szCs w:val="26"/>
        </w:rPr>
        <w:t xml:space="preserve">trabajadores jubilados de base, </w:t>
      </w:r>
      <w:r w:rsidR="00D31CF8">
        <w:rPr>
          <w:rFonts w:ascii="Arial" w:hAnsi="Arial" w:cs="Arial"/>
          <w:sz w:val="24"/>
          <w:szCs w:val="26"/>
        </w:rPr>
        <w:t>tendrán derecho a</w:t>
      </w:r>
      <w:r w:rsidR="00A96C07" w:rsidRPr="00DD0F0D">
        <w:rPr>
          <w:rFonts w:ascii="Arial" w:hAnsi="Arial" w:cs="Arial"/>
          <w:sz w:val="24"/>
          <w:szCs w:val="26"/>
        </w:rPr>
        <w:t xml:space="preserve"> las siguientes prestaciones: previsión social múltiple, despensa, vida cara, quinquenios, aguinaldos, estímulos del día del jubilado, día d</w:t>
      </w:r>
      <w:r w:rsidR="00EC25B2">
        <w:rPr>
          <w:rFonts w:ascii="Arial" w:hAnsi="Arial" w:cs="Arial"/>
          <w:sz w:val="24"/>
          <w:szCs w:val="26"/>
        </w:rPr>
        <w:t>e las madres y canasta navideña</w:t>
      </w:r>
      <w:r w:rsidR="00A96C07" w:rsidRPr="00DD0F0D">
        <w:rPr>
          <w:rFonts w:ascii="Arial" w:hAnsi="Arial" w:cs="Arial"/>
          <w:sz w:val="24"/>
          <w:szCs w:val="26"/>
        </w:rPr>
        <w:t xml:space="preserve">; sin referirse expresamente a los </w:t>
      </w:r>
      <w:r w:rsidR="00A96C07" w:rsidRPr="00DD0F0D">
        <w:rPr>
          <w:rFonts w:ascii="Arial" w:hAnsi="Arial" w:cs="Arial"/>
          <w:b/>
          <w:sz w:val="24"/>
          <w:szCs w:val="26"/>
        </w:rPr>
        <w:t>trabajadores jubilados de confianza.</w:t>
      </w:r>
    </w:p>
    <w:p w14:paraId="2C2A2B6F" w14:textId="77777777" w:rsidR="00A96C07" w:rsidRPr="00DD0F0D" w:rsidRDefault="00A96C07" w:rsidP="00A96C07">
      <w:pPr>
        <w:spacing w:before="240" w:after="0" w:line="360" w:lineRule="auto"/>
        <w:ind w:firstLine="567"/>
        <w:jc w:val="both"/>
        <w:rPr>
          <w:rFonts w:ascii="Arial" w:hAnsi="Arial" w:cs="Arial"/>
          <w:sz w:val="24"/>
          <w:szCs w:val="26"/>
        </w:rPr>
      </w:pPr>
      <w:r w:rsidRPr="00DD0F0D">
        <w:rPr>
          <w:rFonts w:ascii="Arial" w:hAnsi="Arial" w:cs="Arial"/>
          <w:sz w:val="24"/>
          <w:szCs w:val="26"/>
        </w:rPr>
        <w:t>Sin embargo, resulta trascendental tomar en cuenta lo dispuesto por el artículo 1° de la Constitución Política de los Estados Unidos Mexicanos, que en sus párrafos primero, segundo y quinto establece</w:t>
      </w:r>
      <w:r w:rsidR="00D31CF8">
        <w:rPr>
          <w:rFonts w:ascii="Arial" w:hAnsi="Arial" w:cs="Arial"/>
          <w:sz w:val="24"/>
          <w:szCs w:val="26"/>
        </w:rPr>
        <w:t>:</w:t>
      </w:r>
    </w:p>
    <w:p w14:paraId="68D11CA9" w14:textId="77777777" w:rsidR="00A96C07" w:rsidRPr="00D31CF8" w:rsidRDefault="00A96C07" w:rsidP="00D31CF8">
      <w:pPr>
        <w:spacing w:before="240" w:after="0" w:line="276" w:lineRule="auto"/>
        <w:ind w:left="1134" w:right="616"/>
        <w:jc w:val="both"/>
        <w:rPr>
          <w:rFonts w:ascii="Arial" w:hAnsi="Arial" w:cs="Arial"/>
          <w:i/>
        </w:rPr>
      </w:pPr>
      <w:r w:rsidRPr="00D31CF8">
        <w:rPr>
          <w:rFonts w:ascii="Arial" w:hAnsi="Arial" w:cs="Arial"/>
          <w:i/>
        </w:rPr>
        <w:t xml:space="preserve">“En los Estados Unidos Mexicanos todas las personas gozarán de los derechos humanos reconocidos en esta Constitución y en los tratados internacionales de los que el Estado Mexicano sea parte, así como de </w:t>
      </w:r>
      <w:r w:rsidRPr="00D31CF8">
        <w:rPr>
          <w:rFonts w:ascii="Arial" w:hAnsi="Arial" w:cs="Arial"/>
          <w:i/>
        </w:rPr>
        <w:lastRenderedPageBreak/>
        <w:t>las garantías para su protección, cuyo ejercicio no podrá restringirse ni suspenderse, salvo en los casos y bajo las condiciones que esta Constitución establece.</w:t>
      </w:r>
    </w:p>
    <w:p w14:paraId="39456958" w14:textId="77777777" w:rsidR="00A96C07" w:rsidRPr="00D31CF8" w:rsidRDefault="00A96C07" w:rsidP="00D31CF8">
      <w:pPr>
        <w:spacing w:after="0" w:line="276" w:lineRule="auto"/>
        <w:ind w:left="567" w:right="616" w:firstLine="567"/>
        <w:jc w:val="both"/>
        <w:rPr>
          <w:rFonts w:ascii="Arial" w:hAnsi="Arial" w:cs="Arial"/>
          <w:i/>
        </w:rPr>
      </w:pPr>
    </w:p>
    <w:p w14:paraId="36E728AA" w14:textId="77777777" w:rsidR="00A96C07" w:rsidRPr="00D31CF8" w:rsidRDefault="00A96C07" w:rsidP="00D31CF8">
      <w:pPr>
        <w:spacing w:after="0" w:line="276" w:lineRule="auto"/>
        <w:ind w:left="1134" w:right="616"/>
        <w:jc w:val="both"/>
        <w:rPr>
          <w:rFonts w:ascii="Arial" w:hAnsi="Arial" w:cs="Arial"/>
          <w:i/>
        </w:rPr>
      </w:pPr>
      <w:r w:rsidRPr="00D31CF8">
        <w:rPr>
          <w:rFonts w:ascii="Arial" w:hAnsi="Arial" w:cs="Arial"/>
          <w:i/>
        </w:rPr>
        <w:t>Las normas relativas a los derechos humanos se interpretarán de conformidad con esta Constitución y con los tratados internacionales de la materia favoreciendo en todo tiempo a las persona</w:t>
      </w:r>
      <w:r w:rsidR="00D31CF8" w:rsidRPr="00D31CF8">
        <w:rPr>
          <w:rFonts w:ascii="Arial" w:hAnsi="Arial" w:cs="Arial"/>
          <w:i/>
        </w:rPr>
        <w:t>s la protección más amplia.</w:t>
      </w:r>
    </w:p>
    <w:p w14:paraId="5D0FD779" w14:textId="77777777" w:rsidR="00D31CF8" w:rsidRPr="00D31CF8" w:rsidRDefault="00D31CF8" w:rsidP="00D31CF8">
      <w:pPr>
        <w:spacing w:after="0" w:line="276" w:lineRule="auto"/>
        <w:ind w:left="1134" w:right="616"/>
        <w:jc w:val="both"/>
        <w:rPr>
          <w:rFonts w:ascii="Arial" w:hAnsi="Arial" w:cs="Arial"/>
          <w:i/>
        </w:rPr>
      </w:pPr>
      <w:r w:rsidRPr="00D31CF8">
        <w:rPr>
          <w:rFonts w:ascii="Arial" w:hAnsi="Arial" w:cs="Arial"/>
          <w:i/>
        </w:rPr>
        <w:t>(…)</w:t>
      </w:r>
    </w:p>
    <w:p w14:paraId="43CA355E" w14:textId="77777777" w:rsidR="00A96C07" w:rsidRPr="00D31CF8" w:rsidRDefault="00D31CF8" w:rsidP="00D31CF8">
      <w:pPr>
        <w:tabs>
          <w:tab w:val="left" w:pos="8222"/>
        </w:tabs>
        <w:spacing w:before="240" w:after="0" w:line="276" w:lineRule="auto"/>
        <w:ind w:left="1134" w:right="616"/>
        <w:jc w:val="both"/>
        <w:rPr>
          <w:rFonts w:ascii="Arial" w:hAnsi="Arial" w:cs="Arial"/>
          <w:i/>
        </w:rPr>
      </w:pPr>
      <w:r w:rsidRPr="00D31CF8">
        <w:rPr>
          <w:rFonts w:ascii="Arial" w:hAnsi="Arial" w:cs="Arial"/>
          <w:i/>
        </w:rPr>
        <w:t>Q</w:t>
      </w:r>
      <w:r w:rsidR="00A96C07" w:rsidRPr="00D31CF8">
        <w:rPr>
          <w:rFonts w:ascii="Arial" w:hAnsi="Arial" w:cs="Arial"/>
          <w:i/>
        </w:rPr>
        <w:t xml:space="preserve">ueda prohibida toda discriminación motivada por origen étnico o nacional, el género, la edad, las discapacidades, la condición social, las condiciones de salud, la religión, las opiniones, las preferencias sexuales, el estado civil o cualquier otra parte que </w:t>
      </w:r>
      <w:r w:rsidR="002E70AC" w:rsidRPr="00D31CF8">
        <w:rPr>
          <w:rFonts w:ascii="Arial" w:hAnsi="Arial" w:cs="Arial"/>
          <w:i/>
        </w:rPr>
        <w:t>atente contra</w:t>
      </w:r>
      <w:r w:rsidR="00A96C07" w:rsidRPr="00D31CF8">
        <w:rPr>
          <w:rFonts w:ascii="Arial" w:hAnsi="Arial" w:cs="Arial"/>
          <w:i/>
        </w:rPr>
        <w:t xml:space="preserve"> la dignidad humana y tenga por objeto anular o menoscabar los derechos y libertades de las personas…”.</w:t>
      </w:r>
    </w:p>
    <w:p w14:paraId="3F6E2D04" w14:textId="77777777" w:rsidR="00A96C07" w:rsidRPr="00DD0F0D" w:rsidRDefault="00A96C07" w:rsidP="00A96C07">
      <w:pPr>
        <w:spacing w:before="240" w:after="0" w:line="360" w:lineRule="auto"/>
        <w:ind w:firstLine="567"/>
        <w:jc w:val="both"/>
        <w:rPr>
          <w:rFonts w:ascii="Arial" w:hAnsi="Arial" w:cs="Arial"/>
          <w:sz w:val="24"/>
          <w:szCs w:val="26"/>
        </w:rPr>
      </w:pPr>
      <w:r w:rsidRPr="00DD0F0D">
        <w:rPr>
          <w:rFonts w:ascii="Arial" w:hAnsi="Arial" w:cs="Arial"/>
          <w:sz w:val="24"/>
          <w:szCs w:val="26"/>
        </w:rPr>
        <w:t>Patentizando así, que dicho precepto constitucional prohíbe toda discriminación que menosca</w:t>
      </w:r>
      <w:r w:rsidR="0060096E">
        <w:rPr>
          <w:rFonts w:ascii="Arial" w:hAnsi="Arial" w:cs="Arial"/>
          <w:sz w:val="24"/>
          <w:szCs w:val="26"/>
        </w:rPr>
        <w:t>be los derechos de las personas,</w:t>
      </w:r>
      <w:r w:rsidRPr="00DD0F0D">
        <w:rPr>
          <w:rFonts w:ascii="Arial" w:hAnsi="Arial" w:cs="Arial"/>
          <w:sz w:val="24"/>
          <w:szCs w:val="26"/>
        </w:rPr>
        <w:t xml:space="preserve"> por lo que para el efecto de cumplimentar dicha consagración constitucional, en la materia que se analiza (pensión por jubilación) al aplicarse la Ley de Pensiones para resolver al respecto, esta debe interpretarse de forma amplia en el sentido que más beneficia a l</w:t>
      </w:r>
      <w:r w:rsidR="00402B21">
        <w:rPr>
          <w:rFonts w:ascii="Arial" w:hAnsi="Arial" w:cs="Arial"/>
          <w:sz w:val="24"/>
          <w:szCs w:val="26"/>
        </w:rPr>
        <w:t>a solicitante</w:t>
      </w:r>
      <w:r w:rsidRPr="00DD0F0D">
        <w:rPr>
          <w:rFonts w:ascii="Arial" w:hAnsi="Arial" w:cs="Arial"/>
          <w:sz w:val="24"/>
          <w:szCs w:val="26"/>
        </w:rPr>
        <w:t xml:space="preserve"> de la jubilación.</w:t>
      </w:r>
    </w:p>
    <w:p w14:paraId="00C1D271" w14:textId="36CA65E6" w:rsidR="00A96C07" w:rsidRPr="00DD0F0D" w:rsidRDefault="00A96C07" w:rsidP="0079430A">
      <w:pPr>
        <w:spacing w:before="240" w:after="0" w:line="360" w:lineRule="auto"/>
        <w:ind w:firstLine="567"/>
        <w:jc w:val="both"/>
        <w:rPr>
          <w:rFonts w:ascii="Arial" w:hAnsi="Arial" w:cs="Arial"/>
          <w:sz w:val="24"/>
          <w:szCs w:val="26"/>
        </w:rPr>
      </w:pPr>
      <w:r w:rsidRPr="00DD0F0D">
        <w:rPr>
          <w:rFonts w:ascii="Arial" w:hAnsi="Arial" w:cs="Arial"/>
          <w:sz w:val="24"/>
          <w:szCs w:val="26"/>
        </w:rPr>
        <w:t>Por lo qu</w:t>
      </w:r>
      <w:r w:rsidR="00D31CF8">
        <w:rPr>
          <w:rFonts w:ascii="Arial" w:hAnsi="Arial" w:cs="Arial"/>
          <w:sz w:val="24"/>
          <w:szCs w:val="26"/>
        </w:rPr>
        <w:t xml:space="preserve">e, tomando en consideración </w:t>
      </w:r>
      <w:r w:rsidRPr="00DD0F0D">
        <w:rPr>
          <w:rFonts w:ascii="Arial" w:hAnsi="Arial" w:cs="Arial"/>
          <w:sz w:val="24"/>
          <w:szCs w:val="26"/>
        </w:rPr>
        <w:t xml:space="preserve">el artículo 54 </w:t>
      </w:r>
      <w:r w:rsidR="00EC25B2">
        <w:rPr>
          <w:rFonts w:ascii="Arial" w:hAnsi="Arial" w:cs="Arial"/>
          <w:sz w:val="24"/>
          <w:szCs w:val="26"/>
        </w:rPr>
        <w:t xml:space="preserve">fracción I </w:t>
      </w:r>
      <w:r w:rsidRPr="00DD0F0D">
        <w:rPr>
          <w:rFonts w:ascii="Arial" w:hAnsi="Arial" w:cs="Arial"/>
          <w:sz w:val="24"/>
          <w:szCs w:val="26"/>
        </w:rPr>
        <w:t>de la Ley de Pensiones para los Trabajadores del Gobierno del Estado de Oaxaca, y con la finalidad de otorgar el mayor beneficio al solicitante de la pensión, al resolverse lo correspondiente, di</w:t>
      </w:r>
      <w:r w:rsidR="00F533EF">
        <w:rPr>
          <w:rFonts w:ascii="Arial" w:hAnsi="Arial" w:cs="Arial"/>
          <w:sz w:val="24"/>
          <w:szCs w:val="26"/>
        </w:rPr>
        <w:t>cho artículo 54, debe interpretarse</w:t>
      </w:r>
      <w:r w:rsidRPr="00DD0F0D">
        <w:rPr>
          <w:rFonts w:ascii="Arial" w:hAnsi="Arial" w:cs="Arial"/>
          <w:sz w:val="24"/>
          <w:szCs w:val="26"/>
        </w:rPr>
        <w:t xml:space="preserve"> de </w:t>
      </w:r>
      <w:r w:rsidRPr="00DD0F0D">
        <w:rPr>
          <w:rFonts w:ascii="Arial" w:hAnsi="Arial" w:cs="Arial"/>
          <w:b/>
          <w:sz w:val="24"/>
          <w:szCs w:val="26"/>
        </w:rPr>
        <w:t>forma extensiva,</w:t>
      </w:r>
      <w:r w:rsidRPr="00DD0F0D">
        <w:rPr>
          <w:rFonts w:ascii="Arial" w:hAnsi="Arial" w:cs="Arial"/>
          <w:sz w:val="24"/>
          <w:szCs w:val="26"/>
        </w:rPr>
        <w:t xml:space="preserve"> para </w:t>
      </w:r>
      <w:r w:rsidR="00D31CF8">
        <w:rPr>
          <w:rFonts w:ascii="Arial" w:hAnsi="Arial" w:cs="Arial"/>
          <w:sz w:val="24"/>
          <w:szCs w:val="26"/>
        </w:rPr>
        <w:t xml:space="preserve">no transgredir derechos humanos, </w:t>
      </w:r>
      <w:r w:rsidR="00D31CF8">
        <w:rPr>
          <w:rFonts w:ascii="Arial" w:hAnsi="Arial" w:cs="Arial"/>
          <w:b/>
          <w:sz w:val="24"/>
          <w:szCs w:val="26"/>
        </w:rPr>
        <w:t>otorgando</w:t>
      </w:r>
      <w:r w:rsidRPr="00DD0F0D">
        <w:rPr>
          <w:rFonts w:ascii="Arial" w:hAnsi="Arial" w:cs="Arial"/>
          <w:sz w:val="24"/>
          <w:szCs w:val="26"/>
        </w:rPr>
        <w:t xml:space="preserve"> la protección más amplia  a la que tienen derecho los</w:t>
      </w:r>
      <w:r w:rsidR="0079430A">
        <w:rPr>
          <w:rFonts w:ascii="Arial" w:hAnsi="Arial" w:cs="Arial"/>
          <w:sz w:val="24"/>
          <w:szCs w:val="26"/>
        </w:rPr>
        <w:t xml:space="preserve"> jubilados; ello, toda vez que, </w:t>
      </w:r>
      <w:r w:rsidRPr="00DD0F0D">
        <w:rPr>
          <w:rFonts w:ascii="Arial" w:hAnsi="Arial" w:cs="Arial"/>
          <w:sz w:val="24"/>
          <w:szCs w:val="26"/>
        </w:rPr>
        <w:t>e</w:t>
      </w:r>
      <w:r w:rsidR="00A26EE8">
        <w:rPr>
          <w:rFonts w:ascii="Arial" w:hAnsi="Arial" w:cs="Arial"/>
          <w:sz w:val="24"/>
          <w:szCs w:val="26"/>
        </w:rPr>
        <w:t xml:space="preserve">s obligación </w:t>
      </w:r>
      <w:r w:rsidR="00A26EE8" w:rsidRPr="00880879">
        <w:rPr>
          <w:rFonts w:ascii="Arial" w:hAnsi="Arial" w:cs="Arial"/>
          <w:sz w:val="24"/>
          <w:szCs w:val="26"/>
        </w:rPr>
        <w:t xml:space="preserve">de esta </w:t>
      </w:r>
      <w:r w:rsidR="0079430A" w:rsidRPr="00880879">
        <w:rPr>
          <w:rFonts w:ascii="Arial" w:hAnsi="Arial" w:cs="Arial"/>
          <w:sz w:val="24"/>
          <w:szCs w:val="26"/>
        </w:rPr>
        <w:t>Juzgador</w:t>
      </w:r>
      <w:r w:rsidR="00A26EE8" w:rsidRPr="00880879">
        <w:rPr>
          <w:rFonts w:ascii="Arial" w:hAnsi="Arial" w:cs="Arial"/>
          <w:sz w:val="24"/>
          <w:szCs w:val="26"/>
        </w:rPr>
        <w:t>a</w:t>
      </w:r>
      <w:r w:rsidR="0079430A">
        <w:rPr>
          <w:rFonts w:ascii="Arial" w:hAnsi="Arial" w:cs="Arial"/>
          <w:sz w:val="24"/>
          <w:szCs w:val="26"/>
        </w:rPr>
        <w:t xml:space="preserve"> promover, respetar, proteger y garantizar los derechos humanos de los gobernados,</w:t>
      </w:r>
      <w:r w:rsidRPr="00DD0F0D">
        <w:rPr>
          <w:rFonts w:ascii="Arial" w:hAnsi="Arial" w:cs="Arial"/>
          <w:sz w:val="24"/>
          <w:szCs w:val="26"/>
        </w:rPr>
        <w:t xml:space="preserve"> de conformidad con los principios de universalidad, interdependencia, indivisibilidad y progresividad e interpretarlos de conformidad con la Constitución Federal y con los Tratados Internacionales de la Materia, favoreciendo en todo tiempo a las personas la protección más amplia, en atención al </w:t>
      </w:r>
      <w:r w:rsidRPr="00DD0F0D">
        <w:rPr>
          <w:rFonts w:ascii="Arial" w:hAnsi="Arial" w:cs="Arial"/>
          <w:b/>
          <w:sz w:val="24"/>
          <w:szCs w:val="26"/>
        </w:rPr>
        <w:t>principio pro-persona.</w:t>
      </w:r>
    </w:p>
    <w:p w14:paraId="26B2E051" w14:textId="77777777" w:rsidR="00A96C07" w:rsidRPr="00DD0F0D" w:rsidRDefault="00A96C07" w:rsidP="00A96C07">
      <w:pPr>
        <w:spacing w:before="240" w:after="0" w:line="360" w:lineRule="auto"/>
        <w:ind w:firstLine="567"/>
        <w:jc w:val="both"/>
        <w:rPr>
          <w:rFonts w:ascii="Arial" w:hAnsi="Arial" w:cs="Arial"/>
          <w:sz w:val="24"/>
          <w:szCs w:val="26"/>
        </w:rPr>
      </w:pPr>
      <w:r w:rsidRPr="00DD0F0D">
        <w:rPr>
          <w:rFonts w:ascii="Arial" w:hAnsi="Arial" w:cs="Arial"/>
          <w:sz w:val="24"/>
          <w:szCs w:val="26"/>
        </w:rPr>
        <w:t xml:space="preserve">Sirve de apoyo el criterio jurisprudencial, emitido por la Primera Sala de la Suprema Corte de Justicia, publicado en el Semanario Judicial de la Federación en la Décima Época, Libro XIII, Octubre de 2012, Tomo 2, página 799, materia Constitucional, de rubro y texto siguiente: </w:t>
      </w:r>
    </w:p>
    <w:p w14:paraId="37543DCC" w14:textId="77777777" w:rsidR="00A96C07" w:rsidRPr="0079430A" w:rsidRDefault="00A96C07" w:rsidP="0079430A">
      <w:pPr>
        <w:spacing w:before="240" w:after="0" w:line="276" w:lineRule="auto"/>
        <w:ind w:left="567" w:right="616"/>
        <w:jc w:val="both"/>
        <w:rPr>
          <w:rFonts w:ascii="Arial" w:hAnsi="Arial" w:cs="Arial"/>
          <w:i/>
        </w:rPr>
      </w:pPr>
      <w:r w:rsidRPr="0079430A">
        <w:rPr>
          <w:rFonts w:ascii="Arial" w:hAnsi="Arial" w:cs="Arial"/>
          <w:i/>
        </w:rPr>
        <w:t>“</w:t>
      </w:r>
      <w:r w:rsidRPr="0079430A">
        <w:rPr>
          <w:rFonts w:ascii="Arial" w:hAnsi="Arial" w:cs="Arial"/>
          <w:b/>
          <w:i/>
        </w:rPr>
        <w:t>PRINCIPIO PRO PERSONA. CRITERIO DE SELECCIÓN DE LA NORMA DE DERECHO FUNDAMENTAL APLICABLE.</w:t>
      </w:r>
      <w:r w:rsidRPr="0079430A">
        <w:rPr>
          <w:rFonts w:ascii="Arial" w:hAnsi="Arial" w:cs="Arial"/>
          <w:i/>
        </w:rPr>
        <w:t xml:space="preserve"> De conformidad con el texto vigente del artículo 1o. constitucional, modificado por el decreto de reforma constitucional publicado en el Diario Oficial de la Federación el 10 de junio de 2011, en materia de derechos fundamentales, el ordenamiento jurídico mexicano tiene dos fuentes primigenias: a) los derechos fundamentales reconocidos en la Constitución Política de los Estados Unidos Mexicanos; y, b) todos aquellos derechos humanos establecidos en tratados internacionales de los que el Estado mexicano sea parte. </w:t>
      </w:r>
      <w:r w:rsidRPr="0079430A">
        <w:rPr>
          <w:rFonts w:ascii="Arial" w:hAnsi="Arial" w:cs="Arial"/>
          <w:i/>
        </w:rPr>
        <w:lastRenderedPageBreak/>
        <w:t xml:space="preserve">Consecuentemente, las normas provenientes de ambas fuentes, son normas supremas del ordenamiento jurídico mexicano. Esto implica que los valores, principios y derechos que ellas materializan deben permear en todo el orden jurídico, obligando a todas las autoridades a su aplicación y, en aquellos casos en que sea procedente, a su interpretación. Ahora bien, en el supuesto de que un mismo derecho fundamental esté reconocido en las dos fuentes supremas del ordenamiento jurídico, a saber, la Constitución y los tratados internacionales, la elección de la norma que será aplicable -en materia de derechos humanos-, atenderá a criterios que favorezcan al individuo o lo que se ha denominado principio </w:t>
      </w:r>
      <w:proofErr w:type="spellStart"/>
      <w:r w:rsidRPr="0079430A">
        <w:rPr>
          <w:rFonts w:ascii="Arial" w:hAnsi="Arial" w:cs="Arial"/>
          <w:i/>
        </w:rPr>
        <w:t>pro</w:t>
      </w:r>
      <w:proofErr w:type="spellEnd"/>
      <w:r w:rsidRPr="0079430A">
        <w:rPr>
          <w:rFonts w:ascii="Arial" w:hAnsi="Arial" w:cs="Arial"/>
          <w:i/>
        </w:rPr>
        <w:t xml:space="preserve"> persona, de conformidad con lo dispuesto en el segundo párrafo del artículo 1o. constitucional. Según dicho criterio interpretativo, en caso de que exista una diferencia entre el alcance o la protección reconocida en las normas de estas distintas fuentes, deberá prevalecer aquella que represente una mayor protección para la persona o que implique una menor restricción. En esta lógica, el catálogo de derechos fundamentales no se encuentra limitado a lo prescrito en el texto constitucional, sino que también incluye a todos aquellos derechos que figuran en los tratados internacionales ratificados por el Estado mexicano”. </w:t>
      </w:r>
    </w:p>
    <w:p w14:paraId="35D38D32" w14:textId="1189B8C1" w:rsidR="00A96C07" w:rsidRPr="00DD0F0D" w:rsidRDefault="00A96C07" w:rsidP="00A96C07">
      <w:pPr>
        <w:spacing w:before="240" w:after="0" w:line="360" w:lineRule="auto"/>
        <w:ind w:firstLine="567"/>
        <w:jc w:val="both"/>
        <w:rPr>
          <w:rFonts w:ascii="Arial" w:hAnsi="Arial" w:cs="Arial"/>
          <w:sz w:val="24"/>
          <w:szCs w:val="26"/>
        </w:rPr>
      </w:pPr>
      <w:r w:rsidRPr="00DD0F0D">
        <w:rPr>
          <w:rFonts w:ascii="Arial" w:hAnsi="Arial" w:cs="Arial"/>
          <w:sz w:val="24"/>
          <w:szCs w:val="26"/>
        </w:rPr>
        <w:t>En atención a las consideraciones plasmadas y a los criterios citados, resulta evidente, que la determinación contenida en el oficio</w:t>
      </w:r>
      <w:r w:rsidRPr="00DD0F0D">
        <w:rPr>
          <w:rFonts w:ascii="Arial" w:hAnsi="Arial" w:cs="Arial"/>
          <w:b/>
          <w:sz w:val="24"/>
          <w:szCs w:val="26"/>
        </w:rPr>
        <w:t xml:space="preserve"> </w:t>
      </w:r>
      <w:r w:rsidR="001F5011">
        <w:rPr>
          <w:rFonts w:ascii="Arial" w:hAnsi="Arial" w:cs="Arial"/>
          <w:b/>
          <w:color w:val="FF0000"/>
          <w:sz w:val="24"/>
          <w:szCs w:val="26"/>
        </w:rPr>
        <w:t>**********</w:t>
      </w:r>
      <w:r w:rsidR="006F19E5">
        <w:rPr>
          <w:rFonts w:ascii="Arial" w:hAnsi="Arial" w:cs="Arial"/>
          <w:sz w:val="24"/>
          <w:szCs w:val="26"/>
        </w:rPr>
        <w:t>de dieciséis de diciembre de dos mil veinte</w:t>
      </w:r>
      <w:r w:rsidRPr="00DD0F0D">
        <w:rPr>
          <w:rFonts w:ascii="Arial" w:hAnsi="Arial" w:cs="Arial"/>
          <w:sz w:val="24"/>
          <w:szCs w:val="26"/>
        </w:rPr>
        <w:t xml:space="preserve">, emitido por </w:t>
      </w:r>
      <w:r w:rsidRPr="00DD0F0D">
        <w:rPr>
          <w:rFonts w:ascii="Arial" w:hAnsi="Arial" w:cs="Arial"/>
          <w:b/>
          <w:sz w:val="24"/>
          <w:szCs w:val="26"/>
        </w:rPr>
        <w:t xml:space="preserve">el Director General de la Oficina de Pensiones del Gobierno del Estado de Oaxaca, </w:t>
      </w:r>
      <w:r w:rsidRPr="00DD0F0D">
        <w:rPr>
          <w:rFonts w:ascii="Arial" w:hAnsi="Arial" w:cs="Arial"/>
          <w:sz w:val="24"/>
          <w:szCs w:val="26"/>
        </w:rPr>
        <w:t xml:space="preserve">al ejecutar el acuerdo del Consejo Directivo de la Oficina indicada, dejó de considerar y hacer una interpretación adecuada del artículo 54 </w:t>
      </w:r>
      <w:r w:rsidR="0079430A">
        <w:rPr>
          <w:rFonts w:ascii="Arial" w:hAnsi="Arial" w:cs="Arial"/>
          <w:sz w:val="24"/>
          <w:szCs w:val="26"/>
        </w:rPr>
        <w:t xml:space="preserve">fracción I </w:t>
      </w:r>
      <w:r w:rsidRPr="00DD0F0D">
        <w:rPr>
          <w:rFonts w:ascii="Arial" w:hAnsi="Arial" w:cs="Arial"/>
          <w:sz w:val="24"/>
          <w:szCs w:val="26"/>
        </w:rPr>
        <w:t xml:space="preserve">de la Ley de Pensiones para los Trabajadores del Gobierno del Estado, pues al interpretarla de forma restringida, negó </w:t>
      </w:r>
      <w:r w:rsidR="006F19E5">
        <w:rPr>
          <w:rFonts w:ascii="Arial" w:hAnsi="Arial" w:cs="Arial"/>
          <w:sz w:val="24"/>
          <w:szCs w:val="26"/>
        </w:rPr>
        <w:t>a la</w:t>
      </w:r>
      <w:r w:rsidRPr="00DD0F0D">
        <w:rPr>
          <w:rFonts w:ascii="Arial" w:hAnsi="Arial" w:cs="Arial"/>
          <w:sz w:val="24"/>
          <w:szCs w:val="26"/>
        </w:rPr>
        <w:t xml:space="preserve"> actor</w:t>
      </w:r>
      <w:r w:rsidR="006F19E5">
        <w:rPr>
          <w:rFonts w:ascii="Arial" w:hAnsi="Arial" w:cs="Arial"/>
          <w:sz w:val="24"/>
          <w:szCs w:val="26"/>
        </w:rPr>
        <w:t>a</w:t>
      </w:r>
      <w:r w:rsidRPr="00DD0F0D">
        <w:rPr>
          <w:rFonts w:ascii="Arial" w:hAnsi="Arial" w:cs="Arial"/>
          <w:sz w:val="24"/>
          <w:szCs w:val="26"/>
        </w:rPr>
        <w:t xml:space="preserve"> el pago de diversas prestaciones ahí establecidas, violentando en su perjuicio derechos humanos contenidos en la Constitución Política de los Estados Unidos Mexicanos, así como en la Convención Americana sobre Derechos Humanos que en su artículo 24 señala que: “</w:t>
      </w:r>
      <w:r w:rsidRPr="00DD0F0D">
        <w:rPr>
          <w:rFonts w:ascii="Arial" w:hAnsi="Arial" w:cs="Arial"/>
          <w:i/>
          <w:szCs w:val="24"/>
        </w:rPr>
        <w:t>Todas las personas son iguales ante la ley. En consecuencia, tienen derecho, sin discriminación, a igual protección de la ley</w:t>
      </w:r>
      <w:r w:rsidRPr="00DD0F0D">
        <w:rPr>
          <w:rFonts w:ascii="Arial" w:hAnsi="Arial" w:cs="Arial"/>
          <w:sz w:val="24"/>
          <w:szCs w:val="26"/>
        </w:rPr>
        <w:t>”.</w:t>
      </w:r>
    </w:p>
    <w:p w14:paraId="0FDC7D4D" w14:textId="77777777" w:rsidR="00551F17" w:rsidRDefault="00A96C07" w:rsidP="00A96C07">
      <w:pPr>
        <w:spacing w:before="240" w:after="0" w:line="360" w:lineRule="auto"/>
        <w:ind w:firstLine="567"/>
        <w:jc w:val="both"/>
        <w:rPr>
          <w:rFonts w:ascii="Arial" w:hAnsi="Arial" w:cs="Arial"/>
          <w:noProof/>
          <w:sz w:val="24"/>
          <w:szCs w:val="26"/>
        </w:rPr>
      </w:pPr>
      <w:r w:rsidRPr="00DD0F0D">
        <w:rPr>
          <w:rFonts w:ascii="Arial" w:hAnsi="Arial" w:cs="Arial"/>
          <w:sz w:val="24"/>
          <w:szCs w:val="26"/>
        </w:rPr>
        <w:t>Por lo que, conforme</w:t>
      </w:r>
      <w:r w:rsidR="00EC25B2">
        <w:rPr>
          <w:rFonts w:ascii="Arial" w:hAnsi="Arial" w:cs="Arial"/>
          <w:sz w:val="24"/>
          <w:szCs w:val="26"/>
        </w:rPr>
        <w:t xml:space="preserve"> lo dispuesto por el artículo 13</w:t>
      </w:r>
      <w:r w:rsidRPr="00DD0F0D">
        <w:rPr>
          <w:rFonts w:ascii="Arial" w:hAnsi="Arial" w:cs="Arial"/>
          <w:sz w:val="24"/>
          <w:szCs w:val="26"/>
        </w:rPr>
        <w:t xml:space="preserve">3, de la Constitución Política de los Estados Unidos Mexicanos y considerando que la interpretación conforme al igual que el control de convencionalidad, tienen como objeto inicial y principal la integración armónica de los derechos, no la inaplicación o invalidez normativa; resulta procedente </w:t>
      </w:r>
      <w:r w:rsidRPr="00DD0F0D">
        <w:rPr>
          <w:rFonts w:ascii="Arial" w:hAnsi="Arial" w:cs="Arial"/>
          <w:b/>
          <w:sz w:val="24"/>
          <w:szCs w:val="26"/>
        </w:rPr>
        <w:t>ordenar</w:t>
      </w:r>
      <w:r w:rsidRPr="00DD0F0D">
        <w:rPr>
          <w:rFonts w:ascii="Arial" w:hAnsi="Arial" w:cs="Arial"/>
          <w:sz w:val="24"/>
          <w:szCs w:val="26"/>
        </w:rPr>
        <w:t xml:space="preserve"> a la autoridad demandada, </w:t>
      </w:r>
      <w:r w:rsidRPr="00DD0F0D">
        <w:rPr>
          <w:rFonts w:ascii="Arial" w:hAnsi="Arial" w:cs="Arial"/>
          <w:b/>
          <w:sz w:val="24"/>
          <w:szCs w:val="26"/>
        </w:rPr>
        <w:t xml:space="preserve">realice </w:t>
      </w:r>
      <w:r w:rsidRPr="00DD0F0D">
        <w:rPr>
          <w:rFonts w:ascii="Arial" w:hAnsi="Arial" w:cs="Arial"/>
          <w:sz w:val="24"/>
          <w:szCs w:val="26"/>
          <w:u w:val="single"/>
        </w:rPr>
        <w:t xml:space="preserve">una interpretación extensiva del artículo 54 </w:t>
      </w:r>
      <w:r w:rsidR="0079430A">
        <w:rPr>
          <w:rFonts w:ascii="Arial" w:hAnsi="Arial" w:cs="Arial"/>
          <w:sz w:val="24"/>
          <w:szCs w:val="26"/>
          <w:u w:val="single"/>
        </w:rPr>
        <w:t xml:space="preserve">fracción I </w:t>
      </w:r>
      <w:r w:rsidRPr="00DD0F0D">
        <w:rPr>
          <w:rFonts w:ascii="Arial" w:hAnsi="Arial" w:cs="Arial"/>
          <w:sz w:val="24"/>
          <w:szCs w:val="26"/>
          <w:u w:val="single"/>
        </w:rPr>
        <w:t xml:space="preserve">de la Ley de Pensiones para los Trabajadores del Gobierno del Estado de Oaxaca, </w:t>
      </w:r>
      <w:r w:rsidRPr="00DD0F0D">
        <w:rPr>
          <w:rFonts w:ascii="Arial" w:hAnsi="Arial" w:cs="Arial"/>
          <w:noProof/>
          <w:sz w:val="24"/>
          <w:szCs w:val="26"/>
          <w:u w:val="single"/>
        </w:rPr>
        <w:t>en beneficio de la parte actora</w:t>
      </w:r>
      <w:r w:rsidRPr="00DD0F0D">
        <w:rPr>
          <w:rFonts w:ascii="Arial" w:hAnsi="Arial" w:cs="Arial"/>
          <w:noProof/>
          <w:sz w:val="24"/>
          <w:szCs w:val="26"/>
        </w:rPr>
        <w:t>, de tal forma que se le otorgue</w:t>
      </w:r>
      <w:r w:rsidRPr="00DD0F0D">
        <w:rPr>
          <w:rFonts w:ascii="Arial" w:hAnsi="Arial" w:cs="Arial"/>
          <w:b/>
          <w:noProof/>
          <w:sz w:val="24"/>
          <w:szCs w:val="26"/>
        </w:rPr>
        <w:t xml:space="preserve"> </w:t>
      </w:r>
      <w:r w:rsidRPr="00DD0F0D">
        <w:rPr>
          <w:rFonts w:ascii="Arial" w:hAnsi="Arial" w:cs="Arial"/>
          <w:noProof/>
          <w:sz w:val="24"/>
          <w:szCs w:val="26"/>
        </w:rPr>
        <w:t>el pago de pensión por jubilación, incluyendo las mismas prestaciones otorgadas para los trabajadores de base</w:t>
      </w:r>
      <w:r w:rsidR="00551F17">
        <w:rPr>
          <w:rFonts w:ascii="Arial" w:hAnsi="Arial" w:cs="Arial"/>
          <w:noProof/>
          <w:sz w:val="24"/>
          <w:szCs w:val="26"/>
        </w:rPr>
        <w:t>.</w:t>
      </w:r>
    </w:p>
    <w:p w14:paraId="47DB7824" w14:textId="3C3D9EFB" w:rsidR="00230683" w:rsidRDefault="00551F17" w:rsidP="00F533EF">
      <w:pPr>
        <w:spacing w:before="240" w:after="0" w:line="360" w:lineRule="auto"/>
        <w:ind w:firstLine="567"/>
        <w:jc w:val="both"/>
        <w:rPr>
          <w:rFonts w:ascii="Arial" w:hAnsi="Arial" w:cs="Arial"/>
          <w:noProof/>
          <w:sz w:val="24"/>
          <w:szCs w:val="26"/>
        </w:rPr>
      </w:pPr>
      <w:r>
        <w:rPr>
          <w:rFonts w:ascii="Arial" w:hAnsi="Arial" w:cs="Arial"/>
          <w:noProof/>
          <w:sz w:val="24"/>
          <w:szCs w:val="26"/>
        </w:rPr>
        <w:t xml:space="preserve">En consecuencia, la </w:t>
      </w:r>
      <w:r>
        <w:rPr>
          <w:rFonts w:ascii="Arial" w:hAnsi="Arial" w:cs="Arial"/>
          <w:b/>
          <w:noProof/>
          <w:sz w:val="24"/>
          <w:szCs w:val="26"/>
        </w:rPr>
        <w:t xml:space="preserve">autoridad demandada </w:t>
      </w:r>
      <w:r>
        <w:rPr>
          <w:rFonts w:ascii="Arial" w:hAnsi="Arial" w:cs="Arial"/>
          <w:noProof/>
          <w:sz w:val="24"/>
          <w:szCs w:val="26"/>
        </w:rPr>
        <w:t>deberá de realizar el pago de d</w:t>
      </w:r>
      <w:r w:rsidR="005D707E">
        <w:rPr>
          <w:rFonts w:ascii="Arial" w:hAnsi="Arial" w:cs="Arial"/>
          <w:noProof/>
          <w:sz w:val="24"/>
          <w:szCs w:val="26"/>
        </w:rPr>
        <w:t xml:space="preserve">ichas prestaciones </w:t>
      </w:r>
      <w:r w:rsidR="00870482">
        <w:rPr>
          <w:rFonts w:ascii="Arial" w:hAnsi="Arial" w:cs="Arial"/>
          <w:noProof/>
          <w:sz w:val="24"/>
          <w:szCs w:val="26"/>
        </w:rPr>
        <w:t xml:space="preserve">a la actora </w:t>
      </w:r>
      <w:r w:rsidR="001F5011">
        <w:rPr>
          <w:rFonts w:ascii="Arial" w:hAnsi="Arial" w:cs="Arial"/>
          <w:b/>
          <w:color w:val="FF0000"/>
          <w:sz w:val="24"/>
          <w:szCs w:val="26"/>
        </w:rPr>
        <w:t>**********</w:t>
      </w:r>
      <w:r w:rsidR="001C071D">
        <w:rPr>
          <w:rFonts w:ascii="Arial" w:hAnsi="Arial" w:cs="Arial"/>
          <w:noProof/>
          <w:sz w:val="24"/>
          <w:szCs w:val="26"/>
        </w:rPr>
        <w:t>,</w:t>
      </w:r>
      <w:r w:rsidR="00870482">
        <w:rPr>
          <w:rFonts w:ascii="Arial" w:hAnsi="Arial" w:cs="Arial"/>
          <w:noProof/>
          <w:sz w:val="24"/>
          <w:szCs w:val="26"/>
        </w:rPr>
        <w:t xml:space="preserve"> </w:t>
      </w:r>
      <w:r w:rsidR="005D707E">
        <w:rPr>
          <w:rFonts w:ascii="Arial" w:hAnsi="Arial" w:cs="Arial"/>
          <w:noProof/>
          <w:sz w:val="24"/>
          <w:szCs w:val="26"/>
        </w:rPr>
        <w:t>a partir de la fecha en la que</w:t>
      </w:r>
      <w:r w:rsidR="001C071D">
        <w:rPr>
          <w:rFonts w:ascii="Arial" w:hAnsi="Arial" w:cs="Arial"/>
          <w:noProof/>
          <w:sz w:val="24"/>
          <w:szCs w:val="26"/>
        </w:rPr>
        <w:t xml:space="preserve"> </w:t>
      </w:r>
      <w:r>
        <w:rPr>
          <w:rFonts w:ascii="Arial" w:hAnsi="Arial" w:cs="Arial"/>
          <w:noProof/>
          <w:sz w:val="24"/>
          <w:szCs w:val="26"/>
        </w:rPr>
        <w:t xml:space="preserve">adquirió la calidad de </w:t>
      </w:r>
      <w:r w:rsidR="001C071D">
        <w:rPr>
          <w:rFonts w:ascii="Arial" w:hAnsi="Arial" w:cs="Arial"/>
          <w:b/>
          <w:noProof/>
          <w:sz w:val="24"/>
          <w:szCs w:val="26"/>
        </w:rPr>
        <w:t>jubilada</w:t>
      </w:r>
      <w:r>
        <w:rPr>
          <w:rFonts w:ascii="Arial" w:hAnsi="Arial" w:cs="Arial"/>
          <w:noProof/>
          <w:sz w:val="24"/>
          <w:szCs w:val="26"/>
        </w:rPr>
        <w:t xml:space="preserve">, </w:t>
      </w:r>
      <w:r w:rsidR="001C071D">
        <w:rPr>
          <w:rFonts w:ascii="Arial" w:hAnsi="Arial" w:cs="Arial"/>
          <w:noProof/>
          <w:sz w:val="24"/>
          <w:szCs w:val="26"/>
        </w:rPr>
        <w:t>es decir, la fecha en la que se realizó el primer pago de su pensión por jubilación.</w:t>
      </w:r>
      <w:r w:rsidR="00F533EF">
        <w:rPr>
          <w:rFonts w:ascii="Arial" w:hAnsi="Arial" w:cs="Arial"/>
          <w:noProof/>
          <w:sz w:val="24"/>
          <w:szCs w:val="26"/>
        </w:rPr>
        <w:t xml:space="preserve"> </w:t>
      </w:r>
      <w:r w:rsidR="002C0683">
        <w:rPr>
          <w:rFonts w:ascii="Arial" w:hAnsi="Arial" w:cs="Arial"/>
          <w:noProof/>
          <w:sz w:val="24"/>
          <w:szCs w:val="26"/>
        </w:rPr>
        <w:t xml:space="preserve">Sin que en dicho pago se incluya el concepto denominado “estimulo eventual”, el cual manifiesta la actora que le era pagado </w:t>
      </w:r>
      <w:r w:rsidR="002C0683">
        <w:rPr>
          <w:rFonts w:ascii="Arial" w:hAnsi="Arial" w:cs="Arial"/>
          <w:noProof/>
          <w:sz w:val="24"/>
          <w:szCs w:val="26"/>
        </w:rPr>
        <w:lastRenderedPageBreak/>
        <w:t xml:space="preserve">de manera quincenal </w:t>
      </w:r>
      <w:r w:rsidR="00230683">
        <w:rPr>
          <w:rFonts w:ascii="Arial" w:hAnsi="Arial" w:cs="Arial"/>
          <w:noProof/>
          <w:sz w:val="24"/>
          <w:szCs w:val="26"/>
        </w:rPr>
        <w:t>como Secretaria de Acuerdos del Consejo de la Judicatura del Poder Judicial del Estado, el cual ascendía a la cantidad mensual de $4,545.00 (cuatro mil quinientos cuarenta y cinco pesos 00/100 M.N.).</w:t>
      </w:r>
    </w:p>
    <w:p w14:paraId="0C4BFFB4" w14:textId="3C3DFCD5" w:rsidR="00230683" w:rsidRDefault="00230683" w:rsidP="00230683">
      <w:pPr>
        <w:spacing w:before="240" w:after="0" w:line="360" w:lineRule="auto"/>
        <w:ind w:firstLine="567"/>
        <w:jc w:val="both"/>
        <w:rPr>
          <w:rFonts w:ascii="Arial" w:hAnsi="Arial" w:cs="Arial"/>
          <w:noProof/>
          <w:sz w:val="24"/>
          <w:szCs w:val="26"/>
        </w:rPr>
      </w:pPr>
      <w:r>
        <w:rPr>
          <w:rFonts w:ascii="Arial" w:hAnsi="Arial" w:cs="Arial"/>
          <w:noProof/>
          <w:sz w:val="24"/>
          <w:szCs w:val="26"/>
        </w:rPr>
        <w:t xml:space="preserve">Dicho pago es </w:t>
      </w:r>
      <w:r>
        <w:rPr>
          <w:rFonts w:ascii="Arial" w:hAnsi="Arial" w:cs="Arial"/>
          <w:b/>
          <w:noProof/>
          <w:sz w:val="24"/>
          <w:szCs w:val="26"/>
        </w:rPr>
        <w:t>improcedente</w:t>
      </w:r>
      <w:r>
        <w:rPr>
          <w:rFonts w:ascii="Arial" w:hAnsi="Arial" w:cs="Arial"/>
          <w:noProof/>
          <w:sz w:val="24"/>
          <w:szCs w:val="26"/>
        </w:rPr>
        <w:t xml:space="preserve">, en virtud de que </w:t>
      </w:r>
      <w:r w:rsidR="00354A4F">
        <w:rPr>
          <w:rFonts w:ascii="Arial" w:hAnsi="Arial" w:cs="Arial"/>
          <w:noProof/>
          <w:sz w:val="24"/>
          <w:szCs w:val="26"/>
        </w:rPr>
        <w:t>la prestaci</w:t>
      </w:r>
      <w:r w:rsidR="00EC15A4">
        <w:rPr>
          <w:rFonts w:ascii="Arial" w:hAnsi="Arial" w:cs="Arial"/>
          <w:noProof/>
          <w:sz w:val="24"/>
          <w:szCs w:val="26"/>
        </w:rPr>
        <w:t>ón que reclama</w:t>
      </w:r>
      <w:r w:rsidR="00354A4F">
        <w:rPr>
          <w:rFonts w:ascii="Arial" w:hAnsi="Arial" w:cs="Arial"/>
          <w:noProof/>
          <w:sz w:val="24"/>
          <w:szCs w:val="26"/>
        </w:rPr>
        <w:t xml:space="preserve"> es exclusiva para un trabajador </w:t>
      </w:r>
      <w:r w:rsidR="00354A4F">
        <w:rPr>
          <w:rFonts w:ascii="Arial" w:hAnsi="Arial" w:cs="Arial"/>
          <w:b/>
          <w:noProof/>
          <w:sz w:val="24"/>
          <w:szCs w:val="26"/>
        </w:rPr>
        <w:t xml:space="preserve">en activo </w:t>
      </w:r>
      <w:r w:rsidR="00354A4F">
        <w:rPr>
          <w:rFonts w:ascii="Arial" w:hAnsi="Arial" w:cs="Arial"/>
          <w:noProof/>
          <w:sz w:val="24"/>
          <w:szCs w:val="26"/>
        </w:rPr>
        <w:t xml:space="preserve">y le era otorgado a la administrada en virtud de las particulares actividades que desempeñaba, </w:t>
      </w:r>
      <w:r w:rsidR="00DA483E">
        <w:rPr>
          <w:rFonts w:ascii="Arial" w:hAnsi="Arial" w:cs="Arial"/>
          <w:noProof/>
          <w:sz w:val="24"/>
          <w:szCs w:val="26"/>
        </w:rPr>
        <w:t>por lo que es evidente que la actora al dejar de ser una trabajadora en activo, ya no realiza las mismas funcione</w:t>
      </w:r>
      <w:r w:rsidR="00777EE8">
        <w:rPr>
          <w:rFonts w:ascii="Arial" w:hAnsi="Arial" w:cs="Arial"/>
          <w:noProof/>
          <w:sz w:val="24"/>
          <w:szCs w:val="26"/>
        </w:rPr>
        <w:t>s que desempeñaba, y en consecuencia tampoco tiene derecho a las prestaciones o bonos derivado de sus condiciones labores como trabajadora en activo; pues no se debe de perder de vista</w:t>
      </w:r>
      <w:r w:rsidR="008F054C">
        <w:rPr>
          <w:rFonts w:ascii="Arial" w:hAnsi="Arial" w:cs="Arial"/>
          <w:noProof/>
          <w:sz w:val="24"/>
          <w:szCs w:val="26"/>
        </w:rPr>
        <w:t xml:space="preserve"> que los servidores públicos tienen el derecho de percibir una remuneración proporcional al trabajo que desempeñan y a las responsabilidades que estos tengan, por lo que esas prestaciones constit</w:t>
      </w:r>
      <w:r w:rsidR="00F533EF">
        <w:rPr>
          <w:rFonts w:ascii="Arial" w:hAnsi="Arial" w:cs="Arial"/>
          <w:noProof/>
          <w:sz w:val="24"/>
          <w:szCs w:val="26"/>
        </w:rPr>
        <w:t>u</w:t>
      </w:r>
      <w:r w:rsidR="008F054C">
        <w:rPr>
          <w:rFonts w:ascii="Arial" w:hAnsi="Arial" w:cs="Arial"/>
          <w:noProof/>
          <w:sz w:val="24"/>
          <w:szCs w:val="26"/>
        </w:rPr>
        <w:t>yen un derecho para los servidores públicos en activo, y no para aquellos que hayan sido dados de baja para obtener una pensión jubilatoria.</w:t>
      </w:r>
    </w:p>
    <w:p w14:paraId="28574003" w14:textId="213725CB" w:rsidR="008F054C" w:rsidRDefault="008F054C" w:rsidP="00230683">
      <w:pPr>
        <w:spacing w:before="240" w:after="0" w:line="360" w:lineRule="auto"/>
        <w:ind w:firstLine="567"/>
        <w:jc w:val="both"/>
        <w:rPr>
          <w:rFonts w:ascii="Arial" w:hAnsi="Arial" w:cs="Arial"/>
          <w:noProof/>
          <w:sz w:val="24"/>
          <w:szCs w:val="26"/>
        </w:rPr>
      </w:pPr>
      <w:r>
        <w:rPr>
          <w:rFonts w:ascii="Arial" w:hAnsi="Arial" w:cs="Arial"/>
          <w:noProof/>
          <w:sz w:val="24"/>
          <w:szCs w:val="26"/>
        </w:rPr>
        <w:t xml:space="preserve">Así mismo, se debe de hacer énfasis en que la jubilación no sustituye de manera íntegra ni equivale al ingreso de un trabajador en activo, si no que constituye las bases minimas para integración de planes de seguridad sostenible que permitan </w:t>
      </w:r>
      <w:r w:rsidR="00FB2337">
        <w:rPr>
          <w:rFonts w:ascii="Arial" w:hAnsi="Arial" w:cs="Arial"/>
          <w:noProof/>
          <w:sz w:val="24"/>
          <w:szCs w:val="26"/>
        </w:rPr>
        <w:t>garantizar a los trabajadores un ingreso digno por haber prestado sus servicios laborales al Gobierno del Estado de Oaxaca.</w:t>
      </w:r>
    </w:p>
    <w:p w14:paraId="6C7EA2C1" w14:textId="099BAB78" w:rsidR="008F054C" w:rsidRDefault="008F054C" w:rsidP="00230683">
      <w:pPr>
        <w:spacing w:before="240" w:after="0" w:line="360" w:lineRule="auto"/>
        <w:ind w:firstLine="567"/>
        <w:jc w:val="both"/>
        <w:rPr>
          <w:rFonts w:ascii="Arial" w:hAnsi="Arial" w:cs="Arial"/>
          <w:noProof/>
          <w:sz w:val="24"/>
          <w:szCs w:val="26"/>
        </w:rPr>
      </w:pPr>
      <w:r>
        <w:rPr>
          <w:rFonts w:ascii="Arial" w:hAnsi="Arial" w:cs="Arial"/>
          <w:noProof/>
          <w:sz w:val="24"/>
          <w:szCs w:val="26"/>
        </w:rPr>
        <w:t xml:space="preserve">Por ende, es inexacto </w:t>
      </w:r>
      <w:r w:rsidR="00812727">
        <w:rPr>
          <w:rFonts w:ascii="Arial" w:hAnsi="Arial" w:cs="Arial"/>
          <w:noProof/>
          <w:sz w:val="24"/>
          <w:szCs w:val="26"/>
        </w:rPr>
        <w:t>que se considere a la pensión</w:t>
      </w:r>
      <w:r w:rsidR="00A00F86">
        <w:rPr>
          <w:rFonts w:ascii="Arial" w:hAnsi="Arial" w:cs="Arial"/>
          <w:noProof/>
          <w:sz w:val="24"/>
          <w:szCs w:val="26"/>
        </w:rPr>
        <w:t xml:space="preserve"> jubilatoria como el salario que sigue percibiendo el trabajador después de su jubilación, ya que desde el momento en que este adquiere la categoría de jubilado, termina la relación de trabajo (prestación del servicio y remuneración por el servicio prestado), y solo subsiste el derecho de percibir una pensión relativa a la actividad desplegada por el trabajador antes de su jubilación.</w:t>
      </w:r>
    </w:p>
    <w:p w14:paraId="2975D067" w14:textId="51330877" w:rsidR="0091289B" w:rsidRDefault="0091289B" w:rsidP="00A00F86">
      <w:pPr>
        <w:spacing w:before="240" w:after="0" w:line="360" w:lineRule="auto"/>
        <w:ind w:firstLine="567"/>
        <w:jc w:val="both"/>
        <w:rPr>
          <w:rFonts w:ascii="Arial" w:hAnsi="Arial" w:cs="Arial"/>
          <w:noProof/>
          <w:sz w:val="24"/>
          <w:szCs w:val="26"/>
        </w:rPr>
      </w:pPr>
      <w:r>
        <w:rPr>
          <w:rFonts w:ascii="Arial" w:hAnsi="Arial" w:cs="Arial"/>
          <w:noProof/>
          <w:sz w:val="24"/>
          <w:szCs w:val="26"/>
        </w:rPr>
        <w:t xml:space="preserve">Aunado que esta juzgadora, no puede ordenar el pago de una prestación que no se encuentre expresamente prevista en la Ley de Pensiones </w:t>
      </w:r>
      <w:r w:rsidR="00A00F86">
        <w:rPr>
          <w:rFonts w:ascii="Arial" w:hAnsi="Arial" w:cs="Arial"/>
          <w:noProof/>
          <w:sz w:val="24"/>
          <w:szCs w:val="26"/>
        </w:rPr>
        <w:t>para los Trabajadores del Estado de Oaxaca, pues estaría incumpliendo con lo señalado en el artículo 2 de la Constitución Política del Estado Libre y Soberano de Oaxaca</w:t>
      </w:r>
      <w:r w:rsidR="00A00F86">
        <w:rPr>
          <w:rStyle w:val="Refdenotaalpie"/>
          <w:rFonts w:ascii="Arial" w:hAnsi="Arial" w:cs="Arial"/>
          <w:noProof/>
          <w:sz w:val="24"/>
          <w:szCs w:val="26"/>
        </w:rPr>
        <w:footnoteReference w:id="3"/>
      </w:r>
      <w:r w:rsidR="00A00F86">
        <w:rPr>
          <w:rFonts w:ascii="Arial" w:hAnsi="Arial" w:cs="Arial"/>
          <w:noProof/>
          <w:sz w:val="24"/>
          <w:szCs w:val="26"/>
        </w:rPr>
        <w:t>.</w:t>
      </w:r>
    </w:p>
    <w:p w14:paraId="43FAD16D" w14:textId="4A325B9F" w:rsidR="00812727" w:rsidRDefault="00FB2337" w:rsidP="00230683">
      <w:pPr>
        <w:spacing w:before="240" w:after="0" w:line="360" w:lineRule="auto"/>
        <w:ind w:firstLine="567"/>
        <w:jc w:val="both"/>
        <w:rPr>
          <w:rFonts w:ascii="Arial" w:hAnsi="Arial" w:cs="Arial"/>
          <w:noProof/>
          <w:sz w:val="24"/>
          <w:szCs w:val="26"/>
        </w:rPr>
      </w:pPr>
      <w:r>
        <w:rPr>
          <w:rFonts w:ascii="Arial" w:hAnsi="Arial" w:cs="Arial"/>
          <w:noProof/>
          <w:sz w:val="24"/>
          <w:szCs w:val="26"/>
        </w:rPr>
        <w:t>Los</w:t>
      </w:r>
      <w:r w:rsidR="00812727">
        <w:rPr>
          <w:rFonts w:ascii="Arial" w:hAnsi="Arial" w:cs="Arial"/>
          <w:noProof/>
          <w:sz w:val="24"/>
          <w:szCs w:val="26"/>
        </w:rPr>
        <w:t xml:space="preserve"> anterio</w:t>
      </w:r>
      <w:r w:rsidR="0091289B">
        <w:rPr>
          <w:rFonts w:ascii="Arial" w:hAnsi="Arial" w:cs="Arial"/>
          <w:noProof/>
          <w:sz w:val="24"/>
          <w:szCs w:val="26"/>
        </w:rPr>
        <w:t>res</w:t>
      </w:r>
      <w:r w:rsidR="00812727">
        <w:rPr>
          <w:rFonts w:ascii="Arial" w:hAnsi="Arial" w:cs="Arial"/>
          <w:noProof/>
          <w:sz w:val="24"/>
          <w:szCs w:val="26"/>
        </w:rPr>
        <w:t xml:space="preserve"> razonamiento nos lleva a concluir, que un trabajador jubilado no debe de percibir los mismos emonumentos que un trabajador en activo; de ahí que se improcedente el pago a la actora del concepto denominado “estimulo eventual”; por lo que, la </w:t>
      </w:r>
      <w:r w:rsidR="00812727">
        <w:rPr>
          <w:rFonts w:ascii="Arial" w:hAnsi="Arial" w:cs="Arial"/>
          <w:b/>
          <w:noProof/>
          <w:sz w:val="24"/>
          <w:szCs w:val="26"/>
        </w:rPr>
        <w:t xml:space="preserve">autoridad demandada unicamente deberá pagar </w:t>
      </w:r>
      <w:r w:rsidR="00812727">
        <w:rPr>
          <w:rFonts w:ascii="Arial" w:hAnsi="Arial" w:cs="Arial"/>
          <w:noProof/>
          <w:sz w:val="24"/>
          <w:szCs w:val="26"/>
        </w:rPr>
        <w:t>los conceptos que señala el artículo 54, fracción I, de la Ley de Pensiones para los Trabajadores del Estado de Oaxaca.</w:t>
      </w:r>
    </w:p>
    <w:p w14:paraId="5C5E6581" w14:textId="67EC0398" w:rsidR="00FB2337" w:rsidRPr="00FB2337" w:rsidRDefault="00FB2337" w:rsidP="00FB2337">
      <w:pPr>
        <w:spacing w:before="240" w:after="0" w:line="360" w:lineRule="auto"/>
        <w:ind w:firstLine="567"/>
        <w:jc w:val="both"/>
        <w:rPr>
          <w:rFonts w:ascii="Arial" w:hAnsi="Arial" w:cs="Arial"/>
          <w:noProof/>
          <w:sz w:val="24"/>
          <w:szCs w:val="26"/>
        </w:rPr>
      </w:pPr>
      <w:r>
        <w:rPr>
          <w:rFonts w:ascii="Arial" w:hAnsi="Arial" w:cs="Arial"/>
          <w:noProof/>
          <w:sz w:val="24"/>
          <w:szCs w:val="26"/>
        </w:rPr>
        <w:lastRenderedPageBreak/>
        <w:t xml:space="preserve">Sirve de apoyo a la anterior determinación, la Jurispruedencia de la Novena Época, con número de Registro digital 166611, sustentada por la </w:t>
      </w:r>
      <w:r w:rsidRPr="00FB2337">
        <w:rPr>
          <w:rFonts w:ascii="Arial" w:hAnsi="Arial" w:cs="Arial"/>
          <w:noProof/>
          <w:sz w:val="24"/>
          <w:szCs w:val="26"/>
        </w:rPr>
        <w:t>Segunda Sala</w:t>
      </w:r>
      <w:r>
        <w:rPr>
          <w:rFonts w:ascii="Arial" w:hAnsi="Arial" w:cs="Arial"/>
          <w:noProof/>
          <w:sz w:val="24"/>
          <w:szCs w:val="26"/>
        </w:rPr>
        <w:t xml:space="preserve"> de la Suprema Corte de Justicia de la Nación, Tesis: 2a./J. 100/2009, visible en el </w:t>
      </w:r>
      <w:r w:rsidRPr="00FB2337">
        <w:rPr>
          <w:rFonts w:ascii="Arial" w:hAnsi="Arial" w:cs="Arial"/>
          <w:noProof/>
          <w:sz w:val="24"/>
          <w:szCs w:val="26"/>
        </w:rPr>
        <w:t>Semanario Judicial de la Federación y su Gaceta. Tomo XXX, Agosto de 2009, página 177</w:t>
      </w:r>
      <w:r>
        <w:rPr>
          <w:rFonts w:ascii="Arial" w:hAnsi="Arial" w:cs="Arial"/>
          <w:noProof/>
          <w:sz w:val="24"/>
          <w:szCs w:val="26"/>
        </w:rPr>
        <w:t>, con el rubro y texto siguientes:</w:t>
      </w:r>
    </w:p>
    <w:p w14:paraId="63B17070" w14:textId="553CE2A8" w:rsidR="00FB2337" w:rsidRPr="00FB2337" w:rsidRDefault="00FB2337" w:rsidP="00FB2337">
      <w:pPr>
        <w:spacing w:before="240" w:after="0" w:line="240" w:lineRule="auto"/>
        <w:ind w:left="567" w:right="310" w:firstLine="567"/>
        <w:jc w:val="both"/>
        <w:rPr>
          <w:rFonts w:ascii="Arial" w:hAnsi="Arial" w:cs="Arial"/>
          <w:i/>
          <w:noProof/>
          <w:szCs w:val="26"/>
        </w:rPr>
      </w:pPr>
      <w:r w:rsidRPr="00FB2337">
        <w:rPr>
          <w:rFonts w:ascii="Arial" w:hAnsi="Arial" w:cs="Arial"/>
          <w:i/>
          <w:noProof/>
          <w:szCs w:val="26"/>
        </w:rPr>
        <w:t>“</w:t>
      </w:r>
      <w:r w:rsidRPr="00FB2337">
        <w:rPr>
          <w:rFonts w:ascii="Arial" w:hAnsi="Arial" w:cs="Arial"/>
          <w:b/>
          <w:i/>
          <w:noProof/>
          <w:szCs w:val="26"/>
        </w:rPr>
        <w:t>PENSIÓN JUBILATORIA DE LOS TRABAJADORES AL SERVICIO DEL ESTADO. LA BASE SALARIAL PARA SU CÁLCULO SE INTEGRA ÚNICAMENTE POR LOS CONCEPTOS DE SUELDO, SOBRESUELDO Y COMPENSACIÓN ESTABLECIDOS EN EL TABULADOR REGIONAL (ALCANCES DE LA JURISPRUDENCIA 2a./J. 126/2008).</w:t>
      </w:r>
      <w:r w:rsidRPr="00FB2337">
        <w:rPr>
          <w:rFonts w:ascii="Arial" w:hAnsi="Arial" w:cs="Arial"/>
          <w:i/>
          <w:noProof/>
          <w:szCs w:val="26"/>
        </w:rPr>
        <w:t xml:space="preserve"> La Segunda Sala de la Suprema Corte de Justicia de la Nación, en la jurisprudencia 2a./J. 126/2008, de rubro: "PENSIÓN JUBILATORIA DE LOS TRABAJADORES AL SERVICIO DEL ESTADO. LA BASE SALARIAL PARA SU CÁLCULO SE INTEGRA POR LOS CONCEPTOS DE SUELDO, SOBRESUELDO Y COMPENSACIÓN (LEGISLACIÓN VIGENTE HASTA EL 31 DE MARZO DE 2007).", determinó que la base salarial con la que debe calcularse la pensión jubilatoria es el sueldo total pagado al trabajador a cambio de sus servicios, asignado en el tabulador de salarios respectivo; criterio reiterado en la jurisprudencia 2a./J. 12/2009, de rubro: "AYUDA DE DESPENSA. NO DEBE CONSIDERARSE PARA EFECTOS DE LA CUANTIFICACIÓN DE LA PENSIÓN JUBILATORIA DE LOS TRABAJADORES AL SERVICIO DEL ESTADO.", señalando que la percepción de ayuda de despensa, aun cuando se otorgue regular y permanentemente, no debe considerarse para efectos de la cuantificación de la pensión jubilatoria correspondiente, por no ser parte del sueldo presupuestal, el sobresueldo o la compensación por servicios, sino que constituye una prestación convencional, cuyo fin es proporcionar al trabajador cierta cantidad en dinero para cubrir los gastos de despensa y, por ende, es una percepción que no forma parte del sueldo básico. En ese sentido, si el criterio de la Segunda Sala, contenido en los precedentes referidos, se dirige a sostener que el legislador pretendió integrar los conceptos de sueldo, sobresueldo y compensación para determinar la base salarial sobre la cual se cuantificarán las cuotas y aportaciones al Instituto de Seguridad y Servicios Sociales de los Trabajadores del Estado, así como los beneficios económicos a que tienen derecho las personas sujetas al régimen del referido Instituto, es indudable que la base salarial para calcular el monto de la pensión por jubilación se integra únicamente por los conceptos de sueldo, sobresueldo y compensación, ya establecidos en el tabulador regional, de manera que todos aquellos conceptos no incluidos expresamente en el mismo no pueden considerarse para determinar el salario base.”</w:t>
      </w:r>
    </w:p>
    <w:p w14:paraId="0B785A6B" w14:textId="77777777" w:rsidR="00A96C07" w:rsidRPr="00DD0F0D" w:rsidRDefault="00A96C07" w:rsidP="00A96C07">
      <w:pPr>
        <w:spacing w:before="240" w:line="360" w:lineRule="auto"/>
        <w:ind w:firstLine="567"/>
        <w:jc w:val="both"/>
        <w:rPr>
          <w:rFonts w:ascii="Arial" w:hAnsi="Arial" w:cs="Arial"/>
          <w:sz w:val="24"/>
          <w:szCs w:val="26"/>
        </w:rPr>
      </w:pPr>
      <w:r w:rsidRPr="00DD0F0D">
        <w:rPr>
          <w:rFonts w:ascii="Arial" w:hAnsi="Arial" w:cs="Arial"/>
          <w:b/>
          <w:sz w:val="24"/>
          <w:szCs w:val="26"/>
        </w:rPr>
        <w:t>Por otra parte</w:t>
      </w:r>
      <w:r w:rsidRPr="00DD0F0D">
        <w:rPr>
          <w:rFonts w:ascii="Arial" w:hAnsi="Arial" w:cs="Arial"/>
          <w:sz w:val="24"/>
          <w:szCs w:val="26"/>
        </w:rPr>
        <w:t xml:space="preserve">, también alegó la </w:t>
      </w:r>
      <w:r w:rsidR="0079430A">
        <w:rPr>
          <w:rFonts w:ascii="Arial" w:hAnsi="Arial" w:cs="Arial"/>
          <w:sz w:val="24"/>
          <w:szCs w:val="26"/>
        </w:rPr>
        <w:t xml:space="preserve">parte </w:t>
      </w:r>
      <w:r w:rsidRPr="00DD0F0D">
        <w:rPr>
          <w:rFonts w:ascii="Arial" w:hAnsi="Arial" w:cs="Arial"/>
          <w:sz w:val="24"/>
          <w:szCs w:val="26"/>
        </w:rPr>
        <w:t>actora que la resolución impugnada, contraviene lo establecido por el artículo 1 y 14 de la Constitución Política de los Estados Unidos Mexicanos, al pretender la demanda aplicar en su perjuicio, lo dispuesto por el artículo 6 fracción III de la Ley de Pensiones para los Trabajadores del Gobierno del Estado de Oaxaca, en el que se establece que debe cubrir una cuota del 9% a favor del fondo de pensiones, la cual es violatoria.</w:t>
      </w:r>
      <w:r w:rsidR="007A444D" w:rsidRPr="00DD0F0D">
        <w:rPr>
          <w:rFonts w:ascii="Arial" w:hAnsi="Arial" w:cs="Arial"/>
          <w:sz w:val="24"/>
          <w:szCs w:val="26"/>
        </w:rPr>
        <w:t xml:space="preserve"> </w:t>
      </w:r>
    </w:p>
    <w:p w14:paraId="2331734B" w14:textId="24F48DC9" w:rsidR="00A96C07" w:rsidRPr="00DD0F0D" w:rsidRDefault="00A96C07" w:rsidP="00A96C07">
      <w:pPr>
        <w:spacing w:before="240" w:line="360" w:lineRule="auto"/>
        <w:ind w:firstLine="567"/>
        <w:jc w:val="both"/>
        <w:rPr>
          <w:rFonts w:ascii="Arial" w:hAnsi="Arial" w:cs="Arial"/>
          <w:sz w:val="24"/>
          <w:szCs w:val="26"/>
        </w:rPr>
      </w:pPr>
      <w:r w:rsidRPr="00DD0F0D">
        <w:rPr>
          <w:rFonts w:ascii="Arial" w:hAnsi="Arial" w:cs="Arial"/>
          <w:sz w:val="24"/>
          <w:szCs w:val="26"/>
        </w:rPr>
        <w:t xml:space="preserve">Al respecto, del oficio </w:t>
      </w:r>
      <w:r w:rsidR="001F5011">
        <w:rPr>
          <w:rFonts w:ascii="Arial" w:hAnsi="Arial" w:cs="Arial"/>
          <w:b/>
          <w:color w:val="FF0000"/>
          <w:sz w:val="24"/>
          <w:szCs w:val="26"/>
        </w:rPr>
        <w:t>**********</w:t>
      </w:r>
      <w:r w:rsidRPr="00DD0F0D">
        <w:rPr>
          <w:rFonts w:ascii="Arial" w:hAnsi="Arial" w:cs="Arial"/>
          <w:sz w:val="24"/>
          <w:szCs w:val="26"/>
        </w:rPr>
        <w:t xml:space="preserve">, se aprecia que la demandada determinó el descuento del monto de 9% de su pensión otorgada, fundándose en lo dispuesto por los artículos 6 fracción III, 18 párrafo Segundo y Octavo Transitorio de la Ley de Pensiones para los Trabajadores del Gobierno del Estado de Oaxaca; sin embargo, dichas disposiciones fueron declarados </w:t>
      </w:r>
      <w:proofErr w:type="spellStart"/>
      <w:r w:rsidRPr="00DD0F0D">
        <w:rPr>
          <w:rFonts w:ascii="Arial" w:hAnsi="Arial" w:cs="Arial"/>
          <w:sz w:val="24"/>
          <w:szCs w:val="26"/>
        </w:rPr>
        <w:t>inconvencionales</w:t>
      </w:r>
      <w:proofErr w:type="spellEnd"/>
      <w:r w:rsidRPr="00DD0F0D">
        <w:rPr>
          <w:rFonts w:ascii="Arial" w:hAnsi="Arial" w:cs="Arial"/>
          <w:sz w:val="24"/>
          <w:szCs w:val="26"/>
        </w:rPr>
        <w:t xml:space="preserve"> e inconstitucionales.</w:t>
      </w:r>
    </w:p>
    <w:p w14:paraId="3B20D578" w14:textId="77777777" w:rsidR="00A96C07" w:rsidRPr="00DD0F0D" w:rsidRDefault="00A96C07" w:rsidP="00A96C07">
      <w:pPr>
        <w:spacing w:before="240" w:line="360" w:lineRule="auto"/>
        <w:ind w:firstLine="567"/>
        <w:jc w:val="both"/>
        <w:rPr>
          <w:rFonts w:ascii="Arial" w:hAnsi="Arial" w:cs="Arial"/>
          <w:sz w:val="24"/>
          <w:szCs w:val="26"/>
        </w:rPr>
      </w:pPr>
      <w:r w:rsidRPr="00DD0F0D">
        <w:rPr>
          <w:rFonts w:ascii="Arial" w:hAnsi="Arial" w:cs="Arial"/>
          <w:sz w:val="24"/>
          <w:szCs w:val="26"/>
        </w:rPr>
        <w:lastRenderedPageBreak/>
        <w:t>Sirve de sustento el criterio Jurisprudencia</w:t>
      </w:r>
      <w:r w:rsidR="0079430A">
        <w:rPr>
          <w:rFonts w:ascii="Arial" w:hAnsi="Arial" w:cs="Arial"/>
          <w:sz w:val="24"/>
          <w:szCs w:val="26"/>
        </w:rPr>
        <w:t>l</w:t>
      </w:r>
      <w:r w:rsidRPr="00DD0F0D">
        <w:rPr>
          <w:rFonts w:ascii="Arial" w:hAnsi="Arial" w:cs="Arial"/>
          <w:sz w:val="24"/>
          <w:szCs w:val="26"/>
        </w:rPr>
        <w:t>, emitido por el Tribunal Colegiado en materias de Trabajo y Administrativas del Décimo Tercer Circuito, publicado en el Semanario Judicial de la Federación, en la Décima Época, Libro 11, Octubre de 2014, Tomo III, página 2512, de rubro y texto siguiente:</w:t>
      </w:r>
      <w:r w:rsidR="0079430A">
        <w:rPr>
          <w:rFonts w:ascii="Arial" w:hAnsi="Arial" w:cs="Arial"/>
          <w:sz w:val="24"/>
          <w:szCs w:val="26"/>
        </w:rPr>
        <w:t xml:space="preserve"> </w:t>
      </w:r>
    </w:p>
    <w:p w14:paraId="75AA3289" w14:textId="77777777" w:rsidR="00A96C07" w:rsidRPr="0079430A" w:rsidRDefault="00A96C07" w:rsidP="0079430A">
      <w:pPr>
        <w:pStyle w:val="Textonotapie"/>
        <w:spacing w:line="276" w:lineRule="auto"/>
        <w:ind w:left="567" w:right="618"/>
        <w:jc w:val="both"/>
        <w:rPr>
          <w:rFonts w:ascii="Arial" w:hAnsi="Arial" w:cs="Arial"/>
          <w:sz w:val="22"/>
          <w:szCs w:val="22"/>
        </w:rPr>
      </w:pPr>
      <w:r w:rsidRPr="0079430A">
        <w:rPr>
          <w:rFonts w:ascii="Arial" w:hAnsi="Arial" w:cs="Arial"/>
          <w:bCs/>
          <w:sz w:val="22"/>
          <w:szCs w:val="22"/>
          <w:shd w:val="clear" w:color="auto" w:fill="FFFFFF"/>
        </w:rPr>
        <w:t>“</w:t>
      </w:r>
      <w:r w:rsidRPr="0079430A">
        <w:rPr>
          <w:rFonts w:ascii="Arial" w:hAnsi="Arial" w:cs="Arial"/>
          <w:b/>
          <w:bCs/>
          <w:i/>
          <w:sz w:val="22"/>
          <w:szCs w:val="22"/>
          <w:shd w:val="clear" w:color="auto" w:fill="FFFFFF"/>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 L</w:t>
      </w:r>
      <w:r w:rsidRPr="0079430A">
        <w:rPr>
          <w:rFonts w:ascii="Arial" w:hAnsi="Arial" w:cs="Arial"/>
          <w:i/>
          <w:sz w:val="22"/>
          <w:szCs w:val="22"/>
          <w:shd w:val="clear" w:color="auto" w:fill="FFFFFF"/>
        </w:rPr>
        <w:t xml:space="preserve">os Trabajadores del Gobierno del Estado de Oaxaca, publicada mediante Decreto Número 885 en el Periódico Oficial de dicha entidad federativa el 28 de enero de 2012, conforme a los cuales, quienes adquieran el carácter de jubilados deben aportar el 9% de su pensión para incrementar el fondo de pensiones, desatienden los artículos 26, punto 3 y 67, inciso b), del Convenio Número 102 de la Organización Internacional del Trabajo, relativo a la Norma Mínima de la Seguridad Social, los cuales autorizan dos casos de afectación: a) en el supuesto de prestaciones de vejez, se suspende cuando se ejerzan actividades remuneradas o se reduce cuando las ganancias del beneficiario excedan de un valor prescrito; y, b) respecto de pagos periódicos, se reduce en la medida en que los demás Los artículos 6, fracción III, 18, párrafo segundo y octavo transitorio de la Ley de Pensiones para recursos de la familia del beneficiario excedan de sumas apreciables fijadas por las autoridades competentes, de conformidad con reglas prescritas. Lo anterior, porque si bien es cierto que la norma internacional, en su dimensión caracterizada como derecho humano a la seguridad social, autoriza la fijación de dichos topes, también lo es que la cuota regulada por el legislador local no encuadra en las hipótesis permitidas señaladas, ya que se traduce en un descuento indebido del monto de la pensión jubilatoria, encaminado a constituir el fondo monetario con el que se cubrirá ésta, por lo cual los preceptos indicados son </w:t>
      </w:r>
      <w:proofErr w:type="spellStart"/>
      <w:r w:rsidRPr="0079430A">
        <w:rPr>
          <w:rFonts w:ascii="Arial" w:hAnsi="Arial" w:cs="Arial"/>
          <w:i/>
          <w:sz w:val="22"/>
          <w:szCs w:val="22"/>
          <w:shd w:val="clear" w:color="auto" w:fill="FFFFFF"/>
        </w:rPr>
        <w:t>inconvencionales</w:t>
      </w:r>
      <w:proofErr w:type="spellEnd"/>
      <w:r w:rsidRPr="0079430A">
        <w:rPr>
          <w:rFonts w:ascii="Arial" w:hAnsi="Arial" w:cs="Arial"/>
          <w:i/>
          <w:sz w:val="22"/>
          <w:szCs w:val="22"/>
          <w:shd w:val="clear" w:color="auto" w:fill="FFFFFF"/>
        </w:rPr>
        <w:t>. Asimismo, violan el derecho humano a la igualdad, al dejar de tomar en cuenta que el jubilado ya aportó cuotas durante su vida laboral para gozar del beneficio respectivo y, por ende, se le da el trato de trabajador en activo.</w:t>
      </w:r>
      <w:r w:rsidR="00DA6E7F" w:rsidRPr="0079430A">
        <w:rPr>
          <w:rFonts w:ascii="Arial" w:hAnsi="Arial" w:cs="Arial"/>
          <w:i/>
          <w:sz w:val="22"/>
          <w:szCs w:val="22"/>
          <w:shd w:val="clear" w:color="auto" w:fill="FFFFFF"/>
        </w:rPr>
        <w:t>”</w:t>
      </w:r>
    </w:p>
    <w:p w14:paraId="1D6198B9" w14:textId="77777777" w:rsidR="0079430A" w:rsidRDefault="00A96C07" w:rsidP="00A96C07">
      <w:pPr>
        <w:spacing w:before="240" w:line="360" w:lineRule="auto"/>
        <w:ind w:firstLine="567"/>
        <w:jc w:val="both"/>
        <w:rPr>
          <w:rFonts w:ascii="Arial" w:hAnsi="Arial" w:cs="Arial"/>
          <w:sz w:val="24"/>
          <w:szCs w:val="26"/>
        </w:rPr>
      </w:pPr>
      <w:r w:rsidRPr="00DD0F0D">
        <w:rPr>
          <w:rFonts w:ascii="Arial" w:hAnsi="Arial" w:cs="Arial"/>
          <w:sz w:val="24"/>
          <w:szCs w:val="26"/>
        </w:rPr>
        <w:t>De acuerdo a lo anteriormente puntualizado, conforme lo estatuido por el artículo 17 fracción V</w:t>
      </w:r>
      <w:r w:rsidRPr="00DD0F0D">
        <w:rPr>
          <w:rStyle w:val="Refdenotaalpie"/>
          <w:rFonts w:ascii="Arial" w:hAnsi="Arial" w:cs="Arial"/>
          <w:sz w:val="24"/>
          <w:szCs w:val="26"/>
        </w:rPr>
        <w:footnoteReference w:id="4"/>
      </w:r>
      <w:r w:rsidRPr="00DD0F0D">
        <w:rPr>
          <w:rFonts w:ascii="Arial" w:hAnsi="Arial" w:cs="Arial"/>
          <w:sz w:val="24"/>
          <w:szCs w:val="26"/>
        </w:rPr>
        <w:t xml:space="preserve"> de la Ley de Procedimiento y Justicia Administrativa para el Estado de Oaxaca, que establece como uno de los requisitos de validez del acto administrativo, que debe estar fundado y motivado; situación que en el caso no acontece, por lo anteriormente indicado</w:t>
      </w:r>
      <w:r w:rsidR="0079430A">
        <w:rPr>
          <w:rFonts w:ascii="Arial" w:hAnsi="Arial" w:cs="Arial"/>
          <w:sz w:val="24"/>
          <w:szCs w:val="26"/>
        </w:rPr>
        <w:t>.</w:t>
      </w:r>
    </w:p>
    <w:p w14:paraId="442CBADD" w14:textId="77777777" w:rsidR="00A96C07" w:rsidRPr="00DD0F0D" w:rsidRDefault="00A96C07" w:rsidP="00A96C07">
      <w:pPr>
        <w:spacing w:before="240" w:line="360" w:lineRule="auto"/>
        <w:ind w:firstLine="567"/>
        <w:jc w:val="both"/>
        <w:rPr>
          <w:rFonts w:ascii="Arial" w:eastAsia="Times New Roman" w:hAnsi="Arial" w:cs="Arial"/>
          <w:noProof/>
          <w:sz w:val="24"/>
          <w:szCs w:val="26"/>
          <w:lang w:eastAsia="es-MX"/>
        </w:rPr>
      </w:pPr>
      <w:r w:rsidRPr="00DD0F0D">
        <w:rPr>
          <w:rFonts w:ascii="Arial" w:eastAsia="Times New Roman" w:hAnsi="Arial" w:cs="Arial"/>
          <w:sz w:val="24"/>
          <w:szCs w:val="26"/>
          <w:lang w:eastAsia="es-MX"/>
        </w:rPr>
        <w:t>Sirve de apoyo la Jurisprudencia, emitida por el Pleno de la Suprema Corte de Justicia de la Nación, publicada en el Semanario Judicial de la Federación y su Gaceta, Octava Época, número 64, abril de 1993, página 43, de rubro y texto siguientes:</w:t>
      </w:r>
    </w:p>
    <w:p w14:paraId="030978F8" w14:textId="77777777" w:rsidR="00A96C07" w:rsidRPr="00DD0F0D" w:rsidRDefault="00A96C07" w:rsidP="0079430A">
      <w:pPr>
        <w:spacing w:after="0" w:line="276" w:lineRule="auto"/>
        <w:ind w:left="709" w:right="452"/>
        <w:jc w:val="both"/>
        <w:rPr>
          <w:rFonts w:ascii="Arial" w:eastAsia="Times New Roman" w:hAnsi="Arial" w:cs="Arial"/>
          <w:i/>
          <w:noProof/>
          <w:sz w:val="24"/>
          <w:szCs w:val="26"/>
          <w:lang w:eastAsia="es-MX"/>
        </w:rPr>
      </w:pPr>
      <w:r w:rsidRPr="00DD0F0D">
        <w:rPr>
          <w:rFonts w:ascii="Arial" w:eastAsia="Times New Roman" w:hAnsi="Arial" w:cs="Arial"/>
          <w:i/>
          <w:noProof/>
          <w:sz w:val="24"/>
          <w:szCs w:val="26"/>
          <w:lang w:eastAsia="es-MX"/>
        </w:rPr>
        <w:lastRenderedPageBreak/>
        <w:t>“</w:t>
      </w:r>
      <w:r w:rsidRPr="00DD0F0D">
        <w:rPr>
          <w:rFonts w:ascii="Arial" w:eastAsia="Times New Roman" w:hAnsi="Arial" w:cs="Arial"/>
          <w:b/>
          <w:i/>
          <w:noProof/>
          <w:szCs w:val="24"/>
          <w:lang w:eastAsia="es-MX"/>
        </w:rPr>
        <w:t xml:space="preserve">FUNDAMENTACION Y MOTIVACION DE LOS ACTOS ADMINISTRATIVOS. </w:t>
      </w:r>
      <w:r w:rsidRPr="00DD0F0D">
        <w:rPr>
          <w:rFonts w:ascii="Arial" w:eastAsia="Times New Roman" w:hAnsi="Arial" w:cs="Arial"/>
          <w:i/>
          <w:noProof/>
          <w:szCs w:val="24"/>
          <w:lang w:eastAsia="es-MX"/>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r w:rsidRPr="00DD0F0D">
        <w:rPr>
          <w:rFonts w:ascii="Arial" w:eastAsia="Times New Roman" w:hAnsi="Arial" w:cs="Arial"/>
          <w:i/>
          <w:noProof/>
          <w:sz w:val="24"/>
          <w:szCs w:val="26"/>
          <w:lang w:eastAsia="es-MX"/>
        </w:rPr>
        <w:t>”.</w:t>
      </w:r>
    </w:p>
    <w:p w14:paraId="1D727CEA" w14:textId="1C28E871" w:rsidR="00A96C07" w:rsidRDefault="00A96C07" w:rsidP="00313D02">
      <w:pPr>
        <w:spacing w:before="240" w:after="0" w:line="360" w:lineRule="auto"/>
        <w:ind w:firstLine="567"/>
        <w:jc w:val="both"/>
        <w:rPr>
          <w:rFonts w:ascii="Arial" w:hAnsi="Arial" w:cs="Arial"/>
          <w:sz w:val="24"/>
          <w:szCs w:val="26"/>
        </w:rPr>
      </w:pPr>
      <w:r w:rsidRPr="00DD0F0D">
        <w:rPr>
          <w:rFonts w:ascii="Arial" w:hAnsi="Arial" w:cs="Arial"/>
          <w:noProof/>
          <w:sz w:val="24"/>
          <w:szCs w:val="26"/>
        </w:rPr>
        <w:t xml:space="preserve">Por todo lo anteriormente relatado, es procedente declarar la </w:t>
      </w:r>
      <w:r w:rsidRPr="00DD0F0D">
        <w:rPr>
          <w:rFonts w:ascii="Arial" w:hAnsi="Arial" w:cs="Arial"/>
          <w:b/>
          <w:noProof/>
          <w:sz w:val="24"/>
          <w:szCs w:val="26"/>
        </w:rPr>
        <w:t xml:space="preserve">NULIDAD </w:t>
      </w:r>
      <w:r w:rsidRPr="00DD0F0D">
        <w:rPr>
          <w:rFonts w:ascii="Arial" w:hAnsi="Arial" w:cs="Arial"/>
          <w:noProof/>
          <w:sz w:val="24"/>
          <w:szCs w:val="26"/>
        </w:rPr>
        <w:t xml:space="preserve">del </w:t>
      </w:r>
      <w:r w:rsidR="001C071D">
        <w:rPr>
          <w:rFonts w:ascii="Arial" w:hAnsi="Arial" w:cs="Arial"/>
          <w:noProof/>
          <w:sz w:val="24"/>
          <w:szCs w:val="26"/>
        </w:rPr>
        <w:t>contenido d</w:t>
      </w:r>
      <w:r w:rsidRPr="00DD0F0D">
        <w:rPr>
          <w:rFonts w:ascii="Arial" w:hAnsi="Arial" w:cs="Arial"/>
          <w:noProof/>
          <w:sz w:val="24"/>
          <w:szCs w:val="26"/>
        </w:rPr>
        <w:t>el oficio</w:t>
      </w:r>
      <w:r w:rsidR="00AE05A5">
        <w:rPr>
          <w:rFonts w:ascii="Arial" w:hAnsi="Arial" w:cs="Arial"/>
          <w:noProof/>
          <w:sz w:val="24"/>
          <w:szCs w:val="26"/>
        </w:rPr>
        <w:t xml:space="preserve"> </w:t>
      </w:r>
      <w:r w:rsidR="001F5011">
        <w:rPr>
          <w:rFonts w:ascii="Arial" w:hAnsi="Arial" w:cs="Arial"/>
          <w:b/>
          <w:color w:val="FF0000"/>
          <w:sz w:val="24"/>
          <w:szCs w:val="26"/>
        </w:rPr>
        <w:t>**********</w:t>
      </w:r>
      <w:r w:rsidR="006F19E5">
        <w:rPr>
          <w:rFonts w:ascii="Arial" w:hAnsi="Arial" w:cs="Arial"/>
          <w:sz w:val="24"/>
          <w:szCs w:val="26"/>
        </w:rPr>
        <w:t>de dieciséis de diciembre de dos mil veinte</w:t>
      </w:r>
      <w:r w:rsidRPr="00DD0F0D">
        <w:rPr>
          <w:rFonts w:ascii="Arial" w:hAnsi="Arial" w:cs="Arial"/>
          <w:sz w:val="24"/>
          <w:szCs w:val="26"/>
        </w:rPr>
        <w:t>, signado por el</w:t>
      </w:r>
      <w:r w:rsidRPr="00DD0F0D">
        <w:rPr>
          <w:rFonts w:ascii="Arial" w:hAnsi="Arial" w:cs="Arial"/>
          <w:b/>
          <w:sz w:val="24"/>
          <w:szCs w:val="26"/>
        </w:rPr>
        <w:t xml:space="preserve"> </w:t>
      </w:r>
      <w:r w:rsidRPr="00DD0F0D">
        <w:rPr>
          <w:rFonts w:ascii="Arial" w:hAnsi="Arial" w:cs="Arial"/>
          <w:sz w:val="24"/>
          <w:szCs w:val="26"/>
        </w:rPr>
        <w:t>Director General de la Oficina de Pensiones del Gobierno del Estado de Oaxaca,</w:t>
      </w:r>
      <w:r w:rsidRPr="00DD0F0D">
        <w:rPr>
          <w:rFonts w:ascii="Arial" w:hAnsi="Arial" w:cs="Arial"/>
          <w:b/>
          <w:sz w:val="24"/>
          <w:szCs w:val="26"/>
        </w:rPr>
        <w:t xml:space="preserve"> PARA EL EFECTO </w:t>
      </w:r>
      <w:r w:rsidRPr="00DD0F0D">
        <w:rPr>
          <w:rFonts w:ascii="Arial" w:hAnsi="Arial" w:cs="Arial"/>
          <w:sz w:val="24"/>
          <w:szCs w:val="26"/>
        </w:rPr>
        <w:t xml:space="preserve">de que el Consejo Directivo de la Oficina de Pensiones del Estado de Oaxaca, </w:t>
      </w:r>
      <w:r w:rsidRPr="00DD0F0D">
        <w:rPr>
          <w:rFonts w:ascii="Arial" w:hAnsi="Arial" w:cs="Arial"/>
          <w:b/>
          <w:sz w:val="24"/>
          <w:szCs w:val="26"/>
        </w:rPr>
        <w:t>EMITA</w:t>
      </w:r>
      <w:r w:rsidRPr="00DD0F0D">
        <w:rPr>
          <w:rFonts w:ascii="Arial" w:hAnsi="Arial" w:cs="Arial"/>
          <w:sz w:val="24"/>
          <w:szCs w:val="26"/>
        </w:rPr>
        <w:t xml:space="preserve"> otro en su lugar, </w:t>
      </w:r>
      <w:r w:rsidR="00551F17">
        <w:rPr>
          <w:rFonts w:ascii="Arial" w:hAnsi="Arial" w:cs="Arial"/>
          <w:sz w:val="24"/>
          <w:szCs w:val="26"/>
        </w:rPr>
        <w:t xml:space="preserve">en donde: </w:t>
      </w:r>
      <w:r w:rsidR="00551F17">
        <w:rPr>
          <w:rFonts w:ascii="Arial" w:hAnsi="Arial" w:cs="Arial"/>
          <w:b/>
          <w:sz w:val="24"/>
          <w:szCs w:val="26"/>
        </w:rPr>
        <w:t xml:space="preserve">a) </w:t>
      </w:r>
      <w:r w:rsidR="00551F17">
        <w:rPr>
          <w:rFonts w:ascii="Arial" w:hAnsi="Arial" w:cs="Arial"/>
          <w:sz w:val="24"/>
          <w:szCs w:val="26"/>
        </w:rPr>
        <w:t>realice la</w:t>
      </w:r>
      <w:r w:rsidRPr="00DD0F0D">
        <w:rPr>
          <w:rFonts w:ascii="Arial" w:hAnsi="Arial" w:cs="Arial"/>
          <w:sz w:val="24"/>
          <w:szCs w:val="26"/>
        </w:rPr>
        <w:t xml:space="preserve"> interpretación extensiva al artículo 54 </w:t>
      </w:r>
      <w:r w:rsidR="00551F17">
        <w:rPr>
          <w:rFonts w:ascii="Arial" w:hAnsi="Arial" w:cs="Arial"/>
          <w:sz w:val="24"/>
          <w:szCs w:val="26"/>
        </w:rPr>
        <w:t xml:space="preserve">fracción I </w:t>
      </w:r>
      <w:r w:rsidRPr="00DD0F0D">
        <w:rPr>
          <w:rFonts w:ascii="Arial" w:hAnsi="Arial" w:cs="Arial"/>
          <w:sz w:val="24"/>
          <w:szCs w:val="26"/>
        </w:rPr>
        <w:t>de la Ley de Pensiones para los Trabajadores del Estado de Oaxaca, aplicando el principio pro-persona para el may</w:t>
      </w:r>
      <w:r w:rsidR="00551F17">
        <w:rPr>
          <w:rFonts w:ascii="Arial" w:hAnsi="Arial" w:cs="Arial"/>
          <w:sz w:val="24"/>
          <w:szCs w:val="26"/>
        </w:rPr>
        <w:t xml:space="preserve">or beneficio a la parte actora; </w:t>
      </w:r>
      <w:r w:rsidR="00551F17">
        <w:rPr>
          <w:rFonts w:ascii="Arial" w:hAnsi="Arial" w:cs="Arial"/>
          <w:b/>
          <w:sz w:val="24"/>
          <w:szCs w:val="26"/>
        </w:rPr>
        <w:t xml:space="preserve">b) </w:t>
      </w:r>
      <w:r w:rsidRPr="00DD0F0D">
        <w:rPr>
          <w:rFonts w:ascii="Arial" w:hAnsi="Arial" w:cs="Arial"/>
          <w:sz w:val="24"/>
          <w:szCs w:val="26"/>
        </w:rPr>
        <w:t>otorgue una pensión</w:t>
      </w:r>
      <w:r w:rsidR="00804AB7">
        <w:rPr>
          <w:rFonts w:ascii="Arial" w:hAnsi="Arial" w:cs="Arial"/>
          <w:sz w:val="24"/>
          <w:szCs w:val="26"/>
        </w:rPr>
        <w:t xml:space="preserve"> a</w:t>
      </w:r>
      <w:r w:rsidR="00DC7B33">
        <w:rPr>
          <w:rFonts w:ascii="Arial" w:hAnsi="Arial" w:cs="Arial"/>
          <w:sz w:val="24"/>
          <w:szCs w:val="26"/>
        </w:rPr>
        <w:t xml:space="preserve"> </w:t>
      </w:r>
      <w:r w:rsidR="00804AB7">
        <w:rPr>
          <w:rFonts w:ascii="Arial" w:hAnsi="Arial" w:cs="Arial"/>
          <w:sz w:val="24"/>
          <w:szCs w:val="26"/>
        </w:rPr>
        <w:t>l</w:t>
      </w:r>
      <w:r w:rsidR="00DC7B33">
        <w:rPr>
          <w:rFonts w:ascii="Arial" w:hAnsi="Arial" w:cs="Arial"/>
          <w:sz w:val="24"/>
          <w:szCs w:val="26"/>
        </w:rPr>
        <w:t>a</w:t>
      </w:r>
      <w:r w:rsidR="00804AB7">
        <w:rPr>
          <w:rFonts w:ascii="Arial" w:hAnsi="Arial" w:cs="Arial"/>
          <w:sz w:val="24"/>
          <w:szCs w:val="26"/>
        </w:rPr>
        <w:t xml:space="preserve"> actor</w:t>
      </w:r>
      <w:r w:rsidR="00DC7B33">
        <w:rPr>
          <w:rFonts w:ascii="Arial" w:hAnsi="Arial" w:cs="Arial"/>
          <w:sz w:val="24"/>
          <w:szCs w:val="26"/>
        </w:rPr>
        <w:t>a</w:t>
      </w:r>
      <w:r w:rsidR="00731B46">
        <w:rPr>
          <w:rFonts w:ascii="Arial" w:hAnsi="Arial" w:cs="Arial"/>
          <w:sz w:val="24"/>
          <w:szCs w:val="26"/>
        </w:rPr>
        <w:t xml:space="preserve"> </w:t>
      </w:r>
      <w:r w:rsidR="001F5011">
        <w:rPr>
          <w:rFonts w:ascii="Arial" w:hAnsi="Arial" w:cs="Arial"/>
          <w:b/>
          <w:color w:val="FF0000"/>
          <w:sz w:val="24"/>
          <w:szCs w:val="26"/>
        </w:rPr>
        <w:t>**********</w:t>
      </w:r>
      <w:r w:rsidRPr="00DD0F0D">
        <w:rPr>
          <w:rFonts w:ascii="Arial" w:hAnsi="Arial" w:cs="Arial"/>
          <w:sz w:val="24"/>
          <w:szCs w:val="26"/>
        </w:rPr>
        <w:t>, incluyendo las mismas prestaciones otorgadas para trabajadores de base, a las que tiene derecho</w:t>
      </w:r>
      <w:r w:rsidR="00804AB7">
        <w:rPr>
          <w:rFonts w:ascii="Arial" w:hAnsi="Arial" w:cs="Arial"/>
          <w:sz w:val="24"/>
          <w:szCs w:val="26"/>
        </w:rPr>
        <w:t xml:space="preserve">, </w:t>
      </w:r>
      <w:r w:rsidR="00313D02">
        <w:rPr>
          <w:rFonts w:ascii="Arial" w:hAnsi="Arial" w:cs="Arial"/>
          <w:sz w:val="24"/>
          <w:szCs w:val="26"/>
        </w:rPr>
        <w:t>consiste</w:t>
      </w:r>
      <w:bookmarkStart w:id="1" w:name="_GoBack"/>
      <w:bookmarkEnd w:id="1"/>
      <w:r w:rsidR="00313D02">
        <w:rPr>
          <w:rFonts w:ascii="Arial" w:hAnsi="Arial" w:cs="Arial"/>
          <w:sz w:val="24"/>
          <w:szCs w:val="26"/>
        </w:rPr>
        <w:t xml:space="preserve">ntes en </w:t>
      </w:r>
      <w:r w:rsidR="00313D02" w:rsidRPr="00DD0F0D">
        <w:rPr>
          <w:rFonts w:ascii="Arial" w:hAnsi="Arial" w:cs="Arial"/>
          <w:sz w:val="24"/>
          <w:szCs w:val="26"/>
        </w:rPr>
        <w:t>previsión social múltiple, despensa, vida cara, quinquenios, aguinaldos, estímulos del día del jubilado, día de las madres y canasta navideña</w:t>
      </w:r>
      <w:r w:rsidR="00313D02">
        <w:rPr>
          <w:rFonts w:ascii="Arial" w:hAnsi="Arial" w:cs="Arial"/>
          <w:sz w:val="24"/>
          <w:szCs w:val="26"/>
        </w:rPr>
        <w:t xml:space="preserve">; </w:t>
      </w:r>
      <w:r w:rsidR="00313D02">
        <w:rPr>
          <w:rFonts w:ascii="Arial" w:hAnsi="Arial" w:cs="Arial"/>
          <w:b/>
          <w:sz w:val="24"/>
          <w:szCs w:val="26"/>
        </w:rPr>
        <w:t xml:space="preserve">c) </w:t>
      </w:r>
      <w:r w:rsidR="00313D02">
        <w:rPr>
          <w:rFonts w:ascii="Arial" w:hAnsi="Arial" w:cs="Arial"/>
          <w:sz w:val="24"/>
          <w:szCs w:val="26"/>
        </w:rPr>
        <w:t xml:space="preserve">realice el pago de dichas prestaciones con </w:t>
      </w:r>
      <w:r w:rsidR="00DC7B33">
        <w:rPr>
          <w:rFonts w:ascii="Arial" w:hAnsi="Arial" w:cs="Arial"/>
          <w:sz w:val="24"/>
          <w:szCs w:val="26"/>
        </w:rPr>
        <w:t xml:space="preserve">efectos retroactivos a la </w:t>
      </w:r>
      <w:r w:rsidR="00313D02">
        <w:rPr>
          <w:rFonts w:ascii="Arial" w:hAnsi="Arial" w:cs="Arial"/>
          <w:sz w:val="24"/>
          <w:szCs w:val="26"/>
        </w:rPr>
        <w:t xml:space="preserve">fecha en la que </w:t>
      </w:r>
      <w:r w:rsidR="006F19E5">
        <w:rPr>
          <w:rFonts w:ascii="Arial" w:hAnsi="Arial" w:cs="Arial"/>
          <w:sz w:val="24"/>
          <w:szCs w:val="26"/>
        </w:rPr>
        <w:t>la</w:t>
      </w:r>
      <w:r w:rsidR="00313D02">
        <w:rPr>
          <w:rFonts w:ascii="Arial" w:hAnsi="Arial" w:cs="Arial"/>
          <w:sz w:val="24"/>
          <w:szCs w:val="26"/>
        </w:rPr>
        <w:t xml:space="preserve"> actor</w:t>
      </w:r>
      <w:r w:rsidR="006F19E5">
        <w:rPr>
          <w:rFonts w:ascii="Arial" w:hAnsi="Arial" w:cs="Arial"/>
          <w:sz w:val="24"/>
          <w:szCs w:val="26"/>
        </w:rPr>
        <w:t>a</w:t>
      </w:r>
      <w:r w:rsidR="00313D02">
        <w:rPr>
          <w:rFonts w:ascii="Arial" w:hAnsi="Arial" w:cs="Arial"/>
          <w:sz w:val="24"/>
          <w:szCs w:val="26"/>
        </w:rPr>
        <w:t xml:space="preserve"> obtuvo la categoría de jubilado; </w:t>
      </w:r>
      <w:r w:rsidR="00313D02">
        <w:rPr>
          <w:rFonts w:ascii="Arial" w:hAnsi="Arial" w:cs="Arial"/>
          <w:b/>
          <w:sz w:val="24"/>
          <w:szCs w:val="26"/>
        </w:rPr>
        <w:t xml:space="preserve">d) </w:t>
      </w:r>
      <w:r w:rsidRPr="00DD0F0D">
        <w:rPr>
          <w:rFonts w:ascii="Arial" w:hAnsi="Arial" w:cs="Arial"/>
          <w:b/>
          <w:sz w:val="24"/>
          <w:szCs w:val="26"/>
        </w:rPr>
        <w:t>NO SE LE APLIQUE</w:t>
      </w:r>
      <w:r w:rsidRPr="00DD0F0D">
        <w:rPr>
          <w:rFonts w:ascii="Arial" w:hAnsi="Arial" w:cs="Arial"/>
          <w:sz w:val="24"/>
          <w:szCs w:val="26"/>
        </w:rPr>
        <w:t xml:space="preserve"> el descuento del 9% por concepto de cuota al Fondo de Pensiones del monto total de su pensión por jubilación al ser inconstitucional; devolviéndosele a la parte actora las cantidades que en todo caso le hayan sido descontadas por ese concepto. </w:t>
      </w:r>
    </w:p>
    <w:p w14:paraId="4C2EE70A" w14:textId="5F183691" w:rsidR="00A96C07" w:rsidRPr="00DD0F0D" w:rsidRDefault="00A96C07" w:rsidP="0020543A">
      <w:pPr>
        <w:spacing w:before="240" w:after="0" w:line="360" w:lineRule="auto"/>
        <w:ind w:firstLine="567"/>
        <w:jc w:val="both"/>
        <w:rPr>
          <w:rFonts w:ascii="Arial" w:hAnsi="Arial" w:cs="Arial"/>
          <w:sz w:val="24"/>
          <w:szCs w:val="26"/>
        </w:rPr>
      </w:pPr>
      <w:r w:rsidRPr="00DD0F0D">
        <w:rPr>
          <w:rFonts w:ascii="Arial" w:hAnsi="Arial" w:cs="Arial"/>
          <w:sz w:val="24"/>
          <w:szCs w:val="26"/>
        </w:rPr>
        <w:t>Por lo expuesto y con fundamento en los artículos 207, 208 fracciones II y VI; así como 209 de Ley de Procedimiento y Justicia Administrati</w:t>
      </w:r>
      <w:r w:rsidR="00B975B9" w:rsidRPr="00DD0F0D">
        <w:rPr>
          <w:rFonts w:ascii="Arial" w:hAnsi="Arial" w:cs="Arial"/>
          <w:sz w:val="24"/>
          <w:szCs w:val="26"/>
        </w:rPr>
        <w:t xml:space="preserve">va para el Estado de Oaxaca, se:- - - - - - - - - - - - - - - - - </w:t>
      </w:r>
      <w:r w:rsidR="007A444D" w:rsidRPr="00DD0F0D">
        <w:rPr>
          <w:rFonts w:ascii="Arial" w:hAnsi="Arial" w:cs="Arial"/>
          <w:sz w:val="24"/>
          <w:szCs w:val="26"/>
        </w:rPr>
        <w:t xml:space="preserve">- - - - - - - - - - - - - - - </w:t>
      </w:r>
      <w:r w:rsidR="00313D02">
        <w:rPr>
          <w:rFonts w:ascii="Arial" w:hAnsi="Arial" w:cs="Arial"/>
          <w:sz w:val="24"/>
          <w:szCs w:val="26"/>
        </w:rPr>
        <w:t>- - - - - - - - - -</w:t>
      </w:r>
    </w:p>
    <w:p w14:paraId="3E6246CC" w14:textId="77777777" w:rsidR="00A96C07" w:rsidRPr="00DD0F0D" w:rsidRDefault="00A96C07" w:rsidP="00B975B9">
      <w:pPr>
        <w:spacing w:before="240" w:after="0" w:line="360" w:lineRule="auto"/>
        <w:ind w:right="49"/>
        <w:jc w:val="center"/>
        <w:rPr>
          <w:rFonts w:ascii="Arial" w:eastAsia="Times New Roman" w:hAnsi="Arial" w:cs="Arial"/>
          <w:b/>
          <w:sz w:val="24"/>
          <w:szCs w:val="26"/>
          <w:lang w:eastAsia="es-MX"/>
        </w:rPr>
      </w:pPr>
      <w:r w:rsidRPr="00DD0F0D">
        <w:rPr>
          <w:rFonts w:ascii="Arial" w:eastAsia="Times New Roman" w:hAnsi="Arial" w:cs="Arial"/>
          <w:b/>
          <w:sz w:val="24"/>
          <w:szCs w:val="26"/>
          <w:lang w:eastAsia="es-MX"/>
        </w:rPr>
        <w:t>R E S U E L V E:</w:t>
      </w:r>
    </w:p>
    <w:p w14:paraId="5B42C39E" w14:textId="014C1B28" w:rsidR="00A96C07" w:rsidRPr="00DD0F0D" w:rsidRDefault="00A96C07" w:rsidP="00A96C07">
      <w:pPr>
        <w:spacing w:before="240" w:after="0" w:line="360" w:lineRule="auto"/>
        <w:ind w:right="49" w:firstLine="567"/>
        <w:jc w:val="both"/>
        <w:rPr>
          <w:rFonts w:ascii="Arial" w:eastAsia="Times New Roman" w:hAnsi="Arial" w:cs="Arial"/>
          <w:sz w:val="24"/>
          <w:szCs w:val="26"/>
          <w:lang w:eastAsia="es-MX"/>
        </w:rPr>
      </w:pPr>
      <w:r w:rsidRPr="00DD0F0D">
        <w:rPr>
          <w:rFonts w:ascii="Arial" w:eastAsia="Times New Roman" w:hAnsi="Arial" w:cs="Arial"/>
          <w:b/>
          <w:sz w:val="24"/>
          <w:szCs w:val="26"/>
          <w:lang w:eastAsia="es-MX"/>
        </w:rPr>
        <w:t>PRIMERO.-</w:t>
      </w:r>
      <w:r w:rsidRPr="00DD0F0D">
        <w:rPr>
          <w:rFonts w:ascii="Arial" w:eastAsia="Times New Roman" w:hAnsi="Arial" w:cs="Arial"/>
          <w:sz w:val="24"/>
          <w:szCs w:val="26"/>
          <w:lang w:eastAsia="es-MX"/>
        </w:rPr>
        <w:t xml:space="preserve"> Esta </w:t>
      </w:r>
      <w:r w:rsidR="0055615C">
        <w:rPr>
          <w:rFonts w:ascii="Arial" w:eastAsia="Times New Roman" w:hAnsi="Arial" w:cs="Arial"/>
          <w:sz w:val="24"/>
          <w:szCs w:val="26"/>
          <w:lang w:eastAsia="es-MX"/>
        </w:rPr>
        <w:t>Sexta</w:t>
      </w:r>
      <w:r w:rsidR="00B975B9" w:rsidRPr="00DD0F0D">
        <w:rPr>
          <w:rFonts w:ascii="Arial" w:eastAsia="Times New Roman" w:hAnsi="Arial" w:cs="Arial"/>
          <w:sz w:val="24"/>
          <w:szCs w:val="26"/>
          <w:lang w:eastAsia="es-MX"/>
        </w:rPr>
        <w:t xml:space="preserve"> </w:t>
      </w:r>
      <w:r w:rsidRPr="00DD0F0D">
        <w:rPr>
          <w:rFonts w:ascii="Arial" w:eastAsia="Times New Roman" w:hAnsi="Arial" w:cs="Arial"/>
          <w:sz w:val="24"/>
          <w:szCs w:val="26"/>
          <w:lang w:eastAsia="es-MX"/>
        </w:rPr>
        <w:t xml:space="preserve">Sala Unitaria fue competente para conocer y resolver del presente asunto - - - - - - - - - - - - - - - - - - </w:t>
      </w:r>
      <w:r w:rsidR="007A444D" w:rsidRPr="00DD0F0D">
        <w:rPr>
          <w:rFonts w:ascii="Arial" w:eastAsia="Times New Roman" w:hAnsi="Arial" w:cs="Arial"/>
          <w:sz w:val="24"/>
          <w:szCs w:val="26"/>
          <w:lang w:eastAsia="es-MX"/>
        </w:rPr>
        <w:t xml:space="preserve">- - - - - - - - - - - - - </w:t>
      </w:r>
      <w:r w:rsidR="00313D02">
        <w:rPr>
          <w:rFonts w:ascii="Arial" w:eastAsia="Times New Roman" w:hAnsi="Arial" w:cs="Arial"/>
          <w:sz w:val="24"/>
          <w:szCs w:val="26"/>
          <w:lang w:eastAsia="es-MX"/>
        </w:rPr>
        <w:t xml:space="preserve">- - - - - - </w:t>
      </w:r>
    </w:p>
    <w:p w14:paraId="2B57777D" w14:textId="77777777" w:rsidR="00313D02" w:rsidRDefault="00A96C07" w:rsidP="007A444D">
      <w:pPr>
        <w:spacing w:before="240" w:after="0" w:line="360" w:lineRule="auto"/>
        <w:ind w:right="49" w:firstLine="567"/>
        <w:jc w:val="both"/>
        <w:rPr>
          <w:rFonts w:ascii="Arial" w:eastAsia="Times New Roman" w:hAnsi="Arial" w:cs="Arial"/>
          <w:sz w:val="24"/>
          <w:szCs w:val="26"/>
          <w:lang w:eastAsia="es-MX"/>
        </w:rPr>
      </w:pPr>
      <w:r w:rsidRPr="00DD0F0D">
        <w:rPr>
          <w:rFonts w:ascii="Arial" w:eastAsia="Times New Roman" w:hAnsi="Arial" w:cs="Arial"/>
          <w:b/>
          <w:sz w:val="24"/>
          <w:szCs w:val="26"/>
          <w:lang w:eastAsia="es-MX"/>
        </w:rPr>
        <w:lastRenderedPageBreak/>
        <w:t>SEGUNDO.</w:t>
      </w:r>
      <w:r w:rsidR="007A444D" w:rsidRPr="00DD0F0D">
        <w:rPr>
          <w:rFonts w:ascii="Arial" w:eastAsia="Times New Roman" w:hAnsi="Arial" w:cs="Arial"/>
          <w:b/>
          <w:sz w:val="24"/>
          <w:szCs w:val="26"/>
          <w:lang w:eastAsia="es-MX"/>
        </w:rPr>
        <w:t>-</w:t>
      </w:r>
      <w:r w:rsidRPr="00DD0F0D">
        <w:rPr>
          <w:rFonts w:ascii="Arial" w:eastAsia="Times New Roman" w:hAnsi="Arial" w:cs="Arial"/>
          <w:sz w:val="24"/>
          <w:szCs w:val="26"/>
          <w:lang w:eastAsia="es-MX"/>
        </w:rPr>
        <w:t xml:space="preserve"> </w:t>
      </w:r>
      <w:r w:rsidR="00313D02">
        <w:rPr>
          <w:rFonts w:ascii="Arial" w:eastAsia="Times New Roman" w:hAnsi="Arial" w:cs="Arial"/>
          <w:sz w:val="24"/>
          <w:szCs w:val="26"/>
          <w:lang w:eastAsia="es-MX"/>
        </w:rPr>
        <w:t xml:space="preserve">La personalidad de la partes quedó acreditada en autos. - - -  </w:t>
      </w:r>
    </w:p>
    <w:p w14:paraId="558FD040" w14:textId="77777777" w:rsidR="007A444D" w:rsidRPr="00DD0F0D" w:rsidRDefault="00A151FE" w:rsidP="007A444D">
      <w:pPr>
        <w:spacing w:before="240" w:after="0" w:line="360" w:lineRule="auto"/>
        <w:ind w:right="49" w:firstLine="567"/>
        <w:jc w:val="both"/>
        <w:rPr>
          <w:rFonts w:ascii="Arial" w:eastAsia="Times New Roman" w:hAnsi="Arial" w:cs="Arial"/>
          <w:sz w:val="24"/>
          <w:szCs w:val="26"/>
          <w:lang w:eastAsia="es-MX"/>
        </w:rPr>
      </w:pPr>
      <w:r>
        <w:rPr>
          <w:rFonts w:ascii="Arial" w:eastAsia="Times New Roman" w:hAnsi="Arial" w:cs="Arial"/>
          <w:b/>
          <w:sz w:val="24"/>
          <w:szCs w:val="26"/>
          <w:lang w:eastAsia="es-MX"/>
        </w:rPr>
        <w:t>TERCERO</w:t>
      </w:r>
      <w:r w:rsidR="00313D02">
        <w:rPr>
          <w:rFonts w:ascii="Arial" w:eastAsia="Times New Roman" w:hAnsi="Arial" w:cs="Arial"/>
          <w:b/>
          <w:sz w:val="24"/>
          <w:szCs w:val="26"/>
          <w:lang w:eastAsia="es-MX"/>
        </w:rPr>
        <w:t xml:space="preserve">.- </w:t>
      </w:r>
      <w:r w:rsidR="00A96C07" w:rsidRPr="00DD0F0D">
        <w:rPr>
          <w:rFonts w:ascii="Arial" w:eastAsia="Times New Roman" w:hAnsi="Arial" w:cs="Arial"/>
          <w:sz w:val="24"/>
          <w:szCs w:val="26"/>
          <w:lang w:eastAsia="es-MX"/>
        </w:rPr>
        <w:t xml:space="preserve">No se actualizaron causales de improcedencia por lo </w:t>
      </w:r>
      <w:r w:rsidR="00A96C07" w:rsidRPr="00A151FE">
        <w:rPr>
          <w:rFonts w:ascii="Arial" w:eastAsia="Times New Roman" w:hAnsi="Arial" w:cs="Arial"/>
          <w:b/>
          <w:sz w:val="24"/>
          <w:szCs w:val="26"/>
          <w:lang w:eastAsia="es-MX"/>
        </w:rPr>
        <w:t>que no se sobresee el juicio</w:t>
      </w:r>
      <w:r w:rsidR="00A96C07" w:rsidRPr="00DD0F0D">
        <w:rPr>
          <w:rFonts w:ascii="Arial" w:eastAsia="Times New Roman" w:hAnsi="Arial" w:cs="Arial"/>
          <w:sz w:val="24"/>
          <w:szCs w:val="26"/>
          <w:lang w:eastAsia="es-MX"/>
        </w:rPr>
        <w:t>. -  - - - - - - - - - - - - - - - - - - - -</w:t>
      </w:r>
      <w:r w:rsidR="007A444D" w:rsidRPr="00DD0F0D">
        <w:rPr>
          <w:rFonts w:ascii="Arial" w:eastAsia="Times New Roman" w:hAnsi="Arial" w:cs="Arial"/>
          <w:sz w:val="24"/>
          <w:szCs w:val="26"/>
          <w:lang w:eastAsia="es-MX"/>
        </w:rPr>
        <w:t xml:space="preserve"> - - - - - - - - - - - </w:t>
      </w:r>
      <w:r>
        <w:rPr>
          <w:rFonts w:ascii="Arial" w:eastAsia="Times New Roman" w:hAnsi="Arial" w:cs="Arial"/>
          <w:sz w:val="24"/>
          <w:szCs w:val="26"/>
          <w:lang w:eastAsia="es-MX"/>
        </w:rPr>
        <w:t xml:space="preserve">- - - - - - - - - </w:t>
      </w:r>
    </w:p>
    <w:p w14:paraId="0934F8ED" w14:textId="28B22680" w:rsidR="00A96C07" w:rsidRPr="00A151FE" w:rsidRDefault="00A151FE" w:rsidP="00731B46">
      <w:pPr>
        <w:spacing w:before="240" w:line="360" w:lineRule="auto"/>
        <w:ind w:right="49" w:firstLine="567"/>
        <w:jc w:val="both"/>
        <w:rPr>
          <w:rFonts w:ascii="Arial" w:eastAsia="Times New Roman" w:hAnsi="Arial" w:cs="Arial"/>
          <w:sz w:val="24"/>
          <w:szCs w:val="26"/>
          <w:lang w:eastAsia="es-MX"/>
        </w:rPr>
      </w:pPr>
      <w:r>
        <w:rPr>
          <w:rFonts w:ascii="Arial" w:hAnsi="Arial" w:cs="Arial"/>
          <w:b/>
          <w:sz w:val="24"/>
          <w:szCs w:val="26"/>
        </w:rPr>
        <w:t>CUARTO</w:t>
      </w:r>
      <w:r w:rsidR="00A96C07" w:rsidRPr="00DD0F0D">
        <w:rPr>
          <w:rFonts w:ascii="Arial" w:hAnsi="Arial" w:cs="Arial"/>
          <w:b/>
          <w:sz w:val="24"/>
          <w:szCs w:val="26"/>
        </w:rPr>
        <w:t>.</w:t>
      </w:r>
      <w:r w:rsidR="007A444D" w:rsidRPr="00DD0F0D">
        <w:rPr>
          <w:rFonts w:ascii="Arial" w:hAnsi="Arial" w:cs="Arial"/>
          <w:b/>
          <w:sz w:val="24"/>
          <w:szCs w:val="26"/>
        </w:rPr>
        <w:t>-</w:t>
      </w:r>
      <w:r w:rsidR="00A96C07" w:rsidRPr="00DD0F0D">
        <w:rPr>
          <w:rFonts w:ascii="Arial" w:hAnsi="Arial" w:cs="Arial"/>
          <w:b/>
          <w:sz w:val="24"/>
          <w:szCs w:val="26"/>
        </w:rPr>
        <w:t xml:space="preserve"> </w:t>
      </w:r>
      <w:r w:rsidR="00A96C07" w:rsidRPr="00DD0F0D">
        <w:rPr>
          <w:rFonts w:ascii="Arial" w:hAnsi="Arial" w:cs="Arial"/>
          <w:sz w:val="24"/>
          <w:szCs w:val="26"/>
        </w:rPr>
        <w:t xml:space="preserve">Se declara la </w:t>
      </w:r>
      <w:r w:rsidR="00A96C07" w:rsidRPr="00DD0F0D">
        <w:rPr>
          <w:rFonts w:ascii="Arial" w:hAnsi="Arial" w:cs="Arial"/>
          <w:b/>
          <w:noProof/>
          <w:sz w:val="24"/>
          <w:szCs w:val="26"/>
        </w:rPr>
        <w:t xml:space="preserve">NULIDAD </w:t>
      </w:r>
      <w:r w:rsidR="00DC7B33" w:rsidRPr="00DD0F0D">
        <w:rPr>
          <w:rFonts w:ascii="Arial" w:hAnsi="Arial" w:cs="Arial"/>
          <w:noProof/>
          <w:sz w:val="24"/>
          <w:szCs w:val="26"/>
        </w:rPr>
        <w:t xml:space="preserve">del </w:t>
      </w:r>
      <w:r w:rsidR="00DC7B33">
        <w:rPr>
          <w:rFonts w:ascii="Arial" w:hAnsi="Arial" w:cs="Arial"/>
          <w:noProof/>
          <w:sz w:val="24"/>
          <w:szCs w:val="26"/>
        </w:rPr>
        <w:t>contenido d</w:t>
      </w:r>
      <w:r w:rsidR="00DC7B33" w:rsidRPr="00DD0F0D">
        <w:rPr>
          <w:rFonts w:ascii="Arial" w:hAnsi="Arial" w:cs="Arial"/>
          <w:noProof/>
          <w:sz w:val="24"/>
          <w:szCs w:val="26"/>
        </w:rPr>
        <w:t>el oficio</w:t>
      </w:r>
      <w:r w:rsidR="00DC7B33">
        <w:rPr>
          <w:rFonts w:ascii="Arial" w:hAnsi="Arial" w:cs="Arial"/>
          <w:noProof/>
          <w:sz w:val="24"/>
          <w:szCs w:val="26"/>
        </w:rPr>
        <w:t xml:space="preserve"> número</w:t>
      </w:r>
      <w:r w:rsidR="00DC7B33" w:rsidRPr="00DD0F0D">
        <w:rPr>
          <w:rFonts w:ascii="Arial" w:hAnsi="Arial" w:cs="Arial"/>
          <w:b/>
          <w:sz w:val="24"/>
          <w:szCs w:val="26"/>
        </w:rPr>
        <w:t xml:space="preserve"> </w:t>
      </w:r>
      <w:r w:rsidR="001F5011">
        <w:rPr>
          <w:rFonts w:ascii="Arial" w:hAnsi="Arial" w:cs="Arial"/>
          <w:b/>
          <w:color w:val="FF0000"/>
          <w:sz w:val="24"/>
          <w:szCs w:val="26"/>
        </w:rPr>
        <w:t>**********</w:t>
      </w:r>
      <w:r w:rsidR="006F19E5">
        <w:rPr>
          <w:rFonts w:ascii="Arial" w:hAnsi="Arial" w:cs="Arial"/>
          <w:sz w:val="24"/>
          <w:szCs w:val="26"/>
        </w:rPr>
        <w:t>de dieciséis de diciembre de dos mil veinte</w:t>
      </w:r>
      <w:r w:rsidR="00DC7B33" w:rsidRPr="00DD0F0D">
        <w:rPr>
          <w:rFonts w:ascii="Arial" w:hAnsi="Arial" w:cs="Arial"/>
          <w:sz w:val="24"/>
          <w:szCs w:val="26"/>
        </w:rPr>
        <w:t>, signado por el</w:t>
      </w:r>
      <w:r w:rsidR="00DC7B33" w:rsidRPr="00DD0F0D">
        <w:rPr>
          <w:rFonts w:ascii="Arial" w:hAnsi="Arial" w:cs="Arial"/>
          <w:b/>
          <w:sz w:val="24"/>
          <w:szCs w:val="26"/>
        </w:rPr>
        <w:t xml:space="preserve"> </w:t>
      </w:r>
      <w:r w:rsidR="00DC7B33" w:rsidRPr="00DD0F0D">
        <w:rPr>
          <w:rFonts w:ascii="Arial" w:hAnsi="Arial" w:cs="Arial"/>
          <w:sz w:val="24"/>
          <w:szCs w:val="26"/>
        </w:rPr>
        <w:t>Director General de la Oficina de Pensiones del Gobierno del Estado de Oaxaca</w:t>
      </w:r>
      <w:r w:rsidR="00A96C07" w:rsidRPr="00DD0F0D">
        <w:rPr>
          <w:rFonts w:ascii="Arial" w:hAnsi="Arial" w:cs="Arial"/>
          <w:sz w:val="24"/>
          <w:szCs w:val="26"/>
        </w:rPr>
        <w:t>,</w:t>
      </w:r>
      <w:r>
        <w:rPr>
          <w:rFonts w:ascii="Arial" w:hAnsi="Arial" w:cs="Arial"/>
          <w:b/>
          <w:sz w:val="24"/>
          <w:szCs w:val="26"/>
        </w:rPr>
        <w:t xml:space="preserve"> PARA EL EFECTO </w:t>
      </w:r>
      <w:r>
        <w:rPr>
          <w:rFonts w:ascii="Arial" w:hAnsi="Arial" w:cs="Arial"/>
          <w:sz w:val="24"/>
          <w:szCs w:val="26"/>
        </w:rPr>
        <w:t xml:space="preserve">precisado en los incisos </w:t>
      </w:r>
      <w:r>
        <w:rPr>
          <w:rFonts w:ascii="Arial" w:hAnsi="Arial" w:cs="Arial"/>
          <w:b/>
          <w:sz w:val="24"/>
          <w:szCs w:val="26"/>
        </w:rPr>
        <w:t>a), b), c) y d)</w:t>
      </w:r>
      <w:r>
        <w:rPr>
          <w:rFonts w:ascii="Arial" w:hAnsi="Arial" w:cs="Arial"/>
          <w:sz w:val="24"/>
          <w:szCs w:val="26"/>
        </w:rPr>
        <w:t xml:space="preserve">, del considerando </w:t>
      </w:r>
      <w:r>
        <w:rPr>
          <w:rFonts w:ascii="Arial" w:hAnsi="Arial" w:cs="Arial"/>
          <w:b/>
          <w:sz w:val="24"/>
          <w:szCs w:val="26"/>
        </w:rPr>
        <w:t>quinto</w:t>
      </w:r>
      <w:r>
        <w:rPr>
          <w:rFonts w:ascii="Arial" w:hAnsi="Arial" w:cs="Arial"/>
          <w:sz w:val="24"/>
          <w:szCs w:val="26"/>
        </w:rPr>
        <w:t xml:space="preserve"> de esta sentencia. - - - - - - - - - - - - - - - - - - - - - - - - - - - - - - - - - - - - - - - </w:t>
      </w:r>
    </w:p>
    <w:p w14:paraId="503E4F20" w14:textId="77777777" w:rsidR="004B23F2" w:rsidRPr="00DD0F0D" w:rsidRDefault="00A151FE" w:rsidP="00731B46">
      <w:pPr>
        <w:spacing w:line="360" w:lineRule="auto"/>
        <w:ind w:right="49" w:firstLine="708"/>
        <w:jc w:val="both"/>
        <w:rPr>
          <w:rFonts w:ascii="Arial" w:eastAsia="Times New Roman" w:hAnsi="Arial" w:cs="Arial"/>
          <w:b/>
          <w:sz w:val="24"/>
          <w:szCs w:val="26"/>
          <w:lang w:eastAsia="es-MX"/>
        </w:rPr>
      </w:pPr>
      <w:r>
        <w:rPr>
          <w:rFonts w:ascii="Arial" w:hAnsi="Arial" w:cs="Arial"/>
          <w:b/>
          <w:sz w:val="24"/>
          <w:szCs w:val="26"/>
        </w:rPr>
        <w:t>QUINTO</w:t>
      </w:r>
      <w:r w:rsidR="004B23F2" w:rsidRPr="00DD0F0D">
        <w:rPr>
          <w:rFonts w:ascii="Arial" w:hAnsi="Arial" w:cs="Arial"/>
          <w:b/>
          <w:sz w:val="24"/>
          <w:szCs w:val="26"/>
        </w:rPr>
        <w:t xml:space="preserve">. </w:t>
      </w:r>
      <w:r w:rsidR="004B23F2" w:rsidRPr="00DD0F0D">
        <w:rPr>
          <w:rFonts w:ascii="Arial" w:eastAsia="Times New Roman" w:hAnsi="Arial" w:cs="Arial"/>
          <w:b/>
          <w:sz w:val="24"/>
          <w:szCs w:val="26"/>
          <w:lang w:eastAsia="es-MX"/>
        </w:rPr>
        <w:t xml:space="preserve">NOTIFÍQUESE </w:t>
      </w:r>
      <w:r w:rsidR="007A58F3" w:rsidRPr="00DD0F0D">
        <w:rPr>
          <w:rFonts w:ascii="Arial" w:eastAsia="Times New Roman" w:hAnsi="Arial" w:cs="Arial"/>
          <w:sz w:val="24"/>
          <w:szCs w:val="26"/>
          <w:lang w:eastAsia="es-MX"/>
        </w:rPr>
        <w:t xml:space="preserve">personalmente a la </w:t>
      </w:r>
      <w:r w:rsidR="00B975B9" w:rsidRPr="00DD0F0D">
        <w:rPr>
          <w:rFonts w:ascii="Arial" w:eastAsia="Times New Roman" w:hAnsi="Arial" w:cs="Arial"/>
          <w:sz w:val="24"/>
          <w:szCs w:val="26"/>
          <w:lang w:eastAsia="es-MX"/>
        </w:rPr>
        <w:t xml:space="preserve">parte </w:t>
      </w:r>
      <w:r w:rsidR="007A58F3" w:rsidRPr="00DD0F0D">
        <w:rPr>
          <w:rFonts w:ascii="Arial" w:eastAsia="Times New Roman" w:hAnsi="Arial" w:cs="Arial"/>
          <w:sz w:val="24"/>
          <w:szCs w:val="26"/>
          <w:lang w:eastAsia="es-MX"/>
        </w:rPr>
        <w:t>actora y por oficio a la</w:t>
      </w:r>
      <w:r w:rsidR="00AE05A5">
        <w:rPr>
          <w:rFonts w:ascii="Arial" w:eastAsia="Times New Roman" w:hAnsi="Arial" w:cs="Arial"/>
          <w:sz w:val="24"/>
          <w:szCs w:val="26"/>
          <w:lang w:eastAsia="es-MX"/>
        </w:rPr>
        <w:t>s</w:t>
      </w:r>
      <w:r w:rsidR="007A58F3" w:rsidRPr="00DD0F0D">
        <w:rPr>
          <w:rFonts w:ascii="Arial" w:eastAsia="Times New Roman" w:hAnsi="Arial" w:cs="Arial"/>
          <w:sz w:val="24"/>
          <w:szCs w:val="26"/>
          <w:lang w:eastAsia="es-MX"/>
        </w:rPr>
        <w:t xml:space="preserve"> autoridad</w:t>
      </w:r>
      <w:r w:rsidR="00AE05A5">
        <w:rPr>
          <w:rFonts w:ascii="Arial" w:eastAsia="Times New Roman" w:hAnsi="Arial" w:cs="Arial"/>
          <w:sz w:val="24"/>
          <w:szCs w:val="26"/>
          <w:lang w:eastAsia="es-MX"/>
        </w:rPr>
        <w:t>es</w:t>
      </w:r>
      <w:r w:rsidR="007A58F3" w:rsidRPr="00DD0F0D">
        <w:rPr>
          <w:rFonts w:ascii="Arial" w:eastAsia="Times New Roman" w:hAnsi="Arial" w:cs="Arial"/>
          <w:sz w:val="24"/>
          <w:szCs w:val="26"/>
          <w:lang w:eastAsia="es-MX"/>
        </w:rPr>
        <w:t xml:space="preserve"> demandada</w:t>
      </w:r>
      <w:r w:rsidR="00AE05A5">
        <w:rPr>
          <w:rFonts w:ascii="Arial" w:eastAsia="Times New Roman" w:hAnsi="Arial" w:cs="Arial"/>
          <w:sz w:val="24"/>
          <w:szCs w:val="26"/>
          <w:lang w:eastAsia="es-MX"/>
        </w:rPr>
        <w:t>s</w:t>
      </w:r>
      <w:r w:rsidR="004B23F2" w:rsidRPr="00DD0F0D">
        <w:rPr>
          <w:rFonts w:ascii="Arial" w:eastAsia="Times New Roman" w:hAnsi="Arial" w:cs="Arial"/>
          <w:sz w:val="24"/>
          <w:szCs w:val="26"/>
          <w:lang w:eastAsia="es-MX"/>
        </w:rPr>
        <w:t>, con fundamento en los artículos 172 fracción I y 173 fracciones I y II, de la Ley de Procedimiento y Justicia Administrativa para el Estado de Oaxaca</w:t>
      </w:r>
      <w:r w:rsidR="007731DD" w:rsidRPr="00DD0F0D">
        <w:rPr>
          <w:rFonts w:ascii="Arial" w:eastAsia="Times New Roman" w:hAnsi="Arial" w:cs="Arial"/>
          <w:sz w:val="24"/>
          <w:szCs w:val="26"/>
          <w:lang w:eastAsia="es-MX"/>
        </w:rPr>
        <w:t>.</w:t>
      </w:r>
      <w:r w:rsidR="004B23F2" w:rsidRPr="00DD0F0D">
        <w:rPr>
          <w:rFonts w:ascii="Arial" w:eastAsia="Times New Roman" w:hAnsi="Arial" w:cs="Arial"/>
          <w:b/>
          <w:iCs/>
          <w:sz w:val="24"/>
          <w:szCs w:val="26"/>
          <w:lang w:eastAsia="es-MX"/>
        </w:rPr>
        <w:t>- CÚMPLASE</w:t>
      </w:r>
      <w:r w:rsidR="007A58F3" w:rsidRPr="00DD0F0D">
        <w:rPr>
          <w:rFonts w:ascii="Arial" w:eastAsia="Times New Roman" w:hAnsi="Arial" w:cs="Arial"/>
          <w:sz w:val="24"/>
          <w:szCs w:val="26"/>
          <w:lang w:eastAsia="es-MX"/>
        </w:rPr>
        <w:t>.</w:t>
      </w:r>
      <w:r w:rsidR="004B23F2" w:rsidRPr="00DD0F0D">
        <w:rPr>
          <w:rFonts w:ascii="Arial" w:eastAsia="Times New Roman" w:hAnsi="Arial" w:cs="Arial"/>
          <w:sz w:val="24"/>
          <w:szCs w:val="26"/>
          <w:lang w:eastAsia="es-MX"/>
        </w:rPr>
        <w:t xml:space="preserve">- - - - - - - - </w:t>
      </w:r>
      <w:r w:rsidR="007A444D" w:rsidRPr="00DD0F0D">
        <w:rPr>
          <w:rFonts w:ascii="Arial" w:eastAsia="Times New Roman" w:hAnsi="Arial" w:cs="Arial"/>
          <w:sz w:val="24"/>
          <w:szCs w:val="26"/>
          <w:lang w:eastAsia="es-MX"/>
        </w:rPr>
        <w:t xml:space="preserve">- - - - - </w:t>
      </w:r>
      <w:r>
        <w:rPr>
          <w:rFonts w:ascii="Arial" w:eastAsia="Times New Roman" w:hAnsi="Arial" w:cs="Arial"/>
          <w:sz w:val="24"/>
          <w:szCs w:val="26"/>
          <w:lang w:eastAsia="es-MX"/>
        </w:rPr>
        <w:t xml:space="preserve">- - - - - - - - - - - - - - - - - - - - - </w:t>
      </w:r>
    </w:p>
    <w:p w14:paraId="46167837" w14:textId="77660229" w:rsidR="0055615C" w:rsidRPr="00240D1C" w:rsidRDefault="0055615C" w:rsidP="0055615C">
      <w:pPr>
        <w:spacing w:line="360" w:lineRule="auto"/>
        <w:ind w:right="-93" w:firstLine="709"/>
        <w:jc w:val="both"/>
        <w:rPr>
          <w:rFonts w:ascii="Arial" w:hAnsi="Arial" w:cs="Arial"/>
          <w:sz w:val="24"/>
          <w:szCs w:val="24"/>
        </w:rPr>
      </w:pPr>
      <w:r>
        <w:rPr>
          <w:rFonts w:ascii="Arial" w:hAnsi="Arial" w:cs="Arial"/>
          <w:sz w:val="24"/>
        </w:rPr>
        <w:t>Así lo resolvió</w:t>
      </w:r>
      <w:r w:rsidRPr="007128B1">
        <w:rPr>
          <w:rFonts w:ascii="Arial" w:hAnsi="Arial" w:cs="Arial"/>
          <w:sz w:val="24"/>
        </w:rPr>
        <w:t xml:space="preserve"> y firma </w:t>
      </w:r>
      <w:r>
        <w:rPr>
          <w:rFonts w:ascii="Arial" w:hAnsi="Arial" w:cs="Arial"/>
          <w:sz w:val="24"/>
        </w:rPr>
        <w:t>la</w:t>
      </w:r>
      <w:r w:rsidRPr="007128B1">
        <w:rPr>
          <w:rFonts w:ascii="Arial" w:hAnsi="Arial" w:cs="Arial"/>
          <w:sz w:val="24"/>
        </w:rPr>
        <w:t xml:space="preserve"> </w:t>
      </w:r>
      <w:r>
        <w:rPr>
          <w:rFonts w:ascii="Arial" w:hAnsi="Arial" w:cs="Arial"/>
          <w:sz w:val="24"/>
        </w:rPr>
        <w:t xml:space="preserve">Magistrada Camelia Gaspar Martínez, titular de la Sexta </w:t>
      </w:r>
      <w:r w:rsidRPr="007128B1">
        <w:rPr>
          <w:rFonts w:ascii="Arial" w:hAnsi="Arial" w:cs="Arial"/>
          <w:sz w:val="24"/>
        </w:rPr>
        <w:t xml:space="preserve">Sala Unitaria de Primera Instancia </w:t>
      </w:r>
      <w:r>
        <w:rPr>
          <w:rFonts w:ascii="Arial" w:hAnsi="Arial" w:cs="Arial"/>
          <w:sz w:val="24"/>
        </w:rPr>
        <w:t>del</w:t>
      </w:r>
      <w:r w:rsidRPr="007128B1">
        <w:rPr>
          <w:rFonts w:ascii="Arial" w:hAnsi="Arial" w:cs="Arial"/>
          <w:sz w:val="24"/>
        </w:rPr>
        <w:t xml:space="preserve"> Tribunal</w:t>
      </w:r>
      <w:r>
        <w:rPr>
          <w:rFonts w:ascii="Arial" w:hAnsi="Arial" w:cs="Arial"/>
          <w:sz w:val="24"/>
        </w:rPr>
        <w:t xml:space="preserve"> de Justicia Administrativa del Estado de Oaxaca</w:t>
      </w:r>
      <w:r w:rsidRPr="007128B1">
        <w:rPr>
          <w:rFonts w:ascii="Arial" w:hAnsi="Arial" w:cs="Arial"/>
          <w:sz w:val="24"/>
        </w:rPr>
        <w:t xml:space="preserve">, </w:t>
      </w:r>
      <w:r>
        <w:rPr>
          <w:rFonts w:ascii="Arial" w:hAnsi="Arial" w:cs="Arial"/>
          <w:sz w:val="24"/>
        </w:rPr>
        <w:t xml:space="preserve">quien actúa asistida del Licenciado </w:t>
      </w:r>
      <w:r w:rsidRPr="009F2138">
        <w:rPr>
          <w:rFonts w:ascii="Arial" w:hAnsi="Arial" w:cs="Arial"/>
          <w:sz w:val="24"/>
        </w:rPr>
        <w:t xml:space="preserve">Renato Gabriel Ibáñez Castellanos, Secretario de Acuerdos </w:t>
      </w:r>
      <w:r>
        <w:rPr>
          <w:rFonts w:ascii="Arial" w:hAnsi="Arial" w:cs="Arial"/>
          <w:sz w:val="24"/>
        </w:rPr>
        <w:t xml:space="preserve">adscrito a esta Sala, quien autoriza y da fe.- </w:t>
      </w:r>
    </w:p>
    <w:p w14:paraId="7F8712F2" w14:textId="77777777" w:rsidR="00550C05" w:rsidRPr="00731B46" w:rsidRDefault="00550C05" w:rsidP="0055615C">
      <w:pPr>
        <w:pStyle w:val="Textoindependiente"/>
        <w:spacing w:line="360" w:lineRule="auto"/>
        <w:ind w:firstLine="567"/>
        <w:jc w:val="both"/>
        <w:rPr>
          <w:szCs w:val="26"/>
        </w:rPr>
      </w:pPr>
    </w:p>
    <w:sectPr w:rsidR="00550C05" w:rsidRPr="00731B46" w:rsidSect="007033BD">
      <w:headerReference w:type="default" r:id="rId8"/>
      <w:pgSz w:w="12240" w:h="20160" w:code="5"/>
      <w:pgMar w:top="1440" w:right="1440" w:bottom="1440"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8FD25F" w14:textId="77777777" w:rsidR="00E62493" w:rsidRDefault="00E62493" w:rsidP="009D4B0E">
      <w:pPr>
        <w:spacing w:after="0" w:line="240" w:lineRule="auto"/>
      </w:pPr>
      <w:r>
        <w:separator/>
      </w:r>
    </w:p>
  </w:endnote>
  <w:endnote w:type="continuationSeparator" w:id="0">
    <w:p w14:paraId="19592C4D" w14:textId="77777777" w:rsidR="00E62493" w:rsidRDefault="00E62493" w:rsidP="009D4B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93DFD5" w14:textId="77777777" w:rsidR="00E62493" w:rsidRDefault="00E62493" w:rsidP="009D4B0E">
      <w:pPr>
        <w:spacing w:after="0" w:line="240" w:lineRule="auto"/>
      </w:pPr>
      <w:r>
        <w:separator/>
      </w:r>
    </w:p>
  </w:footnote>
  <w:footnote w:type="continuationSeparator" w:id="0">
    <w:p w14:paraId="4BFA6B01" w14:textId="77777777" w:rsidR="00E62493" w:rsidRDefault="00E62493" w:rsidP="009D4B0E">
      <w:pPr>
        <w:spacing w:after="0" w:line="240" w:lineRule="auto"/>
      </w:pPr>
      <w:r>
        <w:continuationSeparator/>
      </w:r>
    </w:p>
  </w:footnote>
  <w:footnote w:id="1">
    <w:p w14:paraId="1D7EEBD2" w14:textId="77777777" w:rsidR="00123565" w:rsidRPr="00271AF8" w:rsidRDefault="00123565" w:rsidP="00DB5752">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2929A18B" w14:textId="77777777" w:rsidR="00A96C07" w:rsidRDefault="00A96C07" w:rsidP="00A96C07">
      <w:pPr>
        <w:pStyle w:val="Textonotapie"/>
      </w:pPr>
      <w:r>
        <w:rPr>
          <w:rStyle w:val="Refdenotaalpie"/>
        </w:rPr>
        <w:footnoteRef/>
      </w:r>
      <w:r>
        <w:t xml:space="preserve"> “</w:t>
      </w:r>
      <w:r>
        <w:rPr>
          <w:b/>
        </w:rPr>
        <w:t xml:space="preserve">ARTÍCULO 161.- </w:t>
      </w:r>
      <w:r>
        <w:t>…</w:t>
      </w:r>
    </w:p>
    <w:p w14:paraId="3D272B8F" w14:textId="77777777" w:rsidR="00A96C07" w:rsidRDefault="00A96C07" w:rsidP="00A96C07">
      <w:pPr>
        <w:pStyle w:val="Textonotapie"/>
      </w:pPr>
      <w:r>
        <w:t xml:space="preserve">   …</w:t>
      </w:r>
    </w:p>
    <w:p w14:paraId="22BEF387" w14:textId="77777777" w:rsidR="00A96C07" w:rsidRPr="00271AF8" w:rsidRDefault="00A96C07" w:rsidP="00A96C07">
      <w:pPr>
        <w:pStyle w:val="Textonotapie"/>
      </w:pPr>
      <w:r>
        <w:t xml:space="preserve">   Las causales de improcedencia deben ser examinadas de oficio.”</w:t>
      </w:r>
    </w:p>
  </w:footnote>
  <w:footnote w:id="3">
    <w:p w14:paraId="2DD8A9A7" w14:textId="58BAC5A1" w:rsidR="00A00F86" w:rsidRPr="00A00F86" w:rsidRDefault="00A00F86">
      <w:pPr>
        <w:pStyle w:val="Textonotapie"/>
      </w:pPr>
      <w:r>
        <w:rPr>
          <w:rStyle w:val="Refdenotaalpie"/>
        </w:rPr>
        <w:footnoteRef/>
      </w:r>
      <w:r>
        <w:t xml:space="preserve"> </w:t>
      </w:r>
      <w:r>
        <w:rPr>
          <w:b/>
        </w:rPr>
        <w:t xml:space="preserve">Artículo 2.- (…) </w:t>
      </w:r>
      <w:r>
        <w:t>El poder público y sus representantes sólo pueden hacer lo que la Ley les autoriza y deben hacer lo que la ley les ordena (…)</w:t>
      </w:r>
    </w:p>
  </w:footnote>
  <w:footnote w:id="4">
    <w:p w14:paraId="12914F13" w14:textId="77777777" w:rsidR="00A96C07" w:rsidRPr="008F4D26" w:rsidRDefault="00A96C07" w:rsidP="00A96C07">
      <w:pPr>
        <w:pStyle w:val="Textonotapie"/>
        <w:rPr>
          <w:rFonts w:ascii="Arial" w:hAnsi="Arial" w:cs="Arial"/>
          <w:sz w:val="16"/>
          <w:szCs w:val="16"/>
        </w:rPr>
      </w:pPr>
      <w:r w:rsidRPr="008F4D26">
        <w:rPr>
          <w:rStyle w:val="Refdenotaalpie"/>
          <w:rFonts w:ascii="Arial" w:hAnsi="Arial" w:cs="Arial"/>
          <w:sz w:val="16"/>
          <w:szCs w:val="16"/>
        </w:rPr>
        <w:footnoteRef/>
      </w:r>
      <w:r w:rsidRPr="008F4D26">
        <w:rPr>
          <w:rFonts w:ascii="Arial" w:hAnsi="Arial" w:cs="Arial"/>
          <w:sz w:val="16"/>
          <w:szCs w:val="16"/>
        </w:rPr>
        <w:t xml:space="preserve"> </w:t>
      </w:r>
      <w:r w:rsidRPr="008F4D26">
        <w:rPr>
          <w:rFonts w:ascii="Arial" w:hAnsi="Arial" w:cs="Arial"/>
          <w:b/>
          <w:bCs/>
          <w:sz w:val="16"/>
          <w:szCs w:val="16"/>
        </w:rPr>
        <w:t xml:space="preserve">ARTICULO </w:t>
      </w:r>
      <w:r w:rsidR="007838F2">
        <w:rPr>
          <w:rFonts w:ascii="Arial" w:hAnsi="Arial" w:cs="Arial"/>
          <w:b/>
          <w:bCs/>
          <w:sz w:val="16"/>
          <w:szCs w:val="16"/>
        </w:rPr>
        <w:t>1</w:t>
      </w:r>
      <w:r w:rsidRPr="008F4D26">
        <w:rPr>
          <w:rFonts w:ascii="Arial" w:hAnsi="Arial" w:cs="Arial"/>
          <w:b/>
          <w:bCs/>
          <w:sz w:val="16"/>
          <w:szCs w:val="16"/>
        </w:rPr>
        <w:t xml:space="preserve">7.- </w:t>
      </w:r>
      <w:r w:rsidRPr="008F4D26">
        <w:rPr>
          <w:rFonts w:ascii="Arial" w:hAnsi="Arial" w:cs="Arial"/>
          <w:sz w:val="16"/>
          <w:szCs w:val="16"/>
        </w:rPr>
        <w:t>Son elementos y requisitos de validez del acto administrativo:</w:t>
      </w:r>
    </w:p>
    <w:p w14:paraId="6B9334E3" w14:textId="77777777" w:rsidR="00A96C07" w:rsidRPr="008F4D26" w:rsidRDefault="00A96C07" w:rsidP="00A96C07">
      <w:pPr>
        <w:pStyle w:val="Textonotapie"/>
        <w:rPr>
          <w:rFonts w:ascii="Arial" w:hAnsi="Arial" w:cs="Arial"/>
          <w:sz w:val="16"/>
          <w:szCs w:val="16"/>
        </w:rPr>
      </w:pPr>
      <w:r w:rsidRPr="008F4D26">
        <w:rPr>
          <w:rFonts w:ascii="Arial" w:hAnsi="Arial" w:cs="Arial"/>
          <w:sz w:val="16"/>
          <w:szCs w:val="16"/>
        </w:rPr>
        <w:t>….</w:t>
      </w:r>
    </w:p>
    <w:p w14:paraId="0960D005" w14:textId="77777777" w:rsidR="00A96C07" w:rsidRPr="00194992" w:rsidRDefault="00A96C07" w:rsidP="00A96C07">
      <w:pPr>
        <w:pStyle w:val="Textonotapie"/>
        <w:rPr>
          <w:rFonts w:ascii="Arial" w:hAnsi="Arial" w:cs="Arial"/>
          <w:sz w:val="16"/>
          <w:szCs w:val="16"/>
        </w:rPr>
      </w:pPr>
      <w:r w:rsidRPr="008F4D26">
        <w:rPr>
          <w:rFonts w:ascii="Arial" w:hAnsi="Arial" w:cs="Arial"/>
          <w:sz w:val="16"/>
          <w:szCs w:val="16"/>
        </w:rPr>
        <w:t>V. Estar fundado y motivado;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7717708"/>
      <w:docPartObj>
        <w:docPartGallery w:val="Page Numbers (Top of Page)"/>
        <w:docPartUnique/>
      </w:docPartObj>
    </w:sdtPr>
    <w:sdtEndPr/>
    <w:sdtContent>
      <w:p w14:paraId="2EF26B28" w14:textId="1F03A587" w:rsidR="00123565" w:rsidRDefault="001F5011">
        <w:pPr>
          <w:pStyle w:val="Encabezado"/>
          <w:jc w:val="center"/>
        </w:pPr>
        <w:r>
          <w:rPr>
            <w:noProof/>
            <w:lang w:eastAsia="es-MX"/>
          </w:rPr>
          <mc:AlternateContent>
            <mc:Choice Requires="wps">
              <w:drawing>
                <wp:anchor distT="0" distB="0" distL="114300" distR="114300" simplePos="0" relativeHeight="251658240" behindDoc="1" locked="0" layoutInCell="1" allowOverlap="1" wp14:anchorId="0309F32D" wp14:editId="2D215486">
                  <wp:simplePos x="0" y="0"/>
                  <wp:positionH relativeFrom="column">
                    <wp:posOffset>-42701</wp:posOffset>
                  </wp:positionH>
                  <wp:positionV relativeFrom="paragraph">
                    <wp:posOffset>-389830</wp:posOffset>
                  </wp:positionV>
                  <wp:extent cx="897147" cy="819509"/>
                  <wp:effectExtent l="0" t="0" r="17780"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7147" cy="819509"/>
                          </a:xfrm>
                          <a:prstGeom prst="rect">
                            <a:avLst/>
                          </a:prstGeom>
                          <a:solidFill>
                            <a:sysClr val="window" lastClr="FFFFFF"/>
                          </a:solidFill>
                          <a:ln w="6350">
                            <a:solidFill>
                              <a:prstClr val="black"/>
                            </a:solidFill>
                          </a:ln>
                          <a:effectLst/>
                        </wps:spPr>
                        <wps:txbx>
                          <w:txbxContent>
                            <w:p w14:paraId="0DB21602" w14:textId="77777777" w:rsidR="001F5011" w:rsidRPr="001F5011" w:rsidRDefault="001F5011" w:rsidP="001F5011">
                              <w:pPr>
                                <w:tabs>
                                  <w:tab w:val="left" w:pos="1134"/>
                                </w:tabs>
                                <w:jc w:val="both"/>
                                <w:rPr>
                                  <w:rFonts w:cstheme="minorHAnsi"/>
                                  <w:sz w:val="15"/>
                                  <w:szCs w:val="15"/>
                                </w:rPr>
                              </w:pPr>
                              <w:r w:rsidRPr="001F5011">
                                <w:rPr>
                                  <w:rFonts w:cstheme="minorHAnsi"/>
                                  <w:sz w:val="15"/>
                                  <w:szCs w:val="15"/>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09F32D" id="_x0000_t202" coordsize="21600,21600" o:spt="202" path="m,l,21600r21600,l21600,xe">
                  <v:stroke joinstyle="miter"/>
                  <v:path gradientshapeok="t" o:connecttype="rect"/>
                </v:shapetype>
                <v:shape id="Cuadro de texto 1" o:spid="_x0000_s1026" type="#_x0000_t202" style="position:absolute;left:0;text-align:left;margin-left:-3.35pt;margin-top:-30.7pt;width:70.65pt;height:64.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jkHZwIAAN8EAAAOAAAAZHJzL2Uyb0RvYy54bWysVF1v2jAUfZ+0/2D5fQ10tAXUUDEqpkmo&#10;rdROfTaOU6I6vp5tSNiv37ETKGr3NI0Hc+17fD+Oz831TVtrtlPOV2RyPjwbcKaMpKIyLzn/+bT8&#10;MubMB2EKocmonO+V5zezz5+uGztV57QhXSjHEMT4aWNzvgnBTrPMy42qhT8jqwycJblaBGzdS1Y4&#10;0SB6rbPzweAya8gV1pFU3uP0tnPyWYpflkqG+7L0KjCdc9QW0urSuo5rNrsW0xcn7KaSfRniH6qo&#10;RWWQ9BjqVgTBtq76EKqupCNPZTiTVGdUlpVUqQd0Mxy86+ZxI6xKvYAcb480+f8XVt7tHhyrCrwd&#10;Z0bUeKLFVhSOWKFYUG0gNowkNdZPgX20QIf2G7XxQmzY2xXJVw9IdoLpLnigI6YtXR3/0S7DRbzD&#10;/sg9UjCJw/Hkaji64kzCNR5OLgaTmDZ7u2ydD98V1SwaOXd42lSA2K186KAHSKqLdFUsK63TZu8X&#10;2rGdgAognoIazrTwAYc5X6Zfn82fXtOGNTm//Hox6Fo99cVcx5hrLeTrxwioXpuYXyUl9nVGmjpm&#10;ohXaddvzu6ZiD3oddSr1Vi4rZFmh0AfhIEsQh1EL91hKTSiNeouzDbnffzuPeKgFXs4ayDzn/tdW&#10;OIX+fxjoaDIcjeJcpM3o4uocG3fqWZ96zLZeEDiEVlBdMiM+6INZOqqfMZHzmBUuYSRy5zwczEXo&#10;hg8TLdV8nkCYBCvCyjxaeVBVZPepfRbO9s8dpXhHh4EQ03ev3mEj1Ybm20BllSQRCe5Y7eWJKUqi&#10;6ic+junpPqHevkuzPwAAAP//AwBQSwMEFAAGAAgAAAAhANGNzwTfAAAACQEAAA8AAABkcnMvZG93&#10;bnJldi54bWxMj8FOg0AQhu8mvsNmTLy1S20FRYamNjHqyVhNjLeFnQKBnSXsluLbu5z0NJnMl3++&#10;P9tOphMjDa6xjLBaRiCIS6sbrhA+P54WdyCcV6xVZ5kQfsjBNr+8yFSq7ZnfaTz4SoQQdqlCqL3v&#10;UyldWZNRbml74nA72sEoH9ahknpQ5xBuOnkTRbE0quHwoVY97Wsq28PJIOzeXosXV66Po2739Pz1&#10;2Lf337eI11fT7gGEp8n/wTDrB3XIg1NhT6yd6BAWcRLIea42IGZgvYlBFAhxkoDMM/m/Qf4LAAD/&#10;/wMAUEsBAi0AFAAGAAgAAAAhALaDOJL+AAAA4QEAABMAAAAAAAAAAAAAAAAAAAAAAFtDb250ZW50&#10;X1R5cGVzXS54bWxQSwECLQAUAAYACAAAACEAOP0h/9YAAACUAQAACwAAAAAAAAAAAAAAAAAvAQAA&#10;X3JlbHMvLnJlbHNQSwECLQAUAAYACAAAACEA/AI5B2cCAADfBAAADgAAAAAAAAAAAAAAAAAuAgAA&#10;ZHJzL2Uyb0RvYy54bWxQSwECLQAUAAYACAAAACEA0Y3PBN8AAAAJAQAADwAAAAAAAAAAAAAAAADB&#10;BAAAZHJzL2Rvd25yZXYueG1sUEsFBgAAAAAEAAQA8wAAAM0FAAAAAA==&#10;" fillcolor="window" strokeweight=".5pt">
                  <v:path arrowok="t"/>
                  <v:textbox>
                    <w:txbxContent>
                      <w:p w14:paraId="0DB21602" w14:textId="77777777" w:rsidR="001F5011" w:rsidRPr="001F5011" w:rsidRDefault="001F5011" w:rsidP="001F5011">
                        <w:pPr>
                          <w:tabs>
                            <w:tab w:val="left" w:pos="1134"/>
                          </w:tabs>
                          <w:jc w:val="both"/>
                          <w:rPr>
                            <w:rFonts w:cstheme="minorHAnsi"/>
                            <w:sz w:val="15"/>
                            <w:szCs w:val="15"/>
                          </w:rPr>
                        </w:pPr>
                        <w:r w:rsidRPr="001F5011">
                          <w:rPr>
                            <w:rFonts w:cstheme="minorHAnsi"/>
                            <w:sz w:val="15"/>
                            <w:szCs w:val="15"/>
                          </w:rPr>
                          <w:t>Datos personales protegidos por el Art. 116 de la LGTAIP y el artículo 56 de la LTAIPEO.</w:t>
                        </w:r>
                      </w:p>
                    </w:txbxContent>
                  </v:textbox>
                </v:shape>
              </w:pict>
            </mc:Fallback>
          </mc:AlternateContent>
        </w:r>
        <w:r w:rsidR="00E41E8E">
          <w:fldChar w:fldCharType="begin"/>
        </w:r>
        <w:r w:rsidR="00123565">
          <w:instrText>PAGE   \* MERGEFORMAT</w:instrText>
        </w:r>
        <w:r w:rsidR="00E41E8E">
          <w:fldChar w:fldCharType="separate"/>
        </w:r>
        <w:r w:rsidRPr="001F5011">
          <w:rPr>
            <w:noProof/>
            <w:lang w:val="es-ES"/>
          </w:rPr>
          <w:t>11</w:t>
        </w:r>
        <w:r w:rsidR="00E41E8E">
          <w:rPr>
            <w:noProof/>
            <w:lang w:val="es-ES"/>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424E4E"/>
    <w:multiLevelType w:val="hybridMultilevel"/>
    <w:tmpl w:val="1E1EEB4A"/>
    <w:lvl w:ilvl="0" w:tplc="9B3A7DFE">
      <w:start w:val="10"/>
      <w:numFmt w:val="bullet"/>
      <w:lvlText w:val="-"/>
      <w:lvlJc w:val="left"/>
      <w:pPr>
        <w:ind w:left="1068" w:hanging="360"/>
      </w:pPr>
      <w:rPr>
        <w:rFonts w:ascii="Arial" w:eastAsiaTheme="minorHAns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
    <w:nsid w:val="258C2615"/>
    <w:multiLevelType w:val="hybridMultilevel"/>
    <w:tmpl w:val="A66265F6"/>
    <w:lvl w:ilvl="0" w:tplc="3604C8B0">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2EB34239"/>
    <w:multiLevelType w:val="hybridMultilevel"/>
    <w:tmpl w:val="6ACCB454"/>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nsid w:val="41CF6F31"/>
    <w:multiLevelType w:val="hybridMultilevel"/>
    <w:tmpl w:val="09AE9B28"/>
    <w:lvl w:ilvl="0" w:tplc="EBBE95A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nsid w:val="41FD36CC"/>
    <w:multiLevelType w:val="hybridMultilevel"/>
    <w:tmpl w:val="DDB042A4"/>
    <w:lvl w:ilvl="0" w:tplc="EBBE95AA">
      <w:start w:val="1"/>
      <w:numFmt w:val="lowerLetter"/>
      <w:lvlText w:val="%1)"/>
      <w:lvlJc w:val="left"/>
      <w:pPr>
        <w:ind w:left="1068"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43C06BF4"/>
    <w:multiLevelType w:val="hybridMultilevel"/>
    <w:tmpl w:val="B28666A0"/>
    <w:lvl w:ilvl="0" w:tplc="87487270">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nsid w:val="64DF7F63"/>
    <w:multiLevelType w:val="hybridMultilevel"/>
    <w:tmpl w:val="AAC02A2C"/>
    <w:lvl w:ilvl="0" w:tplc="3C06311C">
      <w:start w:val="1"/>
      <w:numFmt w:val="upperRoman"/>
      <w:lvlText w:val="%1."/>
      <w:lvlJc w:val="left"/>
      <w:pPr>
        <w:ind w:left="858" w:hanging="720"/>
      </w:pPr>
      <w:rPr>
        <w:rFonts w:ascii="Arial" w:eastAsia="Arial" w:hAnsi="Arial" w:cs="Arial" w:hint="default"/>
        <w:b/>
        <w:bCs/>
        <w:spacing w:val="-26"/>
        <w:w w:val="99"/>
        <w:sz w:val="24"/>
        <w:szCs w:val="24"/>
        <w:lang w:val="es-ES" w:eastAsia="es-ES" w:bidi="es-ES"/>
      </w:rPr>
    </w:lvl>
    <w:lvl w:ilvl="1" w:tplc="769E2E04">
      <w:numFmt w:val="bullet"/>
      <w:lvlText w:val="•"/>
      <w:lvlJc w:val="left"/>
      <w:pPr>
        <w:ind w:left="1786" w:hanging="720"/>
      </w:pPr>
      <w:rPr>
        <w:rFonts w:hint="default"/>
        <w:lang w:val="es-ES" w:eastAsia="es-ES" w:bidi="es-ES"/>
      </w:rPr>
    </w:lvl>
    <w:lvl w:ilvl="2" w:tplc="B16C1626">
      <w:numFmt w:val="bullet"/>
      <w:lvlText w:val="•"/>
      <w:lvlJc w:val="left"/>
      <w:pPr>
        <w:ind w:left="2712" w:hanging="720"/>
      </w:pPr>
      <w:rPr>
        <w:rFonts w:hint="default"/>
        <w:lang w:val="es-ES" w:eastAsia="es-ES" w:bidi="es-ES"/>
      </w:rPr>
    </w:lvl>
    <w:lvl w:ilvl="3" w:tplc="FB4AE0E8">
      <w:numFmt w:val="bullet"/>
      <w:lvlText w:val="•"/>
      <w:lvlJc w:val="left"/>
      <w:pPr>
        <w:ind w:left="3638" w:hanging="720"/>
      </w:pPr>
      <w:rPr>
        <w:rFonts w:hint="default"/>
        <w:lang w:val="es-ES" w:eastAsia="es-ES" w:bidi="es-ES"/>
      </w:rPr>
    </w:lvl>
    <w:lvl w:ilvl="4" w:tplc="C730FFDC">
      <w:numFmt w:val="bullet"/>
      <w:lvlText w:val="•"/>
      <w:lvlJc w:val="left"/>
      <w:pPr>
        <w:ind w:left="4564" w:hanging="720"/>
      </w:pPr>
      <w:rPr>
        <w:rFonts w:hint="default"/>
        <w:lang w:val="es-ES" w:eastAsia="es-ES" w:bidi="es-ES"/>
      </w:rPr>
    </w:lvl>
    <w:lvl w:ilvl="5" w:tplc="52700452">
      <w:numFmt w:val="bullet"/>
      <w:lvlText w:val="•"/>
      <w:lvlJc w:val="left"/>
      <w:pPr>
        <w:ind w:left="5491" w:hanging="720"/>
      </w:pPr>
      <w:rPr>
        <w:rFonts w:hint="default"/>
        <w:lang w:val="es-ES" w:eastAsia="es-ES" w:bidi="es-ES"/>
      </w:rPr>
    </w:lvl>
    <w:lvl w:ilvl="6" w:tplc="F6AA7E54">
      <w:numFmt w:val="bullet"/>
      <w:lvlText w:val="•"/>
      <w:lvlJc w:val="left"/>
      <w:pPr>
        <w:ind w:left="6417" w:hanging="720"/>
      </w:pPr>
      <w:rPr>
        <w:rFonts w:hint="default"/>
        <w:lang w:val="es-ES" w:eastAsia="es-ES" w:bidi="es-ES"/>
      </w:rPr>
    </w:lvl>
    <w:lvl w:ilvl="7" w:tplc="DDC0AB2E">
      <w:numFmt w:val="bullet"/>
      <w:lvlText w:val="•"/>
      <w:lvlJc w:val="left"/>
      <w:pPr>
        <w:ind w:left="7343" w:hanging="720"/>
      </w:pPr>
      <w:rPr>
        <w:rFonts w:hint="default"/>
        <w:lang w:val="es-ES" w:eastAsia="es-ES" w:bidi="es-ES"/>
      </w:rPr>
    </w:lvl>
    <w:lvl w:ilvl="8" w:tplc="A64884DA">
      <w:numFmt w:val="bullet"/>
      <w:lvlText w:val="•"/>
      <w:lvlJc w:val="left"/>
      <w:pPr>
        <w:ind w:left="8269" w:hanging="720"/>
      </w:pPr>
      <w:rPr>
        <w:rFonts w:hint="default"/>
        <w:lang w:val="es-ES" w:eastAsia="es-ES" w:bidi="es-ES"/>
      </w:rPr>
    </w:lvl>
  </w:abstractNum>
  <w:abstractNum w:abstractNumId="7">
    <w:nsid w:val="7B9A05D7"/>
    <w:multiLevelType w:val="hybridMultilevel"/>
    <w:tmpl w:val="6D6AF998"/>
    <w:lvl w:ilvl="0" w:tplc="FA4CF92A">
      <w:start w:val="10"/>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5"/>
  </w:num>
  <w:num w:numId="4">
    <w:abstractNumId w:val="3"/>
  </w:num>
  <w:num w:numId="5">
    <w:abstractNumId w:val="2"/>
  </w:num>
  <w:num w:numId="6">
    <w:abstractNumId w:val="4"/>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4B0E"/>
    <w:rsid w:val="000026E8"/>
    <w:rsid w:val="00004CDD"/>
    <w:rsid w:val="00005CE2"/>
    <w:rsid w:val="00006B82"/>
    <w:rsid w:val="00007DD5"/>
    <w:rsid w:val="00011125"/>
    <w:rsid w:val="0001491C"/>
    <w:rsid w:val="00014D5E"/>
    <w:rsid w:val="00015045"/>
    <w:rsid w:val="00017459"/>
    <w:rsid w:val="00024773"/>
    <w:rsid w:val="000262FA"/>
    <w:rsid w:val="00026984"/>
    <w:rsid w:val="00027DC0"/>
    <w:rsid w:val="00030698"/>
    <w:rsid w:val="000339B0"/>
    <w:rsid w:val="00034D8F"/>
    <w:rsid w:val="00036A0F"/>
    <w:rsid w:val="00043583"/>
    <w:rsid w:val="00044972"/>
    <w:rsid w:val="0004592D"/>
    <w:rsid w:val="00047315"/>
    <w:rsid w:val="0005024B"/>
    <w:rsid w:val="00052DBE"/>
    <w:rsid w:val="0005750A"/>
    <w:rsid w:val="00061C4E"/>
    <w:rsid w:val="00061DAD"/>
    <w:rsid w:val="00062984"/>
    <w:rsid w:val="0006351F"/>
    <w:rsid w:val="00064AF0"/>
    <w:rsid w:val="00064B5D"/>
    <w:rsid w:val="00067FBE"/>
    <w:rsid w:val="000700CE"/>
    <w:rsid w:val="00087676"/>
    <w:rsid w:val="00096226"/>
    <w:rsid w:val="000964AB"/>
    <w:rsid w:val="00097D40"/>
    <w:rsid w:val="000A1682"/>
    <w:rsid w:val="000A3DCB"/>
    <w:rsid w:val="000A54AE"/>
    <w:rsid w:val="000B4BE2"/>
    <w:rsid w:val="000B682A"/>
    <w:rsid w:val="000B7BA5"/>
    <w:rsid w:val="000C46FE"/>
    <w:rsid w:val="000D3E0C"/>
    <w:rsid w:val="000D5F62"/>
    <w:rsid w:val="000D6059"/>
    <w:rsid w:val="000D7D92"/>
    <w:rsid w:val="000E2532"/>
    <w:rsid w:val="000E2640"/>
    <w:rsid w:val="000E2AB7"/>
    <w:rsid w:val="000E35F6"/>
    <w:rsid w:val="000E66B5"/>
    <w:rsid w:val="000F01C7"/>
    <w:rsid w:val="000F1773"/>
    <w:rsid w:val="000F2B3A"/>
    <w:rsid w:val="000F39AB"/>
    <w:rsid w:val="000F7FE2"/>
    <w:rsid w:val="00103B4B"/>
    <w:rsid w:val="00107D46"/>
    <w:rsid w:val="00110EA2"/>
    <w:rsid w:val="00110FBB"/>
    <w:rsid w:val="00111C19"/>
    <w:rsid w:val="00114142"/>
    <w:rsid w:val="00122987"/>
    <w:rsid w:val="00123565"/>
    <w:rsid w:val="00124387"/>
    <w:rsid w:val="0012545F"/>
    <w:rsid w:val="00126983"/>
    <w:rsid w:val="001343EF"/>
    <w:rsid w:val="00134422"/>
    <w:rsid w:val="0013514C"/>
    <w:rsid w:val="00136799"/>
    <w:rsid w:val="001377BF"/>
    <w:rsid w:val="0014040B"/>
    <w:rsid w:val="001428C4"/>
    <w:rsid w:val="001430DF"/>
    <w:rsid w:val="00143BCC"/>
    <w:rsid w:val="00143CFF"/>
    <w:rsid w:val="00144516"/>
    <w:rsid w:val="00147B61"/>
    <w:rsid w:val="00151521"/>
    <w:rsid w:val="001532E0"/>
    <w:rsid w:val="00153B9F"/>
    <w:rsid w:val="0015446A"/>
    <w:rsid w:val="0015733A"/>
    <w:rsid w:val="001578E7"/>
    <w:rsid w:val="001604AA"/>
    <w:rsid w:val="0016164C"/>
    <w:rsid w:val="00165BE6"/>
    <w:rsid w:val="00166349"/>
    <w:rsid w:val="00166B4B"/>
    <w:rsid w:val="001704DA"/>
    <w:rsid w:val="001707DA"/>
    <w:rsid w:val="00174553"/>
    <w:rsid w:val="0018185E"/>
    <w:rsid w:val="00181A80"/>
    <w:rsid w:val="0018220D"/>
    <w:rsid w:val="0018450A"/>
    <w:rsid w:val="00185009"/>
    <w:rsid w:val="00185C40"/>
    <w:rsid w:val="00191BAF"/>
    <w:rsid w:val="00191BEA"/>
    <w:rsid w:val="00193417"/>
    <w:rsid w:val="00193F7A"/>
    <w:rsid w:val="00194437"/>
    <w:rsid w:val="0019557C"/>
    <w:rsid w:val="0019689A"/>
    <w:rsid w:val="001A1354"/>
    <w:rsid w:val="001A1A96"/>
    <w:rsid w:val="001A2816"/>
    <w:rsid w:val="001A3799"/>
    <w:rsid w:val="001A3E9C"/>
    <w:rsid w:val="001A4B85"/>
    <w:rsid w:val="001A51FC"/>
    <w:rsid w:val="001A6B8A"/>
    <w:rsid w:val="001B3D76"/>
    <w:rsid w:val="001B4354"/>
    <w:rsid w:val="001B45AD"/>
    <w:rsid w:val="001C071D"/>
    <w:rsid w:val="001C3149"/>
    <w:rsid w:val="001C3B72"/>
    <w:rsid w:val="001C40C5"/>
    <w:rsid w:val="001C4ECE"/>
    <w:rsid w:val="001C7582"/>
    <w:rsid w:val="001D0205"/>
    <w:rsid w:val="001D4630"/>
    <w:rsid w:val="001D4AF2"/>
    <w:rsid w:val="001D5168"/>
    <w:rsid w:val="001D5737"/>
    <w:rsid w:val="001D5A01"/>
    <w:rsid w:val="001D5E82"/>
    <w:rsid w:val="001E227F"/>
    <w:rsid w:val="001E2FDD"/>
    <w:rsid w:val="001E791C"/>
    <w:rsid w:val="001F0243"/>
    <w:rsid w:val="001F0AA4"/>
    <w:rsid w:val="001F2549"/>
    <w:rsid w:val="001F280E"/>
    <w:rsid w:val="001F2F3B"/>
    <w:rsid w:val="001F3732"/>
    <w:rsid w:val="001F5011"/>
    <w:rsid w:val="001F710A"/>
    <w:rsid w:val="00204D7B"/>
    <w:rsid w:val="00204DBA"/>
    <w:rsid w:val="0020543A"/>
    <w:rsid w:val="0020615D"/>
    <w:rsid w:val="00206F4D"/>
    <w:rsid w:val="002070CD"/>
    <w:rsid w:val="00210EDA"/>
    <w:rsid w:val="00211C7F"/>
    <w:rsid w:val="00212E2A"/>
    <w:rsid w:val="002140CB"/>
    <w:rsid w:val="002147C1"/>
    <w:rsid w:val="00214C97"/>
    <w:rsid w:val="00216382"/>
    <w:rsid w:val="002166D8"/>
    <w:rsid w:val="00220810"/>
    <w:rsid w:val="002304C7"/>
    <w:rsid w:val="00230553"/>
    <w:rsid w:val="00230683"/>
    <w:rsid w:val="00232394"/>
    <w:rsid w:val="00234324"/>
    <w:rsid w:val="002354D4"/>
    <w:rsid w:val="002401D9"/>
    <w:rsid w:val="00241902"/>
    <w:rsid w:val="00245873"/>
    <w:rsid w:val="00251F85"/>
    <w:rsid w:val="00255F2C"/>
    <w:rsid w:val="0025702D"/>
    <w:rsid w:val="002573AE"/>
    <w:rsid w:val="002631E2"/>
    <w:rsid w:val="0026513F"/>
    <w:rsid w:val="00265CF4"/>
    <w:rsid w:val="00267073"/>
    <w:rsid w:val="00267CFB"/>
    <w:rsid w:val="00271368"/>
    <w:rsid w:val="00271A3C"/>
    <w:rsid w:val="002758B3"/>
    <w:rsid w:val="00277A5F"/>
    <w:rsid w:val="002807A7"/>
    <w:rsid w:val="00283D9B"/>
    <w:rsid w:val="00284930"/>
    <w:rsid w:val="00284D2B"/>
    <w:rsid w:val="00284FAE"/>
    <w:rsid w:val="002875B3"/>
    <w:rsid w:val="00287B46"/>
    <w:rsid w:val="0029083E"/>
    <w:rsid w:val="00290F7A"/>
    <w:rsid w:val="0029107A"/>
    <w:rsid w:val="00293967"/>
    <w:rsid w:val="00296822"/>
    <w:rsid w:val="0029745F"/>
    <w:rsid w:val="00297BC2"/>
    <w:rsid w:val="002A0621"/>
    <w:rsid w:val="002A2081"/>
    <w:rsid w:val="002A6DE8"/>
    <w:rsid w:val="002B0188"/>
    <w:rsid w:val="002B207B"/>
    <w:rsid w:val="002B23E9"/>
    <w:rsid w:val="002B346B"/>
    <w:rsid w:val="002B54E7"/>
    <w:rsid w:val="002C0683"/>
    <w:rsid w:val="002C154C"/>
    <w:rsid w:val="002C35CA"/>
    <w:rsid w:val="002C3BCD"/>
    <w:rsid w:val="002C4D23"/>
    <w:rsid w:val="002D1C1F"/>
    <w:rsid w:val="002D1DFF"/>
    <w:rsid w:val="002D2C80"/>
    <w:rsid w:val="002D6EEC"/>
    <w:rsid w:val="002D7D95"/>
    <w:rsid w:val="002D7E3C"/>
    <w:rsid w:val="002E649C"/>
    <w:rsid w:val="002E6F47"/>
    <w:rsid w:val="002E70AC"/>
    <w:rsid w:val="002E7D49"/>
    <w:rsid w:val="003007D2"/>
    <w:rsid w:val="00301E5F"/>
    <w:rsid w:val="003026EA"/>
    <w:rsid w:val="003027B0"/>
    <w:rsid w:val="00305A9F"/>
    <w:rsid w:val="00306F7C"/>
    <w:rsid w:val="0031158C"/>
    <w:rsid w:val="00313D02"/>
    <w:rsid w:val="00314955"/>
    <w:rsid w:val="00316213"/>
    <w:rsid w:val="00317364"/>
    <w:rsid w:val="00317744"/>
    <w:rsid w:val="003213C7"/>
    <w:rsid w:val="00322B33"/>
    <w:rsid w:val="0032743F"/>
    <w:rsid w:val="00335A7C"/>
    <w:rsid w:val="00337AEA"/>
    <w:rsid w:val="0034462C"/>
    <w:rsid w:val="00344954"/>
    <w:rsid w:val="00346921"/>
    <w:rsid w:val="00346BA2"/>
    <w:rsid w:val="003522AA"/>
    <w:rsid w:val="003534BB"/>
    <w:rsid w:val="0035386D"/>
    <w:rsid w:val="00353F9D"/>
    <w:rsid w:val="00354A4F"/>
    <w:rsid w:val="00354DF7"/>
    <w:rsid w:val="00355419"/>
    <w:rsid w:val="00362F0A"/>
    <w:rsid w:val="00364420"/>
    <w:rsid w:val="00367A2E"/>
    <w:rsid w:val="00373109"/>
    <w:rsid w:val="0037373C"/>
    <w:rsid w:val="003743E9"/>
    <w:rsid w:val="00376D36"/>
    <w:rsid w:val="00376E81"/>
    <w:rsid w:val="00380DC8"/>
    <w:rsid w:val="003842F3"/>
    <w:rsid w:val="0038485F"/>
    <w:rsid w:val="0039171F"/>
    <w:rsid w:val="00393598"/>
    <w:rsid w:val="003A11F2"/>
    <w:rsid w:val="003A44B8"/>
    <w:rsid w:val="003A768F"/>
    <w:rsid w:val="003B1CAB"/>
    <w:rsid w:val="003B3FE0"/>
    <w:rsid w:val="003B4FFC"/>
    <w:rsid w:val="003B740A"/>
    <w:rsid w:val="003C09B2"/>
    <w:rsid w:val="003C1B67"/>
    <w:rsid w:val="003C2AB3"/>
    <w:rsid w:val="003C57A6"/>
    <w:rsid w:val="003C7E7F"/>
    <w:rsid w:val="003D29B1"/>
    <w:rsid w:val="003D2C7D"/>
    <w:rsid w:val="003E034C"/>
    <w:rsid w:val="003E1368"/>
    <w:rsid w:val="003E2295"/>
    <w:rsid w:val="003E2E5A"/>
    <w:rsid w:val="003E5091"/>
    <w:rsid w:val="003E5A1F"/>
    <w:rsid w:val="003E5D05"/>
    <w:rsid w:val="003E6718"/>
    <w:rsid w:val="003E73DD"/>
    <w:rsid w:val="003E768C"/>
    <w:rsid w:val="003F21E5"/>
    <w:rsid w:val="003F2CC0"/>
    <w:rsid w:val="003F71E1"/>
    <w:rsid w:val="003F790C"/>
    <w:rsid w:val="003F7986"/>
    <w:rsid w:val="00402B21"/>
    <w:rsid w:val="0040373F"/>
    <w:rsid w:val="00411994"/>
    <w:rsid w:val="00414FE8"/>
    <w:rsid w:val="00416F2C"/>
    <w:rsid w:val="00417099"/>
    <w:rsid w:val="00417216"/>
    <w:rsid w:val="004225BA"/>
    <w:rsid w:val="004228C2"/>
    <w:rsid w:val="00427B3D"/>
    <w:rsid w:val="00433109"/>
    <w:rsid w:val="00433E39"/>
    <w:rsid w:val="00436355"/>
    <w:rsid w:val="00436C97"/>
    <w:rsid w:val="00436EAA"/>
    <w:rsid w:val="00436FDE"/>
    <w:rsid w:val="00437EDE"/>
    <w:rsid w:val="0044384A"/>
    <w:rsid w:val="004464FC"/>
    <w:rsid w:val="004526A2"/>
    <w:rsid w:val="004535DC"/>
    <w:rsid w:val="004540FE"/>
    <w:rsid w:val="00456CC0"/>
    <w:rsid w:val="00460D90"/>
    <w:rsid w:val="00461158"/>
    <w:rsid w:val="004626BD"/>
    <w:rsid w:val="00466D12"/>
    <w:rsid w:val="00475F3A"/>
    <w:rsid w:val="00476ACE"/>
    <w:rsid w:val="004779E3"/>
    <w:rsid w:val="00480E16"/>
    <w:rsid w:val="0048217F"/>
    <w:rsid w:val="00484690"/>
    <w:rsid w:val="004866E0"/>
    <w:rsid w:val="004875C6"/>
    <w:rsid w:val="00487CE3"/>
    <w:rsid w:val="00490C78"/>
    <w:rsid w:val="004912AC"/>
    <w:rsid w:val="00493AE3"/>
    <w:rsid w:val="00496546"/>
    <w:rsid w:val="00496E05"/>
    <w:rsid w:val="004970A7"/>
    <w:rsid w:val="004A12B0"/>
    <w:rsid w:val="004A483D"/>
    <w:rsid w:val="004A4CCD"/>
    <w:rsid w:val="004B0691"/>
    <w:rsid w:val="004B081E"/>
    <w:rsid w:val="004B23F2"/>
    <w:rsid w:val="004B401E"/>
    <w:rsid w:val="004B590D"/>
    <w:rsid w:val="004C026A"/>
    <w:rsid w:val="004C0BCE"/>
    <w:rsid w:val="004C27F3"/>
    <w:rsid w:val="004C3810"/>
    <w:rsid w:val="004C41FD"/>
    <w:rsid w:val="004C4C94"/>
    <w:rsid w:val="004D0C04"/>
    <w:rsid w:val="004D1048"/>
    <w:rsid w:val="004D1D42"/>
    <w:rsid w:val="004D32A7"/>
    <w:rsid w:val="004E0C4F"/>
    <w:rsid w:val="004F1D77"/>
    <w:rsid w:val="004F2B25"/>
    <w:rsid w:val="004F40EA"/>
    <w:rsid w:val="004F6938"/>
    <w:rsid w:val="004F7A70"/>
    <w:rsid w:val="005042C6"/>
    <w:rsid w:val="005044D6"/>
    <w:rsid w:val="005053D6"/>
    <w:rsid w:val="005135D0"/>
    <w:rsid w:val="00514A2E"/>
    <w:rsid w:val="005157C0"/>
    <w:rsid w:val="00515846"/>
    <w:rsid w:val="00515A8F"/>
    <w:rsid w:val="00515FAF"/>
    <w:rsid w:val="005239A6"/>
    <w:rsid w:val="005240F9"/>
    <w:rsid w:val="00524DD3"/>
    <w:rsid w:val="005268BA"/>
    <w:rsid w:val="00530A0F"/>
    <w:rsid w:val="00532E71"/>
    <w:rsid w:val="00532F43"/>
    <w:rsid w:val="00534B32"/>
    <w:rsid w:val="00535988"/>
    <w:rsid w:val="005366D9"/>
    <w:rsid w:val="00540A24"/>
    <w:rsid w:val="00541B51"/>
    <w:rsid w:val="005436F1"/>
    <w:rsid w:val="005464D3"/>
    <w:rsid w:val="00550C05"/>
    <w:rsid w:val="00551F17"/>
    <w:rsid w:val="0055615C"/>
    <w:rsid w:val="0056580A"/>
    <w:rsid w:val="00566B86"/>
    <w:rsid w:val="005706F7"/>
    <w:rsid w:val="00570B41"/>
    <w:rsid w:val="005738A9"/>
    <w:rsid w:val="005739B2"/>
    <w:rsid w:val="00576FFB"/>
    <w:rsid w:val="0057705B"/>
    <w:rsid w:val="0058185F"/>
    <w:rsid w:val="005820CB"/>
    <w:rsid w:val="00582F61"/>
    <w:rsid w:val="00583D96"/>
    <w:rsid w:val="005878A9"/>
    <w:rsid w:val="005901DE"/>
    <w:rsid w:val="00592A8F"/>
    <w:rsid w:val="00594272"/>
    <w:rsid w:val="0059609A"/>
    <w:rsid w:val="005968A6"/>
    <w:rsid w:val="005970CF"/>
    <w:rsid w:val="005A0F96"/>
    <w:rsid w:val="005A2BDC"/>
    <w:rsid w:val="005A3FEF"/>
    <w:rsid w:val="005B04C8"/>
    <w:rsid w:val="005B1EA7"/>
    <w:rsid w:val="005B451D"/>
    <w:rsid w:val="005B59E4"/>
    <w:rsid w:val="005B66C9"/>
    <w:rsid w:val="005B6CD0"/>
    <w:rsid w:val="005C0ABE"/>
    <w:rsid w:val="005C0E5A"/>
    <w:rsid w:val="005C158F"/>
    <w:rsid w:val="005C2F2D"/>
    <w:rsid w:val="005D092A"/>
    <w:rsid w:val="005D0CAA"/>
    <w:rsid w:val="005D1F28"/>
    <w:rsid w:val="005D245A"/>
    <w:rsid w:val="005D707E"/>
    <w:rsid w:val="005E0703"/>
    <w:rsid w:val="005E1F0A"/>
    <w:rsid w:val="005E3100"/>
    <w:rsid w:val="005E67D1"/>
    <w:rsid w:val="005F13BA"/>
    <w:rsid w:val="005F1B07"/>
    <w:rsid w:val="005F35EB"/>
    <w:rsid w:val="005F36E9"/>
    <w:rsid w:val="005F3A71"/>
    <w:rsid w:val="005F3E48"/>
    <w:rsid w:val="005F58E9"/>
    <w:rsid w:val="00600893"/>
    <w:rsid w:val="0060096E"/>
    <w:rsid w:val="00605B14"/>
    <w:rsid w:val="0060692D"/>
    <w:rsid w:val="00607BF2"/>
    <w:rsid w:val="006111DD"/>
    <w:rsid w:val="00612272"/>
    <w:rsid w:val="0061447A"/>
    <w:rsid w:val="0061453A"/>
    <w:rsid w:val="00615DC1"/>
    <w:rsid w:val="00617D60"/>
    <w:rsid w:val="00621F7E"/>
    <w:rsid w:val="00623C7E"/>
    <w:rsid w:val="0062715D"/>
    <w:rsid w:val="00627DD6"/>
    <w:rsid w:val="00635189"/>
    <w:rsid w:val="00635D3F"/>
    <w:rsid w:val="00637921"/>
    <w:rsid w:val="00640144"/>
    <w:rsid w:val="006404BE"/>
    <w:rsid w:val="00641C1B"/>
    <w:rsid w:val="0064359D"/>
    <w:rsid w:val="00643BD5"/>
    <w:rsid w:val="0064671D"/>
    <w:rsid w:val="00646C6B"/>
    <w:rsid w:val="00650482"/>
    <w:rsid w:val="00651A02"/>
    <w:rsid w:val="00653F12"/>
    <w:rsid w:val="0065580B"/>
    <w:rsid w:val="00655CAA"/>
    <w:rsid w:val="00657991"/>
    <w:rsid w:val="006621FC"/>
    <w:rsid w:val="00663E37"/>
    <w:rsid w:val="00664AEC"/>
    <w:rsid w:val="00667376"/>
    <w:rsid w:val="00672869"/>
    <w:rsid w:val="006732DE"/>
    <w:rsid w:val="00674F2F"/>
    <w:rsid w:val="00675487"/>
    <w:rsid w:val="006765C5"/>
    <w:rsid w:val="006769AE"/>
    <w:rsid w:val="006776CA"/>
    <w:rsid w:val="00677921"/>
    <w:rsid w:val="0068315D"/>
    <w:rsid w:val="00683D45"/>
    <w:rsid w:val="0068680B"/>
    <w:rsid w:val="00686BBE"/>
    <w:rsid w:val="006914D7"/>
    <w:rsid w:val="00695D58"/>
    <w:rsid w:val="00697176"/>
    <w:rsid w:val="006974BE"/>
    <w:rsid w:val="00697AF5"/>
    <w:rsid w:val="006A03BE"/>
    <w:rsid w:val="006A3046"/>
    <w:rsid w:val="006B12F1"/>
    <w:rsid w:val="006B1623"/>
    <w:rsid w:val="006B19FE"/>
    <w:rsid w:val="006B3DFD"/>
    <w:rsid w:val="006B3F7F"/>
    <w:rsid w:val="006B49FD"/>
    <w:rsid w:val="006C050F"/>
    <w:rsid w:val="006C2B12"/>
    <w:rsid w:val="006C5A90"/>
    <w:rsid w:val="006C7A08"/>
    <w:rsid w:val="006D09D3"/>
    <w:rsid w:val="006D169F"/>
    <w:rsid w:val="006D1822"/>
    <w:rsid w:val="006D3EA0"/>
    <w:rsid w:val="006D4BDA"/>
    <w:rsid w:val="006E0CBD"/>
    <w:rsid w:val="006E48A7"/>
    <w:rsid w:val="006E5F31"/>
    <w:rsid w:val="006F0E22"/>
    <w:rsid w:val="006F19E5"/>
    <w:rsid w:val="006F3B56"/>
    <w:rsid w:val="006F6728"/>
    <w:rsid w:val="007029F9"/>
    <w:rsid w:val="00703232"/>
    <w:rsid w:val="007033BD"/>
    <w:rsid w:val="00710DAF"/>
    <w:rsid w:val="00712856"/>
    <w:rsid w:val="00712A5E"/>
    <w:rsid w:val="007150B9"/>
    <w:rsid w:val="00721510"/>
    <w:rsid w:val="007226EC"/>
    <w:rsid w:val="00722E96"/>
    <w:rsid w:val="007314F8"/>
    <w:rsid w:val="00731B46"/>
    <w:rsid w:val="00733282"/>
    <w:rsid w:val="00733C70"/>
    <w:rsid w:val="00734AC3"/>
    <w:rsid w:val="00734E86"/>
    <w:rsid w:val="0073531D"/>
    <w:rsid w:val="007373C0"/>
    <w:rsid w:val="00744320"/>
    <w:rsid w:val="00744F63"/>
    <w:rsid w:val="007456A2"/>
    <w:rsid w:val="00747B22"/>
    <w:rsid w:val="007513DC"/>
    <w:rsid w:val="00752CB1"/>
    <w:rsid w:val="007568C3"/>
    <w:rsid w:val="007574A8"/>
    <w:rsid w:val="007574B4"/>
    <w:rsid w:val="00760015"/>
    <w:rsid w:val="007606C7"/>
    <w:rsid w:val="007626BF"/>
    <w:rsid w:val="00762C9D"/>
    <w:rsid w:val="00770AEC"/>
    <w:rsid w:val="00770D21"/>
    <w:rsid w:val="00771917"/>
    <w:rsid w:val="00771BBC"/>
    <w:rsid w:val="007731DD"/>
    <w:rsid w:val="00777EE8"/>
    <w:rsid w:val="00781184"/>
    <w:rsid w:val="007838F2"/>
    <w:rsid w:val="007866A5"/>
    <w:rsid w:val="00787BCC"/>
    <w:rsid w:val="00792C2D"/>
    <w:rsid w:val="00793696"/>
    <w:rsid w:val="0079430A"/>
    <w:rsid w:val="00794644"/>
    <w:rsid w:val="00795C1A"/>
    <w:rsid w:val="00795E64"/>
    <w:rsid w:val="0079747B"/>
    <w:rsid w:val="007977D6"/>
    <w:rsid w:val="007A444D"/>
    <w:rsid w:val="007A5346"/>
    <w:rsid w:val="007A58F3"/>
    <w:rsid w:val="007A5F82"/>
    <w:rsid w:val="007B04A2"/>
    <w:rsid w:val="007B1499"/>
    <w:rsid w:val="007B59FF"/>
    <w:rsid w:val="007B6A86"/>
    <w:rsid w:val="007B6BE8"/>
    <w:rsid w:val="007B6FB1"/>
    <w:rsid w:val="007C5A8B"/>
    <w:rsid w:val="007D303F"/>
    <w:rsid w:val="007D655C"/>
    <w:rsid w:val="007E2D47"/>
    <w:rsid w:val="007E58A5"/>
    <w:rsid w:val="007E60C0"/>
    <w:rsid w:val="007E634C"/>
    <w:rsid w:val="007F3B53"/>
    <w:rsid w:val="007F60D9"/>
    <w:rsid w:val="007F6A13"/>
    <w:rsid w:val="007F701F"/>
    <w:rsid w:val="00800A89"/>
    <w:rsid w:val="0080321F"/>
    <w:rsid w:val="00804AB7"/>
    <w:rsid w:val="00806BF3"/>
    <w:rsid w:val="00807569"/>
    <w:rsid w:val="0080789C"/>
    <w:rsid w:val="00810D87"/>
    <w:rsid w:val="00812179"/>
    <w:rsid w:val="00812727"/>
    <w:rsid w:val="0081340C"/>
    <w:rsid w:val="0081363C"/>
    <w:rsid w:val="00814042"/>
    <w:rsid w:val="00816164"/>
    <w:rsid w:val="00817BF8"/>
    <w:rsid w:val="008200A5"/>
    <w:rsid w:val="00820EF9"/>
    <w:rsid w:val="00822DBE"/>
    <w:rsid w:val="008230DE"/>
    <w:rsid w:val="008262F6"/>
    <w:rsid w:val="0082681E"/>
    <w:rsid w:val="008306ED"/>
    <w:rsid w:val="008309D2"/>
    <w:rsid w:val="00830AAE"/>
    <w:rsid w:val="00833674"/>
    <w:rsid w:val="00834028"/>
    <w:rsid w:val="008351AC"/>
    <w:rsid w:val="00836908"/>
    <w:rsid w:val="008405CB"/>
    <w:rsid w:val="00844E72"/>
    <w:rsid w:val="00845B00"/>
    <w:rsid w:val="00846528"/>
    <w:rsid w:val="00846DA7"/>
    <w:rsid w:val="00846FDB"/>
    <w:rsid w:val="00850508"/>
    <w:rsid w:val="00854BAC"/>
    <w:rsid w:val="0085575D"/>
    <w:rsid w:val="00856C95"/>
    <w:rsid w:val="008604D1"/>
    <w:rsid w:val="0086130C"/>
    <w:rsid w:val="0086352E"/>
    <w:rsid w:val="008644E4"/>
    <w:rsid w:val="00870482"/>
    <w:rsid w:val="00871147"/>
    <w:rsid w:val="00872E1F"/>
    <w:rsid w:val="00874EAF"/>
    <w:rsid w:val="00875C53"/>
    <w:rsid w:val="00880879"/>
    <w:rsid w:val="00880CC6"/>
    <w:rsid w:val="00880E87"/>
    <w:rsid w:val="008816D5"/>
    <w:rsid w:val="00883CC2"/>
    <w:rsid w:val="00890143"/>
    <w:rsid w:val="00891B0B"/>
    <w:rsid w:val="00892B5E"/>
    <w:rsid w:val="0089406E"/>
    <w:rsid w:val="008947E1"/>
    <w:rsid w:val="00895648"/>
    <w:rsid w:val="00895C9B"/>
    <w:rsid w:val="00896598"/>
    <w:rsid w:val="00897156"/>
    <w:rsid w:val="00897A48"/>
    <w:rsid w:val="008A2F53"/>
    <w:rsid w:val="008A2FE3"/>
    <w:rsid w:val="008A39CB"/>
    <w:rsid w:val="008A58BA"/>
    <w:rsid w:val="008B0760"/>
    <w:rsid w:val="008B1416"/>
    <w:rsid w:val="008B1D31"/>
    <w:rsid w:val="008B20B1"/>
    <w:rsid w:val="008B599A"/>
    <w:rsid w:val="008B6001"/>
    <w:rsid w:val="008C0217"/>
    <w:rsid w:val="008C2A23"/>
    <w:rsid w:val="008D0591"/>
    <w:rsid w:val="008D06A5"/>
    <w:rsid w:val="008D11CD"/>
    <w:rsid w:val="008D1B49"/>
    <w:rsid w:val="008D321F"/>
    <w:rsid w:val="008D3609"/>
    <w:rsid w:val="008D4631"/>
    <w:rsid w:val="008D5F8C"/>
    <w:rsid w:val="008E121E"/>
    <w:rsid w:val="008E2050"/>
    <w:rsid w:val="008E5651"/>
    <w:rsid w:val="008E5C1B"/>
    <w:rsid w:val="008F054C"/>
    <w:rsid w:val="008F557D"/>
    <w:rsid w:val="0090155E"/>
    <w:rsid w:val="009056A5"/>
    <w:rsid w:val="00907BC9"/>
    <w:rsid w:val="00907E14"/>
    <w:rsid w:val="009101AC"/>
    <w:rsid w:val="00910CAD"/>
    <w:rsid w:val="00910CEF"/>
    <w:rsid w:val="00911747"/>
    <w:rsid w:val="00911768"/>
    <w:rsid w:val="0091289B"/>
    <w:rsid w:val="00916123"/>
    <w:rsid w:val="009175F8"/>
    <w:rsid w:val="00921A40"/>
    <w:rsid w:val="00922BEA"/>
    <w:rsid w:val="00923B42"/>
    <w:rsid w:val="00923D64"/>
    <w:rsid w:val="0092547F"/>
    <w:rsid w:val="009271E6"/>
    <w:rsid w:val="00930456"/>
    <w:rsid w:val="0093091C"/>
    <w:rsid w:val="009311A6"/>
    <w:rsid w:val="009322B6"/>
    <w:rsid w:val="00932418"/>
    <w:rsid w:val="00934BA2"/>
    <w:rsid w:val="0093690E"/>
    <w:rsid w:val="009409E7"/>
    <w:rsid w:val="0094243C"/>
    <w:rsid w:val="00942FF6"/>
    <w:rsid w:val="0094465F"/>
    <w:rsid w:val="00944722"/>
    <w:rsid w:val="00945D5D"/>
    <w:rsid w:val="00946E26"/>
    <w:rsid w:val="00947A4E"/>
    <w:rsid w:val="00947CB1"/>
    <w:rsid w:val="00951B16"/>
    <w:rsid w:val="00952C5B"/>
    <w:rsid w:val="00956C8B"/>
    <w:rsid w:val="00961B3F"/>
    <w:rsid w:val="00961FCC"/>
    <w:rsid w:val="00962106"/>
    <w:rsid w:val="009623DE"/>
    <w:rsid w:val="009631F3"/>
    <w:rsid w:val="00966FEA"/>
    <w:rsid w:val="00970991"/>
    <w:rsid w:val="00974D4A"/>
    <w:rsid w:val="0097502D"/>
    <w:rsid w:val="00982B4A"/>
    <w:rsid w:val="00982CBC"/>
    <w:rsid w:val="009833D9"/>
    <w:rsid w:val="00985AEC"/>
    <w:rsid w:val="00987D17"/>
    <w:rsid w:val="00990146"/>
    <w:rsid w:val="009935EE"/>
    <w:rsid w:val="009943F3"/>
    <w:rsid w:val="009953D1"/>
    <w:rsid w:val="00995FB3"/>
    <w:rsid w:val="00996613"/>
    <w:rsid w:val="009A100F"/>
    <w:rsid w:val="009A11CD"/>
    <w:rsid w:val="009A2C91"/>
    <w:rsid w:val="009A5C49"/>
    <w:rsid w:val="009A7FB7"/>
    <w:rsid w:val="009B0D0C"/>
    <w:rsid w:val="009B3479"/>
    <w:rsid w:val="009B5395"/>
    <w:rsid w:val="009B540A"/>
    <w:rsid w:val="009C15EA"/>
    <w:rsid w:val="009C46C6"/>
    <w:rsid w:val="009C6AE4"/>
    <w:rsid w:val="009C7245"/>
    <w:rsid w:val="009D04F0"/>
    <w:rsid w:val="009D0BE2"/>
    <w:rsid w:val="009D4B0E"/>
    <w:rsid w:val="009D6A8E"/>
    <w:rsid w:val="009D6FB7"/>
    <w:rsid w:val="009D7CFC"/>
    <w:rsid w:val="009E08AC"/>
    <w:rsid w:val="009E0B3A"/>
    <w:rsid w:val="009E1C88"/>
    <w:rsid w:val="009E2A26"/>
    <w:rsid w:val="009E2EF8"/>
    <w:rsid w:val="009E5D95"/>
    <w:rsid w:val="009E6194"/>
    <w:rsid w:val="009E7028"/>
    <w:rsid w:val="009F0A5B"/>
    <w:rsid w:val="009F2D5F"/>
    <w:rsid w:val="009F3890"/>
    <w:rsid w:val="009F610C"/>
    <w:rsid w:val="009F7B10"/>
    <w:rsid w:val="00A00F86"/>
    <w:rsid w:val="00A03134"/>
    <w:rsid w:val="00A04626"/>
    <w:rsid w:val="00A05015"/>
    <w:rsid w:val="00A05185"/>
    <w:rsid w:val="00A0606C"/>
    <w:rsid w:val="00A118E0"/>
    <w:rsid w:val="00A151FE"/>
    <w:rsid w:val="00A15C47"/>
    <w:rsid w:val="00A16B87"/>
    <w:rsid w:val="00A2158E"/>
    <w:rsid w:val="00A2173D"/>
    <w:rsid w:val="00A2237A"/>
    <w:rsid w:val="00A26EE8"/>
    <w:rsid w:val="00A3000F"/>
    <w:rsid w:val="00A32EB9"/>
    <w:rsid w:val="00A32FDA"/>
    <w:rsid w:val="00A4002A"/>
    <w:rsid w:val="00A41436"/>
    <w:rsid w:val="00A5042D"/>
    <w:rsid w:val="00A50C77"/>
    <w:rsid w:val="00A51154"/>
    <w:rsid w:val="00A54FCC"/>
    <w:rsid w:val="00A66CC2"/>
    <w:rsid w:val="00A67029"/>
    <w:rsid w:val="00A67E7F"/>
    <w:rsid w:val="00A70C1D"/>
    <w:rsid w:val="00A7127F"/>
    <w:rsid w:val="00A72830"/>
    <w:rsid w:val="00A7328B"/>
    <w:rsid w:val="00A74746"/>
    <w:rsid w:val="00A75234"/>
    <w:rsid w:val="00A76F65"/>
    <w:rsid w:val="00A8294B"/>
    <w:rsid w:val="00A83A06"/>
    <w:rsid w:val="00A8469E"/>
    <w:rsid w:val="00A870A7"/>
    <w:rsid w:val="00A87698"/>
    <w:rsid w:val="00A877C0"/>
    <w:rsid w:val="00A918A6"/>
    <w:rsid w:val="00A92706"/>
    <w:rsid w:val="00A92F86"/>
    <w:rsid w:val="00A96C07"/>
    <w:rsid w:val="00A97314"/>
    <w:rsid w:val="00A973BD"/>
    <w:rsid w:val="00AA0F25"/>
    <w:rsid w:val="00AA0F64"/>
    <w:rsid w:val="00AA128E"/>
    <w:rsid w:val="00AB10E3"/>
    <w:rsid w:val="00AB35AD"/>
    <w:rsid w:val="00AB3B54"/>
    <w:rsid w:val="00AB4EC9"/>
    <w:rsid w:val="00AB5D2E"/>
    <w:rsid w:val="00AB6DC5"/>
    <w:rsid w:val="00AB7AC6"/>
    <w:rsid w:val="00AC1994"/>
    <w:rsid w:val="00AC1AA1"/>
    <w:rsid w:val="00AC4D2B"/>
    <w:rsid w:val="00AD0BC0"/>
    <w:rsid w:val="00AD552F"/>
    <w:rsid w:val="00AD5BA2"/>
    <w:rsid w:val="00AD67FF"/>
    <w:rsid w:val="00AE05A5"/>
    <w:rsid w:val="00AE3427"/>
    <w:rsid w:val="00AE3F6C"/>
    <w:rsid w:val="00AE7CD3"/>
    <w:rsid w:val="00AF08B1"/>
    <w:rsid w:val="00AF1B4A"/>
    <w:rsid w:val="00AF1EBA"/>
    <w:rsid w:val="00AF30A9"/>
    <w:rsid w:val="00AF353F"/>
    <w:rsid w:val="00AF6E00"/>
    <w:rsid w:val="00B00B84"/>
    <w:rsid w:val="00B01297"/>
    <w:rsid w:val="00B013FE"/>
    <w:rsid w:val="00B03260"/>
    <w:rsid w:val="00B04AFE"/>
    <w:rsid w:val="00B052B3"/>
    <w:rsid w:val="00B0582F"/>
    <w:rsid w:val="00B0642B"/>
    <w:rsid w:val="00B0768C"/>
    <w:rsid w:val="00B111A4"/>
    <w:rsid w:val="00B121CC"/>
    <w:rsid w:val="00B130FF"/>
    <w:rsid w:val="00B16DF0"/>
    <w:rsid w:val="00B17F08"/>
    <w:rsid w:val="00B250A9"/>
    <w:rsid w:val="00B3002D"/>
    <w:rsid w:val="00B327C6"/>
    <w:rsid w:val="00B4205B"/>
    <w:rsid w:val="00B43D64"/>
    <w:rsid w:val="00B440DA"/>
    <w:rsid w:val="00B46071"/>
    <w:rsid w:val="00B464F4"/>
    <w:rsid w:val="00B476A3"/>
    <w:rsid w:val="00B51CFC"/>
    <w:rsid w:val="00B52E13"/>
    <w:rsid w:val="00B531C1"/>
    <w:rsid w:val="00B54594"/>
    <w:rsid w:val="00B57F42"/>
    <w:rsid w:val="00B623EF"/>
    <w:rsid w:val="00B6257F"/>
    <w:rsid w:val="00B63E45"/>
    <w:rsid w:val="00B65770"/>
    <w:rsid w:val="00B66E88"/>
    <w:rsid w:val="00B674A9"/>
    <w:rsid w:val="00B67E97"/>
    <w:rsid w:val="00B7469B"/>
    <w:rsid w:val="00B757D9"/>
    <w:rsid w:val="00B758C6"/>
    <w:rsid w:val="00B766C7"/>
    <w:rsid w:val="00B76B25"/>
    <w:rsid w:val="00B76E73"/>
    <w:rsid w:val="00B76E87"/>
    <w:rsid w:val="00B802AB"/>
    <w:rsid w:val="00B805AE"/>
    <w:rsid w:val="00B80E7B"/>
    <w:rsid w:val="00B85637"/>
    <w:rsid w:val="00B86D8F"/>
    <w:rsid w:val="00B86F49"/>
    <w:rsid w:val="00B8705D"/>
    <w:rsid w:val="00B8724C"/>
    <w:rsid w:val="00B87DA9"/>
    <w:rsid w:val="00B90021"/>
    <w:rsid w:val="00B91928"/>
    <w:rsid w:val="00B928C5"/>
    <w:rsid w:val="00B9296F"/>
    <w:rsid w:val="00B975B9"/>
    <w:rsid w:val="00B97883"/>
    <w:rsid w:val="00BA0111"/>
    <w:rsid w:val="00BA2437"/>
    <w:rsid w:val="00BA7E97"/>
    <w:rsid w:val="00BB0B4E"/>
    <w:rsid w:val="00BB1E68"/>
    <w:rsid w:val="00BB2537"/>
    <w:rsid w:val="00BB5CE3"/>
    <w:rsid w:val="00BB7DE7"/>
    <w:rsid w:val="00BC1E6D"/>
    <w:rsid w:val="00BC2FAE"/>
    <w:rsid w:val="00BC4636"/>
    <w:rsid w:val="00BC56A4"/>
    <w:rsid w:val="00BD38D0"/>
    <w:rsid w:val="00BE158F"/>
    <w:rsid w:val="00BE2AAB"/>
    <w:rsid w:val="00BE3D98"/>
    <w:rsid w:val="00BE4944"/>
    <w:rsid w:val="00BE7283"/>
    <w:rsid w:val="00BE7364"/>
    <w:rsid w:val="00BF19A6"/>
    <w:rsid w:val="00BF33BB"/>
    <w:rsid w:val="00BF4578"/>
    <w:rsid w:val="00BF49A4"/>
    <w:rsid w:val="00BF6387"/>
    <w:rsid w:val="00BF6570"/>
    <w:rsid w:val="00BF6B1C"/>
    <w:rsid w:val="00C00F14"/>
    <w:rsid w:val="00C02BE4"/>
    <w:rsid w:val="00C05CC0"/>
    <w:rsid w:val="00C06679"/>
    <w:rsid w:val="00C10CAB"/>
    <w:rsid w:val="00C1224F"/>
    <w:rsid w:val="00C13591"/>
    <w:rsid w:val="00C21723"/>
    <w:rsid w:val="00C24443"/>
    <w:rsid w:val="00C24F63"/>
    <w:rsid w:val="00C25EDB"/>
    <w:rsid w:val="00C300F3"/>
    <w:rsid w:val="00C31F56"/>
    <w:rsid w:val="00C367F8"/>
    <w:rsid w:val="00C462B1"/>
    <w:rsid w:val="00C519C2"/>
    <w:rsid w:val="00C53B92"/>
    <w:rsid w:val="00C61217"/>
    <w:rsid w:val="00C61933"/>
    <w:rsid w:val="00C621C5"/>
    <w:rsid w:val="00C62F3D"/>
    <w:rsid w:val="00C6746B"/>
    <w:rsid w:val="00C70E01"/>
    <w:rsid w:val="00C717DD"/>
    <w:rsid w:val="00C73E2A"/>
    <w:rsid w:val="00C7686D"/>
    <w:rsid w:val="00C90148"/>
    <w:rsid w:val="00C9046E"/>
    <w:rsid w:val="00C94361"/>
    <w:rsid w:val="00C967F9"/>
    <w:rsid w:val="00C97328"/>
    <w:rsid w:val="00CA30E0"/>
    <w:rsid w:val="00CA51C4"/>
    <w:rsid w:val="00CA58AB"/>
    <w:rsid w:val="00CA59BD"/>
    <w:rsid w:val="00CA6A78"/>
    <w:rsid w:val="00CB17FB"/>
    <w:rsid w:val="00CB6136"/>
    <w:rsid w:val="00CB6C07"/>
    <w:rsid w:val="00CC06E9"/>
    <w:rsid w:val="00CC0CB4"/>
    <w:rsid w:val="00CC3468"/>
    <w:rsid w:val="00CC3E12"/>
    <w:rsid w:val="00CC5CE1"/>
    <w:rsid w:val="00CD0522"/>
    <w:rsid w:val="00CD3C41"/>
    <w:rsid w:val="00CD57E2"/>
    <w:rsid w:val="00CD636F"/>
    <w:rsid w:val="00CD7C7B"/>
    <w:rsid w:val="00CE0D68"/>
    <w:rsid w:val="00CE2FBD"/>
    <w:rsid w:val="00CE7229"/>
    <w:rsid w:val="00CF0815"/>
    <w:rsid w:val="00CF1EED"/>
    <w:rsid w:val="00CF3BD3"/>
    <w:rsid w:val="00CF3D45"/>
    <w:rsid w:val="00CF4E62"/>
    <w:rsid w:val="00CF6653"/>
    <w:rsid w:val="00CF6D72"/>
    <w:rsid w:val="00D04D0E"/>
    <w:rsid w:val="00D061F1"/>
    <w:rsid w:val="00D07735"/>
    <w:rsid w:val="00D12011"/>
    <w:rsid w:val="00D14398"/>
    <w:rsid w:val="00D14FAB"/>
    <w:rsid w:val="00D15AF8"/>
    <w:rsid w:val="00D15CC4"/>
    <w:rsid w:val="00D21BDF"/>
    <w:rsid w:val="00D2250C"/>
    <w:rsid w:val="00D22754"/>
    <w:rsid w:val="00D26138"/>
    <w:rsid w:val="00D2662A"/>
    <w:rsid w:val="00D267B0"/>
    <w:rsid w:val="00D31CF8"/>
    <w:rsid w:val="00D33D4F"/>
    <w:rsid w:val="00D34B85"/>
    <w:rsid w:val="00D34D91"/>
    <w:rsid w:val="00D41FED"/>
    <w:rsid w:val="00D42789"/>
    <w:rsid w:val="00D42FA5"/>
    <w:rsid w:val="00D43CDE"/>
    <w:rsid w:val="00D453F9"/>
    <w:rsid w:val="00D470EF"/>
    <w:rsid w:val="00D471FA"/>
    <w:rsid w:val="00D47F08"/>
    <w:rsid w:val="00D52C7B"/>
    <w:rsid w:val="00D52F4A"/>
    <w:rsid w:val="00D5536C"/>
    <w:rsid w:val="00D55D2F"/>
    <w:rsid w:val="00D62E4D"/>
    <w:rsid w:val="00D67673"/>
    <w:rsid w:val="00D71CC4"/>
    <w:rsid w:val="00D72B0C"/>
    <w:rsid w:val="00D74DD1"/>
    <w:rsid w:val="00D765E2"/>
    <w:rsid w:val="00D80D78"/>
    <w:rsid w:val="00D81FFC"/>
    <w:rsid w:val="00D8324C"/>
    <w:rsid w:val="00D832D6"/>
    <w:rsid w:val="00D91005"/>
    <w:rsid w:val="00D9606D"/>
    <w:rsid w:val="00D97DD1"/>
    <w:rsid w:val="00DA2C8E"/>
    <w:rsid w:val="00DA483E"/>
    <w:rsid w:val="00DA551F"/>
    <w:rsid w:val="00DA644E"/>
    <w:rsid w:val="00DA65E1"/>
    <w:rsid w:val="00DA6E7F"/>
    <w:rsid w:val="00DA7169"/>
    <w:rsid w:val="00DB085A"/>
    <w:rsid w:val="00DB0970"/>
    <w:rsid w:val="00DB12F9"/>
    <w:rsid w:val="00DB5616"/>
    <w:rsid w:val="00DB5752"/>
    <w:rsid w:val="00DB71D3"/>
    <w:rsid w:val="00DC035D"/>
    <w:rsid w:val="00DC0F16"/>
    <w:rsid w:val="00DC4842"/>
    <w:rsid w:val="00DC6895"/>
    <w:rsid w:val="00DC6BC3"/>
    <w:rsid w:val="00DC7AFA"/>
    <w:rsid w:val="00DC7B33"/>
    <w:rsid w:val="00DD0A94"/>
    <w:rsid w:val="00DD0F0D"/>
    <w:rsid w:val="00DD3246"/>
    <w:rsid w:val="00DD3A1E"/>
    <w:rsid w:val="00DD5994"/>
    <w:rsid w:val="00DE1BFB"/>
    <w:rsid w:val="00DE2F16"/>
    <w:rsid w:val="00DE3369"/>
    <w:rsid w:val="00DE3CA4"/>
    <w:rsid w:val="00DE455E"/>
    <w:rsid w:val="00DE4CBC"/>
    <w:rsid w:val="00DE4E36"/>
    <w:rsid w:val="00DE70D5"/>
    <w:rsid w:val="00DE7705"/>
    <w:rsid w:val="00DE7E9E"/>
    <w:rsid w:val="00DF1F05"/>
    <w:rsid w:val="00DF4741"/>
    <w:rsid w:val="00DF5918"/>
    <w:rsid w:val="00DF5951"/>
    <w:rsid w:val="00DF5ED4"/>
    <w:rsid w:val="00E029C3"/>
    <w:rsid w:val="00E03293"/>
    <w:rsid w:val="00E07662"/>
    <w:rsid w:val="00E07ADE"/>
    <w:rsid w:val="00E15570"/>
    <w:rsid w:val="00E169C4"/>
    <w:rsid w:val="00E209D2"/>
    <w:rsid w:val="00E261B9"/>
    <w:rsid w:val="00E274D8"/>
    <w:rsid w:val="00E2784A"/>
    <w:rsid w:val="00E32451"/>
    <w:rsid w:val="00E334AA"/>
    <w:rsid w:val="00E40854"/>
    <w:rsid w:val="00E41E8E"/>
    <w:rsid w:val="00E459A5"/>
    <w:rsid w:val="00E461AC"/>
    <w:rsid w:val="00E466B3"/>
    <w:rsid w:val="00E504B0"/>
    <w:rsid w:val="00E50CBC"/>
    <w:rsid w:val="00E51445"/>
    <w:rsid w:val="00E527EA"/>
    <w:rsid w:val="00E565EA"/>
    <w:rsid w:val="00E572A3"/>
    <w:rsid w:val="00E6154E"/>
    <w:rsid w:val="00E62493"/>
    <w:rsid w:val="00E64155"/>
    <w:rsid w:val="00E64F77"/>
    <w:rsid w:val="00E67416"/>
    <w:rsid w:val="00E7079F"/>
    <w:rsid w:val="00E709B8"/>
    <w:rsid w:val="00E74DAE"/>
    <w:rsid w:val="00E7549D"/>
    <w:rsid w:val="00E76AE9"/>
    <w:rsid w:val="00E81F98"/>
    <w:rsid w:val="00E83904"/>
    <w:rsid w:val="00E8400B"/>
    <w:rsid w:val="00E85128"/>
    <w:rsid w:val="00E85602"/>
    <w:rsid w:val="00E85BE8"/>
    <w:rsid w:val="00E874D1"/>
    <w:rsid w:val="00E9087A"/>
    <w:rsid w:val="00E90D45"/>
    <w:rsid w:val="00E949C6"/>
    <w:rsid w:val="00E958C5"/>
    <w:rsid w:val="00E95C56"/>
    <w:rsid w:val="00E975A6"/>
    <w:rsid w:val="00EA08BE"/>
    <w:rsid w:val="00EA2282"/>
    <w:rsid w:val="00EA2E26"/>
    <w:rsid w:val="00EA3A66"/>
    <w:rsid w:val="00EA4C16"/>
    <w:rsid w:val="00EA6242"/>
    <w:rsid w:val="00EA690A"/>
    <w:rsid w:val="00EA7871"/>
    <w:rsid w:val="00EB0435"/>
    <w:rsid w:val="00EB100C"/>
    <w:rsid w:val="00EB1C81"/>
    <w:rsid w:val="00EB4030"/>
    <w:rsid w:val="00EB5015"/>
    <w:rsid w:val="00EB6534"/>
    <w:rsid w:val="00EB6E86"/>
    <w:rsid w:val="00EC0251"/>
    <w:rsid w:val="00EC15A4"/>
    <w:rsid w:val="00EC25B2"/>
    <w:rsid w:val="00EC3952"/>
    <w:rsid w:val="00EC67CE"/>
    <w:rsid w:val="00EC6A19"/>
    <w:rsid w:val="00ED0831"/>
    <w:rsid w:val="00ED350C"/>
    <w:rsid w:val="00ED3F9D"/>
    <w:rsid w:val="00ED406E"/>
    <w:rsid w:val="00EE2BC4"/>
    <w:rsid w:val="00EE4817"/>
    <w:rsid w:val="00EE52B7"/>
    <w:rsid w:val="00EE7A3F"/>
    <w:rsid w:val="00EF046D"/>
    <w:rsid w:val="00EF3318"/>
    <w:rsid w:val="00EF3EA4"/>
    <w:rsid w:val="00EF4906"/>
    <w:rsid w:val="00EF7B77"/>
    <w:rsid w:val="00F05546"/>
    <w:rsid w:val="00F102D5"/>
    <w:rsid w:val="00F10ECC"/>
    <w:rsid w:val="00F11C2F"/>
    <w:rsid w:val="00F14DF9"/>
    <w:rsid w:val="00F165A9"/>
    <w:rsid w:val="00F20B25"/>
    <w:rsid w:val="00F23A3D"/>
    <w:rsid w:val="00F24209"/>
    <w:rsid w:val="00F2583D"/>
    <w:rsid w:val="00F30F7E"/>
    <w:rsid w:val="00F34125"/>
    <w:rsid w:val="00F40DD5"/>
    <w:rsid w:val="00F40EBC"/>
    <w:rsid w:val="00F42C86"/>
    <w:rsid w:val="00F533EF"/>
    <w:rsid w:val="00F61FD5"/>
    <w:rsid w:val="00F656F6"/>
    <w:rsid w:val="00F73C4D"/>
    <w:rsid w:val="00F809E9"/>
    <w:rsid w:val="00F82943"/>
    <w:rsid w:val="00F84415"/>
    <w:rsid w:val="00F84766"/>
    <w:rsid w:val="00F879AE"/>
    <w:rsid w:val="00F9030F"/>
    <w:rsid w:val="00F95524"/>
    <w:rsid w:val="00F9636E"/>
    <w:rsid w:val="00FA3BB3"/>
    <w:rsid w:val="00FA482F"/>
    <w:rsid w:val="00FA61CB"/>
    <w:rsid w:val="00FA6AEE"/>
    <w:rsid w:val="00FA7286"/>
    <w:rsid w:val="00FB1244"/>
    <w:rsid w:val="00FB19C5"/>
    <w:rsid w:val="00FB2337"/>
    <w:rsid w:val="00FB5622"/>
    <w:rsid w:val="00FB5D7C"/>
    <w:rsid w:val="00FC1A5E"/>
    <w:rsid w:val="00FC283F"/>
    <w:rsid w:val="00FC5D8B"/>
    <w:rsid w:val="00FC6D06"/>
    <w:rsid w:val="00FD1C8C"/>
    <w:rsid w:val="00FD294A"/>
    <w:rsid w:val="00FD2CC9"/>
    <w:rsid w:val="00FD39F5"/>
    <w:rsid w:val="00FD4309"/>
    <w:rsid w:val="00FD4BFD"/>
    <w:rsid w:val="00FD73F7"/>
    <w:rsid w:val="00FE065D"/>
    <w:rsid w:val="00FE0F22"/>
    <w:rsid w:val="00FE2557"/>
    <w:rsid w:val="00FE551C"/>
    <w:rsid w:val="00FE762A"/>
    <w:rsid w:val="00FE7C89"/>
    <w:rsid w:val="00FF1776"/>
    <w:rsid w:val="00FF5A0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422003"/>
  <w15:docId w15:val="{246713F0-DB6D-4700-95CB-E7747DA7A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6FB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D4B0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D4B0E"/>
  </w:style>
  <w:style w:type="paragraph" w:styleId="Textonotapie">
    <w:name w:val="footnote text"/>
    <w:basedOn w:val="Normal"/>
    <w:link w:val="TextonotapieCar"/>
    <w:uiPriority w:val="99"/>
    <w:unhideWhenUsed/>
    <w:rsid w:val="009D4B0E"/>
    <w:pPr>
      <w:spacing w:after="0" w:line="240" w:lineRule="auto"/>
    </w:pPr>
    <w:rPr>
      <w:sz w:val="20"/>
      <w:szCs w:val="20"/>
    </w:rPr>
  </w:style>
  <w:style w:type="character" w:customStyle="1" w:styleId="TextonotapieCar">
    <w:name w:val="Texto nota pie Car"/>
    <w:basedOn w:val="Fuentedeprrafopredeter"/>
    <w:link w:val="Textonotapie"/>
    <w:uiPriority w:val="99"/>
    <w:rsid w:val="009D4B0E"/>
    <w:rPr>
      <w:sz w:val="20"/>
      <w:szCs w:val="20"/>
    </w:rPr>
  </w:style>
  <w:style w:type="character" w:styleId="Refdenotaalpie">
    <w:name w:val="footnote reference"/>
    <w:basedOn w:val="Fuentedeprrafopredeter"/>
    <w:uiPriority w:val="99"/>
    <w:unhideWhenUsed/>
    <w:rsid w:val="009D4B0E"/>
    <w:rPr>
      <w:vertAlign w:val="superscript"/>
    </w:rPr>
  </w:style>
  <w:style w:type="paragraph" w:styleId="Prrafodelista">
    <w:name w:val="List Paragraph"/>
    <w:basedOn w:val="Normal"/>
    <w:uiPriority w:val="1"/>
    <w:qFormat/>
    <w:rsid w:val="00515FAF"/>
    <w:pPr>
      <w:ind w:left="720"/>
      <w:contextualSpacing/>
    </w:pPr>
  </w:style>
  <w:style w:type="paragraph" w:styleId="Textodeglobo">
    <w:name w:val="Balloon Text"/>
    <w:basedOn w:val="Normal"/>
    <w:link w:val="TextodegloboCar"/>
    <w:uiPriority w:val="99"/>
    <w:semiHidden/>
    <w:unhideWhenUsed/>
    <w:rsid w:val="0019443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94437"/>
    <w:rPr>
      <w:rFonts w:ascii="Segoe UI" w:hAnsi="Segoe UI" w:cs="Segoe UI"/>
      <w:sz w:val="18"/>
      <w:szCs w:val="18"/>
    </w:rPr>
  </w:style>
  <w:style w:type="character" w:styleId="Hipervnculo">
    <w:name w:val="Hyperlink"/>
    <w:basedOn w:val="Fuentedeprrafopredeter"/>
    <w:uiPriority w:val="99"/>
    <w:unhideWhenUsed/>
    <w:rsid w:val="00651A02"/>
    <w:rPr>
      <w:color w:val="0563C1" w:themeColor="hyperlink"/>
      <w:u w:val="single"/>
    </w:rPr>
  </w:style>
  <w:style w:type="paragraph" w:styleId="Piedepgina">
    <w:name w:val="footer"/>
    <w:basedOn w:val="Normal"/>
    <w:link w:val="PiedepginaCar"/>
    <w:uiPriority w:val="99"/>
    <w:unhideWhenUsed/>
    <w:rsid w:val="00683D4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83D45"/>
  </w:style>
  <w:style w:type="table" w:styleId="Tablaconcuadrcula">
    <w:name w:val="Table Grid"/>
    <w:basedOn w:val="Tablanormal"/>
    <w:uiPriority w:val="39"/>
    <w:rsid w:val="00F102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bl-encabezado-negro">
    <w:name w:val="lbl-encabezado-negro"/>
    <w:basedOn w:val="Fuentedeprrafopredeter"/>
    <w:rsid w:val="007B6BE8"/>
  </w:style>
  <w:style w:type="character" w:styleId="Refdecomentario">
    <w:name w:val="annotation reference"/>
    <w:basedOn w:val="Fuentedeprrafopredeter"/>
    <w:uiPriority w:val="99"/>
    <w:semiHidden/>
    <w:unhideWhenUsed/>
    <w:rsid w:val="00697AF5"/>
    <w:rPr>
      <w:sz w:val="16"/>
      <w:szCs w:val="16"/>
    </w:rPr>
  </w:style>
  <w:style w:type="paragraph" w:styleId="Textocomentario">
    <w:name w:val="annotation text"/>
    <w:basedOn w:val="Normal"/>
    <w:link w:val="TextocomentarioCar"/>
    <w:uiPriority w:val="99"/>
    <w:semiHidden/>
    <w:unhideWhenUsed/>
    <w:rsid w:val="00697AF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97AF5"/>
    <w:rPr>
      <w:sz w:val="20"/>
      <w:szCs w:val="20"/>
    </w:rPr>
  </w:style>
  <w:style w:type="paragraph" w:styleId="Asuntodelcomentario">
    <w:name w:val="annotation subject"/>
    <w:basedOn w:val="Textocomentario"/>
    <w:next w:val="Textocomentario"/>
    <w:link w:val="AsuntodelcomentarioCar"/>
    <w:uiPriority w:val="99"/>
    <w:semiHidden/>
    <w:unhideWhenUsed/>
    <w:rsid w:val="00697AF5"/>
    <w:rPr>
      <w:b/>
      <w:bCs/>
    </w:rPr>
  </w:style>
  <w:style w:type="character" w:customStyle="1" w:styleId="AsuntodelcomentarioCar">
    <w:name w:val="Asunto del comentario Car"/>
    <w:basedOn w:val="TextocomentarioCar"/>
    <w:link w:val="Asuntodelcomentario"/>
    <w:uiPriority w:val="99"/>
    <w:semiHidden/>
    <w:rsid w:val="00697AF5"/>
    <w:rPr>
      <w:b/>
      <w:bCs/>
      <w:sz w:val="20"/>
      <w:szCs w:val="20"/>
    </w:rPr>
  </w:style>
  <w:style w:type="paragraph" w:styleId="Sinespaciado">
    <w:name w:val="No Spacing"/>
    <w:uiPriority w:val="1"/>
    <w:qFormat/>
    <w:rsid w:val="005C158F"/>
    <w:pPr>
      <w:spacing w:after="0" w:line="240" w:lineRule="auto"/>
    </w:pPr>
  </w:style>
  <w:style w:type="paragraph" w:styleId="Textoindependiente">
    <w:name w:val="Body Text"/>
    <w:basedOn w:val="Normal"/>
    <w:link w:val="TextoindependienteCar"/>
    <w:uiPriority w:val="1"/>
    <w:qFormat/>
    <w:rsid w:val="001F2F3B"/>
    <w:pPr>
      <w:widowControl w:val="0"/>
      <w:autoSpaceDE w:val="0"/>
      <w:autoSpaceDN w:val="0"/>
      <w:spacing w:after="0" w:line="240" w:lineRule="auto"/>
    </w:pPr>
    <w:rPr>
      <w:rFonts w:ascii="Arial" w:eastAsia="Arial" w:hAnsi="Arial" w:cs="Arial"/>
      <w:sz w:val="24"/>
      <w:szCs w:val="24"/>
      <w:lang w:val="es-ES" w:eastAsia="es-ES" w:bidi="es-ES"/>
    </w:rPr>
  </w:style>
  <w:style w:type="character" w:customStyle="1" w:styleId="TextoindependienteCar">
    <w:name w:val="Texto independiente Car"/>
    <w:basedOn w:val="Fuentedeprrafopredeter"/>
    <w:link w:val="Textoindependiente"/>
    <w:uiPriority w:val="1"/>
    <w:rsid w:val="001F2F3B"/>
    <w:rPr>
      <w:rFonts w:ascii="Arial" w:eastAsia="Arial" w:hAnsi="Arial" w:cs="Arial"/>
      <w:sz w:val="24"/>
      <w:szCs w:val="24"/>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5985575">
      <w:bodyDiv w:val="1"/>
      <w:marLeft w:val="0"/>
      <w:marRight w:val="0"/>
      <w:marTop w:val="0"/>
      <w:marBottom w:val="0"/>
      <w:divBdr>
        <w:top w:val="none" w:sz="0" w:space="0" w:color="auto"/>
        <w:left w:val="none" w:sz="0" w:space="0" w:color="auto"/>
        <w:bottom w:val="none" w:sz="0" w:space="0" w:color="auto"/>
        <w:right w:val="none" w:sz="0" w:space="0" w:color="auto"/>
      </w:divBdr>
      <w:divsChild>
        <w:div w:id="1210724786">
          <w:marLeft w:val="0"/>
          <w:marRight w:val="0"/>
          <w:marTop w:val="0"/>
          <w:marBottom w:val="0"/>
          <w:divBdr>
            <w:top w:val="none" w:sz="0" w:space="0" w:color="auto"/>
            <w:left w:val="none" w:sz="0" w:space="0" w:color="auto"/>
            <w:bottom w:val="none" w:sz="0" w:space="0" w:color="auto"/>
            <w:right w:val="none" w:sz="0" w:space="0" w:color="auto"/>
          </w:divBdr>
        </w:div>
      </w:divsChild>
    </w:div>
    <w:div w:id="783615967">
      <w:bodyDiv w:val="1"/>
      <w:marLeft w:val="0"/>
      <w:marRight w:val="0"/>
      <w:marTop w:val="0"/>
      <w:marBottom w:val="0"/>
      <w:divBdr>
        <w:top w:val="none" w:sz="0" w:space="0" w:color="auto"/>
        <w:left w:val="none" w:sz="0" w:space="0" w:color="auto"/>
        <w:bottom w:val="none" w:sz="0" w:space="0" w:color="auto"/>
        <w:right w:val="none" w:sz="0" w:space="0" w:color="auto"/>
      </w:divBdr>
    </w:div>
    <w:div w:id="1021664148">
      <w:bodyDiv w:val="1"/>
      <w:marLeft w:val="0"/>
      <w:marRight w:val="0"/>
      <w:marTop w:val="0"/>
      <w:marBottom w:val="0"/>
      <w:divBdr>
        <w:top w:val="none" w:sz="0" w:space="0" w:color="auto"/>
        <w:left w:val="none" w:sz="0" w:space="0" w:color="auto"/>
        <w:bottom w:val="none" w:sz="0" w:space="0" w:color="auto"/>
        <w:right w:val="none" w:sz="0" w:space="0" w:color="auto"/>
      </w:divBdr>
      <w:divsChild>
        <w:div w:id="907114122">
          <w:marLeft w:val="0"/>
          <w:marRight w:val="0"/>
          <w:marTop w:val="0"/>
          <w:marBottom w:val="0"/>
          <w:divBdr>
            <w:top w:val="none" w:sz="0" w:space="0" w:color="auto"/>
            <w:left w:val="none" w:sz="0" w:space="0" w:color="auto"/>
            <w:bottom w:val="none" w:sz="0" w:space="0" w:color="auto"/>
            <w:right w:val="none" w:sz="0" w:space="0" w:color="auto"/>
          </w:divBdr>
        </w:div>
      </w:divsChild>
    </w:div>
    <w:div w:id="1065447724">
      <w:bodyDiv w:val="1"/>
      <w:marLeft w:val="0"/>
      <w:marRight w:val="0"/>
      <w:marTop w:val="0"/>
      <w:marBottom w:val="0"/>
      <w:divBdr>
        <w:top w:val="none" w:sz="0" w:space="0" w:color="auto"/>
        <w:left w:val="none" w:sz="0" w:space="0" w:color="auto"/>
        <w:bottom w:val="none" w:sz="0" w:space="0" w:color="auto"/>
        <w:right w:val="none" w:sz="0" w:space="0" w:color="auto"/>
      </w:divBdr>
      <w:divsChild>
        <w:div w:id="1311788993">
          <w:marLeft w:val="0"/>
          <w:marRight w:val="0"/>
          <w:marTop w:val="0"/>
          <w:marBottom w:val="0"/>
          <w:divBdr>
            <w:top w:val="none" w:sz="0" w:space="0" w:color="auto"/>
            <w:left w:val="none" w:sz="0" w:space="0" w:color="auto"/>
            <w:bottom w:val="none" w:sz="0" w:space="0" w:color="auto"/>
            <w:right w:val="none" w:sz="0" w:space="0" w:color="auto"/>
          </w:divBdr>
        </w:div>
      </w:divsChild>
    </w:div>
    <w:div w:id="1114909877">
      <w:bodyDiv w:val="1"/>
      <w:marLeft w:val="0"/>
      <w:marRight w:val="0"/>
      <w:marTop w:val="0"/>
      <w:marBottom w:val="0"/>
      <w:divBdr>
        <w:top w:val="none" w:sz="0" w:space="0" w:color="auto"/>
        <w:left w:val="none" w:sz="0" w:space="0" w:color="auto"/>
        <w:bottom w:val="none" w:sz="0" w:space="0" w:color="auto"/>
        <w:right w:val="none" w:sz="0" w:space="0" w:color="auto"/>
      </w:divBdr>
      <w:divsChild>
        <w:div w:id="82067385">
          <w:marLeft w:val="0"/>
          <w:marRight w:val="0"/>
          <w:marTop w:val="0"/>
          <w:marBottom w:val="0"/>
          <w:divBdr>
            <w:top w:val="none" w:sz="0" w:space="0" w:color="auto"/>
            <w:left w:val="none" w:sz="0" w:space="0" w:color="auto"/>
            <w:bottom w:val="none" w:sz="0" w:space="0" w:color="auto"/>
            <w:right w:val="none" w:sz="0" w:space="0" w:color="auto"/>
          </w:divBdr>
        </w:div>
      </w:divsChild>
    </w:div>
    <w:div w:id="1183401673">
      <w:bodyDiv w:val="1"/>
      <w:marLeft w:val="0"/>
      <w:marRight w:val="0"/>
      <w:marTop w:val="0"/>
      <w:marBottom w:val="0"/>
      <w:divBdr>
        <w:top w:val="none" w:sz="0" w:space="0" w:color="auto"/>
        <w:left w:val="none" w:sz="0" w:space="0" w:color="auto"/>
        <w:bottom w:val="none" w:sz="0" w:space="0" w:color="auto"/>
        <w:right w:val="none" w:sz="0" w:space="0" w:color="auto"/>
      </w:divBdr>
      <w:divsChild>
        <w:div w:id="2001499279">
          <w:marLeft w:val="0"/>
          <w:marRight w:val="0"/>
          <w:marTop w:val="0"/>
          <w:marBottom w:val="0"/>
          <w:divBdr>
            <w:top w:val="none" w:sz="0" w:space="0" w:color="auto"/>
            <w:left w:val="none" w:sz="0" w:space="0" w:color="auto"/>
            <w:bottom w:val="none" w:sz="0" w:space="0" w:color="auto"/>
            <w:right w:val="none" w:sz="0" w:space="0" w:color="auto"/>
          </w:divBdr>
        </w:div>
      </w:divsChild>
    </w:div>
    <w:div w:id="1248492574">
      <w:bodyDiv w:val="1"/>
      <w:marLeft w:val="0"/>
      <w:marRight w:val="0"/>
      <w:marTop w:val="0"/>
      <w:marBottom w:val="0"/>
      <w:divBdr>
        <w:top w:val="none" w:sz="0" w:space="0" w:color="auto"/>
        <w:left w:val="none" w:sz="0" w:space="0" w:color="auto"/>
        <w:bottom w:val="none" w:sz="0" w:space="0" w:color="auto"/>
        <w:right w:val="none" w:sz="0" w:space="0" w:color="auto"/>
      </w:divBdr>
    </w:div>
    <w:div w:id="1281378320">
      <w:bodyDiv w:val="1"/>
      <w:marLeft w:val="0"/>
      <w:marRight w:val="0"/>
      <w:marTop w:val="0"/>
      <w:marBottom w:val="0"/>
      <w:divBdr>
        <w:top w:val="none" w:sz="0" w:space="0" w:color="auto"/>
        <w:left w:val="none" w:sz="0" w:space="0" w:color="auto"/>
        <w:bottom w:val="none" w:sz="0" w:space="0" w:color="auto"/>
        <w:right w:val="none" w:sz="0" w:space="0" w:color="auto"/>
      </w:divBdr>
      <w:divsChild>
        <w:div w:id="57628667">
          <w:marLeft w:val="0"/>
          <w:marRight w:val="0"/>
          <w:marTop w:val="0"/>
          <w:marBottom w:val="0"/>
          <w:divBdr>
            <w:top w:val="none" w:sz="0" w:space="0" w:color="auto"/>
            <w:left w:val="none" w:sz="0" w:space="0" w:color="auto"/>
            <w:bottom w:val="none" w:sz="0" w:space="0" w:color="auto"/>
            <w:right w:val="none" w:sz="0" w:space="0" w:color="auto"/>
          </w:divBdr>
        </w:div>
      </w:divsChild>
    </w:div>
    <w:div w:id="1404915075">
      <w:bodyDiv w:val="1"/>
      <w:marLeft w:val="0"/>
      <w:marRight w:val="0"/>
      <w:marTop w:val="0"/>
      <w:marBottom w:val="0"/>
      <w:divBdr>
        <w:top w:val="none" w:sz="0" w:space="0" w:color="auto"/>
        <w:left w:val="none" w:sz="0" w:space="0" w:color="auto"/>
        <w:bottom w:val="none" w:sz="0" w:space="0" w:color="auto"/>
        <w:right w:val="none" w:sz="0" w:space="0" w:color="auto"/>
      </w:divBdr>
      <w:divsChild>
        <w:div w:id="2050301946">
          <w:marLeft w:val="0"/>
          <w:marRight w:val="0"/>
          <w:marTop w:val="0"/>
          <w:marBottom w:val="0"/>
          <w:divBdr>
            <w:top w:val="none" w:sz="0" w:space="0" w:color="auto"/>
            <w:left w:val="none" w:sz="0" w:space="0" w:color="auto"/>
            <w:bottom w:val="none" w:sz="0" w:space="0" w:color="auto"/>
            <w:right w:val="none" w:sz="0" w:space="0" w:color="auto"/>
          </w:divBdr>
        </w:div>
      </w:divsChild>
    </w:div>
    <w:div w:id="1918392182">
      <w:bodyDiv w:val="1"/>
      <w:marLeft w:val="0"/>
      <w:marRight w:val="0"/>
      <w:marTop w:val="0"/>
      <w:marBottom w:val="0"/>
      <w:divBdr>
        <w:top w:val="none" w:sz="0" w:space="0" w:color="auto"/>
        <w:left w:val="none" w:sz="0" w:space="0" w:color="auto"/>
        <w:bottom w:val="none" w:sz="0" w:space="0" w:color="auto"/>
        <w:right w:val="none" w:sz="0" w:space="0" w:color="auto"/>
      </w:divBdr>
      <w:divsChild>
        <w:div w:id="804935399">
          <w:marLeft w:val="0"/>
          <w:marRight w:val="0"/>
          <w:marTop w:val="0"/>
          <w:marBottom w:val="0"/>
          <w:divBdr>
            <w:top w:val="none" w:sz="0" w:space="0" w:color="auto"/>
            <w:left w:val="none" w:sz="0" w:space="0" w:color="auto"/>
            <w:bottom w:val="none" w:sz="0" w:space="0" w:color="auto"/>
            <w:right w:val="none" w:sz="0" w:space="0" w:color="auto"/>
          </w:divBdr>
        </w:div>
      </w:divsChild>
    </w:div>
    <w:div w:id="2115592101">
      <w:bodyDiv w:val="1"/>
      <w:marLeft w:val="0"/>
      <w:marRight w:val="0"/>
      <w:marTop w:val="0"/>
      <w:marBottom w:val="0"/>
      <w:divBdr>
        <w:top w:val="none" w:sz="0" w:space="0" w:color="auto"/>
        <w:left w:val="none" w:sz="0" w:space="0" w:color="auto"/>
        <w:bottom w:val="none" w:sz="0" w:space="0" w:color="auto"/>
        <w:right w:val="none" w:sz="0" w:space="0" w:color="auto"/>
      </w:divBdr>
      <w:divsChild>
        <w:div w:id="16561079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5F30D7-B7E0-498A-86CC-48C13306F2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2922</TotalTime>
  <Pages>11</Pages>
  <Words>4699</Words>
  <Characters>25847</Characters>
  <Application>Microsoft Office Word</Application>
  <DocSecurity>0</DocSecurity>
  <Lines>215</Lines>
  <Paragraphs>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30486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Lic. Cristina</cp:lastModifiedBy>
  <cp:revision>81</cp:revision>
  <cp:lastPrinted>2021-10-25T15:15:00Z</cp:lastPrinted>
  <dcterms:created xsi:type="dcterms:W3CDTF">2020-12-14T15:35:00Z</dcterms:created>
  <dcterms:modified xsi:type="dcterms:W3CDTF">2022-04-04T18:21:00Z</dcterms:modified>
</cp:coreProperties>
</file>