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5F713" w14:textId="77777777" w:rsidR="0043477D" w:rsidRPr="00494600" w:rsidRDefault="0043477D" w:rsidP="0043477D">
      <w:pPr>
        <w:numPr>
          <w:ilvl w:val="1"/>
          <w:numId w:val="0"/>
        </w:numPr>
        <w:spacing w:after="160" w:line="259" w:lineRule="auto"/>
        <w:jc w:val="center"/>
        <w:rPr>
          <w:rFonts w:ascii="Arial" w:eastAsia="Times New Roman" w:hAnsi="Arial" w:cs="Arial"/>
          <w:b/>
          <w:bCs/>
          <w:color w:val="000000"/>
          <w:spacing w:val="15"/>
          <w:sz w:val="24"/>
          <w:szCs w:val="24"/>
          <w:lang w:eastAsia="en-US"/>
        </w:rPr>
      </w:pPr>
      <w:bookmarkStart w:id="0" w:name="_Hlk98923222"/>
      <w:bookmarkEnd w:id="0"/>
      <w:r w:rsidRPr="00494600">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2A47696" w14:textId="139951BF" w:rsidR="0043477D" w:rsidRPr="00494600" w:rsidRDefault="004C026B" w:rsidP="004C026B">
      <w:pPr>
        <w:tabs>
          <w:tab w:val="left" w:pos="6165"/>
          <w:tab w:val="left" w:pos="6480"/>
        </w:tabs>
        <w:spacing w:after="160" w:line="259" w:lineRule="auto"/>
        <w:rPr>
          <w:rFonts w:ascii="Calibri" w:eastAsia="Calibri" w:hAnsi="Calibri" w:cs="Times New Roman"/>
          <w:sz w:val="24"/>
          <w:szCs w:val="24"/>
          <w:lang w:eastAsia="en-US"/>
        </w:rPr>
      </w:pPr>
      <w:bookmarkStart w:id="1" w:name="_GoBack"/>
      <w:r>
        <w:rPr>
          <w:rFonts w:ascii="Calibri" w:eastAsia="Calibri" w:hAnsi="Calibri" w:cs="Times New Roman"/>
          <w:sz w:val="24"/>
          <w:szCs w:val="24"/>
          <w:lang w:eastAsia="en-US"/>
        </w:rPr>
        <w:tab/>
      </w:r>
      <w:r>
        <w:rPr>
          <w:rFonts w:ascii="Calibri" w:eastAsia="Calibri" w:hAnsi="Calibri" w:cs="Times New Roman"/>
          <w:sz w:val="24"/>
          <w:szCs w:val="24"/>
          <w:lang w:eastAsia="en-US"/>
        </w:rPr>
        <w:tab/>
      </w:r>
    </w:p>
    <w:bookmarkEnd w:id="1"/>
    <w:p w14:paraId="7A66146E" w14:textId="19E0ADAB" w:rsidR="0043477D" w:rsidRPr="00494600" w:rsidRDefault="0043477D" w:rsidP="0043477D">
      <w:pPr>
        <w:spacing w:after="160" w:line="259" w:lineRule="auto"/>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Oaxaca de Juárez, Oaxaca, </w:t>
      </w:r>
      <w:r w:rsidR="005E53C2">
        <w:rPr>
          <w:rFonts w:ascii="Arial" w:eastAsia="Calibri" w:hAnsi="Arial" w:cs="Arial"/>
          <w:b/>
          <w:bCs/>
          <w:sz w:val="24"/>
          <w:szCs w:val="24"/>
          <w:lang w:eastAsia="en-US"/>
        </w:rPr>
        <w:t xml:space="preserve">30 </w:t>
      </w:r>
      <w:r w:rsidRPr="00494600">
        <w:rPr>
          <w:rFonts w:ascii="Arial" w:eastAsia="Calibri" w:hAnsi="Arial" w:cs="Arial"/>
          <w:b/>
          <w:bCs/>
          <w:sz w:val="24"/>
          <w:szCs w:val="24"/>
          <w:lang w:eastAsia="en-US"/>
        </w:rPr>
        <w:t>de marzo 2022.</w:t>
      </w:r>
    </w:p>
    <w:p w14:paraId="392ACC28" w14:textId="77777777" w:rsidR="0043477D" w:rsidRPr="00494600" w:rsidRDefault="0043477D" w:rsidP="0043477D">
      <w:pPr>
        <w:tabs>
          <w:tab w:val="left" w:pos="6480"/>
        </w:tabs>
        <w:spacing w:after="160" w:line="259" w:lineRule="auto"/>
        <w:rPr>
          <w:rFonts w:ascii="Calibri" w:eastAsia="Calibri" w:hAnsi="Calibri" w:cs="Times New Roman"/>
          <w:sz w:val="24"/>
          <w:szCs w:val="24"/>
          <w:lang w:eastAsia="en-US"/>
        </w:rPr>
      </w:pPr>
    </w:p>
    <w:p w14:paraId="39E6DF3E" w14:textId="77777777" w:rsidR="0043477D" w:rsidRPr="00494600" w:rsidRDefault="0043477D" w:rsidP="0043477D">
      <w:pPr>
        <w:tabs>
          <w:tab w:val="left" w:pos="6480"/>
        </w:tabs>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A S U N T O</w:t>
      </w:r>
    </w:p>
    <w:p w14:paraId="01909BE4" w14:textId="77777777" w:rsidR="00323776" w:rsidRDefault="00323776" w:rsidP="00323776">
      <w:pPr>
        <w:tabs>
          <w:tab w:val="left" w:pos="6480"/>
        </w:tabs>
        <w:spacing w:after="160" w:line="360" w:lineRule="auto"/>
        <w:jc w:val="both"/>
        <w:rPr>
          <w:rFonts w:ascii="Arial" w:eastAsia="Calibri" w:hAnsi="Arial" w:cs="Arial"/>
          <w:b/>
          <w:bCs/>
          <w:sz w:val="24"/>
          <w:szCs w:val="24"/>
          <w:lang w:eastAsia="en-US"/>
        </w:rPr>
      </w:pPr>
    </w:p>
    <w:p w14:paraId="22D6E047" w14:textId="578C351D" w:rsidR="0043477D" w:rsidRPr="009A2A70" w:rsidRDefault="0043477D" w:rsidP="00323776">
      <w:pPr>
        <w:tabs>
          <w:tab w:val="left" w:pos="6480"/>
        </w:tabs>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Se</w:t>
      </w:r>
      <w:r w:rsidR="00323776">
        <w:rPr>
          <w:rFonts w:ascii="Arial" w:eastAsia="Calibri" w:hAnsi="Arial" w:cs="Arial"/>
          <w:sz w:val="24"/>
          <w:szCs w:val="24"/>
          <w:lang w:eastAsia="en-US"/>
        </w:rPr>
        <w:t xml:space="preserve"> emite sentencia en el juicio </w:t>
      </w:r>
      <w:r w:rsidR="00323776" w:rsidRPr="00323776">
        <w:rPr>
          <w:rFonts w:ascii="Arial" w:eastAsia="Calibri" w:hAnsi="Arial" w:cs="Arial"/>
          <w:b/>
          <w:bCs/>
          <w:sz w:val="24"/>
          <w:szCs w:val="24"/>
          <w:lang w:eastAsia="en-US"/>
        </w:rPr>
        <w:t>0019/2021</w:t>
      </w:r>
      <w:r w:rsidR="00323776" w:rsidRPr="00323776">
        <w:rPr>
          <w:rFonts w:ascii="Arial" w:eastAsia="Calibri" w:hAnsi="Arial" w:cs="Arial"/>
          <w:sz w:val="24"/>
          <w:szCs w:val="24"/>
          <w:lang w:eastAsia="en-US"/>
        </w:rPr>
        <w:t>,</w:t>
      </w:r>
      <w:r w:rsidR="00323776" w:rsidRPr="00323776">
        <w:rPr>
          <w:rFonts w:ascii="Arial" w:eastAsia="Calibri" w:hAnsi="Arial" w:cs="Arial"/>
          <w:b/>
          <w:bCs/>
          <w:sz w:val="24"/>
          <w:szCs w:val="24"/>
          <w:lang w:eastAsia="en-US"/>
        </w:rPr>
        <w:t xml:space="preserve"> </w:t>
      </w:r>
      <w:r w:rsidR="00961514" w:rsidRPr="00323776">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con motivo de la demanda interpuesta por </w:t>
      </w:r>
      <w:r w:rsidR="006A4841">
        <w:rPr>
          <w:rFonts w:ascii="Arial" w:eastAsia="Calibri" w:hAnsi="Arial" w:cs="Arial"/>
          <w:b/>
          <w:bCs/>
          <w:sz w:val="24"/>
          <w:szCs w:val="24"/>
          <w:lang w:eastAsia="en-US"/>
        </w:rPr>
        <w:t>**********</w:t>
      </w:r>
      <w:r w:rsidR="00476E07">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en contra del </w:t>
      </w:r>
      <w:r w:rsidRPr="00494600">
        <w:rPr>
          <w:rFonts w:ascii="Arial" w:eastAsia="Calibri" w:hAnsi="Arial" w:cs="Arial"/>
          <w:b/>
          <w:bCs/>
          <w:sz w:val="24"/>
          <w:szCs w:val="24"/>
          <w:lang w:eastAsia="en-US"/>
        </w:rPr>
        <w:t xml:space="preserve">Policía Vial </w:t>
      </w:r>
      <w:r w:rsidR="0040017F">
        <w:rPr>
          <w:rFonts w:ascii="Arial" w:eastAsia="Calibri" w:hAnsi="Arial" w:cs="Arial"/>
          <w:b/>
          <w:bCs/>
          <w:sz w:val="24"/>
          <w:szCs w:val="24"/>
          <w:lang w:eastAsia="en-US"/>
        </w:rPr>
        <w:t xml:space="preserve">Estatal </w:t>
      </w:r>
      <w:r w:rsidRPr="00494600">
        <w:rPr>
          <w:rFonts w:ascii="Arial" w:eastAsia="Calibri" w:hAnsi="Arial" w:cs="Arial"/>
          <w:b/>
          <w:bCs/>
          <w:sz w:val="24"/>
          <w:szCs w:val="24"/>
          <w:lang w:eastAsia="en-US"/>
        </w:rPr>
        <w:t xml:space="preserve">número </w:t>
      </w:r>
      <w:r w:rsidR="00D260BC">
        <w:rPr>
          <w:rFonts w:ascii="Arial" w:eastAsia="Calibri" w:hAnsi="Arial" w:cs="Arial"/>
          <w:b/>
          <w:bCs/>
          <w:sz w:val="24"/>
          <w:szCs w:val="24"/>
          <w:lang w:eastAsia="en-US"/>
        </w:rPr>
        <w:t>188</w:t>
      </w:r>
      <w:r w:rsidRPr="00494600">
        <w:rPr>
          <w:rFonts w:ascii="Arial" w:eastAsia="Calibri" w:hAnsi="Arial" w:cs="Arial"/>
          <w:b/>
          <w:bCs/>
          <w:sz w:val="24"/>
          <w:szCs w:val="24"/>
          <w:lang w:eastAsia="en-US"/>
        </w:rPr>
        <w:t xml:space="preserve">, adscrito a la </w:t>
      </w:r>
      <w:r w:rsidR="0040017F">
        <w:rPr>
          <w:rFonts w:ascii="Arial" w:eastAsia="Calibri" w:hAnsi="Arial" w:cs="Arial"/>
          <w:b/>
          <w:bCs/>
          <w:sz w:val="24"/>
          <w:szCs w:val="24"/>
          <w:lang w:eastAsia="en-US"/>
        </w:rPr>
        <w:t>Dirección</w:t>
      </w:r>
      <w:r w:rsidR="00422BDD">
        <w:rPr>
          <w:rFonts w:ascii="Arial" w:eastAsia="Calibri" w:hAnsi="Arial" w:cs="Arial"/>
          <w:b/>
          <w:bCs/>
          <w:sz w:val="24"/>
          <w:szCs w:val="24"/>
          <w:lang w:eastAsia="en-US"/>
        </w:rPr>
        <w:t xml:space="preserve"> General</w:t>
      </w:r>
      <w:r w:rsidR="0040017F">
        <w:rPr>
          <w:rFonts w:ascii="Arial" w:eastAsia="Calibri" w:hAnsi="Arial" w:cs="Arial"/>
          <w:b/>
          <w:bCs/>
          <w:sz w:val="24"/>
          <w:szCs w:val="24"/>
          <w:lang w:eastAsia="en-US"/>
        </w:rPr>
        <w:t xml:space="preserve"> de la Policía Vial Estatal</w:t>
      </w:r>
      <w:r w:rsidRPr="00494600">
        <w:rPr>
          <w:rFonts w:ascii="Arial" w:eastAsia="Calibri" w:hAnsi="Arial" w:cs="Arial"/>
          <w:b/>
          <w:bCs/>
          <w:sz w:val="24"/>
          <w:szCs w:val="24"/>
          <w:lang w:eastAsia="en-US"/>
        </w:rPr>
        <w:t>.</w:t>
      </w:r>
    </w:p>
    <w:p w14:paraId="2866CB34" w14:textId="77777777" w:rsidR="0043477D" w:rsidRPr="00494600" w:rsidRDefault="0043477D" w:rsidP="0043477D">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R E S U L T A N D O </w:t>
      </w:r>
    </w:p>
    <w:p w14:paraId="0A8E5858" w14:textId="77777777" w:rsidR="0043477D" w:rsidRPr="00494600" w:rsidRDefault="0043477D" w:rsidP="0043477D">
      <w:pPr>
        <w:spacing w:after="160" w:line="259" w:lineRule="auto"/>
        <w:jc w:val="center"/>
        <w:rPr>
          <w:rFonts w:ascii="Arial" w:eastAsia="Calibri" w:hAnsi="Arial" w:cs="Arial"/>
          <w:b/>
          <w:bCs/>
          <w:sz w:val="24"/>
          <w:szCs w:val="24"/>
          <w:lang w:eastAsia="en-US"/>
        </w:rPr>
      </w:pPr>
    </w:p>
    <w:p w14:paraId="11DFE244" w14:textId="725126FF"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1°.</w:t>
      </w:r>
      <w:r w:rsidRPr="00494600">
        <w:rPr>
          <w:rFonts w:ascii="Arial" w:eastAsia="Calibri" w:hAnsi="Arial" w:cs="Arial"/>
          <w:sz w:val="24"/>
          <w:szCs w:val="24"/>
          <w:lang w:eastAsia="en-US"/>
        </w:rPr>
        <w:t xml:space="preserve"> Mediante escrito presentado el </w:t>
      </w:r>
      <w:r w:rsidR="00D260BC">
        <w:rPr>
          <w:rFonts w:ascii="Arial" w:eastAsia="Calibri" w:hAnsi="Arial" w:cs="Arial"/>
          <w:sz w:val="24"/>
          <w:szCs w:val="24"/>
          <w:lang w:eastAsia="en-US"/>
        </w:rPr>
        <w:t>dieciocho</w:t>
      </w:r>
      <w:r w:rsidR="00422BDD">
        <w:rPr>
          <w:rFonts w:ascii="Arial" w:eastAsia="Calibri" w:hAnsi="Arial" w:cs="Arial"/>
          <w:sz w:val="24"/>
          <w:szCs w:val="24"/>
          <w:lang w:eastAsia="en-US"/>
        </w:rPr>
        <w:t xml:space="preserve"> de marzo de dos mil veintiuno</w:t>
      </w:r>
      <w:r w:rsidRPr="00494600">
        <w:rPr>
          <w:rFonts w:ascii="Arial" w:eastAsia="Calibri" w:hAnsi="Arial" w:cs="Arial"/>
          <w:sz w:val="24"/>
          <w:szCs w:val="24"/>
          <w:lang w:eastAsia="en-US"/>
        </w:rPr>
        <w:t xml:space="preserve">, ante la oficialía de partes común de este Tribunal, </w:t>
      </w:r>
      <w:r w:rsidR="006A4841">
        <w:rPr>
          <w:rFonts w:ascii="Arial" w:eastAsia="Calibri" w:hAnsi="Arial" w:cs="Arial"/>
          <w:sz w:val="24"/>
          <w:szCs w:val="24"/>
          <w:lang w:eastAsia="en-US"/>
        </w:rPr>
        <w:t>**********</w:t>
      </w:r>
      <w:r w:rsidRPr="00494600">
        <w:rPr>
          <w:rFonts w:ascii="Arial" w:eastAsia="Calibri" w:hAnsi="Arial" w:cs="Arial"/>
          <w:sz w:val="24"/>
          <w:szCs w:val="24"/>
          <w:lang w:eastAsia="en-US"/>
        </w:rPr>
        <w:t xml:space="preserve">, demandó del Policía Vial </w:t>
      </w:r>
      <w:r w:rsidR="00F54AB0">
        <w:rPr>
          <w:rFonts w:ascii="Arial" w:eastAsia="Calibri" w:hAnsi="Arial" w:cs="Arial"/>
          <w:sz w:val="24"/>
          <w:szCs w:val="24"/>
          <w:lang w:eastAsia="en-US"/>
        </w:rPr>
        <w:t xml:space="preserve">Estatal número </w:t>
      </w:r>
      <w:r w:rsidR="00D260BC">
        <w:rPr>
          <w:rFonts w:ascii="Arial" w:eastAsia="Calibri" w:hAnsi="Arial" w:cs="Arial"/>
          <w:sz w:val="24"/>
          <w:szCs w:val="24"/>
          <w:lang w:eastAsia="en-US"/>
        </w:rPr>
        <w:t>188</w:t>
      </w:r>
      <w:r w:rsidR="00F54AB0">
        <w:rPr>
          <w:rFonts w:ascii="Arial" w:eastAsia="Calibri" w:hAnsi="Arial" w:cs="Arial"/>
          <w:sz w:val="24"/>
          <w:szCs w:val="24"/>
          <w:lang w:eastAsia="en-US"/>
        </w:rPr>
        <w:t xml:space="preserve">, </w:t>
      </w:r>
      <w:r w:rsidR="006A4841">
        <w:rPr>
          <w:rFonts w:ascii="Arial" w:eastAsia="Calibri" w:hAnsi="Arial" w:cs="Arial"/>
          <w:sz w:val="24"/>
          <w:szCs w:val="24"/>
          <w:lang w:eastAsia="en-US"/>
        </w:rPr>
        <w:t>**********</w:t>
      </w:r>
      <w:r w:rsidR="00F54AB0">
        <w:rPr>
          <w:rFonts w:ascii="Arial" w:eastAsia="Calibri" w:hAnsi="Arial" w:cs="Arial"/>
          <w:sz w:val="24"/>
          <w:szCs w:val="24"/>
          <w:lang w:eastAsia="en-US"/>
        </w:rPr>
        <w:t>, adscrito a la Dirección General de la Policía Vial Estatal</w:t>
      </w:r>
      <w:r w:rsidRPr="00494600">
        <w:rPr>
          <w:rFonts w:ascii="Arial" w:eastAsia="Calibri" w:hAnsi="Arial" w:cs="Arial"/>
          <w:sz w:val="24"/>
          <w:szCs w:val="24"/>
          <w:lang w:eastAsia="en-US"/>
        </w:rPr>
        <w:t xml:space="preserve">, la nulidad lisa y llana de la infracción con folio </w:t>
      </w:r>
      <w:r w:rsidR="006A4841">
        <w:rPr>
          <w:rFonts w:ascii="Arial" w:eastAsia="Calibri" w:hAnsi="Arial" w:cs="Arial"/>
          <w:sz w:val="24"/>
          <w:szCs w:val="24"/>
          <w:lang w:eastAsia="en-US"/>
        </w:rPr>
        <w:t>**********</w:t>
      </w:r>
      <w:r w:rsidRPr="00494600">
        <w:rPr>
          <w:rFonts w:ascii="Arial" w:eastAsia="Calibri" w:hAnsi="Arial" w:cs="Arial"/>
          <w:sz w:val="24"/>
          <w:szCs w:val="24"/>
          <w:lang w:eastAsia="en-US"/>
        </w:rPr>
        <w:t xml:space="preserve">, de fecha </w:t>
      </w:r>
      <w:r w:rsidR="00D260BC">
        <w:rPr>
          <w:rFonts w:ascii="Arial" w:eastAsia="Calibri" w:hAnsi="Arial" w:cs="Arial"/>
          <w:sz w:val="24"/>
          <w:szCs w:val="24"/>
          <w:lang w:eastAsia="en-US"/>
        </w:rPr>
        <w:t>ocho</w:t>
      </w:r>
      <w:r w:rsidRPr="00494600">
        <w:rPr>
          <w:rFonts w:ascii="Arial" w:eastAsia="Calibri" w:hAnsi="Arial" w:cs="Arial"/>
          <w:sz w:val="24"/>
          <w:szCs w:val="24"/>
          <w:lang w:eastAsia="en-US"/>
        </w:rPr>
        <w:t xml:space="preserve"> de </w:t>
      </w:r>
      <w:r w:rsidR="00D260BC">
        <w:rPr>
          <w:rFonts w:ascii="Arial" w:eastAsia="Calibri" w:hAnsi="Arial" w:cs="Arial"/>
          <w:sz w:val="24"/>
          <w:szCs w:val="24"/>
          <w:lang w:eastAsia="en-US"/>
        </w:rPr>
        <w:t>febrero</w:t>
      </w:r>
      <w:r w:rsidR="00F54AB0">
        <w:rPr>
          <w:rFonts w:ascii="Arial" w:eastAsia="Calibri" w:hAnsi="Arial" w:cs="Arial"/>
          <w:sz w:val="24"/>
          <w:szCs w:val="24"/>
          <w:lang w:eastAsia="en-US"/>
        </w:rPr>
        <w:t xml:space="preserve"> </w:t>
      </w:r>
      <w:r w:rsidRPr="00494600">
        <w:rPr>
          <w:rFonts w:ascii="Arial" w:eastAsia="Calibri" w:hAnsi="Arial" w:cs="Arial"/>
          <w:sz w:val="24"/>
          <w:szCs w:val="24"/>
          <w:lang w:eastAsia="en-US"/>
        </w:rPr>
        <w:t xml:space="preserve">de dos mil </w:t>
      </w:r>
      <w:r w:rsidR="00F54AB0">
        <w:rPr>
          <w:rFonts w:ascii="Arial" w:eastAsia="Calibri" w:hAnsi="Arial" w:cs="Arial"/>
          <w:sz w:val="24"/>
          <w:szCs w:val="24"/>
          <w:lang w:eastAsia="en-US"/>
        </w:rPr>
        <w:t>veint</w:t>
      </w:r>
      <w:r w:rsidR="00D260BC">
        <w:rPr>
          <w:rFonts w:ascii="Arial" w:eastAsia="Calibri" w:hAnsi="Arial" w:cs="Arial"/>
          <w:sz w:val="24"/>
          <w:szCs w:val="24"/>
          <w:lang w:eastAsia="en-US"/>
        </w:rPr>
        <w:t>iuno</w:t>
      </w:r>
      <w:r w:rsidRPr="00494600">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54F80A51" w14:textId="31D7B3D0"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2°.</w:t>
      </w:r>
      <w:r w:rsidRPr="00494600">
        <w:rPr>
          <w:rFonts w:ascii="Arial" w:eastAsia="Calibri" w:hAnsi="Arial" w:cs="Arial"/>
          <w:sz w:val="24"/>
          <w:szCs w:val="24"/>
          <w:lang w:eastAsia="en-US"/>
        </w:rPr>
        <w:t xml:space="preserve"> Por acuerdo del </w:t>
      </w:r>
      <w:r w:rsidR="00D260BC">
        <w:rPr>
          <w:rFonts w:ascii="Arial" w:eastAsia="Calibri" w:hAnsi="Arial" w:cs="Arial"/>
          <w:sz w:val="24"/>
          <w:szCs w:val="24"/>
          <w:lang w:eastAsia="en-US"/>
        </w:rPr>
        <w:t>dieciocho</w:t>
      </w:r>
      <w:r w:rsidR="00BD19F8">
        <w:rPr>
          <w:rFonts w:ascii="Arial" w:eastAsia="Calibri" w:hAnsi="Arial" w:cs="Arial"/>
          <w:sz w:val="24"/>
          <w:szCs w:val="24"/>
          <w:lang w:eastAsia="en-US"/>
        </w:rPr>
        <w:t xml:space="preserve"> </w:t>
      </w:r>
      <w:r w:rsidRPr="00494600">
        <w:rPr>
          <w:rFonts w:ascii="Arial" w:eastAsia="Calibri" w:hAnsi="Arial" w:cs="Arial"/>
          <w:sz w:val="24"/>
          <w:szCs w:val="24"/>
          <w:lang w:eastAsia="en-US"/>
        </w:rPr>
        <w:t xml:space="preserve">de </w:t>
      </w:r>
      <w:r w:rsidR="00F54AB0">
        <w:rPr>
          <w:rFonts w:ascii="Arial" w:eastAsia="Calibri" w:hAnsi="Arial" w:cs="Arial"/>
          <w:sz w:val="24"/>
          <w:szCs w:val="24"/>
          <w:lang w:eastAsia="en-US"/>
        </w:rPr>
        <w:t>marzo</w:t>
      </w:r>
      <w:r w:rsidRPr="00494600">
        <w:rPr>
          <w:rFonts w:ascii="Arial" w:eastAsia="Calibri" w:hAnsi="Arial" w:cs="Arial"/>
          <w:sz w:val="24"/>
          <w:szCs w:val="24"/>
          <w:lang w:eastAsia="en-US"/>
        </w:rPr>
        <w:t xml:space="preserve"> de dos mil veintiuno, </w:t>
      </w:r>
      <w:r w:rsidRPr="000013A2">
        <w:rPr>
          <w:rFonts w:ascii="Arial" w:eastAsia="Calibri" w:hAnsi="Arial" w:cs="Arial"/>
          <w:sz w:val="24"/>
          <w:szCs w:val="24"/>
          <w:lang w:eastAsia="en-US"/>
        </w:rPr>
        <w:t xml:space="preserve">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w:t>
      </w:r>
      <w:r w:rsidRPr="00494600">
        <w:rPr>
          <w:rFonts w:ascii="Arial" w:eastAsia="Calibri" w:hAnsi="Arial" w:cs="Arial"/>
          <w:sz w:val="24"/>
          <w:szCs w:val="24"/>
          <w:lang w:eastAsia="en-US"/>
        </w:rPr>
        <w:t>en  caso de no referirse a todos los hechos planteados en la demanda se le tendría por ciertos, salvo prueba en contrario; en otro aspecto y de las pruebas ofrecidas se  tuvieron por admitidas las señaladas en el acuerdo mencionado.</w:t>
      </w:r>
    </w:p>
    <w:p w14:paraId="4AB0A76F" w14:textId="63DF1FF9"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3°.</w:t>
      </w:r>
      <w:r w:rsidRPr="00494600">
        <w:rPr>
          <w:rFonts w:ascii="Arial" w:eastAsia="Calibri" w:hAnsi="Arial" w:cs="Arial"/>
          <w:sz w:val="24"/>
          <w:szCs w:val="24"/>
          <w:lang w:eastAsia="en-US"/>
        </w:rPr>
        <w:t xml:space="preserve"> Por acuerdo de </w:t>
      </w:r>
      <w:r w:rsidR="00F54AB0">
        <w:rPr>
          <w:rFonts w:ascii="Arial" w:eastAsia="Calibri" w:hAnsi="Arial" w:cs="Arial"/>
          <w:sz w:val="24"/>
          <w:szCs w:val="24"/>
          <w:lang w:eastAsia="en-US"/>
        </w:rPr>
        <w:t>uno</w:t>
      </w:r>
      <w:r w:rsidRPr="00494600">
        <w:rPr>
          <w:rFonts w:ascii="Arial" w:eastAsia="Calibri" w:hAnsi="Arial" w:cs="Arial"/>
          <w:sz w:val="24"/>
          <w:szCs w:val="24"/>
          <w:lang w:eastAsia="en-US"/>
        </w:rPr>
        <w:t xml:space="preserve"> de </w:t>
      </w:r>
      <w:r w:rsidR="00F54AB0">
        <w:rPr>
          <w:rFonts w:ascii="Arial" w:eastAsia="Calibri" w:hAnsi="Arial" w:cs="Arial"/>
          <w:sz w:val="24"/>
          <w:szCs w:val="24"/>
          <w:lang w:eastAsia="en-US"/>
        </w:rPr>
        <w:t>junio</w:t>
      </w:r>
      <w:r w:rsidRPr="00494600">
        <w:rPr>
          <w:rFonts w:ascii="Arial" w:eastAsia="Calibri" w:hAnsi="Arial" w:cs="Arial"/>
          <w:sz w:val="24"/>
          <w:szCs w:val="24"/>
          <w:lang w:eastAsia="en-US"/>
        </w:rPr>
        <w:t xml:space="preserve"> de dos mil veintiuno se tuvo a la autoridad demandada contestando 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39D02D8E" w14:textId="6C727CCC" w:rsidR="00323167" w:rsidRPr="00494600" w:rsidRDefault="0043477D" w:rsidP="00323167">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lastRenderedPageBreak/>
        <w:t>4°.</w:t>
      </w:r>
      <w:r w:rsidRPr="00494600">
        <w:rPr>
          <w:rFonts w:ascii="Arial" w:eastAsia="Calibri" w:hAnsi="Arial" w:cs="Arial"/>
          <w:sz w:val="24"/>
          <w:szCs w:val="24"/>
          <w:lang w:eastAsia="en-US"/>
        </w:rPr>
        <w:t xml:space="preserve"> Con fecha </w:t>
      </w:r>
      <w:r w:rsidR="000013A2">
        <w:rPr>
          <w:rFonts w:ascii="Arial" w:eastAsia="Calibri" w:hAnsi="Arial" w:cs="Arial"/>
          <w:sz w:val="24"/>
          <w:szCs w:val="24"/>
          <w:lang w:eastAsia="en-US"/>
        </w:rPr>
        <w:t>veinti</w:t>
      </w:r>
      <w:r w:rsidR="00323167">
        <w:rPr>
          <w:rFonts w:ascii="Arial" w:eastAsia="Calibri" w:hAnsi="Arial" w:cs="Arial"/>
          <w:sz w:val="24"/>
          <w:szCs w:val="24"/>
          <w:lang w:eastAsia="en-US"/>
        </w:rPr>
        <w:t>cinco</w:t>
      </w:r>
      <w:r w:rsidR="000013A2">
        <w:rPr>
          <w:rFonts w:ascii="Arial" w:eastAsia="Calibri" w:hAnsi="Arial" w:cs="Arial"/>
          <w:sz w:val="24"/>
          <w:szCs w:val="24"/>
          <w:lang w:eastAsia="en-US"/>
        </w:rPr>
        <w:t xml:space="preserve"> </w:t>
      </w:r>
      <w:r w:rsidRPr="00494600">
        <w:rPr>
          <w:rFonts w:ascii="Arial" w:eastAsia="Calibri" w:hAnsi="Arial" w:cs="Arial"/>
          <w:sz w:val="24"/>
          <w:szCs w:val="24"/>
          <w:lang w:eastAsia="en-US"/>
        </w:rPr>
        <w:t xml:space="preserve">de </w:t>
      </w:r>
      <w:r w:rsidR="00F54AB0">
        <w:rPr>
          <w:rFonts w:ascii="Arial" w:eastAsia="Calibri" w:hAnsi="Arial" w:cs="Arial"/>
          <w:sz w:val="24"/>
          <w:szCs w:val="24"/>
          <w:lang w:eastAsia="en-US"/>
        </w:rPr>
        <w:t>noviembre</w:t>
      </w:r>
      <w:r w:rsidRPr="00494600">
        <w:rPr>
          <w:rFonts w:ascii="Arial" w:eastAsia="Calibri" w:hAnsi="Arial" w:cs="Arial"/>
          <w:sz w:val="24"/>
          <w:szCs w:val="24"/>
          <w:lang w:eastAsia="en-US"/>
        </w:rPr>
        <w:t xml:space="preserve"> de dos mil veinti</w:t>
      </w:r>
      <w:r w:rsidR="00F54AB0">
        <w:rPr>
          <w:rFonts w:ascii="Arial" w:eastAsia="Calibri" w:hAnsi="Arial" w:cs="Arial"/>
          <w:sz w:val="24"/>
          <w:szCs w:val="24"/>
          <w:lang w:eastAsia="en-US"/>
        </w:rPr>
        <w:t>uno</w:t>
      </w:r>
      <w:r w:rsidRPr="00494600">
        <w:rPr>
          <w:rFonts w:ascii="Arial" w:eastAsia="Calibri" w:hAnsi="Arial" w:cs="Arial"/>
          <w:sz w:val="24"/>
          <w:szCs w:val="24"/>
          <w:lang w:eastAsia="en-US"/>
        </w:rPr>
        <w:t xml:space="preserve">,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w:t>
      </w:r>
      <w:r w:rsidR="00323167" w:rsidRPr="00494600">
        <w:rPr>
          <w:rFonts w:ascii="Arial" w:eastAsia="Calibri" w:hAnsi="Arial" w:cs="Arial"/>
          <w:sz w:val="24"/>
          <w:szCs w:val="24"/>
          <w:lang w:eastAsia="en-US"/>
        </w:rPr>
        <w:t>que la parte actora present</w:t>
      </w:r>
      <w:r w:rsidR="00323167">
        <w:rPr>
          <w:rFonts w:ascii="Arial" w:eastAsia="Calibri" w:hAnsi="Arial" w:cs="Arial"/>
          <w:sz w:val="24"/>
          <w:szCs w:val="24"/>
          <w:lang w:eastAsia="en-US"/>
        </w:rPr>
        <w:t>ó</w:t>
      </w:r>
      <w:r w:rsidR="00323167" w:rsidRPr="00494600">
        <w:rPr>
          <w:rFonts w:ascii="Arial" w:eastAsia="Calibri" w:hAnsi="Arial" w:cs="Arial"/>
          <w:sz w:val="24"/>
          <w:szCs w:val="24"/>
          <w:lang w:eastAsia="en-US"/>
        </w:rPr>
        <w:t xml:space="preserve"> alegatos, los cuales se agregaron a los autos para los efectos correspondientes, por su parte la autoridad demandada  no </w:t>
      </w:r>
      <w:r w:rsidR="00323167">
        <w:rPr>
          <w:rFonts w:ascii="Arial" w:eastAsia="Calibri" w:hAnsi="Arial" w:cs="Arial"/>
          <w:sz w:val="24"/>
          <w:szCs w:val="24"/>
          <w:lang w:eastAsia="en-US"/>
        </w:rPr>
        <w:t>lo hizo</w:t>
      </w:r>
      <w:r w:rsidR="00323167" w:rsidRPr="00494600">
        <w:rPr>
          <w:rFonts w:ascii="Arial" w:eastAsia="Calibri" w:hAnsi="Arial" w:cs="Arial"/>
          <w:sz w:val="24"/>
          <w:szCs w:val="24"/>
          <w:lang w:eastAsia="en-US"/>
        </w:rPr>
        <w:t>, por lo que se tuvo por cerrado dicho periodo quedando el asunto integrado y en estado de resolución, finalmente se emite sentencia en los siguientes términos:</w:t>
      </w:r>
    </w:p>
    <w:p w14:paraId="7BCDE358" w14:textId="02707FAD" w:rsidR="0043477D" w:rsidRPr="00494600" w:rsidRDefault="0043477D" w:rsidP="00B221FF">
      <w:pPr>
        <w:spacing w:after="160" w:line="360" w:lineRule="auto"/>
        <w:ind w:firstLine="567"/>
        <w:jc w:val="both"/>
        <w:rPr>
          <w:rFonts w:ascii="Arial" w:eastAsia="Calibri" w:hAnsi="Arial" w:cs="Arial"/>
          <w:sz w:val="24"/>
          <w:szCs w:val="24"/>
          <w:lang w:eastAsia="en-US"/>
        </w:rPr>
      </w:pPr>
    </w:p>
    <w:p w14:paraId="24979E2F" w14:textId="77777777" w:rsidR="0043477D" w:rsidRPr="00494600" w:rsidRDefault="0043477D" w:rsidP="0043477D">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C O N S I D E R A N D O </w:t>
      </w:r>
    </w:p>
    <w:p w14:paraId="679C2440" w14:textId="77777777" w:rsidR="0043477D" w:rsidRPr="00494600" w:rsidRDefault="0043477D" w:rsidP="0043477D">
      <w:pPr>
        <w:spacing w:after="160" w:line="259" w:lineRule="auto"/>
        <w:jc w:val="center"/>
        <w:rPr>
          <w:rFonts w:ascii="Arial" w:eastAsia="Calibri" w:hAnsi="Arial" w:cs="Arial"/>
          <w:sz w:val="24"/>
          <w:szCs w:val="24"/>
          <w:lang w:eastAsia="en-US"/>
        </w:rPr>
      </w:pPr>
    </w:p>
    <w:p w14:paraId="6C278769" w14:textId="58625BCA" w:rsidR="0043477D" w:rsidRPr="00494600" w:rsidRDefault="0043477D" w:rsidP="0043477D">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b/>
          <w:bCs/>
          <w:sz w:val="24"/>
          <w:szCs w:val="24"/>
          <w:lang w:eastAsia="en-US"/>
        </w:rPr>
        <w:t>PRIMERO.</w:t>
      </w:r>
      <w:r w:rsidRPr="00494600">
        <w:rPr>
          <w:rFonts w:ascii="Arial" w:eastAsia="Calibri" w:hAnsi="Arial" w:cs="Arial"/>
          <w:sz w:val="24"/>
          <w:szCs w:val="24"/>
          <w:lang w:eastAsia="en-US"/>
        </w:rPr>
        <w:t xml:space="preserve">  Esta Primera Sala Unitaria de Primera Instancia del Tribunal de Justicia Administrativa del Estado de Oaxaca, es </w:t>
      </w:r>
      <w:r w:rsidRPr="00494600">
        <w:rPr>
          <w:rFonts w:ascii="Arial" w:eastAsia="Calibri" w:hAnsi="Arial" w:cs="Arial"/>
          <w:b/>
          <w:bCs/>
          <w:sz w:val="24"/>
          <w:szCs w:val="24"/>
          <w:lang w:eastAsia="en-US"/>
        </w:rPr>
        <w:t>competente</w:t>
      </w:r>
      <w:r w:rsidRPr="00494600">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494600">
        <w:rPr>
          <w:rFonts w:ascii="Arial" w:eastAsia="Calibri" w:hAnsi="Arial" w:cs="Arial"/>
          <w:sz w:val="24"/>
          <w:szCs w:val="24"/>
          <w:lang w:eastAsia="en-US"/>
        </w:rPr>
        <w:t>Quáter</w:t>
      </w:r>
      <w:proofErr w:type="spellEnd"/>
      <w:r w:rsidRPr="00494600">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494600">
        <w:rPr>
          <w:rFonts w:ascii="Arial" w:eastAsia="Calibri" w:hAnsi="Arial" w:cs="Arial"/>
          <w:b/>
          <w:sz w:val="24"/>
          <w:szCs w:val="24"/>
          <w:lang w:eastAsia="en-US"/>
        </w:rPr>
        <w:t xml:space="preserve">carácter </w:t>
      </w:r>
      <w:r w:rsidR="00B221FF">
        <w:rPr>
          <w:rFonts w:ascii="Arial" w:eastAsia="Calibri" w:hAnsi="Arial" w:cs="Arial"/>
          <w:b/>
          <w:sz w:val="24"/>
          <w:szCs w:val="24"/>
          <w:lang w:eastAsia="en-US"/>
        </w:rPr>
        <w:t>estatal</w:t>
      </w:r>
      <w:r w:rsidRPr="00494600">
        <w:rPr>
          <w:rFonts w:ascii="Arial" w:eastAsia="Calibri" w:hAnsi="Arial" w:cs="Arial"/>
          <w:sz w:val="24"/>
          <w:szCs w:val="24"/>
          <w:lang w:eastAsia="en-US"/>
        </w:rPr>
        <w:t xml:space="preserve">. </w:t>
      </w:r>
    </w:p>
    <w:p w14:paraId="4382B105" w14:textId="77777777" w:rsidR="0043477D" w:rsidRPr="003B5F05"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SEGUNDO.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 xml:space="preserve">Personalidad. </w:t>
      </w:r>
      <w:r w:rsidRPr="00494600">
        <w:rPr>
          <w:rFonts w:ascii="Arial" w:eastAsia="Calibri" w:hAnsi="Arial" w:cs="Arial"/>
          <w:sz w:val="24"/>
          <w:szCs w:val="24"/>
          <w:lang w:eastAsia="en-US"/>
        </w:rPr>
        <w:t xml:space="preserve"> La personalidad de las partes se tuvo acreditada de conformidad con los artículos 150</w:t>
      </w:r>
      <w:r w:rsidRPr="00494600">
        <w:rPr>
          <w:rFonts w:ascii="Arial" w:eastAsia="Calibri" w:hAnsi="Arial" w:cs="Arial"/>
          <w:sz w:val="24"/>
          <w:szCs w:val="24"/>
          <w:vertAlign w:val="superscript"/>
          <w:lang w:eastAsia="en-US"/>
        </w:rPr>
        <w:footnoteReference w:id="1"/>
      </w:r>
      <w:r w:rsidRPr="00494600">
        <w:rPr>
          <w:rFonts w:ascii="Arial" w:eastAsia="Calibri" w:hAnsi="Arial" w:cs="Arial"/>
          <w:sz w:val="24"/>
          <w:szCs w:val="24"/>
          <w:lang w:eastAsia="en-US"/>
        </w:rPr>
        <w:t xml:space="preserve"> y 151</w:t>
      </w:r>
      <w:r w:rsidRPr="00494600">
        <w:rPr>
          <w:rFonts w:ascii="Arial" w:eastAsia="Calibri" w:hAnsi="Arial" w:cs="Arial"/>
          <w:sz w:val="24"/>
          <w:szCs w:val="24"/>
          <w:vertAlign w:val="superscript"/>
          <w:lang w:eastAsia="en-US"/>
        </w:rPr>
        <w:footnoteReference w:id="2"/>
      </w:r>
      <w:r w:rsidRPr="00494600">
        <w:rPr>
          <w:rFonts w:ascii="Arial" w:eastAsia="Calibri" w:hAnsi="Arial" w:cs="Arial"/>
          <w:sz w:val="24"/>
          <w:szCs w:val="24"/>
          <w:lang w:eastAsia="en-US"/>
        </w:rPr>
        <w:t xml:space="preserve"> de la Ley de </w:t>
      </w:r>
      <w:r w:rsidRPr="003B5F05">
        <w:rPr>
          <w:rFonts w:ascii="Arial" w:eastAsia="Calibri" w:hAnsi="Arial" w:cs="Arial"/>
          <w:sz w:val="24"/>
          <w:szCs w:val="24"/>
          <w:lang w:eastAsia="en-US"/>
        </w:rPr>
        <w:t>Procedimiento y Justicia Administrativa.</w:t>
      </w:r>
    </w:p>
    <w:p w14:paraId="07CDD99F" w14:textId="4C14D799" w:rsidR="0043477D" w:rsidRPr="00494600" w:rsidRDefault="0043477D" w:rsidP="0043477D">
      <w:pPr>
        <w:spacing w:after="160" w:line="360" w:lineRule="auto"/>
        <w:ind w:firstLine="567"/>
        <w:jc w:val="both"/>
        <w:rPr>
          <w:rFonts w:ascii="Arial" w:eastAsia="Calibri" w:hAnsi="Arial" w:cs="Arial"/>
          <w:sz w:val="24"/>
          <w:szCs w:val="24"/>
          <w:lang w:eastAsia="en-US"/>
        </w:rPr>
      </w:pPr>
      <w:r w:rsidRPr="003B5F05">
        <w:rPr>
          <w:rFonts w:ascii="Arial" w:eastAsia="Calibri" w:hAnsi="Arial" w:cs="Arial"/>
          <w:b/>
          <w:bCs/>
          <w:sz w:val="24"/>
          <w:szCs w:val="24"/>
          <w:lang w:eastAsia="en-US"/>
        </w:rPr>
        <w:t>TERCERO.</w:t>
      </w:r>
      <w:r w:rsidRPr="003B5F05">
        <w:rPr>
          <w:rFonts w:ascii="Arial" w:eastAsia="Calibri" w:hAnsi="Arial" w:cs="Arial"/>
          <w:sz w:val="24"/>
          <w:szCs w:val="24"/>
          <w:lang w:eastAsia="en-US"/>
        </w:rPr>
        <w:t xml:space="preserve">  </w:t>
      </w:r>
      <w:r w:rsidRPr="003B5F05">
        <w:rPr>
          <w:rFonts w:ascii="Arial" w:eastAsia="Calibri" w:hAnsi="Arial" w:cs="Arial"/>
          <w:b/>
          <w:bCs/>
          <w:sz w:val="24"/>
          <w:szCs w:val="24"/>
          <w:lang w:eastAsia="en-US"/>
        </w:rPr>
        <w:t>Acreditación del acto impugnado.</w:t>
      </w:r>
      <w:r w:rsidRPr="003B5F05">
        <w:rPr>
          <w:rFonts w:ascii="Arial" w:eastAsia="Calibri" w:hAnsi="Arial" w:cs="Arial"/>
          <w:sz w:val="24"/>
          <w:szCs w:val="24"/>
          <w:lang w:eastAsia="en-US"/>
        </w:rPr>
        <w:t xml:space="preserve"> Lo es el acta de infracción, de fecha </w:t>
      </w:r>
      <w:r w:rsidR="00323167">
        <w:rPr>
          <w:rFonts w:ascii="Arial" w:eastAsia="Calibri" w:hAnsi="Arial" w:cs="Arial"/>
          <w:sz w:val="24"/>
          <w:szCs w:val="24"/>
          <w:lang w:eastAsia="en-US"/>
        </w:rPr>
        <w:t>ocho de febrero de dos mil veintiuno</w:t>
      </w:r>
      <w:r w:rsidRPr="003B5F05">
        <w:rPr>
          <w:rFonts w:ascii="Arial" w:eastAsia="Calibri" w:hAnsi="Arial" w:cs="Arial"/>
          <w:sz w:val="24"/>
          <w:szCs w:val="24"/>
          <w:lang w:eastAsia="en-US"/>
        </w:rPr>
        <w:t xml:space="preserve"> emitido por el policía </w:t>
      </w:r>
      <w:r w:rsidR="00B221FF">
        <w:rPr>
          <w:rFonts w:ascii="Arial" w:eastAsia="Calibri" w:hAnsi="Arial" w:cs="Arial"/>
          <w:sz w:val="24"/>
          <w:szCs w:val="24"/>
          <w:lang w:eastAsia="en-US"/>
        </w:rPr>
        <w:t>vial estatal</w:t>
      </w:r>
      <w:r w:rsidRPr="003B5F05">
        <w:rPr>
          <w:rFonts w:ascii="Arial" w:eastAsia="Calibri" w:hAnsi="Arial" w:cs="Arial"/>
          <w:sz w:val="24"/>
          <w:szCs w:val="24"/>
          <w:lang w:eastAsia="en-US"/>
        </w:rPr>
        <w:t xml:space="preserve"> demandado, cuya original obra a foja </w:t>
      </w:r>
      <w:r w:rsidR="00323167">
        <w:rPr>
          <w:rFonts w:ascii="Arial" w:eastAsia="Calibri" w:hAnsi="Arial" w:cs="Arial"/>
          <w:sz w:val="24"/>
          <w:szCs w:val="24"/>
          <w:lang w:eastAsia="en-US"/>
        </w:rPr>
        <w:t xml:space="preserve">09 </w:t>
      </w:r>
      <w:r w:rsidRPr="003B5F05">
        <w:rPr>
          <w:rFonts w:ascii="Arial" w:eastAsia="Calibri" w:hAnsi="Arial" w:cs="Arial"/>
          <w:sz w:val="24"/>
          <w:szCs w:val="24"/>
          <w:lang w:eastAsia="en-US"/>
        </w:rPr>
        <w:t>del expediente al rubro indicado, con valor probatorio pleno en términos de lo dispuesto por el artículo 203 fracción I</w:t>
      </w:r>
      <w:r w:rsidRPr="003B5F05">
        <w:rPr>
          <w:rFonts w:ascii="Arial" w:eastAsia="Calibri" w:hAnsi="Arial" w:cs="Arial"/>
          <w:sz w:val="24"/>
          <w:szCs w:val="24"/>
          <w:vertAlign w:val="superscript"/>
          <w:lang w:eastAsia="en-US"/>
        </w:rPr>
        <w:footnoteReference w:id="3"/>
      </w:r>
      <w:r w:rsidRPr="003B5F05">
        <w:rPr>
          <w:rFonts w:ascii="Arial" w:eastAsia="Calibri" w:hAnsi="Arial" w:cs="Arial"/>
          <w:sz w:val="24"/>
          <w:szCs w:val="24"/>
          <w:lang w:eastAsia="en-US"/>
        </w:rPr>
        <w:t xml:space="preserve"> de la Ley de Procedimiento arriba señalada</w:t>
      </w:r>
      <w:r w:rsidRPr="00494600">
        <w:rPr>
          <w:rFonts w:ascii="Arial" w:eastAsia="Calibri" w:hAnsi="Arial" w:cs="Arial"/>
          <w:sz w:val="24"/>
          <w:szCs w:val="24"/>
          <w:lang w:eastAsia="en-US"/>
        </w:rPr>
        <w:t xml:space="preserve">; también reconocida por la autoridad demandada de forma expresa en su contestación a foja </w:t>
      </w:r>
      <w:r w:rsidR="00B221FF">
        <w:rPr>
          <w:rFonts w:ascii="Arial" w:eastAsia="Calibri" w:hAnsi="Arial" w:cs="Arial"/>
          <w:sz w:val="24"/>
          <w:szCs w:val="24"/>
          <w:lang w:eastAsia="en-US"/>
        </w:rPr>
        <w:t>1</w:t>
      </w:r>
      <w:r w:rsidR="00323167">
        <w:rPr>
          <w:rFonts w:ascii="Arial" w:eastAsia="Calibri" w:hAnsi="Arial" w:cs="Arial"/>
          <w:sz w:val="24"/>
          <w:szCs w:val="24"/>
          <w:lang w:eastAsia="en-US"/>
        </w:rPr>
        <w:t>6</w:t>
      </w:r>
      <w:r w:rsidRPr="00494600">
        <w:rPr>
          <w:rFonts w:ascii="Arial" w:eastAsia="Calibri" w:hAnsi="Arial" w:cs="Arial"/>
          <w:sz w:val="24"/>
          <w:szCs w:val="24"/>
          <w:lang w:eastAsia="en-US"/>
        </w:rPr>
        <w:t>, por lo que esta Sala tiene por acreditado el acto impugnado.</w:t>
      </w:r>
    </w:p>
    <w:p w14:paraId="11AEE49B" w14:textId="3F19EFC3" w:rsidR="00823738" w:rsidRPr="00823738" w:rsidRDefault="0043477D" w:rsidP="00823738">
      <w:pPr>
        <w:spacing w:after="160" w:line="360" w:lineRule="auto"/>
        <w:ind w:firstLine="567"/>
        <w:jc w:val="both"/>
        <w:rPr>
          <w:rFonts w:ascii="Arial" w:hAnsi="Arial" w:cs="Arial"/>
          <w:sz w:val="24"/>
          <w:szCs w:val="24"/>
        </w:rPr>
      </w:pPr>
      <w:r w:rsidRPr="00494600">
        <w:rPr>
          <w:rFonts w:ascii="Arial" w:eastAsia="Calibri" w:hAnsi="Arial" w:cs="Arial"/>
          <w:b/>
          <w:bCs/>
          <w:sz w:val="24"/>
          <w:szCs w:val="24"/>
          <w:lang w:eastAsia="en-US"/>
        </w:rPr>
        <w:lastRenderedPageBreak/>
        <w:t>CUARTO.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Causales de improcedencia y sobreseimiento.</w:t>
      </w:r>
      <w:r w:rsidRPr="00494600">
        <w:rPr>
          <w:rFonts w:ascii="Arial" w:eastAsia="Calibri" w:hAnsi="Arial" w:cs="Arial"/>
          <w:sz w:val="24"/>
          <w:szCs w:val="24"/>
          <w:lang w:eastAsia="en-US"/>
        </w:rPr>
        <w:t xml:space="preserve"> Tomando en cuenta que las mismas </w:t>
      </w:r>
      <w:r w:rsidR="00823738" w:rsidRPr="00240D1C">
        <w:rPr>
          <w:rFonts w:ascii="Arial" w:hAnsi="Arial" w:cs="Arial"/>
          <w:sz w:val="24"/>
          <w:szCs w:val="24"/>
        </w:rPr>
        <w:t>son de orden público y de estudio preferente a cualquier otra cuestión y derivado del imperioso estudio oficioso que especifica el artículo 161 última parte</w:t>
      </w:r>
      <w:r w:rsidR="00823738" w:rsidRPr="00240D1C">
        <w:rPr>
          <w:rStyle w:val="Refdenotaalpie"/>
          <w:rFonts w:ascii="Arial" w:hAnsi="Arial" w:cs="Arial"/>
          <w:sz w:val="24"/>
          <w:szCs w:val="24"/>
        </w:rPr>
        <w:footnoteReference w:id="4"/>
      </w:r>
      <w:r w:rsidR="00823738">
        <w:rPr>
          <w:rFonts w:ascii="Arial" w:hAnsi="Arial" w:cs="Arial"/>
          <w:sz w:val="24"/>
          <w:szCs w:val="24"/>
        </w:rPr>
        <w:t xml:space="preserve"> y 162 </w:t>
      </w:r>
      <w:r w:rsidR="00823738" w:rsidRPr="00240D1C">
        <w:rPr>
          <w:rFonts w:ascii="Arial" w:hAnsi="Arial" w:cs="Arial"/>
          <w:sz w:val="24"/>
          <w:szCs w:val="24"/>
        </w:rPr>
        <w:t xml:space="preserve">de la Ley de la materia respecto a dichas causales; esta Sala advierte que en el presente caso concreto no se actualiza causal de improcedencia ni sobreseimiento, consecuentemente, </w:t>
      </w:r>
      <w:r w:rsidR="00823738" w:rsidRPr="00240D1C">
        <w:rPr>
          <w:rFonts w:ascii="Arial" w:hAnsi="Arial" w:cs="Arial"/>
          <w:b/>
          <w:sz w:val="24"/>
          <w:szCs w:val="24"/>
        </w:rPr>
        <w:t>NO SE SOBRESEE</w:t>
      </w:r>
      <w:r w:rsidR="00823738">
        <w:rPr>
          <w:rFonts w:ascii="Arial" w:hAnsi="Arial" w:cs="Arial"/>
          <w:sz w:val="24"/>
          <w:szCs w:val="24"/>
        </w:rPr>
        <w:t xml:space="preserve"> el juicio. </w:t>
      </w:r>
    </w:p>
    <w:p w14:paraId="17FF79AD" w14:textId="10801A1E" w:rsidR="0043477D" w:rsidRPr="006339CE" w:rsidRDefault="0043477D" w:rsidP="003A5D91">
      <w:pPr>
        <w:spacing w:after="160" w:line="360" w:lineRule="auto"/>
        <w:ind w:firstLine="567"/>
        <w:jc w:val="both"/>
        <w:rPr>
          <w:rFonts w:ascii="Arial" w:eastAsia="Calibri" w:hAnsi="Arial" w:cs="Arial"/>
          <w:sz w:val="24"/>
          <w:szCs w:val="24"/>
          <w:lang w:eastAsia="en-US"/>
        </w:rPr>
      </w:pPr>
      <w:r w:rsidRPr="006339CE">
        <w:rPr>
          <w:rFonts w:ascii="Arial" w:eastAsia="Calibri" w:hAnsi="Arial" w:cs="Arial"/>
          <w:b/>
          <w:bCs/>
          <w:sz w:val="24"/>
          <w:szCs w:val="24"/>
          <w:lang w:eastAsia="en-US"/>
        </w:rPr>
        <w:t>QUINTO. Fijación de la Litis.</w:t>
      </w:r>
      <w:r w:rsidRPr="006339CE">
        <w:rPr>
          <w:rFonts w:ascii="Arial" w:eastAsia="Calibri" w:hAnsi="Arial" w:cs="Arial"/>
          <w:sz w:val="24"/>
          <w:szCs w:val="24"/>
          <w:lang w:eastAsia="en-US"/>
        </w:rPr>
        <w:t xml:space="preserve"> La parte actora demandó la nulidad del acta de infracción emitida por el policía vial </w:t>
      </w:r>
      <w:r w:rsidR="004152B4" w:rsidRPr="006339CE">
        <w:rPr>
          <w:rFonts w:ascii="Arial" w:eastAsia="Calibri" w:hAnsi="Arial" w:cs="Arial"/>
          <w:sz w:val="24"/>
          <w:szCs w:val="24"/>
          <w:lang w:eastAsia="en-US"/>
        </w:rPr>
        <w:t>estatal</w:t>
      </w:r>
      <w:r w:rsidRPr="006339CE">
        <w:rPr>
          <w:rFonts w:ascii="Arial" w:eastAsia="Calibri" w:hAnsi="Arial" w:cs="Arial"/>
          <w:sz w:val="24"/>
          <w:szCs w:val="24"/>
          <w:lang w:eastAsia="en-US"/>
        </w:rPr>
        <w:t xml:space="preserve"> respecto a su </w:t>
      </w:r>
      <w:r w:rsidR="0053384D" w:rsidRPr="006339CE">
        <w:rPr>
          <w:rFonts w:ascii="Arial" w:eastAsia="Calibri" w:hAnsi="Arial" w:cs="Arial"/>
          <w:sz w:val="24"/>
          <w:szCs w:val="24"/>
          <w:lang w:eastAsia="en-US"/>
        </w:rPr>
        <w:t>automóvil particular</w:t>
      </w:r>
      <w:r w:rsidRPr="006339CE">
        <w:rPr>
          <w:rFonts w:ascii="Arial" w:eastAsia="Calibri" w:hAnsi="Arial" w:cs="Arial"/>
          <w:sz w:val="24"/>
          <w:szCs w:val="24"/>
          <w:lang w:eastAsia="en-US"/>
        </w:rPr>
        <w:t xml:space="preserve">, marca </w:t>
      </w:r>
      <w:r w:rsidR="006A4841">
        <w:rPr>
          <w:rFonts w:ascii="Arial" w:eastAsia="Calibri" w:hAnsi="Arial" w:cs="Arial"/>
          <w:sz w:val="24"/>
          <w:szCs w:val="24"/>
          <w:lang w:eastAsia="en-US"/>
        </w:rPr>
        <w:t>**********</w:t>
      </w:r>
      <w:r w:rsidR="00DC0C96" w:rsidRPr="006339CE">
        <w:rPr>
          <w:rFonts w:ascii="Arial" w:eastAsia="Calibri" w:hAnsi="Arial" w:cs="Arial"/>
          <w:sz w:val="24"/>
          <w:szCs w:val="24"/>
          <w:lang w:eastAsia="en-US"/>
        </w:rPr>
        <w:t xml:space="preserve">, tipo </w:t>
      </w:r>
      <w:r w:rsidR="00D03310">
        <w:rPr>
          <w:rFonts w:ascii="Arial" w:eastAsia="Calibri" w:hAnsi="Arial" w:cs="Arial"/>
          <w:sz w:val="24"/>
          <w:szCs w:val="24"/>
          <w:lang w:eastAsia="en-US"/>
        </w:rPr>
        <w:t>sedan</w:t>
      </w:r>
      <w:r w:rsidRPr="006339CE">
        <w:rPr>
          <w:rFonts w:ascii="Arial" w:eastAsia="Calibri" w:hAnsi="Arial" w:cs="Arial"/>
          <w:sz w:val="24"/>
          <w:szCs w:val="24"/>
          <w:lang w:eastAsia="en-US"/>
        </w:rPr>
        <w:t>, con placas</w:t>
      </w:r>
      <w:r w:rsidR="0053384D" w:rsidRPr="006339CE">
        <w:rPr>
          <w:rFonts w:ascii="Arial" w:eastAsia="Calibri" w:hAnsi="Arial" w:cs="Arial"/>
          <w:sz w:val="24"/>
          <w:szCs w:val="24"/>
          <w:lang w:eastAsia="en-US"/>
        </w:rPr>
        <w:t xml:space="preserve"> de circulación</w:t>
      </w:r>
      <w:r w:rsidRPr="006339CE">
        <w:rPr>
          <w:rFonts w:ascii="Arial" w:eastAsia="Calibri" w:hAnsi="Arial" w:cs="Arial"/>
          <w:sz w:val="24"/>
          <w:szCs w:val="24"/>
          <w:lang w:eastAsia="en-US"/>
        </w:rPr>
        <w:t xml:space="preserve"> </w:t>
      </w:r>
      <w:r w:rsidR="006A4841">
        <w:rPr>
          <w:rFonts w:ascii="Arial" w:eastAsia="Calibri" w:hAnsi="Arial" w:cs="Arial"/>
          <w:sz w:val="24"/>
          <w:szCs w:val="24"/>
          <w:lang w:eastAsia="en-US"/>
        </w:rPr>
        <w:t>**********</w:t>
      </w:r>
      <w:r w:rsidRPr="006339CE">
        <w:rPr>
          <w:rFonts w:ascii="Arial" w:eastAsia="Calibri" w:hAnsi="Arial" w:cs="Arial"/>
          <w:sz w:val="24"/>
          <w:szCs w:val="24"/>
          <w:lang w:eastAsia="en-US"/>
        </w:rPr>
        <w:t xml:space="preserve"> del Estado de </w:t>
      </w:r>
      <w:r w:rsidR="00DC0C96" w:rsidRPr="006339CE">
        <w:rPr>
          <w:rFonts w:ascii="Arial" w:eastAsia="Calibri" w:hAnsi="Arial" w:cs="Arial"/>
          <w:sz w:val="24"/>
          <w:szCs w:val="24"/>
          <w:lang w:eastAsia="en-US"/>
        </w:rPr>
        <w:t>Oaxaca</w:t>
      </w:r>
      <w:r w:rsidRPr="006339CE">
        <w:rPr>
          <w:rFonts w:ascii="Arial" w:eastAsia="Calibri" w:hAnsi="Arial" w:cs="Arial"/>
          <w:sz w:val="24"/>
          <w:szCs w:val="24"/>
          <w:lang w:eastAsia="en-US"/>
        </w:rPr>
        <w:t xml:space="preserve"> por ser ilegal, al estar indebidamente fundada y motivada, dejándolo así en estado de indefensión violentando lo establecido en el artículo 16 de la Constitución Federal y 17, fracción V de la Ley de Procedimiento y Justicia Administrativa para el Estado de Oaxaca.</w:t>
      </w:r>
    </w:p>
    <w:p w14:paraId="3EEBB385" w14:textId="77777777" w:rsidR="0043477D" w:rsidRPr="006339CE" w:rsidRDefault="0043477D" w:rsidP="0043477D">
      <w:pPr>
        <w:spacing w:after="160" w:line="360" w:lineRule="auto"/>
        <w:ind w:firstLine="567"/>
        <w:jc w:val="both"/>
        <w:rPr>
          <w:rFonts w:ascii="Arial" w:eastAsia="Calibri" w:hAnsi="Arial" w:cs="Arial"/>
          <w:sz w:val="24"/>
          <w:szCs w:val="24"/>
          <w:lang w:eastAsia="en-US"/>
        </w:rPr>
      </w:pPr>
      <w:r w:rsidRPr="006339CE">
        <w:rPr>
          <w:rFonts w:ascii="Arial" w:eastAsia="Calibri" w:hAnsi="Arial" w:cs="Arial"/>
          <w:sz w:val="24"/>
          <w:szCs w:val="24"/>
          <w:lang w:eastAsia="en-US"/>
        </w:rPr>
        <w:t>La autoridad demandada al contestar la demanda, señaló que la parte actora no le asiste la razón para reclamar la nulidad del acto aquí impugnado, porque cumple a cabalidad con los requisitos de legalidad conforme al artículo 17 de la Ley de Procedimiento y Justicia Administrativa del Estado de Oaxaca, al ser emitido por autoridad competente ya que los preceptos citados en el cuerpo de la infracción en cuestión lo facultan para generar actos de molestia de esa naturaleza, estando debidamente fundada y motivada.</w:t>
      </w:r>
    </w:p>
    <w:p w14:paraId="65D7AF34" w14:textId="791D1488" w:rsidR="006339CE" w:rsidRPr="00481D71" w:rsidRDefault="0043477D" w:rsidP="006339CE">
      <w:pPr>
        <w:spacing w:after="160" w:line="360" w:lineRule="auto"/>
        <w:ind w:firstLine="567"/>
        <w:jc w:val="both"/>
        <w:rPr>
          <w:rFonts w:ascii="Arial" w:hAnsi="Arial" w:cs="Arial"/>
          <w:bCs/>
          <w:sz w:val="24"/>
          <w:szCs w:val="24"/>
        </w:rPr>
      </w:pPr>
      <w:r w:rsidRPr="00481D71">
        <w:rPr>
          <w:rFonts w:ascii="Arial" w:eastAsia="Calibri" w:hAnsi="Arial" w:cs="Arial"/>
          <w:b/>
          <w:bCs/>
          <w:sz w:val="24"/>
          <w:szCs w:val="24"/>
          <w:lang w:eastAsia="en-US"/>
        </w:rPr>
        <w:t>SEXTO. Estudio del Fondo del Asunto.</w:t>
      </w:r>
      <w:r w:rsidRPr="00481D71">
        <w:rPr>
          <w:rFonts w:ascii="Arial" w:eastAsia="Calibri" w:hAnsi="Arial" w:cs="Arial"/>
          <w:sz w:val="24"/>
          <w:szCs w:val="24"/>
          <w:lang w:eastAsia="en-US"/>
        </w:rPr>
        <w:t xml:space="preserve"> El acta de infracción, a la que se le ha dado valor probatorio pleno de conformidad con el precepto 203 fracción I de la Ley de la materia, en la parte que interesa</w:t>
      </w:r>
      <w:r w:rsidR="006339CE" w:rsidRPr="00481D71">
        <w:rPr>
          <w:rFonts w:ascii="Arial" w:eastAsia="Calibri" w:hAnsi="Arial" w:cs="Arial"/>
          <w:sz w:val="24"/>
          <w:szCs w:val="24"/>
          <w:lang w:eastAsia="en-US"/>
        </w:rPr>
        <w:t xml:space="preserve">, en este caso </w:t>
      </w:r>
      <w:r w:rsidR="006339CE" w:rsidRPr="00481D71">
        <w:rPr>
          <w:rFonts w:ascii="Arial" w:hAnsi="Arial" w:cs="Arial"/>
          <w:sz w:val="24"/>
          <w:szCs w:val="24"/>
        </w:rPr>
        <w:t>en el apartado de motivo de la detención del vehículo</w:t>
      </w:r>
      <w:r w:rsidR="006339CE" w:rsidRPr="00481D71">
        <w:rPr>
          <w:rFonts w:ascii="Arial" w:hAnsi="Arial" w:cs="Arial"/>
          <w:bCs/>
          <w:sz w:val="24"/>
          <w:szCs w:val="24"/>
        </w:rPr>
        <w:t>, el Policía Vial Estatal fue omiso en señalar alguna de las ahí asentadas; en el apartado de “</w:t>
      </w:r>
      <w:r w:rsidR="006339CE" w:rsidRPr="00481D71">
        <w:rPr>
          <w:rFonts w:ascii="Arial" w:hAnsi="Arial" w:cs="Arial"/>
          <w:bCs/>
          <w:i/>
          <w:sz w:val="24"/>
          <w:szCs w:val="24"/>
        </w:rPr>
        <w:t>OBSERVACIONES</w:t>
      </w:r>
      <w:r w:rsidR="006339CE" w:rsidRPr="00481D71">
        <w:rPr>
          <w:rFonts w:ascii="Arial" w:hAnsi="Arial" w:cs="Arial"/>
          <w:bCs/>
          <w:sz w:val="24"/>
          <w:szCs w:val="24"/>
        </w:rPr>
        <w:t>” indicó:</w:t>
      </w:r>
    </w:p>
    <w:p w14:paraId="45FB3FF0" w14:textId="7A1685F2" w:rsidR="0043477D" w:rsidRPr="00481D71" w:rsidRDefault="006339CE" w:rsidP="006339CE">
      <w:pPr>
        <w:spacing w:after="160" w:line="360" w:lineRule="auto"/>
        <w:ind w:left="567" w:right="1183"/>
        <w:jc w:val="both"/>
        <w:rPr>
          <w:rFonts w:ascii="Arial" w:hAnsi="Arial" w:cs="Arial"/>
          <w:bCs/>
          <w:i/>
          <w:iCs/>
        </w:rPr>
      </w:pPr>
      <w:r w:rsidRPr="00481D71">
        <w:rPr>
          <w:rFonts w:ascii="Arial" w:hAnsi="Arial" w:cs="Arial"/>
          <w:bCs/>
          <w:i/>
          <w:iCs/>
        </w:rPr>
        <w:t xml:space="preserve"> “</w:t>
      </w:r>
      <w:r w:rsidR="00406B60" w:rsidRPr="00481D71">
        <w:rPr>
          <w:rFonts w:ascii="Arial" w:hAnsi="Arial" w:cs="Arial"/>
          <w:bCs/>
          <w:i/>
          <w:iCs/>
        </w:rPr>
        <w:t>Artículo 18 fracción V y 47 de la Ley de Tránsito y Vialidad del Estado de Oaxaca</w:t>
      </w:r>
      <w:r w:rsidRPr="00481D71">
        <w:rPr>
          <w:rFonts w:ascii="Arial" w:hAnsi="Arial" w:cs="Arial"/>
          <w:bCs/>
          <w:i/>
          <w:iCs/>
        </w:rPr>
        <w:t>”.</w:t>
      </w:r>
    </w:p>
    <w:p w14:paraId="4D1D8A2D" w14:textId="2A794C4E" w:rsidR="00406B60" w:rsidRPr="007D27D0" w:rsidRDefault="00406B60" w:rsidP="00406B60">
      <w:pPr>
        <w:spacing w:after="160" w:line="360" w:lineRule="auto"/>
        <w:ind w:left="567" w:right="-93"/>
        <w:jc w:val="both"/>
        <w:rPr>
          <w:rFonts w:ascii="Arial" w:hAnsi="Arial" w:cs="Arial"/>
          <w:bCs/>
          <w:i/>
          <w:iCs/>
        </w:rPr>
      </w:pPr>
      <w:r w:rsidRPr="00406B60">
        <w:rPr>
          <w:rFonts w:ascii="Arial" w:hAnsi="Arial" w:cs="Arial"/>
          <w:bCs/>
          <w:sz w:val="24"/>
          <w:szCs w:val="24"/>
        </w:rPr>
        <w:t>Y</w:t>
      </w:r>
      <w:r>
        <w:rPr>
          <w:rFonts w:ascii="Arial" w:hAnsi="Arial" w:cs="Arial"/>
          <w:bCs/>
          <w:sz w:val="24"/>
          <w:szCs w:val="24"/>
        </w:rPr>
        <w:t xml:space="preserve"> en el apartado de motivo de la infracción, subrayó la opción de: </w:t>
      </w:r>
      <w:r w:rsidR="007D2C86" w:rsidRPr="007D27D0">
        <w:rPr>
          <w:rFonts w:ascii="Arial" w:hAnsi="Arial" w:cs="Arial"/>
          <w:bCs/>
        </w:rPr>
        <w:t>“</w:t>
      </w:r>
      <w:r w:rsidRPr="007D27D0">
        <w:rPr>
          <w:rFonts w:ascii="Arial" w:hAnsi="Arial" w:cs="Arial"/>
          <w:bCs/>
          <w:i/>
          <w:iCs/>
        </w:rPr>
        <w:t>Artículo 158, del Reglamento de la Ley de Tránsito Reformada, grupo 2, números 32. Manejar los conductores estando distraídos o platicando</w:t>
      </w:r>
      <w:r w:rsidR="007D2C86" w:rsidRPr="007D27D0">
        <w:rPr>
          <w:rFonts w:ascii="Arial" w:hAnsi="Arial" w:cs="Arial"/>
          <w:bCs/>
          <w:i/>
          <w:iCs/>
        </w:rPr>
        <w:t xml:space="preserve"> o abastecer de combustible con el motor en marcha”.</w:t>
      </w:r>
    </w:p>
    <w:p w14:paraId="1CEF6EE9" w14:textId="520BF223" w:rsidR="004D2CE9" w:rsidRDefault="0043477D" w:rsidP="00622D1D">
      <w:pPr>
        <w:spacing w:before="240"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lastRenderedPageBreak/>
        <w:t>En atención a la transcripción anterior, se evidencia la falta de la debida fundamentación y motivación del acta de infracción impugnada, esto es así, porque la autoridad emisora del acto</w:t>
      </w:r>
      <w:r w:rsidR="004D2CE9">
        <w:rPr>
          <w:rFonts w:ascii="Arial" w:eastAsia="Calibri" w:hAnsi="Arial" w:cs="Arial"/>
          <w:sz w:val="24"/>
          <w:szCs w:val="24"/>
          <w:lang w:eastAsia="en-US"/>
        </w:rPr>
        <w:t xml:space="preserve"> señaló como fundamento lo dispuesto por los artículos, 18, fracción V y 47 de La Ley de Tránsito y Vialidad del Estado de Oaxaca; y 158, grupo 2, número 32 del Reglamento de la Ley de Tránsito Reformada</w:t>
      </w:r>
      <w:r w:rsidR="007D27D0">
        <w:rPr>
          <w:rFonts w:ascii="Arial" w:eastAsia="Calibri" w:hAnsi="Arial" w:cs="Arial"/>
          <w:sz w:val="24"/>
          <w:szCs w:val="24"/>
          <w:lang w:eastAsia="en-US"/>
        </w:rPr>
        <w:t xml:space="preserve"> que dicen:</w:t>
      </w:r>
    </w:p>
    <w:p w14:paraId="50428027" w14:textId="223B3C6D" w:rsidR="007D27D0" w:rsidRPr="007D27D0" w:rsidRDefault="007D27D0" w:rsidP="00901750">
      <w:pPr>
        <w:spacing w:before="240" w:after="0" w:line="360" w:lineRule="auto"/>
        <w:ind w:right="333" w:firstLine="567"/>
        <w:jc w:val="both"/>
        <w:rPr>
          <w:rFonts w:ascii="Arial" w:eastAsia="Calibri" w:hAnsi="Arial" w:cs="Arial"/>
          <w:b/>
          <w:bCs/>
          <w:lang w:eastAsia="en-US"/>
        </w:rPr>
      </w:pPr>
      <w:r w:rsidRPr="007D27D0">
        <w:rPr>
          <w:rFonts w:ascii="Arial" w:eastAsia="Calibri" w:hAnsi="Arial" w:cs="Arial"/>
          <w:b/>
          <w:bCs/>
          <w:lang w:eastAsia="en-US"/>
        </w:rPr>
        <w:t xml:space="preserve"> Ley de Tránsito y Vialidad del Estado</w:t>
      </w:r>
    </w:p>
    <w:p w14:paraId="267EF705" w14:textId="30E01779" w:rsidR="007D27D0" w:rsidRPr="007D27D0" w:rsidRDefault="007D27D0" w:rsidP="00901750">
      <w:pPr>
        <w:autoSpaceDE w:val="0"/>
        <w:autoSpaceDN w:val="0"/>
        <w:adjustRightInd w:val="0"/>
        <w:spacing w:after="0" w:line="360" w:lineRule="auto"/>
        <w:ind w:left="567" w:right="333"/>
        <w:jc w:val="both"/>
        <w:rPr>
          <w:rFonts w:ascii="Times New Roman" w:hAnsi="Times New Roman" w:cs="Times New Roman"/>
          <w:i/>
          <w:iCs/>
        </w:rPr>
      </w:pPr>
      <w:r w:rsidRPr="007D27D0">
        <w:rPr>
          <w:rFonts w:ascii="Arial" w:hAnsi="Arial" w:cs="Arial"/>
          <w:i/>
          <w:iCs/>
          <w:color w:val="000000"/>
        </w:rPr>
        <w:t>“</w:t>
      </w:r>
      <w:r w:rsidRPr="007D27D0">
        <w:rPr>
          <w:rFonts w:ascii="Arial" w:hAnsi="Arial" w:cs="Arial"/>
          <w:b/>
          <w:bCs/>
          <w:i/>
          <w:iCs/>
          <w:color w:val="000000"/>
        </w:rPr>
        <w:t xml:space="preserve">Artículo 18. </w:t>
      </w:r>
      <w:r w:rsidRPr="007D27D0">
        <w:rPr>
          <w:rFonts w:ascii="Arial" w:hAnsi="Arial" w:cs="Arial"/>
          <w:i/>
          <w:iCs/>
          <w:color w:val="000000"/>
        </w:rPr>
        <w:t xml:space="preserve">Son atribuciones y obligaciones de los elementos de la Policía Vial Estatal: </w:t>
      </w:r>
    </w:p>
    <w:p w14:paraId="6FD736D5" w14:textId="77777777" w:rsidR="007D27D0" w:rsidRPr="007D27D0" w:rsidRDefault="007D27D0" w:rsidP="00901750">
      <w:pPr>
        <w:autoSpaceDE w:val="0"/>
        <w:autoSpaceDN w:val="0"/>
        <w:adjustRightInd w:val="0"/>
        <w:spacing w:after="0" w:line="360" w:lineRule="auto"/>
        <w:ind w:left="567" w:right="333"/>
        <w:jc w:val="both"/>
        <w:rPr>
          <w:rFonts w:ascii="Arial" w:hAnsi="Arial" w:cs="Arial"/>
          <w:i/>
          <w:iCs/>
          <w:color w:val="000000"/>
        </w:rPr>
      </w:pPr>
    </w:p>
    <w:p w14:paraId="7E9B1607" w14:textId="0B3C1B4D" w:rsidR="007D27D0" w:rsidRPr="007D27D0" w:rsidRDefault="007D27D0" w:rsidP="00901750">
      <w:pPr>
        <w:spacing w:before="240" w:after="0" w:line="360" w:lineRule="auto"/>
        <w:ind w:left="567" w:right="333" w:firstLine="567"/>
        <w:jc w:val="both"/>
        <w:rPr>
          <w:rFonts w:ascii="Arial" w:eastAsia="Calibri" w:hAnsi="Arial" w:cs="Arial"/>
          <w:i/>
          <w:iCs/>
          <w:lang w:eastAsia="en-US"/>
        </w:rPr>
      </w:pPr>
      <w:r w:rsidRPr="007D27D0">
        <w:rPr>
          <w:rFonts w:ascii="Arial" w:eastAsia="Calibri" w:hAnsi="Arial" w:cs="Arial"/>
          <w:i/>
          <w:iCs/>
          <w:lang w:eastAsia="en-US"/>
        </w:rPr>
        <w:t>(…)</w:t>
      </w:r>
    </w:p>
    <w:p w14:paraId="41D8FF62" w14:textId="77777777" w:rsidR="007D27D0" w:rsidRPr="007D27D0" w:rsidRDefault="007D27D0" w:rsidP="00901750">
      <w:pPr>
        <w:autoSpaceDE w:val="0"/>
        <w:autoSpaceDN w:val="0"/>
        <w:adjustRightInd w:val="0"/>
        <w:spacing w:after="0" w:line="360" w:lineRule="auto"/>
        <w:ind w:left="567" w:right="333"/>
        <w:jc w:val="both"/>
        <w:rPr>
          <w:rFonts w:ascii="Arial" w:hAnsi="Arial" w:cs="Arial"/>
          <w:i/>
          <w:iCs/>
          <w:color w:val="000000"/>
        </w:rPr>
      </w:pPr>
    </w:p>
    <w:p w14:paraId="1BF01B70" w14:textId="1FF145F1" w:rsidR="007D27D0" w:rsidRPr="007D27D0" w:rsidRDefault="007D27D0" w:rsidP="00901750">
      <w:pPr>
        <w:autoSpaceDE w:val="0"/>
        <w:autoSpaceDN w:val="0"/>
        <w:adjustRightInd w:val="0"/>
        <w:spacing w:after="0" w:line="360" w:lineRule="auto"/>
        <w:ind w:left="567" w:right="333"/>
        <w:jc w:val="both"/>
        <w:rPr>
          <w:rFonts w:ascii="Arial" w:hAnsi="Arial" w:cs="Arial"/>
          <w:i/>
          <w:iCs/>
          <w:color w:val="000000"/>
        </w:rPr>
      </w:pPr>
      <w:r w:rsidRPr="007D27D0">
        <w:rPr>
          <w:rFonts w:ascii="Arial" w:hAnsi="Arial" w:cs="Arial"/>
          <w:i/>
          <w:iCs/>
          <w:color w:val="000000"/>
        </w:rPr>
        <w:t>V. Levantar las infracciones e imponer las sanciones por violaciones a las disposiciones a</w:t>
      </w:r>
      <w:r w:rsidRPr="007D27D0">
        <w:rPr>
          <w:rFonts w:ascii="Times New Roman" w:hAnsi="Times New Roman" w:cs="Times New Roman"/>
          <w:i/>
          <w:iCs/>
        </w:rPr>
        <w:t xml:space="preserve"> </w:t>
      </w:r>
      <w:r w:rsidRPr="007D27D0">
        <w:rPr>
          <w:rFonts w:ascii="Arial" w:hAnsi="Arial" w:cs="Arial"/>
          <w:i/>
          <w:iCs/>
          <w:color w:val="000000"/>
        </w:rPr>
        <w:t>que se refiere esta Ley y su Reglamento, de conformidad con la normatividad aplicable;”</w:t>
      </w:r>
    </w:p>
    <w:p w14:paraId="0614F5E3" w14:textId="6D29B5F1" w:rsidR="007D27D0" w:rsidRPr="007D27D0" w:rsidRDefault="007D27D0" w:rsidP="00901750">
      <w:pPr>
        <w:autoSpaceDE w:val="0"/>
        <w:autoSpaceDN w:val="0"/>
        <w:adjustRightInd w:val="0"/>
        <w:spacing w:after="0" w:line="360" w:lineRule="auto"/>
        <w:ind w:left="567" w:right="333"/>
        <w:jc w:val="both"/>
        <w:rPr>
          <w:rFonts w:ascii="Arial" w:hAnsi="Arial" w:cs="Arial"/>
          <w:i/>
          <w:iCs/>
          <w:color w:val="000000"/>
        </w:rPr>
      </w:pPr>
    </w:p>
    <w:p w14:paraId="7435CC65" w14:textId="0794B3F5" w:rsidR="007D27D0" w:rsidRPr="007D27D0" w:rsidRDefault="007D27D0" w:rsidP="00901750">
      <w:pPr>
        <w:autoSpaceDE w:val="0"/>
        <w:autoSpaceDN w:val="0"/>
        <w:adjustRightInd w:val="0"/>
        <w:spacing w:after="0" w:line="360" w:lineRule="auto"/>
        <w:ind w:left="567" w:right="333"/>
        <w:jc w:val="both"/>
        <w:rPr>
          <w:rFonts w:ascii="Arial" w:hAnsi="Arial" w:cs="Arial"/>
          <w:i/>
          <w:iCs/>
          <w:color w:val="000000"/>
        </w:rPr>
      </w:pPr>
      <w:r w:rsidRPr="007D27D0">
        <w:rPr>
          <w:rFonts w:ascii="Arial" w:hAnsi="Arial" w:cs="Arial"/>
          <w:i/>
          <w:iCs/>
          <w:color w:val="000000"/>
        </w:rPr>
        <w:t>“</w:t>
      </w:r>
      <w:r w:rsidRPr="007D27D0">
        <w:rPr>
          <w:rFonts w:ascii="Arial" w:hAnsi="Arial" w:cs="Arial"/>
          <w:b/>
          <w:bCs/>
          <w:i/>
          <w:iCs/>
          <w:color w:val="000000"/>
        </w:rPr>
        <w:t xml:space="preserve">Artículo 47. </w:t>
      </w:r>
      <w:r w:rsidRPr="007D27D0">
        <w:rPr>
          <w:rFonts w:ascii="Arial" w:hAnsi="Arial" w:cs="Arial"/>
          <w:i/>
          <w:iCs/>
          <w:color w:val="000000"/>
        </w:rPr>
        <w:t>Queda prohibido utilizar teléfonos celulares mientras se conduce, excepto que sea utilizado con el equipo adicional conocido como “manos libres” o con la función de altavoz, de modo que el conductor no distraiga la atención al circular.”</w:t>
      </w:r>
    </w:p>
    <w:p w14:paraId="6EC87599" w14:textId="1B54663F" w:rsidR="007D27D0" w:rsidRDefault="007D27D0" w:rsidP="00901750">
      <w:pPr>
        <w:autoSpaceDE w:val="0"/>
        <w:autoSpaceDN w:val="0"/>
        <w:adjustRightInd w:val="0"/>
        <w:spacing w:after="0" w:line="240" w:lineRule="auto"/>
        <w:ind w:left="567" w:right="333"/>
        <w:jc w:val="both"/>
        <w:rPr>
          <w:rFonts w:ascii="Arial" w:hAnsi="Arial" w:cs="Arial"/>
          <w:color w:val="000000"/>
        </w:rPr>
      </w:pPr>
    </w:p>
    <w:p w14:paraId="4A972D1F" w14:textId="77777777" w:rsidR="007D27D0" w:rsidRPr="00C4543C" w:rsidRDefault="007D27D0" w:rsidP="00901750">
      <w:pPr>
        <w:tabs>
          <w:tab w:val="left" w:pos="7655"/>
        </w:tabs>
        <w:spacing w:before="240" w:after="0"/>
        <w:ind w:left="567" w:right="333"/>
        <w:jc w:val="both"/>
        <w:rPr>
          <w:rFonts w:ascii="Arial" w:hAnsi="Arial" w:cs="Arial"/>
          <w:szCs w:val="24"/>
        </w:rPr>
      </w:pPr>
      <w:r w:rsidRPr="00C4543C">
        <w:rPr>
          <w:rFonts w:ascii="Arial" w:hAnsi="Arial" w:cs="Arial"/>
          <w:b/>
          <w:bCs/>
          <w:i/>
          <w:szCs w:val="24"/>
        </w:rPr>
        <w:t>Reglamento de la Ley de Tránsito reformada:</w:t>
      </w:r>
      <w:r w:rsidRPr="00C4543C">
        <w:rPr>
          <w:rFonts w:ascii="Arial" w:hAnsi="Arial" w:cs="Arial"/>
          <w:bCs/>
          <w:szCs w:val="24"/>
        </w:rPr>
        <w:t xml:space="preserve"> </w:t>
      </w:r>
    </w:p>
    <w:p w14:paraId="24AADB2D" w14:textId="5E1C2FD7" w:rsidR="007D27D0" w:rsidRDefault="007D27D0" w:rsidP="00901750">
      <w:pPr>
        <w:tabs>
          <w:tab w:val="left" w:pos="7655"/>
        </w:tabs>
        <w:spacing w:before="240" w:after="0" w:line="360" w:lineRule="auto"/>
        <w:ind w:left="567" w:right="333"/>
        <w:jc w:val="both"/>
        <w:rPr>
          <w:rFonts w:ascii="Arial" w:hAnsi="Arial" w:cs="Arial"/>
          <w:i/>
          <w:szCs w:val="24"/>
        </w:rPr>
      </w:pPr>
      <w:r w:rsidRPr="00C4543C">
        <w:rPr>
          <w:rFonts w:ascii="Arial" w:hAnsi="Arial" w:cs="Arial"/>
          <w:szCs w:val="24"/>
        </w:rPr>
        <w:t>“</w:t>
      </w:r>
      <w:r w:rsidRPr="00C4543C">
        <w:rPr>
          <w:rFonts w:ascii="Arial" w:hAnsi="Arial" w:cs="Arial"/>
          <w:b/>
          <w:i/>
          <w:szCs w:val="24"/>
        </w:rPr>
        <w:t>Artículo 158.-</w:t>
      </w:r>
      <w:r w:rsidRPr="00C4543C">
        <w:rPr>
          <w:rFonts w:ascii="Arial" w:hAnsi="Arial" w:cs="Arial"/>
          <w:i/>
          <w:szCs w:val="24"/>
        </w:rPr>
        <w:t xml:space="preserve"> Las violaciones a las disposiciones de la Ley de Tránsito Reformada, a las de este Reglamento y a las que con fundamento en estos Ordenamientos emanen de las autoridades de Tránsito, se sancionarán como sigue:</w:t>
      </w:r>
    </w:p>
    <w:p w14:paraId="7A64246B" w14:textId="12F8D6E8" w:rsidR="007D27D0" w:rsidRDefault="00901750" w:rsidP="00901750">
      <w:pPr>
        <w:tabs>
          <w:tab w:val="left" w:pos="7655"/>
        </w:tabs>
        <w:spacing w:before="240" w:after="0" w:line="360" w:lineRule="auto"/>
        <w:ind w:left="567" w:right="333"/>
        <w:jc w:val="both"/>
        <w:rPr>
          <w:rFonts w:ascii="Arial" w:hAnsi="Arial" w:cs="Arial"/>
          <w:i/>
          <w:szCs w:val="24"/>
        </w:rPr>
      </w:pPr>
      <w:r>
        <w:rPr>
          <w:rFonts w:ascii="Arial" w:hAnsi="Arial" w:cs="Arial"/>
          <w:i/>
          <w:szCs w:val="24"/>
        </w:rPr>
        <w:t>(…)</w:t>
      </w:r>
    </w:p>
    <w:p w14:paraId="6F5949FC" w14:textId="11846AEB" w:rsidR="00901750" w:rsidRPr="00901750" w:rsidRDefault="00901750" w:rsidP="00901750">
      <w:pPr>
        <w:tabs>
          <w:tab w:val="left" w:pos="7655"/>
        </w:tabs>
        <w:spacing w:before="240" w:after="0" w:line="360" w:lineRule="auto"/>
        <w:ind w:left="567" w:right="333"/>
        <w:jc w:val="both"/>
        <w:rPr>
          <w:rFonts w:ascii="Arial" w:hAnsi="Arial" w:cs="Arial"/>
          <w:i/>
          <w:iCs/>
        </w:rPr>
      </w:pPr>
      <w:r w:rsidRPr="00901750">
        <w:rPr>
          <w:rFonts w:ascii="Arial" w:hAnsi="Arial" w:cs="Arial"/>
          <w:i/>
          <w:iCs/>
        </w:rPr>
        <w:t xml:space="preserve">GRUPO </w:t>
      </w:r>
      <w:proofErr w:type="gramStart"/>
      <w:r w:rsidRPr="00901750">
        <w:rPr>
          <w:rFonts w:ascii="Arial" w:hAnsi="Arial" w:cs="Arial"/>
          <w:i/>
          <w:iCs/>
        </w:rPr>
        <w:t>NUMERO</w:t>
      </w:r>
      <w:proofErr w:type="gramEnd"/>
      <w:r w:rsidRPr="00901750">
        <w:rPr>
          <w:rFonts w:ascii="Arial" w:hAnsi="Arial" w:cs="Arial"/>
          <w:i/>
          <w:iCs/>
        </w:rPr>
        <w:t xml:space="preserve"> 2:- Violaciones que se sancionarán con multas de $100.00:</w:t>
      </w:r>
    </w:p>
    <w:p w14:paraId="20067B63" w14:textId="12C375AE" w:rsidR="00901750" w:rsidRDefault="00901750" w:rsidP="00901750">
      <w:pPr>
        <w:tabs>
          <w:tab w:val="left" w:pos="7655"/>
        </w:tabs>
        <w:spacing w:before="240" w:after="0" w:line="360" w:lineRule="auto"/>
        <w:ind w:left="567" w:right="333"/>
        <w:jc w:val="both"/>
        <w:rPr>
          <w:rFonts w:ascii="Arial" w:hAnsi="Arial" w:cs="Arial"/>
        </w:rPr>
      </w:pPr>
      <w:r>
        <w:rPr>
          <w:rFonts w:ascii="Arial" w:hAnsi="Arial" w:cs="Arial"/>
        </w:rPr>
        <w:t>(…)</w:t>
      </w:r>
    </w:p>
    <w:p w14:paraId="6F8646DC" w14:textId="2EA27D80" w:rsidR="00901750" w:rsidRPr="00901750" w:rsidRDefault="00901750" w:rsidP="00901750">
      <w:pPr>
        <w:tabs>
          <w:tab w:val="left" w:pos="7655"/>
        </w:tabs>
        <w:spacing w:before="240" w:after="0" w:line="360" w:lineRule="auto"/>
        <w:ind w:left="567" w:right="333"/>
        <w:jc w:val="both"/>
        <w:rPr>
          <w:rFonts w:ascii="Arial" w:hAnsi="Arial" w:cs="Arial"/>
          <w:i/>
          <w:iCs/>
        </w:rPr>
      </w:pPr>
      <w:r w:rsidRPr="00901750">
        <w:rPr>
          <w:rFonts w:ascii="Arial" w:hAnsi="Arial" w:cs="Arial"/>
          <w:i/>
          <w:iCs/>
        </w:rPr>
        <w:t>32.- VEHICULOS PARTICULARES.- Manejarlos los conductores estando distraídos o platicando, o abastecerse de combustible con el motor en marcha.</w:t>
      </w:r>
      <w:r>
        <w:rPr>
          <w:rFonts w:ascii="Arial" w:hAnsi="Arial" w:cs="Arial"/>
          <w:i/>
          <w:iCs/>
        </w:rPr>
        <w:t>”</w:t>
      </w:r>
    </w:p>
    <w:p w14:paraId="0FE33583" w14:textId="1107C221" w:rsidR="007D27D0" w:rsidRDefault="007D27D0" w:rsidP="007D27D0">
      <w:pPr>
        <w:autoSpaceDE w:val="0"/>
        <w:autoSpaceDN w:val="0"/>
        <w:adjustRightInd w:val="0"/>
        <w:spacing w:after="0" w:line="240" w:lineRule="auto"/>
        <w:ind w:left="567" w:right="333"/>
        <w:jc w:val="both"/>
        <w:rPr>
          <w:rFonts w:ascii="Arial" w:hAnsi="Arial" w:cs="Arial"/>
          <w:color w:val="000000"/>
        </w:rPr>
      </w:pPr>
    </w:p>
    <w:p w14:paraId="71AF34E4" w14:textId="62026909" w:rsidR="00901750" w:rsidRPr="007D27D0" w:rsidRDefault="00901750" w:rsidP="00901750">
      <w:pPr>
        <w:tabs>
          <w:tab w:val="left" w:pos="2205"/>
        </w:tabs>
        <w:autoSpaceDE w:val="0"/>
        <w:autoSpaceDN w:val="0"/>
        <w:adjustRightInd w:val="0"/>
        <w:spacing w:after="0" w:line="240" w:lineRule="auto"/>
        <w:ind w:left="567" w:right="333"/>
        <w:jc w:val="both"/>
        <w:rPr>
          <w:rFonts w:ascii="Arial" w:hAnsi="Arial" w:cs="Arial"/>
          <w:color w:val="000000"/>
        </w:rPr>
      </w:pPr>
      <w:r>
        <w:rPr>
          <w:rFonts w:ascii="Arial" w:hAnsi="Arial" w:cs="Arial"/>
          <w:color w:val="000000"/>
        </w:rPr>
        <w:tab/>
        <w:t xml:space="preserve"> </w:t>
      </w:r>
    </w:p>
    <w:p w14:paraId="5152B9CF" w14:textId="0111D8FC" w:rsidR="00017290" w:rsidRPr="00240D1C" w:rsidRDefault="00017290" w:rsidP="00017290">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Pr>
          <w:rFonts w:ascii="Arial" w:hAnsi="Arial" w:cs="Arial"/>
          <w:bCs/>
          <w:sz w:val="24"/>
          <w:szCs w:val="24"/>
        </w:rPr>
        <w:t>,</w:t>
      </w:r>
      <w:r w:rsidRPr="00240D1C">
        <w:rPr>
          <w:rFonts w:ascii="Arial" w:hAnsi="Arial" w:cs="Arial"/>
          <w:bCs/>
          <w:sz w:val="24"/>
          <w:szCs w:val="24"/>
        </w:rPr>
        <w:t xml:space="preserve"> del texto de los artículos transcritos, se advierte que estos prevén; las atribuciones y obligaciones de los elementos de</w:t>
      </w:r>
      <w:r w:rsidR="00A91E3B">
        <w:rPr>
          <w:rFonts w:ascii="Arial" w:hAnsi="Arial" w:cs="Arial"/>
          <w:bCs/>
          <w:sz w:val="24"/>
          <w:szCs w:val="24"/>
        </w:rPr>
        <w:t xml:space="preserve"> la</w:t>
      </w:r>
      <w:r w:rsidRPr="00240D1C">
        <w:rPr>
          <w:rFonts w:ascii="Arial" w:hAnsi="Arial" w:cs="Arial"/>
          <w:bCs/>
          <w:sz w:val="24"/>
          <w:szCs w:val="24"/>
        </w:rPr>
        <w:t xml:space="preserve"> Policía Vial Estatal; así como que se sancionaran las violaciones de tránsito y que son consideradas </w:t>
      </w:r>
      <w:r w:rsidRPr="00240D1C">
        <w:rPr>
          <w:rFonts w:ascii="Arial" w:hAnsi="Arial" w:cs="Arial"/>
          <w:bCs/>
          <w:sz w:val="24"/>
          <w:szCs w:val="24"/>
        </w:rPr>
        <w:lastRenderedPageBreak/>
        <w:t>también violación a la Ley de Trá</w:t>
      </w:r>
      <w:r>
        <w:rPr>
          <w:rFonts w:ascii="Arial" w:hAnsi="Arial" w:cs="Arial"/>
          <w:bCs/>
          <w:sz w:val="24"/>
          <w:szCs w:val="24"/>
        </w:rPr>
        <w:t>nsito, como lo es cuando el conductor de un vehículo de motor</w:t>
      </w:r>
      <w:r w:rsidR="00A91E3B">
        <w:rPr>
          <w:rFonts w:ascii="Arial" w:hAnsi="Arial" w:cs="Arial"/>
          <w:bCs/>
          <w:sz w:val="24"/>
          <w:szCs w:val="24"/>
        </w:rPr>
        <w:t xml:space="preserve"> maneja distraído por utilizar el teléfono celular.</w:t>
      </w:r>
    </w:p>
    <w:p w14:paraId="1A22FC7F" w14:textId="77777777" w:rsidR="00622D1D" w:rsidRDefault="00622D1D" w:rsidP="0043477D">
      <w:pPr>
        <w:spacing w:after="160" w:line="360" w:lineRule="auto"/>
        <w:ind w:firstLine="567"/>
        <w:jc w:val="both"/>
        <w:rPr>
          <w:rFonts w:ascii="Arial" w:eastAsia="Calibri" w:hAnsi="Arial" w:cs="Arial"/>
          <w:sz w:val="24"/>
          <w:szCs w:val="24"/>
          <w:lang w:eastAsia="en-US"/>
        </w:rPr>
      </w:pPr>
    </w:p>
    <w:p w14:paraId="06F48458" w14:textId="6C4A8002" w:rsidR="0043477D" w:rsidRPr="0051494B" w:rsidRDefault="0043477D" w:rsidP="0043477D">
      <w:pPr>
        <w:spacing w:after="160" w:line="360" w:lineRule="auto"/>
        <w:ind w:firstLine="567"/>
        <w:jc w:val="both"/>
        <w:rPr>
          <w:rFonts w:ascii="Arial" w:eastAsia="Calibri" w:hAnsi="Arial" w:cs="Arial"/>
          <w:i/>
          <w:iCs/>
          <w:sz w:val="24"/>
          <w:szCs w:val="24"/>
          <w:lang w:eastAsia="en-US"/>
        </w:rPr>
      </w:pPr>
      <w:r w:rsidRPr="0051494B">
        <w:rPr>
          <w:rFonts w:ascii="Arial" w:eastAsia="Calibri" w:hAnsi="Arial" w:cs="Arial"/>
          <w:sz w:val="24"/>
          <w:szCs w:val="24"/>
          <w:lang w:eastAsia="en-US"/>
        </w:rPr>
        <w:t xml:space="preserve">De lo anterior, se desprende que si bien la autoridad demandada al levantar el acta de infracción, citó dispositivos legales que consideró fueron transgredidos por el actor </w:t>
      </w:r>
      <w:r w:rsidR="006A4841">
        <w:rPr>
          <w:rFonts w:ascii="Arial" w:eastAsia="Calibri" w:hAnsi="Arial" w:cs="Arial"/>
          <w:sz w:val="24"/>
          <w:szCs w:val="24"/>
          <w:lang w:eastAsia="en-US"/>
        </w:rPr>
        <w:t>**********</w:t>
      </w:r>
      <w:r w:rsidRPr="0051494B">
        <w:rPr>
          <w:rFonts w:ascii="Arial" w:eastAsia="Calibri" w:hAnsi="Arial" w:cs="Arial"/>
          <w:sz w:val="24"/>
          <w:szCs w:val="24"/>
          <w:lang w:eastAsia="en-US"/>
        </w:rPr>
        <w:t>, estos no señalan</w:t>
      </w:r>
      <w:r>
        <w:rPr>
          <w:rFonts w:ascii="Arial" w:eastAsia="Calibri" w:hAnsi="Arial" w:cs="Arial"/>
          <w:sz w:val="24"/>
          <w:szCs w:val="24"/>
          <w:lang w:eastAsia="en-US"/>
        </w:rPr>
        <w:t xml:space="preserve"> con precisión </w:t>
      </w:r>
      <w:r w:rsidRPr="0051494B">
        <w:rPr>
          <w:rFonts w:ascii="Arial" w:eastAsia="Calibri" w:hAnsi="Arial" w:cs="Arial"/>
          <w:sz w:val="24"/>
          <w:szCs w:val="24"/>
          <w:lang w:eastAsia="en-US"/>
        </w:rPr>
        <w:t>la conducta o falta que supuestamente cometió,</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así como omitió señalar </w:t>
      </w:r>
      <w:r w:rsidR="00A91E3B">
        <w:rPr>
          <w:rFonts w:ascii="Arial" w:eastAsia="Calibri" w:hAnsi="Arial" w:cs="Arial"/>
          <w:sz w:val="24"/>
          <w:szCs w:val="24"/>
          <w:lang w:eastAsia="en-US"/>
        </w:rPr>
        <w:t>de manera detallada</w:t>
      </w:r>
      <w:r w:rsidRPr="0051494B">
        <w:rPr>
          <w:rFonts w:ascii="Arial" w:eastAsia="Calibri" w:hAnsi="Arial" w:cs="Arial"/>
          <w:sz w:val="24"/>
          <w:szCs w:val="24"/>
          <w:lang w:eastAsia="en-US"/>
        </w:rPr>
        <w:t>,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6D85D5F2" w14:textId="77777777" w:rsidR="0043477D" w:rsidRPr="0051494B" w:rsidRDefault="0043477D" w:rsidP="0043477D">
      <w:pPr>
        <w:tabs>
          <w:tab w:val="right" w:pos="8789"/>
        </w:tabs>
        <w:spacing w:after="0" w:line="259" w:lineRule="auto"/>
        <w:jc w:val="both"/>
        <w:rPr>
          <w:rFonts w:ascii="Arial" w:eastAsia="Calibri" w:hAnsi="Arial" w:cs="Arial"/>
          <w:lang w:eastAsia="en-US"/>
        </w:rPr>
      </w:pPr>
    </w:p>
    <w:p w14:paraId="426D84AC"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De ahí que resultan esencialmente </w:t>
      </w:r>
      <w:r w:rsidRPr="0051494B">
        <w:rPr>
          <w:rFonts w:ascii="Arial" w:eastAsia="Calibri" w:hAnsi="Arial" w:cs="Arial"/>
          <w:b/>
          <w:sz w:val="24"/>
          <w:szCs w:val="24"/>
          <w:lang w:eastAsia="en-US"/>
        </w:rPr>
        <w:t>fundados</w:t>
      </w:r>
      <w:r w:rsidRPr="0051494B">
        <w:rPr>
          <w:rFonts w:ascii="Arial" w:eastAsia="Calibri" w:hAnsi="Arial" w:cs="Arial"/>
          <w:sz w:val="24"/>
          <w:szCs w:val="24"/>
          <w:lang w:eastAsia="en-US"/>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w:t>
      </w:r>
    </w:p>
    <w:p w14:paraId="7E8799B7" w14:textId="77777777" w:rsidR="0043477D" w:rsidRPr="0051494B" w:rsidRDefault="0043477D" w:rsidP="0043477D">
      <w:pPr>
        <w:tabs>
          <w:tab w:val="right" w:pos="8789"/>
        </w:tabs>
        <w:spacing w:after="0" w:line="259" w:lineRule="auto"/>
        <w:jc w:val="both"/>
        <w:rPr>
          <w:rFonts w:ascii="Arial" w:eastAsia="Calibri" w:hAnsi="Arial" w:cs="Arial"/>
          <w:i/>
          <w:lang w:eastAsia="en-US"/>
        </w:rPr>
      </w:pPr>
    </w:p>
    <w:p w14:paraId="3320FC84"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13841153" w14:textId="77777777" w:rsidR="0043477D" w:rsidRPr="0051494B" w:rsidRDefault="0043477D" w:rsidP="0043477D">
      <w:pPr>
        <w:tabs>
          <w:tab w:val="right" w:pos="8789"/>
        </w:tabs>
        <w:spacing w:after="0" w:line="259" w:lineRule="auto"/>
        <w:ind w:firstLine="567"/>
        <w:jc w:val="both"/>
        <w:rPr>
          <w:rFonts w:ascii="Arial" w:eastAsia="Calibri" w:hAnsi="Arial" w:cs="Arial"/>
          <w:lang w:eastAsia="en-US"/>
        </w:rPr>
      </w:pPr>
    </w:p>
    <w:p w14:paraId="4C994790"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Tienen aplicación a la presente resolución la jurisprudencia con número de registro 170307, emitida por los Tribunales Colegiados de Circuito, </w:t>
      </w:r>
      <w:r w:rsidRPr="0051494B">
        <w:rPr>
          <w:rFonts w:ascii="Arial" w:eastAsia="Calibri" w:hAnsi="Arial" w:cs="Arial"/>
          <w:sz w:val="24"/>
          <w:szCs w:val="24"/>
          <w:lang w:eastAsia="en-US"/>
        </w:rPr>
        <w:lastRenderedPageBreak/>
        <w:t>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2F5B31CF" w14:textId="77777777" w:rsidR="0043477D" w:rsidRPr="0051494B" w:rsidRDefault="0043477D" w:rsidP="0043477D">
      <w:pPr>
        <w:tabs>
          <w:tab w:val="right" w:pos="8789"/>
        </w:tabs>
        <w:spacing w:after="0" w:line="259" w:lineRule="auto"/>
        <w:ind w:left="1134" w:right="616"/>
        <w:jc w:val="both"/>
        <w:rPr>
          <w:rFonts w:ascii="Arial" w:eastAsia="Calibri" w:hAnsi="Arial" w:cs="Arial"/>
          <w:i/>
          <w:lang w:eastAsia="en-US"/>
        </w:rPr>
      </w:pPr>
    </w:p>
    <w:p w14:paraId="5892AB83" w14:textId="77777777" w:rsidR="0043477D" w:rsidRPr="0051494B" w:rsidRDefault="0043477D" w:rsidP="0043477D">
      <w:pPr>
        <w:tabs>
          <w:tab w:val="right" w:pos="8789"/>
        </w:tabs>
        <w:spacing w:after="0" w:line="259" w:lineRule="auto"/>
        <w:jc w:val="both"/>
        <w:rPr>
          <w:rFonts w:ascii="Arial" w:eastAsia="Calibri" w:hAnsi="Arial" w:cs="Arial"/>
          <w:b/>
          <w:i/>
          <w:lang w:eastAsia="en-US"/>
        </w:rPr>
      </w:pPr>
    </w:p>
    <w:p w14:paraId="0DCAAE37" w14:textId="77777777" w:rsidR="0043477D" w:rsidRPr="0051494B" w:rsidRDefault="0043477D" w:rsidP="0043477D">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i/>
          <w:iCs/>
          <w:color w:val="000000"/>
          <w:lang w:eastAsia="en-US"/>
        </w:rPr>
        <w:t>“</w:t>
      </w:r>
      <w:r w:rsidRPr="0051494B">
        <w:rPr>
          <w:rFonts w:ascii="Arial" w:eastAsia="Calibri" w:hAnsi="Arial" w:cs="Arial"/>
          <w:b/>
          <w:bCs/>
          <w:i/>
          <w:iCs/>
          <w:color w:val="000000"/>
          <w:lang w:eastAsia="en-US"/>
        </w:rPr>
        <w:t>FUNDAMENTACIÓN Y MOTIVACIÓN. LA DIFERENCIA ENTRE LA FALTA Y LA INDEBIDA SATISFACCIÓN DE AMBOS REQUISITOS CONSTITUCIONALES TRASCIENDE AL ORDEN EN QUE DEBEN ESTUDIARSE LOS CONCEPTOS DE VIOLACIÓN Y A LOS EFECTOS DEL FALLO PROTECTOR.</w:t>
      </w:r>
      <w:r w:rsidRPr="0051494B">
        <w:rPr>
          <w:rFonts w:ascii="Arial" w:eastAsia="Calibri" w:hAnsi="Arial" w:cs="Arial"/>
          <w:i/>
          <w:iCs/>
          <w:color w:val="000000"/>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338A1D7E" w14:textId="77777777" w:rsidR="0043477D" w:rsidRPr="0051494B" w:rsidRDefault="0043477D" w:rsidP="0043477D">
      <w:pPr>
        <w:autoSpaceDE w:val="0"/>
        <w:autoSpaceDN w:val="0"/>
        <w:adjustRightInd w:val="0"/>
        <w:spacing w:after="0" w:line="240" w:lineRule="auto"/>
        <w:rPr>
          <w:rFonts w:ascii="NimbusSanL" w:eastAsia="Calibri" w:hAnsi="NimbusSanL" w:cs="NimbusSanL"/>
          <w:color w:val="000000"/>
          <w:sz w:val="24"/>
          <w:szCs w:val="24"/>
          <w:lang w:eastAsia="en-US"/>
        </w:rPr>
      </w:pPr>
    </w:p>
    <w:p w14:paraId="549A3660" w14:textId="77777777" w:rsidR="0043477D" w:rsidRPr="0051494B" w:rsidRDefault="0043477D" w:rsidP="0043477D">
      <w:pPr>
        <w:tabs>
          <w:tab w:val="right" w:pos="8789"/>
        </w:tabs>
        <w:spacing w:after="0" w:line="259" w:lineRule="auto"/>
        <w:jc w:val="both"/>
        <w:rPr>
          <w:rFonts w:ascii="Arial" w:eastAsia="Calibri" w:hAnsi="Arial" w:cs="Arial"/>
          <w:color w:val="FF0000"/>
          <w:lang w:eastAsia="en-US"/>
        </w:rPr>
      </w:pPr>
    </w:p>
    <w:p w14:paraId="3B24E548" w14:textId="77777777" w:rsidR="0043477D" w:rsidRPr="0051494B" w:rsidRDefault="0043477D" w:rsidP="0043477D">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117CBDEC" w14:textId="77777777" w:rsidR="0043477D" w:rsidRPr="0051494B" w:rsidRDefault="0043477D" w:rsidP="0043477D">
      <w:pPr>
        <w:tabs>
          <w:tab w:val="right" w:pos="8789"/>
        </w:tabs>
        <w:spacing w:after="0" w:line="259" w:lineRule="auto"/>
        <w:jc w:val="both"/>
        <w:rPr>
          <w:rFonts w:ascii="Arial" w:eastAsia="Calibri" w:hAnsi="Arial" w:cs="Arial"/>
          <w:b/>
          <w:noProof/>
          <w:lang w:eastAsia="en-US"/>
        </w:rPr>
      </w:pPr>
    </w:p>
    <w:p w14:paraId="798EB423" w14:textId="77777777" w:rsidR="0043477D" w:rsidRPr="0051494B" w:rsidRDefault="0043477D" w:rsidP="0043477D">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b/>
          <w:bCs/>
          <w:i/>
          <w:iCs/>
          <w:color w:val="000000"/>
          <w:lang w:eastAsia="en-US"/>
        </w:rPr>
        <w:t>“FUNDAMENTACIÓN Y MOTIVACIÓN. SU DISTINCIÓN ENTRE SU FALTA Y CUANDO ES INDEBIDA.</w:t>
      </w:r>
      <w:r w:rsidRPr="0051494B">
        <w:rPr>
          <w:rFonts w:ascii="Arial" w:eastAsia="Calibri" w:hAnsi="Arial" w:cs="Arial"/>
          <w:i/>
          <w:iCs/>
          <w:color w:val="000000"/>
          <w:lang w:eastAsia="en-US"/>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2A1A5C3" w14:textId="77777777" w:rsidR="0043477D" w:rsidRPr="0051494B" w:rsidRDefault="0043477D" w:rsidP="0043477D">
      <w:pPr>
        <w:tabs>
          <w:tab w:val="right" w:pos="8789"/>
        </w:tabs>
        <w:spacing w:after="0" w:line="259" w:lineRule="auto"/>
        <w:ind w:left="567" w:right="758"/>
        <w:jc w:val="both"/>
        <w:rPr>
          <w:rFonts w:ascii="Arial" w:eastAsia="Calibri" w:hAnsi="Arial" w:cs="Arial"/>
          <w:b/>
          <w:i/>
          <w:noProof/>
          <w:lang w:eastAsia="en-US"/>
        </w:rPr>
      </w:pPr>
    </w:p>
    <w:p w14:paraId="4B2C1B12" w14:textId="2574A320" w:rsidR="007304A7"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expuesto, resulta procedente, conforme a la fracción II del artículo 208</w:t>
      </w:r>
      <w:r w:rsidRPr="0051494B">
        <w:rPr>
          <w:rFonts w:ascii="Arial" w:eastAsia="Calibri" w:hAnsi="Arial" w:cs="Arial"/>
          <w:sz w:val="24"/>
          <w:szCs w:val="24"/>
          <w:vertAlign w:val="superscript"/>
          <w:lang w:eastAsia="en-US"/>
        </w:rPr>
        <w:footnoteReference w:id="7"/>
      </w:r>
      <w:r w:rsidRPr="0051494B">
        <w:rPr>
          <w:rFonts w:ascii="Arial" w:eastAsia="Calibri" w:hAnsi="Arial" w:cs="Arial"/>
          <w:sz w:val="24"/>
          <w:szCs w:val="24"/>
          <w:lang w:eastAsia="en-US"/>
        </w:rPr>
        <w:t xml:space="preserve"> de la Ley de la materia, declarar la </w:t>
      </w:r>
      <w:r w:rsidRPr="0051494B">
        <w:rPr>
          <w:rFonts w:ascii="Arial" w:eastAsia="Calibri" w:hAnsi="Arial" w:cs="Arial"/>
          <w:b/>
          <w:sz w:val="24"/>
          <w:szCs w:val="24"/>
          <w:lang w:eastAsia="en-US"/>
        </w:rPr>
        <w:t>NULIDAD LISA Y LLANA</w:t>
      </w:r>
      <w:r w:rsidRPr="0051494B">
        <w:rPr>
          <w:rFonts w:ascii="Arial" w:eastAsia="Calibri" w:hAnsi="Arial" w:cs="Arial"/>
          <w:sz w:val="24"/>
          <w:szCs w:val="24"/>
          <w:lang w:eastAsia="en-US"/>
        </w:rPr>
        <w:t xml:space="preserve"> del acta de infracción de tránsito con número de folio </w:t>
      </w:r>
      <w:r w:rsidR="006A4841">
        <w:rPr>
          <w:rFonts w:ascii="Arial" w:eastAsia="Calibri" w:hAnsi="Arial" w:cs="Arial"/>
          <w:sz w:val="24"/>
          <w:szCs w:val="24"/>
          <w:lang w:eastAsia="en-US"/>
        </w:rPr>
        <w:t>**********</w:t>
      </w:r>
      <w:r w:rsidRPr="0051494B">
        <w:rPr>
          <w:rFonts w:ascii="Arial" w:eastAsia="Calibri" w:hAnsi="Arial" w:cs="Arial"/>
          <w:sz w:val="24"/>
          <w:szCs w:val="24"/>
          <w:lang w:eastAsia="en-US"/>
        </w:rPr>
        <w:t xml:space="preserve"> de fecha </w:t>
      </w:r>
      <w:r w:rsidR="00A91E3B">
        <w:rPr>
          <w:rFonts w:ascii="Arial" w:eastAsia="Calibri" w:hAnsi="Arial" w:cs="Arial"/>
          <w:sz w:val="24"/>
          <w:szCs w:val="24"/>
          <w:lang w:eastAsia="en-US"/>
        </w:rPr>
        <w:t>ocho</w:t>
      </w:r>
      <w:r w:rsidR="00092E4B">
        <w:rPr>
          <w:rFonts w:ascii="Arial" w:eastAsia="Calibri" w:hAnsi="Arial" w:cs="Arial"/>
          <w:sz w:val="24"/>
          <w:szCs w:val="24"/>
          <w:lang w:eastAsia="en-US"/>
        </w:rPr>
        <w:t xml:space="preserve"> </w:t>
      </w:r>
      <w:r w:rsidR="0087465E">
        <w:rPr>
          <w:rFonts w:ascii="Arial" w:eastAsia="Calibri" w:hAnsi="Arial" w:cs="Arial"/>
          <w:sz w:val="24"/>
          <w:szCs w:val="24"/>
          <w:lang w:eastAsia="en-US"/>
        </w:rPr>
        <w:t xml:space="preserve">de </w:t>
      </w:r>
      <w:r w:rsidR="00A91E3B">
        <w:rPr>
          <w:rFonts w:ascii="Arial" w:eastAsia="Calibri" w:hAnsi="Arial" w:cs="Arial"/>
          <w:sz w:val="24"/>
          <w:szCs w:val="24"/>
          <w:lang w:eastAsia="en-US"/>
        </w:rPr>
        <w:t>febrero</w:t>
      </w:r>
      <w:r w:rsidR="001E33BC">
        <w:rPr>
          <w:rFonts w:ascii="Arial" w:eastAsia="Calibri" w:hAnsi="Arial" w:cs="Arial"/>
          <w:sz w:val="24"/>
          <w:szCs w:val="24"/>
          <w:lang w:eastAsia="en-US"/>
        </w:rPr>
        <w:t xml:space="preserve"> de dos mil veint</w:t>
      </w:r>
      <w:r w:rsidR="00A91E3B">
        <w:rPr>
          <w:rFonts w:ascii="Arial" w:eastAsia="Calibri" w:hAnsi="Arial" w:cs="Arial"/>
          <w:sz w:val="24"/>
          <w:szCs w:val="24"/>
          <w:lang w:eastAsia="en-US"/>
        </w:rPr>
        <w:t>iuno</w:t>
      </w:r>
      <w:r w:rsidRPr="0051494B">
        <w:rPr>
          <w:rFonts w:ascii="Arial" w:eastAsia="Calibri" w:hAnsi="Arial" w:cs="Arial"/>
          <w:sz w:val="24"/>
          <w:szCs w:val="24"/>
          <w:lang w:eastAsia="en-US"/>
        </w:rPr>
        <w:t xml:space="preserve">, respecto </w:t>
      </w:r>
      <w:r w:rsidR="0087465E">
        <w:rPr>
          <w:rFonts w:ascii="Arial" w:eastAsia="Calibri" w:hAnsi="Arial" w:cs="Arial"/>
          <w:sz w:val="24"/>
          <w:szCs w:val="24"/>
          <w:lang w:eastAsia="en-US"/>
        </w:rPr>
        <w:t>al automóvil particular</w:t>
      </w:r>
      <w:r w:rsidRPr="0051494B">
        <w:rPr>
          <w:rFonts w:ascii="Arial" w:eastAsia="Calibri" w:hAnsi="Arial" w:cs="Arial"/>
          <w:sz w:val="24"/>
          <w:szCs w:val="24"/>
          <w:lang w:eastAsia="en-US"/>
        </w:rPr>
        <w:t xml:space="preserve">, marca </w:t>
      </w:r>
      <w:r w:rsidR="006A4841">
        <w:rPr>
          <w:rFonts w:ascii="Arial" w:eastAsia="Calibri" w:hAnsi="Arial" w:cs="Arial"/>
          <w:sz w:val="24"/>
          <w:szCs w:val="24"/>
          <w:lang w:eastAsia="en-US"/>
        </w:rPr>
        <w:t>**********</w:t>
      </w:r>
      <w:r w:rsidRPr="0051494B">
        <w:rPr>
          <w:rFonts w:ascii="Arial" w:eastAsia="Calibri" w:hAnsi="Arial" w:cs="Arial"/>
          <w:sz w:val="24"/>
          <w:szCs w:val="24"/>
          <w:lang w:eastAsia="en-US"/>
        </w:rPr>
        <w:t>,</w:t>
      </w:r>
      <w:r w:rsidR="00092E4B">
        <w:rPr>
          <w:rFonts w:ascii="Arial" w:eastAsia="Calibri" w:hAnsi="Arial" w:cs="Arial"/>
          <w:sz w:val="24"/>
          <w:szCs w:val="24"/>
          <w:lang w:eastAsia="en-US"/>
        </w:rPr>
        <w:t xml:space="preserve"> tipo </w:t>
      </w:r>
      <w:r w:rsidR="00A91E3B">
        <w:rPr>
          <w:rFonts w:ascii="Arial" w:eastAsia="Calibri" w:hAnsi="Arial" w:cs="Arial"/>
          <w:sz w:val="24"/>
          <w:szCs w:val="24"/>
          <w:lang w:eastAsia="en-US"/>
        </w:rPr>
        <w:t>sedan</w:t>
      </w:r>
      <w:r w:rsidR="00092E4B">
        <w:rPr>
          <w:rFonts w:ascii="Arial" w:eastAsia="Calibri" w:hAnsi="Arial" w:cs="Arial"/>
          <w:sz w:val="24"/>
          <w:szCs w:val="24"/>
          <w:lang w:eastAsia="en-US"/>
        </w:rPr>
        <w:t>,</w:t>
      </w:r>
      <w:r w:rsidRPr="0051494B">
        <w:rPr>
          <w:rFonts w:ascii="Arial" w:eastAsia="Calibri" w:hAnsi="Arial" w:cs="Arial"/>
          <w:sz w:val="24"/>
          <w:szCs w:val="24"/>
          <w:lang w:eastAsia="en-US"/>
        </w:rPr>
        <w:t xml:space="preserve"> con placas de circulación </w:t>
      </w:r>
      <w:r w:rsidR="00CA53CC">
        <w:rPr>
          <w:rFonts w:ascii="Arial" w:eastAsia="Calibri" w:hAnsi="Arial" w:cs="Arial"/>
          <w:sz w:val="24"/>
          <w:szCs w:val="24"/>
          <w:lang w:eastAsia="en-US"/>
        </w:rPr>
        <w:t>**********</w:t>
      </w:r>
      <w:r>
        <w:rPr>
          <w:rFonts w:ascii="Arial" w:eastAsia="Calibri" w:hAnsi="Arial" w:cs="Arial"/>
          <w:sz w:val="24"/>
          <w:szCs w:val="24"/>
          <w:lang w:eastAsia="en-US"/>
        </w:rPr>
        <w:t xml:space="preserve"> del Estado de </w:t>
      </w:r>
      <w:r w:rsidR="00092E4B">
        <w:rPr>
          <w:rFonts w:ascii="Arial" w:eastAsia="Calibri" w:hAnsi="Arial" w:cs="Arial"/>
          <w:sz w:val="24"/>
          <w:szCs w:val="24"/>
          <w:lang w:eastAsia="en-US"/>
        </w:rPr>
        <w:t>Oaxaca</w:t>
      </w:r>
      <w:r w:rsidRPr="0051494B">
        <w:rPr>
          <w:rFonts w:ascii="Arial" w:eastAsia="Calibri" w:hAnsi="Arial" w:cs="Arial"/>
          <w:sz w:val="24"/>
          <w:szCs w:val="24"/>
          <w:lang w:eastAsia="en-US"/>
        </w:rPr>
        <w:t>, levantada por</w:t>
      </w:r>
      <w:r w:rsidR="00CA53CC">
        <w:rPr>
          <w:rFonts w:ascii="Arial" w:eastAsia="Calibri" w:hAnsi="Arial" w:cs="Arial"/>
          <w:sz w:val="24"/>
          <w:szCs w:val="24"/>
          <w:lang w:eastAsia="en-US"/>
        </w:rPr>
        <w:t xml:space="preserve"> **********</w:t>
      </w:r>
      <w:r>
        <w:rPr>
          <w:rFonts w:ascii="Arial" w:eastAsia="Calibri" w:hAnsi="Arial" w:cs="Arial"/>
          <w:sz w:val="24"/>
          <w:szCs w:val="24"/>
          <w:lang w:eastAsia="en-US"/>
        </w:rPr>
        <w:t xml:space="preserve"> en su carácter</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 xml:space="preserve">de Policía Vial </w:t>
      </w:r>
      <w:r w:rsidR="00A2068C">
        <w:rPr>
          <w:rFonts w:ascii="Arial" w:eastAsia="Calibri" w:hAnsi="Arial" w:cs="Arial"/>
          <w:sz w:val="24"/>
          <w:szCs w:val="24"/>
          <w:lang w:eastAsia="en-US"/>
        </w:rPr>
        <w:t xml:space="preserve">Estatal </w:t>
      </w:r>
      <w:r>
        <w:rPr>
          <w:rFonts w:ascii="Arial" w:eastAsia="Calibri" w:hAnsi="Arial" w:cs="Arial"/>
          <w:sz w:val="24"/>
          <w:szCs w:val="24"/>
          <w:lang w:eastAsia="en-US"/>
        </w:rPr>
        <w:t xml:space="preserve">con número </w:t>
      </w:r>
      <w:r w:rsidR="00F17E45">
        <w:rPr>
          <w:rFonts w:ascii="Arial" w:eastAsia="Calibri" w:hAnsi="Arial" w:cs="Arial"/>
          <w:sz w:val="24"/>
          <w:szCs w:val="24"/>
          <w:lang w:eastAsia="en-US"/>
        </w:rPr>
        <w:t>188</w:t>
      </w:r>
      <w:r w:rsidR="0087465E">
        <w:rPr>
          <w:rFonts w:ascii="Arial" w:eastAsia="Calibri" w:hAnsi="Arial" w:cs="Arial"/>
          <w:sz w:val="24"/>
          <w:szCs w:val="24"/>
          <w:lang w:eastAsia="en-US"/>
        </w:rPr>
        <w:t xml:space="preserve"> </w:t>
      </w:r>
      <w:r>
        <w:rPr>
          <w:rFonts w:ascii="Arial" w:eastAsia="Calibri" w:hAnsi="Arial" w:cs="Arial"/>
          <w:sz w:val="24"/>
          <w:szCs w:val="24"/>
          <w:lang w:eastAsia="en-US"/>
        </w:rPr>
        <w:t>adscrit</w:t>
      </w:r>
      <w:r w:rsidR="00525924">
        <w:rPr>
          <w:rFonts w:ascii="Arial" w:eastAsia="Calibri" w:hAnsi="Arial" w:cs="Arial"/>
          <w:sz w:val="24"/>
          <w:szCs w:val="24"/>
          <w:lang w:eastAsia="en-US"/>
        </w:rPr>
        <w:t>o</w:t>
      </w:r>
      <w:r>
        <w:rPr>
          <w:rFonts w:ascii="Arial" w:eastAsia="Calibri" w:hAnsi="Arial" w:cs="Arial"/>
          <w:sz w:val="24"/>
          <w:szCs w:val="24"/>
          <w:lang w:eastAsia="en-US"/>
        </w:rPr>
        <w:t xml:space="preserve"> a la </w:t>
      </w:r>
      <w:r w:rsidR="00A2068C">
        <w:rPr>
          <w:rFonts w:ascii="Arial" w:eastAsia="Calibri" w:hAnsi="Arial" w:cs="Arial"/>
          <w:sz w:val="24"/>
          <w:szCs w:val="24"/>
          <w:lang w:eastAsia="en-US"/>
        </w:rPr>
        <w:t>Dirección General de la Policía Vial Estatal</w:t>
      </w:r>
      <w:r w:rsidRPr="0051494B">
        <w:rPr>
          <w:rFonts w:ascii="Arial" w:eastAsia="Calibri" w:hAnsi="Arial" w:cs="Arial"/>
          <w:sz w:val="24"/>
          <w:szCs w:val="24"/>
          <w:lang w:eastAsia="en-US"/>
        </w:rPr>
        <w:t xml:space="preserve">. </w:t>
      </w:r>
    </w:p>
    <w:p w14:paraId="7A69BAC7" w14:textId="77777777" w:rsidR="007304A7" w:rsidRDefault="007304A7" w:rsidP="0043477D">
      <w:pPr>
        <w:tabs>
          <w:tab w:val="right" w:pos="8789"/>
        </w:tabs>
        <w:spacing w:after="0" w:line="360" w:lineRule="auto"/>
        <w:ind w:firstLine="567"/>
        <w:jc w:val="both"/>
        <w:rPr>
          <w:rFonts w:ascii="Arial" w:eastAsia="Calibri" w:hAnsi="Arial" w:cs="Arial"/>
          <w:sz w:val="24"/>
          <w:szCs w:val="24"/>
          <w:lang w:eastAsia="en-US"/>
        </w:rPr>
      </w:pPr>
    </w:p>
    <w:p w14:paraId="3E611E34" w14:textId="6B4F492F" w:rsidR="0043477D" w:rsidRPr="0051494B" w:rsidRDefault="0043477D" w:rsidP="00D63174">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lang w:eastAsia="en-US"/>
        </w:rPr>
        <w:footnoteReference w:id="8"/>
      </w:r>
      <w:r w:rsidRPr="0051494B">
        <w:rPr>
          <w:rFonts w:ascii="Arial" w:eastAsia="Calibri" w:hAnsi="Arial" w:cs="Arial"/>
          <w:sz w:val="24"/>
          <w:szCs w:val="24"/>
          <w:lang w:eastAsia="en-US"/>
        </w:rPr>
        <w:t xml:space="preserve">, se ordena al </w:t>
      </w:r>
      <w:r>
        <w:rPr>
          <w:rFonts w:ascii="Arial" w:eastAsia="Calibri" w:hAnsi="Arial" w:cs="Arial"/>
          <w:sz w:val="24"/>
          <w:szCs w:val="24"/>
          <w:lang w:eastAsia="en-US"/>
        </w:rPr>
        <w:t>Policía Vial</w:t>
      </w:r>
      <w:r w:rsidR="00A2068C">
        <w:rPr>
          <w:rFonts w:ascii="Arial" w:eastAsia="Calibri" w:hAnsi="Arial" w:cs="Arial"/>
          <w:sz w:val="24"/>
          <w:szCs w:val="24"/>
          <w:lang w:eastAsia="en-US"/>
        </w:rPr>
        <w:t xml:space="preserve"> Estatal</w:t>
      </w:r>
      <w:r>
        <w:rPr>
          <w:rFonts w:ascii="Arial" w:eastAsia="Calibri" w:hAnsi="Arial" w:cs="Arial"/>
          <w:sz w:val="24"/>
          <w:szCs w:val="24"/>
          <w:lang w:eastAsia="en-US"/>
        </w:rPr>
        <w:t xml:space="preserve"> </w:t>
      </w:r>
      <w:r w:rsidR="00CA53CC">
        <w:rPr>
          <w:rFonts w:ascii="Arial" w:eastAsia="Calibri" w:hAnsi="Arial" w:cs="Arial"/>
          <w:sz w:val="24"/>
          <w:szCs w:val="24"/>
          <w:lang w:eastAsia="en-US"/>
        </w:rPr>
        <w:t>**********</w:t>
      </w:r>
      <w:r>
        <w:rPr>
          <w:rFonts w:ascii="Arial" w:eastAsia="Calibri" w:hAnsi="Arial" w:cs="Arial"/>
          <w:sz w:val="24"/>
          <w:szCs w:val="24"/>
          <w:lang w:eastAsia="en-US"/>
        </w:rPr>
        <w:t xml:space="preserve"> adscrito a la </w:t>
      </w:r>
      <w:r w:rsidR="00A2068C">
        <w:rPr>
          <w:rFonts w:ascii="Arial" w:eastAsia="Calibri" w:hAnsi="Arial" w:cs="Arial"/>
          <w:sz w:val="24"/>
          <w:szCs w:val="24"/>
          <w:lang w:eastAsia="en-US"/>
        </w:rPr>
        <w:t>Dirección General de la Policía Vial Estatal</w:t>
      </w:r>
      <w:r w:rsidRPr="0051494B">
        <w:rPr>
          <w:rFonts w:ascii="Arial" w:eastAsia="Calibri" w:hAnsi="Arial" w:cs="Arial"/>
          <w:sz w:val="24"/>
          <w:szCs w:val="24"/>
          <w:lang w:eastAsia="en-US"/>
        </w:rPr>
        <w:t xml:space="preserve"> y/o a quien resulte autoridad competente para que</w:t>
      </w:r>
      <w:r>
        <w:rPr>
          <w:rFonts w:ascii="Arial" w:eastAsia="Calibri" w:hAnsi="Arial" w:cs="Arial"/>
          <w:sz w:val="24"/>
          <w:szCs w:val="24"/>
          <w:lang w:eastAsia="en-US"/>
        </w:rPr>
        <w:t>:</w:t>
      </w:r>
      <w:r w:rsidR="007304A7">
        <w:rPr>
          <w:rFonts w:ascii="Arial" w:eastAsia="Calibri" w:hAnsi="Arial" w:cs="Arial"/>
          <w:sz w:val="24"/>
          <w:szCs w:val="24"/>
          <w:lang w:eastAsia="en-US"/>
        </w:rPr>
        <w:t xml:space="preserve"> </w:t>
      </w:r>
      <w:r w:rsidR="006A64C2" w:rsidRPr="006A64C2">
        <w:rPr>
          <w:rFonts w:ascii="Arial" w:eastAsia="Calibri" w:hAnsi="Arial" w:cs="Arial"/>
          <w:b/>
          <w:bCs/>
          <w:sz w:val="24"/>
          <w:szCs w:val="24"/>
          <w:lang w:eastAsia="en-US"/>
        </w:rPr>
        <w:t>cancele de sus registros</w:t>
      </w:r>
      <w:r w:rsidRPr="0051494B">
        <w:rPr>
          <w:rFonts w:ascii="Arial" w:eastAsia="Calibri" w:hAnsi="Arial" w:cs="Arial"/>
          <w:sz w:val="24"/>
          <w:szCs w:val="24"/>
          <w:lang w:eastAsia="en-US"/>
        </w:rPr>
        <w:t xml:space="preserve"> la infracción de tránsito antes señalada</w:t>
      </w:r>
      <w:r>
        <w:rPr>
          <w:rFonts w:ascii="Arial" w:eastAsia="Calibri" w:hAnsi="Arial" w:cs="Arial"/>
          <w:sz w:val="24"/>
          <w:szCs w:val="24"/>
          <w:lang w:eastAsia="en-US"/>
        </w:rPr>
        <w:t>,</w:t>
      </w:r>
      <w:r w:rsidR="00F17E45">
        <w:rPr>
          <w:rFonts w:ascii="Arial" w:eastAsia="Calibri" w:hAnsi="Arial" w:cs="Arial"/>
          <w:sz w:val="24"/>
          <w:szCs w:val="24"/>
          <w:lang w:eastAsia="en-US"/>
        </w:rPr>
        <w:t xml:space="preserve"> esto</w:t>
      </w:r>
      <w:r>
        <w:rPr>
          <w:rFonts w:ascii="Arial" w:eastAsia="Calibri" w:hAnsi="Arial" w:cs="Arial"/>
          <w:sz w:val="24"/>
          <w:szCs w:val="24"/>
          <w:lang w:eastAsia="en-US"/>
        </w:rPr>
        <w:t xml:space="preserve"> </w:t>
      </w:r>
      <w:r w:rsidR="006A64C2">
        <w:rPr>
          <w:rFonts w:ascii="Arial" w:eastAsia="Calibri" w:hAnsi="Arial" w:cs="Arial"/>
          <w:sz w:val="24"/>
          <w:szCs w:val="24"/>
          <w:lang w:eastAsia="en-US"/>
        </w:rPr>
        <w:t xml:space="preserve">en atención a </w:t>
      </w:r>
      <w:r w:rsidR="00D63174">
        <w:rPr>
          <w:rFonts w:ascii="Arial" w:eastAsia="Calibri" w:hAnsi="Arial" w:cs="Arial"/>
          <w:sz w:val="24"/>
          <w:szCs w:val="24"/>
          <w:lang w:eastAsia="en-US"/>
        </w:rPr>
        <w:t xml:space="preserve">que de autos </w:t>
      </w:r>
      <w:r w:rsidR="00832002">
        <w:rPr>
          <w:rFonts w:ascii="Arial" w:eastAsia="Calibri" w:hAnsi="Arial" w:cs="Arial"/>
          <w:sz w:val="24"/>
          <w:szCs w:val="24"/>
          <w:lang w:eastAsia="en-US"/>
        </w:rPr>
        <w:t>se advierte</w:t>
      </w:r>
      <w:r w:rsidR="009E6853">
        <w:rPr>
          <w:rFonts w:ascii="Arial" w:eastAsia="Calibri" w:hAnsi="Arial" w:cs="Arial"/>
          <w:sz w:val="24"/>
          <w:szCs w:val="24"/>
          <w:lang w:eastAsia="en-US"/>
        </w:rPr>
        <w:t xml:space="preserve"> </w:t>
      </w:r>
      <w:r w:rsidR="00832002">
        <w:rPr>
          <w:rFonts w:ascii="Arial" w:eastAsia="Calibri" w:hAnsi="Arial" w:cs="Arial"/>
          <w:sz w:val="24"/>
          <w:szCs w:val="24"/>
          <w:lang w:eastAsia="en-US"/>
        </w:rPr>
        <w:t xml:space="preserve">que el aquí actor </w:t>
      </w:r>
      <w:r w:rsidR="00D63174">
        <w:rPr>
          <w:rFonts w:ascii="Arial" w:eastAsia="Calibri" w:hAnsi="Arial" w:cs="Arial"/>
          <w:sz w:val="24"/>
          <w:szCs w:val="24"/>
          <w:lang w:eastAsia="en-US"/>
        </w:rPr>
        <w:t>no</w:t>
      </w:r>
      <w:r w:rsidR="00832002">
        <w:rPr>
          <w:rFonts w:ascii="Arial" w:eastAsia="Calibri" w:hAnsi="Arial" w:cs="Arial"/>
          <w:sz w:val="24"/>
          <w:szCs w:val="24"/>
          <w:lang w:eastAsia="en-US"/>
        </w:rPr>
        <w:t xml:space="preserve"> </w:t>
      </w:r>
      <w:r w:rsidR="00D63174">
        <w:rPr>
          <w:rFonts w:ascii="Arial" w:eastAsia="Calibri" w:hAnsi="Arial" w:cs="Arial"/>
          <w:sz w:val="24"/>
          <w:szCs w:val="24"/>
          <w:lang w:eastAsia="en-US"/>
        </w:rPr>
        <w:t>efectuó</w:t>
      </w:r>
      <w:r w:rsidR="00832002">
        <w:rPr>
          <w:rFonts w:ascii="Arial" w:eastAsia="Calibri" w:hAnsi="Arial" w:cs="Arial"/>
          <w:sz w:val="24"/>
          <w:szCs w:val="24"/>
          <w:lang w:eastAsia="en-US"/>
        </w:rPr>
        <w:t xml:space="preserve"> </w:t>
      </w:r>
      <w:r w:rsidR="007304A7">
        <w:rPr>
          <w:rFonts w:ascii="Arial" w:eastAsia="Calibri" w:hAnsi="Arial" w:cs="Arial"/>
          <w:sz w:val="24"/>
          <w:szCs w:val="24"/>
          <w:lang w:eastAsia="en-US"/>
        </w:rPr>
        <w:t>algún pago</w:t>
      </w:r>
      <w:r w:rsidR="00D63174">
        <w:rPr>
          <w:rFonts w:ascii="Arial" w:eastAsia="Calibri" w:hAnsi="Arial" w:cs="Arial"/>
          <w:sz w:val="24"/>
          <w:szCs w:val="24"/>
          <w:lang w:eastAsia="en-US"/>
        </w:rPr>
        <w:t xml:space="preserve"> con motivo del acta de infracción o</w:t>
      </w:r>
      <w:r w:rsidR="00832002">
        <w:rPr>
          <w:rFonts w:ascii="Arial" w:eastAsia="Calibri" w:hAnsi="Arial" w:cs="Arial"/>
          <w:sz w:val="24"/>
          <w:szCs w:val="24"/>
          <w:lang w:eastAsia="en-US"/>
        </w:rPr>
        <w:t xml:space="preserve"> </w:t>
      </w:r>
      <w:r w:rsidR="007304A7">
        <w:rPr>
          <w:rFonts w:ascii="Arial" w:eastAsia="Calibri" w:hAnsi="Arial" w:cs="Arial"/>
          <w:sz w:val="24"/>
          <w:szCs w:val="24"/>
          <w:lang w:eastAsia="en-US"/>
        </w:rPr>
        <w:t xml:space="preserve">para garantizar el </w:t>
      </w:r>
      <w:r w:rsidR="007304A7">
        <w:rPr>
          <w:rFonts w:ascii="Arial" w:eastAsia="Calibri" w:hAnsi="Arial" w:cs="Arial"/>
          <w:sz w:val="24"/>
          <w:szCs w:val="24"/>
          <w:lang w:eastAsia="en-US"/>
        </w:rPr>
        <w:lastRenderedPageBreak/>
        <w:t xml:space="preserve">interés fiscal </w:t>
      </w:r>
      <w:r w:rsidR="00832002">
        <w:rPr>
          <w:rFonts w:ascii="Arial" w:eastAsia="Calibri" w:hAnsi="Arial" w:cs="Arial"/>
          <w:sz w:val="24"/>
          <w:szCs w:val="24"/>
          <w:lang w:eastAsia="en-US"/>
        </w:rPr>
        <w:t>como le fue precisado en la suspensión definitiva que le fue concedida</w:t>
      </w:r>
      <w:r w:rsidRPr="0051494B">
        <w:rPr>
          <w:rFonts w:ascii="Arial" w:eastAsia="Calibri" w:hAnsi="Arial" w:cs="Arial"/>
          <w:sz w:val="24"/>
          <w:szCs w:val="24"/>
          <w:lang w:eastAsia="en-US"/>
        </w:rPr>
        <w:t>;</w:t>
      </w:r>
      <w:r w:rsidR="00D63174">
        <w:rPr>
          <w:rFonts w:ascii="Arial" w:eastAsia="Calibri" w:hAnsi="Arial" w:cs="Arial"/>
          <w:sz w:val="24"/>
          <w:szCs w:val="24"/>
          <w:lang w:eastAsia="en-US"/>
        </w:rPr>
        <w:t xml:space="preserve"> esto es así, con el</w:t>
      </w:r>
      <w:r w:rsidRPr="0051494B">
        <w:rPr>
          <w:rFonts w:ascii="Arial" w:eastAsia="Calibri" w:hAnsi="Arial" w:cs="Arial"/>
          <w:sz w:val="24"/>
          <w:szCs w:val="24"/>
          <w:lang w:eastAsia="en-US"/>
        </w:rPr>
        <w:t xml:space="preserve"> fin de restituir al administrado, aquí actor, </w:t>
      </w:r>
      <w:r w:rsidR="00CA53CC">
        <w:rPr>
          <w:rFonts w:ascii="Arial" w:eastAsia="Calibri" w:hAnsi="Arial" w:cs="Arial"/>
          <w:b/>
          <w:sz w:val="24"/>
          <w:szCs w:val="24"/>
          <w:lang w:eastAsia="en-US"/>
        </w:rPr>
        <w:t>**********</w:t>
      </w:r>
      <w:r w:rsidRPr="0051494B">
        <w:rPr>
          <w:rFonts w:ascii="Arial" w:eastAsia="Calibri" w:hAnsi="Arial" w:cs="Arial"/>
          <w:b/>
          <w:sz w:val="24"/>
          <w:szCs w:val="24"/>
          <w:lang w:eastAsia="en-US"/>
        </w:rPr>
        <w:t xml:space="preserve"> </w:t>
      </w:r>
      <w:r w:rsidRPr="0051494B">
        <w:rPr>
          <w:rFonts w:ascii="Arial" w:eastAsia="Calibri" w:hAnsi="Arial" w:cs="Arial"/>
          <w:sz w:val="24"/>
          <w:szCs w:val="24"/>
          <w:lang w:eastAsia="en-US"/>
        </w:rPr>
        <w:t xml:space="preserve">en el pleno goce de sus derechos afectados con la emisión del acto declarado nulo. </w:t>
      </w:r>
    </w:p>
    <w:p w14:paraId="2ED08E2D"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p>
    <w:p w14:paraId="07298FAC" w14:textId="0E3F67E1" w:rsidR="0043477D" w:rsidRPr="0051494B" w:rsidRDefault="0043477D" w:rsidP="009A2A70">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antes expuesto y con fundamento en los artículos 207, 208 y 209 de la Ley de Procedimiento y Justicia Administrativa para el Estado de Oaxaca, se;</w:t>
      </w:r>
    </w:p>
    <w:p w14:paraId="60797294" w14:textId="77777777" w:rsidR="0043477D" w:rsidRPr="0051494B" w:rsidRDefault="0043477D" w:rsidP="0043477D">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R E S U E L V E</w:t>
      </w:r>
    </w:p>
    <w:p w14:paraId="2E2D8157" w14:textId="77777777" w:rsidR="0043477D" w:rsidRPr="0051494B" w:rsidRDefault="0043477D" w:rsidP="0043477D">
      <w:pPr>
        <w:spacing w:after="160" w:line="259" w:lineRule="auto"/>
        <w:jc w:val="center"/>
        <w:rPr>
          <w:rFonts w:ascii="Arial" w:eastAsia="Calibri" w:hAnsi="Arial" w:cs="Arial"/>
          <w:b/>
          <w:bCs/>
          <w:sz w:val="24"/>
          <w:szCs w:val="24"/>
          <w:lang w:eastAsia="en-US"/>
        </w:rPr>
      </w:pPr>
    </w:p>
    <w:p w14:paraId="22C7BDD3" w14:textId="77777777" w:rsidR="0043477D" w:rsidRPr="0051494B" w:rsidRDefault="0043477D" w:rsidP="0043477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63CA0B9C" w14:textId="77777777" w:rsidR="0043477D" w:rsidRPr="0051494B" w:rsidRDefault="0043477D" w:rsidP="0043477D">
      <w:pPr>
        <w:spacing w:after="0" w:line="360" w:lineRule="auto"/>
        <w:ind w:right="49" w:firstLine="567"/>
        <w:jc w:val="both"/>
        <w:rPr>
          <w:rFonts w:ascii="Arial" w:eastAsia="Times New Roman" w:hAnsi="Arial" w:cs="Arial"/>
        </w:rPr>
      </w:pPr>
    </w:p>
    <w:p w14:paraId="592C5635" w14:textId="77777777" w:rsidR="0043477D" w:rsidRPr="0051494B" w:rsidRDefault="0043477D" w:rsidP="0043477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14F416BC" w14:textId="77777777" w:rsidR="0043477D" w:rsidRPr="0051494B" w:rsidRDefault="0043477D" w:rsidP="0043477D">
      <w:pPr>
        <w:spacing w:after="160" w:line="259" w:lineRule="auto"/>
        <w:rPr>
          <w:rFonts w:ascii="Arial" w:eastAsia="Calibri" w:hAnsi="Arial" w:cs="Arial"/>
          <w:b/>
          <w:bCs/>
          <w:sz w:val="24"/>
          <w:szCs w:val="24"/>
          <w:lang w:eastAsia="en-US"/>
        </w:rPr>
      </w:pPr>
    </w:p>
    <w:p w14:paraId="7318D7DA" w14:textId="2B2F90AA" w:rsidR="0043477D" w:rsidRPr="0051494B" w:rsidRDefault="0043477D" w:rsidP="0043477D">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lisa y llana</w:t>
      </w:r>
      <w:r w:rsidRPr="0051494B">
        <w:rPr>
          <w:rFonts w:ascii="Arial" w:eastAsia="Calibri" w:hAnsi="Arial" w:cs="Arial"/>
          <w:sz w:val="24"/>
          <w:szCs w:val="24"/>
          <w:lang w:eastAsia="en-US"/>
        </w:rPr>
        <w:t xml:space="preserve"> del acta de infracción de tránsito con número de folio </w:t>
      </w:r>
      <w:r w:rsidR="00CA53CC">
        <w:rPr>
          <w:rFonts w:ascii="Arial" w:eastAsia="Calibri" w:hAnsi="Arial" w:cs="Arial"/>
          <w:sz w:val="24"/>
          <w:szCs w:val="24"/>
          <w:lang w:eastAsia="en-US"/>
        </w:rPr>
        <w:t>**********</w:t>
      </w:r>
      <w:r w:rsidRPr="0051494B">
        <w:rPr>
          <w:rFonts w:ascii="Arial" w:eastAsia="Calibri" w:hAnsi="Arial" w:cs="Arial"/>
          <w:sz w:val="24"/>
          <w:szCs w:val="24"/>
          <w:lang w:eastAsia="en-US"/>
        </w:rPr>
        <w:t xml:space="preserve"> de </w:t>
      </w:r>
      <w:r w:rsidR="00D52050">
        <w:rPr>
          <w:rFonts w:ascii="Arial" w:eastAsia="Calibri" w:hAnsi="Arial" w:cs="Arial"/>
          <w:sz w:val="24"/>
          <w:szCs w:val="24"/>
          <w:lang w:eastAsia="en-US"/>
        </w:rPr>
        <w:t>ocho</w:t>
      </w:r>
      <w:r w:rsidRPr="0051494B">
        <w:rPr>
          <w:rFonts w:ascii="Arial" w:eastAsia="Calibri" w:hAnsi="Arial" w:cs="Arial"/>
          <w:sz w:val="24"/>
          <w:szCs w:val="24"/>
          <w:lang w:eastAsia="en-US"/>
        </w:rPr>
        <w:t xml:space="preserve"> de </w:t>
      </w:r>
      <w:r w:rsidR="00D52050">
        <w:rPr>
          <w:rFonts w:ascii="Arial" w:eastAsia="Calibri" w:hAnsi="Arial" w:cs="Arial"/>
          <w:sz w:val="24"/>
          <w:szCs w:val="24"/>
          <w:lang w:eastAsia="en-US"/>
        </w:rPr>
        <w:t>febrero</w:t>
      </w:r>
      <w:r w:rsidRPr="0051494B">
        <w:rPr>
          <w:rFonts w:ascii="Arial" w:eastAsia="Calibri" w:hAnsi="Arial" w:cs="Arial"/>
          <w:sz w:val="24"/>
          <w:szCs w:val="24"/>
          <w:lang w:eastAsia="en-US"/>
        </w:rPr>
        <w:t xml:space="preserve"> de dos mil veint</w:t>
      </w:r>
      <w:r w:rsidR="00D52050">
        <w:rPr>
          <w:rFonts w:ascii="Arial" w:eastAsia="Calibri" w:hAnsi="Arial" w:cs="Arial"/>
          <w:sz w:val="24"/>
          <w:szCs w:val="24"/>
          <w:lang w:eastAsia="en-US"/>
        </w:rPr>
        <w:t>iuno</w:t>
      </w:r>
      <w:r w:rsidRPr="0051494B">
        <w:rPr>
          <w:rFonts w:ascii="Arial" w:eastAsia="Calibri" w:hAnsi="Arial" w:cs="Arial"/>
          <w:sz w:val="24"/>
          <w:szCs w:val="24"/>
          <w:lang w:eastAsia="en-US"/>
        </w:rPr>
        <w:t>, emitida por</w:t>
      </w:r>
      <w:r>
        <w:rPr>
          <w:rFonts w:ascii="Arial" w:eastAsia="Calibri" w:hAnsi="Arial" w:cs="Arial"/>
          <w:sz w:val="24"/>
          <w:szCs w:val="24"/>
          <w:lang w:eastAsia="en-US"/>
        </w:rPr>
        <w:t xml:space="preserve"> e</w:t>
      </w:r>
      <w:r w:rsidRPr="0051494B">
        <w:rPr>
          <w:rFonts w:ascii="Arial" w:eastAsia="Calibri" w:hAnsi="Arial" w:cs="Arial"/>
          <w:sz w:val="24"/>
          <w:szCs w:val="24"/>
          <w:lang w:eastAsia="en-US"/>
        </w:rPr>
        <w:t xml:space="preserve">l </w:t>
      </w:r>
      <w:r>
        <w:rPr>
          <w:rFonts w:ascii="Arial" w:eastAsia="Calibri" w:hAnsi="Arial" w:cs="Arial"/>
          <w:sz w:val="24"/>
          <w:szCs w:val="24"/>
          <w:lang w:eastAsia="en-US"/>
        </w:rPr>
        <w:t xml:space="preserve">Policía Vial </w:t>
      </w:r>
      <w:r w:rsidR="003A160E">
        <w:rPr>
          <w:rFonts w:ascii="Arial" w:eastAsia="Calibri" w:hAnsi="Arial" w:cs="Arial"/>
          <w:sz w:val="24"/>
          <w:szCs w:val="24"/>
          <w:lang w:eastAsia="en-US"/>
        </w:rPr>
        <w:t xml:space="preserve">Estatal </w:t>
      </w:r>
      <w:r>
        <w:rPr>
          <w:rFonts w:ascii="Arial" w:eastAsia="Calibri" w:hAnsi="Arial" w:cs="Arial"/>
          <w:sz w:val="24"/>
          <w:szCs w:val="24"/>
          <w:lang w:eastAsia="en-US"/>
        </w:rPr>
        <w:t xml:space="preserve">con número </w:t>
      </w:r>
      <w:r w:rsidR="00D52050">
        <w:rPr>
          <w:rFonts w:ascii="Arial" w:eastAsia="Calibri" w:hAnsi="Arial" w:cs="Arial"/>
          <w:sz w:val="24"/>
          <w:szCs w:val="24"/>
          <w:lang w:eastAsia="en-US"/>
        </w:rPr>
        <w:t>188</w:t>
      </w:r>
      <w:r w:rsidR="003A160E">
        <w:rPr>
          <w:rFonts w:ascii="Arial" w:eastAsia="Calibri" w:hAnsi="Arial" w:cs="Arial"/>
          <w:sz w:val="24"/>
          <w:szCs w:val="24"/>
          <w:lang w:eastAsia="en-US"/>
        </w:rPr>
        <w:t>, adscrito a la Dirección General de la Policía Vial Estatal</w:t>
      </w:r>
      <w:r w:rsidRPr="0051494B">
        <w:rPr>
          <w:rFonts w:ascii="Arial" w:eastAsia="Calibri" w:hAnsi="Arial" w:cs="Arial"/>
          <w:sz w:val="24"/>
          <w:szCs w:val="24"/>
          <w:lang w:eastAsia="en-US"/>
        </w:rPr>
        <w:t xml:space="preserve">; y en consecuencia, se le restituya al actor en el pleno goce de sus derechos afectados, como quedó precisado en el considerando que antecede. </w:t>
      </w:r>
    </w:p>
    <w:p w14:paraId="1B1DB0D2" w14:textId="77777777" w:rsidR="0043477D" w:rsidRPr="0051494B" w:rsidRDefault="0043477D" w:rsidP="0043477D">
      <w:pPr>
        <w:spacing w:after="0" w:line="360" w:lineRule="auto"/>
        <w:ind w:right="49"/>
        <w:jc w:val="both"/>
        <w:rPr>
          <w:rFonts w:ascii="Arial" w:eastAsia="Calibri" w:hAnsi="Arial" w:cs="Arial"/>
          <w:sz w:val="24"/>
          <w:szCs w:val="24"/>
          <w:lang w:eastAsia="en-US"/>
        </w:rPr>
      </w:pPr>
    </w:p>
    <w:p w14:paraId="5D152E0C" w14:textId="77777777" w:rsidR="0043477D" w:rsidRPr="0051494B" w:rsidRDefault="0043477D" w:rsidP="0043477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con fundamento en los artículos 172 fracción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10946053" w14:textId="77777777" w:rsidR="0043477D" w:rsidRPr="0051494B" w:rsidRDefault="0043477D" w:rsidP="0043477D">
      <w:pPr>
        <w:spacing w:after="0" w:line="360" w:lineRule="auto"/>
        <w:ind w:right="49" w:firstLine="567"/>
        <w:jc w:val="both"/>
        <w:rPr>
          <w:rFonts w:ascii="Arial" w:eastAsia="Times New Roman" w:hAnsi="Arial" w:cs="Arial"/>
          <w:b/>
          <w:sz w:val="24"/>
          <w:szCs w:val="24"/>
        </w:rPr>
      </w:pPr>
    </w:p>
    <w:p w14:paraId="273FFB17" w14:textId="77777777" w:rsidR="0043477D" w:rsidRPr="0051494B" w:rsidRDefault="0043477D" w:rsidP="0043477D">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p w14:paraId="5C9057E7" w14:textId="77777777" w:rsidR="0043477D" w:rsidRPr="0051494B" w:rsidRDefault="0043477D" w:rsidP="0043477D">
      <w:pPr>
        <w:tabs>
          <w:tab w:val="right" w:pos="8789"/>
        </w:tabs>
        <w:spacing w:after="0" w:line="259" w:lineRule="auto"/>
        <w:jc w:val="both"/>
        <w:rPr>
          <w:rFonts w:ascii="Arial" w:eastAsia="Calibri" w:hAnsi="Arial" w:cs="Arial"/>
          <w:lang w:val="es-ES" w:eastAsia="en-US"/>
        </w:rPr>
      </w:pPr>
    </w:p>
    <w:p w14:paraId="50453FE0" w14:textId="6811CF02" w:rsidR="00BA258A" w:rsidRPr="0034111B" w:rsidRDefault="00BA258A" w:rsidP="0034111B">
      <w:pPr>
        <w:rPr>
          <w:color w:val="FF0000"/>
          <w:lang w:val="es-ES"/>
        </w:rPr>
      </w:pPr>
    </w:p>
    <w:sectPr w:rsidR="00BA258A" w:rsidRPr="0034111B"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0F295" w14:textId="77777777" w:rsidR="00A37E6F" w:rsidRDefault="00A37E6F">
      <w:pPr>
        <w:spacing w:after="0" w:line="240" w:lineRule="auto"/>
      </w:pPr>
      <w:r>
        <w:separator/>
      </w:r>
    </w:p>
  </w:endnote>
  <w:endnote w:type="continuationSeparator" w:id="0">
    <w:p w14:paraId="7570856F" w14:textId="77777777" w:rsidR="00A37E6F" w:rsidRDefault="00A37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742221A4" w14:textId="0CA0D0D6" w:rsidR="005A6789" w:rsidRDefault="005A6789">
        <w:pPr>
          <w:pStyle w:val="Piedepgina"/>
          <w:jc w:val="center"/>
        </w:pPr>
        <w:r>
          <w:fldChar w:fldCharType="begin"/>
        </w:r>
        <w:r>
          <w:instrText>PAGE   \* MERGEFORMAT</w:instrText>
        </w:r>
        <w:r>
          <w:fldChar w:fldCharType="separate"/>
        </w:r>
        <w:r w:rsidR="004C026B" w:rsidRPr="004C026B">
          <w:rPr>
            <w:noProof/>
            <w:lang w:val="es-ES"/>
          </w:rPr>
          <w:t>7</w:t>
        </w:r>
        <w:r>
          <w:fldChar w:fldCharType="end"/>
        </w:r>
      </w:p>
    </w:sdtContent>
  </w:sdt>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C6566C" w14:textId="77777777" w:rsidR="00A37E6F" w:rsidRDefault="00A37E6F">
      <w:pPr>
        <w:spacing w:after="0" w:line="240" w:lineRule="auto"/>
      </w:pPr>
      <w:r>
        <w:separator/>
      </w:r>
    </w:p>
  </w:footnote>
  <w:footnote w:type="continuationSeparator" w:id="0">
    <w:p w14:paraId="5963A107" w14:textId="77777777" w:rsidR="00A37E6F" w:rsidRDefault="00A37E6F">
      <w:pPr>
        <w:spacing w:after="0" w:line="240" w:lineRule="auto"/>
      </w:pPr>
      <w:r>
        <w:continuationSeparator/>
      </w:r>
    </w:p>
  </w:footnote>
  <w:footnote w:id="1">
    <w:p w14:paraId="28891BC0" w14:textId="77777777" w:rsidR="0043477D" w:rsidRDefault="0043477D" w:rsidP="0043477D">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FA5EA1" w14:textId="77777777" w:rsidR="0043477D" w:rsidRPr="005B4F51" w:rsidRDefault="0043477D" w:rsidP="0043477D">
      <w:pPr>
        <w:autoSpaceDE w:val="0"/>
        <w:autoSpaceDN w:val="0"/>
        <w:adjustRightInd w:val="0"/>
        <w:spacing w:after="0" w:line="240" w:lineRule="auto"/>
        <w:jc w:val="both"/>
        <w:rPr>
          <w:rFonts w:ascii="Arial" w:hAnsi="Arial" w:cs="Arial"/>
          <w:color w:val="000000"/>
        </w:rPr>
      </w:pPr>
    </w:p>
  </w:footnote>
  <w:footnote w:id="2">
    <w:p w14:paraId="560D2413" w14:textId="77777777" w:rsidR="0043477D" w:rsidRDefault="0043477D" w:rsidP="0043477D">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512DC1B8" w14:textId="77777777" w:rsidR="0043477D" w:rsidRPr="005B4F51" w:rsidRDefault="0043477D" w:rsidP="0043477D">
      <w:pPr>
        <w:autoSpaceDE w:val="0"/>
        <w:autoSpaceDN w:val="0"/>
        <w:adjustRightInd w:val="0"/>
        <w:spacing w:after="0" w:line="240" w:lineRule="auto"/>
        <w:rPr>
          <w:rFonts w:ascii="Arial" w:hAnsi="Arial" w:cs="Arial"/>
          <w:color w:val="000000"/>
          <w:sz w:val="16"/>
          <w:szCs w:val="16"/>
        </w:rPr>
      </w:pPr>
    </w:p>
  </w:footnote>
  <w:footnote w:id="3">
    <w:p w14:paraId="636DA15C" w14:textId="77777777" w:rsidR="0043477D" w:rsidRPr="009F02A1" w:rsidRDefault="0043477D" w:rsidP="0043477D">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FD42760" w14:textId="77777777" w:rsidR="0043477D" w:rsidRPr="009F02A1" w:rsidRDefault="0043477D" w:rsidP="0043477D">
      <w:pPr>
        <w:autoSpaceDE w:val="0"/>
        <w:autoSpaceDN w:val="0"/>
        <w:adjustRightInd w:val="0"/>
        <w:spacing w:after="0" w:line="240" w:lineRule="auto"/>
        <w:rPr>
          <w:rFonts w:ascii="Arial" w:hAnsi="Arial" w:cs="Arial"/>
          <w:color w:val="000000"/>
          <w:sz w:val="16"/>
          <w:szCs w:val="16"/>
        </w:rPr>
      </w:pPr>
    </w:p>
    <w:p w14:paraId="08F78FBB" w14:textId="77777777" w:rsidR="0043477D" w:rsidRPr="009F02A1" w:rsidRDefault="0043477D" w:rsidP="0043477D">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69A086F7" w14:textId="77777777" w:rsidR="00823738" w:rsidRDefault="00823738" w:rsidP="00823738">
      <w:pPr>
        <w:pStyle w:val="Textonotapie"/>
      </w:pPr>
      <w:r>
        <w:rPr>
          <w:rStyle w:val="Refdenotaalpie"/>
        </w:rPr>
        <w:footnoteRef/>
      </w:r>
      <w:r>
        <w:t xml:space="preserve"> “</w:t>
      </w:r>
      <w:r>
        <w:rPr>
          <w:b/>
        </w:rPr>
        <w:t xml:space="preserve">ARTÍCULO 161.- </w:t>
      </w:r>
      <w:r>
        <w:t>…</w:t>
      </w:r>
    </w:p>
    <w:p w14:paraId="4E669B27" w14:textId="77777777" w:rsidR="00823738" w:rsidRDefault="00823738" w:rsidP="00823738">
      <w:pPr>
        <w:pStyle w:val="Textonotapie"/>
      </w:pPr>
      <w:r>
        <w:t xml:space="preserve">   …</w:t>
      </w:r>
    </w:p>
    <w:p w14:paraId="515B16CF" w14:textId="77777777" w:rsidR="00823738" w:rsidRPr="00271AF8" w:rsidRDefault="00823738" w:rsidP="00823738">
      <w:pPr>
        <w:pStyle w:val="Textonotapie"/>
      </w:pPr>
      <w:r>
        <w:t xml:space="preserve">   Las causales de improcedencia deben ser examinadas de oficio.”</w:t>
      </w:r>
    </w:p>
  </w:footnote>
  <w:footnote w:id="5">
    <w:p w14:paraId="1C51A42B" w14:textId="2EA72ECD" w:rsidR="0043477D" w:rsidRDefault="0043477D" w:rsidP="0043477D">
      <w:pPr>
        <w:pStyle w:val="Textonotapie"/>
        <w:jc w:val="both"/>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sidR="001E33BC">
        <w:rPr>
          <w:rFonts w:ascii="Arial" w:hAnsi="Arial" w:cs="Arial"/>
          <w:sz w:val="16"/>
          <w:szCs w:val="16"/>
        </w:rPr>
        <w:t>“</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p w14:paraId="6C0C6BF4" w14:textId="77777777" w:rsidR="001E33BC" w:rsidRPr="00B61A4A" w:rsidRDefault="001E33BC" w:rsidP="0043477D">
      <w:pPr>
        <w:pStyle w:val="Textonotapie"/>
        <w:jc w:val="both"/>
        <w:rPr>
          <w:sz w:val="16"/>
          <w:szCs w:val="16"/>
        </w:rPr>
      </w:pPr>
    </w:p>
  </w:footnote>
  <w:footnote w:id="6">
    <w:p w14:paraId="0313D80C" w14:textId="618F7C1C" w:rsidR="0043477D" w:rsidRPr="00B61A4A" w:rsidRDefault="0043477D" w:rsidP="0043477D">
      <w:pPr>
        <w:pStyle w:val="Textonotapie"/>
        <w:jc w:val="both"/>
        <w:rPr>
          <w:sz w:val="16"/>
          <w:szCs w:val="16"/>
        </w:rPr>
      </w:pPr>
      <w:r w:rsidRPr="00B61A4A">
        <w:rPr>
          <w:rStyle w:val="Refdenotaalpie"/>
          <w:sz w:val="16"/>
          <w:szCs w:val="16"/>
        </w:rPr>
        <w:footnoteRef/>
      </w:r>
      <w:r w:rsidRPr="00B61A4A">
        <w:rPr>
          <w:sz w:val="16"/>
          <w:szCs w:val="16"/>
        </w:rPr>
        <w:t xml:space="preserve"> </w:t>
      </w:r>
      <w:r w:rsidR="001E33BC">
        <w:rPr>
          <w:sz w:val="16"/>
          <w:szCs w:val="16"/>
        </w:rPr>
        <w:t>“</w:t>
      </w:r>
      <w:r w:rsidRPr="00D23FEF">
        <w:rPr>
          <w:rFonts w:ascii="Arial" w:hAnsi="Arial" w:cs="Arial"/>
          <w:sz w:val="16"/>
          <w:szCs w:val="16"/>
        </w:rPr>
        <w:t>Constitución Política de los Estados Unidos Mexicanos, publicada en el Diario Oficial de la Federación el 5 de febrero de 1917.</w:t>
      </w:r>
      <w:r w:rsidR="001E33BC">
        <w:rPr>
          <w:rFonts w:ascii="Arial" w:hAnsi="Arial" w:cs="Arial"/>
          <w:sz w:val="16"/>
          <w:szCs w:val="16"/>
        </w:rPr>
        <w:t>”</w:t>
      </w:r>
    </w:p>
  </w:footnote>
  <w:footnote w:id="7">
    <w:p w14:paraId="2B53F058" w14:textId="77777777" w:rsidR="0043477D" w:rsidRDefault="0043477D" w:rsidP="0043477D">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4E382B59" w14:textId="77777777" w:rsidR="0043477D" w:rsidRPr="00155F2F" w:rsidRDefault="0043477D" w:rsidP="0043477D">
      <w:pPr>
        <w:pStyle w:val="Textonotapie"/>
        <w:jc w:val="both"/>
        <w:rPr>
          <w:rFonts w:ascii="Arial" w:hAnsi="Arial" w:cs="Arial"/>
          <w:sz w:val="16"/>
          <w:szCs w:val="16"/>
        </w:rPr>
      </w:pPr>
    </w:p>
  </w:footnote>
  <w:footnote w:id="8">
    <w:p w14:paraId="5BE3DBD5" w14:textId="77777777" w:rsidR="0043477D" w:rsidRDefault="0043477D" w:rsidP="0043477D">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A37E6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4C026B" w:rsidRPr="004C026B">
          <w:rPr>
            <w:noProof/>
            <w:lang w:val="es-ES"/>
          </w:rPr>
          <w:t>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0629E" w14:textId="77777777" w:rsidR="00284D12" w:rsidRDefault="00284D12" w:rsidP="00284D12">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785D3076" w14:textId="77777777" w:rsidR="00284D12" w:rsidRDefault="00284D12" w:rsidP="0051494B">
    <w:pPr>
      <w:pStyle w:val="Encabezado"/>
      <w:jc w:val="right"/>
      <w:rPr>
        <w:rFonts w:ascii="Century Schoolbook" w:hAnsi="Century Schoolbook" w:cs="Arial"/>
      </w:rPr>
    </w:pPr>
  </w:p>
  <w:p w14:paraId="02B17BF2" w14:textId="4168492B" w:rsidR="0051494B" w:rsidRPr="00B61D83"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5E53C2">
      <w:rPr>
        <w:rFonts w:ascii="Century Schoolbook" w:hAnsi="Century Schoolbook" w:cs="Arial"/>
        <w:b/>
        <w:bCs/>
      </w:rPr>
      <w:t>19</w:t>
    </w:r>
    <w:r w:rsidRPr="00B61D83">
      <w:rPr>
        <w:rFonts w:ascii="Century Schoolbook" w:hAnsi="Century Schoolbook" w:cs="Arial"/>
        <w:b/>
        <w:bCs/>
      </w:rPr>
      <w:t>/2021</w:t>
    </w:r>
  </w:p>
  <w:p w14:paraId="6DEC9321" w14:textId="77777777" w:rsidR="0051494B" w:rsidRDefault="0051494B" w:rsidP="0051494B">
    <w:pPr>
      <w:pStyle w:val="Encabezado"/>
    </w:pPr>
  </w:p>
  <w:p w14:paraId="51E22156" w14:textId="3B60ADF1" w:rsidR="00A360DF" w:rsidRDefault="00A37E6F"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A37E6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3A2"/>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9C"/>
    <w:rsid w:val="000126F6"/>
    <w:rsid w:val="00012918"/>
    <w:rsid w:val="00012DC1"/>
    <w:rsid w:val="000130C8"/>
    <w:rsid w:val="000135AF"/>
    <w:rsid w:val="00014F98"/>
    <w:rsid w:val="0001695E"/>
    <w:rsid w:val="00016C0B"/>
    <w:rsid w:val="00016E88"/>
    <w:rsid w:val="00017290"/>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AD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2DE"/>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2E4B"/>
    <w:rsid w:val="000939DB"/>
    <w:rsid w:val="00093C95"/>
    <w:rsid w:val="000949A2"/>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9BB"/>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41A9"/>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BB2"/>
    <w:rsid w:val="001D4D61"/>
    <w:rsid w:val="001D4D8C"/>
    <w:rsid w:val="001D5282"/>
    <w:rsid w:val="001D529D"/>
    <w:rsid w:val="001D577C"/>
    <w:rsid w:val="001D694C"/>
    <w:rsid w:val="001D754A"/>
    <w:rsid w:val="001E288A"/>
    <w:rsid w:val="001E2A02"/>
    <w:rsid w:val="001E2B84"/>
    <w:rsid w:val="001E338B"/>
    <w:rsid w:val="001E33BC"/>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5EAA"/>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4C63"/>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19D"/>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4D12"/>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CE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167"/>
    <w:rsid w:val="00323295"/>
    <w:rsid w:val="00323776"/>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11B"/>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495A"/>
    <w:rsid w:val="003961E1"/>
    <w:rsid w:val="003974F9"/>
    <w:rsid w:val="003A0AA1"/>
    <w:rsid w:val="003A0FE5"/>
    <w:rsid w:val="003A160E"/>
    <w:rsid w:val="003A24EC"/>
    <w:rsid w:val="003A3EA0"/>
    <w:rsid w:val="003A5D91"/>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5F05"/>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0C4"/>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17F"/>
    <w:rsid w:val="004003E7"/>
    <w:rsid w:val="00400CE8"/>
    <w:rsid w:val="0040130D"/>
    <w:rsid w:val="00401B8F"/>
    <w:rsid w:val="00401FEB"/>
    <w:rsid w:val="004022FC"/>
    <w:rsid w:val="00402403"/>
    <w:rsid w:val="00402763"/>
    <w:rsid w:val="004027A1"/>
    <w:rsid w:val="00404E59"/>
    <w:rsid w:val="004051E8"/>
    <w:rsid w:val="00405E13"/>
    <w:rsid w:val="00406284"/>
    <w:rsid w:val="00406A7E"/>
    <w:rsid w:val="00406B2A"/>
    <w:rsid w:val="00406B60"/>
    <w:rsid w:val="00406B80"/>
    <w:rsid w:val="00406C21"/>
    <w:rsid w:val="00406FC8"/>
    <w:rsid w:val="0040758D"/>
    <w:rsid w:val="00407734"/>
    <w:rsid w:val="00407A5C"/>
    <w:rsid w:val="00411707"/>
    <w:rsid w:val="0041258E"/>
    <w:rsid w:val="00412C2F"/>
    <w:rsid w:val="0041486D"/>
    <w:rsid w:val="004152B4"/>
    <w:rsid w:val="0041584F"/>
    <w:rsid w:val="00415924"/>
    <w:rsid w:val="004165A7"/>
    <w:rsid w:val="00416F89"/>
    <w:rsid w:val="00417B7B"/>
    <w:rsid w:val="004211BE"/>
    <w:rsid w:val="0042205F"/>
    <w:rsid w:val="00422BDD"/>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77D"/>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4D03"/>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676BC"/>
    <w:rsid w:val="0047274B"/>
    <w:rsid w:val="00472B3D"/>
    <w:rsid w:val="00472D90"/>
    <w:rsid w:val="00473EB5"/>
    <w:rsid w:val="0047647A"/>
    <w:rsid w:val="00476E07"/>
    <w:rsid w:val="004771E5"/>
    <w:rsid w:val="00477357"/>
    <w:rsid w:val="00477E07"/>
    <w:rsid w:val="004804CF"/>
    <w:rsid w:val="00480A69"/>
    <w:rsid w:val="004813E0"/>
    <w:rsid w:val="0048197A"/>
    <w:rsid w:val="00481D71"/>
    <w:rsid w:val="00483B0E"/>
    <w:rsid w:val="00484AE9"/>
    <w:rsid w:val="00485508"/>
    <w:rsid w:val="0048659E"/>
    <w:rsid w:val="00486775"/>
    <w:rsid w:val="004874A4"/>
    <w:rsid w:val="00491E99"/>
    <w:rsid w:val="004929E7"/>
    <w:rsid w:val="0049318A"/>
    <w:rsid w:val="00493A5B"/>
    <w:rsid w:val="00494600"/>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4BD7"/>
    <w:rsid w:val="004A6251"/>
    <w:rsid w:val="004A6CA2"/>
    <w:rsid w:val="004A770C"/>
    <w:rsid w:val="004A781C"/>
    <w:rsid w:val="004A7ECD"/>
    <w:rsid w:val="004B05CE"/>
    <w:rsid w:val="004B0EF8"/>
    <w:rsid w:val="004B117E"/>
    <w:rsid w:val="004B17F7"/>
    <w:rsid w:val="004B1D6B"/>
    <w:rsid w:val="004B1E33"/>
    <w:rsid w:val="004B4654"/>
    <w:rsid w:val="004B5540"/>
    <w:rsid w:val="004B5F62"/>
    <w:rsid w:val="004B6800"/>
    <w:rsid w:val="004B69CB"/>
    <w:rsid w:val="004B6B98"/>
    <w:rsid w:val="004B748E"/>
    <w:rsid w:val="004B7C5E"/>
    <w:rsid w:val="004C026B"/>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2CE9"/>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5924"/>
    <w:rsid w:val="00526D7B"/>
    <w:rsid w:val="00526DC4"/>
    <w:rsid w:val="00527324"/>
    <w:rsid w:val="005274E0"/>
    <w:rsid w:val="00527F7B"/>
    <w:rsid w:val="005300DF"/>
    <w:rsid w:val="00531B2A"/>
    <w:rsid w:val="00531B72"/>
    <w:rsid w:val="00531C8C"/>
    <w:rsid w:val="00531DC6"/>
    <w:rsid w:val="005324A4"/>
    <w:rsid w:val="00532D69"/>
    <w:rsid w:val="00532E56"/>
    <w:rsid w:val="0053384D"/>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41F"/>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789"/>
    <w:rsid w:val="005A6A9E"/>
    <w:rsid w:val="005A752F"/>
    <w:rsid w:val="005A7944"/>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3C2"/>
    <w:rsid w:val="005E5F15"/>
    <w:rsid w:val="005E65D5"/>
    <w:rsid w:val="005E7897"/>
    <w:rsid w:val="005F0996"/>
    <w:rsid w:val="005F1394"/>
    <w:rsid w:val="005F156F"/>
    <w:rsid w:val="005F1852"/>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2D1D"/>
    <w:rsid w:val="0062386E"/>
    <w:rsid w:val="00624802"/>
    <w:rsid w:val="00624F20"/>
    <w:rsid w:val="00625F4E"/>
    <w:rsid w:val="006279BE"/>
    <w:rsid w:val="006304BB"/>
    <w:rsid w:val="0063071F"/>
    <w:rsid w:val="00630C62"/>
    <w:rsid w:val="00631207"/>
    <w:rsid w:val="00631467"/>
    <w:rsid w:val="0063273E"/>
    <w:rsid w:val="00633242"/>
    <w:rsid w:val="006339CE"/>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D7C"/>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4841"/>
    <w:rsid w:val="006A52BF"/>
    <w:rsid w:val="006A5821"/>
    <w:rsid w:val="006A5A6C"/>
    <w:rsid w:val="006A61E5"/>
    <w:rsid w:val="006A64C2"/>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6D1F"/>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04A7"/>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3784"/>
    <w:rsid w:val="007656A2"/>
    <w:rsid w:val="00766389"/>
    <w:rsid w:val="007677CD"/>
    <w:rsid w:val="00767FE0"/>
    <w:rsid w:val="00770340"/>
    <w:rsid w:val="00770536"/>
    <w:rsid w:val="00770AC5"/>
    <w:rsid w:val="007711A1"/>
    <w:rsid w:val="007717DE"/>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27D0"/>
    <w:rsid w:val="007D2C86"/>
    <w:rsid w:val="007D303D"/>
    <w:rsid w:val="007D3939"/>
    <w:rsid w:val="007D3BCC"/>
    <w:rsid w:val="007D3CE0"/>
    <w:rsid w:val="007D404D"/>
    <w:rsid w:val="007D45CB"/>
    <w:rsid w:val="007D4645"/>
    <w:rsid w:val="007D46F6"/>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738"/>
    <w:rsid w:val="00823863"/>
    <w:rsid w:val="008240AB"/>
    <w:rsid w:val="008241FC"/>
    <w:rsid w:val="00824B51"/>
    <w:rsid w:val="00825DF2"/>
    <w:rsid w:val="00826459"/>
    <w:rsid w:val="008264A3"/>
    <w:rsid w:val="00826F27"/>
    <w:rsid w:val="008270BC"/>
    <w:rsid w:val="008309C8"/>
    <w:rsid w:val="008309F3"/>
    <w:rsid w:val="008312B3"/>
    <w:rsid w:val="00832002"/>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1F7D"/>
    <w:rsid w:val="008721B7"/>
    <w:rsid w:val="008728A9"/>
    <w:rsid w:val="00872D12"/>
    <w:rsid w:val="00873855"/>
    <w:rsid w:val="00873D60"/>
    <w:rsid w:val="008740F9"/>
    <w:rsid w:val="0087465E"/>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750"/>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BAB"/>
    <w:rsid w:val="00937C43"/>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1514"/>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2A70"/>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1B5D"/>
    <w:rsid w:val="009E2B95"/>
    <w:rsid w:val="009E2F5D"/>
    <w:rsid w:val="009E34FA"/>
    <w:rsid w:val="009E3D69"/>
    <w:rsid w:val="009E3DB9"/>
    <w:rsid w:val="009E4B0C"/>
    <w:rsid w:val="009E4B72"/>
    <w:rsid w:val="009E646B"/>
    <w:rsid w:val="009E6853"/>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68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37E6F"/>
    <w:rsid w:val="00A40A48"/>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2FA9"/>
    <w:rsid w:val="00A64280"/>
    <w:rsid w:val="00A64C7D"/>
    <w:rsid w:val="00A64E0F"/>
    <w:rsid w:val="00A654A2"/>
    <w:rsid w:val="00A654DF"/>
    <w:rsid w:val="00A655E9"/>
    <w:rsid w:val="00A66CB2"/>
    <w:rsid w:val="00A67461"/>
    <w:rsid w:val="00A703F5"/>
    <w:rsid w:val="00A71119"/>
    <w:rsid w:val="00A717DC"/>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1E3B"/>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441"/>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4DA2"/>
    <w:rsid w:val="00B15165"/>
    <w:rsid w:val="00B15852"/>
    <w:rsid w:val="00B161B4"/>
    <w:rsid w:val="00B16887"/>
    <w:rsid w:val="00B176C8"/>
    <w:rsid w:val="00B20379"/>
    <w:rsid w:val="00B2074B"/>
    <w:rsid w:val="00B211BD"/>
    <w:rsid w:val="00B21544"/>
    <w:rsid w:val="00B21AB1"/>
    <w:rsid w:val="00B221FF"/>
    <w:rsid w:val="00B228FA"/>
    <w:rsid w:val="00B22F12"/>
    <w:rsid w:val="00B2361C"/>
    <w:rsid w:val="00B23719"/>
    <w:rsid w:val="00B243A0"/>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27E"/>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6A0"/>
    <w:rsid w:val="00BC4F3D"/>
    <w:rsid w:val="00BC59CF"/>
    <w:rsid w:val="00BC64CE"/>
    <w:rsid w:val="00BC68AD"/>
    <w:rsid w:val="00BC7112"/>
    <w:rsid w:val="00BD0C00"/>
    <w:rsid w:val="00BD0DA0"/>
    <w:rsid w:val="00BD0DD3"/>
    <w:rsid w:val="00BD19F8"/>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3CC"/>
    <w:rsid w:val="00CA5463"/>
    <w:rsid w:val="00CA5A6D"/>
    <w:rsid w:val="00CA5E32"/>
    <w:rsid w:val="00CB1AC1"/>
    <w:rsid w:val="00CB26F2"/>
    <w:rsid w:val="00CB2BAE"/>
    <w:rsid w:val="00CB3166"/>
    <w:rsid w:val="00CB40D4"/>
    <w:rsid w:val="00CB4885"/>
    <w:rsid w:val="00CB59C8"/>
    <w:rsid w:val="00CB638D"/>
    <w:rsid w:val="00CB6900"/>
    <w:rsid w:val="00CB6EB4"/>
    <w:rsid w:val="00CB7439"/>
    <w:rsid w:val="00CB748E"/>
    <w:rsid w:val="00CB7C3A"/>
    <w:rsid w:val="00CC0FC3"/>
    <w:rsid w:val="00CC1406"/>
    <w:rsid w:val="00CC154C"/>
    <w:rsid w:val="00CC1DB2"/>
    <w:rsid w:val="00CC23F4"/>
    <w:rsid w:val="00CC367C"/>
    <w:rsid w:val="00CC3FEE"/>
    <w:rsid w:val="00CC416D"/>
    <w:rsid w:val="00CC45E5"/>
    <w:rsid w:val="00CC466F"/>
    <w:rsid w:val="00CC55E8"/>
    <w:rsid w:val="00CC5DF0"/>
    <w:rsid w:val="00CC71C6"/>
    <w:rsid w:val="00CC7E7D"/>
    <w:rsid w:val="00CD0864"/>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38"/>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310"/>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2FF4"/>
    <w:rsid w:val="00D14E13"/>
    <w:rsid w:val="00D1650D"/>
    <w:rsid w:val="00D16547"/>
    <w:rsid w:val="00D20368"/>
    <w:rsid w:val="00D209D8"/>
    <w:rsid w:val="00D20B6C"/>
    <w:rsid w:val="00D20DAB"/>
    <w:rsid w:val="00D2186C"/>
    <w:rsid w:val="00D239A5"/>
    <w:rsid w:val="00D24260"/>
    <w:rsid w:val="00D2457A"/>
    <w:rsid w:val="00D25024"/>
    <w:rsid w:val="00D25A36"/>
    <w:rsid w:val="00D260BC"/>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692A"/>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47F13"/>
    <w:rsid w:val="00D507D9"/>
    <w:rsid w:val="00D50BC3"/>
    <w:rsid w:val="00D52050"/>
    <w:rsid w:val="00D52E63"/>
    <w:rsid w:val="00D53E86"/>
    <w:rsid w:val="00D545A8"/>
    <w:rsid w:val="00D548A5"/>
    <w:rsid w:val="00D548E5"/>
    <w:rsid w:val="00D55BD9"/>
    <w:rsid w:val="00D56163"/>
    <w:rsid w:val="00D56589"/>
    <w:rsid w:val="00D566F5"/>
    <w:rsid w:val="00D56BF3"/>
    <w:rsid w:val="00D60503"/>
    <w:rsid w:val="00D62605"/>
    <w:rsid w:val="00D63073"/>
    <w:rsid w:val="00D63174"/>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C96"/>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4B06"/>
    <w:rsid w:val="00DF4FCC"/>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5DA"/>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D7F57"/>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17E45"/>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0B2B"/>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AB0"/>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1868"/>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1820"/>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26227840">
      <w:bodyDiv w:val="1"/>
      <w:marLeft w:val="0"/>
      <w:marRight w:val="0"/>
      <w:marTop w:val="0"/>
      <w:marBottom w:val="0"/>
      <w:divBdr>
        <w:top w:val="none" w:sz="0" w:space="0" w:color="auto"/>
        <w:left w:val="none" w:sz="0" w:space="0" w:color="auto"/>
        <w:bottom w:val="none" w:sz="0" w:space="0" w:color="auto"/>
        <w:right w:val="none" w:sz="0" w:space="0" w:color="auto"/>
      </w:divBdr>
    </w:div>
    <w:div w:id="10706156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69E24-0717-4D37-8D68-A3D78423A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8</Pages>
  <Words>5082</Words>
  <Characters>27952</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13</cp:revision>
  <cp:lastPrinted>2022-03-30T20:20:00Z</cp:lastPrinted>
  <dcterms:created xsi:type="dcterms:W3CDTF">2022-03-29T18:08:00Z</dcterms:created>
  <dcterms:modified xsi:type="dcterms:W3CDTF">2022-10-13T15:51:00Z</dcterms:modified>
</cp:coreProperties>
</file>