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0829EC" w14:textId="77777777" w:rsidR="007C7A1C" w:rsidRPr="00512412" w:rsidRDefault="007C7A1C" w:rsidP="007C7A1C">
      <w:pPr>
        <w:numPr>
          <w:ilvl w:val="1"/>
          <w:numId w:val="0"/>
        </w:numPr>
        <w:spacing w:after="160" w:line="360" w:lineRule="auto"/>
        <w:jc w:val="center"/>
        <w:rPr>
          <w:rFonts w:ascii="Arial" w:eastAsia="Times New Roman" w:hAnsi="Arial" w:cs="Arial"/>
          <w:b/>
          <w:bCs/>
          <w:color w:val="000000"/>
          <w:spacing w:val="15"/>
          <w:sz w:val="24"/>
          <w:szCs w:val="24"/>
          <w:lang w:eastAsia="en-US"/>
        </w:rPr>
      </w:pPr>
      <w:r w:rsidRPr="00512412">
        <w:rPr>
          <w:rFonts w:ascii="Arial" w:eastAsia="Times New Roman" w:hAnsi="Arial" w:cs="Arial"/>
          <w:b/>
          <w:bCs/>
          <w:color w:val="000000"/>
          <w:spacing w:val="15"/>
          <w:sz w:val="24"/>
          <w:szCs w:val="24"/>
          <w:lang w:eastAsia="en-US"/>
        </w:rPr>
        <w:t>PRIMERA SALA UNITARIA DE PRIMERA INSTANCIA DEL TRIBUNAL DE JUSTICIA ADMINISTRATIVA DEL ESTADO DE OAXACA.</w:t>
      </w:r>
    </w:p>
    <w:p w14:paraId="0F3D2D5C" w14:textId="77777777" w:rsidR="007C7A1C" w:rsidRPr="00512412" w:rsidRDefault="007C7A1C" w:rsidP="007C7A1C">
      <w:pPr>
        <w:tabs>
          <w:tab w:val="left" w:pos="6480"/>
        </w:tabs>
        <w:spacing w:after="160" w:line="360" w:lineRule="auto"/>
        <w:jc w:val="right"/>
        <w:rPr>
          <w:rFonts w:ascii="Calibri" w:eastAsia="Calibri" w:hAnsi="Calibri" w:cs="Times New Roman"/>
          <w:sz w:val="24"/>
          <w:szCs w:val="24"/>
          <w:lang w:eastAsia="en-US"/>
        </w:rPr>
      </w:pPr>
    </w:p>
    <w:p w14:paraId="3901E82E" w14:textId="67AD79A7" w:rsidR="007C7A1C" w:rsidRPr="00512412" w:rsidRDefault="007C7A1C" w:rsidP="007C7A1C">
      <w:pPr>
        <w:spacing w:after="160" w:line="360" w:lineRule="auto"/>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Oaxaca de Juárez, Oaxaca, </w:t>
      </w:r>
      <w:r w:rsidR="00AC24D4">
        <w:rPr>
          <w:rFonts w:ascii="Arial" w:eastAsia="Calibri" w:hAnsi="Arial" w:cs="Arial"/>
          <w:b/>
          <w:bCs/>
          <w:sz w:val="24"/>
          <w:szCs w:val="24"/>
          <w:lang w:eastAsia="en-US"/>
        </w:rPr>
        <w:t>17 de noviembre de 2022</w:t>
      </w:r>
      <w:r w:rsidRPr="00512412">
        <w:rPr>
          <w:rFonts w:ascii="Arial" w:eastAsia="Calibri" w:hAnsi="Arial" w:cs="Arial"/>
          <w:b/>
          <w:bCs/>
          <w:sz w:val="24"/>
          <w:szCs w:val="24"/>
          <w:lang w:eastAsia="en-US"/>
        </w:rPr>
        <w:t>.</w:t>
      </w:r>
    </w:p>
    <w:p w14:paraId="19350AAC" w14:textId="77777777" w:rsidR="007C7A1C" w:rsidRPr="00512412" w:rsidRDefault="007C7A1C" w:rsidP="007C7A1C">
      <w:pPr>
        <w:tabs>
          <w:tab w:val="left" w:pos="6480"/>
        </w:tabs>
        <w:spacing w:after="160" w:line="360" w:lineRule="auto"/>
        <w:rPr>
          <w:rFonts w:ascii="Calibri" w:eastAsia="Calibri" w:hAnsi="Calibri" w:cs="Times New Roman"/>
          <w:sz w:val="24"/>
          <w:szCs w:val="24"/>
          <w:lang w:eastAsia="en-US"/>
        </w:rPr>
      </w:pPr>
    </w:p>
    <w:p w14:paraId="22E739C9" w14:textId="77777777" w:rsidR="007C7A1C" w:rsidRPr="00512412" w:rsidRDefault="007C7A1C" w:rsidP="007C7A1C">
      <w:pPr>
        <w:tabs>
          <w:tab w:val="left" w:pos="6480"/>
        </w:tabs>
        <w:spacing w:after="160" w:line="360" w:lineRule="auto"/>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A S U N T O</w:t>
      </w:r>
    </w:p>
    <w:p w14:paraId="1BA08A92" w14:textId="66FCFDDC" w:rsidR="007C7A1C" w:rsidRDefault="007C7A1C" w:rsidP="007C7A1C">
      <w:pPr>
        <w:tabs>
          <w:tab w:val="left" w:pos="284"/>
          <w:tab w:val="left" w:pos="426"/>
          <w:tab w:val="right" w:pos="9072"/>
        </w:tabs>
        <w:spacing w:after="0" w:line="360" w:lineRule="auto"/>
        <w:ind w:right="-234" w:firstLine="567"/>
        <w:jc w:val="both"/>
        <w:rPr>
          <w:rFonts w:ascii="Arial" w:hAnsi="Arial" w:cs="Arial"/>
          <w:b/>
          <w:sz w:val="24"/>
          <w:szCs w:val="24"/>
        </w:rPr>
      </w:pPr>
      <w:r w:rsidRPr="00512412">
        <w:rPr>
          <w:rFonts w:ascii="Arial" w:hAnsi="Arial" w:cs="Arial"/>
          <w:sz w:val="24"/>
          <w:szCs w:val="24"/>
        </w:rPr>
        <w:t xml:space="preserve">Se emite sentencia en el juicio de nulidad de número </w:t>
      </w:r>
      <w:r w:rsidR="00AC24D4">
        <w:rPr>
          <w:rFonts w:ascii="Arial" w:hAnsi="Arial" w:cs="Arial"/>
          <w:b/>
          <w:sz w:val="24"/>
          <w:szCs w:val="24"/>
        </w:rPr>
        <w:t>0022</w:t>
      </w:r>
      <w:r w:rsidRPr="00512412">
        <w:rPr>
          <w:rFonts w:ascii="Arial" w:hAnsi="Arial" w:cs="Arial"/>
          <w:b/>
          <w:sz w:val="24"/>
          <w:szCs w:val="24"/>
        </w:rPr>
        <w:t>/20</w:t>
      </w:r>
      <w:r w:rsidR="007751BD">
        <w:rPr>
          <w:rFonts w:ascii="Arial" w:hAnsi="Arial" w:cs="Arial"/>
          <w:b/>
          <w:sz w:val="24"/>
          <w:szCs w:val="24"/>
        </w:rPr>
        <w:t>2</w:t>
      </w:r>
      <w:r w:rsidR="00AC24D4">
        <w:rPr>
          <w:rFonts w:ascii="Arial" w:hAnsi="Arial" w:cs="Arial"/>
          <w:b/>
          <w:sz w:val="24"/>
          <w:szCs w:val="24"/>
        </w:rPr>
        <w:t>2</w:t>
      </w:r>
      <w:r w:rsidRPr="00512412">
        <w:rPr>
          <w:rFonts w:ascii="Arial" w:hAnsi="Arial" w:cs="Arial"/>
          <w:sz w:val="24"/>
          <w:szCs w:val="24"/>
        </w:rPr>
        <w:t>, promovido por</w:t>
      </w:r>
      <w:r w:rsidRPr="00512412">
        <w:rPr>
          <w:rFonts w:ascii="Arial" w:hAnsi="Arial" w:cs="Arial"/>
          <w:b/>
          <w:sz w:val="24"/>
          <w:szCs w:val="24"/>
        </w:rPr>
        <w:t xml:space="preserve"> </w:t>
      </w:r>
      <w:r w:rsidR="00676150">
        <w:rPr>
          <w:rFonts w:ascii="Arial" w:hAnsi="Arial" w:cs="Arial"/>
          <w:b/>
          <w:sz w:val="24"/>
          <w:szCs w:val="24"/>
        </w:rPr>
        <w:t>**********</w:t>
      </w:r>
      <w:r w:rsidR="007751BD">
        <w:rPr>
          <w:rFonts w:ascii="Arial" w:hAnsi="Arial" w:cs="Arial"/>
          <w:b/>
          <w:sz w:val="24"/>
          <w:szCs w:val="24"/>
        </w:rPr>
        <w:t xml:space="preserve"> </w:t>
      </w:r>
      <w:r w:rsidRPr="00512412">
        <w:rPr>
          <w:rFonts w:ascii="Arial" w:hAnsi="Arial" w:cs="Arial"/>
          <w:sz w:val="24"/>
          <w:szCs w:val="24"/>
        </w:rPr>
        <w:t>en contra de</w:t>
      </w:r>
      <w:r w:rsidR="007751BD">
        <w:rPr>
          <w:rFonts w:ascii="Arial" w:hAnsi="Arial" w:cs="Arial"/>
          <w:sz w:val="24"/>
          <w:szCs w:val="24"/>
        </w:rPr>
        <w:t xml:space="preserve"> </w:t>
      </w:r>
      <w:r w:rsidRPr="00512412">
        <w:rPr>
          <w:rFonts w:ascii="Arial" w:hAnsi="Arial" w:cs="Arial"/>
          <w:sz w:val="24"/>
          <w:szCs w:val="24"/>
        </w:rPr>
        <w:t>l</w:t>
      </w:r>
      <w:r w:rsidR="007751BD">
        <w:rPr>
          <w:rFonts w:ascii="Arial" w:hAnsi="Arial" w:cs="Arial"/>
          <w:sz w:val="24"/>
          <w:szCs w:val="24"/>
        </w:rPr>
        <w:t>a</w:t>
      </w:r>
      <w:r w:rsidRPr="00512412">
        <w:rPr>
          <w:rFonts w:ascii="Arial" w:hAnsi="Arial" w:cs="Arial"/>
          <w:sz w:val="24"/>
          <w:szCs w:val="24"/>
        </w:rPr>
        <w:t xml:space="preserve"> </w:t>
      </w:r>
      <w:r w:rsidR="007751BD">
        <w:rPr>
          <w:rFonts w:ascii="Arial" w:hAnsi="Arial" w:cs="Arial"/>
          <w:b/>
          <w:bCs/>
          <w:sz w:val="24"/>
          <w:szCs w:val="24"/>
        </w:rPr>
        <w:t xml:space="preserve">COORDINADORA TÉCNICA DE INGRESOS DE LA SECRETARÍA DE FINANZAS DEL PODER EJECUTIVO DEL ESTADO. </w:t>
      </w:r>
      <w:r w:rsidRPr="00512412">
        <w:rPr>
          <w:rFonts w:ascii="Arial" w:hAnsi="Arial" w:cs="Arial"/>
          <w:b/>
          <w:sz w:val="24"/>
          <w:szCs w:val="24"/>
        </w:rPr>
        <w:t xml:space="preserve"> </w:t>
      </w:r>
    </w:p>
    <w:p w14:paraId="475056CC" w14:textId="77777777" w:rsidR="003A730F" w:rsidRDefault="003A730F" w:rsidP="007C7A1C">
      <w:pPr>
        <w:tabs>
          <w:tab w:val="left" w:pos="284"/>
          <w:tab w:val="left" w:pos="426"/>
          <w:tab w:val="right" w:pos="9072"/>
        </w:tabs>
        <w:spacing w:after="0" w:line="360" w:lineRule="auto"/>
        <w:ind w:right="-234" w:firstLine="567"/>
        <w:jc w:val="both"/>
        <w:rPr>
          <w:rFonts w:ascii="Arial" w:hAnsi="Arial" w:cs="Arial"/>
          <w:b/>
          <w:sz w:val="24"/>
          <w:szCs w:val="24"/>
        </w:rPr>
      </w:pPr>
    </w:p>
    <w:p w14:paraId="752A6775" w14:textId="77777777" w:rsidR="003A730F" w:rsidRPr="00512412" w:rsidRDefault="003A730F" w:rsidP="003A730F">
      <w:pPr>
        <w:spacing w:after="160" w:line="360" w:lineRule="auto"/>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R E S U L T A N D O </w:t>
      </w:r>
    </w:p>
    <w:p w14:paraId="76CFF56D" w14:textId="496D11CC" w:rsidR="003A730F" w:rsidRPr="00512412" w:rsidRDefault="003A730F" w:rsidP="003A730F">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1°.</w:t>
      </w:r>
      <w:r w:rsidRPr="00512412">
        <w:rPr>
          <w:rFonts w:ascii="Arial" w:eastAsia="Calibri" w:hAnsi="Arial" w:cs="Arial"/>
          <w:sz w:val="24"/>
          <w:szCs w:val="24"/>
          <w:lang w:eastAsia="en-US"/>
        </w:rPr>
        <w:t xml:space="preserve"> Mediante escrito presentado </w:t>
      </w:r>
      <w:r>
        <w:rPr>
          <w:rFonts w:ascii="Arial" w:eastAsia="Calibri" w:hAnsi="Arial" w:cs="Arial"/>
          <w:sz w:val="24"/>
          <w:szCs w:val="24"/>
          <w:lang w:eastAsia="en-US"/>
        </w:rPr>
        <w:t xml:space="preserve">el día </w:t>
      </w:r>
      <w:r w:rsidR="00AC24D4">
        <w:rPr>
          <w:rFonts w:ascii="Arial" w:eastAsia="Calibri" w:hAnsi="Arial" w:cs="Arial"/>
          <w:sz w:val="24"/>
          <w:szCs w:val="24"/>
          <w:lang w:eastAsia="en-US"/>
        </w:rPr>
        <w:t>veinticuatro de marzo de dos mil veintidós</w:t>
      </w:r>
      <w:r w:rsidR="00513C70">
        <w:rPr>
          <w:rFonts w:ascii="Arial" w:eastAsia="Calibri" w:hAnsi="Arial" w:cs="Arial"/>
          <w:sz w:val="24"/>
          <w:szCs w:val="24"/>
          <w:lang w:eastAsia="en-US"/>
        </w:rPr>
        <w:t xml:space="preserve">, </w:t>
      </w:r>
      <w:r w:rsidR="00676150">
        <w:rPr>
          <w:rFonts w:ascii="Arial" w:hAnsi="Arial" w:cs="Arial"/>
          <w:bCs/>
          <w:sz w:val="24"/>
          <w:szCs w:val="24"/>
        </w:rPr>
        <w:t>**********</w:t>
      </w:r>
      <w:r w:rsidR="00AC24D4">
        <w:rPr>
          <w:rFonts w:ascii="Arial" w:hAnsi="Arial" w:cs="Arial"/>
          <w:bCs/>
          <w:sz w:val="24"/>
          <w:szCs w:val="24"/>
        </w:rPr>
        <w:t xml:space="preserve"> </w:t>
      </w:r>
      <w:r>
        <w:rPr>
          <w:rFonts w:ascii="Arial" w:eastAsia="Calibri" w:hAnsi="Arial" w:cs="Arial"/>
          <w:sz w:val="24"/>
          <w:szCs w:val="24"/>
          <w:lang w:eastAsia="en-US"/>
        </w:rPr>
        <w:t xml:space="preserve">demandó </w:t>
      </w:r>
      <w:r w:rsidRPr="006E6EB1">
        <w:rPr>
          <w:rFonts w:ascii="Arial" w:eastAsia="Calibri" w:hAnsi="Arial" w:cs="Arial"/>
          <w:sz w:val="24"/>
          <w:szCs w:val="24"/>
          <w:lang w:eastAsia="en-US"/>
        </w:rPr>
        <w:t>la nulidad d</w:t>
      </w:r>
      <w:r w:rsidR="007751BD">
        <w:rPr>
          <w:rFonts w:ascii="Arial" w:eastAsia="Calibri" w:hAnsi="Arial" w:cs="Arial"/>
          <w:sz w:val="24"/>
          <w:szCs w:val="24"/>
          <w:lang w:eastAsia="en-US"/>
        </w:rPr>
        <w:t xml:space="preserve">el Requerimiento de Obligaciones omitidas en materia de </w:t>
      </w:r>
      <w:r w:rsidR="00AC24D4">
        <w:rPr>
          <w:rFonts w:ascii="Arial" w:eastAsia="Calibri" w:hAnsi="Arial" w:cs="Arial"/>
          <w:sz w:val="24"/>
          <w:szCs w:val="24"/>
          <w:lang w:eastAsia="en-US"/>
        </w:rPr>
        <w:t xml:space="preserve">Impuesto Sobre Tenencia o Uso de Vehículos con número de control </w:t>
      </w:r>
      <w:r w:rsidR="00676150">
        <w:rPr>
          <w:rFonts w:ascii="Arial" w:eastAsia="Calibri" w:hAnsi="Arial" w:cs="Arial"/>
          <w:sz w:val="24"/>
          <w:szCs w:val="24"/>
          <w:lang w:eastAsia="en-US"/>
        </w:rPr>
        <w:t>**********</w:t>
      </w:r>
      <w:r w:rsidR="007751BD">
        <w:rPr>
          <w:rFonts w:ascii="Arial" w:eastAsia="Calibri" w:hAnsi="Arial" w:cs="Arial"/>
          <w:sz w:val="24"/>
          <w:szCs w:val="24"/>
          <w:lang w:eastAsia="en-US"/>
        </w:rPr>
        <w:t xml:space="preserve"> de fecha quince de </w:t>
      </w:r>
      <w:r w:rsidR="006E632E">
        <w:rPr>
          <w:rFonts w:ascii="Arial" w:eastAsia="Calibri" w:hAnsi="Arial" w:cs="Arial"/>
          <w:sz w:val="24"/>
          <w:szCs w:val="24"/>
          <w:lang w:eastAsia="en-US"/>
        </w:rPr>
        <w:t>octubre</w:t>
      </w:r>
      <w:r w:rsidR="007751BD">
        <w:rPr>
          <w:rFonts w:ascii="Arial" w:eastAsia="Calibri" w:hAnsi="Arial" w:cs="Arial"/>
          <w:sz w:val="24"/>
          <w:szCs w:val="24"/>
          <w:lang w:eastAsia="en-US"/>
        </w:rPr>
        <w:t xml:space="preserve"> de dos mil veintiuno</w:t>
      </w:r>
      <w:r w:rsidRPr="00512412">
        <w:rPr>
          <w:rFonts w:ascii="Arial" w:eastAsia="Calibri" w:hAnsi="Arial" w:cs="Arial"/>
          <w:sz w:val="24"/>
          <w:szCs w:val="24"/>
          <w:lang w:eastAsia="en-US"/>
        </w:rPr>
        <w:t>, demanda que por razón de turno tocó conocer a esta Primera Sala Unitaria de Primera Instancia del Tribunal de Justicia Administrativa del Estado.</w:t>
      </w:r>
    </w:p>
    <w:p w14:paraId="2307559A" w14:textId="64CF54FA" w:rsidR="003A730F" w:rsidRDefault="003A730F" w:rsidP="003A730F">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2°.</w:t>
      </w:r>
      <w:r w:rsidRPr="00512412">
        <w:rPr>
          <w:rFonts w:ascii="Arial" w:eastAsia="Calibri" w:hAnsi="Arial" w:cs="Arial"/>
          <w:sz w:val="24"/>
          <w:szCs w:val="24"/>
          <w:lang w:eastAsia="en-US"/>
        </w:rPr>
        <w:t xml:space="preserve"> Por acuerdo del</w:t>
      </w:r>
      <w:r>
        <w:rPr>
          <w:rFonts w:ascii="Arial" w:eastAsia="Calibri" w:hAnsi="Arial" w:cs="Arial"/>
          <w:sz w:val="24"/>
          <w:szCs w:val="24"/>
          <w:lang w:eastAsia="en-US"/>
        </w:rPr>
        <w:t xml:space="preserve"> </w:t>
      </w:r>
      <w:r w:rsidR="006E632E">
        <w:rPr>
          <w:rFonts w:ascii="Arial" w:eastAsia="Calibri" w:hAnsi="Arial" w:cs="Arial"/>
          <w:sz w:val="24"/>
          <w:szCs w:val="24"/>
          <w:lang w:eastAsia="en-US"/>
        </w:rPr>
        <w:t>veintiocho de marzo de dos mil veintidós</w:t>
      </w:r>
      <w:r w:rsidRPr="00512412">
        <w:rPr>
          <w:rFonts w:ascii="Arial" w:eastAsia="Calibri" w:hAnsi="Arial" w:cs="Arial"/>
          <w:sz w:val="24"/>
          <w:szCs w:val="24"/>
          <w:lang w:eastAsia="en-US"/>
        </w:rPr>
        <w:t>, se admitió a trámite  la demanda en comentó, ordenándose  correr traslado a la autorida</w:t>
      </w:r>
      <w:r w:rsidR="00513C70">
        <w:rPr>
          <w:rFonts w:ascii="Arial" w:eastAsia="Calibri" w:hAnsi="Arial" w:cs="Arial"/>
          <w:sz w:val="24"/>
          <w:szCs w:val="24"/>
          <w:lang w:eastAsia="en-US"/>
        </w:rPr>
        <w:t>d</w:t>
      </w:r>
      <w:r w:rsidRPr="00512412">
        <w:rPr>
          <w:rFonts w:ascii="Arial" w:eastAsia="Calibri" w:hAnsi="Arial" w:cs="Arial"/>
          <w:sz w:val="24"/>
          <w:szCs w:val="24"/>
          <w:lang w:eastAsia="en-US"/>
        </w:rPr>
        <w:t xml:space="preserve"> enjuiciada para que diera contestación  a la misma dentro del término de nueve días hábiles siguientes a aquel en que surtiera efectos la notificación correspondiente, con el apercibimiento de que en caso de no hacerlo este Tribunal l</w:t>
      </w:r>
      <w:r w:rsidR="00513C70">
        <w:rPr>
          <w:rFonts w:ascii="Arial" w:eastAsia="Calibri" w:hAnsi="Arial" w:cs="Arial"/>
          <w:sz w:val="24"/>
          <w:szCs w:val="24"/>
          <w:lang w:eastAsia="en-US"/>
        </w:rPr>
        <w:t>a</w:t>
      </w:r>
      <w:r w:rsidRPr="00512412">
        <w:rPr>
          <w:rFonts w:ascii="Arial" w:eastAsia="Calibri" w:hAnsi="Arial" w:cs="Arial"/>
          <w:sz w:val="24"/>
          <w:szCs w:val="24"/>
          <w:lang w:eastAsia="en-US"/>
        </w:rPr>
        <w:t xml:space="preserve"> tendría por contestando en sentido afirmativo  y también que en  caso de no referirse a todos los hechos planteados en la demanda se le tendrían por ciertos, salvo prueba en contrario; en otro aspecto y de las pruebas ofrecidas se  tuvieron por admitidas las señaladas en el acuerdo mencionado.</w:t>
      </w:r>
    </w:p>
    <w:p w14:paraId="6B6BCA49" w14:textId="38163AA3" w:rsidR="003A730F" w:rsidRDefault="003A730F" w:rsidP="003A730F">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3°.</w:t>
      </w:r>
      <w:r w:rsidRPr="00512412">
        <w:rPr>
          <w:rFonts w:ascii="Arial" w:eastAsia="Calibri" w:hAnsi="Arial" w:cs="Arial"/>
          <w:sz w:val="24"/>
          <w:szCs w:val="24"/>
          <w:lang w:eastAsia="en-US"/>
        </w:rPr>
        <w:t xml:space="preserve"> Por acuerdo de </w:t>
      </w:r>
      <w:r w:rsidR="006B1484">
        <w:rPr>
          <w:rFonts w:ascii="Arial" w:eastAsia="Calibri" w:hAnsi="Arial" w:cs="Arial"/>
          <w:sz w:val="24"/>
          <w:szCs w:val="24"/>
          <w:lang w:eastAsia="en-US"/>
        </w:rPr>
        <w:t>diecisiete de junio de dos mil veintidós</w:t>
      </w:r>
      <w:r w:rsidRPr="00512412">
        <w:rPr>
          <w:rFonts w:ascii="Arial" w:eastAsia="Calibri" w:hAnsi="Arial" w:cs="Arial"/>
          <w:sz w:val="24"/>
          <w:szCs w:val="24"/>
          <w:lang w:eastAsia="en-US"/>
        </w:rPr>
        <w:t xml:space="preserve"> se tuvo </w:t>
      </w:r>
      <w:r w:rsidRPr="00171708">
        <w:rPr>
          <w:rFonts w:ascii="Arial" w:eastAsia="Calibri" w:hAnsi="Arial" w:cs="Arial"/>
          <w:sz w:val="24"/>
          <w:szCs w:val="24"/>
          <w:lang w:eastAsia="en-US"/>
        </w:rPr>
        <w:t>a</w:t>
      </w:r>
      <w:r w:rsidR="00513C70">
        <w:rPr>
          <w:rFonts w:ascii="Arial" w:eastAsia="Calibri" w:hAnsi="Arial" w:cs="Arial"/>
          <w:sz w:val="24"/>
          <w:szCs w:val="24"/>
          <w:lang w:eastAsia="en-US"/>
        </w:rPr>
        <w:t xml:space="preserve">l </w:t>
      </w:r>
      <w:r w:rsidR="00FB303C">
        <w:rPr>
          <w:rFonts w:ascii="Arial" w:eastAsia="Calibri" w:hAnsi="Arial" w:cs="Arial"/>
          <w:sz w:val="24"/>
          <w:szCs w:val="24"/>
          <w:lang w:eastAsia="en-US"/>
        </w:rPr>
        <w:t>Director de lo Contencioso de la Procuraduría Fiscal dependiente de la Subsecretaría de Ingresos de la Secretaría de Finanzas del Poder Ejecutivo del Estado</w:t>
      </w:r>
      <w:r w:rsidRPr="00171708">
        <w:rPr>
          <w:rFonts w:ascii="Arial" w:eastAsia="Calibri" w:hAnsi="Arial" w:cs="Arial"/>
          <w:sz w:val="24"/>
          <w:szCs w:val="24"/>
          <w:lang w:eastAsia="en-US"/>
        </w:rPr>
        <w:t>, contestando la demanda de nulidad y se tuvieron por admitidas las pruebas ofrecidas por la autoridad demandada.</w:t>
      </w:r>
      <w:r w:rsidR="00FB303C">
        <w:rPr>
          <w:rFonts w:ascii="Arial" w:eastAsia="Calibri" w:hAnsi="Arial" w:cs="Arial"/>
          <w:sz w:val="24"/>
          <w:szCs w:val="24"/>
          <w:lang w:eastAsia="en-US"/>
        </w:rPr>
        <w:t xml:space="preserve"> </w:t>
      </w:r>
    </w:p>
    <w:p w14:paraId="219A7C67" w14:textId="429494E7" w:rsidR="003A730F" w:rsidRDefault="003A730F" w:rsidP="003A730F">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4°.</w:t>
      </w:r>
      <w:r w:rsidRPr="00512412">
        <w:rPr>
          <w:rFonts w:ascii="Arial" w:eastAsia="Calibri" w:hAnsi="Arial" w:cs="Arial"/>
          <w:sz w:val="24"/>
          <w:szCs w:val="24"/>
          <w:lang w:eastAsia="en-US"/>
        </w:rPr>
        <w:t xml:space="preserve"> </w:t>
      </w:r>
      <w:r w:rsidR="006B1484">
        <w:rPr>
          <w:rFonts w:ascii="Arial" w:eastAsia="Calibri" w:hAnsi="Arial" w:cs="Arial"/>
          <w:sz w:val="24"/>
          <w:szCs w:val="24"/>
          <w:lang w:eastAsia="en-US"/>
        </w:rPr>
        <w:t xml:space="preserve">Por acuerdo de fecha once de octubre de dos mil veintidós se fijaron las once horas del veintiséis de octubre de dos mil veintidós mismo que se </w:t>
      </w:r>
      <w:r w:rsidR="006B1484">
        <w:rPr>
          <w:rFonts w:ascii="Arial" w:eastAsia="Calibri" w:hAnsi="Arial" w:cs="Arial"/>
          <w:sz w:val="24"/>
          <w:szCs w:val="24"/>
          <w:lang w:eastAsia="en-US"/>
        </w:rPr>
        <w:lastRenderedPageBreak/>
        <w:t>celebró e</w:t>
      </w:r>
      <w:r w:rsidR="003C1EC7">
        <w:rPr>
          <w:rFonts w:ascii="Arial" w:eastAsia="Calibri" w:hAnsi="Arial" w:cs="Arial"/>
          <w:sz w:val="24"/>
          <w:szCs w:val="24"/>
          <w:lang w:eastAsia="en-US"/>
        </w:rPr>
        <w:t>l día señalado se celebró</w:t>
      </w:r>
      <w:r>
        <w:rPr>
          <w:rFonts w:ascii="Arial" w:eastAsia="Calibri" w:hAnsi="Arial" w:cs="Arial"/>
          <w:sz w:val="24"/>
          <w:szCs w:val="24"/>
          <w:lang w:eastAsia="en-US"/>
        </w:rPr>
        <w:t xml:space="preserve"> la Audiencia Final, </w:t>
      </w:r>
      <w:r w:rsidR="0085386F">
        <w:rPr>
          <w:rFonts w:ascii="Arial" w:eastAsia="Calibri" w:hAnsi="Arial" w:cs="Arial"/>
          <w:sz w:val="24"/>
          <w:szCs w:val="24"/>
          <w:lang w:eastAsia="en-US"/>
        </w:rPr>
        <w:t xml:space="preserve">donde </w:t>
      </w:r>
      <w:r>
        <w:rPr>
          <w:rFonts w:ascii="Arial" w:eastAsia="Calibri" w:hAnsi="Arial" w:cs="Arial"/>
          <w:sz w:val="24"/>
          <w:szCs w:val="24"/>
          <w:lang w:eastAsia="en-US"/>
        </w:rPr>
        <w:t>se hizo constar</w:t>
      </w:r>
      <w:r w:rsidR="0085386F">
        <w:rPr>
          <w:rFonts w:ascii="Arial" w:eastAsia="Calibri" w:hAnsi="Arial" w:cs="Arial"/>
          <w:sz w:val="24"/>
          <w:szCs w:val="24"/>
          <w:lang w:eastAsia="en-US"/>
        </w:rPr>
        <w:t xml:space="preserve"> que no se encontraron presentes las partes ni persona alguna que legalmente las representara</w:t>
      </w:r>
      <w:r w:rsidRPr="00512412">
        <w:rPr>
          <w:rFonts w:ascii="Arial" w:eastAsia="Calibri" w:hAnsi="Arial" w:cs="Arial"/>
          <w:sz w:val="24"/>
          <w:szCs w:val="24"/>
          <w:lang w:eastAsia="en-US"/>
        </w:rPr>
        <w:t xml:space="preserve">; en el periodo de pruebas se tuvieron por desahogadas por su propia y especial naturaleza las pruebas ofrecidas por las partes; en el periodo de alegatos se hizo constar </w:t>
      </w:r>
      <w:r w:rsidR="0085386F">
        <w:rPr>
          <w:rFonts w:ascii="Arial" w:eastAsia="Calibri" w:hAnsi="Arial" w:cs="Arial"/>
          <w:sz w:val="24"/>
          <w:szCs w:val="24"/>
          <w:lang w:eastAsia="en-US"/>
        </w:rPr>
        <w:t>que las partes no presentaron escritos de alegatos</w:t>
      </w:r>
      <w:r>
        <w:rPr>
          <w:rFonts w:ascii="Arial" w:eastAsia="Calibri" w:hAnsi="Arial" w:cs="Arial"/>
          <w:sz w:val="24"/>
          <w:szCs w:val="24"/>
          <w:lang w:eastAsia="en-US"/>
        </w:rPr>
        <w:t xml:space="preserve"> por lo que se les tuvo por perdido su derecho </w:t>
      </w:r>
      <w:r w:rsidRPr="00512412">
        <w:rPr>
          <w:rFonts w:ascii="Arial" w:eastAsia="Calibri" w:hAnsi="Arial" w:cs="Arial"/>
          <w:sz w:val="24"/>
          <w:szCs w:val="24"/>
          <w:lang w:eastAsia="en-US"/>
        </w:rPr>
        <w:t>y se cerró dicho periodo quedando el asunto integrado y en estado de resolución, finalmente se emite sentencia en los siguientes términos:</w:t>
      </w:r>
    </w:p>
    <w:p w14:paraId="3D48B7CA" w14:textId="77777777" w:rsidR="0085386F" w:rsidRPr="00512412" w:rsidRDefault="0085386F" w:rsidP="0085386F">
      <w:pPr>
        <w:spacing w:after="160" w:line="360" w:lineRule="auto"/>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C O N S I D E R A N D O </w:t>
      </w:r>
    </w:p>
    <w:p w14:paraId="29BF9846" w14:textId="77777777" w:rsidR="0085386F" w:rsidRPr="00512412" w:rsidRDefault="0085386F" w:rsidP="0085386F">
      <w:pPr>
        <w:spacing w:after="160" w:line="360" w:lineRule="auto"/>
        <w:jc w:val="center"/>
        <w:rPr>
          <w:rFonts w:ascii="Arial" w:eastAsia="Calibri" w:hAnsi="Arial" w:cs="Arial"/>
          <w:sz w:val="24"/>
          <w:szCs w:val="24"/>
          <w:lang w:eastAsia="en-US"/>
        </w:rPr>
      </w:pPr>
    </w:p>
    <w:p w14:paraId="364191BE" w14:textId="77777777" w:rsidR="0085386F" w:rsidRPr="00512412" w:rsidRDefault="0085386F" w:rsidP="0085386F">
      <w:pPr>
        <w:spacing w:after="160" w:line="360" w:lineRule="auto"/>
        <w:ind w:firstLine="709"/>
        <w:jc w:val="both"/>
        <w:rPr>
          <w:rFonts w:ascii="Arial" w:eastAsia="Calibri" w:hAnsi="Arial" w:cs="Arial"/>
          <w:sz w:val="24"/>
          <w:szCs w:val="24"/>
          <w:lang w:eastAsia="en-US"/>
        </w:rPr>
      </w:pPr>
      <w:r w:rsidRPr="00512412">
        <w:rPr>
          <w:rFonts w:ascii="Arial" w:eastAsia="Calibri" w:hAnsi="Arial" w:cs="Arial"/>
          <w:b/>
          <w:bCs/>
          <w:sz w:val="24"/>
          <w:szCs w:val="24"/>
          <w:lang w:eastAsia="en-US"/>
        </w:rPr>
        <w:t>PRIMERO.</w:t>
      </w:r>
      <w:r w:rsidRPr="00512412">
        <w:rPr>
          <w:rFonts w:ascii="Arial" w:eastAsia="Calibri" w:hAnsi="Arial" w:cs="Arial"/>
          <w:sz w:val="24"/>
          <w:szCs w:val="24"/>
          <w:lang w:eastAsia="en-US"/>
        </w:rPr>
        <w:t xml:space="preserve">  Esta Primera Sala Unitaria de Primera Instancia del Tribunal de Justicia Administrativa del Estado de Oaxaca, es </w:t>
      </w:r>
      <w:r w:rsidRPr="00512412">
        <w:rPr>
          <w:rFonts w:ascii="Arial" w:eastAsia="Calibri" w:hAnsi="Arial" w:cs="Arial"/>
          <w:b/>
          <w:bCs/>
          <w:sz w:val="24"/>
          <w:szCs w:val="24"/>
          <w:lang w:eastAsia="en-US"/>
        </w:rPr>
        <w:t>competente</w:t>
      </w:r>
      <w:r w:rsidRPr="00512412">
        <w:rPr>
          <w:rFonts w:ascii="Arial" w:eastAsia="Calibri" w:hAnsi="Arial" w:cs="Arial"/>
          <w:sz w:val="24"/>
          <w:szCs w:val="24"/>
          <w:lang w:eastAsia="en-US"/>
        </w:rPr>
        <w:t xml:space="preserve"> para conocer y resolver del presente juicio de nulidad, de conformidad a lo establecido en el artículo 114 Quáter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II, 133 fracción I, 146 y 147, de la Ley de Procedimiento y Justicia Administrativa para el Estado de Oaxaca por tratarse de un juicio de nulidad promovido en contra de una autoridad administrativa de </w:t>
      </w:r>
      <w:r w:rsidRPr="00512412">
        <w:rPr>
          <w:rFonts w:ascii="Arial" w:eastAsia="Calibri" w:hAnsi="Arial" w:cs="Arial"/>
          <w:b/>
          <w:sz w:val="24"/>
          <w:szCs w:val="24"/>
          <w:lang w:eastAsia="en-US"/>
        </w:rPr>
        <w:t xml:space="preserve">carácter </w:t>
      </w:r>
      <w:r>
        <w:rPr>
          <w:rFonts w:ascii="Arial" w:eastAsia="Calibri" w:hAnsi="Arial" w:cs="Arial"/>
          <w:b/>
          <w:sz w:val="24"/>
          <w:szCs w:val="24"/>
          <w:lang w:eastAsia="en-US"/>
        </w:rPr>
        <w:t>estatal</w:t>
      </w:r>
      <w:r w:rsidRPr="00512412">
        <w:rPr>
          <w:rFonts w:ascii="Arial" w:eastAsia="Calibri" w:hAnsi="Arial" w:cs="Arial"/>
          <w:sz w:val="24"/>
          <w:szCs w:val="24"/>
          <w:lang w:eastAsia="en-US"/>
        </w:rPr>
        <w:t xml:space="preserve">. </w:t>
      </w:r>
    </w:p>
    <w:p w14:paraId="0C80F779" w14:textId="77777777" w:rsidR="0085386F" w:rsidRPr="00512412" w:rsidRDefault="0085386F" w:rsidP="0085386F">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SEGUNDO.</w:t>
      </w:r>
      <w:r w:rsidRPr="00512412">
        <w:rPr>
          <w:rFonts w:ascii="Arial" w:eastAsia="Calibri" w:hAnsi="Arial" w:cs="Arial"/>
          <w:sz w:val="24"/>
          <w:szCs w:val="24"/>
          <w:lang w:eastAsia="en-US"/>
        </w:rPr>
        <w:t xml:space="preserve"> </w:t>
      </w:r>
      <w:r w:rsidRPr="00512412">
        <w:rPr>
          <w:rFonts w:ascii="Arial" w:eastAsia="Calibri" w:hAnsi="Arial" w:cs="Arial"/>
          <w:b/>
          <w:bCs/>
          <w:sz w:val="24"/>
          <w:szCs w:val="24"/>
          <w:lang w:eastAsia="en-US"/>
        </w:rPr>
        <w:t xml:space="preserve">Personalidad. </w:t>
      </w:r>
      <w:r w:rsidRPr="00512412">
        <w:rPr>
          <w:rFonts w:ascii="Arial" w:eastAsia="Calibri" w:hAnsi="Arial" w:cs="Arial"/>
          <w:sz w:val="24"/>
          <w:szCs w:val="24"/>
          <w:lang w:eastAsia="en-US"/>
        </w:rPr>
        <w:t xml:space="preserve"> La personalidad de las partes se tuvo acreditada de conformidad con los artículos 150</w:t>
      </w:r>
      <w:r w:rsidRPr="00512412">
        <w:rPr>
          <w:rFonts w:ascii="Arial" w:eastAsia="Calibri" w:hAnsi="Arial" w:cs="Arial"/>
          <w:sz w:val="24"/>
          <w:szCs w:val="24"/>
          <w:vertAlign w:val="superscript"/>
          <w:lang w:eastAsia="en-US"/>
        </w:rPr>
        <w:footnoteReference w:id="1"/>
      </w:r>
      <w:r w:rsidRPr="00512412">
        <w:rPr>
          <w:rFonts w:ascii="Arial" w:eastAsia="Calibri" w:hAnsi="Arial" w:cs="Arial"/>
          <w:sz w:val="24"/>
          <w:szCs w:val="24"/>
          <w:lang w:eastAsia="en-US"/>
        </w:rPr>
        <w:t xml:space="preserve"> y 151</w:t>
      </w:r>
      <w:r w:rsidRPr="00512412">
        <w:rPr>
          <w:rFonts w:ascii="Arial" w:eastAsia="Calibri" w:hAnsi="Arial" w:cs="Arial"/>
          <w:sz w:val="24"/>
          <w:szCs w:val="24"/>
          <w:vertAlign w:val="superscript"/>
          <w:lang w:eastAsia="en-US"/>
        </w:rPr>
        <w:footnoteReference w:id="2"/>
      </w:r>
      <w:r w:rsidRPr="00512412">
        <w:rPr>
          <w:rFonts w:ascii="Arial" w:eastAsia="Calibri" w:hAnsi="Arial" w:cs="Arial"/>
          <w:sz w:val="24"/>
          <w:szCs w:val="24"/>
          <w:lang w:eastAsia="en-US"/>
        </w:rPr>
        <w:t xml:space="preserve"> de la Ley de Procedimiento y Justicia Administrativa.</w:t>
      </w:r>
    </w:p>
    <w:p w14:paraId="1D9EEE29" w14:textId="463C5D22" w:rsidR="00D83CC1" w:rsidRDefault="00D83CC1" w:rsidP="00D83CC1">
      <w:pPr>
        <w:spacing w:after="160" w:line="360" w:lineRule="auto"/>
        <w:ind w:firstLine="567"/>
        <w:jc w:val="both"/>
        <w:rPr>
          <w:rFonts w:ascii="Arial" w:hAnsi="Arial" w:cs="Arial"/>
          <w:sz w:val="24"/>
          <w:szCs w:val="24"/>
        </w:rPr>
      </w:pPr>
      <w:r w:rsidRPr="006D319D">
        <w:rPr>
          <w:rFonts w:ascii="Arial" w:eastAsia="Calibri" w:hAnsi="Arial" w:cs="Arial"/>
          <w:b/>
          <w:bCs/>
          <w:sz w:val="24"/>
          <w:szCs w:val="24"/>
          <w:lang w:eastAsia="en-US"/>
        </w:rPr>
        <w:t>TERCERO.</w:t>
      </w:r>
      <w:r w:rsidRPr="006D319D">
        <w:rPr>
          <w:rFonts w:ascii="Arial" w:eastAsia="Calibri" w:hAnsi="Arial" w:cs="Arial"/>
          <w:sz w:val="24"/>
          <w:szCs w:val="24"/>
          <w:lang w:eastAsia="en-US"/>
        </w:rPr>
        <w:t xml:space="preserve">  </w:t>
      </w:r>
      <w:r w:rsidRPr="006D319D">
        <w:rPr>
          <w:rFonts w:ascii="Arial" w:eastAsia="Calibri" w:hAnsi="Arial" w:cs="Arial"/>
          <w:b/>
          <w:bCs/>
          <w:sz w:val="24"/>
          <w:szCs w:val="24"/>
          <w:lang w:eastAsia="en-US"/>
        </w:rPr>
        <w:t>Acreditación del acto impugnado.</w:t>
      </w:r>
      <w:r w:rsidRPr="006D319D">
        <w:rPr>
          <w:rFonts w:ascii="Arial" w:eastAsia="Calibri" w:hAnsi="Arial" w:cs="Arial"/>
          <w:sz w:val="24"/>
          <w:szCs w:val="24"/>
          <w:lang w:eastAsia="en-US"/>
        </w:rPr>
        <w:t xml:space="preserve"> </w:t>
      </w:r>
      <w:r w:rsidRPr="006D319D">
        <w:rPr>
          <w:rFonts w:ascii="Arial" w:hAnsi="Arial" w:cs="Arial"/>
          <w:sz w:val="24"/>
          <w:szCs w:val="24"/>
        </w:rPr>
        <w:t xml:space="preserve"> El acto impugnado lo es</w:t>
      </w:r>
      <w:r w:rsidR="003C1EC7">
        <w:rPr>
          <w:rFonts w:ascii="Arial" w:hAnsi="Arial" w:cs="Arial"/>
          <w:sz w:val="24"/>
          <w:szCs w:val="24"/>
        </w:rPr>
        <w:t xml:space="preserve"> el </w:t>
      </w:r>
      <w:r w:rsidR="006B1484">
        <w:rPr>
          <w:rFonts w:ascii="Arial" w:eastAsia="Calibri" w:hAnsi="Arial" w:cs="Arial"/>
          <w:sz w:val="24"/>
          <w:szCs w:val="24"/>
          <w:lang w:eastAsia="en-US"/>
        </w:rPr>
        <w:t xml:space="preserve">Requerimiento de Obligaciones omitidas en materia de Impuesto Sobre Tenencia o Uso de Vehículos con número de control </w:t>
      </w:r>
      <w:r w:rsidR="00676150">
        <w:rPr>
          <w:rFonts w:ascii="Arial" w:eastAsia="Calibri" w:hAnsi="Arial" w:cs="Arial"/>
          <w:sz w:val="24"/>
          <w:szCs w:val="24"/>
          <w:lang w:eastAsia="en-US"/>
        </w:rPr>
        <w:t>**********</w:t>
      </w:r>
      <w:r w:rsidR="006B1484">
        <w:rPr>
          <w:rFonts w:ascii="Arial" w:eastAsia="Calibri" w:hAnsi="Arial" w:cs="Arial"/>
          <w:sz w:val="24"/>
          <w:szCs w:val="24"/>
          <w:lang w:eastAsia="en-US"/>
        </w:rPr>
        <w:t xml:space="preserve"> de fecha quince de octubre de dos mil veintiuno</w:t>
      </w:r>
      <w:r w:rsidRPr="00163663">
        <w:rPr>
          <w:rFonts w:ascii="Arial" w:hAnsi="Arial" w:cs="Arial"/>
          <w:sz w:val="24"/>
          <w:szCs w:val="24"/>
        </w:rPr>
        <w:t xml:space="preserve">, que obra </w:t>
      </w:r>
      <w:r>
        <w:rPr>
          <w:rFonts w:ascii="Arial" w:hAnsi="Arial" w:cs="Arial"/>
          <w:sz w:val="24"/>
          <w:szCs w:val="24"/>
        </w:rPr>
        <w:t xml:space="preserve">de </w:t>
      </w:r>
      <w:r w:rsidR="00BA14C6">
        <w:rPr>
          <w:rFonts w:ascii="Arial" w:hAnsi="Arial" w:cs="Arial"/>
          <w:sz w:val="24"/>
          <w:szCs w:val="24"/>
        </w:rPr>
        <w:t xml:space="preserve">foja </w:t>
      </w:r>
      <w:r w:rsidR="006B1484">
        <w:rPr>
          <w:rFonts w:ascii="Arial" w:hAnsi="Arial" w:cs="Arial"/>
          <w:sz w:val="24"/>
          <w:szCs w:val="24"/>
        </w:rPr>
        <w:t>seis</w:t>
      </w:r>
      <w:r w:rsidRPr="00163663">
        <w:rPr>
          <w:rFonts w:ascii="Arial" w:hAnsi="Arial" w:cs="Arial"/>
          <w:sz w:val="24"/>
          <w:szCs w:val="24"/>
        </w:rPr>
        <w:t xml:space="preserve"> del expediente en que</w:t>
      </w:r>
      <w:r w:rsidRPr="006D319D">
        <w:rPr>
          <w:rFonts w:ascii="Arial" w:hAnsi="Arial" w:cs="Arial"/>
          <w:sz w:val="24"/>
          <w:szCs w:val="24"/>
        </w:rPr>
        <w:t xml:space="preserve"> se actúa, aportada por la parte actora, a la cual se le concede valor probatorio pleno de conformidad con el artículo 203 fracción I</w:t>
      </w:r>
      <w:r w:rsidRPr="006D319D">
        <w:rPr>
          <w:rStyle w:val="Refdenotaalpie"/>
          <w:rFonts w:ascii="Arial" w:hAnsi="Arial" w:cs="Arial"/>
          <w:sz w:val="24"/>
          <w:szCs w:val="24"/>
        </w:rPr>
        <w:footnoteReference w:id="3"/>
      </w:r>
      <w:r w:rsidRPr="006D319D">
        <w:rPr>
          <w:rFonts w:ascii="Arial" w:hAnsi="Arial" w:cs="Arial"/>
          <w:sz w:val="24"/>
          <w:szCs w:val="24"/>
        </w:rPr>
        <w:t xml:space="preserve"> de la Ley de </w:t>
      </w:r>
      <w:r>
        <w:rPr>
          <w:rFonts w:ascii="Arial" w:hAnsi="Arial" w:cs="Arial"/>
          <w:sz w:val="24"/>
          <w:szCs w:val="24"/>
        </w:rPr>
        <w:t xml:space="preserve">Procedimiento y </w:t>
      </w:r>
      <w:r w:rsidRPr="006D319D">
        <w:rPr>
          <w:rFonts w:ascii="Arial" w:hAnsi="Arial" w:cs="Arial"/>
          <w:sz w:val="24"/>
          <w:szCs w:val="24"/>
        </w:rPr>
        <w:t xml:space="preserve">Justicia Administrativa para el Estado de Oaxaca, al ser expedida por una </w:t>
      </w:r>
      <w:r w:rsidRPr="006D319D">
        <w:rPr>
          <w:rFonts w:ascii="Arial" w:hAnsi="Arial" w:cs="Arial"/>
          <w:sz w:val="24"/>
          <w:szCs w:val="24"/>
        </w:rPr>
        <w:lastRenderedPageBreak/>
        <w:t xml:space="preserve">autoridad, en la que constan manifestaciones expresas de haberla emitido al contestar la demanda, en el expediente natural y relacionándola con la totalidad de sus </w:t>
      </w:r>
      <w:r>
        <w:rPr>
          <w:rFonts w:ascii="Arial" w:hAnsi="Arial" w:cs="Arial"/>
          <w:sz w:val="24"/>
          <w:szCs w:val="24"/>
        </w:rPr>
        <w:t>expresiones. De manera que dicha</w:t>
      </w:r>
      <w:r w:rsidRPr="006D319D">
        <w:rPr>
          <w:rFonts w:ascii="Arial" w:hAnsi="Arial" w:cs="Arial"/>
          <w:sz w:val="24"/>
          <w:szCs w:val="24"/>
        </w:rPr>
        <w:t xml:space="preserve"> documental pública es el medio de convicción, que se tiene por acreditada la existencia del acto impugnado. </w:t>
      </w:r>
    </w:p>
    <w:p w14:paraId="1ACDCE95" w14:textId="315FB1D2" w:rsidR="006B1484" w:rsidRDefault="00D83CC1" w:rsidP="003A730F">
      <w:pPr>
        <w:spacing w:after="160" w:line="360" w:lineRule="auto"/>
        <w:ind w:firstLine="567"/>
        <w:jc w:val="both"/>
        <w:rPr>
          <w:rFonts w:ascii="Arial" w:hAnsi="Arial" w:cs="Arial"/>
          <w:sz w:val="24"/>
          <w:szCs w:val="24"/>
        </w:rPr>
      </w:pPr>
      <w:r>
        <w:rPr>
          <w:rFonts w:ascii="Arial" w:eastAsia="Calibri" w:hAnsi="Arial" w:cs="Arial"/>
          <w:b/>
          <w:bCs/>
          <w:sz w:val="24"/>
          <w:szCs w:val="24"/>
          <w:lang w:eastAsia="en-US"/>
        </w:rPr>
        <w:t xml:space="preserve">CUARTO. </w:t>
      </w:r>
      <w:r w:rsidR="0085386F" w:rsidRPr="00512412">
        <w:rPr>
          <w:rFonts w:ascii="Arial" w:eastAsia="Calibri" w:hAnsi="Arial" w:cs="Arial"/>
          <w:b/>
          <w:bCs/>
          <w:sz w:val="24"/>
          <w:szCs w:val="24"/>
          <w:lang w:eastAsia="en-US"/>
        </w:rPr>
        <w:t>Fijación de la Litis.</w:t>
      </w:r>
      <w:r w:rsidR="0085386F" w:rsidRPr="00512412">
        <w:rPr>
          <w:rFonts w:ascii="Arial" w:eastAsia="Calibri" w:hAnsi="Arial" w:cs="Arial"/>
          <w:sz w:val="24"/>
          <w:szCs w:val="24"/>
          <w:lang w:eastAsia="en-US"/>
        </w:rPr>
        <w:t xml:space="preserve"> </w:t>
      </w:r>
      <w:r w:rsidR="0085386F" w:rsidRPr="00577F18">
        <w:rPr>
          <w:rFonts w:ascii="Arial" w:hAnsi="Arial" w:cs="Arial"/>
          <w:sz w:val="24"/>
          <w:szCs w:val="24"/>
        </w:rPr>
        <w:t xml:space="preserve">El litigio surge </w:t>
      </w:r>
      <w:r w:rsidR="0085386F">
        <w:rPr>
          <w:rFonts w:ascii="Arial" w:hAnsi="Arial" w:cs="Arial"/>
          <w:sz w:val="24"/>
          <w:szCs w:val="24"/>
        </w:rPr>
        <w:t xml:space="preserve">derivado del planteamiento de ilegalidad que hace la parte actora </w:t>
      </w:r>
      <w:r w:rsidR="003C1EC7">
        <w:rPr>
          <w:rFonts w:ascii="Arial" w:hAnsi="Arial" w:cs="Arial"/>
          <w:sz w:val="24"/>
          <w:szCs w:val="24"/>
        </w:rPr>
        <w:t xml:space="preserve">respecto al </w:t>
      </w:r>
      <w:r w:rsidR="006B1484">
        <w:rPr>
          <w:rFonts w:ascii="Arial" w:eastAsia="Calibri" w:hAnsi="Arial" w:cs="Arial"/>
          <w:sz w:val="24"/>
          <w:szCs w:val="24"/>
          <w:lang w:eastAsia="en-US"/>
        </w:rPr>
        <w:t xml:space="preserve">Requerimiento de Obligaciones omitidas en materia de Impuesto Sobre Tenencia o Uso de Vehículos con número de control </w:t>
      </w:r>
      <w:r w:rsidR="00676150">
        <w:rPr>
          <w:rFonts w:ascii="Arial" w:eastAsia="Calibri" w:hAnsi="Arial" w:cs="Arial"/>
          <w:sz w:val="24"/>
          <w:szCs w:val="24"/>
          <w:lang w:eastAsia="en-US"/>
        </w:rPr>
        <w:t>**********</w:t>
      </w:r>
      <w:r w:rsidR="006B1484">
        <w:rPr>
          <w:rFonts w:ascii="Arial" w:eastAsia="Calibri" w:hAnsi="Arial" w:cs="Arial"/>
          <w:sz w:val="24"/>
          <w:szCs w:val="24"/>
          <w:lang w:eastAsia="en-US"/>
        </w:rPr>
        <w:t xml:space="preserve"> de fecha quince de octubre de dos mil veintiuno</w:t>
      </w:r>
      <w:r w:rsidR="003C1EC7">
        <w:rPr>
          <w:rFonts w:ascii="Arial" w:hAnsi="Arial" w:cs="Arial"/>
          <w:sz w:val="24"/>
          <w:szCs w:val="24"/>
        </w:rPr>
        <w:t xml:space="preserve">, de donde argumenta que no resulta legal </w:t>
      </w:r>
      <w:r w:rsidR="007C49D1">
        <w:rPr>
          <w:rFonts w:ascii="Arial" w:hAnsi="Arial" w:cs="Arial"/>
          <w:sz w:val="24"/>
          <w:szCs w:val="24"/>
        </w:rPr>
        <w:t xml:space="preserve">pues </w:t>
      </w:r>
      <w:r w:rsidR="006B1484">
        <w:rPr>
          <w:rFonts w:ascii="Arial" w:hAnsi="Arial" w:cs="Arial"/>
          <w:sz w:val="24"/>
          <w:szCs w:val="24"/>
        </w:rPr>
        <w:t xml:space="preserve">se encuentra indebidamente fundado al citar artículos que no resultan aplicables como lo es el </w:t>
      </w:r>
      <w:r w:rsidR="003919A3">
        <w:rPr>
          <w:rFonts w:ascii="Arial" w:hAnsi="Arial" w:cs="Arial"/>
          <w:sz w:val="24"/>
          <w:szCs w:val="24"/>
        </w:rPr>
        <w:t xml:space="preserve">Impuesto Sobre Erogaciones por Remuneraciones al Trabajo Personal así como que resulta omisa en señalar las razones por las que le resulta aplicable el pago mencionado. </w:t>
      </w:r>
    </w:p>
    <w:p w14:paraId="753B0B7A" w14:textId="6A19BFEE" w:rsidR="007C49D1" w:rsidRDefault="007C49D1" w:rsidP="003A730F">
      <w:pPr>
        <w:spacing w:after="160" w:line="360" w:lineRule="auto"/>
        <w:ind w:firstLine="567"/>
        <w:jc w:val="both"/>
        <w:rPr>
          <w:rFonts w:ascii="Arial" w:hAnsi="Arial" w:cs="Arial"/>
          <w:sz w:val="24"/>
          <w:szCs w:val="24"/>
        </w:rPr>
      </w:pPr>
      <w:r>
        <w:rPr>
          <w:rFonts w:ascii="Arial" w:hAnsi="Arial" w:cs="Arial"/>
          <w:sz w:val="24"/>
          <w:szCs w:val="24"/>
        </w:rPr>
        <w:t>Por su parte la autoridad demandada manifiesta que el acto impugnado se encuentra revestido de legalidad al haber sido fundado y motivado debidamente máxime que fue emitido por un funcionario competente.</w:t>
      </w:r>
      <w:r w:rsidR="003919A3">
        <w:rPr>
          <w:rFonts w:ascii="Arial" w:hAnsi="Arial" w:cs="Arial"/>
          <w:sz w:val="24"/>
          <w:szCs w:val="24"/>
        </w:rPr>
        <w:t xml:space="preserve"> Así mismo refiere que el presente juicio es improcedente pues el acto impugnado es un mero requerimiento que no resulta impugnable por la vía contenciosa administrativa.</w:t>
      </w:r>
    </w:p>
    <w:p w14:paraId="1D668CDD" w14:textId="78E504AB" w:rsidR="00BA14C6" w:rsidRDefault="00BA14C6" w:rsidP="00BA14C6">
      <w:pPr>
        <w:spacing w:after="160" w:line="360" w:lineRule="auto"/>
        <w:ind w:firstLine="567"/>
        <w:jc w:val="both"/>
        <w:rPr>
          <w:rFonts w:ascii="Arial" w:hAnsi="Arial" w:cs="Arial"/>
          <w:sz w:val="24"/>
          <w:szCs w:val="24"/>
        </w:rPr>
      </w:pPr>
      <w:r>
        <w:rPr>
          <w:rFonts w:ascii="Arial" w:eastAsia="Calibri" w:hAnsi="Arial" w:cs="Arial"/>
          <w:b/>
          <w:bCs/>
          <w:sz w:val="24"/>
          <w:szCs w:val="24"/>
          <w:lang w:eastAsia="en-US"/>
        </w:rPr>
        <w:t>QUINTO</w:t>
      </w:r>
      <w:r w:rsidRPr="00512412">
        <w:rPr>
          <w:rFonts w:ascii="Arial" w:eastAsia="Calibri" w:hAnsi="Arial" w:cs="Arial"/>
          <w:b/>
          <w:bCs/>
          <w:sz w:val="24"/>
          <w:szCs w:val="24"/>
          <w:lang w:eastAsia="en-US"/>
        </w:rPr>
        <w:t>. Causales de improcedencia y sobreseimiento.</w:t>
      </w:r>
      <w:r w:rsidRPr="00512412">
        <w:rPr>
          <w:rFonts w:ascii="Arial" w:eastAsia="Calibri" w:hAnsi="Arial" w:cs="Arial"/>
          <w:sz w:val="24"/>
          <w:szCs w:val="24"/>
          <w:lang w:eastAsia="en-US"/>
        </w:rPr>
        <w:t xml:space="preserve"> </w:t>
      </w:r>
      <w:r w:rsidRPr="00937F4C">
        <w:rPr>
          <w:rFonts w:ascii="Arial" w:hAnsi="Arial" w:cs="Arial"/>
          <w:sz w:val="24"/>
          <w:szCs w:val="24"/>
        </w:rPr>
        <w:t>De un estudio oficioso de las causales de improcedencia y sobreseimiento del juicio,  que estipula el artículo 161 in fine de la Ley de la materia, se advierte que no existe una causal de improcedencia ni sobreseimiento para conocer el fondo del presente juicio.</w:t>
      </w:r>
    </w:p>
    <w:p w14:paraId="188E7EB7" w14:textId="46235CDE" w:rsidR="003919A3" w:rsidRDefault="003919A3" w:rsidP="00BA14C6">
      <w:pPr>
        <w:spacing w:after="160" w:line="360" w:lineRule="auto"/>
        <w:ind w:firstLine="567"/>
        <w:jc w:val="both"/>
        <w:rPr>
          <w:rFonts w:ascii="Arial" w:hAnsi="Arial" w:cs="Arial"/>
          <w:sz w:val="24"/>
          <w:szCs w:val="24"/>
        </w:rPr>
      </w:pPr>
      <w:r>
        <w:rPr>
          <w:rFonts w:ascii="Arial" w:hAnsi="Arial" w:cs="Arial"/>
          <w:sz w:val="24"/>
          <w:szCs w:val="24"/>
        </w:rPr>
        <w:t>Lo anterior a pesar de que la autoridad aduzca las mencionada causales alegando que el acto impugnado no le causa afectación a la esfera jurídica del accionante y en tales términos no tiene interés jurídico para promover el juicio de nulidad, en términos del artículo 161 fracción II y 162 de la Ley de la materia, pues de una lectura integral del acto impugnado se advierte que el mismo sí impone la cantidad de $89.62 (Ochenta y nueve pesos 62/100 m.n.) por concepto de honorarios de notificación, con lo cual resulta evidente que sí hay una afectación a la esfera jurídica del hoy actor.</w:t>
      </w:r>
    </w:p>
    <w:p w14:paraId="55AE7FFF" w14:textId="54773786" w:rsidR="003919A3" w:rsidRDefault="003919A3" w:rsidP="00BA14C6">
      <w:pPr>
        <w:spacing w:after="160" w:line="360" w:lineRule="auto"/>
        <w:ind w:firstLine="567"/>
        <w:jc w:val="both"/>
        <w:rPr>
          <w:rFonts w:ascii="Arial" w:hAnsi="Arial" w:cs="Arial"/>
          <w:sz w:val="24"/>
          <w:szCs w:val="24"/>
        </w:rPr>
      </w:pPr>
      <w:r>
        <w:rPr>
          <w:rFonts w:ascii="Arial" w:hAnsi="Arial" w:cs="Arial"/>
          <w:sz w:val="24"/>
          <w:szCs w:val="24"/>
        </w:rPr>
        <w:t xml:space="preserve">Consecuentemente no se sobresee el presente juicio. </w:t>
      </w:r>
    </w:p>
    <w:p w14:paraId="2E7CE99F" w14:textId="0765C3D2" w:rsidR="003F5A16" w:rsidRDefault="003F5A16" w:rsidP="007C7A1C">
      <w:pPr>
        <w:tabs>
          <w:tab w:val="left" w:pos="284"/>
          <w:tab w:val="left" w:pos="426"/>
          <w:tab w:val="right" w:pos="9072"/>
        </w:tabs>
        <w:spacing w:after="0" w:line="360" w:lineRule="auto"/>
        <w:ind w:right="-234" w:firstLine="567"/>
        <w:jc w:val="both"/>
        <w:rPr>
          <w:rFonts w:ascii="Arial" w:hAnsi="Arial" w:cs="Arial"/>
          <w:sz w:val="24"/>
          <w:szCs w:val="24"/>
        </w:rPr>
      </w:pPr>
      <w:r>
        <w:rPr>
          <w:rFonts w:ascii="Arial" w:hAnsi="Arial" w:cs="Arial"/>
          <w:b/>
          <w:sz w:val="24"/>
          <w:szCs w:val="24"/>
        </w:rPr>
        <w:t xml:space="preserve">SEXTO. </w:t>
      </w:r>
      <w:r w:rsidRPr="00512412">
        <w:rPr>
          <w:rFonts w:ascii="Arial" w:eastAsia="Calibri" w:hAnsi="Arial" w:cs="Arial"/>
          <w:b/>
          <w:bCs/>
          <w:sz w:val="24"/>
          <w:szCs w:val="24"/>
          <w:lang w:eastAsia="en-US"/>
        </w:rPr>
        <w:t xml:space="preserve">Estudio del Fondo del Asunto. </w:t>
      </w:r>
      <w:r w:rsidRPr="00AE3452">
        <w:rPr>
          <w:rFonts w:ascii="Arial" w:hAnsi="Arial" w:cs="Arial"/>
          <w:sz w:val="24"/>
          <w:szCs w:val="24"/>
        </w:rPr>
        <w:t xml:space="preserve">Son </w:t>
      </w:r>
      <w:r w:rsidRPr="00AE3452">
        <w:rPr>
          <w:rFonts w:ascii="Arial" w:hAnsi="Arial" w:cs="Arial"/>
          <w:b/>
          <w:bCs/>
          <w:sz w:val="24"/>
          <w:szCs w:val="24"/>
        </w:rPr>
        <w:t>fundados</w:t>
      </w:r>
      <w:r w:rsidRPr="00AE3452">
        <w:rPr>
          <w:rFonts w:ascii="Arial" w:hAnsi="Arial" w:cs="Arial"/>
          <w:sz w:val="24"/>
          <w:szCs w:val="24"/>
        </w:rPr>
        <w:t xml:space="preserve"> los conceptos de impugnación esgrimidos por la parte actora, </w:t>
      </w:r>
      <w:r>
        <w:rPr>
          <w:rFonts w:ascii="Arial" w:hAnsi="Arial" w:cs="Arial"/>
          <w:sz w:val="24"/>
          <w:szCs w:val="24"/>
        </w:rPr>
        <w:t xml:space="preserve">respecto a la ilegalidad del </w:t>
      </w:r>
      <w:r w:rsidR="0082488E">
        <w:rPr>
          <w:rFonts w:ascii="Arial" w:eastAsia="Calibri" w:hAnsi="Arial" w:cs="Arial"/>
          <w:sz w:val="24"/>
          <w:szCs w:val="24"/>
          <w:lang w:eastAsia="en-US"/>
        </w:rPr>
        <w:lastRenderedPageBreak/>
        <w:t xml:space="preserve">Requerimiento de Obligaciones omitidas en materia de Impuesto Sobre Tenencia o Uso de Vehículos con número de control </w:t>
      </w:r>
      <w:r w:rsidR="00676150">
        <w:rPr>
          <w:rFonts w:ascii="Arial" w:eastAsia="Calibri" w:hAnsi="Arial" w:cs="Arial"/>
          <w:sz w:val="24"/>
          <w:szCs w:val="24"/>
          <w:lang w:eastAsia="en-US"/>
        </w:rPr>
        <w:t>**********</w:t>
      </w:r>
      <w:r w:rsidR="0082488E">
        <w:rPr>
          <w:rFonts w:ascii="Arial" w:eastAsia="Calibri" w:hAnsi="Arial" w:cs="Arial"/>
          <w:sz w:val="24"/>
          <w:szCs w:val="24"/>
          <w:lang w:eastAsia="en-US"/>
        </w:rPr>
        <w:t xml:space="preserve"> de fecha quince de octubre de dos mil veintiuno</w:t>
      </w:r>
      <w:r w:rsidR="00A36029">
        <w:rPr>
          <w:rFonts w:ascii="Arial" w:hAnsi="Arial" w:cs="Arial"/>
          <w:sz w:val="24"/>
          <w:szCs w:val="24"/>
        </w:rPr>
        <w:t>.</w:t>
      </w:r>
    </w:p>
    <w:p w14:paraId="4BF1E279" w14:textId="71602183" w:rsidR="0082488E" w:rsidRDefault="0082488E" w:rsidP="007C7A1C">
      <w:pPr>
        <w:tabs>
          <w:tab w:val="left" w:pos="284"/>
          <w:tab w:val="left" w:pos="426"/>
          <w:tab w:val="right" w:pos="9072"/>
        </w:tabs>
        <w:spacing w:after="0" w:line="360" w:lineRule="auto"/>
        <w:ind w:right="-234" w:firstLine="567"/>
        <w:jc w:val="both"/>
        <w:rPr>
          <w:rFonts w:ascii="Arial" w:hAnsi="Arial" w:cs="Arial"/>
          <w:sz w:val="24"/>
          <w:szCs w:val="24"/>
        </w:rPr>
      </w:pPr>
      <w:r>
        <w:rPr>
          <w:rFonts w:ascii="Arial" w:hAnsi="Arial" w:cs="Arial"/>
          <w:sz w:val="24"/>
          <w:szCs w:val="24"/>
        </w:rPr>
        <w:t xml:space="preserve">En su concepto de impugnación PRIMERO la parte actora refirió que existía una inadecuada fundamentación toda vez que la autoridad demandada citó los fundamentos y motivos relativos al Impuesto Sobre Erogaciones por Remuneraciones al Trabajo Personal, y no así los que hacen referencia al Impuesto Sobre Tenencia o Uso de Vehículos. </w:t>
      </w:r>
    </w:p>
    <w:p w14:paraId="5DBB3813" w14:textId="734D03B4" w:rsidR="0082488E" w:rsidRDefault="0082488E" w:rsidP="00CF04E4">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r>
        <w:rPr>
          <w:rFonts w:ascii="Arial" w:eastAsia="Calibri" w:hAnsi="Arial" w:cs="Arial"/>
          <w:sz w:val="24"/>
          <w:szCs w:val="24"/>
          <w:lang w:eastAsia="en-US"/>
        </w:rPr>
        <w:t xml:space="preserve">Dicho concepto de impugnación se estima fundado pues de una lectura del acto del Requerimiento de Obligaciones omitidas en materia de Impuesto Sobre Tenencia o Uso de Vehículos con número de control </w:t>
      </w:r>
      <w:r w:rsidR="00676150">
        <w:rPr>
          <w:rFonts w:ascii="Arial" w:eastAsia="Calibri" w:hAnsi="Arial" w:cs="Arial"/>
          <w:sz w:val="24"/>
          <w:szCs w:val="24"/>
          <w:lang w:eastAsia="en-US"/>
        </w:rPr>
        <w:t>**********</w:t>
      </w:r>
      <w:r>
        <w:rPr>
          <w:rFonts w:ascii="Arial" w:eastAsia="Calibri" w:hAnsi="Arial" w:cs="Arial"/>
          <w:sz w:val="24"/>
          <w:szCs w:val="24"/>
          <w:lang w:eastAsia="en-US"/>
        </w:rPr>
        <w:t xml:space="preserve"> de fecha quince de octubre de dos mil veintiuno se advierte lo siguiente: </w:t>
      </w:r>
    </w:p>
    <w:p w14:paraId="095AA5F2" w14:textId="77777777" w:rsidR="0082488E" w:rsidRDefault="0082488E" w:rsidP="0082488E">
      <w:pPr>
        <w:tabs>
          <w:tab w:val="left" w:pos="284"/>
          <w:tab w:val="left" w:pos="993"/>
          <w:tab w:val="right" w:pos="9072"/>
        </w:tabs>
        <w:spacing w:after="0" w:line="360" w:lineRule="auto"/>
        <w:ind w:left="1134" w:right="-234"/>
        <w:jc w:val="both"/>
        <w:rPr>
          <w:rFonts w:ascii="Arial Narrow" w:eastAsia="Calibri" w:hAnsi="Arial Narrow" w:cs="Arial"/>
          <w:sz w:val="24"/>
          <w:szCs w:val="24"/>
          <w:lang w:eastAsia="en-US"/>
        </w:rPr>
      </w:pPr>
    </w:p>
    <w:p w14:paraId="633707CC" w14:textId="15CD8B03" w:rsidR="0082488E" w:rsidRPr="0082488E" w:rsidRDefault="0082488E" w:rsidP="0082488E">
      <w:pPr>
        <w:tabs>
          <w:tab w:val="left" w:pos="284"/>
          <w:tab w:val="left" w:pos="993"/>
          <w:tab w:val="right" w:pos="9072"/>
        </w:tabs>
        <w:spacing w:after="0" w:line="360" w:lineRule="auto"/>
        <w:ind w:left="1134" w:right="-234"/>
        <w:jc w:val="both"/>
        <w:rPr>
          <w:rFonts w:ascii="Arial Narrow" w:eastAsia="Calibri" w:hAnsi="Arial Narrow" w:cs="Arial"/>
          <w:sz w:val="24"/>
          <w:szCs w:val="24"/>
          <w:lang w:eastAsia="en-US"/>
        </w:rPr>
      </w:pPr>
      <w:r>
        <w:rPr>
          <w:rFonts w:ascii="Arial Narrow" w:eastAsia="Calibri" w:hAnsi="Arial Narrow" w:cs="Arial"/>
          <w:sz w:val="24"/>
          <w:szCs w:val="24"/>
          <w:lang w:eastAsia="en-US"/>
        </w:rPr>
        <w:t>En los artículos 63, 61, 65, 66 y 69 de la Ley Estatal de Hacienda vigente, que establecen el objeto, sujetos, base, tasa, época de pago y las obligaciones correspondientes al Impuesto Sobre Erogaciones por Remuneraciones al Trabajo Personal, entre ellas, la de enterar el importe del impuesto mediante declaración bimestral definitiva dentro de los primeros meses de marzo, mayo, julio, septiembre, noviembre y enero del siguiente año (…)</w:t>
      </w:r>
    </w:p>
    <w:p w14:paraId="1DCBAA2D" w14:textId="77777777" w:rsidR="0082488E" w:rsidRDefault="0082488E" w:rsidP="00CF04E4">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6112397B" w14:textId="05144293" w:rsidR="0082488E" w:rsidRDefault="0082488E" w:rsidP="00CF04E4">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r>
        <w:rPr>
          <w:rFonts w:ascii="Arial" w:eastAsia="Calibri" w:hAnsi="Arial" w:cs="Arial"/>
          <w:sz w:val="24"/>
          <w:szCs w:val="24"/>
          <w:lang w:eastAsia="en-US"/>
        </w:rPr>
        <w:t xml:space="preserve">Con la lectura anterior se evidencia que aun cuando la autoridad demandada mediante oficio con número de control </w:t>
      </w:r>
      <w:r w:rsidR="00676150">
        <w:rPr>
          <w:rFonts w:ascii="Arial" w:eastAsia="Calibri" w:hAnsi="Arial" w:cs="Arial"/>
          <w:sz w:val="24"/>
          <w:szCs w:val="24"/>
          <w:lang w:eastAsia="en-US"/>
        </w:rPr>
        <w:t>**********</w:t>
      </w:r>
      <w:r>
        <w:rPr>
          <w:rFonts w:ascii="Arial" w:eastAsia="Calibri" w:hAnsi="Arial" w:cs="Arial"/>
          <w:sz w:val="24"/>
          <w:szCs w:val="24"/>
          <w:lang w:eastAsia="en-US"/>
        </w:rPr>
        <w:t xml:space="preserve"> de fecha quince de octubre de dos mil veintiuno, requería obligaciones en materia del Impuesto Sobre Tenencia o Uso de Vehículos, </w:t>
      </w:r>
      <w:r>
        <w:rPr>
          <w:rFonts w:ascii="Arial" w:eastAsia="Calibri" w:hAnsi="Arial" w:cs="Arial"/>
          <w:b/>
          <w:bCs/>
          <w:sz w:val="24"/>
          <w:szCs w:val="24"/>
          <w:lang w:eastAsia="en-US"/>
        </w:rPr>
        <w:t>fundó y motivó su actuación</w:t>
      </w:r>
      <w:r>
        <w:rPr>
          <w:rFonts w:ascii="Arial" w:eastAsia="Calibri" w:hAnsi="Arial" w:cs="Arial"/>
          <w:sz w:val="24"/>
          <w:szCs w:val="24"/>
          <w:lang w:eastAsia="en-US"/>
        </w:rPr>
        <w:t xml:space="preserve"> con base en una contribución completamente diferente, como lo es el </w:t>
      </w:r>
      <w:r w:rsidRPr="0082488E">
        <w:rPr>
          <w:rFonts w:ascii="Arial" w:eastAsia="Calibri" w:hAnsi="Arial" w:cs="Arial"/>
          <w:sz w:val="24"/>
          <w:szCs w:val="24"/>
          <w:lang w:eastAsia="en-US"/>
        </w:rPr>
        <w:t>Impuesto Sobre Erogaciones por Remuneraciones al Trabajo Personal</w:t>
      </w:r>
      <w:r>
        <w:rPr>
          <w:rFonts w:ascii="Arial" w:eastAsia="Calibri" w:hAnsi="Arial" w:cs="Arial"/>
          <w:sz w:val="24"/>
          <w:szCs w:val="24"/>
          <w:lang w:eastAsia="en-US"/>
        </w:rPr>
        <w:t>.</w:t>
      </w:r>
    </w:p>
    <w:p w14:paraId="7D8FE2C4" w14:textId="38E1C69F" w:rsidR="0082488E" w:rsidRDefault="0082488E" w:rsidP="00CF04E4">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r>
        <w:rPr>
          <w:rFonts w:ascii="Arial" w:eastAsia="Calibri" w:hAnsi="Arial" w:cs="Arial"/>
          <w:sz w:val="24"/>
          <w:szCs w:val="24"/>
          <w:lang w:eastAsia="en-US"/>
        </w:rPr>
        <w:t xml:space="preserve">Por lo tanto resulta evidente que se trata de una </w:t>
      </w:r>
      <w:r>
        <w:rPr>
          <w:rFonts w:ascii="Arial" w:eastAsia="Calibri" w:hAnsi="Arial" w:cs="Arial"/>
          <w:b/>
          <w:bCs/>
          <w:sz w:val="24"/>
          <w:szCs w:val="24"/>
          <w:lang w:eastAsia="en-US"/>
        </w:rPr>
        <w:t>indebida fundamentación del hecho imponible del tributo</w:t>
      </w:r>
      <w:r w:rsidR="00610349">
        <w:rPr>
          <w:rFonts w:ascii="Arial" w:eastAsia="Calibri" w:hAnsi="Arial" w:cs="Arial"/>
          <w:sz w:val="24"/>
          <w:szCs w:val="24"/>
          <w:lang w:eastAsia="en-US"/>
        </w:rPr>
        <w:t xml:space="preserve"> lo cual resulta ilegal y violatorio del derecho a la seguridad jurídica de la parte actora, </w:t>
      </w:r>
      <w:r w:rsidR="00C3197C">
        <w:rPr>
          <w:rFonts w:ascii="Arial" w:eastAsia="Calibri" w:hAnsi="Arial" w:cs="Arial"/>
          <w:sz w:val="24"/>
          <w:szCs w:val="24"/>
          <w:lang w:eastAsia="en-US"/>
        </w:rPr>
        <w:t xml:space="preserve">lo que se aprecia de la cita de la siguiente Tesis que tiene aplicación por identidad jurídica: </w:t>
      </w:r>
    </w:p>
    <w:p w14:paraId="4FF9FCD1" w14:textId="77777777" w:rsidR="00C3197C" w:rsidRDefault="00C3197C" w:rsidP="00C3197C">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365C4181" w14:textId="4E7A96DA" w:rsidR="00C3197C" w:rsidRPr="00C3197C" w:rsidRDefault="00C3197C" w:rsidP="00C3197C">
      <w:pPr>
        <w:tabs>
          <w:tab w:val="left" w:pos="284"/>
          <w:tab w:val="left" w:pos="1134"/>
          <w:tab w:val="right" w:pos="9072"/>
        </w:tabs>
        <w:spacing w:after="0" w:line="360" w:lineRule="auto"/>
        <w:ind w:left="1134" w:right="-234"/>
        <w:jc w:val="both"/>
        <w:rPr>
          <w:rFonts w:ascii="Arial Narrow" w:eastAsia="Calibri" w:hAnsi="Arial Narrow" w:cs="Arial"/>
          <w:b/>
          <w:bCs/>
          <w:sz w:val="24"/>
          <w:szCs w:val="24"/>
          <w:lang w:eastAsia="en-US"/>
        </w:rPr>
      </w:pPr>
      <w:r w:rsidRPr="00C3197C">
        <w:rPr>
          <w:rFonts w:ascii="Arial Narrow" w:eastAsia="Calibri" w:hAnsi="Arial Narrow" w:cs="Arial"/>
          <w:b/>
          <w:bCs/>
          <w:sz w:val="24"/>
          <w:szCs w:val="24"/>
          <w:lang w:eastAsia="en-US"/>
        </w:rPr>
        <w:t>MULTA FISCAL. LAS SALAS DEL TRIBUNAL FEDERAL DE JUSTICIA FISCAL Y ADMINISTRATIVA CARECEN DE FACULTADES PARA RECLASIFICAR LA INFRACCIÓN QUE LA MOTIVÓ, SI DECLARAN LA NULIDAD LISA Y LLANA AL ESTIMAR QUE LA CONDUCTA POR LA CUAL SE IMPUSO NO ENCUADRA EN LA DESCRIPCIÓN TÍPICA QUE SIRVIÓ DE APOYO A LA AUTORIDAD.</w:t>
      </w:r>
    </w:p>
    <w:p w14:paraId="488DA5B7" w14:textId="29F979AE" w:rsidR="00C3197C" w:rsidRPr="00C3197C" w:rsidRDefault="00C3197C" w:rsidP="00C3197C">
      <w:pPr>
        <w:tabs>
          <w:tab w:val="left" w:pos="284"/>
          <w:tab w:val="left" w:pos="1134"/>
          <w:tab w:val="right" w:pos="9072"/>
        </w:tabs>
        <w:spacing w:after="0" w:line="360" w:lineRule="auto"/>
        <w:ind w:left="1134" w:right="-234"/>
        <w:jc w:val="both"/>
        <w:rPr>
          <w:rFonts w:ascii="Arial Narrow" w:eastAsia="Calibri" w:hAnsi="Arial Narrow" w:cs="Arial"/>
          <w:sz w:val="24"/>
          <w:szCs w:val="24"/>
          <w:lang w:eastAsia="en-US"/>
        </w:rPr>
      </w:pPr>
      <w:r w:rsidRPr="00C3197C">
        <w:rPr>
          <w:rFonts w:ascii="Arial Narrow" w:eastAsia="Calibri" w:hAnsi="Arial Narrow" w:cs="Arial"/>
          <w:sz w:val="24"/>
          <w:szCs w:val="24"/>
          <w:lang w:eastAsia="en-US"/>
        </w:rPr>
        <w:t xml:space="preserve">Si una Sala del Tribunal Federal de Justicia Fiscal y Administrativa estima que la conducta por la cual se impuso una multa fiscal no encuadra en la descripción típica que sirvió de apoyo a la autoridad y declara la nulidad lisa y llana conforme al artículo 51, fracción IV, de la Ley Federal del Procedimiento Contencioso Administrativo, carece de facultades (pues ningún artículo del Código Fiscal de la Federación se las </w:t>
      </w:r>
      <w:r w:rsidRPr="00C3197C">
        <w:rPr>
          <w:rFonts w:ascii="Arial Narrow" w:eastAsia="Calibri" w:hAnsi="Arial Narrow" w:cs="Arial"/>
          <w:sz w:val="24"/>
          <w:szCs w:val="24"/>
          <w:lang w:eastAsia="en-US"/>
        </w:rPr>
        <w:lastRenderedPageBreak/>
        <w:t>otorga) para que, motu proprio, reclasificar la infracción que motivó la sanción, toda vez que con ello mejoraría la fundamentación del acto reclamado; se sustituiría a las autoridades demandadas y violaría flagrantemente la garantía de debido proceso legal consagrada en los artículos 14 y 16 de la Constitución Política de los Estados Unidos Mexicanos que incluye el derecho a un juicio justo y acorde a los principios que lo rigen, en virtud de que tal conducta procesal se traduce en corregir los motivos y fundamentos por los que se aplicó la multa, que fueron precisamente en los que quedó fijada la litis en el juicio contencioso administrativo. Permitir lo contrario dejaría en total estado de indefensión al quejoso, porque no tendría oportunidad de rebatirla.</w:t>
      </w:r>
    </w:p>
    <w:p w14:paraId="74B494C9" w14:textId="4EBCE266" w:rsidR="00610349" w:rsidRDefault="00610349" w:rsidP="00CF04E4">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3F4634CD" w14:textId="03647CD6" w:rsidR="00610349" w:rsidRDefault="00610349" w:rsidP="00CF04E4">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45E6DDA1" w14:textId="5093902F" w:rsidR="00EC3B62" w:rsidRDefault="00EC3B62" w:rsidP="00CF04E4">
      <w:pPr>
        <w:tabs>
          <w:tab w:val="left" w:pos="284"/>
          <w:tab w:val="left" w:pos="426"/>
          <w:tab w:val="right" w:pos="9072"/>
        </w:tabs>
        <w:spacing w:after="0" w:line="360" w:lineRule="auto"/>
        <w:ind w:right="-234" w:firstLine="567"/>
        <w:jc w:val="both"/>
        <w:rPr>
          <w:rFonts w:ascii="Arial" w:hAnsi="Arial" w:cs="Arial"/>
          <w:sz w:val="24"/>
          <w:szCs w:val="24"/>
        </w:rPr>
      </w:pPr>
      <w:r>
        <w:rPr>
          <w:rFonts w:ascii="Arial" w:eastAsia="Calibri" w:hAnsi="Arial" w:cs="Arial"/>
          <w:sz w:val="24"/>
          <w:szCs w:val="24"/>
          <w:lang w:eastAsia="en-US"/>
        </w:rPr>
        <w:t xml:space="preserve">En tales términos </w:t>
      </w:r>
      <w:r w:rsidR="00C3197C">
        <w:rPr>
          <w:rFonts w:ascii="Arial" w:eastAsia="Calibri" w:hAnsi="Arial" w:cs="Arial"/>
          <w:sz w:val="24"/>
          <w:szCs w:val="24"/>
          <w:lang w:eastAsia="en-US"/>
        </w:rPr>
        <w:t>es</w:t>
      </w:r>
      <w:r>
        <w:rPr>
          <w:rFonts w:ascii="Arial" w:eastAsia="Calibri" w:hAnsi="Arial" w:cs="Arial"/>
          <w:sz w:val="24"/>
          <w:szCs w:val="24"/>
          <w:lang w:eastAsia="en-US"/>
        </w:rPr>
        <w:t xml:space="preserve"> procede</w:t>
      </w:r>
      <w:r w:rsidR="00C3197C">
        <w:rPr>
          <w:rFonts w:ascii="Arial" w:eastAsia="Calibri" w:hAnsi="Arial" w:cs="Arial"/>
          <w:sz w:val="24"/>
          <w:szCs w:val="24"/>
          <w:lang w:eastAsia="en-US"/>
        </w:rPr>
        <w:t>nte</w:t>
      </w:r>
      <w:r>
        <w:rPr>
          <w:rFonts w:ascii="Arial" w:eastAsia="Calibri" w:hAnsi="Arial" w:cs="Arial"/>
          <w:sz w:val="24"/>
          <w:szCs w:val="24"/>
          <w:lang w:eastAsia="en-US"/>
        </w:rPr>
        <w:t xml:space="preserve"> declarar la </w:t>
      </w:r>
      <w:r>
        <w:rPr>
          <w:rFonts w:ascii="Arial" w:eastAsia="Calibri" w:hAnsi="Arial" w:cs="Arial"/>
          <w:b/>
          <w:bCs/>
          <w:sz w:val="24"/>
          <w:szCs w:val="24"/>
          <w:lang w:eastAsia="en-US"/>
        </w:rPr>
        <w:t xml:space="preserve">NULIDAD LISA Y LLANA </w:t>
      </w:r>
      <w:r>
        <w:rPr>
          <w:rFonts w:ascii="Arial" w:eastAsia="Calibri" w:hAnsi="Arial" w:cs="Arial"/>
          <w:sz w:val="24"/>
          <w:szCs w:val="24"/>
          <w:lang w:eastAsia="en-US"/>
        </w:rPr>
        <w:t xml:space="preserve">del </w:t>
      </w:r>
      <w:r w:rsidR="00C3197C">
        <w:rPr>
          <w:rFonts w:ascii="Arial" w:eastAsia="Calibri" w:hAnsi="Arial" w:cs="Arial"/>
          <w:sz w:val="24"/>
          <w:szCs w:val="24"/>
          <w:lang w:eastAsia="en-US"/>
        </w:rPr>
        <w:t xml:space="preserve">Requerimiento de Obligaciones omitidas en materia de Impuesto Sobre Tenencia o Uso de Vehículos con número de control </w:t>
      </w:r>
      <w:r w:rsidR="00676150">
        <w:rPr>
          <w:rFonts w:ascii="Arial" w:eastAsia="Calibri" w:hAnsi="Arial" w:cs="Arial"/>
          <w:sz w:val="24"/>
          <w:szCs w:val="24"/>
          <w:lang w:eastAsia="en-US"/>
        </w:rPr>
        <w:t>**********</w:t>
      </w:r>
      <w:r w:rsidR="00C3197C">
        <w:rPr>
          <w:rFonts w:ascii="Arial" w:eastAsia="Calibri" w:hAnsi="Arial" w:cs="Arial"/>
          <w:sz w:val="24"/>
          <w:szCs w:val="24"/>
          <w:lang w:eastAsia="en-US"/>
        </w:rPr>
        <w:t xml:space="preserve"> de fecha quince de octubre de dos mil veintiuno</w:t>
      </w:r>
      <w:r>
        <w:rPr>
          <w:rFonts w:ascii="Arial" w:hAnsi="Arial" w:cs="Arial"/>
          <w:sz w:val="24"/>
          <w:szCs w:val="24"/>
        </w:rPr>
        <w:t>, en términos de la siguiente Jurisprudencia</w:t>
      </w:r>
      <w:r>
        <w:rPr>
          <w:rStyle w:val="Refdenotaalpie"/>
          <w:rFonts w:ascii="Arial" w:hAnsi="Arial" w:cs="Arial"/>
          <w:sz w:val="24"/>
          <w:szCs w:val="24"/>
        </w:rPr>
        <w:footnoteReference w:id="4"/>
      </w:r>
      <w:r>
        <w:rPr>
          <w:rFonts w:ascii="Arial" w:hAnsi="Arial" w:cs="Arial"/>
          <w:sz w:val="24"/>
          <w:szCs w:val="24"/>
        </w:rPr>
        <w:t xml:space="preserve">: </w:t>
      </w:r>
    </w:p>
    <w:p w14:paraId="51B284B6" w14:textId="6EDB32CC" w:rsidR="00EC3B62" w:rsidRPr="00EC3B62" w:rsidRDefault="00EC3B62" w:rsidP="00CF04E4">
      <w:pPr>
        <w:tabs>
          <w:tab w:val="left" w:pos="284"/>
          <w:tab w:val="left" w:pos="426"/>
          <w:tab w:val="right" w:pos="9072"/>
        </w:tabs>
        <w:spacing w:after="0" w:line="360" w:lineRule="auto"/>
        <w:ind w:right="-234" w:firstLine="567"/>
        <w:jc w:val="both"/>
        <w:rPr>
          <w:rFonts w:ascii="Arial" w:hAnsi="Arial" w:cs="Arial"/>
          <w:b/>
          <w:bCs/>
          <w:sz w:val="24"/>
          <w:szCs w:val="24"/>
        </w:rPr>
      </w:pPr>
    </w:p>
    <w:p w14:paraId="0B7D2D05" w14:textId="77777777" w:rsidR="00EC3B62" w:rsidRPr="00EC3B62" w:rsidRDefault="00EC3B62" w:rsidP="00EC3B62">
      <w:pPr>
        <w:tabs>
          <w:tab w:val="left" w:pos="284"/>
          <w:tab w:val="left" w:pos="851"/>
          <w:tab w:val="right" w:pos="9072"/>
        </w:tabs>
        <w:spacing w:after="0" w:line="360" w:lineRule="auto"/>
        <w:ind w:left="1134" w:right="-234"/>
        <w:jc w:val="both"/>
        <w:rPr>
          <w:rFonts w:ascii="Arial Narrow" w:hAnsi="Arial Narrow" w:cs="Arial"/>
          <w:b/>
          <w:bCs/>
          <w:sz w:val="24"/>
          <w:szCs w:val="24"/>
        </w:rPr>
      </w:pPr>
      <w:r w:rsidRPr="00EC3B62">
        <w:rPr>
          <w:rFonts w:ascii="Arial Narrow" w:hAnsi="Arial Narrow" w:cs="Arial"/>
          <w:b/>
          <w:bCs/>
          <w:sz w:val="24"/>
          <w:szCs w:val="24"/>
        </w:rPr>
        <w:t>NULIDAD DE LAS RESOLUCIONES ADMINISTRATIVAS. SENTIDO AMPLIO DEL CONCEPTO Y EFECTOS DE LA DECRETADA EN EL JUICIO CONTENCIOSO ADMINISTRATIVO FEDERAL.</w:t>
      </w:r>
    </w:p>
    <w:p w14:paraId="70D8E78E" w14:textId="77777777" w:rsidR="00EC3B62" w:rsidRPr="00EC3B62" w:rsidRDefault="00EC3B62" w:rsidP="00EC3B62">
      <w:pPr>
        <w:tabs>
          <w:tab w:val="left" w:pos="284"/>
          <w:tab w:val="left" w:pos="851"/>
          <w:tab w:val="right" w:pos="9072"/>
        </w:tabs>
        <w:spacing w:after="0" w:line="360" w:lineRule="auto"/>
        <w:ind w:left="1134" w:right="-234"/>
        <w:jc w:val="both"/>
        <w:rPr>
          <w:rFonts w:ascii="Arial Narrow" w:hAnsi="Arial Narrow" w:cs="Arial"/>
          <w:sz w:val="24"/>
          <w:szCs w:val="24"/>
        </w:rPr>
      </w:pPr>
    </w:p>
    <w:p w14:paraId="4C3813EB" w14:textId="77777777" w:rsidR="00EC3B62" w:rsidRPr="00EC3B62" w:rsidRDefault="00EC3B62" w:rsidP="00EC3B62">
      <w:pPr>
        <w:tabs>
          <w:tab w:val="left" w:pos="284"/>
          <w:tab w:val="left" w:pos="851"/>
          <w:tab w:val="right" w:pos="9072"/>
        </w:tabs>
        <w:spacing w:after="0" w:line="360" w:lineRule="auto"/>
        <w:ind w:left="1134" w:right="-234"/>
        <w:jc w:val="both"/>
        <w:rPr>
          <w:rFonts w:ascii="Arial Narrow" w:hAnsi="Arial Narrow" w:cs="Arial"/>
          <w:sz w:val="24"/>
          <w:szCs w:val="24"/>
        </w:rPr>
      </w:pPr>
      <w:r w:rsidRPr="00EC3B62">
        <w:rPr>
          <w:rFonts w:ascii="Arial Narrow" w:hAnsi="Arial Narrow" w:cs="Arial"/>
          <w:sz w:val="24"/>
          <w:szCs w:val="24"/>
        </w:rPr>
        <w:t xml:space="preserve">La nulidad de las resoluciones administrativas debe entenderse en sentido amplio, esto es, como la consecuencia de una declaración jurisdiccional que priva de valor y eficacia a las decisiones afectadas por alguna causa de ilegalidad. Así, la nulidad implica, tanto una declaración, como una sanción jurídica múltiple y consecuente; de ahí que estos efectos se adjudican a la resolución ilícita, pero también a sus consecuencias (conducta, resultado de acción u omisión y restauración del orden jurídico, entre otras). Además, el concepto genérico de dicha nulidad, en razón de sus variantes o modalidades, debe apreciarse en un contexto sistémico, complejo y comprensivo de múltiples factores y repercusiones pertinentes y conformes a casos concretos. En estas condiciones, la declaratoria y su trascendencia son el resultado de las etapas del control judicial respectivo, a saber: I) determinación de alguna causa de ilegalidad prevista en el artículo 51 de la Ley Federal de Procedimiento Contencioso Administrativo; II) declaración de invalidez o nulidad de la resolución, acorde con la trascendencia del vicio identificado, conforme al artículo 52 del ordenamiento citado; III) precisión de las ineficacias atribuibles a la resolución y sus </w:t>
      </w:r>
      <w:r w:rsidRPr="00EC3B62">
        <w:rPr>
          <w:rFonts w:ascii="Arial Narrow" w:hAnsi="Arial Narrow" w:cs="Arial"/>
          <w:sz w:val="24"/>
          <w:szCs w:val="24"/>
        </w:rPr>
        <w:lastRenderedPageBreak/>
        <w:t>consecuencias, en razón de los excesos o deficiencias que conlleven, tanto en el ámbito jurídico como en el fáctico, lo cual abarca a la propia decisión y a las secuelas que resulten incididas; y, IV) restauración plena de la legalidad y modalidades de cumplimiento, en términos del precepto 57 de la misma ley. Ahora, la declaratoria aludida puede implicar: A) la emisión de un nuevo acto en el que se subsanen los vicios de ilegalidad detectados (ya sean formales, procedimentales o de fondo, que deriven del ejercicio de facultades regladas o en respuesta a una instancia promovida por un particular); B) libertad para ejercer facultades, ya sea que confiera cierto arbitrio (con libertad para apreciar o adjudicar consecuencias) o de naturaleza netamente discrecional de la autoridad, actualizándose un supuesto de nulidad (lisa y llana), con la alternativa para dictar otro acto, purgando infracciones o consecuencias, aunque sujeto al plazo legalmente establecido (cuatro meses o un mes para la vía sumaria); C) la nulidad lisa y llana o absoluta, que imposibilita a la autoridad demandada para reiterar aspectos cuando, efectiva y puntualmente, sean cosa juzgada o temas decididos definitivamente; o, D) precisar medidas de reparación, indemnización o restitución acordes con la lesión o agravio causado a derechos específicos. De lo anterior se advierte que el concepto alusivo a la declaratoria de invalidez –nulidad– puede ser ambiguo y hasta confuso, por coincidir en la supresión de un acto de autoridad; sin embargo, los efectos de esa declaratoria dependerán del grado de ilegalidad detectado, el contexto en el que se originaron y las consecuencias o alternativas asignadas por la ley, y no únicamente de la denominación adoptada por el órgano jurisdiccional que la declare, como incluso lo prevé el numeral 57 indicado, al señalar que los efectos ahí previstos se producirán "aun en el caso de que la sentencia declare la nulidad en forma lisa y llana".</w:t>
      </w:r>
    </w:p>
    <w:p w14:paraId="6A38B830" w14:textId="77777777" w:rsidR="00EC3B62" w:rsidRDefault="00EC3B62" w:rsidP="00CF04E4">
      <w:pPr>
        <w:tabs>
          <w:tab w:val="left" w:pos="284"/>
          <w:tab w:val="left" w:pos="426"/>
          <w:tab w:val="right" w:pos="9072"/>
        </w:tabs>
        <w:spacing w:after="0" w:line="360" w:lineRule="auto"/>
        <w:ind w:right="-234" w:firstLine="567"/>
        <w:jc w:val="both"/>
        <w:rPr>
          <w:rFonts w:ascii="Arial" w:hAnsi="Arial" w:cs="Arial"/>
          <w:sz w:val="24"/>
          <w:szCs w:val="24"/>
        </w:rPr>
      </w:pPr>
    </w:p>
    <w:p w14:paraId="1830672D" w14:textId="77777777" w:rsidR="002B375F" w:rsidRPr="00512412" w:rsidRDefault="002B375F" w:rsidP="002B375F">
      <w:pPr>
        <w:spacing w:line="360" w:lineRule="auto"/>
        <w:ind w:firstLine="567"/>
        <w:jc w:val="both"/>
        <w:rPr>
          <w:rFonts w:ascii="Arial" w:hAnsi="Arial" w:cs="Arial"/>
          <w:sz w:val="24"/>
          <w:szCs w:val="24"/>
        </w:rPr>
      </w:pPr>
      <w:r w:rsidRPr="00512412">
        <w:rPr>
          <w:rFonts w:ascii="Arial" w:hAnsi="Arial" w:cs="Arial"/>
          <w:sz w:val="24"/>
          <w:szCs w:val="24"/>
        </w:rPr>
        <w:t xml:space="preserve">Por lo expuesto y con fundamento en los artículos 207, y 209 de la Ley de Procedimiento y Justicia Administrativa para el Estado de Oaxaca se; </w:t>
      </w:r>
    </w:p>
    <w:p w14:paraId="13F2DF4D" w14:textId="77777777" w:rsidR="002B375F" w:rsidRPr="00512412" w:rsidRDefault="002B375F" w:rsidP="002B375F">
      <w:pPr>
        <w:tabs>
          <w:tab w:val="right" w:pos="9072"/>
        </w:tabs>
        <w:spacing w:after="0" w:line="360" w:lineRule="auto"/>
        <w:ind w:right="-234"/>
        <w:rPr>
          <w:rFonts w:ascii="Arial" w:hAnsi="Arial" w:cs="Arial"/>
          <w:b/>
          <w:sz w:val="24"/>
          <w:szCs w:val="24"/>
        </w:rPr>
      </w:pPr>
    </w:p>
    <w:p w14:paraId="676D380E" w14:textId="77777777" w:rsidR="002B375F" w:rsidRPr="00512412" w:rsidRDefault="002B375F" w:rsidP="002B375F">
      <w:pPr>
        <w:tabs>
          <w:tab w:val="right" w:pos="9072"/>
        </w:tabs>
        <w:spacing w:after="0" w:line="360" w:lineRule="auto"/>
        <w:ind w:right="-234" w:firstLine="708"/>
        <w:jc w:val="center"/>
        <w:rPr>
          <w:rFonts w:ascii="Arial" w:hAnsi="Arial" w:cs="Arial"/>
          <w:b/>
          <w:sz w:val="24"/>
          <w:szCs w:val="24"/>
        </w:rPr>
      </w:pPr>
      <w:r w:rsidRPr="00512412">
        <w:rPr>
          <w:rFonts w:ascii="Arial" w:hAnsi="Arial" w:cs="Arial"/>
          <w:b/>
          <w:sz w:val="24"/>
          <w:szCs w:val="24"/>
        </w:rPr>
        <w:t>R E S U E L V E:</w:t>
      </w:r>
    </w:p>
    <w:p w14:paraId="640C5BEF" w14:textId="77777777" w:rsidR="002B375F" w:rsidRPr="00512412" w:rsidRDefault="002B375F" w:rsidP="002B375F">
      <w:pPr>
        <w:tabs>
          <w:tab w:val="right" w:pos="9072"/>
        </w:tabs>
        <w:spacing w:after="0" w:line="360" w:lineRule="auto"/>
        <w:ind w:right="-234" w:firstLine="708"/>
        <w:rPr>
          <w:rFonts w:ascii="Arial" w:hAnsi="Arial" w:cs="Arial"/>
          <w:b/>
          <w:sz w:val="24"/>
          <w:szCs w:val="24"/>
        </w:rPr>
      </w:pPr>
    </w:p>
    <w:p w14:paraId="492FBA6A" w14:textId="77777777" w:rsidR="002B375F" w:rsidRPr="00512412" w:rsidRDefault="002B375F" w:rsidP="002B375F">
      <w:pPr>
        <w:tabs>
          <w:tab w:val="right" w:pos="9072"/>
        </w:tabs>
        <w:spacing w:after="0" w:line="360" w:lineRule="auto"/>
        <w:ind w:right="-234" w:firstLine="567"/>
        <w:jc w:val="both"/>
        <w:rPr>
          <w:rFonts w:ascii="Arial" w:hAnsi="Arial" w:cs="Arial"/>
          <w:sz w:val="24"/>
          <w:szCs w:val="24"/>
        </w:rPr>
      </w:pPr>
      <w:r w:rsidRPr="00512412">
        <w:rPr>
          <w:rFonts w:ascii="Arial" w:hAnsi="Arial" w:cs="Arial"/>
          <w:b/>
          <w:sz w:val="24"/>
          <w:szCs w:val="24"/>
        </w:rPr>
        <w:t>PRIMERO.</w:t>
      </w:r>
      <w:r w:rsidRPr="00512412">
        <w:rPr>
          <w:rFonts w:ascii="Arial" w:hAnsi="Arial" w:cs="Arial"/>
          <w:sz w:val="24"/>
          <w:szCs w:val="24"/>
        </w:rPr>
        <w:t xml:space="preserve"> Esta Primera Sala Unitaria fue competente para conocer y resolver del presente asunto. </w:t>
      </w:r>
    </w:p>
    <w:p w14:paraId="470F3F23" w14:textId="77777777" w:rsidR="002B375F" w:rsidRPr="00512412" w:rsidRDefault="002B375F" w:rsidP="002B375F">
      <w:pPr>
        <w:tabs>
          <w:tab w:val="right" w:pos="9072"/>
        </w:tabs>
        <w:spacing w:after="0" w:line="360" w:lineRule="auto"/>
        <w:ind w:right="-234" w:firstLine="567"/>
        <w:jc w:val="both"/>
        <w:rPr>
          <w:rFonts w:ascii="Arial" w:hAnsi="Arial" w:cs="Arial"/>
          <w:sz w:val="24"/>
          <w:szCs w:val="24"/>
        </w:rPr>
      </w:pPr>
    </w:p>
    <w:p w14:paraId="2EF5F842" w14:textId="77777777" w:rsidR="002B375F" w:rsidRPr="00512412" w:rsidRDefault="002B375F" w:rsidP="002B375F">
      <w:pPr>
        <w:tabs>
          <w:tab w:val="right" w:pos="9072"/>
        </w:tabs>
        <w:spacing w:after="0" w:line="360" w:lineRule="auto"/>
        <w:ind w:right="-234" w:firstLine="567"/>
        <w:jc w:val="both"/>
        <w:rPr>
          <w:rFonts w:ascii="Arial" w:hAnsi="Arial" w:cs="Arial"/>
          <w:b/>
          <w:sz w:val="24"/>
          <w:szCs w:val="24"/>
        </w:rPr>
      </w:pPr>
      <w:r w:rsidRPr="00512412">
        <w:rPr>
          <w:rFonts w:ascii="Arial" w:hAnsi="Arial" w:cs="Arial"/>
          <w:b/>
          <w:sz w:val="24"/>
          <w:szCs w:val="24"/>
        </w:rPr>
        <w:t xml:space="preserve">SEGUNDO. </w:t>
      </w:r>
      <w:r w:rsidRPr="00512412">
        <w:rPr>
          <w:rFonts w:ascii="Arial" w:hAnsi="Arial" w:cs="Arial"/>
          <w:sz w:val="24"/>
          <w:szCs w:val="24"/>
        </w:rPr>
        <w:t xml:space="preserve">La personería de las partes quedó acreditada. </w:t>
      </w:r>
    </w:p>
    <w:p w14:paraId="2D41CDF3" w14:textId="77777777" w:rsidR="002B375F" w:rsidRPr="00512412" w:rsidRDefault="002B375F" w:rsidP="002B375F">
      <w:pPr>
        <w:tabs>
          <w:tab w:val="right" w:pos="9072"/>
        </w:tabs>
        <w:spacing w:after="0" w:line="360" w:lineRule="auto"/>
        <w:ind w:right="-234" w:firstLine="567"/>
        <w:jc w:val="both"/>
        <w:rPr>
          <w:rFonts w:ascii="Arial" w:hAnsi="Arial" w:cs="Arial"/>
          <w:b/>
          <w:sz w:val="24"/>
          <w:szCs w:val="24"/>
        </w:rPr>
      </w:pPr>
    </w:p>
    <w:p w14:paraId="5A6E4C73" w14:textId="08C459D3" w:rsidR="002B375F" w:rsidRDefault="002B375F" w:rsidP="002B375F">
      <w:pPr>
        <w:spacing w:after="0" w:line="360" w:lineRule="auto"/>
        <w:ind w:firstLine="567"/>
        <w:jc w:val="both"/>
        <w:rPr>
          <w:rFonts w:ascii="Arial" w:hAnsi="Arial" w:cs="Arial"/>
          <w:bCs/>
          <w:sz w:val="24"/>
          <w:szCs w:val="24"/>
        </w:rPr>
      </w:pPr>
      <w:r w:rsidRPr="00512412">
        <w:rPr>
          <w:rFonts w:ascii="Arial" w:hAnsi="Arial" w:cs="Arial"/>
          <w:b/>
          <w:sz w:val="24"/>
          <w:szCs w:val="24"/>
        </w:rPr>
        <w:t xml:space="preserve">TERCERO. </w:t>
      </w:r>
      <w:r w:rsidRPr="00512412">
        <w:rPr>
          <w:rFonts w:ascii="Arial" w:hAnsi="Arial" w:cs="Arial"/>
          <w:sz w:val="24"/>
          <w:szCs w:val="24"/>
        </w:rPr>
        <w:t xml:space="preserve">Se </w:t>
      </w:r>
      <w:r>
        <w:rPr>
          <w:rFonts w:ascii="Arial" w:hAnsi="Arial" w:cs="Arial"/>
          <w:sz w:val="24"/>
          <w:szCs w:val="24"/>
        </w:rPr>
        <w:t xml:space="preserve">declara la </w:t>
      </w:r>
      <w:r>
        <w:rPr>
          <w:rFonts w:ascii="Arial" w:hAnsi="Arial" w:cs="Arial"/>
          <w:b/>
          <w:bCs/>
          <w:sz w:val="24"/>
          <w:szCs w:val="24"/>
        </w:rPr>
        <w:t>NULIDAD</w:t>
      </w:r>
      <w:r w:rsidR="007F7BC8">
        <w:rPr>
          <w:rFonts w:ascii="Arial" w:hAnsi="Arial" w:cs="Arial"/>
          <w:b/>
          <w:bCs/>
          <w:sz w:val="24"/>
          <w:szCs w:val="24"/>
        </w:rPr>
        <w:t xml:space="preserve">  LISA Y LLANA</w:t>
      </w:r>
      <w:r w:rsidRPr="00512412">
        <w:rPr>
          <w:rFonts w:ascii="Arial" w:hAnsi="Arial" w:cs="Arial"/>
          <w:b/>
          <w:bCs/>
          <w:sz w:val="24"/>
          <w:szCs w:val="24"/>
        </w:rPr>
        <w:t xml:space="preserve"> </w:t>
      </w:r>
      <w:r w:rsidR="00EC3B62">
        <w:rPr>
          <w:rFonts w:ascii="Arial" w:eastAsia="Calibri" w:hAnsi="Arial" w:cs="Arial"/>
          <w:sz w:val="24"/>
          <w:szCs w:val="24"/>
          <w:lang w:eastAsia="en-US"/>
        </w:rPr>
        <w:t xml:space="preserve">del </w:t>
      </w:r>
      <w:r w:rsidR="00C3197C">
        <w:rPr>
          <w:rFonts w:ascii="Arial" w:eastAsia="Calibri" w:hAnsi="Arial" w:cs="Arial"/>
          <w:sz w:val="24"/>
          <w:szCs w:val="24"/>
          <w:lang w:eastAsia="en-US"/>
        </w:rPr>
        <w:t xml:space="preserve">Requerimiento de Obligaciones omitidas en materia de Impuesto Sobre Tenencia o Uso de Vehículos con número de control </w:t>
      </w:r>
      <w:r w:rsidR="00676150">
        <w:rPr>
          <w:rFonts w:ascii="Arial" w:eastAsia="Calibri" w:hAnsi="Arial" w:cs="Arial"/>
          <w:sz w:val="24"/>
          <w:szCs w:val="24"/>
          <w:lang w:eastAsia="en-US"/>
        </w:rPr>
        <w:t>**********</w:t>
      </w:r>
      <w:bookmarkStart w:id="0" w:name="_GoBack"/>
      <w:bookmarkEnd w:id="0"/>
      <w:r w:rsidR="00C3197C">
        <w:rPr>
          <w:rFonts w:ascii="Arial" w:eastAsia="Calibri" w:hAnsi="Arial" w:cs="Arial"/>
          <w:sz w:val="24"/>
          <w:szCs w:val="24"/>
          <w:lang w:eastAsia="en-US"/>
        </w:rPr>
        <w:t xml:space="preserve"> de fecha quince de octubre de dos mil veintiuno</w:t>
      </w:r>
      <w:r w:rsidR="00C3197C">
        <w:rPr>
          <w:rFonts w:ascii="Arial" w:hAnsi="Arial" w:cs="Arial"/>
          <w:sz w:val="24"/>
          <w:szCs w:val="24"/>
        </w:rPr>
        <w:t xml:space="preserve"> </w:t>
      </w:r>
      <w:r w:rsidR="00EC3B62">
        <w:rPr>
          <w:rFonts w:ascii="Arial" w:hAnsi="Arial" w:cs="Arial"/>
          <w:sz w:val="24"/>
          <w:szCs w:val="24"/>
        </w:rPr>
        <w:t>por las razones expuestas</w:t>
      </w:r>
      <w:r>
        <w:rPr>
          <w:rFonts w:ascii="Arial" w:hAnsi="Arial" w:cs="Arial"/>
          <w:bCs/>
          <w:sz w:val="24"/>
          <w:szCs w:val="24"/>
        </w:rPr>
        <w:t xml:space="preserve"> en el considerando SEXTO de la presente resolución.</w:t>
      </w:r>
    </w:p>
    <w:p w14:paraId="7C1BBEAB" w14:textId="77777777" w:rsidR="002B375F" w:rsidRPr="00512412" w:rsidRDefault="002B375F" w:rsidP="002B375F">
      <w:pPr>
        <w:spacing w:after="0" w:line="360" w:lineRule="auto"/>
        <w:ind w:firstLine="567"/>
        <w:jc w:val="both"/>
        <w:rPr>
          <w:rFonts w:ascii="Arial" w:hAnsi="Arial" w:cs="Arial"/>
          <w:sz w:val="24"/>
          <w:szCs w:val="24"/>
        </w:rPr>
      </w:pPr>
    </w:p>
    <w:p w14:paraId="4F70F251" w14:textId="0EE25A0A" w:rsidR="002B375F" w:rsidRPr="00512412" w:rsidRDefault="002B375F" w:rsidP="002B375F">
      <w:pPr>
        <w:spacing w:after="0" w:line="360" w:lineRule="auto"/>
        <w:ind w:right="49" w:firstLine="567"/>
        <w:jc w:val="both"/>
        <w:rPr>
          <w:rFonts w:ascii="Arial" w:eastAsia="Times New Roman" w:hAnsi="Arial" w:cs="Arial"/>
          <w:sz w:val="24"/>
          <w:szCs w:val="24"/>
        </w:rPr>
      </w:pPr>
      <w:r w:rsidRPr="00512412">
        <w:rPr>
          <w:rFonts w:ascii="Arial" w:eastAsia="Times New Roman" w:hAnsi="Arial" w:cs="Arial"/>
          <w:b/>
          <w:sz w:val="24"/>
          <w:szCs w:val="24"/>
        </w:rPr>
        <w:t>CUARTO. Notifíquese personalmente a la parte actora y por oficio a la autoridad demandada</w:t>
      </w:r>
      <w:r w:rsidRPr="00512412">
        <w:rPr>
          <w:rFonts w:ascii="Arial" w:eastAsia="Times New Roman" w:hAnsi="Arial" w:cs="Arial"/>
          <w:sz w:val="24"/>
          <w:szCs w:val="24"/>
        </w:rPr>
        <w:t>, con fundamento en los artículos 172 fracción I y 173 fracciones I y II, de la Ley de Procedimiento y Justicia Administrativa para el Estado de Oaxaca,</w:t>
      </w:r>
      <w:r w:rsidRPr="00512412">
        <w:rPr>
          <w:rFonts w:ascii="Arial" w:eastAsia="Times New Roman" w:hAnsi="Arial" w:cs="Arial"/>
          <w:b/>
          <w:iCs/>
          <w:sz w:val="24"/>
          <w:szCs w:val="24"/>
        </w:rPr>
        <w:t xml:space="preserve"> - CÚMPLASE</w:t>
      </w:r>
      <w:r w:rsidRPr="00512412">
        <w:rPr>
          <w:rFonts w:ascii="Arial" w:eastAsia="Times New Roman" w:hAnsi="Arial" w:cs="Arial"/>
          <w:sz w:val="24"/>
          <w:szCs w:val="24"/>
        </w:rPr>
        <w:t xml:space="preserve">. </w:t>
      </w:r>
    </w:p>
    <w:p w14:paraId="3B0CE970" w14:textId="77777777" w:rsidR="002B375F" w:rsidRPr="00512412" w:rsidRDefault="002B375F" w:rsidP="002B375F">
      <w:pPr>
        <w:spacing w:after="0" w:line="360" w:lineRule="auto"/>
        <w:ind w:right="49" w:firstLine="567"/>
        <w:jc w:val="both"/>
        <w:rPr>
          <w:rFonts w:ascii="Arial" w:eastAsia="Times New Roman" w:hAnsi="Arial" w:cs="Arial"/>
          <w:b/>
          <w:sz w:val="24"/>
          <w:szCs w:val="24"/>
        </w:rPr>
      </w:pPr>
    </w:p>
    <w:p w14:paraId="7964499F" w14:textId="77777777" w:rsidR="002B375F" w:rsidRPr="00512412" w:rsidRDefault="002B375F" w:rsidP="002B375F">
      <w:pPr>
        <w:spacing w:after="0" w:line="360" w:lineRule="auto"/>
        <w:ind w:right="49" w:firstLine="567"/>
        <w:jc w:val="both"/>
        <w:rPr>
          <w:rFonts w:ascii="Arial" w:eastAsia="Times New Roman" w:hAnsi="Arial" w:cs="Arial"/>
          <w:b/>
          <w:sz w:val="24"/>
          <w:szCs w:val="24"/>
          <w:lang w:val="es-ES"/>
        </w:rPr>
      </w:pPr>
      <w:r w:rsidRPr="00512412">
        <w:rPr>
          <w:rFonts w:ascii="Arial" w:eastAsia="Times New Roman" w:hAnsi="Arial" w:cs="Arial"/>
          <w:sz w:val="24"/>
          <w:szCs w:val="24"/>
        </w:rPr>
        <w:t>Así lo resolvió y firmó el Titular de la Primera Sala Unitaria de Primera Instancia del Tribunal de Justicia Administrativa del Estado de Oaxaca, Magistrado Abraham Santiago Soriano, quien actúa con el Licenciado Christian Mauricio Morales Morales, Secretario de Acuerdos, que autoriza y da fe.</w:t>
      </w:r>
    </w:p>
    <w:sectPr w:rsidR="002B375F" w:rsidRPr="00512412"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745039" w14:textId="77777777" w:rsidR="00DF7E72" w:rsidRDefault="00DF7E72">
      <w:pPr>
        <w:spacing w:after="0" w:line="240" w:lineRule="auto"/>
      </w:pPr>
      <w:r>
        <w:separator/>
      </w:r>
    </w:p>
  </w:endnote>
  <w:endnote w:type="continuationSeparator" w:id="0">
    <w:p w14:paraId="5D9EBB8A" w14:textId="77777777" w:rsidR="00DF7E72" w:rsidRDefault="00DF7E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entury Schoolbook">
    <w:altName w:val="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360DF" w:rsidRDefault="00A360DF">
    <w:pPr>
      <w:pStyle w:val="Piedepgina"/>
      <w:jc w:val="center"/>
    </w:pPr>
  </w:p>
  <w:p w14:paraId="195FF414" w14:textId="77777777" w:rsidR="00A360DF" w:rsidRDefault="00A360D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E5A183" w14:textId="77777777" w:rsidR="00DF7E72" w:rsidRDefault="00DF7E72">
      <w:pPr>
        <w:spacing w:after="0" w:line="240" w:lineRule="auto"/>
      </w:pPr>
      <w:r>
        <w:separator/>
      </w:r>
    </w:p>
  </w:footnote>
  <w:footnote w:type="continuationSeparator" w:id="0">
    <w:p w14:paraId="615D87C6" w14:textId="77777777" w:rsidR="00DF7E72" w:rsidRDefault="00DF7E72">
      <w:pPr>
        <w:spacing w:after="0" w:line="240" w:lineRule="auto"/>
      </w:pPr>
      <w:r>
        <w:continuationSeparator/>
      </w:r>
    </w:p>
  </w:footnote>
  <w:footnote w:id="1">
    <w:p w14:paraId="4AA2A171" w14:textId="77777777" w:rsidR="0085386F" w:rsidRDefault="0085386F" w:rsidP="0085386F">
      <w:pPr>
        <w:autoSpaceDE w:val="0"/>
        <w:autoSpaceDN w:val="0"/>
        <w:adjustRightInd w:val="0"/>
        <w:spacing w:after="0" w:line="240" w:lineRule="auto"/>
        <w:jc w:val="both"/>
        <w:rPr>
          <w:rFonts w:ascii="Arial" w:hAnsi="Arial" w:cs="Arial"/>
          <w:color w:val="000000"/>
          <w:sz w:val="16"/>
          <w:szCs w:val="16"/>
        </w:rPr>
      </w:pPr>
      <w:r>
        <w:rPr>
          <w:rStyle w:val="Refdenotaalpie"/>
        </w:rPr>
        <w:footnoteRef/>
      </w:r>
      <w:r>
        <w:t xml:space="preserve"> </w:t>
      </w:r>
      <w:r w:rsidRPr="00B66772">
        <w:rPr>
          <w:sz w:val="16"/>
          <w:szCs w:val="16"/>
        </w:rPr>
        <w:t>“</w:t>
      </w:r>
      <w:r w:rsidRPr="005B4F51">
        <w:rPr>
          <w:rFonts w:ascii="Arial" w:hAnsi="Arial" w:cs="Arial"/>
          <w:b/>
          <w:bCs/>
          <w:color w:val="000000"/>
          <w:sz w:val="16"/>
          <w:szCs w:val="16"/>
        </w:rPr>
        <w:t xml:space="preserve">ARTÍCULO 150.- </w:t>
      </w:r>
      <w:r w:rsidRPr="005B4F51">
        <w:rPr>
          <w:rFonts w:ascii="Arial" w:hAnsi="Arial" w:cs="Arial"/>
          <w:color w:val="000000"/>
          <w:sz w:val="16"/>
          <w:szCs w:val="16"/>
        </w:rPr>
        <w:t>La personalidad o legitimación de las partes, deberá ser analizada de oficio por las Salas.</w:t>
      </w:r>
      <w:r>
        <w:rPr>
          <w:rFonts w:ascii="Arial" w:hAnsi="Arial" w:cs="Arial"/>
          <w:color w:val="000000"/>
          <w:sz w:val="16"/>
          <w:szCs w:val="16"/>
        </w:rPr>
        <w:t>”</w:t>
      </w:r>
    </w:p>
    <w:p w14:paraId="5C1846A3" w14:textId="77777777" w:rsidR="0085386F" w:rsidRPr="005B4F51" w:rsidRDefault="0085386F" w:rsidP="0085386F">
      <w:pPr>
        <w:autoSpaceDE w:val="0"/>
        <w:autoSpaceDN w:val="0"/>
        <w:adjustRightInd w:val="0"/>
        <w:spacing w:after="0" w:line="240" w:lineRule="auto"/>
        <w:jc w:val="both"/>
        <w:rPr>
          <w:rFonts w:ascii="Arial" w:hAnsi="Arial" w:cs="Arial"/>
          <w:color w:val="000000"/>
        </w:rPr>
      </w:pPr>
    </w:p>
  </w:footnote>
  <w:footnote w:id="2">
    <w:p w14:paraId="2A5ACC35" w14:textId="77777777" w:rsidR="0085386F" w:rsidRDefault="0085386F" w:rsidP="0085386F">
      <w:pPr>
        <w:autoSpaceDE w:val="0"/>
        <w:autoSpaceDN w:val="0"/>
        <w:adjustRightInd w:val="0"/>
        <w:spacing w:after="0" w:line="240" w:lineRule="auto"/>
        <w:jc w:val="both"/>
        <w:rPr>
          <w:rFonts w:ascii="Arial" w:hAnsi="Arial" w:cs="Arial"/>
          <w:color w:val="000000"/>
          <w:sz w:val="16"/>
          <w:szCs w:val="16"/>
        </w:rPr>
      </w:pPr>
      <w:r w:rsidRPr="005B4F51">
        <w:rPr>
          <w:rStyle w:val="Refdenotaalpie"/>
          <w:rFonts w:ascii="Arial" w:hAnsi="Arial" w:cs="Arial"/>
          <w:sz w:val="16"/>
          <w:szCs w:val="16"/>
        </w:rPr>
        <w:footnoteRef/>
      </w:r>
      <w:r w:rsidRPr="005B4F51">
        <w:rPr>
          <w:rFonts w:ascii="Arial" w:hAnsi="Arial" w:cs="Arial"/>
          <w:sz w:val="16"/>
          <w:szCs w:val="16"/>
        </w:rPr>
        <w:t xml:space="preserve"> </w:t>
      </w:r>
      <w:r>
        <w:rPr>
          <w:rFonts w:ascii="Arial" w:hAnsi="Arial" w:cs="Arial"/>
          <w:sz w:val="16"/>
          <w:szCs w:val="16"/>
        </w:rPr>
        <w:t>“</w:t>
      </w:r>
      <w:r w:rsidRPr="005B4F51">
        <w:rPr>
          <w:rFonts w:ascii="Arial" w:hAnsi="Arial" w:cs="Arial"/>
          <w:b/>
          <w:bCs/>
          <w:color w:val="000000"/>
          <w:sz w:val="16"/>
          <w:szCs w:val="16"/>
        </w:rPr>
        <w:t xml:space="preserve">ARTÍCULO 151.- </w:t>
      </w:r>
      <w:r w:rsidRPr="005B4F51">
        <w:rPr>
          <w:rFonts w:ascii="Arial" w:hAnsi="Arial" w:cs="Arial"/>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r>
        <w:rPr>
          <w:rFonts w:ascii="Arial" w:hAnsi="Arial" w:cs="Arial"/>
          <w:color w:val="000000"/>
          <w:sz w:val="16"/>
          <w:szCs w:val="16"/>
        </w:rPr>
        <w:t>”</w:t>
      </w:r>
    </w:p>
    <w:p w14:paraId="7858E3CB" w14:textId="77777777" w:rsidR="0085386F" w:rsidRPr="005B4F51" w:rsidRDefault="0085386F" w:rsidP="0085386F">
      <w:pPr>
        <w:autoSpaceDE w:val="0"/>
        <w:autoSpaceDN w:val="0"/>
        <w:adjustRightInd w:val="0"/>
        <w:spacing w:after="0" w:line="240" w:lineRule="auto"/>
        <w:rPr>
          <w:rFonts w:ascii="Arial" w:hAnsi="Arial" w:cs="Arial"/>
          <w:color w:val="000000"/>
          <w:sz w:val="16"/>
          <w:szCs w:val="16"/>
        </w:rPr>
      </w:pPr>
    </w:p>
  </w:footnote>
  <w:footnote w:id="3">
    <w:p w14:paraId="67FAF33D" w14:textId="77777777" w:rsidR="00D83CC1" w:rsidRDefault="00D83CC1" w:rsidP="00D83CC1">
      <w:pPr>
        <w:widowControl w:val="0"/>
        <w:autoSpaceDE w:val="0"/>
        <w:autoSpaceDN w:val="0"/>
        <w:adjustRightInd w:val="0"/>
        <w:spacing w:line="360" w:lineRule="auto"/>
        <w:ind w:right="-234"/>
        <w:jc w:val="both"/>
        <w:rPr>
          <w:rFonts w:ascii="Arial" w:hAnsi="Arial" w:cs="Arial"/>
          <w:sz w:val="16"/>
          <w:szCs w:val="16"/>
        </w:rPr>
      </w:pPr>
      <w:r w:rsidRPr="000F129A">
        <w:rPr>
          <w:rStyle w:val="Refdenotaalpie"/>
          <w:rFonts w:ascii="Arial" w:hAnsi="Arial" w:cs="Arial"/>
          <w:sz w:val="16"/>
          <w:szCs w:val="16"/>
        </w:rPr>
        <w:footnoteRef/>
      </w:r>
      <w:r w:rsidRPr="000F129A">
        <w:rPr>
          <w:rFonts w:ascii="Arial" w:hAnsi="Arial" w:cs="Arial"/>
          <w:sz w:val="16"/>
          <w:szCs w:val="16"/>
        </w:rPr>
        <w:t xml:space="preserve"> </w:t>
      </w:r>
      <w:r>
        <w:rPr>
          <w:rFonts w:ascii="Arial" w:hAnsi="Arial" w:cs="Arial"/>
          <w:sz w:val="16"/>
          <w:szCs w:val="16"/>
        </w:rPr>
        <w:t>“</w:t>
      </w:r>
      <w:r w:rsidRPr="000F129A">
        <w:rPr>
          <w:rFonts w:ascii="Arial" w:hAnsi="Arial" w:cs="Arial"/>
          <w:b/>
          <w:bCs/>
          <w:color w:val="000000"/>
          <w:spacing w:val="-6"/>
          <w:sz w:val="16"/>
          <w:szCs w:val="16"/>
        </w:rPr>
        <w:t>A</w:t>
      </w:r>
      <w:r w:rsidRPr="000F129A">
        <w:rPr>
          <w:rFonts w:ascii="Arial" w:hAnsi="Arial" w:cs="Arial"/>
          <w:b/>
          <w:bCs/>
          <w:color w:val="000000"/>
          <w:spacing w:val="1"/>
          <w:sz w:val="16"/>
          <w:szCs w:val="16"/>
        </w:rPr>
        <w:t>R</w:t>
      </w:r>
      <w:r w:rsidRPr="000F129A">
        <w:rPr>
          <w:rFonts w:ascii="Arial" w:hAnsi="Arial" w:cs="Arial"/>
          <w:b/>
          <w:bCs/>
          <w:color w:val="000000"/>
          <w:sz w:val="16"/>
          <w:szCs w:val="16"/>
        </w:rPr>
        <w:t>TÍCULO</w:t>
      </w:r>
      <w:r w:rsidRPr="000F129A">
        <w:rPr>
          <w:rFonts w:ascii="Arial" w:hAnsi="Arial" w:cs="Arial"/>
          <w:b/>
          <w:bCs/>
          <w:color w:val="000000"/>
          <w:spacing w:val="2"/>
          <w:sz w:val="16"/>
          <w:szCs w:val="16"/>
        </w:rPr>
        <w:t xml:space="preserve"> </w:t>
      </w:r>
      <w:r>
        <w:rPr>
          <w:rFonts w:ascii="Arial" w:hAnsi="Arial" w:cs="Arial"/>
          <w:b/>
          <w:bCs/>
          <w:color w:val="000000"/>
          <w:sz w:val="16"/>
          <w:szCs w:val="16"/>
        </w:rPr>
        <w:t>203</w:t>
      </w:r>
      <w:r w:rsidRPr="000F129A">
        <w:rPr>
          <w:rFonts w:ascii="Arial" w:hAnsi="Arial" w:cs="Arial"/>
          <w:b/>
          <w:bCs/>
          <w:color w:val="000000"/>
          <w:spacing w:val="1"/>
          <w:sz w:val="16"/>
          <w:szCs w:val="16"/>
        </w:rPr>
        <w:t>.</w:t>
      </w:r>
      <w:r w:rsidRPr="000F129A">
        <w:rPr>
          <w:rFonts w:ascii="Arial" w:hAnsi="Arial" w:cs="Arial"/>
          <w:b/>
          <w:bCs/>
          <w:color w:val="000000"/>
          <w:sz w:val="16"/>
          <w:szCs w:val="16"/>
        </w:rPr>
        <w:t xml:space="preserve">- </w:t>
      </w:r>
      <w:r w:rsidRPr="000F129A">
        <w:rPr>
          <w:rFonts w:ascii="Arial" w:hAnsi="Arial" w:cs="Arial"/>
          <w:color w:val="000000"/>
          <w:sz w:val="16"/>
          <w:szCs w:val="16"/>
        </w:rPr>
        <w:t>La</w:t>
      </w:r>
      <w:r w:rsidRPr="000F129A">
        <w:rPr>
          <w:rFonts w:ascii="Arial" w:hAnsi="Arial" w:cs="Arial"/>
          <w:color w:val="000000"/>
          <w:spacing w:val="1"/>
          <w:sz w:val="16"/>
          <w:szCs w:val="16"/>
        </w:rPr>
        <w:t xml:space="preserve"> </w:t>
      </w:r>
      <w:r w:rsidRPr="000F129A">
        <w:rPr>
          <w:rFonts w:ascii="Arial" w:hAnsi="Arial" w:cs="Arial"/>
          <w:color w:val="000000"/>
          <w:spacing w:val="-2"/>
          <w:sz w:val="16"/>
          <w:szCs w:val="16"/>
        </w:rPr>
        <w:t>v</w:t>
      </w:r>
      <w:r w:rsidRPr="000F129A">
        <w:rPr>
          <w:rFonts w:ascii="Arial" w:hAnsi="Arial" w:cs="Arial"/>
          <w:color w:val="000000"/>
          <w:sz w:val="16"/>
          <w:szCs w:val="16"/>
        </w:rPr>
        <w:t>a</w:t>
      </w:r>
      <w:r w:rsidRPr="000F129A">
        <w:rPr>
          <w:rFonts w:ascii="Arial" w:hAnsi="Arial" w:cs="Arial"/>
          <w:color w:val="000000"/>
          <w:spacing w:val="-1"/>
          <w:sz w:val="16"/>
          <w:szCs w:val="16"/>
        </w:rPr>
        <w:t>l</w:t>
      </w:r>
      <w:r w:rsidRPr="000F129A">
        <w:rPr>
          <w:rFonts w:ascii="Arial" w:hAnsi="Arial" w:cs="Arial"/>
          <w:color w:val="000000"/>
          <w:sz w:val="16"/>
          <w:szCs w:val="16"/>
        </w:rPr>
        <w:t>orac</w:t>
      </w:r>
      <w:r w:rsidRPr="000F129A">
        <w:rPr>
          <w:rFonts w:ascii="Arial" w:hAnsi="Arial" w:cs="Arial"/>
          <w:color w:val="000000"/>
          <w:spacing w:val="-1"/>
          <w:sz w:val="16"/>
          <w:szCs w:val="16"/>
        </w:rPr>
        <w:t>i</w:t>
      </w:r>
      <w:r w:rsidRPr="000F129A">
        <w:rPr>
          <w:rFonts w:ascii="Arial" w:hAnsi="Arial" w:cs="Arial"/>
          <w:color w:val="000000"/>
          <w:sz w:val="16"/>
          <w:szCs w:val="16"/>
        </w:rPr>
        <w:t>ón</w:t>
      </w:r>
      <w:r w:rsidRPr="000F129A">
        <w:rPr>
          <w:rFonts w:ascii="Arial" w:hAnsi="Arial" w:cs="Arial"/>
          <w:color w:val="000000"/>
          <w:spacing w:val="1"/>
          <w:sz w:val="16"/>
          <w:szCs w:val="16"/>
        </w:rPr>
        <w:t xml:space="preserve"> </w:t>
      </w:r>
      <w:r w:rsidRPr="000F129A">
        <w:rPr>
          <w:rFonts w:ascii="Arial" w:hAnsi="Arial" w:cs="Arial"/>
          <w:color w:val="000000"/>
          <w:sz w:val="16"/>
          <w:szCs w:val="16"/>
        </w:rPr>
        <w:t>de</w:t>
      </w:r>
      <w:r w:rsidRPr="000F129A">
        <w:rPr>
          <w:rFonts w:ascii="Arial" w:hAnsi="Arial" w:cs="Arial"/>
          <w:color w:val="000000"/>
          <w:spacing w:val="1"/>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as</w:t>
      </w:r>
      <w:r w:rsidRPr="000F129A">
        <w:rPr>
          <w:rFonts w:ascii="Arial" w:hAnsi="Arial" w:cs="Arial"/>
          <w:color w:val="000000"/>
          <w:spacing w:val="-2"/>
          <w:sz w:val="16"/>
          <w:szCs w:val="16"/>
        </w:rPr>
        <w:t xml:space="preserve"> </w:t>
      </w:r>
      <w:r w:rsidRPr="000F129A">
        <w:rPr>
          <w:rFonts w:ascii="Arial" w:hAnsi="Arial" w:cs="Arial"/>
          <w:color w:val="000000"/>
          <w:sz w:val="16"/>
          <w:szCs w:val="16"/>
        </w:rPr>
        <w:t>prueb</w:t>
      </w:r>
      <w:r w:rsidRPr="000F129A">
        <w:rPr>
          <w:rFonts w:ascii="Arial" w:hAnsi="Arial" w:cs="Arial"/>
          <w:color w:val="000000"/>
          <w:spacing w:val="-1"/>
          <w:sz w:val="16"/>
          <w:szCs w:val="16"/>
        </w:rPr>
        <w:t>a</w:t>
      </w:r>
      <w:r w:rsidRPr="000F129A">
        <w:rPr>
          <w:rFonts w:ascii="Arial" w:hAnsi="Arial" w:cs="Arial"/>
          <w:color w:val="000000"/>
          <w:sz w:val="16"/>
          <w:szCs w:val="16"/>
        </w:rPr>
        <w:t>s</w:t>
      </w:r>
      <w:r w:rsidRPr="000F129A">
        <w:rPr>
          <w:rFonts w:ascii="Arial" w:hAnsi="Arial" w:cs="Arial"/>
          <w:color w:val="000000"/>
          <w:spacing w:val="-1"/>
          <w:sz w:val="16"/>
          <w:szCs w:val="16"/>
        </w:rPr>
        <w:t xml:space="preserve"> </w:t>
      </w:r>
      <w:r w:rsidRPr="000F129A">
        <w:rPr>
          <w:rFonts w:ascii="Arial" w:hAnsi="Arial" w:cs="Arial"/>
          <w:color w:val="000000"/>
          <w:spacing w:val="-2"/>
          <w:sz w:val="16"/>
          <w:szCs w:val="16"/>
        </w:rPr>
        <w:t>s</w:t>
      </w:r>
      <w:r w:rsidRPr="000F129A">
        <w:rPr>
          <w:rFonts w:ascii="Arial" w:hAnsi="Arial" w:cs="Arial"/>
          <w:color w:val="000000"/>
          <w:sz w:val="16"/>
          <w:szCs w:val="16"/>
        </w:rPr>
        <w:t>e ha</w:t>
      </w:r>
      <w:r w:rsidRPr="000F129A">
        <w:rPr>
          <w:rFonts w:ascii="Arial" w:hAnsi="Arial" w:cs="Arial"/>
          <w:color w:val="000000"/>
          <w:spacing w:val="1"/>
          <w:sz w:val="16"/>
          <w:szCs w:val="16"/>
        </w:rPr>
        <w:t>r</w:t>
      </w:r>
      <w:r w:rsidRPr="000F129A">
        <w:rPr>
          <w:rFonts w:ascii="Arial" w:hAnsi="Arial" w:cs="Arial"/>
          <w:color w:val="000000"/>
          <w:sz w:val="16"/>
          <w:szCs w:val="16"/>
        </w:rPr>
        <w:t>á  de</w:t>
      </w:r>
      <w:r w:rsidRPr="000F129A">
        <w:rPr>
          <w:rFonts w:ascii="Arial" w:hAnsi="Arial" w:cs="Arial"/>
          <w:color w:val="000000"/>
          <w:spacing w:val="-2"/>
          <w:sz w:val="16"/>
          <w:szCs w:val="16"/>
        </w:rPr>
        <w:t xml:space="preserve"> </w:t>
      </w:r>
      <w:r w:rsidRPr="000F129A">
        <w:rPr>
          <w:rFonts w:ascii="Arial" w:hAnsi="Arial" w:cs="Arial"/>
          <w:color w:val="000000"/>
          <w:sz w:val="16"/>
          <w:szCs w:val="16"/>
        </w:rPr>
        <w:t>ac</w:t>
      </w:r>
      <w:r w:rsidRPr="000F129A">
        <w:rPr>
          <w:rFonts w:ascii="Arial" w:hAnsi="Arial" w:cs="Arial"/>
          <w:color w:val="000000"/>
          <w:spacing w:val="-1"/>
          <w:sz w:val="16"/>
          <w:szCs w:val="16"/>
        </w:rPr>
        <w:t>u</w:t>
      </w:r>
      <w:r w:rsidRPr="000F129A">
        <w:rPr>
          <w:rFonts w:ascii="Arial" w:hAnsi="Arial" w:cs="Arial"/>
          <w:color w:val="000000"/>
          <w:sz w:val="16"/>
          <w:szCs w:val="16"/>
        </w:rPr>
        <w:t>erdo</w:t>
      </w:r>
      <w:r w:rsidRPr="000F129A">
        <w:rPr>
          <w:rFonts w:ascii="Arial" w:hAnsi="Arial" w:cs="Arial"/>
          <w:color w:val="000000"/>
          <w:spacing w:val="-1"/>
          <w:sz w:val="16"/>
          <w:szCs w:val="16"/>
        </w:rPr>
        <w:t xml:space="preserve"> </w:t>
      </w:r>
      <w:r w:rsidRPr="000F129A">
        <w:rPr>
          <w:rFonts w:ascii="Arial" w:hAnsi="Arial" w:cs="Arial"/>
          <w:color w:val="000000"/>
          <w:sz w:val="16"/>
          <w:szCs w:val="16"/>
        </w:rPr>
        <w:t>con</w:t>
      </w:r>
      <w:r w:rsidRPr="000F129A">
        <w:rPr>
          <w:rFonts w:ascii="Arial" w:hAnsi="Arial" w:cs="Arial"/>
          <w:color w:val="000000"/>
          <w:spacing w:val="-2"/>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as s</w:t>
      </w:r>
      <w:r w:rsidRPr="000F129A">
        <w:rPr>
          <w:rFonts w:ascii="Arial" w:hAnsi="Arial" w:cs="Arial"/>
          <w:color w:val="000000"/>
          <w:spacing w:val="-3"/>
          <w:sz w:val="16"/>
          <w:szCs w:val="16"/>
        </w:rPr>
        <w:t>i</w:t>
      </w:r>
      <w:r w:rsidRPr="000F129A">
        <w:rPr>
          <w:rFonts w:ascii="Arial" w:hAnsi="Arial" w:cs="Arial"/>
          <w:color w:val="000000"/>
          <w:spacing w:val="2"/>
          <w:sz w:val="16"/>
          <w:szCs w:val="16"/>
        </w:rPr>
        <w:t>g</w:t>
      </w:r>
      <w:r w:rsidRPr="000F129A">
        <w:rPr>
          <w:rFonts w:ascii="Arial" w:hAnsi="Arial" w:cs="Arial"/>
          <w:color w:val="000000"/>
          <w:sz w:val="16"/>
          <w:szCs w:val="16"/>
        </w:rPr>
        <w:t>u</w:t>
      </w:r>
      <w:r w:rsidRPr="000F129A">
        <w:rPr>
          <w:rFonts w:ascii="Arial" w:hAnsi="Arial" w:cs="Arial"/>
          <w:color w:val="000000"/>
          <w:spacing w:val="-1"/>
          <w:sz w:val="16"/>
          <w:szCs w:val="16"/>
        </w:rPr>
        <w:t>i</w:t>
      </w:r>
      <w:r w:rsidRPr="000F129A">
        <w:rPr>
          <w:rFonts w:ascii="Arial" w:hAnsi="Arial" w:cs="Arial"/>
          <w:color w:val="000000"/>
          <w:sz w:val="16"/>
          <w:szCs w:val="16"/>
        </w:rPr>
        <w:t>e</w:t>
      </w:r>
      <w:r w:rsidRPr="000F129A">
        <w:rPr>
          <w:rFonts w:ascii="Arial" w:hAnsi="Arial" w:cs="Arial"/>
          <w:color w:val="000000"/>
          <w:spacing w:val="-1"/>
          <w:sz w:val="16"/>
          <w:szCs w:val="16"/>
        </w:rPr>
        <w:t>n</w:t>
      </w:r>
      <w:r w:rsidRPr="000F129A">
        <w:rPr>
          <w:rFonts w:ascii="Arial" w:hAnsi="Arial" w:cs="Arial"/>
          <w:color w:val="000000"/>
          <w:spacing w:val="1"/>
          <w:sz w:val="16"/>
          <w:szCs w:val="16"/>
        </w:rPr>
        <w:t>t</w:t>
      </w:r>
      <w:r w:rsidRPr="000F129A">
        <w:rPr>
          <w:rFonts w:ascii="Arial" w:hAnsi="Arial" w:cs="Arial"/>
          <w:color w:val="000000"/>
          <w:sz w:val="16"/>
          <w:szCs w:val="16"/>
        </w:rPr>
        <w:t>es</w:t>
      </w:r>
      <w:r w:rsidRPr="000F129A">
        <w:rPr>
          <w:rFonts w:ascii="Arial" w:hAnsi="Arial" w:cs="Arial"/>
          <w:color w:val="000000"/>
          <w:spacing w:val="-1"/>
          <w:sz w:val="16"/>
          <w:szCs w:val="16"/>
        </w:rPr>
        <w:t xml:space="preserve"> </w:t>
      </w:r>
      <w:r w:rsidRPr="000F129A">
        <w:rPr>
          <w:rFonts w:ascii="Arial" w:hAnsi="Arial" w:cs="Arial"/>
          <w:color w:val="000000"/>
          <w:spacing w:val="1"/>
          <w:sz w:val="16"/>
          <w:szCs w:val="16"/>
        </w:rPr>
        <w:t>r</w:t>
      </w:r>
      <w:r w:rsidRPr="000F129A">
        <w:rPr>
          <w:rFonts w:ascii="Arial" w:hAnsi="Arial" w:cs="Arial"/>
          <w:color w:val="000000"/>
          <w:spacing w:val="-3"/>
          <w:sz w:val="16"/>
          <w:szCs w:val="16"/>
        </w:rPr>
        <w:t>e</w:t>
      </w:r>
      <w:r w:rsidRPr="000F129A">
        <w:rPr>
          <w:rFonts w:ascii="Arial" w:hAnsi="Arial" w:cs="Arial"/>
          <w:color w:val="000000"/>
          <w:spacing w:val="2"/>
          <w:sz w:val="16"/>
          <w:szCs w:val="16"/>
        </w:rPr>
        <w:t>g</w:t>
      </w:r>
      <w:r w:rsidRPr="000F129A">
        <w:rPr>
          <w:rFonts w:ascii="Arial" w:hAnsi="Arial" w:cs="Arial"/>
          <w:color w:val="000000"/>
          <w:spacing w:val="-1"/>
          <w:sz w:val="16"/>
          <w:szCs w:val="16"/>
        </w:rPr>
        <w:t>l</w:t>
      </w:r>
      <w:r w:rsidRPr="000F129A">
        <w:rPr>
          <w:rFonts w:ascii="Arial" w:hAnsi="Arial" w:cs="Arial"/>
          <w:color w:val="000000"/>
          <w:sz w:val="16"/>
          <w:szCs w:val="16"/>
        </w:rPr>
        <w:t>as</w:t>
      </w:r>
      <w:r w:rsidRPr="000F129A">
        <w:rPr>
          <w:rFonts w:ascii="Arial" w:hAnsi="Arial" w:cs="Arial"/>
          <w:sz w:val="16"/>
          <w:szCs w:val="16"/>
        </w:rPr>
        <w:t xml:space="preserve">  :  </w:t>
      </w:r>
    </w:p>
    <w:p w14:paraId="21526838" w14:textId="77777777" w:rsidR="00D83CC1" w:rsidRPr="000F129A" w:rsidRDefault="00D83CC1" w:rsidP="00D83CC1">
      <w:pPr>
        <w:widowControl w:val="0"/>
        <w:autoSpaceDE w:val="0"/>
        <w:autoSpaceDN w:val="0"/>
        <w:adjustRightInd w:val="0"/>
        <w:spacing w:line="360" w:lineRule="auto"/>
        <w:ind w:right="-234"/>
        <w:jc w:val="both"/>
        <w:rPr>
          <w:rFonts w:ascii="Arial" w:hAnsi="Arial" w:cs="Arial"/>
          <w:color w:val="000000"/>
          <w:sz w:val="16"/>
          <w:szCs w:val="16"/>
        </w:rPr>
      </w:pPr>
      <w:r w:rsidRPr="000F129A">
        <w:rPr>
          <w:rFonts w:ascii="Arial" w:hAnsi="Arial" w:cs="Arial"/>
          <w:color w:val="000000"/>
          <w:spacing w:val="1"/>
          <w:sz w:val="16"/>
          <w:szCs w:val="16"/>
        </w:rPr>
        <w:t>I</w:t>
      </w:r>
      <w:r w:rsidRPr="000F129A">
        <w:rPr>
          <w:rFonts w:ascii="Arial" w:hAnsi="Arial" w:cs="Arial"/>
          <w:color w:val="000000"/>
          <w:sz w:val="16"/>
          <w:szCs w:val="16"/>
        </w:rPr>
        <w:t xml:space="preserve">.     </w:t>
      </w:r>
      <w:r w:rsidRPr="000F129A">
        <w:rPr>
          <w:rFonts w:ascii="Arial" w:hAnsi="Arial" w:cs="Arial"/>
          <w:color w:val="000000"/>
          <w:spacing w:val="9"/>
          <w:sz w:val="16"/>
          <w:szCs w:val="16"/>
        </w:rPr>
        <w:t xml:space="preserve"> </w:t>
      </w:r>
      <w:r w:rsidRPr="000F129A">
        <w:rPr>
          <w:rFonts w:ascii="Arial" w:hAnsi="Arial" w:cs="Arial"/>
          <w:color w:val="000000"/>
          <w:spacing w:val="-1"/>
          <w:sz w:val="16"/>
          <w:szCs w:val="16"/>
        </w:rPr>
        <w:t>H</w:t>
      </w:r>
      <w:r w:rsidRPr="000F129A">
        <w:rPr>
          <w:rFonts w:ascii="Arial" w:hAnsi="Arial" w:cs="Arial"/>
          <w:color w:val="000000"/>
          <w:sz w:val="16"/>
          <w:szCs w:val="16"/>
        </w:rPr>
        <w:t xml:space="preserve">arán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prueba </w:t>
      </w:r>
      <w:r w:rsidRPr="000F129A">
        <w:rPr>
          <w:rFonts w:ascii="Arial" w:hAnsi="Arial" w:cs="Arial"/>
          <w:color w:val="000000"/>
          <w:spacing w:val="1"/>
          <w:sz w:val="16"/>
          <w:szCs w:val="16"/>
        </w:rPr>
        <w:t xml:space="preserve"> </w:t>
      </w:r>
      <w:r w:rsidRPr="000F129A">
        <w:rPr>
          <w:rFonts w:ascii="Arial" w:hAnsi="Arial" w:cs="Arial"/>
          <w:color w:val="000000"/>
          <w:sz w:val="16"/>
          <w:szCs w:val="16"/>
        </w:rPr>
        <w:t>p</w:t>
      </w:r>
      <w:r w:rsidRPr="000F129A">
        <w:rPr>
          <w:rFonts w:ascii="Arial" w:hAnsi="Arial" w:cs="Arial"/>
          <w:color w:val="000000"/>
          <w:spacing w:val="-1"/>
          <w:sz w:val="16"/>
          <w:szCs w:val="16"/>
        </w:rPr>
        <w:t>l</w:t>
      </w:r>
      <w:r w:rsidRPr="000F129A">
        <w:rPr>
          <w:rFonts w:ascii="Arial" w:hAnsi="Arial" w:cs="Arial"/>
          <w:color w:val="000000"/>
          <w:sz w:val="16"/>
          <w:szCs w:val="16"/>
        </w:rPr>
        <w:t>e</w:t>
      </w:r>
      <w:r w:rsidRPr="000F129A">
        <w:rPr>
          <w:rFonts w:ascii="Arial" w:hAnsi="Arial" w:cs="Arial"/>
          <w:color w:val="000000"/>
          <w:spacing w:val="-1"/>
          <w:sz w:val="16"/>
          <w:szCs w:val="16"/>
        </w:rPr>
        <w:t>n</w:t>
      </w:r>
      <w:r w:rsidRPr="000F129A">
        <w:rPr>
          <w:rFonts w:ascii="Arial" w:hAnsi="Arial" w:cs="Arial"/>
          <w:color w:val="000000"/>
          <w:sz w:val="16"/>
          <w:szCs w:val="16"/>
        </w:rPr>
        <w:t xml:space="preserve">a </w:t>
      </w:r>
      <w:r w:rsidRPr="000F129A">
        <w:rPr>
          <w:rFonts w:ascii="Arial" w:hAnsi="Arial" w:cs="Arial"/>
          <w:color w:val="000000"/>
          <w:spacing w:val="2"/>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 xml:space="preserve">a </w:t>
      </w:r>
      <w:r w:rsidRPr="000F129A">
        <w:rPr>
          <w:rFonts w:ascii="Arial" w:hAnsi="Arial" w:cs="Arial"/>
          <w:color w:val="000000"/>
          <w:spacing w:val="2"/>
          <w:sz w:val="16"/>
          <w:szCs w:val="16"/>
        </w:rPr>
        <w:t xml:space="preserve"> </w:t>
      </w:r>
      <w:r w:rsidRPr="000F129A">
        <w:rPr>
          <w:rFonts w:ascii="Arial" w:hAnsi="Arial" w:cs="Arial"/>
          <w:color w:val="000000"/>
          <w:sz w:val="16"/>
          <w:szCs w:val="16"/>
        </w:rPr>
        <w:t>co</w:t>
      </w:r>
      <w:r w:rsidRPr="000F129A">
        <w:rPr>
          <w:rFonts w:ascii="Arial" w:hAnsi="Arial" w:cs="Arial"/>
          <w:color w:val="000000"/>
          <w:spacing w:val="-3"/>
          <w:sz w:val="16"/>
          <w:szCs w:val="16"/>
        </w:rPr>
        <w:t>n</w:t>
      </w:r>
      <w:r w:rsidRPr="000F129A">
        <w:rPr>
          <w:rFonts w:ascii="Arial" w:hAnsi="Arial" w:cs="Arial"/>
          <w:color w:val="000000"/>
          <w:spacing w:val="3"/>
          <w:sz w:val="16"/>
          <w:szCs w:val="16"/>
        </w:rPr>
        <w:t>f</w:t>
      </w:r>
      <w:r w:rsidRPr="000F129A">
        <w:rPr>
          <w:rFonts w:ascii="Arial" w:hAnsi="Arial" w:cs="Arial"/>
          <w:color w:val="000000"/>
          <w:sz w:val="16"/>
          <w:szCs w:val="16"/>
        </w:rPr>
        <w:t>es</w:t>
      </w:r>
      <w:r w:rsidRPr="000F129A">
        <w:rPr>
          <w:rFonts w:ascii="Arial" w:hAnsi="Arial" w:cs="Arial"/>
          <w:color w:val="000000"/>
          <w:spacing w:val="-1"/>
          <w:sz w:val="16"/>
          <w:szCs w:val="16"/>
        </w:rPr>
        <w:t>i</w:t>
      </w:r>
      <w:r w:rsidRPr="000F129A">
        <w:rPr>
          <w:rFonts w:ascii="Arial" w:hAnsi="Arial" w:cs="Arial"/>
          <w:color w:val="000000"/>
          <w:sz w:val="16"/>
          <w:szCs w:val="16"/>
        </w:rPr>
        <w:t xml:space="preserve">ón </w:t>
      </w:r>
      <w:r w:rsidRPr="000F129A">
        <w:rPr>
          <w:rFonts w:ascii="Arial" w:hAnsi="Arial" w:cs="Arial"/>
          <w:color w:val="000000"/>
          <w:spacing w:val="1"/>
          <w:sz w:val="16"/>
          <w:szCs w:val="16"/>
        </w:rPr>
        <w:t xml:space="preserve"> </w:t>
      </w:r>
      <w:r w:rsidRPr="000F129A">
        <w:rPr>
          <w:rFonts w:ascii="Arial" w:hAnsi="Arial" w:cs="Arial"/>
          <w:color w:val="000000"/>
          <w:sz w:val="16"/>
          <w:szCs w:val="16"/>
        </w:rPr>
        <w:t>e</w:t>
      </w:r>
      <w:r w:rsidRPr="000F129A">
        <w:rPr>
          <w:rFonts w:ascii="Arial" w:hAnsi="Arial" w:cs="Arial"/>
          <w:color w:val="000000"/>
          <w:spacing w:val="-3"/>
          <w:sz w:val="16"/>
          <w:szCs w:val="16"/>
        </w:rPr>
        <w:t>x</w:t>
      </w:r>
      <w:r w:rsidRPr="000F129A">
        <w:rPr>
          <w:rFonts w:ascii="Arial" w:hAnsi="Arial" w:cs="Arial"/>
          <w:color w:val="000000"/>
          <w:sz w:val="16"/>
          <w:szCs w:val="16"/>
        </w:rPr>
        <w:t xml:space="preserve">presa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de </w:t>
      </w:r>
      <w:r w:rsidRPr="000F129A">
        <w:rPr>
          <w:rFonts w:ascii="Arial" w:hAnsi="Arial" w:cs="Arial"/>
          <w:color w:val="000000"/>
          <w:spacing w:val="1"/>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 xml:space="preserve">as </w:t>
      </w:r>
      <w:r w:rsidRPr="000F129A">
        <w:rPr>
          <w:rFonts w:ascii="Arial" w:hAnsi="Arial" w:cs="Arial"/>
          <w:color w:val="000000"/>
          <w:spacing w:val="2"/>
          <w:sz w:val="16"/>
          <w:szCs w:val="16"/>
        </w:rPr>
        <w:t xml:space="preserve"> </w:t>
      </w:r>
      <w:r w:rsidRPr="000F129A">
        <w:rPr>
          <w:rFonts w:ascii="Arial" w:hAnsi="Arial" w:cs="Arial"/>
          <w:color w:val="000000"/>
          <w:sz w:val="16"/>
          <w:szCs w:val="16"/>
        </w:rPr>
        <w:t>p</w:t>
      </w:r>
      <w:r w:rsidRPr="000F129A">
        <w:rPr>
          <w:rFonts w:ascii="Arial" w:hAnsi="Arial" w:cs="Arial"/>
          <w:color w:val="000000"/>
          <w:spacing w:val="-1"/>
          <w:sz w:val="16"/>
          <w:szCs w:val="16"/>
        </w:rPr>
        <w:t>a</w:t>
      </w:r>
      <w:r w:rsidRPr="000F129A">
        <w:rPr>
          <w:rFonts w:ascii="Arial" w:hAnsi="Arial" w:cs="Arial"/>
          <w:color w:val="000000"/>
          <w:spacing w:val="1"/>
          <w:sz w:val="16"/>
          <w:szCs w:val="16"/>
        </w:rPr>
        <w:t>rt</w:t>
      </w:r>
      <w:r w:rsidRPr="000F129A">
        <w:rPr>
          <w:rFonts w:ascii="Arial" w:hAnsi="Arial" w:cs="Arial"/>
          <w:color w:val="000000"/>
          <w:sz w:val="16"/>
          <w:szCs w:val="16"/>
        </w:rPr>
        <w:t xml:space="preserve">es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y  </w:t>
      </w:r>
      <w:r w:rsidRPr="000F129A">
        <w:rPr>
          <w:rFonts w:ascii="Arial" w:hAnsi="Arial" w:cs="Arial"/>
          <w:color w:val="000000"/>
          <w:spacing w:val="-1"/>
          <w:sz w:val="16"/>
          <w:szCs w:val="16"/>
        </w:rPr>
        <w:t>l</w:t>
      </w:r>
      <w:r w:rsidRPr="000F129A">
        <w:rPr>
          <w:rFonts w:ascii="Arial" w:hAnsi="Arial" w:cs="Arial"/>
          <w:color w:val="000000"/>
          <w:sz w:val="16"/>
          <w:szCs w:val="16"/>
        </w:rPr>
        <w:t xml:space="preserve">os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actos </w:t>
      </w:r>
      <w:r w:rsidRPr="000F129A">
        <w:rPr>
          <w:rFonts w:ascii="Arial" w:hAnsi="Arial" w:cs="Arial"/>
          <w:color w:val="000000"/>
          <w:spacing w:val="2"/>
          <w:sz w:val="16"/>
          <w:szCs w:val="16"/>
        </w:rPr>
        <w:t xml:space="preserve"> </w:t>
      </w:r>
      <w:r w:rsidRPr="000F129A">
        <w:rPr>
          <w:rFonts w:ascii="Arial" w:hAnsi="Arial" w:cs="Arial"/>
          <w:color w:val="000000"/>
          <w:sz w:val="16"/>
          <w:szCs w:val="16"/>
        </w:rPr>
        <w:t>co</w:t>
      </w:r>
      <w:r w:rsidRPr="000F129A">
        <w:rPr>
          <w:rFonts w:ascii="Arial" w:hAnsi="Arial" w:cs="Arial"/>
          <w:color w:val="000000"/>
          <w:spacing w:val="-1"/>
          <w:sz w:val="16"/>
          <w:szCs w:val="16"/>
        </w:rPr>
        <w:t>n</w:t>
      </w:r>
      <w:r w:rsidRPr="000F129A">
        <w:rPr>
          <w:rFonts w:ascii="Arial" w:hAnsi="Arial" w:cs="Arial"/>
          <w:color w:val="000000"/>
          <w:spacing w:val="1"/>
          <w:sz w:val="16"/>
          <w:szCs w:val="16"/>
        </w:rPr>
        <w:t>t</w:t>
      </w:r>
      <w:r w:rsidRPr="000F129A">
        <w:rPr>
          <w:rFonts w:ascii="Arial" w:hAnsi="Arial" w:cs="Arial"/>
          <w:color w:val="000000"/>
          <w:sz w:val="16"/>
          <w:szCs w:val="16"/>
        </w:rPr>
        <w:t>e</w:t>
      </w:r>
      <w:r w:rsidRPr="000F129A">
        <w:rPr>
          <w:rFonts w:ascii="Arial" w:hAnsi="Arial" w:cs="Arial"/>
          <w:color w:val="000000"/>
          <w:spacing w:val="-1"/>
          <w:sz w:val="16"/>
          <w:szCs w:val="16"/>
        </w:rPr>
        <w:t>ni</w:t>
      </w:r>
      <w:r w:rsidRPr="000F129A">
        <w:rPr>
          <w:rFonts w:ascii="Arial" w:hAnsi="Arial" w:cs="Arial"/>
          <w:color w:val="000000"/>
          <w:sz w:val="16"/>
          <w:szCs w:val="16"/>
        </w:rPr>
        <w:t>d</w:t>
      </w:r>
      <w:r w:rsidRPr="000F129A">
        <w:rPr>
          <w:rFonts w:ascii="Arial" w:hAnsi="Arial" w:cs="Arial"/>
          <w:color w:val="000000"/>
          <w:spacing w:val="-1"/>
          <w:sz w:val="16"/>
          <w:szCs w:val="16"/>
        </w:rPr>
        <w:t>o</w:t>
      </w:r>
      <w:r w:rsidRPr="000F129A">
        <w:rPr>
          <w:rFonts w:ascii="Arial" w:hAnsi="Arial" w:cs="Arial"/>
          <w:color w:val="000000"/>
          <w:sz w:val="16"/>
          <w:szCs w:val="16"/>
        </w:rPr>
        <w:t xml:space="preserve">s </w:t>
      </w:r>
      <w:r w:rsidRPr="000F129A">
        <w:rPr>
          <w:rFonts w:ascii="Arial" w:hAnsi="Arial" w:cs="Arial"/>
          <w:color w:val="000000"/>
          <w:spacing w:val="2"/>
          <w:sz w:val="16"/>
          <w:szCs w:val="16"/>
        </w:rPr>
        <w:t xml:space="preserve"> </w:t>
      </w:r>
      <w:r w:rsidRPr="000F129A">
        <w:rPr>
          <w:rFonts w:ascii="Arial" w:hAnsi="Arial" w:cs="Arial"/>
          <w:color w:val="000000"/>
          <w:spacing w:val="-3"/>
          <w:sz w:val="16"/>
          <w:szCs w:val="16"/>
        </w:rPr>
        <w:t>e</w:t>
      </w:r>
      <w:r w:rsidRPr="000F129A">
        <w:rPr>
          <w:rFonts w:ascii="Arial" w:hAnsi="Arial" w:cs="Arial"/>
          <w:color w:val="000000"/>
          <w:sz w:val="16"/>
          <w:szCs w:val="16"/>
        </w:rPr>
        <w:t>n d</w:t>
      </w:r>
      <w:r w:rsidRPr="000F129A">
        <w:rPr>
          <w:rFonts w:ascii="Arial" w:hAnsi="Arial" w:cs="Arial"/>
          <w:color w:val="000000"/>
          <w:spacing w:val="-1"/>
          <w:sz w:val="16"/>
          <w:szCs w:val="16"/>
        </w:rPr>
        <w:t>o</w:t>
      </w:r>
      <w:r w:rsidRPr="000F129A">
        <w:rPr>
          <w:rFonts w:ascii="Arial" w:hAnsi="Arial" w:cs="Arial"/>
          <w:color w:val="000000"/>
          <w:sz w:val="16"/>
          <w:szCs w:val="16"/>
        </w:rPr>
        <w:t>cumen</w:t>
      </w:r>
      <w:r w:rsidRPr="000F129A">
        <w:rPr>
          <w:rFonts w:ascii="Arial" w:hAnsi="Arial" w:cs="Arial"/>
          <w:color w:val="000000"/>
          <w:spacing w:val="1"/>
          <w:sz w:val="16"/>
          <w:szCs w:val="16"/>
        </w:rPr>
        <w:t>t</w:t>
      </w:r>
      <w:r w:rsidRPr="000F129A">
        <w:rPr>
          <w:rFonts w:ascii="Arial" w:hAnsi="Arial" w:cs="Arial"/>
          <w:color w:val="000000"/>
          <w:spacing w:val="-3"/>
          <w:sz w:val="16"/>
          <w:szCs w:val="16"/>
        </w:rPr>
        <w:t>o</w:t>
      </w:r>
      <w:r w:rsidRPr="000F129A">
        <w:rPr>
          <w:rFonts w:ascii="Arial" w:hAnsi="Arial" w:cs="Arial"/>
          <w:color w:val="000000"/>
          <w:sz w:val="16"/>
          <w:szCs w:val="16"/>
        </w:rPr>
        <w:t>s</w:t>
      </w:r>
      <w:r w:rsidRPr="000F129A">
        <w:rPr>
          <w:rFonts w:ascii="Arial" w:hAnsi="Arial" w:cs="Arial"/>
          <w:color w:val="000000"/>
          <w:spacing w:val="5"/>
          <w:sz w:val="16"/>
          <w:szCs w:val="16"/>
        </w:rPr>
        <w:t xml:space="preserve"> </w:t>
      </w:r>
      <w:r w:rsidRPr="000F129A">
        <w:rPr>
          <w:rFonts w:ascii="Arial" w:hAnsi="Arial" w:cs="Arial"/>
          <w:color w:val="000000"/>
          <w:sz w:val="16"/>
          <w:szCs w:val="16"/>
        </w:rPr>
        <w:t>p</w:t>
      </w:r>
      <w:r w:rsidRPr="000F129A">
        <w:rPr>
          <w:rFonts w:ascii="Arial" w:hAnsi="Arial" w:cs="Arial"/>
          <w:color w:val="000000"/>
          <w:spacing w:val="-1"/>
          <w:sz w:val="16"/>
          <w:szCs w:val="16"/>
        </w:rPr>
        <w:t>ú</w:t>
      </w:r>
      <w:r w:rsidRPr="000F129A">
        <w:rPr>
          <w:rFonts w:ascii="Arial" w:hAnsi="Arial" w:cs="Arial"/>
          <w:color w:val="000000"/>
          <w:sz w:val="16"/>
          <w:szCs w:val="16"/>
        </w:rPr>
        <w:t>b</w:t>
      </w:r>
      <w:r w:rsidRPr="000F129A">
        <w:rPr>
          <w:rFonts w:ascii="Arial" w:hAnsi="Arial" w:cs="Arial"/>
          <w:color w:val="000000"/>
          <w:spacing w:val="-1"/>
          <w:sz w:val="16"/>
          <w:szCs w:val="16"/>
        </w:rPr>
        <w:t>li</w:t>
      </w:r>
      <w:r w:rsidRPr="000F129A">
        <w:rPr>
          <w:rFonts w:ascii="Arial" w:hAnsi="Arial" w:cs="Arial"/>
          <w:color w:val="000000"/>
          <w:sz w:val="16"/>
          <w:szCs w:val="16"/>
        </w:rPr>
        <w:t>cos,</w:t>
      </w:r>
      <w:r w:rsidRPr="000F129A">
        <w:rPr>
          <w:rFonts w:ascii="Arial" w:hAnsi="Arial" w:cs="Arial"/>
          <w:color w:val="000000"/>
          <w:spacing w:val="4"/>
          <w:sz w:val="16"/>
          <w:szCs w:val="16"/>
        </w:rPr>
        <w:t xml:space="preserve"> </w:t>
      </w:r>
      <w:r w:rsidRPr="000F129A">
        <w:rPr>
          <w:rFonts w:ascii="Arial" w:hAnsi="Arial" w:cs="Arial"/>
          <w:color w:val="000000"/>
          <w:sz w:val="16"/>
          <w:szCs w:val="16"/>
        </w:rPr>
        <w:t>si</w:t>
      </w:r>
      <w:r w:rsidRPr="000F129A">
        <w:rPr>
          <w:rFonts w:ascii="Arial" w:hAnsi="Arial" w:cs="Arial"/>
          <w:color w:val="000000"/>
          <w:spacing w:val="4"/>
          <w:sz w:val="16"/>
          <w:szCs w:val="16"/>
        </w:rPr>
        <w:t xml:space="preserve"> </w:t>
      </w:r>
      <w:r w:rsidRPr="000F129A">
        <w:rPr>
          <w:rFonts w:ascii="Arial" w:hAnsi="Arial" w:cs="Arial"/>
          <w:color w:val="000000"/>
          <w:sz w:val="16"/>
          <w:szCs w:val="16"/>
        </w:rPr>
        <w:t>en</w:t>
      </w:r>
      <w:r w:rsidRPr="000F129A">
        <w:rPr>
          <w:rFonts w:ascii="Arial" w:hAnsi="Arial" w:cs="Arial"/>
          <w:color w:val="000000"/>
          <w:spacing w:val="5"/>
          <w:sz w:val="16"/>
          <w:szCs w:val="16"/>
        </w:rPr>
        <w:t xml:space="preserve"> </w:t>
      </w:r>
      <w:r w:rsidRPr="000F129A">
        <w:rPr>
          <w:rFonts w:ascii="Arial" w:hAnsi="Arial" w:cs="Arial"/>
          <w:color w:val="000000"/>
          <w:sz w:val="16"/>
          <w:szCs w:val="16"/>
        </w:rPr>
        <w:t>éstos</w:t>
      </w:r>
      <w:r w:rsidRPr="000F129A">
        <w:rPr>
          <w:rFonts w:ascii="Arial" w:hAnsi="Arial" w:cs="Arial"/>
          <w:color w:val="000000"/>
          <w:spacing w:val="3"/>
          <w:sz w:val="16"/>
          <w:szCs w:val="16"/>
        </w:rPr>
        <w:t xml:space="preserve"> </w:t>
      </w:r>
      <w:r w:rsidRPr="000F129A">
        <w:rPr>
          <w:rFonts w:ascii="Arial" w:hAnsi="Arial" w:cs="Arial"/>
          <w:color w:val="000000"/>
          <w:sz w:val="16"/>
          <w:szCs w:val="16"/>
        </w:rPr>
        <w:t>ú</w:t>
      </w:r>
      <w:r w:rsidRPr="000F129A">
        <w:rPr>
          <w:rFonts w:ascii="Arial" w:hAnsi="Arial" w:cs="Arial"/>
          <w:color w:val="000000"/>
          <w:spacing w:val="-1"/>
          <w:sz w:val="16"/>
          <w:szCs w:val="16"/>
        </w:rPr>
        <w:t>l</w:t>
      </w:r>
      <w:r w:rsidRPr="000F129A">
        <w:rPr>
          <w:rFonts w:ascii="Arial" w:hAnsi="Arial" w:cs="Arial"/>
          <w:color w:val="000000"/>
          <w:spacing w:val="1"/>
          <w:sz w:val="16"/>
          <w:szCs w:val="16"/>
        </w:rPr>
        <w:t>t</w:t>
      </w:r>
      <w:r w:rsidRPr="000F129A">
        <w:rPr>
          <w:rFonts w:ascii="Arial" w:hAnsi="Arial" w:cs="Arial"/>
          <w:color w:val="000000"/>
          <w:spacing w:val="-1"/>
          <w:sz w:val="16"/>
          <w:szCs w:val="16"/>
        </w:rPr>
        <w:t>i</w:t>
      </w:r>
      <w:r w:rsidRPr="000F129A">
        <w:rPr>
          <w:rFonts w:ascii="Arial" w:hAnsi="Arial" w:cs="Arial"/>
          <w:color w:val="000000"/>
          <w:spacing w:val="1"/>
          <w:sz w:val="16"/>
          <w:szCs w:val="16"/>
        </w:rPr>
        <w:t>m</w:t>
      </w:r>
      <w:r w:rsidRPr="000F129A">
        <w:rPr>
          <w:rFonts w:ascii="Arial" w:hAnsi="Arial" w:cs="Arial"/>
          <w:color w:val="000000"/>
          <w:sz w:val="16"/>
          <w:szCs w:val="16"/>
        </w:rPr>
        <w:t>os se</w:t>
      </w:r>
      <w:r w:rsidRPr="000F129A">
        <w:rPr>
          <w:rFonts w:ascii="Arial" w:hAnsi="Arial" w:cs="Arial"/>
          <w:color w:val="000000"/>
          <w:spacing w:val="5"/>
          <w:sz w:val="16"/>
          <w:szCs w:val="16"/>
        </w:rPr>
        <w:t xml:space="preserve"> </w:t>
      </w:r>
      <w:r w:rsidRPr="000F129A">
        <w:rPr>
          <w:rFonts w:ascii="Arial" w:hAnsi="Arial" w:cs="Arial"/>
          <w:color w:val="000000"/>
          <w:sz w:val="16"/>
          <w:szCs w:val="16"/>
        </w:rPr>
        <w:t>co</w:t>
      </w:r>
      <w:r w:rsidRPr="000F129A">
        <w:rPr>
          <w:rFonts w:ascii="Arial" w:hAnsi="Arial" w:cs="Arial"/>
          <w:color w:val="000000"/>
          <w:spacing w:val="-1"/>
          <w:sz w:val="16"/>
          <w:szCs w:val="16"/>
        </w:rPr>
        <w:t>n</w:t>
      </w:r>
      <w:r w:rsidRPr="000F129A">
        <w:rPr>
          <w:rFonts w:ascii="Arial" w:hAnsi="Arial" w:cs="Arial"/>
          <w:color w:val="000000"/>
          <w:spacing w:val="1"/>
          <w:sz w:val="16"/>
          <w:szCs w:val="16"/>
        </w:rPr>
        <w:t>t</w:t>
      </w:r>
      <w:r w:rsidRPr="000F129A">
        <w:rPr>
          <w:rFonts w:ascii="Arial" w:hAnsi="Arial" w:cs="Arial"/>
          <w:color w:val="000000"/>
          <w:spacing w:val="-1"/>
          <w:sz w:val="16"/>
          <w:szCs w:val="16"/>
        </w:rPr>
        <w:t>i</w:t>
      </w:r>
      <w:r w:rsidRPr="000F129A">
        <w:rPr>
          <w:rFonts w:ascii="Arial" w:hAnsi="Arial" w:cs="Arial"/>
          <w:color w:val="000000"/>
          <w:sz w:val="16"/>
          <w:szCs w:val="16"/>
        </w:rPr>
        <w:t>e</w:t>
      </w:r>
      <w:r w:rsidRPr="000F129A">
        <w:rPr>
          <w:rFonts w:ascii="Arial" w:hAnsi="Arial" w:cs="Arial"/>
          <w:color w:val="000000"/>
          <w:spacing w:val="-1"/>
          <w:sz w:val="16"/>
          <w:szCs w:val="16"/>
        </w:rPr>
        <w:t>n</w:t>
      </w:r>
      <w:r w:rsidRPr="000F129A">
        <w:rPr>
          <w:rFonts w:ascii="Arial" w:hAnsi="Arial" w:cs="Arial"/>
          <w:color w:val="000000"/>
          <w:sz w:val="16"/>
          <w:szCs w:val="16"/>
        </w:rPr>
        <w:t>en</w:t>
      </w:r>
      <w:r w:rsidRPr="000F129A">
        <w:rPr>
          <w:rFonts w:ascii="Arial" w:hAnsi="Arial" w:cs="Arial"/>
          <w:color w:val="000000"/>
          <w:spacing w:val="5"/>
          <w:sz w:val="16"/>
          <w:szCs w:val="16"/>
        </w:rPr>
        <w:t xml:space="preserve"> </w:t>
      </w:r>
      <w:r w:rsidRPr="000F129A">
        <w:rPr>
          <w:rFonts w:ascii="Arial" w:hAnsi="Arial" w:cs="Arial"/>
          <w:color w:val="000000"/>
          <w:sz w:val="16"/>
          <w:szCs w:val="16"/>
        </w:rPr>
        <w:t>d</w:t>
      </w:r>
      <w:r w:rsidRPr="000F129A">
        <w:rPr>
          <w:rFonts w:ascii="Arial" w:hAnsi="Arial" w:cs="Arial"/>
          <w:color w:val="000000"/>
          <w:spacing w:val="-1"/>
          <w:sz w:val="16"/>
          <w:szCs w:val="16"/>
        </w:rPr>
        <w:t>e</w:t>
      </w:r>
      <w:r w:rsidRPr="000F129A">
        <w:rPr>
          <w:rFonts w:ascii="Arial" w:hAnsi="Arial" w:cs="Arial"/>
          <w:color w:val="000000"/>
          <w:sz w:val="16"/>
          <w:szCs w:val="16"/>
        </w:rPr>
        <w:t>c</w:t>
      </w:r>
      <w:r w:rsidRPr="000F129A">
        <w:rPr>
          <w:rFonts w:ascii="Arial" w:hAnsi="Arial" w:cs="Arial"/>
          <w:color w:val="000000"/>
          <w:spacing w:val="-1"/>
          <w:sz w:val="16"/>
          <w:szCs w:val="16"/>
        </w:rPr>
        <w:t>l</w:t>
      </w:r>
      <w:r w:rsidRPr="000F129A">
        <w:rPr>
          <w:rFonts w:ascii="Arial" w:hAnsi="Arial" w:cs="Arial"/>
          <w:color w:val="000000"/>
          <w:spacing w:val="-3"/>
          <w:sz w:val="16"/>
          <w:szCs w:val="16"/>
        </w:rPr>
        <w:t>a</w:t>
      </w:r>
      <w:r w:rsidRPr="000F129A">
        <w:rPr>
          <w:rFonts w:ascii="Arial" w:hAnsi="Arial" w:cs="Arial"/>
          <w:color w:val="000000"/>
          <w:spacing w:val="1"/>
          <w:sz w:val="16"/>
          <w:szCs w:val="16"/>
        </w:rPr>
        <w:t>r</w:t>
      </w:r>
      <w:r w:rsidRPr="000F129A">
        <w:rPr>
          <w:rFonts w:ascii="Arial" w:hAnsi="Arial" w:cs="Arial"/>
          <w:color w:val="000000"/>
          <w:sz w:val="16"/>
          <w:szCs w:val="16"/>
        </w:rPr>
        <w:t>ac</w:t>
      </w:r>
      <w:r w:rsidRPr="000F129A">
        <w:rPr>
          <w:rFonts w:ascii="Arial" w:hAnsi="Arial" w:cs="Arial"/>
          <w:color w:val="000000"/>
          <w:spacing w:val="-1"/>
          <w:sz w:val="16"/>
          <w:szCs w:val="16"/>
        </w:rPr>
        <w:t>i</w:t>
      </w:r>
      <w:r w:rsidRPr="000F129A">
        <w:rPr>
          <w:rFonts w:ascii="Arial" w:hAnsi="Arial" w:cs="Arial"/>
          <w:color w:val="000000"/>
          <w:spacing w:val="4"/>
          <w:sz w:val="16"/>
          <w:szCs w:val="16"/>
        </w:rPr>
        <w:t>o</w:t>
      </w:r>
      <w:r w:rsidRPr="000F129A">
        <w:rPr>
          <w:rFonts w:ascii="Arial" w:hAnsi="Arial" w:cs="Arial"/>
          <w:color w:val="000000"/>
          <w:sz w:val="16"/>
          <w:szCs w:val="16"/>
        </w:rPr>
        <w:t>n</w:t>
      </w:r>
      <w:r w:rsidRPr="000F129A">
        <w:rPr>
          <w:rFonts w:ascii="Arial" w:hAnsi="Arial" w:cs="Arial"/>
          <w:color w:val="000000"/>
          <w:spacing w:val="-1"/>
          <w:sz w:val="16"/>
          <w:szCs w:val="16"/>
        </w:rPr>
        <w:t>e</w:t>
      </w:r>
      <w:r w:rsidRPr="000F129A">
        <w:rPr>
          <w:rFonts w:ascii="Arial" w:hAnsi="Arial" w:cs="Arial"/>
          <w:color w:val="000000"/>
          <w:sz w:val="16"/>
          <w:szCs w:val="16"/>
        </w:rPr>
        <w:t>s</w:t>
      </w:r>
      <w:r w:rsidRPr="000F129A">
        <w:rPr>
          <w:rFonts w:ascii="Arial" w:hAnsi="Arial" w:cs="Arial"/>
          <w:color w:val="000000"/>
          <w:spacing w:val="5"/>
          <w:sz w:val="16"/>
          <w:szCs w:val="16"/>
        </w:rPr>
        <w:t xml:space="preserve"> </w:t>
      </w:r>
      <w:r w:rsidRPr="000F129A">
        <w:rPr>
          <w:rFonts w:ascii="Arial" w:hAnsi="Arial" w:cs="Arial"/>
          <w:color w:val="000000"/>
          <w:sz w:val="16"/>
          <w:szCs w:val="16"/>
        </w:rPr>
        <w:t>de</w:t>
      </w:r>
      <w:r w:rsidRPr="000F129A">
        <w:rPr>
          <w:rFonts w:ascii="Arial" w:hAnsi="Arial" w:cs="Arial"/>
          <w:color w:val="000000"/>
          <w:spacing w:val="5"/>
          <w:sz w:val="16"/>
          <w:szCs w:val="16"/>
        </w:rPr>
        <w:t xml:space="preserve"> </w:t>
      </w:r>
      <w:r w:rsidRPr="000F129A">
        <w:rPr>
          <w:rFonts w:ascii="Arial" w:hAnsi="Arial" w:cs="Arial"/>
          <w:color w:val="000000"/>
          <w:spacing w:val="-2"/>
          <w:sz w:val="16"/>
          <w:szCs w:val="16"/>
        </w:rPr>
        <w:t>v</w:t>
      </w:r>
      <w:r w:rsidRPr="000F129A">
        <w:rPr>
          <w:rFonts w:ascii="Arial" w:hAnsi="Arial" w:cs="Arial"/>
          <w:color w:val="000000"/>
          <w:sz w:val="16"/>
          <w:szCs w:val="16"/>
        </w:rPr>
        <w:t>erdad</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o </w:t>
      </w:r>
      <w:r w:rsidRPr="000F129A">
        <w:rPr>
          <w:rFonts w:ascii="Arial" w:hAnsi="Arial" w:cs="Arial"/>
          <w:color w:val="000000"/>
          <w:spacing w:val="1"/>
          <w:sz w:val="16"/>
          <w:szCs w:val="16"/>
        </w:rPr>
        <w:t>m</w:t>
      </w:r>
      <w:r w:rsidRPr="000F129A">
        <w:rPr>
          <w:rFonts w:ascii="Arial" w:hAnsi="Arial" w:cs="Arial"/>
          <w:color w:val="000000"/>
          <w:sz w:val="16"/>
          <w:szCs w:val="16"/>
        </w:rPr>
        <w:t>a</w:t>
      </w:r>
      <w:r w:rsidRPr="000F129A">
        <w:rPr>
          <w:rFonts w:ascii="Arial" w:hAnsi="Arial" w:cs="Arial"/>
          <w:color w:val="000000"/>
          <w:spacing w:val="-1"/>
          <w:sz w:val="16"/>
          <w:szCs w:val="16"/>
        </w:rPr>
        <w:t>n</w:t>
      </w:r>
      <w:r w:rsidRPr="000F129A">
        <w:rPr>
          <w:rFonts w:ascii="Arial" w:hAnsi="Arial" w:cs="Arial"/>
          <w:color w:val="000000"/>
          <w:spacing w:val="-3"/>
          <w:sz w:val="16"/>
          <w:szCs w:val="16"/>
        </w:rPr>
        <w:t>i</w:t>
      </w:r>
      <w:r w:rsidRPr="000F129A">
        <w:rPr>
          <w:rFonts w:ascii="Arial" w:hAnsi="Arial" w:cs="Arial"/>
          <w:color w:val="000000"/>
          <w:spacing w:val="3"/>
          <w:sz w:val="16"/>
          <w:szCs w:val="16"/>
        </w:rPr>
        <w:t>f</w:t>
      </w:r>
      <w:r w:rsidRPr="000F129A">
        <w:rPr>
          <w:rFonts w:ascii="Arial" w:hAnsi="Arial" w:cs="Arial"/>
          <w:color w:val="000000"/>
          <w:sz w:val="16"/>
          <w:szCs w:val="16"/>
        </w:rPr>
        <w:t>e</w:t>
      </w:r>
      <w:r w:rsidRPr="000F129A">
        <w:rPr>
          <w:rFonts w:ascii="Arial" w:hAnsi="Arial" w:cs="Arial"/>
          <w:color w:val="000000"/>
          <w:spacing w:val="-3"/>
          <w:sz w:val="16"/>
          <w:szCs w:val="16"/>
        </w:rPr>
        <w:t>s</w:t>
      </w:r>
      <w:r w:rsidRPr="000F129A">
        <w:rPr>
          <w:rFonts w:ascii="Arial" w:hAnsi="Arial" w:cs="Arial"/>
          <w:color w:val="000000"/>
          <w:spacing w:val="1"/>
          <w:sz w:val="16"/>
          <w:szCs w:val="16"/>
        </w:rPr>
        <w:t>t</w:t>
      </w:r>
      <w:r w:rsidRPr="000F129A">
        <w:rPr>
          <w:rFonts w:ascii="Arial" w:hAnsi="Arial" w:cs="Arial"/>
          <w:color w:val="000000"/>
          <w:sz w:val="16"/>
          <w:szCs w:val="16"/>
        </w:rPr>
        <w:t>ac</w:t>
      </w:r>
      <w:r w:rsidRPr="000F129A">
        <w:rPr>
          <w:rFonts w:ascii="Arial" w:hAnsi="Arial" w:cs="Arial"/>
          <w:color w:val="000000"/>
          <w:spacing w:val="-1"/>
          <w:sz w:val="16"/>
          <w:szCs w:val="16"/>
        </w:rPr>
        <w:t>i</w:t>
      </w:r>
      <w:r w:rsidRPr="000F129A">
        <w:rPr>
          <w:rFonts w:ascii="Arial" w:hAnsi="Arial" w:cs="Arial"/>
          <w:color w:val="000000"/>
          <w:sz w:val="16"/>
          <w:szCs w:val="16"/>
        </w:rPr>
        <w:t>o</w:t>
      </w:r>
      <w:r w:rsidRPr="000F129A">
        <w:rPr>
          <w:rFonts w:ascii="Arial" w:hAnsi="Arial" w:cs="Arial"/>
          <w:color w:val="000000"/>
          <w:spacing w:val="-1"/>
          <w:sz w:val="16"/>
          <w:szCs w:val="16"/>
        </w:rPr>
        <w:t>n</w:t>
      </w:r>
      <w:r w:rsidRPr="000F129A">
        <w:rPr>
          <w:rFonts w:ascii="Arial" w:hAnsi="Arial" w:cs="Arial"/>
          <w:color w:val="000000"/>
          <w:sz w:val="16"/>
          <w:szCs w:val="16"/>
        </w:rPr>
        <w:t>es de</w:t>
      </w:r>
      <w:r w:rsidRPr="000F129A">
        <w:rPr>
          <w:rFonts w:ascii="Arial" w:hAnsi="Arial" w:cs="Arial"/>
          <w:color w:val="000000"/>
          <w:spacing w:val="-1"/>
          <w:sz w:val="16"/>
          <w:szCs w:val="16"/>
        </w:rPr>
        <w:t xml:space="preserve"> </w:t>
      </w:r>
      <w:r w:rsidRPr="000F129A">
        <w:rPr>
          <w:rFonts w:ascii="Arial" w:hAnsi="Arial" w:cs="Arial"/>
          <w:color w:val="000000"/>
          <w:sz w:val="16"/>
          <w:szCs w:val="16"/>
        </w:rPr>
        <w:t>h</w:t>
      </w:r>
      <w:r w:rsidRPr="000F129A">
        <w:rPr>
          <w:rFonts w:ascii="Arial" w:hAnsi="Arial" w:cs="Arial"/>
          <w:color w:val="000000"/>
          <w:spacing w:val="-1"/>
          <w:sz w:val="16"/>
          <w:szCs w:val="16"/>
        </w:rPr>
        <w:t>e</w:t>
      </w:r>
      <w:r w:rsidRPr="000F129A">
        <w:rPr>
          <w:rFonts w:ascii="Arial" w:hAnsi="Arial" w:cs="Arial"/>
          <w:color w:val="000000"/>
          <w:sz w:val="16"/>
          <w:szCs w:val="16"/>
        </w:rPr>
        <w:t>c</w:t>
      </w:r>
      <w:r w:rsidRPr="000F129A">
        <w:rPr>
          <w:rFonts w:ascii="Arial" w:hAnsi="Arial" w:cs="Arial"/>
          <w:color w:val="000000"/>
          <w:spacing w:val="-3"/>
          <w:sz w:val="16"/>
          <w:szCs w:val="16"/>
        </w:rPr>
        <w:t>h</w:t>
      </w:r>
      <w:r w:rsidRPr="000F129A">
        <w:rPr>
          <w:rFonts w:ascii="Arial" w:hAnsi="Arial" w:cs="Arial"/>
          <w:color w:val="000000"/>
          <w:sz w:val="16"/>
          <w:szCs w:val="16"/>
        </w:rPr>
        <w:t>os de</w:t>
      </w:r>
      <w:r w:rsidRPr="000F129A">
        <w:rPr>
          <w:rFonts w:ascii="Arial" w:hAnsi="Arial" w:cs="Arial"/>
          <w:color w:val="000000"/>
          <w:spacing w:val="1"/>
          <w:sz w:val="16"/>
          <w:szCs w:val="16"/>
        </w:rPr>
        <w:t xml:space="preserve"> </w:t>
      </w:r>
      <w:r w:rsidRPr="000F129A">
        <w:rPr>
          <w:rFonts w:ascii="Arial" w:hAnsi="Arial" w:cs="Arial"/>
          <w:color w:val="000000"/>
          <w:sz w:val="16"/>
          <w:szCs w:val="16"/>
        </w:rPr>
        <w:t>p</w:t>
      </w:r>
      <w:r w:rsidRPr="000F129A">
        <w:rPr>
          <w:rFonts w:ascii="Arial" w:hAnsi="Arial" w:cs="Arial"/>
          <w:color w:val="000000"/>
          <w:spacing w:val="-3"/>
          <w:sz w:val="16"/>
          <w:szCs w:val="16"/>
        </w:rPr>
        <w:t>a</w:t>
      </w:r>
      <w:r w:rsidRPr="000F129A">
        <w:rPr>
          <w:rFonts w:ascii="Arial" w:hAnsi="Arial" w:cs="Arial"/>
          <w:color w:val="000000"/>
          <w:spacing w:val="1"/>
          <w:sz w:val="16"/>
          <w:szCs w:val="16"/>
        </w:rPr>
        <w:t>rt</w:t>
      </w:r>
      <w:r w:rsidRPr="000F129A">
        <w:rPr>
          <w:rFonts w:ascii="Arial" w:hAnsi="Arial" w:cs="Arial"/>
          <w:color w:val="000000"/>
          <w:spacing w:val="-1"/>
          <w:sz w:val="16"/>
          <w:szCs w:val="16"/>
        </w:rPr>
        <w:t>i</w:t>
      </w:r>
      <w:r w:rsidRPr="000F129A">
        <w:rPr>
          <w:rFonts w:ascii="Arial" w:hAnsi="Arial" w:cs="Arial"/>
          <w:color w:val="000000"/>
          <w:sz w:val="16"/>
          <w:szCs w:val="16"/>
        </w:rPr>
        <w:t>cu</w:t>
      </w:r>
      <w:r w:rsidRPr="000F129A">
        <w:rPr>
          <w:rFonts w:ascii="Arial" w:hAnsi="Arial" w:cs="Arial"/>
          <w:color w:val="000000"/>
          <w:spacing w:val="-1"/>
          <w:sz w:val="16"/>
          <w:szCs w:val="16"/>
        </w:rPr>
        <w:t>l</w:t>
      </w:r>
      <w:r w:rsidRPr="000F129A">
        <w:rPr>
          <w:rFonts w:ascii="Arial" w:hAnsi="Arial" w:cs="Arial"/>
          <w:color w:val="000000"/>
          <w:sz w:val="16"/>
          <w:szCs w:val="16"/>
        </w:rPr>
        <w:t>are</w:t>
      </w:r>
      <w:r w:rsidRPr="000F129A">
        <w:rPr>
          <w:rFonts w:ascii="Arial" w:hAnsi="Arial" w:cs="Arial"/>
          <w:color w:val="000000"/>
          <w:spacing w:val="-2"/>
          <w:sz w:val="16"/>
          <w:szCs w:val="16"/>
        </w:rPr>
        <w:t>s</w:t>
      </w:r>
      <w:r w:rsidRPr="000F129A">
        <w:rPr>
          <w:rFonts w:ascii="Arial" w:hAnsi="Arial" w:cs="Arial"/>
          <w:color w:val="000000"/>
          <w:sz w:val="16"/>
          <w:szCs w:val="16"/>
        </w:rPr>
        <w:t>,</w:t>
      </w:r>
      <w:r w:rsidRPr="000F129A">
        <w:rPr>
          <w:rFonts w:ascii="Arial" w:hAnsi="Arial" w:cs="Arial"/>
          <w:color w:val="000000"/>
          <w:spacing w:val="2"/>
          <w:sz w:val="16"/>
          <w:szCs w:val="16"/>
        </w:rPr>
        <w:t xml:space="preserve"> </w:t>
      </w:r>
      <w:r w:rsidRPr="000F129A">
        <w:rPr>
          <w:rFonts w:ascii="Arial" w:hAnsi="Arial" w:cs="Arial"/>
          <w:color w:val="000000"/>
          <w:sz w:val="16"/>
          <w:szCs w:val="16"/>
        </w:rPr>
        <w:t>y</w:t>
      </w:r>
      <w:r>
        <w:rPr>
          <w:rFonts w:ascii="Arial" w:hAnsi="Arial" w:cs="Arial"/>
          <w:color w:val="000000"/>
          <w:sz w:val="16"/>
          <w:szCs w:val="16"/>
        </w:rPr>
        <w:t xml:space="preserve"> (…)”</w:t>
      </w:r>
    </w:p>
    <w:p w14:paraId="7174E5E3" w14:textId="77777777" w:rsidR="00D83CC1" w:rsidRDefault="00D83CC1" w:rsidP="00D83CC1">
      <w:pPr>
        <w:pStyle w:val="Textonotapie"/>
      </w:pPr>
    </w:p>
  </w:footnote>
  <w:footnote w:id="4">
    <w:p w14:paraId="3DBF711D" w14:textId="56F78420" w:rsidR="00EC3B62" w:rsidRDefault="00EC3B62" w:rsidP="00EC3B62">
      <w:pPr>
        <w:pStyle w:val="temp"/>
        <w:shd w:val="clear" w:color="auto" w:fill="FFFFFF"/>
        <w:spacing w:before="0" w:beforeAutospacing="0" w:after="0" w:afterAutospacing="0"/>
        <w:jc w:val="both"/>
        <w:rPr>
          <w:rFonts w:ascii="Calibri" w:hAnsi="Calibri" w:cs="Calibri"/>
          <w:color w:val="212529"/>
          <w:sz w:val="26"/>
          <w:szCs w:val="26"/>
        </w:rPr>
      </w:pPr>
      <w:r>
        <w:rPr>
          <w:rStyle w:val="Refdenotaalpie"/>
        </w:rPr>
        <w:footnoteRef/>
      </w:r>
      <w:r>
        <w:t xml:space="preserve"> </w:t>
      </w:r>
      <w:r w:rsidRPr="00EC3B62">
        <w:rPr>
          <w:rStyle w:val="bold"/>
          <w:rFonts w:ascii="Arial" w:eastAsia="PMingLiU" w:hAnsi="Arial" w:cs="Arial"/>
          <w:color w:val="212529"/>
          <w:sz w:val="20"/>
          <w:szCs w:val="20"/>
        </w:rPr>
        <w:t>Registro digital: </w:t>
      </w:r>
      <w:r w:rsidRPr="00EC3B62">
        <w:rPr>
          <w:rFonts w:ascii="Arial" w:hAnsi="Arial" w:cs="Arial"/>
          <w:color w:val="212529"/>
          <w:sz w:val="20"/>
          <w:szCs w:val="20"/>
        </w:rPr>
        <w:t xml:space="preserve">2020803, </w:t>
      </w:r>
      <w:r w:rsidRPr="00EC3B62">
        <w:rPr>
          <w:rStyle w:val="bold"/>
          <w:rFonts w:ascii="Arial" w:eastAsia="PMingLiU" w:hAnsi="Arial" w:cs="Arial"/>
          <w:color w:val="212529"/>
          <w:sz w:val="20"/>
          <w:szCs w:val="20"/>
        </w:rPr>
        <w:t>Instancia: </w:t>
      </w:r>
      <w:r w:rsidRPr="00EC3B62">
        <w:rPr>
          <w:rFonts w:ascii="Arial" w:hAnsi="Arial" w:cs="Arial"/>
          <w:color w:val="212529"/>
          <w:sz w:val="20"/>
          <w:szCs w:val="20"/>
        </w:rPr>
        <w:t xml:space="preserve">Tribunales Colegiados de Circuito, </w:t>
      </w:r>
      <w:r w:rsidRPr="00EC3B62">
        <w:rPr>
          <w:rStyle w:val="bold"/>
          <w:rFonts w:ascii="Arial" w:eastAsia="PMingLiU" w:hAnsi="Arial" w:cs="Arial"/>
          <w:color w:val="212529"/>
          <w:sz w:val="20"/>
          <w:szCs w:val="20"/>
        </w:rPr>
        <w:t>Décima Época, Materia(s): </w:t>
      </w:r>
      <w:r w:rsidRPr="00EC3B62">
        <w:rPr>
          <w:rFonts w:ascii="Arial" w:hAnsi="Arial" w:cs="Arial"/>
          <w:color w:val="212529"/>
          <w:sz w:val="20"/>
          <w:szCs w:val="20"/>
        </w:rPr>
        <w:t xml:space="preserve">Administrativa, </w:t>
      </w:r>
      <w:r w:rsidRPr="00EC3B62">
        <w:rPr>
          <w:rStyle w:val="bold"/>
          <w:rFonts w:ascii="Arial" w:eastAsia="PMingLiU" w:hAnsi="Arial" w:cs="Arial"/>
          <w:color w:val="212529"/>
          <w:sz w:val="20"/>
          <w:szCs w:val="20"/>
        </w:rPr>
        <w:t>Tesis: </w:t>
      </w:r>
      <w:r w:rsidRPr="00EC3B62">
        <w:rPr>
          <w:rFonts w:ascii="Arial" w:hAnsi="Arial" w:cs="Arial"/>
          <w:color w:val="212529"/>
          <w:sz w:val="20"/>
          <w:szCs w:val="20"/>
        </w:rPr>
        <w:t xml:space="preserve">I.4o.A. J/4 (10a.), </w:t>
      </w:r>
      <w:r w:rsidRPr="00EC3B62">
        <w:rPr>
          <w:rStyle w:val="bold"/>
          <w:rFonts w:ascii="Arial" w:eastAsia="PMingLiU" w:hAnsi="Arial" w:cs="Arial"/>
          <w:color w:val="212529"/>
          <w:sz w:val="20"/>
          <w:szCs w:val="20"/>
        </w:rPr>
        <w:t>Fuente: </w:t>
      </w:r>
      <w:r w:rsidRPr="00EC3B62">
        <w:rPr>
          <w:rFonts w:ascii="Arial" w:hAnsi="Arial" w:cs="Arial"/>
          <w:color w:val="212529"/>
          <w:sz w:val="20"/>
          <w:szCs w:val="20"/>
        </w:rPr>
        <w:t xml:space="preserve">Gaceta del Semanario Judicial de la Federación, </w:t>
      </w:r>
      <w:r w:rsidRPr="00EC3B62">
        <w:rPr>
          <w:rStyle w:val="ng-star-inserted"/>
          <w:rFonts w:ascii="Arial" w:hAnsi="Arial" w:cs="Arial"/>
          <w:color w:val="212529"/>
          <w:sz w:val="20"/>
          <w:szCs w:val="20"/>
        </w:rPr>
        <w:t xml:space="preserve">Libro 71, Octubre de 2019, Tomo IV, página 3350, </w:t>
      </w:r>
      <w:r w:rsidRPr="00EC3B62">
        <w:rPr>
          <w:rStyle w:val="bold"/>
          <w:rFonts w:ascii="Arial" w:eastAsia="PMingLiU" w:hAnsi="Arial" w:cs="Arial"/>
          <w:color w:val="212529"/>
          <w:sz w:val="20"/>
          <w:szCs w:val="20"/>
        </w:rPr>
        <w:t>Tipo: </w:t>
      </w:r>
      <w:r w:rsidRPr="00EC3B62">
        <w:rPr>
          <w:rFonts w:ascii="Arial" w:hAnsi="Arial" w:cs="Arial"/>
          <w:color w:val="212529"/>
          <w:sz w:val="20"/>
          <w:szCs w:val="20"/>
        </w:rPr>
        <w:t>Jurisprudencia</w:t>
      </w:r>
    </w:p>
    <w:p w14:paraId="7BC0ED81" w14:textId="7463431E" w:rsidR="00EC3B62" w:rsidRDefault="00EC3B62">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A360DF" w:rsidRDefault="00DF7E72">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A360DF">
          <w:fldChar w:fldCharType="begin"/>
        </w:r>
        <w:r w:rsidR="00A360DF">
          <w:instrText>PAGE   \* MERGEFORMAT</w:instrText>
        </w:r>
        <w:r w:rsidR="00A360DF">
          <w:fldChar w:fldCharType="separate"/>
        </w:r>
        <w:r w:rsidR="00676150" w:rsidRPr="00676150">
          <w:rPr>
            <w:noProof/>
            <w:lang w:val="es-ES"/>
          </w:rPr>
          <w:t>6</w:t>
        </w:r>
        <w:r w:rsidR="00A360DF">
          <w:fldChar w:fldCharType="end"/>
        </w:r>
      </w:p>
    </w:sdtContent>
  </w:sdt>
  <w:p w14:paraId="0E68208C" w14:textId="77777777" w:rsidR="00A360DF" w:rsidRDefault="00A360D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5D6508BD" w:rsidR="00A360DF" w:rsidRDefault="00DF7E72">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A360DF">
          <w:fldChar w:fldCharType="begin"/>
        </w:r>
        <w:r w:rsidR="00A360DF">
          <w:instrText>PAGE   \* MERGEFORMAT</w:instrText>
        </w:r>
        <w:r w:rsidR="00A360DF">
          <w:fldChar w:fldCharType="separate"/>
        </w:r>
        <w:r w:rsidR="00676150" w:rsidRPr="00676150">
          <w:rPr>
            <w:noProof/>
            <w:lang w:val="es-ES"/>
          </w:rPr>
          <w:t>7</w:t>
        </w:r>
        <w:r w:rsidR="00A360DF">
          <w:fldChar w:fldCharType="end"/>
        </w:r>
        <w:r w:rsidR="007C7A1C">
          <w:t xml:space="preserve">                                                                       </w:t>
        </w:r>
        <w:r w:rsidR="007C7A1C" w:rsidRPr="007C7A1C">
          <w:rPr>
            <w:rFonts w:ascii="Century Schoolbook" w:hAnsi="Century Schoolbook" w:cs="Arial"/>
          </w:rPr>
          <w:t xml:space="preserve"> </w:t>
        </w:r>
        <w:r w:rsidR="007C7A1C" w:rsidRPr="00B61D83">
          <w:rPr>
            <w:rFonts w:ascii="Century Schoolbook" w:hAnsi="Century Schoolbook" w:cs="Arial"/>
          </w:rPr>
          <w:t>JUICIO DE NULIDAD</w:t>
        </w:r>
        <w:r w:rsidR="007C7A1C" w:rsidRPr="00B61D83">
          <w:rPr>
            <w:rFonts w:ascii="Century Schoolbook" w:hAnsi="Century Schoolbook" w:cs="Arial"/>
            <w:b/>
            <w:bCs/>
          </w:rPr>
          <w:t xml:space="preserve"> </w:t>
        </w:r>
        <w:r w:rsidR="00AC24D4">
          <w:rPr>
            <w:rFonts w:ascii="Century Schoolbook" w:hAnsi="Century Schoolbook" w:cs="Arial"/>
            <w:b/>
            <w:bCs/>
          </w:rPr>
          <w:t>0022</w:t>
        </w:r>
        <w:r w:rsidR="007C7A1C">
          <w:rPr>
            <w:rFonts w:ascii="Century Schoolbook" w:hAnsi="Century Schoolbook" w:cs="Arial"/>
            <w:b/>
            <w:bCs/>
          </w:rPr>
          <w:t>/20</w:t>
        </w:r>
        <w:r w:rsidR="007751BD">
          <w:rPr>
            <w:rFonts w:ascii="Century Schoolbook" w:hAnsi="Century Schoolbook" w:cs="Arial"/>
            <w:b/>
            <w:bCs/>
          </w:rPr>
          <w:t>2</w:t>
        </w:r>
        <w:r w:rsidR="00AC24D4">
          <w:rPr>
            <w:rFonts w:ascii="Century Schoolbook" w:hAnsi="Century Schoolbook" w:cs="Arial"/>
            <w:b/>
            <w:bCs/>
          </w:rPr>
          <w:t>2</w:t>
        </w:r>
      </w:sdtContent>
    </w:sdt>
  </w:p>
  <w:p w14:paraId="445A424D" w14:textId="77777777" w:rsidR="00676150" w:rsidRDefault="00676150" w:rsidP="00927607">
    <w:pPr>
      <w:pStyle w:val="Encabezado"/>
      <w:tabs>
        <w:tab w:val="left" w:pos="142"/>
      </w:tabs>
      <w:ind w:left="284"/>
    </w:pPr>
  </w:p>
  <w:p w14:paraId="14BC768A" w14:textId="77777777" w:rsidR="00676150" w:rsidRDefault="00676150" w:rsidP="00676150">
    <w:pPr>
      <w:pStyle w:val="Encabezado"/>
      <w:jc w:val="center"/>
      <w:rPr>
        <w:rFonts w:ascii="Arial" w:hAnsi="Arial" w:cs="Arial"/>
        <w:b/>
        <w:color w:val="0070C0"/>
      </w:rPr>
    </w:pPr>
    <w:r>
      <w:rPr>
        <w:rFonts w:ascii="Arial" w:hAnsi="Arial" w:cs="Arial"/>
        <w:b/>
        <w:color w:val="0070C0"/>
      </w:rPr>
      <w:t>DATOS PERSONALES PROTEGIDOS POR EL ARTÍCULO 116 DE LA LGTAIP Y ARTÍCULO 61 DE LA LTAIPBGEO</w:t>
    </w:r>
  </w:p>
  <w:p w14:paraId="51E22156" w14:textId="78C081E3" w:rsidR="00A360DF" w:rsidRDefault="00A360DF"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A360DF" w:rsidRDefault="00DF7E72">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7">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6">
    <w:nsid w:val="79DD6A9E"/>
    <w:multiLevelType w:val="hybridMultilevel"/>
    <w:tmpl w:val="12662930"/>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num w:numId="1">
    <w:abstractNumId w:val="15"/>
  </w:num>
  <w:num w:numId="2">
    <w:abstractNumId w:val="5"/>
  </w:num>
  <w:num w:numId="3">
    <w:abstractNumId w:val="2"/>
  </w:num>
  <w:num w:numId="4">
    <w:abstractNumId w:val="11"/>
  </w:num>
  <w:num w:numId="5">
    <w:abstractNumId w:val="14"/>
  </w:num>
  <w:num w:numId="6">
    <w:abstractNumId w:val="9"/>
  </w:num>
  <w:num w:numId="7">
    <w:abstractNumId w:val="8"/>
  </w:num>
  <w:num w:numId="8">
    <w:abstractNumId w:val="4"/>
  </w:num>
  <w:num w:numId="9">
    <w:abstractNumId w:val="7"/>
  </w:num>
  <w:num w:numId="10">
    <w:abstractNumId w:val="10"/>
  </w:num>
  <w:num w:numId="11">
    <w:abstractNumId w:val="12"/>
  </w:num>
  <w:num w:numId="12">
    <w:abstractNumId w:val="3"/>
  </w:num>
  <w:num w:numId="13">
    <w:abstractNumId w:val="6"/>
  </w:num>
  <w:num w:numId="14">
    <w:abstractNumId w:val="0"/>
  </w:num>
  <w:num w:numId="15">
    <w:abstractNumId w:val="13"/>
  </w:num>
  <w:num w:numId="16">
    <w:abstractNumId w:val="1"/>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CDC"/>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55D9"/>
    <w:rsid w:val="00025BEB"/>
    <w:rsid w:val="000262A2"/>
    <w:rsid w:val="000264DD"/>
    <w:rsid w:val="00026C11"/>
    <w:rsid w:val="000306D4"/>
    <w:rsid w:val="00030BAF"/>
    <w:rsid w:val="00031F8E"/>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77C"/>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759"/>
    <w:rsid w:val="00064906"/>
    <w:rsid w:val="00064FD9"/>
    <w:rsid w:val="00067246"/>
    <w:rsid w:val="00067B5A"/>
    <w:rsid w:val="00070777"/>
    <w:rsid w:val="00070AA4"/>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97A65"/>
    <w:rsid w:val="000A084D"/>
    <w:rsid w:val="000A0E5E"/>
    <w:rsid w:val="000A12C0"/>
    <w:rsid w:val="000A1491"/>
    <w:rsid w:val="000A17DF"/>
    <w:rsid w:val="000A200A"/>
    <w:rsid w:val="000A2550"/>
    <w:rsid w:val="000A27AC"/>
    <w:rsid w:val="000A335C"/>
    <w:rsid w:val="000A33D9"/>
    <w:rsid w:val="000A33F5"/>
    <w:rsid w:val="000A5266"/>
    <w:rsid w:val="000A5540"/>
    <w:rsid w:val="000A578F"/>
    <w:rsid w:val="000A58B5"/>
    <w:rsid w:val="000A5D36"/>
    <w:rsid w:val="000A5FA8"/>
    <w:rsid w:val="000A65DB"/>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0AC9"/>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3368"/>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6C7F"/>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6897"/>
    <w:rsid w:val="0013695E"/>
    <w:rsid w:val="00136FB8"/>
    <w:rsid w:val="0014043C"/>
    <w:rsid w:val="00140D7E"/>
    <w:rsid w:val="00141BB2"/>
    <w:rsid w:val="00142417"/>
    <w:rsid w:val="00143682"/>
    <w:rsid w:val="001441D3"/>
    <w:rsid w:val="001450E2"/>
    <w:rsid w:val="001460CF"/>
    <w:rsid w:val="00146509"/>
    <w:rsid w:val="0014671A"/>
    <w:rsid w:val="00146991"/>
    <w:rsid w:val="00146DCF"/>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2E9A"/>
    <w:rsid w:val="0017568D"/>
    <w:rsid w:val="00175C14"/>
    <w:rsid w:val="001761CB"/>
    <w:rsid w:val="0017651E"/>
    <w:rsid w:val="001778B4"/>
    <w:rsid w:val="001779CB"/>
    <w:rsid w:val="00177B53"/>
    <w:rsid w:val="00181DB0"/>
    <w:rsid w:val="001826D0"/>
    <w:rsid w:val="0018345B"/>
    <w:rsid w:val="0018356C"/>
    <w:rsid w:val="0018358B"/>
    <w:rsid w:val="0018454F"/>
    <w:rsid w:val="001846BB"/>
    <w:rsid w:val="001854BD"/>
    <w:rsid w:val="00185DC5"/>
    <w:rsid w:val="00186701"/>
    <w:rsid w:val="00186FB3"/>
    <w:rsid w:val="00186FE8"/>
    <w:rsid w:val="0018765B"/>
    <w:rsid w:val="00192287"/>
    <w:rsid w:val="001923AE"/>
    <w:rsid w:val="001924B2"/>
    <w:rsid w:val="00193379"/>
    <w:rsid w:val="00194B7B"/>
    <w:rsid w:val="001951A3"/>
    <w:rsid w:val="00195583"/>
    <w:rsid w:val="001A0745"/>
    <w:rsid w:val="001A1302"/>
    <w:rsid w:val="001A16CC"/>
    <w:rsid w:val="001A18E1"/>
    <w:rsid w:val="001A2144"/>
    <w:rsid w:val="001A2E1D"/>
    <w:rsid w:val="001A2FDB"/>
    <w:rsid w:val="001A3755"/>
    <w:rsid w:val="001A4127"/>
    <w:rsid w:val="001A4E1C"/>
    <w:rsid w:val="001A554E"/>
    <w:rsid w:val="001A6EBE"/>
    <w:rsid w:val="001A6F68"/>
    <w:rsid w:val="001A77FB"/>
    <w:rsid w:val="001B009D"/>
    <w:rsid w:val="001B035C"/>
    <w:rsid w:val="001B046F"/>
    <w:rsid w:val="001B13DB"/>
    <w:rsid w:val="001B17F6"/>
    <w:rsid w:val="001B341D"/>
    <w:rsid w:val="001B3A10"/>
    <w:rsid w:val="001B3B5C"/>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893"/>
    <w:rsid w:val="001E4C02"/>
    <w:rsid w:val="001E593B"/>
    <w:rsid w:val="001E65E8"/>
    <w:rsid w:val="001E6AE5"/>
    <w:rsid w:val="001E7020"/>
    <w:rsid w:val="001E71FD"/>
    <w:rsid w:val="001E77A9"/>
    <w:rsid w:val="001E7BD1"/>
    <w:rsid w:val="001F0FBC"/>
    <w:rsid w:val="001F2154"/>
    <w:rsid w:val="001F287C"/>
    <w:rsid w:val="001F2D73"/>
    <w:rsid w:val="001F4C86"/>
    <w:rsid w:val="001F5050"/>
    <w:rsid w:val="001F5F15"/>
    <w:rsid w:val="001F625A"/>
    <w:rsid w:val="001F6B28"/>
    <w:rsid w:val="001F6C56"/>
    <w:rsid w:val="001F72DF"/>
    <w:rsid w:val="001F77D0"/>
    <w:rsid w:val="002010A9"/>
    <w:rsid w:val="00201769"/>
    <w:rsid w:val="0020247E"/>
    <w:rsid w:val="002025FD"/>
    <w:rsid w:val="002038E9"/>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A4A"/>
    <w:rsid w:val="00240C99"/>
    <w:rsid w:val="0024189D"/>
    <w:rsid w:val="00241BC3"/>
    <w:rsid w:val="00241C7D"/>
    <w:rsid w:val="00241F55"/>
    <w:rsid w:val="00242699"/>
    <w:rsid w:val="00242A6C"/>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A1C"/>
    <w:rsid w:val="002541B3"/>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75E"/>
    <w:rsid w:val="00272A7D"/>
    <w:rsid w:val="00273171"/>
    <w:rsid w:val="002745CD"/>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709"/>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706"/>
    <w:rsid w:val="002B375F"/>
    <w:rsid w:val="002B3BA3"/>
    <w:rsid w:val="002B4040"/>
    <w:rsid w:val="002B5C09"/>
    <w:rsid w:val="002B5C82"/>
    <w:rsid w:val="002B6893"/>
    <w:rsid w:val="002B6B9D"/>
    <w:rsid w:val="002B6C19"/>
    <w:rsid w:val="002B6D0D"/>
    <w:rsid w:val="002B76FB"/>
    <w:rsid w:val="002B79C4"/>
    <w:rsid w:val="002C01BF"/>
    <w:rsid w:val="002C06FE"/>
    <w:rsid w:val="002C0988"/>
    <w:rsid w:val="002C0FDA"/>
    <w:rsid w:val="002C2259"/>
    <w:rsid w:val="002C3470"/>
    <w:rsid w:val="002C348A"/>
    <w:rsid w:val="002C3FD4"/>
    <w:rsid w:val="002C41D3"/>
    <w:rsid w:val="002C4419"/>
    <w:rsid w:val="002C4824"/>
    <w:rsid w:val="002C509D"/>
    <w:rsid w:val="002C5540"/>
    <w:rsid w:val="002C5C5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2D79"/>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588"/>
    <w:rsid w:val="0031096E"/>
    <w:rsid w:val="00311560"/>
    <w:rsid w:val="00311708"/>
    <w:rsid w:val="00311BB1"/>
    <w:rsid w:val="00312470"/>
    <w:rsid w:val="0031285C"/>
    <w:rsid w:val="00313A44"/>
    <w:rsid w:val="003150CD"/>
    <w:rsid w:val="003154AB"/>
    <w:rsid w:val="003155CF"/>
    <w:rsid w:val="00315BA3"/>
    <w:rsid w:val="00316707"/>
    <w:rsid w:val="00317A31"/>
    <w:rsid w:val="00317B07"/>
    <w:rsid w:val="00317BDE"/>
    <w:rsid w:val="00317DC3"/>
    <w:rsid w:val="0032088F"/>
    <w:rsid w:val="00321643"/>
    <w:rsid w:val="00321A91"/>
    <w:rsid w:val="00322486"/>
    <w:rsid w:val="00323295"/>
    <w:rsid w:val="00323848"/>
    <w:rsid w:val="00323FF5"/>
    <w:rsid w:val="0032464C"/>
    <w:rsid w:val="00324B78"/>
    <w:rsid w:val="003253CA"/>
    <w:rsid w:val="003255CF"/>
    <w:rsid w:val="00326AF6"/>
    <w:rsid w:val="00326D5E"/>
    <w:rsid w:val="00327A8E"/>
    <w:rsid w:val="00327BDD"/>
    <w:rsid w:val="00331836"/>
    <w:rsid w:val="0033190E"/>
    <w:rsid w:val="00333962"/>
    <w:rsid w:val="00333B62"/>
    <w:rsid w:val="00333E45"/>
    <w:rsid w:val="0033404E"/>
    <w:rsid w:val="00334A65"/>
    <w:rsid w:val="003364DB"/>
    <w:rsid w:val="00336A8D"/>
    <w:rsid w:val="00337583"/>
    <w:rsid w:val="003379FB"/>
    <w:rsid w:val="00337DF6"/>
    <w:rsid w:val="0034068D"/>
    <w:rsid w:val="0034180B"/>
    <w:rsid w:val="00341A52"/>
    <w:rsid w:val="00341C4A"/>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E72"/>
    <w:rsid w:val="0035659D"/>
    <w:rsid w:val="003611E4"/>
    <w:rsid w:val="0036133D"/>
    <w:rsid w:val="003617D9"/>
    <w:rsid w:val="00361938"/>
    <w:rsid w:val="003625FB"/>
    <w:rsid w:val="003633B9"/>
    <w:rsid w:val="003636DE"/>
    <w:rsid w:val="003646B9"/>
    <w:rsid w:val="003646E5"/>
    <w:rsid w:val="003652C6"/>
    <w:rsid w:val="003654A6"/>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1F89"/>
    <w:rsid w:val="0038228C"/>
    <w:rsid w:val="00382BDE"/>
    <w:rsid w:val="003859C4"/>
    <w:rsid w:val="00385EA5"/>
    <w:rsid w:val="00386F92"/>
    <w:rsid w:val="003874C3"/>
    <w:rsid w:val="00387725"/>
    <w:rsid w:val="00387C65"/>
    <w:rsid w:val="0039022E"/>
    <w:rsid w:val="00390CDE"/>
    <w:rsid w:val="003919A3"/>
    <w:rsid w:val="00392B20"/>
    <w:rsid w:val="00392BA3"/>
    <w:rsid w:val="00394516"/>
    <w:rsid w:val="003961E1"/>
    <w:rsid w:val="003974F9"/>
    <w:rsid w:val="003A0AA1"/>
    <w:rsid w:val="003A0FE5"/>
    <w:rsid w:val="003A24EC"/>
    <w:rsid w:val="003A3EA0"/>
    <w:rsid w:val="003A6262"/>
    <w:rsid w:val="003A645D"/>
    <w:rsid w:val="003A730F"/>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6A3"/>
    <w:rsid w:val="003B4BAF"/>
    <w:rsid w:val="003B5111"/>
    <w:rsid w:val="003B57C3"/>
    <w:rsid w:val="003B609E"/>
    <w:rsid w:val="003B6581"/>
    <w:rsid w:val="003B6C7E"/>
    <w:rsid w:val="003B79F9"/>
    <w:rsid w:val="003C0293"/>
    <w:rsid w:val="003C0DF1"/>
    <w:rsid w:val="003C1936"/>
    <w:rsid w:val="003C1EC7"/>
    <w:rsid w:val="003C268F"/>
    <w:rsid w:val="003C2E68"/>
    <w:rsid w:val="003C32DC"/>
    <w:rsid w:val="003C32FC"/>
    <w:rsid w:val="003C42AD"/>
    <w:rsid w:val="003C4C9F"/>
    <w:rsid w:val="003C5D9D"/>
    <w:rsid w:val="003C7036"/>
    <w:rsid w:val="003C7781"/>
    <w:rsid w:val="003C7FA5"/>
    <w:rsid w:val="003D0C96"/>
    <w:rsid w:val="003D1CAA"/>
    <w:rsid w:val="003D4395"/>
    <w:rsid w:val="003D474C"/>
    <w:rsid w:val="003D5393"/>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5A16"/>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002"/>
    <w:rsid w:val="00417B7B"/>
    <w:rsid w:val="004211BE"/>
    <w:rsid w:val="0042205F"/>
    <w:rsid w:val="00423C26"/>
    <w:rsid w:val="00423E43"/>
    <w:rsid w:val="00424839"/>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830"/>
    <w:rsid w:val="00442F67"/>
    <w:rsid w:val="00442FBB"/>
    <w:rsid w:val="00443487"/>
    <w:rsid w:val="0044467E"/>
    <w:rsid w:val="0044496C"/>
    <w:rsid w:val="00444F46"/>
    <w:rsid w:val="0044520F"/>
    <w:rsid w:val="00445F77"/>
    <w:rsid w:val="004468EC"/>
    <w:rsid w:val="00446A05"/>
    <w:rsid w:val="00446B69"/>
    <w:rsid w:val="004502C5"/>
    <w:rsid w:val="004509CE"/>
    <w:rsid w:val="00451498"/>
    <w:rsid w:val="004515BE"/>
    <w:rsid w:val="00452B43"/>
    <w:rsid w:val="00454957"/>
    <w:rsid w:val="004557F7"/>
    <w:rsid w:val="00455A62"/>
    <w:rsid w:val="00456294"/>
    <w:rsid w:val="004572E7"/>
    <w:rsid w:val="00457778"/>
    <w:rsid w:val="00457FE0"/>
    <w:rsid w:val="004606DA"/>
    <w:rsid w:val="00461033"/>
    <w:rsid w:val="00461308"/>
    <w:rsid w:val="00461FB3"/>
    <w:rsid w:val="0046279F"/>
    <w:rsid w:val="00463325"/>
    <w:rsid w:val="004639C1"/>
    <w:rsid w:val="00463D48"/>
    <w:rsid w:val="00464148"/>
    <w:rsid w:val="004647B9"/>
    <w:rsid w:val="00464F06"/>
    <w:rsid w:val="004652D5"/>
    <w:rsid w:val="00465B25"/>
    <w:rsid w:val="00465BF5"/>
    <w:rsid w:val="004668E6"/>
    <w:rsid w:val="004673D5"/>
    <w:rsid w:val="0047274B"/>
    <w:rsid w:val="00472B3D"/>
    <w:rsid w:val="00472D90"/>
    <w:rsid w:val="00473EB5"/>
    <w:rsid w:val="0047647A"/>
    <w:rsid w:val="004771E5"/>
    <w:rsid w:val="00477357"/>
    <w:rsid w:val="00477E07"/>
    <w:rsid w:val="004804CF"/>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54C"/>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5F16"/>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3C70"/>
    <w:rsid w:val="0051440D"/>
    <w:rsid w:val="00515288"/>
    <w:rsid w:val="00515B21"/>
    <w:rsid w:val="00515CF2"/>
    <w:rsid w:val="00517079"/>
    <w:rsid w:val="00520023"/>
    <w:rsid w:val="005201C4"/>
    <w:rsid w:val="00520569"/>
    <w:rsid w:val="005212AE"/>
    <w:rsid w:val="005229B8"/>
    <w:rsid w:val="00522C1A"/>
    <w:rsid w:val="00523091"/>
    <w:rsid w:val="00523826"/>
    <w:rsid w:val="005242CB"/>
    <w:rsid w:val="00524D42"/>
    <w:rsid w:val="00526D7B"/>
    <w:rsid w:val="00526DC4"/>
    <w:rsid w:val="00527324"/>
    <w:rsid w:val="005274E0"/>
    <w:rsid w:val="00527F7B"/>
    <w:rsid w:val="005300DF"/>
    <w:rsid w:val="00531B2A"/>
    <w:rsid w:val="00531B72"/>
    <w:rsid w:val="00531C8C"/>
    <w:rsid w:val="00531DC6"/>
    <w:rsid w:val="005324A4"/>
    <w:rsid w:val="00532D69"/>
    <w:rsid w:val="00532E56"/>
    <w:rsid w:val="00533B21"/>
    <w:rsid w:val="00533D34"/>
    <w:rsid w:val="00533EE1"/>
    <w:rsid w:val="00534D86"/>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6025"/>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87B46"/>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E4D"/>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0DE"/>
    <w:rsid w:val="005D65FC"/>
    <w:rsid w:val="005D6747"/>
    <w:rsid w:val="005D6918"/>
    <w:rsid w:val="005E08EE"/>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45C2"/>
    <w:rsid w:val="005F4ECF"/>
    <w:rsid w:val="005F52FF"/>
    <w:rsid w:val="005F569A"/>
    <w:rsid w:val="005F6073"/>
    <w:rsid w:val="005F6196"/>
    <w:rsid w:val="005F61B4"/>
    <w:rsid w:val="005F6454"/>
    <w:rsid w:val="005F7759"/>
    <w:rsid w:val="005F7852"/>
    <w:rsid w:val="0060041C"/>
    <w:rsid w:val="0060055A"/>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349"/>
    <w:rsid w:val="00610C46"/>
    <w:rsid w:val="00614079"/>
    <w:rsid w:val="00614188"/>
    <w:rsid w:val="00614691"/>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1467"/>
    <w:rsid w:val="0063273E"/>
    <w:rsid w:val="00633242"/>
    <w:rsid w:val="00633FA0"/>
    <w:rsid w:val="00634534"/>
    <w:rsid w:val="00634EF5"/>
    <w:rsid w:val="00636401"/>
    <w:rsid w:val="00636905"/>
    <w:rsid w:val="00636A93"/>
    <w:rsid w:val="00637474"/>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B16"/>
    <w:rsid w:val="00651275"/>
    <w:rsid w:val="00652231"/>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1D6E"/>
    <w:rsid w:val="00672CE0"/>
    <w:rsid w:val="00672F8D"/>
    <w:rsid w:val="006730DE"/>
    <w:rsid w:val="006730F3"/>
    <w:rsid w:val="00673B33"/>
    <w:rsid w:val="006747AB"/>
    <w:rsid w:val="00675466"/>
    <w:rsid w:val="00676150"/>
    <w:rsid w:val="00676465"/>
    <w:rsid w:val="006775C4"/>
    <w:rsid w:val="0068056E"/>
    <w:rsid w:val="00681AC1"/>
    <w:rsid w:val="00681EE7"/>
    <w:rsid w:val="00682165"/>
    <w:rsid w:val="00683178"/>
    <w:rsid w:val="0068325D"/>
    <w:rsid w:val="00684F50"/>
    <w:rsid w:val="00685785"/>
    <w:rsid w:val="00685E24"/>
    <w:rsid w:val="00686F6A"/>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0D09"/>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484"/>
    <w:rsid w:val="006B1B86"/>
    <w:rsid w:val="006B208B"/>
    <w:rsid w:val="006B3C7A"/>
    <w:rsid w:val="006B454E"/>
    <w:rsid w:val="006B462B"/>
    <w:rsid w:val="006B46C9"/>
    <w:rsid w:val="006B4FD6"/>
    <w:rsid w:val="006B511B"/>
    <w:rsid w:val="006B5508"/>
    <w:rsid w:val="006B5F34"/>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264E"/>
    <w:rsid w:val="006D3FF8"/>
    <w:rsid w:val="006D428F"/>
    <w:rsid w:val="006D54E1"/>
    <w:rsid w:val="006D5A11"/>
    <w:rsid w:val="006D668F"/>
    <w:rsid w:val="006E0406"/>
    <w:rsid w:val="006E09D6"/>
    <w:rsid w:val="006E1695"/>
    <w:rsid w:val="006E197B"/>
    <w:rsid w:val="006E1AC8"/>
    <w:rsid w:val="006E22C9"/>
    <w:rsid w:val="006E2B27"/>
    <w:rsid w:val="006E5742"/>
    <w:rsid w:val="006E58AF"/>
    <w:rsid w:val="006E632E"/>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2A54"/>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BC1"/>
    <w:rsid w:val="00712D50"/>
    <w:rsid w:val="00713419"/>
    <w:rsid w:val="007135A0"/>
    <w:rsid w:val="00713957"/>
    <w:rsid w:val="00714402"/>
    <w:rsid w:val="00714488"/>
    <w:rsid w:val="00714E6C"/>
    <w:rsid w:val="00715319"/>
    <w:rsid w:val="00715DC7"/>
    <w:rsid w:val="00715EBB"/>
    <w:rsid w:val="00717898"/>
    <w:rsid w:val="0072215B"/>
    <w:rsid w:val="00722B88"/>
    <w:rsid w:val="0072304C"/>
    <w:rsid w:val="0072368F"/>
    <w:rsid w:val="00723EC1"/>
    <w:rsid w:val="00724552"/>
    <w:rsid w:val="00724C1C"/>
    <w:rsid w:val="00727C09"/>
    <w:rsid w:val="00727D9C"/>
    <w:rsid w:val="00727F60"/>
    <w:rsid w:val="00730089"/>
    <w:rsid w:val="00730250"/>
    <w:rsid w:val="00730453"/>
    <w:rsid w:val="0073182F"/>
    <w:rsid w:val="0073212F"/>
    <w:rsid w:val="007324A9"/>
    <w:rsid w:val="0073293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000B"/>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1706"/>
    <w:rsid w:val="00762460"/>
    <w:rsid w:val="00762B99"/>
    <w:rsid w:val="00765137"/>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1BD"/>
    <w:rsid w:val="007758EE"/>
    <w:rsid w:val="00775BD0"/>
    <w:rsid w:val="007779BF"/>
    <w:rsid w:val="00777B9A"/>
    <w:rsid w:val="00777CFA"/>
    <w:rsid w:val="00777F6C"/>
    <w:rsid w:val="007806D4"/>
    <w:rsid w:val="00781E84"/>
    <w:rsid w:val="00781EFF"/>
    <w:rsid w:val="00782019"/>
    <w:rsid w:val="007841D1"/>
    <w:rsid w:val="00786A0E"/>
    <w:rsid w:val="00787328"/>
    <w:rsid w:val="00787403"/>
    <w:rsid w:val="00787FF8"/>
    <w:rsid w:val="007904C9"/>
    <w:rsid w:val="00790CF4"/>
    <w:rsid w:val="00790DA7"/>
    <w:rsid w:val="00791F5C"/>
    <w:rsid w:val="007927EC"/>
    <w:rsid w:val="00792B4F"/>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38A6"/>
    <w:rsid w:val="007B452B"/>
    <w:rsid w:val="007B4EEE"/>
    <w:rsid w:val="007B5EBB"/>
    <w:rsid w:val="007B65D2"/>
    <w:rsid w:val="007B6AD5"/>
    <w:rsid w:val="007B6B01"/>
    <w:rsid w:val="007C04A2"/>
    <w:rsid w:val="007C1271"/>
    <w:rsid w:val="007C1273"/>
    <w:rsid w:val="007C313D"/>
    <w:rsid w:val="007C3B2E"/>
    <w:rsid w:val="007C405D"/>
    <w:rsid w:val="007C49D1"/>
    <w:rsid w:val="007C4D7C"/>
    <w:rsid w:val="007C5545"/>
    <w:rsid w:val="007C587A"/>
    <w:rsid w:val="007C5FD2"/>
    <w:rsid w:val="007C79F5"/>
    <w:rsid w:val="007C7A1C"/>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049"/>
    <w:rsid w:val="007F4946"/>
    <w:rsid w:val="007F4B42"/>
    <w:rsid w:val="007F5B11"/>
    <w:rsid w:val="007F7BC8"/>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B26"/>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88E"/>
    <w:rsid w:val="00824B51"/>
    <w:rsid w:val="00825DF2"/>
    <w:rsid w:val="00826459"/>
    <w:rsid w:val="008264A3"/>
    <w:rsid w:val="00826F27"/>
    <w:rsid w:val="008270BC"/>
    <w:rsid w:val="008309C8"/>
    <w:rsid w:val="008309F3"/>
    <w:rsid w:val="008312B3"/>
    <w:rsid w:val="0083287B"/>
    <w:rsid w:val="00832A83"/>
    <w:rsid w:val="00832D2B"/>
    <w:rsid w:val="00833114"/>
    <w:rsid w:val="00835668"/>
    <w:rsid w:val="008357D2"/>
    <w:rsid w:val="008370CF"/>
    <w:rsid w:val="00837CEF"/>
    <w:rsid w:val="00840C89"/>
    <w:rsid w:val="0084114B"/>
    <w:rsid w:val="00841D66"/>
    <w:rsid w:val="00842756"/>
    <w:rsid w:val="008430AD"/>
    <w:rsid w:val="008433AE"/>
    <w:rsid w:val="0084355F"/>
    <w:rsid w:val="00843D17"/>
    <w:rsid w:val="00846DD0"/>
    <w:rsid w:val="0084703C"/>
    <w:rsid w:val="008473A8"/>
    <w:rsid w:val="00847424"/>
    <w:rsid w:val="00847B25"/>
    <w:rsid w:val="00850061"/>
    <w:rsid w:val="00850259"/>
    <w:rsid w:val="008504C8"/>
    <w:rsid w:val="00851000"/>
    <w:rsid w:val="00851789"/>
    <w:rsid w:val="0085386F"/>
    <w:rsid w:val="00854886"/>
    <w:rsid w:val="00855029"/>
    <w:rsid w:val="0085507C"/>
    <w:rsid w:val="0085563E"/>
    <w:rsid w:val="00860053"/>
    <w:rsid w:val="008601DA"/>
    <w:rsid w:val="00861653"/>
    <w:rsid w:val="00861978"/>
    <w:rsid w:val="00861C16"/>
    <w:rsid w:val="008625C0"/>
    <w:rsid w:val="00863418"/>
    <w:rsid w:val="008634C5"/>
    <w:rsid w:val="00863FB1"/>
    <w:rsid w:val="00864F72"/>
    <w:rsid w:val="00865B42"/>
    <w:rsid w:val="00866DED"/>
    <w:rsid w:val="00866DF0"/>
    <w:rsid w:val="008672F5"/>
    <w:rsid w:val="00867EA3"/>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67F9"/>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2E4"/>
    <w:rsid w:val="008D7AC6"/>
    <w:rsid w:val="008E02E6"/>
    <w:rsid w:val="008E08A8"/>
    <w:rsid w:val="008E0B04"/>
    <w:rsid w:val="008E15B5"/>
    <w:rsid w:val="008E1B7B"/>
    <w:rsid w:val="008E20E6"/>
    <w:rsid w:val="008E2B42"/>
    <w:rsid w:val="008E350D"/>
    <w:rsid w:val="008E3B36"/>
    <w:rsid w:val="008E3CEC"/>
    <w:rsid w:val="008E480F"/>
    <w:rsid w:val="008E4A67"/>
    <w:rsid w:val="008F0205"/>
    <w:rsid w:val="008F0DCC"/>
    <w:rsid w:val="008F188C"/>
    <w:rsid w:val="008F1EB2"/>
    <w:rsid w:val="008F284E"/>
    <w:rsid w:val="008F2BAD"/>
    <w:rsid w:val="008F2CAE"/>
    <w:rsid w:val="008F39F2"/>
    <w:rsid w:val="008F45EB"/>
    <w:rsid w:val="008F4E1B"/>
    <w:rsid w:val="008F52F4"/>
    <w:rsid w:val="008F743B"/>
    <w:rsid w:val="009011B4"/>
    <w:rsid w:val="0090168E"/>
    <w:rsid w:val="00901AE0"/>
    <w:rsid w:val="00901FFB"/>
    <w:rsid w:val="009020E0"/>
    <w:rsid w:val="00902FFF"/>
    <w:rsid w:val="00903765"/>
    <w:rsid w:val="00903E8E"/>
    <w:rsid w:val="00904997"/>
    <w:rsid w:val="00905D8A"/>
    <w:rsid w:val="009064B4"/>
    <w:rsid w:val="0090696C"/>
    <w:rsid w:val="00907C15"/>
    <w:rsid w:val="0091170B"/>
    <w:rsid w:val="00911817"/>
    <w:rsid w:val="00912F68"/>
    <w:rsid w:val="009133A9"/>
    <w:rsid w:val="00913418"/>
    <w:rsid w:val="009137F9"/>
    <w:rsid w:val="009138DA"/>
    <w:rsid w:val="00913C08"/>
    <w:rsid w:val="00915282"/>
    <w:rsid w:val="0091567A"/>
    <w:rsid w:val="00920287"/>
    <w:rsid w:val="00920947"/>
    <w:rsid w:val="0092099A"/>
    <w:rsid w:val="00920C90"/>
    <w:rsid w:val="00921428"/>
    <w:rsid w:val="00921E9D"/>
    <w:rsid w:val="009220E0"/>
    <w:rsid w:val="0092244D"/>
    <w:rsid w:val="00922FD0"/>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231"/>
    <w:rsid w:val="009829E2"/>
    <w:rsid w:val="00983525"/>
    <w:rsid w:val="009844CE"/>
    <w:rsid w:val="00984590"/>
    <w:rsid w:val="00984F92"/>
    <w:rsid w:val="00984FB7"/>
    <w:rsid w:val="009855CB"/>
    <w:rsid w:val="00985932"/>
    <w:rsid w:val="009868FC"/>
    <w:rsid w:val="00986D58"/>
    <w:rsid w:val="00986D6A"/>
    <w:rsid w:val="00990013"/>
    <w:rsid w:val="00990D44"/>
    <w:rsid w:val="00991E94"/>
    <w:rsid w:val="00992712"/>
    <w:rsid w:val="00993E7E"/>
    <w:rsid w:val="0099690A"/>
    <w:rsid w:val="00997136"/>
    <w:rsid w:val="009971A7"/>
    <w:rsid w:val="00997965"/>
    <w:rsid w:val="00997BBE"/>
    <w:rsid w:val="009A143B"/>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52E3"/>
    <w:rsid w:val="00A35446"/>
    <w:rsid w:val="00A35615"/>
    <w:rsid w:val="00A3583F"/>
    <w:rsid w:val="00A36029"/>
    <w:rsid w:val="00A360DF"/>
    <w:rsid w:val="00A36936"/>
    <w:rsid w:val="00A37129"/>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2CC"/>
    <w:rsid w:val="00A537AD"/>
    <w:rsid w:val="00A54A2D"/>
    <w:rsid w:val="00A54AAC"/>
    <w:rsid w:val="00A55915"/>
    <w:rsid w:val="00A55A68"/>
    <w:rsid w:val="00A56094"/>
    <w:rsid w:val="00A5698E"/>
    <w:rsid w:val="00A56B70"/>
    <w:rsid w:val="00A575B4"/>
    <w:rsid w:val="00A608CD"/>
    <w:rsid w:val="00A60A4A"/>
    <w:rsid w:val="00A64280"/>
    <w:rsid w:val="00A64C7D"/>
    <w:rsid w:val="00A64E0F"/>
    <w:rsid w:val="00A654A2"/>
    <w:rsid w:val="00A654DF"/>
    <w:rsid w:val="00A655E9"/>
    <w:rsid w:val="00A66CB2"/>
    <w:rsid w:val="00A67461"/>
    <w:rsid w:val="00A703F5"/>
    <w:rsid w:val="00A71119"/>
    <w:rsid w:val="00A72E3D"/>
    <w:rsid w:val="00A72EE1"/>
    <w:rsid w:val="00A7300D"/>
    <w:rsid w:val="00A73B00"/>
    <w:rsid w:val="00A746E4"/>
    <w:rsid w:val="00A761F4"/>
    <w:rsid w:val="00A77448"/>
    <w:rsid w:val="00A77B65"/>
    <w:rsid w:val="00A77EC2"/>
    <w:rsid w:val="00A8007D"/>
    <w:rsid w:val="00A80761"/>
    <w:rsid w:val="00A80DC8"/>
    <w:rsid w:val="00A812F5"/>
    <w:rsid w:val="00A814C5"/>
    <w:rsid w:val="00A81C21"/>
    <w:rsid w:val="00A82415"/>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B73B7"/>
    <w:rsid w:val="00AC00B1"/>
    <w:rsid w:val="00AC0229"/>
    <w:rsid w:val="00AC12CF"/>
    <w:rsid w:val="00AC154D"/>
    <w:rsid w:val="00AC24D4"/>
    <w:rsid w:val="00AC2548"/>
    <w:rsid w:val="00AC3C32"/>
    <w:rsid w:val="00AC3DB8"/>
    <w:rsid w:val="00AD100C"/>
    <w:rsid w:val="00AD2540"/>
    <w:rsid w:val="00AD38ED"/>
    <w:rsid w:val="00AD39D6"/>
    <w:rsid w:val="00AD3C97"/>
    <w:rsid w:val="00AD40FF"/>
    <w:rsid w:val="00AD4282"/>
    <w:rsid w:val="00AD5A42"/>
    <w:rsid w:val="00AD6EF0"/>
    <w:rsid w:val="00AD7073"/>
    <w:rsid w:val="00AD77FD"/>
    <w:rsid w:val="00AD79E2"/>
    <w:rsid w:val="00AD7FFB"/>
    <w:rsid w:val="00AE1C5C"/>
    <w:rsid w:val="00AE271F"/>
    <w:rsid w:val="00AE3DF5"/>
    <w:rsid w:val="00AE4CFF"/>
    <w:rsid w:val="00AE4E46"/>
    <w:rsid w:val="00AE52B0"/>
    <w:rsid w:val="00AE54F8"/>
    <w:rsid w:val="00AE5C7F"/>
    <w:rsid w:val="00AF1629"/>
    <w:rsid w:val="00AF1B42"/>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165"/>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AAA"/>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4A0"/>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1E5C"/>
    <w:rsid w:val="00B6208F"/>
    <w:rsid w:val="00B6219D"/>
    <w:rsid w:val="00B62B0D"/>
    <w:rsid w:val="00B62E87"/>
    <w:rsid w:val="00B635E2"/>
    <w:rsid w:val="00B636E6"/>
    <w:rsid w:val="00B646C8"/>
    <w:rsid w:val="00B64DB8"/>
    <w:rsid w:val="00B65654"/>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4C6"/>
    <w:rsid w:val="00BA1836"/>
    <w:rsid w:val="00BA18D4"/>
    <w:rsid w:val="00BA224E"/>
    <w:rsid w:val="00BA258A"/>
    <w:rsid w:val="00BA2A3D"/>
    <w:rsid w:val="00BA31EF"/>
    <w:rsid w:val="00BA3677"/>
    <w:rsid w:val="00BA3973"/>
    <w:rsid w:val="00BA42E0"/>
    <w:rsid w:val="00BA5246"/>
    <w:rsid w:val="00BA59AD"/>
    <w:rsid w:val="00BA6343"/>
    <w:rsid w:val="00BA63BB"/>
    <w:rsid w:val="00BA65C8"/>
    <w:rsid w:val="00BA6A89"/>
    <w:rsid w:val="00BA6F7A"/>
    <w:rsid w:val="00BA79B7"/>
    <w:rsid w:val="00BB0D35"/>
    <w:rsid w:val="00BB13C5"/>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587"/>
    <w:rsid w:val="00BC26C1"/>
    <w:rsid w:val="00BC342A"/>
    <w:rsid w:val="00BC40F2"/>
    <w:rsid w:val="00BC45CE"/>
    <w:rsid w:val="00BC4F3D"/>
    <w:rsid w:val="00BC59CF"/>
    <w:rsid w:val="00BC64CE"/>
    <w:rsid w:val="00BC68AD"/>
    <w:rsid w:val="00BC7112"/>
    <w:rsid w:val="00BD0C00"/>
    <w:rsid w:val="00BD0DA0"/>
    <w:rsid w:val="00BD0DD3"/>
    <w:rsid w:val="00BD3693"/>
    <w:rsid w:val="00BD438C"/>
    <w:rsid w:val="00BD4433"/>
    <w:rsid w:val="00BD4843"/>
    <w:rsid w:val="00BD492B"/>
    <w:rsid w:val="00BD4F9A"/>
    <w:rsid w:val="00BD5489"/>
    <w:rsid w:val="00BD5E19"/>
    <w:rsid w:val="00BD6D4E"/>
    <w:rsid w:val="00BD71F1"/>
    <w:rsid w:val="00BD74CF"/>
    <w:rsid w:val="00BE1BBE"/>
    <w:rsid w:val="00BE2C9F"/>
    <w:rsid w:val="00BE36D5"/>
    <w:rsid w:val="00BE38E1"/>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000"/>
    <w:rsid w:val="00C22D5B"/>
    <w:rsid w:val="00C22D64"/>
    <w:rsid w:val="00C22F22"/>
    <w:rsid w:val="00C2365F"/>
    <w:rsid w:val="00C23BF3"/>
    <w:rsid w:val="00C23FDB"/>
    <w:rsid w:val="00C24B6B"/>
    <w:rsid w:val="00C25A02"/>
    <w:rsid w:val="00C26147"/>
    <w:rsid w:val="00C268F6"/>
    <w:rsid w:val="00C27D1A"/>
    <w:rsid w:val="00C31200"/>
    <w:rsid w:val="00C3197C"/>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1B56"/>
    <w:rsid w:val="00C4244D"/>
    <w:rsid w:val="00C42C2F"/>
    <w:rsid w:val="00C43B8F"/>
    <w:rsid w:val="00C44980"/>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7F8"/>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3543"/>
    <w:rsid w:val="00C83651"/>
    <w:rsid w:val="00C83754"/>
    <w:rsid w:val="00C83F2B"/>
    <w:rsid w:val="00C84998"/>
    <w:rsid w:val="00C855DB"/>
    <w:rsid w:val="00C85611"/>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5E32"/>
    <w:rsid w:val="00CB1AC1"/>
    <w:rsid w:val="00CB26F2"/>
    <w:rsid w:val="00CB2BAE"/>
    <w:rsid w:val="00CB3166"/>
    <w:rsid w:val="00CB40D4"/>
    <w:rsid w:val="00CB4885"/>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6ED4"/>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021C"/>
    <w:rsid w:val="00CF04E4"/>
    <w:rsid w:val="00CF10EF"/>
    <w:rsid w:val="00CF1F53"/>
    <w:rsid w:val="00CF1FAE"/>
    <w:rsid w:val="00CF3BED"/>
    <w:rsid w:val="00CF4A6D"/>
    <w:rsid w:val="00CF50FD"/>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C52"/>
    <w:rsid w:val="00D12D84"/>
    <w:rsid w:val="00D14E13"/>
    <w:rsid w:val="00D1650D"/>
    <w:rsid w:val="00D16547"/>
    <w:rsid w:val="00D20368"/>
    <w:rsid w:val="00D209D8"/>
    <w:rsid w:val="00D20B6C"/>
    <w:rsid w:val="00D20DAB"/>
    <w:rsid w:val="00D2186C"/>
    <w:rsid w:val="00D239A5"/>
    <w:rsid w:val="00D24260"/>
    <w:rsid w:val="00D2457A"/>
    <w:rsid w:val="00D25024"/>
    <w:rsid w:val="00D25A36"/>
    <w:rsid w:val="00D26250"/>
    <w:rsid w:val="00D26F20"/>
    <w:rsid w:val="00D2737B"/>
    <w:rsid w:val="00D3007F"/>
    <w:rsid w:val="00D30447"/>
    <w:rsid w:val="00D30DBA"/>
    <w:rsid w:val="00D30EC7"/>
    <w:rsid w:val="00D33362"/>
    <w:rsid w:val="00D33C0D"/>
    <w:rsid w:val="00D34C41"/>
    <w:rsid w:val="00D35BC6"/>
    <w:rsid w:val="00D3635F"/>
    <w:rsid w:val="00D36532"/>
    <w:rsid w:val="00D367F9"/>
    <w:rsid w:val="00D3760F"/>
    <w:rsid w:val="00D37FBA"/>
    <w:rsid w:val="00D40A87"/>
    <w:rsid w:val="00D4166E"/>
    <w:rsid w:val="00D418AA"/>
    <w:rsid w:val="00D41CA2"/>
    <w:rsid w:val="00D42026"/>
    <w:rsid w:val="00D424A2"/>
    <w:rsid w:val="00D4251B"/>
    <w:rsid w:val="00D42ECA"/>
    <w:rsid w:val="00D43649"/>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32F2"/>
    <w:rsid w:val="00D83CC1"/>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58"/>
    <w:rsid w:val="00DA4B87"/>
    <w:rsid w:val="00DA5129"/>
    <w:rsid w:val="00DA54E7"/>
    <w:rsid w:val="00DA5795"/>
    <w:rsid w:val="00DA5945"/>
    <w:rsid w:val="00DA63A9"/>
    <w:rsid w:val="00DA717D"/>
    <w:rsid w:val="00DA7986"/>
    <w:rsid w:val="00DA7A5F"/>
    <w:rsid w:val="00DB0226"/>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1E6D"/>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2AD"/>
    <w:rsid w:val="00DE2C26"/>
    <w:rsid w:val="00DE2CFB"/>
    <w:rsid w:val="00DE414D"/>
    <w:rsid w:val="00DE5048"/>
    <w:rsid w:val="00DE68DD"/>
    <w:rsid w:val="00DE77DC"/>
    <w:rsid w:val="00DF0391"/>
    <w:rsid w:val="00DF0FAE"/>
    <w:rsid w:val="00DF1506"/>
    <w:rsid w:val="00DF1F74"/>
    <w:rsid w:val="00DF2FA1"/>
    <w:rsid w:val="00DF5862"/>
    <w:rsid w:val="00DF5E93"/>
    <w:rsid w:val="00DF66BB"/>
    <w:rsid w:val="00DF7D55"/>
    <w:rsid w:val="00DF7E72"/>
    <w:rsid w:val="00DF7F94"/>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9BA"/>
    <w:rsid w:val="00E24415"/>
    <w:rsid w:val="00E24D01"/>
    <w:rsid w:val="00E25521"/>
    <w:rsid w:val="00E25917"/>
    <w:rsid w:val="00E261E0"/>
    <w:rsid w:val="00E26580"/>
    <w:rsid w:val="00E2721C"/>
    <w:rsid w:val="00E27B4B"/>
    <w:rsid w:val="00E3028E"/>
    <w:rsid w:val="00E311CE"/>
    <w:rsid w:val="00E31D2B"/>
    <w:rsid w:val="00E31E30"/>
    <w:rsid w:val="00E31E40"/>
    <w:rsid w:val="00E33520"/>
    <w:rsid w:val="00E33741"/>
    <w:rsid w:val="00E33D3D"/>
    <w:rsid w:val="00E351B8"/>
    <w:rsid w:val="00E35EC1"/>
    <w:rsid w:val="00E35F95"/>
    <w:rsid w:val="00E3623E"/>
    <w:rsid w:val="00E36893"/>
    <w:rsid w:val="00E369E0"/>
    <w:rsid w:val="00E36F87"/>
    <w:rsid w:val="00E36FAF"/>
    <w:rsid w:val="00E37775"/>
    <w:rsid w:val="00E37879"/>
    <w:rsid w:val="00E4029A"/>
    <w:rsid w:val="00E410B5"/>
    <w:rsid w:val="00E41D4A"/>
    <w:rsid w:val="00E41DFA"/>
    <w:rsid w:val="00E4205C"/>
    <w:rsid w:val="00E42264"/>
    <w:rsid w:val="00E42D1E"/>
    <w:rsid w:val="00E43435"/>
    <w:rsid w:val="00E447FF"/>
    <w:rsid w:val="00E44850"/>
    <w:rsid w:val="00E455A1"/>
    <w:rsid w:val="00E45DF0"/>
    <w:rsid w:val="00E45F05"/>
    <w:rsid w:val="00E47A30"/>
    <w:rsid w:val="00E50E09"/>
    <w:rsid w:val="00E51F55"/>
    <w:rsid w:val="00E531FE"/>
    <w:rsid w:val="00E540CA"/>
    <w:rsid w:val="00E54462"/>
    <w:rsid w:val="00E54583"/>
    <w:rsid w:val="00E55F46"/>
    <w:rsid w:val="00E5633C"/>
    <w:rsid w:val="00E56E97"/>
    <w:rsid w:val="00E56EE4"/>
    <w:rsid w:val="00E57504"/>
    <w:rsid w:val="00E60A17"/>
    <w:rsid w:val="00E621FE"/>
    <w:rsid w:val="00E62CBA"/>
    <w:rsid w:val="00E63E08"/>
    <w:rsid w:val="00E648F7"/>
    <w:rsid w:val="00E64CC9"/>
    <w:rsid w:val="00E65D50"/>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6047"/>
    <w:rsid w:val="00E86711"/>
    <w:rsid w:val="00E86798"/>
    <w:rsid w:val="00E90BD7"/>
    <w:rsid w:val="00E90CAB"/>
    <w:rsid w:val="00E90E54"/>
    <w:rsid w:val="00E9118C"/>
    <w:rsid w:val="00E911A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87"/>
    <w:rsid w:val="00EA3BBF"/>
    <w:rsid w:val="00EA3EA7"/>
    <w:rsid w:val="00EA4F63"/>
    <w:rsid w:val="00EA5703"/>
    <w:rsid w:val="00EA63F5"/>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3B62"/>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1DF7"/>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51D"/>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303C"/>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24C"/>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EC3B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EC3B62"/>
  </w:style>
  <w:style w:type="character" w:customStyle="1" w:styleId="ng-star-inserted">
    <w:name w:val="ng-star-inserted"/>
    <w:basedOn w:val="Fuentedeprrafopredeter"/>
    <w:rsid w:val="00EC3B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56328">
      <w:bodyDiv w:val="1"/>
      <w:marLeft w:val="0"/>
      <w:marRight w:val="0"/>
      <w:marTop w:val="0"/>
      <w:marBottom w:val="0"/>
      <w:divBdr>
        <w:top w:val="none" w:sz="0" w:space="0" w:color="auto"/>
        <w:left w:val="none" w:sz="0" w:space="0" w:color="auto"/>
        <w:bottom w:val="none" w:sz="0" w:space="0" w:color="auto"/>
        <w:right w:val="none" w:sz="0" w:space="0" w:color="auto"/>
      </w:divBdr>
      <w:divsChild>
        <w:div w:id="1502044577">
          <w:marLeft w:val="0"/>
          <w:marRight w:val="0"/>
          <w:marTop w:val="0"/>
          <w:marBottom w:val="0"/>
          <w:divBdr>
            <w:top w:val="none" w:sz="0" w:space="0" w:color="auto"/>
            <w:left w:val="none" w:sz="0" w:space="0" w:color="auto"/>
            <w:bottom w:val="none" w:sz="0" w:space="0" w:color="auto"/>
            <w:right w:val="none" w:sz="0" w:space="0" w:color="auto"/>
          </w:divBdr>
        </w:div>
        <w:div w:id="2070687117">
          <w:marLeft w:val="0"/>
          <w:marRight w:val="0"/>
          <w:marTop w:val="0"/>
          <w:marBottom w:val="0"/>
          <w:divBdr>
            <w:top w:val="none" w:sz="0" w:space="0" w:color="auto"/>
            <w:left w:val="none" w:sz="0" w:space="0" w:color="auto"/>
            <w:bottom w:val="none" w:sz="0" w:space="0" w:color="auto"/>
            <w:right w:val="none" w:sz="0" w:space="0" w:color="auto"/>
          </w:divBdr>
        </w:div>
        <w:div w:id="100689194">
          <w:marLeft w:val="0"/>
          <w:marRight w:val="0"/>
          <w:marTop w:val="0"/>
          <w:marBottom w:val="0"/>
          <w:divBdr>
            <w:top w:val="none" w:sz="0" w:space="0" w:color="auto"/>
            <w:left w:val="none" w:sz="0" w:space="0" w:color="auto"/>
            <w:bottom w:val="none" w:sz="0" w:space="0" w:color="auto"/>
            <w:right w:val="none" w:sz="0" w:space="0" w:color="auto"/>
          </w:divBdr>
        </w:div>
        <w:div w:id="867062016">
          <w:marLeft w:val="0"/>
          <w:marRight w:val="0"/>
          <w:marTop w:val="0"/>
          <w:marBottom w:val="0"/>
          <w:divBdr>
            <w:top w:val="none" w:sz="0" w:space="0" w:color="auto"/>
            <w:left w:val="none" w:sz="0" w:space="0" w:color="auto"/>
            <w:bottom w:val="none" w:sz="0" w:space="0" w:color="auto"/>
            <w:right w:val="none" w:sz="0" w:space="0" w:color="auto"/>
          </w:divBdr>
        </w:div>
        <w:div w:id="109936111">
          <w:marLeft w:val="0"/>
          <w:marRight w:val="0"/>
          <w:marTop w:val="0"/>
          <w:marBottom w:val="0"/>
          <w:divBdr>
            <w:top w:val="none" w:sz="0" w:space="0" w:color="auto"/>
            <w:left w:val="none" w:sz="0" w:space="0" w:color="auto"/>
            <w:bottom w:val="none" w:sz="0" w:space="0" w:color="auto"/>
            <w:right w:val="none" w:sz="0" w:space="0" w:color="auto"/>
          </w:divBdr>
        </w:div>
        <w:div w:id="1913346727">
          <w:marLeft w:val="0"/>
          <w:marRight w:val="0"/>
          <w:marTop w:val="0"/>
          <w:marBottom w:val="0"/>
          <w:divBdr>
            <w:top w:val="none" w:sz="0" w:space="0" w:color="auto"/>
            <w:left w:val="none" w:sz="0" w:space="0" w:color="auto"/>
            <w:bottom w:val="none" w:sz="0" w:space="0" w:color="auto"/>
            <w:right w:val="none" w:sz="0" w:space="0" w:color="auto"/>
          </w:divBdr>
        </w:div>
        <w:div w:id="1703288417">
          <w:marLeft w:val="0"/>
          <w:marRight w:val="0"/>
          <w:marTop w:val="0"/>
          <w:marBottom w:val="0"/>
          <w:divBdr>
            <w:top w:val="none" w:sz="0" w:space="0" w:color="auto"/>
            <w:left w:val="none" w:sz="0" w:space="0" w:color="auto"/>
            <w:bottom w:val="none" w:sz="0" w:space="0" w:color="auto"/>
            <w:right w:val="none" w:sz="0" w:space="0" w:color="auto"/>
          </w:divBdr>
        </w:div>
      </w:divsChild>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315383763">
      <w:bodyDiv w:val="1"/>
      <w:marLeft w:val="0"/>
      <w:marRight w:val="0"/>
      <w:marTop w:val="0"/>
      <w:marBottom w:val="0"/>
      <w:divBdr>
        <w:top w:val="none" w:sz="0" w:space="0" w:color="auto"/>
        <w:left w:val="none" w:sz="0" w:space="0" w:color="auto"/>
        <w:bottom w:val="none" w:sz="0" w:space="0" w:color="auto"/>
        <w:right w:val="none" w:sz="0" w:space="0" w:color="auto"/>
      </w:divBdr>
    </w:div>
    <w:div w:id="397214877">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952639311">
      <w:bodyDiv w:val="1"/>
      <w:marLeft w:val="0"/>
      <w:marRight w:val="0"/>
      <w:marTop w:val="0"/>
      <w:marBottom w:val="0"/>
      <w:divBdr>
        <w:top w:val="none" w:sz="0" w:space="0" w:color="auto"/>
        <w:left w:val="none" w:sz="0" w:space="0" w:color="auto"/>
        <w:bottom w:val="none" w:sz="0" w:space="0" w:color="auto"/>
        <w:right w:val="none" w:sz="0" w:space="0" w:color="auto"/>
      </w:divBdr>
    </w:div>
    <w:div w:id="1056390180">
      <w:bodyDiv w:val="1"/>
      <w:marLeft w:val="0"/>
      <w:marRight w:val="0"/>
      <w:marTop w:val="0"/>
      <w:marBottom w:val="0"/>
      <w:divBdr>
        <w:top w:val="none" w:sz="0" w:space="0" w:color="auto"/>
        <w:left w:val="none" w:sz="0" w:space="0" w:color="auto"/>
        <w:bottom w:val="none" w:sz="0" w:space="0" w:color="auto"/>
        <w:right w:val="none" w:sz="0" w:space="0" w:color="auto"/>
      </w:divBdr>
      <w:divsChild>
        <w:div w:id="2007661744">
          <w:marLeft w:val="0"/>
          <w:marRight w:val="0"/>
          <w:marTop w:val="0"/>
          <w:marBottom w:val="0"/>
          <w:divBdr>
            <w:top w:val="none" w:sz="0" w:space="0" w:color="auto"/>
            <w:left w:val="none" w:sz="0" w:space="0" w:color="auto"/>
            <w:bottom w:val="none" w:sz="0" w:space="0" w:color="auto"/>
            <w:right w:val="none" w:sz="0" w:space="0" w:color="auto"/>
          </w:divBdr>
        </w:div>
        <w:div w:id="630980832">
          <w:marLeft w:val="0"/>
          <w:marRight w:val="0"/>
          <w:marTop w:val="0"/>
          <w:marBottom w:val="0"/>
          <w:divBdr>
            <w:top w:val="none" w:sz="0" w:space="0" w:color="auto"/>
            <w:left w:val="none" w:sz="0" w:space="0" w:color="auto"/>
            <w:bottom w:val="none" w:sz="0" w:space="0" w:color="auto"/>
            <w:right w:val="none" w:sz="0" w:space="0" w:color="auto"/>
          </w:divBdr>
        </w:div>
        <w:div w:id="345864755">
          <w:marLeft w:val="0"/>
          <w:marRight w:val="0"/>
          <w:marTop w:val="0"/>
          <w:marBottom w:val="0"/>
          <w:divBdr>
            <w:top w:val="none" w:sz="0" w:space="0" w:color="auto"/>
            <w:left w:val="none" w:sz="0" w:space="0" w:color="auto"/>
            <w:bottom w:val="none" w:sz="0" w:space="0" w:color="auto"/>
            <w:right w:val="none" w:sz="0" w:space="0" w:color="auto"/>
          </w:divBdr>
        </w:div>
        <w:div w:id="456030216">
          <w:marLeft w:val="0"/>
          <w:marRight w:val="0"/>
          <w:marTop w:val="0"/>
          <w:marBottom w:val="0"/>
          <w:divBdr>
            <w:top w:val="none" w:sz="0" w:space="0" w:color="auto"/>
            <w:left w:val="none" w:sz="0" w:space="0" w:color="auto"/>
            <w:bottom w:val="none" w:sz="0" w:space="0" w:color="auto"/>
            <w:right w:val="none" w:sz="0" w:space="0" w:color="auto"/>
          </w:divBdr>
        </w:div>
        <w:div w:id="1837455201">
          <w:marLeft w:val="0"/>
          <w:marRight w:val="0"/>
          <w:marTop w:val="0"/>
          <w:marBottom w:val="0"/>
          <w:divBdr>
            <w:top w:val="none" w:sz="0" w:space="0" w:color="auto"/>
            <w:left w:val="none" w:sz="0" w:space="0" w:color="auto"/>
            <w:bottom w:val="none" w:sz="0" w:space="0" w:color="auto"/>
            <w:right w:val="none" w:sz="0" w:space="0" w:color="auto"/>
          </w:divBdr>
        </w:div>
        <w:div w:id="1432357515">
          <w:marLeft w:val="0"/>
          <w:marRight w:val="0"/>
          <w:marTop w:val="0"/>
          <w:marBottom w:val="0"/>
          <w:divBdr>
            <w:top w:val="none" w:sz="0" w:space="0" w:color="auto"/>
            <w:left w:val="none" w:sz="0" w:space="0" w:color="auto"/>
            <w:bottom w:val="none" w:sz="0" w:space="0" w:color="auto"/>
            <w:right w:val="none" w:sz="0" w:space="0" w:color="auto"/>
          </w:divBdr>
        </w:div>
        <w:div w:id="2038310362">
          <w:marLeft w:val="0"/>
          <w:marRight w:val="0"/>
          <w:marTop w:val="0"/>
          <w:marBottom w:val="0"/>
          <w:divBdr>
            <w:top w:val="none" w:sz="0" w:space="0" w:color="auto"/>
            <w:left w:val="none" w:sz="0" w:space="0" w:color="auto"/>
            <w:bottom w:val="none" w:sz="0" w:space="0" w:color="auto"/>
            <w:right w:val="none" w:sz="0" w:space="0" w:color="auto"/>
          </w:divBdr>
        </w:div>
      </w:divsChild>
    </w:div>
    <w:div w:id="1275551869">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06143360">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58641926">
      <w:bodyDiv w:val="1"/>
      <w:marLeft w:val="0"/>
      <w:marRight w:val="0"/>
      <w:marTop w:val="0"/>
      <w:marBottom w:val="0"/>
      <w:divBdr>
        <w:top w:val="none" w:sz="0" w:space="0" w:color="auto"/>
        <w:left w:val="none" w:sz="0" w:space="0" w:color="auto"/>
        <w:bottom w:val="none" w:sz="0" w:space="0" w:color="auto"/>
        <w:right w:val="none" w:sz="0" w:space="0" w:color="auto"/>
      </w:divBdr>
    </w:div>
    <w:div w:id="1653556248">
      <w:bodyDiv w:val="1"/>
      <w:marLeft w:val="0"/>
      <w:marRight w:val="0"/>
      <w:marTop w:val="0"/>
      <w:marBottom w:val="0"/>
      <w:divBdr>
        <w:top w:val="none" w:sz="0" w:space="0" w:color="auto"/>
        <w:left w:val="none" w:sz="0" w:space="0" w:color="auto"/>
        <w:bottom w:val="none" w:sz="0" w:space="0" w:color="auto"/>
        <w:right w:val="none" w:sz="0" w:space="0" w:color="auto"/>
      </w:divBdr>
    </w:div>
    <w:div w:id="2088502248">
      <w:bodyDiv w:val="1"/>
      <w:marLeft w:val="0"/>
      <w:marRight w:val="0"/>
      <w:marTop w:val="0"/>
      <w:marBottom w:val="0"/>
      <w:divBdr>
        <w:top w:val="none" w:sz="0" w:space="0" w:color="auto"/>
        <w:left w:val="none" w:sz="0" w:space="0" w:color="auto"/>
        <w:bottom w:val="none" w:sz="0" w:space="0" w:color="auto"/>
        <w:right w:val="none" w:sz="0" w:space="0" w:color="auto"/>
      </w:divBdr>
    </w:div>
    <w:div w:id="2096198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D57910-2B6E-4960-B1D2-FA132F828F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7</Pages>
  <Words>2280</Words>
  <Characters>12546</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9</cp:revision>
  <cp:lastPrinted>2022-11-18T16:56:00Z</cp:lastPrinted>
  <dcterms:created xsi:type="dcterms:W3CDTF">2022-10-24T19:10:00Z</dcterms:created>
  <dcterms:modified xsi:type="dcterms:W3CDTF">2023-04-10T22:36:00Z</dcterms:modified>
</cp:coreProperties>
</file>