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16D6E9E1"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3E5F56">
        <w:rPr>
          <w:rFonts w:ascii="Arial" w:eastAsia="Calibri" w:hAnsi="Arial" w:cs="Arial"/>
          <w:b/>
          <w:bCs/>
          <w:sz w:val="24"/>
          <w:szCs w:val="24"/>
          <w:lang w:eastAsia="en-US"/>
        </w:rPr>
        <w:t>29</w:t>
      </w:r>
      <w:r w:rsidR="00397AFB">
        <w:rPr>
          <w:rFonts w:ascii="Arial" w:eastAsia="Calibri" w:hAnsi="Arial" w:cs="Arial"/>
          <w:b/>
          <w:bCs/>
          <w:sz w:val="24"/>
          <w:szCs w:val="24"/>
          <w:lang w:eastAsia="en-US"/>
        </w:rPr>
        <w:t xml:space="preserve"> de junio</w:t>
      </w:r>
      <w:r w:rsidR="008E0305">
        <w:rPr>
          <w:rFonts w:ascii="Arial" w:eastAsia="Calibri" w:hAnsi="Arial" w:cs="Arial"/>
          <w:b/>
          <w:bCs/>
          <w:sz w:val="24"/>
          <w:szCs w:val="24"/>
          <w:lang w:eastAsia="en-US"/>
        </w:rPr>
        <w:t xml:space="preserve"> de 2023</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26F2EFB5"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3E5F56">
        <w:rPr>
          <w:rFonts w:ascii="Arial" w:hAnsi="Arial" w:cs="Arial"/>
          <w:b/>
          <w:sz w:val="24"/>
          <w:szCs w:val="24"/>
        </w:rPr>
        <w:t>0023</w:t>
      </w:r>
      <w:r w:rsidRPr="00512412">
        <w:rPr>
          <w:rFonts w:ascii="Arial" w:hAnsi="Arial" w:cs="Arial"/>
          <w:b/>
          <w:sz w:val="24"/>
          <w:szCs w:val="24"/>
        </w:rPr>
        <w:t>/20</w:t>
      </w:r>
      <w:r w:rsidR="00344098">
        <w:rPr>
          <w:rFonts w:ascii="Arial" w:hAnsi="Arial" w:cs="Arial"/>
          <w:b/>
          <w:sz w:val="24"/>
          <w:szCs w:val="24"/>
        </w:rPr>
        <w:t>2</w:t>
      </w:r>
      <w:r w:rsidR="00397AFB">
        <w:rPr>
          <w:rFonts w:ascii="Arial" w:hAnsi="Arial" w:cs="Arial"/>
          <w:b/>
          <w:sz w:val="24"/>
          <w:szCs w:val="24"/>
        </w:rPr>
        <w:t>3</w:t>
      </w:r>
      <w:r w:rsidRPr="00512412">
        <w:rPr>
          <w:rFonts w:ascii="Arial" w:hAnsi="Arial" w:cs="Arial"/>
          <w:sz w:val="24"/>
          <w:szCs w:val="24"/>
        </w:rPr>
        <w:t>, promovido por</w:t>
      </w:r>
      <w:r w:rsidRPr="00512412">
        <w:rPr>
          <w:rFonts w:ascii="Arial" w:hAnsi="Arial" w:cs="Arial"/>
          <w:b/>
          <w:sz w:val="24"/>
          <w:szCs w:val="24"/>
        </w:rPr>
        <w:t xml:space="preserve"> </w:t>
      </w:r>
      <w:r w:rsidR="00FC773B">
        <w:rPr>
          <w:rFonts w:ascii="Arial" w:hAnsi="Arial" w:cs="Arial"/>
          <w:b/>
          <w:sz w:val="24"/>
          <w:szCs w:val="24"/>
        </w:rPr>
        <w:t>**********</w:t>
      </w:r>
      <w:r w:rsidRPr="00512412">
        <w:rPr>
          <w:rFonts w:ascii="Arial" w:hAnsi="Arial" w:cs="Arial"/>
          <w:sz w:val="24"/>
          <w:szCs w:val="24"/>
        </w:rPr>
        <w:t xml:space="preserve">, en contra del </w:t>
      </w:r>
      <w:r w:rsidR="003E5F56">
        <w:rPr>
          <w:rFonts w:ascii="Arial" w:hAnsi="Arial" w:cs="Arial"/>
          <w:b/>
          <w:bCs/>
          <w:sz w:val="24"/>
          <w:szCs w:val="24"/>
        </w:rPr>
        <w:t>COORDINADOR DE LA FUNCIÓN REGISTRAL DEL INSTITUTO DE LA FUNCIÓN REGISTRAL DEL ESTADO DE OAXACA</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791F05CF"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3E5F56">
        <w:rPr>
          <w:rFonts w:ascii="Arial" w:eastAsia="Calibri" w:hAnsi="Arial" w:cs="Arial"/>
          <w:sz w:val="24"/>
          <w:szCs w:val="24"/>
          <w:lang w:eastAsia="en-US"/>
        </w:rPr>
        <w:t>catorce</w:t>
      </w:r>
      <w:r w:rsidR="00397AFB">
        <w:rPr>
          <w:rFonts w:ascii="Arial" w:eastAsia="Calibri" w:hAnsi="Arial" w:cs="Arial"/>
          <w:sz w:val="24"/>
          <w:szCs w:val="24"/>
          <w:lang w:eastAsia="en-US"/>
        </w:rPr>
        <w:t xml:space="preserve"> de </w:t>
      </w:r>
      <w:r w:rsidR="00E34CCB">
        <w:rPr>
          <w:rFonts w:ascii="Arial" w:eastAsia="Calibri" w:hAnsi="Arial" w:cs="Arial"/>
          <w:sz w:val="24"/>
          <w:szCs w:val="24"/>
          <w:lang w:eastAsia="en-US"/>
        </w:rPr>
        <w:t>marzo</w:t>
      </w:r>
      <w:r w:rsidR="00397AFB">
        <w:rPr>
          <w:rFonts w:ascii="Arial" w:eastAsia="Calibri" w:hAnsi="Arial" w:cs="Arial"/>
          <w:sz w:val="24"/>
          <w:szCs w:val="24"/>
          <w:lang w:eastAsia="en-US"/>
        </w:rPr>
        <w:t xml:space="preserve"> de dos mil veintitrés</w:t>
      </w:r>
      <w:r w:rsidR="00513C70">
        <w:rPr>
          <w:rFonts w:ascii="Arial" w:eastAsia="Calibri" w:hAnsi="Arial" w:cs="Arial"/>
          <w:sz w:val="24"/>
          <w:szCs w:val="24"/>
          <w:lang w:eastAsia="en-US"/>
        </w:rPr>
        <w:t xml:space="preserve">, </w:t>
      </w:r>
      <w:r w:rsidR="00FC773B">
        <w:rPr>
          <w:rFonts w:ascii="Arial" w:eastAsia="Calibri" w:hAnsi="Arial" w:cs="Arial"/>
          <w:sz w:val="24"/>
          <w:szCs w:val="24"/>
          <w:lang w:eastAsia="en-US"/>
        </w:rPr>
        <w:t>**********</w:t>
      </w:r>
      <w:r>
        <w:rPr>
          <w:rFonts w:ascii="Arial" w:eastAsia="Calibri" w:hAnsi="Arial" w:cs="Arial"/>
          <w:sz w:val="24"/>
          <w:szCs w:val="24"/>
          <w:lang w:eastAsia="en-US"/>
        </w:rPr>
        <w:t xml:space="preserve"> demandó </w:t>
      </w:r>
      <w:r w:rsidRPr="006E6EB1">
        <w:rPr>
          <w:rFonts w:ascii="Arial" w:eastAsia="Calibri" w:hAnsi="Arial" w:cs="Arial"/>
          <w:sz w:val="24"/>
          <w:szCs w:val="24"/>
          <w:lang w:eastAsia="en-US"/>
        </w:rPr>
        <w:t xml:space="preserve">la nulidad </w:t>
      </w:r>
      <w:r w:rsidR="003E5F56">
        <w:rPr>
          <w:rFonts w:ascii="Arial" w:eastAsia="Calibri" w:hAnsi="Arial" w:cs="Arial"/>
          <w:sz w:val="24"/>
          <w:szCs w:val="24"/>
          <w:lang w:eastAsia="en-US"/>
        </w:rPr>
        <w:t>de la resolución de fecha veintisiete de enero de dos mil veintitrés</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3A5C9FC0"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397AFB">
        <w:rPr>
          <w:rFonts w:ascii="Arial" w:eastAsia="Calibri" w:hAnsi="Arial" w:cs="Arial"/>
          <w:sz w:val="24"/>
          <w:szCs w:val="24"/>
          <w:lang w:eastAsia="en-US"/>
        </w:rPr>
        <w:t>treinta de marzo de dos mil veintitrés</w:t>
      </w:r>
      <w:r w:rsidRPr="00512412">
        <w:rPr>
          <w:rFonts w:ascii="Arial" w:eastAsia="Calibri" w:hAnsi="Arial" w:cs="Arial"/>
          <w:sz w:val="24"/>
          <w:szCs w:val="24"/>
          <w:lang w:eastAsia="en-US"/>
        </w:rPr>
        <w:t xml:space="preserve">, se admitió </w:t>
      </w:r>
      <w:r w:rsidR="00EC35EF">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 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w:t>
      </w:r>
      <w:bookmarkStart w:id="0" w:name="_GoBack"/>
      <w:bookmarkEnd w:id="0"/>
      <w:r w:rsidRPr="00512412">
        <w:rPr>
          <w:rFonts w:ascii="Arial" w:eastAsia="Calibri" w:hAnsi="Arial" w:cs="Arial"/>
          <w:sz w:val="24"/>
          <w:szCs w:val="24"/>
          <w:lang w:eastAsia="en-US"/>
        </w:rPr>
        <w:t>cuerdo mencionado.</w:t>
      </w:r>
    </w:p>
    <w:p w14:paraId="787F2627" w14:textId="50B4D0DF" w:rsidR="00F850CC" w:rsidRPr="00853B5B"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3E5F56">
        <w:rPr>
          <w:rFonts w:ascii="Arial" w:eastAsia="Calibri" w:hAnsi="Arial" w:cs="Arial"/>
          <w:sz w:val="24"/>
          <w:szCs w:val="24"/>
          <w:lang w:eastAsia="en-US"/>
        </w:rPr>
        <w:t xml:space="preserve">doce de junio </w:t>
      </w:r>
      <w:r w:rsidR="00286778">
        <w:rPr>
          <w:rFonts w:ascii="Arial" w:eastAsia="Calibri" w:hAnsi="Arial" w:cs="Arial"/>
          <w:sz w:val="24"/>
          <w:szCs w:val="24"/>
          <w:lang w:eastAsia="en-US"/>
        </w:rPr>
        <w:t>de dos mil veintitrés</w:t>
      </w:r>
      <w:r w:rsidRPr="00512412">
        <w:rPr>
          <w:rFonts w:ascii="Arial" w:eastAsia="Calibri" w:hAnsi="Arial" w:cs="Arial"/>
          <w:sz w:val="24"/>
          <w:szCs w:val="24"/>
          <w:lang w:eastAsia="en-US"/>
        </w:rPr>
        <w:t xml:space="preserve"> se tuvo</w:t>
      </w:r>
      <w:r w:rsidR="00286778">
        <w:rPr>
          <w:rFonts w:ascii="Arial" w:eastAsia="Calibri" w:hAnsi="Arial" w:cs="Arial"/>
          <w:sz w:val="24"/>
          <w:szCs w:val="24"/>
          <w:lang w:eastAsia="en-US"/>
        </w:rPr>
        <w:t xml:space="preserve"> a la </w:t>
      </w:r>
      <w:r w:rsidR="003E5F56">
        <w:rPr>
          <w:rFonts w:ascii="Arial" w:eastAsia="Calibri" w:hAnsi="Arial" w:cs="Arial"/>
          <w:sz w:val="24"/>
          <w:szCs w:val="24"/>
          <w:lang w:eastAsia="en-US"/>
        </w:rPr>
        <w:t>autoridad demandada contestando la demanda en sentido afirmativo</w:t>
      </w:r>
      <w:r w:rsidR="00286778">
        <w:rPr>
          <w:rFonts w:ascii="Arial" w:eastAsia="Calibri" w:hAnsi="Arial" w:cs="Arial"/>
          <w:sz w:val="24"/>
          <w:szCs w:val="24"/>
          <w:lang w:eastAsia="en-US"/>
        </w:rPr>
        <w:t xml:space="preserve"> y se fijaron las </w:t>
      </w:r>
      <w:r w:rsidR="003E5F56">
        <w:rPr>
          <w:rFonts w:ascii="Arial" w:eastAsia="Calibri" w:hAnsi="Arial" w:cs="Arial"/>
          <w:sz w:val="24"/>
          <w:szCs w:val="24"/>
          <w:lang w:eastAsia="en-US"/>
        </w:rPr>
        <w:t>once</w:t>
      </w:r>
      <w:r w:rsidR="00286778">
        <w:rPr>
          <w:rFonts w:ascii="Arial" w:eastAsia="Calibri" w:hAnsi="Arial" w:cs="Arial"/>
          <w:sz w:val="24"/>
          <w:szCs w:val="24"/>
          <w:lang w:eastAsia="en-US"/>
        </w:rPr>
        <w:t xml:space="preserve"> horas del </w:t>
      </w:r>
      <w:r w:rsidR="003E5F56">
        <w:rPr>
          <w:rFonts w:ascii="Arial" w:eastAsia="Calibri" w:hAnsi="Arial" w:cs="Arial"/>
          <w:sz w:val="24"/>
          <w:szCs w:val="24"/>
          <w:lang w:eastAsia="en-US"/>
        </w:rPr>
        <w:t>veintitrés</w:t>
      </w:r>
      <w:r w:rsidR="00286778">
        <w:rPr>
          <w:rFonts w:ascii="Arial" w:eastAsia="Calibri" w:hAnsi="Arial" w:cs="Arial"/>
          <w:sz w:val="24"/>
          <w:szCs w:val="24"/>
          <w:lang w:eastAsia="en-US"/>
        </w:rPr>
        <w:t xml:space="preserve"> de junio de dos mil veintitrés para que </w:t>
      </w:r>
      <w:r w:rsidR="00286778" w:rsidRPr="00853B5B">
        <w:rPr>
          <w:rFonts w:ascii="Arial" w:eastAsia="Calibri" w:hAnsi="Arial" w:cs="Arial"/>
          <w:sz w:val="24"/>
          <w:szCs w:val="24"/>
          <w:lang w:eastAsia="en-US"/>
        </w:rPr>
        <w:t>tuviera verificativo la Audiencia de Ley.</w:t>
      </w:r>
    </w:p>
    <w:p w14:paraId="219A7C67" w14:textId="055F6919" w:rsidR="003A730F" w:rsidRDefault="00F850CC" w:rsidP="003A730F">
      <w:pPr>
        <w:spacing w:after="160" w:line="360" w:lineRule="auto"/>
        <w:ind w:firstLine="567"/>
        <w:jc w:val="both"/>
        <w:rPr>
          <w:rFonts w:ascii="Arial" w:eastAsia="Calibri" w:hAnsi="Arial" w:cs="Arial"/>
          <w:sz w:val="24"/>
          <w:szCs w:val="24"/>
          <w:lang w:eastAsia="en-US"/>
        </w:rPr>
      </w:pPr>
      <w:r w:rsidRPr="00853B5B">
        <w:rPr>
          <w:rFonts w:ascii="Arial" w:eastAsia="Calibri" w:hAnsi="Arial" w:cs="Arial"/>
          <w:b/>
          <w:bCs/>
          <w:sz w:val="24"/>
          <w:szCs w:val="24"/>
          <w:lang w:eastAsia="en-US"/>
        </w:rPr>
        <w:t xml:space="preserve">4°. </w:t>
      </w:r>
      <w:r w:rsidR="00C2290A" w:rsidRPr="00853B5B">
        <w:rPr>
          <w:rFonts w:ascii="Arial" w:eastAsia="Calibri" w:hAnsi="Arial" w:cs="Arial"/>
          <w:sz w:val="24"/>
          <w:szCs w:val="24"/>
          <w:lang w:eastAsia="en-US"/>
        </w:rPr>
        <w:t>El día señalado</w:t>
      </w:r>
      <w:r w:rsidR="003A730F" w:rsidRPr="00853B5B">
        <w:rPr>
          <w:rFonts w:ascii="Arial" w:eastAsia="Calibri" w:hAnsi="Arial" w:cs="Arial"/>
          <w:sz w:val="24"/>
          <w:szCs w:val="24"/>
          <w:lang w:eastAsia="en-US"/>
        </w:rPr>
        <w:t xml:space="preserve"> se celebró </w:t>
      </w:r>
      <w:r w:rsidR="00C2290A" w:rsidRPr="00853B5B">
        <w:rPr>
          <w:rFonts w:ascii="Arial" w:eastAsia="Calibri" w:hAnsi="Arial" w:cs="Arial"/>
          <w:sz w:val="24"/>
          <w:szCs w:val="24"/>
          <w:lang w:eastAsia="en-US"/>
        </w:rPr>
        <w:t>la Audiencia de Le</w:t>
      </w:r>
      <w:r w:rsidR="00286778" w:rsidRPr="00853B5B">
        <w:rPr>
          <w:rFonts w:ascii="Arial" w:eastAsia="Calibri" w:hAnsi="Arial" w:cs="Arial"/>
          <w:sz w:val="24"/>
          <w:szCs w:val="24"/>
          <w:lang w:eastAsia="en-US"/>
        </w:rPr>
        <w:t xml:space="preserve">y </w:t>
      </w:r>
      <w:r w:rsidR="00C2290A" w:rsidRPr="00853B5B">
        <w:rPr>
          <w:rFonts w:ascii="Arial" w:eastAsia="Calibri" w:hAnsi="Arial" w:cs="Arial"/>
          <w:sz w:val="24"/>
          <w:szCs w:val="24"/>
          <w:lang w:eastAsia="en-US"/>
        </w:rPr>
        <w:t>donde</w:t>
      </w:r>
      <w:r w:rsidR="0085386F" w:rsidRPr="00853B5B">
        <w:rPr>
          <w:rFonts w:ascii="Arial" w:eastAsia="Calibri" w:hAnsi="Arial" w:cs="Arial"/>
          <w:sz w:val="24"/>
          <w:szCs w:val="24"/>
          <w:lang w:eastAsia="en-US"/>
        </w:rPr>
        <w:t xml:space="preserve"> </w:t>
      </w:r>
      <w:r w:rsidR="003A730F" w:rsidRPr="00853B5B">
        <w:rPr>
          <w:rFonts w:ascii="Arial" w:eastAsia="Calibri" w:hAnsi="Arial" w:cs="Arial"/>
          <w:sz w:val="24"/>
          <w:szCs w:val="24"/>
          <w:lang w:eastAsia="en-US"/>
        </w:rPr>
        <w:t>se hizo constar</w:t>
      </w:r>
      <w:r w:rsidR="0085386F" w:rsidRPr="00853B5B">
        <w:rPr>
          <w:rFonts w:ascii="Arial" w:eastAsia="Calibri" w:hAnsi="Arial" w:cs="Arial"/>
          <w:sz w:val="24"/>
          <w:szCs w:val="24"/>
          <w:lang w:eastAsia="en-US"/>
        </w:rPr>
        <w:t xml:space="preserve"> que no se encontraron presentes las partes ni persona alguna que legalmente las representara</w:t>
      </w:r>
      <w:r w:rsidR="003A730F" w:rsidRPr="00853B5B">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C2290A" w:rsidRPr="00853B5B">
        <w:rPr>
          <w:rFonts w:ascii="Arial" w:eastAsia="Calibri" w:hAnsi="Arial" w:cs="Arial"/>
          <w:sz w:val="24"/>
          <w:szCs w:val="24"/>
          <w:lang w:eastAsia="en-US"/>
        </w:rPr>
        <w:t xml:space="preserve">que las partes no presentaron alegatos </w:t>
      </w:r>
      <w:r w:rsidR="003A730F" w:rsidRPr="00853B5B">
        <w:rPr>
          <w:rFonts w:ascii="Arial" w:eastAsia="Calibri" w:hAnsi="Arial" w:cs="Arial"/>
          <w:sz w:val="24"/>
          <w:szCs w:val="24"/>
          <w:lang w:eastAsia="en-US"/>
        </w:rPr>
        <w:t xml:space="preserve">y </w:t>
      </w:r>
      <w:r w:rsidR="003A730F" w:rsidRPr="00853B5B">
        <w:rPr>
          <w:rFonts w:ascii="Arial" w:eastAsia="Calibri" w:hAnsi="Arial" w:cs="Arial"/>
          <w:sz w:val="24"/>
          <w:szCs w:val="24"/>
          <w:lang w:eastAsia="en-US"/>
        </w:rPr>
        <w:lastRenderedPageBreak/>
        <w:t>se cerró dicho periodo quedando el asunto integrado y en estado de resolución, finalmente se emite sentencia en los siguientes términos:</w:t>
      </w:r>
    </w:p>
    <w:p w14:paraId="625904E4" w14:textId="77777777" w:rsidR="00286778" w:rsidRDefault="00286778" w:rsidP="003A730F">
      <w:pPr>
        <w:spacing w:after="160" w:line="360" w:lineRule="auto"/>
        <w:ind w:firstLine="567"/>
        <w:jc w:val="both"/>
        <w:rPr>
          <w:rFonts w:ascii="Arial" w:eastAsia="Calibri" w:hAnsi="Arial" w:cs="Arial"/>
          <w:sz w:val="24"/>
          <w:szCs w:val="24"/>
          <w:lang w:eastAsia="en-US"/>
        </w:rPr>
      </w:pP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85386F">
      <w:pPr>
        <w:spacing w:after="160" w:line="360" w:lineRule="auto"/>
        <w:jc w:val="center"/>
        <w:rPr>
          <w:rFonts w:ascii="Arial" w:eastAsia="Calibri" w:hAnsi="Arial" w:cs="Arial"/>
          <w:sz w:val="24"/>
          <w:szCs w:val="24"/>
          <w:lang w:eastAsia="en-US"/>
        </w:rPr>
      </w:pP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0E69569B"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EC35EF">
        <w:rPr>
          <w:rFonts w:ascii="Arial" w:eastAsia="Calibri" w:hAnsi="Arial" w:cs="Arial"/>
          <w:sz w:val="24"/>
          <w:szCs w:val="24"/>
          <w:lang w:eastAsia="en-US"/>
        </w:rPr>
        <w:t xml:space="preserve"> para el Estado de Oaxaca</w:t>
      </w:r>
      <w:r w:rsidRPr="00512412">
        <w:rPr>
          <w:rFonts w:ascii="Arial" w:eastAsia="Calibri" w:hAnsi="Arial" w:cs="Arial"/>
          <w:sz w:val="24"/>
          <w:szCs w:val="24"/>
          <w:lang w:eastAsia="en-US"/>
        </w:rPr>
        <w:t>.</w:t>
      </w:r>
    </w:p>
    <w:p w14:paraId="1D9EEE29" w14:textId="2BDB64B3" w:rsidR="00D83CC1" w:rsidRDefault="00D83CC1" w:rsidP="00C2290A">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w:t>
      </w:r>
      <w:r w:rsidR="005342F5">
        <w:rPr>
          <w:rFonts w:ascii="Arial" w:hAnsi="Arial" w:cs="Arial"/>
          <w:sz w:val="24"/>
          <w:szCs w:val="24"/>
        </w:rPr>
        <w:t xml:space="preserve"> </w:t>
      </w:r>
      <w:r w:rsidR="00C2290A">
        <w:rPr>
          <w:rFonts w:ascii="Arial" w:hAnsi="Arial" w:cs="Arial"/>
          <w:sz w:val="24"/>
          <w:szCs w:val="24"/>
        </w:rPr>
        <w:t xml:space="preserve">es </w:t>
      </w:r>
      <w:r w:rsidR="003E5F56">
        <w:rPr>
          <w:rFonts w:ascii="Arial" w:eastAsia="Calibri" w:hAnsi="Arial" w:cs="Arial"/>
          <w:sz w:val="24"/>
          <w:szCs w:val="24"/>
          <w:lang w:eastAsia="en-US"/>
        </w:rPr>
        <w:t>la resolución de fecha veintisiete de enero de dos mil veintitrés</w:t>
      </w:r>
      <w:r w:rsidR="003E5F56">
        <w:rPr>
          <w:rFonts w:ascii="Arial" w:hAnsi="Arial" w:cs="Arial"/>
          <w:sz w:val="24"/>
          <w:szCs w:val="24"/>
        </w:rPr>
        <w:t xml:space="preserve"> </w:t>
      </w:r>
      <w:r w:rsidR="00C2290A">
        <w:rPr>
          <w:rFonts w:ascii="Arial" w:hAnsi="Arial" w:cs="Arial"/>
          <w:sz w:val="24"/>
          <w:szCs w:val="24"/>
        </w:rPr>
        <w:t xml:space="preserve">que obra en </w:t>
      </w:r>
      <w:r w:rsidR="00EC35EF">
        <w:rPr>
          <w:rFonts w:ascii="Arial" w:hAnsi="Arial" w:cs="Arial"/>
          <w:sz w:val="24"/>
          <w:szCs w:val="24"/>
        </w:rPr>
        <w:t>copia certificada por Notario Público número ciento cinco en el Estado de Oaxaca</w:t>
      </w:r>
      <w:r w:rsidR="00C2290A">
        <w:rPr>
          <w:rFonts w:ascii="Arial" w:hAnsi="Arial" w:cs="Arial"/>
          <w:sz w:val="24"/>
          <w:szCs w:val="24"/>
        </w:rPr>
        <w:t xml:space="preserve"> a fojas </w:t>
      </w:r>
      <w:r w:rsidR="003E5F56">
        <w:rPr>
          <w:rFonts w:ascii="Arial" w:hAnsi="Arial" w:cs="Arial"/>
          <w:sz w:val="24"/>
          <w:szCs w:val="24"/>
        </w:rPr>
        <w:t>siete y ocho</w:t>
      </w:r>
      <w:r w:rsidR="00C2290A">
        <w:rPr>
          <w:rFonts w:ascii="Arial" w:hAnsi="Arial" w:cs="Arial"/>
          <w:sz w:val="24"/>
          <w:szCs w:val="24"/>
        </w:rPr>
        <w:t xml:space="preserve"> del expediente natural a rubro indicado y al que</w:t>
      </w:r>
      <w:r w:rsidRPr="006D319D">
        <w:rPr>
          <w:rFonts w:ascii="Arial" w:hAnsi="Arial" w:cs="Arial"/>
          <w:sz w:val="24"/>
          <w:szCs w:val="24"/>
        </w:rPr>
        <w:t xml:space="preserve"> se le concede valor probatorio pleno de conformidad con el artículo 203</w:t>
      </w:r>
      <w:r w:rsidR="00EC35EF">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 al ser expedida por una autoridad</w:t>
      </w:r>
      <w:r>
        <w:rPr>
          <w:rFonts w:ascii="Arial" w:hAnsi="Arial" w:cs="Arial"/>
          <w:sz w:val="24"/>
          <w:szCs w:val="24"/>
        </w:rPr>
        <w:t xml:space="preserve">. De manera que </w:t>
      </w:r>
      <w:r w:rsidR="00C2290A">
        <w:rPr>
          <w:rFonts w:ascii="Arial" w:hAnsi="Arial" w:cs="Arial"/>
          <w:sz w:val="24"/>
          <w:szCs w:val="24"/>
        </w:rPr>
        <w:t>dicha documental</w:t>
      </w:r>
      <w:r w:rsidRPr="006D319D">
        <w:rPr>
          <w:rFonts w:ascii="Arial" w:hAnsi="Arial" w:cs="Arial"/>
          <w:sz w:val="24"/>
          <w:szCs w:val="24"/>
        </w:rPr>
        <w:t xml:space="preserve"> pública es el medio</w:t>
      </w:r>
      <w:r w:rsidR="00EC35EF">
        <w:rPr>
          <w:rFonts w:ascii="Arial" w:hAnsi="Arial" w:cs="Arial"/>
          <w:sz w:val="24"/>
          <w:szCs w:val="24"/>
        </w:rPr>
        <w:t xml:space="preserve"> de convicción, que se tiene para acreditar</w:t>
      </w:r>
      <w:r w:rsidRPr="006D319D">
        <w:rPr>
          <w:rFonts w:ascii="Arial" w:hAnsi="Arial" w:cs="Arial"/>
          <w:sz w:val="24"/>
          <w:szCs w:val="24"/>
        </w:rPr>
        <w:t xml:space="preserve"> la existencia del acto impugnado. </w:t>
      </w:r>
    </w:p>
    <w:p w14:paraId="4424461E" w14:textId="2D0A054C" w:rsidR="003E5F56"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derivado del planteamiento de ilegalidad que hace la parte actora en relación a</w:t>
      </w:r>
      <w:r w:rsidR="005342F5">
        <w:rPr>
          <w:rFonts w:ascii="Arial" w:hAnsi="Arial" w:cs="Arial"/>
          <w:sz w:val="24"/>
          <w:szCs w:val="24"/>
        </w:rPr>
        <w:t xml:space="preserve"> </w:t>
      </w:r>
      <w:r w:rsidR="007D407F">
        <w:rPr>
          <w:rFonts w:ascii="Arial" w:hAnsi="Arial" w:cs="Arial"/>
          <w:sz w:val="24"/>
          <w:szCs w:val="24"/>
        </w:rPr>
        <w:t xml:space="preserve">que la autoridad </w:t>
      </w:r>
      <w:r w:rsidR="007D407F">
        <w:rPr>
          <w:rFonts w:ascii="Arial" w:hAnsi="Arial" w:cs="Arial"/>
          <w:sz w:val="24"/>
          <w:szCs w:val="24"/>
        </w:rPr>
        <w:lastRenderedPageBreak/>
        <w:t xml:space="preserve">demandada </w:t>
      </w:r>
      <w:r w:rsidR="00370E96">
        <w:rPr>
          <w:rFonts w:ascii="Arial" w:hAnsi="Arial" w:cs="Arial"/>
          <w:sz w:val="24"/>
          <w:szCs w:val="24"/>
        </w:rPr>
        <w:t xml:space="preserve">de forma ilegal </w:t>
      </w:r>
      <w:r w:rsidR="003E5F56">
        <w:rPr>
          <w:rFonts w:ascii="Arial" w:hAnsi="Arial" w:cs="Arial"/>
          <w:sz w:val="24"/>
          <w:szCs w:val="24"/>
        </w:rPr>
        <w:t xml:space="preserve">no funda ni motiva adecuadamente la </w:t>
      </w:r>
      <w:r w:rsidR="003E5F56">
        <w:rPr>
          <w:rFonts w:ascii="Arial" w:eastAsia="Calibri" w:hAnsi="Arial" w:cs="Arial"/>
          <w:sz w:val="24"/>
          <w:szCs w:val="24"/>
          <w:lang w:eastAsia="en-US"/>
        </w:rPr>
        <w:t xml:space="preserve">resolución de fecha veintisiete de enero de dos mil veintitrés </w:t>
      </w:r>
      <w:r w:rsidR="002D0766">
        <w:rPr>
          <w:rFonts w:ascii="Arial" w:eastAsia="Calibri" w:hAnsi="Arial" w:cs="Arial"/>
          <w:sz w:val="24"/>
          <w:szCs w:val="24"/>
          <w:lang w:eastAsia="en-US"/>
        </w:rPr>
        <w:t>toda vez que no analizó adecuadamente los agravi</w:t>
      </w:r>
      <w:r w:rsidR="00EC35EF">
        <w:rPr>
          <w:rFonts w:ascii="Arial" w:eastAsia="Calibri" w:hAnsi="Arial" w:cs="Arial"/>
          <w:sz w:val="24"/>
          <w:szCs w:val="24"/>
          <w:lang w:eastAsia="en-US"/>
        </w:rPr>
        <w:t>os esgrimidos en el recurso de inconformidad</w:t>
      </w:r>
      <w:r w:rsidR="002D0766">
        <w:rPr>
          <w:rFonts w:ascii="Arial" w:eastAsia="Calibri" w:hAnsi="Arial" w:cs="Arial"/>
          <w:sz w:val="24"/>
          <w:szCs w:val="24"/>
          <w:lang w:eastAsia="en-US"/>
        </w:rPr>
        <w:t>.</w:t>
      </w:r>
      <w:r w:rsidR="003E5F56">
        <w:rPr>
          <w:rFonts w:ascii="Arial" w:eastAsia="Calibri" w:hAnsi="Arial" w:cs="Arial"/>
          <w:sz w:val="24"/>
          <w:szCs w:val="24"/>
          <w:lang w:eastAsia="en-US"/>
        </w:rPr>
        <w:t xml:space="preserve"> </w:t>
      </w:r>
    </w:p>
    <w:p w14:paraId="19D46A47" w14:textId="77777777" w:rsidR="00567E64" w:rsidRDefault="003C60EB" w:rsidP="00BA14C6">
      <w:pPr>
        <w:spacing w:after="160" w:line="360" w:lineRule="auto"/>
        <w:ind w:firstLine="567"/>
        <w:jc w:val="both"/>
        <w:rPr>
          <w:rFonts w:ascii="Arial" w:hAnsi="Arial" w:cs="Arial"/>
          <w:sz w:val="24"/>
          <w:szCs w:val="24"/>
        </w:rPr>
      </w:pPr>
      <w:r>
        <w:rPr>
          <w:rFonts w:ascii="Arial" w:hAnsi="Arial" w:cs="Arial"/>
          <w:sz w:val="24"/>
          <w:szCs w:val="24"/>
        </w:rPr>
        <w:t xml:space="preserve">Por su parte </w:t>
      </w:r>
      <w:r w:rsidR="003E5F56">
        <w:rPr>
          <w:rFonts w:ascii="Arial" w:hAnsi="Arial" w:cs="Arial"/>
          <w:sz w:val="24"/>
          <w:szCs w:val="24"/>
        </w:rPr>
        <w:t xml:space="preserve">a </w:t>
      </w:r>
      <w:r>
        <w:rPr>
          <w:rFonts w:ascii="Arial" w:hAnsi="Arial" w:cs="Arial"/>
          <w:sz w:val="24"/>
          <w:szCs w:val="24"/>
        </w:rPr>
        <w:t xml:space="preserve">la autoridad demandada </w:t>
      </w:r>
      <w:r w:rsidR="003E5F56">
        <w:rPr>
          <w:rFonts w:ascii="Arial" w:hAnsi="Arial" w:cs="Arial"/>
          <w:sz w:val="24"/>
          <w:szCs w:val="24"/>
        </w:rPr>
        <w:t xml:space="preserve">se le tiene contestando la demanda en sentido afirmativo por lo que no hay </w:t>
      </w:r>
      <w:proofErr w:type="spellStart"/>
      <w:r w:rsidR="003E5F56">
        <w:rPr>
          <w:rFonts w:ascii="Arial" w:hAnsi="Arial" w:cs="Arial"/>
          <w:sz w:val="24"/>
          <w:szCs w:val="24"/>
        </w:rPr>
        <w:t>litis</w:t>
      </w:r>
      <w:proofErr w:type="spellEnd"/>
      <w:r w:rsidR="003E5F56">
        <w:rPr>
          <w:rFonts w:ascii="Arial" w:hAnsi="Arial" w:cs="Arial"/>
          <w:sz w:val="24"/>
          <w:szCs w:val="24"/>
        </w:rPr>
        <w:t xml:space="preserve"> que fijar en ese sentido</w:t>
      </w:r>
      <w:r w:rsidR="00567E64">
        <w:rPr>
          <w:rFonts w:ascii="Arial" w:hAnsi="Arial" w:cs="Arial"/>
          <w:sz w:val="24"/>
          <w:szCs w:val="24"/>
        </w:rPr>
        <w:t>.</w:t>
      </w:r>
    </w:p>
    <w:p w14:paraId="1D668CDD" w14:textId="45480965" w:rsidR="00BA14C6" w:rsidRDefault="003E5F56" w:rsidP="00BA14C6">
      <w:pPr>
        <w:spacing w:after="160" w:line="360" w:lineRule="auto"/>
        <w:ind w:firstLine="567"/>
        <w:jc w:val="both"/>
        <w:rPr>
          <w:rFonts w:ascii="Arial" w:hAnsi="Arial" w:cs="Arial"/>
          <w:sz w:val="24"/>
          <w:szCs w:val="24"/>
        </w:rPr>
      </w:pPr>
      <w:r>
        <w:rPr>
          <w:rFonts w:ascii="Arial" w:hAnsi="Arial" w:cs="Arial"/>
          <w:sz w:val="24"/>
          <w:szCs w:val="24"/>
        </w:rPr>
        <w:tab/>
      </w:r>
      <w:r w:rsidR="00BA14C6">
        <w:rPr>
          <w:rFonts w:ascii="Arial" w:eastAsia="Calibri" w:hAnsi="Arial" w:cs="Arial"/>
          <w:b/>
          <w:bCs/>
          <w:sz w:val="24"/>
          <w:szCs w:val="24"/>
          <w:lang w:eastAsia="en-US"/>
        </w:rPr>
        <w:t>QUINTO</w:t>
      </w:r>
      <w:r w:rsidR="00BA14C6" w:rsidRPr="00512412">
        <w:rPr>
          <w:rFonts w:ascii="Arial" w:eastAsia="Calibri" w:hAnsi="Arial" w:cs="Arial"/>
          <w:b/>
          <w:bCs/>
          <w:sz w:val="24"/>
          <w:szCs w:val="24"/>
          <w:lang w:eastAsia="en-US"/>
        </w:rPr>
        <w:t>. Causales de improcedencia y sobreseimiento.</w:t>
      </w:r>
      <w:r w:rsidR="00BA14C6" w:rsidRPr="00512412">
        <w:rPr>
          <w:rFonts w:ascii="Arial" w:eastAsia="Calibri" w:hAnsi="Arial" w:cs="Arial"/>
          <w:sz w:val="24"/>
          <w:szCs w:val="24"/>
          <w:lang w:eastAsia="en-US"/>
        </w:rPr>
        <w:t xml:space="preserve"> </w:t>
      </w:r>
      <w:r w:rsidR="00BA14C6" w:rsidRPr="00937F4C">
        <w:rPr>
          <w:rFonts w:ascii="Arial" w:hAnsi="Arial" w:cs="Arial"/>
          <w:sz w:val="24"/>
          <w:szCs w:val="24"/>
        </w:rPr>
        <w:t xml:space="preserve">De un estudio oficioso de las causales de improcedencia y sobreseimiento del </w:t>
      </w:r>
      <w:r w:rsidR="00664B9C" w:rsidRPr="00937F4C">
        <w:rPr>
          <w:rFonts w:ascii="Arial" w:hAnsi="Arial" w:cs="Arial"/>
          <w:sz w:val="24"/>
          <w:szCs w:val="24"/>
        </w:rPr>
        <w:t>juicio, que</w:t>
      </w:r>
      <w:r w:rsidR="00BA14C6" w:rsidRPr="00937F4C">
        <w:rPr>
          <w:rFonts w:ascii="Arial" w:hAnsi="Arial" w:cs="Arial"/>
          <w:sz w:val="24"/>
          <w:szCs w:val="24"/>
        </w:rPr>
        <w:t xml:space="preserve"> estipula el artículo 161 in fine de la Ley de la materia, se advierte que no existe una causal de improcedencia ni sobreseimiento </w:t>
      </w:r>
      <w:r w:rsidR="00567E64">
        <w:rPr>
          <w:rFonts w:ascii="Arial" w:hAnsi="Arial" w:cs="Arial"/>
          <w:sz w:val="24"/>
          <w:szCs w:val="24"/>
        </w:rPr>
        <w:t>que eviten conocer</w:t>
      </w:r>
      <w:r w:rsidR="00BA14C6" w:rsidRPr="00937F4C">
        <w:rPr>
          <w:rFonts w:ascii="Arial" w:hAnsi="Arial" w:cs="Arial"/>
          <w:sz w:val="24"/>
          <w:szCs w:val="24"/>
        </w:rPr>
        <w:t xml:space="preserve"> el fondo del presente juicio.</w:t>
      </w:r>
    </w:p>
    <w:p w14:paraId="6394AA01" w14:textId="3D415F85" w:rsidR="0065759E" w:rsidRDefault="003F5A16"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SEXTO.</w:t>
      </w:r>
      <w:r w:rsidR="00043CD4">
        <w:rPr>
          <w:rFonts w:ascii="Arial" w:eastAsia="Calibri" w:hAnsi="Arial" w:cs="Arial"/>
          <w:b/>
          <w:bCs/>
          <w:sz w:val="24"/>
          <w:szCs w:val="24"/>
          <w:lang w:eastAsia="en-US"/>
        </w:rPr>
        <w:t xml:space="preserve"> </w:t>
      </w:r>
      <w:r w:rsidRPr="00512412">
        <w:rPr>
          <w:rFonts w:ascii="Arial" w:eastAsia="Calibri" w:hAnsi="Arial" w:cs="Arial"/>
          <w:b/>
          <w:bCs/>
          <w:sz w:val="24"/>
          <w:szCs w:val="24"/>
          <w:lang w:eastAsia="en-US"/>
        </w:rPr>
        <w:t xml:space="preserve">Estudio del Fondo del Asunto. </w:t>
      </w:r>
      <w:r w:rsidR="0065759E">
        <w:rPr>
          <w:rFonts w:ascii="Arial" w:eastAsia="Calibri" w:hAnsi="Arial" w:cs="Arial"/>
          <w:sz w:val="24"/>
          <w:szCs w:val="24"/>
          <w:lang w:eastAsia="en-US"/>
        </w:rPr>
        <w:t xml:space="preserve">Resulta oportuno pronunciarse respecto a la </w:t>
      </w:r>
      <w:r w:rsidR="00664B9C">
        <w:rPr>
          <w:rFonts w:ascii="Arial" w:eastAsia="Calibri" w:hAnsi="Arial" w:cs="Arial"/>
          <w:sz w:val="24"/>
          <w:szCs w:val="24"/>
          <w:lang w:eastAsia="en-US"/>
        </w:rPr>
        <w:t>finalidad</w:t>
      </w:r>
      <w:r w:rsidR="0065759E">
        <w:rPr>
          <w:rFonts w:ascii="Arial" w:eastAsia="Calibri" w:hAnsi="Arial" w:cs="Arial"/>
          <w:sz w:val="24"/>
          <w:szCs w:val="24"/>
          <w:lang w:eastAsia="en-US"/>
        </w:rPr>
        <w:t xml:space="preserve"> de la parte actora al pretender la nulidad </w:t>
      </w:r>
      <w:r w:rsidR="000B06F8">
        <w:rPr>
          <w:rFonts w:ascii="Arial" w:eastAsia="Calibri" w:hAnsi="Arial" w:cs="Arial"/>
          <w:sz w:val="24"/>
          <w:szCs w:val="24"/>
          <w:lang w:eastAsia="en-US"/>
        </w:rPr>
        <w:t xml:space="preserve">del acto controvertido y que consiste en que se </w:t>
      </w:r>
      <w:r w:rsidR="002D0766">
        <w:rPr>
          <w:rFonts w:ascii="Arial" w:eastAsia="Calibri" w:hAnsi="Arial" w:cs="Arial"/>
          <w:sz w:val="24"/>
          <w:szCs w:val="24"/>
          <w:lang w:eastAsia="en-US"/>
        </w:rPr>
        <w:t>declare la nulidad de la resolución a su recurso de inconformidad de fecha veintisiete de enero de dos mil veintitrés</w:t>
      </w:r>
      <w:r w:rsidR="0065759E">
        <w:rPr>
          <w:rFonts w:ascii="Arial" w:hAnsi="Arial" w:cs="Arial"/>
          <w:sz w:val="24"/>
          <w:szCs w:val="24"/>
        </w:rPr>
        <w:t>.</w:t>
      </w:r>
    </w:p>
    <w:p w14:paraId="779D5023" w14:textId="77777777" w:rsidR="00567E64" w:rsidRDefault="00567E64" w:rsidP="007C7A1C">
      <w:pPr>
        <w:tabs>
          <w:tab w:val="left" w:pos="284"/>
          <w:tab w:val="left" w:pos="426"/>
          <w:tab w:val="right" w:pos="9072"/>
        </w:tabs>
        <w:spacing w:after="0" w:line="360" w:lineRule="auto"/>
        <w:ind w:right="-234" w:firstLine="567"/>
        <w:jc w:val="both"/>
        <w:rPr>
          <w:rFonts w:ascii="Arial" w:hAnsi="Arial" w:cs="Arial"/>
          <w:sz w:val="24"/>
          <w:szCs w:val="24"/>
        </w:rPr>
      </w:pPr>
    </w:p>
    <w:p w14:paraId="44AECA9C" w14:textId="666169D4" w:rsidR="000B06F8" w:rsidRDefault="00074CD0"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De la lectura del acto impugnado, se advierte que la principal razón por la que el </w:t>
      </w:r>
      <w:r w:rsidR="002D0766">
        <w:rPr>
          <w:rFonts w:ascii="Arial" w:hAnsi="Arial" w:cs="Arial"/>
          <w:sz w:val="24"/>
          <w:szCs w:val="24"/>
        </w:rPr>
        <w:t xml:space="preserve">recurso se declaró improcedente fue </w:t>
      </w:r>
      <w:proofErr w:type="gramStart"/>
      <w:r w:rsidR="002D0766">
        <w:rPr>
          <w:rFonts w:ascii="Arial" w:hAnsi="Arial" w:cs="Arial"/>
          <w:sz w:val="24"/>
          <w:szCs w:val="24"/>
        </w:rPr>
        <w:t>derivado</w:t>
      </w:r>
      <w:proofErr w:type="gramEnd"/>
      <w:r w:rsidR="002D0766">
        <w:rPr>
          <w:rFonts w:ascii="Arial" w:hAnsi="Arial" w:cs="Arial"/>
          <w:sz w:val="24"/>
          <w:szCs w:val="24"/>
        </w:rPr>
        <w:t xml:space="preserve"> a que existía incompatibilidad entre el texto del documento y los antecedentes registrales, concretamente entre los vientos norte y sur</w:t>
      </w:r>
      <w:r w:rsidR="008517A2">
        <w:rPr>
          <w:rFonts w:ascii="Arial" w:hAnsi="Arial" w:cs="Arial"/>
          <w:sz w:val="24"/>
          <w:szCs w:val="24"/>
        </w:rPr>
        <w:t xml:space="preserve">. </w:t>
      </w:r>
    </w:p>
    <w:p w14:paraId="691856DB" w14:textId="77777777" w:rsidR="00567E64" w:rsidRDefault="00567E64" w:rsidP="007C7A1C">
      <w:pPr>
        <w:tabs>
          <w:tab w:val="left" w:pos="284"/>
          <w:tab w:val="left" w:pos="426"/>
          <w:tab w:val="right" w:pos="9072"/>
        </w:tabs>
        <w:spacing w:after="0" w:line="360" w:lineRule="auto"/>
        <w:ind w:right="-234" w:firstLine="567"/>
        <w:jc w:val="both"/>
        <w:rPr>
          <w:rFonts w:ascii="Arial" w:hAnsi="Arial" w:cs="Arial"/>
          <w:sz w:val="24"/>
          <w:szCs w:val="24"/>
        </w:rPr>
      </w:pPr>
    </w:p>
    <w:p w14:paraId="2ECD642B" w14:textId="18C4D616" w:rsidR="008517A2" w:rsidRDefault="008517A2"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A juicio de esta Sala se considera que el pronunciamiento de la autoridad demandada </w:t>
      </w:r>
      <w:r>
        <w:rPr>
          <w:rFonts w:ascii="Arial" w:hAnsi="Arial" w:cs="Arial"/>
          <w:b/>
          <w:bCs/>
          <w:sz w:val="24"/>
          <w:szCs w:val="24"/>
        </w:rPr>
        <w:t xml:space="preserve">es </w:t>
      </w:r>
      <w:r w:rsidR="003B3A9A">
        <w:rPr>
          <w:rFonts w:ascii="Arial" w:hAnsi="Arial" w:cs="Arial"/>
          <w:b/>
          <w:bCs/>
          <w:sz w:val="24"/>
          <w:szCs w:val="24"/>
        </w:rPr>
        <w:t>in</w:t>
      </w:r>
      <w:r>
        <w:rPr>
          <w:rFonts w:ascii="Arial" w:hAnsi="Arial" w:cs="Arial"/>
          <w:b/>
          <w:bCs/>
          <w:sz w:val="24"/>
          <w:szCs w:val="24"/>
        </w:rPr>
        <w:t xml:space="preserve">correcto </w:t>
      </w:r>
      <w:r>
        <w:rPr>
          <w:rFonts w:ascii="Arial" w:hAnsi="Arial" w:cs="Arial"/>
          <w:sz w:val="24"/>
          <w:szCs w:val="24"/>
        </w:rPr>
        <w:t xml:space="preserve">por las siguientes consideraciones de mérito: </w:t>
      </w:r>
    </w:p>
    <w:p w14:paraId="65C91168" w14:textId="77777777" w:rsidR="00567E64" w:rsidRPr="008517A2" w:rsidRDefault="00567E64" w:rsidP="007C7A1C">
      <w:pPr>
        <w:tabs>
          <w:tab w:val="left" w:pos="284"/>
          <w:tab w:val="left" w:pos="426"/>
          <w:tab w:val="right" w:pos="9072"/>
        </w:tabs>
        <w:spacing w:after="0" w:line="360" w:lineRule="auto"/>
        <w:ind w:right="-234" w:firstLine="567"/>
        <w:jc w:val="both"/>
        <w:rPr>
          <w:rFonts w:ascii="Arial" w:hAnsi="Arial" w:cs="Arial"/>
          <w:sz w:val="24"/>
          <w:szCs w:val="24"/>
        </w:rPr>
      </w:pPr>
    </w:p>
    <w:p w14:paraId="1A72035A" w14:textId="18DC7F7D" w:rsidR="00F8270A" w:rsidRDefault="00F8270A"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Primeramente, es oportuno mencionar que el acto administrativo según el principio de legalidad, conlleva una presunción de que es válido, en tanto su ilegalidad no sea demostrada por parte de los justiciables afectados en su esfera jurídica tal y como se aprecia de la </w:t>
      </w:r>
      <w:r w:rsidR="00281827">
        <w:rPr>
          <w:rFonts w:ascii="Arial" w:eastAsia="Calibri" w:hAnsi="Arial" w:cs="Arial"/>
          <w:sz w:val="24"/>
          <w:szCs w:val="24"/>
          <w:lang w:eastAsia="en-US"/>
        </w:rPr>
        <w:t xml:space="preserve">Tesis </w:t>
      </w:r>
      <w:r w:rsidR="00281827" w:rsidRPr="00281827">
        <w:rPr>
          <w:rFonts w:ascii="Arial" w:eastAsia="Calibri" w:hAnsi="Arial" w:cs="Arial"/>
          <w:sz w:val="24"/>
          <w:szCs w:val="24"/>
          <w:lang w:eastAsia="en-US"/>
        </w:rPr>
        <w:t>IV.2o.A.51 K (10a.)</w:t>
      </w:r>
      <w:r w:rsidR="00281827">
        <w:rPr>
          <w:rFonts w:ascii="Arial" w:eastAsia="Calibri" w:hAnsi="Arial" w:cs="Arial"/>
          <w:sz w:val="24"/>
          <w:szCs w:val="24"/>
          <w:lang w:eastAsia="en-US"/>
        </w:rPr>
        <w:t xml:space="preserve">, publicada en la </w:t>
      </w:r>
      <w:r w:rsidR="00281827" w:rsidRPr="00281827">
        <w:rPr>
          <w:rFonts w:ascii="Arial" w:eastAsia="Calibri" w:hAnsi="Arial" w:cs="Arial"/>
          <w:sz w:val="24"/>
          <w:szCs w:val="24"/>
          <w:lang w:eastAsia="en-US"/>
        </w:rPr>
        <w:t>Gaceta del Semanario Judicial de la Federación</w:t>
      </w:r>
      <w:r w:rsidR="00281827">
        <w:rPr>
          <w:rFonts w:ascii="Arial" w:eastAsia="Calibri" w:hAnsi="Arial" w:cs="Arial"/>
          <w:sz w:val="24"/>
          <w:szCs w:val="24"/>
          <w:lang w:eastAsia="en-US"/>
        </w:rPr>
        <w:t xml:space="preserve"> </w:t>
      </w:r>
      <w:r w:rsidR="00281827" w:rsidRPr="00281827">
        <w:rPr>
          <w:rFonts w:ascii="Arial" w:eastAsia="Calibri" w:hAnsi="Arial" w:cs="Arial"/>
          <w:sz w:val="24"/>
          <w:szCs w:val="24"/>
          <w:lang w:eastAsia="en-US"/>
        </w:rPr>
        <w:t>Libro 3, Febrero de 2014, Tomo III, página 2239</w:t>
      </w:r>
      <w:r w:rsidR="00281827">
        <w:rPr>
          <w:rFonts w:ascii="Arial" w:eastAsia="Calibri" w:hAnsi="Arial" w:cs="Arial"/>
          <w:sz w:val="24"/>
          <w:szCs w:val="24"/>
          <w:lang w:eastAsia="en-US"/>
        </w:rPr>
        <w:t xml:space="preserve">, Décima Época de rubro y texto siguiente: </w:t>
      </w:r>
    </w:p>
    <w:p w14:paraId="5E13A5E4" w14:textId="32D0009C" w:rsidR="00281827" w:rsidRDefault="00281827"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F139B7A" w14:textId="51B2C6F2" w:rsidR="00281827" w:rsidRPr="00281827" w:rsidRDefault="00567E64" w:rsidP="00567E64">
      <w:pPr>
        <w:tabs>
          <w:tab w:val="left" w:pos="284"/>
          <w:tab w:val="right" w:pos="7797"/>
        </w:tabs>
        <w:spacing w:after="0" w:line="360" w:lineRule="auto"/>
        <w:ind w:left="1134" w:right="474"/>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w:t>
      </w:r>
      <w:r w:rsidR="00281827" w:rsidRPr="00281827">
        <w:rPr>
          <w:rFonts w:ascii="Arial Narrow" w:eastAsia="Calibri" w:hAnsi="Arial Narrow" w:cs="Arial"/>
          <w:b/>
          <w:bCs/>
          <w:sz w:val="24"/>
          <w:szCs w:val="24"/>
          <w:lang w:eastAsia="en-US"/>
        </w:rPr>
        <w:t>PRINCIPIO DE LEGALIDAD. CARACTERÍSTICAS DE SU DOBLE FUNCIONALIDAD TRATÁNDOSE DEL ACTO ADMINISTRATIVO Y SU RELACIÓN CON EL DIVERSO DE INTERDICCIÓN DE LA ARBITRARIEDAD Y EL CONTROL JURISDICCIONAL.</w:t>
      </w:r>
    </w:p>
    <w:p w14:paraId="4E4046F9" w14:textId="77777777" w:rsidR="00281827" w:rsidRPr="00281827" w:rsidRDefault="00281827" w:rsidP="00567E64">
      <w:pPr>
        <w:tabs>
          <w:tab w:val="left" w:pos="284"/>
          <w:tab w:val="right" w:pos="7797"/>
        </w:tabs>
        <w:spacing w:after="0" w:line="360" w:lineRule="auto"/>
        <w:ind w:left="1134" w:right="474"/>
        <w:jc w:val="both"/>
        <w:rPr>
          <w:rFonts w:ascii="Arial Narrow" w:eastAsia="Calibri" w:hAnsi="Arial Narrow" w:cs="Arial"/>
          <w:sz w:val="24"/>
          <w:szCs w:val="24"/>
          <w:lang w:eastAsia="en-US"/>
        </w:rPr>
      </w:pPr>
    </w:p>
    <w:p w14:paraId="70B41FE9" w14:textId="24A7D5E4" w:rsidR="00281827" w:rsidRPr="00281827" w:rsidRDefault="00281827" w:rsidP="00567E64">
      <w:pPr>
        <w:tabs>
          <w:tab w:val="left" w:pos="284"/>
          <w:tab w:val="right" w:pos="7797"/>
        </w:tabs>
        <w:spacing w:after="0" w:line="360" w:lineRule="auto"/>
        <w:ind w:left="1134" w:right="474"/>
        <w:jc w:val="both"/>
        <w:rPr>
          <w:rFonts w:ascii="Arial Narrow" w:eastAsia="Calibri" w:hAnsi="Arial Narrow" w:cs="Arial"/>
          <w:sz w:val="24"/>
          <w:szCs w:val="24"/>
          <w:lang w:eastAsia="en-US"/>
        </w:rPr>
      </w:pPr>
      <w:r w:rsidRPr="00281827">
        <w:rPr>
          <w:rFonts w:ascii="Arial Narrow" w:eastAsia="Calibri" w:hAnsi="Arial Narrow" w:cs="Arial"/>
          <w:sz w:val="24"/>
          <w:szCs w:val="24"/>
          <w:lang w:eastAsia="en-US"/>
        </w:rPr>
        <w:t xml:space="preserve">Del artículo 16, primer párrafo, de la Constitución Política de los Estados Unidos Mexicanos, se advierten los requisitos de mandamiento escrito, autoridad competente y fundamentación y motivación, como garantías instrumentales que, a su vez, revelan la adopción en el régimen jurídico nacional del principio de legalidad, como una garantía del derecho humano a </w:t>
      </w:r>
      <w:r w:rsidRPr="00281827">
        <w:rPr>
          <w:rFonts w:ascii="Arial Narrow" w:eastAsia="Calibri" w:hAnsi="Arial Narrow" w:cs="Arial"/>
          <w:sz w:val="24"/>
          <w:szCs w:val="24"/>
          <w:lang w:eastAsia="en-US"/>
        </w:rPr>
        <w:lastRenderedPageBreak/>
        <w:t>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r w:rsidR="00567E64">
        <w:rPr>
          <w:rFonts w:ascii="Arial Narrow" w:eastAsia="Calibri" w:hAnsi="Arial Narrow" w:cs="Arial"/>
          <w:sz w:val="24"/>
          <w:szCs w:val="24"/>
          <w:lang w:eastAsia="en-US"/>
        </w:rPr>
        <w:t>”</w:t>
      </w:r>
    </w:p>
    <w:p w14:paraId="26F474F1" w14:textId="77777777" w:rsidR="0065759E" w:rsidRDefault="0065759E" w:rsidP="007C7A1C">
      <w:pPr>
        <w:tabs>
          <w:tab w:val="left" w:pos="284"/>
          <w:tab w:val="left" w:pos="426"/>
          <w:tab w:val="right" w:pos="9072"/>
        </w:tabs>
        <w:spacing w:after="0" w:line="360" w:lineRule="auto"/>
        <w:ind w:right="-234" w:firstLine="567"/>
        <w:jc w:val="both"/>
        <w:rPr>
          <w:rFonts w:ascii="Arial" w:eastAsia="Calibri" w:hAnsi="Arial" w:cs="Arial"/>
          <w:b/>
          <w:bCs/>
          <w:sz w:val="24"/>
          <w:szCs w:val="24"/>
          <w:lang w:eastAsia="en-US"/>
        </w:rPr>
      </w:pPr>
    </w:p>
    <w:p w14:paraId="5723EB63" w14:textId="3CCACD0E" w:rsidR="00281827" w:rsidRDefault="00281827"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que se traduce como que, el principio de legalidad establece que, en tanto un acto administrativo sea emitido por una autoridad en amplio cumplimiento de sus atribuciones, corresponde a los administrados </w:t>
      </w:r>
      <w:r>
        <w:rPr>
          <w:rFonts w:ascii="Arial" w:eastAsia="Calibri" w:hAnsi="Arial" w:cs="Arial"/>
          <w:b/>
          <w:bCs/>
          <w:sz w:val="24"/>
          <w:szCs w:val="24"/>
          <w:lang w:eastAsia="en-US"/>
        </w:rPr>
        <w:t xml:space="preserve">demostrar su ilegalidad </w:t>
      </w:r>
      <w:r>
        <w:rPr>
          <w:rFonts w:ascii="Arial" w:eastAsia="Calibri" w:hAnsi="Arial" w:cs="Arial"/>
          <w:sz w:val="24"/>
          <w:szCs w:val="24"/>
          <w:lang w:eastAsia="en-US"/>
        </w:rPr>
        <w:t xml:space="preserve">a través de los medios de defensa establecidos en la legislación aplicable. </w:t>
      </w:r>
    </w:p>
    <w:p w14:paraId="6060E2F7" w14:textId="77777777" w:rsidR="00C170F3" w:rsidRDefault="00C170F3" w:rsidP="00C170F3">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El anterior principio traducido al asunto que nos ocupa implica que la legalidad del acto administrativo consistente en la resolución de fecha veintisiete de enero de dos mil veintitrés, debe ser desvirtuada por el actor, a través de argumentos </w:t>
      </w:r>
      <w:proofErr w:type="gramStart"/>
      <w:r>
        <w:rPr>
          <w:rFonts w:ascii="Arial" w:eastAsia="Calibri" w:hAnsi="Arial" w:cs="Arial"/>
          <w:sz w:val="24"/>
          <w:szCs w:val="24"/>
          <w:lang w:eastAsia="en-US"/>
        </w:rPr>
        <w:t>lógico jurídicos</w:t>
      </w:r>
      <w:proofErr w:type="gramEnd"/>
      <w:r>
        <w:rPr>
          <w:rFonts w:ascii="Arial" w:eastAsia="Calibri" w:hAnsi="Arial" w:cs="Arial"/>
          <w:sz w:val="24"/>
          <w:szCs w:val="24"/>
          <w:lang w:eastAsia="en-US"/>
        </w:rPr>
        <w:t xml:space="preserve"> apegados a los principios legales ya establecidos. </w:t>
      </w:r>
    </w:p>
    <w:p w14:paraId="0DC52D20" w14:textId="77777777" w:rsidR="00C170F3" w:rsidRDefault="00C170F3"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7DDFA19" w14:textId="6BBAF662" w:rsidR="00281827" w:rsidRDefault="00281827"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De tal suerte que el actor basa su argumentación en los siguientes conceptos: </w:t>
      </w:r>
    </w:p>
    <w:p w14:paraId="7E8AF7D9" w14:textId="34532F8D" w:rsidR="00281827" w:rsidRDefault="00281827" w:rsidP="00281827">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9A544FD" w14:textId="0C372132" w:rsidR="00281827" w:rsidRDefault="00BF2788" w:rsidP="003B3A9A">
      <w:pPr>
        <w:pStyle w:val="Prrafodelista"/>
        <w:numPr>
          <w:ilvl w:val="0"/>
          <w:numId w:val="18"/>
        </w:numPr>
        <w:tabs>
          <w:tab w:val="left" w:pos="284"/>
          <w:tab w:val="left" w:pos="426"/>
          <w:tab w:val="right" w:pos="9072"/>
        </w:tabs>
        <w:spacing w:after="0" w:line="360" w:lineRule="auto"/>
        <w:ind w:right="-234"/>
        <w:jc w:val="both"/>
        <w:rPr>
          <w:rFonts w:ascii="Arial" w:eastAsia="Calibri" w:hAnsi="Arial" w:cs="Arial"/>
          <w:sz w:val="24"/>
          <w:szCs w:val="24"/>
          <w:lang w:eastAsia="en-US"/>
        </w:rPr>
      </w:pPr>
      <w:r>
        <w:rPr>
          <w:rFonts w:ascii="Arial" w:eastAsia="Calibri" w:hAnsi="Arial" w:cs="Arial"/>
          <w:sz w:val="24"/>
          <w:szCs w:val="24"/>
          <w:lang w:eastAsia="en-US"/>
        </w:rPr>
        <w:t xml:space="preserve">Que la autoridad demandada </w:t>
      </w:r>
      <w:r w:rsidR="003B3A9A">
        <w:rPr>
          <w:rFonts w:ascii="Arial" w:eastAsia="Calibri" w:hAnsi="Arial" w:cs="Arial"/>
          <w:sz w:val="24"/>
          <w:szCs w:val="24"/>
          <w:lang w:eastAsia="en-US"/>
        </w:rPr>
        <w:t>no analizó la totalidad de sus argumentos al resolver el recurso de inconformidad con fecha veintisiete de enero de dos mil veintitrés</w:t>
      </w:r>
      <w:r>
        <w:rPr>
          <w:rFonts w:ascii="Arial" w:eastAsia="Calibri" w:hAnsi="Arial" w:cs="Arial"/>
          <w:sz w:val="24"/>
          <w:szCs w:val="24"/>
          <w:lang w:eastAsia="en-US"/>
        </w:rPr>
        <w:t>.</w:t>
      </w:r>
    </w:p>
    <w:p w14:paraId="02874974" w14:textId="77777777" w:rsidR="00281827" w:rsidRPr="00281827" w:rsidRDefault="00281827" w:rsidP="00281827">
      <w:pPr>
        <w:pStyle w:val="Prrafodelista"/>
        <w:rPr>
          <w:rFonts w:ascii="Arial" w:eastAsia="Calibri" w:hAnsi="Arial" w:cs="Arial"/>
          <w:sz w:val="24"/>
          <w:szCs w:val="24"/>
          <w:lang w:eastAsia="en-US"/>
        </w:rPr>
      </w:pPr>
    </w:p>
    <w:p w14:paraId="2BD0E594" w14:textId="77777777" w:rsidR="00AB2837" w:rsidRDefault="003B3A9A"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efecto, de la lectura de la resolución impugnada, se advierte que no existe un análisis pormenorizado de los argumentos vertidos en el escrito de recurso de inconformidad de fecha doce de octubre de dos mil veintidós, concretamente el relativo a que con base en el Reglamento del Registro Público de la Propiedad y del Comercio del Estado de Oaxaca en el artículo 32, la diligencia de apeo y deslinde es suficiente para desvirtuar la </w:t>
      </w:r>
      <w:r>
        <w:rPr>
          <w:rFonts w:ascii="Arial" w:hAnsi="Arial" w:cs="Arial"/>
          <w:sz w:val="24"/>
          <w:szCs w:val="24"/>
        </w:rPr>
        <w:t>incompatibilidad entre el texto del trámite promovido por la actora y los antecedentes registrales.</w:t>
      </w:r>
    </w:p>
    <w:p w14:paraId="6F84CB7D" w14:textId="08042DD2" w:rsidR="003B3A9A" w:rsidRDefault="003B3A9A"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 </w:t>
      </w:r>
    </w:p>
    <w:p w14:paraId="3869ECAB" w14:textId="1F83FBAF" w:rsidR="003B3A9A" w:rsidRDefault="003B3A9A"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Dicho </w:t>
      </w:r>
      <w:r w:rsidR="00853B5B">
        <w:rPr>
          <w:rFonts w:ascii="Arial" w:hAnsi="Arial" w:cs="Arial"/>
          <w:sz w:val="24"/>
          <w:szCs w:val="24"/>
        </w:rPr>
        <w:t>concepto de impugnación</w:t>
      </w:r>
      <w:r>
        <w:rPr>
          <w:rFonts w:ascii="Arial" w:hAnsi="Arial" w:cs="Arial"/>
          <w:sz w:val="24"/>
          <w:szCs w:val="24"/>
        </w:rPr>
        <w:t xml:space="preserve"> resulta </w:t>
      </w:r>
      <w:r>
        <w:rPr>
          <w:rFonts w:ascii="Arial" w:hAnsi="Arial" w:cs="Arial"/>
          <w:b/>
          <w:bCs/>
          <w:sz w:val="24"/>
          <w:szCs w:val="24"/>
        </w:rPr>
        <w:t xml:space="preserve">procedente </w:t>
      </w:r>
      <w:r>
        <w:rPr>
          <w:rFonts w:ascii="Arial" w:hAnsi="Arial" w:cs="Arial"/>
          <w:sz w:val="24"/>
          <w:szCs w:val="24"/>
        </w:rPr>
        <w:t xml:space="preserve">pues </w:t>
      </w:r>
      <w:r w:rsidR="00677571">
        <w:rPr>
          <w:rFonts w:ascii="Arial" w:hAnsi="Arial" w:cs="Arial"/>
          <w:sz w:val="24"/>
          <w:szCs w:val="24"/>
        </w:rPr>
        <w:t>no se advierte que la autoridad demandada hubiera realizado un análisis lógico jurídico de los argumentos vertidos por el accionante</w:t>
      </w:r>
      <w:r w:rsidR="00853B5B">
        <w:rPr>
          <w:rFonts w:ascii="Arial" w:hAnsi="Arial" w:cs="Arial"/>
          <w:sz w:val="24"/>
          <w:szCs w:val="24"/>
        </w:rPr>
        <w:t xml:space="preserve"> en lo correspondiente a que no se analizó el argumento relativo a la diligencia de apeo y deslinde que precisamente delimita el predio de la actora</w:t>
      </w:r>
      <w:r w:rsidR="00677571">
        <w:rPr>
          <w:rFonts w:ascii="Arial" w:hAnsi="Arial" w:cs="Arial"/>
          <w:sz w:val="24"/>
          <w:szCs w:val="24"/>
        </w:rPr>
        <w:t xml:space="preserve"> lo que contraviene directamente en la fundamentación y motivación del acto que se impugna y que incide directamente en su legalidad.</w:t>
      </w:r>
    </w:p>
    <w:p w14:paraId="5968B669" w14:textId="32F99B6D" w:rsidR="00677571" w:rsidRDefault="00677571"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sz w:val="24"/>
          <w:szCs w:val="24"/>
        </w:rPr>
        <w:t xml:space="preserve">Así mismo y como consecuencia jurídica a la contestación en sentido afirmativo que se decretó por virtud del acuerdo de doce de junio de dos mil veintitrés esta Sala </w:t>
      </w:r>
      <w:r>
        <w:rPr>
          <w:rFonts w:ascii="Arial" w:hAnsi="Arial" w:cs="Arial"/>
          <w:b/>
          <w:bCs/>
          <w:sz w:val="24"/>
          <w:szCs w:val="24"/>
        </w:rPr>
        <w:t xml:space="preserve">tiene por ciertos </w:t>
      </w:r>
      <w:r>
        <w:rPr>
          <w:rFonts w:ascii="Arial" w:hAnsi="Arial" w:cs="Arial"/>
          <w:sz w:val="24"/>
          <w:szCs w:val="24"/>
        </w:rPr>
        <w:t xml:space="preserve">los hechos narrados por la actora, es decir, que realizó la diligencia de apeo y deslinde y que la misma se exhibió a la autoridad demandada. </w:t>
      </w:r>
    </w:p>
    <w:p w14:paraId="54A38043" w14:textId="09978BC3" w:rsidR="00677571" w:rsidRDefault="00677571"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Así las cosas y ante las evidentes ilegalidades advertidas en el acto impugnado, esta Sala advierte que se actualiza una </w:t>
      </w:r>
      <w:r>
        <w:rPr>
          <w:rFonts w:ascii="Arial" w:eastAsia="Calibri" w:hAnsi="Arial" w:cs="Arial"/>
          <w:b/>
          <w:bCs/>
          <w:sz w:val="24"/>
          <w:szCs w:val="24"/>
          <w:lang w:eastAsia="en-US"/>
        </w:rPr>
        <w:t xml:space="preserve">indebida motivación </w:t>
      </w:r>
      <w:r>
        <w:rPr>
          <w:rFonts w:ascii="Arial" w:eastAsia="Calibri" w:hAnsi="Arial" w:cs="Arial"/>
          <w:sz w:val="24"/>
          <w:szCs w:val="24"/>
          <w:lang w:eastAsia="en-US"/>
        </w:rPr>
        <w:t xml:space="preserve">en la resolución combatida lo que causa su anulación de facto. </w:t>
      </w:r>
    </w:p>
    <w:p w14:paraId="235E769B" w14:textId="77777777" w:rsidR="00AB2837" w:rsidRDefault="00AB2837"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1A8608B5" w14:textId="77777777" w:rsidR="00677571" w:rsidRPr="0051494B" w:rsidRDefault="00677571" w:rsidP="00677571">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2308C0A0" w14:textId="77777777" w:rsidR="00677571" w:rsidRPr="0051494B" w:rsidRDefault="00677571" w:rsidP="00677571">
      <w:pPr>
        <w:tabs>
          <w:tab w:val="right" w:pos="8789"/>
        </w:tabs>
        <w:spacing w:after="0" w:line="360" w:lineRule="auto"/>
        <w:ind w:left="1134" w:right="616"/>
        <w:jc w:val="both"/>
        <w:rPr>
          <w:rFonts w:ascii="Arial" w:eastAsia="Calibri" w:hAnsi="Arial" w:cs="Arial"/>
          <w:i/>
          <w:lang w:eastAsia="en-US"/>
        </w:rPr>
      </w:pPr>
    </w:p>
    <w:p w14:paraId="21D28ECC" w14:textId="77777777" w:rsidR="00677571" w:rsidRPr="00BF29B5" w:rsidRDefault="00677571" w:rsidP="00677571">
      <w:pPr>
        <w:tabs>
          <w:tab w:val="right" w:pos="8789"/>
        </w:tabs>
        <w:spacing w:after="0" w:line="360" w:lineRule="auto"/>
        <w:jc w:val="both"/>
        <w:rPr>
          <w:rFonts w:ascii="Arial Narrow" w:eastAsia="Calibri" w:hAnsi="Arial Narrow" w:cs="Arial"/>
          <w:b/>
          <w:i/>
          <w:sz w:val="24"/>
          <w:szCs w:val="24"/>
          <w:lang w:eastAsia="en-US"/>
        </w:rPr>
      </w:pPr>
    </w:p>
    <w:p w14:paraId="25BCE554" w14:textId="0CF3BD1C" w:rsidR="00677571" w:rsidRPr="00BF29B5" w:rsidRDefault="00AB2837"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677571" w:rsidRPr="00BF29B5">
        <w:rPr>
          <w:rFonts w:ascii="Arial Narrow" w:eastAsia="Calibri" w:hAnsi="Arial Narrow" w:cs="Arial"/>
          <w:b/>
          <w:bCs/>
          <w:color w:val="000000"/>
          <w:sz w:val="24"/>
          <w:szCs w:val="24"/>
          <w:lang w:eastAsia="en-US"/>
        </w:rPr>
        <w:t xml:space="preserve">FUNDAMENTACIÓN Y MOTIVACIÓN. LA DIFERENCIA ENTRE LA FALTA Y LA INDEBIDA SATISFACCIÓN DE AMBOS REQUISITOS CONSTITUCIONALES TRASCIENDE AL ORDEN EN QUE DEBEN </w:t>
      </w:r>
      <w:r w:rsidR="00677571" w:rsidRPr="00BF29B5">
        <w:rPr>
          <w:rFonts w:ascii="Arial Narrow" w:eastAsia="Calibri" w:hAnsi="Arial Narrow" w:cs="Arial"/>
          <w:b/>
          <w:bCs/>
          <w:color w:val="000000"/>
          <w:sz w:val="24"/>
          <w:szCs w:val="24"/>
          <w:lang w:eastAsia="en-US"/>
        </w:rPr>
        <w:lastRenderedPageBreak/>
        <w:t>ESTUDIARSE LOS CONCEPTOS DE VIOLACIÓN Y A LOS EFECTOS DEL FALLO PROTECTOR.</w:t>
      </w:r>
      <w:r w:rsidR="00677571" w:rsidRPr="00BF29B5">
        <w:rPr>
          <w:rFonts w:ascii="Arial Narrow" w:eastAsia="Calibri" w:hAnsi="Arial Narrow" w:cs="Arial"/>
          <w:color w:val="000000"/>
          <w:sz w:val="24"/>
          <w:szCs w:val="24"/>
          <w:lang w:eastAsia="en-US"/>
        </w:rPr>
        <w:t xml:space="preserve"> </w:t>
      </w:r>
    </w:p>
    <w:p w14:paraId="5AB68A5A" w14:textId="77777777" w:rsidR="00677571" w:rsidRPr="00BF29B5" w:rsidRDefault="00677571"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27E6796F" w14:textId="376F6245" w:rsidR="00677571" w:rsidRPr="00BF29B5" w:rsidRDefault="00677571"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w:t>
      </w:r>
      <w:r w:rsidRPr="00BF29B5">
        <w:rPr>
          <w:rFonts w:ascii="Arial Narrow" w:eastAsia="Calibri" w:hAnsi="Arial Narrow" w:cs="Arial"/>
          <w:color w:val="000000"/>
          <w:sz w:val="24"/>
          <w:szCs w:val="24"/>
          <w:lang w:eastAsia="en-US"/>
        </w:rPr>
        <w:lastRenderedPageBreak/>
        <w:t>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AB2837">
        <w:rPr>
          <w:rFonts w:ascii="Arial Narrow" w:eastAsia="Calibri" w:hAnsi="Arial Narrow" w:cs="Arial"/>
          <w:color w:val="000000"/>
          <w:sz w:val="24"/>
          <w:szCs w:val="24"/>
          <w:lang w:eastAsia="en-US"/>
        </w:rPr>
        <w:t>”</w:t>
      </w:r>
    </w:p>
    <w:p w14:paraId="4FCD6FE4" w14:textId="77777777" w:rsidR="00677571" w:rsidRPr="0051494B" w:rsidRDefault="00677571" w:rsidP="00677571">
      <w:pPr>
        <w:autoSpaceDE w:val="0"/>
        <w:autoSpaceDN w:val="0"/>
        <w:adjustRightInd w:val="0"/>
        <w:spacing w:after="0" w:line="360" w:lineRule="auto"/>
        <w:rPr>
          <w:rFonts w:ascii="NimbusSanL" w:eastAsia="Calibri" w:hAnsi="NimbusSanL" w:cs="NimbusSanL"/>
          <w:color w:val="000000"/>
          <w:sz w:val="24"/>
          <w:szCs w:val="24"/>
          <w:lang w:eastAsia="en-US"/>
        </w:rPr>
      </w:pPr>
    </w:p>
    <w:p w14:paraId="174A4C22" w14:textId="77777777" w:rsidR="00677571" w:rsidRPr="0051494B" w:rsidRDefault="00677571" w:rsidP="00677571">
      <w:pPr>
        <w:tabs>
          <w:tab w:val="right" w:pos="8789"/>
        </w:tabs>
        <w:spacing w:after="0" w:line="360" w:lineRule="auto"/>
        <w:jc w:val="both"/>
        <w:rPr>
          <w:rFonts w:ascii="Arial" w:eastAsia="Calibri" w:hAnsi="Arial" w:cs="Arial"/>
          <w:color w:val="FF0000"/>
          <w:lang w:eastAsia="en-US"/>
        </w:rPr>
      </w:pPr>
    </w:p>
    <w:p w14:paraId="185760B6" w14:textId="77777777" w:rsidR="00677571" w:rsidRPr="0051494B" w:rsidRDefault="00677571" w:rsidP="00677571">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6B25EDF9" w14:textId="77777777" w:rsidR="00677571" w:rsidRPr="0051494B" w:rsidRDefault="00677571" w:rsidP="00677571">
      <w:pPr>
        <w:tabs>
          <w:tab w:val="right" w:pos="8789"/>
        </w:tabs>
        <w:spacing w:after="0" w:line="360" w:lineRule="auto"/>
        <w:jc w:val="both"/>
        <w:rPr>
          <w:rFonts w:ascii="Arial" w:eastAsia="Calibri" w:hAnsi="Arial" w:cs="Arial"/>
          <w:b/>
          <w:noProof/>
          <w:lang w:eastAsia="en-US"/>
        </w:rPr>
      </w:pPr>
    </w:p>
    <w:p w14:paraId="29274AB7" w14:textId="078BE2BC" w:rsidR="00677571" w:rsidRPr="00BF29B5" w:rsidRDefault="00AB2837"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677571" w:rsidRPr="00BF29B5">
        <w:rPr>
          <w:rFonts w:ascii="Arial Narrow" w:eastAsia="Calibri" w:hAnsi="Arial Narrow" w:cs="Arial"/>
          <w:b/>
          <w:bCs/>
          <w:color w:val="000000"/>
          <w:sz w:val="24"/>
          <w:szCs w:val="24"/>
          <w:lang w:eastAsia="en-US"/>
        </w:rPr>
        <w:t>FUNDAMENTACIÓN Y MOTIVACIÓN. SU DISTINCIÓN ENTRE SU FALTA Y CUANDO ES INDEBIDA.</w:t>
      </w:r>
      <w:r w:rsidR="00677571" w:rsidRPr="00BF29B5">
        <w:rPr>
          <w:rFonts w:ascii="Arial Narrow" w:eastAsia="Calibri" w:hAnsi="Arial Narrow" w:cs="Arial"/>
          <w:color w:val="000000"/>
          <w:sz w:val="24"/>
          <w:szCs w:val="24"/>
          <w:lang w:eastAsia="en-US"/>
        </w:rPr>
        <w:t xml:space="preserve"> </w:t>
      </w:r>
    </w:p>
    <w:p w14:paraId="636A1FA0" w14:textId="77777777" w:rsidR="00677571" w:rsidRPr="00BF29B5" w:rsidRDefault="00677571"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p>
    <w:p w14:paraId="794C3276" w14:textId="303136CC" w:rsidR="00677571" w:rsidRPr="00BF29B5" w:rsidRDefault="00677571" w:rsidP="00677571">
      <w:pPr>
        <w:autoSpaceDE w:val="0"/>
        <w:autoSpaceDN w:val="0"/>
        <w:adjustRightInd w:val="0"/>
        <w:spacing w:after="0" w:line="36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00AB2837">
        <w:rPr>
          <w:rFonts w:ascii="Arial Narrow" w:eastAsia="Calibri" w:hAnsi="Arial Narrow" w:cs="Arial"/>
          <w:color w:val="000000"/>
          <w:sz w:val="24"/>
          <w:szCs w:val="24"/>
          <w:lang w:eastAsia="en-US"/>
        </w:rPr>
        <w:t>”</w:t>
      </w:r>
    </w:p>
    <w:p w14:paraId="7B38C3F0" w14:textId="77777777" w:rsidR="00677571" w:rsidRPr="0051494B" w:rsidRDefault="00677571" w:rsidP="00677571">
      <w:pPr>
        <w:tabs>
          <w:tab w:val="right" w:pos="8789"/>
        </w:tabs>
        <w:spacing w:after="0" w:line="360" w:lineRule="auto"/>
        <w:ind w:left="567" w:right="758"/>
        <w:jc w:val="both"/>
        <w:rPr>
          <w:rFonts w:ascii="Arial" w:eastAsia="Calibri" w:hAnsi="Arial" w:cs="Arial"/>
          <w:b/>
          <w:i/>
          <w:noProof/>
          <w:lang w:eastAsia="en-US"/>
        </w:rPr>
      </w:pPr>
    </w:p>
    <w:p w14:paraId="00D30119" w14:textId="77777777" w:rsidR="00997784" w:rsidRDefault="00997784" w:rsidP="0099778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En tales términos resulta claro que la autoridad aquí demandada incumplió con la irrestricta obligación de emitir una resolución congruente, entendiéndose como tal, la exhaustividad en las determinaciones tendientes a dirimir cada aspecto de la controversia puesta a su consideración con base en los argumentos esgrimidos por las partes, así como las pruebas aportadas. </w:t>
      </w:r>
    </w:p>
    <w:p w14:paraId="743BDA9B" w14:textId="77777777" w:rsidR="00997784" w:rsidRDefault="00997784" w:rsidP="0099778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9DDC5E5"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r w:rsidRPr="00997784">
        <w:rPr>
          <w:rFonts w:ascii="Arial" w:eastAsia="Calibri" w:hAnsi="Arial" w:cs="Arial"/>
          <w:sz w:val="24"/>
          <w:szCs w:val="24"/>
          <w:lang w:eastAsia="en-US"/>
        </w:rPr>
        <w:t xml:space="preserve">Así pues, ante la presunta existencia de la diligencia de apeo y deslinde exhibida por la actora en su trámite catastral, la autoridad demandada debió analizar en su integridad la viabilidad de que precisamente la mencionada diligencia de apeo y deslinde resultaba suficiente para desvirtuar la supuesta </w:t>
      </w:r>
      <w:r w:rsidRPr="00997784">
        <w:rPr>
          <w:rFonts w:ascii="Arial" w:hAnsi="Arial" w:cs="Arial"/>
          <w:sz w:val="24"/>
          <w:szCs w:val="24"/>
        </w:rPr>
        <w:t xml:space="preserve">incompatibilidad entre la solicitud y los antecedentes registrales. </w:t>
      </w:r>
    </w:p>
    <w:p w14:paraId="0BFDA34F"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p>
    <w:p w14:paraId="1C6EC6B9"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r w:rsidRPr="00997784">
        <w:rPr>
          <w:rFonts w:ascii="Arial" w:hAnsi="Arial" w:cs="Arial"/>
          <w:sz w:val="24"/>
          <w:szCs w:val="24"/>
        </w:rPr>
        <w:lastRenderedPageBreak/>
        <w:t xml:space="preserve">Lo anterior es así, pues el mismo artículo 52 de la Ley de Catastro para el Estado de Oaxaca estipula como facultad del Instituto Catastral del Estado el análisis y determinación de procedencia o improcedencia de los documentos exhibidos por los administrados, como se aprecia de la siguiente transcripción: </w:t>
      </w:r>
    </w:p>
    <w:p w14:paraId="60CA6373"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p>
    <w:p w14:paraId="4F560E1D" w14:textId="3A0B955B" w:rsidR="00997784" w:rsidRPr="00997784" w:rsidRDefault="00997784" w:rsidP="00997784">
      <w:pPr>
        <w:tabs>
          <w:tab w:val="left" w:pos="284"/>
          <w:tab w:val="left" w:pos="1134"/>
          <w:tab w:val="right" w:pos="9072"/>
        </w:tabs>
        <w:spacing w:after="0" w:line="360" w:lineRule="auto"/>
        <w:ind w:left="1134" w:right="474"/>
        <w:jc w:val="both"/>
        <w:rPr>
          <w:rFonts w:ascii="Arial Narrow" w:hAnsi="Arial Narrow"/>
          <w:sz w:val="24"/>
          <w:szCs w:val="24"/>
        </w:rPr>
      </w:pPr>
      <w:r w:rsidRPr="00997784">
        <w:rPr>
          <w:rFonts w:ascii="Arial Narrow" w:hAnsi="Arial Narrow"/>
          <w:b/>
          <w:bCs/>
          <w:sz w:val="24"/>
          <w:szCs w:val="24"/>
        </w:rPr>
        <w:t>“ARTÍCULO 52.-</w:t>
      </w:r>
      <w:r w:rsidRPr="00997784">
        <w:rPr>
          <w:rFonts w:ascii="Arial Narrow" w:hAnsi="Arial Narrow"/>
          <w:sz w:val="24"/>
          <w:szCs w:val="24"/>
        </w:rPr>
        <w:t xml:space="preserve"> Cuando en las manifestaciones o avisos a que se refiere esta Ley no se expresen los datos o no se acompañen los documentos o planos también requeridos, el Instituto Catastral del Estado de Oaxaca no las admitirá para su trámite. </w:t>
      </w:r>
    </w:p>
    <w:p w14:paraId="3368587C" w14:textId="4352BD2E" w:rsidR="00997784" w:rsidRPr="00997784" w:rsidRDefault="00997784" w:rsidP="00997784">
      <w:pPr>
        <w:tabs>
          <w:tab w:val="left" w:pos="284"/>
          <w:tab w:val="left" w:pos="1134"/>
          <w:tab w:val="right" w:pos="9072"/>
        </w:tabs>
        <w:spacing w:after="0" w:line="360" w:lineRule="auto"/>
        <w:ind w:left="1134" w:right="474"/>
        <w:jc w:val="both"/>
        <w:rPr>
          <w:rFonts w:ascii="Arial Narrow" w:eastAsia="Calibri" w:hAnsi="Arial Narrow" w:cs="Arial"/>
          <w:sz w:val="28"/>
          <w:szCs w:val="28"/>
          <w:lang w:eastAsia="en-US"/>
        </w:rPr>
      </w:pPr>
      <w:r w:rsidRPr="00997784">
        <w:rPr>
          <w:rFonts w:ascii="Arial Narrow" w:hAnsi="Arial Narrow"/>
          <w:sz w:val="24"/>
          <w:szCs w:val="24"/>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451760BE"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2CE72EBE"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r w:rsidRPr="00997784">
        <w:rPr>
          <w:rFonts w:ascii="Arial" w:eastAsia="Calibri" w:hAnsi="Arial" w:cs="Arial"/>
          <w:sz w:val="24"/>
          <w:szCs w:val="24"/>
          <w:lang w:eastAsia="en-US"/>
        </w:rPr>
        <w:t xml:space="preserve">Luego entonces, ante la abstención de parte de la autoridad demandada a pronunciarse respecto al valor probatorio de la diligencia de apeo y deslinde exhibida por la actora para efectos del trámite catastral que pretende, y derivado de la indebida motivación a que se ve afecta su resolución de fecha veintisiete de enero de dos mil veintitrés, esta Sala determina que lo procedente es decretar su </w:t>
      </w:r>
      <w:r w:rsidRPr="00997784">
        <w:rPr>
          <w:rFonts w:ascii="Arial" w:eastAsia="Calibri" w:hAnsi="Arial" w:cs="Arial"/>
          <w:b/>
          <w:bCs/>
          <w:sz w:val="24"/>
          <w:szCs w:val="24"/>
          <w:lang w:eastAsia="en-US"/>
        </w:rPr>
        <w:t>NULIDAD PARA EL EFECTO</w:t>
      </w:r>
      <w:r w:rsidRPr="00997784">
        <w:rPr>
          <w:rFonts w:ascii="Arial" w:eastAsia="Calibri" w:hAnsi="Arial" w:cs="Arial"/>
          <w:sz w:val="24"/>
          <w:szCs w:val="24"/>
          <w:lang w:eastAsia="en-US"/>
        </w:rPr>
        <w:t xml:space="preserve"> de que el Coordinador de la Función Registral del Instituto de la Función Registral del Estado De Oaxaca, emita una nueva resolución en la que de manera </w:t>
      </w:r>
      <w:r w:rsidRPr="00997784">
        <w:rPr>
          <w:rFonts w:ascii="Arial" w:eastAsia="Calibri" w:hAnsi="Arial" w:cs="Arial"/>
          <w:b/>
          <w:bCs/>
          <w:sz w:val="24"/>
          <w:szCs w:val="24"/>
          <w:u w:val="single"/>
          <w:lang w:eastAsia="en-US"/>
        </w:rPr>
        <w:t xml:space="preserve">fundada y motivada </w:t>
      </w:r>
      <w:r w:rsidRPr="00997784">
        <w:rPr>
          <w:rFonts w:ascii="Arial" w:eastAsia="Calibri" w:hAnsi="Arial" w:cs="Arial"/>
          <w:sz w:val="24"/>
          <w:szCs w:val="24"/>
          <w:lang w:eastAsia="en-US"/>
        </w:rPr>
        <w:t xml:space="preserve">analice si la diligencia de apeo y deslinde exhibida por la actora es suficiente para subsanar la </w:t>
      </w:r>
      <w:r w:rsidRPr="00997784">
        <w:rPr>
          <w:rFonts w:ascii="Arial" w:hAnsi="Arial" w:cs="Arial"/>
          <w:sz w:val="24"/>
          <w:szCs w:val="24"/>
        </w:rPr>
        <w:t xml:space="preserve">incompatibilidad entre la solicitud del trámite catastral y los antecedentes registrales. </w:t>
      </w:r>
    </w:p>
    <w:p w14:paraId="3BF90112"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5AAAE568" w14:textId="77777777" w:rsidR="00997784" w:rsidRPr="00997784" w:rsidRDefault="00997784" w:rsidP="00997784">
      <w:pPr>
        <w:tabs>
          <w:tab w:val="left" w:pos="284"/>
          <w:tab w:val="left" w:pos="426"/>
          <w:tab w:val="right" w:pos="9072"/>
        </w:tabs>
        <w:spacing w:after="0" w:line="360" w:lineRule="auto"/>
        <w:ind w:right="-234" w:firstLine="567"/>
        <w:jc w:val="both"/>
        <w:rPr>
          <w:rFonts w:ascii="Arial" w:hAnsi="Arial" w:cs="Arial"/>
          <w:sz w:val="24"/>
          <w:szCs w:val="24"/>
        </w:rPr>
      </w:pPr>
      <w:r w:rsidRPr="00997784">
        <w:rPr>
          <w:rFonts w:ascii="Arial" w:eastAsia="Calibri" w:hAnsi="Arial" w:cs="Arial"/>
          <w:sz w:val="24"/>
          <w:szCs w:val="24"/>
          <w:lang w:eastAsia="en-US"/>
        </w:rPr>
        <w:t>Lo anterior con base en lo establecido en la Tesis P. XXXIV/2007 publicada en el Semanario Judicial de la Federación y su Gaceta Tomo XXVI, Diciembre de 2007, página 26, Novena Época de rubro y texto siguientes:</w:t>
      </w:r>
    </w:p>
    <w:p w14:paraId="692FA6C3" w14:textId="77777777" w:rsidR="00997784" w:rsidRPr="00997784" w:rsidRDefault="00997784" w:rsidP="00997784">
      <w:pPr>
        <w:tabs>
          <w:tab w:val="left" w:pos="284"/>
          <w:tab w:val="left" w:pos="426"/>
          <w:tab w:val="right" w:pos="9072"/>
        </w:tabs>
        <w:spacing w:after="0" w:line="360" w:lineRule="auto"/>
        <w:ind w:right="758" w:firstLine="567"/>
        <w:jc w:val="both"/>
        <w:rPr>
          <w:rFonts w:ascii="Arial" w:hAnsi="Arial" w:cs="Arial"/>
          <w:b/>
          <w:bCs/>
          <w:sz w:val="24"/>
          <w:szCs w:val="24"/>
        </w:rPr>
      </w:pPr>
    </w:p>
    <w:p w14:paraId="641D7AD4" w14:textId="2DD9DC0C" w:rsidR="00997784" w:rsidRPr="00997784" w:rsidRDefault="00997784" w:rsidP="00997784">
      <w:pPr>
        <w:spacing w:after="0" w:line="360" w:lineRule="auto"/>
        <w:ind w:left="1134" w:right="758"/>
        <w:jc w:val="both"/>
        <w:rPr>
          <w:rFonts w:ascii="Arial Narrow" w:hAnsi="Arial Narrow" w:cs="Arial"/>
          <w:b/>
          <w:bCs/>
          <w:sz w:val="24"/>
          <w:szCs w:val="24"/>
        </w:rPr>
      </w:pPr>
      <w:r w:rsidRPr="00997784">
        <w:rPr>
          <w:rFonts w:ascii="Arial Narrow" w:hAnsi="Arial Narrow" w:cs="Arial"/>
          <w:b/>
          <w:bCs/>
          <w:sz w:val="24"/>
          <w:szCs w:val="24"/>
        </w:rPr>
        <w:t>“NULIDAD ABSOLUTA Y NULIDAD PARA EFECTOS EN EL JUICIO CONTENCIOSO ADMINISTRATIVO. SU ALCANCE DEPENDE DE LA NATURALEZA DE LA RESOLUCIÓN ANULADA Y DE LOS VICIOS QUE ORIGINARON LA ANULACIÓN.</w:t>
      </w:r>
    </w:p>
    <w:p w14:paraId="59FDF7BF" w14:textId="77777777" w:rsidR="00997784" w:rsidRPr="00997784" w:rsidRDefault="00997784" w:rsidP="00997784">
      <w:pPr>
        <w:spacing w:after="0" w:line="360" w:lineRule="auto"/>
        <w:ind w:left="1134" w:right="758"/>
        <w:jc w:val="both"/>
        <w:rPr>
          <w:rFonts w:ascii="Arial Narrow" w:hAnsi="Arial Narrow" w:cs="Arial"/>
          <w:sz w:val="24"/>
          <w:szCs w:val="24"/>
        </w:rPr>
      </w:pPr>
    </w:p>
    <w:p w14:paraId="7F164754" w14:textId="61670748" w:rsidR="00997784" w:rsidRPr="00997784" w:rsidRDefault="00997784" w:rsidP="00997784">
      <w:pPr>
        <w:spacing w:after="0" w:line="360" w:lineRule="auto"/>
        <w:ind w:left="1134" w:right="758"/>
        <w:jc w:val="both"/>
        <w:rPr>
          <w:rFonts w:ascii="Arial Narrow" w:hAnsi="Arial Narrow" w:cs="Arial"/>
          <w:sz w:val="24"/>
          <w:szCs w:val="24"/>
        </w:rPr>
      </w:pPr>
      <w:r w:rsidRPr="00997784">
        <w:rPr>
          <w:rFonts w:ascii="Arial Narrow" w:hAnsi="Arial Narrow" w:cs="Arial"/>
          <w:sz w:val="24"/>
          <w:szCs w:val="24"/>
        </w:rPr>
        <w:t xml:space="preserve">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w:t>
      </w:r>
      <w:r w:rsidRPr="00997784">
        <w:rPr>
          <w:rFonts w:ascii="Arial Narrow" w:hAnsi="Arial Narrow" w:cs="Arial"/>
          <w:sz w:val="24"/>
          <w:szCs w:val="24"/>
        </w:rPr>
        <w:lastRenderedPageBreak/>
        <w:t>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p>
    <w:p w14:paraId="568DDFD9" w14:textId="77777777" w:rsidR="00677571" w:rsidRPr="00997784" w:rsidRDefault="00677571" w:rsidP="00677571">
      <w:pPr>
        <w:tabs>
          <w:tab w:val="left" w:pos="284"/>
          <w:tab w:val="left" w:pos="426"/>
          <w:tab w:val="right" w:pos="9072"/>
        </w:tabs>
        <w:spacing w:after="0" w:line="360" w:lineRule="auto"/>
        <w:ind w:right="-234" w:firstLine="567"/>
        <w:jc w:val="both"/>
        <w:rPr>
          <w:rFonts w:ascii="Arial" w:hAnsi="Arial" w:cs="Arial"/>
          <w:color w:val="FF0000"/>
          <w:sz w:val="24"/>
          <w:szCs w:val="24"/>
        </w:rPr>
      </w:pPr>
    </w:p>
    <w:p w14:paraId="1830672D" w14:textId="77777777" w:rsidR="002B375F" w:rsidRPr="003D15A3" w:rsidRDefault="002B375F" w:rsidP="002B375F">
      <w:pPr>
        <w:spacing w:line="360" w:lineRule="auto"/>
        <w:ind w:firstLine="567"/>
        <w:jc w:val="both"/>
        <w:rPr>
          <w:rFonts w:ascii="Arial" w:hAnsi="Arial" w:cs="Arial"/>
          <w:sz w:val="24"/>
          <w:szCs w:val="24"/>
        </w:rPr>
      </w:pPr>
      <w:r w:rsidRPr="003D15A3">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3D15A3"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3D15A3" w:rsidRDefault="002B375F" w:rsidP="002B375F">
      <w:pPr>
        <w:tabs>
          <w:tab w:val="right" w:pos="9072"/>
        </w:tabs>
        <w:spacing w:after="0" w:line="360" w:lineRule="auto"/>
        <w:ind w:right="-234" w:firstLine="708"/>
        <w:jc w:val="center"/>
        <w:rPr>
          <w:rFonts w:ascii="Arial" w:hAnsi="Arial" w:cs="Arial"/>
          <w:b/>
          <w:sz w:val="24"/>
          <w:szCs w:val="24"/>
        </w:rPr>
      </w:pPr>
      <w:r w:rsidRPr="003D15A3">
        <w:rPr>
          <w:rFonts w:ascii="Arial" w:hAnsi="Arial" w:cs="Arial"/>
          <w:b/>
          <w:sz w:val="24"/>
          <w:szCs w:val="24"/>
        </w:rPr>
        <w:t>R E S U E L V E:</w:t>
      </w:r>
    </w:p>
    <w:p w14:paraId="640C5BEF" w14:textId="77777777" w:rsidR="002B375F" w:rsidRPr="003D15A3"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3D15A3" w:rsidRDefault="002B375F" w:rsidP="00997784">
      <w:pPr>
        <w:tabs>
          <w:tab w:val="right" w:pos="9072"/>
        </w:tabs>
        <w:spacing w:after="0" w:line="360" w:lineRule="auto"/>
        <w:ind w:right="49" w:firstLine="567"/>
        <w:jc w:val="both"/>
        <w:rPr>
          <w:rFonts w:ascii="Arial" w:hAnsi="Arial" w:cs="Arial"/>
          <w:sz w:val="24"/>
          <w:szCs w:val="24"/>
        </w:rPr>
      </w:pPr>
      <w:r w:rsidRPr="003D15A3">
        <w:rPr>
          <w:rFonts w:ascii="Arial" w:hAnsi="Arial" w:cs="Arial"/>
          <w:b/>
          <w:sz w:val="24"/>
          <w:szCs w:val="24"/>
        </w:rPr>
        <w:t>PRIMERO.</w:t>
      </w:r>
      <w:r w:rsidRPr="003D15A3">
        <w:rPr>
          <w:rFonts w:ascii="Arial" w:hAnsi="Arial" w:cs="Arial"/>
          <w:sz w:val="24"/>
          <w:szCs w:val="24"/>
        </w:rPr>
        <w:t xml:space="preserve"> Esta Primera Sala Unitaria fue competente para conocer y resolver del presente asunto. </w:t>
      </w:r>
    </w:p>
    <w:p w14:paraId="470F3F23" w14:textId="77777777" w:rsidR="002B375F" w:rsidRPr="003D15A3"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3D15A3" w:rsidRDefault="002B375F" w:rsidP="002B375F">
      <w:pPr>
        <w:tabs>
          <w:tab w:val="right" w:pos="9072"/>
        </w:tabs>
        <w:spacing w:after="0" w:line="360" w:lineRule="auto"/>
        <w:ind w:right="-234" w:firstLine="567"/>
        <w:jc w:val="both"/>
        <w:rPr>
          <w:rFonts w:ascii="Arial" w:hAnsi="Arial" w:cs="Arial"/>
          <w:b/>
          <w:sz w:val="24"/>
          <w:szCs w:val="24"/>
        </w:rPr>
      </w:pPr>
      <w:r w:rsidRPr="003D15A3">
        <w:rPr>
          <w:rFonts w:ascii="Arial" w:hAnsi="Arial" w:cs="Arial"/>
          <w:b/>
          <w:sz w:val="24"/>
          <w:szCs w:val="24"/>
        </w:rPr>
        <w:t xml:space="preserve">SEGUNDO. </w:t>
      </w:r>
      <w:r w:rsidRPr="003D15A3">
        <w:rPr>
          <w:rFonts w:ascii="Arial" w:hAnsi="Arial" w:cs="Arial"/>
          <w:sz w:val="24"/>
          <w:szCs w:val="24"/>
        </w:rPr>
        <w:t xml:space="preserve">La personería de las partes quedó acreditada. </w:t>
      </w:r>
    </w:p>
    <w:p w14:paraId="2D41CDF3" w14:textId="77777777" w:rsidR="002B375F" w:rsidRPr="003D15A3" w:rsidRDefault="002B375F" w:rsidP="002B375F">
      <w:pPr>
        <w:tabs>
          <w:tab w:val="right" w:pos="9072"/>
        </w:tabs>
        <w:spacing w:after="0" w:line="360" w:lineRule="auto"/>
        <w:ind w:right="-234" w:firstLine="567"/>
        <w:jc w:val="both"/>
        <w:rPr>
          <w:rFonts w:ascii="Arial" w:hAnsi="Arial" w:cs="Arial"/>
          <w:b/>
          <w:sz w:val="24"/>
          <w:szCs w:val="24"/>
        </w:rPr>
      </w:pPr>
    </w:p>
    <w:p w14:paraId="4D64C96D" w14:textId="77777777" w:rsidR="00997784" w:rsidRPr="003D15A3" w:rsidRDefault="002B375F" w:rsidP="00997784">
      <w:pPr>
        <w:tabs>
          <w:tab w:val="left" w:pos="284"/>
          <w:tab w:val="left" w:pos="426"/>
          <w:tab w:val="right" w:pos="9072"/>
        </w:tabs>
        <w:spacing w:after="0" w:line="360" w:lineRule="auto"/>
        <w:ind w:right="49" w:firstLine="567"/>
        <w:jc w:val="both"/>
        <w:rPr>
          <w:rFonts w:ascii="Arial" w:hAnsi="Arial" w:cs="Arial"/>
          <w:sz w:val="24"/>
          <w:szCs w:val="24"/>
        </w:rPr>
      </w:pPr>
      <w:r w:rsidRPr="003D15A3">
        <w:rPr>
          <w:rFonts w:ascii="Arial" w:hAnsi="Arial" w:cs="Arial"/>
          <w:b/>
          <w:sz w:val="24"/>
          <w:szCs w:val="24"/>
        </w:rPr>
        <w:t xml:space="preserve">TERCERO. </w:t>
      </w:r>
      <w:r w:rsidR="00677571" w:rsidRPr="003D15A3">
        <w:rPr>
          <w:rFonts w:ascii="Arial" w:hAnsi="Arial" w:cs="Arial"/>
          <w:sz w:val="24"/>
          <w:szCs w:val="24"/>
        </w:rPr>
        <w:t xml:space="preserve">Se declara la </w:t>
      </w:r>
      <w:r w:rsidR="00677571" w:rsidRPr="003D15A3">
        <w:rPr>
          <w:rFonts w:ascii="Arial" w:hAnsi="Arial" w:cs="Arial"/>
          <w:b/>
          <w:bCs/>
          <w:sz w:val="24"/>
          <w:szCs w:val="24"/>
        </w:rPr>
        <w:t xml:space="preserve">NULIDAD </w:t>
      </w:r>
      <w:r w:rsidR="00677571" w:rsidRPr="003D15A3">
        <w:rPr>
          <w:rFonts w:ascii="Arial" w:eastAsia="Calibri" w:hAnsi="Arial" w:cs="Arial"/>
          <w:sz w:val="24"/>
          <w:szCs w:val="24"/>
          <w:lang w:eastAsia="en-US"/>
        </w:rPr>
        <w:t>de la resolución de fecha veintisiete de enero de dos mil veintitrés</w:t>
      </w:r>
      <w:r w:rsidR="00997784" w:rsidRPr="003D15A3">
        <w:rPr>
          <w:rFonts w:ascii="Arial" w:eastAsia="Calibri" w:hAnsi="Arial" w:cs="Arial"/>
          <w:sz w:val="24"/>
          <w:szCs w:val="24"/>
          <w:lang w:eastAsia="en-US"/>
        </w:rPr>
        <w:t xml:space="preserve"> PARA EL EFECTO</w:t>
      </w:r>
      <w:r w:rsidR="00677571" w:rsidRPr="003D15A3">
        <w:rPr>
          <w:rFonts w:ascii="Arial" w:hAnsi="Arial" w:cs="Arial"/>
          <w:sz w:val="24"/>
          <w:szCs w:val="24"/>
        </w:rPr>
        <w:t xml:space="preserve"> </w:t>
      </w:r>
      <w:r w:rsidR="00997784" w:rsidRPr="003D15A3">
        <w:rPr>
          <w:rFonts w:ascii="Arial" w:eastAsia="Calibri" w:hAnsi="Arial" w:cs="Arial"/>
          <w:sz w:val="24"/>
          <w:szCs w:val="24"/>
          <w:lang w:eastAsia="en-US"/>
        </w:rPr>
        <w:t xml:space="preserve">de que el Coordinador de la </w:t>
      </w:r>
      <w:r w:rsidR="00997784" w:rsidRPr="003D15A3">
        <w:rPr>
          <w:rFonts w:ascii="Arial" w:eastAsia="Calibri" w:hAnsi="Arial" w:cs="Arial"/>
          <w:sz w:val="24"/>
          <w:szCs w:val="24"/>
          <w:lang w:eastAsia="en-US"/>
        </w:rPr>
        <w:lastRenderedPageBreak/>
        <w:t xml:space="preserve">Función Registral del Instituto de la Función Registral del Estado De Oaxaca, emita una nueva resolución en la que de manera </w:t>
      </w:r>
      <w:r w:rsidR="00997784" w:rsidRPr="003D15A3">
        <w:rPr>
          <w:rFonts w:ascii="Arial" w:eastAsia="Calibri" w:hAnsi="Arial" w:cs="Arial"/>
          <w:b/>
          <w:bCs/>
          <w:sz w:val="24"/>
          <w:szCs w:val="24"/>
          <w:u w:val="single"/>
          <w:lang w:eastAsia="en-US"/>
        </w:rPr>
        <w:t xml:space="preserve">fundada y motivada </w:t>
      </w:r>
      <w:r w:rsidR="00997784" w:rsidRPr="003D15A3">
        <w:rPr>
          <w:rFonts w:ascii="Arial" w:eastAsia="Calibri" w:hAnsi="Arial" w:cs="Arial"/>
          <w:sz w:val="24"/>
          <w:szCs w:val="24"/>
          <w:lang w:eastAsia="en-US"/>
        </w:rPr>
        <w:t xml:space="preserve">analice si la diligencia de apeo y deslinde exhibida por la actora es suficiente para subsanar la </w:t>
      </w:r>
      <w:r w:rsidR="00997784" w:rsidRPr="003D15A3">
        <w:rPr>
          <w:rFonts w:ascii="Arial" w:hAnsi="Arial" w:cs="Arial"/>
          <w:sz w:val="24"/>
          <w:szCs w:val="24"/>
        </w:rPr>
        <w:t xml:space="preserve">incompatibilidad entre la solicitud del trámite catastral y los antecedentes registrales. </w:t>
      </w:r>
    </w:p>
    <w:p w14:paraId="7C1BBEAB" w14:textId="3D68E3D1" w:rsidR="002B375F" w:rsidRPr="00997784" w:rsidRDefault="00677571" w:rsidP="00997784">
      <w:pPr>
        <w:spacing w:after="0" w:line="360" w:lineRule="auto"/>
        <w:ind w:firstLine="567"/>
        <w:jc w:val="both"/>
        <w:rPr>
          <w:rFonts w:ascii="Arial" w:hAnsi="Arial" w:cs="Arial"/>
          <w:b/>
          <w:bCs/>
          <w:sz w:val="24"/>
          <w:szCs w:val="24"/>
        </w:rPr>
      </w:pPr>
      <w:r w:rsidRPr="00997784">
        <w:rPr>
          <w:rFonts w:ascii="Arial" w:hAnsi="Arial" w:cs="Arial"/>
          <w:bCs/>
          <w:sz w:val="24"/>
          <w:szCs w:val="24"/>
        </w:rPr>
        <w:t>.</w:t>
      </w:r>
    </w:p>
    <w:p w14:paraId="4F70F251" w14:textId="76D2718A" w:rsidR="002B375F" w:rsidRPr="00997784" w:rsidRDefault="002B375F" w:rsidP="002B375F">
      <w:pPr>
        <w:spacing w:after="0" w:line="360" w:lineRule="auto"/>
        <w:ind w:right="49" w:firstLine="567"/>
        <w:jc w:val="both"/>
        <w:rPr>
          <w:rFonts w:ascii="Arial" w:eastAsia="Times New Roman" w:hAnsi="Arial" w:cs="Arial"/>
          <w:sz w:val="24"/>
          <w:szCs w:val="24"/>
        </w:rPr>
      </w:pPr>
      <w:r w:rsidRPr="00997784">
        <w:rPr>
          <w:rFonts w:ascii="Arial" w:eastAsia="Times New Roman" w:hAnsi="Arial" w:cs="Arial"/>
          <w:b/>
          <w:sz w:val="24"/>
          <w:szCs w:val="24"/>
        </w:rPr>
        <w:t>CUARTO. Notifíquese personalmente a la parte actora y por oficio a la autoridad demandada</w:t>
      </w:r>
      <w:r w:rsidRPr="00997784">
        <w:rPr>
          <w:rFonts w:ascii="Arial" w:eastAsia="Times New Roman" w:hAnsi="Arial" w:cs="Arial"/>
          <w:sz w:val="24"/>
          <w:szCs w:val="24"/>
        </w:rPr>
        <w:t>, con fundamento en los artículos 172</w:t>
      </w:r>
      <w:r w:rsidR="00AB2837" w:rsidRPr="00997784">
        <w:rPr>
          <w:rFonts w:ascii="Arial" w:eastAsia="Times New Roman" w:hAnsi="Arial" w:cs="Arial"/>
          <w:sz w:val="24"/>
          <w:szCs w:val="24"/>
        </w:rPr>
        <w:t>,</w:t>
      </w:r>
      <w:r w:rsidRPr="00997784">
        <w:rPr>
          <w:rFonts w:ascii="Arial" w:eastAsia="Times New Roman" w:hAnsi="Arial" w:cs="Arial"/>
          <w:sz w:val="24"/>
          <w:szCs w:val="24"/>
        </w:rPr>
        <w:t xml:space="preserve"> fracción I y 173 fracciones I y II, de la Ley de Procedimiento y Justicia Administrativa para el Estado de Oaxaca,</w:t>
      </w:r>
      <w:r w:rsidRPr="00997784">
        <w:rPr>
          <w:rFonts w:ascii="Arial" w:eastAsia="Times New Roman" w:hAnsi="Arial" w:cs="Arial"/>
          <w:b/>
          <w:iCs/>
          <w:sz w:val="24"/>
          <w:szCs w:val="24"/>
        </w:rPr>
        <w:t xml:space="preserve"> - CÚMPLASE</w:t>
      </w:r>
      <w:r w:rsidRPr="00997784">
        <w:rPr>
          <w:rFonts w:ascii="Arial" w:eastAsia="Times New Roman" w:hAnsi="Arial" w:cs="Arial"/>
          <w:sz w:val="24"/>
          <w:szCs w:val="24"/>
        </w:rPr>
        <w:t xml:space="preserve">. </w:t>
      </w:r>
    </w:p>
    <w:p w14:paraId="3B0CE970" w14:textId="77777777" w:rsidR="002B375F" w:rsidRPr="00997784"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997784" w:rsidRDefault="002B375F" w:rsidP="002B375F">
      <w:pPr>
        <w:spacing w:after="0" w:line="360" w:lineRule="auto"/>
        <w:ind w:right="49" w:firstLine="567"/>
        <w:jc w:val="both"/>
        <w:rPr>
          <w:rFonts w:ascii="Arial" w:eastAsia="Times New Roman" w:hAnsi="Arial" w:cs="Arial"/>
          <w:b/>
          <w:sz w:val="24"/>
          <w:szCs w:val="24"/>
          <w:lang w:val="es-ES"/>
        </w:rPr>
      </w:pPr>
      <w:r w:rsidRPr="00997784">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997784">
        <w:rPr>
          <w:rFonts w:ascii="Arial" w:eastAsia="Times New Roman" w:hAnsi="Arial" w:cs="Arial"/>
          <w:sz w:val="24"/>
          <w:szCs w:val="24"/>
        </w:rPr>
        <w:t>Morales</w:t>
      </w:r>
      <w:proofErr w:type="spellEnd"/>
      <w:r w:rsidRPr="00997784">
        <w:rPr>
          <w:rFonts w:ascii="Arial" w:eastAsia="Times New Roman" w:hAnsi="Arial" w:cs="Arial"/>
          <w:sz w:val="24"/>
          <w:szCs w:val="24"/>
        </w:rPr>
        <w:t>, Secretario de Acuerdos, que autoriza y da fe.</w:t>
      </w:r>
    </w:p>
    <w:sectPr w:rsidR="002B375F" w:rsidRPr="00997784"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4DBC2" w14:textId="77777777" w:rsidR="00C1649A" w:rsidRDefault="00C1649A">
      <w:pPr>
        <w:spacing w:after="0" w:line="240" w:lineRule="auto"/>
      </w:pPr>
      <w:r>
        <w:separator/>
      </w:r>
    </w:p>
  </w:endnote>
  <w:endnote w:type="continuationSeparator" w:id="0">
    <w:p w14:paraId="1944236A" w14:textId="77777777" w:rsidR="00C1649A" w:rsidRDefault="00C16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22B56" w14:textId="77777777" w:rsidR="00C1649A" w:rsidRDefault="00C1649A">
      <w:pPr>
        <w:spacing w:after="0" w:line="240" w:lineRule="auto"/>
      </w:pPr>
      <w:r>
        <w:separator/>
      </w:r>
    </w:p>
  </w:footnote>
  <w:footnote w:type="continuationSeparator" w:id="0">
    <w:p w14:paraId="79DE0603" w14:textId="77777777" w:rsidR="00C1649A" w:rsidRDefault="00C1649A">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C1649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FC773B" w:rsidRPr="00FC773B">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53867E" w:rsidR="00A360DF" w:rsidRDefault="00FC773B">
    <w:pPr>
      <w:pStyle w:val="Encabezado"/>
      <w:jc w:val="center"/>
    </w:pPr>
    <w:r>
      <w:rPr>
        <w:noProof/>
        <w:lang w:eastAsia="es-MX"/>
      </w:rPr>
      <mc:AlternateContent>
        <mc:Choice Requires="wps">
          <w:drawing>
            <wp:anchor distT="0" distB="0" distL="114300" distR="114300" simplePos="0" relativeHeight="251667456" behindDoc="1" locked="0" layoutInCell="1" allowOverlap="1" wp14:anchorId="51121427" wp14:editId="195E70F0">
              <wp:simplePos x="0" y="0"/>
              <wp:positionH relativeFrom="leftMargin">
                <wp:posOffset>209550</wp:posOffset>
              </wp:positionH>
              <wp:positionV relativeFrom="paragraph">
                <wp:posOffset>-297815</wp:posOffset>
              </wp:positionV>
              <wp:extent cx="1028700" cy="10001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8700" cy="1000125"/>
                      </a:xfrm>
                      <a:prstGeom prst="rect">
                        <a:avLst/>
                      </a:prstGeom>
                      <a:solidFill>
                        <a:sysClr val="window" lastClr="FFFFFF"/>
                      </a:solidFill>
                      <a:ln w="6350">
                        <a:solidFill>
                          <a:prstClr val="black"/>
                        </a:solidFill>
                      </a:ln>
                      <a:effectLst/>
                    </wps:spPr>
                    <wps:txbx>
                      <w:txbxContent>
                        <w:p w14:paraId="587F1971" w14:textId="77777777" w:rsidR="00FC773B" w:rsidRDefault="00FC773B" w:rsidP="00FC773B">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121427" id="_x0000_t202" coordsize="21600,21600" o:spt="202" path="m,l,21600r21600,l21600,xe">
              <v:stroke joinstyle="miter"/>
              <v:path gradientshapeok="t" o:connecttype="rect"/>
            </v:shapetype>
            <v:shape id="Cuadro de texto 1" o:spid="_x0000_s1026" type="#_x0000_t202" style="position:absolute;left:0;text-align:left;margin-left:16.5pt;margin-top:-23.45pt;width:81pt;height:78.75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" fillcolor="window" strokeweight=".5pt">
              <v:path arrowok="t"/>
              <v:textbox>
                <w:txbxContent>
                  <w:p w14:paraId="587F1971" w14:textId="77777777" w:rsidR="00FC773B" w:rsidRDefault="00FC773B" w:rsidP="00FC773B">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C1649A">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Pr="00FC773B">
          <w:rPr>
            <w:noProof/>
            <w:lang w:val="es-ES"/>
          </w:rPr>
          <w:t>9</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3E5F56">
          <w:rPr>
            <w:rFonts w:ascii="Century Schoolbook" w:hAnsi="Century Schoolbook" w:cs="Arial"/>
            <w:b/>
            <w:bCs/>
          </w:rPr>
          <w:t>0023</w:t>
        </w:r>
        <w:r w:rsidR="007C7A1C">
          <w:rPr>
            <w:rFonts w:ascii="Century Schoolbook" w:hAnsi="Century Schoolbook" w:cs="Arial"/>
            <w:b/>
            <w:bCs/>
          </w:rPr>
          <w:t>/20</w:t>
        </w:r>
        <w:r w:rsidR="00344098">
          <w:rPr>
            <w:rFonts w:ascii="Century Schoolbook" w:hAnsi="Century Schoolbook" w:cs="Arial"/>
            <w:b/>
            <w:bCs/>
          </w:rPr>
          <w:t>2</w:t>
        </w:r>
        <w:r w:rsidR="00397AFB">
          <w:rPr>
            <w:rFonts w:ascii="Century Schoolbook" w:hAnsi="Century Schoolbook" w:cs="Arial"/>
            <w:b/>
            <w:bCs/>
          </w:rPr>
          <w:t>3</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C1649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806460"/>
    <w:multiLevelType w:val="hybridMultilevel"/>
    <w:tmpl w:val="EC7014A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6"/>
  </w:num>
  <w:num w:numId="2">
    <w:abstractNumId w:val="5"/>
  </w:num>
  <w:num w:numId="3">
    <w:abstractNumId w:val="2"/>
  </w:num>
  <w:num w:numId="4">
    <w:abstractNumId w:val="12"/>
  </w:num>
  <w:num w:numId="5">
    <w:abstractNumId w:val="15"/>
  </w:num>
  <w:num w:numId="6">
    <w:abstractNumId w:val="9"/>
  </w:num>
  <w:num w:numId="7">
    <w:abstractNumId w:val="8"/>
  </w:num>
  <w:num w:numId="8">
    <w:abstractNumId w:val="4"/>
  </w:num>
  <w:num w:numId="9">
    <w:abstractNumId w:val="7"/>
  </w:num>
  <w:num w:numId="10">
    <w:abstractNumId w:val="11"/>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CD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4CD0"/>
    <w:rsid w:val="000755A5"/>
    <w:rsid w:val="000756DE"/>
    <w:rsid w:val="00076647"/>
    <w:rsid w:val="00076CEA"/>
    <w:rsid w:val="00077661"/>
    <w:rsid w:val="00077DFD"/>
    <w:rsid w:val="00080A85"/>
    <w:rsid w:val="0008122B"/>
    <w:rsid w:val="000813F5"/>
    <w:rsid w:val="0008141F"/>
    <w:rsid w:val="00083375"/>
    <w:rsid w:val="00085132"/>
    <w:rsid w:val="0008514D"/>
    <w:rsid w:val="00085F74"/>
    <w:rsid w:val="00087470"/>
    <w:rsid w:val="000875DB"/>
    <w:rsid w:val="000900BD"/>
    <w:rsid w:val="000904A5"/>
    <w:rsid w:val="000906D4"/>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A7187"/>
    <w:rsid w:val="000B0351"/>
    <w:rsid w:val="000B03B9"/>
    <w:rsid w:val="000B0431"/>
    <w:rsid w:val="000B06F8"/>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2C7"/>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10C"/>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1CF"/>
    <w:rsid w:val="00275418"/>
    <w:rsid w:val="002805AC"/>
    <w:rsid w:val="00280919"/>
    <w:rsid w:val="00281661"/>
    <w:rsid w:val="00281827"/>
    <w:rsid w:val="00282C81"/>
    <w:rsid w:val="00282E7F"/>
    <w:rsid w:val="00282EB6"/>
    <w:rsid w:val="00283B3F"/>
    <w:rsid w:val="002841EE"/>
    <w:rsid w:val="002844AF"/>
    <w:rsid w:val="00284891"/>
    <w:rsid w:val="00285B3A"/>
    <w:rsid w:val="00285C95"/>
    <w:rsid w:val="00286778"/>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225"/>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3E9B"/>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766"/>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16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CCB"/>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098"/>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0E96"/>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97AFB"/>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3A9A"/>
    <w:rsid w:val="003B46A3"/>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60EB"/>
    <w:rsid w:val="003C7036"/>
    <w:rsid w:val="003C7781"/>
    <w:rsid w:val="003C7FA5"/>
    <w:rsid w:val="003D0C96"/>
    <w:rsid w:val="003D15A3"/>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5F56"/>
    <w:rsid w:val="003E62FB"/>
    <w:rsid w:val="003E6A41"/>
    <w:rsid w:val="003E7026"/>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0E3C"/>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A45"/>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2F5"/>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67E64"/>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3F2"/>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0D74"/>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5759E"/>
    <w:rsid w:val="0066116D"/>
    <w:rsid w:val="00663F47"/>
    <w:rsid w:val="00664AC4"/>
    <w:rsid w:val="00664B9C"/>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71"/>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DA6"/>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56FD"/>
    <w:rsid w:val="00746015"/>
    <w:rsid w:val="00746730"/>
    <w:rsid w:val="0075000B"/>
    <w:rsid w:val="00751760"/>
    <w:rsid w:val="00752C85"/>
    <w:rsid w:val="00752CFC"/>
    <w:rsid w:val="00753AB7"/>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0B"/>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1E79"/>
    <w:rsid w:val="007C313D"/>
    <w:rsid w:val="007C3B2E"/>
    <w:rsid w:val="007C405D"/>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07F"/>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17A2"/>
    <w:rsid w:val="0085386F"/>
    <w:rsid w:val="00853B5B"/>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253"/>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305"/>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8F7EB5"/>
    <w:rsid w:val="009011B4"/>
    <w:rsid w:val="0090168E"/>
    <w:rsid w:val="00901AE0"/>
    <w:rsid w:val="00901FFB"/>
    <w:rsid w:val="009020E0"/>
    <w:rsid w:val="0090297E"/>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784"/>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58F"/>
    <w:rsid w:val="00A07A56"/>
    <w:rsid w:val="00A1031F"/>
    <w:rsid w:val="00A10D42"/>
    <w:rsid w:val="00A1186C"/>
    <w:rsid w:val="00A12661"/>
    <w:rsid w:val="00A12D31"/>
    <w:rsid w:val="00A12F8B"/>
    <w:rsid w:val="00A13C0F"/>
    <w:rsid w:val="00A15AE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7F3"/>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837"/>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39FA"/>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171"/>
    <w:rsid w:val="00BC45CE"/>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788"/>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E71"/>
    <w:rsid w:val="00C0780B"/>
    <w:rsid w:val="00C07BB8"/>
    <w:rsid w:val="00C07CCB"/>
    <w:rsid w:val="00C1015F"/>
    <w:rsid w:val="00C1063F"/>
    <w:rsid w:val="00C11D9D"/>
    <w:rsid w:val="00C11EE0"/>
    <w:rsid w:val="00C1296A"/>
    <w:rsid w:val="00C13E95"/>
    <w:rsid w:val="00C14A18"/>
    <w:rsid w:val="00C14B07"/>
    <w:rsid w:val="00C14BF5"/>
    <w:rsid w:val="00C15877"/>
    <w:rsid w:val="00C15ADE"/>
    <w:rsid w:val="00C15B7A"/>
    <w:rsid w:val="00C1649A"/>
    <w:rsid w:val="00C165C5"/>
    <w:rsid w:val="00C16FBB"/>
    <w:rsid w:val="00C170F3"/>
    <w:rsid w:val="00C17BA5"/>
    <w:rsid w:val="00C2004B"/>
    <w:rsid w:val="00C20DE5"/>
    <w:rsid w:val="00C2196F"/>
    <w:rsid w:val="00C219E2"/>
    <w:rsid w:val="00C22000"/>
    <w:rsid w:val="00C2290A"/>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4FE5"/>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96B2A"/>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CCB"/>
    <w:rsid w:val="00E351B8"/>
    <w:rsid w:val="00E35EC1"/>
    <w:rsid w:val="00E35F95"/>
    <w:rsid w:val="00E3623E"/>
    <w:rsid w:val="00E36893"/>
    <w:rsid w:val="00E369E0"/>
    <w:rsid w:val="00E36F87"/>
    <w:rsid w:val="00E36FAF"/>
    <w:rsid w:val="00E37775"/>
    <w:rsid w:val="00E37879"/>
    <w:rsid w:val="00E4029A"/>
    <w:rsid w:val="00E410B5"/>
    <w:rsid w:val="00E41484"/>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5EF"/>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0F7"/>
    <w:rsid w:val="00F4377C"/>
    <w:rsid w:val="00F44809"/>
    <w:rsid w:val="00F448B8"/>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EDE"/>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9BB"/>
    <w:rsid w:val="00F77624"/>
    <w:rsid w:val="00F804E8"/>
    <w:rsid w:val="00F80DF4"/>
    <w:rsid w:val="00F8181F"/>
    <w:rsid w:val="00F8258C"/>
    <w:rsid w:val="00F826FD"/>
    <w:rsid w:val="00F8270A"/>
    <w:rsid w:val="00F82BC8"/>
    <w:rsid w:val="00F82E77"/>
    <w:rsid w:val="00F838C1"/>
    <w:rsid w:val="00F83C99"/>
    <w:rsid w:val="00F84C3A"/>
    <w:rsid w:val="00F850CC"/>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AFD"/>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73B"/>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6775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677571"/>
  </w:style>
  <w:style w:type="character" w:customStyle="1" w:styleId="ng-star-inserted">
    <w:name w:val="ng-star-inserted"/>
    <w:basedOn w:val="Fuentedeprrafopredeter"/>
    <w:rsid w:val="00677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55762790">
      <w:bodyDiv w:val="1"/>
      <w:marLeft w:val="0"/>
      <w:marRight w:val="0"/>
      <w:marTop w:val="0"/>
      <w:marBottom w:val="0"/>
      <w:divBdr>
        <w:top w:val="none" w:sz="0" w:space="0" w:color="auto"/>
        <w:left w:val="none" w:sz="0" w:space="0" w:color="auto"/>
        <w:bottom w:val="none" w:sz="0" w:space="0" w:color="auto"/>
        <w:right w:val="none" w:sz="0" w:space="0" w:color="auto"/>
      </w:divBdr>
      <w:divsChild>
        <w:div w:id="194733430">
          <w:marLeft w:val="0"/>
          <w:marRight w:val="0"/>
          <w:marTop w:val="0"/>
          <w:marBottom w:val="0"/>
          <w:divBdr>
            <w:top w:val="none" w:sz="0" w:space="0" w:color="auto"/>
            <w:left w:val="none" w:sz="0" w:space="0" w:color="auto"/>
            <w:bottom w:val="none" w:sz="0" w:space="0" w:color="auto"/>
            <w:right w:val="none" w:sz="0" w:space="0" w:color="auto"/>
          </w:divBdr>
        </w:div>
        <w:div w:id="22556262">
          <w:marLeft w:val="0"/>
          <w:marRight w:val="0"/>
          <w:marTop w:val="0"/>
          <w:marBottom w:val="0"/>
          <w:divBdr>
            <w:top w:val="none" w:sz="0" w:space="0" w:color="auto"/>
            <w:left w:val="none" w:sz="0" w:space="0" w:color="auto"/>
            <w:bottom w:val="none" w:sz="0" w:space="0" w:color="auto"/>
            <w:right w:val="none" w:sz="0" w:space="0" w:color="auto"/>
          </w:divBdr>
        </w:div>
        <w:div w:id="398410308">
          <w:marLeft w:val="0"/>
          <w:marRight w:val="0"/>
          <w:marTop w:val="0"/>
          <w:marBottom w:val="0"/>
          <w:divBdr>
            <w:top w:val="none" w:sz="0" w:space="0" w:color="auto"/>
            <w:left w:val="none" w:sz="0" w:space="0" w:color="auto"/>
            <w:bottom w:val="none" w:sz="0" w:space="0" w:color="auto"/>
            <w:right w:val="none" w:sz="0" w:space="0" w:color="auto"/>
          </w:divBdr>
        </w:div>
        <w:div w:id="1020425377">
          <w:marLeft w:val="0"/>
          <w:marRight w:val="0"/>
          <w:marTop w:val="0"/>
          <w:marBottom w:val="0"/>
          <w:divBdr>
            <w:top w:val="none" w:sz="0" w:space="0" w:color="auto"/>
            <w:left w:val="none" w:sz="0" w:space="0" w:color="auto"/>
            <w:bottom w:val="none" w:sz="0" w:space="0" w:color="auto"/>
            <w:right w:val="none" w:sz="0" w:space="0" w:color="auto"/>
          </w:divBdr>
        </w:div>
        <w:div w:id="1888369364">
          <w:marLeft w:val="0"/>
          <w:marRight w:val="0"/>
          <w:marTop w:val="0"/>
          <w:marBottom w:val="0"/>
          <w:divBdr>
            <w:top w:val="none" w:sz="0" w:space="0" w:color="auto"/>
            <w:left w:val="none" w:sz="0" w:space="0" w:color="auto"/>
            <w:bottom w:val="none" w:sz="0" w:space="0" w:color="auto"/>
            <w:right w:val="none" w:sz="0" w:space="0" w:color="auto"/>
          </w:divBdr>
        </w:div>
        <w:div w:id="3870137">
          <w:marLeft w:val="0"/>
          <w:marRight w:val="0"/>
          <w:marTop w:val="0"/>
          <w:marBottom w:val="0"/>
          <w:divBdr>
            <w:top w:val="none" w:sz="0" w:space="0" w:color="auto"/>
            <w:left w:val="none" w:sz="0" w:space="0" w:color="auto"/>
            <w:bottom w:val="none" w:sz="0" w:space="0" w:color="auto"/>
            <w:right w:val="none" w:sz="0" w:space="0" w:color="auto"/>
          </w:divBdr>
        </w:div>
        <w:div w:id="176316030">
          <w:marLeft w:val="0"/>
          <w:marRight w:val="0"/>
          <w:marTop w:val="0"/>
          <w:marBottom w:val="0"/>
          <w:divBdr>
            <w:top w:val="none" w:sz="0" w:space="0" w:color="auto"/>
            <w:left w:val="none" w:sz="0" w:space="0" w:color="auto"/>
            <w:bottom w:val="none" w:sz="0" w:space="0" w:color="auto"/>
            <w:right w:val="none" w:sz="0" w:space="0" w:color="auto"/>
          </w:divBdr>
        </w:div>
      </w:divsChild>
    </w:div>
    <w:div w:id="579943967">
      <w:bodyDiv w:val="1"/>
      <w:marLeft w:val="0"/>
      <w:marRight w:val="0"/>
      <w:marTop w:val="0"/>
      <w:marBottom w:val="0"/>
      <w:divBdr>
        <w:top w:val="none" w:sz="0" w:space="0" w:color="auto"/>
        <w:left w:val="none" w:sz="0" w:space="0" w:color="auto"/>
        <w:bottom w:val="none" w:sz="0" w:space="0" w:color="auto"/>
        <w:right w:val="none" w:sz="0" w:space="0" w:color="auto"/>
      </w:divBdr>
    </w:div>
    <w:div w:id="68046983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79711242">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70528885">
      <w:bodyDiv w:val="1"/>
      <w:marLeft w:val="0"/>
      <w:marRight w:val="0"/>
      <w:marTop w:val="0"/>
      <w:marBottom w:val="0"/>
      <w:divBdr>
        <w:top w:val="none" w:sz="0" w:space="0" w:color="auto"/>
        <w:left w:val="none" w:sz="0" w:space="0" w:color="auto"/>
        <w:bottom w:val="none" w:sz="0" w:space="0" w:color="auto"/>
        <w:right w:val="none" w:sz="0" w:space="0" w:color="auto"/>
      </w:divBdr>
    </w:div>
    <w:div w:id="2099523980">
      <w:bodyDiv w:val="1"/>
      <w:marLeft w:val="0"/>
      <w:marRight w:val="0"/>
      <w:marTop w:val="0"/>
      <w:marBottom w:val="0"/>
      <w:divBdr>
        <w:top w:val="none" w:sz="0" w:space="0" w:color="auto"/>
        <w:left w:val="none" w:sz="0" w:space="0" w:color="auto"/>
        <w:bottom w:val="none" w:sz="0" w:space="0" w:color="auto"/>
        <w:right w:val="none" w:sz="0" w:space="0" w:color="auto"/>
      </w:divBdr>
      <w:divsChild>
        <w:div w:id="2077629724">
          <w:marLeft w:val="0"/>
          <w:marRight w:val="0"/>
          <w:marTop w:val="0"/>
          <w:marBottom w:val="0"/>
          <w:divBdr>
            <w:top w:val="none" w:sz="0" w:space="0" w:color="auto"/>
            <w:left w:val="none" w:sz="0" w:space="0" w:color="auto"/>
            <w:bottom w:val="none" w:sz="0" w:space="0" w:color="auto"/>
            <w:right w:val="none" w:sz="0" w:space="0" w:color="auto"/>
          </w:divBdr>
        </w:div>
        <w:div w:id="1548838839">
          <w:marLeft w:val="0"/>
          <w:marRight w:val="0"/>
          <w:marTop w:val="0"/>
          <w:marBottom w:val="0"/>
          <w:divBdr>
            <w:top w:val="none" w:sz="0" w:space="0" w:color="auto"/>
            <w:left w:val="none" w:sz="0" w:space="0" w:color="auto"/>
            <w:bottom w:val="none" w:sz="0" w:space="0" w:color="auto"/>
            <w:right w:val="none" w:sz="0" w:space="0" w:color="auto"/>
          </w:divBdr>
        </w:div>
        <w:div w:id="292028705">
          <w:marLeft w:val="0"/>
          <w:marRight w:val="0"/>
          <w:marTop w:val="0"/>
          <w:marBottom w:val="0"/>
          <w:divBdr>
            <w:top w:val="none" w:sz="0" w:space="0" w:color="auto"/>
            <w:left w:val="none" w:sz="0" w:space="0" w:color="auto"/>
            <w:bottom w:val="none" w:sz="0" w:space="0" w:color="auto"/>
            <w:right w:val="none" w:sz="0" w:space="0" w:color="auto"/>
          </w:divBdr>
        </w:div>
        <w:div w:id="1784034626">
          <w:marLeft w:val="0"/>
          <w:marRight w:val="0"/>
          <w:marTop w:val="0"/>
          <w:marBottom w:val="0"/>
          <w:divBdr>
            <w:top w:val="none" w:sz="0" w:space="0" w:color="auto"/>
            <w:left w:val="none" w:sz="0" w:space="0" w:color="auto"/>
            <w:bottom w:val="none" w:sz="0" w:space="0" w:color="auto"/>
            <w:right w:val="none" w:sz="0" w:space="0" w:color="auto"/>
          </w:divBdr>
        </w:div>
        <w:div w:id="1109088070">
          <w:marLeft w:val="0"/>
          <w:marRight w:val="0"/>
          <w:marTop w:val="0"/>
          <w:marBottom w:val="0"/>
          <w:divBdr>
            <w:top w:val="none" w:sz="0" w:space="0" w:color="auto"/>
            <w:left w:val="none" w:sz="0" w:space="0" w:color="auto"/>
            <w:bottom w:val="none" w:sz="0" w:space="0" w:color="auto"/>
            <w:right w:val="none" w:sz="0" w:space="0" w:color="auto"/>
          </w:divBdr>
        </w:div>
        <w:div w:id="1224177647">
          <w:marLeft w:val="0"/>
          <w:marRight w:val="0"/>
          <w:marTop w:val="0"/>
          <w:marBottom w:val="0"/>
          <w:divBdr>
            <w:top w:val="none" w:sz="0" w:space="0" w:color="auto"/>
            <w:left w:val="none" w:sz="0" w:space="0" w:color="auto"/>
            <w:bottom w:val="none" w:sz="0" w:space="0" w:color="auto"/>
            <w:right w:val="none" w:sz="0" w:space="0" w:color="auto"/>
          </w:divBdr>
        </w:div>
        <w:div w:id="1168407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79202-EFA3-46C3-9CF9-C4F1BD00A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10</Pages>
  <Words>3471</Words>
  <Characters>19096</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19</cp:revision>
  <cp:lastPrinted>2023-07-05T22:09:00Z</cp:lastPrinted>
  <dcterms:created xsi:type="dcterms:W3CDTF">2023-06-13T18:45:00Z</dcterms:created>
  <dcterms:modified xsi:type="dcterms:W3CDTF">2023-10-25T01:03:00Z</dcterms:modified>
</cp:coreProperties>
</file>