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0000001" w14:textId="77777777" w:rsidR="00724F4B" w:rsidRPr="00F67AEB" w:rsidRDefault="006E5273">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sz w:val="24"/>
          <w:szCs w:val="24"/>
        </w:rPr>
      </w:pPr>
      <w:r w:rsidRPr="00F67AEB">
        <w:rPr>
          <w:rFonts w:ascii="Arial" w:eastAsia="Arial" w:hAnsi="Arial" w:cs="Arial"/>
          <w:b/>
          <w:sz w:val="24"/>
          <w:szCs w:val="24"/>
        </w:rPr>
        <w:t>PRIMERA SALA UNITARIA DE PRIMERA INSTANCIA DEL TRIBUNAL DE JUSTICIA ADMINISTRATIVA DEL ESTADO DE OAXACA</w:t>
      </w:r>
    </w:p>
    <w:p w14:paraId="00000002" w14:textId="77777777" w:rsidR="00724F4B" w:rsidRPr="00F67AEB" w:rsidRDefault="00724F4B">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sz w:val="24"/>
          <w:szCs w:val="24"/>
        </w:rPr>
      </w:pPr>
    </w:p>
    <w:p w14:paraId="00000003" w14:textId="77777777" w:rsidR="00724F4B" w:rsidRPr="00F67AEB" w:rsidRDefault="006E5273">
      <w:pPr>
        <w:pBdr>
          <w:top w:val="nil"/>
          <w:left w:val="nil"/>
          <w:bottom w:val="nil"/>
          <w:right w:val="nil"/>
          <w:between w:val="nil"/>
        </w:pBdr>
        <w:tabs>
          <w:tab w:val="center" w:pos="4419"/>
          <w:tab w:val="right" w:pos="8838"/>
        </w:tabs>
        <w:spacing w:after="0" w:line="240" w:lineRule="auto"/>
        <w:ind w:left="2977" w:right="-93"/>
        <w:jc w:val="both"/>
        <w:rPr>
          <w:rFonts w:ascii="Arial" w:eastAsia="Arial" w:hAnsi="Arial" w:cs="Arial"/>
          <w:b/>
          <w:sz w:val="24"/>
          <w:szCs w:val="24"/>
        </w:rPr>
      </w:pPr>
      <w:r w:rsidRPr="00F67AEB">
        <w:rPr>
          <w:rFonts w:ascii="Arial" w:eastAsia="Arial" w:hAnsi="Arial" w:cs="Arial"/>
          <w:b/>
          <w:sz w:val="24"/>
          <w:szCs w:val="24"/>
        </w:rPr>
        <w:t xml:space="preserve">EXPEDIENTE: </w:t>
      </w:r>
      <w:r w:rsidRPr="00F67AEB">
        <w:rPr>
          <w:rFonts w:ascii="Arial" w:eastAsia="Arial" w:hAnsi="Arial" w:cs="Arial"/>
          <w:sz w:val="24"/>
          <w:szCs w:val="24"/>
        </w:rPr>
        <w:t>0025/2020</w:t>
      </w:r>
    </w:p>
    <w:p w14:paraId="00000004" w14:textId="77777777" w:rsidR="00724F4B" w:rsidRPr="00F67AEB" w:rsidRDefault="00724F4B">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sz w:val="24"/>
          <w:szCs w:val="24"/>
        </w:rPr>
      </w:pPr>
    </w:p>
    <w:p w14:paraId="00000005" w14:textId="53C6A271" w:rsidR="00724F4B" w:rsidRPr="00F67AEB" w:rsidRDefault="006E5273">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sz w:val="24"/>
          <w:szCs w:val="24"/>
        </w:rPr>
      </w:pPr>
      <w:r w:rsidRPr="00F67AEB">
        <w:rPr>
          <w:rFonts w:ascii="Arial" w:eastAsia="Arial" w:hAnsi="Arial" w:cs="Arial"/>
          <w:b/>
          <w:sz w:val="24"/>
          <w:szCs w:val="24"/>
        </w:rPr>
        <w:t xml:space="preserve">ACTOR: </w:t>
      </w:r>
      <w:r w:rsidR="00F67AEB">
        <w:rPr>
          <w:rFonts w:ascii="Arial" w:eastAsia="Arial" w:hAnsi="Arial" w:cs="Arial"/>
          <w:sz w:val="24"/>
          <w:szCs w:val="24"/>
        </w:rPr>
        <w:t>**********</w:t>
      </w:r>
    </w:p>
    <w:p w14:paraId="00000006" w14:textId="77777777" w:rsidR="00724F4B" w:rsidRPr="00F67AEB" w:rsidRDefault="00724F4B">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sz w:val="24"/>
          <w:szCs w:val="24"/>
        </w:rPr>
      </w:pPr>
    </w:p>
    <w:p w14:paraId="00000007" w14:textId="77777777" w:rsidR="00724F4B" w:rsidRPr="00F67AEB" w:rsidRDefault="006E5273">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sz w:val="24"/>
          <w:szCs w:val="24"/>
        </w:rPr>
      </w:pPr>
      <w:r w:rsidRPr="00F67AEB">
        <w:rPr>
          <w:rFonts w:ascii="Arial" w:eastAsia="Arial" w:hAnsi="Arial" w:cs="Arial"/>
          <w:b/>
          <w:sz w:val="24"/>
          <w:szCs w:val="24"/>
        </w:rPr>
        <w:t xml:space="preserve">DEMANDADA: </w:t>
      </w:r>
      <w:r w:rsidRPr="00F67AEB">
        <w:rPr>
          <w:rFonts w:ascii="Arial" w:eastAsia="Arial" w:hAnsi="Arial" w:cs="Arial"/>
          <w:sz w:val="24"/>
          <w:szCs w:val="24"/>
        </w:rPr>
        <w:t>DIRECTORA DE INGRESOS Y RECAUDACIÓN DE LA SUBSECRETARÍA DE INGRESOS DE LA SECRETARÍA DE FINANZAS DEL PODER EJECUTIVO DEL ESTADO DE OAXACA</w:t>
      </w:r>
    </w:p>
    <w:p w14:paraId="00000008" w14:textId="77777777" w:rsidR="00724F4B" w:rsidRPr="00F67AEB" w:rsidRDefault="00724F4B">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sz w:val="24"/>
          <w:szCs w:val="24"/>
        </w:rPr>
      </w:pPr>
    </w:p>
    <w:p w14:paraId="00000009" w14:textId="77777777" w:rsidR="00724F4B" w:rsidRPr="00F67AEB" w:rsidRDefault="006E5273">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sz w:val="24"/>
          <w:szCs w:val="24"/>
        </w:rPr>
      </w:pPr>
      <w:r w:rsidRPr="00F67AEB">
        <w:rPr>
          <w:rFonts w:ascii="Arial" w:eastAsia="Arial" w:hAnsi="Arial" w:cs="Arial"/>
          <w:b/>
          <w:sz w:val="24"/>
          <w:szCs w:val="24"/>
        </w:rPr>
        <w:t xml:space="preserve">SECRETARIO. </w:t>
      </w:r>
      <w:r w:rsidRPr="00F67AEB">
        <w:rPr>
          <w:rFonts w:ascii="Arial" w:eastAsia="Arial" w:hAnsi="Arial" w:cs="Arial"/>
          <w:sz w:val="24"/>
          <w:szCs w:val="24"/>
        </w:rPr>
        <w:t>LICENCIADO RENATO GABRIEL IBÁÑEZ CASTELLANOS</w:t>
      </w:r>
    </w:p>
    <w:p w14:paraId="0000000A" w14:textId="77777777" w:rsidR="00724F4B" w:rsidRPr="00F67AEB" w:rsidRDefault="00724F4B">
      <w:pPr>
        <w:pBdr>
          <w:top w:val="nil"/>
          <w:left w:val="nil"/>
          <w:bottom w:val="nil"/>
          <w:right w:val="nil"/>
          <w:between w:val="nil"/>
        </w:pBdr>
        <w:tabs>
          <w:tab w:val="center" w:pos="4419"/>
          <w:tab w:val="right" w:pos="8838"/>
          <w:tab w:val="center" w:pos="-1418"/>
        </w:tabs>
        <w:spacing w:after="0" w:line="240" w:lineRule="auto"/>
        <w:jc w:val="both"/>
        <w:rPr>
          <w:rFonts w:ascii="Arial" w:eastAsia="Arial" w:hAnsi="Arial" w:cs="Arial"/>
          <w:b/>
          <w:sz w:val="24"/>
          <w:szCs w:val="24"/>
        </w:rPr>
      </w:pPr>
    </w:p>
    <w:p w14:paraId="0000000B" w14:textId="60E22895" w:rsidR="00724F4B" w:rsidRPr="00F67AEB" w:rsidRDefault="0098145E">
      <w:pPr>
        <w:pBdr>
          <w:top w:val="nil"/>
          <w:left w:val="nil"/>
          <w:bottom w:val="nil"/>
          <w:right w:val="nil"/>
          <w:between w:val="nil"/>
        </w:pBdr>
        <w:tabs>
          <w:tab w:val="center" w:pos="4419"/>
          <w:tab w:val="right" w:pos="8838"/>
          <w:tab w:val="center" w:pos="-1418"/>
        </w:tabs>
        <w:spacing w:after="240" w:line="360" w:lineRule="auto"/>
        <w:jc w:val="both"/>
        <w:rPr>
          <w:rFonts w:ascii="Arial" w:eastAsia="Arial" w:hAnsi="Arial" w:cs="Arial"/>
          <w:b/>
          <w:sz w:val="24"/>
          <w:szCs w:val="24"/>
        </w:rPr>
      </w:pPr>
      <w:r w:rsidRPr="00F67AEB">
        <w:rPr>
          <w:rFonts w:ascii="Arial" w:eastAsia="Arial" w:hAnsi="Arial" w:cs="Arial"/>
          <w:b/>
          <w:sz w:val="24"/>
          <w:szCs w:val="24"/>
        </w:rPr>
        <w:tab/>
        <w:t>OAXACA DE JUÁREZ, OAXACA, DIECINUEVE</w:t>
      </w:r>
      <w:r w:rsidR="006E5273" w:rsidRPr="00F67AEB">
        <w:rPr>
          <w:rFonts w:ascii="Arial" w:eastAsia="Arial" w:hAnsi="Arial" w:cs="Arial"/>
          <w:b/>
          <w:sz w:val="24"/>
          <w:szCs w:val="24"/>
        </w:rPr>
        <w:t xml:space="preserve"> DE NOVIEMBRE DE DOS MIL VEINTIUNO. - - - - - - - - - - - - - - - - - - - - - - - - - - - - - - - - - - - - - - - - - - -</w:t>
      </w:r>
    </w:p>
    <w:p w14:paraId="0000000C" w14:textId="4BF71978" w:rsidR="00724F4B" w:rsidRPr="00F67AEB" w:rsidRDefault="0098145E">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sz w:val="24"/>
          <w:szCs w:val="24"/>
        </w:rPr>
      </w:pPr>
      <w:r w:rsidRPr="00F67AEB">
        <w:rPr>
          <w:rFonts w:ascii="Arial" w:eastAsia="Arial" w:hAnsi="Arial" w:cs="Arial"/>
          <w:sz w:val="24"/>
          <w:szCs w:val="24"/>
        </w:rPr>
        <w:t xml:space="preserve">Una vez </w:t>
      </w:r>
      <w:r w:rsidR="006E5273" w:rsidRPr="00F67AEB">
        <w:rPr>
          <w:rFonts w:ascii="Arial" w:eastAsia="Arial" w:hAnsi="Arial" w:cs="Arial"/>
          <w:b/>
          <w:sz w:val="24"/>
          <w:szCs w:val="24"/>
        </w:rPr>
        <w:t>VISTOS</w:t>
      </w:r>
      <w:r w:rsidR="006E5273" w:rsidRPr="00F67AEB">
        <w:rPr>
          <w:rFonts w:ascii="Arial" w:eastAsia="Arial" w:hAnsi="Arial" w:cs="Arial"/>
          <w:sz w:val="24"/>
          <w:szCs w:val="24"/>
        </w:rPr>
        <w:t>,</w:t>
      </w:r>
      <w:r w:rsidR="006E5273" w:rsidRPr="00F67AEB">
        <w:rPr>
          <w:rFonts w:ascii="Arial" w:eastAsia="Arial" w:hAnsi="Arial" w:cs="Arial"/>
          <w:b/>
          <w:sz w:val="24"/>
          <w:szCs w:val="24"/>
        </w:rPr>
        <w:t xml:space="preserve"> </w:t>
      </w:r>
      <w:r w:rsidR="006E5273" w:rsidRPr="00F67AEB">
        <w:rPr>
          <w:rFonts w:ascii="Arial" w:eastAsia="Arial" w:hAnsi="Arial" w:cs="Arial"/>
          <w:sz w:val="24"/>
          <w:szCs w:val="24"/>
        </w:rPr>
        <w:t xml:space="preserve">para resolver los autos del juicio de nulidad de número </w:t>
      </w:r>
      <w:r w:rsidR="006E5273" w:rsidRPr="00F67AEB">
        <w:rPr>
          <w:rFonts w:ascii="Arial" w:eastAsia="Arial" w:hAnsi="Arial" w:cs="Arial"/>
          <w:b/>
          <w:sz w:val="24"/>
          <w:szCs w:val="24"/>
        </w:rPr>
        <w:t>0025/2020</w:t>
      </w:r>
      <w:r w:rsidR="006E5273" w:rsidRPr="00F67AEB">
        <w:rPr>
          <w:rFonts w:ascii="Arial" w:eastAsia="Arial" w:hAnsi="Arial" w:cs="Arial"/>
          <w:sz w:val="24"/>
          <w:szCs w:val="24"/>
        </w:rPr>
        <w:t xml:space="preserve">, promovido por </w:t>
      </w:r>
      <w:r w:rsidR="00F67AEB">
        <w:rPr>
          <w:rFonts w:ascii="Arial" w:eastAsia="Arial" w:hAnsi="Arial" w:cs="Arial"/>
          <w:b/>
          <w:sz w:val="24"/>
          <w:szCs w:val="24"/>
        </w:rPr>
        <w:t>**********</w:t>
      </w:r>
      <w:r w:rsidR="006E5273" w:rsidRPr="00F67AEB">
        <w:rPr>
          <w:rFonts w:ascii="Arial" w:eastAsia="Arial" w:hAnsi="Arial" w:cs="Arial"/>
          <w:sz w:val="24"/>
          <w:szCs w:val="24"/>
        </w:rPr>
        <w:t xml:space="preserve">, en contra de la </w:t>
      </w:r>
      <w:r w:rsidR="006E5273" w:rsidRPr="00F67AEB">
        <w:rPr>
          <w:rFonts w:ascii="Arial" w:eastAsia="Arial" w:hAnsi="Arial" w:cs="Arial"/>
          <w:b/>
          <w:sz w:val="24"/>
          <w:szCs w:val="24"/>
        </w:rPr>
        <w:t>DIRECTORA DE INGRESOS Y RECAUDACIÓN DE LA SUBSECRETARÍA DE INGRESOS DE LA SECRETARÍA DE FINANZAS DEL PODER EJECUTIVO DEL ESTADO DE OAXACA</w:t>
      </w:r>
      <w:r w:rsidR="006E5273" w:rsidRPr="00F67AEB">
        <w:rPr>
          <w:rFonts w:ascii="Arial" w:eastAsia="Arial" w:hAnsi="Arial" w:cs="Arial"/>
          <w:sz w:val="24"/>
          <w:szCs w:val="24"/>
        </w:rPr>
        <w:t>. - - - - - -</w:t>
      </w:r>
      <w:r w:rsidR="00F67AEB">
        <w:rPr>
          <w:rFonts w:ascii="Arial" w:eastAsia="Arial" w:hAnsi="Arial" w:cs="Arial"/>
          <w:sz w:val="24"/>
          <w:szCs w:val="24"/>
        </w:rPr>
        <w:t xml:space="preserve"> - - - - - - - - - - - - - - - - - - - - - - - - - - - - - - - - </w:t>
      </w:r>
      <w:r w:rsidR="006E5273" w:rsidRPr="00F67AEB">
        <w:rPr>
          <w:rFonts w:ascii="Arial" w:eastAsia="Arial" w:hAnsi="Arial" w:cs="Arial"/>
          <w:sz w:val="24"/>
          <w:szCs w:val="24"/>
        </w:rPr>
        <w:t xml:space="preserve"> </w:t>
      </w:r>
    </w:p>
    <w:p w14:paraId="0000000D" w14:textId="77777777" w:rsidR="00724F4B" w:rsidRPr="00F67AEB" w:rsidRDefault="00724F4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b/>
          <w:sz w:val="24"/>
          <w:szCs w:val="24"/>
        </w:rPr>
      </w:pPr>
    </w:p>
    <w:p w14:paraId="0000000E" w14:textId="6FD1C8AB" w:rsidR="00724F4B" w:rsidRPr="00F67AEB" w:rsidRDefault="0098145E">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sz w:val="26"/>
          <w:szCs w:val="26"/>
        </w:rPr>
      </w:pPr>
      <w:r w:rsidRPr="00F67AEB">
        <w:rPr>
          <w:rFonts w:ascii="Arial" w:eastAsia="Arial" w:hAnsi="Arial" w:cs="Arial"/>
          <w:b/>
          <w:sz w:val="26"/>
          <w:szCs w:val="26"/>
        </w:rPr>
        <w:t>A N T E C E D E N T E S</w:t>
      </w:r>
    </w:p>
    <w:p w14:paraId="0000000F" w14:textId="7F652CD6"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PRIMERO. </w:t>
      </w:r>
      <w:r w:rsidRPr="00F67AEB">
        <w:rPr>
          <w:rFonts w:ascii="Arial" w:eastAsia="Arial" w:hAnsi="Arial" w:cs="Arial"/>
          <w:sz w:val="24"/>
          <w:szCs w:val="24"/>
        </w:rPr>
        <w:t xml:space="preserve">El siete de febrero de dos mil veinte, se recibió en la Oficialía de Partes de Términos Primera y Segunda Instancia de este Tribunal, el escrito de demanda de </w:t>
      </w:r>
      <w:r w:rsidR="00BC47C5">
        <w:rPr>
          <w:rFonts w:ascii="Arial" w:eastAsia="Arial" w:hAnsi="Arial" w:cs="Arial"/>
          <w:sz w:val="24"/>
          <w:szCs w:val="24"/>
        </w:rPr>
        <w:t>**********</w:t>
      </w:r>
      <w:r w:rsidRPr="00F67AEB">
        <w:rPr>
          <w:rFonts w:ascii="Arial" w:eastAsia="Arial" w:hAnsi="Arial" w:cs="Arial"/>
          <w:sz w:val="24"/>
          <w:szCs w:val="24"/>
        </w:rPr>
        <w:t>, mismo que se reservó acordar y se requirió al promovente para que dentro de tres días, remitiera las constancias con las</w:t>
      </w:r>
      <w:r w:rsidR="00D760B1" w:rsidRPr="00F67AEB">
        <w:rPr>
          <w:rFonts w:ascii="Arial" w:eastAsia="Arial" w:hAnsi="Arial" w:cs="Arial"/>
          <w:sz w:val="24"/>
          <w:szCs w:val="24"/>
        </w:rPr>
        <w:t xml:space="preserve"> que acreditara su personalidad.</w:t>
      </w:r>
    </w:p>
    <w:p w14:paraId="00000010" w14:textId="24E9CB45"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SEGUNDO. </w:t>
      </w:r>
      <w:r w:rsidRPr="00F67AEB">
        <w:rPr>
          <w:rFonts w:ascii="Arial" w:eastAsia="Arial" w:hAnsi="Arial" w:cs="Arial"/>
          <w:sz w:val="24"/>
          <w:szCs w:val="24"/>
        </w:rPr>
        <w:t xml:space="preserve">Por auto de veintiocho de febrero de dos mil veinte, se admitió a </w:t>
      </w:r>
      <w:r w:rsidR="00D760B1" w:rsidRPr="00F67AEB">
        <w:rPr>
          <w:rFonts w:ascii="Arial" w:eastAsia="Arial" w:hAnsi="Arial" w:cs="Arial"/>
          <w:sz w:val="24"/>
          <w:szCs w:val="24"/>
        </w:rPr>
        <w:t>trámite</w:t>
      </w:r>
      <w:r w:rsidRPr="00F67AEB">
        <w:rPr>
          <w:rFonts w:ascii="Arial" w:eastAsia="Arial" w:hAnsi="Arial" w:cs="Arial"/>
          <w:sz w:val="24"/>
          <w:szCs w:val="24"/>
        </w:rPr>
        <w:t xml:space="preserve"> la demanda de nulidad interpuesta por la parte actora, en contra de la resolución contenida en el oficio con número de control </w:t>
      </w:r>
      <w:r w:rsidR="00BC47C5">
        <w:rPr>
          <w:rFonts w:ascii="Arial" w:eastAsia="Arial" w:hAnsi="Arial" w:cs="Arial"/>
          <w:sz w:val="24"/>
          <w:szCs w:val="24"/>
        </w:rPr>
        <w:t>**********</w:t>
      </w:r>
      <w:r w:rsidRPr="00F67AEB">
        <w:rPr>
          <w:rFonts w:ascii="Arial" w:eastAsia="Arial" w:hAnsi="Arial" w:cs="Arial"/>
          <w:sz w:val="24"/>
          <w:szCs w:val="24"/>
        </w:rPr>
        <w:t xml:space="preserve"> de diecinueve de agosto de dos mil diecinueve, por lo que se ordenó notificar, emplazar y correr traslado a la demandada Directora de Ingresos y Recaudación de la Secretaría de Finanzas del Poder Ejecutivo del Estado de Oaxaca, para que dentro del plazo de nueve días hábiles produjera su contestación, con el apercibimiento, que de no hacerlo dentro del plazo concedido, se le tendría contestando la demanda en sentido afirmativo, y de no referirse a todos los hechos, se tendrían como ciertos; se tuvieron por ofrecidas y a</w:t>
      </w:r>
      <w:r w:rsidR="00D760B1" w:rsidRPr="00F67AEB">
        <w:rPr>
          <w:rFonts w:ascii="Arial" w:eastAsia="Arial" w:hAnsi="Arial" w:cs="Arial"/>
          <w:sz w:val="24"/>
          <w:szCs w:val="24"/>
        </w:rPr>
        <w:t>dmitidas las pruebas del actor.</w:t>
      </w:r>
    </w:p>
    <w:p w14:paraId="00000011"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lastRenderedPageBreak/>
        <w:t xml:space="preserve">TERCERO. </w:t>
      </w:r>
      <w:r w:rsidRPr="00F67AEB">
        <w:rPr>
          <w:rFonts w:ascii="Arial" w:eastAsia="Arial" w:hAnsi="Arial" w:cs="Arial"/>
          <w:sz w:val="24"/>
          <w:szCs w:val="24"/>
        </w:rPr>
        <w:t xml:space="preserve">Por acuerdo de siete de diciembre de dos mil veinte, se tuvo al Director de lo Contencioso de la Procuraduría Fiscal de la Subsecretaría de Ingresos de la Secretaría de Finanzas del Estado, en representación jurídica de la Directora de Ingresos y Recaudación de la citada Secretaría, dando contestación a la demanda entablada en su contra, por ofrecidas y admitidas sus pruebas; se ordenó correr traslado a la parte actora con las copias de la demanda y anexos, para los efectos legales correspondientes. </w:t>
      </w:r>
    </w:p>
    <w:p w14:paraId="00000012" w14:textId="11472C89"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Así también, se le concedió el término de cinco días hábiles al administrado para que, en caso de considerarlo necesario, realizara la ampliación de su demanda, apercibido que de no hacerlo se declararía preclu</w:t>
      </w:r>
      <w:r w:rsidR="00D760B1" w:rsidRPr="00F67AEB">
        <w:rPr>
          <w:rFonts w:ascii="Arial" w:eastAsia="Arial" w:hAnsi="Arial" w:cs="Arial"/>
          <w:sz w:val="24"/>
          <w:szCs w:val="24"/>
        </w:rPr>
        <w:t>ido su derecho correspondiente.</w:t>
      </w:r>
    </w:p>
    <w:p w14:paraId="00000013" w14:textId="53998FDC"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CUARTO. </w:t>
      </w:r>
      <w:r w:rsidRPr="00F67AEB">
        <w:rPr>
          <w:rFonts w:ascii="Arial" w:eastAsia="Arial" w:hAnsi="Arial" w:cs="Arial"/>
          <w:sz w:val="24"/>
          <w:szCs w:val="24"/>
        </w:rPr>
        <w:t>Mediante proveído de tres de marzo de dos mil veintiuno, la parte actora formuló la ampliación de su demanda de nulidad, ordenándose notificar, emplazar y correrle traslado a la demandada para que dentro del término de cinco días hábiles diera contestación a la misma, con el apercibimiento, que, de no hacerlo dentro del plazo concedido, se le tendría contestando la demanda en sentido afirmativo, y de no referirse a todos los he</w:t>
      </w:r>
      <w:r w:rsidR="00D760B1" w:rsidRPr="00F67AEB">
        <w:rPr>
          <w:rFonts w:ascii="Arial" w:eastAsia="Arial" w:hAnsi="Arial" w:cs="Arial"/>
          <w:sz w:val="24"/>
          <w:szCs w:val="24"/>
        </w:rPr>
        <w:t>chos, se tendrían como ciertos.</w:t>
      </w:r>
    </w:p>
    <w:p w14:paraId="00000014" w14:textId="4051890A"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QUINTO. </w:t>
      </w:r>
      <w:r w:rsidRPr="00F67AEB">
        <w:rPr>
          <w:rFonts w:ascii="Arial" w:eastAsia="Arial" w:hAnsi="Arial" w:cs="Arial"/>
          <w:sz w:val="24"/>
          <w:szCs w:val="24"/>
        </w:rPr>
        <w:t>Por auto de uno de junio de dos mil veintiuno, se tuvo al Director de lo Contencioso de la Procuraduría Fiscal dependiente de la Subsecretaría de Ingresos de la Secretaría de Finanzas del Estado, en representación jurídica de la autoridad demandada, dando contestación a la ampliación de demanda de la parte actora; por tal razón se señaló fecha y hora para ll</w:t>
      </w:r>
      <w:r w:rsidR="00D760B1" w:rsidRPr="00F67AEB">
        <w:rPr>
          <w:rFonts w:ascii="Arial" w:eastAsia="Arial" w:hAnsi="Arial" w:cs="Arial"/>
          <w:sz w:val="24"/>
          <w:szCs w:val="24"/>
        </w:rPr>
        <w:t>evar a cabo la audiencia de ley.</w:t>
      </w:r>
    </w:p>
    <w:p w14:paraId="00000015" w14:textId="7B9DA922"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SEXTO. </w:t>
      </w:r>
      <w:r w:rsidRPr="00F67AEB">
        <w:rPr>
          <w:rFonts w:ascii="Arial" w:eastAsia="Arial" w:hAnsi="Arial" w:cs="Arial"/>
          <w:sz w:val="24"/>
          <w:szCs w:val="24"/>
        </w:rPr>
        <w:t>Por acuerdo de veintiocho de septiembre de dos mil veintiuno, se hizo del conocimiento de las partes el cambio de titular de esta Sala Unitaria, por lo que se les concedió el plazo de tres días para que manifestaran si tenían algún impedimento en que el suscrito conociera y</w:t>
      </w:r>
      <w:r w:rsidR="00277FE3" w:rsidRPr="00F67AEB">
        <w:rPr>
          <w:rFonts w:ascii="Arial" w:eastAsia="Arial" w:hAnsi="Arial" w:cs="Arial"/>
          <w:sz w:val="24"/>
          <w:szCs w:val="24"/>
        </w:rPr>
        <w:t xml:space="preserve"> resolviera el presente asunto.</w:t>
      </w:r>
    </w:p>
    <w:p w14:paraId="00000016" w14:textId="0BDC68E9" w:rsidR="00724F4B" w:rsidRPr="00F67AEB" w:rsidRDefault="006E5273">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SEPTIMO. </w:t>
      </w:r>
      <w:r w:rsidRPr="00F67AEB">
        <w:rPr>
          <w:rFonts w:ascii="Arial" w:eastAsia="Arial" w:hAnsi="Arial" w:cs="Arial"/>
          <w:sz w:val="24"/>
          <w:szCs w:val="24"/>
        </w:rPr>
        <w:t xml:space="preserve">Finalmente, el dieciséis de noviembre de dos mil veintiuno, se llevó a cabo la audiencia final, sin comparecencia de las partes ni persona alguna que legalmente las representara; se desahogaron las pruebas de las partes, se abrió el periodo de alegatos, se dio cuenta que ninguna de las partes presentaron escrito de alegatos, por lo que se declaró precluido su </w:t>
      </w:r>
      <w:r w:rsidRPr="00F67AEB">
        <w:rPr>
          <w:rFonts w:ascii="Arial" w:eastAsia="Arial" w:hAnsi="Arial" w:cs="Arial"/>
          <w:sz w:val="24"/>
          <w:szCs w:val="24"/>
        </w:rPr>
        <w:lastRenderedPageBreak/>
        <w:t>derecho correspondiente, declarándose cerrada la etapa de instrucción; y, se citó a las partes para oír sentencia</w:t>
      </w:r>
      <w:r w:rsidR="00277FE3" w:rsidRPr="00F67AEB">
        <w:rPr>
          <w:rFonts w:ascii="Arial" w:eastAsia="Arial" w:hAnsi="Arial" w:cs="Arial"/>
          <w:sz w:val="24"/>
          <w:szCs w:val="24"/>
        </w:rPr>
        <w:t>, misma que ahora se pronuncia</w:t>
      </w:r>
      <w:r w:rsidRPr="00F67AEB">
        <w:rPr>
          <w:rFonts w:ascii="Arial" w:eastAsia="Arial" w:hAnsi="Arial" w:cs="Arial"/>
          <w:sz w:val="24"/>
          <w:szCs w:val="24"/>
        </w:rPr>
        <w:t xml:space="preserve">. </w:t>
      </w:r>
    </w:p>
    <w:p w14:paraId="00000017" w14:textId="77777777" w:rsidR="00724F4B" w:rsidRPr="00F67AEB" w:rsidRDefault="00724F4B">
      <w:pPr>
        <w:pBdr>
          <w:top w:val="nil"/>
          <w:left w:val="nil"/>
          <w:bottom w:val="nil"/>
          <w:right w:val="nil"/>
          <w:between w:val="nil"/>
        </w:pBdr>
        <w:tabs>
          <w:tab w:val="center" w:pos="4419"/>
          <w:tab w:val="right" w:pos="8838"/>
          <w:tab w:val="center" w:pos="-1418"/>
        </w:tabs>
        <w:spacing w:after="0" w:line="360" w:lineRule="auto"/>
        <w:jc w:val="center"/>
        <w:rPr>
          <w:rFonts w:ascii="Arial" w:eastAsia="Arial" w:hAnsi="Arial" w:cs="Arial"/>
          <w:b/>
          <w:sz w:val="24"/>
          <w:szCs w:val="24"/>
        </w:rPr>
      </w:pPr>
      <w:bookmarkStart w:id="0" w:name="_gjdgxs" w:colFirst="0" w:colLast="0"/>
      <w:bookmarkEnd w:id="0"/>
    </w:p>
    <w:p w14:paraId="00000018" w14:textId="31115D9F" w:rsidR="00724F4B" w:rsidRPr="00F67AEB" w:rsidRDefault="00277FE3">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sz w:val="24"/>
          <w:szCs w:val="24"/>
        </w:rPr>
      </w:pPr>
      <w:r w:rsidRPr="00F67AEB">
        <w:rPr>
          <w:rFonts w:ascii="Arial" w:eastAsia="Arial" w:hAnsi="Arial" w:cs="Arial"/>
          <w:b/>
          <w:sz w:val="24"/>
          <w:szCs w:val="24"/>
        </w:rPr>
        <w:t>C O N S I D E R A N D O</w:t>
      </w:r>
    </w:p>
    <w:p w14:paraId="00000019" w14:textId="151C873E" w:rsidR="00724F4B" w:rsidRPr="00F67AEB" w:rsidRDefault="006E5273" w:rsidP="00615FD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PRIMERO. </w:t>
      </w:r>
      <w:r w:rsidRPr="00F67AEB">
        <w:rPr>
          <w:rFonts w:ascii="Arial" w:eastAsia="Arial" w:hAnsi="Arial" w:cs="Arial"/>
          <w:sz w:val="24"/>
          <w:szCs w:val="24"/>
        </w:rPr>
        <w:t xml:space="preserve">Esta Primera Sala Unitaria del Tribunal de Justicia Administrativa del Estado de Oaxaca, </w:t>
      </w:r>
      <w:r w:rsidRPr="00F67AEB">
        <w:rPr>
          <w:rFonts w:ascii="Arial" w:eastAsia="Arial" w:hAnsi="Arial" w:cs="Arial"/>
          <w:b/>
          <w:sz w:val="24"/>
          <w:szCs w:val="24"/>
        </w:rPr>
        <w:t>es competente</w:t>
      </w:r>
      <w:r w:rsidRPr="00F67AEB">
        <w:rPr>
          <w:rFonts w:ascii="Arial" w:eastAsia="Arial" w:hAnsi="Arial" w:cs="Arial"/>
          <w:sz w:val="24"/>
          <w:szCs w:val="24"/>
        </w:rPr>
        <w:t xml:space="preserve"> para conocer del presente asunto en términos de lo dispuesto por los artículos </w:t>
      </w:r>
      <w:r w:rsidR="00277FE3" w:rsidRPr="00F67AEB">
        <w:rPr>
          <w:rFonts w:ascii="Arial" w:eastAsia="Arial" w:hAnsi="Arial" w:cs="Arial"/>
          <w:sz w:val="24"/>
          <w:szCs w:val="24"/>
        </w:rPr>
        <w:t xml:space="preserve">116 fracción V de la </w:t>
      </w:r>
      <w:r w:rsidR="00615FD8" w:rsidRPr="00F67AEB">
        <w:rPr>
          <w:rFonts w:ascii="Arial" w:eastAsia="Arial" w:hAnsi="Arial" w:cs="Arial"/>
          <w:sz w:val="24"/>
          <w:szCs w:val="24"/>
        </w:rPr>
        <w:t xml:space="preserve">Constitución Política de los Estados Unidos Mexicanos, </w:t>
      </w:r>
      <w:r w:rsidRPr="00F67AEB">
        <w:rPr>
          <w:rFonts w:ascii="Arial" w:eastAsia="Arial" w:hAnsi="Arial" w:cs="Arial"/>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0000001A" w14:textId="477A007D" w:rsidR="00724F4B" w:rsidRPr="00F67AEB" w:rsidRDefault="006E5273" w:rsidP="00FF5C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SEGUNDO. </w:t>
      </w:r>
      <w:r w:rsidRPr="00F67AEB">
        <w:rPr>
          <w:rFonts w:ascii="Arial" w:eastAsia="Arial" w:hAnsi="Arial" w:cs="Arial"/>
          <w:sz w:val="24"/>
          <w:szCs w:val="24"/>
        </w:rPr>
        <w:t xml:space="preserve">La </w:t>
      </w:r>
      <w:r w:rsidRPr="00F67AEB">
        <w:rPr>
          <w:rFonts w:ascii="Arial" w:eastAsia="Arial" w:hAnsi="Arial" w:cs="Arial"/>
          <w:b/>
          <w:sz w:val="24"/>
          <w:szCs w:val="24"/>
        </w:rPr>
        <w:t xml:space="preserve">personalidad </w:t>
      </w:r>
      <w:r w:rsidRPr="00F67AEB">
        <w:rPr>
          <w:rFonts w:ascii="Arial" w:eastAsia="Arial" w:hAnsi="Arial" w:cs="Arial"/>
          <w:sz w:val="24"/>
          <w:szCs w:val="24"/>
        </w:rPr>
        <w:t xml:space="preserve">de las partes quedó acreditada, toda vez que la parte actora </w:t>
      </w:r>
      <w:r w:rsidR="00BC47C5">
        <w:rPr>
          <w:rFonts w:ascii="Arial" w:eastAsia="Arial" w:hAnsi="Arial" w:cs="Arial"/>
          <w:sz w:val="24"/>
          <w:szCs w:val="24"/>
        </w:rPr>
        <w:t>**********</w:t>
      </w:r>
      <w:r w:rsidRPr="00F67AEB">
        <w:rPr>
          <w:rFonts w:ascii="Arial" w:eastAsia="Arial" w:hAnsi="Arial" w:cs="Arial"/>
          <w:sz w:val="24"/>
          <w:szCs w:val="24"/>
        </w:rPr>
        <w:t xml:space="preserve">, </w:t>
      </w:r>
      <w:r w:rsidR="00FF5C34" w:rsidRPr="00F67AEB">
        <w:rPr>
          <w:rFonts w:ascii="Arial" w:eastAsia="Arial" w:hAnsi="Arial" w:cs="Arial"/>
          <w:sz w:val="24"/>
          <w:szCs w:val="24"/>
        </w:rPr>
        <w:t xml:space="preserve">acreditó el carácter de </w:t>
      </w:r>
      <w:r w:rsidRPr="00F67AEB">
        <w:rPr>
          <w:rFonts w:ascii="Arial" w:eastAsia="Arial" w:hAnsi="Arial" w:cs="Arial"/>
          <w:sz w:val="24"/>
          <w:szCs w:val="24"/>
        </w:rPr>
        <w:t xml:space="preserve">representante legal de </w:t>
      </w:r>
      <w:r w:rsidR="00BC47C5">
        <w:rPr>
          <w:rFonts w:ascii="Arial" w:eastAsia="Arial" w:hAnsi="Arial" w:cs="Arial"/>
          <w:sz w:val="24"/>
          <w:szCs w:val="24"/>
        </w:rPr>
        <w:t>**********</w:t>
      </w:r>
      <w:r w:rsidRPr="00F67AEB">
        <w:rPr>
          <w:rFonts w:ascii="Arial" w:eastAsia="Arial" w:hAnsi="Arial" w:cs="Arial"/>
          <w:sz w:val="24"/>
          <w:szCs w:val="24"/>
        </w:rPr>
        <w:t xml:space="preserve">, </w:t>
      </w:r>
      <w:r w:rsidR="00FF5C34" w:rsidRPr="00F67AEB">
        <w:rPr>
          <w:rFonts w:ascii="Arial" w:eastAsia="Arial" w:hAnsi="Arial" w:cs="Arial"/>
          <w:sz w:val="24"/>
          <w:szCs w:val="24"/>
        </w:rPr>
        <w:t xml:space="preserve">con la copia certificada del instrumento notarial número </w:t>
      </w:r>
      <w:r w:rsidR="00BC47C5">
        <w:rPr>
          <w:rFonts w:ascii="Arial" w:eastAsia="Arial" w:hAnsi="Arial" w:cs="Arial"/>
          <w:sz w:val="24"/>
          <w:szCs w:val="24"/>
        </w:rPr>
        <w:t>**********</w:t>
      </w:r>
      <w:r w:rsidR="00FF5C34" w:rsidRPr="00F67AEB">
        <w:rPr>
          <w:rFonts w:ascii="Arial" w:eastAsia="Arial" w:hAnsi="Arial" w:cs="Arial"/>
          <w:sz w:val="24"/>
          <w:szCs w:val="24"/>
        </w:rPr>
        <w:t xml:space="preserve">, del protocolo del Notario Público número ciento cinco en el Estado, </w:t>
      </w:r>
      <w:r w:rsidRPr="00F67AEB">
        <w:rPr>
          <w:rFonts w:ascii="Arial" w:eastAsia="Arial" w:hAnsi="Arial" w:cs="Arial"/>
          <w:sz w:val="24"/>
          <w:szCs w:val="24"/>
        </w:rPr>
        <w:t>conforme lo previsto por el artículo 148 primer párrafo</w:t>
      </w:r>
      <w:r w:rsidRPr="00F67AEB">
        <w:rPr>
          <w:rFonts w:ascii="Arial" w:eastAsia="Arial" w:hAnsi="Arial" w:cs="Arial"/>
          <w:sz w:val="24"/>
          <w:szCs w:val="24"/>
          <w:vertAlign w:val="superscript"/>
        </w:rPr>
        <w:footnoteReference w:id="1"/>
      </w:r>
      <w:r w:rsidRPr="00F67AEB">
        <w:rPr>
          <w:rFonts w:ascii="Arial" w:eastAsia="Arial" w:hAnsi="Arial" w:cs="Arial"/>
          <w:sz w:val="24"/>
          <w:szCs w:val="24"/>
        </w:rPr>
        <w:t xml:space="preserve"> de la Ley de Procedimiento y Justicia Administrativa para el Estado de Oaxaca; y la de la </w:t>
      </w:r>
      <w:r w:rsidRPr="00F67AEB">
        <w:rPr>
          <w:rFonts w:ascii="Arial" w:eastAsia="Arial" w:hAnsi="Arial" w:cs="Arial"/>
          <w:b/>
          <w:sz w:val="24"/>
          <w:szCs w:val="24"/>
        </w:rPr>
        <w:t>autoridad demandada</w:t>
      </w:r>
      <w:r w:rsidRPr="00F67AEB">
        <w:rPr>
          <w:rFonts w:ascii="Arial" w:eastAsia="Arial" w:hAnsi="Arial" w:cs="Arial"/>
          <w:sz w:val="24"/>
          <w:szCs w:val="24"/>
        </w:rPr>
        <w:t xml:space="preserve"> no fue impugnada, acreditándose así en términos del artículo 151</w:t>
      </w:r>
      <w:r w:rsidRPr="00F67AEB">
        <w:rPr>
          <w:rFonts w:ascii="Arial" w:eastAsia="Arial" w:hAnsi="Arial" w:cs="Arial"/>
          <w:sz w:val="24"/>
          <w:szCs w:val="24"/>
          <w:vertAlign w:val="superscript"/>
        </w:rPr>
        <w:footnoteReference w:id="2"/>
      </w:r>
      <w:r w:rsidRPr="00F67AEB">
        <w:rPr>
          <w:rFonts w:ascii="Arial" w:eastAsia="Arial" w:hAnsi="Arial" w:cs="Arial"/>
          <w:sz w:val="24"/>
          <w:szCs w:val="24"/>
        </w:rPr>
        <w:t xml:space="preserve"> de la Ley en cita.</w:t>
      </w:r>
    </w:p>
    <w:p w14:paraId="0000001B"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TERCERO. Causales de Improcedencia y Sobreseimiento</w:t>
      </w:r>
      <w:r w:rsidRPr="00F67AEB">
        <w:rPr>
          <w:rFonts w:ascii="Arial" w:eastAsia="Arial" w:hAnsi="Arial" w:cs="Arial"/>
          <w:sz w:val="24"/>
          <w:szCs w:val="24"/>
        </w:rPr>
        <w:t>. La autoridad demandada, no hizo valer alguna en el presente juicio; sin embargo, considerando que son de orden público y de estudio preferente a cualquier otra cuestión y derivado del imperioso estudio oficioso que especifica el artículo 161 última parte</w:t>
      </w:r>
      <w:r w:rsidRPr="00F67AEB">
        <w:rPr>
          <w:rFonts w:ascii="Arial" w:eastAsia="Arial" w:hAnsi="Arial" w:cs="Arial"/>
          <w:sz w:val="24"/>
          <w:szCs w:val="24"/>
          <w:vertAlign w:val="superscript"/>
        </w:rPr>
        <w:footnoteReference w:id="3"/>
      </w:r>
      <w:r w:rsidRPr="00F67AEB">
        <w:rPr>
          <w:rFonts w:ascii="Arial" w:eastAsia="Arial" w:hAnsi="Arial" w:cs="Arial"/>
          <w:sz w:val="24"/>
          <w:szCs w:val="24"/>
        </w:rPr>
        <w:t xml:space="preserve"> de la Ley de la materia respecto a dichas causales, se establece que esta Sala no advierte que, en el presente caso, se actualice </w:t>
      </w:r>
      <w:r w:rsidRPr="00F67AEB">
        <w:rPr>
          <w:rFonts w:ascii="Arial" w:eastAsia="Arial" w:hAnsi="Arial" w:cs="Arial"/>
          <w:sz w:val="24"/>
          <w:szCs w:val="24"/>
        </w:rPr>
        <w:lastRenderedPageBreak/>
        <w:t xml:space="preserve">causal de improcedencia ni sobreseimiento alguna, consecuentemente </w:t>
      </w:r>
      <w:r w:rsidRPr="00F67AEB">
        <w:rPr>
          <w:rFonts w:ascii="Arial" w:eastAsia="Arial" w:hAnsi="Arial" w:cs="Arial"/>
          <w:b/>
          <w:sz w:val="24"/>
          <w:szCs w:val="24"/>
        </w:rPr>
        <w:t>no se sobresee</w:t>
      </w:r>
      <w:r w:rsidRPr="00F67AEB">
        <w:rPr>
          <w:rFonts w:ascii="Arial" w:eastAsia="Arial" w:hAnsi="Arial" w:cs="Arial"/>
          <w:sz w:val="24"/>
          <w:szCs w:val="24"/>
        </w:rPr>
        <w:t xml:space="preserve"> el juicio.</w:t>
      </w:r>
    </w:p>
    <w:p w14:paraId="0000001C"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CUARTO. </w:t>
      </w:r>
      <w:r w:rsidRPr="00F67AEB">
        <w:rPr>
          <w:rFonts w:ascii="Arial" w:eastAsia="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0000001D" w14:textId="77777777" w:rsidR="00724F4B" w:rsidRPr="00F67AEB" w:rsidRDefault="006E5273">
      <w:pPr>
        <w:pBdr>
          <w:top w:val="nil"/>
          <w:left w:val="nil"/>
          <w:bottom w:val="nil"/>
          <w:right w:val="nil"/>
          <w:between w:val="nil"/>
        </w:pBdr>
        <w:tabs>
          <w:tab w:val="center" w:pos="4419"/>
          <w:tab w:val="right" w:pos="8838"/>
          <w:tab w:val="center" w:pos="-1418"/>
        </w:tabs>
        <w:spacing w:after="0" w:line="276" w:lineRule="auto"/>
        <w:ind w:left="426" w:right="424"/>
        <w:jc w:val="both"/>
        <w:rPr>
          <w:rFonts w:ascii="Arial" w:eastAsia="Arial" w:hAnsi="Arial" w:cs="Arial"/>
        </w:rPr>
      </w:pPr>
      <w:r w:rsidRPr="00F67AEB">
        <w:rPr>
          <w:rFonts w:ascii="Arial" w:eastAsia="Arial" w:hAnsi="Arial" w:cs="Arial"/>
        </w:rPr>
        <w:t>“</w:t>
      </w:r>
      <w:r w:rsidRPr="00F67AEB">
        <w:rPr>
          <w:rFonts w:ascii="Arial" w:eastAsia="Arial" w:hAnsi="Arial" w:cs="Arial"/>
          <w:b/>
          <w:i/>
        </w:rPr>
        <w:t>CONCEPTOS DE VIOLACION. NO ES OBLIGATORIO TRANSCRIBIRLOS EN LA SENTENCIA</w:t>
      </w:r>
      <w:r w:rsidRPr="00F67AEB">
        <w:rPr>
          <w:rFonts w:ascii="Arial" w:eastAsia="Arial" w:hAnsi="Arial" w:cs="Arial"/>
        </w:rPr>
        <w:t xml:space="preserve">. </w:t>
      </w:r>
      <w:r w:rsidRPr="00F67AEB">
        <w:rPr>
          <w:rFonts w:ascii="Arial" w:eastAsia="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F67AEB">
        <w:rPr>
          <w:rFonts w:ascii="Arial" w:eastAsia="Arial" w:hAnsi="Arial" w:cs="Arial"/>
        </w:rPr>
        <w:t>”.</w:t>
      </w:r>
    </w:p>
    <w:p w14:paraId="0000001E" w14:textId="77777777" w:rsidR="00724F4B" w:rsidRPr="00F67AEB" w:rsidRDefault="00724F4B">
      <w:pPr>
        <w:pBdr>
          <w:top w:val="nil"/>
          <w:left w:val="nil"/>
          <w:bottom w:val="nil"/>
          <w:right w:val="nil"/>
          <w:between w:val="nil"/>
        </w:pBdr>
        <w:tabs>
          <w:tab w:val="center" w:pos="4419"/>
          <w:tab w:val="right" w:pos="8838"/>
          <w:tab w:val="center" w:pos="-1418"/>
        </w:tabs>
        <w:spacing w:after="240" w:line="276" w:lineRule="auto"/>
        <w:ind w:left="426" w:right="424"/>
        <w:jc w:val="both"/>
        <w:rPr>
          <w:rFonts w:ascii="Arial" w:eastAsia="Arial" w:hAnsi="Arial" w:cs="Arial"/>
        </w:rPr>
      </w:pPr>
    </w:p>
    <w:p w14:paraId="0000001F" w14:textId="054C2B24"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QUINTO. </w:t>
      </w:r>
      <w:r w:rsidR="00FF5C34" w:rsidRPr="00F67AEB">
        <w:rPr>
          <w:rFonts w:ascii="Arial" w:eastAsia="Arial" w:hAnsi="Arial" w:cs="Arial"/>
          <w:b/>
          <w:sz w:val="24"/>
          <w:szCs w:val="24"/>
        </w:rPr>
        <w:t xml:space="preserve">Análisis del fondo del asunto. </w:t>
      </w:r>
      <w:r w:rsidRPr="00F67AEB">
        <w:rPr>
          <w:rFonts w:ascii="Arial" w:eastAsia="Arial" w:hAnsi="Arial" w:cs="Arial"/>
          <w:sz w:val="24"/>
          <w:szCs w:val="24"/>
        </w:rPr>
        <w:t xml:space="preserve">El actor </w:t>
      </w:r>
      <w:r w:rsidR="00BC47C5">
        <w:rPr>
          <w:rFonts w:ascii="Arial" w:eastAsia="Arial" w:hAnsi="Arial" w:cs="Arial"/>
          <w:sz w:val="24"/>
          <w:szCs w:val="24"/>
        </w:rPr>
        <w:t>**********</w:t>
      </w:r>
      <w:r w:rsidRPr="00F67AEB">
        <w:rPr>
          <w:rFonts w:ascii="Arial" w:eastAsia="Arial" w:hAnsi="Arial" w:cs="Arial"/>
          <w:sz w:val="24"/>
          <w:szCs w:val="24"/>
        </w:rPr>
        <w:t xml:space="preserve">, promovió </w:t>
      </w:r>
      <w:r w:rsidR="00FF5C34" w:rsidRPr="00F67AEB">
        <w:rPr>
          <w:rFonts w:ascii="Arial" w:eastAsia="Arial" w:hAnsi="Arial" w:cs="Arial"/>
          <w:sz w:val="24"/>
          <w:szCs w:val="24"/>
        </w:rPr>
        <w:t xml:space="preserve">el </w:t>
      </w:r>
      <w:r w:rsidRPr="00F67AEB">
        <w:rPr>
          <w:rFonts w:ascii="Arial" w:eastAsia="Arial" w:hAnsi="Arial" w:cs="Arial"/>
          <w:sz w:val="24"/>
          <w:szCs w:val="24"/>
        </w:rPr>
        <w:t xml:space="preserve">juicio en su calidad de representante legal de la persona moral </w:t>
      </w:r>
      <w:r w:rsidR="00BC47C5">
        <w:rPr>
          <w:rFonts w:ascii="Arial" w:eastAsia="Arial" w:hAnsi="Arial" w:cs="Arial"/>
          <w:sz w:val="24"/>
          <w:szCs w:val="24"/>
        </w:rPr>
        <w:t>**********</w:t>
      </w:r>
      <w:r w:rsidRPr="00F67AEB">
        <w:rPr>
          <w:rFonts w:ascii="Arial" w:eastAsia="Arial" w:hAnsi="Arial" w:cs="Arial"/>
          <w:sz w:val="24"/>
          <w:szCs w:val="24"/>
        </w:rPr>
        <w:t xml:space="preserve">, demandando la nulidad de la multa por infracción establecida en el Código Fiscal para el Estado de Oaxaca, con número de control </w:t>
      </w:r>
      <w:r w:rsidR="00BC47C5">
        <w:rPr>
          <w:rFonts w:ascii="Arial" w:eastAsia="Arial" w:hAnsi="Arial" w:cs="Arial"/>
          <w:sz w:val="24"/>
          <w:szCs w:val="24"/>
        </w:rPr>
        <w:t>**********</w:t>
      </w:r>
      <w:r w:rsidRPr="00F67AEB">
        <w:rPr>
          <w:rFonts w:ascii="Arial" w:eastAsia="Arial" w:hAnsi="Arial" w:cs="Arial"/>
          <w:sz w:val="24"/>
          <w:szCs w:val="24"/>
        </w:rPr>
        <w:t xml:space="preserve"> de diecinueve de agosto de dos mil diecinueve, emitida por la Directora de Ingresos y Recaudación de la Subsecretaría de Ingresos de la Secretaría de Finanzas del Gobierno del Estado de Oaxaca.</w:t>
      </w:r>
    </w:p>
    <w:p w14:paraId="00000020"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 xml:space="preserve">Por cuestión de método, se analiza </w:t>
      </w:r>
      <w:r w:rsidRPr="00F67AEB">
        <w:rPr>
          <w:rFonts w:ascii="Arial" w:eastAsia="Arial" w:hAnsi="Arial" w:cs="Arial"/>
          <w:b/>
          <w:sz w:val="24"/>
          <w:szCs w:val="24"/>
        </w:rPr>
        <w:t>el tercer concepto de impugnación</w:t>
      </w:r>
      <w:r w:rsidRPr="00F67AEB">
        <w:rPr>
          <w:rFonts w:ascii="Arial" w:eastAsia="Arial" w:hAnsi="Arial" w:cs="Arial"/>
          <w:sz w:val="24"/>
          <w:szCs w:val="24"/>
        </w:rPr>
        <w:t xml:space="preserve"> vertido por la parte actora, en el que el demandante señala que la multa que impugna es ilegal, toda vez que carece de una debida fundamentación y motivación, como lo disponen los artículos 16 de la Carta Magna, 17 fracciones I y V de la Ley de Procedimiento y Justicia Administrativa del Estado de Oaxaca, y 122 fracción VII del Código Fiscal para el Estado de Oaxaca; esto es así porque la demandada, al motivar su actuación con hechos que tiene en su poder y efectuar consultas en los sistemas institucionales, debió fundarse en lo dispuesto por el artículo 113 primer párrafo del Código Fiscal para el Estado de Oaxaca, que la faculta para apoyarse en datos que consten en los expedientes, documentos o bases de datos con que cuente.</w:t>
      </w:r>
    </w:p>
    <w:p w14:paraId="00000021" w14:textId="56B917C4"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lastRenderedPageBreak/>
        <w:t xml:space="preserve">Del análisis al acto impugnado, multa por infracción establecida en el Código Fiscal para el Estado de Oaxaca, con número de control </w:t>
      </w:r>
      <w:r w:rsidR="00BC47C5">
        <w:rPr>
          <w:rFonts w:ascii="Arial" w:eastAsia="Arial" w:hAnsi="Arial" w:cs="Arial"/>
          <w:sz w:val="24"/>
          <w:szCs w:val="24"/>
        </w:rPr>
        <w:t xml:space="preserve">********** </w:t>
      </w:r>
      <w:r w:rsidRPr="00F67AEB">
        <w:rPr>
          <w:rFonts w:ascii="Arial" w:eastAsia="Arial" w:hAnsi="Arial" w:cs="Arial"/>
          <w:sz w:val="24"/>
          <w:szCs w:val="24"/>
        </w:rPr>
        <w:t>de diecinueve de agosto de dos mil diecinueve, emitida por la Directora de Ingresos y Recaudación de la Subsecretaría de Ingresos de la Secretaría de Finanzas del Gobierno del Estado de Oaxaca (agregada a foja 31) y a la cual se le otorga pleno valor probatorio conforme lo previsto por el artículo 203 fracción I</w:t>
      </w:r>
      <w:r w:rsidRPr="00F67AEB">
        <w:rPr>
          <w:rFonts w:ascii="Arial" w:eastAsia="Arial" w:hAnsi="Arial" w:cs="Arial"/>
          <w:sz w:val="24"/>
          <w:szCs w:val="24"/>
          <w:vertAlign w:val="superscript"/>
        </w:rPr>
        <w:footnoteReference w:id="4"/>
      </w:r>
      <w:r w:rsidRPr="00F67AEB">
        <w:rPr>
          <w:rFonts w:ascii="Arial" w:eastAsia="Arial" w:hAnsi="Arial" w:cs="Arial"/>
          <w:sz w:val="24"/>
          <w:szCs w:val="24"/>
        </w:rPr>
        <w:t xml:space="preserve"> de la Ley de Procedimiento y Justicia Administrativa para el Estado de Oaxaca, se obtiene que la demandada, para fundar su competencia para determinar </w:t>
      </w:r>
      <w:r w:rsidR="00FF5C34" w:rsidRPr="00F67AEB">
        <w:rPr>
          <w:rFonts w:ascii="Arial" w:eastAsia="Arial" w:hAnsi="Arial" w:cs="Arial"/>
          <w:sz w:val="24"/>
          <w:szCs w:val="24"/>
        </w:rPr>
        <w:t>la multa por infracción</w:t>
      </w:r>
      <w:r w:rsidRPr="00F67AEB">
        <w:rPr>
          <w:rFonts w:ascii="Arial" w:eastAsia="Arial" w:hAnsi="Arial" w:cs="Arial"/>
          <w:sz w:val="24"/>
          <w:szCs w:val="24"/>
        </w:rPr>
        <w:t xml:space="preserve"> en análisis citó:</w:t>
      </w:r>
    </w:p>
    <w:p w14:paraId="00000022" w14:textId="77777777" w:rsidR="00724F4B" w:rsidRPr="00F67AEB" w:rsidRDefault="006E5273">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rPr>
      </w:pPr>
      <w:r w:rsidRPr="00F67AEB">
        <w:rPr>
          <w:rFonts w:ascii="Arial" w:eastAsia="Arial" w:hAnsi="Arial" w:cs="Arial"/>
        </w:rPr>
        <w:t>“</w:t>
      </w:r>
      <w:r w:rsidRPr="00F67AEB">
        <w:rPr>
          <w:rFonts w:ascii="Arial" w:eastAsia="Arial" w:hAnsi="Arial" w:cs="Arial"/>
          <w:i/>
        </w:rPr>
        <w:t>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3 fracción I, 27 fracción XII, 45 fracciones XI, XIII, XX, XXI, XXVIII, XXXVII y LIX de la Ley Orgánica del Poder Ejecutivo del Estado de Oaxaca vigente; 1 primer párrafo, 3, 4, y 5 fracciones II y VII, 7 fracción VI, 19, 32, 39, 61 primer párrafo, 64 primer y quinto párrafos, 122 y 268 fracción I del Código Fiscal para el Estado de Oaxaca vigente; 59, 60 y 61 del Reglamento del Código Fiscal para el Estado de Oaxaca vigente, 63, 64, 65 y 66 de la Ley Estatal de Hacienda vigente; 1, 2, 4 fracción III inciso a), 5, 31 fracciones VI, VIII y XLII del Reglamento Interno de la Secretaría de Finanzas del Poder Ejecutivo del Estado de Oaxaca vigente...</w:t>
      </w:r>
      <w:r w:rsidRPr="00F67AEB">
        <w:rPr>
          <w:rFonts w:ascii="Arial" w:eastAsia="Arial" w:hAnsi="Arial" w:cs="Arial"/>
        </w:rPr>
        <w:t>”</w:t>
      </w:r>
    </w:p>
    <w:p w14:paraId="00000023" w14:textId="77777777" w:rsidR="00724F4B" w:rsidRPr="00F67AEB" w:rsidRDefault="00724F4B">
      <w:pPr>
        <w:pBdr>
          <w:top w:val="nil"/>
          <w:left w:val="nil"/>
          <w:bottom w:val="nil"/>
          <w:right w:val="nil"/>
          <w:between w:val="nil"/>
        </w:pBdr>
        <w:tabs>
          <w:tab w:val="center" w:pos="4419"/>
          <w:tab w:val="right" w:pos="8838"/>
          <w:tab w:val="center" w:pos="-1418"/>
        </w:tabs>
        <w:spacing w:after="240" w:line="276" w:lineRule="auto"/>
        <w:ind w:left="284" w:right="424"/>
        <w:jc w:val="both"/>
        <w:rPr>
          <w:rFonts w:ascii="Arial" w:eastAsia="Arial" w:hAnsi="Arial" w:cs="Arial"/>
        </w:rPr>
      </w:pPr>
    </w:p>
    <w:p w14:paraId="00000024"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Sin embargo, fue omisa en indicar lo dispuesto por el artículo 113 del Código Fiscal para el Estado de Oaxaca, precepto legal del que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w:t>
      </w:r>
    </w:p>
    <w:p w14:paraId="00000025" w14:textId="77777777" w:rsidR="00724F4B" w:rsidRPr="00F67AEB" w:rsidRDefault="006E5273">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rPr>
      </w:pPr>
      <w:r w:rsidRPr="00F67AEB">
        <w:rPr>
          <w:rFonts w:ascii="Arial" w:eastAsia="Arial" w:hAnsi="Arial" w:cs="Arial"/>
        </w:rPr>
        <w:t>“</w:t>
      </w:r>
      <w:r w:rsidRPr="00F67AEB">
        <w:rPr>
          <w:rFonts w:ascii="Arial" w:eastAsia="Arial" w:hAnsi="Arial" w:cs="Arial"/>
          <w:b/>
          <w:i/>
        </w:rPr>
        <w:t>ARTÍCULO 113</w:t>
      </w:r>
      <w:r w:rsidRPr="00F67AEB">
        <w:rPr>
          <w:rFonts w:ascii="Arial" w:eastAsia="Arial" w:hAnsi="Arial" w:cs="Arial"/>
          <w:i/>
        </w:rPr>
        <w:t xml:space="preserve">. Los hechos que 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w:t>
      </w:r>
      <w:r w:rsidRPr="00F67AEB">
        <w:rPr>
          <w:rFonts w:ascii="Arial" w:eastAsia="Arial" w:hAnsi="Arial" w:cs="Arial"/>
          <w:i/>
        </w:rPr>
        <w:lastRenderedPageBreak/>
        <w:t>u organismo descentralizado o desconcentrado competente en materia de contribuciones estatales.</w:t>
      </w:r>
    </w:p>
    <w:p w14:paraId="00000026" w14:textId="77777777" w:rsidR="00724F4B" w:rsidRPr="00F67AEB" w:rsidRDefault="006E5273">
      <w:pPr>
        <w:pBdr>
          <w:top w:val="nil"/>
          <w:left w:val="nil"/>
          <w:bottom w:val="nil"/>
          <w:right w:val="nil"/>
          <w:between w:val="nil"/>
        </w:pBdr>
        <w:tabs>
          <w:tab w:val="center" w:pos="4419"/>
          <w:tab w:val="right" w:pos="8838"/>
          <w:tab w:val="center" w:pos="-1418"/>
        </w:tabs>
        <w:spacing w:after="0" w:line="276" w:lineRule="auto"/>
        <w:ind w:left="284" w:right="283"/>
        <w:jc w:val="both"/>
        <w:rPr>
          <w:rFonts w:ascii="Arial" w:eastAsia="Arial" w:hAnsi="Arial" w:cs="Arial"/>
        </w:rPr>
      </w:pPr>
      <w:r w:rsidRPr="00F67AEB">
        <w:rPr>
          <w:rFonts w:ascii="Arial" w:eastAsia="Arial" w:hAnsi="Arial" w:cs="Arial"/>
          <w:i/>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sidRPr="00F67AEB">
        <w:rPr>
          <w:rFonts w:ascii="Arial" w:eastAsia="Arial" w:hAnsi="Arial" w:cs="Arial"/>
        </w:rPr>
        <w:t>”</w:t>
      </w:r>
    </w:p>
    <w:p w14:paraId="00000027" w14:textId="77777777" w:rsidR="00724F4B" w:rsidRPr="00F67AEB" w:rsidRDefault="00724F4B">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rPr>
      </w:pPr>
    </w:p>
    <w:p w14:paraId="00000028"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Ello, tomando en consideración que fue la propia demandada quien en su acto precisó:</w:t>
      </w:r>
    </w:p>
    <w:p w14:paraId="00000029" w14:textId="77777777" w:rsidR="00724F4B" w:rsidRPr="00F67AEB" w:rsidRDefault="006E5273">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rPr>
      </w:pPr>
      <w:r w:rsidRPr="00F67AEB">
        <w:rPr>
          <w:rFonts w:ascii="Arial" w:eastAsia="Arial" w:hAnsi="Arial" w:cs="Arial"/>
        </w:rPr>
        <w:t>“</w:t>
      </w:r>
      <w:r w:rsidRPr="00F67AEB">
        <w:rPr>
          <w:rFonts w:ascii="Arial" w:eastAsia="Arial" w:hAnsi="Arial" w:cs="Arial"/>
          <w:b/>
          <w:i/>
        </w:rPr>
        <w:t xml:space="preserve">SEGUNDO. </w:t>
      </w:r>
      <w:r w:rsidRPr="00F67AEB">
        <w:rPr>
          <w:rFonts w:ascii="Arial" w:eastAsia="Arial" w:hAnsi="Arial" w:cs="Arial"/>
          <w:i/>
        </w:rPr>
        <w:t>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21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14:paraId="0000002A" w14:textId="77777777" w:rsidR="00724F4B" w:rsidRPr="00F67AEB" w:rsidRDefault="006E5273">
      <w:pPr>
        <w:pBdr>
          <w:top w:val="nil"/>
          <w:left w:val="nil"/>
          <w:bottom w:val="nil"/>
          <w:right w:val="nil"/>
          <w:between w:val="nil"/>
        </w:pBdr>
        <w:tabs>
          <w:tab w:val="center" w:pos="4419"/>
          <w:tab w:val="right" w:pos="8838"/>
          <w:tab w:val="center" w:pos="-1418"/>
        </w:tabs>
        <w:spacing w:after="0" w:line="276" w:lineRule="auto"/>
        <w:ind w:left="284" w:right="283"/>
        <w:jc w:val="both"/>
        <w:rPr>
          <w:rFonts w:ascii="Arial" w:eastAsia="Arial" w:hAnsi="Arial" w:cs="Arial"/>
        </w:rPr>
      </w:pPr>
      <w:r w:rsidRPr="00F67AEB">
        <w:rPr>
          <w:rFonts w:ascii="Arial" w:eastAsia="Arial" w:hAnsi="Arial" w:cs="Arial"/>
          <w:b/>
          <w:i/>
        </w:rPr>
        <w:t xml:space="preserve">TERCERO. </w:t>
      </w:r>
      <w:r w:rsidRPr="00F67AEB">
        <w:rPr>
          <w:rFonts w:ascii="Arial" w:eastAsia="Arial" w:hAnsi="Arial" w:cs="Arial"/>
          <w:i/>
        </w:rPr>
        <w:t>Del análisis realizado por esta Secretaría se tienen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Pr="00F67AEB">
        <w:rPr>
          <w:rFonts w:ascii="Arial" w:eastAsia="Arial" w:hAnsi="Arial" w:cs="Arial"/>
        </w:rPr>
        <w:t>”</w:t>
      </w:r>
    </w:p>
    <w:p w14:paraId="0000002B" w14:textId="77777777" w:rsidR="00724F4B" w:rsidRPr="00F67AEB" w:rsidRDefault="00724F4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p>
    <w:p w14:paraId="0000002C"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Por lo que, al haber ejecutado tal señalamiento, se encontraba obligada a citar el fundamento legal que la faculta para realizar la referida revisión, y así cumplir con su obligación de fundar y motivar debidamente su competencia, como lo consagra el artículo 16</w:t>
      </w:r>
      <w:r w:rsidRPr="00F67AEB">
        <w:rPr>
          <w:rFonts w:ascii="Arial" w:eastAsia="Arial" w:hAnsi="Arial" w:cs="Arial"/>
          <w:sz w:val="24"/>
          <w:szCs w:val="24"/>
          <w:vertAlign w:val="superscript"/>
        </w:rPr>
        <w:footnoteReference w:id="5"/>
      </w:r>
      <w:r w:rsidRPr="00F67AEB">
        <w:rPr>
          <w:rFonts w:ascii="Arial" w:eastAsia="Arial" w:hAnsi="Arial" w:cs="Arial"/>
          <w:sz w:val="24"/>
          <w:szCs w:val="24"/>
        </w:rPr>
        <w:t xml:space="preserve"> de la Constitución Política de los Estados Unidos Mexicanos, mismo que establece que todo acto de autoridad debe estar suficientemente fundado y motivado; entendiéndose por fundamentación a que debe expresarse con precisión el precepto legal </w:t>
      </w:r>
      <w:r w:rsidRPr="00F67AEB">
        <w:rPr>
          <w:rFonts w:ascii="Arial" w:eastAsia="Arial" w:hAnsi="Arial" w:cs="Arial"/>
          <w:sz w:val="24"/>
          <w:szCs w:val="24"/>
        </w:rPr>
        <w:lastRenderedPageBreak/>
        <w:t>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entonces el acto administrativo resulte legal.</w:t>
      </w:r>
    </w:p>
    <w:p w14:paraId="0000002D"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Sirve de sustento a lo anterior el criterio jurisprudencial V.2o. J/32, emitido por el Segundo Tribunal Colegiado del Quinto Circuito, en su octava época, publicada en la Gaceta del Semanario Judicial de la Federación, bajo el número 54, de junio de 1992, y visible a página 49, bajo el rubro y texto del tenor literal siguientes:</w:t>
      </w:r>
    </w:p>
    <w:p w14:paraId="0000002E" w14:textId="77777777" w:rsidR="00724F4B" w:rsidRPr="00F67AEB" w:rsidRDefault="006E5273">
      <w:pPr>
        <w:pBdr>
          <w:top w:val="nil"/>
          <w:left w:val="nil"/>
          <w:bottom w:val="nil"/>
          <w:right w:val="nil"/>
          <w:between w:val="nil"/>
        </w:pBdr>
        <w:tabs>
          <w:tab w:val="center" w:pos="4419"/>
          <w:tab w:val="right" w:pos="8838"/>
          <w:tab w:val="center" w:pos="-1418"/>
        </w:tabs>
        <w:spacing w:after="0" w:line="276" w:lineRule="auto"/>
        <w:ind w:left="426" w:right="283"/>
        <w:jc w:val="both"/>
        <w:rPr>
          <w:rFonts w:ascii="Arial" w:eastAsia="Arial" w:hAnsi="Arial" w:cs="Arial"/>
          <w:i/>
        </w:rPr>
      </w:pPr>
      <w:r w:rsidRPr="00F67AEB">
        <w:rPr>
          <w:rFonts w:ascii="Arial" w:eastAsia="Arial" w:hAnsi="Arial" w:cs="Arial"/>
        </w:rPr>
        <w:t>“</w:t>
      </w:r>
      <w:r w:rsidRPr="00F67AEB">
        <w:rPr>
          <w:rFonts w:ascii="Arial" w:eastAsia="Arial" w:hAnsi="Arial" w:cs="Arial"/>
          <w:b/>
          <w:i/>
        </w:rPr>
        <w:t>FUNDAMENTACIÓN Y MOTIVACIÓN</w:t>
      </w:r>
      <w:r w:rsidRPr="00F67AEB">
        <w:rPr>
          <w:rFonts w:ascii="Arial" w:eastAsia="Arial" w:hAnsi="Arial" w:cs="Arial"/>
          <w:i/>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0000002F" w14:textId="77777777" w:rsidR="00724F4B" w:rsidRPr="00F67AEB" w:rsidRDefault="00724F4B">
      <w:pPr>
        <w:pBdr>
          <w:top w:val="nil"/>
          <w:left w:val="nil"/>
          <w:bottom w:val="nil"/>
          <w:right w:val="nil"/>
          <w:between w:val="nil"/>
        </w:pBdr>
        <w:tabs>
          <w:tab w:val="center" w:pos="4419"/>
          <w:tab w:val="right" w:pos="8838"/>
          <w:tab w:val="center" w:pos="-1418"/>
        </w:tabs>
        <w:spacing w:after="240" w:line="276" w:lineRule="auto"/>
        <w:ind w:left="426" w:right="283"/>
        <w:jc w:val="both"/>
        <w:rPr>
          <w:rFonts w:ascii="Arial" w:eastAsia="Arial" w:hAnsi="Arial" w:cs="Arial"/>
          <w:i/>
        </w:rPr>
      </w:pPr>
    </w:p>
    <w:p w14:paraId="00000030"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Aunado a lo anterior es importante remarcar, que conforme lo previsto por el segundo párrafo del referido artículo 113 del Código Fiscal para el Estado de Oaxaca, al haber sido utilizado como motivación, el análisis realizado por la Directora de Ingresos y Recaudación de la Subsecretaría de Ingresos de la Secretaría de Finanzas del Gobierno del Estado de Oaxaca, para concluir que el actor se identificó como sujeto obligado a inscribirse en el Registro Estatal de Contribuyentes del Estado; y, posteriormente imponerle una multa al considerar su incumplimiento a lo previsto por el Código Fiscal antes mencionado, con tal hecho que fue del conocimiento de la autoridad, debió otorgarle al contribuyente la oportunidad de defensa, previo a la emisión de la multa de la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w:t>
      </w:r>
    </w:p>
    <w:p w14:paraId="00000031" w14:textId="0265A0E2"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u w:val="single"/>
        </w:rPr>
      </w:pPr>
      <w:r w:rsidRPr="00F67AEB">
        <w:rPr>
          <w:rFonts w:ascii="Arial" w:eastAsia="Arial" w:hAnsi="Arial" w:cs="Arial"/>
          <w:sz w:val="24"/>
          <w:szCs w:val="24"/>
        </w:rPr>
        <w:t xml:space="preserve">Consecuentemente, con lo puntualizado anteriormente,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w:t>
      </w:r>
      <w:r w:rsidRPr="00F67AEB">
        <w:rPr>
          <w:rFonts w:ascii="Arial" w:eastAsia="Arial" w:hAnsi="Arial" w:cs="Arial"/>
          <w:sz w:val="24"/>
          <w:szCs w:val="24"/>
        </w:rPr>
        <w:lastRenderedPageBreak/>
        <w:t>fracción V</w:t>
      </w:r>
      <w:r w:rsidRPr="00F67AEB">
        <w:rPr>
          <w:rFonts w:ascii="Arial" w:eastAsia="Arial" w:hAnsi="Arial" w:cs="Arial"/>
          <w:sz w:val="24"/>
          <w:szCs w:val="24"/>
          <w:vertAlign w:val="superscript"/>
        </w:rPr>
        <w:footnoteReference w:id="6"/>
      </w:r>
      <w:r w:rsidRPr="00F67AEB">
        <w:rPr>
          <w:rFonts w:ascii="Arial" w:eastAsia="Arial" w:hAnsi="Arial" w:cs="Arial"/>
          <w:sz w:val="24"/>
          <w:szCs w:val="24"/>
        </w:rPr>
        <w:t xml:space="preserve"> de la Ley de Procedimiento y Justicia Administrativa para el Estado de Oaxaca y con ello su validez, por lo que, resulta procedente declarar la </w:t>
      </w:r>
      <w:r w:rsidRPr="00F67AEB">
        <w:rPr>
          <w:rFonts w:ascii="Arial" w:eastAsia="Arial" w:hAnsi="Arial" w:cs="Arial"/>
          <w:b/>
          <w:sz w:val="24"/>
          <w:szCs w:val="24"/>
        </w:rPr>
        <w:t>NULIDAD LISA Y LLANA</w:t>
      </w:r>
      <w:r w:rsidRPr="00F67AEB">
        <w:rPr>
          <w:rFonts w:ascii="Arial" w:eastAsia="Arial" w:hAnsi="Arial" w:cs="Arial"/>
          <w:sz w:val="24"/>
          <w:szCs w:val="24"/>
        </w:rPr>
        <w:t xml:space="preserve"> de la multa por infracción establecida en el Código Fiscal para el Estado de Oaxaca, con número de control </w:t>
      </w:r>
      <w:r w:rsidR="00BC47C5">
        <w:rPr>
          <w:rFonts w:ascii="Arial" w:eastAsia="Arial" w:hAnsi="Arial" w:cs="Arial"/>
          <w:sz w:val="24"/>
          <w:szCs w:val="24"/>
        </w:rPr>
        <w:t>**********</w:t>
      </w:r>
      <w:r w:rsidRPr="00F67AEB">
        <w:rPr>
          <w:rFonts w:ascii="Arial" w:eastAsia="Arial" w:hAnsi="Arial" w:cs="Arial"/>
          <w:sz w:val="24"/>
          <w:szCs w:val="24"/>
        </w:rPr>
        <w:t xml:space="preserve"> de diecinueve de agosto de dos mil diecinueve, emitida por la Directora de Ingresos y Recaudación de la Subsecretaría de Ingresos de la Secretaría de Finanzas del Gobierno del Estado de Oaxaca, y aunado a lo anterior, para estar en condiciones de restituir al administrado en el pleno goce de sus derechos afectado, </w:t>
      </w:r>
      <w:r w:rsidRPr="00F67AEB">
        <w:rPr>
          <w:rFonts w:ascii="Arial" w:eastAsia="Arial" w:hAnsi="Arial" w:cs="Arial"/>
          <w:sz w:val="24"/>
          <w:szCs w:val="24"/>
          <w:u w:val="single"/>
        </w:rPr>
        <w:t>la demandada deberá realizar los trámites correspondientes para dar de baja del sistema respectivo, la citada multa declarada ilegal.</w:t>
      </w:r>
    </w:p>
    <w:p w14:paraId="00000032"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Cabe puntualizar que como se ha declarado la nulidad lisa y llana del acto impugnado, resulta innecesario el análisis de los restantes conceptos de impugnación, virtud que de hacerlo en nada variaría el resultado del fallo, pues con el ya estudiado y resultar fundado, fue suficiente para alcanzar el beneficio máximo solicitado por el demandante, como fue la nulidad total del acto impugnado.</w:t>
      </w:r>
    </w:p>
    <w:p w14:paraId="00000033"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sz w:val="24"/>
          <w:szCs w:val="24"/>
        </w:rPr>
        <w:t>Al respecto es aplicable la Jurisprudencia 1.2°.AJ./23 del Segundo Tribunal Colegiado  en materia Administrativa del Primer Circuito, publicada en el semanario Judicial de la Federación, del mes de agosto de 1999, página 647, que establece:</w:t>
      </w:r>
    </w:p>
    <w:p w14:paraId="00000034" w14:textId="77777777" w:rsidR="00724F4B" w:rsidRPr="00F67AEB" w:rsidRDefault="006E5273">
      <w:pPr>
        <w:pBdr>
          <w:top w:val="nil"/>
          <w:left w:val="nil"/>
          <w:bottom w:val="nil"/>
          <w:right w:val="nil"/>
          <w:between w:val="nil"/>
        </w:pBdr>
        <w:tabs>
          <w:tab w:val="center" w:pos="4419"/>
          <w:tab w:val="right" w:pos="8838"/>
          <w:tab w:val="center" w:pos="-1418"/>
        </w:tabs>
        <w:spacing w:after="0" w:line="276" w:lineRule="auto"/>
        <w:ind w:left="426" w:right="424"/>
        <w:jc w:val="both"/>
        <w:rPr>
          <w:rFonts w:ascii="Arial" w:eastAsia="Arial" w:hAnsi="Arial" w:cs="Arial"/>
        </w:rPr>
      </w:pPr>
      <w:r w:rsidRPr="00F67AEB">
        <w:rPr>
          <w:rFonts w:ascii="Arial" w:eastAsia="Arial" w:hAnsi="Arial" w:cs="Arial"/>
        </w:rPr>
        <w:t>“</w:t>
      </w:r>
      <w:r w:rsidRPr="00F67AEB">
        <w:rPr>
          <w:rFonts w:ascii="Arial" w:eastAsia="Arial" w:hAnsi="Arial" w:cs="Arial"/>
          <w:b/>
          <w:i/>
        </w:rPr>
        <w:t>CONCEPTOS DE ANULACION. LA EXIGENCIA DE EXAMINARLOS EXHAUSTIVAMENTE DEBE PONDERARSE A LA LUZ DE CADA CONTROVERSIA EN PARTICULAR</w:t>
      </w:r>
      <w:r w:rsidRPr="00F67AEB">
        <w:rPr>
          <w:rFonts w:ascii="Arial" w:eastAsia="Arial" w:hAnsi="Arial" w:cs="Arial"/>
          <w:i/>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F67AEB">
        <w:rPr>
          <w:rFonts w:ascii="Arial" w:eastAsia="Arial" w:hAnsi="Arial" w:cs="Arial"/>
        </w:rPr>
        <w:t>”</w:t>
      </w:r>
    </w:p>
    <w:p w14:paraId="00000035" w14:textId="77777777" w:rsidR="00724F4B" w:rsidRPr="00F67AEB" w:rsidRDefault="00724F4B">
      <w:pPr>
        <w:pBdr>
          <w:top w:val="nil"/>
          <w:left w:val="nil"/>
          <w:bottom w:val="nil"/>
          <w:right w:val="nil"/>
          <w:between w:val="nil"/>
        </w:pBdr>
        <w:tabs>
          <w:tab w:val="center" w:pos="4419"/>
          <w:tab w:val="right" w:pos="8838"/>
          <w:tab w:val="center" w:pos="-1418"/>
        </w:tabs>
        <w:spacing w:after="240" w:line="276" w:lineRule="auto"/>
        <w:ind w:left="426" w:right="424"/>
        <w:jc w:val="both"/>
        <w:rPr>
          <w:rFonts w:ascii="Arial" w:eastAsia="Arial" w:hAnsi="Arial" w:cs="Arial"/>
        </w:rPr>
      </w:pPr>
    </w:p>
    <w:p w14:paraId="00000036" w14:textId="77777777" w:rsidR="00724F4B" w:rsidRPr="00F67AEB" w:rsidRDefault="006E5273">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sz w:val="24"/>
          <w:szCs w:val="24"/>
        </w:rPr>
      </w:pPr>
      <w:r w:rsidRPr="00F67AEB">
        <w:rPr>
          <w:rFonts w:ascii="Arial" w:eastAsia="Arial" w:hAnsi="Arial" w:cs="Arial"/>
          <w:sz w:val="24"/>
          <w:szCs w:val="24"/>
        </w:rPr>
        <w:t>Por lo expuesto y con fundamento en los artículos 207, 208 fracción II y 209 de Ley de Procedimiento y Justicia Administrativa para el Estado de Oaxaca, se; - - - - - - - - - - - - - - - - - - - - - - - - - - - - - - - - - - - - - - - - - - - - - - -</w:t>
      </w:r>
    </w:p>
    <w:p w14:paraId="00000037" w14:textId="77777777" w:rsidR="00724F4B" w:rsidRPr="00F67AEB" w:rsidRDefault="00724F4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sz w:val="24"/>
          <w:szCs w:val="24"/>
        </w:rPr>
      </w:pPr>
    </w:p>
    <w:p w14:paraId="00000038"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sz w:val="24"/>
          <w:szCs w:val="24"/>
        </w:rPr>
      </w:pPr>
      <w:r w:rsidRPr="00F67AEB">
        <w:rPr>
          <w:rFonts w:ascii="Arial" w:eastAsia="Arial" w:hAnsi="Arial" w:cs="Arial"/>
          <w:b/>
          <w:sz w:val="24"/>
          <w:szCs w:val="24"/>
        </w:rPr>
        <w:t>R E S U E L V E:</w:t>
      </w:r>
    </w:p>
    <w:p w14:paraId="00000039"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PRIMERO.</w:t>
      </w:r>
      <w:r w:rsidRPr="00F67AEB">
        <w:rPr>
          <w:rFonts w:ascii="Arial" w:eastAsia="Arial" w:hAnsi="Arial" w:cs="Arial"/>
          <w:sz w:val="24"/>
          <w:szCs w:val="24"/>
        </w:rPr>
        <w:t xml:space="preserve"> Esta Primera Sala Unitaria de este Tribunal de Justicia Administrativa para el Estado de Oaxaca, fue competente para conocer y resolver del presente asunto. - - - - - - - - - - - - - - - - - - - - - - - - - - - - - - - - - -</w:t>
      </w:r>
    </w:p>
    <w:p w14:paraId="0000003A"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SEGUNDO.</w:t>
      </w:r>
      <w:r w:rsidRPr="00F67AEB">
        <w:rPr>
          <w:rFonts w:ascii="Arial" w:eastAsia="Arial" w:hAnsi="Arial" w:cs="Arial"/>
          <w:sz w:val="24"/>
          <w:szCs w:val="24"/>
        </w:rPr>
        <w:t xml:space="preserve"> La personalidad de las partes quedó acreditada en autos.</w:t>
      </w:r>
    </w:p>
    <w:p w14:paraId="0000003B"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TERCERO.</w:t>
      </w:r>
      <w:r w:rsidRPr="00F67AEB">
        <w:rPr>
          <w:rFonts w:ascii="Arial" w:eastAsia="Arial" w:hAnsi="Arial" w:cs="Arial"/>
          <w:sz w:val="24"/>
          <w:szCs w:val="24"/>
        </w:rPr>
        <w:t xml:space="preserve"> No se actualizaron causales de improcedencia y sobreseimiento en el presente asunto, por lo que </w:t>
      </w:r>
      <w:r w:rsidRPr="00F67AEB">
        <w:rPr>
          <w:rFonts w:ascii="Arial" w:eastAsia="Arial" w:hAnsi="Arial" w:cs="Arial"/>
          <w:b/>
          <w:sz w:val="24"/>
          <w:szCs w:val="24"/>
        </w:rPr>
        <w:t>no se sobresee</w:t>
      </w:r>
      <w:r w:rsidRPr="00F67AEB">
        <w:rPr>
          <w:rFonts w:ascii="Arial" w:eastAsia="Arial" w:hAnsi="Arial" w:cs="Arial"/>
          <w:sz w:val="24"/>
          <w:szCs w:val="24"/>
        </w:rPr>
        <w:t xml:space="preserve"> el juicio. -</w:t>
      </w:r>
    </w:p>
    <w:p w14:paraId="0000003C" w14:textId="787C025B"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CUARTO. </w:t>
      </w:r>
      <w:r w:rsidRPr="00F67AEB">
        <w:rPr>
          <w:rFonts w:ascii="Arial" w:eastAsia="Arial" w:hAnsi="Arial" w:cs="Arial"/>
          <w:sz w:val="24"/>
          <w:szCs w:val="24"/>
        </w:rPr>
        <w:t xml:space="preserve">Se declara la </w:t>
      </w:r>
      <w:r w:rsidRPr="00F67AEB">
        <w:rPr>
          <w:rFonts w:ascii="Arial" w:eastAsia="Arial" w:hAnsi="Arial" w:cs="Arial"/>
          <w:b/>
          <w:sz w:val="24"/>
          <w:szCs w:val="24"/>
        </w:rPr>
        <w:t>NULIDAD</w:t>
      </w:r>
      <w:r w:rsidRPr="00F67AEB">
        <w:rPr>
          <w:rFonts w:ascii="Arial" w:eastAsia="Arial" w:hAnsi="Arial" w:cs="Arial"/>
          <w:sz w:val="24"/>
          <w:szCs w:val="24"/>
        </w:rPr>
        <w:t xml:space="preserve"> </w:t>
      </w:r>
      <w:r w:rsidRPr="00F67AEB">
        <w:rPr>
          <w:rFonts w:ascii="Arial" w:eastAsia="Arial" w:hAnsi="Arial" w:cs="Arial"/>
          <w:b/>
          <w:sz w:val="24"/>
          <w:szCs w:val="24"/>
        </w:rPr>
        <w:t>LISA Y LLANA</w:t>
      </w:r>
      <w:r w:rsidRPr="00F67AEB">
        <w:rPr>
          <w:rFonts w:ascii="Arial" w:eastAsia="Arial" w:hAnsi="Arial" w:cs="Arial"/>
          <w:sz w:val="24"/>
          <w:szCs w:val="24"/>
        </w:rPr>
        <w:t xml:space="preserve"> de la multa por infracción establecida en el Código Fiscal para el Estado de Oaxaca, con número de control </w:t>
      </w:r>
      <w:r w:rsidR="00BC47C5">
        <w:rPr>
          <w:rFonts w:ascii="Arial" w:eastAsia="Arial" w:hAnsi="Arial" w:cs="Arial"/>
          <w:sz w:val="24"/>
          <w:szCs w:val="24"/>
        </w:rPr>
        <w:t>**********</w:t>
      </w:r>
      <w:r w:rsidRPr="00F67AEB">
        <w:rPr>
          <w:rFonts w:ascii="Arial" w:eastAsia="Arial" w:hAnsi="Arial" w:cs="Arial"/>
          <w:sz w:val="24"/>
          <w:szCs w:val="24"/>
        </w:rPr>
        <w:t xml:space="preserve"> de diecinueve de agosto de dos mil diecinueve, emitida por la Directora de Ingresos y Recaudación de la Subsecretaría de Ingresos de la Secretaría de Finanzas del Gobierno del Estado de Oaxaca, en los términos precisados en el considerando que antecede. - - - - - - - - - - - - - - </w:t>
      </w:r>
      <w:bookmarkStart w:id="1" w:name="_GoBack"/>
      <w:bookmarkEnd w:id="1"/>
    </w:p>
    <w:p w14:paraId="0000003D" w14:textId="77777777" w:rsidR="00724F4B" w:rsidRPr="00F67AEB" w:rsidRDefault="006E527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F67AEB">
        <w:rPr>
          <w:rFonts w:ascii="Arial" w:eastAsia="Arial" w:hAnsi="Arial" w:cs="Arial"/>
          <w:b/>
          <w:sz w:val="24"/>
          <w:szCs w:val="24"/>
        </w:rPr>
        <w:t xml:space="preserve">QUINTO. </w:t>
      </w:r>
      <w:r w:rsidRPr="00F67AEB">
        <w:rPr>
          <w:rFonts w:ascii="Arial" w:eastAsia="Arial" w:hAnsi="Arial" w:cs="Arial"/>
          <w:sz w:val="24"/>
          <w:szCs w:val="24"/>
        </w:rPr>
        <w:t xml:space="preserve">Con fundamento en los artículos 172 fracción I y 173 fracciones I y II, de la Ley de Procedimiento y Justicia Administrativa para el Estado de Oaxaca, </w:t>
      </w:r>
      <w:r w:rsidRPr="00F67AEB">
        <w:rPr>
          <w:rFonts w:ascii="Arial" w:eastAsia="Arial" w:hAnsi="Arial" w:cs="Arial"/>
          <w:b/>
          <w:sz w:val="24"/>
          <w:szCs w:val="24"/>
        </w:rPr>
        <w:t>notifíquese personalmente al actor y por oficio a la autoridad demandada</w:t>
      </w:r>
      <w:r w:rsidRPr="00F67AEB">
        <w:rPr>
          <w:rFonts w:ascii="Arial" w:eastAsia="Arial" w:hAnsi="Arial" w:cs="Arial"/>
          <w:sz w:val="24"/>
          <w:szCs w:val="24"/>
        </w:rPr>
        <w:t>, cúmplase. - - - - - - - - - - - - - - - - - - - - - - - - - - - - - -</w:t>
      </w:r>
    </w:p>
    <w:p w14:paraId="6804A9E1" w14:textId="15F605B7" w:rsidR="00FF5C34" w:rsidRPr="00F67AEB" w:rsidRDefault="00FF5C34" w:rsidP="00FF5C34">
      <w:pPr>
        <w:spacing w:before="240" w:line="360" w:lineRule="auto"/>
        <w:ind w:right="49" w:firstLine="708"/>
        <w:jc w:val="both"/>
        <w:rPr>
          <w:rFonts w:ascii="Arial" w:hAnsi="Arial" w:cs="Arial"/>
          <w:sz w:val="24"/>
          <w:szCs w:val="24"/>
        </w:rPr>
      </w:pPr>
      <w:r w:rsidRPr="00F67AEB">
        <w:rPr>
          <w:rFonts w:ascii="Arial" w:hAnsi="Arial" w:cs="Arial"/>
          <w:sz w:val="24"/>
        </w:rPr>
        <w:t xml:space="preserve">Así lo resolvió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 - - - - - - - - - - - - - - - - - - - - - - - - - - - - </w:t>
      </w:r>
    </w:p>
    <w:p w14:paraId="0000003E" w14:textId="64EAF26C" w:rsidR="00724F4B" w:rsidRPr="00F67AEB" w:rsidRDefault="00724F4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p>
    <w:p w14:paraId="0000003F" w14:textId="77777777" w:rsidR="00724F4B" w:rsidRPr="00F67AEB" w:rsidRDefault="00724F4B">
      <w:pPr>
        <w:spacing w:after="0" w:line="360" w:lineRule="auto"/>
        <w:ind w:right="49" w:firstLine="708"/>
        <w:jc w:val="both"/>
        <w:rPr>
          <w:rFonts w:ascii="Arial" w:eastAsia="Arial" w:hAnsi="Arial" w:cs="Arial"/>
          <w:sz w:val="24"/>
          <w:szCs w:val="24"/>
        </w:rPr>
      </w:pPr>
    </w:p>
    <w:sectPr w:rsidR="00724F4B" w:rsidRPr="00F67AEB">
      <w:headerReference w:type="default" r:id="rId6"/>
      <w:pgSz w:w="12240" w:h="20160"/>
      <w:pgMar w:top="1843" w:right="1325" w:bottom="1985" w:left="2694"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7BCD0" w14:textId="77777777" w:rsidR="00B41C00" w:rsidRDefault="00B41C00">
      <w:pPr>
        <w:spacing w:after="0" w:line="240" w:lineRule="auto"/>
      </w:pPr>
      <w:r>
        <w:separator/>
      </w:r>
    </w:p>
  </w:endnote>
  <w:endnote w:type="continuationSeparator" w:id="0">
    <w:p w14:paraId="3B5C1CF7" w14:textId="77777777" w:rsidR="00B41C00" w:rsidRDefault="00B41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5D2C8" w14:textId="77777777" w:rsidR="00B41C00" w:rsidRDefault="00B41C00">
      <w:pPr>
        <w:spacing w:after="0" w:line="240" w:lineRule="auto"/>
      </w:pPr>
      <w:r>
        <w:separator/>
      </w:r>
    </w:p>
  </w:footnote>
  <w:footnote w:type="continuationSeparator" w:id="0">
    <w:p w14:paraId="674102E9" w14:textId="77777777" w:rsidR="00B41C00" w:rsidRDefault="00B41C00">
      <w:pPr>
        <w:spacing w:after="0" w:line="240" w:lineRule="auto"/>
      </w:pPr>
      <w:r>
        <w:continuationSeparator/>
      </w:r>
    </w:p>
  </w:footnote>
  <w:footnote w:id="1">
    <w:p w14:paraId="00000040" w14:textId="77777777" w:rsidR="00724F4B" w:rsidRDefault="006E527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148.- </w:t>
      </w:r>
      <w:r>
        <w:rPr>
          <w:color w:val="000000"/>
          <w:sz w:val="20"/>
          <w:szCs w:val="20"/>
        </w:rPr>
        <w:t>La representación de las partes físicas para comparecer a juicio, se otorgará en escritura pública o carta poder firmada ante dos testigos y ratificada ante Notario Público o ante el secretario de acuerdo que corresponda…”</w:t>
      </w:r>
    </w:p>
  </w:footnote>
  <w:footnote w:id="2">
    <w:p w14:paraId="00000041" w14:textId="77777777" w:rsidR="00724F4B" w:rsidRDefault="006E527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00000042" w14:textId="77777777" w:rsidR="00724F4B" w:rsidRDefault="006E527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161.- </w:t>
      </w:r>
      <w:r>
        <w:rPr>
          <w:color w:val="000000"/>
          <w:sz w:val="20"/>
          <w:szCs w:val="20"/>
        </w:rPr>
        <w:t>…</w:t>
      </w:r>
    </w:p>
    <w:p w14:paraId="00000043" w14:textId="77777777" w:rsidR="00724F4B" w:rsidRDefault="006E5273">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00000044" w14:textId="77777777" w:rsidR="00724F4B" w:rsidRDefault="006E5273">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 w:id="4">
    <w:p w14:paraId="00000045" w14:textId="77777777" w:rsidR="00724F4B" w:rsidRDefault="006E527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00000046" w14:textId="77777777" w:rsidR="00724F4B" w:rsidRDefault="006E5273">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00000047" w14:textId="77777777" w:rsidR="00724F4B" w:rsidRDefault="006E5273">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5">
    <w:p w14:paraId="00000048" w14:textId="77777777" w:rsidR="00724F4B" w:rsidRDefault="006E527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 w:id="6">
    <w:p w14:paraId="00000049" w14:textId="77777777" w:rsidR="00724F4B" w:rsidRDefault="006E527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rPr>
        <w:t xml:space="preserve"> “</w:t>
      </w:r>
      <w:r>
        <w:rPr>
          <w:color w:val="000000"/>
          <w:sz w:val="20"/>
          <w:szCs w:val="20"/>
        </w:rPr>
        <w:t>ARTÍCULO 17.- Son elementos y requisitos de validez del acto administrativo:</w:t>
      </w:r>
    </w:p>
    <w:p w14:paraId="0000004A" w14:textId="77777777" w:rsidR="00724F4B" w:rsidRDefault="006E5273">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p w14:paraId="0000004B" w14:textId="77777777" w:rsidR="00724F4B" w:rsidRDefault="006E5273">
      <w:pPr>
        <w:pBdr>
          <w:top w:val="nil"/>
          <w:left w:val="nil"/>
          <w:bottom w:val="nil"/>
          <w:right w:val="nil"/>
          <w:between w:val="nil"/>
        </w:pBdr>
        <w:spacing w:after="0" w:line="240" w:lineRule="auto"/>
        <w:jc w:val="both"/>
        <w:rPr>
          <w:color w:val="000000"/>
          <w:sz w:val="20"/>
          <w:szCs w:val="20"/>
        </w:rPr>
      </w:pPr>
      <w:r>
        <w:rPr>
          <w:color w:val="000000"/>
          <w:sz w:val="20"/>
          <w:szCs w:val="20"/>
        </w:rPr>
        <w:t xml:space="preserve">   V. Estar fundado y motivado;</w:t>
      </w:r>
    </w:p>
    <w:p w14:paraId="0000004C" w14:textId="77777777" w:rsidR="00724F4B" w:rsidRDefault="006E5273">
      <w:pPr>
        <w:pBdr>
          <w:top w:val="nil"/>
          <w:left w:val="nil"/>
          <w:bottom w:val="nil"/>
          <w:right w:val="nil"/>
          <w:between w:val="nil"/>
        </w:pBdr>
        <w:spacing w:after="0" w:line="240" w:lineRule="auto"/>
        <w:jc w:val="both"/>
        <w:rPr>
          <w:color w:val="00000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B6F57" w14:textId="77777777" w:rsidR="00F67AEB" w:rsidRDefault="00F67AEB" w:rsidP="00F67AEB">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0000004D" w14:textId="77777777" w:rsidR="00724F4B" w:rsidRDefault="006E5273">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6</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F4B"/>
    <w:rsid w:val="00277FE3"/>
    <w:rsid w:val="00615FD8"/>
    <w:rsid w:val="006E5273"/>
    <w:rsid w:val="00724F4B"/>
    <w:rsid w:val="008D0EA1"/>
    <w:rsid w:val="0098145E"/>
    <w:rsid w:val="00B41C00"/>
    <w:rsid w:val="00BC47C5"/>
    <w:rsid w:val="00D13BC1"/>
    <w:rsid w:val="00D760B1"/>
    <w:rsid w:val="00F67AEB"/>
    <w:rsid w:val="00FF5C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927A3"/>
  <w15:docId w15:val="{71EC2430-F641-4FA7-B8E4-3A7B86ED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F67AE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67AEB"/>
  </w:style>
  <w:style w:type="paragraph" w:styleId="Piedepgina">
    <w:name w:val="footer"/>
    <w:basedOn w:val="Normal"/>
    <w:link w:val="PiedepginaCar"/>
    <w:uiPriority w:val="99"/>
    <w:unhideWhenUsed/>
    <w:rsid w:val="00F67A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7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9025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9</Pages>
  <Words>3361</Words>
  <Characters>18491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TJAO-Personal</dc:creator>
  <cp:lastModifiedBy>TJAO-Personal</cp:lastModifiedBy>
  <cp:revision>9</cp:revision>
  <cp:lastPrinted>2022-04-07T19:25:00Z</cp:lastPrinted>
  <dcterms:created xsi:type="dcterms:W3CDTF">2021-11-23T19:47:00Z</dcterms:created>
  <dcterms:modified xsi:type="dcterms:W3CDTF">2022-04-07T19:25:00Z</dcterms:modified>
</cp:coreProperties>
</file>