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37B43FEA"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w:t>
            </w:r>
            <w:r w:rsidR="00107FE0">
              <w:rPr>
                <w:rFonts w:ascii="Arial" w:eastAsia="PMingLiU" w:hAnsi="Arial" w:cs="Arial"/>
                <w:b/>
                <w:iCs/>
                <w:caps/>
                <w:sz w:val="26"/>
                <w:szCs w:val="26"/>
                <w:lang w:val="es-PE" w:eastAsia="zh-TW"/>
              </w:rPr>
              <w:t>0028/2022</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0A5EF748" w:rsidR="00571114" w:rsidRPr="00107FE0" w:rsidRDefault="00571114">
            <w:pPr>
              <w:tabs>
                <w:tab w:val="center" w:pos="4252"/>
                <w:tab w:val="right" w:pos="8504"/>
              </w:tabs>
              <w:spacing w:after="0" w:line="240" w:lineRule="auto"/>
              <w:ind w:left="1119" w:right="709" w:hanging="1119"/>
              <w:jc w:val="both"/>
              <w:rPr>
                <w:rFonts w:ascii="Arial" w:eastAsia="PMingLiU" w:hAnsi="Arial" w:cs="Arial"/>
                <w:bCs/>
                <w:iCs/>
                <w:caps/>
                <w:sz w:val="26"/>
                <w:szCs w:val="26"/>
                <w:lang w:val="es-PE" w:eastAsia="zh-TW"/>
              </w:rPr>
            </w:pPr>
            <w:r>
              <w:rPr>
                <w:rFonts w:ascii="Arial" w:eastAsia="PMingLiU" w:hAnsi="Arial" w:cs="Arial"/>
                <w:b/>
                <w:iCs/>
                <w:caps/>
                <w:sz w:val="26"/>
                <w:szCs w:val="26"/>
                <w:lang w:val="es-PE" w:eastAsia="zh-TW"/>
              </w:rPr>
              <w:t xml:space="preserve">                </w:t>
            </w:r>
            <w:r w:rsidR="00107FE0">
              <w:rPr>
                <w:rFonts w:ascii="Arial" w:eastAsia="PMingLiU" w:hAnsi="Arial" w:cs="Arial"/>
                <w:b/>
                <w:iCs/>
                <w:caps/>
                <w:sz w:val="26"/>
                <w:szCs w:val="26"/>
                <w:lang w:val="es-PE" w:eastAsia="zh-TW"/>
              </w:rPr>
              <w:t xml:space="preserve">CUADERNO DE </w:t>
            </w:r>
            <w:r w:rsidR="003756AA">
              <w:rPr>
                <w:rFonts w:ascii="Arial" w:eastAsia="PMingLiU" w:hAnsi="Arial" w:cs="Arial"/>
                <w:b/>
                <w:iCs/>
                <w:caps/>
                <w:sz w:val="26"/>
                <w:szCs w:val="26"/>
                <w:lang w:val="es-PE" w:eastAsia="zh-TW"/>
              </w:rPr>
              <w:t>SUSPENSIÓN</w:t>
            </w:r>
            <w:r w:rsidR="00107FE0">
              <w:rPr>
                <w:rFonts w:ascii="Arial" w:eastAsia="PMingLiU" w:hAnsi="Arial" w:cs="Arial"/>
                <w:b/>
                <w:iCs/>
                <w:caps/>
                <w:sz w:val="26"/>
                <w:szCs w:val="26"/>
                <w:lang w:val="es-PE" w:eastAsia="zh-TW"/>
              </w:rPr>
              <w:t xml:space="preserve"> RELATIVO AL </w:t>
            </w:r>
            <w:r>
              <w:rPr>
                <w:rFonts w:ascii="Arial" w:eastAsia="PMingLiU" w:hAnsi="Arial" w:cs="Arial"/>
                <w:b/>
                <w:iCs/>
                <w:caps/>
                <w:sz w:val="26"/>
                <w:szCs w:val="26"/>
                <w:lang w:val="es-PE" w:eastAsia="zh-TW"/>
              </w:rPr>
              <w:t>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107FE0">
              <w:rPr>
                <w:rFonts w:ascii="Arial" w:eastAsia="PMingLiU" w:hAnsi="Arial" w:cs="Arial"/>
                <w:b/>
                <w:iCs/>
                <w:caps/>
                <w:sz w:val="26"/>
                <w:szCs w:val="26"/>
                <w:lang w:val="es-PE" w:eastAsia="zh-TW"/>
              </w:rPr>
              <w:t>0115/2020</w:t>
            </w:r>
            <w:r>
              <w:rPr>
                <w:rFonts w:ascii="Arial" w:eastAsia="PMingLiU" w:hAnsi="Arial" w:cs="Arial"/>
                <w:b/>
                <w:iCs/>
                <w:caps/>
                <w:sz w:val="26"/>
                <w:szCs w:val="26"/>
                <w:lang w:val="es-PE" w:eastAsia="zh-TW"/>
              </w:rPr>
              <w:t xml:space="preserve"> de la </w:t>
            </w:r>
            <w:r w:rsidR="00D12C55">
              <w:rPr>
                <w:rFonts w:ascii="Arial" w:eastAsia="PMingLiU" w:hAnsi="Arial" w:cs="Arial"/>
                <w:b/>
                <w:iCs/>
                <w:caps/>
                <w:sz w:val="26"/>
                <w:szCs w:val="26"/>
                <w:lang w:val="es-PE" w:eastAsia="zh-TW"/>
              </w:rPr>
              <w:t xml:space="preserve">sexta </w:t>
            </w:r>
            <w:r>
              <w:rPr>
                <w:rFonts w:ascii="Arial" w:eastAsia="PMingLiU" w:hAnsi="Arial" w:cs="Arial"/>
                <w:b/>
                <w:iCs/>
                <w:caps/>
                <w:sz w:val="26"/>
                <w:szCs w:val="26"/>
                <w:lang w:val="es-PE" w:eastAsia="zh-TW"/>
              </w:rPr>
              <w:t>sala unitaria DE PRIMERA INSTANCIA</w:t>
            </w:r>
            <w:r w:rsidR="00107FE0">
              <w:rPr>
                <w:rFonts w:ascii="Arial" w:eastAsia="PMingLiU" w:hAnsi="Arial" w:cs="Arial"/>
                <w:b/>
                <w:iCs/>
                <w:caps/>
                <w:sz w:val="26"/>
                <w:szCs w:val="26"/>
                <w:lang w:val="es-PE" w:eastAsia="zh-TW"/>
              </w:rPr>
              <w:t xml:space="preserve"> </w:t>
            </w:r>
            <w:r w:rsidR="00107FE0" w:rsidRPr="00107FE0">
              <w:rPr>
                <w:rFonts w:ascii="Arial" w:eastAsia="PMingLiU" w:hAnsi="Arial" w:cs="Arial"/>
                <w:bCs/>
                <w:iCs/>
                <w:caps/>
                <w:sz w:val="26"/>
                <w:szCs w:val="26"/>
                <w:lang w:val="es-PE" w:eastAsia="zh-TW"/>
              </w:rPr>
              <w:t>(ANTES 0121/2019 DE LA SÉPTIMA SALA UNITARIA DE PRIMERA INSTANCIA).</w:t>
            </w:r>
          </w:p>
          <w:p w14:paraId="6A5D62DB" w14:textId="77777777" w:rsidR="00571114" w:rsidRPr="00107FE0" w:rsidRDefault="00571114">
            <w:pPr>
              <w:tabs>
                <w:tab w:val="center" w:pos="4252"/>
                <w:tab w:val="right" w:pos="8504"/>
              </w:tabs>
              <w:spacing w:after="0" w:line="240" w:lineRule="auto"/>
              <w:ind w:left="1119" w:right="709" w:hanging="1119"/>
              <w:jc w:val="both"/>
              <w:rPr>
                <w:rFonts w:ascii="Arial" w:eastAsia="PMingLiU" w:hAnsi="Arial" w:cs="Arial"/>
                <w:bCs/>
                <w:iCs/>
                <w:caps/>
                <w:sz w:val="26"/>
                <w:szCs w:val="26"/>
                <w:lang w:val="es-PE" w:eastAsia="zh-TW"/>
              </w:rPr>
            </w:pPr>
          </w:p>
          <w:p w14:paraId="1BA65A15" w14:textId="150F9D26" w:rsidR="00571114" w:rsidRDefault="00571114" w:rsidP="00D12C55">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B43574">
              <w:rPr>
                <w:rFonts w:ascii="Arial" w:eastAsia="PMingLiU" w:hAnsi="Arial" w:cs="Arial"/>
                <w:b/>
                <w:iCs/>
                <w:caps/>
                <w:sz w:val="26"/>
                <w:szCs w:val="26"/>
                <w:lang w:val="es-PE" w:eastAsia="zh-TW"/>
              </w:rPr>
              <w:t xml:space="preserve">MAGISTRADA </w:t>
            </w:r>
            <w:r w:rsidR="00D12C55">
              <w:rPr>
                <w:rFonts w:ascii="Arial" w:eastAsia="PMingLiU" w:hAnsi="Arial" w:cs="Arial"/>
                <w:b/>
                <w:iCs/>
                <w:caps/>
                <w:sz w:val="26"/>
                <w:szCs w:val="26"/>
                <w:lang w:val="es-PE" w:eastAsia="zh-TW"/>
              </w:rPr>
              <w:t>gloria del carmen camacho meza.</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002A6286" w:rsidR="00571114" w:rsidRDefault="00571114" w:rsidP="00625957">
      <w:pPr>
        <w:spacing w:line="360" w:lineRule="auto"/>
        <w:ind w:firstLine="708"/>
        <w:jc w:val="both"/>
        <w:rPr>
          <w:rFonts w:ascii="Arial" w:hAnsi="Arial" w:cs="Arial"/>
          <w:b/>
          <w:sz w:val="26"/>
          <w:szCs w:val="26"/>
          <w:lang w:val="es-ES"/>
        </w:rPr>
      </w:pPr>
      <w:r>
        <w:rPr>
          <w:rFonts w:ascii="Arial" w:hAnsi="Arial" w:cs="Arial"/>
          <w:b/>
          <w:sz w:val="26"/>
          <w:szCs w:val="26"/>
          <w:lang w:val="es-ES"/>
        </w:rPr>
        <w:t>OA</w:t>
      </w:r>
      <w:r w:rsidR="004F3BF8">
        <w:rPr>
          <w:rFonts w:ascii="Arial" w:hAnsi="Arial" w:cs="Arial"/>
          <w:b/>
          <w:sz w:val="26"/>
          <w:szCs w:val="26"/>
          <w:lang w:val="es-ES"/>
        </w:rPr>
        <w:t>XACA DE JUÁREZ, OAXACA A SIETE DE SEPTIEMBRE</w:t>
      </w:r>
      <w:r>
        <w:rPr>
          <w:rFonts w:ascii="Arial" w:hAnsi="Arial" w:cs="Arial"/>
          <w:b/>
          <w:sz w:val="26"/>
          <w:szCs w:val="26"/>
          <w:lang w:val="es-ES"/>
        </w:rPr>
        <w:t xml:space="preserve"> DE DOS MIL </w:t>
      </w:r>
      <w:r w:rsidR="00107FE0">
        <w:rPr>
          <w:rFonts w:ascii="Arial" w:hAnsi="Arial" w:cs="Arial"/>
          <w:b/>
          <w:sz w:val="26"/>
          <w:szCs w:val="26"/>
          <w:lang w:val="es-ES"/>
        </w:rPr>
        <w:t>VEINTIDÓS. -</w:t>
      </w:r>
      <w:r>
        <w:rPr>
          <w:rFonts w:ascii="Arial" w:hAnsi="Arial" w:cs="Arial"/>
          <w:b/>
          <w:sz w:val="26"/>
          <w:szCs w:val="26"/>
          <w:lang w:val="es-ES"/>
        </w:rPr>
        <w:t xml:space="preserve"> - - - - - - - - - - - - - - - - - - - - - - - - - - - - - - - - </w:t>
      </w:r>
      <w:r w:rsidR="00625957">
        <w:rPr>
          <w:rFonts w:ascii="Arial" w:hAnsi="Arial" w:cs="Arial"/>
          <w:b/>
          <w:sz w:val="26"/>
          <w:szCs w:val="26"/>
          <w:lang w:val="es-ES"/>
        </w:rPr>
        <w:t>- -</w:t>
      </w:r>
    </w:p>
    <w:p w14:paraId="1C3F4AF1" w14:textId="6846D693" w:rsidR="00625957" w:rsidRDefault="00571114" w:rsidP="004F3BF8">
      <w:pPr>
        <w:spacing w:after="120" w:line="360" w:lineRule="auto"/>
        <w:ind w:firstLine="708"/>
        <w:jc w:val="both"/>
        <w:rPr>
          <w:rFonts w:ascii="Arial" w:hAnsi="Arial" w:cs="Arial"/>
          <w:sz w:val="26"/>
          <w:szCs w:val="26"/>
          <w:lang w:val="es-ES"/>
        </w:rPr>
      </w:pPr>
      <w:r>
        <w:rPr>
          <w:rFonts w:ascii="Arial" w:eastAsia="Calibri" w:hAnsi="Arial" w:cs="Arial"/>
          <w:sz w:val="26"/>
          <w:szCs w:val="26"/>
        </w:rPr>
        <w:t xml:space="preserve">Por recibido el </w:t>
      </w:r>
      <w:r w:rsidR="00107FE0">
        <w:rPr>
          <w:rFonts w:ascii="Arial" w:eastAsia="Calibri" w:hAnsi="Arial" w:cs="Arial"/>
          <w:sz w:val="26"/>
          <w:szCs w:val="26"/>
        </w:rPr>
        <w:t>cu</w:t>
      </w:r>
      <w:r>
        <w:rPr>
          <w:rFonts w:ascii="Arial" w:eastAsia="Calibri" w:hAnsi="Arial" w:cs="Arial"/>
          <w:sz w:val="26"/>
          <w:szCs w:val="26"/>
        </w:rPr>
        <w:t xml:space="preserve">aderno de </w:t>
      </w:r>
      <w:r w:rsidR="00107FE0">
        <w:rPr>
          <w:rFonts w:ascii="Arial" w:eastAsia="Calibri" w:hAnsi="Arial" w:cs="Arial"/>
          <w:sz w:val="26"/>
          <w:szCs w:val="26"/>
        </w:rPr>
        <w:t>r</w:t>
      </w:r>
      <w:r>
        <w:rPr>
          <w:rFonts w:ascii="Arial" w:eastAsia="Calibri" w:hAnsi="Arial" w:cs="Arial"/>
          <w:sz w:val="26"/>
          <w:szCs w:val="26"/>
        </w:rPr>
        <w:t xml:space="preserve">evisión </w:t>
      </w:r>
      <w:r w:rsidR="00107FE0">
        <w:rPr>
          <w:rFonts w:ascii="Arial" w:eastAsia="PMingLiU" w:hAnsi="Arial" w:cs="Arial"/>
          <w:b/>
          <w:iCs/>
          <w:caps/>
          <w:sz w:val="26"/>
          <w:szCs w:val="26"/>
          <w:lang w:val="es-PE" w:eastAsia="zh-TW"/>
        </w:rPr>
        <w:t>0028/2022</w:t>
      </w:r>
      <w:r>
        <w:rPr>
          <w:rFonts w:ascii="Arial" w:eastAsia="PMingLiU" w:hAnsi="Arial" w:cs="Arial"/>
          <w:b/>
          <w:iCs/>
          <w:caps/>
          <w:sz w:val="26"/>
          <w:szCs w:val="26"/>
          <w:lang w:val="es-PE" w:eastAsia="zh-TW"/>
        </w:rPr>
        <w:t xml:space="preserve"> </w:t>
      </w:r>
      <w:r>
        <w:rPr>
          <w:rFonts w:ascii="Arial" w:eastAsia="Calibri" w:hAnsi="Arial" w:cs="Arial"/>
          <w:sz w:val="26"/>
          <w:szCs w:val="26"/>
        </w:rPr>
        <w:t xml:space="preserve">que remite la Secretaría General de Acuerdos, con motivo del recurso de revisión interpuesto por </w:t>
      </w:r>
      <w:r w:rsidR="00107FE0" w:rsidRPr="00107FE0">
        <w:rPr>
          <w:rFonts w:ascii="Arial" w:eastAsia="Calibri" w:hAnsi="Arial" w:cs="Arial"/>
          <w:bCs/>
          <w:sz w:val="26"/>
          <w:szCs w:val="26"/>
        </w:rPr>
        <w:t>el</w:t>
      </w:r>
      <w:r w:rsidR="00107FE0">
        <w:rPr>
          <w:rFonts w:ascii="Arial" w:eastAsia="Calibri" w:hAnsi="Arial" w:cs="Arial"/>
          <w:b/>
          <w:sz w:val="26"/>
          <w:szCs w:val="26"/>
        </w:rPr>
        <w:t xml:space="preserve"> </w:t>
      </w:r>
      <w:r w:rsidR="004F3BF8">
        <w:rPr>
          <w:rFonts w:ascii="Arial" w:eastAsia="Calibri" w:hAnsi="Arial" w:cs="Arial"/>
          <w:b/>
          <w:sz w:val="26"/>
          <w:szCs w:val="26"/>
        </w:rPr>
        <w:t>DIRECTOR JURÍDICO DE LA SECRETARÍA DE MOVILIDAD DEL PODER EJECUTIVO DEL ESTADO DE OAXACA</w:t>
      </w:r>
      <w:r w:rsidR="004F3BF8">
        <w:rPr>
          <w:rFonts w:ascii="Arial" w:hAnsi="Arial" w:cs="Arial"/>
          <w:b/>
          <w:bCs/>
          <w:color w:val="000000"/>
          <w:sz w:val="26"/>
          <w:szCs w:val="26"/>
        </w:rPr>
        <w:t xml:space="preserve">, </w:t>
      </w:r>
      <w:r>
        <w:rPr>
          <w:rFonts w:ascii="Arial" w:eastAsia="Calibri" w:hAnsi="Arial" w:cs="Arial"/>
          <w:sz w:val="26"/>
          <w:szCs w:val="26"/>
        </w:rPr>
        <w:t xml:space="preserve">en contra de la </w:t>
      </w:r>
      <w:r w:rsidR="00F11A9C">
        <w:rPr>
          <w:rFonts w:ascii="Arial" w:eastAsia="Calibri" w:hAnsi="Arial" w:cs="Arial"/>
          <w:sz w:val="26"/>
          <w:szCs w:val="26"/>
        </w:rPr>
        <w:t xml:space="preserve">resolución </w:t>
      </w:r>
      <w:r>
        <w:rPr>
          <w:rFonts w:ascii="Arial" w:eastAsia="Calibri" w:hAnsi="Arial" w:cs="Arial"/>
          <w:sz w:val="26"/>
          <w:szCs w:val="26"/>
        </w:rPr>
        <w:t xml:space="preserve">de </w:t>
      </w:r>
      <w:r w:rsidR="00F11A9C">
        <w:rPr>
          <w:rFonts w:ascii="Arial" w:eastAsia="Calibri" w:hAnsi="Arial" w:cs="Arial"/>
          <w:sz w:val="26"/>
          <w:szCs w:val="26"/>
        </w:rPr>
        <w:t>quince de diciembre de dos mil veintiuno</w:t>
      </w:r>
      <w:r>
        <w:rPr>
          <w:rFonts w:ascii="Arial" w:eastAsia="Calibri" w:hAnsi="Arial" w:cs="Arial"/>
          <w:sz w:val="26"/>
          <w:szCs w:val="26"/>
        </w:rPr>
        <w:t xml:space="preserve">, dictada por </w:t>
      </w:r>
      <w:r w:rsidR="00BD5B0D">
        <w:rPr>
          <w:rFonts w:ascii="Arial" w:eastAsia="Calibri" w:hAnsi="Arial" w:cs="Arial"/>
          <w:sz w:val="26"/>
          <w:szCs w:val="26"/>
        </w:rPr>
        <w:t xml:space="preserve">el </w:t>
      </w:r>
      <w:r>
        <w:rPr>
          <w:rFonts w:ascii="Arial" w:eastAsia="Calibri" w:hAnsi="Arial" w:cs="Arial"/>
          <w:sz w:val="26"/>
          <w:szCs w:val="26"/>
        </w:rPr>
        <w:t>Magistrad</w:t>
      </w:r>
      <w:r w:rsidR="00BD5B0D">
        <w:rPr>
          <w:rFonts w:ascii="Arial" w:eastAsia="Calibri" w:hAnsi="Arial" w:cs="Arial"/>
          <w:sz w:val="26"/>
          <w:szCs w:val="26"/>
        </w:rPr>
        <w:t>o</w:t>
      </w:r>
      <w:r>
        <w:rPr>
          <w:rFonts w:ascii="Arial" w:eastAsia="Calibri" w:hAnsi="Arial" w:cs="Arial"/>
          <w:sz w:val="26"/>
          <w:szCs w:val="26"/>
        </w:rPr>
        <w:t xml:space="preserve"> de la </w:t>
      </w:r>
      <w:r w:rsidR="00BD5B0D">
        <w:rPr>
          <w:rFonts w:ascii="Arial" w:eastAsia="Calibri" w:hAnsi="Arial" w:cs="Arial"/>
          <w:sz w:val="26"/>
          <w:szCs w:val="26"/>
        </w:rPr>
        <w:t>Sexta</w:t>
      </w:r>
      <w:r>
        <w:rPr>
          <w:rFonts w:ascii="Arial" w:eastAsia="Calibri" w:hAnsi="Arial" w:cs="Arial"/>
          <w:sz w:val="26"/>
          <w:szCs w:val="26"/>
        </w:rPr>
        <w:t xml:space="preserve"> Sala Unitaria de Primera Instancia de este Tribunal, en el </w:t>
      </w:r>
      <w:r w:rsidR="00F11A9C">
        <w:rPr>
          <w:rFonts w:ascii="Arial" w:eastAsia="Calibri" w:hAnsi="Arial" w:cs="Arial"/>
          <w:sz w:val="26"/>
          <w:szCs w:val="26"/>
        </w:rPr>
        <w:t xml:space="preserve">cuaderno de suspensión relativo al </w:t>
      </w:r>
      <w:r>
        <w:rPr>
          <w:rFonts w:ascii="Arial" w:eastAsia="Calibri" w:hAnsi="Arial" w:cs="Arial"/>
          <w:sz w:val="26"/>
          <w:szCs w:val="26"/>
        </w:rPr>
        <w:t xml:space="preserve">juicio de nulidad </w:t>
      </w:r>
      <w:r w:rsidR="00F11A9C">
        <w:rPr>
          <w:rFonts w:ascii="Arial" w:eastAsia="Calibri" w:hAnsi="Arial" w:cs="Arial"/>
          <w:b/>
          <w:sz w:val="26"/>
          <w:szCs w:val="26"/>
        </w:rPr>
        <w:t>0115/2020</w:t>
      </w:r>
      <w:r w:rsidR="00FA7E70" w:rsidRPr="00FA7E70">
        <w:rPr>
          <w:rFonts w:ascii="Arial" w:eastAsia="Calibri" w:hAnsi="Arial" w:cs="Arial"/>
          <w:bCs/>
          <w:iCs/>
          <w:sz w:val="26"/>
          <w:szCs w:val="26"/>
        </w:rPr>
        <w:t xml:space="preserve">, </w:t>
      </w:r>
      <w:r w:rsidR="00FA7E70">
        <w:rPr>
          <w:rFonts w:ascii="Arial" w:eastAsia="Calibri" w:hAnsi="Arial" w:cs="Arial"/>
          <w:bCs/>
          <w:iCs/>
          <w:sz w:val="26"/>
          <w:szCs w:val="26"/>
        </w:rPr>
        <w:t>antes</w:t>
      </w:r>
      <w:r w:rsidR="00FA7E70" w:rsidRPr="00FA7E70">
        <w:rPr>
          <w:rFonts w:ascii="Arial" w:eastAsia="Calibri" w:hAnsi="Arial" w:cs="Arial"/>
          <w:bCs/>
          <w:iCs/>
          <w:sz w:val="26"/>
          <w:szCs w:val="26"/>
        </w:rPr>
        <w:t xml:space="preserve"> </w:t>
      </w:r>
      <w:r w:rsidR="00FA7E70">
        <w:rPr>
          <w:rFonts w:ascii="Arial" w:eastAsia="Calibri" w:hAnsi="Arial" w:cs="Arial"/>
          <w:bCs/>
          <w:iCs/>
          <w:sz w:val="26"/>
          <w:szCs w:val="26"/>
        </w:rPr>
        <w:t>0121/2019</w:t>
      </w:r>
      <w:r w:rsidR="00FA7E70" w:rsidRPr="00FA7E70">
        <w:rPr>
          <w:rFonts w:ascii="Arial" w:eastAsia="Calibri" w:hAnsi="Arial" w:cs="Arial"/>
          <w:bCs/>
          <w:iCs/>
          <w:sz w:val="26"/>
          <w:szCs w:val="26"/>
        </w:rPr>
        <w:t xml:space="preserve"> del índice de la </w:t>
      </w:r>
      <w:r w:rsidR="00FA7E70">
        <w:rPr>
          <w:rFonts w:ascii="Arial" w:eastAsia="Calibri" w:hAnsi="Arial" w:cs="Arial"/>
          <w:bCs/>
          <w:iCs/>
          <w:sz w:val="26"/>
          <w:szCs w:val="26"/>
        </w:rPr>
        <w:t xml:space="preserve">Séptima </w:t>
      </w:r>
      <w:r w:rsidR="00FA7E70" w:rsidRPr="00FA7E70">
        <w:rPr>
          <w:rFonts w:ascii="Arial" w:eastAsia="Calibri" w:hAnsi="Arial" w:cs="Arial"/>
          <w:bCs/>
          <w:iCs/>
          <w:sz w:val="26"/>
          <w:szCs w:val="26"/>
        </w:rPr>
        <w:t xml:space="preserve">Sala Unitaria de Primera Instancia, </w:t>
      </w:r>
      <w:r w:rsidR="00FA7E70">
        <w:rPr>
          <w:rFonts w:ascii="Arial" w:eastAsia="Calibri" w:hAnsi="Arial" w:cs="Arial"/>
          <w:bCs/>
          <w:iCs/>
          <w:sz w:val="26"/>
          <w:szCs w:val="26"/>
        </w:rPr>
        <w:t xml:space="preserve">cambio que se dio </w:t>
      </w:r>
      <w:r w:rsidR="00FA7E70" w:rsidRPr="00FA7E70">
        <w:rPr>
          <w:rFonts w:ascii="Arial" w:eastAsia="Calibri" w:hAnsi="Arial" w:cs="Arial"/>
          <w:bCs/>
          <w:iCs/>
          <w:sz w:val="26"/>
          <w:szCs w:val="26"/>
        </w:rPr>
        <w:t>conforme a lo dispuesto en el Acuerdo General AG/TJAO/13/2020 del Pleno de este Tribunal, en el que se determinó la reasignación de funciones de la Séptima Sala Unitaria y la redistribución del presente expediente</w:t>
      </w:r>
      <w:r w:rsidR="00FA7E70">
        <w:rPr>
          <w:rFonts w:ascii="Arial" w:eastAsia="Calibri" w:hAnsi="Arial" w:cs="Arial"/>
          <w:bCs/>
          <w:iCs/>
          <w:sz w:val="26"/>
          <w:szCs w:val="26"/>
        </w:rPr>
        <w:t xml:space="preserve">, </w:t>
      </w:r>
      <w:r>
        <w:rPr>
          <w:rFonts w:ascii="Arial" w:eastAsia="Calibri" w:hAnsi="Arial" w:cs="Arial"/>
          <w:sz w:val="26"/>
          <w:szCs w:val="26"/>
        </w:rPr>
        <w:t xml:space="preserve">promovido por </w:t>
      </w:r>
      <w:r w:rsidR="00C119BD">
        <w:rPr>
          <w:rFonts w:ascii="Arial" w:eastAsia="Calibri" w:hAnsi="Arial" w:cs="Arial"/>
          <w:b/>
          <w:sz w:val="26"/>
          <w:szCs w:val="26"/>
        </w:rPr>
        <w:t>*******</w:t>
      </w:r>
      <w:r w:rsidR="00E56707">
        <w:rPr>
          <w:rFonts w:ascii="Arial" w:eastAsia="Calibri" w:hAnsi="Arial" w:cs="Arial"/>
          <w:b/>
          <w:sz w:val="26"/>
          <w:szCs w:val="26"/>
        </w:rPr>
        <w:t xml:space="preserve">, </w:t>
      </w:r>
      <w:r w:rsidR="00E56707">
        <w:rPr>
          <w:rFonts w:ascii="Arial" w:eastAsia="Calibri" w:hAnsi="Arial" w:cs="Arial"/>
          <w:sz w:val="26"/>
          <w:szCs w:val="26"/>
        </w:rPr>
        <w:t xml:space="preserve">EN CONTRA DEL </w:t>
      </w:r>
      <w:r w:rsidR="00E56707">
        <w:rPr>
          <w:rFonts w:ascii="Arial" w:eastAsia="Calibri" w:hAnsi="Arial" w:cs="Arial"/>
          <w:b/>
          <w:sz w:val="26"/>
          <w:szCs w:val="26"/>
        </w:rPr>
        <w:t>SECRETARIO Y EL DIRECTOR DE CONCESIONES Y PRÓRROGAS, AUTORIDADES DE LA SECRETARÍA DE VIALIDAD Y TRANSPORTE DEL ESTADO DE OAXACA, AHORA SECRETARÍA DE MOVILIDAD DEL ESTADO DE OAXACA,</w:t>
      </w:r>
      <w:r w:rsidR="0024397A">
        <w:rPr>
          <w:rFonts w:ascii="Arial" w:eastAsia="Calibri" w:hAnsi="Arial" w:cs="Arial"/>
          <w:b/>
          <w:sz w:val="26"/>
          <w:szCs w:val="26"/>
        </w:rPr>
        <w:t xml:space="preserve"> </w:t>
      </w:r>
      <w:r>
        <w:rPr>
          <w:rFonts w:ascii="Arial" w:hAnsi="Arial" w:cs="Arial"/>
          <w:sz w:val="26"/>
          <w:szCs w:val="26"/>
        </w:rPr>
        <w:t>por lo que con fundamento en los artículos 2</w:t>
      </w:r>
      <w:r w:rsidR="00A739DF">
        <w:rPr>
          <w:rFonts w:ascii="Arial" w:hAnsi="Arial" w:cs="Arial"/>
          <w:sz w:val="26"/>
          <w:szCs w:val="26"/>
        </w:rPr>
        <w:t>3</w:t>
      </w:r>
      <w:r>
        <w:rPr>
          <w:rFonts w:ascii="Arial" w:hAnsi="Arial" w:cs="Arial"/>
          <w:sz w:val="26"/>
          <w:szCs w:val="26"/>
        </w:rPr>
        <w:t>6</w:t>
      </w:r>
      <w:r w:rsidR="0024397A">
        <w:rPr>
          <w:rFonts w:ascii="Arial" w:hAnsi="Arial" w:cs="Arial"/>
          <w:sz w:val="26"/>
          <w:szCs w:val="26"/>
        </w:rPr>
        <w:t xml:space="preserve">, </w:t>
      </w:r>
      <w:r>
        <w:rPr>
          <w:rFonts w:ascii="Arial" w:hAnsi="Arial" w:cs="Arial"/>
          <w:sz w:val="26"/>
          <w:szCs w:val="26"/>
        </w:rPr>
        <w:t>2</w:t>
      </w:r>
      <w:r w:rsidR="00A739DF">
        <w:rPr>
          <w:rFonts w:ascii="Arial" w:hAnsi="Arial" w:cs="Arial"/>
          <w:sz w:val="26"/>
          <w:szCs w:val="26"/>
        </w:rPr>
        <w:t>3</w:t>
      </w:r>
      <w:r>
        <w:rPr>
          <w:rFonts w:ascii="Arial" w:hAnsi="Arial" w:cs="Arial"/>
          <w:sz w:val="26"/>
          <w:szCs w:val="26"/>
        </w:rPr>
        <w:t xml:space="preserve">7 de la Ley de </w:t>
      </w:r>
      <w:r w:rsidR="00A739DF">
        <w:rPr>
          <w:rFonts w:ascii="Arial" w:hAnsi="Arial" w:cs="Arial"/>
          <w:sz w:val="26"/>
          <w:szCs w:val="26"/>
        </w:rPr>
        <w:t xml:space="preserve">Procedimiento y </w:t>
      </w:r>
      <w:r>
        <w:rPr>
          <w:rFonts w:ascii="Arial" w:hAnsi="Arial" w:cs="Arial"/>
          <w:sz w:val="26"/>
          <w:szCs w:val="26"/>
        </w:rPr>
        <w:t>Justicia Administrativa para el Estado de Oaxaca</w:t>
      </w:r>
      <w:r w:rsidR="0024397A">
        <w:rPr>
          <w:rFonts w:ascii="Arial" w:hAnsi="Arial" w:cs="Arial"/>
          <w:sz w:val="26"/>
          <w:szCs w:val="26"/>
        </w:rPr>
        <w:t>, 24 fracciones I y II de la Ley Orgánica del Tribunal de Justicia Administrativa del Estado de Oaxaca,</w:t>
      </w:r>
      <w:r>
        <w:rPr>
          <w:rFonts w:ascii="Arial" w:hAnsi="Arial" w:cs="Arial"/>
          <w:sz w:val="26"/>
          <w:szCs w:val="26"/>
        </w:rPr>
        <w:t xml:space="preserve"> se procede a dictar resolución en los siguientes términos:</w:t>
      </w:r>
      <w:r w:rsidR="00B02F70">
        <w:rPr>
          <w:rFonts w:ascii="Arial" w:hAnsi="Arial" w:cs="Arial"/>
          <w:sz w:val="26"/>
          <w:szCs w:val="26"/>
        </w:rPr>
        <w:t xml:space="preserve">- - - - - - - - - - - </w:t>
      </w:r>
      <w:r w:rsidR="00AA14FC">
        <w:rPr>
          <w:rFonts w:ascii="Arial" w:hAnsi="Arial" w:cs="Arial"/>
          <w:sz w:val="26"/>
          <w:szCs w:val="26"/>
        </w:rPr>
        <w:t xml:space="preserve">- - - - - - - - - - - - - - - - - - - </w:t>
      </w:r>
      <w:r w:rsidR="004F3BF8">
        <w:rPr>
          <w:rFonts w:ascii="Arial" w:hAnsi="Arial" w:cs="Arial"/>
          <w:sz w:val="26"/>
          <w:szCs w:val="26"/>
        </w:rPr>
        <w:t xml:space="preserve">- - - - </w:t>
      </w:r>
      <w:r w:rsidR="004F3BF8" w:rsidRPr="00625957">
        <w:rPr>
          <w:rFonts w:ascii="Arial" w:hAnsi="Arial" w:cs="Arial"/>
          <w:sz w:val="26"/>
          <w:szCs w:val="26"/>
        </w:rPr>
        <w:t xml:space="preserve">- </w:t>
      </w:r>
      <w:r w:rsidR="00B02F70" w:rsidRPr="00625957">
        <w:rPr>
          <w:rFonts w:ascii="Arial" w:hAnsi="Arial" w:cs="Arial"/>
          <w:sz w:val="26"/>
          <w:szCs w:val="26"/>
          <w:lang w:val="es-ES"/>
        </w:rPr>
        <w:t>- - - - - - - - - - -</w:t>
      </w:r>
    </w:p>
    <w:p w14:paraId="751FB8A8" w14:textId="432AB713" w:rsidR="00571114" w:rsidRPr="00B02F70" w:rsidRDefault="00571114" w:rsidP="00625957">
      <w:pPr>
        <w:spacing w:after="120" w:line="360" w:lineRule="auto"/>
        <w:ind w:firstLine="708"/>
        <w:jc w:val="center"/>
        <w:rPr>
          <w:rFonts w:ascii="Arial" w:hAnsi="Arial" w:cs="Arial"/>
          <w:sz w:val="26"/>
          <w:szCs w:val="26"/>
        </w:rPr>
      </w:pPr>
      <w:r w:rsidRPr="00B02F70">
        <w:rPr>
          <w:rFonts w:ascii="Arial" w:hAnsi="Arial" w:cs="Arial"/>
          <w:b/>
          <w:bCs/>
          <w:sz w:val="26"/>
          <w:szCs w:val="26"/>
          <w:lang w:val="es-ES"/>
        </w:rPr>
        <w:t>R E S U L T A N D O:</w:t>
      </w:r>
    </w:p>
    <w:p w14:paraId="4995B53C" w14:textId="54D0AD96" w:rsidR="00571114" w:rsidRDefault="00571114" w:rsidP="008A1C0A">
      <w:pPr>
        <w:spacing w:after="12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sidRPr="00625957">
        <w:rPr>
          <w:rFonts w:ascii="Arial" w:hAnsi="Arial" w:cs="Arial"/>
          <w:sz w:val="26"/>
          <w:szCs w:val="26"/>
          <w:lang w:val="es-ES"/>
        </w:rPr>
        <w:t>I</w:t>
      </w:r>
      <w:r>
        <w:rPr>
          <w:rFonts w:ascii="Arial" w:hAnsi="Arial" w:cs="Arial"/>
          <w:sz w:val="26"/>
          <w:szCs w:val="26"/>
          <w:lang w:val="es-ES"/>
        </w:rPr>
        <w:t xml:space="preserve">nconforme con la </w:t>
      </w:r>
      <w:r w:rsidR="0024397A">
        <w:rPr>
          <w:rFonts w:ascii="Arial" w:hAnsi="Arial" w:cs="Arial"/>
          <w:sz w:val="26"/>
          <w:szCs w:val="26"/>
          <w:lang w:val="es-ES"/>
        </w:rPr>
        <w:t>resolución de quince de diciembre de dos mil veintiuno</w:t>
      </w:r>
      <w:r>
        <w:rPr>
          <w:rFonts w:ascii="Arial" w:hAnsi="Arial" w:cs="Arial"/>
          <w:sz w:val="26"/>
          <w:szCs w:val="26"/>
          <w:lang w:val="es-ES"/>
        </w:rPr>
        <w:t xml:space="preserve">, dictada por </w:t>
      </w:r>
      <w:r w:rsidR="00BD5B0D">
        <w:rPr>
          <w:rFonts w:ascii="Arial" w:hAnsi="Arial" w:cs="Arial"/>
          <w:sz w:val="26"/>
          <w:szCs w:val="26"/>
          <w:lang w:val="es-ES"/>
        </w:rPr>
        <w:t>el Magistrado de la Sexta</w:t>
      </w:r>
      <w:r w:rsidR="00A81C86">
        <w:rPr>
          <w:rFonts w:ascii="Arial" w:eastAsia="Calibri" w:hAnsi="Arial" w:cs="Arial"/>
          <w:sz w:val="26"/>
          <w:szCs w:val="26"/>
        </w:rPr>
        <w:t xml:space="preserve"> </w:t>
      </w:r>
      <w:r>
        <w:rPr>
          <w:rFonts w:ascii="Arial" w:hAnsi="Arial" w:cs="Arial"/>
          <w:sz w:val="26"/>
          <w:szCs w:val="26"/>
          <w:lang w:val="es-ES"/>
        </w:rPr>
        <w:t xml:space="preserve">Sala Unitaria </w:t>
      </w:r>
      <w:r>
        <w:rPr>
          <w:rFonts w:ascii="Arial" w:hAnsi="Arial" w:cs="Arial"/>
          <w:sz w:val="26"/>
          <w:szCs w:val="26"/>
          <w:lang w:val="es-ES"/>
        </w:rPr>
        <w:lastRenderedPageBreak/>
        <w:t>de Primera Instancia</w:t>
      </w:r>
      <w:r w:rsidR="008814C1">
        <w:rPr>
          <w:rFonts w:ascii="Arial" w:hAnsi="Arial" w:cs="Arial"/>
          <w:sz w:val="26"/>
          <w:szCs w:val="26"/>
          <w:lang w:val="es-ES"/>
        </w:rPr>
        <w:t>,</w:t>
      </w:r>
      <w:r w:rsidR="009904ED">
        <w:rPr>
          <w:rFonts w:ascii="Arial" w:hAnsi="Arial" w:cs="Arial"/>
          <w:sz w:val="26"/>
          <w:szCs w:val="26"/>
          <w:lang w:val="es-ES"/>
        </w:rPr>
        <w:t xml:space="preserve"> </w:t>
      </w:r>
      <w:r w:rsidR="0024397A" w:rsidRPr="00107FE0">
        <w:rPr>
          <w:rFonts w:ascii="Arial" w:eastAsia="Calibri" w:hAnsi="Arial" w:cs="Arial"/>
          <w:bCs/>
          <w:sz w:val="26"/>
          <w:szCs w:val="26"/>
        </w:rPr>
        <w:t>el</w:t>
      </w:r>
      <w:r w:rsidR="0024397A">
        <w:rPr>
          <w:rFonts w:ascii="Arial" w:eastAsia="Calibri" w:hAnsi="Arial" w:cs="Arial"/>
          <w:b/>
          <w:sz w:val="26"/>
          <w:szCs w:val="26"/>
        </w:rPr>
        <w:t xml:space="preserve"> Director Jurídico de la Secretaría de </w:t>
      </w:r>
      <w:r w:rsidR="003756AA">
        <w:rPr>
          <w:rFonts w:ascii="Arial" w:eastAsia="Calibri" w:hAnsi="Arial" w:cs="Arial"/>
          <w:b/>
          <w:sz w:val="26"/>
          <w:szCs w:val="26"/>
        </w:rPr>
        <w:t>M</w:t>
      </w:r>
      <w:r w:rsidR="0024397A">
        <w:rPr>
          <w:rFonts w:ascii="Arial" w:eastAsia="Calibri" w:hAnsi="Arial" w:cs="Arial"/>
          <w:b/>
          <w:sz w:val="26"/>
          <w:szCs w:val="26"/>
        </w:rPr>
        <w:t>ovilidad del Poder Ejecutivo del Estado de Oaxaca</w:t>
      </w:r>
      <w:r>
        <w:rPr>
          <w:rFonts w:ascii="Arial" w:hAnsi="Arial" w:cs="Arial"/>
          <w:b/>
          <w:bCs/>
          <w:color w:val="000000"/>
          <w:sz w:val="26"/>
          <w:szCs w:val="26"/>
        </w:rPr>
        <w:t xml:space="preserve">, </w:t>
      </w:r>
      <w:r>
        <w:rPr>
          <w:rFonts w:ascii="Arial" w:hAnsi="Arial" w:cs="Arial"/>
          <w:sz w:val="26"/>
          <w:szCs w:val="26"/>
          <w:lang w:val="es-ES"/>
        </w:rPr>
        <w:t>interpuso en su contra recurso de revisión.</w:t>
      </w:r>
      <w:r w:rsidR="00030E77">
        <w:rPr>
          <w:rFonts w:ascii="Arial" w:hAnsi="Arial" w:cs="Arial"/>
          <w:sz w:val="26"/>
          <w:szCs w:val="26"/>
          <w:lang w:val="es-ES"/>
        </w:rPr>
        <w:t xml:space="preserve"> </w:t>
      </w:r>
      <w:r w:rsidR="00B02F70">
        <w:rPr>
          <w:rFonts w:ascii="Arial" w:hAnsi="Arial" w:cs="Arial"/>
          <w:sz w:val="26"/>
          <w:szCs w:val="26"/>
          <w:lang w:val="es-ES"/>
        </w:rPr>
        <w:t xml:space="preserve">- - - - - - </w:t>
      </w:r>
      <w:r w:rsidR="00635B8D">
        <w:rPr>
          <w:rFonts w:ascii="Arial" w:hAnsi="Arial" w:cs="Arial"/>
          <w:sz w:val="26"/>
          <w:szCs w:val="26"/>
          <w:lang w:val="es-ES"/>
        </w:rPr>
        <w:t xml:space="preserve"> </w:t>
      </w:r>
      <w:r w:rsidR="008F2877">
        <w:rPr>
          <w:rFonts w:ascii="Arial" w:hAnsi="Arial" w:cs="Arial"/>
          <w:sz w:val="26"/>
          <w:szCs w:val="26"/>
          <w:lang w:val="es-ES"/>
        </w:rPr>
        <w:t xml:space="preserve">- - - - - - - - - - - - - - - - - - - - - - - - - - </w:t>
      </w:r>
    </w:p>
    <w:p w14:paraId="0F56A65A" w14:textId="6E62508F"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24397A">
        <w:rPr>
          <w:rFonts w:ascii="Arial" w:hAnsi="Arial" w:cs="Arial"/>
          <w:sz w:val="26"/>
          <w:szCs w:val="26"/>
        </w:rPr>
        <w:t xml:space="preserve">resolución </w:t>
      </w:r>
      <w:r>
        <w:rPr>
          <w:rFonts w:ascii="Arial" w:hAnsi="Arial" w:cs="Arial"/>
          <w:sz w:val="26"/>
          <w:szCs w:val="26"/>
        </w:rPr>
        <w:t>recurrida, son los siguientes:</w:t>
      </w:r>
      <w:r w:rsidR="00B02F70">
        <w:rPr>
          <w:rFonts w:ascii="Arial" w:hAnsi="Arial" w:cs="Arial"/>
          <w:sz w:val="26"/>
          <w:szCs w:val="26"/>
        </w:rPr>
        <w:t xml:space="preserve">- - - - - - - - - - - - - - - - - - - - - - - - - - - - - - - - - - - - - - - - - - </w:t>
      </w:r>
    </w:p>
    <w:p w14:paraId="1BD9B02C" w14:textId="77777777" w:rsidR="008A1C0A" w:rsidRDefault="008A1C0A" w:rsidP="00635B8D">
      <w:pPr>
        <w:spacing w:after="0" w:line="360" w:lineRule="auto"/>
        <w:ind w:left="1134" w:right="900" w:firstLine="282"/>
        <w:jc w:val="both"/>
        <w:rPr>
          <w:rFonts w:ascii="Arial" w:eastAsia="Calibri" w:hAnsi="Arial" w:cs="Arial"/>
          <w:bCs/>
          <w:color w:val="000000" w:themeColor="text1"/>
        </w:rPr>
      </w:pPr>
    </w:p>
    <w:p w14:paraId="2409E473" w14:textId="56588D3D" w:rsidR="001902E0" w:rsidRPr="001902E0" w:rsidRDefault="00635B8D" w:rsidP="00E56707">
      <w:pPr>
        <w:spacing w:after="0"/>
        <w:ind w:left="1134" w:right="900" w:firstLine="282"/>
        <w:jc w:val="both"/>
        <w:rPr>
          <w:rFonts w:ascii="Arial" w:eastAsia="Calibri" w:hAnsi="Arial" w:cs="Arial"/>
          <w:i/>
          <w:color w:val="000000" w:themeColor="text1"/>
        </w:rPr>
      </w:pPr>
      <w:r>
        <w:rPr>
          <w:rFonts w:ascii="Arial" w:eastAsia="Calibri" w:hAnsi="Arial" w:cs="Arial"/>
          <w:bCs/>
          <w:color w:val="000000" w:themeColor="text1"/>
        </w:rPr>
        <w:t>“</w:t>
      </w:r>
      <w:r>
        <w:rPr>
          <w:rFonts w:ascii="Arial" w:eastAsia="Calibri" w:hAnsi="Arial" w:cs="Arial"/>
          <w:b/>
          <w:bCs/>
          <w:i/>
          <w:color w:val="000000" w:themeColor="text1"/>
        </w:rPr>
        <w:t>PRIMERO.</w:t>
      </w:r>
      <w:r w:rsidR="0024397A">
        <w:rPr>
          <w:rFonts w:ascii="Arial" w:eastAsia="Calibri" w:hAnsi="Arial" w:cs="Arial"/>
          <w:b/>
          <w:bCs/>
          <w:i/>
          <w:color w:val="000000" w:themeColor="text1"/>
        </w:rPr>
        <w:t xml:space="preserve"> </w:t>
      </w:r>
      <w:r w:rsidR="0024397A">
        <w:rPr>
          <w:rFonts w:ascii="Arial" w:eastAsia="Calibri" w:hAnsi="Arial" w:cs="Arial"/>
          <w:b/>
          <w:bCs/>
          <w:i/>
          <w:color w:val="000000" w:themeColor="text1"/>
          <w:u w:val="single"/>
        </w:rPr>
        <w:t xml:space="preserve">Se concede la suspensión definitiva </w:t>
      </w:r>
      <w:r w:rsidR="0024397A">
        <w:rPr>
          <w:rFonts w:ascii="Arial" w:eastAsia="Calibri" w:hAnsi="Arial" w:cs="Arial"/>
          <w:b/>
          <w:bCs/>
          <w:i/>
          <w:color w:val="000000" w:themeColor="text1"/>
        </w:rPr>
        <w:t xml:space="preserve">a </w:t>
      </w:r>
      <w:r w:rsidR="00C119BD">
        <w:rPr>
          <w:rFonts w:ascii="Arial" w:eastAsia="Calibri" w:hAnsi="Arial" w:cs="Arial"/>
          <w:b/>
          <w:bCs/>
          <w:i/>
          <w:color w:val="000000" w:themeColor="text1"/>
        </w:rPr>
        <w:t>*******</w:t>
      </w:r>
      <w:r w:rsidR="0024397A">
        <w:rPr>
          <w:rFonts w:ascii="Arial" w:eastAsia="Calibri" w:hAnsi="Arial" w:cs="Arial"/>
          <w:b/>
          <w:bCs/>
          <w:i/>
          <w:color w:val="000000" w:themeColor="text1"/>
        </w:rPr>
        <w:t>,</w:t>
      </w:r>
      <w:r w:rsidR="0024397A">
        <w:rPr>
          <w:rFonts w:ascii="Arial" w:eastAsia="Calibri" w:hAnsi="Arial" w:cs="Arial"/>
          <w:i/>
          <w:color w:val="000000" w:themeColor="text1"/>
        </w:rPr>
        <w:t xml:space="preserve"> para el efecto de que las autoridades demandadas, Secretario de Vialidad y Transporte, ahora denominado Secretario de Movilidad </w:t>
      </w:r>
      <w:r w:rsidR="007F7ACC">
        <w:rPr>
          <w:rFonts w:ascii="Arial" w:eastAsia="Calibri" w:hAnsi="Arial" w:cs="Arial"/>
          <w:i/>
          <w:color w:val="000000" w:themeColor="text1"/>
        </w:rPr>
        <w:t>y</w:t>
      </w:r>
      <w:r w:rsidR="0024397A">
        <w:rPr>
          <w:rFonts w:ascii="Arial" w:eastAsia="Calibri" w:hAnsi="Arial" w:cs="Arial"/>
          <w:i/>
          <w:color w:val="000000" w:themeColor="text1"/>
        </w:rPr>
        <w:t xml:space="preserve"> el Director de Concesiones y Prórrogas, ambas autoridades de la Secretaría de Movilidad del Estado de Oaxaca, así como el Director General de la Policía Estatal</w:t>
      </w:r>
      <w:r w:rsidR="001902E0">
        <w:rPr>
          <w:rFonts w:ascii="Arial" w:eastAsia="Calibri" w:hAnsi="Arial" w:cs="Arial"/>
          <w:i/>
          <w:color w:val="000000" w:themeColor="text1"/>
        </w:rPr>
        <w:t xml:space="preserve">, </w:t>
      </w:r>
      <w:r w:rsidR="001902E0">
        <w:rPr>
          <w:rFonts w:ascii="Arial" w:eastAsia="Calibri" w:hAnsi="Arial" w:cs="Arial"/>
          <w:b/>
          <w:bCs/>
          <w:i/>
          <w:color w:val="000000" w:themeColor="text1"/>
        </w:rPr>
        <w:t xml:space="preserve">no detenga u ordene la detención del vehículo </w:t>
      </w:r>
      <w:r w:rsidR="001902E0">
        <w:rPr>
          <w:rFonts w:ascii="Arial" w:eastAsia="Calibri" w:hAnsi="Arial" w:cs="Arial"/>
          <w:i/>
          <w:color w:val="000000" w:themeColor="text1"/>
        </w:rPr>
        <w:t xml:space="preserve">MARCA </w:t>
      </w:r>
      <w:r w:rsidR="00C119BD">
        <w:rPr>
          <w:rFonts w:ascii="Arial" w:eastAsia="Calibri" w:hAnsi="Arial" w:cs="Arial"/>
          <w:i/>
          <w:color w:val="000000" w:themeColor="text1"/>
        </w:rPr>
        <w:t>*******</w:t>
      </w:r>
      <w:r w:rsidR="001902E0">
        <w:rPr>
          <w:rFonts w:ascii="Arial" w:eastAsia="Calibri" w:hAnsi="Arial" w:cs="Arial"/>
          <w:i/>
          <w:color w:val="000000" w:themeColor="text1"/>
        </w:rPr>
        <w:t xml:space="preserve">, TIPO </w:t>
      </w:r>
      <w:r w:rsidR="00C119BD">
        <w:rPr>
          <w:rFonts w:ascii="Arial" w:eastAsia="Calibri" w:hAnsi="Arial" w:cs="Arial"/>
          <w:i/>
          <w:color w:val="000000" w:themeColor="text1"/>
        </w:rPr>
        <w:t>*******</w:t>
      </w:r>
      <w:r w:rsidR="001902E0">
        <w:rPr>
          <w:rFonts w:ascii="Arial" w:eastAsia="Calibri" w:hAnsi="Arial" w:cs="Arial"/>
          <w:i/>
          <w:color w:val="000000" w:themeColor="text1"/>
        </w:rPr>
        <w:t xml:space="preserve">, MODELO </w:t>
      </w:r>
      <w:r w:rsidR="00C119BD">
        <w:rPr>
          <w:rFonts w:ascii="Arial" w:eastAsia="Calibri" w:hAnsi="Arial" w:cs="Arial"/>
          <w:i/>
          <w:color w:val="000000" w:themeColor="text1"/>
        </w:rPr>
        <w:t>*******</w:t>
      </w:r>
      <w:r w:rsidR="001902E0">
        <w:rPr>
          <w:rFonts w:ascii="Arial" w:eastAsia="Calibri" w:hAnsi="Arial" w:cs="Arial"/>
          <w:i/>
          <w:color w:val="000000" w:themeColor="text1"/>
        </w:rPr>
        <w:t xml:space="preserve">, NÚMERO DE MOTOR </w:t>
      </w:r>
      <w:r w:rsidR="00C119BD">
        <w:rPr>
          <w:rFonts w:ascii="Arial" w:eastAsia="Calibri" w:hAnsi="Arial" w:cs="Arial"/>
          <w:i/>
          <w:color w:val="000000" w:themeColor="text1"/>
        </w:rPr>
        <w:t>*******</w:t>
      </w:r>
      <w:r w:rsidR="001902E0">
        <w:rPr>
          <w:rFonts w:ascii="Arial" w:eastAsia="Calibri" w:hAnsi="Arial" w:cs="Arial"/>
          <w:i/>
          <w:color w:val="000000" w:themeColor="text1"/>
        </w:rPr>
        <w:t xml:space="preserve">, NÚMERO DE SERIE </w:t>
      </w:r>
      <w:r w:rsidR="00C119BD">
        <w:rPr>
          <w:rFonts w:ascii="Arial" w:eastAsia="Calibri" w:hAnsi="Arial" w:cs="Arial"/>
          <w:i/>
          <w:color w:val="000000" w:themeColor="text1"/>
        </w:rPr>
        <w:t>*******</w:t>
      </w:r>
      <w:r w:rsidR="001902E0">
        <w:rPr>
          <w:rFonts w:ascii="Arial" w:eastAsia="Calibri" w:hAnsi="Arial" w:cs="Arial"/>
          <w:i/>
          <w:color w:val="000000" w:themeColor="text1"/>
        </w:rPr>
        <w:t xml:space="preserve">, CON CAPACIDAD PARA 5 PASAJEROS, CON EL CUAL PRESTA EL SERVICIO PÚBLICO DE TAXI, EN LA LOCALIDAD DE </w:t>
      </w:r>
      <w:r w:rsidR="00C119BD">
        <w:rPr>
          <w:rFonts w:ascii="Arial" w:eastAsia="Calibri" w:hAnsi="Arial" w:cs="Arial"/>
          <w:i/>
          <w:color w:val="000000" w:themeColor="text1"/>
        </w:rPr>
        <w:t>*******</w:t>
      </w:r>
      <w:r w:rsidR="001902E0">
        <w:rPr>
          <w:rFonts w:ascii="Arial" w:eastAsia="Calibri" w:hAnsi="Arial" w:cs="Arial"/>
          <w:i/>
          <w:color w:val="000000" w:themeColor="text1"/>
        </w:rPr>
        <w:t>, por no  contar con la renovación de su concesión y documentales accesorias, como son el alta de unidad y/ emplacamiento de su vehículo, hasta en tanto se dicte la sentencia definitiva que corresponda y, no así respecto a diversas violaciones a la Ley o Reglamento de Tránsito, o cualquier otra disposici</w:t>
      </w:r>
      <w:r w:rsidR="004F3BF8">
        <w:rPr>
          <w:rFonts w:ascii="Arial" w:eastAsia="Calibri" w:hAnsi="Arial" w:cs="Arial"/>
          <w:i/>
          <w:color w:val="000000" w:themeColor="text1"/>
        </w:rPr>
        <w:t>ón legal vigente. - - - - - - - - - - - - - - - - -</w:t>
      </w:r>
      <w:r w:rsidR="007F7ACC">
        <w:rPr>
          <w:rFonts w:ascii="Arial" w:eastAsia="Calibri" w:hAnsi="Arial" w:cs="Arial"/>
          <w:i/>
          <w:color w:val="000000" w:themeColor="text1"/>
        </w:rPr>
        <w:t xml:space="preserve"> -</w:t>
      </w:r>
    </w:p>
    <w:p w14:paraId="7D9EBA80" w14:textId="20407746" w:rsidR="007F7ACC" w:rsidRDefault="00635B8D" w:rsidP="007F7ACC">
      <w:pPr>
        <w:spacing w:before="240" w:after="120"/>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NOTIFÍQUESE </w:t>
      </w:r>
      <w:r w:rsidR="002547DE">
        <w:rPr>
          <w:rFonts w:ascii="Arial" w:eastAsia="Calibri" w:hAnsi="Arial" w:cs="Arial"/>
          <w:b/>
          <w:bCs/>
          <w:i/>
          <w:color w:val="000000" w:themeColor="text1"/>
        </w:rPr>
        <w:t xml:space="preserve">A LAS PARTES EN EL JUICIO Y AL DIRECTOS GENERAL DE LA POLICÍA VIAL ESTATAL, </w:t>
      </w:r>
      <w:r w:rsidR="002547DE">
        <w:rPr>
          <w:rFonts w:ascii="Arial" w:eastAsia="Calibri" w:hAnsi="Arial" w:cs="Arial"/>
          <w:bCs/>
          <w:i/>
          <w:color w:val="000000" w:themeColor="text1"/>
        </w:rPr>
        <w:t xml:space="preserve">en términos de los artículos </w:t>
      </w:r>
      <w:r w:rsidR="002547DE" w:rsidRPr="002547DE">
        <w:rPr>
          <w:rFonts w:ascii="Arial" w:eastAsia="Calibri" w:hAnsi="Arial" w:cs="Arial"/>
          <w:b/>
          <w:i/>
          <w:color w:val="000000" w:themeColor="text1"/>
        </w:rPr>
        <w:t xml:space="preserve">172, fracción I y 173, fracción (sic) I y II </w:t>
      </w:r>
      <w:r w:rsidR="002547DE">
        <w:rPr>
          <w:rFonts w:ascii="Arial" w:eastAsia="Calibri" w:hAnsi="Arial" w:cs="Arial"/>
          <w:bCs/>
          <w:i/>
          <w:color w:val="000000" w:themeColor="text1"/>
        </w:rPr>
        <w:t>de la Ley de Procedimiento y Justicia Administrativa para el Estado de Oaxaca</w:t>
      </w:r>
      <w:r>
        <w:rPr>
          <w:rFonts w:ascii="Arial" w:eastAsia="Calibri" w:hAnsi="Arial" w:cs="Arial"/>
          <w:bCs/>
          <w:i/>
          <w:color w:val="000000" w:themeColor="text1"/>
        </w:rPr>
        <w:t>.</w:t>
      </w:r>
      <w:r>
        <w:rPr>
          <w:rFonts w:ascii="Arial" w:eastAsia="Calibri" w:hAnsi="Arial" w:cs="Arial"/>
          <w:b/>
          <w:bCs/>
          <w:i/>
          <w:color w:val="000000" w:themeColor="text1"/>
        </w:rPr>
        <w:t xml:space="preserve"> </w:t>
      </w:r>
      <w:proofErr w:type="gramStart"/>
      <w:r>
        <w:rPr>
          <w:rFonts w:ascii="Arial" w:eastAsia="Calibri" w:hAnsi="Arial" w:cs="Arial"/>
          <w:b/>
          <w:bCs/>
          <w:i/>
          <w:color w:val="000000" w:themeColor="text1"/>
        </w:rPr>
        <w:t>CÚMPLASE</w:t>
      </w:r>
      <w:r>
        <w:rPr>
          <w:rFonts w:ascii="Arial" w:eastAsia="Calibri" w:hAnsi="Arial" w:cs="Arial"/>
          <w:bCs/>
          <w:i/>
          <w:color w:val="000000" w:themeColor="text1"/>
        </w:rPr>
        <w:t>.</w:t>
      </w:r>
      <w:proofErr w:type="gramEnd"/>
      <w:r>
        <w:rPr>
          <w:rFonts w:ascii="Arial" w:eastAsia="Calibri" w:hAnsi="Arial" w:cs="Arial"/>
          <w:bCs/>
          <w:i/>
          <w:color w:val="000000" w:themeColor="text1"/>
        </w:rPr>
        <w:t xml:space="preserve">”.- - - - - - - - - - - - </w:t>
      </w:r>
      <w:r w:rsidR="00A739DF">
        <w:rPr>
          <w:rFonts w:ascii="Arial" w:eastAsia="Calibri" w:hAnsi="Arial" w:cs="Arial"/>
          <w:bCs/>
          <w:i/>
          <w:color w:val="000000" w:themeColor="text1"/>
        </w:rPr>
        <w:t>- - - - - - - - -</w:t>
      </w:r>
      <w:r w:rsidR="007F7ACC">
        <w:rPr>
          <w:rFonts w:ascii="Arial" w:eastAsia="Calibri" w:hAnsi="Arial" w:cs="Arial"/>
          <w:bCs/>
          <w:i/>
          <w:color w:val="000000" w:themeColor="text1"/>
        </w:rPr>
        <w:t xml:space="preserve"> -</w:t>
      </w:r>
    </w:p>
    <w:p w14:paraId="510C90B5" w14:textId="03E2229C" w:rsidR="00635B8D" w:rsidRPr="00183EE9" w:rsidRDefault="00E56707" w:rsidP="007F7ACC">
      <w:pPr>
        <w:spacing w:before="240" w:after="12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w:t>
      </w:r>
      <w:r w:rsidR="00635B8D" w:rsidRPr="00183EE9">
        <w:rPr>
          <w:rFonts w:ascii="Arial" w:eastAsia="Times New Roman" w:hAnsi="Arial" w:cs="Arial"/>
          <w:b/>
          <w:bCs/>
          <w:sz w:val="26"/>
          <w:szCs w:val="26"/>
          <w:lang w:val="es-ES" w:eastAsia="es-ES"/>
        </w:rPr>
        <w:t xml:space="preserve"> O N S I D E R A N D O:</w:t>
      </w:r>
    </w:p>
    <w:p w14:paraId="76D94963" w14:textId="42059806" w:rsidR="00936625" w:rsidRPr="002A6561" w:rsidRDefault="00635B8D" w:rsidP="00A739DF">
      <w:pPr>
        <w:spacing w:before="120" w:after="0" w:line="360" w:lineRule="auto"/>
        <w:ind w:firstLine="709"/>
        <w:jc w:val="both"/>
        <w:rPr>
          <w:rFonts w:ascii="Arial" w:hAnsi="Arial" w:cs="Arial"/>
          <w:sz w:val="26"/>
          <w:szCs w:val="26"/>
        </w:rPr>
      </w:pPr>
      <w:r>
        <w:rPr>
          <w:rFonts w:ascii="Arial" w:hAnsi="Arial" w:cs="Arial"/>
          <w:b/>
          <w:bCs/>
          <w:iCs/>
          <w:sz w:val="26"/>
          <w:szCs w:val="26"/>
        </w:rPr>
        <w:t xml:space="preserve">PRIMERO. </w:t>
      </w:r>
      <w:r w:rsidR="00936625" w:rsidRPr="009A3C83">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936625" w:rsidRPr="009A3C83">
        <w:rPr>
          <w:rFonts w:ascii="Arial" w:hAnsi="Arial" w:cs="Arial"/>
          <w:bCs/>
          <w:iCs/>
          <w:sz w:val="26"/>
          <w:szCs w:val="26"/>
        </w:rPr>
        <w:t xml:space="preserve">23, 24 </w:t>
      </w:r>
      <w:r w:rsidR="00936625" w:rsidRPr="0016098F">
        <w:rPr>
          <w:rFonts w:ascii="Arial" w:hAnsi="Arial" w:cs="Arial"/>
          <w:bCs/>
          <w:iCs/>
          <w:sz w:val="26"/>
          <w:szCs w:val="26"/>
        </w:rPr>
        <w:t>fracciones I y III, 25</w:t>
      </w:r>
      <w:r w:rsidR="00936625" w:rsidRPr="009A3C83">
        <w:rPr>
          <w:rFonts w:ascii="Arial" w:hAnsi="Arial" w:cs="Arial"/>
          <w:bCs/>
          <w:iCs/>
          <w:sz w:val="26"/>
          <w:szCs w:val="26"/>
        </w:rPr>
        <w:t xml:space="preserve"> fracción I, 26 y 27 de la Ley Orgánica del Tribunal de Justicia Administrativa del Estado de Oaxaca, publicada en el Periódico Oficial del Estado de Oaxaca el siete de noviembre de  dos mil diecinueve;</w:t>
      </w:r>
      <w:r w:rsidR="00936625" w:rsidRPr="009A3C83">
        <w:rPr>
          <w:rFonts w:ascii="Arial" w:hAnsi="Arial" w:cs="Arial"/>
          <w:bCs/>
          <w:iCs/>
          <w:sz w:val="26"/>
          <w:szCs w:val="26"/>
          <w:lang w:eastAsia="es-ES"/>
        </w:rPr>
        <w:t xml:space="preserve"> 125, 127, 129, 130 fracción I, 131, 231, 236 y 238 </w:t>
      </w:r>
      <w:r w:rsidR="00936625" w:rsidRPr="009A3C83">
        <w:rPr>
          <w:rFonts w:ascii="Arial" w:hAnsi="Arial" w:cs="Arial"/>
          <w:bCs/>
          <w:iCs/>
          <w:sz w:val="26"/>
          <w:szCs w:val="26"/>
        </w:rPr>
        <w:t xml:space="preserve">de la Ley de Procedimiento y Justicia Administrativa para el Estado de Oaxaca, dado que se trata de un recurso de </w:t>
      </w:r>
      <w:r w:rsidR="00936625">
        <w:rPr>
          <w:rFonts w:ascii="Arial" w:hAnsi="Arial" w:cs="Arial"/>
          <w:bCs/>
          <w:iCs/>
          <w:sz w:val="26"/>
          <w:szCs w:val="26"/>
        </w:rPr>
        <w:t>r</w:t>
      </w:r>
      <w:r w:rsidR="00936625" w:rsidRPr="009A3C83">
        <w:rPr>
          <w:rFonts w:ascii="Arial" w:hAnsi="Arial" w:cs="Arial"/>
          <w:bCs/>
          <w:iCs/>
          <w:sz w:val="26"/>
          <w:szCs w:val="26"/>
        </w:rPr>
        <w:t>evisión interpuesto en contra de</w:t>
      </w:r>
      <w:r w:rsidR="00936625">
        <w:rPr>
          <w:rFonts w:ascii="Arial" w:hAnsi="Arial" w:cs="Arial"/>
          <w:bCs/>
          <w:iCs/>
          <w:sz w:val="26"/>
          <w:szCs w:val="26"/>
        </w:rPr>
        <w:t xml:space="preserve"> la </w:t>
      </w:r>
      <w:r w:rsidR="00A739DF">
        <w:rPr>
          <w:rFonts w:ascii="Arial" w:hAnsi="Arial" w:cs="Arial"/>
          <w:bCs/>
          <w:iCs/>
          <w:sz w:val="26"/>
          <w:szCs w:val="26"/>
        </w:rPr>
        <w:t xml:space="preserve">resolución dictada el quince de diciembre de </w:t>
      </w:r>
      <w:r w:rsidR="00936625">
        <w:rPr>
          <w:rFonts w:ascii="Arial" w:hAnsi="Arial" w:cs="Arial"/>
          <w:bCs/>
          <w:iCs/>
          <w:sz w:val="26"/>
          <w:szCs w:val="26"/>
        </w:rPr>
        <w:t>dos mil veintiuno</w:t>
      </w:r>
      <w:r w:rsidR="00936625" w:rsidRPr="009A3C83">
        <w:rPr>
          <w:rFonts w:ascii="Arial" w:hAnsi="Arial" w:cs="Arial"/>
          <w:sz w:val="26"/>
          <w:szCs w:val="26"/>
        </w:rPr>
        <w:t xml:space="preserve">, </w:t>
      </w:r>
      <w:r w:rsidR="00936625" w:rsidRPr="00453BC6">
        <w:rPr>
          <w:rFonts w:ascii="Arial" w:hAnsi="Arial" w:cs="Arial"/>
          <w:sz w:val="26"/>
          <w:szCs w:val="26"/>
        </w:rPr>
        <w:t xml:space="preserve">en el </w:t>
      </w:r>
      <w:r w:rsidR="00A739DF">
        <w:rPr>
          <w:rFonts w:ascii="Arial" w:hAnsi="Arial" w:cs="Arial"/>
          <w:sz w:val="26"/>
          <w:szCs w:val="26"/>
        </w:rPr>
        <w:t xml:space="preserve">cuaderno de suspensión relativo al </w:t>
      </w:r>
      <w:r w:rsidR="00936625" w:rsidRPr="00620617">
        <w:rPr>
          <w:rFonts w:ascii="Arial" w:hAnsi="Arial" w:cs="Arial"/>
          <w:sz w:val="26"/>
          <w:szCs w:val="26"/>
        </w:rPr>
        <w:t xml:space="preserve">expediente </w:t>
      </w:r>
      <w:r w:rsidR="00A739DF">
        <w:rPr>
          <w:rFonts w:ascii="Arial" w:hAnsi="Arial" w:cs="Arial"/>
          <w:b/>
          <w:bCs/>
          <w:sz w:val="26"/>
          <w:szCs w:val="26"/>
        </w:rPr>
        <w:t>0115/2020</w:t>
      </w:r>
      <w:r w:rsidR="00936625">
        <w:rPr>
          <w:rFonts w:ascii="Arial" w:hAnsi="Arial" w:cs="Arial"/>
          <w:sz w:val="26"/>
          <w:szCs w:val="26"/>
        </w:rPr>
        <w:t xml:space="preserve"> por </w:t>
      </w:r>
      <w:r w:rsidR="00A739DF">
        <w:rPr>
          <w:rFonts w:ascii="Arial" w:hAnsi="Arial" w:cs="Arial"/>
          <w:sz w:val="26"/>
          <w:szCs w:val="26"/>
        </w:rPr>
        <w:t xml:space="preserve">el Magistrado de la Sexta </w:t>
      </w:r>
      <w:r w:rsidR="00936625">
        <w:rPr>
          <w:rFonts w:ascii="Arial" w:hAnsi="Arial" w:cs="Arial"/>
          <w:sz w:val="26"/>
          <w:szCs w:val="26"/>
        </w:rPr>
        <w:t>Sala Unitaria de Primera Instancia</w:t>
      </w:r>
      <w:r w:rsidR="00A739DF">
        <w:rPr>
          <w:rFonts w:ascii="Arial" w:hAnsi="Arial" w:cs="Arial"/>
          <w:sz w:val="26"/>
          <w:szCs w:val="26"/>
        </w:rPr>
        <w:t>, antes 0121/2019 de la Séptima Sala Unitaria de Primera Instancia</w:t>
      </w:r>
      <w:r w:rsidR="00936625">
        <w:rPr>
          <w:rFonts w:ascii="Arial" w:hAnsi="Arial" w:cs="Arial"/>
          <w:sz w:val="26"/>
          <w:szCs w:val="26"/>
        </w:rPr>
        <w:t>.</w:t>
      </w:r>
      <w:r w:rsidR="00A739DF">
        <w:rPr>
          <w:rFonts w:ascii="Arial" w:hAnsi="Arial" w:cs="Arial"/>
          <w:sz w:val="26"/>
          <w:szCs w:val="26"/>
        </w:rPr>
        <w:t xml:space="preserve"> - - - - - - - - - - - - - - - - - - - - - - -</w:t>
      </w:r>
      <w:r w:rsidR="00936625" w:rsidRPr="009A3C83">
        <w:rPr>
          <w:rFonts w:ascii="Arial" w:hAnsi="Arial" w:cs="Arial"/>
          <w:sz w:val="26"/>
          <w:szCs w:val="26"/>
        </w:rPr>
        <w:t xml:space="preserve"> - - </w:t>
      </w:r>
      <w:r w:rsidR="00936625">
        <w:rPr>
          <w:rFonts w:ascii="Arial" w:hAnsi="Arial" w:cs="Arial"/>
          <w:sz w:val="26"/>
          <w:szCs w:val="26"/>
        </w:rPr>
        <w:t xml:space="preserve">- - - - - - - - - - - - - - - - - - - - </w:t>
      </w:r>
    </w:p>
    <w:p w14:paraId="441C17BD" w14:textId="0CE21BA8" w:rsidR="00635B8D" w:rsidRDefault="00635B8D" w:rsidP="00A739DF">
      <w:pPr>
        <w:spacing w:before="120" w:after="0" w:line="360" w:lineRule="auto"/>
        <w:ind w:firstLine="708"/>
        <w:jc w:val="both"/>
        <w:rPr>
          <w:rFonts w:ascii="Arial" w:hAnsi="Arial" w:cs="Arial"/>
          <w:sz w:val="26"/>
          <w:szCs w:val="26"/>
        </w:rPr>
      </w:pPr>
      <w:r>
        <w:rPr>
          <w:rFonts w:ascii="Arial" w:hAnsi="Arial" w:cs="Arial"/>
          <w:b/>
          <w:bCs/>
          <w:sz w:val="26"/>
          <w:szCs w:val="26"/>
        </w:rPr>
        <w:lastRenderedPageBreak/>
        <w:t>SEGUNDO.</w:t>
      </w:r>
      <w:r>
        <w:rPr>
          <w:rFonts w:ascii="Arial" w:eastAsia="Calibri" w:hAnsi="Arial" w:cs="Arial"/>
          <w:bCs/>
          <w:sz w:val="26"/>
          <w:szCs w:val="26"/>
        </w:rPr>
        <w:t xml:space="preserve"> </w:t>
      </w:r>
      <w:r w:rsidR="003756AA">
        <w:rPr>
          <w:rFonts w:ascii="Arial" w:hAnsi="Arial" w:cs="Arial"/>
          <w:bCs/>
          <w:sz w:val="26"/>
          <w:szCs w:val="26"/>
        </w:rPr>
        <w:t xml:space="preserve">Los </w:t>
      </w:r>
      <w:r w:rsidR="00B43574">
        <w:rPr>
          <w:rFonts w:ascii="Arial" w:hAnsi="Arial" w:cs="Arial"/>
          <w:bCs/>
          <w:sz w:val="26"/>
          <w:szCs w:val="26"/>
        </w:rPr>
        <w:t>a</w:t>
      </w:r>
      <w:r>
        <w:rPr>
          <w:rFonts w:ascii="Arial" w:hAnsi="Arial" w:cs="Arial"/>
          <w:bCs/>
          <w:sz w:val="26"/>
          <w:szCs w:val="26"/>
        </w:rPr>
        <w:t>gravio</w:t>
      </w:r>
      <w:r w:rsidR="00A739DF">
        <w:rPr>
          <w:rFonts w:ascii="Arial" w:hAnsi="Arial" w:cs="Arial"/>
          <w:bCs/>
          <w:sz w:val="26"/>
          <w:szCs w:val="26"/>
        </w:rPr>
        <w:t>s</w:t>
      </w:r>
      <w:r>
        <w:rPr>
          <w:rFonts w:ascii="Arial" w:hAnsi="Arial" w:cs="Arial"/>
          <w:bCs/>
          <w:sz w:val="26"/>
          <w:szCs w:val="26"/>
        </w:rPr>
        <w:t xml:space="preserve"> hecho</w:t>
      </w:r>
      <w:r w:rsidR="003756AA">
        <w:rPr>
          <w:rFonts w:ascii="Arial" w:hAnsi="Arial" w:cs="Arial"/>
          <w:bCs/>
          <w:sz w:val="26"/>
          <w:szCs w:val="26"/>
        </w:rPr>
        <w:t>s</w:t>
      </w:r>
      <w:r>
        <w:rPr>
          <w:rFonts w:ascii="Arial" w:hAnsi="Arial" w:cs="Arial"/>
          <w:bCs/>
          <w:sz w:val="26"/>
          <w:szCs w:val="26"/>
        </w:rPr>
        <w:t xml:space="preserve"> valer </w:t>
      </w:r>
      <w:r w:rsidRPr="003756AA">
        <w:rPr>
          <w:rFonts w:ascii="Arial" w:hAnsi="Arial" w:cs="Arial"/>
          <w:bCs/>
          <w:sz w:val="26"/>
          <w:szCs w:val="26"/>
        </w:rPr>
        <w:t>se encuentra</w:t>
      </w:r>
      <w:r w:rsidR="003756AA">
        <w:rPr>
          <w:rFonts w:ascii="Arial" w:hAnsi="Arial" w:cs="Arial"/>
          <w:bCs/>
          <w:sz w:val="26"/>
          <w:szCs w:val="26"/>
        </w:rPr>
        <w:t>n</w:t>
      </w:r>
      <w:r w:rsidRPr="003756AA">
        <w:rPr>
          <w:rFonts w:ascii="Arial" w:hAnsi="Arial" w:cs="Arial"/>
          <w:bCs/>
          <w:sz w:val="26"/>
          <w:szCs w:val="26"/>
        </w:rPr>
        <w:t xml:space="preserve"> </w:t>
      </w:r>
      <w:r w:rsidR="008814C1" w:rsidRPr="003756AA">
        <w:rPr>
          <w:rFonts w:ascii="Arial" w:hAnsi="Arial" w:cs="Arial"/>
          <w:bCs/>
          <w:sz w:val="26"/>
          <w:szCs w:val="26"/>
        </w:rPr>
        <w:t>señalado</w:t>
      </w:r>
      <w:r w:rsidR="003756AA">
        <w:rPr>
          <w:rFonts w:ascii="Arial" w:hAnsi="Arial" w:cs="Arial"/>
          <w:bCs/>
          <w:sz w:val="26"/>
          <w:szCs w:val="26"/>
        </w:rPr>
        <w:t>s</w:t>
      </w:r>
      <w:r w:rsidR="008814C1">
        <w:rPr>
          <w:rFonts w:ascii="Arial" w:hAnsi="Arial" w:cs="Arial"/>
          <w:bCs/>
          <w:sz w:val="26"/>
          <w:szCs w:val="26"/>
        </w:rPr>
        <w:t xml:space="preserve"> </w:t>
      </w:r>
      <w:r>
        <w:rPr>
          <w:rFonts w:ascii="Arial" w:hAnsi="Arial" w:cs="Arial"/>
          <w:bCs/>
          <w:sz w:val="26"/>
          <w:szCs w:val="26"/>
        </w:rPr>
        <w:t>en el escrito de la autoridad</w:t>
      </w:r>
      <w:r w:rsidR="00B43574">
        <w:rPr>
          <w:rFonts w:ascii="Arial" w:hAnsi="Arial" w:cs="Arial"/>
          <w:bCs/>
          <w:sz w:val="26"/>
          <w:szCs w:val="26"/>
        </w:rPr>
        <w:t xml:space="preserve"> recurrente,</w:t>
      </w:r>
      <w:r>
        <w:rPr>
          <w:rFonts w:ascii="Arial" w:hAnsi="Arial" w:cs="Arial"/>
          <w:bCs/>
          <w:sz w:val="26"/>
          <w:szCs w:val="26"/>
        </w:rPr>
        <w:t xml:space="preserve"> por lo que no existe necesidad de transcribirlo</w:t>
      </w:r>
      <w:r w:rsidR="00A739DF">
        <w:rPr>
          <w:rFonts w:ascii="Arial" w:hAnsi="Arial" w:cs="Arial"/>
          <w:bCs/>
          <w:sz w:val="26"/>
          <w:szCs w:val="26"/>
        </w:rPr>
        <w:t>s</w:t>
      </w:r>
      <w:r>
        <w:rPr>
          <w:rFonts w:ascii="Arial" w:hAnsi="Arial" w:cs="Arial"/>
          <w:bCs/>
          <w:sz w:val="26"/>
          <w:szCs w:val="26"/>
        </w:rPr>
        <w:t>, virtud a que ello no implica transgresión a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w:t>
      </w:r>
      <w:r w:rsidR="00A739DF">
        <w:rPr>
          <w:rFonts w:ascii="Arial" w:hAnsi="Arial" w:cs="Arial"/>
          <w:bCs/>
          <w:color w:val="000000"/>
          <w:sz w:val="26"/>
          <w:szCs w:val="26"/>
        </w:rPr>
        <w:t>m</w:t>
      </w:r>
      <w:r>
        <w:rPr>
          <w:rFonts w:ascii="Arial" w:hAnsi="Arial" w:cs="Arial"/>
          <w:bCs/>
          <w:color w:val="000000"/>
          <w:sz w:val="26"/>
          <w:szCs w:val="26"/>
        </w:rPr>
        <w:t>ayo de 2010, visible a página 830, Novena Época, bajo el rubro y texto siguiente:- - -  - - - - - - - - - - - - - - - - - - - - - - - - - - - - - - - - - - - - -</w:t>
      </w:r>
      <w:r w:rsidR="00A739DF">
        <w:rPr>
          <w:rFonts w:ascii="Arial" w:hAnsi="Arial" w:cs="Arial"/>
          <w:bCs/>
          <w:color w:val="000000"/>
          <w:sz w:val="26"/>
          <w:szCs w:val="26"/>
        </w:rPr>
        <w:t xml:space="preserve"> - - - - -</w:t>
      </w:r>
    </w:p>
    <w:p w14:paraId="04C792F8" w14:textId="317F761E" w:rsidR="00635B8D" w:rsidRDefault="00635B8D" w:rsidP="007F7ACC">
      <w:pPr>
        <w:spacing w:before="120" w:after="0"/>
        <w:ind w:left="851"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52B09092" w14:textId="77777777" w:rsidR="00A739DF" w:rsidRDefault="00A739DF" w:rsidP="00E56707">
      <w:pPr>
        <w:spacing w:before="120" w:after="0"/>
        <w:ind w:left="567" w:right="902"/>
        <w:jc w:val="both"/>
        <w:rPr>
          <w:rFonts w:ascii="Arial" w:eastAsia="Calibri" w:hAnsi="Arial" w:cs="Arial"/>
          <w:bCs/>
          <w:i/>
        </w:rPr>
      </w:pPr>
    </w:p>
    <w:p w14:paraId="3A32083B" w14:textId="0BF17BA5" w:rsidR="00CC29BC" w:rsidRDefault="00571114" w:rsidP="0087590C">
      <w:pPr>
        <w:spacing w:after="12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Señala </w:t>
      </w:r>
      <w:r w:rsidR="004D0799">
        <w:rPr>
          <w:rFonts w:ascii="Arial" w:eastAsia="Calibri" w:hAnsi="Arial" w:cs="Arial"/>
          <w:bCs/>
          <w:sz w:val="26"/>
          <w:szCs w:val="26"/>
        </w:rPr>
        <w:t>el</w:t>
      </w:r>
      <w:r>
        <w:rPr>
          <w:rFonts w:ascii="Arial" w:eastAsia="Calibri" w:hAnsi="Arial" w:cs="Arial"/>
          <w:bCs/>
          <w:sz w:val="26"/>
          <w:szCs w:val="26"/>
        </w:rPr>
        <w:t xml:space="preserve"> recurrente </w:t>
      </w:r>
      <w:r w:rsidR="00997346">
        <w:rPr>
          <w:rFonts w:ascii="Arial" w:eastAsia="Calibri" w:hAnsi="Arial" w:cs="Arial"/>
          <w:bCs/>
          <w:sz w:val="26"/>
          <w:szCs w:val="26"/>
        </w:rPr>
        <w:t xml:space="preserve">en su agravio </w:t>
      </w:r>
      <w:r w:rsidR="00997346">
        <w:rPr>
          <w:rFonts w:ascii="Arial" w:eastAsia="Calibri" w:hAnsi="Arial" w:cs="Arial"/>
          <w:b/>
          <w:sz w:val="26"/>
          <w:szCs w:val="26"/>
        </w:rPr>
        <w:t>primero,</w:t>
      </w:r>
      <w:r w:rsidR="00997346">
        <w:rPr>
          <w:rFonts w:ascii="Arial" w:eastAsia="Calibri" w:hAnsi="Arial" w:cs="Arial"/>
          <w:bCs/>
          <w:sz w:val="26"/>
          <w:szCs w:val="26"/>
        </w:rPr>
        <w:t xml:space="preserve"> que el recurso de revisión procede conforme el artículo 236 bajo las siguientes hipótesis -lo transcribe-, por lo que en el presente asunto se actualiza l</w:t>
      </w:r>
      <w:r w:rsidR="000B658E">
        <w:rPr>
          <w:rFonts w:ascii="Arial" w:eastAsia="Calibri" w:hAnsi="Arial" w:cs="Arial"/>
          <w:bCs/>
          <w:sz w:val="26"/>
          <w:szCs w:val="26"/>
        </w:rPr>
        <w:t xml:space="preserve">a fracción IV del citado artículo, en virtud de que mediante resolución de fecha quince de diciembre de dos mil veintiuno, la Sala de Primera Instancia determinó conceder la suspensión definitiva a la parte actora. </w:t>
      </w:r>
    </w:p>
    <w:p w14:paraId="2AB5071C" w14:textId="02E7E2BC" w:rsidR="000B658E" w:rsidRDefault="000B658E" w:rsidP="0087590C">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El citado agravio es </w:t>
      </w:r>
      <w:r>
        <w:rPr>
          <w:rFonts w:ascii="Arial" w:eastAsia="Calibri" w:hAnsi="Arial" w:cs="Arial"/>
          <w:b/>
          <w:sz w:val="26"/>
          <w:szCs w:val="26"/>
        </w:rPr>
        <w:t>INOPERANTE</w:t>
      </w:r>
      <w:r>
        <w:rPr>
          <w:rFonts w:ascii="Arial" w:eastAsia="Calibri" w:hAnsi="Arial" w:cs="Arial"/>
          <w:bCs/>
          <w:sz w:val="26"/>
          <w:szCs w:val="26"/>
        </w:rPr>
        <w:t>, toda vez que el recurrente no señala la parte de las consideraciones de la resolución que recurre y que le caus</w:t>
      </w:r>
      <w:r w:rsidR="00F50454">
        <w:rPr>
          <w:rFonts w:ascii="Arial" w:eastAsia="Calibri" w:hAnsi="Arial" w:cs="Arial"/>
          <w:bCs/>
          <w:sz w:val="26"/>
          <w:szCs w:val="26"/>
        </w:rPr>
        <w:t>an</w:t>
      </w:r>
      <w:r>
        <w:rPr>
          <w:rFonts w:ascii="Arial" w:eastAsia="Calibri" w:hAnsi="Arial" w:cs="Arial"/>
          <w:bCs/>
          <w:sz w:val="26"/>
          <w:szCs w:val="26"/>
        </w:rPr>
        <w:t xml:space="preserve"> perjuicio, por lo que dicho argumento no puede ser analizado</w:t>
      </w:r>
      <w:r w:rsidR="00F50454">
        <w:rPr>
          <w:rFonts w:ascii="Arial" w:eastAsia="Calibri" w:hAnsi="Arial" w:cs="Arial"/>
          <w:bCs/>
          <w:sz w:val="26"/>
          <w:szCs w:val="26"/>
        </w:rPr>
        <w:t>,</w:t>
      </w:r>
      <w:r>
        <w:rPr>
          <w:rFonts w:ascii="Arial" w:eastAsia="Calibri" w:hAnsi="Arial" w:cs="Arial"/>
          <w:bCs/>
          <w:sz w:val="26"/>
          <w:szCs w:val="26"/>
        </w:rPr>
        <w:t xml:space="preserve"> bajo la premisa de que es menester que exprese la causa de pedir. - - - -  - - - - - - - - - - - - - - -</w:t>
      </w:r>
      <w:r w:rsidR="00F50454">
        <w:rPr>
          <w:rFonts w:ascii="Arial" w:eastAsia="Calibri" w:hAnsi="Arial" w:cs="Arial"/>
          <w:bCs/>
          <w:sz w:val="26"/>
          <w:szCs w:val="26"/>
        </w:rPr>
        <w:t xml:space="preserve"> - - - - - - - - - - - - - -  - - - - - -- - - - - - - -</w:t>
      </w:r>
    </w:p>
    <w:p w14:paraId="2D54A6CE" w14:textId="0891C5A3" w:rsidR="00997346" w:rsidRDefault="00F50454" w:rsidP="00997346">
      <w:pPr>
        <w:spacing w:after="120" w:line="360" w:lineRule="auto"/>
        <w:ind w:firstLine="709"/>
        <w:jc w:val="both"/>
        <w:rPr>
          <w:rFonts w:ascii="Arial" w:eastAsia="Calibri" w:hAnsi="Arial" w:cs="Arial"/>
          <w:bCs/>
          <w:sz w:val="26"/>
          <w:szCs w:val="26"/>
        </w:rPr>
      </w:pPr>
      <w:r>
        <w:rPr>
          <w:rFonts w:ascii="Arial" w:hAnsi="Arial" w:cs="Arial"/>
          <w:bCs/>
          <w:color w:val="000000" w:themeColor="text1"/>
          <w:sz w:val="26"/>
          <w:szCs w:val="26"/>
        </w:rPr>
        <w:lastRenderedPageBreak/>
        <w:t>S</w:t>
      </w:r>
      <w:r w:rsidR="00997346">
        <w:rPr>
          <w:rFonts w:ascii="Arial" w:hAnsi="Arial" w:cs="Arial"/>
          <w:bCs/>
          <w:color w:val="000000" w:themeColor="text1"/>
          <w:sz w:val="26"/>
          <w:szCs w:val="26"/>
        </w:rPr>
        <w:t xml:space="preserve">irve de apoyo la jurisprudencia </w:t>
      </w:r>
      <w:r w:rsidR="00997346">
        <w:rPr>
          <w:rFonts w:ascii="Arial" w:eastAsia="Times New Roman" w:hAnsi="Arial"/>
          <w:color w:val="000000" w:themeColor="text1"/>
          <w:sz w:val="26"/>
          <w:szCs w:val="26"/>
        </w:rPr>
        <w:t xml:space="preserve">IV.3o. J/12 dictada por el Tercer Tribunal Colegiado del Cuarto Circuito, publicada en la Gaceta del Semanario Judicial de la Federación, en la Octava Época, </w:t>
      </w:r>
      <w:r>
        <w:rPr>
          <w:rFonts w:ascii="Arial" w:eastAsia="Times New Roman" w:hAnsi="Arial"/>
          <w:color w:val="000000" w:themeColor="text1"/>
          <w:sz w:val="26"/>
          <w:szCs w:val="26"/>
        </w:rPr>
        <w:t>s</w:t>
      </w:r>
      <w:r w:rsidR="00997346">
        <w:rPr>
          <w:rFonts w:ascii="Arial" w:eastAsia="Times New Roman" w:hAnsi="Arial"/>
          <w:color w:val="000000" w:themeColor="text1"/>
          <w:sz w:val="26"/>
          <w:szCs w:val="26"/>
        </w:rPr>
        <w:t>eptiembre de 1992, consultable a página 57, cuyo rubro y texto son el siguiente:</w:t>
      </w:r>
    </w:p>
    <w:p w14:paraId="2390040E" w14:textId="3520D12B" w:rsidR="00997346" w:rsidRDefault="00997346" w:rsidP="007F7ACC">
      <w:pPr>
        <w:spacing w:after="120"/>
        <w:ind w:left="851" w:right="709"/>
        <w:jc w:val="both"/>
        <w:rPr>
          <w:rFonts w:ascii="Arial" w:eastAsia="Times New Roman" w:hAnsi="Arial"/>
          <w:i/>
          <w:color w:val="000000" w:themeColor="text1"/>
        </w:rPr>
      </w:pPr>
      <w:r w:rsidRPr="0087590C">
        <w:rPr>
          <w:rFonts w:ascii="Arial" w:eastAsia="Times New Roman" w:hAnsi="Arial"/>
          <w:b/>
          <w:i/>
          <w:color w:val="000000" w:themeColor="text1"/>
        </w:rPr>
        <w:t xml:space="preserve">“AGRAVIOS. DEBEN DE IMPUGNAR LA ILEGALIDAD DEL FALLO RECURRIDO. </w:t>
      </w:r>
      <w:r w:rsidRPr="0087590C">
        <w:rPr>
          <w:rFonts w:ascii="Arial" w:eastAsia="Times New Roman" w:hAnsi="Arial"/>
          <w:i/>
          <w:color w:val="000000" w:themeColor="text1"/>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 - - - - - - - - - - - - - - - </w:t>
      </w:r>
    </w:p>
    <w:p w14:paraId="3D74C49E" w14:textId="77777777" w:rsidR="0087590C" w:rsidRPr="0087590C" w:rsidRDefault="0087590C" w:rsidP="0087590C">
      <w:pPr>
        <w:spacing w:after="120" w:line="240" w:lineRule="auto"/>
        <w:ind w:left="851" w:right="709"/>
        <w:jc w:val="both"/>
        <w:rPr>
          <w:rFonts w:ascii="Arial" w:eastAsia="Times New Roman" w:hAnsi="Arial"/>
          <w:i/>
          <w:color w:val="000000" w:themeColor="text1"/>
        </w:rPr>
      </w:pPr>
    </w:p>
    <w:p w14:paraId="66F8510B" w14:textId="030DD20E" w:rsidR="00997346" w:rsidRPr="004B14C5" w:rsidRDefault="00997346" w:rsidP="0087590C">
      <w:pPr>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igual forma, </w:t>
      </w:r>
      <w:r w:rsidR="00F50454">
        <w:rPr>
          <w:rFonts w:ascii="Arial" w:eastAsia="Calibri" w:hAnsi="Arial" w:cs="Arial"/>
          <w:bCs/>
          <w:sz w:val="26"/>
          <w:szCs w:val="26"/>
        </w:rPr>
        <w:t xml:space="preserve">se cita como apoyo </w:t>
      </w:r>
      <w:r>
        <w:rPr>
          <w:rFonts w:ascii="Arial" w:eastAsia="Calibri" w:hAnsi="Arial" w:cs="Arial"/>
          <w:bCs/>
          <w:sz w:val="26"/>
          <w:szCs w:val="26"/>
        </w:rPr>
        <w:t>la tesis del</w:t>
      </w:r>
      <w:r w:rsidRPr="004E0B8B">
        <w:rPr>
          <w:rFonts w:ascii="Arial" w:eastAsia="Calibri" w:hAnsi="Arial" w:cs="Arial"/>
          <w:b/>
          <w:bCs/>
          <w:sz w:val="26"/>
          <w:szCs w:val="26"/>
        </w:rPr>
        <w:t xml:space="preserve"> </w:t>
      </w:r>
      <w:r w:rsidRPr="00111A16">
        <w:rPr>
          <w:rFonts w:ascii="Arial" w:hAnsi="Arial" w:cs="Arial"/>
          <w:bCs/>
          <w:color w:val="000000"/>
          <w:sz w:val="26"/>
          <w:szCs w:val="26"/>
        </w:rPr>
        <w:t>Segundo Tribunal Colegiado de Circuito del Centro Auxiliar de l</w:t>
      </w:r>
      <w:r>
        <w:rPr>
          <w:rFonts w:ascii="Arial" w:hAnsi="Arial" w:cs="Arial"/>
          <w:bCs/>
          <w:color w:val="000000"/>
          <w:sz w:val="26"/>
          <w:szCs w:val="26"/>
        </w:rPr>
        <w:t xml:space="preserve">a Quinta Región, que aparece publicada en la página 1699 de la Gaceta del Semanario Judicial de la Federación, </w:t>
      </w:r>
      <w:r w:rsidRPr="00550202">
        <w:rPr>
          <w:rFonts w:ascii="Arial" w:hAnsi="Arial" w:cs="Arial"/>
          <w:bCs/>
          <w:color w:val="000000"/>
          <w:sz w:val="26"/>
          <w:szCs w:val="26"/>
        </w:rPr>
        <w:t>Libro 17, Abril de 2015, Tomo II</w:t>
      </w:r>
      <w:r>
        <w:rPr>
          <w:rFonts w:ascii="Arial" w:hAnsi="Arial" w:cs="Arial"/>
          <w:bCs/>
          <w:i/>
          <w:color w:val="000000"/>
          <w:sz w:val="26"/>
          <w:szCs w:val="26"/>
        </w:rPr>
        <w:t xml:space="preserve">, </w:t>
      </w:r>
      <w:r w:rsidRPr="00550202">
        <w:rPr>
          <w:rFonts w:ascii="Arial" w:hAnsi="Arial" w:cs="Arial"/>
          <w:bCs/>
          <w:color w:val="000000"/>
          <w:sz w:val="26"/>
          <w:szCs w:val="26"/>
        </w:rPr>
        <w:t>Décima Época, Materia Común, baj</w:t>
      </w:r>
      <w:r>
        <w:rPr>
          <w:rFonts w:ascii="Arial" w:hAnsi="Arial" w:cs="Arial"/>
          <w:bCs/>
          <w:color w:val="000000"/>
          <w:sz w:val="26"/>
          <w:szCs w:val="26"/>
        </w:rPr>
        <w:t xml:space="preserve">o el rubro y texto siguientes: - - - - - - - - - - - - </w:t>
      </w:r>
    </w:p>
    <w:p w14:paraId="1177C925" w14:textId="6DA571B0" w:rsidR="006839E0" w:rsidRDefault="00997346" w:rsidP="00CF2204">
      <w:pPr>
        <w:spacing w:after="0"/>
        <w:ind w:left="851" w:right="900"/>
        <w:jc w:val="both"/>
        <w:rPr>
          <w:rFonts w:ascii="Arial" w:eastAsia="Calibri" w:hAnsi="Arial" w:cs="Arial"/>
          <w:bCs/>
          <w:i/>
        </w:rPr>
      </w:pPr>
      <w:r w:rsidRPr="00525343">
        <w:rPr>
          <w:rFonts w:ascii="Arial" w:eastAsia="Calibri" w:hAnsi="Arial" w:cs="Arial"/>
          <w:bCs/>
          <w:i/>
        </w:rPr>
        <w:t>“</w:t>
      </w:r>
      <w:r w:rsidRPr="00525343">
        <w:rPr>
          <w:rFonts w:ascii="Arial" w:eastAsia="Calibri" w:hAnsi="Arial" w:cs="Arial"/>
          <w:b/>
          <w:bCs/>
          <w:i/>
        </w:rPr>
        <w:t>CONCEPTOS O AGRAVIOS INOPERANTES. RAZONAMIENTO COMO COMPONENTE DE LA CAUSA DE PEDIR. QUÉ DEBE ENTENDERSE POR, PARA QUE PROCEDA SU ESTUDIO</w:t>
      </w:r>
      <w:r w:rsidRPr="00525343">
        <w:rPr>
          <w:rFonts w:ascii="Arial" w:eastAsia="Calibri" w:hAnsi="Arial" w:cs="Arial"/>
          <w:bCs/>
          <w:i/>
        </w:rPr>
        <w:t xml:space="preserve">. De acuerdo con la conceptualización que han desarrollado diversos juristas de la doctrina moderna respecto de los elementos de la causa de </w:t>
      </w:r>
      <w:proofErr w:type="spellStart"/>
      <w:r w:rsidRPr="00B944B7">
        <w:rPr>
          <w:rFonts w:ascii="Arial" w:eastAsia="Calibri" w:hAnsi="Arial" w:cs="Arial"/>
          <w:bCs/>
          <w:i/>
        </w:rPr>
        <w:t>pretendir</w:t>
      </w:r>
      <w:proofErr w:type="spellEnd"/>
      <w:r w:rsidRPr="00B944B7">
        <w:rPr>
          <w:rFonts w:ascii="Arial" w:eastAsia="Calibri" w:hAnsi="Arial" w:cs="Arial"/>
          <w:bCs/>
          <w:i/>
        </w:rPr>
        <w:t>,</w:t>
      </w:r>
      <w:r w:rsidRPr="00525343">
        <w:rPr>
          <w:rFonts w:ascii="Arial" w:eastAsia="Calibri" w:hAnsi="Arial" w:cs="Arial"/>
          <w:bCs/>
          <w:i/>
        </w:rPr>
        <w:t xml:space="preserve">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w:t>
      </w:r>
      <w:r w:rsidRPr="00525343">
        <w:rPr>
          <w:rFonts w:ascii="Arial" w:eastAsia="Calibri" w:hAnsi="Arial" w:cs="Arial"/>
          <w:bCs/>
          <w:i/>
        </w:rPr>
        <w:lastRenderedPageBreak/>
        <w:t xml:space="preserve">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dicha figura está vedada”.- - - - - - - - - - - - - - - - - - - - - - - - - - - </w:t>
      </w:r>
    </w:p>
    <w:p w14:paraId="13B47534" w14:textId="77777777" w:rsidR="00C271F5" w:rsidRDefault="00C271F5" w:rsidP="0087590C">
      <w:pPr>
        <w:spacing w:after="0" w:line="240" w:lineRule="auto"/>
        <w:ind w:left="851" w:right="900"/>
        <w:jc w:val="both"/>
        <w:rPr>
          <w:rFonts w:ascii="Arial" w:eastAsia="Calibri" w:hAnsi="Arial" w:cs="Arial"/>
          <w:bCs/>
          <w:sz w:val="26"/>
          <w:szCs w:val="26"/>
        </w:rPr>
      </w:pPr>
    </w:p>
    <w:p w14:paraId="251FF076" w14:textId="3B019818" w:rsidR="00BD3C1E" w:rsidRPr="003756AA" w:rsidRDefault="006839E0"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otra parte, en su agravio </w:t>
      </w:r>
      <w:r>
        <w:rPr>
          <w:rFonts w:ascii="Arial" w:eastAsia="Calibri" w:hAnsi="Arial" w:cs="Arial"/>
          <w:b/>
          <w:sz w:val="26"/>
          <w:szCs w:val="26"/>
        </w:rPr>
        <w:t xml:space="preserve">segundo, </w:t>
      </w:r>
      <w:r>
        <w:rPr>
          <w:rFonts w:ascii="Arial" w:eastAsia="Calibri" w:hAnsi="Arial" w:cs="Arial"/>
          <w:bCs/>
          <w:sz w:val="26"/>
          <w:szCs w:val="26"/>
        </w:rPr>
        <w:t xml:space="preserve">manifiesta que </w:t>
      </w:r>
      <w:r w:rsidR="009D3E09">
        <w:rPr>
          <w:rFonts w:ascii="Arial" w:eastAsia="Calibri" w:hAnsi="Arial" w:cs="Arial"/>
          <w:bCs/>
          <w:sz w:val="26"/>
          <w:szCs w:val="26"/>
        </w:rPr>
        <w:t xml:space="preserve">la resolución de fecha quince de diciembre de dos mil veintiuno es ilegal, porque suponiendo que </w:t>
      </w:r>
      <w:r w:rsidR="009D3E09" w:rsidRPr="003756AA">
        <w:rPr>
          <w:rFonts w:ascii="Arial" w:eastAsia="Calibri" w:hAnsi="Arial" w:cs="Arial"/>
          <w:bCs/>
          <w:sz w:val="26"/>
          <w:szCs w:val="26"/>
        </w:rPr>
        <w:t>exist</w:t>
      </w:r>
      <w:r w:rsidR="003756AA" w:rsidRPr="003756AA">
        <w:rPr>
          <w:rFonts w:ascii="Arial" w:eastAsia="Calibri" w:hAnsi="Arial" w:cs="Arial"/>
          <w:bCs/>
          <w:sz w:val="26"/>
          <w:szCs w:val="26"/>
        </w:rPr>
        <w:t>a</w:t>
      </w:r>
      <w:r w:rsidR="009D3E09" w:rsidRPr="003756AA">
        <w:rPr>
          <w:rFonts w:ascii="Arial" w:eastAsia="Calibri" w:hAnsi="Arial" w:cs="Arial"/>
          <w:bCs/>
          <w:sz w:val="26"/>
          <w:szCs w:val="26"/>
        </w:rPr>
        <w:t xml:space="preserve"> la concesión que dice ostenta la parte actora, según el criterio de la Suprema Corte de Justicia de la Nación, se entiende como derecho adquirido, como la introducción de un bien, una facultad o un provecho al patrimonio de una persona, el cual no puede afectarse, ni por voluntad de quienes intervinieron en el acto, ni por disposición legal</w:t>
      </w:r>
      <w:r w:rsidR="00BC37B1" w:rsidRPr="003756AA">
        <w:rPr>
          <w:rFonts w:ascii="Arial" w:eastAsia="Calibri" w:hAnsi="Arial" w:cs="Arial"/>
          <w:bCs/>
          <w:sz w:val="26"/>
          <w:szCs w:val="26"/>
        </w:rPr>
        <w:t xml:space="preserve"> </w:t>
      </w:r>
      <w:r w:rsidR="009D3E09" w:rsidRPr="003756AA">
        <w:rPr>
          <w:rFonts w:ascii="Arial" w:eastAsia="Calibri" w:hAnsi="Arial" w:cs="Arial"/>
          <w:bCs/>
          <w:sz w:val="26"/>
          <w:szCs w:val="26"/>
        </w:rPr>
        <w:t xml:space="preserve">en contrario; en cambio, </w:t>
      </w:r>
      <w:r w:rsidR="00BC37B1" w:rsidRPr="003756AA">
        <w:rPr>
          <w:rFonts w:ascii="Arial" w:eastAsia="Calibri" w:hAnsi="Arial" w:cs="Arial"/>
          <w:bCs/>
          <w:sz w:val="26"/>
          <w:szCs w:val="26"/>
        </w:rPr>
        <w:t>la expectativa de derecho constituye una pretensión de que se realice una situación jurídica concreta, pero esto en forma alguna implica que simultáneamente haya ingresado en su esfera jurídica el derecho a la prórroga de la concesión.</w:t>
      </w:r>
    </w:p>
    <w:p w14:paraId="2A584BED" w14:textId="61B6B295" w:rsidR="00BC37B1" w:rsidRDefault="00BC37B1" w:rsidP="00BC37B1">
      <w:pPr>
        <w:spacing w:before="120" w:after="0" w:line="360" w:lineRule="auto"/>
        <w:ind w:firstLine="709"/>
        <w:jc w:val="both"/>
        <w:rPr>
          <w:rFonts w:ascii="Arial" w:eastAsia="Calibri" w:hAnsi="Arial" w:cs="Arial"/>
          <w:bCs/>
          <w:sz w:val="26"/>
          <w:szCs w:val="26"/>
        </w:rPr>
      </w:pPr>
      <w:r w:rsidRPr="003756AA">
        <w:rPr>
          <w:rFonts w:ascii="Arial" w:eastAsia="Calibri" w:hAnsi="Arial" w:cs="Arial"/>
          <w:bCs/>
          <w:sz w:val="26"/>
          <w:szCs w:val="26"/>
        </w:rPr>
        <w:t xml:space="preserve">Refiere que </w:t>
      </w:r>
      <w:r w:rsidR="00C669FE" w:rsidRPr="003756AA">
        <w:rPr>
          <w:rFonts w:ascii="Arial" w:eastAsia="Calibri" w:hAnsi="Arial" w:cs="Arial"/>
          <w:bCs/>
          <w:sz w:val="26"/>
          <w:szCs w:val="26"/>
        </w:rPr>
        <w:t>el derecho adquirido introduce un b</w:t>
      </w:r>
      <w:r w:rsidR="003756AA" w:rsidRPr="003756AA">
        <w:rPr>
          <w:rFonts w:ascii="Arial" w:eastAsia="Calibri" w:hAnsi="Arial" w:cs="Arial"/>
          <w:bCs/>
          <w:sz w:val="26"/>
          <w:szCs w:val="26"/>
        </w:rPr>
        <w:t>i</w:t>
      </w:r>
      <w:r w:rsidR="00C669FE" w:rsidRPr="003756AA">
        <w:rPr>
          <w:rFonts w:ascii="Arial" w:eastAsia="Calibri" w:hAnsi="Arial" w:cs="Arial"/>
          <w:bCs/>
          <w:sz w:val="26"/>
          <w:szCs w:val="26"/>
        </w:rPr>
        <w:t xml:space="preserve">en, una facultad o un provecho al patrimonio de una persona, el cual no puede afectarse, ni por la voluntad de quienes intervinieron en el acto, ni por disposición legal en contrario; en cambio, la expectativa de derecho constituye una pretensión de que se realice una situación jurídica concreta, y que en este supuesto se encuentra la actora, </w:t>
      </w:r>
      <w:r w:rsidR="00A3083C" w:rsidRPr="003756AA">
        <w:rPr>
          <w:rFonts w:ascii="Arial" w:eastAsia="Calibri" w:hAnsi="Arial" w:cs="Arial"/>
          <w:bCs/>
          <w:sz w:val="26"/>
          <w:szCs w:val="26"/>
        </w:rPr>
        <w:t>pues señala que en primer lugar, no existe certeza de la existencia del título de concesión que dice ostentar, por lo que desde esa perspectiva, carece del derecho humano de seguridad en perjuicio de la sociedad; en segundo lugar, indica que la actora no acompañ</w:t>
      </w:r>
      <w:r w:rsidR="00543B73">
        <w:rPr>
          <w:rFonts w:ascii="Arial" w:eastAsia="Calibri" w:hAnsi="Arial" w:cs="Arial"/>
          <w:bCs/>
          <w:sz w:val="26"/>
          <w:szCs w:val="26"/>
        </w:rPr>
        <w:t>ó (sic)</w:t>
      </w:r>
      <w:r w:rsidR="00A3083C" w:rsidRPr="003756AA">
        <w:rPr>
          <w:rFonts w:ascii="Arial" w:eastAsia="Calibri" w:hAnsi="Arial" w:cs="Arial"/>
          <w:bCs/>
          <w:sz w:val="26"/>
          <w:szCs w:val="26"/>
        </w:rPr>
        <w:t xml:space="preserve"> a sus pruebas que subsiste la necesidad del servicio en la localidad a donde pretende ofrecer el servicio público, pues así está establecido en la Ley de Movilidad para el Estado de Oaxaca, así como en la legislación vigente al momento en que fue solicitada la renovación, por lo tanto, expone que al conceder la suspensión </w:t>
      </w:r>
      <w:r w:rsidR="00A3083C" w:rsidRPr="003756AA">
        <w:rPr>
          <w:rFonts w:ascii="Arial" w:eastAsia="Calibri" w:hAnsi="Arial" w:cs="Arial"/>
          <w:bCs/>
          <w:sz w:val="26"/>
          <w:szCs w:val="26"/>
        </w:rPr>
        <w:lastRenderedPageBreak/>
        <w:t>definitiva, el juzgador está prejuzgando sobre la cuestión de fondo dando por hecho que será concedida la prórroga.</w:t>
      </w:r>
      <w:r w:rsidR="006B30B9" w:rsidRPr="003756AA">
        <w:rPr>
          <w:rFonts w:ascii="Arial" w:eastAsia="Calibri" w:hAnsi="Arial" w:cs="Arial"/>
          <w:bCs/>
          <w:sz w:val="26"/>
          <w:szCs w:val="26"/>
        </w:rPr>
        <w:t xml:space="preserve"> - - - - - - - - - - - - - - -</w:t>
      </w:r>
      <w:r w:rsidR="00AE451D" w:rsidRPr="003756AA">
        <w:rPr>
          <w:rFonts w:ascii="Arial" w:eastAsia="Calibri" w:hAnsi="Arial" w:cs="Arial"/>
          <w:bCs/>
          <w:sz w:val="26"/>
          <w:szCs w:val="26"/>
        </w:rPr>
        <w:t>- - - - - - -</w:t>
      </w:r>
      <w:r w:rsidR="00AE451D">
        <w:rPr>
          <w:rFonts w:ascii="Arial" w:eastAsia="Calibri" w:hAnsi="Arial" w:cs="Arial"/>
          <w:bCs/>
          <w:sz w:val="26"/>
          <w:szCs w:val="26"/>
        </w:rPr>
        <w:t xml:space="preserve"> </w:t>
      </w:r>
    </w:p>
    <w:p w14:paraId="2F15D1D7" w14:textId="772162AF" w:rsidR="006B30B9" w:rsidRDefault="006B30B9"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Arguye que la determinación de la Primera Instancia, no está correctamente fundada y motivada al señalar: </w:t>
      </w:r>
      <w:r w:rsidRPr="00104FA3">
        <w:rPr>
          <w:rFonts w:ascii="Arial" w:eastAsia="Calibri" w:hAnsi="Arial" w:cs="Arial"/>
          <w:bCs/>
          <w:i/>
          <w:iCs/>
          <w:sz w:val="24"/>
          <w:szCs w:val="24"/>
        </w:rPr>
        <w:t>“</w:t>
      </w:r>
      <w:r w:rsidRPr="00104FA3">
        <w:rPr>
          <w:rFonts w:ascii="Arial" w:eastAsia="Calibri" w:hAnsi="Arial" w:cs="Arial"/>
          <w:b/>
          <w:bCs/>
          <w:i/>
          <w:iCs/>
          <w:sz w:val="24"/>
          <w:szCs w:val="24"/>
          <w:u w:val="single"/>
        </w:rPr>
        <w:t xml:space="preserve">La administrada sufriría el peligro en la demora, </w:t>
      </w:r>
      <w:r w:rsidRPr="00104FA3">
        <w:rPr>
          <w:rFonts w:ascii="Arial" w:eastAsia="Calibri" w:hAnsi="Arial" w:cs="Arial"/>
          <w:b/>
          <w:i/>
          <w:iCs/>
          <w:sz w:val="24"/>
          <w:szCs w:val="24"/>
          <w:u w:val="single"/>
        </w:rPr>
        <w:t>que consiste en la posible frustración de los derechos del pretendiente de la medida cautelar, que puede darse como consecuencia de la tardanza en el dictado de la resolución de fondo”,</w:t>
      </w:r>
      <w:r>
        <w:rPr>
          <w:rFonts w:ascii="Arial" w:eastAsia="Calibri" w:hAnsi="Arial" w:cs="Arial"/>
          <w:b/>
          <w:i/>
          <w:iCs/>
          <w:u w:val="single"/>
        </w:rPr>
        <w:t xml:space="preserve"> </w:t>
      </w:r>
      <w:r w:rsidR="00F77276">
        <w:rPr>
          <w:rFonts w:ascii="Arial" w:eastAsia="Calibri" w:hAnsi="Arial" w:cs="Arial"/>
          <w:bCs/>
          <w:sz w:val="26"/>
          <w:szCs w:val="26"/>
        </w:rPr>
        <w:t>pues señala que no</w:t>
      </w:r>
      <w:r>
        <w:rPr>
          <w:rFonts w:ascii="Arial" w:eastAsia="Calibri" w:hAnsi="Arial" w:cs="Arial"/>
          <w:bCs/>
          <w:sz w:val="26"/>
          <w:szCs w:val="26"/>
        </w:rPr>
        <w:t xml:space="preserve"> tiene sustento jurídico ni mucho menos </w:t>
      </w:r>
      <w:r w:rsidRPr="003756AA">
        <w:rPr>
          <w:rFonts w:ascii="Arial" w:eastAsia="Calibri" w:hAnsi="Arial" w:cs="Arial"/>
          <w:bCs/>
          <w:sz w:val="26"/>
          <w:szCs w:val="26"/>
        </w:rPr>
        <w:t>e</w:t>
      </w:r>
      <w:r w:rsidR="003756AA" w:rsidRPr="003756AA">
        <w:rPr>
          <w:rFonts w:ascii="Arial" w:eastAsia="Calibri" w:hAnsi="Arial" w:cs="Arial"/>
          <w:bCs/>
          <w:sz w:val="26"/>
          <w:szCs w:val="26"/>
        </w:rPr>
        <w:t>stá</w:t>
      </w:r>
      <w:r w:rsidRPr="003756AA">
        <w:rPr>
          <w:rFonts w:ascii="Arial" w:eastAsia="Calibri" w:hAnsi="Arial" w:cs="Arial"/>
          <w:bCs/>
          <w:sz w:val="26"/>
          <w:szCs w:val="26"/>
        </w:rPr>
        <w:t xml:space="preserve"> m</w:t>
      </w:r>
      <w:r>
        <w:rPr>
          <w:rFonts w:ascii="Arial" w:eastAsia="Calibri" w:hAnsi="Arial" w:cs="Arial"/>
          <w:bCs/>
          <w:sz w:val="26"/>
          <w:szCs w:val="26"/>
        </w:rPr>
        <w:t>otivada, por el contrario es violatoria del artículo 215, fracción II de la Ley de Procedimiento y Justicia Administrativa para el Estado de Oaxaca, -lo transcribe</w:t>
      </w:r>
      <w:r w:rsidR="00F77276">
        <w:rPr>
          <w:rFonts w:ascii="Arial" w:eastAsia="Calibri" w:hAnsi="Arial" w:cs="Arial"/>
          <w:bCs/>
          <w:sz w:val="26"/>
          <w:szCs w:val="26"/>
        </w:rPr>
        <w:t xml:space="preserve">, toda vez que </w:t>
      </w:r>
      <w:r w:rsidR="001D2BAF">
        <w:rPr>
          <w:rFonts w:ascii="Arial" w:eastAsia="Calibri" w:hAnsi="Arial" w:cs="Arial"/>
          <w:bCs/>
          <w:sz w:val="26"/>
          <w:szCs w:val="26"/>
        </w:rPr>
        <w:t xml:space="preserve">en el caso particular sí afecta el interés social, </w:t>
      </w:r>
      <w:r w:rsidR="00586AC1">
        <w:rPr>
          <w:rFonts w:ascii="Arial" w:eastAsia="Calibri" w:hAnsi="Arial" w:cs="Arial"/>
          <w:bCs/>
          <w:sz w:val="26"/>
          <w:szCs w:val="26"/>
        </w:rPr>
        <w:t xml:space="preserve">puesto que la prórroga requiere de ciertos términos y condiciones, siendo el primero de ellos que subsista la necesidad del servicio y el segundo, que queda al arbitrio de la autoridad competente otorgarla, lo cual la ubica como una expectativa de derecho, porque no depende de que cuente con el derecho adquirido ni de que reúna todos los requisitos, sino que depende esencialmente de que subsista la necesidad del servicio, requisito que no acompañó </w:t>
      </w:r>
      <w:r w:rsidR="00F77276">
        <w:rPr>
          <w:rFonts w:ascii="Arial" w:eastAsia="Calibri" w:hAnsi="Arial" w:cs="Arial"/>
          <w:bCs/>
          <w:sz w:val="26"/>
          <w:szCs w:val="26"/>
        </w:rPr>
        <w:t xml:space="preserve">el actor </w:t>
      </w:r>
      <w:r w:rsidR="00586AC1">
        <w:rPr>
          <w:rFonts w:ascii="Arial" w:eastAsia="Calibri" w:hAnsi="Arial" w:cs="Arial"/>
          <w:bCs/>
          <w:sz w:val="26"/>
          <w:szCs w:val="26"/>
        </w:rPr>
        <w:t>dentro de su cúmulo probatorio.- - -</w:t>
      </w:r>
      <w:r w:rsidR="00F77276">
        <w:rPr>
          <w:rFonts w:ascii="Arial" w:eastAsia="Calibri" w:hAnsi="Arial" w:cs="Arial"/>
          <w:bCs/>
          <w:sz w:val="26"/>
          <w:szCs w:val="26"/>
        </w:rPr>
        <w:t xml:space="preserve"> </w:t>
      </w:r>
      <w:r w:rsidR="00104FA3">
        <w:rPr>
          <w:rFonts w:ascii="Arial" w:eastAsia="Calibri" w:hAnsi="Arial" w:cs="Arial"/>
          <w:bCs/>
          <w:sz w:val="26"/>
          <w:szCs w:val="26"/>
        </w:rPr>
        <w:t>- - - - - - - - - - - - - - - - - - - - - - - - - - - - - - - - - - -</w:t>
      </w:r>
      <w:r w:rsidR="00D97CCC">
        <w:rPr>
          <w:rFonts w:ascii="Arial" w:eastAsia="Calibri" w:hAnsi="Arial" w:cs="Arial"/>
          <w:bCs/>
          <w:sz w:val="26"/>
          <w:szCs w:val="26"/>
        </w:rPr>
        <w:t xml:space="preserve"> -</w:t>
      </w:r>
    </w:p>
    <w:p w14:paraId="758C7DEB" w14:textId="09D8AE58" w:rsidR="00586AC1" w:rsidRDefault="0064037E"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Por otro lado, señala el recurrente que el artículo 58 de la Ley de Movilidad para el Estado de Oaxaca, vigente, dispone que todo prestador de servicio público, debe contar con una póliza de seguro vigente para garantizar la protección del derecho a la vida a los usuarios, condición que no cumple la actora y se suma a la violación de una disposición de orden público. -lo transcribe-</w:t>
      </w:r>
      <w:r w:rsidR="00D97CCC">
        <w:rPr>
          <w:rFonts w:ascii="Arial" w:eastAsia="Calibri" w:hAnsi="Arial" w:cs="Arial"/>
          <w:bCs/>
          <w:sz w:val="26"/>
          <w:szCs w:val="26"/>
        </w:rPr>
        <w:t xml:space="preserve"> </w:t>
      </w:r>
      <w:r>
        <w:rPr>
          <w:rFonts w:ascii="Arial" w:eastAsia="Calibri" w:hAnsi="Arial" w:cs="Arial"/>
          <w:bCs/>
          <w:sz w:val="26"/>
          <w:szCs w:val="26"/>
        </w:rPr>
        <w:t>- - - - - - - - - - - - - - - - - - - -</w:t>
      </w:r>
      <w:r w:rsidR="00D97CCC">
        <w:rPr>
          <w:rFonts w:ascii="Arial" w:eastAsia="Calibri" w:hAnsi="Arial" w:cs="Arial"/>
          <w:bCs/>
          <w:sz w:val="26"/>
          <w:szCs w:val="26"/>
        </w:rPr>
        <w:t xml:space="preserve"> </w:t>
      </w:r>
    </w:p>
    <w:p w14:paraId="666A285C" w14:textId="490ECC8C" w:rsidR="00223B79" w:rsidRDefault="00223B79"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Por tanto, refiere que al haber analizado el A quo incorrectamente el artículo 215</w:t>
      </w:r>
      <w:r w:rsidR="00A3397A">
        <w:rPr>
          <w:rFonts w:ascii="Arial" w:eastAsia="Calibri" w:hAnsi="Arial" w:cs="Arial"/>
          <w:bCs/>
          <w:sz w:val="26"/>
          <w:szCs w:val="26"/>
        </w:rPr>
        <w:t xml:space="preserve">, es violatorio del precepto 207, fracción II de la Ley de procedimiento y Justicia Administrativa para el Estado de Oaxaca, lo cual deja de manifiesto la ilegalidad en la que incurrió la Sala de Primera Instancia, violando consecuentemente los artículos 14 y 16 de la Constitución Política de los Estados Unidos Mexicanos, al dejar de observar el principio de legalidad y seguridad jurídica y que indica, deben ser reparadas en el presente recurso.- - - - - - - - - - - - - - - - - - - - - - - - - </w:t>
      </w:r>
    </w:p>
    <w:p w14:paraId="57C9E169" w14:textId="31F446F5" w:rsidR="00A429E7" w:rsidRDefault="00A429E7"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su agravio </w:t>
      </w:r>
      <w:r>
        <w:rPr>
          <w:rFonts w:ascii="Arial" w:eastAsia="Calibri" w:hAnsi="Arial" w:cs="Arial"/>
          <w:b/>
          <w:sz w:val="26"/>
          <w:szCs w:val="26"/>
        </w:rPr>
        <w:t xml:space="preserve">tercero, </w:t>
      </w:r>
      <w:r>
        <w:rPr>
          <w:rFonts w:ascii="Arial" w:eastAsia="Calibri" w:hAnsi="Arial" w:cs="Arial"/>
          <w:bCs/>
          <w:sz w:val="26"/>
          <w:szCs w:val="26"/>
        </w:rPr>
        <w:t xml:space="preserve">manifiesta que la resolución recurrida le causa perjuicio a su representada y de la sociedad, pues al conceder dicha medida cautelar se contravienen disposiciones de orden público, las cuales deben entenderse a las plasmadas en los ordenamientos </w:t>
      </w:r>
      <w:r>
        <w:rPr>
          <w:rFonts w:ascii="Arial" w:eastAsia="Calibri" w:hAnsi="Arial" w:cs="Arial"/>
          <w:bCs/>
          <w:sz w:val="26"/>
          <w:szCs w:val="26"/>
        </w:rPr>
        <w:lastRenderedPageBreak/>
        <w:t>legales que tengan como fin inmediato y directo, tutelar los derechos de la colectividad, para evitarle un trastorno</w:t>
      </w:r>
      <w:r w:rsidR="00E8551E">
        <w:rPr>
          <w:rFonts w:ascii="Arial" w:eastAsia="Calibri" w:hAnsi="Arial" w:cs="Arial"/>
          <w:bCs/>
          <w:sz w:val="26"/>
          <w:szCs w:val="26"/>
        </w:rPr>
        <w:t>,</w:t>
      </w:r>
      <w:r>
        <w:rPr>
          <w:rFonts w:ascii="Arial" w:eastAsia="Calibri" w:hAnsi="Arial" w:cs="Arial"/>
          <w:bCs/>
          <w:sz w:val="26"/>
          <w:szCs w:val="26"/>
        </w:rPr>
        <w:t xml:space="preserve"> desventaja</w:t>
      </w:r>
      <w:r w:rsidR="00E8551E">
        <w:rPr>
          <w:rFonts w:ascii="Arial" w:eastAsia="Calibri" w:hAnsi="Arial" w:cs="Arial"/>
          <w:bCs/>
          <w:sz w:val="26"/>
          <w:szCs w:val="26"/>
        </w:rPr>
        <w:t>, así como</w:t>
      </w:r>
      <w:r>
        <w:rPr>
          <w:rFonts w:ascii="Arial" w:eastAsia="Calibri" w:hAnsi="Arial" w:cs="Arial"/>
          <w:bCs/>
          <w:sz w:val="26"/>
          <w:szCs w:val="26"/>
        </w:rPr>
        <w:t xml:space="preserve"> para procurarle la satisfacción de necesidades</w:t>
      </w:r>
      <w:r w:rsidR="00E8551E">
        <w:rPr>
          <w:rFonts w:ascii="Arial" w:eastAsia="Calibri" w:hAnsi="Arial" w:cs="Arial"/>
          <w:bCs/>
          <w:sz w:val="26"/>
          <w:szCs w:val="26"/>
        </w:rPr>
        <w:t>,</w:t>
      </w:r>
      <w:r>
        <w:rPr>
          <w:rFonts w:ascii="Arial" w:eastAsia="Calibri" w:hAnsi="Arial" w:cs="Arial"/>
          <w:bCs/>
          <w:sz w:val="26"/>
          <w:szCs w:val="26"/>
        </w:rPr>
        <w:t xml:space="preserve"> algún provecho</w:t>
      </w:r>
      <w:r w:rsidR="00E8551E">
        <w:rPr>
          <w:rFonts w:ascii="Arial" w:eastAsia="Calibri" w:hAnsi="Arial" w:cs="Arial"/>
          <w:bCs/>
          <w:sz w:val="26"/>
          <w:szCs w:val="26"/>
        </w:rPr>
        <w:t xml:space="preserve"> o</w:t>
      </w:r>
      <w:r>
        <w:rPr>
          <w:rFonts w:ascii="Arial" w:eastAsia="Calibri" w:hAnsi="Arial" w:cs="Arial"/>
          <w:bCs/>
          <w:sz w:val="26"/>
          <w:szCs w:val="26"/>
        </w:rPr>
        <w:t xml:space="preserve"> beneficio, y por interés social debe considerarse el hecho, acto</w:t>
      </w:r>
      <w:r w:rsidR="00E8551E">
        <w:rPr>
          <w:rFonts w:ascii="Arial" w:eastAsia="Calibri" w:hAnsi="Arial" w:cs="Arial"/>
          <w:bCs/>
          <w:sz w:val="26"/>
          <w:szCs w:val="26"/>
        </w:rPr>
        <w:t xml:space="preserve"> o</w:t>
      </w:r>
      <w:r>
        <w:rPr>
          <w:rFonts w:ascii="Arial" w:eastAsia="Calibri" w:hAnsi="Arial" w:cs="Arial"/>
          <w:bCs/>
          <w:sz w:val="26"/>
          <w:szCs w:val="26"/>
        </w:rPr>
        <w:t xml:space="preserve"> situación que reporte la sociedad, una ventaja, provecho</w:t>
      </w:r>
      <w:r w:rsidR="00E8551E">
        <w:rPr>
          <w:rFonts w:ascii="Arial" w:eastAsia="Calibri" w:hAnsi="Arial" w:cs="Arial"/>
          <w:bCs/>
          <w:sz w:val="26"/>
          <w:szCs w:val="26"/>
        </w:rPr>
        <w:t xml:space="preserve">, </w:t>
      </w:r>
      <w:r>
        <w:rPr>
          <w:rFonts w:ascii="Arial" w:eastAsia="Calibri" w:hAnsi="Arial" w:cs="Arial"/>
          <w:bCs/>
          <w:sz w:val="26"/>
          <w:szCs w:val="26"/>
        </w:rPr>
        <w:t>la satisfacción de una necesidad colectiva</w:t>
      </w:r>
      <w:r w:rsidR="00E8551E">
        <w:rPr>
          <w:rFonts w:ascii="Arial" w:eastAsia="Calibri" w:hAnsi="Arial" w:cs="Arial"/>
          <w:bCs/>
          <w:sz w:val="26"/>
          <w:szCs w:val="26"/>
        </w:rPr>
        <w:t xml:space="preserve">, o bien, le evite un trastorno o un mal público. - - - - </w:t>
      </w:r>
    </w:p>
    <w:p w14:paraId="0352EA9E" w14:textId="1AB0A5A2" w:rsidR="00E8551E" w:rsidRDefault="006F486E"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Expone que el perjuicio al interés social, se actualiza en el momento en que los peatones toman el vehículo de la actora, para hacer uso del servicio público que oferta; sin embargo, indica </w:t>
      </w:r>
      <w:r w:rsidR="00700358">
        <w:rPr>
          <w:rFonts w:ascii="Arial" w:eastAsia="Calibri" w:hAnsi="Arial" w:cs="Arial"/>
          <w:bCs/>
          <w:sz w:val="26"/>
          <w:szCs w:val="26"/>
        </w:rPr>
        <w:t>que,</w:t>
      </w:r>
      <w:r>
        <w:rPr>
          <w:rFonts w:ascii="Arial" w:eastAsia="Calibri" w:hAnsi="Arial" w:cs="Arial"/>
          <w:bCs/>
          <w:sz w:val="26"/>
          <w:szCs w:val="26"/>
        </w:rPr>
        <w:t xml:space="preserve"> con la concesión de la suspensión definitiva, la Secretaría de Movilidad está impedida para vigilar el cumplimiento de los artículos 207 y 208 de la Ley de Movilidad vigente, para garantizar el derecho humano de movilidad a los peatones. -los transcribe-</w:t>
      </w:r>
      <w:r w:rsidR="00D97CCC">
        <w:rPr>
          <w:rFonts w:ascii="Arial" w:eastAsia="Calibri" w:hAnsi="Arial" w:cs="Arial"/>
          <w:bCs/>
          <w:sz w:val="26"/>
          <w:szCs w:val="26"/>
        </w:rPr>
        <w:t xml:space="preserve"> </w:t>
      </w:r>
      <w:r>
        <w:rPr>
          <w:rFonts w:ascii="Arial" w:eastAsia="Calibri" w:hAnsi="Arial" w:cs="Arial"/>
          <w:bCs/>
          <w:sz w:val="26"/>
          <w:szCs w:val="26"/>
        </w:rPr>
        <w:t>- - - - - - - - - - - - - - - - - - - -</w:t>
      </w:r>
      <w:r w:rsidR="007166AF">
        <w:rPr>
          <w:rFonts w:ascii="Arial" w:eastAsia="Calibri" w:hAnsi="Arial" w:cs="Arial"/>
          <w:bCs/>
          <w:sz w:val="26"/>
          <w:szCs w:val="26"/>
        </w:rPr>
        <w:t xml:space="preserve"> </w:t>
      </w:r>
      <w:r>
        <w:rPr>
          <w:rFonts w:ascii="Arial" w:eastAsia="Calibri" w:hAnsi="Arial" w:cs="Arial"/>
          <w:bCs/>
          <w:sz w:val="26"/>
          <w:szCs w:val="26"/>
        </w:rPr>
        <w:t xml:space="preserve">- - - - - - - - - - </w:t>
      </w:r>
      <w:r w:rsidR="007166AF">
        <w:rPr>
          <w:rFonts w:ascii="Arial" w:eastAsia="Calibri" w:hAnsi="Arial" w:cs="Arial"/>
          <w:bCs/>
          <w:sz w:val="26"/>
          <w:szCs w:val="26"/>
        </w:rPr>
        <w:t>-</w:t>
      </w:r>
    </w:p>
    <w:p w14:paraId="230CA7E6" w14:textId="4040F8B1" w:rsidR="00903F50" w:rsidRPr="00A429E7" w:rsidRDefault="00903F50"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Enuncia que el objeto de la suspensión es mantener las cosas en el estado en que se encuentran, o en su caso, otorgarle efectos restitutorios con el fin de conservar la materia del litigio o impedir </w:t>
      </w:r>
      <w:r w:rsidR="008935AB">
        <w:rPr>
          <w:rFonts w:ascii="Arial" w:eastAsia="Calibri" w:hAnsi="Arial" w:cs="Arial"/>
          <w:bCs/>
          <w:sz w:val="26"/>
          <w:szCs w:val="26"/>
        </w:rPr>
        <w:t xml:space="preserve">perjuicios irreparables al particular, hasta en tanto se dicte la suspensión definitiva como lo señala el artículo 215 </w:t>
      </w:r>
      <w:r w:rsidR="00BA2740">
        <w:rPr>
          <w:rFonts w:ascii="Arial" w:eastAsia="Calibri" w:hAnsi="Arial" w:cs="Arial"/>
          <w:bCs/>
          <w:sz w:val="26"/>
          <w:szCs w:val="26"/>
        </w:rPr>
        <w:t xml:space="preserve">de </w:t>
      </w:r>
      <w:bookmarkStart w:id="0" w:name="_Hlk108699602"/>
      <w:r w:rsidR="00BA2740">
        <w:rPr>
          <w:rFonts w:ascii="Arial" w:eastAsia="Calibri" w:hAnsi="Arial" w:cs="Arial"/>
          <w:bCs/>
          <w:sz w:val="26"/>
          <w:szCs w:val="26"/>
        </w:rPr>
        <w:t>la Ley de Procedimiento y Justicia Administrativa para el Estado de Oaxaca.</w:t>
      </w:r>
      <w:bookmarkEnd w:id="0"/>
      <w:r w:rsidR="00BA2740">
        <w:rPr>
          <w:rFonts w:ascii="Arial" w:eastAsia="Calibri" w:hAnsi="Arial" w:cs="Arial"/>
          <w:bCs/>
          <w:sz w:val="26"/>
          <w:szCs w:val="26"/>
        </w:rPr>
        <w:t xml:space="preserve"> -lo transcribe- - - - </w:t>
      </w:r>
      <w:r w:rsidR="00E56707">
        <w:rPr>
          <w:rFonts w:ascii="Arial" w:eastAsia="Calibri" w:hAnsi="Arial" w:cs="Arial"/>
          <w:bCs/>
          <w:sz w:val="26"/>
          <w:szCs w:val="26"/>
        </w:rPr>
        <w:t xml:space="preserve">- - </w:t>
      </w:r>
    </w:p>
    <w:p w14:paraId="3A0306D4" w14:textId="05E5289F" w:rsidR="00AE451D" w:rsidRDefault="00635094"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Indica que al concederse la suspensión y señalar </w:t>
      </w:r>
      <w:r w:rsidRPr="00104FA3">
        <w:rPr>
          <w:rFonts w:ascii="Arial" w:eastAsia="Calibri" w:hAnsi="Arial" w:cs="Arial"/>
          <w:bCs/>
          <w:i/>
          <w:iCs/>
          <w:sz w:val="24"/>
          <w:szCs w:val="24"/>
        </w:rPr>
        <w:t>“</w:t>
      </w:r>
      <w:r w:rsidRPr="00104FA3">
        <w:rPr>
          <w:rFonts w:ascii="Arial" w:eastAsia="Calibri" w:hAnsi="Arial" w:cs="Arial"/>
          <w:b/>
          <w:i/>
          <w:iCs/>
          <w:sz w:val="24"/>
          <w:szCs w:val="24"/>
        </w:rPr>
        <w:t>no así respecto a diversas violaciones a la Ley o Reglamento de Tránsito, o cualquier otra disposición legal vigente”,</w:t>
      </w:r>
      <w:r>
        <w:rPr>
          <w:rFonts w:ascii="Arial" w:eastAsia="Calibri" w:hAnsi="Arial" w:cs="Arial"/>
          <w:b/>
          <w:i/>
          <w:iCs/>
        </w:rPr>
        <w:t xml:space="preserve"> </w:t>
      </w:r>
      <w:r>
        <w:rPr>
          <w:rFonts w:ascii="Arial" w:eastAsia="Calibri" w:hAnsi="Arial" w:cs="Arial"/>
          <w:bCs/>
          <w:sz w:val="26"/>
          <w:szCs w:val="26"/>
        </w:rPr>
        <w:t>es un claro desacato a lo que impone el artículo 215, fracción II de la Ley de Procedimiento y Justicia Administrativa para el Estado de Oaxaca, al citar</w:t>
      </w:r>
      <w:r w:rsidRPr="00104FA3">
        <w:rPr>
          <w:rFonts w:ascii="Arial" w:eastAsia="Calibri" w:hAnsi="Arial" w:cs="Arial"/>
          <w:bCs/>
          <w:sz w:val="24"/>
          <w:szCs w:val="24"/>
        </w:rPr>
        <w:t xml:space="preserve">: </w:t>
      </w:r>
      <w:r w:rsidRPr="00104FA3">
        <w:rPr>
          <w:rFonts w:ascii="Arial" w:eastAsia="Calibri" w:hAnsi="Arial" w:cs="Arial"/>
          <w:bCs/>
          <w:i/>
          <w:iCs/>
          <w:sz w:val="24"/>
          <w:szCs w:val="24"/>
        </w:rPr>
        <w:t>“</w:t>
      </w:r>
      <w:r w:rsidRPr="00104FA3">
        <w:rPr>
          <w:rFonts w:ascii="Arial" w:eastAsia="Calibri" w:hAnsi="Arial" w:cs="Arial"/>
          <w:b/>
          <w:i/>
          <w:iCs/>
          <w:sz w:val="24"/>
          <w:szCs w:val="24"/>
        </w:rPr>
        <w:t>II. No se afecte el interés social, ni se contravengan disposiciones de orden público,”</w:t>
      </w:r>
      <w:r>
        <w:rPr>
          <w:rFonts w:ascii="Arial" w:eastAsia="Calibri" w:hAnsi="Arial" w:cs="Arial"/>
          <w:b/>
          <w:i/>
          <w:iCs/>
        </w:rPr>
        <w:t xml:space="preserve"> </w:t>
      </w:r>
      <w:r w:rsidR="008B6978">
        <w:rPr>
          <w:rFonts w:ascii="Arial" w:eastAsia="Calibri" w:hAnsi="Arial" w:cs="Arial"/>
          <w:bCs/>
          <w:sz w:val="26"/>
          <w:szCs w:val="26"/>
        </w:rPr>
        <w:t xml:space="preserve">porque </w:t>
      </w:r>
      <w:r>
        <w:rPr>
          <w:rFonts w:ascii="Arial" w:eastAsia="Calibri" w:hAnsi="Arial" w:cs="Arial"/>
          <w:bCs/>
          <w:sz w:val="26"/>
          <w:szCs w:val="26"/>
        </w:rPr>
        <w:t>dicha disposición no necesita una interpretación sistemática, ni de recurrir a algún criterio en forma de t</w:t>
      </w:r>
      <w:r w:rsidR="008B6978">
        <w:rPr>
          <w:rFonts w:ascii="Arial" w:eastAsia="Calibri" w:hAnsi="Arial" w:cs="Arial"/>
          <w:bCs/>
          <w:sz w:val="26"/>
          <w:szCs w:val="26"/>
        </w:rPr>
        <w:t>e</w:t>
      </w:r>
      <w:r>
        <w:rPr>
          <w:rFonts w:ascii="Arial" w:eastAsia="Calibri" w:hAnsi="Arial" w:cs="Arial"/>
          <w:bCs/>
          <w:sz w:val="26"/>
          <w:szCs w:val="26"/>
        </w:rPr>
        <w:t xml:space="preserve">sis o jurisprudencia, pues </w:t>
      </w:r>
      <w:r w:rsidR="008B6978">
        <w:rPr>
          <w:rFonts w:ascii="Arial" w:eastAsia="Calibri" w:hAnsi="Arial" w:cs="Arial"/>
          <w:bCs/>
          <w:sz w:val="26"/>
          <w:szCs w:val="26"/>
        </w:rPr>
        <w:t xml:space="preserve">señala que </w:t>
      </w:r>
      <w:r>
        <w:rPr>
          <w:rFonts w:ascii="Arial" w:eastAsia="Calibri" w:hAnsi="Arial" w:cs="Arial"/>
          <w:bCs/>
          <w:sz w:val="26"/>
          <w:szCs w:val="26"/>
        </w:rPr>
        <w:t>está redactado en forma clara</w:t>
      </w:r>
      <w:r w:rsidR="00E7354D">
        <w:rPr>
          <w:rFonts w:ascii="Arial" w:eastAsia="Calibri" w:hAnsi="Arial" w:cs="Arial"/>
          <w:bCs/>
          <w:sz w:val="26"/>
          <w:szCs w:val="26"/>
        </w:rPr>
        <w:t xml:space="preserve"> </w:t>
      </w:r>
      <w:r>
        <w:rPr>
          <w:rFonts w:ascii="Arial" w:eastAsia="Calibri" w:hAnsi="Arial" w:cs="Arial"/>
          <w:bCs/>
          <w:sz w:val="26"/>
          <w:szCs w:val="26"/>
        </w:rPr>
        <w:t>al ordenar que para otorgar la suspensión</w:t>
      </w:r>
      <w:r w:rsidR="008B6978">
        <w:rPr>
          <w:rFonts w:ascii="Arial" w:eastAsia="Calibri" w:hAnsi="Arial" w:cs="Arial"/>
          <w:bCs/>
          <w:sz w:val="26"/>
          <w:szCs w:val="26"/>
        </w:rPr>
        <w:t>,</w:t>
      </w:r>
      <w:r>
        <w:rPr>
          <w:rFonts w:ascii="Arial" w:eastAsia="Calibri" w:hAnsi="Arial" w:cs="Arial"/>
          <w:bCs/>
          <w:sz w:val="26"/>
          <w:szCs w:val="26"/>
        </w:rPr>
        <w:t xml:space="preserve"> no debe</w:t>
      </w:r>
      <w:r w:rsidR="008B6978">
        <w:rPr>
          <w:rFonts w:ascii="Arial" w:eastAsia="Calibri" w:hAnsi="Arial" w:cs="Arial"/>
          <w:bCs/>
          <w:sz w:val="26"/>
          <w:szCs w:val="26"/>
        </w:rPr>
        <w:t>n</w:t>
      </w:r>
      <w:r>
        <w:rPr>
          <w:rFonts w:ascii="Arial" w:eastAsia="Calibri" w:hAnsi="Arial" w:cs="Arial"/>
          <w:bCs/>
          <w:sz w:val="26"/>
          <w:szCs w:val="26"/>
        </w:rPr>
        <w:t xml:space="preserve"> infringirse las disposiciones del orden público, lo cual desacata </w:t>
      </w:r>
      <w:r w:rsidR="00E7354D">
        <w:rPr>
          <w:rFonts w:ascii="Arial" w:eastAsia="Calibri" w:hAnsi="Arial" w:cs="Arial"/>
          <w:bCs/>
          <w:sz w:val="26"/>
          <w:szCs w:val="26"/>
        </w:rPr>
        <w:t>la Primera Instancia al disponer de manera unilateral, que no interesa si la actor</w:t>
      </w:r>
      <w:r w:rsidR="008B6978">
        <w:rPr>
          <w:rFonts w:ascii="Arial" w:eastAsia="Calibri" w:hAnsi="Arial" w:cs="Arial"/>
          <w:bCs/>
          <w:sz w:val="26"/>
          <w:szCs w:val="26"/>
        </w:rPr>
        <w:t>a</w:t>
      </w:r>
      <w:r w:rsidR="00E7354D">
        <w:rPr>
          <w:rFonts w:ascii="Arial" w:eastAsia="Calibri" w:hAnsi="Arial" w:cs="Arial"/>
          <w:bCs/>
          <w:sz w:val="26"/>
          <w:szCs w:val="26"/>
        </w:rPr>
        <w:t xml:space="preserve"> pasa por alto las diversas violaciones a la Ley o Reglamento de Tránsito, o cualquier otra disposición legal vigente.</w:t>
      </w:r>
      <w:r w:rsidR="00104FA3">
        <w:rPr>
          <w:rFonts w:ascii="Arial" w:eastAsia="Calibri" w:hAnsi="Arial" w:cs="Arial"/>
          <w:bCs/>
          <w:sz w:val="26"/>
          <w:szCs w:val="26"/>
        </w:rPr>
        <w:t xml:space="preserve">- - - - </w:t>
      </w:r>
    </w:p>
    <w:p w14:paraId="536FCBC5" w14:textId="4F060D8C" w:rsidR="00FF43B3" w:rsidRDefault="00FF43B3"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Asimismo, expresa que el A quo hace un análisis equívoco en cuanto a la ponderación del buen derecho y el peligro en la demora, ya que no se advierte fundado ni motivado por qué al conceder la medida cautelar, no se causa peligro al interés social, pues indica que al tratarse de servicio público de transporte, es evidente que atañe al interés social </w:t>
      </w:r>
      <w:r>
        <w:rPr>
          <w:rFonts w:ascii="Arial" w:eastAsia="Calibri" w:hAnsi="Arial" w:cs="Arial"/>
          <w:bCs/>
          <w:sz w:val="26"/>
          <w:szCs w:val="26"/>
        </w:rPr>
        <w:lastRenderedPageBreak/>
        <w:t>y se violan disposiciones del orden público, como son la Ley de Movilidad y su Reglamento, normatividad que contienen las obligaciones que deben ser acatadas por los concesionarios</w:t>
      </w:r>
      <w:r w:rsidR="004F783C">
        <w:rPr>
          <w:rFonts w:ascii="Arial" w:eastAsia="Calibri" w:hAnsi="Arial" w:cs="Arial"/>
          <w:bCs/>
          <w:sz w:val="26"/>
          <w:szCs w:val="26"/>
        </w:rPr>
        <w:t xml:space="preserve">, por lo que señala que con la concesión definitiva, limita el cumplimiento de dichas normas. - - - - - - - </w:t>
      </w:r>
    </w:p>
    <w:p w14:paraId="3642951E" w14:textId="66ED72AF" w:rsidR="004F783C" w:rsidRDefault="00391BC0"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Continúa manifestando que la situación jurídica cambia cuando se trata de vehículos particulares, puesto que éstos no ofertan ningún tipo de servicio a la sociedad</w:t>
      </w:r>
      <w:r w:rsidR="00F32733">
        <w:rPr>
          <w:rFonts w:ascii="Arial" w:eastAsia="Calibri" w:hAnsi="Arial" w:cs="Arial"/>
          <w:bCs/>
          <w:sz w:val="26"/>
          <w:szCs w:val="26"/>
        </w:rPr>
        <w:t xml:space="preserve">, por lo que, cuando incurren en alguna infracción responden por sus actos imputados; contrario cuando se trata de vehículos que prestan el servicio público, pues quien tiene la obligación de vigilar el correcto servicio es la Secretaría, pues al no hacerlo la misma sociedad se lo demanda haciendo marchas, protesta en las </w:t>
      </w:r>
      <w:r w:rsidR="00F32733" w:rsidRPr="003756AA">
        <w:rPr>
          <w:rFonts w:ascii="Arial" w:eastAsia="Calibri" w:hAnsi="Arial" w:cs="Arial"/>
          <w:bCs/>
          <w:sz w:val="26"/>
          <w:szCs w:val="26"/>
        </w:rPr>
        <w:t>ofici</w:t>
      </w:r>
      <w:r w:rsidR="003756AA" w:rsidRPr="003756AA">
        <w:rPr>
          <w:rFonts w:ascii="Arial" w:eastAsia="Calibri" w:hAnsi="Arial" w:cs="Arial"/>
          <w:bCs/>
          <w:sz w:val="26"/>
          <w:szCs w:val="26"/>
        </w:rPr>
        <w:t>n</w:t>
      </w:r>
      <w:r w:rsidR="00F32733" w:rsidRPr="003756AA">
        <w:rPr>
          <w:rFonts w:ascii="Arial" w:eastAsia="Calibri" w:hAnsi="Arial" w:cs="Arial"/>
          <w:bCs/>
          <w:sz w:val="26"/>
          <w:szCs w:val="26"/>
        </w:rPr>
        <w:t>as y cierre</w:t>
      </w:r>
      <w:r w:rsidR="00F32733">
        <w:rPr>
          <w:rFonts w:ascii="Arial" w:eastAsia="Calibri" w:hAnsi="Arial" w:cs="Arial"/>
          <w:bCs/>
          <w:sz w:val="26"/>
          <w:szCs w:val="26"/>
        </w:rPr>
        <w:t xml:space="preserve"> de calles, lo cual es del conocimiento público, por lo que indica, reviste el interés público y no como lo argumenta el A quo.</w:t>
      </w:r>
    </w:p>
    <w:p w14:paraId="4E93AE40" w14:textId="64C2C56F" w:rsidR="00F32733" w:rsidRDefault="00915A52" w:rsidP="00BC37B1">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Por otro lado, en cuanto al argumento sin fundamento ni motivos de que</w:t>
      </w:r>
      <w:r w:rsidRPr="00104FA3">
        <w:rPr>
          <w:rFonts w:ascii="Arial" w:eastAsia="Calibri" w:hAnsi="Arial" w:cs="Arial"/>
          <w:bCs/>
          <w:sz w:val="24"/>
          <w:szCs w:val="24"/>
        </w:rPr>
        <w:t xml:space="preserve">, </w:t>
      </w:r>
      <w:r w:rsidRPr="00104FA3">
        <w:rPr>
          <w:rFonts w:ascii="Arial" w:eastAsia="Calibri" w:hAnsi="Arial" w:cs="Arial"/>
          <w:b/>
          <w:i/>
          <w:iCs/>
          <w:sz w:val="24"/>
          <w:szCs w:val="24"/>
        </w:rPr>
        <w:t>“de negar la suspensión se ocasionarían a las peticionarias daños mayores y perjuicios de difícil reparación, al ser este, como lo exponen las actoras su único medio de sustento familiar”,</w:t>
      </w:r>
      <w:r>
        <w:rPr>
          <w:rFonts w:ascii="Arial" w:eastAsia="Calibri" w:hAnsi="Arial" w:cs="Arial"/>
          <w:b/>
          <w:i/>
          <w:iCs/>
        </w:rPr>
        <w:t xml:space="preserve"> </w:t>
      </w:r>
      <w:r w:rsidRPr="00915A52">
        <w:rPr>
          <w:rFonts w:ascii="Arial" w:eastAsia="Calibri" w:hAnsi="Arial" w:cs="Arial"/>
          <w:bCs/>
          <w:sz w:val="26"/>
          <w:szCs w:val="26"/>
        </w:rPr>
        <w:t xml:space="preserve">expone que </w:t>
      </w:r>
      <w:r w:rsidR="008B0D17">
        <w:rPr>
          <w:rFonts w:ascii="Arial" w:eastAsia="Calibri" w:hAnsi="Arial" w:cs="Arial"/>
          <w:bCs/>
          <w:sz w:val="26"/>
          <w:szCs w:val="26"/>
        </w:rPr>
        <w:t xml:space="preserve">la Suprema Corte de Justicia de la Nación ya ha emitido en diversos criterios, que si bien el estado tiene la facultad discrecional de conceder concesiones a los particulares para que puedan prestar el servicio público de transporte, ello no implica de ninguna manera que esté obligado a otorgar la concesión, pues refiere que la finalidad no es la protección al derecho al trabajo, en todo caso lo es entre el concesionario y quien contrate como chofer, pero entre el concesionario y la Secretaría no existe disposición legal que la obligue a mantener una relación laboral; y en cuanto a que es su único sustento, señala que es contrario a la naturaleza jurídica del servicio público, pues que uno de los requisitos para el otorgamiento de la concesión, es que los particulares cuenten con una condición económica suficiente, puesto que un vehículo es costoso, por lo que indica, </w:t>
      </w:r>
      <w:r w:rsidR="008B0D17" w:rsidRPr="003756AA">
        <w:rPr>
          <w:rFonts w:ascii="Arial" w:eastAsia="Calibri" w:hAnsi="Arial" w:cs="Arial"/>
          <w:bCs/>
          <w:sz w:val="26"/>
          <w:szCs w:val="26"/>
        </w:rPr>
        <w:t>est</w:t>
      </w:r>
      <w:r w:rsidR="003756AA" w:rsidRPr="003756AA">
        <w:rPr>
          <w:rFonts w:ascii="Arial" w:eastAsia="Calibri" w:hAnsi="Arial" w:cs="Arial"/>
          <w:bCs/>
          <w:sz w:val="26"/>
          <w:szCs w:val="26"/>
        </w:rPr>
        <w:t>á</w:t>
      </w:r>
      <w:r w:rsidR="008B0D17" w:rsidRPr="003756AA">
        <w:rPr>
          <w:rFonts w:ascii="Arial" w:eastAsia="Calibri" w:hAnsi="Arial" w:cs="Arial"/>
          <w:bCs/>
          <w:sz w:val="26"/>
          <w:szCs w:val="26"/>
        </w:rPr>
        <w:t xml:space="preserve"> fuera</w:t>
      </w:r>
      <w:r w:rsidR="008B0D17">
        <w:rPr>
          <w:rFonts w:ascii="Arial" w:eastAsia="Calibri" w:hAnsi="Arial" w:cs="Arial"/>
          <w:bCs/>
          <w:sz w:val="26"/>
          <w:szCs w:val="26"/>
        </w:rPr>
        <w:t xml:space="preserve"> de contexto este argumento.- - </w:t>
      </w:r>
      <w:r w:rsidR="00104FA3">
        <w:rPr>
          <w:rFonts w:ascii="Arial" w:eastAsia="Calibri" w:hAnsi="Arial" w:cs="Arial"/>
          <w:bCs/>
          <w:sz w:val="26"/>
          <w:szCs w:val="26"/>
        </w:rPr>
        <w:t xml:space="preserve">- - - - - - - - - - - - - - - - - - - - - - - - - - - - - - - - - - - - - - </w:t>
      </w:r>
    </w:p>
    <w:p w14:paraId="0DA9E98B" w14:textId="720F1AC5" w:rsidR="00A1433E" w:rsidRDefault="00315511" w:rsidP="008362FD">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ende, discute que al otorgar la suspensión definitiva, la Sala Unitaria prejuzga sobre del derecho pretendido por la actora, dándole la razón antes de valorar las pruebas ofrecidas por ambas partes y sustituir a la autoridad demandada competente, al impedirle que otorgase un derecho que se encuentra debidamente regularizado, invadiendo con ello, la esfera de competencia del Poder Ejecutivo y contraviniendo lo </w:t>
      </w:r>
      <w:r>
        <w:rPr>
          <w:rFonts w:ascii="Arial" w:eastAsia="Calibri" w:hAnsi="Arial" w:cs="Arial"/>
          <w:bCs/>
          <w:sz w:val="26"/>
          <w:szCs w:val="26"/>
        </w:rPr>
        <w:lastRenderedPageBreak/>
        <w:t>dispuesto por los artículos 49 y 11, primer párrafo de la constitución Política de los Estados Unidos Mexicanos</w:t>
      </w:r>
      <w:r w:rsidR="001C160F">
        <w:rPr>
          <w:rFonts w:ascii="Arial" w:eastAsia="Calibri" w:hAnsi="Arial" w:cs="Arial"/>
          <w:bCs/>
          <w:sz w:val="26"/>
          <w:szCs w:val="26"/>
        </w:rPr>
        <w:t>, puesto que existe la imposibilidad de que un órgano perteneciente a determinado poder público, realice actos de otro poder público, vulnerando así el principio de división de poderes, lo que dice, debe ser reparado revocando la ilegal interlocutoria, en razón de que este Tribunal no puede emitir un acto o la orden para emitir un acto que por la naturaleza del mismo, es competencia del Poder Ejecutivo, máxime que el servicio público de transporte en sus distintas modalidades, es de interés público y social</w:t>
      </w:r>
      <w:r w:rsidR="00574E73">
        <w:rPr>
          <w:rFonts w:ascii="Arial" w:eastAsia="Calibri" w:hAnsi="Arial" w:cs="Arial"/>
          <w:bCs/>
          <w:sz w:val="26"/>
          <w:szCs w:val="26"/>
        </w:rPr>
        <w:t xml:space="preserve">, por lo tanto, expresa que corresponde al Gobierno Estatal garantizar transporte público eficaz y calidad, tal y como lo establece el artículo 122, apartado C de la Constitución Política </w:t>
      </w:r>
      <w:r w:rsidR="00821AE9">
        <w:rPr>
          <w:rFonts w:ascii="Arial" w:eastAsia="Calibri" w:hAnsi="Arial" w:cs="Arial"/>
          <w:bCs/>
          <w:sz w:val="26"/>
          <w:szCs w:val="26"/>
        </w:rPr>
        <w:t>de los Estados Unidos Mexicanos</w:t>
      </w:r>
      <w:r w:rsidR="00574E73">
        <w:rPr>
          <w:rFonts w:ascii="Arial" w:eastAsia="Calibri" w:hAnsi="Arial" w:cs="Arial"/>
          <w:bCs/>
          <w:sz w:val="26"/>
          <w:szCs w:val="26"/>
        </w:rPr>
        <w:t xml:space="preserve"> – lo transcribe</w:t>
      </w:r>
      <w:r w:rsidR="00821AE9">
        <w:rPr>
          <w:rFonts w:ascii="Arial" w:eastAsia="Calibri" w:hAnsi="Arial" w:cs="Arial"/>
          <w:bCs/>
          <w:sz w:val="26"/>
          <w:szCs w:val="26"/>
        </w:rPr>
        <w:t>.</w:t>
      </w:r>
      <w:r w:rsidR="00574E73">
        <w:rPr>
          <w:rFonts w:ascii="Arial" w:eastAsia="Calibri" w:hAnsi="Arial" w:cs="Arial"/>
          <w:bCs/>
          <w:sz w:val="26"/>
          <w:szCs w:val="26"/>
        </w:rPr>
        <w:t xml:space="preserve"> - - - - - - - - - - - - - - - -  - - - - - - - - - - - - - - - -</w:t>
      </w:r>
    </w:p>
    <w:p w14:paraId="65F14893" w14:textId="5AE3824D" w:rsidR="008362FD" w:rsidRDefault="00997346" w:rsidP="008362FD">
      <w:pPr>
        <w:spacing w:before="120" w:after="0" w:line="360" w:lineRule="auto"/>
        <w:ind w:firstLine="709"/>
        <w:jc w:val="both"/>
        <w:rPr>
          <w:rFonts w:ascii="Arial" w:hAnsi="Arial" w:cs="Arial"/>
          <w:color w:val="000000"/>
          <w:sz w:val="26"/>
          <w:szCs w:val="26"/>
        </w:rPr>
      </w:pPr>
      <w:r>
        <w:rPr>
          <w:rFonts w:ascii="Arial" w:eastAsia="Calibri" w:hAnsi="Arial" w:cs="Arial"/>
          <w:bCs/>
          <w:sz w:val="26"/>
          <w:szCs w:val="26"/>
        </w:rPr>
        <w:t xml:space="preserve">De </w:t>
      </w:r>
      <w:r w:rsidR="0060461A">
        <w:rPr>
          <w:rFonts w:ascii="Arial" w:eastAsia="Calibri" w:hAnsi="Arial" w:cs="Arial"/>
          <w:bCs/>
          <w:sz w:val="26"/>
          <w:szCs w:val="26"/>
        </w:rPr>
        <w:t xml:space="preserve">contenido de la </w:t>
      </w:r>
      <w:r w:rsidR="008362FD">
        <w:rPr>
          <w:rFonts w:ascii="Arial" w:eastAsia="Calibri" w:hAnsi="Arial" w:cs="Arial"/>
          <w:bCs/>
          <w:sz w:val="26"/>
          <w:szCs w:val="26"/>
        </w:rPr>
        <w:t>resolución</w:t>
      </w:r>
      <w:r w:rsidR="0060461A">
        <w:rPr>
          <w:rFonts w:ascii="Arial" w:eastAsia="Calibri" w:hAnsi="Arial" w:cs="Arial"/>
          <w:bCs/>
          <w:sz w:val="26"/>
          <w:szCs w:val="26"/>
        </w:rPr>
        <w:t xml:space="preserve"> de </w:t>
      </w:r>
      <w:r w:rsidR="008362FD">
        <w:rPr>
          <w:rFonts w:ascii="Arial" w:eastAsia="Calibri" w:hAnsi="Arial" w:cs="Arial"/>
          <w:bCs/>
          <w:sz w:val="26"/>
          <w:szCs w:val="26"/>
        </w:rPr>
        <w:t>quince de diciembre de dos mil veintiuno,</w:t>
      </w:r>
      <w:r w:rsidR="0060461A">
        <w:rPr>
          <w:rFonts w:ascii="Arial" w:hAnsi="Arial" w:cs="Arial"/>
          <w:bCs/>
          <w:iCs/>
          <w:sz w:val="26"/>
          <w:szCs w:val="26"/>
          <w:lang w:eastAsia="es-ES"/>
        </w:rPr>
        <w:t xml:space="preserve"> </w:t>
      </w:r>
      <w:r w:rsidR="00A83C47">
        <w:rPr>
          <w:rFonts w:ascii="Arial" w:hAnsi="Arial" w:cs="Arial"/>
          <w:bCs/>
          <w:iCs/>
          <w:sz w:val="26"/>
          <w:szCs w:val="26"/>
          <w:lang w:eastAsia="es-ES"/>
        </w:rPr>
        <w:t>con valor probatorio pleno por tratarse de actuaciones procesales</w:t>
      </w:r>
      <w:r w:rsidR="008452FB">
        <w:rPr>
          <w:rFonts w:ascii="Arial" w:hAnsi="Arial" w:cs="Arial"/>
          <w:color w:val="000000"/>
          <w:sz w:val="26"/>
          <w:szCs w:val="26"/>
        </w:rPr>
        <w:t>, conforme a lo dispuesto por el artículo 203</w:t>
      </w:r>
      <w:r w:rsidR="005A73F1">
        <w:rPr>
          <w:rStyle w:val="Refdenotaalpie"/>
          <w:rFonts w:ascii="Arial" w:hAnsi="Arial" w:cs="Arial"/>
          <w:color w:val="000000"/>
          <w:sz w:val="26"/>
          <w:szCs w:val="26"/>
        </w:rPr>
        <w:footnoteReference w:id="1"/>
      </w:r>
      <w:r w:rsidR="008452FB">
        <w:rPr>
          <w:rFonts w:ascii="Arial" w:hAnsi="Arial" w:cs="Arial"/>
          <w:color w:val="000000"/>
          <w:sz w:val="26"/>
          <w:szCs w:val="26"/>
        </w:rPr>
        <w:t xml:space="preserve"> fracción I de la Ley de Procedimiento y Justicia Administrativa para el Estado de Oaxaca, </w:t>
      </w:r>
      <w:r w:rsidR="008362FD">
        <w:rPr>
          <w:rFonts w:ascii="Arial" w:hAnsi="Arial" w:cs="Arial"/>
          <w:color w:val="000000"/>
          <w:sz w:val="26"/>
          <w:szCs w:val="26"/>
        </w:rPr>
        <w:t>se señala lo siguiente:</w:t>
      </w:r>
    </w:p>
    <w:p w14:paraId="4DC7EB87" w14:textId="17DCB3BD" w:rsidR="007255E4" w:rsidRPr="007255E4" w:rsidRDefault="007255E4" w:rsidP="00100B26">
      <w:pPr>
        <w:spacing w:before="120" w:after="0"/>
        <w:ind w:left="851" w:right="902" w:firstLine="567"/>
        <w:jc w:val="both"/>
        <w:rPr>
          <w:rFonts w:ascii="Arial" w:hAnsi="Arial" w:cs="Arial"/>
          <w:bCs/>
          <w:i/>
          <w:iCs/>
          <w:lang w:eastAsia="es-ES"/>
        </w:rPr>
      </w:pPr>
      <w:r w:rsidRPr="007255E4">
        <w:rPr>
          <w:rFonts w:ascii="Arial" w:hAnsi="Arial" w:cs="Arial"/>
          <w:bCs/>
          <w:i/>
          <w:iCs/>
          <w:lang w:eastAsia="es-ES"/>
        </w:rPr>
        <w:t>“</w:t>
      </w:r>
      <w:r>
        <w:rPr>
          <w:rFonts w:ascii="Arial" w:hAnsi="Arial" w:cs="Arial"/>
          <w:b/>
          <w:bCs/>
          <w:i/>
          <w:iCs/>
          <w:lang w:eastAsia="es-ES"/>
        </w:rPr>
        <w:t>SEGU</w:t>
      </w:r>
      <w:r w:rsidR="002E3C54">
        <w:rPr>
          <w:rFonts w:ascii="Arial" w:hAnsi="Arial" w:cs="Arial"/>
          <w:b/>
          <w:bCs/>
          <w:i/>
          <w:iCs/>
          <w:lang w:eastAsia="es-ES"/>
        </w:rPr>
        <w:t>N</w:t>
      </w:r>
      <w:r>
        <w:rPr>
          <w:rFonts w:ascii="Arial" w:hAnsi="Arial" w:cs="Arial"/>
          <w:b/>
          <w:bCs/>
          <w:i/>
          <w:iCs/>
          <w:lang w:eastAsia="es-ES"/>
        </w:rPr>
        <w:t xml:space="preserve">DO. </w:t>
      </w:r>
      <w:r>
        <w:rPr>
          <w:rFonts w:ascii="Arial" w:hAnsi="Arial" w:cs="Arial"/>
          <w:bCs/>
          <w:i/>
          <w:iCs/>
          <w:lang w:eastAsia="es-ES"/>
        </w:rPr>
        <w:t>[…]</w:t>
      </w:r>
    </w:p>
    <w:p w14:paraId="650A999D" w14:textId="40E1C16F" w:rsidR="008362FD" w:rsidRDefault="007255E4" w:rsidP="00100B26">
      <w:pPr>
        <w:spacing w:before="120" w:after="0"/>
        <w:ind w:left="851" w:right="902" w:firstLine="567"/>
        <w:jc w:val="both"/>
        <w:rPr>
          <w:rFonts w:ascii="Arial" w:hAnsi="Arial" w:cs="Arial"/>
          <w:bCs/>
          <w:i/>
          <w:iCs/>
          <w:lang w:eastAsia="es-ES"/>
        </w:rPr>
      </w:pPr>
      <w:r w:rsidRPr="007255E4">
        <w:rPr>
          <w:rFonts w:ascii="Arial" w:hAnsi="Arial" w:cs="Arial"/>
          <w:bCs/>
          <w:i/>
          <w:iCs/>
          <w:lang w:eastAsia="es-ES"/>
        </w:rPr>
        <w:t>Cabe</w:t>
      </w:r>
      <w:r>
        <w:rPr>
          <w:rFonts w:ascii="Arial" w:hAnsi="Arial" w:cs="Arial"/>
          <w:bCs/>
          <w:i/>
          <w:iCs/>
          <w:lang w:eastAsia="es-ES"/>
        </w:rPr>
        <w:t xml:space="preserve"> destacar, que del escrito inicial de demanda se desprende que la litis del juicio es la </w:t>
      </w:r>
      <w:r w:rsidR="0074414D">
        <w:rPr>
          <w:rFonts w:ascii="Arial" w:hAnsi="Arial" w:cs="Arial"/>
          <w:bCs/>
          <w:i/>
          <w:iCs/>
          <w:lang w:eastAsia="es-ES"/>
        </w:rPr>
        <w:t>configuración y nulidad de la resolución negativa ficta recaída al escrito de petición de renovación de concesión de la actora de fecha veinticinco de septiembre de dos mil quince, de tal modo que, el fondo del asunto consiste en dilucidar si se configura tal resolución negativa ficta, y en caso de ser declara su existencia, determinar si la misma es ilegal o ilegal.</w:t>
      </w:r>
    </w:p>
    <w:p w14:paraId="0BDEE774" w14:textId="62E9BCC0" w:rsidR="0074414D" w:rsidRDefault="0074414D" w:rsidP="00100B26">
      <w:pPr>
        <w:spacing w:before="120" w:after="0"/>
        <w:ind w:left="851" w:right="902" w:firstLine="567"/>
        <w:jc w:val="both"/>
        <w:rPr>
          <w:rFonts w:ascii="Arial" w:hAnsi="Arial" w:cs="Arial"/>
          <w:bCs/>
          <w:i/>
          <w:iCs/>
          <w:lang w:eastAsia="es-ES"/>
        </w:rPr>
      </w:pPr>
      <w:r>
        <w:rPr>
          <w:rFonts w:ascii="Arial" w:hAnsi="Arial" w:cs="Arial"/>
          <w:bCs/>
          <w:i/>
          <w:iCs/>
          <w:lang w:eastAsia="es-ES"/>
        </w:rPr>
        <w:t xml:space="preserve">En tal virtud, los efectos de la suspensión son mantener las cosas en el estado que se encuentran hasta en tanto se pronuncie la sentencia definitiva, de forma que se preserve la materia del juicio y así evitar que se dificulte el retorno de las cosas al estado que tenían antes de la emisión del acto impugnado en caso de que se dicte sentencia favorable sin que ello implique otorgar efectos restitutorios, pues la actora manifiesta en esencia que de manera continua ha prestado el servicio público de pasajeros, ante la omisión de la autoridad demandada de resolver sobre su petición para renovar su concesión; por lo que la renovación misma y sus documentales accesorias, </w:t>
      </w:r>
      <w:r w:rsidR="002A0232">
        <w:rPr>
          <w:rFonts w:ascii="Arial" w:hAnsi="Arial" w:cs="Arial"/>
          <w:bCs/>
          <w:i/>
          <w:iCs/>
          <w:lang w:eastAsia="es-ES"/>
        </w:rPr>
        <w:t>dependen invariablemente de la autoridad administrativa demandada, que con su silencio administrativo lo confirma. - - - - - - - - - - - - - - - - -</w:t>
      </w:r>
      <w:r w:rsidR="00104FA3">
        <w:rPr>
          <w:rFonts w:ascii="Arial" w:hAnsi="Arial" w:cs="Arial"/>
          <w:bCs/>
          <w:i/>
          <w:iCs/>
          <w:lang w:eastAsia="es-ES"/>
        </w:rPr>
        <w:t xml:space="preserve"> - - - - - - - - - - </w:t>
      </w:r>
      <w:r w:rsidR="002A0232">
        <w:rPr>
          <w:rFonts w:ascii="Arial" w:hAnsi="Arial" w:cs="Arial"/>
          <w:bCs/>
          <w:i/>
          <w:iCs/>
          <w:lang w:eastAsia="es-ES"/>
        </w:rPr>
        <w:t xml:space="preserve">- - </w:t>
      </w:r>
    </w:p>
    <w:p w14:paraId="58AB4F65" w14:textId="722B1A55" w:rsidR="002A0232" w:rsidRDefault="004B2E77" w:rsidP="00100B26">
      <w:pPr>
        <w:spacing w:before="120" w:after="0"/>
        <w:ind w:left="851" w:right="902" w:firstLine="567"/>
        <w:jc w:val="both"/>
        <w:rPr>
          <w:rFonts w:ascii="Arial" w:hAnsi="Arial" w:cs="Arial"/>
          <w:bCs/>
          <w:i/>
          <w:iCs/>
          <w:lang w:eastAsia="es-ES"/>
        </w:rPr>
      </w:pPr>
      <w:r>
        <w:rPr>
          <w:rFonts w:ascii="Arial" w:hAnsi="Arial" w:cs="Arial"/>
          <w:bCs/>
          <w:i/>
          <w:iCs/>
          <w:lang w:eastAsia="es-ES"/>
        </w:rPr>
        <w:t xml:space="preserve">Pues la medida cautelar, exige un preventivo cálculo de probabilidades sobre el peligro en la dilación que no puede </w:t>
      </w:r>
      <w:r>
        <w:rPr>
          <w:rFonts w:ascii="Arial" w:hAnsi="Arial" w:cs="Arial"/>
          <w:bCs/>
          <w:i/>
          <w:iCs/>
          <w:lang w:eastAsia="es-ES"/>
        </w:rPr>
        <w:lastRenderedPageBreak/>
        <w:t xml:space="preserve">separarse de otro preventivo de probabilidades que se hace sobre la existencia del derecho cuya tutela se solicita a los Tribunales, esto es un adelanto provisional del derecho cuestionado para resolver posteriormente en forma definitiva, sí el acto impugnado es o no ilegal. - - - - - - - - - - - - - - - - - - - - - - - - - - - - - - - - - - - - - - - - </w:t>
      </w:r>
    </w:p>
    <w:p w14:paraId="420BB815" w14:textId="5BF32557" w:rsidR="002F6CE8" w:rsidRDefault="004B2E77" w:rsidP="00100B26">
      <w:pPr>
        <w:spacing w:before="120" w:after="0"/>
        <w:ind w:left="851" w:right="902" w:firstLine="567"/>
        <w:jc w:val="both"/>
        <w:rPr>
          <w:rFonts w:ascii="Arial" w:hAnsi="Arial" w:cs="Arial"/>
          <w:bCs/>
          <w:i/>
          <w:iCs/>
          <w:lang w:eastAsia="es-ES"/>
        </w:rPr>
      </w:pPr>
      <w:r>
        <w:rPr>
          <w:rFonts w:ascii="Arial" w:hAnsi="Arial" w:cs="Arial"/>
          <w:bCs/>
          <w:i/>
          <w:iCs/>
          <w:lang w:eastAsia="es-ES"/>
        </w:rPr>
        <w:t xml:space="preserve">De igual forma, es importante considerar que el artículo 215 de la Ley de Procedimiento y Justicia Administrativa para el Estado de Oaxaca, establece que al momento de decidir los efectos de la suspensión se deberá analizar la apariencia del buen derecho y el peligro en la demora; que es apuntar a una credibilidad objetiva y seria, que descarte una pretensión infundada, </w:t>
      </w:r>
      <w:proofErr w:type="spellStart"/>
      <w:r w:rsidRPr="003756AA">
        <w:rPr>
          <w:rFonts w:ascii="Arial" w:hAnsi="Arial" w:cs="Arial"/>
          <w:bCs/>
          <w:i/>
          <w:iCs/>
          <w:lang w:eastAsia="es-ES"/>
        </w:rPr>
        <w:t>temaria</w:t>
      </w:r>
      <w:proofErr w:type="spellEnd"/>
      <w:r w:rsidR="003756AA" w:rsidRPr="003756AA">
        <w:rPr>
          <w:rFonts w:ascii="Arial" w:hAnsi="Arial" w:cs="Arial"/>
          <w:bCs/>
          <w:i/>
          <w:iCs/>
          <w:lang w:eastAsia="es-ES"/>
        </w:rPr>
        <w:t xml:space="preserve"> (sic</w:t>
      </w:r>
      <w:r w:rsidR="003756AA">
        <w:rPr>
          <w:rFonts w:ascii="Arial" w:hAnsi="Arial" w:cs="Arial"/>
          <w:bCs/>
          <w:i/>
          <w:iCs/>
          <w:u w:val="single"/>
          <w:lang w:eastAsia="es-ES"/>
        </w:rPr>
        <w:t>)</w:t>
      </w:r>
      <w:r>
        <w:rPr>
          <w:rFonts w:ascii="Arial" w:hAnsi="Arial" w:cs="Arial"/>
          <w:bCs/>
          <w:i/>
          <w:iCs/>
          <w:lang w:eastAsia="es-ES"/>
        </w:rPr>
        <w:t xml:space="preserve"> y cuestionable, lo que se logra a través de un conocimiento superficial, dirigido a lograr una decisión de mera probabilidad respecto a la existencia del derecho discutido en el proceso,</w:t>
      </w:r>
      <w:r w:rsidR="00AA14FC">
        <w:rPr>
          <w:rFonts w:ascii="Arial" w:hAnsi="Arial" w:cs="Arial"/>
          <w:bCs/>
          <w:i/>
          <w:iCs/>
          <w:lang w:eastAsia="es-ES"/>
        </w:rPr>
        <w:t xml:space="preserve"> por lo que, de no otorgarse la suspensi</w:t>
      </w:r>
      <w:r w:rsidR="002F6CE8">
        <w:rPr>
          <w:rFonts w:ascii="Arial" w:hAnsi="Arial" w:cs="Arial"/>
          <w:bCs/>
          <w:i/>
          <w:iCs/>
          <w:lang w:eastAsia="es-ES"/>
        </w:rPr>
        <w:t xml:space="preserve">ón definitiva, la administrada sufriría el peligro en la demora, que consiste en la posible frustración de los derechos del pretendiente de la medida cautelar, que puede darse como consecuencia de la tardanza en el dictado de la resolución de fondo. - - - - - - - - - - - - - - - - - - - -  - - - - - - - - - </w:t>
      </w:r>
    </w:p>
    <w:p w14:paraId="4332D97F" w14:textId="77777777" w:rsidR="002F6CE8" w:rsidRPr="00104FA3" w:rsidRDefault="002F6CE8" w:rsidP="00100B26">
      <w:pPr>
        <w:spacing w:before="120" w:after="0"/>
        <w:ind w:left="851" w:right="902" w:firstLine="567"/>
        <w:jc w:val="both"/>
        <w:rPr>
          <w:rFonts w:ascii="Arial" w:hAnsi="Arial" w:cs="Arial"/>
          <w:bCs/>
          <w:i/>
          <w:iCs/>
          <w:lang w:eastAsia="es-ES"/>
        </w:rPr>
      </w:pPr>
      <w:r w:rsidRPr="00104FA3">
        <w:rPr>
          <w:rFonts w:ascii="Arial" w:hAnsi="Arial" w:cs="Arial"/>
          <w:bCs/>
          <w:i/>
          <w:iCs/>
          <w:lang w:eastAsia="es-ES"/>
        </w:rPr>
        <w:t>Sirve de apoyo el siguiente criterio jurisprudencial.</w:t>
      </w:r>
    </w:p>
    <w:p w14:paraId="034B132B" w14:textId="6FA679EF" w:rsidR="004B2E77" w:rsidRPr="00104FA3" w:rsidRDefault="002F6CE8" w:rsidP="00100B26">
      <w:pPr>
        <w:spacing w:before="120" w:after="0"/>
        <w:ind w:left="1276" w:right="1325"/>
        <w:jc w:val="both"/>
        <w:rPr>
          <w:rFonts w:ascii="Arial" w:hAnsi="Arial" w:cs="Arial"/>
          <w:bCs/>
          <w:i/>
          <w:iCs/>
          <w:lang w:eastAsia="es-ES"/>
        </w:rPr>
      </w:pPr>
      <w:r w:rsidRPr="00104FA3">
        <w:rPr>
          <w:rFonts w:ascii="Arial" w:hAnsi="Arial" w:cs="Arial"/>
          <w:b/>
          <w:bCs/>
          <w:i/>
          <w:iCs/>
          <w:lang w:eastAsia="es-ES"/>
        </w:rPr>
        <w:t>“SUSPENSIÓ</w:t>
      </w:r>
      <w:r w:rsidR="003756AA" w:rsidRPr="00104FA3">
        <w:rPr>
          <w:rFonts w:ascii="Arial" w:hAnsi="Arial" w:cs="Arial"/>
          <w:b/>
          <w:bCs/>
          <w:i/>
          <w:iCs/>
          <w:lang w:eastAsia="es-ES"/>
        </w:rPr>
        <w:t>N</w:t>
      </w:r>
      <w:r w:rsidRPr="00104FA3">
        <w:rPr>
          <w:rFonts w:ascii="Arial" w:hAnsi="Arial" w:cs="Arial"/>
          <w:b/>
          <w:bCs/>
          <w:i/>
          <w:iCs/>
          <w:lang w:eastAsia="es-ES"/>
        </w:rPr>
        <w:t>. PAR</w:t>
      </w:r>
      <w:r w:rsidR="003756AA" w:rsidRPr="00104FA3">
        <w:rPr>
          <w:rFonts w:ascii="Arial" w:hAnsi="Arial" w:cs="Arial"/>
          <w:b/>
          <w:bCs/>
          <w:i/>
          <w:iCs/>
          <w:lang w:eastAsia="es-ES"/>
        </w:rPr>
        <w:t>A</w:t>
      </w:r>
      <w:r w:rsidRPr="00104FA3">
        <w:rPr>
          <w:rFonts w:ascii="Arial" w:hAnsi="Arial" w:cs="Arial"/>
          <w:b/>
          <w:bCs/>
          <w:i/>
          <w:iCs/>
          <w:lang w:eastAsia="es-ES"/>
        </w:rPr>
        <w:t xml:space="preserve"> DECIDIR SOBRE SU OTORGAMIENTO EL JUZGADOR DEBE PONDERAR SIMULTÁNEAMENTE LA APARIENCIA DEL BUEN</w:t>
      </w:r>
      <w:r w:rsidR="003756AA" w:rsidRPr="00104FA3">
        <w:rPr>
          <w:rFonts w:ascii="Arial" w:hAnsi="Arial" w:cs="Arial"/>
          <w:b/>
          <w:bCs/>
          <w:i/>
          <w:iCs/>
          <w:lang w:eastAsia="es-ES"/>
        </w:rPr>
        <w:t xml:space="preserve"> </w:t>
      </w:r>
      <w:r w:rsidRPr="00104FA3">
        <w:rPr>
          <w:rFonts w:ascii="Arial" w:hAnsi="Arial" w:cs="Arial"/>
          <w:b/>
          <w:bCs/>
          <w:i/>
          <w:iCs/>
          <w:lang w:eastAsia="es-ES"/>
        </w:rPr>
        <w:t xml:space="preserve">DERECHO CON EL PERJUICIO AL INTERÉS SOCIAL O AL ORDEN PÚBLICO. </w:t>
      </w:r>
      <w:r w:rsidRPr="00104FA3">
        <w:rPr>
          <w:rFonts w:ascii="Arial" w:hAnsi="Arial" w:cs="Arial"/>
          <w:bCs/>
          <w:i/>
          <w:iCs/>
          <w:lang w:eastAsia="es-ES"/>
        </w:rPr>
        <w:t>[…]”</w:t>
      </w:r>
      <w:r w:rsidR="004B2E77" w:rsidRPr="00104FA3">
        <w:rPr>
          <w:rFonts w:ascii="Arial" w:hAnsi="Arial" w:cs="Arial"/>
          <w:bCs/>
          <w:i/>
          <w:iCs/>
          <w:lang w:eastAsia="es-ES"/>
        </w:rPr>
        <w:t xml:space="preserve"> </w:t>
      </w:r>
    </w:p>
    <w:p w14:paraId="17D2C5B1" w14:textId="12A04EE1" w:rsidR="002F6CE8" w:rsidRPr="00104FA3" w:rsidRDefault="002F6CE8" w:rsidP="00100B26">
      <w:pPr>
        <w:spacing w:before="120" w:after="0"/>
        <w:ind w:left="851" w:right="900" w:firstLine="567"/>
        <w:jc w:val="both"/>
        <w:rPr>
          <w:rFonts w:ascii="Arial" w:hAnsi="Arial" w:cs="Arial"/>
          <w:bCs/>
          <w:i/>
          <w:iCs/>
          <w:lang w:eastAsia="es-ES"/>
        </w:rPr>
      </w:pPr>
      <w:r w:rsidRPr="00104FA3">
        <w:rPr>
          <w:rFonts w:ascii="Arial" w:hAnsi="Arial" w:cs="Arial"/>
          <w:bCs/>
          <w:i/>
          <w:iCs/>
          <w:lang w:eastAsia="es-ES"/>
        </w:rPr>
        <w:t>Es entonces que, de ejecutarse el acto impugnado se dejaría en completo estado de indefensión a la agraviada, pues se encontraría impedida para explotar la concesión que le otorgó la autoridad competente (hasta que se demuestre lo contrario), es decir, al tener un derecho adquirido, ello afecta su esfera jurídica y económica, al manifestar la acto</w:t>
      </w:r>
      <w:r w:rsidR="003756AA" w:rsidRPr="00104FA3">
        <w:rPr>
          <w:rFonts w:ascii="Arial" w:hAnsi="Arial" w:cs="Arial"/>
          <w:bCs/>
          <w:i/>
          <w:iCs/>
          <w:lang w:eastAsia="es-ES"/>
        </w:rPr>
        <w:t>ra</w:t>
      </w:r>
      <w:r w:rsidRPr="00104FA3">
        <w:rPr>
          <w:rFonts w:ascii="Arial" w:hAnsi="Arial" w:cs="Arial"/>
          <w:bCs/>
          <w:i/>
          <w:iCs/>
          <w:lang w:eastAsia="es-ES"/>
        </w:rPr>
        <w:t xml:space="preserve"> que es el único sustento familiar que ha tenido durante años, del cual obtiene los gastos diarios de su hogar, al ser su única fuente de empleo; por lo que se actualiza lo dispuesto en el artículo 217, de la Ley de Procedimiento y Justicia Administrativa para el Estado de Oaxaca. - - - - - - - - - - - - - - - - - - </w:t>
      </w:r>
    </w:p>
    <w:p w14:paraId="6D2E5AEE" w14:textId="77E6C3B1" w:rsidR="002F6CE8" w:rsidRPr="00896A7C" w:rsidRDefault="00896A7C" w:rsidP="00100B26">
      <w:pPr>
        <w:spacing w:before="120" w:after="0"/>
        <w:ind w:left="851" w:right="900" w:firstLine="567"/>
        <w:jc w:val="both"/>
        <w:rPr>
          <w:rFonts w:ascii="Arial" w:hAnsi="Arial" w:cs="Arial"/>
          <w:bCs/>
          <w:i/>
          <w:iCs/>
          <w:lang w:eastAsia="es-ES"/>
        </w:rPr>
      </w:pPr>
      <w:r>
        <w:rPr>
          <w:rFonts w:ascii="Arial" w:hAnsi="Arial" w:cs="Arial"/>
          <w:bCs/>
          <w:i/>
          <w:iCs/>
          <w:lang w:eastAsia="es-ES"/>
        </w:rPr>
        <w:t xml:space="preserve">Consecuentemente, conforme a lo expuesto por la actora y con fundamento en los artículos 132, fracción I, 215, 218 fracción IV, inciso a) b), c), d), de la Ley de Procedimiento y Justicia Administrativa para el Estado de Oaxaca, </w:t>
      </w:r>
      <w:r>
        <w:rPr>
          <w:rFonts w:ascii="Arial" w:hAnsi="Arial" w:cs="Arial"/>
          <w:b/>
          <w:bCs/>
          <w:i/>
          <w:iCs/>
          <w:u w:val="single"/>
          <w:lang w:eastAsia="es-ES"/>
        </w:rPr>
        <w:t xml:space="preserve">se concede la suspensión definitiva  </w:t>
      </w:r>
      <w:r>
        <w:rPr>
          <w:rFonts w:ascii="Arial" w:hAnsi="Arial" w:cs="Arial"/>
          <w:b/>
          <w:bCs/>
          <w:i/>
          <w:iCs/>
          <w:lang w:eastAsia="es-ES"/>
        </w:rPr>
        <w:t xml:space="preserve">a </w:t>
      </w:r>
      <w:r w:rsidR="00C119BD">
        <w:rPr>
          <w:rFonts w:ascii="Arial" w:hAnsi="Arial" w:cs="Arial"/>
          <w:b/>
          <w:bCs/>
          <w:i/>
          <w:iCs/>
          <w:lang w:eastAsia="es-ES"/>
        </w:rPr>
        <w:t>*******</w:t>
      </w:r>
      <w:r>
        <w:rPr>
          <w:rFonts w:ascii="Arial" w:hAnsi="Arial" w:cs="Arial"/>
          <w:b/>
          <w:bCs/>
          <w:i/>
          <w:iCs/>
          <w:lang w:eastAsia="es-ES"/>
        </w:rPr>
        <w:t xml:space="preserve">, </w:t>
      </w:r>
      <w:r>
        <w:rPr>
          <w:rFonts w:ascii="Arial" w:hAnsi="Arial" w:cs="Arial"/>
          <w:bCs/>
          <w:i/>
          <w:iCs/>
          <w:lang w:eastAsia="es-ES"/>
        </w:rPr>
        <w:t xml:space="preserve">para el efecto de que las autoridades demandadas, Secretario de Vialidad y Transporte, ahora denominado Secretario de Movilidad y el Director de Concesiones y Prórrogas, ambas autoridades de la Secretaría de Movilidad del Estado de Oaxaca, así como el Director General de la Policía Vial Estatal, </w:t>
      </w:r>
      <w:r>
        <w:rPr>
          <w:rFonts w:ascii="Arial" w:hAnsi="Arial" w:cs="Arial"/>
          <w:b/>
          <w:bCs/>
          <w:i/>
          <w:iCs/>
          <w:lang w:eastAsia="es-ES"/>
        </w:rPr>
        <w:t xml:space="preserve">no detengan u ordenen la detención del vehículo </w:t>
      </w:r>
      <w:r>
        <w:rPr>
          <w:rFonts w:ascii="Arial" w:hAnsi="Arial" w:cs="Arial"/>
          <w:bCs/>
          <w:i/>
          <w:iCs/>
          <w:lang w:eastAsia="es-ES"/>
        </w:rPr>
        <w:t xml:space="preserve">MARCA </w:t>
      </w:r>
      <w:r w:rsidR="00C119BD">
        <w:rPr>
          <w:rFonts w:ascii="Arial" w:hAnsi="Arial" w:cs="Arial"/>
          <w:bCs/>
          <w:i/>
          <w:iCs/>
          <w:lang w:eastAsia="es-ES"/>
        </w:rPr>
        <w:t>*******</w:t>
      </w:r>
      <w:r>
        <w:rPr>
          <w:rFonts w:ascii="Arial" w:hAnsi="Arial" w:cs="Arial"/>
          <w:bCs/>
          <w:i/>
          <w:iCs/>
          <w:lang w:eastAsia="es-ES"/>
        </w:rPr>
        <w:t xml:space="preserve">, TIPO </w:t>
      </w:r>
      <w:r w:rsidR="00C119BD">
        <w:rPr>
          <w:rFonts w:ascii="Arial" w:hAnsi="Arial" w:cs="Arial"/>
          <w:bCs/>
          <w:i/>
          <w:iCs/>
          <w:lang w:eastAsia="es-ES"/>
        </w:rPr>
        <w:t>*******</w:t>
      </w:r>
      <w:r>
        <w:rPr>
          <w:rFonts w:ascii="Arial" w:hAnsi="Arial" w:cs="Arial"/>
          <w:bCs/>
          <w:i/>
          <w:iCs/>
          <w:lang w:eastAsia="es-ES"/>
        </w:rPr>
        <w:t xml:space="preserve">, MODELO </w:t>
      </w:r>
      <w:r w:rsidR="00C119BD">
        <w:rPr>
          <w:rFonts w:ascii="Arial" w:hAnsi="Arial" w:cs="Arial"/>
          <w:bCs/>
          <w:i/>
          <w:iCs/>
          <w:lang w:eastAsia="es-ES"/>
        </w:rPr>
        <w:t>*******</w:t>
      </w:r>
      <w:r>
        <w:rPr>
          <w:rFonts w:ascii="Arial" w:hAnsi="Arial" w:cs="Arial"/>
          <w:bCs/>
          <w:i/>
          <w:iCs/>
          <w:lang w:eastAsia="es-ES"/>
        </w:rPr>
        <w:t xml:space="preserve">, NÚMERO DE MOTOR </w:t>
      </w:r>
      <w:r w:rsidR="00C119BD">
        <w:rPr>
          <w:rFonts w:ascii="Arial" w:hAnsi="Arial" w:cs="Arial"/>
          <w:bCs/>
          <w:i/>
          <w:iCs/>
          <w:lang w:eastAsia="es-ES"/>
        </w:rPr>
        <w:t>*******</w:t>
      </w:r>
      <w:r>
        <w:rPr>
          <w:rFonts w:ascii="Arial" w:hAnsi="Arial" w:cs="Arial"/>
          <w:bCs/>
          <w:i/>
          <w:iCs/>
          <w:lang w:eastAsia="es-ES"/>
        </w:rPr>
        <w:t>, NÚMERO DE SERIE</w:t>
      </w:r>
      <w:r w:rsidR="00C119BD">
        <w:rPr>
          <w:rFonts w:ascii="Arial" w:hAnsi="Arial" w:cs="Arial"/>
          <w:bCs/>
          <w:i/>
          <w:iCs/>
          <w:lang w:eastAsia="es-ES"/>
        </w:rPr>
        <w:t>*******</w:t>
      </w:r>
      <w:r>
        <w:rPr>
          <w:rFonts w:ascii="Arial" w:hAnsi="Arial" w:cs="Arial"/>
          <w:bCs/>
          <w:i/>
          <w:iCs/>
          <w:lang w:eastAsia="es-ES"/>
        </w:rPr>
        <w:t xml:space="preserve">, CON CAPACIDAD PARA 5 PASAJEROS, CON EL CUAL PRESTA EL SERVICIO PÚBLICO DE TAXI, EN LA LOCALIDAD </w:t>
      </w:r>
      <w:r w:rsidR="00214604">
        <w:rPr>
          <w:rFonts w:ascii="Arial" w:hAnsi="Arial" w:cs="Arial"/>
          <w:bCs/>
          <w:i/>
          <w:iCs/>
          <w:lang w:eastAsia="es-ES"/>
        </w:rPr>
        <w:t xml:space="preserve">DE </w:t>
      </w:r>
      <w:r w:rsidR="00C119BD">
        <w:rPr>
          <w:rFonts w:ascii="Arial" w:hAnsi="Arial" w:cs="Arial"/>
          <w:bCs/>
          <w:i/>
          <w:iCs/>
          <w:lang w:eastAsia="es-ES"/>
        </w:rPr>
        <w:t>*******</w:t>
      </w:r>
      <w:r w:rsidR="00214604">
        <w:rPr>
          <w:rFonts w:ascii="Arial" w:hAnsi="Arial" w:cs="Arial"/>
          <w:bCs/>
          <w:i/>
          <w:iCs/>
          <w:lang w:eastAsia="es-ES"/>
        </w:rPr>
        <w:t>, por no contar con la renovación de su concesión y documentales accesorias, como con el alta de unidad y/o emplacamiento de su vehículo, hasta en tanto se dicte la sentencia definitiva que corresponda y, no así respecto a diversas violaciones a la Ley o Reglamento de Tránsito, o cualquier otra disposición legal vigente. “</w:t>
      </w:r>
    </w:p>
    <w:p w14:paraId="0D590C4E" w14:textId="3CB7AD7A" w:rsidR="008362FD" w:rsidRDefault="00106C2D" w:rsidP="00100B26">
      <w:pPr>
        <w:spacing w:before="120" w:line="360" w:lineRule="auto"/>
        <w:ind w:firstLine="709"/>
        <w:jc w:val="both"/>
        <w:rPr>
          <w:rFonts w:ascii="Arial" w:hAnsi="Arial" w:cs="Arial"/>
          <w:bCs/>
          <w:iCs/>
          <w:sz w:val="26"/>
          <w:szCs w:val="26"/>
          <w:lang w:eastAsia="es-ES"/>
        </w:rPr>
      </w:pPr>
      <w:r>
        <w:rPr>
          <w:rFonts w:ascii="Arial" w:hAnsi="Arial" w:cs="Arial"/>
          <w:bCs/>
          <w:iCs/>
          <w:sz w:val="26"/>
          <w:szCs w:val="26"/>
          <w:lang w:eastAsia="es-ES"/>
        </w:rPr>
        <w:lastRenderedPageBreak/>
        <w:t xml:space="preserve">Ahora bien, se califican de </w:t>
      </w:r>
      <w:r>
        <w:rPr>
          <w:rFonts w:ascii="Arial" w:hAnsi="Arial" w:cs="Arial"/>
          <w:b/>
          <w:bCs/>
          <w:iCs/>
          <w:sz w:val="26"/>
          <w:szCs w:val="26"/>
          <w:lang w:eastAsia="es-ES"/>
        </w:rPr>
        <w:t xml:space="preserve">INFUNDADOS </w:t>
      </w:r>
      <w:r>
        <w:rPr>
          <w:rFonts w:ascii="Arial" w:hAnsi="Arial" w:cs="Arial"/>
          <w:bCs/>
          <w:iCs/>
          <w:sz w:val="26"/>
          <w:szCs w:val="26"/>
          <w:lang w:eastAsia="es-ES"/>
        </w:rPr>
        <w:t xml:space="preserve">los agravios </w:t>
      </w:r>
      <w:r>
        <w:rPr>
          <w:rFonts w:ascii="Arial" w:hAnsi="Arial" w:cs="Arial"/>
          <w:b/>
          <w:bCs/>
          <w:iCs/>
          <w:sz w:val="26"/>
          <w:szCs w:val="26"/>
          <w:lang w:eastAsia="es-ES"/>
        </w:rPr>
        <w:t xml:space="preserve">segundo y tercero </w:t>
      </w:r>
      <w:r>
        <w:rPr>
          <w:rFonts w:ascii="Arial" w:hAnsi="Arial" w:cs="Arial"/>
          <w:bCs/>
          <w:iCs/>
          <w:sz w:val="26"/>
          <w:szCs w:val="26"/>
          <w:lang w:eastAsia="es-ES"/>
        </w:rPr>
        <w:t xml:space="preserve">que hace valer la autoridad recurrente. - - - - - - - - - - - - - - - - </w:t>
      </w:r>
    </w:p>
    <w:p w14:paraId="6FA95B53" w14:textId="5CD64EBF" w:rsidR="00F0064B" w:rsidRDefault="00106C2D" w:rsidP="00401744">
      <w:pPr>
        <w:spacing w:after="120" w:line="360" w:lineRule="auto"/>
        <w:ind w:firstLine="709"/>
        <w:jc w:val="both"/>
        <w:rPr>
          <w:rFonts w:ascii="Arial" w:eastAsia="Calibri" w:hAnsi="Arial" w:cs="Arial"/>
          <w:bCs/>
          <w:sz w:val="26"/>
          <w:szCs w:val="26"/>
        </w:rPr>
      </w:pPr>
      <w:r>
        <w:rPr>
          <w:rFonts w:ascii="Arial" w:hAnsi="Arial" w:cs="Arial"/>
          <w:bCs/>
          <w:iCs/>
          <w:sz w:val="26"/>
          <w:szCs w:val="26"/>
          <w:lang w:eastAsia="es-ES"/>
        </w:rPr>
        <w:t xml:space="preserve">Se dice lo </w:t>
      </w:r>
      <w:r w:rsidRPr="003756AA">
        <w:rPr>
          <w:rFonts w:ascii="Arial" w:hAnsi="Arial" w:cs="Arial"/>
          <w:bCs/>
          <w:iCs/>
          <w:sz w:val="26"/>
          <w:szCs w:val="26"/>
          <w:lang w:eastAsia="es-ES"/>
        </w:rPr>
        <w:t xml:space="preserve">anterior, toda vez que </w:t>
      </w:r>
      <w:r w:rsidR="00C03C68" w:rsidRPr="003756AA">
        <w:rPr>
          <w:rFonts w:ascii="Arial" w:hAnsi="Arial" w:cs="Arial"/>
          <w:bCs/>
          <w:iCs/>
          <w:sz w:val="26"/>
          <w:szCs w:val="26"/>
          <w:lang w:eastAsia="es-ES"/>
        </w:rPr>
        <w:t xml:space="preserve">la Primera Instancia </w:t>
      </w:r>
      <w:r w:rsidR="00744C09" w:rsidRPr="003756AA">
        <w:rPr>
          <w:rFonts w:ascii="Arial" w:hAnsi="Arial" w:cs="Arial"/>
          <w:bCs/>
          <w:iCs/>
          <w:sz w:val="26"/>
          <w:szCs w:val="26"/>
          <w:lang w:eastAsia="es-ES"/>
        </w:rPr>
        <w:t xml:space="preserve">al conceder </w:t>
      </w:r>
      <w:r w:rsidR="00C03C68" w:rsidRPr="003756AA">
        <w:rPr>
          <w:rFonts w:ascii="Arial" w:hAnsi="Arial" w:cs="Arial"/>
          <w:bCs/>
          <w:iCs/>
          <w:sz w:val="26"/>
          <w:szCs w:val="26"/>
          <w:lang w:eastAsia="es-ES"/>
        </w:rPr>
        <w:t xml:space="preserve"> la suspensión definitiva, </w:t>
      </w:r>
      <w:r w:rsidR="00A90CB1" w:rsidRPr="003756AA">
        <w:rPr>
          <w:rFonts w:ascii="Arial" w:hAnsi="Arial" w:cs="Arial"/>
          <w:bCs/>
          <w:iCs/>
          <w:sz w:val="26"/>
          <w:szCs w:val="26"/>
          <w:lang w:eastAsia="es-ES"/>
        </w:rPr>
        <w:t>s</w:t>
      </w:r>
      <w:r w:rsidR="003756AA" w:rsidRPr="003756AA">
        <w:rPr>
          <w:rFonts w:ascii="Arial" w:hAnsi="Arial" w:cs="Arial"/>
          <w:bCs/>
          <w:iCs/>
          <w:sz w:val="26"/>
          <w:szCs w:val="26"/>
          <w:lang w:eastAsia="es-ES"/>
        </w:rPr>
        <w:t>í</w:t>
      </w:r>
      <w:r w:rsidR="00A90CB1" w:rsidRPr="003756AA">
        <w:rPr>
          <w:rFonts w:ascii="Arial" w:hAnsi="Arial" w:cs="Arial"/>
          <w:bCs/>
          <w:iCs/>
          <w:sz w:val="26"/>
          <w:szCs w:val="26"/>
          <w:lang w:eastAsia="es-ES"/>
        </w:rPr>
        <w:t xml:space="preserve"> fundó y motiv</w:t>
      </w:r>
      <w:r w:rsidR="003756AA" w:rsidRPr="003756AA">
        <w:rPr>
          <w:rFonts w:ascii="Arial" w:hAnsi="Arial" w:cs="Arial"/>
          <w:bCs/>
          <w:iCs/>
          <w:sz w:val="26"/>
          <w:szCs w:val="26"/>
          <w:lang w:eastAsia="es-ES"/>
        </w:rPr>
        <w:t>ó</w:t>
      </w:r>
      <w:r w:rsidR="00A90CB1" w:rsidRPr="003756AA">
        <w:rPr>
          <w:rFonts w:ascii="Arial" w:hAnsi="Arial" w:cs="Arial"/>
          <w:bCs/>
          <w:iCs/>
          <w:sz w:val="26"/>
          <w:szCs w:val="26"/>
          <w:lang w:eastAsia="es-ES"/>
        </w:rPr>
        <w:t xml:space="preserve"> su determinación al haberse </w:t>
      </w:r>
      <w:r w:rsidR="00C03C68" w:rsidRPr="003756AA">
        <w:rPr>
          <w:rFonts w:ascii="Arial" w:hAnsi="Arial" w:cs="Arial"/>
          <w:bCs/>
          <w:iCs/>
          <w:sz w:val="26"/>
          <w:szCs w:val="26"/>
          <w:lang w:eastAsia="es-ES"/>
        </w:rPr>
        <w:t>sustent</w:t>
      </w:r>
      <w:r w:rsidR="00A90CB1" w:rsidRPr="003756AA">
        <w:rPr>
          <w:rFonts w:ascii="Arial" w:hAnsi="Arial" w:cs="Arial"/>
          <w:bCs/>
          <w:iCs/>
          <w:sz w:val="26"/>
          <w:szCs w:val="26"/>
          <w:lang w:eastAsia="es-ES"/>
        </w:rPr>
        <w:t>ado</w:t>
      </w:r>
      <w:r w:rsidR="00744C09" w:rsidRPr="003756AA">
        <w:rPr>
          <w:rFonts w:ascii="Arial" w:hAnsi="Arial" w:cs="Arial"/>
          <w:bCs/>
          <w:iCs/>
          <w:sz w:val="26"/>
          <w:szCs w:val="26"/>
          <w:lang w:eastAsia="es-ES"/>
        </w:rPr>
        <w:t xml:space="preserve"> </w:t>
      </w:r>
      <w:r w:rsidR="00A90CB1" w:rsidRPr="003756AA">
        <w:rPr>
          <w:rFonts w:ascii="Arial" w:eastAsia="Calibri" w:hAnsi="Arial" w:cs="Arial"/>
          <w:bCs/>
          <w:sz w:val="26"/>
          <w:szCs w:val="26"/>
        </w:rPr>
        <w:t>en el artículo</w:t>
      </w:r>
      <w:r w:rsidR="00F0064B" w:rsidRPr="003756AA">
        <w:rPr>
          <w:rFonts w:ascii="Arial" w:eastAsia="Calibri" w:hAnsi="Arial" w:cs="Arial"/>
          <w:bCs/>
          <w:sz w:val="26"/>
          <w:szCs w:val="26"/>
        </w:rPr>
        <w:t xml:space="preserve"> </w:t>
      </w:r>
      <w:r w:rsidR="00C03C68" w:rsidRPr="003756AA">
        <w:rPr>
          <w:rFonts w:ascii="Arial" w:eastAsia="Calibri" w:hAnsi="Arial" w:cs="Arial"/>
          <w:bCs/>
          <w:sz w:val="26"/>
          <w:szCs w:val="26"/>
        </w:rPr>
        <w:t>21</w:t>
      </w:r>
      <w:r w:rsidR="00F0064B" w:rsidRPr="003756AA">
        <w:rPr>
          <w:rFonts w:ascii="Arial" w:eastAsia="Calibri" w:hAnsi="Arial" w:cs="Arial"/>
          <w:bCs/>
          <w:sz w:val="26"/>
          <w:szCs w:val="26"/>
        </w:rPr>
        <w:t>5</w:t>
      </w:r>
      <w:r w:rsidR="003F4DF3" w:rsidRPr="003756AA">
        <w:rPr>
          <w:rFonts w:ascii="Arial" w:eastAsia="Calibri" w:hAnsi="Arial" w:cs="Arial"/>
          <w:bCs/>
          <w:sz w:val="26"/>
          <w:szCs w:val="26"/>
        </w:rPr>
        <w:t xml:space="preserve"> de la Ley de Procedimiento y Justicia Administrativa para el Estado,</w:t>
      </w:r>
      <w:r w:rsidR="003F4DF3" w:rsidRPr="003756AA">
        <w:rPr>
          <w:rFonts w:ascii="Arial" w:eastAsia="Calibri" w:hAnsi="Arial" w:cs="Arial"/>
          <w:b/>
          <w:bCs/>
          <w:sz w:val="26"/>
          <w:szCs w:val="26"/>
        </w:rPr>
        <w:t xml:space="preserve"> </w:t>
      </w:r>
      <w:r w:rsidR="00C03C68" w:rsidRPr="003756AA">
        <w:rPr>
          <w:rFonts w:ascii="Arial" w:eastAsia="Calibri" w:hAnsi="Arial" w:cs="Arial"/>
          <w:bCs/>
          <w:sz w:val="26"/>
          <w:szCs w:val="26"/>
        </w:rPr>
        <w:t>pues indicó q</w:t>
      </w:r>
      <w:r w:rsidR="00F0064B" w:rsidRPr="003756AA">
        <w:rPr>
          <w:rFonts w:ascii="Arial" w:eastAsia="Calibri" w:hAnsi="Arial" w:cs="Arial"/>
          <w:bCs/>
          <w:sz w:val="26"/>
          <w:szCs w:val="26"/>
        </w:rPr>
        <w:t>ue</w:t>
      </w:r>
      <w:r w:rsidR="00F0064B" w:rsidRPr="002A5519">
        <w:rPr>
          <w:rFonts w:ascii="Arial" w:eastAsia="Calibri" w:hAnsi="Arial" w:cs="Arial"/>
          <w:bCs/>
          <w:sz w:val="26"/>
          <w:szCs w:val="26"/>
        </w:rPr>
        <w:t xml:space="preserve"> con el otorgamiento de dicha medida cautelar se conserva la materia del juicio, dado que, el act</w:t>
      </w:r>
      <w:r w:rsidR="00C03C68">
        <w:rPr>
          <w:rFonts w:ascii="Arial" w:eastAsia="Calibri" w:hAnsi="Arial" w:cs="Arial"/>
          <w:bCs/>
          <w:sz w:val="26"/>
          <w:szCs w:val="26"/>
        </w:rPr>
        <w:t>o señalado como impugnado lo es</w:t>
      </w:r>
      <w:r w:rsidR="00F0064B" w:rsidRPr="002A5519">
        <w:rPr>
          <w:rFonts w:ascii="Arial" w:eastAsia="Calibri" w:hAnsi="Arial" w:cs="Arial"/>
          <w:bCs/>
          <w:sz w:val="26"/>
          <w:szCs w:val="26"/>
        </w:rPr>
        <w:t xml:space="preserve"> la resolución negativa ficta recaída a</w:t>
      </w:r>
      <w:r w:rsidR="00C03C68">
        <w:rPr>
          <w:rFonts w:ascii="Arial" w:eastAsia="Calibri" w:hAnsi="Arial" w:cs="Arial"/>
          <w:bCs/>
          <w:sz w:val="26"/>
          <w:szCs w:val="26"/>
        </w:rPr>
        <w:t xml:space="preserve">l escrito de la parte actora de veinticinco de septiembre de dos mil quince, </w:t>
      </w:r>
      <w:r w:rsidR="00F0064B" w:rsidRPr="002A5519">
        <w:rPr>
          <w:rFonts w:ascii="Arial" w:eastAsia="Calibri" w:hAnsi="Arial" w:cs="Arial"/>
          <w:bCs/>
          <w:sz w:val="26"/>
          <w:szCs w:val="26"/>
        </w:rPr>
        <w:t xml:space="preserve">en </w:t>
      </w:r>
      <w:r w:rsidR="00C03C68">
        <w:rPr>
          <w:rFonts w:ascii="Arial" w:eastAsia="Calibri" w:hAnsi="Arial" w:cs="Arial"/>
          <w:bCs/>
          <w:sz w:val="26"/>
          <w:szCs w:val="26"/>
        </w:rPr>
        <w:t>e</w:t>
      </w:r>
      <w:r w:rsidR="00F0064B">
        <w:rPr>
          <w:rFonts w:ascii="Arial" w:eastAsia="Calibri" w:hAnsi="Arial" w:cs="Arial"/>
          <w:bCs/>
          <w:sz w:val="26"/>
          <w:szCs w:val="26"/>
        </w:rPr>
        <w:t>l</w:t>
      </w:r>
      <w:r w:rsidR="00F0064B" w:rsidRPr="002A5519">
        <w:rPr>
          <w:rFonts w:ascii="Arial" w:eastAsia="Calibri" w:hAnsi="Arial" w:cs="Arial"/>
          <w:bCs/>
          <w:sz w:val="26"/>
          <w:szCs w:val="26"/>
        </w:rPr>
        <w:t xml:space="preserve"> cual solicitó</w:t>
      </w:r>
      <w:r w:rsidR="00F0064B">
        <w:rPr>
          <w:rFonts w:ascii="Arial" w:eastAsia="Calibri" w:hAnsi="Arial" w:cs="Arial"/>
          <w:bCs/>
          <w:sz w:val="26"/>
          <w:szCs w:val="26"/>
        </w:rPr>
        <w:t xml:space="preserve"> la renovación de </w:t>
      </w:r>
      <w:r w:rsidR="00C03C68">
        <w:rPr>
          <w:rFonts w:ascii="Arial" w:eastAsia="Calibri" w:hAnsi="Arial" w:cs="Arial"/>
          <w:bCs/>
          <w:sz w:val="26"/>
          <w:szCs w:val="26"/>
        </w:rPr>
        <w:t xml:space="preserve">la </w:t>
      </w:r>
      <w:r w:rsidR="00F0064B">
        <w:rPr>
          <w:rFonts w:ascii="Arial" w:eastAsia="Calibri" w:hAnsi="Arial" w:cs="Arial"/>
          <w:bCs/>
          <w:sz w:val="26"/>
          <w:szCs w:val="26"/>
        </w:rPr>
        <w:t xml:space="preserve">concesión </w:t>
      </w:r>
      <w:r w:rsidR="00C03C68">
        <w:rPr>
          <w:rFonts w:ascii="Arial" w:eastAsia="Calibri" w:hAnsi="Arial" w:cs="Arial"/>
          <w:bCs/>
          <w:sz w:val="26"/>
          <w:szCs w:val="26"/>
        </w:rPr>
        <w:t>número 8699 y la autorización de alta de unidad por cambio de veh</w:t>
      </w:r>
      <w:r w:rsidR="0032069E">
        <w:rPr>
          <w:rFonts w:ascii="Arial" w:eastAsia="Calibri" w:hAnsi="Arial" w:cs="Arial"/>
          <w:bCs/>
          <w:sz w:val="26"/>
          <w:szCs w:val="26"/>
        </w:rPr>
        <w:t>ículo</w:t>
      </w:r>
      <w:r w:rsidR="00F0064B" w:rsidRPr="002A5519">
        <w:rPr>
          <w:rFonts w:ascii="Arial" w:eastAsia="Calibri" w:hAnsi="Arial" w:cs="Arial"/>
          <w:bCs/>
          <w:sz w:val="26"/>
          <w:szCs w:val="26"/>
        </w:rPr>
        <w:t>; con lo que se hace patente que la medida cautelar no incide en la materia del juicio.</w:t>
      </w:r>
      <w:r w:rsidR="0032069E">
        <w:rPr>
          <w:rFonts w:ascii="Arial" w:eastAsia="Calibri" w:hAnsi="Arial" w:cs="Arial"/>
          <w:bCs/>
          <w:sz w:val="26"/>
          <w:szCs w:val="26"/>
        </w:rPr>
        <w:t xml:space="preserve">- - </w:t>
      </w:r>
    </w:p>
    <w:p w14:paraId="4F2178AF" w14:textId="33F11A62" w:rsidR="00F0064B" w:rsidRPr="003F5A6A" w:rsidRDefault="0032069E" w:rsidP="00401744">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igual forma, </w:t>
      </w:r>
      <w:r w:rsidR="00A90CB1">
        <w:rPr>
          <w:rFonts w:ascii="Arial" w:eastAsia="Calibri" w:hAnsi="Arial" w:cs="Arial"/>
          <w:bCs/>
          <w:sz w:val="26"/>
          <w:szCs w:val="26"/>
        </w:rPr>
        <w:t xml:space="preserve">es de señalar que con </w:t>
      </w:r>
      <w:r w:rsidR="00F0064B" w:rsidRPr="002A5519">
        <w:rPr>
          <w:rFonts w:ascii="Arial" w:eastAsia="Calibri" w:hAnsi="Arial" w:cs="Arial"/>
          <w:bCs/>
          <w:sz w:val="26"/>
          <w:szCs w:val="26"/>
        </w:rPr>
        <w:t xml:space="preserve">el </w:t>
      </w:r>
      <w:r w:rsidR="00F0064B" w:rsidRPr="003756AA">
        <w:rPr>
          <w:rFonts w:ascii="Arial" w:eastAsia="Calibri" w:hAnsi="Arial" w:cs="Arial"/>
          <w:bCs/>
          <w:sz w:val="26"/>
          <w:szCs w:val="26"/>
        </w:rPr>
        <w:t>otorgamiento de la medida cautelar, no se afecta</w:t>
      </w:r>
      <w:r w:rsidR="00A90CB1" w:rsidRPr="003756AA">
        <w:rPr>
          <w:rFonts w:ascii="Arial" w:eastAsia="Calibri" w:hAnsi="Arial" w:cs="Arial"/>
          <w:bCs/>
          <w:sz w:val="26"/>
          <w:szCs w:val="26"/>
        </w:rPr>
        <w:t xml:space="preserve"> el interés social, ni se </w:t>
      </w:r>
      <w:r w:rsidR="00E362F1" w:rsidRPr="003756AA">
        <w:rPr>
          <w:rFonts w:ascii="Arial" w:eastAsia="Calibri" w:hAnsi="Arial" w:cs="Arial"/>
          <w:bCs/>
          <w:sz w:val="26"/>
          <w:szCs w:val="26"/>
        </w:rPr>
        <w:t xml:space="preserve">contravienen </w:t>
      </w:r>
      <w:r w:rsidR="00A90CB1" w:rsidRPr="003756AA">
        <w:rPr>
          <w:rFonts w:ascii="Arial" w:eastAsia="Calibri" w:hAnsi="Arial" w:cs="Arial"/>
          <w:bCs/>
          <w:sz w:val="26"/>
          <w:szCs w:val="26"/>
        </w:rPr>
        <w:t>disposiciones de orden público</w:t>
      </w:r>
      <w:r w:rsidR="00F0064B" w:rsidRPr="003756AA">
        <w:rPr>
          <w:rFonts w:ascii="Arial" w:eastAsia="Calibri" w:hAnsi="Arial" w:cs="Arial"/>
          <w:bCs/>
          <w:sz w:val="26"/>
          <w:szCs w:val="26"/>
        </w:rPr>
        <w:t xml:space="preserve">, en razón </w:t>
      </w:r>
      <w:r w:rsidR="00E362F1" w:rsidRPr="003756AA">
        <w:rPr>
          <w:rFonts w:ascii="Arial" w:eastAsia="Calibri" w:hAnsi="Arial" w:cs="Arial"/>
          <w:bCs/>
          <w:sz w:val="26"/>
          <w:szCs w:val="26"/>
        </w:rPr>
        <w:t xml:space="preserve">de </w:t>
      </w:r>
      <w:r w:rsidR="00F0064B" w:rsidRPr="003756AA">
        <w:rPr>
          <w:rFonts w:ascii="Arial" w:eastAsia="Calibri" w:hAnsi="Arial" w:cs="Arial"/>
          <w:bCs/>
          <w:sz w:val="26"/>
          <w:szCs w:val="26"/>
        </w:rPr>
        <w:t>que la actividad sobre</w:t>
      </w:r>
      <w:r w:rsidR="00F0064B" w:rsidRPr="002A5519">
        <w:rPr>
          <w:rFonts w:ascii="Arial" w:eastAsia="Calibri" w:hAnsi="Arial" w:cs="Arial"/>
          <w:bCs/>
          <w:sz w:val="26"/>
          <w:szCs w:val="26"/>
        </w:rPr>
        <w:t xml:space="preserve"> la que versa la medida no </w:t>
      </w:r>
      <w:r w:rsidR="00A90CB1" w:rsidRPr="002A5519">
        <w:rPr>
          <w:rFonts w:ascii="Arial" w:eastAsia="Calibri" w:hAnsi="Arial" w:cs="Arial"/>
          <w:bCs/>
          <w:sz w:val="26"/>
          <w:szCs w:val="26"/>
        </w:rPr>
        <w:t>afecta</w:t>
      </w:r>
      <w:r w:rsidR="00F0064B" w:rsidRPr="002A5519">
        <w:rPr>
          <w:rFonts w:ascii="Arial" w:eastAsia="Calibri" w:hAnsi="Arial" w:cs="Arial"/>
          <w:bCs/>
          <w:sz w:val="26"/>
          <w:szCs w:val="26"/>
        </w:rPr>
        <w:t xml:space="preserve"> a la colectividad, ya </w:t>
      </w:r>
      <w:r>
        <w:rPr>
          <w:rFonts w:ascii="Arial" w:eastAsia="Calibri" w:hAnsi="Arial" w:cs="Arial"/>
          <w:bCs/>
          <w:sz w:val="26"/>
          <w:szCs w:val="26"/>
        </w:rPr>
        <w:t xml:space="preserve">que </w:t>
      </w:r>
      <w:r w:rsidR="00F0064B" w:rsidRPr="002A5519">
        <w:rPr>
          <w:rFonts w:ascii="Arial" w:eastAsia="Calibri" w:hAnsi="Arial" w:cs="Arial"/>
          <w:bCs/>
          <w:sz w:val="26"/>
          <w:szCs w:val="26"/>
        </w:rPr>
        <w:t>l</w:t>
      </w:r>
      <w:r>
        <w:rPr>
          <w:rFonts w:ascii="Arial" w:eastAsia="Calibri" w:hAnsi="Arial" w:cs="Arial"/>
          <w:bCs/>
          <w:sz w:val="26"/>
          <w:szCs w:val="26"/>
        </w:rPr>
        <w:t>a</w:t>
      </w:r>
      <w:r w:rsidR="00F0064B" w:rsidRPr="002A5519">
        <w:rPr>
          <w:rFonts w:ascii="Arial" w:eastAsia="Calibri" w:hAnsi="Arial" w:cs="Arial"/>
          <w:bCs/>
          <w:sz w:val="26"/>
          <w:szCs w:val="26"/>
        </w:rPr>
        <w:t xml:space="preserve"> administrad</w:t>
      </w:r>
      <w:r>
        <w:rPr>
          <w:rFonts w:ascii="Arial" w:eastAsia="Calibri" w:hAnsi="Arial" w:cs="Arial"/>
          <w:bCs/>
          <w:sz w:val="26"/>
          <w:szCs w:val="26"/>
        </w:rPr>
        <w:t>a</w:t>
      </w:r>
      <w:r w:rsidR="00F0064B" w:rsidRPr="002A5519">
        <w:rPr>
          <w:rFonts w:ascii="Arial" w:eastAsia="Calibri" w:hAnsi="Arial" w:cs="Arial"/>
          <w:bCs/>
          <w:sz w:val="26"/>
          <w:szCs w:val="26"/>
        </w:rPr>
        <w:t xml:space="preserve"> </w:t>
      </w:r>
      <w:r w:rsidR="00C366E1">
        <w:rPr>
          <w:rFonts w:ascii="Arial" w:eastAsia="Calibri" w:hAnsi="Arial" w:cs="Arial"/>
          <w:bCs/>
          <w:sz w:val="26"/>
          <w:szCs w:val="26"/>
        </w:rPr>
        <w:t>manifestó en esencia que de manera continua ha prestado el servicio de pasajeros, ante la omisión de la autoridad demandada de resolver sobre su petición para renovar su concesión,</w:t>
      </w:r>
      <w:r w:rsidR="00F0064B">
        <w:rPr>
          <w:rFonts w:ascii="Arial" w:eastAsia="Calibri" w:hAnsi="Arial" w:cs="Arial"/>
          <w:bCs/>
          <w:sz w:val="26"/>
          <w:szCs w:val="26"/>
        </w:rPr>
        <w:t xml:space="preserve"> el cual le otorga a su favor la apariencia del buen derecho, que es apuntar a una credibilidad objetiva, lo que se logra a través de un conocimiento superficial, dirigido a obtener una decisión  de mera probabilidad respecto de la existencia del derecho discutido en el proceso. </w:t>
      </w:r>
      <w:r w:rsidR="003F4DF3">
        <w:rPr>
          <w:rFonts w:ascii="Arial" w:eastAsia="Calibri" w:hAnsi="Arial" w:cs="Arial"/>
          <w:bCs/>
          <w:sz w:val="26"/>
          <w:szCs w:val="26"/>
        </w:rPr>
        <w:t>- - - - - - - - - - - - - - - - - - - - - - - - - - - - - - - - - - -</w:t>
      </w:r>
    </w:p>
    <w:p w14:paraId="126F2E92" w14:textId="3E27D54A" w:rsidR="00F0064B" w:rsidRPr="003F4DF3" w:rsidRDefault="00F0064B" w:rsidP="003F4DF3">
      <w:pPr>
        <w:pStyle w:val="corte3centro"/>
        <w:spacing w:before="120"/>
        <w:jc w:val="both"/>
        <w:rPr>
          <w:rFonts w:eastAsia="Calibri" w:cs="Arial"/>
          <w:b w:val="0"/>
          <w:bCs/>
          <w:sz w:val="26"/>
          <w:szCs w:val="26"/>
        </w:rPr>
      </w:pPr>
      <w:r>
        <w:rPr>
          <w:rFonts w:cs="Arial"/>
          <w:b w:val="0"/>
          <w:sz w:val="24"/>
          <w:szCs w:val="24"/>
        </w:rPr>
        <w:tab/>
      </w:r>
      <w:r w:rsidR="00C366E1" w:rsidRPr="00C366E1">
        <w:rPr>
          <w:rFonts w:cs="Arial"/>
          <w:b w:val="0"/>
          <w:sz w:val="26"/>
          <w:szCs w:val="26"/>
        </w:rPr>
        <w:t>Luego,</w:t>
      </w:r>
      <w:r w:rsidR="00C366E1">
        <w:rPr>
          <w:rFonts w:cs="Arial"/>
          <w:b w:val="0"/>
          <w:sz w:val="24"/>
          <w:szCs w:val="24"/>
        </w:rPr>
        <w:t xml:space="preserve"> </w:t>
      </w:r>
      <w:r w:rsidR="00C366E1">
        <w:rPr>
          <w:rFonts w:eastAsia="Calibri" w:cs="Arial"/>
          <w:b w:val="0"/>
          <w:bCs/>
          <w:sz w:val="26"/>
          <w:szCs w:val="26"/>
        </w:rPr>
        <w:t>de negarse</w:t>
      </w:r>
      <w:r w:rsidR="003F4DF3">
        <w:rPr>
          <w:rFonts w:eastAsia="Calibri" w:cs="Arial"/>
          <w:b w:val="0"/>
          <w:bCs/>
          <w:sz w:val="26"/>
          <w:szCs w:val="26"/>
        </w:rPr>
        <w:t xml:space="preserve"> </w:t>
      </w:r>
      <w:r w:rsidRPr="003F4DF3">
        <w:rPr>
          <w:rFonts w:eastAsia="Calibri" w:cs="Arial"/>
          <w:b w:val="0"/>
          <w:bCs/>
          <w:sz w:val="26"/>
          <w:szCs w:val="26"/>
        </w:rPr>
        <w:t>la medida cautelar</w:t>
      </w:r>
      <w:r w:rsidR="003F4DF3">
        <w:rPr>
          <w:rFonts w:eastAsia="Calibri" w:cs="Arial"/>
          <w:b w:val="0"/>
          <w:bCs/>
          <w:sz w:val="26"/>
          <w:szCs w:val="26"/>
        </w:rPr>
        <w:t>,</w:t>
      </w:r>
      <w:r w:rsidRPr="003F4DF3">
        <w:rPr>
          <w:rFonts w:eastAsia="Calibri" w:cs="Arial"/>
          <w:b w:val="0"/>
          <w:bCs/>
          <w:sz w:val="26"/>
          <w:szCs w:val="26"/>
        </w:rPr>
        <w:t xml:space="preserve"> s</w:t>
      </w:r>
      <w:r w:rsidR="003F4DF3">
        <w:rPr>
          <w:rFonts w:eastAsia="Calibri" w:cs="Arial"/>
          <w:b w:val="0"/>
          <w:bCs/>
          <w:sz w:val="26"/>
          <w:szCs w:val="26"/>
        </w:rPr>
        <w:t>í</w:t>
      </w:r>
      <w:r w:rsidRPr="003F4DF3">
        <w:rPr>
          <w:rFonts w:eastAsia="Calibri" w:cs="Arial"/>
          <w:b w:val="0"/>
          <w:bCs/>
          <w:sz w:val="26"/>
          <w:szCs w:val="26"/>
        </w:rPr>
        <w:t xml:space="preserve"> se causarían con la ejecución del </w:t>
      </w:r>
      <w:r w:rsidRPr="003756AA">
        <w:rPr>
          <w:rFonts w:eastAsia="Calibri" w:cs="Arial"/>
          <w:b w:val="0"/>
          <w:bCs/>
          <w:sz w:val="26"/>
          <w:szCs w:val="26"/>
        </w:rPr>
        <w:t xml:space="preserve">acto daños y perjuicios de difícil reparación a la administrada, en virtud </w:t>
      </w:r>
      <w:r w:rsidR="00E362F1" w:rsidRPr="003756AA">
        <w:rPr>
          <w:rFonts w:eastAsia="Calibri" w:cs="Arial"/>
          <w:b w:val="0"/>
          <w:bCs/>
          <w:sz w:val="26"/>
          <w:szCs w:val="26"/>
        </w:rPr>
        <w:t xml:space="preserve">de </w:t>
      </w:r>
      <w:r w:rsidRPr="003756AA">
        <w:rPr>
          <w:rFonts w:eastAsia="Calibri" w:cs="Arial"/>
          <w:b w:val="0"/>
          <w:bCs/>
          <w:sz w:val="26"/>
          <w:szCs w:val="26"/>
        </w:rPr>
        <w:t>que</w:t>
      </w:r>
      <w:r w:rsidR="003756AA" w:rsidRPr="003756AA">
        <w:rPr>
          <w:rFonts w:eastAsia="Calibri" w:cs="Arial"/>
          <w:b w:val="0"/>
          <w:bCs/>
          <w:sz w:val="26"/>
          <w:szCs w:val="26"/>
        </w:rPr>
        <w:t>,</w:t>
      </w:r>
      <w:r w:rsidRPr="003756AA">
        <w:rPr>
          <w:rFonts w:eastAsia="Calibri" w:cs="Arial"/>
          <w:b w:val="0"/>
          <w:bCs/>
          <w:sz w:val="26"/>
          <w:szCs w:val="26"/>
        </w:rPr>
        <w:t xml:space="preserve"> como</w:t>
      </w:r>
      <w:r w:rsidRPr="003F4DF3">
        <w:rPr>
          <w:rFonts w:eastAsia="Calibri" w:cs="Arial"/>
          <w:b w:val="0"/>
          <w:bCs/>
          <w:sz w:val="26"/>
          <w:szCs w:val="26"/>
        </w:rPr>
        <w:t xml:space="preserve"> lo indica, la prestación del servicio público de transporte es su fuente de trabajo; por lo que </w:t>
      </w:r>
      <w:r w:rsidRPr="003F4DF3">
        <w:rPr>
          <w:rFonts w:cs="Arial"/>
          <w:b w:val="0"/>
          <w:sz w:val="26"/>
          <w:szCs w:val="26"/>
        </w:rPr>
        <w:t>sufriría el peligro en la demora, que consiste en la posible frustración de los derechos del pretendiente de la medida, que puede darse como consecuencia de la tardanza en el dictado de la resolución de fondo.</w:t>
      </w:r>
      <w:r w:rsidR="003F4DF3">
        <w:rPr>
          <w:rFonts w:cs="Arial"/>
          <w:b w:val="0"/>
          <w:sz w:val="26"/>
          <w:szCs w:val="26"/>
        </w:rPr>
        <w:t xml:space="preserve">- - - - - - - - - - - - - - - - - </w:t>
      </w:r>
    </w:p>
    <w:p w14:paraId="523E99F2" w14:textId="6AEE6226" w:rsidR="008362FD" w:rsidRDefault="00F0064B" w:rsidP="008362FD">
      <w:pPr>
        <w:spacing w:before="120" w:after="0" w:line="360" w:lineRule="auto"/>
        <w:ind w:firstLine="709"/>
        <w:jc w:val="both"/>
        <w:rPr>
          <w:rFonts w:ascii="Arial" w:eastAsia="Calibri" w:hAnsi="Arial" w:cs="Arial"/>
          <w:bCs/>
          <w:sz w:val="26"/>
          <w:szCs w:val="26"/>
        </w:rPr>
      </w:pPr>
      <w:r w:rsidRPr="002A5519">
        <w:rPr>
          <w:rFonts w:ascii="Arial" w:eastAsia="Calibri" w:hAnsi="Arial" w:cs="Arial"/>
          <w:bCs/>
          <w:sz w:val="26"/>
          <w:szCs w:val="26"/>
        </w:rPr>
        <w:t xml:space="preserve">De ahí que resulte procedente </w:t>
      </w:r>
      <w:r w:rsidR="003F4DF3">
        <w:rPr>
          <w:rFonts w:ascii="Arial" w:eastAsia="Calibri" w:hAnsi="Arial" w:cs="Arial"/>
          <w:bCs/>
          <w:sz w:val="26"/>
          <w:szCs w:val="26"/>
        </w:rPr>
        <w:t xml:space="preserve">la concesión de la </w:t>
      </w:r>
      <w:r>
        <w:rPr>
          <w:rFonts w:ascii="Arial" w:eastAsia="Calibri" w:hAnsi="Arial" w:cs="Arial"/>
          <w:bCs/>
          <w:sz w:val="26"/>
          <w:szCs w:val="26"/>
        </w:rPr>
        <w:t>medida cautelar definitiva</w:t>
      </w:r>
      <w:r w:rsidR="003F4DF3">
        <w:rPr>
          <w:rFonts w:ascii="Arial" w:eastAsia="Calibri" w:hAnsi="Arial" w:cs="Arial"/>
          <w:bCs/>
          <w:sz w:val="26"/>
          <w:szCs w:val="26"/>
        </w:rPr>
        <w:t xml:space="preserve"> </w:t>
      </w:r>
      <w:r w:rsidR="003F4DF3" w:rsidRPr="003756AA">
        <w:rPr>
          <w:rFonts w:ascii="Arial" w:eastAsia="Calibri" w:hAnsi="Arial" w:cs="Arial"/>
          <w:bCs/>
          <w:sz w:val="26"/>
          <w:szCs w:val="26"/>
        </w:rPr>
        <w:t>otorga</w:t>
      </w:r>
      <w:r w:rsidR="003756AA" w:rsidRPr="003756AA">
        <w:rPr>
          <w:rFonts w:ascii="Arial" w:eastAsia="Calibri" w:hAnsi="Arial" w:cs="Arial"/>
          <w:bCs/>
          <w:sz w:val="26"/>
          <w:szCs w:val="26"/>
        </w:rPr>
        <w:t>da</w:t>
      </w:r>
      <w:r w:rsidR="003F4DF3" w:rsidRPr="003756AA">
        <w:rPr>
          <w:rFonts w:ascii="Arial" w:eastAsia="Calibri" w:hAnsi="Arial" w:cs="Arial"/>
          <w:bCs/>
          <w:sz w:val="26"/>
          <w:szCs w:val="26"/>
        </w:rPr>
        <w:t xml:space="preserve"> por la Primera Instancia</w:t>
      </w:r>
      <w:r w:rsidRPr="003756AA">
        <w:rPr>
          <w:rFonts w:ascii="Arial" w:eastAsia="Calibri" w:hAnsi="Arial" w:cs="Arial"/>
          <w:bCs/>
          <w:sz w:val="26"/>
          <w:szCs w:val="26"/>
        </w:rPr>
        <w:t xml:space="preserve">, </w:t>
      </w:r>
      <w:r w:rsidR="003F4DF3" w:rsidRPr="003756AA">
        <w:rPr>
          <w:rFonts w:ascii="Arial" w:eastAsia="Calibri" w:hAnsi="Arial" w:cs="Arial"/>
          <w:bCs/>
          <w:sz w:val="26"/>
          <w:szCs w:val="26"/>
        </w:rPr>
        <w:t xml:space="preserve">la cual es </w:t>
      </w:r>
      <w:r w:rsidRPr="003756AA">
        <w:rPr>
          <w:rFonts w:ascii="Arial" w:eastAsia="Calibri" w:hAnsi="Arial" w:cs="Arial"/>
          <w:bCs/>
          <w:sz w:val="26"/>
          <w:szCs w:val="26"/>
        </w:rPr>
        <w:t>para el único efecto de que mientras dure</w:t>
      </w:r>
      <w:r w:rsidRPr="002A5519">
        <w:rPr>
          <w:rFonts w:ascii="Arial" w:eastAsia="Calibri" w:hAnsi="Arial" w:cs="Arial"/>
          <w:bCs/>
          <w:sz w:val="26"/>
          <w:szCs w:val="26"/>
        </w:rPr>
        <w:t xml:space="preserve"> la tramitación del presente juicio de nulidad, su unidad de motor con la que presta el servicio público de </w:t>
      </w:r>
      <w:r>
        <w:rPr>
          <w:rFonts w:ascii="Arial" w:eastAsia="Calibri" w:hAnsi="Arial" w:cs="Arial"/>
          <w:bCs/>
          <w:sz w:val="26"/>
          <w:szCs w:val="26"/>
        </w:rPr>
        <w:t>alquiler (taxi)</w:t>
      </w:r>
      <w:r w:rsidRPr="002A5519">
        <w:rPr>
          <w:rFonts w:ascii="Arial" w:eastAsia="Calibri" w:hAnsi="Arial" w:cs="Arial"/>
          <w:bCs/>
          <w:sz w:val="26"/>
          <w:szCs w:val="26"/>
        </w:rPr>
        <w:t xml:space="preserve"> en la población de </w:t>
      </w:r>
      <w:r w:rsidR="00C119BD">
        <w:rPr>
          <w:rFonts w:ascii="Arial" w:eastAsia="Calibri" w:hAnsi="Arial" w:cs="Arial"/>
          <w:bCs/>
          <w:sz w:val="26"/>
          <w:szCs w:val="26"/>
        </w:rPr>
        <w:t>*******</w:t>
      </w:r>
      <w:r w:rsidR="003F4DF3">
        <w:rPr>
          <w:rFonts w:ascii="Arial" w:eastAsia="Calibri" w:hAnsi="Arial" w:cs="Arial"/>
          <w:bCs/>
          <w:sz w:val="26"/>
          <w:szCs w:val="26"/>
        </w:rPr>
        <w:t xml:space="preserve">, </w:t>
      </w:r>
      <w:r w:rsidRPr="002A5519">
        <w:rPr>
          <w:rFonts w:ascii="Arial" w:eastAsia="Calibri" w:hAnsi="Arial" w:cs="Arial"/>
          <w:bCs/>
          <w:sz w:val="26"/>
          <w:szCs w:val="26"/>
        </w:rPr>
        <w:t xml:space="preserve">no sea detenida, por falta de placas para </w:t>
      </w:r>
      <w:r w:rsidRPr="002A5519">
        <w:rPr>
          <w:rFonts w:ascii="Arial" w:eastAsia="Calibri" w:hAnsi="Arial" w:cs="Arial"/>
          <w:bCs/>
          <w:sz w:val="26"/>
          <w:szCs w:val="26"/>
        </w:rPr>
        <w:lastRenderedPageBreak/>
        <w:t>circular y/o el documento relativo al alta vehicular</w:t>
      </w:r>
      <w:r w:rsidR="003F4DF3">
        <w:rPr>
          <w:rFonts w:ascii="Arial" w:eastAsia="Calibri" w:hAnsi="Arial" w:cs="Arial"/>
          <w:bCs/>
          <w:sz w:val="26"/>
          <w:szCs w:val="26"/>
        </w:rPr>
        <w:t>,</w:t>
      </w:r>
      <w:r>
        <w:rPr>
          <w:rFonts w:ascii="Arial" w:eastAsia="Calibri" w:hAnsi="Arial" w:cs="Arial"/>
          <w:bCs/>
          <w:sz w:val="26"/>
          <w:szCs w:val="26"/>
        </w:rPr>
        <w:t xml:space="preserve"> así como la renovación de su concesión</w:t>
      </w:r>
      <w:r w:rsidRPr="002A5519">
        <w:rPr>
          <w:rFonts w:ascii="Arial" w:eastAsia="Calibri" w:hAnsi="Arial" w:cs="Arial"/>
          <w:bCs/>
          <w:sz w:val="26"/>
          <w:szCs w:val="26"/>
        </w:rPr>
        <w:t>.</w:t>
      </w:r>
      <w:r w:rsidR="003F4DF3">
        <w:rPr>
          <w:rFonts w:ascii="Arial" w:eastAsia="Calibri" w:hAnsi="Arial" w:cs="Arial"/>
          <w:bCs/>
          <w:sz w:val="26"/>
          <w:szCs w:val="26"/>
        </w:rPr>
        <w:t>- - - - - - - - - - - -</w:t>
      </w:r>
      <w:r w:rsidR="00C366E1">
        <w:rPr>
          <w:rFonts w:ascii="Arial" w:eastAsia="Calibri" w:hAnsi="Arial" w:cs="Arial"/>
          <w:bCs/>
          <w:sz w:val="26"/>
          <w:szCs w:val="26"/>
        </w:rPr>
        <w:t xml:space="preserve">  - - - - - - - - - - </w:t>
      </w:r>
      <w:r w:rsidR="00C119BD">
        <w:rPr>
          <w:rFonts w:ascii="Arial" w:eastAsia="Calibri" w:hAnsi="Arial" w:cs="Arial"/>
          <w:bCs/>
          <w:sz w:val="26"/>
          <w:szCs w:val="26"/>
        </w:rPr>
        <w:t>- - - - - - - - -</w:t>
      </w:r>
    </w:p>
    <w:p w14:paraId="1A828D85" w14:textId="4FB0C3AD" w:rsidR="00571114" w:rsidRPr="005D6BC9" w:rsidRDefault="00571114" w:rsidP="00100B26">
      <w:pPr>
        <w:spacing w:before="120" w:line="360" w:lineRule="auto"/>
        <w:ind w:firstLine="709"/>
        <w:jc w:val="both"/>
        <w:rPr>
          <w:rFonts w:ascii="Arial" w:eastAsiaTheme="minorHAnsi" w:hAnsi="Arial" w:cs="Arial"/>
          <w:sz w:val="26"/>
          <w:szCs w:val="26"/>
        </w:rPr>
      </w:pPr>
      <w:r w:rsidRPr="005D6BC9">
        <w:rPr>
          <w:rFonts w:ascii="Arial" w:eastAsia="Calibri" w:hAnsi="Arial" w:cs="Arial"/>
          <w:bCs/>
          <w:sz w:val="26"/>
          <w:szCs w:val="26"/>
        </w:rPr>
        <w:t xml:space="preserve">En consecuencia, </w:t>
      </w:r>
      <w:r w:rsidR="00D87603">
        <w:rPr>
          <w:rFonts w:ascii="Arial" w:eastAsia="Calibri" w:hAnsi="Arial" w:cs="Arial"/>
          <w:bCs/>
          <w:sz w:val="26"/>
          <w:szCs w:val="26"/>
        </w:rPr>
        <w:t xml:space="preserve">ante lo </w:t>
      </w:r>
      <w:r w:rsidR="00D87603" w:rsidRPr="00D87603">
        <w:rPr>
          <w:rFonts w:ascii="Arial" w:eastAsia="Calibri" w:hAnsi="Arial" w:cs="Arial"/>
          <w:b/>
          <w:bCs/>
          <w:sz w:val="26"/>
          <w:szCs w:val="26"/>
        </w:rPr>
        <w:t>INOPERANTE</w:t>
      </w:r>
      <w:r w:rsidR="00D87603">
        <w:rPr>
          <w:rFonts w:ascii="Arial" w:eastAsia="Calibri" w:hAnsi="Arial" w:cs="Arial"/>
          <w:b/>
          <w:bCs/>
          <w:sz w:val="26"/>
          <w:szCs w:val="26"/>
        </w:rPr>
        <w:t xml:space="preserve"> e </w:t>
      </w:r>
      <w:r w:rsidR="00D87603" w:rsidRPr="003756AA">
        <w:rPr>
          <w:rFonts w:ascii="Arial" w:eastAsia="Calibri" w:hAnsi="Arial" w:cs="Arial"/>
          <w:b/>
          <w:bCs/>
          <w:sz w:val="26"/>
          <w:szCs w:val="26"/>
        </w:rPr>
        <w:t>INFU</w:t>
      </w:r>
      <w:r w:rsidR="009B4376">
        <w:rPr>
          <w:rFonts w:ascii="Arial" w:eastAsia="Calibri" w:hAnsi="Arial" w:cs="Arial"/>
          <w:b/>
          <w:bCs/>
          <w:sz w:val="26"/>
          <w:szCs w:val="26"/>
        </w:rPr>
        <w:t>N</w:t>
      </w:r>
      <w:r w:rsidR="00D87603" w:rsidRPr="003756AA">
        <w:rPr>
          <w:rFonts w:ascii="Arial" w:eastAsia="Calibri" w:hAnsi="Arial" w:cs="Arial"/>
          <w:b/>
          <w:bCs/>
          <w:sz w:val="26"/>
          <w:szCs w:val="26"/>
        </w:rPr>
        <w:t>DAD</w:t>
      </w:r>
      <w:r w:rsidR="00D87603" w:rsidRPr="00D87603">
        <w:rPr>
          <w:rFonts w:ascii="Arial" w:eastAsia="Calibri" w:hAnsi="Arial" w:cs="Arial"/>
          <w:b/>
          <w:bCs/>
          <w:sz w:val="26"/>
          <w:szCs w:val="26"/>
        </w:rPr>
        <w:t xml:space="preserve">O </w:t>
      </w:r>
      <w:r w:rsidR="00D87603">
        <w:rPr>
          <w:rFonts w:ascii="Arial" w:eastAsia="Calibri" w:hAnsi="Arial" w:cs="Arial"/>
          <w:bCs/>
          <w:sz w:val="26"/>
          <w:szCs w:val="26"/>
        </w:rPr>
        <w:t>de los agravios expuestos por la autoridad recurrente,</w:t>
      </w:r>
      <w:r w:rsidRPr="005D6BC9">
        <w:rPr>
          <w:rFonts w:ascii="Arial" w:eastAsia="Calibri" w:hAnsi="Arial" w:cs="Arial"/>
          <w:bCs/>
          <w:sz w:val="26"/>
          <w:szCs w:val="26"/>
        </w:rPr>
        <w:t xml:space="preserve"> lo procedente es </w:t>
      </w:r>
      <w:r w:rsidRPr="005D6BC9">
        <w:rPr>
          <w:rFonts w:ascii="Arial" w:eastAsia="Calibri" w:hAnsi="Arial" w:cs="Arial"/>
          <w:b/>
          <w:bCs/>
          <w:sz w:val="26"/>
          <w:szCs w:val="26"/>
        </w:rPr>
        <w:t xml:space="preserve">CONFIRMAR </w:t>
      </w:r>
      <w:r w:rsidRPr="005D6BC9">
        <w:rPr>
          <w:rFonts w:ascii="Arial" w:eastAsia="Calibri" w:hAnsi="Arial" w:cs="Arial"/>
          <w:bCs/>
          <w:sz w:val="26"/>
          <w:szCs w:val="26"/>
        </w:rPr>
        <w:t xml:space="preserve">la </w:t>
      </w:r>
      <w:r w:rsidR="00D87603">
        <w:rPr>
          <w:rFonts w:ascii="Arial" w:eastAsia="Calibri" w:hAnsi="Arial" w:cs="Arial"/>
          <w:bCs/>
          <w:sz w:val="26"/>
          <w:szCs w:val="26"/>
        </w:rPr>
        <w:t>resolución recurrida</w:t>
      </w:r>
      <w:r w:rsidRPr="005D6BC9">
        <w:rPr>
          <w:rFonts w:ascii="Arial" w:eastAsia="Calibri" w:hAnsi="Arial" w:cs="Arial"/>
          <w:bCs/>
          <w:sz w:val="26"/>
          <w:szCs w:val="26"/>
        </w:rPr>
        <w:t xml:space="preserve">; </w:t>
      </w:r>
      <w:r w:rsidR="00380738" w:rsidRPr="005D6BC9">
        <w:rPr>
          <w:rFonts w:ascii="Arial" w:eastAsia="Calibri" w:hAnsi="Arial" w:cs="Arial"/>
          <w:bCs/>
          <w:sz w:val="26"/>
          <w:szCs w:val="26"/>
        </w:rPr>
        <w:t xml:space="preserve">por lo que, </w:t>
      </w:r>
      <w:r w:rsidRPr="005D6BC9">
        <w:rPr>
          <w:rFonts w:ascii="Arial" w:hAnsi="Arial" w:cs="Arial"/>
          <w:sz w:val="26"/>
          <w:szCs w:val="26"/>
        </w:rPr>
        <w:t>con fundamento en los en los artículos 237 y 238 de la Ley de Procedimiento y Justicia Administrativa para el Estado de Oaxaca, se:</w:t>
      </w:r>
      <w:r w:rsidR="00380738" w:rsidRPr="005D6BC9">
        <w:rPr>
          <w:rFonts w:ascii="Arial" w:hAnsi="Arial" w:cs="Arial"/>
          <w:sz w:val="26"/>
          <w:szCs w:val="26"/>
        </w:rPr>
        <w:t xml:space="preserve">- - - - - - - - - - - - - - - - - - - - </w:t>
      </w:r>
    </w:p>
    <w:p w14:paraId="1D7BD6C0" w14:textId="73067185" w:rsidR="00571114" w:rsidRPr="00380738" w:rsidRDefault="00571114" w:rsidP="00100B26">
      <w:pPr>
        <w:spacing w:after="120" w:line="360" w:lineRule="auto"/>
        <w:ind w:right="51"/>
        <w:jc w:val="center"/>
        <w:rPr>
          <w:rFonts w:ascii="Arial" w:hAnsi="Arial" w:cs="Arial"/>
          <w:b/>
          <w:sz w:val="26"/>
          <w:szCs w:val="26"/>
        </w:rPr>
      </w:pPr>
      <w:r w:rsidRPr="005D6BC9">
        <w:rPr>
          <w:rFonts w:ascii="Arial" w:hAnsi="Arial" w:cs="Arial"/>
          <w:b/>
          <w:sz w:val="26"/>
          <w:szCs w:val="26"/>
        </w:rPr>
        <w:t>R E S U E L V E:</w:t>
      </w:r>
    </w:p>
    <w:p w14:paraId="32EA3667" w14:textId="1888E929" w:rsidR="00571114" w:rsidRDefault="00571114" w:rsidP="00D87603">
      <w:pPr>
        <w:spacing w:after="120" w:line="360" w:lineRule="auto"/>
        <w:ind w:right="51"/>
        <w:jc w:val="both"/>
        <w:rPr>
          <w:rFonts w:ascii="Arial" w:hAnsi="Arial" w:cs="Arial"/>
          <w:sz w:val="26"/>
          <w:szCs w:val="26"/>
        </w:rPr>
      </w:pPr>
      <w:r>
        <w:rPr>
          <w:rFonts w:ascii="Arial" w:hAnsi="Arial" w:cs="Arial"/>
          <w:b/>
          <w:sz w:val="24"/>
          <w:szCs w:val="24"/>
        </w:rPr>
        <w:t xml:space="preserve"> </w:t>
      </w:r>
      <w:r w:rsidR="00422629">
        <w:rPr>
          <w:rFonts w:ascii="Arial" w:hAnsi="Arial" w:cs="Arial"/>
          <w:b/>
          <w:sz w:val="24"/>
          <w:szCs w:val="24"/>
        </w:rPr>
        <w:tab/>
      </w: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w:t>
      </w:r>
      <w:r w:rsidR="00D87603">
        <w:rPr>
          <w:rFonts w:ascii="Arial" w:hAnsi="Arial" w:cs="Arial"/>
          <w:sz w:val="26"/>
          <w:szCs w:val="26"/>
        </w:rPr>
        <w:t>resolución</w:t>
      </w:r>
      <w:r>
        <w:rPr>
          <w:rFonts w:ascii="Arial" w:hAnsi="Arial" w:cs="Arial"/>
          <w:sz w:val="26"/>
          <w:szCs w:val="26"/>
        </w:rPr>
        <w:t xml:space="preserve"> de fecha </w:t>
      </w:r>
      <w:r w:rsidR="00D87603">
        <w:rPr>
          <w:rFonts w:ascii="Arial" w:hAnsi="Arial" w:cs="Arial"/>
          <w:bCs/>
          <w:iCs/>
          <w:sz w:val="26"/>
          <w:szCs w:val="26"/>
          <w:lang w:eastAsia="es-ES"/>
        </w:rPr>
        <w:t>quince de diciembre de dos mil veintiuno</w:t>
      </w:r>
      <w:r>
        <w:rPr>
          <w:rFonts w:ascii="Arial" w:hAnsi="Arial" w:cs="Arial"/>
          <w:bCs/>
          <w:iCs/>
          <w:sz w:val="26"/>
          <w:szCs w:val="26"/>
          <w:lang w:eastAsia="es-ES"/>
        </w:rPr>
        <w:t>,</w:t>
      </w:r>
      <w:r>
        <w:rPr>
          <w:rFonts w:ascii="Arial" w:hAnsi="Arial" w:cs="Arial"/>
          <w:sz w:val="26"/>
          <w:szCs w:val="26"/>
        </w:rPr>
        <w:t xml:space="preserve"> por las </w:t>
      </w:r>
      <w:r w:rsidR="008F2877">
        <w:rPr>
          <w:rFonts w:ascii="Arial" w:hAnsi="Arial" w:cs="Arial"/>
          <w:sz w:val="26"/>
          <w:szCs w:val="26"/>
        </w:rPr>
        <w:t xml:space="preserve">razones señaladas </w:t>
      </w:r>
      <w:r>
        <w:rPr>
          <w:rFonts w:ascii="Arial" w:hAnsi="Arial" w:cs="Arial"/>
          <w:sz w:val="26"/>
          <w:szCs w:val="26"/>
        </w:rPr>
        <w:t>en el considerando tercero de esta resolución.</w:t>
      </w:r>
      <w:r w:rsidR="00422629">
        <w:rPr>
          <w:rFonts w:ascii="Arial" w:hAnsi="Arial" w:cs="Arial"/>
          <w:sz w:val="26"/>
          <w:szCs w:val="26"/>
        </w:rPr>
        <w:t xml:space="preserve"> - - - - - - - - - - - - - - - - - - - - - - </w:t>
      </w:r>
    </w:p>
    <w:p w14:paraId="36F99D22" w14:textId="582EA909" w:rsidR="00422629" w:rsidRDefault="00571114" w:rsidP="008A1C0A">
      <w:pPr>
        <w:spacing w:after="120" w:line="360" w:lineRule="auto"/>
        <w:ind w:right="51"/>
        <w:jc w:val="both"/>
        <w:rPr>
          <w:rFonts w:ascii="Arial" w:hAnsi="Arial" w:cs="Arial"/>
          <w:sz w:val="26"/>
          <w:szCs w:val="26"/>
        </w:rPr>
      </w:pPr>
      <w:r>
        <w:rPr>
          <w:rFonts w:ascii="Arial" w:hAnsi="Arial" w:cs="Arial"/>
          <w:sz w:val="26"/>
          <w:szCs w:val="26"/>
        </w:rPr>
        <w:t xml:space="preserve"> </w:t>
      </w:r>
      <w:r w:rsidR="00422629">
        <w:rPr>
          <w:rFonts w:ascii="Arial" w:hAnsi="Arial" w:cs="Arial"/>
          <w:sz w:val="26"/>
          <w:szCs w:val="26"/>
        </w:rPr>
        <w:tab/>
      </w:r>
      <w:r>
        <w:rPr>
          <w:rFonts w:ascii="Arial" w:eastAsia="Calibri" w:hAnsi="Arial" w:cs="Arial"/>
          <w:b/>
          <w:sz w:val="26"/>
          <w:szCs w:val="26"/>
        </w:rPr>
        <w:t xml:space="preserve">SEGUNDO.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w:t>
      </w:r>
      <w:r w:rsidR="00D87603">
        <w:rPr>
          <w:rFonts w:ascii="Arial" w:hAnsi="Arial" w:cs="Arial"/>
          <w:sz w:val="26"/>
          <w:szCs w:val="26"/>
        </w:rPr>
        <w:t xml:space="preserve">Primera </w:t>
      </w:r>
      <w:r>
        <w:rPr>
          <w:rFonts w:ascii="Arial" w:hAnsi="Arial" w:cs="Arial"/>
          <w:sz w:val="26"/>
          <w:szCs w:val="26"/>
        </w:rPr>
        <w:t>Sala Unitaria de Primera Instancia de este Tribunal y en su oportunidad</w:t>
      </w:r>
      <w:r w:rsidR="004F68BF">
        <w:rPr>
          <w:rFonts w:ascii="Arial" w:hAnsi="Arial" w:cs="Arial"/>
          <w:sz w:val="26"/>
          <w:szCs w:val="26"/>
        </w:rPr>
        <w:t>,</w:t>
      </w:r>
      <w:r>
        <w:rPr>
          <w:rFonts w:ascii="Arial" w:hAnsi="Arial" w:cs="Arial"/>
          <w:sz w:val="26"/>
          <w:szCs w:val="26"/>
        </w:rPr>
        <w:t xml:space="preserve"> archívese el presente cuaderno de revisión como asunto </w:t>
      </w:r>
      <w:r w:rsidR="00B944B7">
        <w:rPr>
          <w:rFonts w:ascii="Arial" w:hAnsi="Arial" w:cs="Arial"/>
          <w:sz w:val="26"/>
          <w:szCs w:val="26"/>
        </w:rPr>
        <w:t>concluido. -</w:t>
      </w:r>
      <w:r w:rsidR="00422629">
        <w:rPr>
          <w:rFonts w:ascii="Arial" w:hAnsi="Arial" w:cs="Arial"/>
          <w:sz w:val="26"/>
          <w:szCs w:val="26"/>
        </w:rPr>
        <w:t xml:space="preserve"> - - - - - - - - - - -</w:t>
      </w:r>
      <w:r w:rsidR="007A2561">
        <w:rPr>
          <w:rFonts w:ascii="Arial" w:hAnsi="Arial" w:cs="Arial"/>
          <w:sz w:val="26"/>
          <w:szCs w:val="26"/>
        </w:rPr>
        <w:t xml:space="preserve"> </w:t>
      </w:r>
    </w:p>
    <w:p w14:paraId="4CD99E31" w14:textId="52EF6ACA" w:rsidR="00F5063A" w:rsidRDefault="00F5063A" w:rsidP="00F5063A">
      <w:pPr>
        <w:spacing w:after="0" w:line="360" w:lineRule="auto"/>
        <w:ind w:firstLine="567"/>
        <w:jc w:val="both"/>
        <w:rPr>
          <w:rFonts w:ascii="Arial" w:hAnsi="Arial" w:cs="Arial"/>
          <w:sz w:val="26"/>
          <w:szCs w:val="26"/>
        </w:rPr>
      </w:pPr>
      <w:r>
        <w:rPr>
          <w:rFonts w:ascii="Arial" w:hAnsi="Arial" w:cs="Arial"/>
          <w:sz w:val="26"/>
          <w:szCs w:val="26"/>
        </w:rPr>
        <w:t xml:space="preserve">Por unanimidad de votos, lo resolvieron y firmaron los Magistrados </w:t>
      </w:r>
      <w:r w:rsidR="00100B26">
        <w:rPr>
          <w:rFonts w:ascii="Arial" w:hAnsi="Arial" w:cs="Arial"/>
          <w:sz w:val="26"/>
          <w:szCs w:val="26"/>
        </w:rPr>
        <w:t xml:space="preserve">integrantes de la Sala Superior </w:t>
      </w:r>
      <w:r>
        <w:rPr>
          <w:rFonts w:ascii="Arial" w:hAnsi="Arial" w:cs="Arial"/>
          <w:sz w:val="26"/>
          <w:szCs w:val="26"/>
        </w:rPr>
        <w:t xml:space="preserve">Manuel Velasco Alcántara, </w:t>
      </w:r>
      <w:r w:rsidR="008F2877">
        <w:rPr>
          <w:rFonts w:ascii="Arial" w:hAnsi="Arial" w:cs="Arial"/>
          <w:sz w:val="26"/>
          <w:szCs w:val="26"/>
        </w:rPr>
        <w:t xml:space="preserve">Raúl Palomares Palomino, </w:t>
      </w:r>
      <w:r w:rsidR="001C0D8E">
        <w:rPr>
          <w:rFonts w:ascii="Arial" w:hAnsi="Arial" w:cs="Arial"/>
          <w:sz w:val="26"/>
          <w:szCs w:val="26"/>
        </w:rPr>
        <w:t xml:space="preserve">Gloria del Carmen Camacho Meza </w:t>
      </w:r>
      <w:r w:rsidR="001C0D8E">
        <w:rPr>
          <w:rFonts w:ascii="Arial" w:hAnsi="Arial" w:cs="Arial"/>
          <w:b/>
          <w:bCs/>
          <w:sz w:val="26"/>
          <w:szCs w:val="26"/>
        </w:rPr>
        <w:t>(ponente)</w:t>
      </w:r>
      <w:r w:rsidR="00D87603">
        <w:rPr>
          <w:rFonts w:ascii="Arial" w:hAnsi="Arial" w:cs="Arial"/>
          <w:b/>
          <w:bCs/>
          <w:sz w:val="26"/>
          <w:szCs w:val="26"/>
        </w:rPr>
        <w:t>,</w:t>
      </w:r>
      <w:r w:rsidR="001C0D8E">
        <w:rPr>
          <w:rFonts w:ascii="Arial" w:hAnsi="Arial" w:cs="Arial"/>
          <w:sz w:val="26"/>
          <w:szCs w:val="26"/>
        </w:rPr>
        <w:t xml:space="preserve"> </w:t>
      </w:r>
      <w:r>
        <w:rPr>
          <w:rFonts w:ascii="Arial" w:hAnsi="Arial" w:cs="Arial"/>
          <w:sz w:val="26"/>
          <w:szCs w:val="26"/>
        </w:rPr>
        <w:t>Paulo José Luis Tapia Palacios</w:t>
      </w:r>
      <w:r w:rsidR="00D87603">
        <w:rPr>
          <w:rFonts w:ascii="Arial" w:hAnsi="Arial" w:cs="Arial"/>
          <w:sz w:val="26"/>
          <w:szCs w:val="26"/>
        </w:rPr>
        <w:t xml:space="preserve"> y Elías Cortés López</w:t>
      </w:r>
      <w:r>
        <w:rPr>
          <w:rFonts w:ascii="Arial" w:hAnsi="Arial" w:cs="Arial"/>
          <w:b/>
          <w:bCs/>
          <w:sz w:val="26"/>
          <w:szCs w:val="26"/>
        </w:rPr>
        <w:t xml:space="preserve">, </w:t>
      </w:r>
      <w:r>
        <w:rPr>
          <w:rFonts w:ascii="Arial" w:hAnsi="Arial" w:cs="Arial"/>
          <w:sz w:val="26"/>
          <w:szCs w:val="26"/>
        </w:rPr>
        <w:t xml:space="preserve">quienes actúan con el Licenciado Juan Edy García Coronado, Secretario General de Acuerdos de este Tribunal, que autoriza y da fe.- - - - - - - - - - - - - - - - - - </w:t>
      </w:r>
    </w:p>
    <w:p w14:paraId="5712A94E" w14:textId="77777777" w:rsidR="00104FA3" w:rsidRDefault="00104FA3" w:rsidP="00104FA3">
      <w:pPr>
        <w:spacing w:after="0" w:line="240" w:lineRule="auto"/>
        <w:rPr>
          <w:rFonts w:ascii="Arial" w:hAnsi="Arial" w:cs="Arial"/>
          <w:sz w:val="26"/>
          <w:szCs w:val="26"/>
        </w:rPr>
      </w:pPr>
    </w:p>
    <w:p w14:paraId="03F2A9C6" w14:textId="318322C2" w:rsidR="00E856D1" w:rsidRDefault="00E856D1" w:rsidP="00E856D1">
      <w:pPr>
        <w:tabs>
          <w:tab w:val="center" w:pos="4135"/>
          <w:tab w:val="left" w:pos="7515"/>
        </w:tabs>
        <w:spacing w:line="360" w:lineRule="auto"/>
        <w:jc w:val="both"/>
        <w:rPr>
          <w:rFonts w:ascii="Arial" w:eastAsia="Times New Roman" w:hAnsi="Arial" w:cs="Arial"/>
          <w:sz w:val="26"/>
          <w:szCs w:val="26"/>
        </w:rPr>
      </w:pPr>
    </w:p>
    <w:p w14:paraId="6CB38BF5" w14:textId="2F6757B7" w:rsidR="00E856D1" w:rsidRDefault="00E856D1" w:rsidP="00E856D1">
      <w:pPr>
        <w:tabs>
          <w:tab w:val="center" w:pos="4135"/>
          <w:tab w:val="left" w:pos="7515"/>
        </w:tabs>
        <w:spacing w:line="360" w:lineRule="auto"/>
        <w:jc w:val="both"/>
        <w:rPr>
          <w:rFonts w:ascii="Arial" w:eastAsia="Times New Roman" w:hAnsi="Arial" w:cs="Arial"/>
          <w:sz w:val="26"/>
          <w:szCs w:val="26"/>
        </w:rPr>
      </w:pPr>
    </w:p>
    <w:p w14:paraId="2A9CE0B9" w14:textId="5F65D97E" w:rsidR="00E856D1" w:rsidRDefault="00E856D1" w:rsidP="00E856D1">
      <w:pPr>
        <w:tabs>
          <w:tab w:val="center" w:pos="4135"/>
          <w:tab w:val="left" w:pos="7515"/>
        </w:tabs>
        <w:spacing w:line="360" w:lineRule="auto"/>
        <w:jc w:val="both"/>
        <w:rPr>
          <w:rFonts w:ascii="Arial" w:eastAsia="Times New Roman" w:hAnsi="Arial" w:cs="Arial"/>
          <w:sz w:val="26"/>
          <w:szCs w:val="26"/>
        </w:rPr>
      </w:pPr>
    </w:p>
    <w:p w14:paraId="6155B121" w14:textId="77777777" w:rsidR="00E856D1" w:rsidRPr="007E36E2" w:rsidRDefault="00E856D1" w:rsidP="00E856D1">
      <w:pPr>
        <w:tabs>
          <w:tab w:val="center" w:pos="4135"/>
          <w:tab w:val="left" w:pos="7515"/>
        </w:tabs>
        <w:spacing w:line="360" w:lineRule="auto"/>
        <w:jc w:val="both"/>
        <w:rPr>
          <w:rFonts w:ascii="Arial" w:eastAsia="Times New Roman" w:hAnsi="Arial" w:cs="Arial"/>
          <w:sz w:val="26"/>
          <w:szCs w:val="26"/>
        </w:rPr>
      </w:pPr>
    </w:p>
    <w:p w14:paraId="0F67D318" w14:textId="77777777" w:rsidR="00E856D1" w:rsidRPr="007E36E2" w:rsidRDefault="00E856D1" w:rsidP="00E856D1">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1D1A021C" w14:textId="77777777" w:rsidR="00E856D1" w:rsidRPr="007E36E2" w:rsidRDefault="00E856D1" w:rsidP="00E856D1">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09CF9D1B"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7CCAB95F"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083663EE"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29A46306"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36994A69" w14:textId="2F793095" w:rsidR="00E856D1" w:rsidRDefault="00E856D1" w:rsidP="00E856D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1A39D849" w14:textId="411D3D4D" w:rsidR="00E856D1" w:rsidRPr="007E36E2" w:rsidRDefault="00E856D1" w:rsidP="00E856D1">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w:t>
      </w:r>
      <w:bookmarkStart w:id="1" w:name="_GoBack"/>
      <w:bookmarkEnd w:id="1"/>
      <w:r w:rsidRPr="007E36E2">
        <w:rPr>
          <w:rFonts w:ascii="Arial" w:eastAsia="Times New Roman" w:hAnsi="Arial" w:cs="Arial"/>
          <w:b/>
          <w:bCs/>
          <w:sz w:val="16"/>
          <w:szCs w:val="16"/>
        </w:rPr>
        <w:t>ESOLUCIÓN DEL RECURSO DE REVISIÓN 0</w:t>
      </w:r>
      <w:r>
        <w:rPr>
          <w:rFonts w:ascii="Arial" w:eastAsia="Times New Roman" w:hAnsi="Arial" w:cs="Arial"/>
          <w:b/>
          <w:bCs/>
          <w:sz w:val="16"/>
          <w:szCs w:val="16"/>
        </w:rPr>
        <w:t>028</w:t>
      </w:r>
      <w:r w:rsidRPr="007E36E2">
        <w:rPr>
          <w:rFonts w:ascii="Arial" w:eastAsia="Times New Roman" w:hAnsi="Arial" w:cs="Arial"/>
          <w:b/>
          <w:bCs/>
          <w:sz w:val="16"/>
          <w:szCs w:val="16"/>
        </w:rPr>
        <w:t>/20</w:t>
      </w:r>
      <w:r>
        <w:rPr>
          <w:rFonts w:ascii="Arial" w:eastAsia="Times New Roman" w:hAnsi="Arial" w:cs="Arial"/>
          <w:b/>
          <w:bCs/>
          <w:sz w:val="16"/>
          <w:szCs w:val="16"/>
        </w:rPr>
        <w:t>22</w:t>
      </w:r>
      <w:r w:rsidRPr="007E36E2">
        <w:rPr>
          <w:rFonts w:ascii="Arial" w:eastAsia="Times New Roman" w:hAnsi="Arial" w:cs="Arial"/>
          <w:b/>
          <w:bCs/>
          <w:sz w:val="16"/>
          <w:szCs w:val="16"/>
        </w:rPr>
        <w:t>.</w:t>
      </w:r>
    </w:p>
    <w:p w14:paraId="31C86002" w14:textId="4D830232" w:rsidR="00E856D1" w:rsidRDefault="00E856D1" w:rsidP="00E856D1">
      <w:pPr>
        <w:tabs>
          <w:tab w:val="center" w:pos="4135"/>
          <w:tab w:val="left" w:pos="7515"/>
        </w:tabs>
        <w:spacing w:line="360" w:lineRule="auto"/>
        <w:jc w:val="center"/>
        <w:rPr>
          <w:rFonts w:ascii="Arial" w:eastAsia="Times New Roman" w:hAnsi="Arial" w:cs="Arial"/>
          <w:sz w:val="26"/>
          <w:szCs w:val="26"/>
        </w:rPr>
      </w:pPr>
    </w:p>
    <w:p w14:paraId="35F80711" w14:textId="0733D4EC" w:rsidR="00E856D1" w:rsidRDefault="00E856D1" w:rsidP="00E856D1">
      <w:pPr>
        <w:tabs>
          <w:tab w:val="center" w:pos="4135"/>
          <w:tab w:val="left" w:pos="7515"/>
        </w:tabs>
        <w:spacing w:line="360" w:lineRule="auto"/>
        <w:jc w:val="center"/>
        <w:rPr>
          <w:rFonts w:ascii="Arial" w:eastAsia="Times New Roman" w:hAnsi="Arial" w:cs="Arial"/>
          <w:sz w:val="26"/>
          <w:szCs w:val="26"/>
        </w:rPr>
      </w:pPr>
    </w:p>
    <w:p w14:paraId="6A7C089F" w14:textId="3363A004" w:rsidR="00E856D1" w:rsidRDefault="00E856D1" w:rsidP="00E856D1">
      <w:pPr>
        <w:tabs>
          <w:tab w:val="center" w:pos="4135"/>
          <w:tab w:val="left" w:pos="7515"/>
        </w:tabs>
        <w:spacing w:line="360" w:lineRule="auto"/>
        <w:jc w:val="center"/>
        <w:rPr>
          <w:rFonts w:ascii="Arial" w:eastAsia="Times New Roman" w:hAnsi="Arial" w:cs="Arial"/>
          <w:sz w:val="26"/>
          <w:szCs w:val="26"/>
        </w:rPr>
      </w:pPr>
    </w:p>
    <w:p w14:paraId="0FFE94A5"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6F17F99A"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05CF70BA"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022432B7"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41BA5139" w14:textId="77777777" w:rsidR="00E856D1" w:rsidRPr="007E36E2" w:rsidRDefault="00E856D1" w:rsidP="00E856D1">
      <w:pPr>
        <w:tabs>
          <w:tab w:val="center" w:pos="4135"/>
          <w:tab w:val="left" w:pos="7515"/>
        </w:tabs>
        <w:spacing w:line="360" w:lineRule="auto"/>
        <w:rPr>
          <w:rFonts w:ascii="Arial" w:eastAsia="Times New Roman" w:hAnsi="Arial" w:cs="Arial"/>
          <w:sz w:val="26"/>
          <w:szCs w:val="26"/>
        </w:rPr>
      </w:pPr>
    </w:p>
    <w:p w14:paraId="23CAE123"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392BB5A3" w14:textId="34993397" w:rsidR="00E856D1" w:rsidRDefault="00E856D1" w:rsidP="00E856D1">
      <w:pPr>
        <w:tabs>
          <w:tab w:val="center" w:pos="4135"/>
          <w:tab w:val="left" w:pos="7515"/>
        </w:tabs>
        <w:spacing w:line="360" w:lineRule="auto"/>
        <w:jc w:val="center"/>
        <w:rPr>
          <w:rFonts w:ascii="Arial" w:eastAsia="Times New Roman" w:hAnsi="Arial" w:cs="Arial"/>
          <w:sz w:val="26"/>
          <w:szCs w:val="26"/>
        </w:rPr>
      </w:pPr>
    </w:p>
    <w:p w14:paraId="745D03CA"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5CE3F159"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2FAED9F2"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31236670" w14:textId="77777777" w:rsidR="00E856D1" w:rsidRDefault="00E856D1" w:rsidP="00E856D1">
      <w:pPr>
        <w:tabs>
          <w:tab w:val="center" w:pos="4135"/>
          <w:tab w:val="left" w:pos="7515"/>
        </w:tabs>
        <w:spacing w:line="360" w:lineRule="auto"/>
        <w:jc w:val="center"/>
        <w:rPr>
          <w:rFonts w:ascii="Arial" w:eastAsia="Times New Roman" w:hAnsi="Arial" w:cs="Arial"/>
          <w:sz w:val="26"/>
          <w:szCs w:val="26"/>
        </w:rPr>
      </w:pPr>
    </w:p>
    <w:p w14:paraId="361D9B53"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2E59C2D0"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44937CDB"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p>
    <w:p w14:paraId="6929A87C" w14:textId="77777777" w:rsidR="00E856D1" w:rsidRPr="007E36E2" w:rsidRDefault="00E856D1" w:rsidP="00E856D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E318F75" w14:textId="77777777" w:rsidR="00E856D1" w:rsidRPr="007E36E2" w:rsidRDefault="00E856D1" w:rsidP="00E856D1">
      <w:pPr>
        <w:spacing w:after="0" w:line="240" w:lineRule="auto"/>
        <w:jc w:val="center"/>
        <w:rPr>
          <w:rFonts w:ascii="Arial" w:eastAsia="Times New Roman" w:hAnsi="Arial" w:cs="Arial"/>
          <w:sz w:val="26"/>
          <w:szCs w:val="26"/>
        </w:rPr>
      </w:pPr>
    </w:p>
    <w:p w14:paraId="4E5989B8" w14:textId="77777777" w:rsidR="00E856D1" w:rsidRPr="007E36E2" w:rsidRDefault="00E856D1" w:rsidP="00E856D1">
      <w:pPr>
        <w:spacing w:after="0" w:line="240" w:lineRule="auto"/>
        <w:jc w:val="center"/>
        <w:rPr>
          <w:rFonts w:ascii="Arial" w:eastAsia="Times New Roman" w:hAnsi="Arial" w:cs="Arial"/>
          <w:sz w:val="26"/>
          <w:szCs w:val="26"/>
        </w:rPr>
      </w:pPr>
    </w:p>
    <w:p w14:paraId="5C052864" w14:textId="77777777" w:rsidR="00E856D1" w:rsidRDefault="00E856D1" w:rsidP="00E856D1">
      <w:pPr>
        <w:spacing w:after="0" w:line="240" w:lineRule="auto"/>
        <w:jc w:val="center"/>
        <w:rPr>
          <w:rFonts w:ascii="Arial" w:eastAsia="Times New Roman" w:hAnsi="Arial" w:cs="Arial"/>
          <w:sz w:val="26"/>
          <w:szCs w:val="26"/>
        </w:rPr>
      </w:pPr>
    </w:p>
    <w:p w14:paraId="4CEB6848" w14:textId="77777777" w:rsidR="00E856D1" w:rsidRPr="007E36E2" w:rsidRDefault="00E856D1" w:rsidP="00E856D1">
      <w:pPr>
        <w:spacing w:after="0" w:line="240" w:lineRule="auto"/>
        <w:jc w:val="center"/>
        <w:rPr>
          <w:rFonts w:ascii="Arial" w:eastAsia="Times New Roman" w:hAnsi="Arial" w:cs="Arial"/>
          <w:sz w:val="26"/>
          <w:szCs w:val="26"/>
        </w:rPr>
      </w:pPr>
    </w:p>
    <w:p w14:paraId="7E0C77D5" w14:textId="77777777" w:rsidR="00E856D1" w:rsidRPr="007E36E2" w:rsidRDefault="00E856D1" w:rsidP="00E856D1">
      <w:pPr>
        <w:spacing w:after="0" w:line="240" w:lineRule="auto"/>
        <w:jc w:val="center"/>
        <w:rPr>
          <w:rFonts w:ascii="Arial" w:eastAsia="Times New Roman" w:hAnsi="Arial" w:cs="Arial"/>
          <w:sz w:val="26"/>
          <w:szCs w:val="26"/>
        </w:rPr>
      </w:pPr>
    </w:p>
    <w:p w14:paraId="3F5E12E0" w14:textId="77777777" w:rsidR="00E856D1" w:rsidRPr="007E36E2" w:rsidRDefault="00E856D1" w:rsidP="00E856D1">
      <w:pPr>
        <w:spacing w:after="0" w:line="240" w:lineRule="auto"/>
        <w:jc w:val="center"/>
        <w:rPr>
          <w:rFonts w:ascii="Arial" w:eastAsia="Times New Roman" w:hAnsi="Arial" w:cs="Arial"/>
          <w:sz w:val="26"/>
          <w:szCs w:val="26"/>
        </w:rPr>
      </w:pPr>
    </w:p>
    <w:p w14:paraId="1706F5D1" w14:textId="77777777" w:rsidR="00E856D1" w:rsidRPr="007E36E2" w:rsidRDefault="00E856D1" w:rsidP="00E856D1">
      <w:pPr>
        <w:spacing w:after="0" w:line="240" w:lineRule="auto"/>
        <w:jc w:val="center"/>
        <w:rPr>
          <w:rFonts w:ascii="Arial" w:eastAsia="Times New Roman" w:hAnsi="Arial" w:cs="Arial"/>
          <w:sz w:val="26"/>
          <w:szCs w:val="26"/>
        </w:rPr>
      </w:pPr>
    </w:p>
    <w:p w14:paraId="01110F9F" w14:textId="77777777" w:rsidR="00E856D1" w:rsidRPr="007E36E2" w:rsidRDefault="00E856D1" w:rsidP="00E856D1">
      <w:pPr>
        <w:spacing w:after="0" w:line="240" w:lineRule="auto"/>
        <w:jc w:val="center"/>
        <w:rPr>
          <w:rFonts w:ascii="Arial" w:eastAsia="Times New Roman" w:hAnsi="Arial" w:cs="Arial"/>
          <w:sz w:val="26"/>
          <w:szCs w:val="26"/>
        </w:rPr>
      </w:pPr>
    </w:p>
    <w:p w14:paraId="0690FF30" w14:textId="77777777" w:rsidR="00E856D1" w:rsidRPr="007E36E2" w:rsidRDefault="00E856D1" w:rsidP="00E856D1">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039A7F4D" w14:textId="77777777" w:rsidR="00E856D1" w:rsidRPr="007E36E2" w:rsidRDefault="00E856D1" w:rsidP="00E856D1">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912680C" w14:textId="77777777" w:rsidR="00E856D1" w:rsidRPr="00344445" w:rsidRDefault="00E856D1" w:rsidP="00E856D1">
      <w:pPr>
        <w:widowControl w:val="0"/>
        <w:tabs>
          <w:tab w:val="left" w:pos="0"/>
        </w:tabs>
        <w:spacing w:after="120" w:line="360" w:lineRule="auto"/>
        <w:ind w:right="18"/>
        <w:jc w:val="both"/>
        <w:rPr>
          <w:rFonts w:ascii="Calibri" w:eastAsia="Times New Roman" w:hAnsi="Calibri" w:cs="Times New Roman"/>
        </w:rPr>
      </w:pPr>
    </w:p>
    <w:p w14:paraId="50453FE0" w14:textId="27143247" w:rsidR="00BA258A" w:rsidRPr="000338EE" w:rsidRDefault="00BA258A" w:rsidP="00E856D1">
      <w:pPr>
        <w:spacing w:after="0" w:line="240" w:lineRule="auto"/>
        <w:jc w:val="center"/>
        <w:rPr>
          <w:lang w:val="es-ES"/>
        </w:rPr>
      </w:pPr>
    </w:p>
    <w:sectPr w:rsidR="00BA258A" w:rsidRPr="000338EE"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65295" w14:textId="77777777" w:rsidR="00515F70" w:rsidRDefault="00515F70">
      <w:pPr>
        <w:spacing w:after="0" w:line="240" w:lineRule="auto"/>
      </w:pPr>
      <w:r>
        <w:separator/>
      </w:r>
    </w:p>
  </w:endnote>
  <w:endnote w:type="continuationSeparator" w:id="0">
    <w:p w14:paraId="0CEB2FE0" w14:textId="77777777" w:rsidR="00515F70" w:rsidRDefault="00515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9343F" w:rsidRDefault="0019343F">
    <w:pPr>
      <w:pStyle w:val="Piedepgina"/>
      <w:jc w:val="center"/>
    </w:pP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3FC56" w14:textId="77777777" w:rsidR="00515F70" w:rsidRDefault="00515F70">
      <w:pPr>
        <w:spacing w:after="0" w:line="240" w:lineRule="auto"/>
      </w:pPr>
      <w:r>
        <w:separator/>
      </w:r>
    </w:p>
  </w:footnote>
  <w:footnote w:type="continuationSeparator" w:id="0">
    <w:p w14:paraId="2B0239EB" w14:textId="77777777" w:rsidR="00515F70" w:rsidRDefault="00515F70">
      <w:pPr>
        <w:spacing w:after="0" w:line="240" w:lineRule="auto"/>
      </w:pPr>
      <w:r>
        <w:continuationSeparator/>
      </w:r>
    </w:p>
  </w:footnote>
  <w:footnote w:id="1">
    <w:p w14:paraId="2E3578F0" w14:textId="2CBEB32B" w:rsidR="005A73F1" w:rsidRPr="00D304A3" w:rsidRDefault="005A73F1" w:rsidP="005A73F1">
      <w:pPr>
        <w:pStyle w:val="Textonotapie"/>
        <w:jc w:val="both"/>
        <w:rPr>
          <w:lang w:val="es-ES"/>
        </w:rPr>
      </w:pPr>
      <w:r w:rsidRPr="00D304A3">
        <w:rPr>
          <w:rStyle w:val="Refdenotaalpie"/>
        </w:rPr>
        <w:footnoteRef/>
      </w:r>
      <w:r w:rsidRPr="00D304A3">
        <w:t xml:space="preserve"> </w:t>
      </w:r>
      <w:r w:rsidRPr="00D304A3">
        <w:rPr>
          <w:b/>
          <w:bCs/>
          <w:lang w:val="es-ES"/>
        </w:rPr>
        <w:t xml:space="preserve">ARTÍCULO 203.- </w:t>
      </w:r>
      <w:r w:rsidRPr="00D304A3">
        <w:rPr>
          <w:lang w:val="es-ES"/>
        </w:rPr>
        <w:t>La valoración de las pruebas se hará de acuerdo con las siguientes reglas:</w:t>
      </w:r>
    </w:p>
    <w:p w14:paraId="2AEC3491" w14:textId="5059C34E" w:rsidR="005A73F1" w:rsidRPr="005A73F1" w:rsidRDefault="005A73F1" w:rsidP="005A73F1">
      <w:pPr>
        <w:pStyle w:val="Textonotapie"/>
        <w:jc w:val="both"/>
        <w:rPr>
          <w:lang w:val="es-ES"/>
        </w:rPr>
      </w:pPr>
      <w:r w:rsidRPr="00D304A3">
        <w:rPr>
          <w:lang w:val="es-ES"/>
        </w:rPr>
        <w:t>I.- Harán prueba plena la confesión expresa de las partes y los actos cometidos en documentos públicos, si en éstos últimos se contienen declaraciones de verdad o manifestaciones de hechos de particulares.”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C119B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Pr="00C119BD">
          <w:rPr>
            <w:noProof/>
            <w:lang w:val="es-ES"/>
          </w:rPr>
          <w:t>12</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C119B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Pr="00C119BD">
          <w:rPr>
            <w:noProof/>
            <w:lang w:val="es-ES"/>
          </w:rPr>
          <w:t>11</w:t>
        </w:r>
        <w:r w:rsidR="0019343F">
          <w:fldChar w:fldCharType="end"/>
        </w:r>
      </w:sdtContent>
    </w:sdt>
  </w:p>
  <w:p w14:paraId="51E22156" w14:textId="1B7D5021" w:rsidR="0019343F" w:rsidRDefault="00C119B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30E00A6" wp14:editId="12E5F88F">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B3BC48F" w14:textId="77777777" w:rsidR="00C119BD" w:rsidRDefault="00C119BD" w:rsidP="00C119B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E00A6"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B3BC48F" w14:textId="77777777" w:rsidR="00C119BD" w:rsidRDefault="00C119BD" w:rsidP="00C119B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19343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C119B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895"/>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27B17"/>
    <w:rsid w:val="000306D4"/>
    <w:rsid w:val="00030BAF"/>
    <w:rsid w:val="00030E77"/>
    <w:rsid w:val="00031F8E"/>
    <w:rsid w:val="000324B9"/>
    <w:rsid w:val="000329BA"/>
    <w:rsid w:val="00032D83"/>
    <w:rsid w:val="000330FB"/>
    <w:rsid w:val="000338EE"/>
    <w:rsid w:val="00034B85"/>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47DFB"/>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247"/>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A5C"/>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5D"/>
    <w:rsid w:val="000B658E"/>
    <w:rsid w:val="000B674B"/>
    <w:rsid w:val="000B6B86"/>
    <w:rsid w:val="000B6EF2"/>
    <w:rsid w:val="000B71FE"/>
    <w:rsid w:val="000B77B4"/>
    <w:rsid w:val="000B7A3A"/>
    <w:rsid w:val="000C02A9"/>
    <w:rsid w:val="000C0569"/>
    <w:rsid w:val="000C1E6B"/>
    <w:rsid w:val="000C238B"/>
    <w:rsid w:val="000C2764"/>
    <w:rsid w:val="000C3DC9"/>
    <w:rsid w:val="000C4139"/>
    <w:rsid w:val="000C4625"/>
    <w:rsid w:val="000C47B5"/>
    <w:rsid w:val="000C5414"/>
    <w:rsid w:val="000C5BCE"/>
    <w:rsid w:val="000C5DC1"/>
    <w:rsid w:val="000C6670"/>
    <w:rsid w:val="000C745F"/>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0027"/>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B26"/>
    <w:rsid w:val="001019F2"/>
    <w:rsid w:val="001025E5"/>
    <w:rsid w:val="00102AFD"/>
    <w:rsid w:val="00102D3E"/>
    <w:rsid w:val="00104022"/>
    <w:rsid w:val="001041F6"/>
    <w:rsid w:val="00104FA3"/>
    <w:rsid w:val="0010644A"/>
    <w:rsid w:val="00106C2D"/>
    <w:rsid w:val="0010719A"/>
    <w:rsid w:val="00107FE0"/>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562"/>
    <w:rsid w:val="00131911"/>
    <w:rsid w:val="00131CDF"/>
    <w:rsid w:val="00132391"/>
    <w:rsid w:val="00133BFB"/>
    <w:rsid w:val="00133DCC"/>
    <w:rsid w:val="001341D2"/>
    <w:rsid w:val="00134892"/>
    <w:rsid w:val="00134A68"/>
    <w:rsid w:val="00134AB5"/>
    <w:rsid w:val="00135132"/>
    <w:rsid w:val="0013555E"/>
    <w:rsid w:val="00135B0C"/>
    <w:rsid w:val="00136897"/>
    <w:rsid w:val="0013695E"/>
    <w:rsid w:val="00136FB8"/>
    <w:rsid w:val="0014043C"/>
    <w:rsid w:val="0014047D"/>
    <w:rsid w:val="00140D7E"/>
    <w:rsid w:val="00141BB2"/>
    <w:rsid w:val="00142417"/>
    <w:rsid w:val="0014331F"/>
    <w:rsid w:val="00143682"/>
    <w:rsid w:val="001441D3"/>
    <w:rsid w:val="001450E2"/>
    <w:rsid w:val="001460CF"/>
    <w:rsid w:val="00146509"/>
    <w:rsid w:val="0014671A"/>
    <w:rsid w:val="00146991"/>
    <w:rsid w:val="00146DCF"/>
    <w:rsid w:val="00147CCC"/>
    <w:rsid w:val="00147EA2"/>
    <w:rsid w:val="00147FEF"/>
    <w:rsid w:val="0015050B"/>
    <w:rsid w:val="00151A88"/>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B55"/>
    <w:rsid w:val="00183EE9"/>
    <w:rsid w:val="0018454F"/>
    <w:rsid w:val="001846BB"/>
    <w:rsid w:val="00185402"/>
    <w:rsid w:val="001854BD"/>
    <w:rsid w:val="00185DC5"/>
    <w:rsid w:val="00186701"/>
    <w:rsid w:val="00186FB3"/>
    <w:rsid w:val="00186FE8"/>
    <w:rsid w:val="0018765B"/>
    <w:rsid w:val="001902E0"/>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6E63"/>
    <w:rsid w:val="001B78AC"/>
    <w:rsid w:val="001B7EF3"/>
    <w:rsid w:val="001C0151"/>
    <w:rsid w:val="001C0C36"/>
    <w:rsid w:val="001C0D8E"/>
    <w:rsid w:val="001C100F"/>
    <w:rsid w:val="001C1402"/>
    <w:rsid w:val="001C160F"/>
    <w:rsid w:val="001C1FDF"/>
    <w:rsid w:val="001C2557"/>
    <w:rsid w:val="001C2644"/>
    <w:rsid w:val="001C2B0B"/>
    <w:rsid w:val="001C2B81"/>
    <w:rsid w:val="001C36D8"/>
    <w:rsid w:val="001C39B4"/>
    <w:rsid w:val="001C3A80"/>
    <w:rsid w:val="001C421F"/>
    <w:rsid w:val="001C422B"/>
    <w:rsid w:val="001C502D"/>
    <w:rsid w:val="001C53B0"/>
    <w:rsid w:val="001C54BA"/>
    <w:rsid w:val="001C554C"/>
    <w:rsid w:val="001C7EC3"/>
    <w:rsid w:val="001D07F6"/>
    <w:rsid w:val="001D0DCF"/>
    <w:rsid w:val="001D2BA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4068"/>
    <w:rsid w:val="00205A55"/>
    <w:rsid w:val="00206222"/>
    <w:rsid w:val="0020694D"/>
    <w:rsid w:val="00206B99"/>
    <w:rsid w:val="002073D2"/>
    <w:rsid w:val="002078AA"/>
    <w:rsid w:val="00210261"/>
    <w:rsid w:val="0021074F"/>
    <w:rsid w:val="002111AC"/>
    <w:rsid w:val="0021188E"/>
    <w:rsid w:val="00212E08"/>
    <w:rsid w:val="0021302A"/>
    <w:rsid w:val="00213783"/>
    <w:rsid w:val="00214604"/>
    <w:rsid w:val="00214685"/>
    <w:rsid w:val="002147E4"/>
    <w:rsid w:val="00214CE8"/>
    <w:rsid w:val="00215973"/>
    <w:rsid w:val="002160EA"/>
    <w:rsid w:val="002161AD"/>
    <w:rsid w:val="00216595"/>
    <w:rsid w:val="002165D6"/>
    <w:rsid w:val="00216AB7"/>
    <w:rsid w:val="002170A5"/>
    <w:rsid w:val="00217F57"/>
    <w:rsid w:val="00221687"/>
    <w:rsid w:val="00221709"/>
    <w:rsid w:val="00222A05"/>
    <w:rsid w:val="00222E1E"/>
    <w:rsid w:val="0022341D"/>
    <w:rsid w:val="0022360E"/>
    <w:rsid w:val="00223B79"/>
    <w:rsid w:val="00223F75"/>
    <w:rsid w:val="002241C3"/>
    <w:rsid w:val="00224412"/>
    <w:rsid w:val="002246DF"/>
    <w:rsid w:val="002248E9"/>
    <w:rsid w:val="00225069"/>
    <w:rsid w:val="00225542"/>
    <w:rsid w:val="002256A3"/>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97A"/>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1BCC"/>
    <w:rsid w:val="00252528"/>
    <w:rsid w:val="002530F3"/>
    <w:rsid w:val="00253130"/>
    <w:rsid w:val="00253A1C"/>
    <w:rsid w:val="002541B3"/>
    <w:rsid w:val="002547DE"/>
    <w:rsid w:val="00254C10"/>
    <w:rsid w:val="00255C0E"/>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5914"/>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232"/>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C4B"/>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73DF"/>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C54"/>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CE8"/>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60"/>
    <w:rsid w:val="003150CD"/>
    <w:rsid w:val="003154AB"/>
    <w:rsid w:val="00315511"/>
    <w:rsid w:val="003155CF"/>
    <w:rsid w:val="00315BA3"/>
    <w:rsid w:val="00316707"/>
    <w:rsid w:val="00316B6D"/>
    <w:rsid w:val="00317A31"/>
    <w:rsid w:val="00317B07"/>
    <w:rsid w:val="00317BDE"/>
    <w:rsid w:val="00317DC3"/>
    <w:rsid w:val="00320422"/>
    <w:rsid w:val="0032069E"/>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6AA"/>
    <w:rsid w:val="0037599C"/>
    <w:rsid w:val="00375FDD"/>
    <w:rsid w:val="003804A7"/>
    <w:rsid w:val="00380738"/>
    <w:rsid w:val="00381DC3"/>
    <w:rsid w:val="00381F89"/>
    <w:rsid w:val="0038228C"/>
    <w:rsid w:val="00382894"/>
    <w:rsid w:val="00382BDE"/>
    <w:rsid w:val="003859C4"/>
    <w:rsid w:val="00385EA5"/>
    <w:rsid w:val="00386F92"/>
    <w:rsid w:val="003874C3"/>
    <w:rsid w:val="00387725"/>
    <w:rsid w:val="00387C65"/>
    <w:rsid w:val="0039022E"/>
    <w:rsid w:val="00390CDE"/>
    <w:rsid w:val="00391BC0"/>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A42"/>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610"/>
    <w:rsid w:val="003E7801"/>
    <w:rsid w:val="003F0AF5"/>
    <w:rsid w:val="003F14E4"/>
    <w:rsid w:val="003F1DB4"/>
    <w:rsid w:val="003F1FC5"/>
    <w:rsid w:val="003F3E65"/>
    <w:rsid w:val="003F42FC"/>
    <w:rsid w:val="003F4833"/>
    <w:rsid w:val="003F4B68"/>
    <w:rsid w:val="003F4DF3"/>
    <w:rsid w:val="003F532D"/>
    <w:rsid w:val="003F7A40"/>
    <w:rsid w:val="004003E7"/>
    <w:rsid w:val="00400CE8"/>
    <w:rsid w:val="0040130D"/>
    <w:rsid w:val="00401744"/>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06E"/>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E7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66E"/>
    <w:rsid w:val="004C5B4E"/>
    <w:rsid w:val="004C62A2"/>
    <w:rsid w:val="004C643F"/>
    <w:rsid w:val="004C6683"/>
    <w:rsid w:val="004C68B0"/>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3BF8"/>
    <w:rsid w:val="004F421C"/>
    <w:rsid w:val="004F4289"/>
    <w:rsid w:val="004F48BF"/>
    <w:rsid w:val="004F5821"/>
    <w:rsid w:val="004F674E"/>
    <w:rsid w:val="004F68BF"/>
    <w:rsid w:val="004F6C74"/>
    <w:rsid w:val="004F78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35E"/>
    <w:rsid w:val="005115C3"/>
    <w:rsid w:val="00515288"/>
    <w:rsid w:val="00515B21"/>
    <w:rsid w:val="00515CF2"/>
    <w:rsid w:val="00515F70"/>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B73"/>
    <w:rsid w:val="00543C2D"/>
    <w:rsid w:val="00543DE7"/>
    <w:rsid w:val="0054479C"/>
    <w:rsid w:val="00544E43"/>
    <w:rsid w:val="00546E22"/>
    <w:rsid w:val="00547361"/>
    <w:rsid w:val="00547737"/>
    <w:rsid w:val="00547A16"/>
    <w:rsid w:val="00547B3A"/>
    <w:rsid w:val="00551154"/>
    <w:rsid w:val="00551AFF"/>
    <w:rsid w:val="005520F9"/>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4E73"/>
    <w:rsid w:val="00576025"/>
    <w:rsid w:val="00577656"/>
    <w:rsid w:val="0057772B"/>
    <w:rsid w:val="00580176"/>
    <w:rsid w:val="005802AF"/>
    <w:rsid w:val="00581327"/>
    <w:rsid w:val="005817AB"/>
    <w:rsid w:val="00582C57"/>
    <w:rsid w:val="00584BAB"/>
    <w:rsid w:val="00584EFB"/>
    <w:rsid w:val="0058621D"/>
    <w:rsid w:val="00586AC1"/>
    <w:rsid w:val="00586D72"/>
    <w:rsid w:val="00586E4F"/>
    <w:rsid w:val="00587330"/>
    <w:rsid w:val="00587984"/>
    <w:rsid w:val="00587A84"/>
    <w:rsid w:val="00587B46"/>
    <w:rsid w:val="00590AF7"/>
    <w:rsid w:val="00592360"/>
    <w:rsid w:val="00593333"/>
    <w:rsid w:val="005960D3"/>
    <w:rsid w:val="005973A7"/>
    <w:rsid w:val="005A0825"/>
    <w:rsid w:val="005A09A3"/>
    <w:rsid w:val="005A10FD"/>
    <w:rsid w:val="005A1FEE"/>
    <w:rsid w:val="005A273F"/>
    <w:rsid w:val="005A2E22"/>
    <w:rsid w:val="005A3583"/>
    <w:rsid w:val="005A4118"/>
    <w:rsid w:val="005A453F"/>
    <w:rsid w:val="005A493F"/>
    <w:rsid w:val="005A6A9E"/>
    <w:rsid w:val="005A73F1"/>
    <w:rsid w:val="005A752F"/>
    <w:rsid w:val="005A777D"/>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265F"/>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D6BC9"/>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9CC"/>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461A"/>
    <w:rsid w:val="00605582"/>
    <w:rsid w:val="00605720"/>
    <w:rsid w:val="00605C0C"/>
    <w:rsid w:val="00605C57"/>
    <w:rsid w:val="00605C73"/>
    <w:rsid w:val="0060626C"/>
    <w:rsid w:val="006065FF"/>
    <w:rsid w:val="00607309"/>
    <w:rsid w:val="00607F3D"/>
    <w:rsid w:val="00610C46"/>
    <w:rsid w:val="00614079"/>
    <w:rsid w:val="00614188"/>
    <w:rsid w:val="00614B3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0FC"/>
    <w:rsid w:val="00624802"/>
    <w:rsid w:val="00624F20"/>
    <w:rsid w:val="00625957"/>
    <w:rsid w:val="00625F4E"/>
    <w:rsid w:val="006279BE"/>
    <w:rsid w:val="006304BB"/>
    <w:rsid w:val="0063071F"/>
    <w:rsid w:val="00630C62"/>
    <w:rsid w:val="00631207"/>
    <w:rsid w:val="00631467"/>
    <w:rsid w:val="0063273E"/>
    <w:rsid w:val="00633242"/>
    <w:rsid w:val="00633FA0"/>
    <w:rsid w:val="00634534"/>
    <w:rsid w:val="00634EF5"/>
    <w:rsid w:val="00635094"/>
    <w:rsid w:val="006356CC"/>
    <w:rsid w:val="00635B8D"/>
    <w:rsid w:val="00636401"/>
    <w:rsid w:val="00636905"/>
    <w:rsid w:val="00636A93"/>
    <w:rsid w:val="00637474"/>
    <w:rsid w:val="0063772A"/>
    <w:rsid w:val="0064037E"/>
    <w:rsid w:val="006418C8"/>
    <w:rsid w:val="006427D9"/>
    <w:rsid w:val="00642BAE"/>
    <w:rsid w:val="00642CAD"/>
    <w:rsid w:val="00643498"/>
    <w:rsid w:val="00643D25"/>
    <w:rsid w:val="00644683"/>
    <w:rsid w:val="006448DB"/>
    <w:rsid w:val="00644D3E"/>
    <w:rsid w:val="00645AB9"/>
    <w:rsid w:val="00645E2A"/>
    <w:rsid w:val="006460CB"/>
    <w:rsid w:val="00646267"/>
    <w:rsid w:val="00646D5C"/>
    <w:rsid w:val="00646DD7"/>
    <w:rsid w:val="006473BA"/>
    <w:rsid w:val="006475F4"/>
    <w:rsid w:val="00647D90"/>
    <w:rsid w:val="006502D1"/>
    <w:rsid w:val="006504FE"/>
    <w:rsid w:val="00650FE9"/>
    <w:rsid w:val="00651275"/>
    <w:rsid w:val="00652231"/>
    <w:rsid w:val="0065228A"/>
    <w:rsid w:val="006539F1"/>
    <w:rsid w:val="00654244"/>
    <w:rsid w:val="006546B6"/>
    <w:rsid w:val="006547BB"/>
    <w:rsid w:val="006555CA"/>
    <w:rsid w:val="00655BA3"/>
    <w:rsid w:val="006560E3"/>
    <w:rsid w:val="006564ED"/>
    <w:rsid w:val="00656C6E"/>
    <w:rsid w:val="0066116D"/>
    <w:rsid w:val="00662EBD"/>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9E0"/>
    <w:rsid w:val="00684F50"/>
    <w:rsid w:val="00685785"/>
    <w:rsid w:val="00685E24"/>
    <w:rsid w:val="00686F6A"/>
    <w:rsid w:val="00687828"/>
    <w:rsid w:val="00687BEB"/>
    <w:rsid w:val="00690738"/>
    <w:rsid w:val="00691515"/>
    <w:rsid w:val="00691ADA"/>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0B9"/>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263"/>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86E"/>
    <w:rsid w:val="006F4D52"/>
    <w:rsid w:val="006F6131"/>
    <w:rsid w:val="006F650D"/>
    <w:rsid w:val="006F68C0"/>
    <w:rsid w:val="006F68E5"/>
    <w:rsid w:val="00700013"/>
    <w:rsid w:val="00700358"/>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550"/>
    <w:rsid w:val="00710B09"/>
    <w:rsid w:val="00711EB9"/>
    <w:rsid w:val="0071287D"/>
    <w:rsid w:val="00712D50"/>
    <w:rsid w:val="00713419"/>
    <w:rsid w:val="007135A0"/>
    <w:rsid w:val="00713957"/>
    <w:rsid w:val="00714402"/>
    <w:rsid w:val="00714488"/>
    <w:rsid w:val="00714E6C"/>
    <w:rsid w:val="00715319"/>
    <w:rsid w:val="00715DC7"/>
    <w:rsid w:val="00715EBB"/>
    <w:rsid w:val="007166AF"/>
    <w:rsid w:val="00717898"/>
    <w:rsid w:val="0072215B"/>
    <w:rsid w:val="00722B88"/>
    <w:rsid w:val="0072304C"/>
    <w:rsid w:val="0072368F"/>
    <w:rsid w:val="00723EC1"/>
    <w:rsid w:val="00724552"/>
    <w:rsid w:val="00724C1C"/>
    <w:rsid w:val="007255E4"/>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0F64"/>
    <w:rsid w:val="007426D1"/>
    <w:rsid w:val="00743E50"/>
    <w:rsid w:val="00743F9C"/>
    <w:rsid w:val="0074414D"/>
    <w:rsid w:val="00744763"/>
    <w:rsid w:val="00744C09"/>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43B"/>
    <w:rsid w:val="007A0C87"/>
    <w:rsid w:val="007A0DD5"/>
    <w:rsid w:val="007A1877"/>
    <w:rsid w:val="007A1A79"/>
    <w:rsid w:val="007A2561"/>
    <w:rsid w:val="007A367E"/>
    <w:rsid w:val="007A3AF8"/>
    <w:rsid w:val="007A43A0"/>
    <w:rsid w:val="007A47F2"/>
    <w:rsid w:val="007A48A6"/>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0803"/>
    <w:rsid w:val="007C1271"/>
    <w:rsid w:val="007C1273"/>
    <w:rsid w:val="007C313D"/>
    <w:rsid w:val="007C3B2E"/>
    <w:rsid w:val="007C405D"/>
    <w:rsid w:val="007C4D7C"/>
    <w:rsid w:val="007C5545"/>
    <w:rsid w:val="007C587A"/>
    <w:rsid w:val="007C5FD2"/>
    <w:rsid w:val="007C7687"/>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2EB7"/>
    <w:rsid w:val="007F35C6"/>
    <w:rsid w:val="007F3BF0"/>
    <w:rsid w:val="007F4049"/>
    <w:rsid w:val="007F4460"/>
    <w:rsid w:val="007F4946"/>
    <w:rsid w:val="007F4B42"/>
    <w:rsid w:val="007F5B11"/>
    <w:rsid w:val="007F7ACC"/>
    <w:rsid w:val="007F7CB7"/>
    <w:rsid w:val="007F7F91"/>
    <w:rsid w:val="00800AEA"/>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4521"/>
    <w:rsid w:val="008161D5"/>
    <w:rsid w:val="00817A06"/>
    <w:rsid w:val="0082001A"/>
    <w:rsid w:val="008205D0"/>
    <w:rsid w:val="0082070E"/>
    <w:rsid w:val="00820D99"/>
    <w:rsid w:val="00820E06"/>
    <w:rsid w:val="008211F5"/>
    <w:rsid w:val="00821AE9"/>
    <w:rsid w:val="00822758"/>
    <w:rsid w:val="00823863"/>
    <w:rsid w:val="008240AB"/>
    <w:rsid w:val="008241FC"/>
    <w:rsid w:val="00824B51"/>
    <w:rsid w:val="00825DF2"/>
    <w:rsid w:val="00826417"/>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62FD"/>
    <w:rsid w:val="008370CF"/>
    <w:rsid w:val="00837CEF"/>
    <w:rsid w:val="00840C89"/>
    <w:rsid w:val="0084114B"/>
    <w:rsid w:val="00841D66"/>
    <w:rsid w:val="00842756"/>
    <w:rsid w:val="008430AD"/>
    <w:rsid w:val="008433AE"/>
    <w:rsid w:val="0084355F"/>
    <w:rsid w:val="00843D17"/>
    <w:rsid w:val="008452FB"/>
    <w:rsid w:val="008455A6"/>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CE0"/>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590C"/>
    <w:rsid w:val="0087759D"/>
    <w:rsid w:val="00877D5E"/>
    <w:rsid w:val="00880169"/>
    <w:rsid w:val="00880384"/>
    <w:rsid w:val="008804B7"/>
    <w:rsid w:val="0088052E"/>
    <w:rsid w:val="00880860"/>
    <w:rsid w:val="00880A15"/>
    <w:rsid w:val="00880AD0"/>
    <w:rsid w:val="00881102"/>
    <w:rsid w:val="0088142E"/>
    <w:rsid w:val="0088144E"/>
    <w:rsid w:val="008814C1"/>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5AB"/>
    <w:rsid w:val="00893B24"/>
    <w:rsid w:val="00894002"/>
    <w:rsid w:val="008946EA"/>
    <w:rsid w:val="00894A6C"/>
    <w:rsid w:val="00894D4A"/>
    <w:rsid w:val="0089545F"/>
    <w:rsid w:val="0089557F"/>
    <w:rsid w:val="008959BA"/>
    <w:rsid w:val="00896821"/>
    <w:rsid w:val="00896A7C"/>
    <w:rsid w:val="00896F48"/>
    <w:rsid w:val="008A0BA3"/>
    <w:rsid w:val="008A12C7"/>
    <w:rsid w:val="008A1C0A"/>
    <w:rsid w:val="008A23DD"/>
    <w:rsid w:val="008A249E"/>
    <w:rsid w:val="008A4EE6"/>
    <w:rsid w:val="008A6544"/>
    <w:rsid w:val="008A65C4"/>
    <w:rsid w:val="008A7EC3"/>
    <w:rsid w:val="008A7F72"/>
    <w:rsid w:val="008B0AD8"/>
    <w:rsid w:val="008B0D17"/>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697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877"/>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3F50"/>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15A52"/>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625"/>
    <w:rsid w:val="00936747"/>
    <w:rsid w:val="00937A05"/>
    <w:rsid w:val="00937A28"/>
    <w:rsid w:val="00937B14"/>
    <w:rsid w:val="00937D05"/>
    <w:rsid w:val="009401E4"/>
    <w:rsid w:val="0094044A"/>
    <w:rsid w:val="00940C5D"/>
    <w:rsid w:val="00941603"/>
    <w:rsid w:val="00941839"/>
    <w:rsid w:val="00942CAB"/>
    <w:rsid w:val="00942D23"/>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040A"/>
    <w:rsid w:val="00971321"/>
    <w:rsid w:val="00972B61"/>
    <w:rsid w:val="009730F2"/>
    <w:rsid w:val="00974250"/>
    <w:rsid w:val="00974F50"/>
    <w:rsid w:val="009756EC"/>
    <w:rsid w:val="009757EE"/>
    <w:rsid w:val="0097584C"/>
    <w:rsid w:val="00976813"/>
    <w:rsid w:val="00976FCC"/>
    <w:rsid w:val="0097768E"/>
    <w:rsid w:val="009818A2"/>
    <w:rsid w:val="009829E2"/>
    <w:rsid w:val="00983525"/>
    <w:rsid w:val="009844CE"/>
    <w:rsid w:val="00984590"/>
    <w:rsid w:val="00984F92"/>
    <w:rsid w:val="00984FB7"/>
    <w:rsid w:val="009855CB"/>
    <w:rsid w:val="00985932"/>
    <w:rsid w:val="00985F5F"/>
    <w:rsid w:val="009868FC"/>
    <w:rsid w:val="00986D58"/>
    <w:rsid w:val="00986D6A"/>
    <w:rsid w:val="00990013"/>
    <w:rsid w:val="009904ED"/>
    <w:rsid w:val="00990D44"/>
    <w:rsid w:val="00991E94"/>
    <w:rsid w:val="00992712"/>
    <w:rsid w:val="00993358"/>
    <w:rsid w:val="00993E4C"/>
    <w:rsid w:val="00993E7E"/>
    <w:rsid w:val="0099690A"/>
    <w:rsid w:val="00997136"/>
    <w:rsid w:val="009971A7"/>
    <w:rsid w:val="00997346"/>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376"/>
    <w:rsid w:val="009B4E0E"/>
    <w:rsid w:val="009B5202"/>
    <w:rsid w:val="009B537A"/>
    <w:rsid w:val="009B6107"/>
    <w:rsid w:val="009B622A"/>
    <w:rsid w:val="009B6D2C"/>
    <w:rsid w:val="009C0461"/>
    <w:rsid w:val="009C1468"/>
    <w:rsid w:val="009C16E5"/>
    <w:rsid w:val="009C24D1"/>
    <w:rsid w:val="009C3841"/>
    <w:rsid w:val="009C4B5F"/>
    <w:rsid w:val="009C607A"/>
    <w:rsid w:val="009C6929"/>
    <w:rsid w:val="009C6A52"/>
    <w:rsid w:val="009C72C2"/>
    <w:rsid w:val="009D183B"/>
    <w:rsid w:val="009D20C4"/>
    <w:rsid w:val="009D2378"/>
    <w:rsid w:val="009D267D"/>
    <w:rsid w:val="009D30C1"/>
    <w:rsid w:val="009D3356"/>
    <w:rsid w:val="009D3CB7"/>
    <w:rsid w:val="009D3DBF"/>
    <w:rsid w:val="009D3E09"/>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433E"/>
    <w:rsid w:val="00A164A6"/>
    <w:rsid w:val="00A165FE"/>
    <w:rsid w:val="00A16EFC"/>
    <w:rsid w:val="00A17A7F"/>
    <w:rsid w:val="00A20FD0"/>
    <w:rsid w:val="00A21357"/>
    <w:rsid w:val="00A215C1"/>
    <w:rsid w:val="00A218EB"/>
    <w:rsid w:val="00A21B13"/>
    <w:rsid w:val="00A22381"/>
    <w:rsid w:val="00A23061"/>
    <w:rsid w:val="00A23D23"/>
    <w:rsid w:val="00A243B5"/>
    <w:rsid w:val="00A24A17"/>
    <w:rsid w:val="00A24B73"/>
    <w:rsid w:val="00A257A4"/>
    <w:rsid w:val="00A258BB"/>
    <w:rsid w:val="00A27138"/>
    <w:rsid w:val="00A3083C"/>
    <w:rsid w:val="00A30D30"/>
    <w:rsid w:val="00A31158"/>
    <w:rsid w:val="00A3215A"/>
    <w:rsid w:val="00A32881"/>
    <w:rsid w:val="00A32E73"/>
    <w:rsid w:val="00A3359F"/>
    <w:rsid w:val="00A3397A"/>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9E7"/>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00F"/>
    <w:rsid w:val="00A575B4"/>
    <w:rsid w:val="00A608CD"/>
    <w:rsid w:val="00A60A4A"/>
    <w:rsid w:val="00A64280"/>
    <w:rsid w:val="00A64C7D"/>
    <w:rsid w:val="00A64E0F"/>
    <w:rsid w:val="00A654A2"/>
    <w:rsid w:val="00A654DF"/>
    <w:rsid w:val="00A655E9"/>
    <w:rsid w:val="00A65731"/>
    <w:rsid w:val="00A66CB2"/>
    <w:rsid w:val="00A67461"/>
    <w:rsid w:val="00A703F5"/>
    <w:rsid w:val="00A71119"/>
    <w:rsid w:val="00A72E3D"/>
    <w:rsid w:val="00A72EE1"/>
    <w:rsid w:val="00A739DF"/>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C47"/>
    <w:rsid w:val="00A83D36"/>
    <w:rsid w:val="00A8427B"/>
    <w:rsid w:val="00A84B23"/>
    <w:rsid w:val="00A84B4C"/>
    <w:rsid w:val="00A85897"/>
    <w:rsid w:val="00A86E22"/>
    <w:rsid w:val="00A87174"/>
    <w:rsid w:val="00A87279"/>
    <w:rsid w:val="00A87E95"/>
    <w:rsid w:val="00A900FE"/>
    <w:rsid w:val="00A90CB1"/>
    <w:rsid w:val="00A92C9A"/>
    <w:rsid w:val="00A9370A"/>
    <w:rsid w:val="00A94E2C"/>
    <w:rsid w:val="00A94F2D"/>
    <w:rsid w:val="00A95DD5"/>
    <w:rsid w:val="00A96022"/>
    <w:rsid w:val="00A966F4"/>
    <w:rsid w:val="00A96770"/>
    <w:rsid w:val="00A97932"/>
    <w:rsid w:val="00AA0197"/>
    <w:rsid w:val="00AA029D"/>
    <w:rsid w:val="00AA0D66"/>
    <w:rsid w:val="00AA11A2"/>
    <w:rsid w:val="00AA14FC"/>
    <w:rsid w:val="00AA1B6D"/>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51D"/>
    <w:rsid w:val="00AE4CFF"/>
    <w:rsid w:val="00AE4E46"/>
    <w:rsid w:val="00AE52B0"/>
    <w:rsid w:val="00AE54F8"/>
    <w:rsid w:val="00AE5C7F"/>
    <w:rsid w:val="00AE6FC4"/>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705"/>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609"/>
    <w:rsid w:val="00B26918"/>
    <w:rsid w:val="00B26C44"/>
    <w:rsid w:val="00B30025"/>
    <w:rsid w:val="00B304E1"/>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574"/>
    <w:rsid w:val="00B438BE"/>
    <w:rsid w:val="00B453AD"/>
    <w:rsid w:val="00B45776"/>
    <w:rsid w:val="00B45A31"/>
    <w:rsid w:val="00B462D1"/>
    <w:rsid w:val="00B46D2B"/>
    <w:rsid w:val="00B50446"/>
    <w:rsid w:val="00B514A0"/>
    <w:rsid w:val="00B51B10"/>
    <w:rsid w:val="00B51EB8"/>
    <w:rsid w:val="00B523E5"/>
    <w:rsid w:val="00B528A3"/>
    <w:rsid w:val="00B52E31"/>
    <w:rsid w:val="00B5349D"/>
    <w:rsid w:val="00B534E9"/>
    <w:rsid w:val="00B54BDD"/>
    <w:rsid w:val="00B5501D"/>
    <w:rsid w:val="00B55868"/>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5EE5"/>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4B7"/>
    <w:rsid w:val="00B95FE2"/>
    <w:rsid w:val="00B962EE"/>
    <w:rsid w:val="00B97246"/>
    <w:rsid w:val="00B9725F"/>
    <w:rsid w:val="00B972B2"/>
    <w:rsid w:val="00B97390"/>
    <w:rsid w:val="00BA03EE"/>
    <w:rsid w:val="00BA1836"/>
    <w:rsid w:val="00BA18D4"/>
    <w:rsid w:val="00BA224E"/>
    <w:rsid w:val="00BA258A"/>
    <w:rsid w:val="00BA2740"/>
    <w:rsid w:val="00BA2A3D"/>
    <w:rsid w:val="00BA31EF"/>
    <w:rsid w:val="00BA3677"/>
    <w:rsid w:val="00BA3973"/>
    <w:rsid w:val="00BA42E0"/>
    <w:rsid w:val="00BA5246"/>
    <w:rsid w:val="00BA59AD"/>
    <w:rsid w:val="00BA63BB"/>
    <w:rsid w:val="00BA6573"/>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37B1"/>
    <w:rsid w:val="00BC40F2"/>
    <w:rsid w:val="00BC45CE"/>
    <w:rsid w:val="00BC4F3D"/>
    <w:rsid w:val="00BC64CE"/>
    <w:rsid w:val="00BC68AD"/>
    <w:rsid w:val="00BC7112"/>
    <w:rsid w:val="00BD0C00"/>
    <w:rsid w:val="00BD0DA0"/>
    <w:rsid w:val="00BD3693"/>
    <w:rsid w:val="00BD3C1E"/>
    <w:rsid w:val="00BD438C"/>
    <w:rsid w:val="00BD4843"/>
    <w:rsid w:val="00BD492B"/>
    <w:rsid w:val="00BD4F9A"/>
    <w:rsid w:val="00BD5489"/>
    <w:rsid w:val="00BD5B0D"/>
    <w:rsid w:val="00BD5E19"/>
    <w:rsid w:val="00BD6D4E"/>
    <w:rsid w:val="00BD71F1"/>
    <w:rsid w:val="00BD74CF"/>
    <w:rsid w:val="00BE1BBE"/>
    <w:rsid w:val="00BE2C9F"/>
    <w:rsid w:val="00BE36D5"/>
    <w:rsid w:val="00BE38E1"/>
    <w:rsid w:val="00BE4FDC"/>
    <w:rsid w:val="00BE5D9E"/>
    <w:rsid w:val="00BE6056"/>
    <w:rsid w:val="00BE6217"/>
    <w:rsid w:val="00BE7C10"/>
    <w:rsid w:val="00BF01B9"/>
    <w:rsid w:val="00BF0D7C"/>
    <w:rsid w:val="00BF1235"/>
    <w:rsid w:val="00BF1F39"/>
    <w:rsid w:val="00BF2AD9"/>
    <w:rsid w:val="00BF2FDA"/>
    <w:rsid w:val="00BF42C3"/>
    <w:rsid w:val="00BF5877"/>
    <w:rsid w:val="00BF68A1"/>
    <w:rsid w:val="00C006E1"/>
    <w:rsid w:val="00C013E9"/>
    <w:rsid w:val="00C01536"/>
    <w:rsid w:val="00C0185C"/>
    <w:rsid w:val="00C01AE5"/>
    <w:rsid w:val="00C0372A"/>
    <w:rsid w:val="00C03C68"/>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9BD"/>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FF"/>
    <w:rsid w:val="00C24B6B"/>
    <w:rsid w:val="00C25A02"/>
    <w:rsid w:val="00C26147"/>
    <w:rsid w:val="00C268F6"/>
    <w:rsid w:val="00C26F23"/>
    <w:rsid w:val="00C271F5"/>
    <w:rsid w:val="00C27D1A"/>
    <w:rsid w:val="00C31200"/>
    <w:rsid w:val="00C31A08"/>
    <w:rsid w:val="00C31BE7"/>
    <w:rsid w:val="00C32229"/>
    <w:rsid w:val="00C32DE7"/>
    <w:rsid w:val="00C32F73"/>
    <w:rsid w:val="00C32FD3"/>
    <w:rsid w:val="00C341CB"/>
    <w:rsid w:val="00C3542E"/>
    <w:rsid w:val="00C35B5E"/>
    <w:rsid w:val="00C366E1"/>
    <w:rsid w:val="00C370A0"/>
    <w:rsid w:val="00C3726D"/>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4EF"/>
    <w:rsid w:val="00C500D2"/>
    <w:rsid w:val="00C50922"/>
    <w:rsid w:val="00C51061"/>
    <w:rsid w:val="00C51440"/>
    <w:rsid w:val="00C52089"/>
    <w:rsid w:val="00C53E87"/>
    <w:rsid w:val="00C55CDE"/>
    <w:rsid w:val="00C56885"/>
    <w:rsid w:val="00C56AE3"/>
    <w:rsid w:val="00C56D20"/>
    <w:rsid w:val="00C57069"/>
    <w:rsid w:val="00C57680"/>
    <w:rsid w:val="00C57997"/>
    <w:rsid w:val="00C60F3A"/>
    <w:rsid w:val="00C6124E"/>
    <w:rsid w:val="00C61320"/>
    <w:rsid w:val="00C613CF"/>
    <w:rsid w:val="00C6230B"/>
    <w:rsid w:val="00C6257D"/>
    <w:rsid w:val="00C632FA"/>
    <w:rsid w:val="00C635D0"/>
    <w:rsid w:val="00C64273"/>
    <w:rsid w:val="00C647F8"/>
    <w:rsid w:val="00C65B9B"/>
    <w:rsid w:val="00C65CE0"/>
    <w:rsid w:val="00C669FE"/>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9111E"/>
    <w:rsid w:val="00C9121C"/>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1D1"/>
    <w:rsid w:val="00CB4885"/>
    <w:rsid w:val="00CB638D"/>
    <w:rsid w:val="00CB6900"/>
    <w:rsid w:val="00CB6EB4"/>
    <w:rsid w:val="00CB7439"/>
    <w:rsid w:val="00CB748E"/>
    <w:rsid w:val="00CB7C3A"/>
    <w:rsid w:val="00CC0FC3"/>
    <w:rsid w:val="00CC1406"/>
    <w:rsid w:val="00CC154C"/>
    <w:rsid w:val="00CC1DB2"/>
    <w:rsid w:val="00CC29BC"/>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204"/>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C55"/>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4A3"/>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24C"/>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2FCE"/>
    <w:rsid w:val="00D73167"/>
    <w:rsid w:val="00D7322F"/>
    <w:rsid w:val="00D73481"/>
    <w:rsid w:val="00D73C07"/>
    <w:rsid w:val="00D743AB"/>
    <w:rsid w:val="00D74799"/>
    <w:rsid w:val="00D74FDC"/>
    <w:rsid w:val="00D7536B"/>
    <w:rsid w:val="00D75AD5"/>
    <w:rsid w:val="00D76FEA"/>
    <w:rsid w:val="00D81033"/>
    <w:rsid w:val="00D81136"/>
    <w:rsid w:val="00D82C07"/>
    <w:rsid w:val="00D82CE9"/>
    <w:rsid w:val="00D8317A"/>
    <w:rsid w:val="00D832F2"/>
    <w:rsid w:val="00D84AEE"/>
    <w:rsid w:val="00D8502A"/>
    <w:rsid w:val="00D850ED"/>
    <w:rsid w:val="00D85E53"/>
    <w:rsid w:val="00D865D9"/>
    <w:rsid w:val="00D86B99"/>
    <w:rsid w:val="00D87603"/>
    <w:rsid w:val="00D9154A"/>
    <w:rsid w:val="00D923F4"/>
    <w:rsid w:val="00D93271"/>
    <w:rsid w:val="00D93F15"/>
    <w:rsid w:val="00D9475D"/>
    <w:rsid w:val="00D96319"/>
    <w:rsid w:val="00D964D8"/>
    <w:rsid w:val="00D96683"/>
    <w:rsid w:val="00D97CCC"/>
    <w:rsid w:val="00DA020A"/>
    <w:rsid w:val="00DA07B6"/>
    <w:rsid w:val="00DA0CA2"/>
    <w:rsid w:val="00DA158D"/>
    <w:rsid w:val="00DA1A82"/>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5A23"/>
    <w:rsid w:val="00DB6A81"/>
    <w:rsid w:val="00DB6BB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68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3CF2"/>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1FA"/>
    <w:rsid w:val="00E351B8"/>
    <w:rsid w:val="00E35EC1"/>
    <w:rsid w:val="00E35F95"/>
    <w:rsid w:val="00E3623E"/>
    <w:rsid w:val="00E362F1"/>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2A3"/>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707"/>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354D"/>
    <w:rsid w:val="00E74FEC"/>
    <w:rsid w:val="00E75146"/>
    <w:rsid w:val="00E755AB"/>
    <w:rsid w:val="00E75B19"/>
    <w:rsid w:val="00E75BB5"/>
    <w:rsid w:val="00E7676F"/>
    <w:rsid w:val="00E7767C"/>
    <w:rsid w:val="00E77805"/>
    <w:rsid w:val="00E77C72"/>
    <w:rsid w:val="00E801F8"/>
    <w:rsid w:val="00E80BD1"/>
    <w:rsid w:val="00E8167D"/>
    <w:rsid w:val="00E81BCF"/>
    <w:rsid w:val="00E8217A"/>
    <w:rsid w:val="00E82708"/>
    <w:rsid w:val="00E8399A"/>
    <w:rsid w:val="00E839A4"/>
    <w:rsid w:val="00E839CE"/>
    <w:rsid w:val="00E83AB6"/>
    <w:rsid w:val="00E83EE2"/>
    <w:rsid w:val="00E84828"/>
    <w:rsid w:val="00E8551E"/>
    <w:rsid w:val="00E856D1"/>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5851"/>
    <w:rsid w:val="00EA689E"/>
    <w:rsid w:val="00EA778B"/>
    <w:rsid w:val="00EA7C5F"/>
    <w:rsid w:val="00EA7FAC"/>
    <w:rsid w:val="00EB0480"/>
    <w:rsid w:val="00EB0E25"/>
    <w:rsid w:val="00EB1BF9"/>
    <w:rsid w:val="00EB1D2C"/>
    <w:rsid w:val="00EB2497"/>
    <w:rsid w:val="00EB2A4F"/>
    <w:rsid w:val="00EB2ACC"/>
    <w:rsid w:val="00EB2D9B"/>
    <w:rsid w:val="00EB2F4D"/>
    <w:rsid w:val="00EB3C52"/>
    <w:rsid w:val="00EB4A96"/>
    <w:rsid w:val="00EB51C7"/>
    <w:rsid w:val="00EB5858"/>
    <w:rsid w:val="00EB5DEF"/>
    <w:rsid w:val="00EB61E5"/>
    <w:rsid w:val="00EB67AA"/>
    <w:rsid w:val="00EB70B5"/>
    <w:rsid w:val="00EB780C"/>
    <w:rsid w:val="00EC443A"/>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6EE"/>
    <w:rsid w:val="00ED525B"/>
    <w:rsid w:val="00ED5337"/>
    <w:rsid w:val="00ED59E7"/>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4B"/>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A9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2733"/>
    <w:rsid w:val="00F334EB"/>
    <w:rsid w:val="00F34DC1"/>
    <w:rsid w:val="00F34DEA"/>
    <w:rsid w:val="00F35DBE"/>
    <w:rsid w:val="00F36B23"/>
    <w:rsid w:val="00F370C9"/>
    <w:rsid w:val="00F37101"/>
    <w:rsid w:val="00F377CE"/>
    <w:rsid w:val="00F40084"/>
    <w:rsid w:val="00F40094"/>
    <w:rsid w:val="00F40646"/>
    <w:rsid w:val="00F42591"/>
    <w:rsid w:val="00F426C8"/>
    <w:rsid w:val="00F4377C"/>
    <w:rsid w:val="00F44809"/>
    <w:rsid w:val="00F45459"/>
    <w:rsid w:val="00F46D5A"/>
    <w:rsid w:val="00F47305"/>
    <w:rsid w:val="00F5036E"/>
    <w:rsid w:val="00F50454"/>
    <w:rsid w:val="00F5063A"/>
    <w:rsid w:val="00F519A9"/>
    <w:rsid w:val="00F51AA4"/>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D29"/>
    <w:rsid w:val="00F75F03"/>
    <w:rsid w:val="00F77276"/>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3F36"/>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A7E70"/>
    <w:rsid w:val="00FB0C83"/>
    <w:rsid w:val="00FB1043"/>
    <w:rsid w:val="00FB19D9"/>
    <w:rsid w:val="00FB20F3"/>
    <w:rsid w:val="00FB226D"/>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AD9"/>
    <w:rsid w:val="00FF43B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Puesto">
    <w:name w:val="Title"/>
    <w:basedOn w:val="Normal"/>
    <w:next w:val="Normal"/>
    <w:link w:val="PuestoCar"/>
    <w:uiPriority w:val="10"/>
    <w:qFormat/>
    <w:rsid w:val="009973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9973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7346"/>
    <w:pPr>
      <w:numPr>
        <w:ilvl w:val="1"/>
      </w:numPr>
      <w:spacing w:after="160"/>
    </w:pPr>
    <w:rPr>
      <w:color w:val="5A5A5A" w:themeColor="text1" w:themeTint="A5"/>
      <w:spacing w:val="15"/>
    </w:rPr>
  </w:style>
  <w:style w:type="character" w:customStyle="1" w:styleId="SubttuloCar">
    <w:name w:val="Subtítulo Car"/>
    <w:basedOn w:val="Fuentedeprrafopredeter"/>
    <w:link w:val="Subttulo"/>
    <w:uiPriority w:val="11"/>
    <w:rsid w:val="00997346"/>
    <w:rPr>
      <w:color w:val="5A5A5A" w:themeColor="text1" w:themeTint="A5"/>
      <w:spacing w:val="15"/>
    </w:rPr>
  </w:style>
  <w:style w:type="paragraph" w:styleId="Textoindependienteprimerasangra">
    <w:name w:val="Body Text First Indent"/>
    <w:basedOn w:val="Textoindependiente"/>
    <w:link w:val="TextoindependienteprimerasangraCar"/>
    <w:uiPriority w:val="99"/>
    <w:unhideWhenUsed/>
    <w:rsid w:val="00997346"/>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997346"/>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uiPriority w:val="99"/>
    <w:semiHidden/>
    <w:unhideWhenUsed/>
    <w:rsid w:val="00997346"/>
    <w:pPr>
      <w:spacing w:after="120"/>
      <w:ind w:left="283"/>
    </w:pPr>
  </w:style>
  <w:style w:type="character" w:customStyle="1" w:styleId="SangradetextonormalCar">
    <w:name w:val="Sangría de texto normal Car"/>
    <w:basedOn w:val="Fuentedeprrafopredeter"/>
    <w:link w:val="Sangradetextonormal"/>
    <w:uiPriority w:val="99"/>
    <w:semiHidden/>
    <w:rsid w:val="00997346"/>
  </w:style>
  <w:style w:type="paragraph" w:styleId="Textoindependienteprimerasangra2">
    <w:name w:val="Body Text First Indent 2"/>
    <w:basedOn w:val="Sangradetextonormal"/>
    <w:link w:val="Textoindependienteprimerasangra2Car"/>
    <w:uiPriority w:val="99"/>
    <w:unhideWhenUsed/>
    <w:rsid w:val="0099734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97346"/>
  </w:style>
  <w:style w:type="paragraph" w:customStyle="1" w:styleId="corte3centro">
    <w:name w:val="corte3 centro"/>
    <w:basedOn w:val="Normal"/>
    <w:link w:val="corte3centroCar"/>
    <w:rsid w:val="00F0064B"/>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rsid w:val="00F0064B"/>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F0064B"/>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7830218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43446066">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408C1-8F35-49D8-BA14-BE2A9486B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13</Pages>
  <Words>4894</Words>
  <Characters>26920</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cp:revision>
  <cp:lastPrinted>2022-09-26T15:34:00Z</cp:lastPrinted>
  <dcterms:created xsi:type="dcterms:W3CDTF">2022-08-19T19:10:00Z</dcterms:created>
  <dcterms:modified xsi:type="dcterms:W3CDTF">2023-02-22T17:19:00Z</dcterms:modified>
</cp:coreProperties>
</file>