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731F" w:rsidRPr="006E2F18" w:rsidRDefault="00FA731F" w:rsidP="00FA731F">
      <w:pPr>
        <w:spacing w:line="360" w:lineRule="auto"/>
        <w:jc w:val="both"/>
        <w:rPr>
          <w:rFonts w:ascii="Arial" w:hAnsi="Arial" w:cs="Arial"/>
          <w:b/>
          <w:sz w:val="25"/>
          <w:szCs w:val="25"/>
        </w:rPr>
      </w:pPr>
      <w:r w:rsidRPr="006E2F18">
        <w:rPr>
          <w:rFonts w:ascii="Arial" w:hAnsi="Arial" w:cs="Arial"/>
          <w:b/>
          <w:sz w:val="25"/>
          <w:szCs w:val="25"/>
        </w:rPr>
        <w:t xml:space="preserve">TRIBUNAL DE JUSTICIA ADMINISTRATIVA DEL ESTADO DE OAXACA.- </w:t>
      </w:r>
      <w:r w:rsidRPr="006E2F18">
        <w:rPr>
          <w:rFonts w:ascii="Arial" w:hAnsi="Arial" w:cs="Arial"/>
          <w:b/>
          <w:bCs/>
          <w:sz w:val="25"/>
          <w:szCs w:val="25"/>
          <w:lang w:val="es-MX"/>
        </w:rPr>
        <w:t>PRIMERA SALA UNITARIA DE PRIMERA INST</w:t>
      </w:r>
      <w:r w:rsidR="00F86355" w:rsidRPr="006E2F18">
        <w:rPr>
          <w:rFonts w:ascii="Arial" w:hAnsi="Arial" w:cs="Arial"/>
          <w:b/>
          <w:bCs/>
          <w:sz w:val="25"/>
          <w:szCs w:val="25"/>
          <w:lang w:val="es-MX"/>
        </w:rPr>
        <w:t>ANCIA.- MAGISTRADA LICENCIADA.-</w:t>
      </w:r>
      <w:r w:rsidRPr="006E2F18">
        <w:rPr>
          <w:rFonts w:ascii="Arial" w:hAnsi="Arial" w:cs="Arial"/>
          <w:b/>
          <w:bCs/>
          <w:sz w:val="25"/>
          <w:szCs w:val="25"/>
          <w:lang w:val="es-MX"/>
        </w:rPr>
        <w:t>FRIDA JIMÉNEZ VALENCIA.- LICENCIADO.- RENATO GABRIEL IBÁÑEZ CASTELLANOS.- SECRETARIO DE ACUERDOS.-</w:t>
      </w:r>
      <w:r w:rsidR="00E066A3" w:rsidRPr="006E2F18">
        <w:rPr>
          <w:rFonts w:ascii="Arial" w:hAnsi="Arial" w:cs="Arial"/>
          <w:b/>
          <w:sz w:val="25"/>
          <w:szCs w:val="25"/>
        </w:rPr>
        <w:t xml:space="preserve"> A</w:t>
      </w:r>
      <w:r w:rsidR="009C621C" w:rsidRPr="006E2F18">
        <w:rPr>
          <w:rFonts w:ascii="Arial" w:hAnsi="Arial" w:cs="Arial"/>
          <w:b/>
          <w:sz w:val="25"/>
          <w:szCs w:val="25"/>
        </w:rPr>
        <w:t xml:space="preserve"> VEINTICINCO</w:t>
      </w:r>
      <w:r w:rsidRPr="006E2F18">
        <w:rPr>
          <w:rFonts w:ascii="Arial" w:hAnsi="Arial" w:cs="Arial"/>
          <w:b/>
          <w:sz w:val="25"/>
          <w:szCs w:val="25"/>
        </w:rPr>
        <w:t xml:space="preserve"> DE </w:t>
      </w:r>
      <w:r w:rsidR="00647ACB" w:rsidRPr="006E2F18">
        <w:rPr>
          <w:rFonts w:ascii="Arial" w:hAnsi="Arial" w:cs="Arial"/>
          <w:b/>
          <w:sz w:val="25"/>
          <w:szCs w:val="25"/>
        </w:rPr>
        <w:t>OCTUBRE</w:t>
      </w:r>
      <w:r w:rsidR="00E066A3" w:rsidRPr="006E2F18">
        <w:rPr>
          <w:rFonts w:ascii="Arial" w:hAnsi="Arial" w:cs="Arial"/>
          <w:b/>
          <w:sz w:val="25"/>
          <w:szCs w:val="25"/>
        </w:rPr>
        <w:t xml:space="preserve"> DEL DOS MIL DIECIOCHO. (</w:t>
      </w:r>
      <w:r w:rsidR="009C621C" w:rsidRPr="006E2F18">
        <w:rPr>
          <w:rFonts w:ascii="Arial" w:hAnsi="Arial" w:cs="Arial"/>
          <w:b/>
          <w:sz w:val="25"/>
          <w:szCs w:val="25"/>
        </w:rPr>
        <w:t>2</w:t>
      </w:r>
      <w:r w:rsidR="00647ACB" w:rsidRPr="006E2F18">
        <w:rPr>
          <w:rFonts w:ascii="Arial" w:hAnsi="Arial" w:cs="Arial"/>
          <w:b/>
          <w:sz w:val="25"/>
          <w:szCs w:val="25"/>
        </w:rPr>
        <w:t>5</w:t>
      </w:r>
      <w:r w:rsidRPr="006E2F18">
        <w:rPr>
          <w:rFonts w:ascii="Arial" w:hAnsi="Arial" w:cs="Arial"/>
          <w:b/>
          <w:sz w:val="25"/>
          <w:szCs w:val="25"/>
        </w:rPr>
        <w:t>/</w:t>
      </w:r>
      <w:r w:rsidR="009C621C" w:rsidRPr="006E2F18">
        <w:rPr>
          <w:rFonts w:ascii="Arial" w:hAnsi="Arial" w:cs="Arial"/>
          <w:b/>
          <w:sz w:val="25"/>
          <w:szCs w:val="25"/>
        </w:rPr>
        <w:t>10</w:t>
      </w:r>
      <w:r w:rsidRPr="006E2F18">
        <w:rPr>
          <w:rFonts w:ascii="Arial" w:hAnsi="Arial" w:cs="Arial"/>
          <w:b/>
          <w:sz w:val="25"/>
          <w:szCs w:val="25"/>
        </w:rPr>
        <w:t xml:space="preserve">/2018). - - - - </w:t>
      </w:r>
    </w:p>
    <w:p w:rsidR="00F065C5" w:rsidRPr="006E2F18" w:rsidRDefault="00FA731F" w:rsidP="00D70F83">
      <w:pPr>
        <w:pStyle w:val="corte4fondo"/>
        <w:ind w:right="51" w:firstLine="708"/>
        <w:rPr>
          <w:rFonts w:cs="Arial"/>
          <w:sz w:val="25"/>
          <w:szCs w:val="25"/>
        </w:rPr>
      </w:pPr>
      <w:r w:rsidRPr="006E2F18">
        <w:rPr>
          <w:rFonts w:cs="Arial"/>
          <w:b/>
          <w:sz w:val="25"/>
          <w:szCs w:val="25"/>
        </w:rPr>
        <w:t>VISTOS</w:t>
      </w:r>
      <w:r w:rsidRPr="006E2F18">
        <w:rPr>
          <w:rFonts w:cs="Arial"/>
          <w:sz w:val="25"/>
          <w:szCs w:val="25"/>
        </w:rPr>
        <w:t xml:space="preserve"> para resolver los autos del juicio de nulidad de número </w:t>
      </w:r>
      <w:r w:rsidR="009C621C" w:rsidRPr="006E2F18">
        <w:rPr>
          <w:rFonts w:cs="Arial"/>
          <w:b/>
          <w:sz w:val="25"/>
          <w:szCs w:val="25"/>
        </w:rPr>
        <w:t>03</w:t>
      </w:r>
      <w:r w:rsidRPr="006E2F18">
        <w:rPr>
          <w:rFonts w:cs="Arial"/>
          <w:b/>
          <w:sz w:val="25"/>
          <w:szCs w:val="25"/>
        </w:rPr>
        <w:t>/201</w:t>
      </w:r>
      <w:r w:rsidR="009C621C" w:rsidRPr="006E2F18">
        <w:rPr>
          <w:rFonts w:cs="Arial"/>
          <w:b/>
          <w:sz w:val="25"/>
          <w:szCs w:val="25"/>
        </w:rPr>
        <w:t>8</w:t>
      </w:r>
      <w:r w:rsidRPr="006E2F18">
        <w:rPr>
          <w:rFonts w:cs="Arial"/>
          <w:sz w:val="25"/>
          <w:szCs w:val="25"/>
        </w:rPr>
        <w:t xml:space="preserve"> promovido por</w:t>
      </w:r>
      <w:r w:rsidR="009C621C" w:rsidRPr="006E2F18">
        <w:rPr>
          <w:rFonts w:cs="Arial"/>
          <w:sz w:val="25"/>
          <w:szCs w:val="25"/>
        </w:rPr>
        <w:t xml:space="preserve"> </w:t>
      </w:r>
      <w:r w:rsidR="006E2F18">
        <w:rPr>
          <w:rFonts w:cs="Arial"/>
          <w:sz w:val="25"/>
          <w:szCs w:val="25"/>
        </w:rPr>
        <w:t>**********</w:t>
      </w:r>
      <w:r w:rsidRPr="006E2F18">
        <w:rPr>
          <w:rFonts w:cs="Arial"/>
          <w:sz w:val="25"/>
          <w:szCs w:val="25"/>
        </w:rPr>
        <w:t>, señalando como autoridad demandada a</w:t>
      </w:r>
      <w:r w:rsidR="009C621C" w:rsidRPr="006E2F18">
        <w:rPr>
          <w:rFonts w:cs="Arial"/>
          <w:sz w:val="25"/>
          <w:szCs w:val="25"/>
        </w:rPr>
        <w:t xml:space="preserve"> la </w:t>
      </w:r>
      <w:r w:rsidR="009C621C" w:rsidRPr="006E2F18">
        <w:rPr>
          <w:rFonts w:cs="Arial"/>
          <w:b/>
          <w:sz w:val="25"/>
          <w:szCs w:val="25"/>
        </w:rPr>
        <w:t>COMISIÓN DE CARRERA POLICIAL DEL CONSEJO ESTATAL DE DESARROLLO POLICIAL DE LA SECRETARÍA DE SEGURIDAD PÚBLICA DEL ESTADO DE OAXACA</w:t>
      </w:r>
      <w:r w:rsidRPr="006E2F18">
        <w:rPr>
          <w:rFonts w:cs="Arial"/>
          <w:b/>
          <w:sz w:val="25"/>
          <w:szCs w:val="25"/>
        </w:rPr>
        <w:t xml:space="preserve">, </w:t>
      </w:r>
      <w:r w:rsidRPr="006E2F18">
        <w:rPr>
          <w:rFonts w:cs="Arial"/>
          <w:sz w:val="25"/>
          <w:szCs w:val="25"/>
        </w:rPr>
        <w:t>y;- - - - - - - - - - - - -</w:t>
      </w:r>
      <w:r w:rsidR="009C621C" w:rsidRPr="006E2F18">
        <w:rPr>
          <w:rFonts w:cs="Arial"/>
          <w:sz w:val="25"/>
          <w:szCs w:val="25"/>
        </w:rPr>
        <w:t xml:space="preserve"> - </w:t>
      </w:r>
    </w:p>
    <w:p w:rsidR="00E671E1" w:rsidRPr="006E2F18" w:rsidRDefault="006F0180" w:rsidP="00AF7D1D">
      <w:pPr>
        <w:spacing w:line="360" w:lineRule="auto"/>
        <w:jc w:val="center"/>
        <w:rPr>
          <w:rFonts w:ascii="Arial" w:hAnsi="Arial" w:cs="Arial"/>
          <w:b/>
          <w:spacing w:val="-3"/>
          <w:sz w:val="25"/>
          <w:szCs w:val="25"/>
          <w:lang w:val="es-ES_tradnl"/>
        </w:rPr>
      </w:pPr>
      <w:r w:rsidRPr="006E2F18">
        <w:rPr>
          <w:rFonts w:ascii="Arial" w:hAnsi="Arial" w:cs="Arial"/>
          <w:b/>
          <w:sz w:val="25"/>
          <w:szCs w:val="25"/>
        </w:rPr>
        <w:t>R E</w:t>
      </w:r>
      <w:r w:rsidR="00DA26E6" w:rsidRPr="006E2F18">
        <w:rPr>
          <w:rFonts w:ascii="Arial" w:hAnsi="Arial" w:cs="Arial"/>
          <w:b/>
          <w:spacing w:val="-3"/>
          <w:sz w:val="25"/>
          <w:szCs w:val="25"/>
          <w:lang w:val="es-ES_tradnl"/>
        </w:rPr>
        <w:t xml:space="preserve"> S U L T A N D O</w:t>
      </w:r>
      <w:r w:rsidRPr="006E2F18">
        <w:rPr>
          <w:rFonts w:ascii="Arial" w:hAnsi="Arial" w:cs="Arial"/>
          <w:b/>
          <w:spacing w:val="-3"/>
          <w:sz w:val="25"/>
          <w:szCs w:val="25"/>
          <w:lang w:val="es-ES_tradnl"/>
        </w:rPr>
        <w:t>:</w:t>
      </w:r>
    </w:p>
    <w:p w:rsidR="00356012" w:rsidRPr="006E2F18" w:rsidRDefault="006E2F18" w:rsidP="00DF0277">
      <w:pPr>
        <w:spacing w:line="360" w:lineRule="auto"/>
        <w:jc w:val="both"/>
        <w:rPr>
          <w:rFonts w:ascii="Arial" w:hAnsi="Arial" w:cs="Arial"/>
          <w:sz w:val="25"/>
          <w:szCs w:val="25"/>
        </w:rPr>
      </w:pPr>
      <w:r>
        <w:rPr>
          <w:noProof/>
          <w:lang w:val="es-MX"/>
        </w:rPr>
        <mc:AlternateContent>
          <mc:Choice Requires="wps">
            <w:drawing>
              <wp:anchor distT="0" distB="0" distL="114300" distR="114300" simplePos="0" relativeHeight="251659264" behindDoc="0" locked="0" layoutInCell="1" allowOverlap="1">
                <wp:simplePos x="0" y="0"/>
                <wp:positionH relativeFrom="column">
                  <wp:posOffset>-1440180</wp:posOffset>
                </wp:positionH>
                <wp:positionV relativeFrom="paragraph">
                  <wp:posOffset>2120265</wp:posOffset>
                </wp:positionV>
                <wp:extent cx="1267460" cy="866775"/>
                <wp:effectExtent l="0" t="0" r="27940" b="28575"/>
                <wp:wrapNone/>
                <wp:docPr id="1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7460" cy="866775"/>
                        </a:xfrm>
                        <a:prstGeom prst="rect">
                          <a:avLst/>
                        </a:prstGeom>
                        <a:solidFill>
                          <a:srgbClr val="FFFFFF"/>
                        </a:solidFill>
                        <a:ln w="9525">
                          <a:solidFill>
                            <a:srgbClr val="000000"/>
                          </a:solidFill>
                          <a:miter lim="800000"/>
                          <a:headEnd/>
                          <a:tailEnd/>
                        </a:ln>
                      </wps:spPr>
                      <wps:txbx>
                        <w:txbxContent>
                          <w:p w:rsidR="006E2F18" w:rsidRPr="004E1E18" w:rsidRDefault="006E2F18" w:rsidP="006E2F18">
                            <w:pPr>
                              <w:rPr>
                                <w:lang w:val="es-MX"/>
                              </w:rPr>
                            </w:pPr>
                            <w:r w:rsidRPr="004E1E18">
                              <w:rPr>
                                <w:rFonts w:ascii="Arial" w:hAnsi="Arial" w:cs="Arial"/>
                                <w:lang w:val="es-MX"/>
                              </w:rPr>
                              <w:t>Datos personales protegidos por el Art 116 de la LGTAIP y el Art 56  de la LTAIPEO</w:t>
                            </w:r>
                            <w:r>
                              <w:rPr>
                                <w:lang w:val="es-MX"/>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113.4pt;margin-top:166.95pt;width:99.8pt;height:6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">
                <v:textbox>
                  <w:txbxContent>
                    <w:p w:rsidR="006E2F18" w:rsidRPr="004E1E18" w:rsidRDefault="006E2F18" w:rsidP="006E2F18">
                      <w:pPr>
                        <w:rPr>
                          <w:lang w:val="es-MX"/>
                        </w:rPr>
                      </w:pPr>
                      <w:r w:rsidRPr="004E1E18">
                        <w:rPr>
                          <w:rFonts w:ascii="Arial" w:hAnsi="Arial" w:cs="Arial"/>
                          <w:lang w:val="es-MX"/>
                        </w:rPr>
                        <w:t>Datos personales protegidos por el Art 116 de la LGTAIP y el Art 56  de la LTAIPEO</w:t>
                      </w:r>
                      <w:r>
                        <w:rPr>
                          <w:lang w:val="es-MX"/>
                        </w:rPr>
                        <w:t>.</w:t>
                      </w:r>
                    </w:p>
                  </w:txbxContent>
                </v:textbox>
              </v:shape>
            </w:pict>
          </mc:Fallback>
        </mc:AlternateContent>
      </w:r>
      <w:r w:rsidR="001E66AE" w:rsidRPr="006E2F18">
        <w:rPr>
          <w:rFonts w:ascii="Arial" w:hAnsi="Arial" w:cs="Arial"/>
          <w:b/>
          <w:spacing w:val="-3"/>
          <w:sz w:val="25"/>
          <w:szCs w:val="25"/>
          <w:lang w:val="es-ES_tradnl"/>
        </w:rPr>
        <w:tab/>
        <w:t>PRIMERO.-</w:t>
      </w:r>
      <w:r w:rsidR="00A717D9" w:rsidRPr="006E2F18">
        <w:rPr>
          <w:rFonts w:ascii="Arial" w:hAnsi="Arial" w:cs="Arial"/>
          <w:b/>
          <w:spacing w:val="-3"/>
          <w:sz w:val="25"/>
          <w:szCs w:val="25"/>
          <w:lang w:val="es-ES_tradnl"/>
        </w:rPr>
        <w:t xml:space="preserve"> </w:t>
      </w:r>
      <w:r w:rsidR="00A717D9" w:rsidRPr="006E2F18">
        <w:rPr>
          <w:rFonts w:ascii="Arial" w:hAnsi="Arial" w:cs="Arial"/>
          <w:spacing w:val="-3"/>
          <w:sz w:val="25"/>
          <w:szCs w:val="25"/>
          <w:lang w:val="es-ES_tradnl"/>
        </w:rPr>
        <w:t>Con fecha nueve de enero de dos mil dieciocho (09-01-2018)</w:t>
      </w:r>
      <w:r w:rsidR="007D7416" w:rsidRPr="006E2F18">
        <w:rPr>
          <w:rFonts w:ascii="Arial" w:hAnsi="Arial" w:cs="Arial"/>
          <w:b/>
          <w:sz w:val="25"/>
          <w:szCs w:val="25"/>
        </w:rPr>
        <w:t xml:space="preserve"> </w:t>
      </w:r>
      <w:r>
        <w:rPr>
          <w:rFonts w:ascii="Arial" w:hAnsi="Arial" w:cs="Arial"/>
          <w:sz w:val="25"/>
          <w:szCs w:val="25"/>
        </w:rPr>
        <w:t>**********</w:t>
      </w:r>
      <w:r w:rsidR="0030422F" w:rsidRPr="006E2F18">
        <w:rPr>
          <w:rFonts w:ascii="Arial" w:hAnsi="Arial" w:cs="Arial"/>
          <w:spacing w:val="-3"/>
          <w:sz w:val="25"/>
          <w:szCs w:val="25"/>
          <w:lang w:val="es-ES_tradnl"/>
        </w:rPr>
        <w:t xml:space="preserve">, </w:t>
      </w:r>
      <w:r w:rsidR="00571381" w:rsidRPr="006E2F18">
        <w:rPr>
          <w:rFonts w:ascii="Arial" w:hAnsi="Arial" w:cs="Arial"/>
          <w:spacing w:val="-3"/>
          <w:sz w:val="25"/>
          <w:szCs w:val="25"/>
          <w:lang w:val="es-ES_tradnl"/>
        </w:rPr>
        <w:t xml:space="preserve">por medio de su </w:t>
      </w:r>
      <w:r w:rsidR="00A87F63" w:rsidRPr="006E2F18">
        <w:rPr>
          <w:rFonts w:ascii="Arial" w:hAnsi="Arial" w:cs="Arial"/>
          <w:sz w:val="25"/>
          <w:szCs w:val="25"/>
          <w:lang w:val="es-MX"/>
        </w:rPr>
        <w:t>escrito recibido el</w:t>
      </w:r>
      <w:r w:rsidR="009C621C" w:rsidRPr="006E2F18">
        <w:rPr>
          <w:rFonts w:ascii="Arial" w:hAnsi="Arial" w:cs="Arial"/>
          <w:sz w:val="25"/>
          <w:szCs w:val="25"/>
          <w:lang w:val="es-MX"/>
        </w:rPr>
        <w:t xml:space="preserve"> nueve</w:t>
      </w:r>
      <w:r w:rsidR="00CE6C68" w:rsidRPr="006E2F18">
        <w:rPr>
          <w:rFonts w:ascii="Arial" w:hAnsi="Arial" w:cs="Arial"/>
          <w:sz w:val="25"/>
          <w:szCs w:val="25"/>
          <w:lang w:val="es-MX"/>
        </w:rPr>
        <w:t xml:space="preserve"> </w:t>
      </w:r>
      <w:r w:rsidR="003F116C" w:rsidRPr="006E2F18">
        <w:rPr>
          <w:rFonts w:ascii="Arial" w:hAnsi="Arial" w:cs="Arial"/>
          <w:sz w:val="25"/>
          <w:szCs w:val="25"/>
          <w:lang w:val="es-MX"/>
        </w:rPr>
        <w:t xml:space="preserve">de </w:t>
      </w:r>
      <w:r w:rsidR="009C621C" w:rsidRPr="006E2F18">
        <w:rPr>
          <w:rFonts w:ascii="Arial" w:hAnsi="Arial" w:cs="Arial"/>
          <w:sz w:val="25"/>
          <w:szCs w:val="25"/>
          <w:lang w:val="es-MX"/>
        </w:rPr>
        <w:t>enero</w:t>
      </w:r>
      <w:r w:rsidR="00E26B25" w:rsidRPr="006E2F18">
        <w:rPr>
          <w:rFonts w:ascii="Arial" w:hAnsi="Arial" w:cs="Arial"/>
          <w:sz w:val="25"/>
          <w:szCs w:val="25"/>
          <w:lang w:val="es-MX"/>
        </w:rPr>
        <w:t xml:space="preserve"> </w:t>
      </w:r>
      <w:r w:rsidR="00C8368E" w:rsidRPr="006E2F18">
        <w:rPr>
          <w:rFonts w:ascii="Arial" w:hAnsi="Arial" w:cs="Arial"/>
          <w:sz w:val="25"/>
          <w:szCs w:val="25"/>
          <w:lang w:val="es-MX"/>
        </w:rPr>
        <w:t xml:space="preserve">de dos mil </w:t>
      </w:r>
      <w:r w:rsidR="00FA731F" w:rsidRPr="006E2F18">
        <w:rPr>
          <w:rFonts w:ascii="Arial" w:hAnsi="Arial" w:cs="Arial"/>
          <w:sz w:val="25"/>
          <w:szCs w:val="25"/>
          <w:lang w:val="es-MX"/>
        </w:rPr>
        <w:t>dieci</w:t>
      </w:r>
      <w:r w:rsidR="009C621C" w:rsidRPr="006E2F18">
        <w:rPr>
          <w:rFonts w:ascii="Arial" w:hAnsi="Arial" w:cs="Arial"/>
          <w:sz w:val="25"/>
          <w:szCs w:val="25"/>
          <w:lang w:val="es-MX"/>
        </w:rPr>
        <w:t>ocho</w:t>
      </w:r>
      <w:r w:rsidR="00A11375" w:rsidRPr="006E2F18">
        <w:rPr>
          <w:rFonts w:ascii="Arial" w:hAnsi="Arial" w:cs="Arial"/>
          <w:sz w:val="25"/>
          <w:szCs w:val="25"/>
          <w:lang w:val="es-MX"/>
        </w:rPr>
        <w:t xml:space="preserve"> </w:t>
      </w:r>
      <w:r w:rsidR="00183229" w:rsidRPr="006E2F18">
        <w:rPr>
          <w:rFonts w:ascii="Arial" w:hAnsi="Arial" w:cs="Arial"/>
          <w:sz w:val="25"/>
          <w:szCs w:val="25"/>
          <w:lang w:val="es-MX"/>
        </w:rPr>
        <w:t>(</w:t>
      </w:r>
      <w:r w:rsidR="009C621C" w:rsidRPr="006E2F18">
        <w:rPr>
          <w:rFonts w:ascii="Arial" w:hAnsi="Arial" w:cs="Arial"/>
          <w:sz w:val="25"/>
          <w:szCs w:val="25"/>
          <w:lang w:val="es-MX"/>
        </w:rPr>
        <w:t>09</w:t>
      </w:r>
      <w:r w:rsidR="00CA3565" w:rsidRPr="006E2F18">
        <w:rPr>
          <w:rFonts w:ascii="Arial" w:hAnsi="Arial" w:cs="Arial"/>
          <w:sz w:val="25"/>
          <w:szCs w:val="25"/>
          <w:lang w:val="es-MX"/>
        </w:rPr>
        <w:t>/</w:t>
      </w:r>
      <w:r w:rsidR="009C621C" w:rsidRPr="006E2F18">
        <w:rPr>
          <w:rFonts w:ascii="Arial" w:hAnsi="Arial" w:cs="Arial"/>
          <w:sz w:val="25"/>
          <w:szCs w:val="25"/>
          <w:lang w:val="es-MX"/>
        </w:rPr>
        <w:t>01</w:t>
      </w:r>
      <w:r w:rsidR="00CA3565" w:rsidRPr="006E2F18">
        <w:rPr>
          <w:rFonts w:ascii="Arial" w:hAnsi="Arial" w:cs="Arial"/>
          <w:sz w:val="25"/>
          <w:szCs w:val="25"/>
          <w:lang w:val="es-MX"/>
        </w:rPr>
        <w:t>/</w:t>
      </w:r>
      <w:r w:rsidR="00FA731F" w:rsidRPr="006E2F18">
        <w:rPr>
          <w:rFonts w:ascii="Arial" w:hAnsi="Arial" w:cs="Arial"/>
          <w:sz w:val="25"/>
          <w:szCs w:val="25"/>
          <w:lang w:val="es-MX"/>
        </w:rPr>
        <w:t>201</w:t>
      </w:r>
      <w:r w:rsidR="009C621C" w:rsidRPr="006E2F18">
        <w:rPr>
          <w:rFonts w:ascii="Arial" w:hAnsi="Arial" w:cs="Arial"/>
          <w:sz w:val="25"/>
          <w:szCs w:val="25"/>
          <w:lang w:val="es-MX"/>
        </w:rPr>
        <w:t>8</w:t>
      </w:r>
      <w:r w:rsidR="00571381" w:rsidRPr="006E2F18">
        <w:rPr>
          <w:rFonts w:ascii="Arial" w:hAnsi="Arial" w:cs="Arial"/>
          <w:sz w:val="25"/>
          <w:szCs w:val="25"/>
          <w:lang w:val="es-MX"/>
        </w:rPr>
        <w:t>)</w:t>
      </w:r>
      <w:r w:rsidR="00A87F63" w:rsidRPr="006E2F18">
        <w:rPr>
          <w:rFonts w:ascii="Arial" w:hAnsi="Arial" w:cs="Arial"/>
          <w:sz w:val="25"/>
          <w:szCs w:val="25"/>
          <w:lang w:val="es-MX"/>
        </w:rPr>
        <w:t>, e</w:t>
      </w:r>
      <w:r w:rsidR="002404AD" w:rsidRPr="006E2F18">
        <w:rPr>
          <w:rFonts w:ascii="Arial" w:hAnsi="Arial" w:cs="Arial"/>
          <w:sz w:val="25"/>
          <w:szCs w:val="25"/>
        </w:rPr>
        <w:t>n la Oficialía de P</w:t>
      </w:r>
      <w:r w:rsidR="003F116C" w:rsidRPr="006E2F18">
        <w:rPr>
          <w:rFonts w:ascii="Arial" w:hAnsi="Arial" w:cs="Arial"/>
          <w:sz w:val="25"/>
          <w:szCs w:val="25"/>
        </w:rPr>
        <w:t>artes de</w:t>
      </w:r>
      <w:r w:rsidR="00F065C5" w:rsidRPr="006E2F18">
        <w:rPr>
          <w:rFonts w:ascii="Arial" w:hAnsi="Arial" w:cs="Arial"/>
          <w:sz w:val="25"/>
          <w:szCs w:val="25"/>
        </w:rPr>
        <w:t>l extinto</w:t>
      </w:r>
      <w:r w:rsidR="009C621C" w:rsidRPr="006E2F18">
        <w:rPr>
          <w:rFonts w:ascii="Arial" w:hAnsi="Arial" w:cs="Arial"/>
          <w:sz w:val="25"/>
          <w:szCs w:val="25"/>
        </w:rPr>
        <w:t xml:space="preserve"> Tribunal de lo Contencioso Administrativo y de Cuentas del Poder Judicial del Estado de Oaxaca</w:t>
      </w:r>
      <w:r w:rsidR="00FA731F" w:rsidRPr="006E2F18">
        <w:rPr>
          <w:rFonts w:ascii="Arial" w:hAnsi="Arial" w:cs="Arial"/>
          <w:sz w:val="25"/>
          <w:szCs w:val="25"/>
        </w:rPr>
        <w:t>,</w:t>
      </w:r>
      <w:r w:rsidR="003F116C" w:rsidRPr="006E2F18">
        <w:rPr>
          <w:rFonts w:ascii="Arial" w:hAnsi="Arial" w:cs="Arial"/>
          <w:sz w:val="25"/>
          <w:szCs w:val="25"/>
        </w:rPr>
        <w:t xml:space="preserve"> </w:t>
      </w:r>
      <w:r w:rsidR="00A87F63" w:rsidRPr="006E2F18">
        <w:rPr>
          <w:rFonts w:ascii="Arial" w:hAnsi="Arial" w:cs="Arial"/>
          <w:sz w:val="25"/>
          <w:szCs w:val="25"/>
        </w:rPr>
        <w:t xml:space="preserve"> </w:t>
      </w:r>
      <w:r w:rsidR="00A87F63" w:rsidRPr="006E2F18">
        <w:rPr>
          <w:rFonts w:ascii="Arial" w:hAnsi="Arial" w:cs="Arial"/>
          <w:bCs/>
          <w:sz w:val="25"/>
          <w:szCs w:val="25"/>
          <w:lang w:val="es-MX"/>
        </w:rPr>
        <w:t>por su propio derecho</w:t>
      </w:r>
      <w:r w:rsidR="00A87F63" w:rsidRPr="006E2F18">
        <w:rPr>
          <w:rFonts w:ascii="Arial" w:hAnsi="Arial" w:cs="Arial"/>
          <w:sz w:val="25"/>
          <w:szCs w:val="25"/>
        </w:rPr>
        <w:t xml:space="preserve"> demandó la nulidad</w:t>
      </w:r>
      <w:r w:rsidR="009C621C" w:rsidRPr="006E2F18">
        <w:rPr>
          <w:rFonts w:ascii="Arial" w:hAnsi="Arial" w:cs="Arial"/>
          <w:sz w:val="25"/>
          <w:szCs w:val="25"/>
        </w:rPr>
        <w:t xml:space="preserve"> en contra de la resolución de fecha veintisiete de noviembre de dos mil diecisiete (27/11/2017), deriva del expediente administrativo número SSP/CEDP/CCP/031/2016, dictada por la COMISIÓN DE CARRERA POLICIAL DEL CONSEJO ESTATAL DE DESARROLLO POLICIAL, por lo que en esa misma fecha se dio cuenta del escrito del actor del cual se advirtió que el accion</w:t>
      </w:r>
      <w:r w:rsidR="00AF7D1D" w:rsidRPr="006E2F18">
        <w:rPr>
          <w:rFonts w:ascii="Arial" w:hAnsi="Arial" w:cs="Arial"/>
          <w:sz w:val="25"/>
          <w:szCs w:val="25"/>
        </w:rPr>
        <w:t>ante</w:t>
      </w:r>
      <w:r w:rsidR="009C621C" w:rsidRPr="006E2F18">
        <w:rPr>
          <w:rFonts w:ascii="Arial" w:hAnsi="Arial" w:cs="Arial"/>
          <w:sz w:val="25"/>
          <w:szCs w:val="25"/>
        </w:rPr>
        <w:t xml:space="preserve"> pretendió demandar a la Comisión de Carrera Policial del Consejo Estatal de Desarrollo Policial de la Secretaría de Seguridad Pública del Estado</w:t>
      </w:r>
      <w:r w:rsidR="00356012" w:rsidRPr="006E2F18">
        <w:rPr>
          <w:rFonts w:ascii="Arial" w:hAnsi="Arial" w:cs="Arial"/>
          <w:sz w:val="25"/>
          <w:szCs w:val="25"/>
        </w:rPr>
        <w:t>, Jefe del Departamento de Personal, Titular del Departamento de Pagaduría ambos de la Policía Estatal y a la Directora de Recursos Humanos de la Oficialía Mayor de la Secretaría de Seguridad Pública, sin embargo de la lectura de la misma se advirtió que el Jefe del Departamento de Personal, Titular del Departamento de Pagaduría así como la Directora de Recursos Humanos de la Oficialía Mayor de la Secretaría de Seguridad Pública no dictaron, ordenaron, ejecutaron o trataron de ejecutar el acto impugnado, en consecuencia, se desech</w:t>
      </w:r>
      <w:r w:rsidR="00AF7D1D" w:rsidRPr="006E2F18">
        <w:rPr>
          <w:rFonts w:ascii="Arial" w:hAnsi="Arial" w:cs="Arial"/>
          <w:sz w:val="25"/>
          <w:szCs w:val="25"/>
        </w:rPr>
        <w:t>ó</w:t>
      </w:r>
      <w:r w:rsidR="00356012" w:rsidRPr="006E2F18">
        <w:rPr>
          <w:rFonts w:ascii="Arial" w:hAnsi="Arial" w:cs="Arial"/>
          <w:sz w:val="25"/>
          <w:szCs w:val="25"/>
        </w:rPr>
        <w:t xml:space="preserve"> la demanda planteada respecto a las autoridades citadas con antelación.</w:t>
      </w:r>
      <w:r w:rsidR="00AF7D1D" w:rsidRPr="006E2F18">
        <w:rPr>
          <w:rFonts w:ascii="Arial" w:hAnsi="Arial" w:cs="Arial"/>
          <w:sz w:val="25"/>
          <w:szCs w:val="25"/>
        </w:rPr>
        <w:t>- - - - - - -</w:t>
      </w:r>
      <w:r w:rsidR="00A717D9" w:rsidRPr="006E2F18">
        <w:rPr>
          <w:rFonts w:ascii="Arial" w:hAnsi="Arial" w:cs="Arial"/>
          <w:sz w:val="25"/>
          <w:szCs w:val="25"/>
        </w:rPr>
        <w:t xml:space="preserve">- - - - - - - - - - - - - - - </w:t>
      </w:r>
    </w:p>
    <w:p w:rsidR="00356012" w:rsidRPr="006E2F18" w:rsidRDefault="00356012" w:rsidP="00DF0277">
      <w:pPr>
        <w:spacing w:line="360" w:lineRule="auto"/>
        <w:jc w:val="both"/>
        <w:rPr>
          <w:rFonts w:ascii="Arial" w:hAnsi="Arial" w:cs="Arial"/>
          <w:sz w:val="25"/>
          <w:szCs w:val="25"/>
        </w:rPr>
      </w:pPr>
      <w:r w:rsidRPr="006E2F18">
        <w:rPr>
          <w:rFonts w:ascii="Arial" w:hAnsi="Arial" w:cs="Arial"/>
          <w:sz w:val="25"/>
          <w:szCs w:val="25"/>
        </w:rPr>
        <w:t xml:space="preserve">         </w:t>
      </w:r>
      <w:r w:rsidR="00AF7D1D" w:rsidRPr="006E2F18">
        <w:rPr>
          <w:rFonts w:ascii="Arial" w:hAnsi="Arial" w:cs="Arial"/>
          <w:sz w:val="25"/>
          <w:szCs w:val="25"/>
        </w:rPr>
        <w:t>Por otro lado</w:t>
      </w:r>
      <w:r w:rsidRPr="006E2F18">
        <w:rPr>
          <w:rFonts w:ascii="Arial" w:hAnsi="Arial" w:cs="Arial"/>
          <w:sz w:val="25"/>
          <w:szCs w:val="25"/>
        </w:rPr>
        <w:t xml:space="preserve">, </w:t>
      </w:r>
      <w:r w:rsidR="003516F3" w:rsidRPr="006E2F18">
        <w:rPr>
          <w:rFonts w:ascii="Arial" w:hAnsi="Arial" w:cs="Arial"/>
          <w:sz w:val="25"/>
          <w:szCs w:val="25"/>
        </w:rPr>
        <w:t xml:space="preserve">se admitió a </w:t>
      </w:r>
      <w:r w:rsidR="00AF7D1D" w:rsidRPr="006E2F18">
        <w:rPr>
          <w:rFonts w:ascii="Arial" w:hAnsi="Arial" w:cs="Arial"/>
          <w:sz w:val="25"/>
          <w:szCs w:val="25"/>
        </w:rPr>
        <w:t>trámite</w:t>
      </w:r>
      <w:r w:rsidR="003516F3" w:rsidRPr="006E2F18">
        <w:rPr>
          <w:rFonts w:ascii="Arial" w:hAnsi="Arial" w:cs="Arial"/>
          <w:sz w:val="25"/>
          <w:szCs w:val="25"/>
        </w:rPr>
        <w:t xml:space="preserve"> la demanda interpuesta, ordenándose notificar, correr traslado</w:t>
      </w:r>
      <w:r w:rsidR="00AF7D1D" w:rsidRPr="006E2F18">
        <w:rPr>
          <w:rFonts w:ascii="Arial" w:hAnsi="Arial" w:cs="Arial"/>
          <w:sz w:val="25"/>
          <w:szCs w:val="25"/>
        </w:rPr>
        <w:t>,</w:t>
      </w:r>
      <w:r w:rsidR="003516F3" w:rsidRPr="006E2F18">
        <w:rPr>
          <w:rFonts w:ascii="Arial" w:hAnsi="Arial" w:cs="Arial"/>
          <w:sz w:val="25"/>
          <w:szCs w:val="25"/>
        </w:rPr>
        <w:t xml:space="preserve"> emplazar y apercibir a la autoridad demandada </w:t>
      </w:r>
      <w:r w:rsidRPr="006E2F18">
        <w:rPr>
          <w:rFonts w:ascii="Arial" w:hAnsi="Arial" w:cs="Arial"/>
          <w:b/>
          <w:sz w:val="25"/>
          <w:szCs w:val="25"/>
        </w:rPr>
        <w:t>COMISIÓN DE CARRERA POLICIAL DEL CONSEJO ESTATAL DE DESARROLLO POLICIAL DE LA SECRETARÍA DE SEGURIDAD PÚBLICA DEL ESTADO DE OAXACA</w:t>
      </w:r>
      <w:r w:rsidRPr="006E2F18">
        <w:rPr>
          <w:rFonts w:ascii="Arial" w:hAnsi="Arial" w:cs="Arial"/>
          <w:sz w:val="25"/>
          <w:szCs w:val="25"/>
        </w:rPr>
        <w:t xml:space="preserve">, </w:t>
      </w:r>
      <w:r w:rsidR="003516F3" w:rsidRPr="006E2F18">
        <w:rPr>
          <w:rFonts w:ascii="Arial" w:hAnsi="Arial" w:cs="Arial"/>
          <w:sz w:val="25"/>
          <w:szCs w:val="25"/>
        </w:rPr>
        <w:t>para que produjera su contestación en los términos de ley.</w:t>
      </w:r>
      <w:r w:rsidRPr="006E2F18">
        <w:rPr>
          <w:rFonts w:ascii="Arial" w:hAnsi="Arial" w:cs="Arial"/>
          <w:sz w:val="25"/>
          <w:szCs w:val="25"/>
        </w:rPr>
        <w:t xml:space="preserve">- - - - - - - - - - - - - - - - - - - - - - - - - - - - - - - - - - - - - - - - - - - - - - </w:t>
      </w:r>
    </w:p>
    <w:p w:rsidR="002448FB" w:rsidRPr="006E2F18" w:rsidRDefault="00DF0277" w:rsidP="00DF0277">
      <w:pPr>
        <w:spacing w:line="360" w:lineRule="auto"/>
        <w:jc w:val="both"/>
        <w:rPr>
          <w:rFonts w:ascii="Arial" w:hAnsi="Arial" w:cs="Arial"/>
          <w:sz w:val="25"/>
          <w:szCs w:val="25"/>
        </w:rPr>
      </w:pPr>
      <w:r w:rsidRPr="006E2F18">
        <w:rPr>
          <w:rFonts w:ascii="Arial" w:hAnsi="Arial" w:cs="Arial"/>
          <w:sz w:val="25"/>
          <w:szCs w:val="25"/>
        </w:rPr>
        <w:t xml:space="preserve">       </w:t>
      </w:r>
      <w:r w:rsidR="00731ED9" w:rsidRPr="006E2F18">
        <w:rPr>
          <w:rFonts w:ascii="Arial" w:hAnsi="Arial" w:cs="Arial"/>
          <w:sz w:val="25"/>
          <w:szCs w:val="25"/>
        </w:rPr>
        <w:t xml:space="preserve"> </w:t>
      </w:r>
      <w:r w:rsidR="002448FB" w:rsidRPr="006E2F18">
        <w:rPr>
          <w:rFonts w:ascii="Arial" w:hAnsi="Arial" w:cs="Arial"/>
          <w:b/>
          <w:sz w:val="25"/>
          <w:szCs w:val="25"/>
        </w:rPr>
        <w:t>SEGUNDO</w:t>
      </w:r>
      <w:r w:rsidRPr="006E2F18">
        <w:rPr>
          <w:rFonts w:ascii="Arial" w:hAnsi="Arial" w:cs="Arial"/>
          <w:b/>
          <w:sz w:val="25"/>
          <w:szCs w:val="25"/>
        </w:rPr>
        <w:t xml:space="preserve">.- </w:t>
      </w:r>
      <w:r w:rsidRPr="006E2F18">
        <w:rPr>
          <w:rFonts w:ascii="Arial" w:hAnsi="Arial" w:cs="Arial"/>
          <w:sz w:val="25"/>
          <w:szCs w:val="25"/>
        </w:rPr>
        <w:t>Mediante proveíd</w:t>
      </w:r>
      <w:r w:rsidR="002E0C4A" w:rsidRPr="006E2F18">
        <w:rPr>
          <w:rFonts w:ascii="Arial" w:hAnsi="Arial" w:cs="Arial"/>
          <w:sz w:val="25"/>
          <w:szCs w:val="25"/>
        </w:rPr>
        <w:t>o de f</w:t>
      </w:r>
      <w:r w:rsidR="00E43670" w:rsidRPr="006E2F18">
        <w:rPr>
          <w:rFonts w:ascii="Arial" w:hAnsi="Arial" w:cs="Arial"/>
          <w:sz w:val="25"/>
          <w:szCs w:val="25"/>
        </w:rPr>
        <w:t xml:space="preserve">echa </w:t>
      </w:r>
      <w:r w:rsidR="003666B2" w:rsidRPr="006E2F18">
        <w:rPr>
          <w:rFonts w:ascii="Arial" w:hAnsi="Arial" w:cs="Arial"/>
          <w:sz w:val="25"/>
          <w:szCs w:val="25"/>
        </w:rPr>
        <w:t>quince</w:t>
      </w:r>
      <w:r w:rsidR="003F116C" w:rsidRPr="006E2F18">
        <w:rPr>
          <w:rFonts w:ascii="Arial" w:hAnsi="Arial" w:cs="Arial"/>
          <w:sz w:val="25"/>
          <w:szCs w:val="25"/>
        </w:rPr>
        <w:t xml:space="preserve"> de </w:t>
      </w:r>
      <w:r w:rsidR="003666B2" w:rsidRPr="006E2F18">
        <w:rPr>
          <w:rFonts w:ascii="Arial" w:hAnsi="Arial" w:cs="Arial"/>
          <w:sz w:val="25"/>
          <w:szCs w:val="25"/>
        </w:rPr>
        <w:t>junio</w:t>
      </w:r>
      <w:r w:rsidRPr="006E2F18">
        <w:rPr>
          <w:rFonts w:ascii="Arial" w:hAnsi="Arial" w:cs="Arial"/>
          <w:sz w:val="25"/>
          <w:szCs w:val="25"/>
        </w:rPr>
        <w:t xml:space="preserve"> de dos mil dieci</w:t>
      </w:r>
      <w:r w:rsidR="00FA731F" w:rsidRPr="006E2F18">
        <w:rPr>
          <w:rFonts w:ascii="Arial" w:hAnsi="Arial" w:cs="Arial"/>
          <w:sz w:val="25"/>
          <w:szCs w:val="25"/>
        </w:rPr>
        <w:t>ocho</w:t>
      </w:r>
      <w:r w:rsidR="003666B2" w:rsidRPr="006E2F18">
        <w:rPr>
          <w:rFonts w:ascii="Arial" w:hAnsi="Arial" w:cs="Arial"/>
          <w:sz w:val="25"/>
          <w:szCs w:val="25"/>
        </w:rPr>
        <w:t xml:space="preserve"> (15/06/2018)</w:t>
      </w:r>
      <w:r w:rsidR="00FA731F" w:rsidRPr="006E2F18">
        <w:rPr>
          <w:rFonts w:ascii="Arial" w:hAnsi="Arial" w:cs="Arial"/>
          <w:sz w:val="25"/>
          <w:szCs w:val="25"/>
        </w:rPr>
        <w:t>,</w:t>
      </w:r>
      <w:r w:rsidR="002448FB" w:rsidRPr="006E2F18">
        <w:rPr>
          <w:rFonts w:ascii="Arial" w:hAnsi="Arial" w:cs="Arial"/>
          <w:sz w:val="25"/>
          <w:szCs w:val="25"/>
        </w:rPr>
        <w:t xml:space="preserve"> </w:t>
      </w:r>
      <w:r w:rsidR="00731ED9" w:rsidRPr="006E2F18">
        <w:rPr>
          <w:rFonts w:ascii="Arial" w:hAnsi="Arial" w:cs="Arial"/>
          <w:sz w:val="25"/>
          <w:szCs w:val="25"/>
        </w:rPr>
        <w:t>se tuvo a</w:t>
      </w:r>
      <w:r w:rsidR="003666B2" w:rsidRPr="006E2F18">
        <w:rPr>
          <w:rFonts w:ascii="Arial" w:hAnsi="Arial" w:cs="Arial"/>
          <w:sz w:val="25"/>
          <w:szCs w:val="25"/>
        </w:rPr>
        <w:t xml:space="preserve">l SECRETARIO DE ACUERDOS DE LA </w:t>
      </w:r>
      <w:r w:rsidR="003666B2" w:rsidRPr="006E2F18">
        <w:rPr>
          <w:rFonts w:ascii="Arial" w:hAnsi="Arial" w:cs="Arial"/>
          <w:sz w:val="25"/>
          <w:szCs w:val="25"/>
        </w:rPr>
        <w:lastRenderedPageBreak/>
        <w:t>COMISIÓN DE CARRERA POLICIAL DEL CONSEJO ESTATAL DE DESARROLLO POLICIAL DE LA SECRETARÍA DE SEGURIDAD PÚBLICA DEL ESTADO DE OAXACA</w:t>
      </w:r>
      <w:r w:rsidR="00731ED9" w:rsidRPr="006E2F18">
        <w:rPr>
          <w:rFonts w:ascii="Arial" w:hAnsi="Arial" w:cs="Arial"/>
          <w:b/>
          <w:sz w:val="25"/>
          <w:szCs w:val="25"/>
        </w:rPr>
        <w:t xml:space="preserve">, </w:t>
      </w:r>
      <w:r w:rsidR="00731ED9" w:rsidRPr="006E2F18">
        <w:rPr>
          <w:rFonts w:ascii="Arial" w:hAnsi="Arial" w:cs="Arial"/>
          <w:sz w:val="25"/>
          <w:szCs w:val="25"/>
        </w:rPr>
        <w:t>contestando la demanda en tiempo y forma, por último se señalo fecha y hora para la celebración de la audiencia final. - - - - - -</w:t>
      </w:r>
      <w:r w:rsidR="003666B2" w:rsidRPr="006E2F18">
        <w:rPr>
          <w:rFonts w:ascii="Arial" w:hAnsi="Arial" w:cs="Arial"/>
          <w:sz w:val="25"/>
          <w:szCs w:val="25"/>
        </w:rPr>
        <w:t xml:space="preserve"> </w:t>
      </w:r>
    </w:p>
    <w:p w:rsidR="00433F89" w:rsidRPr="006E2F18" w:rsidRDefault="00D36723" w:rsidP="005D7BDC">
      <w:pPr>
        <w:spacing w:line="360" w:lineRule="auto"/>
        <w:jc w:val="both"/>
        <w:rPr>
          <w:rFonts w:ascii="Arial" w:hAnsi="Arial" w:cs="Arial"/>
          <w:sz w:val="25"/>
          <w:szCs w:val="25"/>
        </w:rPr>
      </w:pPr>
      <w:r w:rsidRPr="006E2F18">
        <w:rPr>
          <w:rFonts w:ascii="Arial" w:hAnsi="Arial" w:cs="Arial"/>
          <w:sz w:val="25"/>
          <w:szCs w:val="25"/>
        </w:rPr>
        <w:t xml:space="preserve">       </w:t>
      </w:r>
      <w:r w:rsidRPr="006E2F18">
        <w:rPr>
          <w:rFonts w:ascii="Arial" w:hAnsi="Arial" w:cs="Arial"/>
          <w:b/>
          <w:sz w:val="25"/>
          <w:szCs w:val="25"/>
        </w:rPr>
        <w:t xml:space="preserve">TERCERO.- </w:t>
      </w:r>
      <w:r w:rsidR="00AE0C06" w:rsidRPr="006E2F18">
        <w:rPr>
          <w:rFonts w:ascii="Arial" w:hAnsi="Arial" w:cs="Arial"/>
          <w:sz w:val="25"/>
          <w:szCs w:val="25"/>
        </w:rPr>
        <w:t>El día</w:t>
      </w:r>
      <w:r w:rsidRPr="006E2F18">
        <w:rPr>
          <w:rFonts w:ascii="Arial" w:hAnsi="Arial" w:cs="Arial"/>
          <w:b/>
          <w:sz w:val="25"/>
          <w:szCs w:val="25"/>
        </w:rPr>
        <w:t xml:space="preserve"> </w:t>
      </w:r>
      <w:r w:rsidR="00AE0C06" w:rsidRPr="006E2F18">
        <w:rPr>
          <w:rFonts w:ascii="Arial" w:hAnsi="Arial" w:cs="Arial"/>
          <w:b/>
          <w:sz w:val="25"/>
          <w:szCs w:val="25"/>
        </w:rPr>
        <w:t>uno de octubre de dos mil dieciocho</w:t>
      </w:r>
      <w:r w:rsidR="00E066A3" w:rsidRPr="006E2F18">
        <w:rPr>
          <w:rFonts w:ascii="Arial" w:hAnsi="Arial" w:cs="Arial"/>
          <w:b/>
          <w:sz w:val="25"/>
          <w:szCs w:val="25"/>
        </w:rPr>
        <w:t>,</w:t>
      </w:r>
      <w:r w:rsidR="00EC301E" w:rsidRPr="006E2F18">
        <w:rPr>
          <w:rFonts w:ascii="Arial" w:hAnsi="Arial" w:cs="Arial"/>
          <w:sz w:val="25"/>
          <w:szCs w:val="25"/>
        </w:rPr>
        <w:t xml:space="preserve"> </w:t>
      </w:r>
      <w:r w:rsidR="00DF0277" w:rsidRPr="006E2F18">
        <w:rPr>
          <w:rFonts w:ascii="Arial" w:hAnsi="Arial" w:cs="Arial"/>
          <w:sz w:val="25"/>
          <w:szCs w:val="25"/>
        </w:rPr>
        <w:t>se llevó a cabo la Audiencia de Ley, en la que no se presentaron las partes, ni persona alguna que legalment</w:t>
      </w:r>
      <w:r w:rsidR="00E066A3" w:rsidRPr="006E2F18">
        <w:rPr>
          <w:rFonts w:ascii="Arial" w:hAnsi="Arial" w:cs="Arial"/>
          <w:sz w:val="25"/>
          <w:szCs w:val="25"/>
        </w:rPr>
        <w:t>e las representara, asentando el Secretario</w:t>
      </w:r>
      <w:r w:rsidR="00DF0277" w:rsidRPr="006E2F18">
        <w:rPr>
          <w:rFonts w:ascii="Arial" w:hAnsi="Arial" w:cs="Arial"/>
          <w:sz w:val="25"/>
          <w:szCs w:val="25"/>
        </w:rPr>
        <w:t xml:space="preserve"> de Acuerdos, </w:t>
      </w:r>
      <w:r w:rsidR="00CF7303" w:rsidRPr="006E2F18">
        <w:rPr>
          <w:rFonts w:ascii="Arial" w:hAnsi="Arial" w:cs="Arial"/>
          <w:sz w:val="25"/>
          <w:szCs w:val="25"/>
        </w:rPr>
        <w:t>que</w:t>
      </w:r>
      <w:r w:rsidR="009B1F4C" w:rsidRPr="006E2F18">
        <w:rPr>
          <w:rFonts w:ascii="Arial" w:hAnsi="Arial" w:cs="Arial"/>
          <w:sz w:val="25"/>
          <w:szCs w:val="25"/>
        </w:rPr>
        <w:t xml:space="preserve"> </w:t>
      </w:r>
      <w:r w:rsidR="003666B2" w:rsidRPr="006E2F18">
        <w:rPr>
          <w:rFonts w:ascii="Arial" w:hAnsi="Arial" w:cs="Arial"/>
          <w:sz w:val="25"/>
          <w:szCs w:val="25"/>
        </w:rPr>
        <w:t>ambas partes</w:t>
      </w:r>
      <w:r w:rsidR="009B1F4C" w:rsidRPr="006E2F18">
        <w:rPr>
          <w:rFonts w:ascii="Arial" w:hAnsi="Arial" w:cs="Arial"/>
          <w:sz w:val="25"/>
          <w:szCs w:val="25"/>
        </w:rPr>
        <w:t xml:space="preserve"> </w:t>
      </w:r>
      <w:r w:rsidR="00D65191" w:rsidRPr="006E2F18">
        <w:rPr>
          <w:rFonts w:ascii="Arial" w:hAnsi="Arial" w:cs="Arial"/>
          <w:sz w:val="25"/>
          <w:szCs w:val="25"/>
        </w:rPr>
        <w:t>formul</w:t>
      </w:r>
      <w:r w:rsidR="003666B2" w:rsidRPr="006E2F18">
        <w:rPr>
          <w:rFonts w:ascii="Arial" w:hAnsi="Arial" w:cs="Arial"/>
          <w:sz w:val="25"/>
          <w:szCs w:val="25"/>
        </w:rPr>
        <w:t>aron</w:t>
      </w:r>
      <w:r w:rsidR="00D65191" w:rsidRPr="006E2F18">
        <w:rPr>
          <w:rFonts w:ascii="Arial" w:hAnsi="Arial" w:cs="Arial"/>
          <w:sz w:val="25"/>
          <w:szCs w:val="25"/>
        </w:rPr>
        <w:t xml:space="preserve"> alegatos</w:t>
      </w:r>
      <w:r w:rsidR="00AF7D1D" w:rsidRPr="006E2F18">
        <w:rPr>
          <w:rFonts w:ascii="Arial" w:hAnsi="Arial" w:cs="Arial"/>
          <w:sz w:val="25"/>
          <w:szCs w:val="25"/>
        </w:rPr>
        <w:t xml:space="preserve"> a su favor,</w:t>
      </w:r>
      <w:r w:rsidR="00DF0277" w:rsidRPr="006E2F18">
        <w:rPr>
          <w:rFonts w:ascii="Arial" w:hAnsi="Arial" w:cs="Arial"/>
          <w:sz w:val="25"/>
          <w:szCs w:val="25"/>
        </w:rPr>
        <w:t xml:space="preserve"> por lo que se citó a las partes oír sentencia dentro del término de ley</w:t>
      </w:r>
      <w:r w:rsidR="00AF7D1D" w:rsidRPr="006E2F18">
        <w:rPr>
          <w:rFonts w:ascii="Arial" w:hAnsi="Arial" w:cs="Arial"/>
          <w:sz w:val="25"/>
          <w:szCs w:val="25"/>
        </w:rPr>
        <w:t>, y:</w:t>
      </w:r>
      <w:r w:rsidR="00DF0277" w:rsidRPr="006E2F18">
        <w:rPr>
          <w:rFonts w:ascii="Arial" w:hAnsi="Arial" w:cs="Arial"/>
          <w:sz w:val="25"/>
          <w:szCs w:val="25"/>
        </w:rPr>
        <w:t xml:space="preserve">- - - </w:t>
      </w:r>
      <w:r w:rsidR="002B3E62" w:rsidRPr="006E2F18">
        <w:rPr>
          <w:rFonts w:ascii="Arial" w:hAnsi="Arial" w:cs="Arial"/>
          <w:sz w:val="25"/>
          <w:szCs w:val="25"/>
        </w:rPr>
        <w:t>-</w:t>
      </w:r>
      <w:r w:rsidR="00AE0C06" w:rsidRPr="006E2F18">
        <w:rPr>
          <w:rFonts w:ascii="Arial" w:hAnsi="Arial" w:cs="Arial"/>
          <w:sz w:val="25"/>
          <w:szCs w:val="25"/>
        </w:rPr>
        <w:t xml:space="preserve"> - - - - - - - - - - - - - - - - - - - - - - - - - - </w:t>
      </w:r>
    </w:p>
    <w:p w:rsidR="00DF0277" w:rsidRPr="006E2F18" w:rsidRDefault="00DF0277" w:rsidP="00AF7D1D">
      <w:pPr>
        <w:spacing w:line="360" w:lineRule="auto"/>
        <w:jc w:val="center"/>
        <w:rPr>
          <w:rFonts w:ascii="Arial" w:hAnsi="Arial" w:cs="Arial"/>
          <w:b/>
          <w:spacing w:val="-3"/>
          <w:sz w:val="25"/>
          <w:szCs w:val="25"/>
          <w:lang w:val="es-ES_tradnl"/>
        </w:rPr>
      </w:pPr>
      <w:r w:rsidRPr="006E2F18">
        <w:rPr>
          <w:rFonts w:ascii="Arial" w:hAnsi="Arial" w:cs="Arial"/>
          <w:b/>
          <w:spacing w:val="-3"/>
          <w:sz w:val="25"/>
          <w:szCs w:val="25"/>
          <w:lang w:val="es-ES_tradnl"/>
        </w:rPr>
        <w:t>C O N S I D E R A N D O:</w:t>
      </w:r>
    </w:p>
    <w:p w:rsidR="00301CB4" w:rsidRPr="006E2F18" w:rsidRDefault="00DF0277" w:rsidP="00301CB4">
      <w:pPr>
        <w:spacing w:line="360" w:lineRule="auto"/>
        <w:jc w:val="both"/>
        <w:rPr>
          <w:rFonts w:ascii="Arial" w:hAnsi="Arial" w:cs="Arial"/>
          <w:sz w:val="25"/>
          <w:szCs w:val="25"/>
        </w:rPr>
      </w:pPr>
      <w:r w:rsidRPr="006E2F18">
        <w:rPr>
          <w:rFonts w:ascii="Arial" w:hAnsi="Arial" w:cs="Arial"/>
          <w:b/>
          <w:sz w:val="25"/>
          <w:szCs w:val="25"/>
          <w:lang w:val="es-ES_tradnl"/>
        </w:rPr>
        <w:tab/>
      </w:r>
      <w:r w:rsidRPr="006E2F18">
        <w:rPr>
          <w:rFonts w:ascii="Arial" w:hAnsi="Arial" w:cs="Arial"/>
          <w:b/>
          <w:sz w:val="25"/>
          <w:szCs w:val="25"/>
        </w:rPr>
        <w:t>PRIMERO.-</w:t>
      </w:r>
      <w:r w:rsidR="00E066A3" w:rsidRPr="006E2F18">
        <w:rPr>
          <w:rFonts w:ascii="Arial" w:hAnsi="Arial" w:cs="Arial"/>
          <w:sz w:val="25"/>
          <w:szCs w:val="25"/>
        </w:rPr>
        <w:t xml:space="preserve"> Esta Primera Sala Unitaria de Primera Instancia del Tribunal de Justicia Administrativa del Estado de Oaxaca, es competente para conocer y resolver el presente juicio, con fundamento en el artículo 114 QUATER de la Constitución Política del Estado Libre y Soberano de Oaxaca, así como en términos de los artículos 119, 120 fracción I, 123, 124, 132 fracción I y II, 133, 146 y 147 de la Ley de Procedimiento y Justicia Administrativa para el Estado de Oaxaca. -</w:t>
      </w:r>
      <w:r w:rsidR="00191952" w:rsidRPr="006E2F18">
        <w:rPr>
          <w:rFonts w:ascii="Arial" w:hAnsi="Arial" w:cs="Arial"/>
          <w:sz w:val="25"/>
          <w:szCs w:val="25"/>
        </w:rPr>
        <w:t xml:space="preserve"> - - - - - - - - - - - -</w:t>
      </w:r>
      <w:r w:rsidR="00D538C0" w:rsidRPr="006E2F18">
        <w:rPr>
          <w:rFonts w:ascii="Arial" w:hAnsi="Arial" w:cs="Arial"/>
          <w:sz w:val="25"/>
          <w:szCs w:val="25"/>
        </w:rPr>
        <w:t xml:space="preserve"> </w:t>
      </w:r>
      <w:r w:rsidR="00072B3A" w:rsidRPr="006E2F18">
        <w:rPr>
          <w:rFonts w:ascii="Arial" w:hAnsi="Arial" w:cs="Arial"/>
          <w:sz w:val="25"/>
          <w:szCs w:val="25"/>
        </w:rPr>
        <w:t xml:space="preserve">- - - - - - - - - - - - - - - - - - - - - - - - - - - - - - - - - - - - </w:t>
      </w:r>
    </w:p>
    <w:p w:rsidR="006C2A48" w:rsidRPr="006E2F18" w:rsidRDefault="006E2F18" w:rsidP="006C2A48">
      <w:pPr>
        <w:spacing w:line="360" w:lineRule="auto"/>
        <w:ind w:right="51"/>
        <w:jc w:val="both"/>
        <w:rPr>
          <w:rFonts w:ascii="Arial" w:hAnsi="Arial" w:cs="Arial"/>
          <w:sz w:val="25"/>
          <w:szCs w:val="25"/>
        </w:rPr>
      </w:pPr>
      <w:r>
        <w:rPr>
          <w:noProof/>
          <w:lang w:val="es-MX"/>
        </w:rPr>
        <mc:AlternateContent>
          <mc:Choice Requires="wps">
            <w:drawing>
              <wp:anchor distT="0" distB="0" distL="114300" distR="114300" simplePos="0" relativeHeight="251661312" behindDoc="0" locked="0" layoutInCell="1" allowOverlap="1">
                <wp:simplePos x="0" y="0"/>
                <wp:positionH relativeFrom="column">
                  <wp:posOffset>5700395</wp:posOffset>
                </wp:positionH>
                <wp:positionV relativeFrom="paragraph">
                  <wp:posOffset>43815</wp:posOffset>
                </wp:positionV>
                <wp:extent cx="1267460" cy="866775"/>
                <wp:effectExtent l="0" t="0" r="27940" b="28575"/>
                <wp:wrapNone/>
                <wp:docPr id="1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7460" cy="866775"/>
                        </a:xfrm>
                        <a:prstGeom prst="rect">
                          <a:avLst/>
                        </a:prstGeom>
                        <a:solidFill>
                          <a:srgbClr val="FFFFFF"/>
                        </a:solidFill>
                        <a:ln w="9525">
                          <a:solidFill>
                            <a:srgbClr val="000000"/>
                          </a:solidFill>
                          <a:miter lim="800000"/>
                          <a:headEnd/>
                          <a:tailEnd/>
                        </a:ln>
                      </wps:spPr>
                      <wps:txbx>
                        <w:txbxContent>
                          <w:p w:rsidR="006E2F18" w:rsidRPr="004E1E18" w:rsidRDefault="006E2F18" w:rsidP="006E2F18">
                            <w:pPr>
                              <w:rPr>
                                <w:lang w:val="es-MX"/>
                              </w:rPr>
                            </w:pPr>
                            <w:r w:rsidRPr="004E1E18">
                              <w:rPr>
                                <w:rFonts w:ascii="Arial" w:hAnsi="Arial" w:cs="Arial"/>
                                <w:lang w:val="es-MX"/>
                              </w:rPr>
                              <w:t>Datos personales protegidos por el Art 116 de la LGTAIP y el Art 56  de la LTAIPEO</w:t>
                            </w:r>
                            <w:r>
                              <w:rPr>
                                <w:lang w:val="es-MX"/>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448.85pt;margin-top:3.45pt;width:99.8pt;height:6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">
                <v:textbox>
                  <w:txbxContent>
                    <w:p w:rsidR="006E2F18" w:rsidRPr="004E1E18" w:rsidRDefault="006E2F18" w:rsidP="006E2F18">
                      <w:pPr>
                        <w:rPr>
                          <w:lang w:val="es-MX"/>
                        </w:rPr>
                      </w:pPr>
                      <w:r w:rsidRPr="004E1E18">
                        <w:rPr>
                          <w:rFonts w:ascii="Arial" w:hAnsi="Arial" w:cs="Arial"/>
                          <w:lang w:val="es-MX"/>
                        </w:rPr>
                        <w:t>Datos personales protegidos por el Art 116 de la LGTAIP y el Art 56  de la LTAIPEO</w:t>
                      </w:r>
                      <w:r>
                        <w:rPr>
                          <w:lang w:val="es-MX"/>
                        </w:rPr>
                        <w:t>.</w:t>
                      </w:r>
                    </w:p>
                  </w:txbxContent>
                </v:textbox>
              </v:shape>
            </w:pict>
          </mc:Fallback>
        </mc:AlternateContent>
      </w:r>
      <w:r w:rsidR="00E066A3" w:rsidRPr="006E2F18">
        <w:rPr>
          <w:rFonts w:ascii="Arial" w:hAnsi="Arial" w:cs="Arial"/>
          <w:b/>
          <w:snapToGrid w:val="0"/>
          <w:sz w:val="25"/>
          <w:szCs w:val="25"/>
        </w:rPr>
        <w:t xml:space="preserve">         </w:t>
      </w:r>
      <w:r w:rsidR="005D7BDC" w:rsidRPr="006E2F18">
        <w:rPr>
          <w:rFonts w:ascii="Arial" w:hAnsi="Arial" w:cs="Arial"/>
          <w:b/>
          <w:snapToGrid w:val="0"/>
          <w:sz w:val="25"/>
          <w:szCs w:val="25"/>
        </w:rPr>
        <w:t xml:space="preserve">SEGUNDO.- </w:t>
      </w:r>
      <w:r w:rsidR="00E066A3" w:rsidRPr="006E2F18">
        <w:rPr>
          <w:rFonts w:ascii="Arial" w:hAnsi="Arial" w:cs="Arial"/>
          <w:sz w:val="25"/>
          <w:szCs w:val="25"/>
        </w:rPr>
        <w:t xml:space="preserve">La personalidad de la actora y de la autoridad demandada quedaron acreditadas en términos de los artículos </w:t>
      </w:r>
      <w:r w:rsidR="00E066A3" w:rsidRPr="006E2F18">
        <w:rPr>
          <w:rFonts w:ascii="Arial" w:hAnsi="Arial" w:cs="Arial"/>
          <w:snapToGrid w:val="0"/>
          <w:sz w:val="25"/>
          <w:szCs w:val="25"/>
        </w:rPr>
        <w:t xml:space="preserve">148 y 151 de la Ley de Procedimiento y Justicia Administrativa para el Estado de Oaxaca, </w:t>
      </w:r>
      <w:r w:rsidR="00E066A3" w:rsidRPr="006E2F18">
        <w:rPr>
          <w:rFonts w:ascii="Arial" w:hAnsi="Arial" w:cs="Arial"/>
          <w:sz w:val="25"/>
          <w:szCs w:val="25"/>
        </w:rPr>
        <w:t>ya que la actora promu</w:t>
      </w:r>
      <w:r w:rsidR="00072B3A" w:rsidRPr="006E2F18">
        <w:rPr>
          <w:rFonts w:ascii="Arial" w:hAnsi="Arial" w:cs="Arial"/>
          <w:sz w:val="25"/>
          <w:szCs w:val="25"/>
        </w:rPr>
        <w:t>eve por su propio derecho y la a</w:t>
      </w:r>
      <w:r w:rsidR="00E066A3" w:rsidRPr="006E2F18">
        <w:rPr>
          <w:rFonts w:ascii="Arial" w:hAnsi="Arial" w:cs="Arial"/>
          <w:sz w:val="25"/>
          <w:szCs w:val="25"/>
        </w:rPr>
        <w:t>utoridad demandada exhibieron copia</w:t>
      </w:r>
      <w:r w:rsidR="00573E35" w:rsidRPr="006E2F18">
        <w:rPr>
          <w:rFonts w:ascii="Arial" w:hAnsi="Arial" w:cs="Arial"/>
          <w:sz w:val="25"/>
          <w:szCs w:val="25"/>
        </w:rPr>
        <w:t>s</w:t>
      </w:r>
      <w:r w:rsidR="00E066A3" w:rsidRPr="006E2F18">
        <w:rPr>
          <w:rFonts w:ascii="Arial" w:hAnsi="Arial" w:cs="Arial"/>
          <w:sz w:val="25"/>
          <w:szCs w:val="25"/>
        </w:rPr>
        <w:t xml:space="preserve"> debidamente certificada</w:t>
      </w:r>
      <w:r w:rsidR="00573E35" w:rsidRPr="006E2F18">
        <w:rPr>
          <w:rFonts w:ascii="Arial" w:hAnsi="Arial" w:cs="Arial"/>
          <w:sz w:val="25"/>
          <w:szCs w:val="25"/>
        </w:rPr>
        <w:t>s</w:t>
      </w:r>
      <w:r w:rsidR="00E066A3" w:rsidRPr="006E2F18">
        <w:rPr>
          <w:rFonts w:ascii="Arial" w:hAnsi="Arial" w:cs="Arial"/>
          <w:sz w:val="25"/>
          <w:szCs w:val="25"/>
        </w:rPr>
        <w:t xml:space="preserve"> de su nombramiento y protesta de ley, documentales que adquieren valor probatorio pleno en términos del artículo 203 fracción I, de la Ley que rige a este Tribunal. - - - - - - - - - - - - - - - - - - - - - - </w:t>
      </w:r>
    </w:p>
    <w:p w:rsidR="005D7BDC" w:rsidRPr="006E2F18" w:rsidRDefault="00E066A3" w:rsidP="00F14E49">
      <w:pPr>
        <w:spacing w:line="360" w:lineRule="auto"/>
        <w:jc w:val="both"/>
        <w:rPr>
          <w:rFonts w:ascii="Arial" w:hAnsi="Arial" w:cs="Arial"/>
          <w:sz w:val="25"/>
          <w:szCs w:val="25"/>
        </w:rPr>
      </w:pPr>
      <w:r w:rsidRPr="006E2F18">
        <w:rPr>
          <w:rFonts w:ascii="Arial" w:hAnsi="Arial" w:cs="Arial"/>
          <w:b/>
          <w:sz w:val="25"/>
          <w:szCs w:val="25"/>
          <w:lang w:val="es-ES_tradnl"/>
        </w:rPr>
        <w:t xml:space="preserve">        </w:t>
      </w:r>
      <w:r w:rsidR="006C2A48" w:rsidRPr="006E2F18">
        <w:rPr>
          <w:rFonts w:ascii="Arial" w:hAnsi="Arial" w:cs="Arial"/>
          <w:b/>
          <w:sz w:val="25"/>
          <w:szCs w:val="25"/>
          <w:lang w:val="es-ES_tradnl"/>
        </w:rPr>
        <w:t xml:space="preserve">TERCERO.- </w:t>
      </w:r>
      <w:r w:rsidR="006C2A48" w:rsidRPr="006E2F18">
        <w:rPr>
          <w:rFonts w:ascii="Arial" w:hAnsi="Arial" w:cs="Arial"/>
          <w:sz w:val="25"/>
          <w:szCs w:val="25"/>
          <w:lang w:val="es-ES_tradnl"/>
        </w:rPr>
        <w:t xml:space="preserve"> </w:t>
      </w:r>
      <w:r w:rsidRPr="006E2F18">
        <w:rPr>
          <w:rFonts w:ascii="Arial" w:hAnsi="Arial" w:cs="Arial"/>
          <w:sz w:val="25"/>
          <w:szCs w:val="25"/>
          <w:lang w:val="es-ES_tradnl"/>
        </w:rPr>
        <w:t>Previo estudio de fondo del asunto</w:t>
      </w:r>
      <w:r w:rsidR="00985B0F" w:rsidRPr="006E2F18">
        <w:rPr>
          <w:rFonts w:ascii="Arial" w:hAnsi="Arial" w:cs="Arial"/>
          <w:sz w:val="25"/>
          <w:szCs w:val="25"/>
          <w:lang w:val="es-ES_tradnl"/>
        </w:rPr>
        <w:t>, y por cuestión de método y técnica judicial,</w:t>
      </w:r>
      <w:r w:rsidRPr="006E2F18">
        <w:rPr>
          <w:rFonts w:ascii="Arial" w:hAnsi="Arial" w:cs="Arial"/>
          <w:sz w:val="25"/>
          <w:szCs w:val="25"/>
          <w:lang w:val="es-ES_tradnl"/>
        </w:rPr>
        <w:t xml:space="preserve"> se procede</w:t>
      </w:r>
      <w:r w:rsidR="00985B0F" w:rsidRPr="006E2F18">
        <w:rPr>
          <w:rFonts w:ascii="Arial" w:hAnsi="Arial" w:cs="Arial"/>
          <w:sz w:val="25"/>
          <w:szCs w:val="25"/>
          <w:lang w:val="es-ES_tradnl"/>
        </w:rPr>
        <w:t xml:space="preserve"> a</w:t>
      </w:r>
      <w:r w:rsidRPr="006E2F18">
        <w:rPr>
          <w:rFonts w:ascii="Arial" w:hAnsi="Arial" w:cs="Arial"/>
          <w:sz w:val="25"/>
          <w:szCs w:val="25"/>
          <w:lang w:val="es-ES_tradnl"/>
        </w:rPr>
        <w:t xml:space="preserve"> analizar, si en la especie se actualiza alguna causal de improcedencia del juicio de nulidad, que se advierta oficiosamente que impida la resolución del fondo del asunto y debiera declararse su sobreseimiento, en términos de los artículos 161 y 162 de la</w:t>
      </w:r>
      <w:r w:rsidRPr="006E2F18">
        <w:rPr>
          <w:rFonts w:ascii="Arial" w:hAnsi="Arial" w:cs="Arial"/>
          <w:sz w:val="25"/>
          <w:szCs w:val="25"/>
        </w:rPr>
        <w:t xml:space="preserve"> Ley de Procedimiento y Justicia Administrativa para el Estado de Oaxaca</w:t>
      </w:r>
      <w:r w:rsidRPr="006E2F18">
        <w:rPr>
          <w:rFonts w:ascii="Arial" w:hAnsi="Arial" w:cs="Arial"/>
          <w:sz w:val="25"/>
          <w:szCs w:val="25"/>
          <w:lang w:val="es-ES_tradnl"/>
        </w:rPr>
        <w:t xml:space="preserve">. Esta Primera Sala Unitaria de Primera Instancia del Tribunal de Justicia Administrativa para el Estado de Oaxaca, advierte que no se configura alguna causal de improcedencia o sobreseimiento por lo tanto, </w:t>
      </w:r>
      <w:r w:rsidRPr="006E2F18">
        <w:rPr>
          <w:rFonts w:ascii="Arial" w:hAnsi="Arial" w:cs="Arial"/>
          <w:b/>
          <w:sz w:val="25"/>
          <w:szCs w:val="25"/>
          <w:u w:val="single"/>
          <w:lang w:val="es-ES_tradnl"/>
        </w:rPr>
        <w:t>NO SE SOBRESEE EL PRESENTE JUICIO</w:t>
      </w:r>
      <w:r w:rsidRPr="006E2F18">
        <w:rPr>
          <w:rFonts w:ascii="Arial" w:hAnsi="Arial" w:cs="Arial"/>
          <w:sz w:val="25"/>
          <w:szCs w:val="25"/>
          <w:lang w:val="es-ES_tradnl"/>
        </w:rPr>
        <w:t xml:space="preserve">.- - - - </w:t>
      </w:r>
      <w:r w:rsidRPr="006E2F18">
        <w:rPr>
          <w:rFonts w:ascii="Arial" w:hAnsi="Arial" w:cs="Arial"/>
          <w:sz w:val="25"/>
          <w:szCs w:val="25"/>
        </w:rPr>
        <w:t xml:space="preserve">- </w:t>
      </w:r>
      <w:r w:rsidR="00985B0F" w:rsidRPr="006E2F18">
        <w:rPr>
          <w:rFonts w:ascii="Arial" w:hAnsi="Arial" w:cs="Arial"/>
          <w:sz w:val="25"/>
          <w:szCs w:val="25"/>
        </w:rPr>
        <w:t>- - - - - - - - - - - - -</w:t>
      </w:r>
      <w:r w:rsidR="00C036C0" w:rsidRPr="006E2F18">
        <w:rPr>
          <w:rFonts w:ascii="Arial" w:hAnsi="Arial" w:cs="Arial"/>
          <w:sz w:val="25"/>
          <w:szCs w:val="25"/>
        </w:rPr>
        <w:t xml:space="preserve"> </w:t>
      </w:r>
      <w:r w:rsidR="00C036C0" w:rsidRPr="006E2F18">
        <w:rPr>
          <w:rFonts w:cs="Arial"/>
          <w:sz w:val="25"/>
          <w:szCs w:val="25"/>
        </w:rPr>
        <w:t xml:space="preserve">- - - - - - - - - - - - - - -  - - - - - - - - - - </w:t>
      </w:r>
    </w:p>
    <w:p w:rsidR="001606D6" w:rsidRPr="006E2F18" w:rsidRDefault="00DF0277" w:rsidP="008E1F04">
      <w:pPr>
        <w:spacing w:line="360" w:lineRule="auto"/>
        <w:jc w:val="both"/>
        <w:rPr>
          <w:rFonts w:ascii="Arial" w:hAnsi="Arial" w:cs="Arial"/>
          <w:sz w:val="25"/>
          <w:szCs w:val="25"/>
        </w:rPr>
      </w:pPr>
      <w:r w:rsidRPr="006E2F18">
        <w:rPr>
          <w:rFonts w:ascii="Arial" w:hAnsi="Arial" w:cs="Arial"/>
          <w:sz w:val="25"/>
          <w:szCs w:val="25"/>
        </w:rPr>
        <w:t xml:space="preserve">          </w:t>
      </w:r>
      <w:r w:rsidRPr="006E2F18">
        <w:rPr>
          <w:rFonts w:ascii="Arial" w:hAnsi="Arial" w:cs="Arial"/>
          <w:b/>
          <w:sz w:val="25"/>
          <w:szCs w:val="25"/>
        </w:rPr>
        <w:t>CUARTO</w:t>
      </w:r>
      <w:r w:rsidRPr="006E2F18">
        <w:rPr>
          <w:rFonts w:ascii="Arial" w:hAnsi="Arial" w:cs="Arial"/>
          <w:sz w:val="25"/>
          <w:szCs w:val="25"/>
        </w:rPr>
        <w:t>.</w:t>
      </w:r>
      <w:r w:rsidR="00596973" w:rsidRPr="006E2F18">
        <w:rPr>
          <w:rFonts w:ascii="Arial" w:hAnsi="Arial" w:cs="Arial"/>
          <w:sz w:val="25"/>
          <w:szCs w:val="25"/>
        </w:rPr>
        <w:t>–</w:t>
      </w:r>
      <w:r w:rsidR="002626B4" w:rsidRPr="006E2F18">
        <w:rPr>
          <w:rFonts w:ascii="Arial" w:hAnsi="Arial" w:cs="Arial"/>
          <w:sz w:val="25"/>
          <w:szCs w:val="25"/>
        </w:rPr>
        <w:t xml:space="preserve"> </w:t>
      </w:r>
      <w:r w:rsidR="003857CC" w:rsidRPr="006E2F18">
        <w:rPr>
          <w:rFonts w:ascii="Arial" w:hAnsi="Arial" w:cs="Arial"/>
          <w:sz w:val="25"/>
          <w:szCs w:val="25"/>
        </w:rPr>
        <w:t>Ahora bien, el</w:t>
      </w:r>
      <w:r w:rsidR="00B63249" w:rsidRPr="006E2F18">
        <w:rPr>
          <w:rFonts w:ascii="Arial" w:hAnsi="Arial" w:cs="Arial"/>
          <w:sz w:val="25"/>
          <w:szCs w:val="25"/>
        </w:rPr>
        <w:t xml:space="preserve"> </w:t>
      </w:r>
      <w:r w:rsidR="007501AC" w:rsidRPr="006E2F18">
        <w:rPr>
          <w:rFonts w:ascii="Arial" w:hAnsi="Arial" w:cs="Arial"/>
          <w:sz w:val="25"/>
          <w:szCs w:val="25"/>
        </w:rPr>
        <w:t>actor</w:t>
      </w:r>
      <w:r w:rsidR="00B63249" w:rsidRPr="006E2F18">
        <w:rPr>
          <w:rFonts w:ascii="Arial" w:hAnsi="Arial" w:cs="Arial"/>
          <w:b/>
          <w:sz w:val="25"/>
          <w:szCs w:val="25"/>
        </w:rPr>
        <w:t xml:space="preserve"> </w:t>
      </w:r>
      <w:r w:rsidR="006E2F18">
        <w:rPr>
          <w:rFonts w:ascii="Arial" w:hAnsi="Arial" w:cs="Arial"/>
          <w:sz w:val="25"/>
          <w:szCs w:val="25"/>
        </w:rPr>
        <w:t>**********</w:t>
      </w:r>
      <w:r w:rsidR="00AE5B0F" w:rsidRPr="006E2F18">
        <w:rPr>
          <w:rFonts w:ascii="Arial" w:hAnsi="Arial" w:cs="Arial"/>
          <w:sz w:val="25"/>
          <w:szCs w:val="25"/>
        </w:rPr>
        <w:t xml:space="preserve"> </w:t>
      </w:r>
      <w:r w:rsidR="00B63249" w:rsidRPr="006E2F18">
        <w:rPr>
          <w:rFonts w:ascii="Arial" w:hAnsi="Arial" w:cs="Arial"/>
          <w:sz w:val="25"/>
          <w:szCs w:val="25"/>
        </w:rPr>
        <w:t>demandó la nulidad</w:t>
      </w:r>
      <w:r w:rsidR="001606D6" w:rsidRPr="006E2F18">
        <w:rPr>
          <w:rFonts w:ascii="Arial" w:hAnsi="Arial" w:cs="Arial"/>
          <w:sz w:val="25"/>
          <w:szCs w:val="25"/>
        </w:rPr>
        <w:t xml:space="preserve"> de la resolución de fecha </w:t>
      </w:r>
      <w:r w:rsidR="001606D6" w:rsidRPr="006E2F18">
        <w:rPr>
          <w:rFonts w:ascii="Arial" w:hAnsi="Arial" w:cs="Arial"/>
          <w:b/>
          <w:sz w:val="25"/>
          <w:szCs w:val="25"/>
        </w:rPr>
        <w:t>veintisiete de noviembre de dos mil diecisiete (27/11/2017), deriva</w:t>
      </w:r>
      <w:r w:rsidR="00C05916" w:rsidRPr="006E2F18">
        <w:rPr>
          <w:rFonts w:ascii="Arial" w:hAnsi="Arial" w:cs="Arial"/>
          <w:b/>
          <w:sz w:val="25"/>
          <w:szCs w:val="25"/>
        </w:rPr>
        <w:t>da</w:t>
      </w:r>
      <w:r w:rsidR="001606D6" w:rsidRPr="006E2F18">
        <w:rPr>
          <w:rFonts w:ascii="Arial" w:hAnsi="Arial" w:cs="Arial"/>
          <w:b/>
          <w:sz w:val="25"/>
          <w:szCs w:val="25"/>
        </w:rPr>
        <w:t xml:space="preserve"> del expediente administrativo número SSP/CEDP/CCP/031/2016</w:t>
      </w:r>
      <w:r w:rsidR="001606D6" w:rsidRPr="006E2F18">
        <w:rPr>
          <w:rFonts w:ascii="Arial" w:hAnsi="Arial" w:cs="Arial"/>
          <w:sz w:val="25"/>
          <w:szCs w:val="25"/>
        </w:rPr>
        <w:t>, dictada por la</w:t>
      </w:r>
      <w:r w:rsidR="001606D6" w:rsidRPr="006E2F18">
        <w:rPr>
          <w:rFonts w:ascii="Arial" w:hAnsi="Arial" w:cs="Arial"/>
          <w:b/>
          <w:sz w:val="25"/>
          <w:szCs w:val="25"/>
        </w:rPr>
        <w:t xml:space="preserve"> COMISIÓN DE CARRERA </w:t>
      </w:r>
      <w:r w:rsidR="001606D6" w:rsidRPr="006E2F18">
        <w:rPr>
          <w:rFonts w:ascii="Arial" w:hAnsi="Arial" w:cs="Arial"/>
          <w:b/>
          <w:sz w:val="25"/>
          <w:szCs w:val="25"/>
        </w:rPr>
        <w:lastRenderedPageBreak/>
        <w:t>POLICIAL DEL CONSEJO ESTATAL DE DESARROLLO POLICIAL DE LA SECRETARÍA DE SEGURIDAD PÚBLICA DEL ESTADO DE OAXACA</w:t>
      </w:r>
      <w:r w:rsidR="005B2C1D" w:rsidRPr="006E2F18">
        <w:rPr>
          <w:rFonts w:ascii="Arial" w:hAnsi="Arial" w:cs="Arial"/>
          <w:sz w:val="25"/>
          <w:szCs w:val="25"/>
        </w:rPr>
        <w:t xml:space="preserve">, </w:t>
      </w:r>
      <w:r w:rsidR="00D031ED" w:rsidRPr="006E2F18">
        <w:rPr>
          <w:rFonts w:ascii="Arial" w:hAnsi="Arial" w:cs="Arial"/>
          <w:sz w:val="25"/>
          <w:szCs w:val="25"/>
        </w:rPr>
        <w:t>al considerar que dicha resolución vulnera sus derechos e intereses toda vez que manifiesta que el durante el desempeño de sus labores siempre observó una conducta positiva</w:t>
      </w:r>
      <w:r w:rsidR="008E1F04" w:rsidRPr="006E2F18">
        <w:rPr>
          <w:rFonts w:ascii="Arial" w:hAnsi="Arial" w:cs="Arial"/>
          <w:sz w:val="25"/>
          <w:szCs w:val="25"/>
        </w:rPr>
        <w:t xml:space="preserve"> respetando la institución y cumpliendo con los deberes propios de su trabajo sin</w:t>
      </w:r>
      <w:r w:rsidR="00303578" w:rsidRPr="006E2F18">
        <w:rPr>
          <w:rFonts w:ascii="Arial" w:hAnsi="Arial" w:cs="Arial"/>
          <w:sz w:val="25"/>
          <w:szCs w:val="25"/>
        </w:rPr>
        <w:t xml:space="preserve"> haber realizado falta alguna a las leyes y reglamentos que rigen a los integrantes de la Secretaría de Seguridad Pública y que sea motivo de que se le hubiera sancionado con la </w:t>
      </w:r>
      <w:r w:rsidR="00783E5A" w:rsidRPr="006E2F18">
        <w:rPr>
          <w:rFonts w:ascii="Arial" w:hAnsi="Arial" w:cs="Arial"/>
          <w:sz w:val="25"/>
          <w:szCs w:val="25"/>
        </w:rPr>
        <w:t>CONCLUSIÓN</w:t>
      </w:r>
      <w:r w:rsidR="00303578" w:rsidRPr="006E2F18">
        <w:rPr>
          <w:rFonts w:ascii="Arial" w:hAnsi="Arial" w:cs="Arial"/>
          <w:sz w:val="25"/>
          <w:szCs w:val="25"/>
        </w:rPr>
        <w:t xml:space="preserve"> DEL SERVICIO POR SEPARACIÓN.</w:t>
      </w:r>
      <w:r w:rsidR="00D93B50" w:rsidRPr="006E2F18">
        <w:rPr>
          <w:rFonts w:ascii="Arial" w:hAnsi="Arial" w:cs="Arial"/>
          <w:sz w:val="25"/>
          <w:szCs w:val="25"/>
        </w:rPr>
        <w:t>- - -</w:t>
      </w:r>
      <w:r w:rsidR="00783E5A" w:rsidRPr="006E2F18">
        <w:rPr>
          <w:rFonts w:ascii="Arial" w:hAnsi="Arial" w:cs="Arial"/>
          <w:sz w:val="25"/>
          <w:szCs w:val="25"/>
        </w:rPr>
        <w:t xml:space="preserve"> </w:t>
      </w:r>
      <w:r w:rsidR="00D93B50" w:rsidRPr="006E2F18">
        <w:rPr>
          <w:rFonts w:ascii="Arial" w:hAnsi="Arial" w:cs="Arial"/>
          <w:sz w:val="25"/>
          <w:szCs w:val="25"/>
        </w:rPr>
        <w:t xml:space="preserve">- - - - - </w:t>
      </w:r>
      <w:r w:rsidR="00A55071" w:rsidRPr="006E2F18">
        <w:rPr>
          <w:rFonts w:cs="Arial"/>
          <w:sz w:val="25"/>
          <w:szCs w:val="25"/>
        </w:rPr>
        <w:t xml:space="preserve">- - - - - - - - - - - - - - -   - - - - - - - - - - - - - - -   - - - - - </w:t>
      </w:r>
    </w:p>
    <w:p w:rsidR="00303578" w:rsidRPr="006E2F18" w:rsidRDefault="006E2F18" w:rsidP="00DD73DE">
      <w:pPr>
        <w:pStyle w:val="corte3centro"/>
        <w:spacing w:after="240"/>
        <w:ind w:right="51"/>
        <w:jc w:val="both"/>
        <w:rPr>
          <w:rFonts w:cs="Arial"/>
          <w:b w:val="0"/>
          <w:sz w:val="25"/>
          <w:szCs w:val="25"/>
        </w:rPr>
      </w:pPr>
      <w:r>
        <w:rPr>
          <w:noProof/>
          <w:lang w:val="es-MX" w:eastAsia="es-MX"/>
        </w:rPr>
        <mc:AlternateContent>
          <mc:Choice Requires="wps">
            <w:drawing>
              <wp:anchor distT="0" distB="0" distL="114300" distR="114300" simplePos="0" relativeHeight="251663360" behindDoc="0" locked="0" layoutInCell="1" allowOverlap="1">
                <wp:simplePos x="0" y="0"/>
                <wp:positionH relativeFrom="column">
                  <wp:posOffset>-1431925</wp:posOffset>
                </wp:positionH>
                <wp:positionV relativeFrom="paragraph">
                  <wp:posOffset>2306320</wp:posOffset>
                </wp:positionV>
                <wp:extent cx="1267460" cy="866775"/>
                <wp:effectExtent l="0" t="0" r="27940" b="28575"/>
                <wp:wrapNone/>
                <wp:docPr id="10"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7460" cy="866775"/>
                        </a:xfrm>
                        <a:prstGeom prst="rect">
                          <a:avLst/>
                        </a:prstGeom>
                        <a:solidFill>
                          <a:srgbClr val="FFFFFF"/>
                        </a:solidFill>
                        <a:ln w="9525">
                          <a:solidFill>
                            <a:srgbClr val="000000"/>
                          </a:solidFill>
                          <a:miter lim="800000"/>
                          <a:headEnd/>
                          <a:tailEnd/>
                        </a:ln>
                      </wps:spPr>
                      <wps:txbx>
                        <w:txbxContent>
                          <w:p w:rsidR="006E2F18" w:rsidRPr="004E1E18" w:rsidRDefault="006E2F18" w:rsidP="006E2F18">
                            <w:pPr>
                              <w:rPr>
                                <w:lang w:val="es-MX"/>
                              </w:rPr>
                            </w:pPr>
                            <w:r w:rsidRPr="004E1E18">
                              <w:rPr>
                                <w:rFonts w:ascii="Arial" w:hAnsi="Arial" w:cs="Arial"/>
                                <w:lang w:val="es-MX"/>
                              </w:rPr>
                              <w:t>Datos personales protegidos por el Art 116 de la LGTAIP y el Art 56  de la LTAIPEO</w:t>
                            </w:r>
                            <w:r>
                              <w:rPr>
                                <w:lang w:val="es-MX"/>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112.75pt;margin-top:181.6pt;width:99.8pt;height:6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">
                <v:textbox>
                  <w:txbxContent>
                    <w:p w:rsidR="006E2F18" w:rsidRPr="004E1E18" w:rsidRDefault="006E2F18" w:rsidP="006E2F18">
                      <w:pPr>
                        <w:rPr>
                          <w:lang w:val="es-MX"/>
                        </w:rPr>
                      </w:pPr>
                      <w:r w:rsidRPr="004E1E18">
                        <w:rPr>
                          <w:rFonts w:ascii="Arial" w:hAnsi="Arial" w:cs="Arial"/>
                          <w:lang w:val="es-MX"/>
                        </w:rPr>
                        <w:t>Datos personales protegidos por el Art 116 de la LGTAIP y el Art 56  de la LTAIPEO</w:t>
                      </w:r>
                      <w:r>
                        <w:rPr>
                          <w:lang w:val="es-MX"/>
                        </w:rPr>
                        <w:t>.</w:t>
                      </w:r>
                    </w:p>
                  </w:txbxContent>
                </v:textbox>
              </v:shape>
            </w:pict>
          </mc:Fallback>
        </mc:AlternateContent>
      </w:r>
      <w:r w:rsidR="00303578" w:rsidRPr="006E2F18">
        <w:rPr>
          <w:rFonts w:cs="Arial"/>
          <w:b w:val="0"/>
          <w:sz w:val="25"/>
          <w:szCs w:val="25"/>
        </w:rPr>
        <w:t xml:space="preserve">          </w:t>
      </w:r>
      <w:r w:rsidR="00DD73DE" w:rsidRPr="006E2F18">
        <w:rPr>
          <w:rFonts w:cs="Arial"/>
          <w:b w:val="0"/>
          <w:sz w:val="25"/>
          <w:szCs w:val="25"/>
        </w:rPr>
        <w:t xml:space="preserve">Derivado de lo anterior, primeramente se analizará si la autoridad demandada contenía la competencia necesaria para emitir el acto que hoy se impugna, toda vez que la jurisprudencia número 2a./J. 218/2007 con el número de registro 170827 por la Segunda Sala de la Suprema Corte de Justicia de la Nación en el Semanario Judicial de la Federación y su Gaceta, tomo XXVI, Diciembre de 2007, Pág. 154, Novena Época, bajo el rubro: </w:t>
      </w:r>
      <w:r w:rsidR="00DD73DE" w:rsidRPr="006E2F18">
        <w:rPr>
          <w:rFonts w:cs="Arial"/>
          <w:i/>
          <w:sz w:val="25"/>
          <w:szCs w:val="25"/>
        </w:rPr>
        <w:t>“</w:t>
      </w:r>
      <w:r w:rsidR="00DD73DE" w:rsidRPr="006E2F18">
        <w:rPr>
          <w:i/>
          <w:sz w:val="25"/>
          <w:szCs w:val="25"/>
        </w:rPr>
        <w:t>COMPETENCIA. SU ESTUDIO OFICIOSO RESPECTO DE LA AUTORIDAD DEMANDADA EN EL JUICIO CONTENCIOSO ADMINISTRATIVO, DEBE SER ANALIZADA</w:t>
      </w:r>
      <w:r w:rsidR="00DD73DE" w:rsidRPr="006E2F18">
        <w:rPr>
          <w:b w:val="0"/>
          <w:i/>
          <w:sz w:val="25"/>
          <w:szCs w:val="25"/>
        </w:rPr>
        <w:t xml:space="preserve"> </w:t>
      </w:r>
      <w:r w:rsidR="00DD73DE" w:rsidRPr="006E2F18">
        <w:rPr>
          <w:i/>
          <w:sz w:val="25"/>
          <w:szCs w:val="25"/>
        </w:rPr>
        <w:t>POR LAS SALAS DEL TRIBUNAL FEDERAL DE JUSTICIA FISCAL Y ADMINISTRATIVA”,</w:t>
      </w:r>
      <w:r w:rsidR="00DD73DE" w:rsidRPr="006E2F18">
        <w:rPr>
          <w:sz w:val="25"/>
          <w:szCs w:val="25"/>
        </w:rPr>
        <w:t xml:space="preserve"> </w:t>
      </w:r>
      <w:r w:rsidR="00DD73DE" w:rsidRPr="006E2F18">
        <w:rPr>
          <w:b w:val="0"/>
          <w:sz w:val="25"/>
          <w:szCs w:val="25"/>
        </w:rPr>
        <w:t>así como, p</w:t>
      </w:r>
      <w:r w:rsidR="00DD73DE" w:rsidRPr="006E2F18">
        <w:rPr>
          <w:rFonts w:cs="Arial"/>
          <w:b w:val="0"/>
          <w:sz w:val="25"/>
          <w:szCs w:val="25"/>
        </w:rPr>
        <w:t xml:space="preserve">or analogía sustancial, tesis jurisprudencial, materia Administrativa, emitida por los Tribunales Colegiados de Circuito, tesis VII.3º. j/22, Semanario Judicial de la Federación y su Gaceta, XXV, abril 2007, novena época, página 1377, bajo el rubro: </w:t>
      </w:r>
      <w:r w:rsidR="00DD73DE" w:rsidRPr="006E2F18">
        <w:rPr>
          <w:rFonts w:cs="Arial"/>
          <w:i/>
          <w:sz w:val="25"/>
          <w:szCs w:val="25"/>
        </w:rPr>
        <w:t>“</w:t>
      </w:r>
      <w:r w:rsidR="00DD73DE" w:rsidRPr="006E2F18">
        <w:rPr>
          <w:i/>
          <w:sz w:val="25"/>
          <w:szCs w:val="25"/>
        </w:rPr>
        <w:t>COMPETENCIA DE LAS AUTORIDADES ADMINISTRATIVAS. AL SER UN PRESUPUESTO PROCESAL CUYO ESTUDIO ES DE ORDEN PÚBLICO LAS SALAS DEL TRIBUNAL FEDERAL DE JUSTICIA FISCAL Y ADMINISTRATIVA DEBEN ANALIZARLA DE OFICIO, SIN DISTINGUIR SI SE TRATA DE LA INDEBIDA, INSUFICIENTE O DE LA FALTA DE FUNDAMENTACIÓN DE AQUÉLLA.”</w:t>
      </w:r>
      <w:r w:rsidR="00DD73DE" w:rsidRPr="006E2F18">
        <w:rPr>
          <w:b w:val="0"/>
          <w:sz w:val="25"/>
          <w:szCs w:val="25"/>
        </w:rPr>
        <w:t xml:space="preserve"> Obligan a este tribunal a estudiar de manera oficiosa la competencia de la autoridad emisora respecto del acto impugnado, en ese tenor,</w:t>
      </w:r>
      <w:r w:rsidR="00DD73DE" w:rsidRPr="006E2F18">
        <w:rPr>
          <w:rFonts w:cs="Arial"/>
          <w:b w:val="0"/>
          <w:sz w:val="25"/>
          <w:szCs w:val="25"/>
        </w:rPr>
        <w:t xml:space="preserve"> tenemos que la autoridad demandada señaló lo siguiente en la resolución de fecha veintisiete de noviembre de dos mil diecisiete (foja 282 a 303), documental que adquiere valor probatorio pleno en términos del artículo 203 fracción I de la Ley de Procedimiento y Justicia Administrativa para el Estado de Oaxaca:- - - - - - - - - - - - - - - - - - - - - - - - - - - - - -</w:t>
      </w:r>
      <w:r w:rsidR="00A55071" w:rsidRPr="006E2F18">
        <w:rPr>
          <w:rFonts w:cs="Arial"/>
          <w:b w:val="0"/>
          <w:sz w:val="25"/>
          <w:szCs w:val="25"/>
        </w:rPr>
        <w:t xml:space="preserve"> - - - - - - - - - - - - - - </w:t>
      </w:r>
    </w:p>
    <w:p w:rsidR="004D4E1E" w:rsidRPr="006E2F18" w:rsidRDefault="00DF6DA0" w:rsidP="00DD73DE">
      <w:pPr>
        <w:pStyle w:val="corte3centro"/>
        <w:spacing w:after="240"/>
        <w:ind w:left="567" w:right="618"/>
        <w:jc w:val="both"/>
        <w:rPr>
          <w:rFonts w:cs="Arial"/>
          <w:b w:val="0"/>
          <w:i/>
          <w:sz w:val="25"/>
          <w:szCs w:val="25"/>
        </w:rPr>
      </w:pPr>
      <w:r w:rsidRPr="006E2F18">
        <w:rPr>
          <w:rFonts w:cs="Arial"/>
          <w:b w:val="0"/>
          <w:i/>
          <w:sz w:val="25"/>
          <w:szCs w:val="25"/>
        </w:rPr>
        <w:t>PRIMERO.-</w:t>
      </w:r>
      <w:r w:rsidR="00D754D6" w:rsidRPr="006E2F18">
        <w:rPr>
          <w:rFonts w:cs="Arial"/>
          <w:b w:val="0"/>
          <w:i/>
          <w:sz w:val="25"/>
          <w:szCs w:val="25"/>
        </w:rPr>
        <w:t xml:space="preserve"> </w:t>
      </w:r>
      <w:r w:rsidRPr="006E2F18">
        <w:rPr>
          <w:rFonts w:cs="Arial"/>
          <w:b w:val="0"/>
          <w:i/>
          <w:sz w:val="25"/>
          <w:szCs w:val="25"/>
        </w:rPr>
        <w:t xml:space="preserve">COMPETENCIA. El Consejo Estatal de Desarrollo Policial, es la </w:t>
      </w:r>
      <w:r w:rsidR="00EE0630" w:rsidRPr="006E2F18">
        <w:rPr>
          <w:rFonts w:cs="Arial"/>
          <w:b w:val="0"/>
          <w:i/>
          <w:sz w:val="25"/>
          <w:szCs w:val="25"/>
        </w:rPr>
        <w:t>i</w:t>
      </w:r>
      <w:r w:rsidRPr="006E2F18">
        <w:rPr>
          <w:rFonts w:cs="Arial"/>
          <w:b w:val="0"/>
          <w:i/>
          <w:sz w:val="25"/>
          <w:szCs w:val="25"/>
        </w:rPr>
        <w:t>n</w:t>
      </w:r>
      <w:r w:rsidR="00EE0630" w:rsidRPr="006E2F18">
        <w:rPr>
          <w:rFonts w:cs="Arial"/>
          <w:b w:val="0"/>
          <w:i/>
          <w:sz w:val="25"/>
          <w:szCs w:val="25"/>
        </w:rPr>
        <w:t xml:space="preserve">stancia colegiada encargada de normar, conocer y resolver toda controversia que se suscite en relación con los procedimientos del Servicio Profesional, el Régimen Disciplinario y </w:t>
      </w:r>
      <w:r w:rsidR="00EE0630" w:rsidRPr="006E2F18">
        <w:rPr>
          <w:rFonts w:cs="Arial"/>
          <w:b w:val="0"/>
          <w:i/>
          <w:sz w:val="25"/>
          <w:szCs w:val="25"/>
        </w:rPr>
        <w:lastRenderedPageBreak/>
        <w:t xml:space="preserve">su Profesionalización, </w:t>
      </w:r>
      <w:r w:rsidRPr="006E2F18">
        <w:rPr>
          <w:rFonts w:cs="Arial"/>
          <w:b w:val="0"/>
          <w:i/>
          <w:sz w:val="25"/>
          <w:szCs w:val="25"/>
        </w:rPr>
        <w:t xml:space="preserve">con fundamento en lo establecido por los artículos 21, párrafo  noveno y 123 apartado “B” fracción XIII de la </w:t>
      </w:r>
      <w:r w:rsidR="00244161" w:rsidRPr="006E2F18">
        <w:rPr>
          <w:rFonts w:cs="Arial"/>
          <w:b w:val="0"/>
          <w:i/>
          <w:sz w:val="25"/>
          <w:szCs w:val="25"/>
        </w:rPr>
        <w:t>Constitución</w:t>
      </w:r>
      <w:r w:rsidRPr="006E2F18">
        <w:rPr>
          <w:rFonts w:cs="Arial"/>
          <w:b w:val="0"/>
          <w:i/>
          <w:sz w:val="25"/>
          <w:szCs w:val="25"/>
        </w:rPr>
        <w:t xml:space="preserve"> </w:t>
      </w:r>
      <w:r w:rsidR="00244161" w:rsidRPr="006E2F18">
        <w:rPr>
          <w:rFonts w:cs="Arial"/>
          <w:b w:val="0"/>
          <w:i/>
          <w:sz w:val="25"/>
          <w:szCs w:val="25"/>
        </w:rPr>
        <w:t>Política</w:t>
      </w:r>
      <w:r w:rsidRPr="006E2F18">
        <w:rPr>
          <w:rFonts w:cs="Arial"/>
          <w:b w:val="0"/>
          <w:i/>
          <w:sz w:val="25"/>
          <w:szCs w:val="25"/>
        </w:rPr>
        <w:t xml:space="preserve"> de los Estados Unidos Mexicanos; 73 de la Ley General del Sistema Nacional de Seguridad Pública; 12, 123, 125 fracciones X, XI, y XVIII, 129</w:t>
      </w:r>
      <w:r w:rsidR="00C0211E" w:rsidRPr="006E2F18">
        <w:rPr>
          <w:rFonts w:cs="Arial"/>
          <w:b w:val="0"/>
          <w:i/>
          <w:sz w:val="25"/>
          <w:szCs w:val="25"/>
        </w:rPr>
        <w:t>, 138 y</w:t>
      </w:r>
      <w:r w:rsidRPr="006E2F18">
        <w:rPr>
          <w:rFonts w:cs="Arial"/>
          <w:b w:val="0"/>
          <w:i/>
          <w:sz w:val="25"/>
          <w:szCs w:val="25"/>
        </w:rPr>
        <w:t xml:space="preserve"> 139 </w:t>
      </w:r>
      <w:r w:rsidR="00244161" w:rsidRPr="006E2F18">
        <w:rPr>
          <w:rFonts w:cs="Arial"/>
          <w:b w:val="0"/>
          <w:i/>
          <w:sz w:val="25"/>
          <w:szCs w:val="25"/>
        </w:rPr>
        <w:t>de la Ley de Sistema Estatal de Seguridad Pública de Oaxaca; 1, 2, 3, 64 fracciones XXXI y XXXIII, 77, 78, 82, 83 fracción I, 85 y 86 del Manual del Consejo Estatal de Desarrollo Policial</w:t>
      </w:r>
      <w:r w:rsidR="004D4E1E" w:rsidRPr="006E2F18">
        <w:rPr>
          <w:rFonts w:cs="Arial"/>
          <w:b w:val="0"/>
          <w:i/>
          <w:sz w:val="25"/>
          <w:szCs w:val="25"/>
        </w:rPr>
        <w:t>.</w:t>
      </w:r>
      <w:r w:rsidR="00D754D6" w:rsidRPr="006E2F18">
        <w:rPr>
          <w:rFonts w:cs="Arial"/>
          <w:b w:val="0"/>
          <w:i/>
          <w:sz w:val="25"/>
          <w:szCs w:val="25"/>
        </w:rPr>
        <w:t xml:space="preserve"> </w:t>
      </w:r>
    </w:p>
    <w:p w:rsidR="00DF6DA0" w:rsidRPr="006E2F18" w:rsidRDefault="00D754D6" w:rsidP="00271915">
      <w:pPr>
        <w:pStyle w:val="corte3centro"/>
        <w:ind w:left="567" w:right="618"/>
        <w:jc w:val="both"/>
        <w:rPr>
          <w:rFonts w:cs="Arial"/>
          <w:b w:val="0"/>
          <w:i/>
          <w:sz w:val="25"/>
          <w:szCs w:val="25"/>
        </w:rPr>
      </w:pPr>
      <w:r w:rsidRPr="006E2F18">
        <w:rPr>
          <w:rFonts w:cs="Arial"/>
          <w:b w:val="0"/>
          <w:i/>
          <w:sz w:val="25"/>
          <w:szCs w:val="25"/>
        </w:rPr>
        <w:t>[</w:t>
      </w:r>
      <w:r w:rsidR="00244161" w:rsidRPr="006E2F18">
        <w:rPr>
          <w:rFonts w:cs="Arial"/>
          <w:b w:val="0"/>
          <w:i/>
          <w:sz w:val="25"/>
          <w:szCs w:val="25"/>
        </w:rPr>
        <w:t>…</w:t>
      </w:r>
      <w:r w:rsidRPr="006E2F18">
        <w:rPr>
          <w:rFonts w:cs="Arial"/>
          <w:b w:val="0"/>
          <w:i/>
          <w:sz w:val="25"/>
          <w:szCs w:val="25"/>
        </w:rPr>
        <w:t>]</w:t>
      </w:r>
    </w:p>
    <w:p w:rsidR="00244161" w:rsidRPr="006E2F18" w:rsidRDefault="006E2F18" w:rsidP="000108A9">
      <w:pPr>
        <w:pStyle w:val="corte3centro"/>
        <w:spacing w:after="240"/>
        <w:ind w:left="567" w:right="618"/>
        <w:jc w:val="both"/>
        <w:rPr>
          <w:rFonts w:cs="Arial"/>
          <w:b w:val="0"/>
          <w:sz w:val="25"/>
          <w:szCs w:val="25"/>
        </w:rPr>
      </w:pPr>
      <w:r>
        <w:rPr>
          <w:noProof/>
          <w:lang w:val="es-MX" w:eastAsia="es-MX"/>
        </w:rPr>
        <mc:AlternateContent>
          <mc:Choice Requires="wps">
            <w:drawing>
              <wp:anchor distT="0" distB="0" distL="114300" distR="114300" simplePos="0" relativeHeight="251665408" behindDoc="0" locked="0" layoutInCell="1" allowOverlap="1">
                <wp:simplePos x="0" y="0"/>
                <wp:positionH relativeFrom="column">
                  <wp:posOffset>5589270</wp:posOffset>
                </wp:positionH>
                <wp:positionV relativeFrom="paragraph">
                  <wp:posOffset>1626870</wp:posOffset>
                </wp:positionV>
                <wp:extent cx="1267460" cy="866775"/>
                <wp:effectExtent l="0" t="0" r="27940" b="28575"/>
                <wp:wrapNone/>
                <wp:docPr id="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7460" cy="866775"/>
                        </a:xfrm>
                        <a:prstGeom prst="rect">
                          <a:avLst/>
                        </a:prstGeom>
                        <a:solidFill>
                          <a:srgbClr val="FFFFFF"/>
                        </a:solidFill>
                        <a:ln w="9525">
                          <a:solidFill>
                            <a:srgbClr val="000000"/>
                          </a:solidFill>
                          <a:miter lim="800000"/>
                          <a:headEnd/>
                          <a:tailEnd/>
                        </a:ln>
                      </wps:spPr>
                      <wps:txbx>
                        <w:txbxContent>
                          <w:p w:rsidR="006E2F18" w:rsidRPr="004E1E18" w:rsidRDefault="006E2F18" w:rsidP="006E2F18">
                            <w:pPr>
                              <w:rPr>
                                <w:lang w:val="es-MX"/>
                              </w:rPr>
                            </w:pPr>
                            <w:r w:rsidRPr="004E1E18">
                              <w:rPr>
                                <w:rFonts w:ascii="Arial" w:hAnsi="Arial" w:cs="Arial"/>
                                <w:lang w:val="es-MX"/>
                              </w:rPr>
                              <w:t>Datos personales protegidos por el Art 116 de la LGTAIP y el Art 56  de la LTAIPEO</w:t>
                            </w:r>
                            <w:r>
                              <w:rPr>
                                <w:lang w:val="es-MX"/>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440.1pt;margin-top:128.1pt;width:99.8pt;height:68.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">
                <v:textbox>
                  <w:txbxContent>
                    <w:p w:rsidR="006E2F18" w:rsidRPr="004E1E18" w:rsidRDefault="006E2F18" w:rsidP="006E2F18">
                      <w:pPr>
                        <w:rPr>
                          <w:lang w:val="es-MX"/>
                        </w:rPr>
                      </w:pPr>
                      <w:r w:rsidRPr="004E1E18">
                        <w:rPr>
                          <w:rFonts w:ascii="Arial" w:hAnsi="Arial" w:cs="Arial"/>
                          <w:lang w:val="es-MX"/>
                        </w:rPr>
                        <w:t>Datos personales protegidos por el Art 116 de la LGTAIP y el Art 56  de la LTAIPEO</w:t>
                      </w:r>
                      <w:r>
                        <w:rPr>
                          <w:lang w:val="es-MX"/>
                        </w:rPr>
                        <w:t>.</w:t>
                      </w:r>
                    </w:p>
                  </w:txbxContent>
                </v:textbox>
              </v:shape>
            </w:pict>
          </mc:Fallback>
        </mc:AlternateContent>
      </w:r>
      <w:r w:rsidR="00244161" w:rsidRPr="006E2F18">
        <w:rPr>
          <w:rFonts w:cs="Arial"/>
          <w:b w:val="0"/>
          <w:i/>
          <w:sz w:val="25"/>
          <w:szCs w:val="25"/>
        </w:rPr>
        <w:t xml:space="preserve">En ese orden de ideas, esta Comisión de Carrera Policial del Consejo Estatal de Desarrollo Policial, es competente para conocer y resolver el presente  procedimiento administrativo de conformidad con lo dispuesto en los artículos 16, 21 </w:t>
      </w:r>
      <w:r w:rsidR="00274916" w:rsidRPr="006E2F18">
        <w:rPr>
          <w:rFonts w:cs="Arial"/>
          <w:b w:val="0"/>
          <w:i/>
          <w:sz w:val="25"/>
          <w:szCs w:val="25"/>
        </w:rPr>
        <w:t>párrafo</w:t>
      </w:r>
      <w:r w:rsidR="00244161" w:rsidRPr="006E2F18">
        <w:rPr>
          <w:rFonts w:cs="Arial"/>
          <w:b w:val="0"/>
          <w:i/>
          <w:sz w:val="25"/>
          <w:szCs w:val="25"/>
        </w:rPr>
        <w:t xml:space="preserve"> noveno y 123 apartado B, fracción XIII</w:t>
      </w:r>
      <w:r w:rsidR="00274916" w:rsidRPr="006E2F18">
        <w:rPr>
          <w:rFonts w:cs="Arial"/>
          <w:b w:val="0"/>
          <w:i/>
          <w:sz w:val="25"/>
          <w:szCs w:val="25"/>
        </w:rPr>
        <w:t>,</w:t>
      </w:r>
      <w:r w:rsidR="00244161" w:rsidRPr="006E2F18">
        <w:rPr>
          <w:rFonts w:cs="Arial"/>
          <w:b w:val="0"/>
          <w:i/>
          <w:sz w:val="25"/>
          <w:szCs w:val="25"/>
        </w:rPr>
        <w:t xml:space="preserve"> de la Constitución </w:t>
      </w:r>
      <w:r w:rsidR="00274916" w:rsidRPr="006E2F18">
        <w:rPr>
          <w:rFonts w:cs="Arial"/>
          <w:b w:val="0"/>
          <w:i/>
          <w:sz w:val="25"/>
          <w:szCs w:val="25"/>
        </w:rPr>
        <w:t>Política</w:t>
      </w:r>
      <w:r w:rsidR="00244161" w:rsidRPr="006E2F18">
        <w:rPr>
          <w:rFonts w:cs="Arial"/>
          <w:b w:val="0"/>
          <w:i/>
          <w:sz w:val="25"/>
          <w:szCs w:val="25"/>
        </w:rPr>
        <w:t xml:space="preserve"> </w:t>
      </w:r>
      <w:r w:rsidR="00274916" w:rsidRPr="006E2F18">
        <w:rPr>
          <w:rFonts w:cs="Arial"/>
          <w:b w:val="0"/>
          <w:i/>
          <w:sz w:val="25"/>
          <w:szCs w:val="25"/>
        </w:rPr>
        <w:t>de los Estados Unidos Mexicanos,</w:t>
      </w:r>
      <w:r w:rsidR="00244161" w:rsidRPr="006E2F18">
        <w:rPr>
          <w:rFonts w:cs="Arial"/>
          <w:b w:val="0"/>
          <w:i/>
          <w:sz w:val="25"/>
          <w:szCs w:val="25"/>
        </w:rPr>
        <w:t xml:space="preserve"> 73, 85 fracción V, 88 apartado B fracción XIV</w:t>
      </w:r>
      <w:r w:rsidR="00274916" w:rsidRPr="006E2F18">
        <w:rPr>
          <w:rFonts w:cs="Arial"/>
          <w:b w:val="0"/>
          <w:i/>
          <w:sz w:val="25"/>
          <w:szCs w:val="25"/>
        </w:rPr>
        <w:t>,</w:t>
      </w:r>
      <w:r w:rsidR="00244161" w:rsidRPr="006E2F18">
        <w:rPr>
          <w:rFonts w:cs="Arial"/>
          <w:b w:val="0"/>
          <w:i/>
          <w:sz w:val="25"/>
          <w:szCs w:val="25"/>
        </w:rPr>
        <w:t xml:space="preserve"> de la Ley General del Sistema Nacional de Seguridad</w:t>
      </w:r>
      <w:r w:rsidR="00274916" w:rsidRPr="006E2F18">
        <w:rPr>
          <w:rFonts w:cs="Arial"/>
          <w:b w:val="0"/>
          <w:i/>
          <w:sz w:val="25"/>
          <w:szCs w:val="25"/>
        </w:rPr>
        <w:t xml:space="preserve"> Pública</w:t>
      </w:r>
      <w:r w:rsidR="00FD7D90" w:rsidRPr="006E2F18">
        <w:rPr>
          <w:rFonts w:cs="Arial"/>
          <w:b w:val="0"/>
          <w:i/>
          <w:sz w:val="25"/>
          <w:szCs w:val="25"/>
        </w:rPr>
        <w:t>; 12, 90, 9</w:t>
      </w:r>
      <w:r w:rsidR="00274916" w:rsidRPr="006E2F18">
        <w:rPr>
          <w:rFonts w:cs="Arial"/>
          <w:b w:val="0"/>
          <w:i/>
          <w:sz w:val="25"/>
          <w:szCs w:val="25"/>
        </w:rPr>
        <w:t>9 apartado B fracción XIV, 123 y</w:t>
      </w:r>
      <w:r w:rsidR="00FD7D90" w:rsidRPr="006E2F18">
        <w:rPr>
          <w:rFonts w:cs="Arial"/>
          <w:b w:val="0"/>
          <w:i/>
          <w:sz w:val="25"/>
          <w:szCs w:val="25"/>
        </w:rPr>
        <w:t xml:space="preserve"> 125 fracciones X y XI de la Ley de Sistema Estatal de Seguridad  Pública de Oaxaca; 1, 2, 3, 62, 63, 64 fracciones XXXI, XXXIII y último párrafo 77, 78, 82, 83 fracción I, </w:t>
      </w:r>
      <w:r w:rsidR="00274916" w:rsidRPr="006E2F18">
        <w:rPr>
          <w:rFonts w:cs="Arial"/>
          <w:b w:val="0"/>
          <w:i/>
          <w:sz w:val="25"/>
          <w:szCs w:val="25"/>
        </w:rPr>
        <w:t>85, 86, 88, 89, 101, 151, 153, y</w:t>
      </w:r>
      <w:r w:rsidR="00FD7D90" w:rsidRPr="006E2F18">
        <w:rPr>
          <w:rFonts w:cs="Arial"/>
          <w:b w:val="0"/>
          <w:i/>
          <w:sz w:val="25"/>
          <w:szCs w:val="25"/>
        </w:rPr>
        <w:t xml:space="preserve"> 313  del Manual del Consejo Estatal de Desarrollo Policial y Acuerdo General 06/SSP/CEDP/OAX/2012, publicado en el Extra del Periódico Oficial del Gobierno del Estado, el dieciséis de abril de dos mil doce</w:t>
      </w:r>
      <w:r w:rsidR="00206997" w:rsidRPr="006E2F18">
        <w:rPr>
          <w:rFonts w:cs="Arial"/>
          <w:b w:val="0"/>
          <w:i/>
          <w:sz w:val="25"/>
          <w:szCs w:val="25"/>
        </w:rPr>
        <w:t>;</w:t>
      </w:r>
      <w:r w:rsidR="00FD7D90" w:rsidRPr="006E2F18">
        <w:rPr>
          <w:rFonts w:cs="Arial"/>
          <w:b w:val="0"/>
          <w:i/>
          <w:sz w:val="25"/>
          <w:szCs w:val="25"/>
        </w:rPr>
        <w:t xml:space="preserve"> asimismo mediante acuerdo 08/SSP/CEDP/OAX/2016 de diecinueve de agosto de dos mil dieciséis, se aprobó la modificación y estructura de </w:t>
      </w:r>
      <w:r w:rsidR="00F6174F" w:rsidRPr="006E2F18">
        <w:rPr>
          <w:rFonts w:cs="Arial"/>
          <w:b w:val="0"/>
          <w:i/>
          <w:sz w:val="25"/>
          <w:szCs w:val="25"/>
        </w:rPr>
        <w:t>la Comisión de Carrera Policial […]</w:t>
      </w:r>
    </w:p>
    <w:p w:rsidR="00FD7D90" w:rsidRPr="006E2F18" w:rsidRDefault="00FD7D90" w:rsidP="006800CF">
      <w:pPr>
        <w:pStyle w:val="corte3centro"/>
        <w:spacing w:after="240"/>
        <w:ind w:right="51" w:firstLine="567"/>
        <w:jc w:val="both"/>
        <w:rPr>
          <w:b w:val="0"/>
          <w:sz w:val="25"/>
          <w:szCs w:val="25"/>
        </w:rPr>
      </w:pPr>
      <w:r w:rsidRPr="006E2F18">
        <w:rPr>
          <w:b w:val="0"/>
          <w:sz w:val="25"/>
          <w:szCs w:val="25"/>
        </w:rPr>
        <w:t>De lo anteriormente expuesto, es evidente</w:t>
      </w:r>
      <w:r w:rsidR="00F962EA" w:rsidRPr="006E2F18">
        <w:rPr>
          <w:b w:val="0"/>
          <w:sz w:val="25"/>
          <w:szCs w:val="25"/>
        </w:rPr>
        <w:t xml:space="preserve"> que la resolución a debate</w:t>
      </w:r>
      <w:r w:rsidRPr="006E2F18">
        <w:rPr>
          <w:b w:val="0"/>
          <w:sz w:val="25"/>
          <w:szCs w:val="25"/>
        </w:rPr>
        <w:t>, se encuentra debidamente fundamentad</w:t>
      </w:r>
      <w:r w:rsidR="00F962EA" w:rsidRPr="006E2F18">
        <w:rPr>
          <w:b w:val="0"/>
          <w:sz w:val="25"/>
          <w:szCs w:val="25"/>
        </w:rPr>
        <w:t>a</w:t>
      </w:r>
      <w:r w:rsidRPr="006E2F18">
        <w:rPr>
          <w:b w:val="0"/>
          <w:sz w:val="25"/>
          <w:szCs w:val="25"/>
        </w:rPr>
        <w:t xml:space="preserve"> en cuanto al alcance de su competencia material y territorial, ya que </w:t>
      </w:r>
      <w:r w:rsidR="000108A9" w:rsidRPr="006E2F18">
        <w:rPr>
          <w:b w:val="0"/>
          <w:sz w:val="25"/>
          <w:szCs w:val="25"/>
        </w:rPr>
        <w:t>la autoridad demandada invocó</w:t>
      </w:r>
      <w:r w:rsidRPr="006E2F18">
        <w:rPr>
          <w:b w:val="0"/>
          <w:sz w:val="25"/>
          <w:szCs w:val="25"/>
        </w:rPr>
        <w:t xml:space="preserve"> </w:t>
      </w:r>
      <w:r w:rsidR="000108A9" w:rsidRPr="006E2F18">
        <w:rPr>
          <w:b w:val="0"/>
          <w:sz w:val="25"/>
          <w:szCs w:val="25"/>
        </w:rPr>
        <w:t>los preceptos</w:t>
      </w:r>
      <w:r w:rsidRPr="006E2F18">
        <w:rPr>
          <w:b w:val="0"/>
          <w:sz w:val="25"/>
          <w:szCs w:val="25"/>
        </w:rPr>
        <w:t xml:space="preserve"> legal</w:t>
      </w:r>
      <w:r w:rsidR="000108A9" w:rsidRPr="006E2F18">
        <w:rPr>
          <w:b w:val="0"/>
          <w:sz w:val="25"/>
          <w:szCs w:val="25"/>
        </w:rPr>
        <w:t>es aplicables</w:t>
      </w:r>
      <w:r w:rsidRPr="006E2F18">
        <w:rPr>
          <w:b w:val="0"/>
          <w:sz w:val="25"/>
          <w:szCs w:val="25"/>
        </w:rPr>
        <w:t xml:space="preserve"> que le confiere las atribuciones para emitir el acto</w:t>
      </w:r>
      <w:r w:rsidR="00575FD8" w:rsidRPr="006E2F18">
        <w:rPr>
          <w:b w:val="0"/>
          <w:sz w:val="25"/>
          <w:szCs w:val="25"/>
        </w:rPr>
        <w:t xml:space="preserve"> combatido</w:t>
      </w:r>
      <w:r w:rsidRPr="006E2F18">
        <w:rPr>
          <w:b w:val="0"/>
          <w:sz w:val="25"/>
          <w:szCs w:val="25"/>
        </w:rPr>
        <w:t xml:space="preserve">, por lo que consiguientemente no se dejó al administrado en estado de indefensión, </w:t>
      </w:r>
      <w:r w:rsidR="00763684" w:rsidRPr="006E2F18">
        <w:rPr>
          <w:b w:val="0"/>
          <w:sz w:val="25"/>
          <w:szCs w:val="25"/>
        </w:rPr>
        <w:t xml:space="preserve">al invocar </w:t>
      </w:r>
      <w:r w:rsidR="00C335A6" w:rsidRPr="006E2F18">
        <w:rPr>
          <w:b w:val="0"/>
          <w:sz w:val="25"/>
          <w:szCs w:val="25"/>
        </w:rPr>
        <w:t xml:space="preserve">los preceptos </w:t>
      </w:r>
      <w:r w:rsidRPr="006E2F18">
        <w:rPr>
          <w:b w:val="0"/>
          <w:sz w:val="25"/>
          <w:szCs w:val="25"/>
        </w:rPr>
        <w:t>que sirvieron para fundamentar su actuar.  Sirve de apoyo a lo anterior, la Jurisprudencia,</w:t>
      </w:r>
      <w:r w:rsidR="00BA72D2" w:rsidRPr="006E2F18">
        <w:rPr>
          <w:b w:val="0"/>
          <w:sz w:val="25"/>
          <w:szCs w:val="25"/>
        </w:rPr>
        <w:t xml:space="preserve"> número P./J. 10/94</w:t>
      </w:r>
      <w:r w:rsidR="006800CF" w:rsidRPr="006E2F18">
        <w:rPr>
          <w:b w:val="0"/>
          <w:sz w:val="25"/>
          <w:szCs w:val="25"/>
        </w:rPr>
        <w:t xml:space="preserve"> </w:t>
      </w:r>
      <w:r w:rsidR="00BA72D2" w:rsidRPr="006E2F18">
        <w:rPr>
          <w:b w:val="0"/>
          <w:sz w:val="25"/>
          <w:szCs w:val="25"/>
        </w:rPr>
        <w:t xml:space="preserve">con número de registro </w:t>
      </w:r>
      <w:r w:rsidR="006800CF" w:rsidRPr="006E2F18">
        <w:rPr>
          <w:b w:val="0"/>
          <w:sz w:val="25"/>
          <w:szCs w:val="25"/>
        </w:rPr>
        <w:t>205463 por el Pleno de la Suprema Corte de Justicia de la Nación en la Gaceta del Semanario Judicial de la Federación Núm. 77, Mayo de 1994, Pág. 12, Octava Época, bajo el rubro y texto siguiente</w:t>
      </w:r>
      <w:r w:rsidRPr="006E2F18">
        <w:rPr>
          <w:b w:val="0"/>
          <w:sz w:val="25"/>
          <w:szCs w:val="25"/>
        </w:rPr>
        <w:t>:</w:t>
      </w:r>
      <w:r w:rsidR="006800CF" w:rsidRPr="006E2F18">
        <w:rPr>
          <w:b w:val="0"/>
          <w:sz w:val="25"/>
          <w:szCs w:val="25"/>
        </w:rPr>
        <w:t xml:space="preserve">- - - - - - - - - - - </w:t>
      </w:r>
    </w:p>
    <w:p w:rsidR="00FD7D90" w:rsidRPr="006E2F18" w:rsidRDefault="006E2F18" w:rsidP="006800CF">
      <w:pPr>
        <w:pStyle w:val="corte3centro"/>
        <w:spacing w:after="240" w:line="276" w:lineRule="auto"/>
        <w:ind w:left="567" w:right="618"/>
        <w:jc w:val="both"/>
        <w:rPr>
          <w:b w:val="0"/>
          <w:sz w:val="25"/>
          <w:szCs w:val="25"/>
        </w:rPr>
      </w:pPr>
      <w:r>
        <w:rPr>
          <w:noProof/>
          <w:lang w:val="es-MX" w:eastAsia="es-MX"/>
        </w:rPr>
        <w:lastRenderedPageBreak/>
        <mc:AlternateContent>
          <mc:Choice Requires="wps">
            <w:drawing>
              <wp:anchor distT="0" distB="0" distL="114300" distR="114300" simplePos="0" relativeHeight="251667456" behindDoc="0" locked="0" layoutInCell="1" allowOverlap="1">
                <wp:simplePos x="0" y="0"/>
                <wp:positionH relativeFrom="column">
                  <wp:posOffset>-1190625</wp:posOffset>
                </wp:positionH>
                <wp:positionV relativeFrom="paragraph">
                  <wp:posOffset>4116070</wp:posOffset>
                </wp:positionV>
                <wp:extent cx="1267460" cy="866775"/>
                <wp:effectExtent l="0" t="0" r="27940" b="28575"/>
                <wp:wrapNone/>
                <wp:docPr id="8"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7460" cy="866775"/>
                        </a:xfrm>
                        <a:prstGeom prst="rect">
                          <a:avLst/>
                        </a:prstGeom>
                        <a:solidFill>
                          <a:srgbClr val="FFFFFF"/>
                        </a:solidFill>
                        <a:ln w="9525">
                          <a:solidFill>
                            <a:srgbClr val="000000"/>
                          </a:solidFill>
                          <a:miter lim="800000"/>
                          <a:headEnd/>
                          <a:tailEnd/>
                        </a:ln>
                      </wps:spPr>
                      <wps:txbx>
                        <w:txbxContent>
                          <w:p w:rsidR="006E2F18" w:rsidRPr="004E1E18" w:rsidRDefault="006E2F18" w:rsidP="006E2F18">
                            <w:pPr>
                              <w:rPr>
                                <w:lang w:val="es-MX"/>
                              </w:rPr>
                            </w:pPr>
                            <w:r w:rsidRPr="004E1E18">
                              <w:rPr>
                                <w:rFonts w:ascii="Arial" w:hAnsi="Arial" w:cs="Arial"/>
                                <w:lang w:val="es-MX"/>
                              </w:rPr>
                              <w:t>Datos personales protegidos por el Art 116 de la LGTAIP y el Art 56  de la LTAIPEO</w:t>
                            </w:r>
                            <w:r>
                              <w:rPr>
                                <w:lang w:val="es-MX"/>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93.75pt;margin-top:324.1pt;width:99.8pt;height:68.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">
                <v:textbox>
                  <w:txbxContent>
                    <w:p w:rsidR="006E2F18" w:rsidRPr="004E1E18" w:rsidRDefault="006E2F18" w:rsidP="006E2F18">
                      <w:pPr>
                        <w:rPr>
                          <w:lang w:val="es-MX"/>
                        </w:rPr>
                      </w:pPr>
                      <w:r w:rsidRPr="004E1E18">
                        <w:rPr>
                          <w:rFonts w:ascii="Arial" w:hAnsi="Arial" w:cs="Arial"/>
                          <w:lang w:val="es-MX"/>
                        </w:rPr>
                        <w:t>Datos personales protegidos por el Art 116 de la LGTAIP y el Art 56  de la LTAIPEO</w:t>
                      </w:r>
                      <w:r>
                        <w:rPr>
                          <w:lang w:val="es-MX"/>
                        </w:rPr>
                        <w:t>.</w:t>
                      </w:r>
                    </w:p>
                  </w:txbxContent>
                </v:textbox>
              </v:shape>
            </w:pict>
          </mc:Fallback>
        </mc:AlternateContent>
      </w:r>
      <w:r w:rsidR="00FD7D90" w:rsidRPr="006E2F18">
        <w:rPr>
          <w:sz w:val="25"/>
          <w:szCs w:val="25"/>
        </w:rPr>
        <w:t>COMPETENCIA SU FUNDAMENTACIÓN ES REQUISITO</w:t>
      </w:r>
      <w:r w:rsidR="006800CF" w:rsidRPr="006E2F18">
        <w:rPr>
          <w:sz w:val="25"/>
          <w:szCs w:val="25"/>
        </w:rPr>
        <w:t xml:space="preserve"> ESENCIAL DEL ACTO DE AUTORIDAD. </w:t>
      </w:r>
      <w:r w:rsidR="006800CF" w:rsidRPr="006E2F18">
        <w:rPr>
          <w:b w:val="0"/>
          <w:sz w:val="25"/>
          <w:szCs w:val="25"/>
        </w:rPr>
        <w:t>Haciendo una interpretación armónica de las garantías individuales de legalidad y seguridad jurídica que consagran los artículos 14 y 16 constitucionales, se advierte que los actos de molestia y privación deben, entre otros requisitos, ser emitidos por autoridad competente y cumplir las formalidades esenciales que les den eficacia jurídica, lo que significa que todo acto de autoridad necesariamente debe emitirse por quien para ello esté facultado expresándose, como parte de las formalidades esenciales, el carácter con que se suscribe y el dispositivo, acuerdo o decreto que otorgue tal legitimación. De lo contrario, se dejaría al afectado en estado de indefensión, ya que al no conocer el apoyo que faculte a la autoridad para emitir el acto, ni el carácter con que lo emita, es evidente que no se le otorga la oportunidad de examinar si su actuación se encuentra o no dentro del ámbito competencial respectivo, y es conforme o no a la Constitución o a la ley; para que, en su caso, esté en aptitud de alegar, además de la ilegalidad del acto, la del apoyo en que se funde la autoridad para emitirlo, pues bien puede acontecer que su actuación no se adecúe exactamente a la norma, acuerdo o decreto que invoque, o que éstos se hallen en contradicción con la ley fundamental o la secundaria.</w:t>
      </w:r>
    </w:p>
    <w:p w:rsidR="00FD7D90" w:rsidRPr="006E2F18" w:rsidRDefault="00C705FB" w:rsidP="006800CF">
      <w:pPr>
        <w:spacing w:after="240" w:line="360" w:lineRule="auto"/>
        <w:ind w:right="51" w:firstLine="567"/>
        <w:jc w:val="both"/>
        <w:rPr>
          <w:rFonts w:ascii="Arial" w:hAnsi="Arial" w:cs="Arial"/>
          <w:bCs/>
          <w:sz w:val="25"/>
          <w:szCs w:val="25"/>
        </w:rPr>
      </w:pPr>
      <w:r w:rsidRPr="006E2F18">
        <w:rPr>
          <w:rFonts w:ascii="Arial" w:hAnsi="Arial" w:cs="Arial"/>
          <w:bCs/>
          <w:sz w:val="25"/>
          <w:szCs w:val="25"/>
        </w:rPr>
        <w:t>De igual forma, p</w:t>
      </w:r>
      <w:r w:rsidR="00FD7D90" w:rsidRPr="006E2F18">
        <w:rPr>
          <w:rFonts w:ascii="Arial" w:hAnsi="Arial" w:cs="Arial"/>
          <w:bCs/>
          <w:sz w:val="25"/>
          <w:szCs w:val="25"/>
        </w:rPr>
        <w:t>or analogía, sirve de sustento</w:t>
      </w:r>
      <w:r w:rsidRPr="006E2F18">
        <w:rPr>
          <w:rFonts w:ascii="Arial" w:hAnsi="Arial" w:cs="Arial"/>
          <w:bCs/>
          <w:sz w:val="25"/>
          <w:szCs w:val="25"/>
        </w:rPr>
        <w:t xml:space="preserve"> la</w:t>
      </w:r>
      <w:r w:rsidR="00FD7D90" w:rsidRPr="006E2F18">
        <w:rPr>
          <w:rFonts w:ascii="Arial" w:hAnsi="Arial" w:cs="Arial"/>
          <w:bCs/>
          <w:sz w:val="25"/>
          <w:szCs w:val="25"/>
        </w:rPr>
        <w:t xml:space="preserve"> Jurisprudencia </w:t>
      </w:r>
      <w:r w:rsidRPr="006E2F18">
        <w:rPr>
          <w:rFonts w:ascii="Arial" w:hAnsi="Arial" w:cs="Arial"/>
          <w:bCs/>
          <w:sz w:val="25"/>
          <w:szCs w:val="25"/>
        </w:rPr>
        <w:t>número 2a./J. 57/2001 con número de registro 188432 por la Segunda Sala de la Suprema Corte de Justicia de la Nación en el</w:t>
      </w:r>
      <w:r w:rsidR="00FD7D90" w:rsidRPr="006E2F18">
        <w:rPr>
          <w:rFonts w:ascii="Arial" w:hAnsi="Arial" w:cs="Arial"/>
          <w:bCs/>
          <w:sz w:val="25"/>
          <w:szCs w:val="25"/>
        </w:rPr>
        <w:t xml:space="preserve"> Semanario Judicial de la Federación y su Gaceta, Tomo XIV, Noviembre de 2001,</w:t>
      </w:r>
      <w:r w:rsidR="00944C14" w:rsidRPr="006E2F18">
        <w:rPr>
          <w:rFonts w:ascii="Arial" w:hAnsi="Arial" w:cs="Arial"/>
          <w:bCs/>
          <w:sz w:val="25"/>
          <w:szCs w:val="25"/>
        </w:rPr>
        <w:t xml:space="preserve"> Pág. 91,</w:t>
      </w:r>
      <w:r w:rsidR="00FD7D90" w:rsidRPr="006E2F18">
        <w:rPr>
          <w:rFonts w:ascii="Arial" w:hAnsi="Arial" w:cs="Arial"/>
          <w:bCs/>
          <w:sz w:val="25"/>
          <w:szCs w:val="25"/>
        </w:rPr>
        <w:t xml:space="preserve"> Novena Época, Materia Administrativa, bajo el rubro y texto siguientes</w:t>
      </w:r>
      <w:r w:rsidR="00944C14" w:rsidRPr="006E2F18">
        <w:rPr>
          <w:rFonts w:ascii="Arial" w:hAnsi="Arial" w:cs="Arial"/>
          <w:bCs/>
          <w:sz w:val="25"/>
          <w:szCs w:val="25"/>
        </w:rPr>
        <w:t xml:space="preserve">:- - - - - - - - - - - - </w:t>
      </w:r>
    </w:p>
    <w:p w:rsidR="00FD7D90" w:rsidRPr="006E2F18" w:rsidRDefault="00FD7D90" w:rsidP="00944C14">
      <w:pPr>
        <w:autoSpaceDE w:val="0"/>
        <w:autoSpaceDN w:val="0"/>
        <w:adjustRightInd w:val="0"/>
        <w:spacing w:after="240" w:line="276" w:lineRule="auto"/>
        <w:ind w:left="567" w:right="618" w:hanging="567"/>
        <w:jc w:val="both"/>
        <w:rPr>
          <w:rFonts w:ascii="Arial" w:hAnsi="Arial"/>
          <w:sz w:val="25"/>
          <w:szCs w:val="25"/>
          <w:lang w:eastAsia="en-US"/>
        </w:rPr>
      </w:pPr>
      <w:r w:rsidRPr="006E2F18">
        <w:rPr>
          <w:rFonts w:ascii="Arial" w:hAnsi="Arial"/>
          <w:b/>
          <w:sz w:val="25"/>
          <w:szCs w:val="25"/>
          <w:lang w:val="es-MX" w:eastAsia="en-US"/>
        </w:rPr>
        <w:t xml:space="preserve">         COMPETENCIA DE LAS AUTORIDADES ADMINISTRATIVAS. EN EL MANDAMIENTO ESCRITO QUE CONTIENE EL ACTO DE MOLESTIA, DEBE SEÑALARSE CON PRECISIÓN EL PRECEPTO LEGAL QUE LES OTORGUE LA ATRIBUCIÓN EJERCIDA Y, EN SU CASO, LA RESPECTIVA FRACCIÓN, INCISO Y SUBINCISO. </w:t>
      </w:r>
      <w:r w:rsidR="00944C14" w:rsidRPr="006E2F18">
        <w:rPr>
          <w:rFonts w:ascii="Arial" w:hAnsi="Arial"/>
          <w:sz w:val="25"/>
          <w:szCs w:val="25"/>
          <w:lang w:val="es-MX" w:eastAsia="en-US"/>
        </w:rPr>
        <w:t xml:space="preserve">De lo dispuesto en la tesis de jurisprudencia P./J. 10/94 del Tribunal Pleno de la Suprema Corte de Justicia de la Nación, publicada en la Gaceta del Semanario Judicial de la Federación, Número 77, mayo de 1994, página 12, de rubro: "COMPETENCIA. SU FUNDAMENTACIÓN ES REQUISITO ESENCIAL DEL ACTO DE AUTORIDAD.", así como de las consideraciones en las cuales se sustentó dicho criterio, se desprende que la garantía de fundamentación consagrada en el artículo 16 de la Constitución Política de los Estados Unidos Mexicanos, lleva implícita la idea de exactitud y precisión en la cita de las normas legales que facultan a la autoridad administrativa para emitir el acto de molestia de que se trate, al atender al valor jurídicamente protegido por la exigencia constitucional, que es la posibilidad de otorgar certeza y seguridad jurídica al particular frente a los actos de las autoridades que afecten o lesionen su interés jurídico y, por tanto, asegurar la prerrogativa de </w:t>
      </w:r>
      <w:r w:rsidR="00944C14" w:rsidRPr="006E2F18">
        <w:rPr>
          <w:rFonts w:ascii="Arial" w:hAnsi="Arial"/>
          <w:sz w:val="25"/>
          <w:szCs w:val="25"/>
          <w:lang w:val="es-MX" w:eastAsia="en-US"/>
        </w:rPr>
        <w:lastRenderedPageBreak/>
        <w:t>su defensa, ante un acto que no cumpla con los requisitos legales necesarios. En congruencia con lo anterior, resulta inconcuso que para estimar satisfecha la garantía de la debida fundamentación, que establece dicho precepto constitucional, por lo que hace a la competencia de la autoridad administrativa para emitir el acto de molestia es necesario que en el documento que se contenga se invoquen las disposiciones legales, acuerdo o decreto que otorgan facultades a la autoridad emisora y, en caso de que estas normas incluyan diversos supuestos, se precisen con claridad y detalle, el apartado, la fracción o fracciones, incisos y subincisos, en que apoya su actuación; pues de no ser así, se dejaría al gobernado en estado de indefensión, toda vez que se traduciría en que éste ignorara si el proceder de la autoridad se encuentra o no dentro del ámbito competencial respectivo por razón de materia, grado y territorio y, en consecuencia, si está o no ajustado a derecho. Esto es así, porque no es permisible abrigar en la garantía individual en cuestión ninguna clase de ambigüedad, ya que su finalidad consiste, esencialmente, en una exacta individualización del acto de autoridad, de acuerdo a la hipótesis jurídica en que se ubique el gobernado en relación con las facultades de la autoridad, por razones de seguridad jurídica.</w:t>
      </w:r>
      <w:r w:rsidR="006E2F18" w:rsidRPr="006E2F18">
        <w:rPr>
          <w:noProof/>
          <w:lang w:val="es-MX"/>
        </w:rPr>
        <w:t xml:space="preserve"> </w:t>
      </w:r>
    </w:p>
    <w:p w:rsidR="009C7F8E" w:rsidRPr="006E2F18" w:rsidRDefault="006E2F18" w:rsidP="00EF4D3D">
      <w:pPr>
        <w:spacing w:after="240" w:line="360" w:lineRule="auto"/>
        <w:ind w:firstLine="567"/>
        <w:jc w:val="both"/>
        <w:rPr>
          <w:rFonts w:ascii="Arial" w:hAnsi="Arial" w:cs="Arial"/>
          <w:sz w:val="25"/>
          <w:szCs w:val="25"/>
          <w:lang w:val="es-MX" w:eastAsia="en-US"/>
        </w:rPr>
      </w:pPr>
      <w:r>
        <w:rPr>
          <w:noProof/>
          <w:lang w:val="es-MX"/>
        </w:rPr>
        <mc:AlternateContent>
          <mc:Choice Requires="wps">
            <w:drawing>
              <wp:anchor distT="0" distB="0" distL="114300" distR="114300" simplePos="0" relativeHeight="251669504" behindDoc="0" locked="0" layoutInCell="1" allowOverlap="1">
                <wp:simplePos x="0" y="0"/>
                <wp:positionH relativeFrom="column">
                  <wp:posOffset>5654675</wp:posOffset>
                </wp:positionH>
                <wp:positionV relativeFrom="paragraph">
                  <wp:posOffset>-1224280</wp:posOffset>
                </wp:positionV>
                <wp:extent cx="1267460" cy="866775"/>
                <wp:effectExtent l="0" t="0" r="27940" b="28575"/>
                <wp:wrapNone/>
                <wp:docPr id="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7460" cy="866775"/>
                        </a:xfrm>
                        <a:prstGeom prst="rect">
                          <a:avLst/>
                        </a:prstGeom>
                        <a:solidFill>
                          <a:srgbClr val="FFFFFF"/>
                        </a:solidFill>
                        <a:ln w="9525">
                          <a:solidFill>
                            <a:srgbClr val="000000"/>
                          </a:solidFill>
                          <a:miter lim="800000"/>
                          <a:headEnd/>
                          <a:tailEnd/>
                        </a:ln>
                      </wps:spPr>
                      <wps:txbx>
                        <w:txbxContent>
                          <w:p w:rsidR="006E2F18" w:rsidRPr="004E1E18" w:rsidRDefault="006E2F18" w:rsidP="006E2F18">
                            <w:pPr>
                              <w:rPr>
                                <w:lang w:val="es-MX"/>
                              </w:rPr>
                            </w:pPr>
                            <w:r w:rsidRPr="004E1E18">
                              <w:rPr>
                                <w:rFonts w:ascii="Arial" w:hAnsi="Arial" w:cs="Arial"/>
                                <w:lang w:val="es-MX"/>
                              </w:rPr>
                              <w:t>Datos personales protegidos por el Art 116 de la LGTAIP y el Art 56  de la LTAIPEO</w:t>
                            </w:r>
                            <w:r>
                              <w:rPr>
                                <w:lang w:val="es-MX"/>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left:0;text-align:left;margin-left:445.25pt;margin-top:-96.4pt;width:99.8pt;height:68.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">
                <v:textbox>
                  <w:txbxContent>
                    <w:p w:rsidR="006E2F18" w:rsidRPr="004E1E18" w:rsidRDefault="006E2F18" w:rsidP="006E2F18">
                      <w:pPr>
                        <w:rPr>
                          <w:lang w:val="es-MX"/>
                        </w:rPr>
                      </w:pPr>
                      <w:r w:rsidRPr="004E1E18">
                        <w:rPr>
                          <w:rFonts w:ascii="Arial" w:hAnsi="Arial" w:cs="Arial"/>
                          <w:lang w:val="es-MX"/>
                        </w:rPr>
                        <w:t>Datos personales protegidos por el Art 116 de la LGTAIP y el Art 56  de la LTAIPEO</w:t>
                      </w:r>
                      <w:r>
                        <w:rPr>
                          <w:lang w:val="es-MX"/>
                        </w:rPr>
                        <w:t>.</w:t>
                      </w:r>
                    </w:p>
                  </w:txbxContent>
                </v:textbox>
              </v:shape>
            </w:pict>
          </mc:Fallback>
        </mc:AlternateContent>
      </w:r>
      <w:r w:rsidR="00271915" w:rsidRPr="006E2F18">
        <w:rPr>
          <w:rFonts w:ascii="Arial" w:hAnsi="Arial" w:cs="Arial"/>
          <w:sz w:val="25"/>
          <w:szCs w:val="25"/>
        </w:rPr>
        <w:t>Ahora bien</w:t>
      </w:r>
      <w:r w:rsidR="009C7F8E" w:rsidRPr="006E2F18">
        <w:rPr>
          <w:rFonts w:ascii="Arial" w:hAnsi="Arial" w:cs="Arial"/>
          <w:sz w:val="25"/>
          <w:szCs w:val="25"/>
        </w:rPr>
        <w:t xml:space="preserve">, continuando con </w:t>
      </w:r>
      <w:r w:rsidR="006213D9" w:rsidRPr="006E2F18">
        <w:rPr>
          <w:rFonts w:ascii="Arial" w:hAnsi="Arial" w:cs="Arial"/>
          <w:sz w:val="25"/>
          <w:szCs w:val="25"/>
        </w:rPr>
        <w:t>la resolución</w:t>
      </w:r>
      <w:r w:rsidR="00271915" w:rsidRPr="006E2F18">
        <w:rPr>
          <w:rFonts w:ascii="Arial" w:hAnsi="Arial" w:cs="Arial"/>
          <w:sz w:val="25"/>
          <w:szCs w:val="25"/>
        </w:rPr>
        <w:t xml:space="preserve"> combatida</w:t>
      </w:r>
      <w:r w:rsidR="00FB133A" w:rsidRPr="006E2F18">
        <w:rPr>
          <w:rFonts w:ascii="Arial" w:hAnsi="Arial" w:cs="Arial"/>
          <w:sz w:val="25"/>
          <w:szCs w:val="25"/>
        </w:rPr>
        <w:t xml:space="preserve">, esta Sala </w:t>
      </w:r>
      <w:r w:rsidR="00C335A6" w:rsidRPr="006E2F18">
        <w:rPr>
          <w:rFonts w:ascii="Arial" w:hAnsi="Arial" w:cs="Arial"/>
          <w:sz w:val="25"/>
          <w:szCs w:val="25"/>
        </w:rPr>
        <w:t xml:space="preserve">analiza </w:t>
      </w:r>
      <w:r w:rsidR="00FB133A" w:rsidRPr="006E2F18">
        <w:rPr>
          <w:rFonts w:ascii="Arial" w:hAnsi="Arial" w:cs="Arial"/>
          <w:sz w:val="25"/>
          <w:szCs w:val="25"/>
        </w:rPr>
        <w:t xml:space="preserve">el concepto de impugnación </w:t>
      </w:r>
      <w:r w:rsidR="00FB133A" w:rsidRPr="006E2F18">
        <w:rPr>
          <w:rFonts w:ascii="Arial" w:hAnsi="Arial" w:cs="Arial"/>
          <w:sz w:val="25"/>
          <w:szCs w:val="25"/>
          <w:u w:val="single"/>
        </w:rPr>
        <w:t>ÚNICO</w:t>
      </w:r>
      <w:r w:rsidR="00C335A6" w:rsidRPr="006E2F18">
        <w:rPr>
          <w:rFonts w:ascii="Arial" w:hAnsi="Arial" w:cs="Arial"/>
          <w:sz w:val="25"/>
          <w:szCs w:val="25"/>
        </w:rPr>
        <w:t xml:space="preserve"> que hace valer el </w:t>
      </w:r>
      <w:r w:rsidR="00FB133A" w:rsidRPr="006E2F18">
        <w:rPr>
          <w:rFonts w:ascii="Arial" w:hAnsi="Arial" w:cs="Arial"/>
          <w:sz w:val="25"/>
          <w:szCs w:val="25"/>
        </w:rPr>
        <w:t xml:space="preserve"> actor</w:t>
      </w:r>
      <w:r w:rsidR="00C335A6" w:rsidRPr="006E2F18">
        <w:rPr>
          <w:rFonts w:ascii="Arial" w:hAnsi="Arial" w:cs="Arial"/>
          <w:sz w:val="25"/>
          <w:szCs w:val="25"/>
        </w:rPr>
        <w:t xml:space="preserve"> en contra de la </w:t>
      </w:r>
      <w:r w:rsidR="00390B31" w:rsidRPr="006E2F18">
        <w:rPr>
          <w:rFonts w:ascii="Arial" w:hAnsi="Arial" w:cs="Arial"/>
          <w:sz w:val="25"/>
          <w:szCs w:val="25"/>
        </w:rPr>
        <w:t>sanción consistente en la CONCLUSIÓN DEL SERVICIO POR SEPARACIÓN al cargo que ostentaba,</w:t>
      </w:r>
      <w:r w:rsidR="00390B31" w:rsidRPr="006E2F18">
        <w:rPr>
          <w:rFonts w:ascii="Arial" w:hAnsi="Arial" w:cs="Arial"/>
          <w:b/>
          <w:sz w:val="25"/>
          <w:szCs w:val="25"/>
        </w:rPr>
        <w:t xml:space="preserve"> </w:t>
      </w:r>
      <w:r w:rsidR="00C335A6" w:rsidRPr="006E2F18">
        <w:rPr>
          <w:rFonts w:ascii="Arial" w:hAnsi="Arial" w:cs="Arial"/>
          <w:sz w:val="25"/>
          <w:szCs w:val="25"/>
        </w:rPr>
        <w:t>argumentando</w:t>
      </w:r>
      <w:r w:rsidR="00C335A6" w:rsidRPr="006E2F18">
        <w:rPr>
          <w:rFonts w:ascii="Arial" w:hAnsi="Arial" w:cs="Arial"/>
          <w:b/>
          <w:sz w:val="25"/>
          <w:szCs w:val="25"/>
        </w:rPr>
        <w:t xml:space="preserve"> </w:t>
      </w:r>
      <w:r w:rsidR="00C335A6" w:rsidRPr="006E2F18">
        <w:rPr>
          <w:rFonts w:ascii="Arial" w:hAnsi="Arial" w:cs="Arial"/>
          <w:sz w:val="25"/>
          <w:szCs w:val="25"/>
        </w:rPr>
        <w:t xml:space="preserve">que </w:t>
      </w:r>
      <w:r w:rsidR="008E5902" w:rsidRPr="006E2F18">
        <w:rPr>
          <w:rFonts w:ascii="Arial" w:hAnsi="Arial" w:cs="Arial"/>
          <w:sz w:val="25"/>
          <w:szCs w:val="25"/>
        </w:rPr>
        <w:t>vulnera sus derechos e intereses</w:t>
      </w:r>
      <w:r w:rsidR="00C335A6" w:rsidRPr="006E2F18">
        <w:rPr>
          <w:rFonts w:ascii="Arial" w:hAnsi="Arial" w:cs="Arial"/>
          <w:sz w:val="25"/>
          <w:szCs w:val="25"/>
        </w:rPr>
        <w:t xml:space="preserve"> </w:t>
      </w:r>
      <w:r w:rsidR="000C6F4F" w:rsidRPr="006E2F18">
        <w:rPr>
          <w:rFonts w:ascii="Arial" w:hAnsi="Arial" w:cs="Arial"/>
          <w:sz w:val="25"/>
          <w:szCs w:val="25"/>
        </w:rPr>
        <w:t>toda vez</w:t>
      </w:r>
      <w:r w:rsidR="008E5902" w:rsidRPr="006E2F18">
        <w:rPr>
          <w:rFonts w:ascii="Arial" w:hAnsi="Arial" w:cs="Arial"/>
          <w:sz w:val="25"/>
          <w:szCs w:val="25"/>
        </w:rPr>
        <w:t xml:space="preserve"> que durante el desempeño de sus labores siempre observó una conducta positiva respetando la institución y cumpliendo con los deberes propios de su trabajo sin haber realizado falta alguna a las leyes y reglamentos que rigen a los integrantes de la Secretaría de Seguridad Pública</w:t>
      </w:r>
      <w:r w:rsidR="000C6F4F" w:rsidRPr="006E2F18">
        <w:rPr>
          <w:rFonts w:ascii="Arial" w:hAnsi="Arial" w:cs="Arial"/>
          <w:sz w:val="25"/>
          <w:szCs w:val="25"/>
        </w:rPr>
        <w:t>,</w:t>
      </w:r>
      <w:r w:rsidR="00390B31" w:rsidRPr="006E2F18">
        <w:rPr>
          <w:rFonts w:ascii="Arial" w:hAnsi="Arial" w:cs="Arial"/>
          <w:sz w:val="25"/>
          <w:szCs w:val="25"/>
        </w:rPr>
        <w:t xml:space="preserve"> por ello, en términos del artículo 206 de la Ley de Procedimiento y Justicia Administrativa para el Estado de Oaxaca, </w:t>
      </w:r>
      <w:r w:rsidR="00C335A6" w:rsidRPr="006E2F18">
        <w:rPr>
          <w:rFonts w:ascii="Arial" w:hAnsi="Arial" w:cs="Arial"/>
          <w:sz w:val="25"/>
          <w:szCs w:val="25"/>
        </w:rPr>
        <w:t xml:space="preserve">es menester analizar si el </w:t>
      </w:r>
      <w:r w:rsidR="00390B31" w:rsidRPr="006E2F18">
        <w:rPr>
          <w:rFonts w:ascii="Arial" w:hAnsi="Arial" w:cs="Arial"/>
          <w:sz w:val="25"/>
          <w:szCs w:val="25"/>
        </w:rPr>
        <w:t xml:space="preserve"> procedimiento se desarrolló conforme a l</w:t>
      </w:r>
      <w:r w:rsidR="00F01A5E" w:rsidRPr="006E2F18">
        <w:rPr>
          <w:rFonts w:ascii="Arial" w:hAnsi="Arial" w:cs="Arial"/>
          <w:sz w:val="25"/>
          <w:szCs w:val="25"/>
        </w:rPr>
        <w:t xml:space="preserve">o que establece </w:t>
      </w:r>
      <w:r w:rsidR="00C50A51" w:rsidRPr="006E2F18">
        <w:rPr>
          <w:rFonts w:ascii="Arial" w:hAnsi="Arial"/>
          <w:sz w:val="25"/>
          <w:szCs w:val="25"/>
          <w:lang w:val="es-MX" w:eastAsia="en-US"/>
        </w:rPr>
        <w:t>el artículo 129 de la Ley del Sistema Estatal de Seguridad Pública del Estado de Oaxaca</w:t>
      </w:r>
      <w:r w:rsidR="00F01A5E" w:rsidRPr="006E2F18">
        <w:rPr>
          <w:rFonts w:ascii="Arial" w:hAnsi="Arial"/>
          <w:sz w:val="25"/>
          <w:szCs w:val="25"/>
          <w:lang w:val="es-MX" w:eastAsia="en-US"/>
        </w:rPr>
        <w:t xml:space="preserve"> el cual </w:t>
      </w:r>
      <w:r w:rsidR="00C50A51" w:rsidRPr="006E2F18">
        <w:rPr>
          <w:rFonts w:ascii="Arial" w:hAnsi="Arial"/>
          <w:sz w:val="25"/>
          <w:szCs w:val="25"/>
          <w:lang w:val="es-MX" w:eastAsia="en-US"/>
        </w:rPr>
        <w:t xml:space="preserve"> </w:t>
      </w:r>
      <w:r w:rsidR="00C50A51" w:rsidRPr="006E2F18">
        <w:rPr>
          <w:rFonts w:ascii="Arial" w:hAnsi="Arial" w:cs="Arial"/>
          <w:sz w:val="25"/>
          <w:szCs w:val="25"/>
          <w:lang w:val="es-MX" w:eastAsia="en-US"/>
        </w:rPr>
        <w:t xml:space="preserve">señala claramente el mecanismo </w:t>
      </w:r>
      <w:r w:rsidR="00C05916" w:rsidRPr="006E2F18">
        <w:rPr>
          <w:rFonts w:ascii="Arial" w:hAnsi="Arial" w:cs="Arial"/>
          <w:sz w:val="25"/>
          <w:szCs w:val="25"/>
          <w:lang w:val="es-MX" w:eastAsia="en-US"/>
        </w:rPr>
        <w:t>d</w:t>
      </w:r>
      <w:r w:rsidR="00C50A51" w:rsidRPr="006E2F18">
        <w:rPr>
          <w:rFonts w:ascii="Arial" w:hAnsi="Arial" w:cs="Arial"/>
          <w:sz w:val="25"/>
          <w:szCs w:val="25"/>
        </w:rPr>
        <w:t>el procedimiento que se instaure a los Integrantes de la Policía Estatal por incumplimiento a los requisitos de permanencia</w:t>
      </w:r>
      <w:r w:rsidR="00EF4D3D" w:rsidRPr="006E2F18">
        <w:rPr>
          <w:rFonts w:ascii="Arial" w:hAnsi="Arial" w:cs="Arial"/>
          <w:sz w:val="25"/>
          <w:szCs w:val="25"/>
        </w:rPr>
        <w:t xml:space="preserve"> o por infracción al régimen disciplinario</w:t>
      </w:r>
      <w:r w:rsidR="00C50A51" w:rsidRPr="006E2F18">
        <w:rPr>
          <w:rFonts w:ascii="Arial" w:hAnsi="Arial" w:cs="Arial"/>
          <w:sz w:val="25"/>
          <w:szCs w:val="25"/>
          <w:lang w:val="es-MX" w:eastAsia="en-US"/>
        </w:rPr>
        <w:t>, que para mayor comprensión se transcribe:</w:t>
      </w:r>
      <w:r w:rsidR="00052518" w:rsidRPr="006E2F18">
        <w:rPr>
          <w:rFonts w:ascii="Arial" w:hAnsi="Arial" w:cs="Arial"/>
          <w:sz w:val="25"/>
          <w:szCs w:val="25"/>
          <w:lang w:val="es-MX" w:eastAsia="en-US"/>
        </w:rPr>
        <w:t>- - - - - - - - - -</w:t>
      </w:r>
      <w:r w:rsidR="00390B31" w:rsidRPr="006E2F18">
        <w:rPr>
          <w:rFonts w:ascii="Arial" w:hAnsi="Arial" w:cs="Arial"/>
          <w:sz w:val="25"/>
          <w:szCs w:val="25"/>
          <w:lang w:val="es-MX" w:eastAsia="en-US"/>
        </w:rPr>
        <w:t xml:space="preserve"> </w:t>
      </w:r>
    </w:p>
    <w:p w:rsidR="00EF4D3D" w:rsidRPr="006E2F18" w:rsidRDefault="00C50A51" w:rsidP="00EF4D3D">
      <w:pPr>
        <w:spacing w:after="240" w:line="276" w:lineRule="auto"/>
        <w:ind w:left="567" w:right="618"/>
        <w:jc w:val="both"/>
        <w:rPr>
          <w:rFonts w:ascii="Arial" w:hAnsi="Arial" w:cs="Arial"/>
          <w:i/>
          <w:sz w:val="25"/>
          <w:szCs w:val="25"/>
        </w:rPr>
      </w:pPr>
      <w:r w:rsidRPr="006E2F18">
        <w:rPr>
          <w:rFonts w:ascii="Arial" w:hAnsi="Arial" w:cs="Arial"/>
          <w:b/>
          <w:i/>
          <w:sz w:val="25"/>
          <w:szCs w:val="25"/>
        </w:rPr>
        <w:t>Artículo 129.</w:t>
      </w:r>
      <w:r w:rsidRPr="006E2F18">
        <w:rPr>
          <w:rFonts w:ascii="Arial" w:hAnsi="Arial" w:cs="Arial"/>
          <w:i/>
          <w:sz w:val="25"/>
          <w:szCs w:val="25"/>
        </w:rPr>
        <w:t xml:space="preserve"> El procedimiento que se instaure a los Integrantes de la Policía Estatal por incumplimiento a los requisitos de permanencia o por infracción al régimen disciplinario ante el Consejo Estatal de Desarrollo Policial, iniciará por solicitud fundada y motivada del responsable de la Dirección General de Asuntos Internos, dirigida al Presidente del Consejo Estatal y remitiendo para tal efecto el expediente del presunto infractor. </w:t>
      </w:r>
    </w:p>
    <w:p w:rsidR="00EF4D3D" w:rsidRPr="006E2F18" w:rsidRDefault="00C50A51" w:rsidP="00EF4D3D">
      <w:pPr>
        <w:spacing w:after="240" w:line="276" w:lineRule="auto"/>
        <w:ind w:left="567" w:right="618"/>
        <w:jc w:val="both"/>
        <w:rPr>
          <w:rFonts w:ascii="Arial" w:hAnsi="Arial" w:cs="Arial"/>
          <w:i/>
          <w:sz w:val="25"/>
          <w:szCs w:val="25"/>
        </w:rPr>
      </w:pPr>
      <w:r w:rsidRPr="006E2F18">
        <w:rPr>
          <w:rFonts w:ascii="Arial" w:hAnsi="Arial" w:cs="Arial"/>
          <w:i/>
          <w:sz w:val="25"/>
          <w:szCs w:val="25"/>
        </w:rPr>
        <w:lastRenderedPageBreak/>
        <w:t>El presidente resolverá si ha lugar a iniciar procedimiento contra el presunto infractor, en caso contrario devolverá el expediente a la unidad remitente.</w:t>
      </w:r>
    </w:p>
    <w:p w:rsidR="009C7F8E" w:rsidRPr="006E2F18" w:rsidRDefault="00EF4D3D" w:rsidP="00EF4D3D">
      <w:pPr>
        <w:spacing w:after="240" w:line="276" w:lineRule="auto"/>
        <w:ind w:left="567" w:right="618"/>
        <w:jc w:val="both"/>
        <w:rPr>
          <w:rFonts w:ascii="Arial" w:hAnsi="Arial" w:cs="Arial"/>
          <w:i/>
          <w:sz w:val="25"/>
          <w:szCs w:val="25"/>
        </w:rPr>
      </w:pPr>
      <w:r w:rsidRPr="006E2F18">
        <w:rPr>
          <w:rFonts w:ascii="Arial" w:hAnsi="Arial" w:cs="Arial"/>
          <w:i/>
          <w:sz w:val="25"/>
          <w:szCs w:val="25"/>
        </w:rPr>
        <w:t>El responsable de la Dirección General de Asuntos Internos será nombrado por el Secretario; contará con autonomía de gestión y tendrá las atribuciones establecidas en la presente Ley, y demás disposiciones aplicables.</w:t>
      </w:r>
      <w:r w:rsidR="00C50A51" w:rsidRPr="006E2F18">
        <w:rPr>
          <w:rFonts w:ascii="Arial" w:hAnsi="Arial" w:cs="Arial"/>
          <w:i/>
          <w:sz w:val="25"/>
          <w:szCs w:val="25"/>
        </w:rPr>
        <w:t xml:space="preserve"> </w:t>
      </w:r>
    </w:p>
    <w:p w:rsidR="00E30041" w:rsidRPr="006E2F18" w:rsidRDefault="006E2F18" w:rsidP="00F503D0">
      <w:pPr>
        <w:spacing w:line="360" w:lineRule="auto"/>
        <w:ind w:right="51"/>
        <w:jc w:val="both"/>
        <w:rPr>
          <w:rFonts w:ascii="Arial" w:hAnsi="Arial" w:cs="Arial"/>
          <w:sz w:val="25"/>
          <w:szCs w:val="25"/>
        </w:rPr>
      </w:pPr>
      <w:r>
        <w:rPr>
          <w:noProof/>
          <w:lang w:val="es-MX"/>
        </w:rPr>
        <mc:AlternateContent>
          <mc:Choice Requires="wps">
            <w:drawing>
              <wp:anchor distT="0" distB="0" distL="114300" distR="114300" simplePos="0" relativeHeight="251671552" behindDoc="0" locked="0" layoutInCell="1" allowOverlap="1">
                <wp:simplePos x="0" y="0"/>
                <wp:positionH relativeFrom="column">
                  <wp:posOffset>-1431925</wp:posOffset>
                </wp:positionH>
                <wp:positionV relativeFrom="paragraph">
                  <wp:posOffset>2074545</wp:posOffset>
                </wp:positionV>
                <wp:extent cx="1267460" cy="866775"/>
                <wp:effectExtent l="0" t="0" r="27940" b="28575"/>
                <wp:wrapNone/>
                <wp:docPr id="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7460" cy="866775"/>
                        </a:xfrm>
                        <a:prstGeom prst="rect">
                          <a:avLst/>
                        </a:prstGeom>
                        <a:solidFill>
                          <a:srgbClr val="FFFFFF"/>
                        </a:solidFill>
                        <a:ln w="9525">
                          <a:solidFill>
                            <a:srgbClr val="000000"/>
                          </a:solidFill>
                          <a:miter lim="800000"/>
                          <a:headEnd/>
                          <a:tailEnd/>
                        </a:ln>
                      </wps:spPr>
                      <wps:txbx>
                        <w:txbxContent>
                          <w:p w:rsidR="006E2F18" w:rsidRPr="004E1E18" w:rsidRDefault="006E2F18" w:rsidP="006E2F18">
                            <w:pPr>
                              <w:rPr>
                                <w:lang w:val="es-MX"/>
                              </w:rPr>
                            </w:pPr>
                            <w:r w:rsidRPr="004E1E18">
                              <w:rPr>
                                <w:rFonts w:ascii="Arial" w:hAnsi="Arial" w:cs="Arial"/>
                                <w:lang w:val="es-MX"/>
                              </w:rPr>
                              <w:t>Datos personales protegidos por el Art 116 de la LGTAIP y el Art 56  de la LTAIPEO</w:t>
                            </w:r>
                            <w:r>
                              <w:rPr>
                                <w:lang w:val="es-MX"/>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left:0;text-align:left;margin-left:-112.75pt;margin-top:163.35pt;width:99.8pt;height:68.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">
                <v:textbox>
                  <w:txbxContent>
                    <w:p w:rsidR="006E2F18" w:rsidRPr="004E1E18" w:rsidRDefault="006E2F18" w:rsidP="006E2F18">
                      <w:pPr>
                        <w:rPr>
                          <w:lang w:val="es-MX"/>
                        </w:rPr>
                      </w:pPr>
                      <w:r w:rsidRPr="004E1E18">
                        <w:rPr>
                          <w:rFonts w:ascii="Arial" w:hAnsi="Arial" w:cs="Arial"/>
                          <w:lang w:val="es-MX"/>
                        </w:rPr>
                        <w:t>Datos personales protegidos por el Art 116 de la LGTAIP y el Art 56  de la LTAIPEO</w:t>
                      </w:r>
                      <w:r>
                        <w:rPr>
                          <w:lang w:val="es-MX"/>
                        </w:rPr>
                        <w:t>.</w:t>
                      </w:r>
                    </w:p>
                  </w:txbxContent>
                </v:textbox>
              </v:shape>
            </w:pict>
          </mc:Fallback>
        </mc:AlternateContent>
      </w:r>
      <w:r w:rsidR="00EF4D3D" w:rsidRPr="006E2F18">
        <w:rPr>
          <w:rFonts w:ascii="Arial" w:hAnsi="Arial" w:cs="Arial"/>
          <w:sz w:val="25"/>
          <w:szCs w:val="25"/>
        </w:rPr>
        <w:tab/>
      </w:r>
      <w:r w:rsidR="00984BDE" w:rsidRPr="006E2F18">
        <w:rPr>
          <w:rFonts w:ascii="Arial" w:hAnsi="Arial" w:cs="Arial"/>
          <w:sz w:val="25"/>
          <w:szCs w:val="25"/>
        </w:rPr>
        <w:t>Del dispositivo legal antes</w:t>
      </w:r>
      <w:r w:rsidR="00C50A51" w:rsidRPr="006E2F18">
        <w:rPr>
          <w:rFonts w:ascii="Arial" w:hAnsi="Arial" w:cs="Arial"/>
          <w:sz w:val="25"/>
          <w:szCs w:val="25"/>
        </w:rPr>
        <w:t xml:space="preserve"> transcrito</w:t>
      </w:r>
      <w:r w:rsidR="00EC671F" w:rsidRPr="006E2F18">
        <w:rPr>
          <w:rFonts w:ascii="Arial" w:hAnsi="Arial" w:cs="Arial"/>
          <w:sz w:val="25"/>
          <w:szCs w:val="25"/>
        </w:rPr>
        <w:t xml:space="preserve"> y del caudal probatorio agregado a autos como lo es el expediente administrativo </w:t>
      </w:r>
      <w:r>
        <w:rPr>
          <w:rFonts w:ascii="Arial" w:hAnsi="Arial" w:cs="Arial"/>
          <w:sz w:val="25"/>
          <w:szCs w:val="25"/>
        </w:rPr>
        <w:t>**********</w:t>
      </w:r>
      <w:r w:rsidR="00C615EB" w:rsidRPr="006E2F18">
        <w:rPr>
          <w:rFonts w:ascii="Arial" w:hAnsi="Arial" w:cs="Arial"/>
          <w:sz w:val="25"/>
          <w:szCs w:val="25"/>
        </w:rPr>
        <w:t>, al cual se le concede valor probatorio pleno en términos del artículo 203 fracción I de la Ley de Procedimiento y Justicia Administrativa del Estado de Oaxaca</w:t>
      </w:r>
      <w:r w:rsidR="00C50A51" w:rsidRPr="006E2F18">
        <w:rPr>
          <w:rFonts w:ascii="Arial" w:hAnsi="Arial" w:cs="Arial"/>
          <w:sz w:val="25"/>
          <w:szCs w:val="25"/>
        </w:rPr>
        <w:t xml:space="preserve">, se advierte, que dicho procedimiento </w:t>
      </w:r>
      <w:r w:rsidR="00E30041" w:rsidRPr="006E2F18">
        <w:rPr>
          <w:rFonts w:ascii="Arial" w:hAnsi="Arial" w:cs="Arial"/>
          <w:sz w:val="25"/>
          <w:szCs w:val="25"/>
        </w:rPr>
        <w:t>inici</w:t>
      </w:r>
      <w:r w:rsidR="000B58B7" w:rsidRPr="006E2F18">
        <w:rPr>
          <w:rFonts w:ascii="Arial" w:hAnsi="Arial" w:cs="Arial"/>
          <w:sz w:val="25"/>
          <w:szCs w:val="25"/>
        </w:rPr>
        <w:t xml:space="preserve">ó con la </w:t>
      </w:r>
      <w:r w:rsidR="00F01A5E" w:rsidRPr="006E2F18">
        <w:rPr>
          <w:rFonts w:ascii="Arial" w:hAnsi="Arial" w:cs="Arial"/>
          <w:sz w:val="25"/>
          <w:szCs w:val="25"/>
        </w:rPr>
        <w:t xml:space="preserve">apertura </w:t>
      </w:r>
      <w:r w:rsidR="000B58B7" w:rsidRPr="006E2F18">
        <w:rPr>
          <w:rFonts w:ascii="Arial" w:hAnsi="Arial" w:cs="Arial"/>
          <w:sz w:val="25"/>
          <w:szCs w:val="25"/>
        </w:rPr>
        <w:t xml:space="preserve"> del expediente de investigación número </w:t>
      </w:r>
      <w:r>
        <w:rPr>
          <w:rFonts w:ascii="Arial" w:hAnsi="Arial" w:cs="Arial"/>
          <w:sz w:val="25"/>
          <w:szCs w:val="25"/>
        </w:rPr>
        <w:t>**********</w:t>
      </w:r>
      <w:r w:rsidR="000B58B7" w:rsidRPr="006E2F18">
        <w:rPr>
          <w:rFonts w:ascii="Arial" w:hAnsi="Arial" w:cs="Arial"/>
          <w:sz w:val="25"/>
          <w:szCs w:val="25"/>
        </w:rPr>
        <w:t xml:space="preserve">ante la Dirección General de Asuntos Internos de la Secretaría de Seguridad Pública del Estado de Oaxaca, </w:t>
      </w:r>
      <w:r w:rsidR="00F01A5E" w:rsidRPr="006E2F18">
        <w:rPr>
          <w:rFonts w:ascii="Arial" w:hAnsi="Arial" w:cs="Arial"/>
          <w:sz w:val="25"/>
          <w:szCs w:val="25"/>
        </w:rPr>
        <w:t xml:space="preserve">con </w:t>
      </w:r>
      <w:r w:rsidR="000B58B7" w:rsidRPr="006E2F18">
        <w:rPr>
          <w:rFonts w:ascii="Arial" w:hAnsi="Arial" w:cs="Arial"/>
          <w:sz w:val="25"/>
          <w:szCs w:val="25"/>
        </w:rPr>
        <w:t xml:space="preserve">valor probatorio pleno en términos del artículo 203 fracción I de la Ley de Procedimiento y Justicia Administrativa del Estado de Oaxaca, en cual obran </w:t>
      </w:r>
      <w:r w:rsidR="00F01A5E" w:rsidRPr="006E2F18">
        <w:rPr>
          <w:rFonts w:ascii="Arial" w:hAnsi="Arial" w:cs="Arial"/>
          <w:sz w:val="25"/>
          <w:szCs w:val="25"/>
        </w:rPr>
        <w:t xml:space="preserve">, </w:t>
      </w:r>
      <w:r w:rsidR="000B58B7" w:rsidRPr="006E2F18">
        <w:rPr>
          <w:rFonts w:ascii="Arial" w:hAnsi="Arial" w:cs="Arial"/>
          <w:sz w:val="25"/>
          <w:szCs w:val="25"/>
        </w:rPr>
        <w:t xml:space="preserve">entre otras pruebas, los resultados de la prueba de </w:t>
      </w:r>
      <w:r w:rsidR="000B58B7" w:rsidRPr="006E2F18">
        <w:rPr>
          <w:rFonts w:ascii="Arial" w:hAnsi="Arial" w:cs="Arial"/>
          <w:i/>
          <w:sz w:val="25"/>
          <w:szCs w:val="25"/>
        </w:rPr>
        <w:t xml:space="preserve">antidoping </w:t>
      </w:r>
      <w:r w:rsidR="000B58B7" w:rsidRPr="006E2F18">
        <w:rPr>
          <w:rFonts w:ascii="Arial" w:hAnsi="Arial" w:cs="Arial"/>
          <w:sz w:val="25"/>
          <w:szCs w:val="25"/>
        </w:rPr>
        <w:t xml:space="preserve">practicada al C. </w:t>
      </w:r>
      <w:r>
        <w:rPr>
          <w:rFonts w:ascii="Arial" w:hAnsi="Arial" w:cs="Arial"/>
          <w:sz w:val="25"/>
          <w:szCs w:val="25"/>
        </w:rPr>
        <w:t>**********</w:t>
      </w:r>
      <w:r w:rsidR="000B58B7" w:rsidRPr="006E2F18">
        <w:rPr>
          <w:rFonts w:ascii="Arial" w:hAnsi="Arial" w:cs="Arial"/>
          <w:sz w:val="25"/>
          <w:szCs w:val="25"/>
        </w:rPr>
        <w:t>, (foja 125) en la que resultaba positivo a cocaína</w:t>
      </w:r>
      <w:r w:rsidR="00135CF1" w:rsidRPr="006E2F18">
        <w:rPr>
          <w:rFonts w:ascii="Arial" w:hAnsi="Arial" w:cs="Arial"/>
          <w:sz w:val="25"/>
          <w:szCs w:val="25"/>
        </w:rPr>
        <w:t xml:space="preserve"> mediante la aplicación de diversos exámenes </w:t>
      </w:r>
      <w:r w:rsidR="000B58B7" w:rsidRPr="006E2F18">
        <w:rPr>
          <w:rFonts w:ascii="Arial" w:hAnsi="Arial" w:cs="Arial"/>
          <w:sz w:val="25"/>
          <w:szCs w:val="25"/>
        </w:rPr>
        <w:t xml:space="preserve"> </w:t>
      </w:r>
      <w:r w:rsidR="00F01A5E" w:rsidRPr="006E2F18">
        <w:rPr>
          <w:rFonts w:ascii="Arial" w:hAnsi="Arial" w:cs="Arial"/>
          <w:sz w:val="25"/>
          <w:szCs w:val="25"/>
        </w:rPr>
        <w:t>para que con posteri</w:t>
      </w:r>
      <w:r w:rsidR="00340333" w:rsidRPr="006E2F18">
        <w:rPr>
          <w:rFonts w:ascii="Arial" w:hAnsi="Arial" w:cs="Arial"/>
          <w:sz w:val="25"/>
          <w:szCs w:val="25"/>
        </w:rPr>
        <w:t xml:space="preserve">oridad </w:t>
      </w:r>
      <w:r w:rsidR="000B58B7" w:rsidRPr="006E2F18">
        <w:rPr>
          <w:rFonts w:ascii="Arial" w:hAnsi="Arial" w:cs="Arial"/>
          <w:sz w:val="25"/>
          <w:szCs w:val="25"/>
        </w:rPr>
        <w:t xml:space="preserve"> el Director General de Asuntos</w:t>
      </w:r>
      <w:r w:rsidR="00B06B46" w:rsidRPr="006E2F18">
        <w:rPr>
          <w:rFonts w:ascii="Arial" w:hAnsi="Arial" w:cs="Arial"/>
          <w:sz w:val="25"/>
          <w:szCs w:val="25"/>
        </w:rPr>
        <w:t xml:space="preserve"> Internos mediante resolución de fecha veintitrés de septiembre de dos mil dieciséis (fojas 238 a 244) tuvo por actualizado la falta de aprobación a los procesos de evaluación de control de confianza, por ello, estimó pertinente que la medida legal viable era la separación, por lo que dio intervención al Consejo Estatal de Desarrollo Policial de la Secretaría de Seguridad Pública del Estado para que iniciara el procedimiento a la que se refiere el artículo anteriormente transcrito, en consecuencia, mediante oficio SSP/DGAI/3345/2016 de fecha veintitrés de septiembre de dos mil diecis</w:t>
      </w:r>
      <w:r w:rsidR="00F8792A" w:rsidRPr="006E2F18">
        <w:rPr>
          <w:rFonts w:ascii="Arial" w:hAnsi="Arial" w:cs="Arial"/>
          <w:sz w:val="25"/>
          <w:szCs w:val="25"/>
        </w:rPr>
        <w:t>éis (foja 245</w:t>
      </w:r>
      <w:r w:rsidR="00B06B46" w:rsidRPr="006E2F18">
        <w:rPr>
          <w:rFonts w:ascii="Arial" w:hAnsi="Arial" w:cs="Arial"/>
          <w:sz w:val="25"/>
          <w:szCs w:val="25"/>
        </w:rPr>
        <w:t>)</w:t>
      </w:r>
      <w:r w:rsidR="00DE0A96" w:rsidRPr="006E2F18">
        <w:rPr>
          <w:rFonts w:ascii="Arial" w:hAnsi="Arial" w:cs="Arial"/>
          <w:sz w:val="25"/>
          <w:szCs w:val="25"/>
        </w:rPr>
        <w:t xml:space="preserve"> solicitó</w:t>
      </w:r>
      <w:r w:rsidR="00B06B46" w:rsidRPr="006E2F18">
        <w:rPr>
          <w:rFonts w:ascii="Arial" w:hAnsi="Arial" w:cs="Arial"/>
          <w:sz w:val="25"/>
          <w:szCs w:val="25"/>
        </w:rPr>
        <w:t xml:space="preserve"> </w:t>
      </w:r>
      <w:r w:rsidR="00DE0A96" w:rsidRPr="006E2F18">
        <w:rPr>
          <w:rFonts w:ascii="Arial" w:hAnsi="Arial" w:cs="Arial"/>
          <w:sz w:val="25"/>
          <w:szCs w:val="25"/>
        </w:rPr>
        <w:t xml:space="preserve">al Presidente del Consejo Estatal de Desarrollo Policial iniciar el procedimiento al que hace referencia el artículo 129 </w:t>
      </w:r>
      <w:r w:rsidR="00DE0A96" w:rsidRPr="006E2F18">
        <w:rPr>
          <w:rFonts w:ascii="Arial" w:hAnsi="Arial"/>
          <w:sz w:val="25"/>
          <w:szCs w:val="25"/>
          <w:lang w:val="es-MX" w:eastAsia="en-US"/>
        </w:rPr>
        <w:t xml:space="preserve">de la Ley del Sistema Estatal de Seguridad Pública del Estado de Oaxaca, remitiendo para tal efecto el expediente de investigación antes citado, </w:t>
      </w:r>
      <w:r w:rsidR="00670564" w:rsidRPr="006E2F18">
        <w:rPr>
          <w:rFonts w:ascii="Arial" w:hAnsi="Arial"/>
          <w:sz w:val="25"/>
          <w:szCs w:val="25"/>
          <w:lang w:val="es-MX" w:eastAsia="en-US"/>
        </w:rPr>
        <w:t xml:space="preserve">dando cumplimiento a lo dispuesto por el </w:t>
      </w:r>
      <w:r w:rsidR="00F503D0" w:rsidRPr="006E2F18">
        <w:rPr>
          <w:rFonts w:ascii="Arial" w:hAnsi="Arial" w:cs="Arial"/>
          <w:sz w:val="25"/>
          <w:szCs w:val="25"/>
        </w:rPr>
        <w:t xml:space="preserve">artículo 129 </w:t>
      </w:r>
      <w:r w:rsidR="00F503D0" w:rsidRPr="006E2F18">
        <w:rPr>
          <w:rFonts w:ascii="Arial" w:hAnsi="Arial"/>
          <w:sz w:val="25"/>
          <w:szCs w:val="25"/>
          <w:lang w:val="es-MX" w:eastAsia="en-US"/>
        </w:rPr>
        <w:t xml:space="preserve">de la Ley del Sistema Estatal de Seguridad Pública del Estado de Oaxaca.- - - - - - - - - - - - - - - </w:t>
      </w:r>
      <w:r w:rsidR="00A55071" w:rsidRPr="006E2F18">
        <w:rPr>
          <w:rFonts w:ascii="Arial" w:hAnsi="Arial"/>
          <w:sz w:val="25"/>
          <w:szCs w:val="25"/>
          <w:lang w:val="es-MX" w:eastAsia="en-US"/>
        </w:rPr>
        <w:t>- - - -</w:t>
      </w:r>
      <w:r>
        <w:rPr>
          <w:rFonts w:ascii="Arial" w:hAnsi="Arial"/>
          <w:sz w:val="25"/>
          <w:szCs w:val="25"/>
          <w:lang w:val="es-MX" w:eastAsia="en-US"/>
        </w:rPr>
        <w:t xml:space="preserve"> - - - - - - - - - - - - - - - - - - - - - - - - - - - - -</w:t>
      </w:r>
    </w:p>
    <w:p w:rsidR="00F503D0" w:rsidRPr="006E2F18" w:rsidRDefault="00F503D0" w:rsidP="007B37F3">
      <w:pPr>
        <w:spacing w:after="240" w:line="360" w:lineRule="auto"/>
        <w:ind w:right="51"/>
        <w:jc w:val="both"/>
        <w:rPr>
          <w:rFonts w:ascii="Arial" w:hAnsi="Arial"/>
          <w:sz w:val="25"/>
          <w:szCs w:val="25"/>
          <w:lang w:val="es-MX" w:eastAsia="en-US"/>
        </w:rPr>
      </w:pPr>
      <w:r w:rsidRPr="006E2F18">
        <w:rPr>
          <w:rFonts w:ascii="Arial" w:hAnsi="Arial"/>
          <w:sz w:val="25"/>
          <w:szCs w:val="25"/>
          <w:lang w:val="es-MX" w:eastAsia="en-US"/>
        </w:rPr>
        <w:tab/>
      </w:r>
      <w:r w:rsidR="00670564" w:rsidRPr="006E2F18">
        <w:rPr>
          <w:rFonts w:ascii="Arial" w:hAnsi="Arial"/>
          <w:sz w:val="25"/>
          <w:szCs w:val="25"/>
          <w:lang w:val="es-MX" w:eastAsia="en-US"/>
        </w:rPr>
        <w:t>En consecuencia, e</w:t>
      </w:r>
      <w:r w:rsidR="00C36A76" w:rsidRPr="006E2F18">
        <w:rPr>
          <w:rFonts w:ascii="Arial" w:hAnsi="Arial"/>
          <w:sz w:val="25"/>
          <w:szCs w:val="25"/>
          <w:lang w:val="es-MX" w:eastAsia="en-US"/>
        </w:rPr>
        <w:t xml:space="preserve">l </w:t>
      </w:r>
      <w:r w:rsidR="00F8792A" w:rsidRPr="006E2F18">
        <w:rPr>
          <w:rFonts w:ascii="Arial" w:hAnsi="Arial"/>
          <w:sz w:val="25"/>
          <w:szCs w:val="25"/>
          <w:lang w:val="es-MX" w:eastAsia="en-US"/>
        </w:rPr>
        <w:t xml:space="preserve">suplente del Presidente del Consejo Estatal de Desarrollo Policial, mediante acuerdo de fecha siete de octubre de dos mil dieciséis (fojas 246 a 249) ordenó formar el expediente SSP/CEDP/E.A/196/2016 </w:t>
      </w:r>
      <w:r w:rsidR="00911C9E" w:rsidRPr="006E2F18">
        <w:rPr>
          <w:rFonts w:ascii="Arial" w:hAnsi="Arial"/>
          <w:sz w:val="25"/>
          <w:szCs w:val="25"/>
          <w:lang w:val="es-MX" w:eastAsia="en-US"/>
        </w:rPr>
        <w:t xml:space="preserve">por medio del cual iniciaba un procedimiento de investigación complementaria para que esa autoridad estuviera en aptitud de resolver si ha lugar o no a iniciar el procedimiento antes descrito, con </w:t>
      </w:r>
      <w:r w:rsidR="00911C9E" w:rsidRPr="006E2F18">
        <w:rPr>
          <w:rFonts w:ascii="Arial" w:hAnsi="Arial"/>
          <w:sz w:val="25"/>
          <w:szCs w:val="25"/>
          <w:lang w:val="es-MX" w:eastAsia="en-US"/>
        </w:rPr>
        <w:lastRenderedPageBreak/>
        <w:t xml:space="preserve">fundamento en los </w:t>
      </w:r>
      <w:r w:rsidR="00054CF9" w:rsidRPr="006E2F18">
        <w:rPr>
          <w:rFonts w:ascii="Arial" w:hAnsi="Arial"/>
          <w:sz w:val="25"/>
          <w:szCs w:val="25"/>
          <w:lang w:val="es-MX" w:eastAsia="en-US"/>
        </w:rPr>
        <w:t xml:space="preserve">artículos 9 del Manual del Consejo Estatal de Desarrollo Policial y 36 segundo párrafo de la Ley de Justicia Administrativa para el Estado de Oaxaca de aplicación supletoria, mismos que a la letra </w:t>
      </w:r>
      <w:r w:rsidR="00086836" w:rsidRPr="006E2F18">
        <w:rPr>
          <w:rFonts w:ascii="Arial" w:hAnsi="Arial"/>
          <w:sz w:val="25"/>
          <w:szCs w:val="25"/>
          <w:lang w:val="es-MX" w:eastAsia="en-US"/>
        </w:rPr>
        <w:t xml:space="preserve">dicen:- - - - - </w:t>
      </w:r>
    </w:p>
    <w:p w:rsidR="0039607B" w:rsidRPr="006E2F18" w:rsidRDefault="0039607B" w:rsidP="007B37F3">
      <w:pPr>
        <w:spacing w:line="276" w:lineRule="auto"/>
        <w:ind w:left="567" w:right="618"/>
        <w:jc w:val="center"/>
        <w:rPr>
          <w:rFonts w:ascii="Arial" w:hAnsi="Arial"/>
          <w:i/>
          <w:sz w:val="25"/>
          <w:szCs w:val="25"/>
          <w:lang w:val="es-MX" w:eastAsia="en-US"/>
        </w:rPr>
      </w:pPr>
      <w:r w:rsidRPr="006E2F18">
        <w:rPr>
          <w:rFonts w:ascii="Arial" w:hAnsi="Arial"/>
          <w:i/>
          <w:sz w:val="25"/>
          <w:szCs w:val="25"/>
          <w:lang w:val="es-MX" w:eastAsia="en-US"/>
        </w:rPr>
        <w:t>Manual del Consejo Estatal de Desarrollo Policial</w:t>
      </w:r>
    </w:p>
    <w:p w:rsidR="00086836" w:rsidRPr="006E2F18" w:rsidRDefault="00086836" w:rsidP="007B37F3">
      <w:pPr>
        <w:spacing w:after="240" w:line="276" w:lineRule="auto"/>
        <w:ind w:left="567" w:right="618"/>
        <w:jc w:val="both"/>
        <w:rPr>
          <w:rFonts w:ascii="Arial" w:hAnsi="Arial"/>
          <w:i/>
          <w:sz w:val="25"/>
          <w:szCs w:val="25"/>
          <w:lang w:val="es-MX" w:eastAsia="en-US"/>
        </w:rPr>
      </w:pPr>
      <w:r w:rsidRPr="006E2F18">
        <w:rPr>
          <w:rFonts w:ascii="Arial" w:hAnsi="Arial"/>
          <w:b/>
          <w:i/>
          <w:sz w:val="25"/>
          <w:szCs w:val="25"/>
          <w:lang w:val="es-MX" w:eastAsia="en-US"/>
        </w:rPr>
        <w:t>Artículo 9.-</w:t>
      </w:r>
      <w:r w:rsidRPr="006E2F18">
        <w:rPr>
          <w:rFonts w:ascii="Arial" w:hAnsi="Arial"/>
          <w:i/>
          <w:sz w:val="25"/>
          <w:szCs w:val="25"/>
          <w:lang w:val="es-MX" w:eastAsia="en-US"/>
        </w:rPr>
        <w:t xml:space="preserve"> Las unidades administrativas y operativas de las Instituciones de Seguridad Pública, en el ámbito de sus competencias, prestarán el auxilio que el Consejo, Comisión, Comité o grupo de trabajo requieran para el ejercicio de sus atribuciones.</w:t>
      </w:r>
    </w:p>
    <w:p w:rsidR="0039607B" w:rsidRPr="006E2F18" w:rsidRDefault="0039607B" w:rsidP="007B37F3">
      <w:pPr>
        <w:spacing w:line="276" w:lineRule="auto"/>
        <w:ind w:left="567" w:right="618"/>
        <w:jc w:val="center"/>
        <w:rPr>
          <w:rFonts w:ascii="Arial" w:hAnsi="Arial"/>
          <w:i/>
          <w:sz w:val="25"/>
          <w:szCs w:val="25"/>
          <w:lang w:val="es-MX" w:eastAsia="en-US"/>
        </w:rPr>
      </w:pPr>
      <w:r w:rsidRPr="006E2F18">
        <w:rPr>
          <w:rFonts w:ascii="Arial" w:hAnsi="Arial"/>
          <w:i/>
          <w:sz w:val="25"/>
          <w:szCs w:val="25"/>
          <w:lang w:val="es-MX" w:eastAsia="en-US"/>
        </w:rPr>
        <w:t>Ley de Justicia Administrativa para el Estado de Oaxaca</w:t>
      </w:r>
    </w:p>
    <w:p w:rsidR="00086836" w:rsidRPr="006E2F18" w:rsidRDefault="0039607B" w:rsidP="007B37F3">
      <w:pPr>
        <w:spacing w:line="276" w:lineRule="auto"/>
        <w:ind w:left="567" w:right="618"/>
        <w:jc w:val="both"/>
        <w:rPr>
          <w:rFonts w:ascii="Arial" w:hAnsi="Arial"/>
          <w:i/>
          <w:sz w:val="25"/>
          <w:szCs w:val="25"/>
          <w:lang w:val="es-MX" w:eastAsia="en-US"/>
        </w:rPr>
      </w:pPr>
      <w:r w:rsidRPr="006E2F18">
        <w:rPr>
          <w:rFonts w:ascii="Arial" w:hAnsi="Arial"/>
          <w:b/>
          <w:i/>
          <w:sz w:val="25"/>
          <w:szCs w:val="25"/>
          <w:lang w:val="es-MX" w:eastAsia="en-US"/>
        </w:rPr>
        <w:t>Artículo 36.-</w:t>
      </w:r>
      <w:r w:rsidRPr="006E2F18">
        <w:rPr>
          <w:rFonts w:ascii="Arial" w:hAnsi="Arial"/>
          <w:i/>
          <w:sz w:val="25"/>
          <w:szCs w:val="25"/>
          <w:lang w:val="es-MX" w:eastAsia="en-US"/>
        </w:rPr>
        <w:t xml:space="preserve"> […]</w:t>
      </w:r>
    </w:p>
    <w:p w:rsidR="0039607B" w:rsidRPr="006E2F18" w:rsidRDefault="0039607B" w:rsidP="00EA49D1">
      <w:pPr>
        <w:spacing w:after="240" w:line="276" w:lineRule="auto"/>
        <w:ind w:left="567" w:right="618"/>
        <w:jc w:val="both"/>
        <w:rPr>
          <w:rFonts w:ascii="Arial" w:hAnsi="Arial"/>
          <w:i/>
          <w:sz w:val="25"/>
          <w:szCs w:val="25"/>
          <w:lang w:val="es-MX" w:eastAsia="en-US"/>
        </w:rPr>
      </w:pPr>
      <w:r w:rsidRPr="006E2F18">
        <w:rPr>
          <w:rFonts w:ascii="Arial" w:hAnsi="Arial"/>
          <w:i/>
          <w:sz w:val="25"/>
          <w:szCs w:val="25"/>
          <w:lang w:val="es-MX" w:eastAsia="en-US"/>
        </w:rPr>
        <w:t>La autoridad podrá allegarse de los medios de prueba que considere necesarios, sin más limitación que los establecidos en la ley.</w:t>
      </w:r>
    </w:p>
    <w:p w:rsidR="0039607B" w:rsidRPr="006E2F18" w:rsidRDefault="006E2F18" w:rsidP="008A3EB5">
      <w:pPr>
        <w:spacing w:after="240" w:line="360" w:lineRule="auto"/>
        <w:ind w:right="51" w:firstLine="567"/>
        <w:jc w:val="both"/>
        <w:rPr>
          <w:rFonts w:ascii="Arial" w:hAnsi="Arial"/>
          <w:sz w:val="25"/>
          <w:szCs w:val="25"/>
          <w:lang w:val="es-MX" w:eastAsia="en-US"/>
        </w:rPr>
      </w:pPr>
      <w:r>
        <w:rPr>
          <w:noProof/>
          <w:lang w:val="es-MX"/>
        </w:rPr>
        <mc:AlternateContent>
          <mc:Choice Requires="wps">
            <w:drawing>
              <wp:anchor distT="0" distB="0" distL="114300" distR="114300" simplePos="0" relativeHeight="251673600" behindDoc="0" locked="0" layoutInCell="1" allowOverlap="1">
                <wp:simplePos x="0" y="0"/>
                <wp:positionH relativeFrom="column">
                  <wp:posOffset>5700395</wp:posOffset>
                </wp:positionH>
                <wp:positionV relativeFrom="paragraph">
                  <wp:posOffset>845185</wp:posOffset>
                </wp:positionV>
                <wp:extent cx="1267460" cy="866775"/>
                <wp:effectExtent l="0" t="0" r="27940" b="28575"/>
                <wp:wrapNone/>
                <wp:docPr id="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7460" cy="866775"/>
                        </a:xfrm>
                        <a:prstGeom prst="rect">
                          <a:avLst/>
                        </a:prstGeom>
                        <a:solidFill>
                          <a:srgbClr val="FFFFFF"/>
                        </a:solidFill>
                        <a:ln w="9525">
                          <a:solidFill>
                            <a:srgbClr val="000000"/>
                          </a:solidFill>
                          <a:miter lim="800000"/>
                          <a:headEnd/>
                          <a:tailEnd/>
                        </a:ln>
                      </wps:spPr>
                      <wps:txbx>
                        <w:txbxContent>
                          <w:p w:rsidR="006E2F18" w:rsidRPr="004E1E18" w:rsidRDefault="006E2F18" w:rsidP="006E2F18">
                            <w:pPr>
                              <w:rPr>
                                <w:lang w:val="es-MX"/>
                              </w:rPr>
                            </w:pPr>
                            <w:r w:rsidRPr="004E1E18">
                              <w:rPr>
                                <w:rFonts w:ascii="Arial" w:hAnsi="Arial" w:cs="Arial"/>
                                <w:lang w:val="es-MX"/>
                              </w:rPr>
                              <w:t>Datos personales protegidos por el Art 116 de la LGTAIP y el Art 56  de la LTAIPEO</w:t>
                            </w:r>
                            <w:r>
                              <w:rPr>
                                <w:lang w:val="es-MX"/>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left:0;text-align:left;margin-left:448.85pt;margin-top:66.55pt;width:99.8pt;height:68.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">
                <v:textbox>
                  <w:txbxContent>
                    <w:p w:rsidR="006E2F18" w:rsidRPr="004E1E18" w:rsidRDefault="006E2F18" w:rsidP="006E2F18">
                      <w:pPr>
                        <w:rPr>
                          <w:lang w:val="es-MX"/>
                        </w:rPr>
                      </w:pPr>
                      <w:r w:rsidRPr="004E1E18">
                        <w:rPr>
                          <w:rFonts w:ascii="Arial" w:hAnsi="Arial" w:cs="Arial"/>
                          <w:lang w:val="es-MX"/>
                        </w:rPr>
                        <w:t>Datos personales protegidos por el Art 116 de la LGTAIP y el Art 56  de la LTAIPEO</w:t>
                      </w:r>
                      <w:r>
                        <w:rPr>
                          <w:lang w:val="es-MX"/>
                        </w:rPr>
                        <w:t>.</w:t>
                      </w:r>
                    </w:p>
                  </w:txbxContent>
                </v:textbox>
              </v:shape>
            </w:pict>
          </mc:Fallback>
        </mc:AlternateContent>
      </w:r>
      <w:r w:rsidR="00FB3A8E" w:rsidRPr="006E2F18">
        <w:rPr>
          <w:rFonts w:ascii="Arial" w:hAnsi="Arial"/>
          <w:sz w:val="25"/>
          <w:szCs w:val="25"/>
          <w:lang w:val="es-MX" w:eastAsia="en-US"/>
        </w:rPr>
        <w:t xml:space="preserve">La autoridad demandada aplicó dichos fundamentos legales para ordenar </w:t>
      </w:r>
      <w:r w:rsidR="00EA49D1" w:rsidRPr="006E2F18">
        <w:rPr>
          <w:rFonts w:ascii="Arial" w:hAnsi="Arial"/>
          <w:sz w:val="25"/>
          <w:szCs w:val="25"/>
          <w:lang w:val="es-MX" w:eastAsia="en-US"/>
        </w:rPr>
        <w:t xml:space="preserve">la solicitud de información complementaria para </w:t>
      </w:r>
      <w:r w:rsidR="00E95D4D" w:rsidRPr="006E2F18">
        <w:rPr>
          <w:rFonts w:ascii="Arial" w:hAnsi="Arial"/>
          <w:sz w:val="25"/>
          <w:szCs w:val="25"/>
          <w:lang w:val="es-MX" w:eastAsia="en-US"/>
        </w:rPr>
        <w:t xml:space="preserve">estar en aptitud de conocer si los imputados entre ellos el hoy actor, tenían los elementos probatorios suficientes e idóneos para iniciar dicho procedimiento, </w:t>
      </w:r>
      <w:r w:rsidR="00043867" w:rsidRPr="006E2F18">
        <w:rPr>
          <w:rFonts w:ascii="Arial" w:hAnsi="Arial"/>
          <w:sz w:val="25"/>
          <w:szCs w:val="25"/>
          <w:lang w:val="es-MX" w:eastAsia="en-US"/>
        </w:rPr>
        <w:t>girando para tal efecto los oficios números SSP/CEDP/1138/2016 y SSP/CEDP/393/2016</w:t>
      </w:r>
      <w:r w:rsidR="00C9193F" w:rsidRPr="006E2F18">
        <w:rPr>
          <w:rFonts w:ascii="Arial" w:hAnsi="Arial"/>
          <w:sz w:val="25"/>
          <w:szCs w:val="25"/>
          <w:lang w:val="es-MX" w:eastAsia="en-US"/>
        </w:rPr>
        <w:t xml:space="preserve"> ambos de fecha </w:t>
      </w:r>
      <w:r w:rsidR="00F03E11" w:rsidRPr="006E2F18">
        <w:rPr>
          <w:rFonts w:ascii="Arial" w:hAnsi="Arial"/>
          <w:sz w:val="25"/>
          <w:szCs w:val="25"/>
          <w:lang w:val="es-MX" w:eastAsia="en-US"/>
        </w:rPr>
        <w:t>siete de octubre de dos mil diecis</w:t>
      </w:r>
      <w:r w:rsidR="0013412D" w:rsidRPr="006E2F18">
        <w:rPr>
          <w:rFonts w:ascii="Arial" w:hAnsi="Arial"/>
          <w:sz w:val="25"/>
          <w:szCs w:val="25"/>
          <w:lang w:val="es-MX" w:eastAsia="en-US"/>
        </w:rPr>
        <w:t xml:space="preserve">éis (fojas 258 y 259), en respuesta a esa solicitud de información, se obtuvo el oficio número SSP/PE/SA/DP/1549/2016 de fecha doce de octubre de dos mil dieciséis, de igual forma se advierte que a la par de estas acciones, se realizó el acuerdo de fecha siete de octubre de dos mil dieciséis (fojas 252 a 253) en el cual se remitía el expediente </w:t>
      </w:r>
      <w:r w:rsidR="00FE3060" w:rsidRPr="006E2F18">
        <w:rPr>
          <w:rFonts w:ascii="Arial" w:hAnsi="Arial"/>
          <w:sz w:val="25"/>
          <w:szCs w:val="25"/>
          <w:lang w:val="es-MX" w:eastAsia="en-US"/>
        </w:rPr>
        <w:t xml:space="preserve">SSP/CEDP/E.A/196/2016 al Presidente de la Comisión de Carrera Policial del Consejo Estatal de Desarrollo Policial del Estado y con ello, acordó radicar y formar el expediente SSP/CEDP/CCP/031/2016 </w:t>
      </w:r>
      <w:r w:rsidR="009140E5" w:rsidRPr="006E2F18">
        <w:rPr>
          <w:rFonts w:ascii="Arial" w:hAnsi="Arial"/>
          <w:sz w:val="25"/>
          <w:szCs w:val="25"/>
          <w:lang w:val="es-MX" w:eastAsia="en-US"/>
        </w:rPr>
        <w:t>en el que señalaba fecha y hora para el desahogo</w:t>
      </w:r>
      <w:r w:rsidR="008A3EB5" w:rsidRPr="006E2F18">
        <w:rPr>
          <w:rFonts w:ascii="Arial" w:hAnsi="Arial"/>
          <w:sz w:val="25"/>
          <w:szCs w:val="25"/>
          <w:lang w:val="es-MX" w:eastAsia="en-US"/>
        </w:rPr>
        <w:t xml:space="preserve"> de la audiencia final, dando con esto cumplimiento al artículo 132 de la Ley del Sistema Estatal de Seguridad Pública del Estado de Oaxaca que a la letra dice:- - </w:t>
      </w:r>
      <w:r w:rsidR="006C2B83" w:rsidRPr="006E2F18">
        <w:rPr>
          <w:rFonts w:cs="Arial"/>
          <w:sz w:val="25"/>
          <w:szCs w:val="25"/>
        </w:rPr>
        <w:t>- - - - - - - - - - - - - - - - - - - - -</w:t>
      </w:r>
    </w:p>
    <w:p w:rsidR="008A3EB5" w:rsidRPr="006E2F18" w:rsidRDefault="008A3EB5" w:rsidP="008A3EB5">
      <w:pPr>
        <w:spacing w:after="240" w:line="276" w:lineRule="auto"/>
        <w:ind w:left="567" w:right="618"/>
        <w:jc w:val="both"/>
        <w:rPr>
          <w:rFonts w:ascii="Arial" w:hAnsi="Arial"/>
          <w:i/>
          <w:sz w:val="25"/>
          <w:szCs w:val="25"/>
          <w:lang w:val="es-MX" w:eastAsia="en-US"/>
        </w:rPr>
      </w:pPr>
      <w:r w:rsidRPr="006E2F18">
        <w:rPr>
          <w:rFonts w:ascii="Arial" w:hAnsi="Arial"/>
          <w:b/>
          <w:i/>
          <w:sz w:val="25"/>
          <w:szCs w:val="25"/>
          <w:lang w:val="es-MX" w:eastAsia="en-US"/>
        </w:rPr>
        <w:t>Artículo 132.</w:t>
      </w:r>
      <w:r w:rsidRPr="006E2F18">
        <w:rPr>
          <w:rFonts w:ascii="Arial" w:hAnsi="Arial"/>
          <w:i/>
          <w:sz w:val="25"/>
          <w:szCs w:val="25"/>
          <w:lang w:val="es-MX" w:eastAsia="en-US"/>
        </w:rPr>
        <w:t xml:space="preserve"> Resuelto el inicio del procedimiento, el Secretario General convocará a los miembros de la instancia y citará al presunto infractor a una audiencia haciéndole saber la infracción que se le imputa, el lugar, el día y la hora en que tendrá verificativo dicha audiencia y su derecho a ofrecer pruebas y formular alegatos, por sí o asistido de un defensor.</w:t>
      </w:r>
    </w:p>
    <w:p w:rsidR="008A3EB5" w:rsidRPr="006E2F18" w:rsidRDefault="008A3EB5" w:rsidP="008A3EB5">
      <w:pPr>
        <w:spacing w:after="240" w:line="276" w:lineRule="auto"/>
        <w:ind w:left="567" w:right="618"/>
        <w:jc w:val="both"/>
        <w:rPr>
          <w:rFonts w:ascii="Arial" w:hAnsi="Arial"/>
          <w:i/>
          <w:sz w:val="25"/>
          <w:szCs w:val="25"/>
          <w:lang w:val="es-MX" w:eastAsia="en-US"/>
        </w:rPr>
      </w:pPr>
      <w:r w:rsidRPr="006E2F18">
        <w:rPr>
          <w:rFonts w:ascii="Arial" w:hAnsi="Arial"/>
          <w:i/>
          <w:sz w:val="25"/>
          <w:szCs w:val="25"/>
          <w:lang w:val="es-MX" w:eastAsia="en-US"/>
        </w:rPr>
        <w:t>La audiencia se celebrará dentro de un plazo no menor de cinco, ni mayor de veinte días naturales posteriores a la recepción del expediente por el presidente, plazo en que el presunto infractor podrá imponerse de los autos del expediente.</w:t>
      </w:r>
    </w:p>
    <w:p w:rsidR="002D6B87" w:rsidRPr="006E2F18" w:rsidRDefault="00670564" w:rsidP="00981622">
      <w:pPr>
        <w:spacing w:after="240" w:line="360" w:lineRule="auto"/>
        <w:ind w:right="51" w:firstLine="567"/>
        <w:jc w:val="both"/>
        <w:rPr>
          <w:rFonts w:ascii="Arial" w:hAnsi="Arial" w:cs="Arial"/>
          <w:sz w:val="25"/>
          <w:szCs w:val="25"/>
        </w:rPr>
      </w:pPr>
      <w:r w:rsidRPr="006E2F18">
        <w:rPr>
          <w:rFonts w:ascii="Arial" w:hAnsi="Arial"/>
          <w:sz w:val="25"/>
          <w:szCs w:val="25"/>
          <w:lang w:val="es-MX" w:eastAsia="en-US"/>
        </w:rPr>
        <w:lastRenderedPageBreak/>
        <w:t xml:space="preserve">Procedimiento efectuado acorde a un debido proceso celebrándose la audiencia  </w:t>
      </w:r>
      <w:r w:rsidR="000F35D3" w:rsidRPr="006E2F18">
        <w:rPr>
          <w:rFonts w:ascii="Arial" w:hAnsi="Arial"/>
          <w:sz w:val="25"/>
          <w:szCs w:val="25"/>
          <w:lang w:val="es-MX" w:eastAsia="en-US"/>
        </w:rPr>
        <w:t xml:space="preserve">de ley </w:t>
      </w:r>
      <w:r w:rsidR="00601421" w:rsidRPr="006E2F18">
        <w:rPr>
          <w:rFonts w:ascii="Arial" w:hAnsi="Arial"/>
          <w:sz w:val="25"/>
          <w:szCs w:val="25"/>
          <w:lang w:val="es-MX" w:eastAsia="en-US"/>
        </w:rPr>
        <w:t>(fojas 265 a 270) con las formalidades previstas en los artículos 134 y 135 de la Ley del Sistema Estatal de Seguridad Pública del Estado de Oaxaca</w:t>
      </w:r>
      <w:r w:rsidR="00981622" w:rsidRPr="006E2F18">
        <w:rPr>
          <w:rFonts w:ascii="Arial" w:hAnsi="Arial"/>
          <w:sz w:val="25"/>
          <w:szCs w:val="25"/>
          <w:lang w:val="es-MX" w:eastAsia="en-US"/>
        </w:rPr>
        <w:t xml:space="preserve">, </w:t>
      </w:r>
      <w:r w:rsidR="00601421" w:rsidRPr="006E2F18">
        <w:rPr>
          <w:rFonts w:ascii="Arial" w:hAnsi="Arial" w:cs="Arial"/>
          <w:sz w:val="25"/>
          <w:szCs w:val="25"/>
        </w:rPr>
        <w:t>queda</w:t>
      </w:r>
      <w:r w:rsidR="00981622" w:rsidRPr="006E2F18">
        <w:rPr>
          <w:rFonts w:ascii="Arial" w:hAnsi="Arial" w:cs="Arial"/>
          <w:sz w:val="25"/>
          <w:szCs w:val="25"/>
        </w:rPr>
        <w:t xml:space="preserve">ndo </w:t>
      </w:r>
      <w:r w:rsidR="00601421" w:rsidRPr="006E2F18">
        <w:rPr>
          <w:rFonts w:ascii="Arial" w:hAnsi="Arial" w:cs="Arial"/>
          <w:sz w:val="25"/>
          <w:szCs w:val="25"/>
        </w:rPr>
        <w:t xml:space="preserve"> de manifiesto que </w:t>
      </w:r>
      <w:r w:rsidR="00C50A51" w:rsidRPr="006E2F18">
        <w:rPr>
          <w:rFonts w:ascii="Arial" w:hAnsi="Arial" w:cs="Arial"/>
          <w:sz w:val="25"/>
          <w:szCs w:val="25"/>
        </w:rPr>
        <w:t>no se violentaron sus derechos al debido proceso, tal  y como lo establece el artículo 14 de nuestra Carta Magna, consiste</w:t>
      </w:r>
      <w:r w:rsidR="00601421" w:rsidRPr="006E2F18">
        <w:rPr>
          <w:rFonts w:ascii="Arial" w:hAnsi="Arial" w:cs="Arial"/>
          <w:sz w:val="25"/>
          <w:szCs w:val="25"/>
        </w:rPr>
        <w:t>nte</w:t>
      </w:r>
      <w:r w:rsidR="00C50A51" w:rsidRPr="006E2F18">
        <w:rPr>
          <w:rFonts w:ascii="Arial" w:hAnsi="Arial" w:cs="Arial"/>
          <w:sz w:val="25"/>
          <w:szCs w:val="25"/>
        </w:rPr>
        <w:t xml:space="preserve"> en otorgar al gobernado la oportunidad de defensa previa al acto privativo</w:t>
      </w:r>
      <w:r w:rsidR="00601421" w:rsidRPr="006E2F18">
        <w:rPr>
          <w:rFonts w:ascii="Arial" w:hAnsi="Arial" w:cs="Arial"/>
          <w:sz w:val="25"/>
          <w:szCs w:val="25"/>
        </w:rPr>
        <w:t xml:space="preserve"> (hoy acto reclamado)</w:t>
      </w:r>
      <w:r w:rsidR="00C50A51" w:rsidRPr="006E2F18">
        <w:rPr>
          <w:rFonts w:ascii="Arial" w:hAnsi="Arial" w:cs="Arial"/>
          <w:sz w:val="25"/>
          <w:szCs w:val="25"/>
        </w:rPr>
        <w:t xml:space="preserve"> y que se cumplan las formalidades esenciales del procedimiento, como </w:t>
      </w:r>
      <w:r w:rsidR="00601421" w:rsidRPr="006E2F18">
        <w:rPr>
          <w:rFonts w:ascii="Arial" w:hAnsi="Arial" w:cs="Arial"/>
          <w:sz w:val="25"/>
          <w:szCs w:val="25"/>
        </w:rPr>
        <w:t xml:space="preserve">lo </w:t>
      </w:r>
      <w:r w:rsidR="00C50A51" w:rsidRPr="006E2F18">
        <w:rPr>
          <w:rFonts w:ascii="Arial" w:hAnsi="Arial" w:cs="Arial"/>
          <w:sz w:val="25"/>
          <w:szCs w:val="25"/>
        </w:rPr>
        <w:t xml:space="preserve">son: </w:t>
      </w:r>
      <w:r w:rsidR="00C50A51" w:rsidRPr="006E2F18">
        <w:rPr>
          <w:rFonts w:ascii="Arial" w:hAnsi="Arial" w:cs="Arial"/>
          <w:b/>
          <w:sz w:val="25"/>
          <w:szCs w:val="25"/>
        </w:rPr>
        <w:t>a)</w:t>
      </w:r>
      <w:r w:rsidR="00C50A51" w:rsidRPr="006E2F18">
        <w:rPr>
          <w:rFonts w:ascii="Arial" w:hAnsi="Arial" w:cs="Arial"/>
          <w:sz w:val="25"/>
          <w:szCs w:val="25"/>
        </w:rPr>
        <w:t xml:space="preserve"> Notificación al interesado del inicio del procedimiento así como sus consecuencias; </w:t>
      </w:r>
      <w:r w:rsidR="00C50A51" w:rsidRPr="006E2F18">
        <w:rPr>
          <w:rFonts w:ascii="Arial" w:hAnsi="Arial" w:cs="Arial"/>
          <w:b/>
          <w:sz w:val="25"/>
          <w:szCs w:val="25"/>
        </w:rPr>
        <w:t>b)</w:t>
      </w:r>
      <w:r w:rsidR="00C50A51" w:rsidRPr="006E2F18">
        <w:rPr>
          <w:rFonts w:ascii="Arial" w:hAnsi="Arial" w:cs="Arial"/>
          <w:sz w:val="25"/>
          <w:szCs w:val="25"/>
        </w:rPr>
        <w:t xml:space="preserve"> la oportunidad de ofrecer y desahogar pruebas que considere oportunas; </w:t>
      </w:r>
      <w:r w:rsidR="00C50A51" w:rsidRPr="006E2F18">
        <w:rPr>
          <w:rFonts w:ascii="Arial" w:hAnsi="Arial" w:cs="Arial"/>
          <w:b/>
          <w:sz w:val="25"/>
          <w:szCs w:val="25"/>
        </w:rPr>
        <w:t xml:space="preserve">c) </w:t>
      </w:r>
      <w:r w:rsidR="00C50A51" w:rsidRPr="006E2F18">
        <w:rPr>
          <w:rFonts w:ascii="Arial" w:hAnsi="Arial" w:cs="Arial"/>
          <w:sz w:val="25"/>
          <w:szCs w:val="25"/>
        </w:rPr>
        <w:t xml:space="preserve">La formulación de alegatos; y </w:t>
      </w:r>
      <w:r w:rsidR="00C50A51" w:rsidRPr="006E2F18">
        <w:rPr>
          <w:rFonts w:ascii="Arial" w:hAnsi="Arial" w:cs="Arial"/>
          <w:b/>
          <w:sz w:val="25"/>
          <w:szCs w:val="25"/>
        </w:rPr>
        <w:t>d)</w:t>
      </w:r>
      <w:r w:rsidR="00C50A51" w:rsidRPr="006E2F18">
        <w:rPr>
          <w:rFonts w:ascii="Arial" w:hAnsi="Arial" w:cs="Arial"/>
          <w:sz w:val="25"/>
          <w:szCs w:val="25"/>
        </w:rPr>
        <w:t xml:space="preserve"> la obtención de una resolución fundada y motivada  que resuelva al conflicto, los cuales resultan necesarias para garantizar la defensa adecuada antes del acto de privación, sirve de apoyo </w:t>
      </w:r>
      <w:r w:rsidR="002D6B87" w:rsidRPr="006E2F18">
        <w:rPr>
          <w:rFonts w:ascii="Arial" w:hAnsi="Arial" w:cs="Arial"/>
          <w:sz w:val="25"/>
          <w:szCs w:val="25"/>
        </w:rPr>
        <w:t>la tesis con número de registro 254190 por los Tribunales Colegiados de Circuito en el Semanario Judicial de la Federación Volumen 82, Sexta Parte, Pág. 24, Séptima Época, bajo el rubro y texto siguiente:</w:t>
      </w:r>
    </w:p>
    <w:p w:rsidR="001606D6" w:rsidRPr="006E2F18" w:rsidRDefault="006E2F18" w:rsidP="002D6B87">
      <w:pPr>
        <w:tabs>
          <w:tab w:val="left" w:pos="567"/>
        </w:tabs>
        <w:spacing w:after="240" w:line="276" w:lineRule="auto"/>
        <w:ind w:left="567" w:right="618"/>
        <w:jc w:val="both"/>
        <w:rPr>
          <w:rFonts w:ascii="Arial" w:hAnsi="Arial" w:cs="Arial"/>
          <w:sz w:val="25"/>
          <w:szCs w:val="25"/>
        </w:rPr>
      </w:pPr>
      <w:r>
        <w:rPr>
          <w:noProof/>
          <w:lang w:val="es-MX"/>
        </w:rPr>
        <mc:AlternateContent>
          <mc:Choice Requires="wps">
            <w:drawing>
              <wp:anchor distT="0" distB="0" distL="114300" distR="114300" simplePos="0" relativeHeight="251675648" behindDoc="0" locked="0" layoutInCell="1" allowOverlap="1">
                <wp:simplePos x="0" y="0"/>
                <wp:positionH relativeFrom="column">
                  <wp:posOffset>-1190625</wp:posOffset>
                </wp:positionH>
                <wp:positionV relativeFrom="paragraph">
                  <wp:posOffset>702945</wp:posOffset>
                </wp:positionV>
                <wp:extent cx="1267460" cy="866775"/>
                <wp:effectExtent l="0" t="0" r="27940" b="28575"/>
                <wp:wrapNone/>
                <wp:docPr id="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7460" cy="866775"/>
                        </a:xfrm>
                        <a:prstGeom prst="rect">
                          <a:avLst/>
                        </a:prstGeom>
                        <a:solidFill>
                          <a:srgbClr val="FFFFFF"/>
                        </a:solidFill>
                        <a:ln w="9525">
                          <a:solidFill>
                            <a:srgbClr val="000000"/>
                          </a:solidFill>
                          <a:miter lim="800000"/>
                          <a:headEnd/>
                          <a:tailEnd/>
                        </a:ln>
                      </wps:spPr>
                      <wps:txbx>
                        <w:txbxContent>
                          <w:p w:rsidR="006E2F18" w:rsidRPr="004E1E18" w:rsidRDefault="006E2F18" w:rsidP="006E2F18">
                            <w:pPr>
                              <w:rPr>
                                <w:lang w:val="es-MX"/>
                              </w:rPr>
                            </w:pPr>
                            <w:r w:rsidRPr="004E1E18">
                              <w:rPr>
                                <w:rFonts w:ascii="Arial" w:hAnsi="Arial" w:cs="Arial"/>
                                <w:lang w:val="es-MX"/>
                              </w:rPr>
                              <w:t>Datos personales protegidos por el Art 116 de la LGTAIP y el Art 56  de la LTAIPEO</w:t>
                            </w:r>
                            <w:r>
                              <w:rPr>
                                <w:lang w:val="es-MX"/>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4" type="#_x0000_t202" style="position:absolute;left:0;text-align:left;margin-left:-93.75pt;margin-top:55.35pt;width:99.8pt;height:68.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">
                <v:textbox>
                  <w:txbxContent>
                    <w:p w:rsidR="006E2F18" w:rsidRPr="004E1E18" w:rsidRDefault="006E2F18" w:rsidP="006E2F18">
                      <w:pPr>
                        <w:rPr>
                          <w:lang w:val="es-MX"/>
                        </w:rPr>
                      </w:pPr>
                      <w:r w:rsidRPr="004E1E18">
                        <w:rPr>
                          <w:rFonts w:ascii="Arial" w:hAnsi="Arial" w:cs="Arial"/>
                          <w:lang w:val="es-MX"/>
                        </w:rPr>
                        <w:t>Datos personales protegidos por el Art 116 de la LGTAIP y el Art 56  de la LTAIPEO</w:t>
                      </w:r>
                      <w:r>
                        <w:rPr>
                          <w:lang w:val="es-MX"/>
                        </w:rPr>
                        <w:t>.</w:t>
                      </w:r>
                    </w:p>
                  </w:txbxContent>
                </v:textbox>
              </v:shape>
            </w:pict>
          </mc:Fallback>
        </mc:AlternateContent>
      </w:r>
      <w:r w:rsidR="00C50A51" w:rsidRPr="006E2F18">
        <w:rPr>
          <w:rFonts w:ascii="Arial" w:hAnsi="Arial" w:cs="Arial"/>
          <w:b/>
          <w:sz w:val="25"/>
          <w:szCs w:val="25"/>
        </w:rPr>
        <w:t>AUDIENCIA, GARANTIA DE DEBIDO PROCESO.</w:t>
      </w:r>
      <w:r w:rsidR="00C50A51" w:rsidRPr="006E2F18">
        <w:rPr>
          <w:rFonts w:ascii="Arial" w:hAnsi="Arial" w:cs="Arial"/>
          <w:sz w:val="25"/>
          <w:szCs w:val="25"/>
        </w:rPr>
        <w:t xml:space="preserve"> La garantía de audiencia reconocida por el artículo 14 de la Constitución Política de los Estados Unidos Mexicanos, no se contrae a una simple comunicación a la parte afectada para que tenga conocimiento de un acto de autoridad que pueda perjudicarlo, sino que implica el derecho de poder comparecer ante la autoridad a oponerse a los actos que afecten sus propiedades, posesiones o derechos y a exponer las defensas legales que pudiere tener, para lo cual, obviamente, es necesaria la existencia de un juicio en el que se observen, las formalidades esenciales del procedimiento, como lo expresa claramente el mencionado precepto constitucional, formalidades que están constituidas, de acuerdo con la teoría del proceso, por el emplazamiento para contestar demanda, un período para ofrecer y rendir pruebas y un plazo para presentar alegatos, a efecto de obtener una sentencia que declare el derecho en controversia, todo lo cual no puede ser satisfecho sino a través del debido proceso que exige el mencionado artículo 14 como garantía individual. TRIBUNAL COLEGIADO DEL OCTAVO CIRCUITO. Toca 242/75. Rafael Prieto Torres. 3 de octubre de 1975. Unanimidad de votos. Ponente: Carlos Villegas Vázquez. Nota: En el Informe de 1975, la tesis aparece bajo el rubro "AUDIENCIA, GARANTIA DE.".</w:t>
      </w:r>
    </w:p>
    <w:p w:rsidR="002D5BF7" w:rsidRPr="006E2F18" w:rsidRDefault="00EF4FF5" w:rsidP="00B21C7D">
      <w:pPr>
        <w:tabs>
          <w:tab w:val="left" w:pos="567"/>
        </w:tabs>
        <w:spacing w:after="240" w:line="360" w:lineRule="auto"/>
        <w:ind w:right="51"/>
        <w:jc w:val="both"/>
        <w:rPr>
          <w:rFonts w:ascii="Arial" w:hAnsi="Arial" w:cs="Arial"/>
          <w:sz w:val="25"/>
          <w:szCs w:val="25"/>
        </w:rPr>
      </w:pPr>
      <w:r w:rsidRPr="006E2F18">
        <w:rPr>
          <w:rFonts w:ascii="Arial" w:hAnsi="Arial" w:cs="Arial"/>
          <w:sz w:val="25"/>
          <w:szCs w:val="25"/>
        </w:rPr>
        <w:tab/>
        <w:t>En abundancia a lo anterior, de</w:t>
      </w:r>
      <w:r w:rsidR="00981622" w:rsidRPr="006E2F18">
        <w:rPr>
          <w:rFonts w:ascii="Arial" w:hAnsi="Arial" w:cs="Arial"/>
          <w:sz w:val="25"/>
          <w:szCs w:val="25"/>
        </w:rPr>
        <w:t xml:space="preserve"> </w:t>
      </w:r>
      <w:r w:rsidRPr="006E2F18">
        <w:rPr>
          <w:rFonts w:ascii="Arial" w:hAnsi="Arial" w:cs="Arial"/>
          <w:sz w:val="25"/>
          <w:szCs w:val="25"/>
        </w:rPr>
        <w:t>l</w:t>
      </w:r>
      <w:r w:rsidR="00981622" w:rsidRPr="006E2F18">
        <w:rPr>
          <w:rFonts w:ascii="Arial" w:hAnsi="Arial" w:cs="Arial"/>
          <w:sz w:val="25"/>
          <w:szCs w:val="25"/>
        </w:rPr>
        <w:t>a</w:t>
      </w:r>
      <w:r w:rsidR="00EA6153" w:rsidRPr="006E2F18">
        <w:rPr>
          <w:rFonts w:ascii="Arial" w:hAnsi="Arial" w:cs="Arial"/>
          <w:sz w:val="25"/>
          <w:szCs w:val="25"/>
        </w:rPr>
        <w:t xml:space="preserve"> </w:t>
      </w:r>
      <w:r w:rsidRPr="006E2F18">
        <w:rPr>
          <w:rFonts w:ascii="Arial" w:hAnsi="Arial" w:cs="Arial"/>
          <w:sz w:val="25"/>
          <w:szCs w:val="25"/>
        </w:rPr>
        <w:t>demanda interpuest</w:t>
      </w:r>
      <w:r w:rsidR="00F57336" w:rsidRPr="006E2F18">
        <w:rPr>
          <w:rFonts w:ascii="Arial" w:hAnsi="Arial" w:cs="Arial"/>
          <w:sz w:val="25"/>
          <w:szCs w:val="25"/>
        </w:rPr>
        <w:t>a</w:t>
      </w:r>
      <w:r w:rsidRPr="006E2F18">
        <w:rPr>
          <w:rFonts w:ascii="Arial" w:hAnsi="Arial" w:cs="Arial"/>
          <w:sz w:val="25"/>
          <w:szCs w:val="25"/>
        </w:rPr>
        <w:t xml:space="preserve"> por el actor</w:t>
      </w:r>
      <w:r w:rsidR="00D61035" w:rsidRPr="006E2F18">
        <w:rPr>
          <w:rFonts w:ascii="Arial" w:hAnsi="Arial" w:cs="Arial"/>
          <w:sz w:val="25"/>
          <w:szCs w:val="25"/>
        </w:rPr>
        <w:t xml:space="preserve"> se advierte que se limita a manifestar que se le reincorpore a su trabajo y que la sanción impuesta es injusta ya que su comportamiento como policía es basado en principios de trabajo, lealtad, bue</w:t>
      </w:r>
      <w:r w:rsidR="00352F75" w:rsidRPr="006E2F18">
        <w:rPr>
          <w:rFonts w:ascii="Arial" w:hAnsi="Arial" w:cs="Arial"/>
          <w:sz w:val="25"/>
          <w:szCs w:val="25"/>
        </w:rPr>
        <w:t>na</w:t>
      </w:r>
      <w:r w:rsidR="00D61035" w:rsidRPr="006E2F18">
        <w:rPr>
          <w:rFonts w:ascii="Arial" w:hAnsi="Arial" w:cs="Arial"/>
          <w:sz w:val="25"/>
          <w:szCs w:val="25"/>
        </w:rPr>
        <w:t xml:space="preserve"> conducta, espíritu de servicio </w:t>
      </w:r>
      <w:r w:rsidR="001C35E9" w:rsidRPr="006E2F18">
        <w:rPr>
          <w:rFonts w:ascii="Arial" w:hAnsi="Arial" w:cs="Arial"/>
          <w:sz w:val="25"/>
          <w:szCs w:val="25"/>
        </w:rPr>
        <w:t xml:space="preserve">y que se encuentra sano interiormente y exteriormente, sin embargo, tales argumentos </w:t>
      </w:r>
      <w:r w:rsidR="001C35E9" w:rsidRPr="006E2F18">
        <w:rPr>
          <w:rFonts w:ascii="Arial" w:hAnsi="Arial" w:cs="Arial"/>
          <w:sz w:val="25"/>
          <w:szCs w:val="25"/>
        </w:rPr>
        <w:lastRenderedPageBreak/>
        <w:t xml:space="preserve">son meramente subjetivos, ya que es menester referirnos que en la audiencia de ley </w:t>
      </w:r>
      <w:r w:rsidR="00352F75" w:rsidRPr="006E2F18">
        <w:rPr>
          <w:rFonts w:ascii="Arial" w:hAnsi="Arial" w:cs="Arial"/>
          <w:sz w:val="25"/>
          <w:szCs w:val="25"/>
        </w:rPr>
        <w:t xml:space="preserve"> de fecha dieciocho de octubre de dos mil dieciséis</w:t>
      </w:r>
      <w:r w:rsidR="000C6F4F" w:rsidRPr="006E2F18">
        <w:rPr>
          <w:rFonts w:ascii="Arial" w:hAnsi="Arial" w:cs="Arial"/>
          <w:sz w:val="25"/>
          <w:szCs w:val="25"/>
        </w:rPr>
        <w:t>,</w:t>
      </w:r>
      <w:r w:rsidR="00B00AE3" w:rsidRPr="006E2F18">
        <w:rPr>
          <w:rFonts w:ascii="Arial" w:hAnsi="Arial" w:cs="Arial"/>
          <w:sz w:val="25"/>
          <w:szCs w:val="25"/>
        </w:rPr>
        <w:t xml:space="preserve"> </w:t>
      </w:r>
      <w:r w:rsidR="00F57336" w:rsidRPr="006E2F18">
        <w:rPr>
          <w:rFonts w:ascii="Arial" w:hAnsi="Arial" w:cs="Arial"/>
          <w:sz w:val="25"/>
          <w:szCs w:val="25"/>
        </w:rPr>
        <w:t xml:space="preserve">y </w:t>
      </w:r>
      <w:r w:rsidR="00C86C3B" w:rsidRPr="006E2F18">
        <w:rPr>
          <w:rFonts w:ascii="Arial" w:hAnsi="Arial" w:cs="Arial"/>
          <w:sz w:val="25"/>
          <w:szCs w:val="25"/>
        </w:rPr>
        <w:t>dentro del</w:t>
      </w:r>
      <w:r w:rsidR="00352F75" w:rsidRPr="006E2F18">
        <w:rPr>
          <w:rFonts w:ascii="Arial" w:hAnsi="Arial" w:cs="Arial"/>
          <w:sz w:val="25"/>
          <w:szCs w:val="25"/>
        </w:rPr>
        <w:t xml:space="preserve"> </w:t>
      </w:r>
      <w:r w:rsidR="00D32AC2" w:rsidRPr="006E2F18">
        <w:rPr>
          <w:rFonts w:ascii="Arial" w:hAnsi="Arial" w:cs="Arial"/>
          <w:sz w:val="25"/>
          <w:szCs w:val="25"/>
        </w:rPr>
        <w:t xml:space="preserve">expediente SSP/CEDP/E.A./196/2016, </w:t>
      </w:r>
      <w:r w:rsidR="00C86C3B" w:rsidRPr="006E2F18">
        <w:rPr>
          <w:rFonts w:ascii="Arial" w:hAnsi="Arial" w:cs="Arial"/>
          <w:sz w:val="25"/>
          <w:szCs w:val="25"/>
        </w:rPr>
        <w:t xml:space="preserve">mismo que corre agregado a autos, </w:t>
      </w:r>
      <w:r w:rsidR="00D32AC2" w:rsidRPr="006E2F18">
        <w:rPr>
          <w:rFonts w:ascii="Arial" w:hAnsi="Arial" w:cs="Arial"/>
          <w:sz w:val="25"/>
          <w:szCs w:val="25"/>
        </w:rPr>
        <w:t>esta Juzgadora advierte, que el hoy actor no ofr</w:t>
      </w:r>
      <w:r w:rsidR="00BA56A6" w:rsidRPr="006E2F18">
        <w:rPr>
          <w:rFonts w:ascii="Arial" w:hAnsi="Arial" w:cs="Arial"/>
          <w:sz w:val="25"/>
          <w:szCs w:val="25"/>
        </w:rPr>
        <w:t>eció</w:t>
      </w:r>
      <w:r w:rsidR="00D32AC2" w:rsidRPr="006E2F18">
        <w:rPr>
          <w:rFonts w:ascii="Arial" w:hAnsi="Arial" w:cs="Arial"/>
          <w:sz w:val="25"/>
          <w:szCs w:val="25"/>
        </w:rPr>
        <w:t xml:space="preserve"> prueba alguna, para desvirtuar lo argumentado por la autoridad, consistente en la sanción de CONCLUSIÓN DEL SERVICIO POR SEPARACIÓN,</w:t>
      </w:r>
      <w:r w:rsidRPr="006E2F18">
        <w:rPr>
          <w:rFonts w:ascii="Arial" w:hAnsi="Arial" w:cs="Arial"/>
          <w:sz w:val="25"/>
          <w:szCs w:val="25"/>
        </w:rPr>
        <w:t xml:space="preserve"> al cargo</w:t>
      </w:r>
      <w:r w:rsidR="009F579A" w:rsidRPr="006E2F18">
        <w:rPr>
          <w:rFonts w:ascii="Arial" w:hAnsi="Arial" w:cs="Arial"/>
          <w:sz w:val="25"/>
          <w:szCs w:val="25"/>
        </w:rPr>
        <w:t xml:space="preserve"> por faltas a la permanencia a la que hace referencia el artículo 99 inciso B, fracción VI de la Ley del Sistema Estatal de Seguridad Pública de Oaxaca</w:t>
      </w:r>
      <w:r w:rsidR="00D32AC2" w:rsidRPr="006E2F18">
        <w:rPr>
          <w:rFonts w:ascii="Arial" w:hAnsi="Arial" w:cs="Arial"/>
          <w:sz w:val="25"/>
          <w:szCs w:val="25"/>
        </w:rPr>
        <w:t>,</w:t>
      </w:r>
      <w:r w:rsidR="009F579A" w:rsidRPr="006E2F18">
        <w:rPr>
          <w:rFonts w:ascii="Arial" w:hAnsi="Arial" w:cs="Arial"/>
          <w:sz w:val="25"/>
          <w:szCs w:val="25"/>
        </w:rPr>
        <w:t xml:space="preserve"> en relación con el artículo 88 inciso B, fracciones VII y IX de la Ley General del Sistema Nacional de Seguridad Pública</w:t>
      </w:r>
      <w:r w:rsidR="00B00AE3" w:rsidRPr="006E2F18">
        <w:rPr>
          <w:rFonts w:ascii="Arial" w:hAnsi="Arial" w:cs="Arial"/>
          <w:sz w:val="25"/>
          <w:szCs w:val="25"/>
        </w:rPr>
        <w:t xml:space="preserve">, y que si bien es cierto esta Juzgadora debe velar por los derechos </w:t>
      </w:r>
      <w:r w:rsidR="00EC0811" w:rsidRPr="006E2F18">
        <w:rPr>
          <w:rFonts w:ascii="Arial" w:hAnsi="Arial" w:cs="Arial"/>
          <w:sz w:val="25"/>
          <w:szCs w:val="25"/>
        </w:rPr>
        <w:t xml:space="preserve">afectados del actor </w:t>
      </w:r>
      <w:r w:rsidR="00B00AE3" w:rsidRPr="006E2F18">
        <w:rPr>
          <w:rFonts w:ascii="Arial" w:hAnsi="Arial" w:cs="Arial"/>
          <w:sz w:val="25"/>
          <w:szCs w:val="25"/>
        </w:rPr>
        <w:t>y suplir la</w:t>
      </w:r>
      <w:r w:rsidR="008F65DD" w:rsidRPr="006E2F18">
        <w:rPr>
          <w:rFonts w:ascii="Arial" w:hAnsi="Arial" w:cs="Arial"/>
          <w:sz w:val="25"/>
          <w:szCs w:val="25"/>
        </w:rPr>
        <w:t>s</w:t>
      </w:r>
      <w:r w:rsidR="00B00AE3" w:rsidRPr="006E2F18">
        <w:rPr>
          <w:rFonts w:ascii="Arial" w:hAnsi="Arial" w:cs="Arial"/>
          <w:sz w:val="25"/>
          <w:szCs w:val="25"/>
        </w:rPr>
        <w:t xml:space="preserve"> deficiencia</w:t>
      </w:r>
      <w:r w:rsidR="008F65DD" w:rsidRPr="006E2F18">
        <w:rPr>
          <w:rFonts w:ascii="Arial" w:hAnsi="Arial" w:cs="Arial"/>
          <w:sz w:val="25"/>
          <w:szCs w:val="25"/>
        </w:rPr>
        <w:t>s observadas dentro de sus promociones</w:t>
      </w:r>
      <w:r w:rsidR="00B00AE3" w:rsidRPr="006E2F18">
        <w:rPr>
          <w:rFonts w:ascii="Arial" w:hAnsi="Arial" w:cs="Arial"/>
          <w:sz w:val="25"/>
          <w:szCs w:val="25"/>
        </w:rPr>
        <w:t xml:space="preserve">, </w:t>
      </w:r>
      <w:r w:rsidR="00BB0917" w:rsidRPr="006E2F18">
        <w:rPr>
          <w:rFonts w:ascii="Arial" w:hAnsi="Arial" w:cs="Arial"/>
          <w:sz w:val="25"/>
          <w:szCs w:val="25"/>
        </w:rPr>
        <w:t>también</w:t>
      </w:r>
      <w:r w:rsidR="00B00AE3" w:rsidRPr="006E2F18">
        <w:rPr>
          <w:rFonts w:ascii="Arial" w:hAnsi="Arial" w:cs="Arial"/>
          <w:sz w:val="25"/>
          <w:szCs w:val="25"/>
        </w:rPr>
        <w:t xml:space="preserve"> </w:t>
      </w:r>
      <w:r w:rsidR="008F65DD" w:rsidRPr="006E2F18">
        <w:rPr>
          <w:rFonts w:ascii="Arial" w:hAnsi="Arial" w:cs="Arial"/>
          <w:sz w:val="25"/>
          <w:szCs w:val="25"/>
        </w:rPr>
        <w:t>es cierto</w:t>
      </w:r>
      <w:r w:rsidR="00B00AE3" w:rsidRPr="006E2F18">
        <w:rPr>
          <w:rFonts w:ascii="Arial" w:hAnsi="Arial" w:cs="Arial"/>
          <w:sz w:val="25"/>
          <w:szCs w:val="25"/>
        </w:rPr>
        <w:t xml:space="preserve"> </w:t>
      </w:r>
      <w:r w:rsidR="008F65DD" w:rsidRPr="006E2F18">
        <w:rPr>
          <w:rFonts w:ascii="Arial" w:hAnsi="Arial" w:cs="Arial"/>
          <w:sz w:val="25"/>
          <w:szCs w:val="25"/>
        </w:rPr>
        <w:t>que ese</w:t>
      </w:r>
      <w:r w:rsidR="002D5BF7" w:rsidRPr="006E2F18">
        <w:rPr>
          <w:rFonts w:ascii="Arial" w:hAnsi="Arial" w:cs="Arial"/>
          <w:sz w:val="25"/>
          <w:szCs w:val="25"/>
        </w:rPr>
        <w:t xml:space="preserve"> alcance protector no se puede perfeccionar si el actor no demuestra con prueba fehaciente que lo argumentado por la autoridad</w:t>
      </w:r>
      <w:r w:rsidR="008F65DD" w:rsidRPr="006E2F18">
        <w:rPr>
          <w:rFonts w:ascii="Arial" w:hAnsi="Arial" w:cs="Arial"/>
          <w:sz w:val="25"/>
          <w:szCs w:val="25"/>
        </w:rPr>
        <w:t xml:space="preserve"> es contrario a derecho y que le causa agravios en diversos puntos de su esfera jurídico, en otras palabras, no es obligación de esta juzgadora añadir conceptos de impugnación para beneficiar al actor, tal y como reza el aforismo jurídico </w:t>
      </w:r>
      <w:r w:rsidR="008F65DD" w:rsidRPr="006E2F18">
        <w:rPr>
          <w:rFonts w:ascii="Arial" w:hAnsi="Arial" w:cs="Arial"/>
          <w:i/>
          <w:sz w:val="25"/>
          <w:szCs w:val="25"/>
        </w:rPr>
        <w:t>“dime los hechos que yo te daré el derecho”</w:t>
      </w:r>
      <w:r w:rsidR="002D5BF7" w:rsidRPr="006E2F18">
        <w:rPr>
          <w:rFonts w:ascii="Arial" w:hAnsi="Arial" w:cs="Arial"/>
          <w:sz w:val="25"/>
          <w:szCs w:val="25"/>
        </w:rPr>
        <w:t>,</w:t>
      </w:r>
      <w:r w:rsidR="008F65DD" w:rsidRPr="006E2F18">
        <w:rPr>
          <w:rFonts w:ascii="Arial" w:hAnsi="Arial" w:cs="Arial"/>
          <w:sz w:val="25"/>
          <w:szCs w:val="25"/>
        </w:rPr>
        <w:t xml:space="preserve"> demostrando con ello que la suplencia de la queja es limitativa,</w:t>
      </w:r>
      <w:r w:rsidR="002D5BF7" w:rsidRPr="006E2F18">
        <w:rPr>
          <w:rFonts w:ascii="Arial" w:hAnsi="Arial" w:cs="Arial"/>
          <w:sz w:val="25"/>
          <w:szCs w:val="25"/>
        </w:rPr>
        <w:t xml:space="preserve"> sirve de sustento</w:t>
      </w:r>
      <w:r w:rsidR="008F65DD" w:rsidRPr="006E2F18">
        <w:rPr>
          <w:rFonts w:ascii="Arial" w:hAnsi="Arial" w:cs="Arial"/>
          <w:sz w:val="25"/>
          <w:szCs w:val="25"/>
        </w:rPr>
        <w:t xml:space="preserve"> a lo anterior por analogía sustancia la</w:t>
      </w:r>
      <w:r w:rsidR="002D5BF7" w:rsidRPr="006E2F18">
        <w:rPr>
          <w:rFonts w:ascii="Arial" w:hAnsi="Arial" w:cs="Arial"/>
          <w:sz w:val="25"/>
          <w:szCs w:val="25"/>
        </w:rPr>
        <w:t xml:space="preserve"> jurisprudencia bajo el número 1003319. 1440.</w:t>
      </w:r>
      <w:r w:rsidR="008F65DD" w:rsidRPr="006E2F18">
        <w:rPr>
          <w:rFonts w:ascii="Arial" w:hAnsi="Arial" w:cs="Arial"/>
          <w:sz w:val="25"/>
          <w:szCs w:val="25"/>
        </w:rPr>
        <w:t xml:space="preserve"> Por la</w:t>
      </w:r>
      <w:r w:rsidR="002D5BF7" w:rsidRPr="006E2F18">
        <w:rPr>
          <w:rFonts w:ascii="Arial" w:hAnsi="Arial" w:cs="Arial"/>
          <w:sz w:val="25"/>
          <w:szCs w:val="25"/>
        </w:rPr>
        <w:t xml:space="preserve"> Primera Sala</w:t>
      </w:r>
      <w:r w:rsidR="008F65DD" w:rsidRPr="006E2F18">
        <w:rPr>
          <w:rFonts w:ascii="Arial" w:hAnsi="Arial" w:cs="Arial"/>
          <w:sz w:val="25"/>
          <w:szCs w:val="25"/>
        </w:rPr>
        <w:t xml:space="preserve"> de la Suprema Corte de Justicia de la Nación</w:t>
      </w:r>
      <w:r w:rsidR="002D5BF7" w:rsidRPr="006E2F18">
        <w:rPr>
          <w:rFonts w:ascii="Arial" w:hAnsi="Arial" w:cs="Arial"/>
          <w:sz w:val="25"/>
          <w:szCs w:val="25"/>
        </w:rPr>
        <w:t xml:space="preserve"> </w:t>
      </w:r>
      <w:r w:rsidR="008F65DD" w:rsidRPr="006E2F18">
        <w:rPr>
          <w:rFonts w:ascii="Arial" w:hAnsi="Arial" w:cs="Arial"/>
          <w:sz w:val="25"/>
          <w:szCs w:val="25"/>
        </w:rPr>
        <w:t>en el</w:t>
      </w:r>
      <w:r w:rsidR="002D5BF7" w:rsidRPr="006E2F18">
        <w:rPr>
          <w:rFonts w:ascii="Arial" w:hAnsi="Arial" w:cs="Arial"/>
          <w:sz w:val="25"/>
          <w:szCs w:val="25"/>
        </w:rPr>
        <w:t xml:space="preserve"> Apéndice 1917-Septiembre 2011. Tomo II. Procesal Constitucional 1. Común Primera Parte - SCJN Décima Primera Sección - Sentencias de amparo y sus efectos, Pág. 1619,</w:t>
      </w:r>
      <w:r w:rsidR="008F65DD" w:rsidRPr="006E2F18">
        <w:rPr>
          <w:rFonts w:ascii="Arial" w:hAnsi="Arial" w:cs="Arial"/>
          <w:sz w:val="25"/>
          <w:szCs w:val="25"/>
        </w:rPr>
        <w:t xml:space="preserve"> Novena Época,</w:t>
      </w:r>
      <w:r w:rsidR="002D5BF7" w:rsidRPr="006E2F18">
        <w:rPr>
          <w:rFonts w:ascii="Arial" w:hAnsi="Arial" w:cs="Arial"/>
          <w:sz w:val="25"/>
          <w:szCs w:val="25"/>
        </w:rPr>
        <w:t xml:space="preserve"> bajo el rubro y texto siguiente:- - - - - - - - - </w:t>
      </w:r>
      <w:r w:rsidR="006C2B83" w:rsidRPr="006E2F18">
        <w:rPr>
          <w:rFonts w:cs="Arial"/>
          <w:sz w:val="25"/>
          <w:szCs w:val="25"/>
        </w:rPr>
        <w:t xml:space="preserve">- - - - - - - - - - - - - - - - - - - - - - - - - - - - - -   - - - - - - - </w:t>
      </w:r>
    </w:p>
    <w:p w:rsidR="002D5BF7" w:rsidRPr="006E2F18" w:rsidRDefault="006E2F18" w:rsidP="008F65DD">
      <w:pPr>
        <w:spacing w:after="240" w:line="276" w:lineRule="auto"/>
        <w:ind w:left="567" w:right="618"/>
        <w:jc w:val="both"/>
        <w:rPr>
          <w:rFonts w:ascii="Arial" w:hAnsi="Arial" w:cs="Arial"/>
          <w:sz w:val="25"/>
          <w:szCs w:val="25"/>
        </w:rPr>
      </w:pPr>
      <w:r>
        <w:rPr>
          <w:noProof/>
          <w:lang w:val="es-MX"/>
        </w:rPr>
        <mc:AlternateContent>
          <mc:Choice Requires="wps">
            <w:drawing>
              <wp:anchor distT="0" distB="0" distL="114300" distR="114300" simplePos="0" relativeHeight="251677696" behindDoc="0" locked="0" layoutInCell="1" allowOverlap="1">
                <wp:simplePos x="0" y="0"/>
                <wp:positionH relativeFrom="column">
                  <wp:posOffset>5654675</wp:posOffset>
                </wp:positionH>
                <wp:positionV relativeFrom="paragraph">
                  <wp:posOffset>-2484120</wp:posOffset>
                </wp:positionV>
                <wp:extent cx="1267460" cy="866775"/>
                <wp:effectExtent l="0" t="0" r="27940" b="28575"/>
                <wp:wrapNone/>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7460" cy="866775"/>
                        </a:xfrm>
                        <a:prstGeom prst="rect">
                          <a:avLst/>
                        </a:prstGeom>
                        <a:solidFill>
                          <a:srgbClr val="FFFFFF"/>
                        </a:solidFill>
                        <a:ln w="9525">
                          <a:solidFill>
                            <a:srgbClr val="000000"/>
                          </a:solidFill>
                          <a:miter lim="800000"/>
                          <a:headEnd/>
                          <a:tailEnd/>
                        </a:ln>
                      </wps:spPr>
                      <wps:txbx>
                        <w:txbxContent>
                          <w:p w:rsidR="006E2F18" w:rsidRPr="004E1E18" w:rsidRDefault="006E2F18" w:rsidP="006E2F18">
                            <w:pPr>
                              <w:rPr>
                                <w:lang w:val="es-MX"/>
                              </w:rPr>
                            </w:pPr>
                            <w:r w:rsidRPr="004E1E18">
                              <w:rPr>
                                <w:rFonts w:ascii="Arial" w:hAnsi="Arial" w:cs="Arial"/>
                                <w:lang w:val="es-MX"/>
                              </w:rPr>
                              <w:t>Datos personales protegidos por el Art 116 de la LGTAIP y el Art 56  de la LTAIPEO</w:t>
                            </w:r>
                            <w:r>
                              <w:rPr>
                                <w:lang w:val="es-MX"/>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5" type="#_x0000_t202" style="position:absolute;left:0;text-align:left;margin-left:445.25pt;margin-top:-195.6pt;width:99.8pt;height:68.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">
                <v:textbox>
                  <w:txbxContent>
                    <w:p w:rsidR="006E2F18" w:rsidRPr="004E1E18" w:rsidRDefault="006E2F18" w:rsidP="006E2F18">
                      <w:pPr>
                        <w:rPr>
                          <w:lang w:val="es-MX"/>
                        </w:rPr>
                      </w:pPr>
                      <w:r w:rsidRPr="004E1E18">
                        <w:rPr>
                          <w:rFonts w:ascii="Arial" w:hAnsi="Arial" w:cs="Arial"/>
                          <w:lang w:val="es-MX"/>
                        </w:rPr>
                        <w:t>Datos personales protegidos por el Art 116 de la LGTAIP y el Art 56  de la LTAIPEO</w:t>
                      </w:r>
                      <w:r>
                        <w:rPr>
                          <w:lang w:val="es-MX"/>
                        </w:rPr>
                        <w:t>.</w:t>
                      </w:r>
                    </w:p>
                  </w:txbxContent>
                </v:textbox>
              </v:shape>
            </w:pict>
          </mc:Fallback>
        </mc:AlternateContent>
      </w:r>
      <w:r w:rsidR="002D5BF7" w:rsidRPr="006E2F18">
        <w:rPr>
          <w:rFonts w:ascii="Arial" w:hAnsi="Arial" w:cs="Arial"/>
          <w:b/>
          <w:sz w:val="25"/>
          <w:szCs w:val="25"/>
        </w:rPr>
        <w:t>SUPLENCIA DE LA QUEJA DEFICIENTE EN MATERIA ADMINISTRATIVA. PROCEDENCIA</w:t>
      </w:r>
      <w:r w:rsidR="002D5BF7" w:rsidRPr="006E2F18">
        <w:rPr>
          <w:rFonts w:ascii="Arial" w:hAnsi="Arial" w:cs="Arial"/>
          <w:sz w:val="25"/>
          <w:szCs w:val="25"/>
        </w:rPr>
        <w:t xml:space="preserve">. Para que proceda la suplencia de los conceptos de violación deficientes en la demanda de amparo o de los agravios en la revisión, en materias como la administrativa, en términos de lo dispuesto en la fracción VI del artículo 76 bis de la Ley de Amparo, se requiere que el juzgador advierta que el acto reclamado, independientemente de aquellos aspectos que se le impugnan por vicios de legalidad o de inconstitucionalidad, implique además, una violación manifiesta de la ley que deje sin defensa al quejoso o al particular recurrente. Se entiende por "violación manifiesta de la ley que deje sin defensa", aquella actuación en el auto reclamado de las autoridades responsables (ordenadoras o ejecutoras) que haga visiblemente notoria e indiscutible la vulneración a las garantías individuales del quejoso, ya sea en forma directa, o bien, indirectamente, mediante la transgresión a las normas procedimentales y sustantivas y que rigen el acto reclamado, e incluso la defensa del quejoso ante la emisión del acto de las autoridades responsables. No deben admitirse para que </w:t>
      </w:r>
      <w:r w:rsidR="002D5BF7" w:rsidRPr="006E2F18">
        <w:rPr>
          <w:rFonts w:ascii="Arial" w:hAnsi="Arial" w:cs="Arial"/>
          <w:sz w:val="25"/>
          <w:szCs w:val="25"/>
        </w:rPr>
        <w:lastRenderedPageBreak/>
        <w:t>proceda esta suplencia aquellas actuaciones de las autoridades en el acto o las derivadas del mismo que requieran necesariamente de la demostración del promovente del amparo, para acreditar la ilegalidad o inconstitucionalidad del acto, o bien, de allegarse de cuestiones ajenas a la litis planteada, porque de ser así, ya no se estaría ante la presencia de una violación manifiesta de la ley que deje sin defensa al quejoso o agraviad</w:t>
      </w:r>
      <w:r w:rsidR="00547DEE" w:rsidRPr="006E2F18">
        <w:rPr>
          <w:rFonts w:ascii="Arial" w:hAnsi="Arial" w:cs="Arial"/>
          <w:sz w:val="25"/>
          <w:szCs w:val="25"/>
        </w:rPr>
        <w:t>o.</w:t>
      </w:r>
    </w:p>
    <w:p w:rsidR="00B21C7D" w:rsidRPr="006E2F18" w:rsidRDefault="000C6F4F" w:rsidP="002D5BF7">
      <w:pPr>
        <w:tabs>
          <w:tab w:val="left" w:pos="567"/>
        </w:tabs>
        <w:spacing w:after="240" w:line="360" w:lineRule="auto"/>
        <w:ind w:right="51"/>
        <w:jc w:val="both"/>
        <w:rPr>
          <w:rFonts w:ascii="Arial" w:hAnsi="Arial" w:cs="Arial"/>
          <w:sz w:val="25"/>
          <w:szCs w:val="25"/>
        </w:rPr>
      </w:pPr>
      <w:r w:rsidRPr="006E2F18">
        <w:rPr>
          <w:rFonts w:ascii="Arial" w:hAnsi="Arial" w:cs="Arial"/>
          <w:sz w:val="25"/>
          <w:szCs w:val="25"/>
        </w:rPr>
        <w:tab/>
      </w:r>
      <w:r w:rsidR="002D5BF7" w:rsidRPr="006E2F18">
        <w:rPr>
          <w:rFonts w:ascii="Arial" w:hAnsi="Arial" w:cs="Arial"/>
          <w:sz w:val="25"/>
          <w:szCs w:val="25"/>
        </w:rPr>
        <w:t xml:space="preserve">Por lo que en ese tenor, </w:t>
      </w:r>
      <w:r w:rsidR="00B21C7D" w:rsidRPr="006E2F18">
        <w:rPr>
          <w:rFonts w:ascii="Arial" w:hAnsi="Arial" w:cs="Arial"/>
          <w:sz w:val="25"/>
          <w:szCs w:val="25"/>
        </w:rPr>
        <w:t xml:space="preserve">el actor tenía </w:t>
      </w:r>
      <w:r w:rsidR="002D5BF7" w:rsidRPr="006E2F18">
        <w:rPr>
          <w:rFonts w:ascii="Arial" w:hAnsi="Arial" w:cs="Arial"/>
          <w:sz w:val="25"/>
          <w:szCs w:val="25"/>
        </w:rPr>
        <w:t>la obligación de aportar</w:t>
      </w:r>
      <w:r w:rsidR="00B21C7D" w:rsidRPr="006E2F18">
        <w:rPr>
          <w:rFonts w:ascii="Arial" w:hAnsi="Arial" w:cs="Arial"/>
          <w:sz w:val="25"/>
          <w:szCs w:val="25"/>
        </w:rPr>
        <w:t xml:space="preserve"> todos los elementos de prueba idóneos para probar que realmente la resolución combatida le causa un agravio, en atención al aforismo jurídico </w:t>
      </w:r>
      <w:r w:rsidR="00B21C7D" w:rsidRPr="006E2F18">
        <w:rPr>
          <w:rFonts w:ascii="Arial" w:hAnsi="Arial" w:cs="Arial"/>
          <w:i/>
          <w:sz w:val="25"/>
          <w:szCs w:val="25"/>
        </w:rPr>
        <w:t>“el que afirma está obligado a probar, el que niega no”</w:t>
      </w:r>
      <w:r w:rsidR="00B21C7D" w:rsidRPr="006E2F18">
        <w:rPr>
          <w:rFonts w:ascii="Arial" w:hAnsi="Arial" w:cs="Arial"/>
          <w:sz w:val="25"/>
          <w:szCs w:val="25"/>
        </w:rPr>
        <w:t xml:space="preserve">, de igual forma sirve de sustento por analogía sustancial la Jurisprudencia número VI.2o.J/308, Gaceta número 80, pág. 77; véase ejecutoria en el Semanario Judicial de la Federación, tomo XIV-Agosto, pág. 256, que a letra dice:- - - - - - - - - - - </w:t>
      </w:r>
      <w:r w:rsidR="002D5BF7" w:rsidRPr="006E2F18">
        <w:rPr>
          <w:rFonts w:ascii="Arial" w:hAnsi="Arial" w:cs="Arial"/>
          <w:sz w:val="25"/>
          <w:szCs w:val="25"/>
        </w:rPr>
        <w:t xml:space="preserve">- - - - - - - - - - - - - - - - - - - - - - </w:t>
      </w:r>
    </w:p>
    <w:p w:rsidR="00C615EB" w:rsidRPr="006E2F18" w:rsidRDefault="006E2F18" w:rsidP="00B21C7D">
      <w:pPr>
        <w:tabs>
          <w:tab w:val="left" w:pos="567"/>
        </w:tabs>
        <w:spacing w:after="240" w:line="276" w:lineRule="auto"/>
        <w:ind w:left="567" w:right="618"/>
        <w:jc w:val="both"/>
        <w:rPr>
          <w:rFonts w:ascii="Arial" w:hAnsi="Arial" w:cs="Arial"/>
          <w:sz w:val="25"/>
          <w:szCs w:val="25"/>
        </w:rPr>
      </w:pPr>
      <w:r>
        <w:rPr>
          <w:noProof/>
          <w:lang w:val="es-MX"/>
        </w:rPr>
        <mc:AlternateContent>
          <mc:Choice Requires="wps">
            <w:drawing>
              <wp:anchor distT="0" distB="0" distL="114300" distR="114300" simplePos="0" relativeHeight="251679744" behindDoc="0" locked="0" layoutInCell="1" allowOverlap="1">
                <wp:simplePos x="0" y="0"/>
                <wp:positionH relativeFrom="column">
                  <wp:posOffset>-1190625</wp:posOffset>
                </wp:positionH>
                <wp:positionV relativeFrom="paragraph">
                  <wp:posOffset>611505</wp:posOffset>
                </wp:positionV>
                <wp:extent cx="1267460" cy="866775"/>
                <wp:effectExtent l="0" t="0" r="27940"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7460" cy="866775"/>
                        </a:xfrm>
                        <a:prstGeom prst="rect">
                          <a:avLst/>
                        </a:prstGeom>
                        <a:solidFill>
                          <a:srgbClr val="FFFFFF"/>
                        </a:solidFill>
                        <a:ln w="9525">
                          <a:solidFill>
                            <a:srgbClr val="000000"/>
                          </a:solidFill>
                          <a:miter lim="800000"/>
                          <a:headEnd/>
                          <a:tailEnd/>
                        </a:ln>
                      </wps:spPr>
                      <wps:txbx>
                        <w:txbxContent>
                          <w:p w:rsidR="006E2F18" w:rsidRPr="004E1E18" w:rsidRDefault="006E2F18" w:rsidP="006E2F18">
                            <w:pPr>
                              <w:rPr>
                                <w:lang w:val="es-MX"/>
                              </w:rPr>
                            </w:pPr>
                            <w:r w:rsidRPr="004E1E18">
                              <w:rPr>
                                <w:rFonts w:ascii="Arial" w:hAnsi="Arial" w:cs="Arial"/>
                                <w:lang w:val="es-MX"/>
                              </w:rPr>
                              <w:t>Datos personales protegidos por el Art 116 de la LGTAIP y el Art 56  de la LTAIPEO</w:t>
                            </w:r>
                            <w:r>
                              <w:rPr>
                                <w:lang w:val="es-MX"/>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6" type="#_x0000_t202" style="position:absolute;left:0;text-align:left;margin-left:-93.75pt;margin-top:48.15pt;width:99.8pt;height:68.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">
                <v:textbox>
                  <w:txbxContent>
                    <w:p w:rsidR="006E2F18" w:rsidRPr="004E1E18" w:rsidRDefault="006E2F18" w:rsidP="006E2F18">
                      <w:pPr>
                        <w:rPr>
                          <w:lang w:val="es-MX"/>
                        </w:rPr>
                      </w:pPr>
                      <w:r w:rsidRPr="004E1E18">
                        <w:rPr>
                          <w:rFonts w:ascii="Arial" w:hAnsi="Arial" w:cs="Arial"/>
                          <w:lang w:val="es-MX"/>
                        </w:rPr>
                        <w:t>Datos personales protegidos por el Art 116 de la LGTAIP y el Art 56  de la LTAIPEO</w:t>
                      </w:r>
                      <w:r>
                        <w:rPr>
                          <w:lang w:val="es-MX"/>
                        </w:rPr>
                        <w:t>.</w:t>
                      </w:r>
                    </w:p>
                  </w:txbxContent>
                </v:textbox>
              </v:shape>
            </w:pict>
          </mc:Fallback>
        </mc:AlternateContent>
      </w:r>
      <w:r w:rsidR="00B21C7D" w:rsidRPr="006E2F18">
        <w:rPr>
          <w:rFonts w:ascii="Arial" w:hAnsi="Arial" w:cs="Arial"/>
          <w:b/>
          <w:sz w:val="25"/>
          <w:szCs w:val="25"/>
        </w:rPr>
        <w:t>ACTO RECLAMADO, LA CARGA DE LA PRUEBA DEL. CORRESPONDE AL QUEJOSO</w:t>
      </w:r>
      <w:r w:rsidR="00B21C7D" w:rsidRPr="006E2F18">
        <w:rPr>
          <w:rFonts w:ascii="Arial" w:hAnsi="Arial" w:cs="Arial"/>
          <w:sz w:val="25"/>
          <w:szCs w:val="25"/>
        </w:rPr>
        <w:t>. En el juicio de amparo indirecto, la parte quejosa tiene la carga procesal de ofrecer pruebas para demostrar la violación de garantías individuales que alega, ya que, el que interpone una demanda de amparo, está obligado a establecer, directamente o mediante el informe de la autoridad responsable la existencia del acto que impugna y a justificar, con pruebas, que dicho acto es inconstitucional, aunque, incluso, las autoridades responsables no rindan su informe justificado, caso en el cual, la ley establece la presunción de la existencia de los actos, arrojando en forma total la carga de la prueba al peticionario de garantías, acerca de la inconstitucionalidad de los actos impugnados.</w:t>
      </w:r>
      <w:r w:rsidR="009F579A" w:rsidRPr="006E2F18">
        <w:rPr>
          <w:rFonts w:ascii="Arial" w:hAnsi="Arial" w:cs="Arial"/>
          <w:sz w:val="25"/>
          <w:szCs w:val="25"/>
        </w:rPr>
        <w:t xml:space="preserve"> </w:t>
      </w:r>
    </w:p>
    <w:p w:rsidR="007A3E4A" w:rsidRPr="006E2F18" w:rsidRDefault="007A3E4A" w:rsidP="00A71A10">
      <w:pPr>
        <w:spacing w:line="360" w:lineRule="auto"/>
        <w:jc w:val="both"/>
        <w:rPr>
          <w:rFonts w:ascii="Arial" w:hAnsi="Arial" w:cs="Arial"/>
          <w:sz w:val="25"/>
          <w:szCs w:val="25"/>
        </w:rPr>
      </w:pPr>
      <w:r w:rsidRPr="006E2F18">
        <w:rPr>
          <w:rFonts w:ascii="Arial" w:hAnsi="Arial" w:cs="Arial"/>
          <w:sz w:val="25"/>
          <w:szCs w:val="25"/>
        </w:rPr>
        <w:tab/>
        <w:t xml:space="preserve">Derivado de lo anterior, el concepto de impugnación ÚNICO hecho valer por el hoy actor resulta </w:t>
      </w:r>
      <w:r w:rsidRPr="006E2F18">
        <w:rPr>
          <w:rFonts w:ascii="Arial" w:hAnsi="Arial" w:cs="Arial"/>
          <w:sz w:val="25"/>
          <w:szCs w:val="25"/>
          <w:u w:val="single"/>
        </w:rPr>
        <w:t>infundado</w:t>
      </w:r>
      <w:r w:rsidRPr="006E2F18">
        <w:rPr>
          <w:rFonts w:ascii="Arial" w:hAnsi="Arial" w:cs="Arial"/>
          <w:sz w:val="25"/>
          <w:szCs w:val="25"/>
        </w:rPr>
        <w:t xml:space="preserve">.- - - - - - - - - - - - - - - - - - - - - - - - - - - - - - - - - </w:t>
      </w:r>
    </w:p>
    <w:p w:rsidR="00437567" w:rsidRPr="006E2F18" w:rsidRDefault="00D54948" w:rsidP="00111945">
      <w:pPr>
        <w:spacing w:line="360" w:lineRule="auto"/>
        <w:ind w:firstLine="708"/>
        <w:jc w:val="both"/>
        <w:rPr>
          <w:rFonts w:ascii="Arial" w:hAnsi="Arial" w:cs="Arial"/>
          <w:bCs/>
          <w:sz w:val="25"/>
          <w:szCs w:val="25"/>
          <w:lang w:val="es-MX"/>
        </w:rPr>
      </w:pPr>
      <w:r w:rsidRPr="006E2F18">
        <w:rPr>
          <w:rFonts w:ascii="Arial" w:hAnsi="Arial" w:cs="Arial"/>
          <w:sz w:val="25"/>
          <w:szCs w:val="25"/>
          <w:lang w:val="es-ES_tradnl"/>
        </w:rPr>
        <w:t>En consecuencia,</w:t>
      </w:r>
      <w:r w:rsidR="00111945" w:rsidRPr="006E2F18">
        <w:rPr>
          <w:rFonts w:ascii="Arial" w:hAnsi="Arial" w:cs="Arial"/>
          <w:sz w:val="25"/>
          <w:szCs w:val="25"/>
          <w:lang w:val="es-ES_tradnl"/>
        </w:rPr>
        <w:t xml:space="preserve"> al haber sido declarado infundado el concepto de impugnación expuesto por el actor,</w:t>
      </w:r>
      <w:r w:rsidRPr="006E2F18">
        <w:rPr>
          <w:rFonts w:ascii="Arial" w:hAnsi="Arial" w:cs="Arial"/>
          <w:sz w:val="25"/>
          <w:szCs w:val="25"/>
          <w:lang w:val="es-ES_tradnl"/>
        </w:rPr>
        <w:t xml:space="preserve"> esta Juzgadora con fundamento en </w:t>
      </w:r>
      <w:r w:rsidR="005A0201" w:rsidRPr="006E2F18">
        <w:rPr>
          <w:rFonts w:ascii="Arial" w:hAnsi="Arial" w:cs="Arial"/>
          <w:sz w:val="25"/>
          <w:szCs w:val="25"/>
          <w:lang w:val="es-ES_tradnl"/>
        </w:rPr>
        <w:t>lo dispuesto por el artículo 209</w:t>
      </w:r>
      <w:r w:rsidRPr="006E2F18">
        <w:rPr>
          <w:rFonts w:ascii="Arial" w:hAnsi="Arial" w:cs="Arial"/>
          <w:sz w:val="25"/>
          <w:szCs w:val="25"/>
          <w:lang w:val="es-ES_tradnl"/>
        </w:rPr>
        <w:t xml:space="preserve"> de la ley </w:t>
      </w:r>
      <w:r w:rsidRPr="006E2F18">
        <w:rPr>
          <w:rFonts w:ascii="Arial" w:hAnsi="Arial" w:cs="Arial"/>
          <w:sz w:val="25"/>
          <w:szCs w:val="25"/>
        </w:rPr>
        <w:t>de Procedimiento y Justicia Administrativa para el Estado de Oaxaca</w:t>
      </w:r>
      <w:r w:rsidRPr="006E2F18">
        <w:rPr>
          <w:rFonts w:ascii="Arial" w:hAnsi="Arial" w:cs="Arial"/>
          <w:sz w:val="25"/>
          <w:szCs w:val="25"/>
          <w:lang w:val="es-ES_tradnl"/>
        </w:rPr>
        <w:t xml:space="preserve">, </w:t>
      </w:r>
      <w:r w:rsidR="005A0201" w:rsidRPr="006E2F18">
        <w:rPr>
          <w:rFonts w:ascii="Arial" w:hAnsi="Arial" w:cs="Arial"/>
          <w:b/>
          <w:sz w:val="25"/>
          <w:szCs w:val="25"/>
          <w:lang w:val="es-ES_tradnl"/>
        </w:rPr>
        <w:t>RECONOCE LA LEGALIDAD Y</w:t>
      </w:r>
      <w:r w:rsidRPr="006E2F18">
        <w:rPr>
          <w:rFonts w:ascii="Arial" w:hAnsi="Arial" w:cs="Arial"/>
          <w:b/>
          <w:sz w:val="25"/>
          <w:szCs w:val="25"/>
          <w:lang w:val="es-ES_tradnl"/>
        </w:rPr>
        <w:t xml:space="preserve"> </w:t>
      </w:r>
      <w:r w:rsidR="00C615EB" w:rsidRPr="006E2F18">
        <w:rPr>
          <w:rFonts w:ascii="Arial" w:hAnsi="Arial" w:cs="Arial"/>
          <w:b/>
          <w:sz w:val="25"/>
          <w:szCs w:val="25"/>
          <w:lang w:val="es-ES_tradnl"/>
        </w:rPr>
        <w:t xml:space="preserve">VALIDEZ </w:t>
      </w:r>
      <w:r w:rsidR="00C615EB" w:rsidRPr="006E2F18">
        <w:rPr>
          <w:rFonts w:ascii="Arial" w:hAnsi="Arial" w:cs="Arial"/>
          <w:sz w:val="25"/>
          <w:szCs w:val="25"/>
        </w:rPr>
        <w:t xml:space="preserve">de la resolución de fecha veintisiete de noviembre de dos mil diecisiete (27/11/2017), </w:t>
      </w:r>
      <w:r w:rsidR="004E1812" w:rsidRPr="006E2F18">
        <w:rPr>
          <w:rFonts w:ascii="Arial" w:hAnsi="Arial" w:cs="Arial"/>
          <w:sz w:val="25"/>
          <w:szCs w:val="25"/>
        </w:rPr>
        <w:t>dictada dentro</w:t>
      </w:r>
      <w:r w:rsidR="00C615EB" w:rsidRPr="006E2F18">
        <w:rPr>
          <w:rFonts w:ascii="Arial" w:hAnsi="Arial" w:cs="Arial"/>
          <w:sz w:val="25"/>
          <w:szCs w:val="25"/>
        </w:rPr>
        <w:t xml:space="preserve"> del expediente admini</w:t>
      </w:r>
      <w:r w:rsidR="00C14CEB" w:rsidRPr="006E2F18">
        <w:rPr>
          <w:rFonts w:ascii="Arial" w:hAnsi="Arial" w:cs="Arial"/>
          <w:sz w:val="25"/>
          <w:szCs w:val="25"/>
        </w:rPr>
        <w:t>strativo número SSP/CEDP/CCP/031</w:t>
      </w:r>
      <w:r w:rsidR="00C615EB" w:rsidRPr="006E2F18">
        <w:rPr>
          <w:rFonts w:ascii="Arial" w:hAnsi="Arial" w:cs="Arial"/>
          <w:sz w:val="25"/>
          <w:szCs w:val="25"/>
        </w:rPr>
        <w:t xml:space="preserve">/2016, por la COMISIÓN DE CARRERA POLICIAL DEL CONSEJO ESTATAL DE DESARROLLO POLICIAL, </w:t>
      </w:r>
      <w:r w:rsidRPr="006E2F18">
        <w:rPr>
          <w:rFonts w:ascii="Arial" w:hAnsi="Arial" w:cs="Arial"/>
          <w:sz w:val="25"/>
          <w:szCs w:val="25"/>
        </w:rPr>
        <w:t xml:space="preserve">consistente en la </w:t>
      </w:r>
      <w:r w:rsidR="00783E5A" w:rsidRPr="006E2F18">
        <w:rPr>
          <w:rFonts w:ascii="Arial" w:hAnsi="Arial" w:cs="Arial"/>
          <w:sz w:val="25"/>
          <w:szCs w:val="25"/>
        </w:rPr>
        <w:t>CONCLUSIÓN</w:t>
      </w:r>
      <w:r w:rsidR="00C615EB" w:rsidRPr="006E2F18">
        <w:rPr>
          <w:rFonts w:ascii="Arial" w:hAnsi="Arial" w:cs="Arial"/>
          <w:sz w:val="25"/>
          <w:szCs w:val="25"/>
        </w:rPr>
        <w:t xml:space="preserve"> DEL SERVICIO POR SEPARACIÓN al cargo que ostentaba como Policía Estatal “A”</w:t>
      </w:r>
      <w:r w:rsidR="00C14CEB" w:rsidRPr="006E2F18">
        <w:rPr>
          <w:rFonts w:ascii="Arial" w:hAnsi="Arial" w:cs="Arial"/>
          <w:sz w:val="25"/>
          <w:szCs w:val="25"/>
        </w:rPr>
        <w:t xml:space="preserve"> por faltas a la permanencia a la que hace referencia el artículo 99 inciso B, fracción VI de la Ley del Sistema Estatal de Seguridad Pública de Oaxaca en relación con el artículo 88 inciso B, fracciones VII y IX de </w:t>
      </w:r>
      <w:r w:rsidR="00C14CEB" w:rsidRPr="006E2F18">
        <w:rPr>
          <w:rFonts w:ascii="Arial" w:hAnsi="Arial" w:cs="Arial"/>
          <w:sz w:val="25"/>
          <w:szCs w:val="25"/>
        </w:rPr>
        <w:lastRenderedPageBreak/>
        <w:t>la Ley General del Sistema Nacional de Seguridad Pública</w:t>
      </w:r>
      <w:r w:rsidR="007352B2" w:rsidRPr="006E2F18">
        <w:rPr>
          <w:rFonts w:ascii="Arial" w:hAnsi="Arial" w:cs="Arial"/>
          <w:sz w:val="25"/>
          <w:szCs w:val="25"/>
        </w:rPr>
        <w:t xml:space="preserve">, y bajo el aforismo jurídico </w:t>
      </w:r>
      <w:r w:rsidR="007352B2" w:rsidRPr="006E2F18">
        <w:rPr>
          <w:rFonts w:ascii="Arial" w:hAnsi="Arial" w:cs="Arial"/>
          <w:i/>
          <w:sz w:val="25"/>
          <w:szCs w:val="25"/>
        </w:rPr>
        <w:t>“como lo accesorio sigue la suerte de lo principal”</w:t>
      </w:r>
      <w:r w:rsidR="007352B2" w:rsidRPr="006E2F18">
        <w:rPr>
          <w:rFonts w:ascii="Arial" w:hAnsi="Arial" w:cs="Arial"/>
          <w:sz w:val="25"/>
          <w:szCs w:val="25"/>
        </w:rPr>
        <w:t>,</w:t>
      </w:r>
      <w:r w:rsidR="00A71A10" w:rsidRPr="006E2F18">
        <w:rPr>
          <w:rFonts w:ascii="Arial" w:hAnsi="Arial" w:cs="Arial"/>
          <w:sz w:val="25"/>
          <w:szCs w:val="25"/>
        </w:rPr>
        <w:t xml:space="preserve"> </w:t>
      </w:r>
      <w:r w:rsidR="00F10A33" w:rsidRPr="006E2F18">
        <w:rPr>
          <w:rFonts w:ascii="Arial" w:hAnsi="Arial" w:cs="Arial"/>
          <w:sz w:val="25"/>
          <w:szCs w:val="25"/>
          <w:lang w:val="es-MX"/>
        </w:rPr>
        <w:t>la</w:t>
      </w:r>
      <w:r w:rsidR="00437567" w:rsidRPr="006E2F18">
        <w:rPr>
          <w:rFonts w:ascii="Arial" w:hAnsi="Arial" w:cs="Arial"/>
          <w:sz w:val="25"/>
          <w:szCs w:val="25"/>
          <w:lang w:val="es-MX"/>
        </w:rPr>
        <w:t xml:space="preserve"> pretensión </w:t>
      </w:r>
      <w:r w:rsidR="00F10A33" w:rsidRPr="006E2F18">
        <w:rPr>
          <w:rFonts w:ascii="Arial" w:hAnsi="Arial" w:cs="Arial"/>
          <w:sz w:val="25"/>
          <w:szCs w:val="25"/>
          <w:lang w:val="es-MX"/>
        </w:rPr>
        <w:t>del actor consistente en</w:t>
      </w:r>
      <w:r w:rsidR="00437567" w:rsidRPr="006E2F18">
        <w:rPr>
          <w:rFonts w:ascii="Arial" w:hAnsi="Arial" w:cs="Arial"/>
          <w:sz w:val="25"/>
          <w:szCs w:val="25"/>
          <w:lang w:val="es-MX"/>
        </w:rPr>
        <w:t xml:space="preserve"> la reinstalación </w:t>
      </w:r>
      <w:r w:rsidR="00F10A33" w:rsidRPr="006E2F18">
        <w:rPr>
          <w:rFonts w:ascii="Arial" w:hAnsi="Arial" w:cs="Arial"/>
          <w:sz w:val="25"/>
          <w:szCs w:val="25"/>
          <w:lang w:val="es-MX"/>
        </w:rPr>
        <w:t>al trabajo que venía desempeñando</w:t>
      </w:r>
      <w:r w:rsidR="007352B2" w:rsidRPr="006E2F18">
        <w:rPr>
          <w:rFonts w:ascii="Arial" w:hAnsi="Arial" w:cs="Arial"/>
          <w:sz w:val="25"/>
          <w:szCs w:val="25"/>
          <w:lang w:val="es-MX"/>
        </w:rPr>
        <w:t xml:space="preserve"> y el pago de salarios y de más prestaciones</w:t>
      </w:r>
      <w:r w:rsidR="00F10A33" w:rsidRPr="006E2F18">
        <w:rPr>
          <w:rFonts w:ascii="Arial" w:hAnsi="Arial" w:cs="Arial"/>
          <w:sz w:val="25"/>
          <w:szCs w:val="25"/>
          <w:lang w:val="es-MX"/>
        </w:rPr>
        <w:t xml:space="preserve"> resulta improcedente.</w:t>
      </w:r>
      <w:r w:rsidR="00C62982" w:rsidRPr="006E2F18">
        <w:rPr>
          <w:rFonts w:ascii="Arial" w:hAnsi="Arial" w:cs="Arial"/>
          <w:sz w:val="25"/>
          <w:szCs w:val="25"/>
          <w:lang w:val="es-MX"/>
        </w:rPr>
        <w:t xml:space="preserve">- - - - - - - - - - - - - </w:t>
      </w:r>
    </w:p>
    <w:p w:rsidR="00F86355" w:rsidRPr="006E2F18" w:rsidRDefault="00D843CA" w:rsidP="008C1A6D">
      <w:pPr>
        <w:spacing w:line="360" w:lineRule="auto"/>
        <w:ind w:firstLine="708"/>
        <w:jc w:val="both"/>
        <w:rPr>
          <w:rFonts w:ascii="Arial" w:hAnsi="Arial" w:cs="Arial"/>
          <w:sz w:val="25"/>
          <w:szCs w:val="25"/>
        </w:rPr>
      </w:pPr>
      <w:r w:rsidRPr="006E2F18">
        <w:rPr>
          <w:rFonts w:ascii="Arial" w:hAnsi="Arial" w:cs="Arial"/>
          <w:sz w:val="25"/>
          <w:szCs w:val="25"/>
          <w:lang w:val="es-ES_tradnl"/>
        </w:rPr>
        <w:t>Por todo lo anteriormente expues</w:t>
      </w:r>
      <w:r w:rsidR="00CE0AE8" w:rsidRPr="006E2F18">
        <w:rPr>
          <w:rFonts w:ascii="Arial" w:hAnsi="Arial" w:cs="Arial"/>
          <w:sz w:val="25"/>
          <w:szCs w:val="25"/>
          <w:lang w:val="es-ES_tradnl"/>
        </w:rPr>
        <w:t>to,</w:t>
      </w:r>
      <w:r w:rsidRPr="006E2F18">
        <w:rPr>
          <w:rFonts w:ascii="Arial" w:hAnsi="Arial" w:cs="Arial"/>
          <w:sz w:val="25"/>
          <w:szCs w:val="25"/>
          <w:lang w:val="es-ES_tradnl"/>
        </w:rPr>
        <w:t xml:space="preserve"> fundado</w:t>
      </w:r>
      <w:r w:rsidR="00CE0AE8" w:rsidRPr="006E2F18">
        <w:rPr>
          <w:rFonts w:ascii="Arial" w:hAnsi="Arial" w:cs="Arial"/>
          <w:sz w:val="25"/>
          <w:szCs w:val="25"/>
          <w:lang w:val="es-ES_tradnl"/>
        </w:rPr>
        <w:t xml:space="preserve"> y motivado</w:t>
      </w:r>
      <w:r w:rsidRPr="006E2F18">
        <w:rPr>
          <w:rFonts w:ascii="Arial" w:hAnsi="Arial" w:cs="Arial"/>
          <w:sz w:val="25"/>
          <w:szCs w:val="25"/>
          <w:lang w:val="es-ES_tradnl"/>
        </w:rPr>
        <w:t xml:space="preserve"> </w:t>
      </w:r>
      <w:r w:rsidRPr="006E2F18">
        <w:rPr>
          <w:rFonts w:ascii="Arial" w:hAnsi="Arial" w:cs="Arial"/>
          <w:sz w:val="25"/>
          <w:szCs w:val="25"/>
        </w:rPr>
        <w:t xml:space="preserve">en términos de los artículos 207, </w:t>
      </w:r>
      <w:r w:rsidR="00CE0AE8" w:rsidRPr="006E2F18">
        <w:rPr>
          <w:rFonts w:ascii="Arial" w:hAnsi="Arial" w:cs="Arial"/>
          <w:sz w:val="25"/>
          <w:szCs w:val="25"/>
        </w:rPr>
        <w:t>y</w:t>
      </w:r>
      <w:r w:rsidRPr="006E2F18">
        <w:rPr>
          <w:rFonts w:ascii="Arial" w:hAnsi="Arial" w:cs="Arial"/>
          <w:sz w:val="25"/>
          <w:szCs w:val="25"/>
        </w:rPr>
        <w:t xml:space="preserve"> 209 </w:t>
      </w:r>
      <w:r w:rsidRPr="006E2F18">
        <w:rPr>
          <w:rFonts w:ascii="Arial" w:hAnsi="Arial" w:cs="Arial"/>
          <w:sz w:val="25"/>
          <w:szCs w:val="25"/>
          <w:lang w:val="es-ES_tradnl"/>
        </w:rPr>
        <w:t xml:space="preserve">de </w:t>
      </w:r>
      <w:r w:rsidRPr="006E2F18">
        <w:rPr>
          <w:rFonts w:ascii="Arial" w:hAnsi="Arial" w:cs="Arial"/>
          <w:sz w:val="25"/>
          <w:szCs w:val="25"/>
        </w:rPr>
        <w:t xml:space="preserve">la Ley de Procedimiento y Justicia Administrativa para el Estado de Oaxaca, se;- - - - - - - - - - - - - - - - - - - - </w:t>
      </w:r>
      <w:r w:rsidR="00CE0AE8" w:rsidRPr="006E2F18">
        <w:rPr>
          <w:rFonts w:ascii="Arial" w:hAnsi="Arial" w:cs="Arial"/>
          <w:sz w:val="25"/>
          <w:szCs w:val="25"/>
        </w:rPr>
        <w:t xml:space="preserve">- - - - - - - - - - - - - - - - </w:t>
      </w:r>
    </w:p>
    <w:p w:rsidR="00DF0277" w:rsidRPr="006E2F18" w:rsidRDefault="00DF0277" w:rsidP="00F10A33">
      <w:pPr>
        <w:spacing w:line="360" w:lineRule="auto"/>
        <w:ind w:right="51"/>
        <w:jc w:val="center"/>
        <w:rPr>
          <w:rFonts w:ascii="Arial" w:hAnsi="Arial" w:cs="Arial"/>
          <w:b/>
          <w:sz w:val="25"/>
          <w:szCs w:val="25"/>
        </w:rPr>
      </w:pPr>
      <w:r w:rsidRPr="006E2F18">
        <w:rPr>
          <w:rFonts w:ascii="Arial" w:hAnsi="Arial" w:cs="Arial"/>
          <w:b/>
          <w:sz w:val="25"/>
          <w:szCs w:val="25"/>
        </w:rPr>
        <w:t>R E S U E L V E:</w:t>
      </w:r>
    </w:p>
    <w:p w:rsidR="00DF0277" w:rsidRPr="006E2F18" w:rsidRDefault="00DF0277" w:rsidP="00F14E49">
      <w:pPr>
        <w:spacing w:line="360" w:lineRule="auto"/>
        <w:ind w:firstLine="708"/>
        <w:jc w:val="both"/>
        <w:rPr>
          <w:rFonts w:ascii="Arial" w:hAnsi="Arial" w:cs="Arial"/>
          <w:sz w:val="25"/>
          <w:szCs w:val="25"/>
        </w:rPr>
      </w:pPr>
      <w:r w:rsidRPr="006E2F18">
        <w:rPr>
          <w:rFonts w:ascii="Arial" w:hAnsi="Arial" w:cs="Arial"/>
          <w:b/>
          <w:sz w:val="25"/>
          <w:szCs w:val="25"/>
        </w:rPr>
        <w:t>PRIMERO</w:t>
      </w:r>
      <w:r w:rsidR="00F86355" w:rsidRPr="006E2F18">
        <w:rPr>
          <w:rFonts w:ascii="Arial" w:hAnsi="Arial" w:cs="Arial"/>
          <w:sz w:val="25"/>
          <w:szCs w:val="25"/>
        </w:rPr>
        <w:t>.- Esta Primera</w:t>
      </w:r>
      <w:r w:rsidRPr="006E2F18">
        <w:rPr>
          <w:rFonts w:ascii="Arial" w:hAnsi="Arial" w:cs="Arial"/>
          <w:sz w:val="25"/>
          <w:szCs w:val="25"/>
        </w:rPr>
        <w:t xml:space="preserve"> Sala Unitari</w:t>
      </w:r>
      <w:r w:rsidR="00327A71" w:rsidRPr="006E2F18">
        <w:rPr>
          <w:rFonts w:ascii="Arial" w:hAnsi="Arial" w:cs="Arial"/>
          <w:sz w:val="25"/>
          <w:szCs w:val="25"/>
        </w:rPr>
        <w:t>a del Tribunal de</w:t>
      </w:r>
      <w:r w:rsidR="00111830" w:rsidRPr="006E2F18">
        <w:rPr>
          <w:rFonts w:ascii="Arial" w:hAnsi="Arial" w:cs="Arial"/>
          <w:sz w:val="25"/>
          <w:szCs w:val="25"/>
        </w:rPr>
        <w:t xml:space="preserve"> Justicia Administrativa del</w:t>
      </w:r>
      <w:r w:rsidR="00F365F1" w:rsidRPr="006E2F18">
        <w:rPr>
          <w:rFonts w:ascii="Arial" w:hAnsi="Arial" w:cs="Arial"/>
          <w:sz w:val="25"/>
          <w:szCs w:val="25"/>
        </w:rPr>
        <w:t xml:space="preserve"> Estado de Oaxaca,</w:t>
      </w:r>
      <w:r w:rsidRPr="006E2F18">
        <w:rPr>
          <w:rFonts w:ascii="Arial" w:hAnsi="Arial" w:cs="Arial"/>
          <w:sz w:val="25"/>
          <w:szCs w:val="25"/>
        </w:rPr>
        <w:t xml:space="preserve"> es competente para conocer y resolver el presente juicio. </w:t>
      </w:r>
      <w:r w:rsidR="00F365F1" w:rsidRPr="006E2F18">
        <w:rPr>
          <w:rFonts w:ascii="Arial" w:hAnsi="Arial" w:cs="Arial"/>
          <w:sz w:val="25"/>
          <w:szCs w:val="25"/>
        </w:rPr>
        <w:t xml:space="preserve">- </w:t>
      </w:r>
      <w:r w:rsidR="004408AF" w:rsidRPr="006E2F18">
        <w:rPr>
          <w:rFonts w:ascii="Arial" w:hAnsi="Arial" w:cs="Arial"/>
          <w:sz w:val="25"/>
          <w:szCs w:val="25"/>
        </w:rPr>
        <w:t xml:space="preserve">- - - - - - - - - - - - - - - - - - - - - - - - - - - - - - - - - - - - - - - - - - - - - </w:t>
      </w:r>
    </w:p>
    <w:p w:rsidR="00DF0277" w:rsidRPr="006E2F18" w:rsidRDefault="00DF0277" w:rsidP="00F14E49">
      <w:pPr>
        <w:spacing w:line="360" w:lineRule="auto"/>
        <w:ind w:firstLine="708"/>
        <w:jc w:val="both"/>
        <w:rPr>
          <w:rFonts w:ascii="Arial" w:hAnsi="Arial" w:cs="Arial"/>
          <w:sz w:val="25"/>
          <w:szCs w:val="25"/>
        </w:rPr>
      </w:pPr>
      <w:r w:rsidRPr="006E2F18">
        <w:rPr>
          <w:rFonts w:ascii="Arial" w:hAnsi="Arial" w:cs="Arial"/>
          <w:b/>
          <w:sz w:val="25"/>
          <w:szCs w:val="25"/>
        </w:rPr>
        <w:t>SEGUNDO</w:t>
      </w:r>
      <w:r w:rsidRPr="006E2F18">
        <w:rPr>
          <w:rFonts w:ascii="Arial" w:hAnsi="Arial" w:cs="Arial"/>
          <w:sz w:val="25"/>
          <w:szCs w:val="25"/>
        </w:rPr>
        <w:t>.- La personalid</w:t>
      </w:r>
      <w:r w:rsidR="00CE6A67" w:rsidRPr="006E2F18">
        <w:rPr>
          <w:rFonts w:ascii="Arial" w:hAnsi="Arial" w:cs="Arial"/>
          <w:sz w:val="25"/>
          <w:szCs w:val="25"/>
        </w:rPr>
        <w:t>ad de la</w:t>
      </w:r>
      <w:r w:rsidR="00327A71" w:rsidRPr="006E2F18">
        <w:rPr>
          <w:rFonts w:ascii="Arial" w:hAnsi="Arial" w:cs="Arial"/>
          <w:sz w:val="25"/>
          <w:szCs w:val="25"/>
        </w:rPr>
        <w:t>s</w:t>
      </w:r>
      <w:r w:rsidR="00CE6A67" w:rsidRPr="006E2F18">
        <w:rPr>
          <w:rFonts w:ascii="Arial" w:hAnsi="Arial" w:cs="Arial"/>
          <w:sz w:val="25"/>
          <w:szCs w:val="25"/>
        </w:rPr>
        <w:t xml:space="preserve"> parte</w:t>
      </w:r>
      <w:r w:rsidR="00327A71" w:rsidRPr="006E2F18">
        <w:rPr>
          <w:rFonts w:ascii="Arial" w:hAnsi="Arial" w:cs="Arial"/>
          <w:sz w:val="25"/>
          <w:szCs w:val="25"/>
        </w:rPr>
        <w:t xml:space="preserve">s </w:t>
      </w:r>
      <w:r w:rsidR="00111830" w:rsidRPr="006E2F18">
        <w:rPr>
          <w:rFonts w:ascii="Arial" w:hAnsi="Arial" w:cs="Arial"/>
          <w:sz w:val="25"/>
          <w:szCs w:val="25"/>
        </w:rPr>
        <w:t>quedó</w:t>
      </w:r>
      <w:r w:rsidR="00327A71" w:rsidRPr="006E2F18">
        <w:rPr>
          <w:rFonts w:ascii="Arial" w:hAnsi="Arial" w:cs="Arial"/>
          <w:sz w:val="25"/>
          <w:szCs w:val="25"/>
        </w:rPr>
        <w:t xml:space="preserve"> a</w:t>
      </w:r>
      <w:r w:rsidR="00997CF8" w:rsidRPr="006E2F18">
        <w:rPr>
          <w:rFonts w:ascii="Arial" w:hAnsi="Arial" w:cs="Arial"/>
          <w:sz w:val="25"/>
          <w:szCs w:val="25"/>
        </w:rPr>
        <w:t>sentada</w:t>
      </w:r>
      <w:r w:rsidR="00327A71" w:rsidRPr="006E2F18">
        <w:rPr>
          <w:rFonts w:ascii="Arial" w:hAnsi="Arial" w:cs="Arial"/>
          <w:sz w:val="25"/>
          <w:szCs w:val="25"/>
        </w:rPr>
        <w:t xml:space="preserve"> en autos.</w:t>
      </w:r>
      <w:r w:rsidR="00EA20ED" w:rsidRPr="006E2F18">
        <w:rPr>
          <w:rFonts w:ascii="Arial" w:hAnsi="Arial" w:cs="Arial"/>
          <w:sz w:val="25"/>
          <w:szCs w:val="25"/>
        </w:rPr>
        <w:t xml:space="preserve"> </w:t>
      </w:r>
      <w:r w:rsidR="004408AF" w:rsidRPr="006E2F18">
        <w:rPr>
          <w:rFonts w:ascii="Arial" w:hAnsi="Arial" w:cs="Arial"/>
          <w:sz w:val="25"/>
          <w:szCs w:val="25"/>
        </w:rPr>
        <w:t xml:space="preserve">- - </w:t>
      </w:r>
    </w:p>
    <w:p w:rsidR="003827E6" w:rsidRPr="006E2F18" w:rsidRDefault="00DF0277" w:rsidP="00F14E49">
      <w:pPr>
        <w:spacing w:line="360" w:lineRule="auto"/>
        <w:ind w:firstLine="708"/>
        <w:jc w:val="both"/>
        <w:rPr>
          <w:rFonts w:ascii="Arial" w:hAnsi="Arial" w:cs="Arial"/>
          <w:sz w:val="25"/>
          <w:szCs w:val="25"/>
          <w:lang w:val="es-MX"/>
        </w:rPr>
      </w:pPr>
      <w:r w:rsidRPr="006E2F18">
        <w:rPr>
          <w:rFonts w:ascii="Arial" w:hAnsi="Arial" w:cs="Arial"/>
          <w:b/>
          <w:sz w:val="25"/>
          <w:szCs w:val="25"/>
        </w:rPr>
        <w:t>TERCERO.</w:t>
      </w:r>
      <w:r w:rsidRPr="006E2F18">
        <w:rPr>
          <w:rFonts w:ascii="Arial" w:hAnsi="Arial" w:cs="Arial"/>
          <w:sz w:val="25"/>
          <w:szCs w:val="25"/>
        </w:rPr>
        <w:t>-</w:t>
      </w:r>
      <w:r w:rsidRPr="006E2F18">
        <w:rPr>
          <w:rFonts w:ascii="Arial" w:hAnsi="Arial" w:cs="Arial"/>
          <w:sz w:val="25"/>
          <w:szCs w:val="25"/>
          <w:lang w:val="es-MX"/>
        </w:rPr>
        <w:t xml:space="preserve"> </w:t>
      </w:r>
      <w:r w:rsidR="00410209" w:rsidRPr="006E2F18">
        <w:rPr>
          <w:rFonts w:ascii="Arial" w:hAnsi="Arial" w:cs="Arial"/>
          <w:sz w:val="25"/>
          <w:szCs w:val="25"/>
          <w:lang w:val="es-MX"/>
        </w:rPr>
        <w:t>Esta Sala</w:t>
      </w:r>
      <w:r w:rsidRPr="006E2F18">
        <w:rPr>
          <w:rFonts w:ascii="Arial" w:hAnsi="Arial" w:cs="Arial"/>
          <w:sz w:val="25"/>
          <w:szCs w:val="25"/>
          <w:lang w:val="es-MX"/>
        </w:rPr>
        <w:t xml:space="preserve"> advierte que, en el presente juicio no se configura alguna causal de improcedencia o sobreseimiento, por</w:t>
      </w:r>
      <w:r w:rsidR="00C62982" w:rsidRPr="006E2F18">
        <w:rPr>
          <w:rFonts w:ascii="Arial" w:hAnsi="Arial" w:cs="Arial"/>
          <w:sz w:val="25"/>
          <w:szCs w:val="25"/>
          <w:lang w:val="es-MX"/>
        </w:rPr>
        <w:t xml:space="preserve"> lo</w:t>
      </w:r>
      <w:r w:rsidRPr="006E2F18">
        <w:rPr>
          <w:rFonts w:ascii="Arial" w:hAnsi="Arial" w:cs="Arial"/>
          <w:sz w:val="25"/>
          <w:szCs w:val="25"/>
          <w:lang w:val="es-MX"/>
        </w:rPr>
        <w:t xml:space="preserve"> tanto, </w:t>
      </w:r>
      <w:r w:rsidRPr="006E2F18">
        <w:rPr>
          <w:rFonts w:ascii="Arial" w:hAnsi="Arial" w:cs="Arial"/>
          <w:b/>
          <w:sz w:val="25"/>
          <w:szCs w:val="25"/>
          <w:lang w:val="es-MX"/>
        </w:rPr>
        <w:t>NO SE SOBRESEE</w:t>
      </w:r>
      <w:r w:rsidR="00111830" w:rsidRPr="006E2F18">
        <w:rPr>
          <w:rFonts w:ascii="Arial" w:hAnsi="Arial" w:cs="Arial"/>
          <w:sz w:val="25"/>
          <w:szCs w:val="25"/>
          <w:lang w:val="es-MX"/>
        </w:rPr>
        <w:t xml:space="preserve">. </w:t>
      </w:r>
      <w:r w:rsidR="00111830" w:rsidRPr="006E2F18">
        <w:rPr>
          <w:rFonts w:ascii="Arial" w:hAnsi="Arial" w:cs="Arial"/>
          <w:b/>
          <w:sz w:val="25"/>
          <w:szCs w:val="25"/>
          <w:lang w:val="es-MX"/>
        </w:rPr>
        <w:t xml:space="preserve"> </w:t>
      </w:r>
      <w:r w:rsidR="00111830" w:rsidRPr="006E2F18">
        <w:rPr>
          <w:rFonts w:ascii="Arial" w:hAnsi="Arial" w:cs="Arial"/>
          <w:sz w:val="25"/>
          <w:szCs w:val="25"/>
          <w:lang w:val="es-MX"/>
        </w:rPr>
        <w:t xml:space="preserve">- - </w:t>
      </w:r>
      <w:r w:rsidR="000F273A" w:rsidRPr="006E2F18">
        <w:rPr>
          <w:rFonts w:ascii="Arial" w:hAnsi="Arial" w:cs="Arial"/>
          <w:sz w:val="25"/>
          <w:szCs w:val="25"/>
          <w:lang w:val="es-MX"/>
        </w:rPr>
        <w:t xml:space="preserve">- - - -  - - - - - - - - - - - - - - - - - - - - - - - - - - - - - - - - - - - - - - - - - </w:t>
      </w:r>
    </w:p>
    <w:p w:rsidR="008C1A6D" w:rsidRPr="006E2F18" w:rsidRDefault="006E2F18" w:rsidP="00DF0277">
      <w:pPr>
        <w:spacing w:line="360" w:lineRule="auto"/>
        <w:jc w:val="both"/>
        <w:rPr>
          <w:rFonts w:ascii="Arial" w:hAnsi="Arial" w:cs="Arial"/>
          <w:bCs/>
          <w:sz w:val="25"/>
          <w:szCs w:val="25"/>
        </w:rPr>
      </w:pPr>
      <w:r>
        <w:rPr>
          <w:noProof/>
          <w:lang w:val="es-MX"/>
        </w:rPr>
        <mc:AlternateContent>
          <mc:Choice Requires="wps">
            <w:drawing>
              <wp:anchor distT="0" distB="0" distL="114300" distR="114300" simplePos="0" relativeHeight="251681792" behindDoc="0" locked="0" layoutInCell="1" allowOverlap="1">
                <wp:simplePos x="0" y="0"/>
                <wp:positionH relativeFrom="column">
                  <wp:posOffset>5746115</wp:posOffset>
                </wp:positionH>
                <wp:positionV relativeFrom="paragraph">
                  <wp:posOffset>133350</wp:posOffset>
                </wp:positionV>
                <wp:extent cx="1267460" cy="866775"/>
                <wp:effectExtent l="0" t="0" r="27940" b="28575"/>
                <wp:wrapNone/>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7460" cy="866775"/>
                        </a:xfrm>
                        <a:prstGeom prst="rect">
                          <a:avLst/>
                        </a:prstGeom>
                        <a:solidFill>
                          <a:srgbClr val="FFFFFF"/>
                        </a:solidFill>
                        <a:ln w="9525">
                          <a:solidFill>
                            <a:srgbClr val="000000"/>
                          </a:solidFill>
                          <a:miter lim="800000"/>
                          <a:headEnd/>
                          <a:tailEnd/>
                        </a:ln>
                      </wps:spPr>
                      <wps:txbx>
                        <w:txbxContent>
                          <w:p w:rsidR="006E2F18" w:rsidRPr="004E1E18" w:rsidRDefault="006E2F18" w:rsidP="006E2F18">
                            <w:pPr>
                              <w:rPr>
                                <w:lang w:val="es-MX"/>
                              </w:rPr>
                            </w:pPr>
                            <w:r w:rsidRPr="004E1E18">
                              <w:rPr>
                                <w:rFonts w:ascii="Arial" w:hAnsi="Arial" w:cs="Arial"/>
                                <w:lang w:val="es-MX"/>
                              </w:rPr>
                              <w:t>Datos personales protegidos por el Art 116 de la LGTAIP y el Art 56  de la LTAIPEO</w:t>
                            </w:r>
                            <w:r>
                              <w:rPr>
                                <w:lang w:val="es-MX"/>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7" type="#_x0000_t202" style="position:absolute;left:0;text-align:left;margin-left:452.45pt;margin-top:10.5pt;width:99.8pt;height:68.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">
                <v:textbox>
                  <w:txbxContent>
                    <w:p w:rsidR="006E2F18" w:rsidRPr="004E1E18" w:rsidRDefault="006E2F18" w:rsidP="006E2F18">
                      <w:pPr>
                        <w:rPr>
                          <w:lang w:val="es-MX"/>
                        </w:rPr>
                      </w:pPr>
                      <w:r w:rsidRPr="004E1E18">
                        <w:rPr>
                          <w:rFonts w:ascii="Arial" w:hAnsi="Arial" w:cs="Arial"/>
                          <w:lang w:val="es-MX"/>
                        </w:rPr>
                        <w:t>Datos personales protegidos por el Art 116 de la LGTAIP y el Art 56  de la LTAIPEO</w:t>
                      </w:r>
                      <w:r>
                        <w:rPr>
                          <w:lang w:val="es-MX"/>
                        </w:rPr>
                        <w:t>.</w:t>
                      </w:r>
                    </w:p>
                  </w:txbxContent>
                </v:textbox>
              </v:shape>
            </w:pict>
          </mc:Fallback>
        </mc:AlternateContent>
      </w:r>
      <w:r w:rsidR="004408AF" w:rsidRPr="006E2F18">
        <w:rPr>
          <w:rFonts w:ascii="Arial" w:hAnsi="Arial" w:cs="Arial"/>
          <w:b/>
          <w:bCs/>
          <w:sz w:val="25"/>
          <w:szCs w:val="25"/>
          <w:lang w:val="es-MX"/>
        </w:rPr>
        <w:t xml:space="preserve">         </w:t>
      </w:r>
      <w:r w:rsidR="00DF0277" w:rsidRPr="006E2F18">
        <w:rPr>
          <w:rFonts w:ascii="Arial" w:hAnsi="Arial" w:cs="Arial"/>
          <w:b/>
          <w:bCs/>
          <w:sz w:val="25"/>
          <w:szCs w:val="25"/>
          <w:lang w:val="es-MX"/>
        </w:rPr>
        <w:t>CUARTO</w:t>
      </w:r>
      <w:r w:rsidR="00DF0277" w:rsidRPr="006E2F18">
        <w:rPr>
          <w:rFonts w:ascii="Arial" w:hAnsi="Arial" w:cs="Arial"/>
          <w:bCs/>
          <w:sz w:val="25"/>
          <w:szCs w:val="25"/>
          <w:lang w:val="es-MX"/>
        </w:rPr>
        <w:t>.-</w:t>
      </w:r>
      <w:r w:rsidR="008C1A6D" w:rsidRPr="006E2F18">
        <w:rPr>
          <w:rFonts w:ascii="Arial" w:hAnsi="Arial" w:cs="Arial"/>
          <w:b/>
          <w:sz w:val="25"/>
          <w:szCs w:val="25"/>
          <w:lang w:val="es-ES_tradnl"/>
        </w:rPr>
        <w:t xml:space="preserve"> </w:t>
      </w:r>
      <w:r w:rsidR="00C14CEB" w:rsidRPr="006E2F18">
        <w:rPr>
          <w:rFonts w:ascii="Arial" w:hAnsi="Arial" w:cs="Arial"/>
          <w:b/>
          <w:sz w:val="25"/>
          <w:szCs w:val="25"/>
          <w:lang w:val="es-ES_tradnl"/>
        </w:rPr>
        <w:t xml:space="preserve">SE RECONOCE LA LEGALIDAD Y VALIDEZ </w:t>
      </w:r>
      <w:r w:rsidR="00C14CEB" w:rsidRPr="006E2F18">
        <w:rPr>
          <w:rFonts w:ascii="Arial" w:hAnsi="Arial" w:cs="Arial"/>
          <w:sz w:val="25"/>
          <w:szCs w:val="25"/>
        </w:rPr>
        <w:t xml:space="preserve">de la resolución de fecha veintisiete de noviembre de dos mil diecisiete (27/11/2017), </w:t>
      </w:r>
      <w:r w:rsidR="006D5305" w:rsidRPr="006E2F18">
        <w:rPr>
          <w:rFonts w:ascii="Arial" w:hAnsi="Arial" w:cs="Arial"/>
          <w:sz w:val="25"/>
          <w:szCs w:val="25"/>
        </w:rPr>
        <w:t>dictada dentro</w:t>
      </w:r>
      <w:r w:rsidR="00C14CEB" w:rsidRPr="006E2F18">
        <w:rPr>
          <w:rFonts w:ascii="Arial" w:hAnsi="Arial" w:cs="Arial"/>
          <w:sz w:val="25"/>
          <w:szCs w:val="25"/>
        </w:rPr>
        <w:t xml:space="preserve"> del expediente administrativo número SSP/CEDP/CCP/031/2016, por la COMISIÓN DE CARRERA POLICIAL DEL CONSEJO ESTATAL DE DESARROLLO POLICIAL, consistente en la CONCLUSIÓN DEL SERVICIO POR SEPARACIÓN al cargo que ostentaba como Policía Estatal “A” por faltas a la permanencia a la que hace referencia el artículo 99 inciso B, fracción VI de la Ley del Sistema Estatal de Seguridad Pública de Oaxaca en relación con el artículo 88 inciso B, fracciones VII y IX de la Ley General del Sistema Nacional de Seguridad Pública. En consecuencia, </w:t>
      </w:r>
      <w:r w:rsidR="00C14CEB" w:rsidRPr="006E2F18">
        <w:rPr>
          <w:rFonts w:ascii="Arial" w:hAnsi="Arial" w:cs="Arial"/>
          <w:sz w:val="25"/>
          <w:szCs w:val="25"/>
          <w:lang w:val="es-MX"/>
        </w:rPr>
        <w:t xml:space="preserve">la pretensión del actor consistente en la reinstalación al trabajo que venía desempeñando </w:t>
      </w:r>
      <w:r w:rsidR="00C94C9D" w:rsidRPr="006E2F18">
        <w:rPr>
          <w:rFonts w:ascii="Arial" w:hAnsi="Arial" w:cs="Arial"/>
          <w:sz w:val="25"/>
          <w:szCs w:val="25"/>
          <w:lang w:val="es-MX"/>
        </w:rPr>
        <w:t xml:space="preserve">y el pago de salarios y de más prestaciones </w:t>
      </w:r>
      <w:r w:rsidR="00C14CEB" w:rsidRPr="006E2F18">
        <w:rPr>
          <w:rFonts w:ascii="Arial" w:hAnsi="Arial" w:cs="Arial"/>
          <w:sz w:val="25"/>
          <w:szCs w:val="25"/>
          <w:lang w:val="es-MX"/>
        </w:rPr>
        <w:t>resulta improcedente</w:t>
      </w:r>
      <w:r w:rsidR="008C1A6D" w:rsidRPr="006E2F18">
        <w:rPr>
          <w:rFonts w:ascii="Arial" w:hAnsi="Arial" w:cs="Arial"/>
          <w:sz w:val="25"/>
          <w:szCs w:val="25"/>
        </w:rPr>
        <w:t xml:space="preserve">, </w:t>
      </w:r>
      <w:r w:rsidR="00DF0277" w:rsidRPr="006E2F18">
        <w:rPr>
          <w:rFonts w:ascii="Arial" w:hAnsi="Arial" w:cs="Arial"/>
          <w:bCs/>
          <w:sz w:val="25"/>
          <w:szCs w:val="25"/>
        </w:rPr>
        <w:t xml:space="preserve">por las razones ya expuestas en el </w:t>
      </w:r>
      <w:r w:rsidR="008C1A6D" w:rsidRPr="006E2F18">
        <w:rPr>
          <w:rFonts w:ascii="Arial" w:hAnsi="Arial" w:cs="Arial"/>
          <w:bCs/>
          <w:sz w:val="25"/>
          <w:szCs w:val="25"/>
        </w:rPr>
        <w:t>c</w:t>
      </w:r>
      <w:r w:rsidR="00DF0277" w:rsidRPr="006E2F18">
        <w:rPr>
          <w:rFonts w:ascii="Arial" w:hAnsi="Arial" w:cs="Arial"/>
          <w:bCs/>
          <w:sz w:val="25"/>
          <w:szCs w:val="25"/>
        </w:rPr>
        <w:t>onsiderando CUARTO de esta sentencia</w:t>
      </w:r>
      <w:r w:rsidR="004408AF" w:rsidRPr="006E2F18">
        <w:rPr>
          <w:rFonts w:ascii="Arial" w:hAnsi="Arial" w:cs="Arial"/>
          <w:bCs/>
          <w:sz w:val="25"/>
          <w:szCs w:val="25"/>
        </w:rPr>
        <w:t xml:space="preserve">. - - - - - - - - - - - - - - - - - </w:t>
      </w:r>
      <w:r w:rsidR="00C94C9D" w:rsidRPr="006E2F18">
        <w:rPr>
          <w:rFonts w:ascii="Arial" w:hAnsi="Arial" w:cs="Arial"/>
          <w:bCs/>
          <w:sz w:val="25"/>
          <w:szCs w:val="25"/>
        </w:rPr>
        <w:t xml:space="preserve">- - - - - - - - - - - - - - - - - - - - - - - - - - - - - </w:t>
      </w:r>
    </w:p>
    <w:p w:rsidR="000F273A" w:rsidRPr="006E2F18" w:rsidRDefault="000F273A" w:rsidP="00DF0277">
      <w:pPr>
        <w:spacing w:line="360" w:lineRule="auto"/>
        <w:ind w:right="51"/>
        <w:jc w:val="both"/>
        <w:rPr>
          <w:rFonts w:ascii="Arial" w:hAnsi="Arial" w:cs="Arial"/>
          <w:b/>
          <w:sz w:val="25"/>
          <w:szCs w:val="25"/>
        </w:rPr>
      </w:pPr>
      <w:r w:rsidRPr="006E2F18">
        <w:rPr>
          <w:rFonts w:ascii="Arial" w:hAnsi="Arial" w:cs="Arial"/>
          <w:b/>
          <w:sz w:val="25"/>
          <w:szCs w:val="25"/>
        </w:rPr>
        <w:t xml:space="preserve">          QUINTO</w:t>
      </w:r>
      <w:r w:rsidRPr="006E2F18">
        <w:rPr>
          <w:rFonts w:ascii="Arial" w:hAnsi="Arial" w:cs="Arial"/>
          <w:sz w:val="25"/>
          <w:szCs w:val="25"/>
        </w:rPr>
        <w:t xml:space="preserve">.- </w:t>
      </w:r>
      <w:r w:rsidRPr="006E2F18">
        <w:rPr>
          <w:rFonts w:ascii="Arial" w:hAnsi="Arial" w:cs="Arial"/>
          <w:sz w:val="25"/>
          <w:szCs w:val="25"/>
          <w:lang w:val="es-MX"/>
        </w:rPr>
        <w:t xml:space="preserve">Conforme a lo dispuesto en los artículos 172 y 173 </w:t>
      </w:r>
      <w:r w:rsidRPr="006E2F18">
        <w:rPr>
          <w:rFonts w:ascii="Arial" w:hAnsi="Arial" w:cs="Arial"/>
          <w:sz w:val="25"/>
          <w:szCs w:val="25"/>
        </w:rPr>
        <w:t>de la Ley de</w:t>
      </w:r>
      <w:r w:rsidR="00F14E49" w:rsidRPr="006E2F18">
        <w:rPr>
          <w:rFonts w:ascii="Arial" w:hAnsi="Arial" w:cs="Arial"/>
          <w:sz w:val="25"/>
          <w:szCs w:val="25"/>
        </w:rPr>
        <w:t xml:space="preserve"> </w:t>
      </w:r>
      <w:r w:rsidRPr="006E2F18">
        <w:rPr>
          <w:rFonts w:ascii="Arial" w:hAnsi="Arial" w:cs="Arial"/>
          <w:sz w:val="25"/>
          <w:szCs w:val="25"/>
        </w:rPr>
        <w:t>Procedimiento y Justicia Administrativa para el Estado de Oaxaca</w:t>
      </w:r>
      <w:r w:rsidRPr="006E2F18">
        <w:rPr>
          <w:rFonts w:ascii="Arial" w:hAnsi="Arial" w:cs="Arial"/>
          <w:b/>
          <w:sz w:val="25"/>
          <w:szCs w:val="25"/>
        </w:rPr>
        <w:t xml:space="preserve">, NOTIFÍQUESE </w:t>
      </w:r>
      <w:r w:rsidRPr="006E2F18">
        <w:rPr>
          <w:rFonts w:ascii="Arial" w:hAnsi="Arial" w:cs="Arial"/>
          <w:sz w:val="25"/>
          <w:szCs w:val="25"/>
        </w:rPr>
        <w:t xml:space="preserve">personalmente a la parte actora, por oficio a la autoridad demandada y </w:t>
      </w:r>
      <w:r w:rsidRPr="006E2F18">
        <w:rPr>
          <w:rFonts w:ascii="Arial" w:hAnsi="Arial" w:cs="Arial"/>
          <w:b/>
          <w:sz w:val="25"/>
          <w:szCs w:val="25"/>
        </w:rPr>
        <w:t>CÚMPLASE</w:t>
      </w:r>
      <w:r w:rsidRPr="006E2F18">
        <w:rPr>
          <w:rFonts w:ascii="Arial" w:hAnsi="Arial" w:cs="Arial"/>
          <w:sz w:val="25"/>
          <w:szCs w:val="25"/>
        </w:rPr>
        <w:t xml:space="preserve">.- - - - - - - - - - - - - - - - - - - - - - - - - - - - - - -  - - - - - - </w:t>
      </w:r>
    </w:p>
    <w:p w:rsidR="00596973" w:rsidRPr="006E2F18" w:rsidRDefault="00F86355" w:rsidP="00522341">
      <w:pPr>
        <w:spacing w:line="360" w:lineRule="auto"/>
        <w:ind w:right="49" w:firstLine="567"/>
        <w:jc w:val="both"/>
        <w:rPr>
          <w:rFonts w:ascii="Arial" w:hAnsi="Arial" w:cs="Arial"/>
          <w:sz w:val="25"/>
          <w:szCs w:val="25"/>
        </w:rPr>
      </w:pPr>
      <w:r w:rsidRPr="006E2F18">
        <w:rPr>
          <w:rFonts w:ascii="Arial" w:hAnsi="Arial" w:cs="Arial"/>
          <w:sz w:val="25"/>
          <w:szCs w:val="25"/>
        </w:rPr>
        <w:t xml:space="preserve">Así lo resolvió y firma la </w:t>
      </w:r>
      <w:r w:rsidR="00C14CEB" w:rsidRPr="006E2F18">
        <w:rPr>
          <w:rFonts w:ascii="Arial" w:hAnsi="Arial" w:cs="Arial"/>
          <w:b/>
          <w:i/>
          <w:sz w:val="25"/>
          <w:szCs w:val="25"/>
        </w:rPr>
        <w:t>l</w:t>
      </w:r>
      <w:r w:rsidRPr="006E2F18">
        <w:rPr>
          <w:rFonts w:ascii="Arial" w:hAnsi="Arial" w:cs="Arial"/>
          <w:b/>
          <w:i/>
          <w:sz w:val="25"/>
          <w:szCs w:val="25"/>
        </w:rPr>
        <w:t>icenciada Frida Jiménez Valencia</w:t>
      </w:r>
      <w:r w:rsidRPr="006E2F18">
        <w:rPr>
          <w:rFonts w:ascii="Arial" w:hAnsi="Arial" w:cs="Arial"/>
          <w:sz w:val="25"/>
          <w:szCs w:val="25"/>
        </w:rPr>
        <w:t>, Magistrada de la Primera Sala Unitaria de Primera Instancia del Tribunal de Justicia Administrativa del Estado de Oaxaca, a</w:t>
      </w:r>
      <w:r w:rsidR="00C14CEB" w:rsidRPr="006E2F18">
        <w:rPr>
          <w:rFonts w:ascii="Arial" w:hAnsi="Arial" w:cs="Arial"/>
          <w:sz w:val="25"/>
          <w:szCs w:val="25"/>
        </w:rPr>
        <w:t xml:space="preserve">nte el Secretario de Acuerdos, </w:t>
      </w:r>
      <w:r w:rsidR="00C14CEB" w:rsidRPr="006E2F18">
        <w:rPr>
          <w:rFonts w:ascii="Arial" w:hAnsi="Arial" w:cs="Arial"/>
          <w:i/>
          <w:sz w:val="25"/>
          <w:szCs w:val="25"/>
        </w:rPr>
        <w:t>l</w:t>
      </w:r>
      <w:r w:rsidRPr="006E2F18">
        <w:rPr>
          <w:rFonts w:ascii="Arial" w:hAnsi="Arial" w:cs="Arial"/>
          <w:i/>
          <w:sz w:val="25"/>
          <w:szCs w:val="25"/>
        </w:rPr>
        <w:t>icenciado Renato Gabriel Ibáñez Castellanos</w:t>
      </w:r>
      <w:r w:rsidRPr="006E2F18">
        <w:rPr>
          <w:rFonts w:ascii="Arial" w:hAnsi="Arial" w:cs="Arial"/>
          <w:sz w:val="25"/>
          <w:szCs w:val="25"/>
        </w:rPr>
        <w:t>, quien autoriza y da fe. - -</w:t>
      </w:r>
      <w:r w:rsidR="004408AF" w:rsidRPr="006E2F18">
        <w:rPr>
          <w:rFonts w:ascii="Arial" w:hAnsi="Arial" w:cs="Arial"/>
          <w:sz w:val="25"/>
          <w:szCs w:val="25"/>
        </w:rPr>
        <w:t xml:space="preserve"> - - - - - </w:t>
      </w:r>
    </w:p>
    <w:p w:rsidR="00596973" w:rsidRPr="006E2F18" w:rsidRDefault="00596973" w:rsidP="00F86355">
      <w:pPr>
        <w:spacing w:line="360" w:lineRule="auto"/>
        <w:ind w:right="49" w:firstLine="567"/>
        <w:jc w:val="both"/>
        <w:rPr>
          <w:rFonts w:ascii="Arial" w:hAnsi="Arial" w:cs="Arial"/>
          <w:sz w:val="25"/>
          <w:szCs w:val="25"/>
          <w:lang w:val="es-MX"/>
        </w:rPr>
      </w:pPr>
      <w:bookmarkStart w:id="0" w:name="_GoBack"/>
      <w:bookmarkEnd w:id="0"/>
    </w:p>
    <w:sectPr w:rsidR="00596973" w:rsidRPr="006E2F18" w:rsidSect="00A71C2D">
      <w:headerReference w:type="even" r:id="rId9"/>
      <w:headerReference w:type="default" r:id="rId10"/>
      <w:pgSz w:w="12242" w:h="20163" w:code="5"/>
      <w:pgMar w:top="1134" w:right="1134" w:bottom="2268" w:left="2268" w:header="720" w:footer="720" w:gutter="0"/>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3BB9" w:rsidRDefault="006E3BB9" w:rsidP="00F420D4">
      <w:r>
        <w:separator/>
      </w:r>
    </w:p>
  </w:endnote>
  <w:endnote w:type="continuationSeparator" w:id="0">
    <w:p w:rsidR="006E3BB9" w:rsidRDefault="006E3BB9"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swiss"/>
    <w:pitch w:val="variable"/>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font280">
    <w:charset w:val="00"/>
    <w:family w:val="auto"/>
    <w:pitch w:val="variable"/>
  </w:font>
  <w:font w:name="Courier">
    <w:panose1 w:val="02070409020205020404"/>
    <w:charset w:val="00"/>
    <w:family w:val="modern"/>
    <w:notTrueType/>
    <w:pitch w:val="fixed"/>
    <w:sig w:usb0="00000003" w:usb1="00000000" w:usb2="00000000" w:usb3="00000000" w:csb0="00000001" w:csb1="00000000"/>
  </w:font>
  <w:font w:name="font242">
    <w:charset w:val="00"/>
    <w:family w:val="auto"/>
    <w:pitch w:val="variable"/>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3BB9" w:rsidRDefault="006E3BB9" w:rsidP="00F420D4">
      <w:r>
        <w:separator/>
      </w:r>
    </w:p>
  </w:footnote>
  <w:footnote w:type="continuationSeparator" w:id="0">
    <w:p w:rsidR="006E3BB9" w:rsidRDefault="006E3BB9"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1C2D" w:rsidRPr="00CC4788" w:rsidRDefault="00A71C2D" w:rsidP="00A71C2D">
    <w:pPr>
      <w:rPr>
        <w:rFonts w:ascii="Arial" w:hAnsi="Arial" w:cs="Arial"/>
        <w:sz w:val="28"/>
        <w:lang w:val="es-ES_tradnl"/>
      </w:rPr>
    </w:pPr>
    <w:r>
      <w:rPr>
        <w:rFonts w:ascii="Arial" w:hAnsi="Arial" w:cs="Arial"/>
        <w:b/>
        <w:sz w:val="28"/>
        <w:lang w:val="en-US"/>
      </w:rPr>
      <w:t>03/2018</w:t>
    </w: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6E2F18">
      <w:rPr>
        <w:rFonts w:ascii="Arial" w:hAnsi="Arial" w:cs="Arial"/>
        <w:b/>
        <w:noProof/>
        <w:sz w:val="28"/>
        <w:lang w:val="en-US"/>
      </w:rPr>
      <w:t>12</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p>
  <w:p w:rsidR="00A71C2D" w:rsidRDefault="00A71C2D">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6A00" w:rsidRPr="00CC4788" w:rsidRDefault="00386A00"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6E2F18">
      <w:rPr>
        <w:rFonts w:ascii="Arial" w:hAnsi="Arial" w:cs="Arial"/>
        <w:b/>
        <w:noProof/>
        <w:sz w:val="28"/>
        <w:lang w:val="en-US"/>
      </w:rPr>
      <w:t>11</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E43670">
      <w:rPr>
        <w:rFonts w:ascii="Arial" w:hAnsi="Arial" w:cs="Arial"/>
        <w:b/>
        <w:sz w:val="28"/>
        <w:lang w:val="en-US"/>
      </w:rPr>
      <w:t xml:space="preserve">                            </w:t>
    </w:r>
    <w:r w:rsidR="00511917">
      <w:rPr>
        <w:rFonts w:ascii="Arial" w:hAnsi="Arial" w:cs="Arial"/>
        <w:b/>
        <w:sz w:val="28"/>
        <w:lang w:val="en-US"/>
      </w:rPr>
      <w:t xml:space="preserve">    </w:t>
    </w:r>
    <w:r w:rsidR="00731ED9">
      <w:rPr>
        <w:rFonts w:ascii="Arial" w:hAnsi="Arial" w:cs="Arial"/>
        <w:b/>
        <w:sz w:val="28"/>
        <w:lang w:val="en-US"/>
      </w:rPr>
      <w:t xml:space="preserve">    </w:t>
    </w:r>
    <w:r w:rsidR="00356012">
      <w:rPr>
        <w:rFonts w:ascii="Arial" w:hAnsi="Arial" w:cs="Arial"/>
        <w:b/>
        <w:sz w:val="28"/>
        <w:lang w:val="en-US"/>
      </w:rPr>
      <w:t xml:space="preserve">  </w:t>
    </w:r>
    <w:r w:rsidR="00511917">
      <w:rPr>
        <w:rFonts w:ascii="Arial" w:hAnsi="Arial" w:cs="Arial"/>
        <w:b/>
        <w:sz w:val="28"/>
        <w:lang w:val="en-US"/>
      </w:rPr>
      <w:t>0</w:t>
    </w:r>
    <w:r w:rsidR="00356012">
      <w:rPr>
        <w:rFonts w:ascii="Arial" w:hAnsi="Arial" w:cs="Arial"/>
        <w:b/>
        <w:sz w:val="28"/>
        <w:lang w:val="en-US"/>
      </w:rPr>
      <w:t>3</w:t>
    </w:r>
    <w:r w:rsidR="00EC301E">
      <w:rPr>
        <w:rFonts w:ascii="Arial" w:hAnsi="Arial" w:cs="Arial"/>
        <w:b/>
        <w:sz w:val="28"/>
        <w:lang w:val="en-US"/>
      </w:rPr>
      <w:t>/201</w:t>
    </w:r>
    <w:r w:rsidR="00356012">
      <w:rPr>
        <w:rFonts w:ascii="Arial" w:hAnsi="Arial" w:cs="Arial"/>
        <w:b/>
        <w:sz w:val="28"/>
        <w:lang w:val="en-US"/>
      </w:rPr>
      <w:t>8</w:t>
    </w:r>
  </w:p>
  <w:p w:rsidR="00386A00" w:rsidRPr="00CC4788" w:rsidRDefault="00386A00">
    <w:pPr>
      <w:rPr>
        <w:lang w:val="es-ES_tradn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1">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2">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mirrorMargins/>
  <w:defaultTabStop w:val="709"/>
  <w:hyphenationZone w:val="425"/>
  <w:evenAndOddHeaders/>
  <w:doNotShadeFormData/>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0180"/>
    <w:rsid w:val="00000554"/>
    <w:rsid w:val="00000890"/>
    <w:rsid w:val="00000B01"/>
    <w:rsid w:val="00003238"/>
    <w:rsid w:val="000038A9"/>
    <w:rsid w:val="000040A6"/>
    <w:rsid w:val="00004A37"/>
    <w:rsid w:val="00004A93"/>
    <w:rsid w:val="000062C7"/>
    <w:rsid w:val="00006EBC"/>
    <w:rsid w:val="0000749C"/>
    <w:rsid w:val="000108A9"/>
    <w:rsid w:val="000118CC"/>
    <w:rsid w:val="00012AF7"/>
    <w:rsid w:val="00012C22"/>
    <w:rsid w:val="00013173"/>
    <w:rsid w:val="00014783"/>
    <w:rsid w:val="00014A5D"/>
    <w:rsid w:val="0001647B"/>
    <w:rsid w:val="00016741"/>
    <w:rsid w:val="00016747"/>
    <w:rsid w:val="00020C7F"/>
    <w:rsid w:val="00021CBE"/>
    <w:rsid w:val="00022B15"/>
    <w:rsid w:val="000245C9"/>
    <w:rsid w:val="00024D09"/>
    <w:rsid w:val="00025DE5"/>
    <w:rsid w:val="00027E3C"/>
    <w:rsid w:val="000314CE"/>
    <w:rsid w:val="0003235C"/>
    <w:rsid w:val="00032EB5"/>
    <w:rsid w:val="00033970"/>
    <w:rsid w:val="00034305"/>
    <w:rsid w:val="0004107F"/>
    <w:rsid w:val="00041924"/>
    <w:rsid w:val="0004209E"/>
    <w:rsid w:val="000421DA"/>
    <w:rsid w:val="00043867"/>
    <w:rsid w:val="000442F4"/>
    <w:rsid w:val="00044EAF"/>
    <w:rsid w:val="00044F67"/>
    <w:rsid w:val="0004548C"/>
    <w:rsid w:val="00046F31"/>
    <w:rsid w:val="00050A1C"/>
    <w:rsid w:val="0005190C"/>
    <w:rsid w:val="00052518"/>
    <w:rsid w:val="00053680"/>
    <w:rsid w:val="000538FE"/>
    <w:rsid w:val="00053917"/>
    <w:rsid w:val="000545E1"/>
    <w:rsid w:val="000549A1"/>
    <w:rsid w:val="00054CF9"/>
    <w:rsid w:val="00055FB3"/>
    <w:rsid w:val="00056A5A"/>
    <w:rsid w:val="00056AC0"/>
    <w:rsid w:val="00056AF9"/>
    <w:rsid w:val="00056BFA"/>
    <w:rsid w:val="00062F80"/>
    <w:rsid w:val="0006347A"/>
    <w:rsid w:val="00064021"/>
    <w:rsid w:val="00064C73"/>
    <w:rsid w:val="00065CEC"/>
    <w:rsid w:val="000708B9"/>
    <w:rsid w:val="00070E1B"/>
    <w:rsid w:val="00071182"/>
    <w:rsid w:val="00072B3A"/>
    <w:rsid w:val="0007346E"/>
    <w:rsid w:val="00074812"/>
    <w:rsid w:val="00074EF2"/>
    <w:rsid w:val="0007540E"/>
    <w:rsid w:val="00075652"/>
    <w:rsid w:val="00075ED5"/>
    <w:rsid w:val="00081A52"/>
    <w:rsid w:val="0008218F"/>
    <w:rsid w:val="0008231D"/>
    <w:rsid w:val="00083868"/>
    <w:rsid w:val="00083FA3"/>
    <w:rsid w:val="00085C41"/>
    <w:rsid w:val="00086836"/>
    <w:rsid w:val="00090AED"/>
    <w:rsid w:val="00091CF1"/>
    <w:rsid w:val="00091E44"/>
    <w:rsid w:val="0009226D"/>
    <w:rsid w:val="000926F1"/>
    <w:rsid w:val="00093B28"/>
    <w:rsid w:val="00093FC0"/>
    <w:rsid w:val="000951C2"/>
    <w:rsid w:val="00096EEB"/>
    <w:rsid w:val="000970DA"/>
    <w:rsid w:val="000A0ADA"/>
    <w:rsid w:val="000A136F"/>
    <w:rsid w:val="000A23D3"/>
    <w:rsid w:val="000A3904"/>
    <w:rsid w:val="000A4C8E"/>
    <w:rsid w:val="000A5355"/>
    <w:rsid w:val="000A553B"/>
    <w:rsid w:val="000A60D3"/>
    <w:rsid w:val="000A66DE"/>
    <w:rsid w:val="000A7122"/>
    <w:rsid w:val="000B4839"/>
    <w:rsid w:val="000B4EF2"/>
    <w:rsid w:val="000B58B7"/>
    <w:rsid w:val="000B6603"/>
    <w:rsid w:val="000B7936"/>
    <w:rsid w:val="000B7FD5"/>
    <w:rsid w:val="000C2B35"/>
    <w:rsid w:val="000C2ED0"/>
    <w:rsid w:val="000C6F4F"/>
    <w:rsid w:val="000C6F62"/>
    <w:rsid w:val="000D0E26"/>
    <w:rsid w:val="000D1A0F"/>
    <w:rsid w:val="000D2089"/>
    <w:rsid w:val="000D2093"/>
    <w:rsid w:val="000D2F19"/>
    <w:rsid w:val="000D5FA7"/>
    <w:rsid w:val="000D684A"/>
    <w:rsid w:val="000D7AC5"/>
    <w:rsid w:val="000E0227"/>
    <w:rsid w:val="000E0584"/>
    <w:rsid w:val="000E1447"/>
    <w:rsid w:val="000E1977"/>
    <w:rsid w:val="000E2E62"/>
    <w:rsid w:val="000E2E9E"/>
    <w:rsid w:val="000E69D0"/>
    <w:rsid w:val="000E7BD6"/>
    <w:rsid w:val="000F273A"/>
    <w:rsid w:val="000F35D3"/>
    <w:rsid w:val="000F4DF7"/>
    <w:rsid w:val="000F698B"/>
    <w:rsid w:val="000F787F"/>
    <w:rsid w:val="000F7C83"/>
    <w:rsid w:val="000F7CDD"/>
    <w:rsid w:val="000F7DFD"/>
    <w:rsid w:val="00104138"/>
    <w:rsid w:val="0010413C"/>
    <w:rsid w:val="00105CEA"/>
    <w:rsid w:val="00106ABF"/>
    <w:rsid w:val="001075B5"/>
    <w:rsid w:val="00107AAC"/>
    <w:rsid w:val="00107FB6"/>
    <w:rsid w:val="00111700"/>
    <w:rsid w:val="00111830"/>
    <w:rsid w:val="00111945"/>
    <w:rsid w:val="001156BF"/>
    <w:rsid w:val="00115F08"/>
    <w:rsid w:val="00116AD9"/>
    <w:rsid w:val="0011715F"/>
    <w:rsid w:val="0012103E"/>
    <w:rsid w:val="0012548B"/>
    <w:rsid w:val="00125DF0"/>
    <w:rsid w:val="00126EAC"/>
    <w:rsid w:val="00127456"/>
    <w:rsid w:val="001306B9"/>
    <w:rsid w:val="001310CA"/>
    <w:rsid w:val="00132836"/>
    <w:rsid w:val="00133411"/>
    <w:rsid w:val="0013412D"/>
    <w:rsid w:val="0013414A"/>
    <w:rsid w:val="00134A34"/>
    <w:rsid w:val="00135CF1"/>
    <w:rsid w:val="00136090"/>
    <w:rsid w:val="00136A0A"/>
    <w:rsid w:val="00136F7C"/>
    <w:rsid w:val="001371F7"/>
    <w:rsid w:val="00140E99"/>
    <w:rsid w:val="001411A0"/>
    <w:rsid w:val="0014293B"/>
    <w:rsid w:val="0014457C"/>
    <w:rsid w:val="001448B1"/>
    <w:rsid w:val="00144BCA"/>
    <w:rsid w:val="0014759A"/>
    <w:rsid w:val="00147870"/>
    <w:rsid w:val="00150176"/>
    <w:rsid w:val="00150338"/>
    <w:rsid w:val="00151DA7"/>
    <w:rsid w:val="001520A9"/>
    <w:rsid w:val="00153853"/>
    <w:rsid w:val="00154035"/>
    <w:rsid w:val="00155459"/>
    <w:rsid w:val="001555BB"/>
    <w:rsid w:val="00156809"/>
    <w:rsid w:val="001606D6"/>
    <w:rsid w:val="00160744"/>
    <w:rsid w:val="00161AA7"/>
    <w:rsid w:val="00162A47"/>
    <w:rsid w:val="00165602"/>
    <w:rsid w:val="00165B0A"/>
    <w:rsid w:val="00165EC5"/>
    <w:rsid w:val="001661CB"/>
    <w:rsid w:val="0017017A"/>
    <w:rsid w:val="00170591"/>
    <w:rsid w:val="001708DD"/>
    <w:rsid w:val="0017119D"/>
    <w:rsid w:val="00171222"/>
    <w:rsid w:val="001728AE"/>
    <w:rsid w:val="00174171"/>
    <w:rsid w:val="001742B9"/>
    <w:rsid w:val="0017466C"/>
    <w:rsid w:val="001749B6"/>
    <w:rsid w:val="00175628"/>
    <w:rsid w:val="00181B0E"/>
    <w:rsid w:val="00181C94"/>
    <w:rsid w:val="00182097"/>
    <w:rsid w:val="00182D6E"/>
    <w:rsid w:val="00182DD7"/>
    <w:rsid w:val="00183229"/>
    <w:rsid w:val="001839F5"/>
    <w:rsid w:val="0018528F"/>
    <w:rsid w:val="00186A01"/>
    <w:rsid w:val="00187BF4"/>
    <w:rsid w:val="00187CF0"/>
    <w:rsid w:val="00190598"/>
    <w:rsid w:val="00191952"/>
    <w:rsid w:val="001929BD"/>
    <w:rsid w:val="001933DB"/>
    <w:rsid w:val="00195BE9"/>
    <w:rsid w:val="00196AE3"/>
    <w:rsid w:val="001A230B"/>
    <w:rsid w:val="001A26B5"/>
    <w:rsid w:val="001A289F"/>
    <w:rsid w:val="001A2BAD"/>
    <w:rsid w:val="001A4B23"/>
    <w:rsid w:val="001A50FB"/>
    <w:rsid w:val="001A613C"/>
    <w:rsid w:val="001A76B6"/>
    <w:rsid w:val="001B08A3"/>
    <w:rsid w:val="001B0951"/>
    <w:rsid w:val="001B1177"/>
    <w:rsid w:val="001B2A0C"/>
    <w:rsid w:val="001B2B46"/>
    <w:rsid w:val="001B4B43"/>
    <w:rsid w:val="001B5975"/>
    <w:rsid w:val="001B5D21"/>
    <w:rsid w:val="001B67CB"/>
    <w:rsid w:val="001B6A7B"/>
    <w:rsid w:val="001B7203"/>
    <w:rsid w:val="001C0A21"/>
    <w:rsid w:val="001C0BE4"/>
    <w:rsid w:val="001C1F9A"/>
    <w:rsid w:val="001C35E9"/>
    <w:rsid w:val="001C4533"/>
    <w:rsid w:val="001D0949"/>
    <w:rsid w:val="001D2022"/>
    <w:rsid w:val="001D2213"/>
    <w:rsid w:val="001D2315"/>
    <w:rsid w:val="001D4569"/>
    <w:rsid w:val="001D46B8"/>
    <w:rsid w:val="001D4BA3"/>
    <w:rsid w:val="001D5642"/>
    <w:rsid w:val="001D689D"/>
    <w:rsid w:val="001E1062"/>
    <w:rsid w:val="001E1DC8"/>
    <w:rsid w:val="001E2C37"/>
    <w:rsid w:val="001E2F19"/>
    <w:rsid w:val="001E3376"/>
    <w:rsid w:val="001E48B8"/>
    <w:rsid w:val="001E4ACA"/>
    <w:rsid w:val="001E5028"/>
    <w:rsid w:val="001E6368"/>
    <w:rsid w:val="001E65CD"/>
    <w:rsid w:val="001E66AE"/>
    <w:rsid w:val="001E72CD"/>
    <w:rsid w:val="001F014F"/>
    <w:rsid w:val="001F0AD3"/>
    <w:rsid w:val="001F0EBB"/>
    <w:rsid w:val="001F2CDF"/>
    <w:rsid w:val="001F2F05"/>
    <w:rsid w:val="001F6D14"/>
    <w:rsid w:val="00200672"/>
    <w:rsid w:val="00201759"/>
    <w:rsid w:val="00201DB4"/>
    <w:rsid w:val="002029D9"/>
    <w:rsid w:val="002047DF"/>
    <w:rsid w:val="00204AC3"/>
    <w:rsid w:val="00204BB1"/>
    <w:rsid w:val="00205786"/>
    <w:rsid w:val="00206420"/>
    <w:rsid w:val="00206997"/>
    <w:rsid w:val="00207E03"/>
    <w:rsid w:val="00210262"/>
    <w:rsid w:val="00210A5F"/>
    <w:rsid w:val="00210CDB"/>
    <w:rsid w:val="00210E8B"/>
    <w:rsid w:val="002118C5"/>
    <w:rsid w:val="00211F20"/>
    <w:rsid w:val="002124A3"/>
    <w:rsid w:val="00212B3D"/>
    <w:rsid w:val="00214464"/>
    <w:rsid w:val="00217528"/>
    <w:rsid w:val="002201DE"/>
    <w:rsid w:val="0022085C"/>
    <w:rsid w:val="00221080"/>
    <w:rsid w:val="00221BAB"/>
    <w:rsid w:val="00224E35"/>
    <w:rsid w:val="002255C6"/>
    <w:rsid w:val="00225AC2"/>
    <w:rsid w:val="002329D9"/>
    <w:rsid w:val="00233DDE"/>
    <w:rsid w:val="0023407F"/>
    <w:rsid w:val="002404AD"/>
    <w:rsid w:val="0024126C"/>
    <w:rsid w:val="002414F6"/>
    <w:rsid w:val="0024394E"/>
    <w:rsid w:val="00244161"/>
    <w:rsid w:val="00244653"/>
    <w:rsid w:val="002448FB"/>
    <w:rsid w:val="00244E33"/>
    <w:rsid w:val="002467CD"/>
    <w:rsid w:val="00251684"/>
    <w:rsid w:val="00252101"/>
    <w:rsid w:val="002523D8"/>
    <w:rsid w:val="00252E4B"/>
    <w:rsid w:val="002562A6"/>
    <w:rsid w:val="0025726B"/>
    <w:rsid w:val="002626B4"/>
    <w:rsid w:val="00263D08"/>
    <w:rsid w:val="00265AD0"/>
    <w:rsid w:val="00267232"/>
    <w:rsid w:val="00267921"/>
    <w:rsid w:val="002679D7"/>
    <w:rsid w:val="002714B5"/>
    <w:rsid w:val="00271915"/>
    <w:rsid w:val="002735EA"/>
    <w:rsid w:val="002736D1"/>
    <w:rsid w:val="00273CFD"/>
    <w:rsid w:val="00274916"/>
    <w:rsid w:val="00277B57"/>
    <w:rsid w:val="00281184"/>
    <w:rsid w:val="002811C3"/>
    <w:rsid w:val="00281246"/>
    <w:rsid w:val="00281435"/>
    <w:rsid w:val="00281561"/>
    <w:rsid w:val="00281ABF"/>
    <w:rsid w:val="00282300"/>
    <w:rsid w:val="002823BB"/>
    <w:rsid w:val="00283EA9"/>
    <w:rsid w:val="002842EC"/>
    <w:rsid w:val="00286483"/>
    <w:rsid w:val="0028659A"/>
    <w:rsid w:val="00290580"/>
    <w:rsid w:val="00291EE6"/>
    <w:rsid w:val="002930D3"/>
    <w:rsid w:val="002955B2"/>
    <w:rsid w:val="002963FC"/>
    <w:rsid w:val="00296F46"/>
    <w:rsid w:val="0029727A"/>
    <w:rsid w:val="00297889"/>
    <w:rsid w:val="002A199E"/>
    <w:rsid w:val="002A1C28"/>
    <w:rsid w:val="002A2373"/>
    <w:rsid w:val="002A2E41"/>
    <w:rsid w:val="002A5A67"/>
    <w:rsid w:val="002A7520"/>
    <w:rsid w:val="002B06DD"/>
    <w:rsid w:val="002B3A63"/>
    <w:rsid w:val="002B3E62"/>
    <w:rsid w:val="002B4C8D"/>
    <w:rsid w:val="002B5B2A"/>
    <w:rsid w:val="002C1189"/>
    <w:rsid w:val="002C1889"/>
    <w:rsid w:val="002C224B"/>
    <w:rsid w:val="002C2B64"/>
    <w:rsid w:val="002C4078"/>
    <w:rsid w:val="002C443E"/>
    <w:rsid w:val="002C53EC"/>
    <w:rsid w:val="002C5737"/>
    <w:rsid w:val="002C58AD"/>
    <w:rsid w:val="002D0049"/>
    <w:rsid w:val="002D0C96"/>
    <w:rsid w:val="002D11A5"/>
    <w:rsid w:val="002D2928"/>
    <w:rsid w:val="002D3216"/>
    <w:rsid w:val="002D39B6"/>
    <w:rsid w:val="002D4C4E"/>
    <w:rsid w:val="002D58C8"/>
    <w:rsid w:val="002D5BF7"/>
    <w:rsid w:val="002D643E"/>
    <w:rsid w:val="002D6887"/>
    <w:rsid w:val="002D6AB7"/>
    <w:rsid w:val="002D6B87"/>
    <w:rsid w:val="002D7764"/>
    <w:rsid w:val="002E0C4A"/>
    <w:rsid w:val="002E0D99"/>
    <w:rsid w:val="002E1217"/>
    <w:rsid w:val="002E1667"/>
    <w:rsid w:val="002E1B65"/>
    <w:rsid w:val="002E1B83"/>
    <w:rsid w:val="002E77B4"/>
    <w:rsid w:val="002F15B5"/>
    <w:rsid w:val="002F62B7"/>
    <w:rsid w:val="002F77A0"/>
    <w:rsid w:val="00300678"/>
    <w:rsid w:val="00300904"/>
    <w:rsid w:val="00300FD4"/>
    <w:rsid w:val="00301CB4"/>
    <w:rsid w:val="00303578"/>
    <w:rsid w:val="0030422F"/>
    <w:rsid w:val="00304939"/>
    <w:rsid w:val="00304AD8"/>
    <w:rsid w:val="003059A2"/>
    <w:rsid w:val="00306CC8"/>
    <w:rsid w:val="00310405"/>
    <w:rsid w:val="00310CB8"/>
    <w:rsid w:val="00311738"/>
    <w:rsid w:val="0031194F"/>
    <w:rsid w:val="0031273C"/>
    <w:rsid w:val="003147F3"/>
    <w:rsid w:val="00314908"/>
    <w:rsid w:val="003152EA"/>
    <w:rsid w:val="003168CD"/>
    <w:rsid w:val="00317477"/>
    <w:rsid w:val="00320273"/>
    <w:rsid w:val="003216A8"/>
    <w:rsid w:val="00321872"/>
    <w:rsid w:val="00324066"/>
    <w:rsid w:val="00324EB0"/>
    <w:rsid w:val="003267CF"/>
    <w:rsid w:val="00327A71"/>
    <w:rsid w:val="00331281"/>
    <w:rsid w:val="003327E9"/>
    <w:rsid w:val="003329BD"/>
    <w:rsid w:val="0033381A"/>
    <w:rsid w:val="00333C2A"/>
    <w:rsid w:val="00335660"/>
    <w:rsid w:val="00335C82"/>
    <w:rsid w:val="00340333"/>
    <w:rsid w:val="003412D0"/>
    <w:rsid w:val="003425B5"/>
    <w:rsid w:val="00342FE7"/>
    <w:rsid w:val="00343BEF"/>
    <w:rsid w:val="00345283"/>
    <w:rsid w:val="0034657A"/>
    <w:rsid w:val="00350AB5"/>
    <w:rsid w:val="003516F0"/>
    <w:rsid w:val="003516F3"/>
    <w:rsid w:val="00352A6A"/>
    <w:rsid w:val="00352B8D"/>
    <w:rsid w:val="00352F75"/>
    <w:rsid w:val="003549C8"/>
    <w:rsid w:val="00356012"/>
    <w:rsid w:val="00357A5B"/>
    <w:rsid w:val="00360090"/>
    <w:rsid w:val="00360334"/>
    <w:rsid w:val="00360B74"/>
    <w:rsid w:val="003633C7"/>
    <w:rsid w:val="00363E85"/>
    <w:rsid w:val="0036403B"/>
    <w:rsid w:val="003643D4"/>
    <w:rsid w:val="003650A9"/>
    <w:rsid w:val="003666B2"/>
    <w:rsid w:val="003703F4"/>
    <w:rsid w:val="003713FB"/>
    <w:rsid w:val="003733E3"/>
    <w:rsid w:val="00375A8B"/>
    <w:rsid w:val="0037637A"/>
    <w:rsid w:val="00376A6B"/>
    <w:rsid w:val="00377B4D"/>
    <w:rsid w:val="00377E54"/>
    <w:rsid w:val="00380071"/>
    <w:rsid w:val="00380CB3"/>
    <w:rsid w:val="00380DDD"/>
    <w:rsid w:val="0038194D"/>
    <w:rsid w:val="003823C3"/>
    <w:rsid w:val="003826C0"/>
    <w:rsid w:val="003827E6"/>
    <w:rsid w:val="00382D43"/>
    <w:rsid w:val="003857CC"/>
    <w:rsid w:val="00385BE5"/>
    <w:rsid w:val="00386A00"/>
    <w:rsid w:val="00386C87"/>
    <w:rsid w:val="0038748A"/>
    <w:rsid w:val="00387E75"/>
    <w:rsid w:val="00390B31"/>
    <w:rsid w:val="00390D09"/>
    <w:rsid w:val="00390DC4"/>
    <w:rsid w:val="00390F20"/>
    <w:rsid w:val="00392141"/>
    <w:rsid w:val="00392A2F"/>
    <w:rsid w:val="00392B82"/>
    <w:rsid w:val="003938C3"/>
    <w:rsid w:val="00393962"/>
    <w:rsid w:val="003948AD"/>
    <w:rsid w:val="00394C09"/>
    <w:rsid w:val="00394C37"/>
    <w:rsid w:val="00395314"/>
    <w:rsid w:val="0039607B"/>
    <w:rsid w:val="00396650"/>
    <w:rsid w:val="003A0915"/>
    <w:rsid w:val="003A0C53"/>
    <w:rsid w:val="003A21EC"/>
    <w:rsid w:val="003A2453"/>
    <w:rsid w:val="003A36F9"/>
    <w:rsid w:val="003A47DE"/>
    <w:rsid w:val="003A5963"/>
    <w:rsid w:val="003A5AC1"/>
    <w:rsid w:val="003A6BBC"/>
    <w:rsid w:val="003A70E1"/>
    <w:rsid w:val="003A76C8"/>
    <w:rsid w:val="003B00A0"/>
    <w:rsid w:val="003B1170"/>
    <w:rsid w:val="003B1FE0"/>
    <w:rsid w:val="003B5847"/>
    <w:rsid w:val="003B5AC2"/>
    <w:rsid w:val="003B6903"/>
    <w:rsid w:val="003B7573"/>
    <w:rsid w:val="003C0374"/>
    <w:rsid w:val="003C09CD"/>
    <w:rsid w:val="003C0D11"/>
    <w:rsid w:val="003C1439"/>
    <w:rsid w:val="003C14C7"/>
    <w:rsid w:val="003C1EA1"/>
    <w:rsid w:val="003C2A43"/>
    <w:rsid w:val="003C379F"/>
    <w:rsid w:val="003C5875"/>
    <w:rsid w:val="003C587B"/>
    <w:rsid w:val="003C6379"/>
    <w:rsid w:val="003C6CD2"/>
    <w:rsid w:val="003D058A"/>
    <w:rsid w:val="003D28C2"/>
    <w:rsid w:val="003D2922"/>
    <w:rsid w:val="003D405B"/>
    <w:rsid w:val="003D58D4"/>
    <w:rsid w:val="003D600E"/>
    <w:rsid w:val="003D7CEF"/>
    <w:rsid w:val="003E0EA1"/>
    <w:rsid w:val="003E2930"/>
    <w:rsid w:val="003E3602"/>
    <w:rsid w:val="003E4018"/>
    <w:rsid w:val="003E40D5"/>
    <w:rsid w:val="003E5E33"/>
    <w:rsid w:val="003E6AE7"/>
    <w:rsid w:val="003F07EA"/>
    <w:rsid w:val="003F116C"/>
    <w:rsid w:val="003F1454"/>
    <w:rsid w:val="003F1781"/>
    <w:rsid w:val="003F1EF0"/>
    <w:rsid w:val="003F244C"/>
    <w:rsid w:val="003F3003"/>
    <w:rsid w:val="003F33CC"/>
    <w:rsid w:val="003F3B45"/>
    <w:rsid w:val="003F3E00"/>
    <w:rsid w:val="003F465F"/>
    <w:rsid w:val="003F52B3"/>
    <w:rsid w:val="003F7AA1"/>
    <w:rsid w:val="00400570"/>
    <w:rsid w:val="00401408"/>
    <w:rsid w:val="00402013"/>
    <w:rsid w:val="00402B5F"/>
    <w:rsid w:val="004040F6"/>
    <w:rsid w:val="004050E7"/>
    <w:rsid w:val="00406437"/>
    <w:rsid w:val="00406509"/>
    <w:rsid w:val="00407311"/>
    <w:rsid w:val="0040794D"/>
    <w:rsid w:val="00407F1F"/>
    <w:rsid w:val="00410209"/>
    <w:rsid w:val="00411557"/>
    <w:rsid w:val="00412BDE"/>
    <w:rsid w:val="00414DF7"/>
    <w:rsid w:val="004173A1"/>
    <w:rsid w:val="004210EE"/>
    <w:rsid w:val="004228F6"/>
    <w:rsid w:val="00422A55"/>
    <w:rsid w:val="004232E3"/>
    <w:rsid w:val="0042370B"/>
    <w:rsid w:val="004242FE"/>
    <w:rsid w:val="0042621F"/>
    <w:rsid w:val="00426ADD"/>
    <w:rsid w:val="0043038B"/>
    <w:rsid w:val="00431743"/>
    <w:rsid w:val="0043192B"/>
    <w:rsid w:val="00432032"/>
    <w:rsid w:val="00433F89"/>
    <w:rsid w:val="00434575"/>
    <w:rsid w:val="00434A60"/>
    <w:rsid w:val="004355F2"/>
    <w:rsid w:val="00437567"/>
    <w:rsid w:val="004408AF"/>
    <w:rsid w:val="00441715"/>
    <w:rsid w:val="004427C3"/>
    <w:rsid w:val="00442B5A"/>
    <w:rsid w:val="00443406"/>
    <w:rsid w:val="0044398E"/>
    <w:rsid w:val="00446692"/>
    <w:rsid w:val="00446927"/>
    <w:rsid w:val="004476A3"/>
    <w:rsid w:val="00452313"/>
    <w:rsid w:val="00452FF9"/>
    <w:rsid w:val="0045338B"/>
    <w:rsid w:val="00453CEE"/>
    <w:rsid w:val="0045622A"/>
    <w:rsid w:val="00456797"/>
    <w:rsid w:val="0045737E"/>
    <w:rsid w:val="00460B6C"/>
    <w:rsid w:val="00464420"/>
    <w:rsid w:val="004647E3"/>
    <w:rsid w:val="004648B4"/>
    <w:rsid w:val="00464F07"/>
    <w:rsid w:val="00465EA9"/>
    <w:rsid w:val="00466311"/>
    <w:rsid w:val="00472472"/>
    <w:rsid w:val="004736D0"/>
    <w:rsid w:val="00474163"/>
    <w:rsid w:val="004771E6"/>
    <w:rsid w:val="00477E8E"/>
    <w:rsid w:val="0048167A"/>
    <w:rsid w:val="0048260A"/>
    <w:rsid w:val="00482904"/>
    <w:rsid w:val="00484BB9"/>
    <w:rsid w:val="00484F40"/>
    <w:rsid w:val="00485E22"/>
    <w:rsid w:val="004877CB"/>
    <w:rsid w:val="00490B19"/>
    <w:rsid w:val="00490F80"/>
    <w:rsid w:val="00491B62"/>
    <w:rsid w:val="00493B80"/>
    <w:rsid w:val="004952F9"/>
    <w:rsid w:val="00495C3E"/>
    <w:rsid w:val="004960F4"/>
    <w:rsid w:val="004964EC"/>
    <w:rsid w:val="0049736F"/>
    <w:rsid w:val="004979D2"/>
    <w:rsid w:val="004A0534"/>
    <w:rsid w:val="004A0FA6"/>
    <w:rsid w:val="004A1AB7"/>
    <w:rsid w:val="004A2571"/>
    <w:rsid w:val="004A263D"/>
    <w:rsid w:val="004A2D45"/>
    <w:rsid w:val="004A2F74"/>
    <w:rsid w:val="004A32A5"/>
    <w:rsid w:val="004A50DB"/>
    <w:rsid w:val="004A7855"/>
    <w:rsid w:val="004A79AA"/>
    <w:rsid w:val="004B03A4"/>
    <w:rsid w:val="004B29AC"/>
    <w:rsid w:val="004B29BB"/>
    <w:rsid w:val="004B349D"/>
    <w:rsid w:val="004B4AF9"/>
    <w:rsid w:val="004C20B6"/>
    <w:rsid w:val="004C402E"/>
    <w:rsid w:val="004C5BC5"/>
    <w:rsid w:val="004C6FA4"/>
    <w:rsid w:val="004D0C5D"/>
    <w:rsid w:val="004D1BEE"/>
    <w:rsid w:val="004D1EDB"/>
    <w:rsid w:val="004D2EC6"/>
    <w:rsid w:val="004D3142"/>
    <w:rsid w:val="004D32E5"/>
    <w:rsid w:val="004D4E1E"/>
    <w:rsid w:val="004D7C34"/>
    <w:rsid w:val="004E147A"/>
    <w:rsid w:val="004E17C7"/>
    <w:rsid w:val="004E1812"/>
    <w:rsid w:val="004E1D41"/>
    <w:rsid w:val="004E2501"/>
    <w:rsid w:val="004E2F04"/>
    <w:rsid w:val="004E4F56"/>
    <w:rsid w:val="004F20D7"/>
    <w:rsid w:val="004F22A0"/>
    <w:rsid w:val="004F335B"/>
    <w:rsid w:val="004F4585"/>
    <w:rsid w:val="004F4D6B"/>
    <w:rsid w:val="004F5E54"/>
    <w:rsid w:val="0050026E"/>
    <w:rsid w:val="00500713"/>
    <w:rsid w:val="0050260C"/>
    <w:rsid w:val="00502939"/>
    <w:rsid w:val="00503149"/>
    <w:rsid w:val="00505266"/>
    <w:rsid w:val="00506BD3"/>
    <w:rsid w:val="00511917"/>
    <w:rsid w:val="00512324"/>
    <w:rsid w:val="00513132"/>
    <w:rsid w:val="005136C7"/>
    <w:rsid w:val="00516E85"/>
    <w:rsid w:val="00516F23"/>
    <w:rsid w:val="0052006F"/>
    <w:rsid w:val="00520954"/>
    <w:rsid w:val="00522341"/>
    <w:rsid w:val="00522A27"/>
    <w:rsid w:val="00522E65"/>
    <w:rsid w:val="0052490B"/>
    <w:rsid w:val="005253C6"/>
    <w:rsid w:val="005269F7"/>
    <w:rsid w:val="00527D41"/>
    <w:rsid w:val="00530A1E"/>
    <w:rsid w:val="00531D3F"/>
    <w:rsid w:val="0053215A"/>
    <w:rsid w:val="00532C35"/>
    <w:rsid w:val="00532CF8"/>
    <w:rsid w:val="00532DFB"/>
    <w:rsid w:val="00533C85"/>
    <w:rsid w:val="0053413C"/>
    <w:rsid w:val="00535712"/>
    <w:rsid w:val="00535DF0"/>
    <w:rsid w:val="0054035B"/>
    <w:rsid w:val="005408CC"/>
    <w:rsid w:val="00541CEF"/>
    <w:rsid w:val="00542C85"/>
    <w:rsid w:val="0054611B"/>
    <w:rsid w:val="00546FBC"/>
    <w:rsid w:val="00547AD5"/>
    <w:rsid w:val="00547DEE"/>
    <w:rsid w:val="00547E3A"/>
    <w:rsid w:val="005506CF"/>
    <w:rsid w:val="00551B5A"/>
    <w:rsid w:val="0055693E"/>
    <w:rsid w:val="00557C4E"/>
    <w:rsid w:val="00557E61"/>
    <w:rsid w:val="00557F7C"/>
    <w:rsid w:val="00563BA9"/>
    <w:rsid w:val="005641E4"/>
    <w:rsid w:val="00564B2C"/>
    <w:rsid w:val="0056574E"/>
    <w:rsid w:val="00571381"/>
    <w:rsid w:val="005715D2"/>
    <w:rsid w:val="005717DB"/>
    <w:rsid w:val="00573E35"/>
    <w:rsid w:val="005752D4"/>
    <w:rsid w:val="00575BBF"/>
    <w:rsid w:val="00575FD8"/>
    <w:rsid w:val="0057617D"/>
    <w:rsid w:val="00576956"/>
    <w:rsid w:val="00577792"/>
    <w:rsid w:val="005777EE"/>
    <w:rsid w:val="00580422"/>
    <w:rsid w:val="005804EA"/>
    <w:rsid w:val="005823F1"/>
    <w:rsid w:val="00582987"/>
    <w:rsid w:val="00582EA6"/>
    <w:rsid w:val="00583179"/>
    <w:rsid w:val="005832A8"/>
    <w:rsid w:val="005859FC"/>
    <w:rsid w:val="005867DB"/>
    <w:rsid w:val="005873E4"/>
    <w:rsid w:val="00587D13"/>
    <w:rsid w:val="0059083C"/>
    <w:rsid w:val="00592EEA"/>
    <w:rsid w:val="00593BF2"/>
    <w:rsid w:val="00593C2B"/>
    <w:rsid w:val="00596973"/>
    <w:rsid w:val="005977B1"/>
    <w:rsid w:val="00597953"/>
    <w:rsid w:val="005A0201"/>
    <w:rsid w:val="005A1297"/>
    <w:rsid w:val="005A1648"/>
    <w:rsid w:val="005A2B68"/>
    <w:rsid w:val="005A32E5"/>
    <w:rsid w:val="005A43C7"/>
    <w:rsid w:val="005A5760"/>
    <w:rsid w:val="005A659B"/>
    <w:rsid w:val="005A6814"/>
    <w:rsid w:val="005B0BAE"/>
    <w:rsid w:val="005B29AF"/>
    <w:rsid w:val="005B2C1D"/>
    <w:rsid w:val="005B4C50"/>
    <w:rsid w:val="005B5845"/>
    <w:rsid w:val="005B76ED"/>
    <w:rsid w:val="005B789E"/>
    <w:rsid w:val="005C10FF"/>
    <w:rsid w:val="005C1E29"/>
    <w:rsid w:val="005C2494"/>
    <w:rsid w:val="005C4799"/>
    <w:rsid w:val="005C4C64"/>
    <w:rsid w:val="005C512A"/>
    <w:rsid w:val="005C6489"/>
    <w:rsid w:val="005C6641"/>
    <w:rsid w:val="005C76D2"/>
    <w:rsid w:val="005C78FC"/>
    <w:rsid w:val="005C7946"/>
    <w:rsid w:val="005C7CE7"/>
    <w:rsid w:val="005D1AC6"/>
    <w:rsid w:val="005D1D05"/>
    <w:rsid w:val="005D4F8A"/>
    <w:rsid w:val="005D68F7"/>
    <w:rsid w:val="005D7181"/>
    <w:rsid w:val="005D7BDC"/>
    <w:rsid w:val="005E05AB"/>
    <w:rsid w:val="005E1CFF"/>
    <w:rsid w:val="005E3374"/>
    <w:rsid w:val="005E3390"/>
    <w:rsid w:val="005E4251"/>
    <w:rsid w:val="005E676B"/>
    <w:rsid w:val="005E73B4"/>
    <w:rsid w:val="005F0655"/>
    <w:rsid w:val="005F14A2"/>
    <w:rsid w:val="005F1F25"/>
    <w:rsid w:val="005F22CD"/>
    <w:rsid w:val="005F3312"/>
    <w:rsid w:val="005F3D16"/>
    <w:rsid w:val="005F4689"/>
    <w:rsid w:val="005F63EE"/>
    <w:rsid w:val="005F784D"/>
    <w:rsid w:val="0060079D"/>
    <w:rsid w:val="006012FC"/>
    <w:rsid w:val="00601421"/>
    <w:rsid w:val="006028B7"/>
    <w:rsid w:val="00602E7B"/>
    <w:rsid w:val="006033A6"/>
    <w:rsid w:val="00603BBC"/>
    <w:rsid w:val="006041EF"/>
    <w:rsid w:val="006046A9"/>
    <w:rsid w:val="0060547C"/>
    <w:rsid w:val="00605555"/>
    <w:rsid w:val="00605B97"/>
    <w:rsid w:val="006066F5"/>
    <w:rsid w:val="006073C8"/>
    <w:rsid w:val="00611618"/>
    <w:rsid w:val="00611EEB"/>
    <w:rsid w:val="006125F8"/>
    <w:rsid w:val="0061365F"/>
    <w:rsid w:val="006149FE"/>
    <w:rsid w:val="00616421"/>
    <w:rsid w:val="00620681"/>
    <w:rsid w:val="006213D9"/>
    <w:rsid w:val="006227D2"/>
    <w:rsid w:val="006233E1"/>
    <w:rsid w:val="00624E42"/>
    <w:rsid w:val="00625310"/>
    <w:rsid w:val="00632143"/>
    <w:rsid w:val="006327B1"/>
    <w:rsid w:val="006376E3"/>
    <w:rsid w:val="00640682"/>
    <w:rsid w:val="00641377"/>
    <w:rsid w:val="006413BE"/>
    <w:rsid w:val="00643230"/>
    <w:rsid w:val="00644579"/>
    <w:rsid w:val="00646935"/>
    <w:rsid w:val="00646FAE"/>
    <w:rsid w:val="00647ACB"/>
    <w:rsid w:val="00647BD9"/>
    <w:rsid w:val="00647D3F"/>
    <w:rsid w:val="00651F4D"/>
    <w:rsid w:val="006521AE"/>
    <w:rsid w:val="00652850"/>
    <w:rsid w:val="006534DE"/>
    <w:rsid w:val="006538BC"/>
    <w:rsid w:val="00653DCE"/>
    <w:rsid w:val="00654118"/>
    <w:rsid w:val="006544F2"/>
    <w:rsid w:val="00655C9B"/>
    <w:rsid w:val="006564EC"/>
    <w:rsid w:val="00656E30"/>
    <w:rsid w:val="00663C72"/>
    <w:rsid w:val="0066455E"/>
    <w:rsid w:val="00664A6D"/>
    <w:rsid w:val="0066521C"/>
    <w:rsid w:val="00665C4A"/>
    <w:rsid w:val="00665D34"/>
    <w:rsid w:val="006660EB"/>
    <w:rsid w:val="0066724B"/>
    <w:rsid w:val="00670564"/>
    <w:rsid w:val="0067204D"/>
    <w:rsid w:val="006732A9"/>
    <w:rsid w:val="00674816"/>
    <w:rsid w:val="00675E64"/>
    <w:rsid w:val="00677037"/>
    <w:rsid w:val="00677962"/>
    <w:rsid w:val="00677E1D"/>
    <w:rsid w:val="006800CF"/>
    <w:rsid w:val="006804CA"/>
    <w:rsid w:val="00680583"/>
    <w:rsid w:val="006807E0"/>
    <w:rsid w:val="00680D66"/>
    <w:rsid w:val="00682EA4"/>
    <w:rsid w:val="00683A92"/>
    <w:rsid w:val="006852EA"/>
    <w:rsid w:val="00685A21"/>
    <w:rsid w:val="00685CD7"/>
    <w:rsid w:val="006869BB"/>
    <w:rsid w:val="006905D5"/>
    <w:rsid w:val="00690ACB"/>
    <w:rsid w:val="0069111E"/>
    <w:rsid w:val="00691338"/>
    <w:rsid w:val="006935D3"/>
    <w:rsid w:val="00693F7D"/>
    <w:rsid w:val="00694914"/>
    <w:rsid w:val="006951CE"/>
    <w:rsid w:val="006957BD"/>
    <w:rsid w:val="00695CFE"/>
    <w:rsid w:val="00696E90"/>
    <w:rsid w:val="006A0DFF"/>
    <w:rsid w:val="006A10B7"/>
    <w:rsid w:val="006A1FA3"/>
    <w:rsid w:val="006A2B96"/>
    <w:rsid w:val="006A4207"/>
    <w:rsid w:val="006A5144"/>
    <w:rsid w:val="006A52DC"/>
    <w:rsid w:val="006A5775"/>
    <w:rsid w:val="006A637D"/>
    <w:rsid w:val="006A6775"/>
    <w:rsid w:val="006A7CFE"/>
    <w:rsid w:val="006B0D21"/>
    <w:rsid w:val="006B1186"/>
    <w:rsid w:val="006B2526"/>
    <w:rsid w:val="006B6FB5"/>
    <w:rsid w:val="006B6FD3"/>
    <w:rsid w:val="006B74BE"/>
    <w:rsid w:val="006C08B8"/>
    <w:rsid w:val="006C1AA2"/>
    <w:rsid w:val="006C1AFE"/>
    <w:rsid w:val="006C2098"/>
    <w:rsid w:val="006C2A48"/>
    <w:rsid w:val="006C2B83"/>
    <w:rsid w:val="006C3005"/>
    <w:rsid w:val="006C3E3C"/>
    <w:rsid w:val="006C473F"/>
    <w:rsid w:val="006C4C9E"/>
    <w:rsid w:val="006C5037"/>
    <w:rsid w:val="006C5816"/>
    <w:rsid w:val="006C64DD"/>
    <w:rsid w:val="006C66C5"/>
    <w:rsid w:val="006C773E"/>
    <w:rsid w:val="006D058A"/>
    <w:rsid w:val="006D0644"/>
    <w:rsid w:val="006D0DBB"/>
    <w:rsid w:val="006D1B3F"/>
    <w:rsid w:val="006D2301"/>
    <w:rsid w:val="006D47EA"/>
    <w:rsid w:val="006D4C6B"/>
    <w:rsid w:val="006D4D21"/>
    <w:rsid w:val="006D5305"/>
    <w:rsid w:val="006D56F8"/>
    <w:rsid w:val="006D5C1E"/>
    <w:rsid w:val="006D6448"/>
    <w:rsid w:val="006E18BC"/>
    <w:rsid w:val="006E1C8E"/>
    <w:rsid w:val="006E1E0F"/>
    <w:rsid w:val="006E20C3"/>
    <w:rsid w:val="006E2F18"/>
    <w:rsid w:val="006E3543"/>
    <w:rsid w:val="006E3BB9"/>
    <w:rsid w:val="006E42D1"/>
    <w:rsid w:val="006E6860"/>
    <w:rsid w:val="006E6887"/>
    <w:rsid w:val="006E7A69"/>
    <w:rsid w:val="006E7B04"/>
    <w:rsid w:val="006F000A"/>
    <w:rsid w:val="006F0180"/>
    <w:rsid w:val="006F079D"/>
    <w:rsid w:val="006F1D18"/>
    <w:rsid w:val="006F2DDC"/>
    <w:rsid w:val="006F681E"/>
    <w:rsid w:val="006F6DA9"/>
    <w:rsid w:val="006F75D3"/>
    <w:rsid w:val="006F7E94"/>
    <w:rsid w:val="0070000B"/>
    <w:rsid w:val="00702CE1"/>
    <w:rsid w:val="007031EF"/>
    <w:rsid w:val="00703624"/>
    <w:rsid w:val="00703A00"/>
    <w:rsid w:val="00704A0F"/>
    <w:rsid w:val="00704B04"/>
    <w:rsid w:val="00704FE5"/>
    <w:rsid w:val="007051A4"/>
    <w:rsid w:val="00706543"/>
    <w:rsid w:val="0070671C"/>
    <w:rsid w:val="0070774B"/>
    <w:rsid w:val="00711368"/>
    <w:rsid w:val="007115C9"/>
    <w:rsid w:val="00713F07"/>
    <w:rsid w:val="00716BD6"/>
    <w:rsid w:val="007203B7"/>
    <w:rsid w:val="00721051"/>
    <w:rsid w:val="00723504"/>
    <w:rsid w:val="00725A70"/>
    <w:rsid w:val="0072623F"/>
    <w:rsid w:val="00727806"/>
    <w:rsid w:val="00731C48"/>
    <w:rsid w:val="00731ED9"/>
    <w:rsid w:val="00732613"/>
    <w:rsid w:val="00733D84"/>
    <w:rsid w:val="00733E8A"/>
    <w:rsid w:val="00734FFC"/>
    <w:rsid w:val="007352B2"/>
    <w:rsid w:val="0073549D"/>
    <w:rsid w:val="00741829"/>
    <w:rsid w:val="00741EBE"/>
    <w:rsid w:val="00742847"/>
    <w:rsid w:val="00742E41"/>
    <w:rsid w:val="00745766"/>
    <w:rsid w:val="00745F0A"/>
    <w:rsid w:val="007464C8"/>
    <w:rsid w:val="007501AC"/>
    <w:rsid w:val="007503DF"/>
    <w:rsid w:val="007508F2"/>
    <w:rsid w:val="00751867"/>
    <w:rsid w:val="0075236C"/>
    <w:rsid w:val="00752822"/>
    <w:rsid w:val="00753CEF"/>
    <w:rsid w:val="00754504"/>
    <w:rsid w:val="00755C87"/>
    <w:rsid w:val="00756FAD"/>
    <w:rsid w:val="007573E4"/>
    <w:rsid w:val="00760048"/>
    <w:rsid w:val="007605E9"/>
    <w:rsid w:val="00763684"/>
    <w:rsid w:val="007638BA"/>
    <w:rsid w:val="00767D80"/>
    <w:rsid w:val="00770783"/>
    <w:rsid w:val="007718E7"/>
    <w:rsid w:val="00771B0E"/>
    <w:rsid w:val="00772857"/>
    <w:rsid w:val="00772FB5"/>
    <w:rsid w:val="00774F36"/>
    <w:rsid w:val="007754C3"/>
    <w:rsid w:val="007758DC"/>
    <w:rsid w:val="0077658E"/>
    <w:rsid w:val="00776C47"/>
    <w:rsid w:val="00777982"/>
    <w:rsid w:val="00780CEE"/>
    <w:rsid w:val="00781270"/>
    <w:rsid w:val="0078200B"/>
    <w:rsid w:val="007833F6"/>
    <w:rsid w:val="00783E02"/>
    <w:rsid w:val="00783E5A"/>
    <w:rsid w:val="007901DA"/>
    <w:rsid w:val="00792BD2"/>
    <w:rsid w:val="00793875"/>
    <w:rsid w:val="007946E7"/>
    <w:rsid w:val="00795424"/>
    <w:rsid w:val="0079593B"/>
    <w:rsid w:val="00796FC9"/>
    <w:rsid w:val="007A3E4A"/>
    <w:rsid w:val="007A49FC"/>
    <w:rsid w:val="007A5B4E"/>
    <w:rsid w:val="007A5CA2"/>
    <w:rsid w:val="007A70CC"/>
    <w:rsid w:val="007A71CA"/>
    <w:rsid w:val="007A7375"/>
    <w:rsid w:val="007A74E2"/>
    <w:rsid w:val="007A794A"/>
    <w:rsid w:val="007A79A2"/>
    <w:rsid w:val="007A7F1F"/>
    <w:rsid w:val="007B032F"/>
    <w:rsid w:val="007B049D"/>
    <w:rsid w:val="007B08FC"/>
    <w:rsid w:val="007B1DE9"/>
    <w:rsid w:val="007B37F3"/>
    <w:rsid w:val="007B392C"/>
    <w:rsid w:val="007B401F"/>
    <w:rsid w:val="007B63A8"/>
    <w:rsid w:val="007B6C5A"/>
    <w:rsid w:val="007B73B3"/>
    <w:rsid w:val="007B78E7"/>
    <w:rsid w:val="007C1052"/>
    <w:rsid w:val="007C132D"/>
    <w:rsid w:val="007C2745"/>
    <w:rsid w:val="007C40AD"/>
    <w:rsid w:val="007C481E"/>
    <w:rsid w:val="007D0569"/>
    <w:rsid w:val="007D07B7"/>
    <w:rsid w:val="007D0C90"/>
    <w:rsid w:val="007D0EF1"/>
    <w:rsid w:val="007D2EED"/>
    <w:rsid w:val="007D3090"/>
    <w:rsid w:val="007D4E19"/>
    <w:rsid w:val="007D52FC"/>
    <w:rsid w:val="007D5572"/>
    <w:rsid w:val="007D64A3"/>
    <w:rsid w:val="007D7416"/>
    <w:rsid w:val="007E17D0"/>
    <w:rsid w:val="007E255D"/>
    <w:rsid w:val="007E3FE7"/>
    <w:rsid w:val="007E5E3B"/>
    <w:rsid w:val="007E6691"/>
    <w:rsid w:val="007E6B02"/>
    <w:rsid w:val="007E70F4"/>
    <w:rsid w:val="007E7328"/>
    <w:rsid w:val="007E753B"/>
    <w:rsid w:val="007E782A"/>
    <w:rsid w:val="007E788C"/>
    <w:rsid w:val="007F01D7"/>
    <w:rsid w:val="007F36A8"/>
    <w:rsid w:val="007F41E6"/>
    <w:rsid w:val="007F45A6"/>
    <w:rsid w:val="007F5CEA"/>
    <w:rsid w:val="007F68F8"/>
    <w:rsid w:val="007F77DC"/>
    <w:rsid w:val="008011B9"/>
    <w:rsid w:val="0080346F"/>
    <w:rsid w:val="0080368F"/>
    <w:rsid w:val="008053F6"/>
    <w:rsid w:val="008064E5"/>
    <w:rsid w:val="008108A6"/>
    <w:rsid w:val="0081495F"/>
    <w:rsid w:val="00814C91"/>
    <w:rsid w:val="008150DA"/>
    <w:rsid w:val="00815B97"/>
    <w:rsid w:val="00816445"/>
    <w:rsid w:val="0082043D"/>
    <w:rsid w:val="00820C87"/>
    <w:rsid w:val="00821F06"/>
    <w:rsid w:val="00823966"/>
    <w:rsid w:val="00824366"/>
    <w:rsid w:val="008252D2"/>
    <w:rsid w:val="00825AFE"/>
    <w:rsid w:val="00826695"/>
    <w:rsid w:val="00827EAA"/>
    <w:rsid w:val="00827EEA"/>
    <w:rsid w:val="00830825"/>
    <w:rsid w:val="00830E0C"/>
    <w:rsid w:val="00831124"/>
    <w:rsid w:val="00832B03"/>
    <w:rsid w:val="00832FCC"/>
    <w:rsid w:val="008333BC"/>
    <w:rsid w:val="008342DC"/>
    <w:rsid w:val="00834A94"/>
    <w:rsid w:val="00835275"/>
    <w:rsid w:val="00836571"/>
    <w:rsid w:val="00837CDE"/>
    <w:rsid w:val="00840146"/>
    <w:rsid w:val="00841B62"/>
    <w:rsid w:val="00841F5F"/>
    <w:rsid w:val="008420D8"/>
    <w:rsid w:val="00845E3F"/>
    <w:rsid w:val="00846633"/>
    <w:rsid w:val="00847EF8"/>
    <w:rsid w:val="00852549"/>
    <w:rsid w:val="008537D0"/>
    <w:rsid w:val="00853C3C"/>
    <w:rsid w:val="008558B0"/>
    <w:rsid w:val="00856ACB"/>
    <w:rsid w:val="008573A8"/>
    <w:rsid w:val="00857964"/>
    <w:rsid w:val="00860A7F"/>
    <w:rsid w:val="00860E43"/>
    <w:rsid w:val="008611D0"/>
    <w:rsid w:val="00864616"/>
    <w:rsid w:val="00864785"/>
    <w:rsid w:val="00865B67"/>
    <w:rsid w:val="00866DB4"/>
    <w:rsid w:val="00867DD9"/>
    <w:rsid w:val="00870385"/>
    <w:rsid w:val="00871ECE"/>
    <w:rsid w:val="00873153"/>
    <w:rsid w:val="00873CAF"/>
    <w:rsid w:val="00874B6E"/>
    <w:rsid w:val="008758D6"/>
    <w:rsid w:val="008758F9"/>
    <w:rsid w:val="0087700E"/>
    <w:rsid w:val="0087745F"/>
    <w:rsid w:val="00877AFE"/>
    <w:rsid w:val="00880F50"/>
    <w:rsid w:val="00880F9A"/>
    <w:rsid w:val="008815D2"/>
    <w:rsid w:val="008815DD"/>
    <w:rsid w:val="00881F13"/>
    <w:rsid w:val="00882649"/>
    <w:rsid w:val="008839BB"/>
    <w:rsid w:val="008842C8"/>
    <w:rsid w:val="00885D85"/>
    <w:rsid w:val="00890A33"/>
    <w:rsid w:val="008919E4"/>
    <w:rsid w:val="00891B81"/>
    <w:rsid w:val="00892019"/>
    <w:rsid w:val="00892058"/>
    <w:rsid w:val="008931A5"/>
    <w:rsid w:val="008935BF"/>
    <w:rsid w:val="0089414B"/>
    <w:rsid w:val="00896517"/>
    <w:rsid w:val="00897D8B"/>
    <w:rsid w:val="008A0617"/>
    <w:rsid w:val="008A08C6"/>
    <w:rsid w:val="008A0AEA"/>
    <w:rsid w:val="008A13DE"/>
    <w:rsid w:val="008A23F3"/>
    <w:rsid w:val="008A2DFD"/>
    <w:rsid w:val="008A3EB5"/>
    <w:rsid w:val="008A3FCE"/>
    <w:rsid w:val="008B0D08"/>
    <w:rsid w:val="008B0ED0"/>
    <w:rsid w:val="008B1843"/>
    <w:rsid w:val="008B1EE7"/>
    <w:rsid w:val="008B1FEF"/>
    <w:rsid w:val="008B23E5"/>
    <w:rsid w:val="008B244E"/>
    <w:rsid w:val="008B4412"/>
    <w:rsid w:val="008B519F"/>
    <w:rsid w:val="008B5449"/>
    <w:rsid w:val="008B6552"/>
    <w:rsid w:val="008B6D9C"/>
    <w:rsid w:val="008B75F5"/>
    <w:rsid w:val="008B7C6B"/>
    <w:rsid w:val="008C18CE"/>
    <w:rsid w:val="008C1A6D"/>
    <w:rsid w:val="008C1CFF"/>
    <w:rsid w:val="008C1E3F"/>
    <w:rsid w:val="008C4E1E"/>
    <w:rsid w:val="008C57A9"/>
    <w:rsid w:val="008C60FA"/>
    <w:rsid w:val="008C617E"/>
    <w:rsid w:val="008D0D49"/>
    <w:rsid w:val="008D1CDD"/>
    <w:rsid w:val="008D1D3A"/>
    <w:rsid w:val="008D2FBA"/>
    <w:rsid w:val="008D3707"/>
    <w:rsid w:val="008E1F04"/>
    <w:rsid w:val="008E2DF8"/>
    <w:rsid w:val="008E3733"/>
    <w:rsid w:val="008E408B"/>
    <w:rsid w:val="008E5902"/>
    <w:rsid w:val="008E649F"/>
    <w:rsid w:val="008E687B"/>
    <w:rsid w:val="008F18C7"/>
    <w:rsid w:val="008F1FCC"/>
    <w:rsid w:val="008F3515"/>
    <w:rsid w:val="008F351B"/>
    <w:rsid w:val="008F3ED5"/>
    <w:rsid w:val="008F3F5E"/>
    <w:rsid w:val="008F41F2"/>
    <w:rsid w:val="008F541F"/>
    <w:rsid w:val="008F5E5C"/>
    <w:rsid w:val="008F65DD"/>
    <w:rsid w:val="008F6CC7"/>
    <w:rsid w:val="0090022B"/>
    <w:rsid w:val="00900434"/>
    <w:rsid w:val="009008C1"/>
    <w:rsid w:val="00900F54"/>
    <w:rsid w:val="009014A5"/>
    <w:rsid w:val="00901CBF"/>
    <w:rsid w:val="009025C9"/>
    <w:rsid w:val="00902A45"/>
    <w:rsid w:val="00903089"/>
    <w:rsid w:val="0090575C"/>
    <w:rsid w:val="009070BA"/>
    <w:rsid w:val="00907BC2"/>
    <w:rsid w:val="00910707"/>
    <w:rsid w:val="00910987"/>
    <w:rsid w:val="00911457"/>
    <w:rsid w:val="00911C9E"/>
    <w:rsid w:val="0091313D"/>
    <w:rsid w:val="009140E5"/>
    <w:rsid w:val="00914B8F"/>
    <w:rsid w:val="00914CAF"/>
    <w:rsid w:val="009155DE"/>
    <w:rsid w:val="009160B6"/>
    <w:rsid w:val="0091647E"/>
    <w:rsid w:val="00916C3B"/>
    <w:rsid w:val="0091758B"/>
    <w:rsid w:val="00921292"/>
    <w:rsid w:val="00921E24"/>
    <w:rsid w:val="009238E1"/>
    <w:rsid w:val="0092391C"/>
    <w:rsid w:val="00925F7C"/>
    <w:rsid w:val="0092664F"/>
    <w:rsid w:val="009269A8"/>
    <w:rsid w:val="00930418"/>
    <w:rsid w:val="00931B80"/>
    <w:rsid w:val="0093455D"/>
    <w:rsid w:val="00934AC5"/>
    <w:rsid w:val="00936128"/>
    <w:rsid w:val="0093679C"/>
    <w:rsid w:val="00936C4D"/>
    <w:rsid w:val="009402AD"/>
    <w:rsid w:val="00940D80"/>
    <w:rsid w:val="00941762"/>
    <w:rsid w:val="00941ABE"/>
    <w:rsid w:val="00942107"/>
    <w:rsid w:val="00943444"/>
    <w:rsid w:val="00943AED"/>
    <w:rsid w:val="00943D65"/>
    <w:rsid w:val="00943E6C"/>
    <w:rsid w:val="00944C14"/>
    <w:rsid w:val="00944DBA"/>
    <w:rsid w:val="00944FCC"/>
    <w:rsid w:val="0094502F"/>
    <w:rsid w:val="009453B2"/>
    <w:rsid w:val="009455E5"/>
    <w:rsid w:val="00946A4E"/>
    <w:rsid w:val="00947C67"/>
    <w:rsid w:val="00947EA3"/>
    <w:rsid w:val="0095019D"/>
    <w:rsid w:val="00950B93"/>
    <w:rsid w:val="00951823"/>
    <w:rsid w:val="00952F85"/>
    <w:rsid w:val="00956732"/>
    <w:rsid w:val="0096056A"/>
    <w:rsid w:val="0096152F"/>
    <w:rsid w:val="00961800"/>
    <w:rsid w:val="00963250"/>
    <w:rsid w:val="00964553"/>
    <w:rsid w:val="00964987"/>
    <w:rsid w:val="00967684"/>
    <w:rsid w:val="00967AF0"/>
    <w:rsid w:val="00972ABB"/>
    <w:rsid w:val="009746B2"/>
    <w:rsid w:val="00974DC4"/>
    <w:rsid w:val="00974DD2"/>
    <w:rsid w:val="00975B8F"/>
    <w:rsid w:val="00975DB6"/>
    <w:rsid w:val="0097662F"/>
    <w:rsid w:val="00976728"/>
    <w:rsid w:val="009772B7"/>
    <w:rsid w:val="00977D97"/>
    <w:rsid w:val="009809DE"/>
    <w:rsid w:val="00980D0C"/>
    <w:rsid w:val="009810C1"/>
    <w:rsid w:val="00981622"/>
    <w:rsid w:val="00982035"/>
    <w:rsid w:val="00982202"/>
    <w:rsid w:val="00982A11"/>
    <w:rsid w:val="009838A3"/>
    <w:rsid w:val="00983DA4"/>
    <w:rsid w:val="00984BDE"/>
    <w:rsid w:val="00985B0F"/>
    <w:rsid w:val="0098669A"/>
    <w:rsid w:val="00986B30"/>
    <w:rsid w:val="00987271"/>
    <w:rsid w:val="00990878"/>
    <w:rsid w:val="00990E6B"/>
    <w:rsid w:val="00991D25"/>
    <w:rsid w:val="00993F45"/>
    <w:rsid w:val="00994221"/>
    <w:rsid w:val="00994798"/>
    <w:rsid w:val="00994A4F"/>
    <w:rsid w:val="00996216"/>
    <w:rsid w:val="00997CF8"/>
    <w:rsid w:val="009A212A"/>
    <w:rsid w:val="009A2DED"/>
    <w:rsid w:val="009A5F61"/>
    <w:rsid w:val="009A6195"/>
    <w:rsid w:val="009A6EC8"/>
    <w:rsid w:val="009B031C"/>
    <w:rsid w:val="009B0A7C"/>
    <w:rsid w:val="009B14F2"/>
    <w:rsid w:val="009B1F4C"/>
    <w:rsid w:val="009B236C"/>
    <w:rsid w:val="009B2C85"/>
    <w:rsid w:val="009B2E71"/>
    <w:rsid w:val="009B4E93"/>
    <w:rsid w:val="009B53ED"/>
    <w:rsid w:val="009C019E"/>
    <w:rsid w:val="009C1F1B"/>
    <w:rsid w:val="009C30A3"/>
    <w:rsid w:val="009C324B"/>
    <w:rsid w:val="009C3CFF"/>
    <w:rsid w:val="009C475B"/>
    <w:rsid w:val="009C5328"/>
    <w:rsid w:val="009C5F0D"/>
    <w:rsid w:val="009C621C"/>
    <w:rsid w:val="009C6771"/>
    <w:rsid w:val="009C6C41"/>
    <w:rsid w:val="009C755A"/>
    <w:rsid w:val="009C7845"/>
    <w:rsid w:val="009C7F8E"/>
    <w:rsid w:val="009D2B2F"/>
    <w:rsid w:val="009D2CED"/>
    <w:rsid w:val="009D451B"/>
    <w:rsid w:val="009D47E7"/>
    <w:rsid w:val="009D501C"/>
    <w:rsid w:val="009D5533"/>
    <w:rsid w:val="009D5A66"/>
    <w:rsid w:val="009D5BE5"/>
    <w:rsid w:val="009E1824"/>
    <w:rsid w:val="009E1A34"/>
    <w:rsid w:val="009E1CBF"/>
    <w:rsid w:val="009E2EAB"/>
    <w:rsid w:val="009E3E88"/>
    <w:rsid w:val="009E4016"/>
    <w:rsid w:val="009E4154"/>
    <w:rsid w:val="009E4BBD"/>
    <w:rsid w:val="009E4C18"/>
    <w:rsid w:val="009E4C2B"/>
    <w:rsid w:val="009F0363"/>
    <w:rsid w:val="009F15D5"/>
    <w:rsid w:val="009F486C"/>
    <w:rsid w:val="009F49E9"/>
    <w:rsid w:val="009F579A"/>
    <w:rsid w:val="009F67AC"/>
    <w:rsid w:val="009F6EDF"/>
    <w:rsid w:val="00A0054F"/>
    <w:rsid w:val="00A006E0"/>
    <w:rsid w:val="00A0275A"/>
    <w:rsid w:val="00A06C75"/>
    <w:rsid w:val="00A06EB4"/>
    <w:rsid w:val="00A070D3"/>
    <w:rsid w:val="00A074B1"/>
    <w:rsid w:val="00A07FC3"/>
    <w:rsid w:val="00A10F33"/>
    <w:rsid w:val="00A11375"/>
    <w:rsid w:val="00A130A9"/>
    <w:rsid w:val="00A13D26"/>
    <w:rsid w:val="00A15F99"/>
    <w:rsid w:val="00A1672B"/>
    <w:rsid w:val="00A1683A"/>
    <w:rsid w:val="00A16C51"/>
    <w:rsid w:val="00A17D5D"/>
    <w:rsid w:val="00A21598"/>
    <w:rsid w:val="00A21876"/>
    <w:rsid w:val="00A22429"/>
    <w:rsid w:val="00A229CB"/>
    <w:rsid w:val="00A233DA"/>
    <w:rsid w:val="00A2455D"/>
    <w:rsid w:val="00A24683"/>
    <w:rsid w:val="00A25CF7"/>
    <w:rsid w:val="00A26777"/>
    <w:rsid w:val="00A27039"/>
    <w:rsid w:val="00A276E6"/>
    <w:rsid w:val="00A30046"/>
    <w:rsid w:val="00A302BD"/>
    <w:rsid w:val="00A303A1"/>
    <w:rsid w:val="00A30761"/>
    <w:rsid w:val="00A30C6D"/>
    <w:rsid w:val="00A317C1"/>
    <w:rsid w:val="00A32345"/>
    <w:rsid w:val="00A32DDD"/>
    <w:rsid w:val="00A33528"/>
    <w:rsid w:val="00A33807"/>
    <w:rsid w:val="00A33BD0"/>
    <w:rsid w:val="00A34679"/>
    <w:rsid w:val="00A35BD1"/>
    <w:rsid w:val="00A35F14"/>
    <w:rsid w:val="00A36755"/>
    <w:rsid w:val="00A36ED5"/>
    <w:rsid w:val="00A40C9D"/>
    <w:rsid w:val="00A40D14"/>
    <w:rsid w:val="00A41666"/>
    <w:rsid w:val="00A41AE4"/>
    <w:rsid w:val="00A41AEC"/>
    <w:rsid w:val="00A42C77"/>
    <w:rsid w:val="00A442F1"/>
    <w:rsid w:val="00A44693"/>
    <w:rsid w:val="00A448C2"/>
    <w:rsid w:val="00A44CEE"/>
    <w:rsid w:val="00A44DA6"/>
    <w:rsid w:val="00A44F25"/>
    <w:rsid w:val="00A4566C"/>
    <w:rsid w:val="00A46A83"/>
    <w:rsid w:val="00A4701D"/>
    <w:rsid w:val="00A47676"/>
    <w:rsid w:val="00A47DB9"/>
    <w:rsid w:val="00A50589"/>
    <w:rsid w:val="00A528C7"/>
    <w:rsid w:val="00A52CBF"/>
    <w:rsid w:val="00A53778"/>
    <w:rsid w:val="00A54C68"/>
    <w:rsid w:val="00A55071"/>
    <w:rsid w:val="00A55C5A"/>
    <w:rsid w:val="00A619A4"/>
    <w:rsid w:val="00A61D58"/>
    <w:rsid w:val="00A63FC8"/>
    <w:rsid w:val="00A64F93"/>
    <w:rsid w:val="00A65716"/>
    <w:rsid w:val="00A660E6"/>
    <w:rsid w:val="00A667F9"/>
    <w:rsid w:val="00A66F0B"/>
    <w:rsid w:val="00A67006"/>
    <w:rsid w:val="00A67FBB"/>
    <w:rsid w:val="00A701F1"/>
    <w:rsid w:val="00A7102B"/>
    <w:rsid w:val="00A71449"/>
    <w:rsid w:val="00A717D9"/>
    <w:rsid w:val="00A71A10"/>
    <w:rsid w:val="00A71C2D"/>
    <w:rsid w:val="00A725CF"/>
    <w:rsid w:val="00A731B2"/>
    <w:rsid w:val="00A7375B"/>
    <w:rsid w:val="00A73D32"/>
    <w:rsid w:val="00A746DD"/>
    <w:rsid w:val="00A74BC7"/>
    <w:rsid w:val="00A76B47"/>
    <w:rsid w:val="00A77AD0"/>
    <w:rsid w:val="00A81983"/>
    <w:rsid w:val="00A82517"/>
    <w:rsid w:val="00A82541"/>
    <w:rsid w:val="00A83526"/>
    <w:rsid w:val="00A83DC5"/>
    <w:rsid w:val="00A8509B"/>
    <w:rsid w:val="00A8590C"/>
    <w:rsid w:val="00A86A84"/>
    <w:rsid w:val="00A87F63"/>
    <w:rsid w:val="00A900D5"/>
    <w:rsid w:val="00A90D18"/>
    <w:rsid w:val="00A90EC6"/>
    <w:rsid w:val="00A96E62"/>
    <w:rsid w:val="00AA055E"/>
    <w:rsid w:val="00AA0D97"/>
    <w:rsid w:val="00AA23FA"/>
    <w:rsid w:val="00AA2ED6"/>
    <w:rsid w:val="00AA525F"/>
    <w:rsid w:val="00AA591A"/>
    <w:rsid w:val="00AA5D28"/>
    <w:rsid w:val="00AB0269"/>
    <w:rsid w:val="00AB041E"/>
    <w:rsid w:val="00AB0915"/>
    <w:rsid w:val="00AB180C"/>
    <w:rsid w:val="00AB1E4A"/>
    <w:rsid w:val="00AB25EF"/>
    <w:rsid w:val="00AB2F2B"/>
    <w:rsid w:val="00AB452C"/>
    <w:rsid w:val="00AB56BF"/>
    <w:rsid w:val="00AB683C"/>
    <w:rsid w:val="00AC063F"/>
    <w:rsid w:val="00AC206A"/>
    <w:rsid w:val="00AC3580"/>
    <w:rsid w:val="00AC41A9"/>
    <w:rsid w:val="00AC4A26"/>
    <w:rsid w:val="00AC4D32"/>
    <w:rsid w:val="00AC503D"/>
    <w:rsid w:val="00AC64F1"/>
    <w:rsid w:val="00AC731A"/>
    <w:rsid w:val="00AD14EE"/>
    <w:rsid w:val="00AD1584"/>
    <w:rsid w:val="00AD31C3"/>
    <w:rsid w:val="00AD37D4"/>
    <w:rsid w:val="00AD5974"/>
    <w:rsid w:val="00AD7A77"/>
    <w:rsid w:val="00AE0C06"/>
    <w:rsid w:val="00AE0FF3"/>
    <w:rsid w:val="00AE139F"/>
    <w:rsid w:val="00AE1857"/>
    <w:rsid w:val="00AE1F62"/>
    <w:rsid w:val="00AE3F45"/>
    <w:rsid w:val="00AE4AC6"/>
    <w:rsid w:val="00AE4BCC"/>
    <w:rsid w:val="00AE5100"/>
    <w:rsid w:val="00AE5B0F"/>
    <w:rsid w:val="00AE76CD"/>
    <w:rsid w:val="00AE76E6"/>
    <w:rsid w:val="00AE7C6B"/>
    <w:rsid w:val="00AF0190"/>
    <w:rsid w:val="00AF032E"/>
    <w:rsid w:val="00AF1BC6"/>
    <w:rsid w:val="00AF21E7"/>
    <w:rsid w:val="00AF25CB"/>
    <w:rsid w:val="00AF3116"/>
    <w:rsid w:val="00AF33EB"/>
    <w:rsid w:val="00AF3876"/>
    <w:rsid w:val="00AF38B7"/>
    <w:rsid w:val="00AF3A49"/>
    <w:rsid w:val="00AF3EEA"/>
    <w:rsid w:val="00AF59DB"/>
    <w:rsid w:val="00AF7376"/>
    <w:rsid w:val="00AF73F8"/>
    <w:rsid w:val="00AF7D1D"/>
    <w:rsid w:val="00B00AE3"/>
    <w:rsid w:val="00B01196"/>
    <w:rsid w:val="00B02964"/>
    <w:rsid w:val="00B03494"/>
    <w:rsid w:val="00B035BB"/>
    <w:rsid w:val="00B03924"/>
    <w:rsid w:val="00B03989"/>
    <w:rsid w:val="00B0405B"/>
    <w:rsid w:val="00B042CF"/>
    <w:rsid w:val="00B04444"/>
    <w:rsid w:val="00B05B7E"/>
    <w:rsid w:val="00B06ACB"/>
    <w:rsid w:val="00B06B46"/>
    <w:rsid w:val="00B071FA"/>
    <w:rsid w:val="00B072DF"/>
    <w:rsid w:val="00B108C3"/>
    <w:rsid w:val="00B148D5"/>
    <w:rsid w:val="00B17195"/>
    <w:rsid w:val="00B17353"/>
    <w:rsid w:val="00B20000"/>
    <w:rsid w:val="00B21C7D"/>
    <w:rsid w:val="00B22C91"/>
    <w:rsid w:val="00B22FF4"/>
    <w:rsid w:val="00B23279"/>
    <w:rsid w:val="00B23C98"/>
    <w:rsid w:val="00B23E16"/>
    <w:rsid w:val="00B242B9"/>
    <w:rsid w:val="00B25046"/>
    <w:rsid w:val="00B25A20"/>
    <w:rsid w:val="00B266F1"/>
    <w:rsid w:val="00B2696D"/>
    <w:rsid w:val="00B2756B"/>
    <w:rsid w:val="00B323F9"/>
    <w:rsid w:val="00B33F4A"/>
    <w:rsid w:val="00B3477B"/>
    <w:rsid w:val="00B34921"/>
    <w:rsid w:val="00B35963"/>
    <w:rsid w:val="00B35E8D"/>
    <w:rsid w:val="00B35FE9"/>
    <w:rsid w:val="00B36572"/>
    <w:rsid w:val="00B36E4A"/>
    <w:rsid w:val="00B3710E"/>
    <w:rsid w:val="00B4276A"/>
    <w:rsid w:val="00B45FFE"/>
    <w:rsid w:val="00B46019"/>
    <w:rsid w:val="00B4697B"/>
    <w:rsid w:val="00B50083"/>
    <w:rsid w:val="00B51187"/>
    <w:rsid w:val="00B52582"/>
    <w:rsid w:val="00B52D6F"/>
    <w:rsid w:val="00B5310E"/>
    <w:rsid w:val="00B54025"/>
    <w:rsid w:val="00B55A16"/>
    <w:rsid w:val="00B5667A"/>
    <w:rsid w:val="00B56FC9"/>
    <w:rsid w:val="00B57B2F"/>
    <w:rsid w:val="00B61BCB"/>
    <w:rsid w:val="00B63249"/>
    <w:rsid w:val="00B64109"/>
    <w:rsid w:val="00B64219"/>
    <w:rsid w:val="00B64C51"/>
    <w:rsid w:val="00B65B6E"/>
    <w:rsid w:val="00B66920"/>
    <w:rsid w:val="00B70D0C"/>
    <w:rsid w:val="00B71109"/>
    <w:rsid w:val="00B71490"/>
    <w:rsid w:val="00B71D0A"/>
    <w:rsid w:val="00B74BFD"/>
    <w:rsid w:val="00B752DF"/>
    <w:rsid w:val="00B75C3A"/>
    <w:rsid w:val="00B75F58"/>
    <w:rsid w:val="00B7691F"/>
    <w:rsid w:val="00B77753"/>
    <w:rsid w:val="00B8197F"/>
    <w:rsid w:val="00B81A89"/>
    <w:rsid w:val="00B81ADC"/>
    <w:rsid w:val="00B82572"/>
    <w:rsid w:val="00B8278A"/>
    <w:rsid w:val="00B833C2"/>
    <w:rsid w:val="00B83F5B"/>
    <w:rsid w:val="00B84527"/>
    <w:rsid w:val="00B85503"/>
    <w:rsid w:val="00B859E1"/>
    <w:rsid w:val="00B85B0C"/>
    <w:rsid w:val="00B86B68"/>
    <w:rsid w:val="00B86BEA"/>
    <w:rsid w:val="00B87A19"/>
    <w:rsid w:val="00B90FA1"/>
    <w:rsid w:val="00B933C7"/>
    <w:rsid w:val="00B936F6"/>
    <w:rsid w:val="00B93AF1"/>
    <w:rsid w:val="00B94032"/>
    <w:rsid w:val="00B94E89"/>
    <w:rsid w:val="00B95FFA"/>
    <w:rsid w:val="00B973B0"/>
    <w:rsid w:val="00BA2F2D"/>
    <w:rsid w:val="00BA3B47"/>
    <w:rsid w:val="00BA4306"/>
    <w:rsid w:val="00BA452A"/>
    <w:rsid w:val="00BA4573"/>
    <w:rsid w:val="00BA47D8"/>
    <w:rsid w:val="00BA4F1A"/>
    <w:rsid w:val="00BA56A6"/>
    <w:rsid w:val="00BA72D2"/>
    <w:rsid w:val="00BA7943"/>
    <w:rsid w:val="00BB0917"/>
    <w:rsid w:val="00BB0B6F"/>
    <w:rsid w:val="00BB1873"/>
    <w:rsid w:val="00BB240D"/>
    <w:rsid w:val="00BB2FAC"/>
    <w:rsid w:val="00BB4296"/>
    <w:rsid w:val="00BB5C9D"/>
    <w:rsid w:val="00BB5EFA"/>
    <w:rsid w:val="00BB6F49"/>
    <w:rsid w:val="00BB7163"/>
    <w:rsid w:val="00BB7FC6"/>
    <w:rsid w:val="00BC0E1A"/>
    <w:rsid w:val="00BC2BFC"/>
    <w:rsid w:val="00BC36B2"/>
    <w:rsid w:val="00BC5B67"/>
    <w:rsid w:val="00BC5F57"/>
    <w:rsid w:val="00BC6B51"/>
    <w:rsid w:val="00BC7F7C"/>
    <w:rsid w:val="00BD0F16"/>
    <w:rsid w:val="00BD25AD"/>
    <w:rsid w:val="00BD2C25"/>
    <w:rsid w:val="00BD344C"/>
    <w:rsid w:val="00BD3917"/>
    <w:rsid w:val="00BD447C"/>
    <w:rsid w:val="00BD7012"/>
    <w:rsid w:val="00BD719B"/>
    <w:rsid w:val="00BE23E3"/>
    <w:rsid w:val="00BE2B4A"/>
    <w:rsid w:val="00BE42A0"/>
    <w:rsid w:val="00BE42B8"/>
    <w:rsid w:val="00BE51A7"/>
    <w:rsid w:val="00BE5544"/>
    <w:rsid w:val="00BF211D"/>
    <w:rsid w:val="00BF2FAA"/>
    <w:rsid w:val="00BF44D7"/>
    <w:rsid w:val="00BF6181"/>
    <w:rsid w:val="00BF6F57"/>
    <w:rsid w:val="00BF6FB8"/>
    <w:rsid w:val="00BF71CC"/>
    <w:rsid w:val="00C011E7"/>
    <w:rsid w:val="00C01975"/>
    <w:rsid w:val="00C01C0B"/>
    <w:rsid w:val="00C01E4D"/>
    <w:rsid w:val="00C0211E"/>
    <w:rsid w:val="00C021E2"/>
    <w:rsid w:val="00C0241E"/>
    <w:rsid w:val="00C02475"/>
    <w:rsid w:val="00C02766"/>
    <w:rsid w:val="00C02B23"/>
    <w:rsid w:val="00C02F0E"/>
    <w:rsid w:val="00C036C0"/>
    <w:rsid w:val="00C03C51"/>
    <w:rsid w:val="00C05425"/>
    <w:rsid w:val="00C05916"/>
    <w:rsid w:val="00C101AF"/>
    <w:rsid w:val="00C1034F"/>
    <w:rsid w:val="00C10B2C"/>
    <w:rsid w:val="00C11ADC"/>
    <w:rsid w:val="00C12465"/>
    <w:rsid w:val="00C1277A"/>
    <w:rsid w:val="00C12DE9"/>
    <w:rsid w:val="00C13CF8"/>
    <w:rsid w:val="00C1429D"/>
    <w:rsid w:val="00C14839"/>
    <w:rsid w:val="00C149A8"/>
    <w:rsid w:val="00C14CEB"/>
    <w:rsid w:val="00C167A4"/>
    <w:rsid w:val="00C16B98"/>
    <w:rsid w:val="00C16C1A"/>
    <w:rsid w:val="00C20A13"/>
    <w:rsid w:val="00C20B47"/>
    <w:rsid w:val="00C20EAD"/>
    <w:rsid w:val="00C21294"/>
    <w:rsid w:val="00C2179D"/>
    <w:rsid w:val="00C300D5"/>
    <w:rsid w:val="00C30C6A"/>
    <w:rsid w:val="00C32742"/>
    <w:rsid w:val="00C335A6"/>
    <w:rsid w:val="00C33E3F"/>
    <w:rsid w:val="00C35494"/>
    <w:rsid w:val="00C3562A"/>
    <w:rsid w:val="00C35F08"/>
    <w:rsid w:val="00C36A76"/>
    <w:rsid w:val="00C373D5"/>
    <w:rsid w:val="00C400BF"/>
    <w:rsid w:val="00C400CF"/>
    <w:rsid w:val="00C4157E"/>
    <w:rsid w:val="00C4265D"/>
    <w:rsid w:val="00C42980"/>
    <w:rsid w:val="00C44F50"/>
    <w:rsid w:val="00C44F8D"/>
    <w:rsid w:val="00C46650"/>
    <w:rsid w:val="00C47610"/>
    <w:rsid w:val="00C4765D"/>
    <w:rsid w:val="00C4799B"/>
    <w:rsid w:val="00C5033A"/>
    <w:rsid w:val="00C50A51"/>
    <w:rsid w:val="00C55077"/>
    <w:rsid w:val="00C570F9"/>
    <w:rsid w:val="00C6031E"/>
    <w:rsid w:val="00C60499"/>
    <w:rsid w:val="00C615EB"/>
    <w:rsid w:val="00C6164E"/>
    <w:rsid w:val="00C61EDB"/>
    <w:rsid w:val="00C62982"/>
    <w:rsid w:val="00C635C4"/>
    <w:rsid w:val="00C638FD"/>
    <w:rsid w:val="00C63A62"/>
    <w:rsid w:val="00C63CD0"/>
    <w:rsid w:val="00C645CF"/>
    <w:rsid w:val="00C670A5"/>
    <w:rsid w:val="00C705FB"/>
    <w:rsid w:val="00C70E49"/>
    <w:rsid w:val="00C71873"/>
    <w:rsid w:val="00C72D40"/>
    <w:rsid w:val="00C738F6"/>
    <w:rsid w:val="00C73BD0"/>
    <w:rsid w:val="00C7457A"/>
    <w:rsid w:val="00C7718B"/>
    <w:rsid w:val="00C8013B"/>
    <w:rsid w:val="00C80A79"/>
    <w:rsid w:val="00C811F7"/>
    <w:rsid w:val="00C821DE"/>
    <w:rsid w:val="00C8240D"/>
    <w:rsid w:val="00C829C7"/>
    <w:rsid w:val="00C8368E"/>
    <w:rsid w:val="00C84BF9"/>
    <w:rsid w:val="00C855AD"/>
    <w:rsid w:val="00C865D8"/>
    <w:rsid w:val="00C86C3B"/>
    <w:rsid w:val="00C87E49"/>
    <w:rsid w:val="00C90B12"/>
    <w:rsid w:val="00C90CD5"/>
    <w:rsid w:val="00C90D1B"/>
    <w:rsid w:val="00C90FCB"/>
    <w:rsid w:val="00C9193F"/>
    <w:rsid w:val="00C91FA4"/>
    <w:rsid w:val="00C92941"/>
    <w:rsid w:val="00C94C8E"/>
    <w:rsid w:val="00C94C9D"/>
    <w:rsid w:val="00C9500C"/>
    <w:rsid w:val="00C962D2"/>
    <w:rsid w:val="00CA0E10"/>
    <w:rsid w:val="00CA142B"/>
    <w:rsid w:val="00CA2761"/>
    <w:rsid w:val="00CA2A67"/>
    <w:rsid w:val="00CA30F0"/>
    <w:rsid w:val="00CA3565"/>
    <w:rsid w:val="00CA47B6"/>
    <w:rsid w:val="00CA7F35"/>
    <w:rsid w:val="00CB0A89"/>
    <w:rsid w:val="00CB18E2"/>
    <w:rsid w:val="00CB1AC5"/>
    <w:rsid w:val="00CB1AF3"/>
    <w:rsid w:val="00CB35A6"/>
    <w:rsid w:val="00CB47A4"/>
    <w:rsid w:val="00CB497A"/>
    <w:rsid w:val="00CC0F4C"/>
    <w:rsid w:val="00CC2523"/>
    <w:rsid w:val="00CC2932"/>
    <w:rsid w:val="00CC4788"/>
    <w:rsid w:val="00CC5FC3"/>
    <w:rsid w:val="00CC6435"/>
    <w:rsid w:val="00CC64E1"/>
    <w:rsid w:val="00CC667D"/>
    <w:rsid w:val="00CC7076"/>
    <w:rsid w:val="00CD100D"/>
    <w:rsid w:val="00CD15C9"/>
    <w:rsid w:val="00CD18D3"/>
    <w:rsid w:val="00CD2FE7"/>
    <w:rsid w:val="00CD4469"/>
    <w:rsid w:val="00CD44A8"/>
    <w:rsid w:val="00CD69E5"/>
    <w:rsid w:val="00CE0AE8"/>
    <w:rsid w:val="00CE0DE9"/>
    <w:rsid w:val="00CE1886"/>
    <w:rsid w:val="00CE1DB2"/>
    <w:rsid w:val="00CE1DF8"/>
    <w:rsid w:val="00CE2E41"/>
    <w:rsid w:val="00CE5B52"/>
    <w:rsid w:val="00CE5E5D"/>
    <w:rsid w:val="00CE6A67"/>
    <w:rsid w:val="00CE6C68"/>
    <w:rsid w:val="00CF1118"/>
    <w:rsid w:val="00CF251E"/>
    <w:rsid w:val="00CF34ED"/>
    <w:rsid w:val="00CF38EF"/>
    <w:rsid w:val="00CF484F"/>
    <w:rsid w:val="00CF7303"/>
    <w:rsid w:val="00D01676"/>
    <w:rsid w:val="00D0227B"/>
    <w:rsid w:val="00D031ED"/>
    <w:rsid w:val="00D04795"/>
    <w:rsid w:val="00D101A3"/>
    <w:rsid w:val="00D122FE"/>
    <w:rsid w:val="00D134CA"/>
    <w:rsid w:val="00D15020"/>
    <w:rsid w:val="00D1541A"/>
    <w:rsid w:val="00D17094"/>
    <w:rsid w:val="00D1781F"/>
    <w:rsid w:val="00D21F82"/>
    <w:rsid w:val="00D22743"/>
    <w:rsid w:val="00D22A56"/>
    <w:rsid w:val="00D23109"/>
    <w:rsid w:val="00D25789"/>
    <w:rsid w:val="00D2770C"/>
    <w:rsid w:val="00D27CBA"/>
    <w:rsid w:val="00D32391"/>
    <w:rsid w:val="00D32AC2"/>
    <w:rsid w:val="00D3570B"/>
    <w:rsid w:val="00D362C9"/>
    <w:rsid w:val="00D36420"/>
    <w:rsid w:val="00D36723"/>
    <w:rsid w:val="00D406D5"/>
    <w:rsid w:val="00D40AA5"/>
    <w:rsid w:val="00D4259F"/>
    <w:rsid w:val="00D426C5"/>
    <w:rsid w:val="00D4286A"/>
    <w:rsid w:val="00D42F3D"/>
    <w:rsid w:val="00D43ABD"/>
    <w:rsid w:val="00D46017"/>
    <w:rsid w:val="00D46084"/>
    <w:rsid w:val="00D47454"/>
    <w:rsid w:val="00D47733"/>
    <w:rsid w:val="00D47C9B"/>
    <w:rsid w:val="00D50F1D"/>
    <w:rsid w:val="00D51588"/>
    <w:rsid w:val="00D52F0E"/>
    <w:rsid w:val="00D538C0"/>
    <w:rsid w:val="00D54948"/>
    <w:rsid w:val="00D54F11"/>
    <w:rsid w:val="00D5570F"/>
    <w:rsid w:val="00D5671E"/>
    <w:rsid w:val="00D56B63"/>
    <w:rsid w:val="00D57952"/>
    <w:rsid w:val="00D579F1"/>
    <w:rsid w:val="00D61035"/>
    <w:rsid w:val="00D6140E"/>
    <w:rsid w:val="00D61C26"/>
    <w:rsid w:val="00D626C5"/>
    <w:rsid w:val="00D62E6C"/>
    <w:rsid w:val="00D63B38"/>
    <w:rsid w:val="00D64D8B"/>
    <w:rsid w:val="00D65191"/>
    <w:rsid w:val="00D70F83"/>
    <w:rsid w:val="00D7178E"/>
    <w:rsid w:val="00D71A3E"/>
    <w:rsid w:val="00D73F2C"/>
    <w:rsid w:val="00D74975"/>
    <w:rsid w:val="00D754D6"/>
    <w:rsid w:val="00D758F0"/>
    <w:rsid w:val="00D76E5D"/>
    <w:rsid w:val="00D775A1"/>
    <w:rsid w:val="00D77FD7"/>
    <w:rsid w:val="00D822F0"/>
    <w:rsid w:val="00D8288E"/>
    <w:rsid w:val="00D843CA"/>
    <w:rsid w:val="00D8522B"/>
    <w:rsid w:val="00D85D4D"/>
    <w:rsid w:val="00D901F8"/>
    <w:rsid w:val="00D90C59"/>
    <w:rsid w:val="00D93B4F"/>
    <w:rsid w:val="00D93B50"/>
    <w:rsid w:val="00D972DB"/>
    <w:rsid w:val="00D97777"/>
    <w:rsid w:val="00D97A0D"/>
    <w:rsid w:val="00DA03C1"/>
    <w:rsid w:val="00DA041F"/>
    <w:rsid w:val="00DA059F"/>
    <w:rsid w:val="00DA1164"/>
    <w:rsid w:val="00DA234D"/>
    <w:rsid w:val="00DA26E6"/>
    <w:rsid w:val="00DA2749"/>
    <w:rsid w:val="00DA2E10"/>
    <w:rsid w:val="00DA2F6B"/>
    <w:rsid w:val="00DA33D3"/>
    <w:rsid w:val="00DA430B"/>
    <w:rsid w:val="00DA4D50"/>
    <w:rsid w:val="00DA586D"/>
    <w:rsid w:val="00DA609C"/>
    <w:rsid w:val="00DA727C"/>
    <w:rsid w:val="00DA7991"/>
    <w:rsid w:val="00DB556C"/>
    <w:rsid w:val="00DB644D"/>
    <w:rsid w:val="00DC01A8"/>
    <w:rsid w:val="00DC1F74"/>
    <w:rsid w:val="00DC261B"/>
    <w:rsid w:val="00DC5F02"/>
    <w:rsid w:val="00DC7D32"/>
    <w:rsid w:val="00DD0420"/>
    <w:rsid w:val="00DD1ADC"/>
    <w:rsid w:val="00DD1B93"/>
    <w:rsid w:val="00DD220C"/>
    <w:rsid w:val="00DD3AE5"/>
    <w:rsid w:val="00DD4704"/>
    <w:rsid w:val="00DD4716"/>
    <w:rsid w:val="00DD4D1B"/>
    <w:rsid w:val="00DD70C2"/>
    <w:rsid w:val="00DD73DE"/>
    <w:rsid w:val="00DE08F1"/>
    <w:rsid w:val="00DE0A96"/>
    <w:rsid w:val="00DE52D3"/>
    <w:rsid w:val="00DE696E"/>
    <w:rsid w:val="00DE6F67"/>
    <w:rsid w:val="00DE7144"/>
    <w:rsid w:val="00DF0277"/>
    <w:rsid w:val="00DF0B5C"/>
    <w:rsid w:val="00DF217A"/>
    <w:rsid w:val="00DF258F"/>
    <w:rsid w:val="00DF41B9"/>
    <w:rsid w:val="00DF4A27"/>
    <w:rsid w:val="00DF52C3"/>
    <w:rsid w:val="00DF533F"/>
    <w:rsid w:val="00DF5385"/>
    <w:rsid w:val="00DF6128"/>
    <w:rsid w:val="00DF6DA0"/>
    <w:rsid w:val="00DF72A0"/>
    <w:rsid w:val="00DF7687"/>
    <w:rsid w:val="00DF7931"/>
    <w:rsid w:val="00DF7A52"/>
    <w:rsid w:val="00E00740"/>
    <w:rsid w:val="00E014CF"/>
    <w:rsid w:val="00E0219C"/>
    <w:rsid w:val="00E037A1"/>
    <w:rsid w:val="00E04791"/>
    <w:rsid w:val="00E04F01"/>
    <w:rsid w:val="00E051BD"/>
    <w:rsid w:val="00E0583E"/>
    <w:rsid w:val="00E066A3"/>
    <w:rsid w:val="00E0775E"/>
    <w:rsid w:val="00E12239"/>
    <w:rsid w:val="00E12734"/>
    <w:rsid w:val="00E12C78"/>
    <w:rsid w:val="00E14051"/>
    <w:rsid w:val="00E15EE3"/>
    <w:rsid w:val="00E17135"/>
    <w:rsid w:val="00E20529"/>
    <w:rsid w:val="00E20E55"/>
    <w:rsid w:val="00E2119E"/>
    <w:rsid w:val="00E21A47"/>
    <w:rsid w:val="00E23DBA"/>
    <w:rsid w:val="00E24D4C"/>
    <w:rsid w:val="00E252D2"/>
    <w:rsid w:val="00E26B25"/>
    <w:rsid w:val="00E27E10"/>
    <w:rsid w:val="00E30041"/>
    <w:rsid w:val="00E3119B"/>
    <w:rsid w:val="00E32F18"/>
    <w:rsid w:val="00E330FC"/>
    <w:rsid w:val="00E3488E"/>
    <w:rsid w:val="00E356E5"/>
    <w:rsid w:val="00E35730"/>
    <w:rsid w:val="00E4190A"/>
    <w:rsid w:val="00E41939"/>
    <w:rsid w:val="00E4235D"/>
    <w:rsid w:val="00E43670"/>
    <w:rsid w:val="00E43C40"/>
    <w:rsid w:val="00E4467D"/>
    <w:rsid w:val="00E463F2"/>
    <w:rsid w:val="00E46D56"/>
    <w:rsid w:val="00E46E47"/>
    <w:rsid w:val="00E46EB8"/>
    <w:rsid w:val="00E47C02"/>
    <w:rsid w:val="00E47ED9"/>
    <w:rsid w:val="00E5009D"/>
    <w:rsid w:val="00E5049B"/>
    <w:rsid w:val="00E534DA"/>
    <w:rsid w:val="00E56F21"/>
    <w:rsid w:val="00E60543"/>
    <w:rsid w:val="00E612B5"/>
    <w:rsid w:val="00E614F0"/>
    <w:rsid w:val="00E623AB"/>
    <w:rsid w:val="00E6319E"/>
    <w:rsid w:val="00E64849"/>
    <w:rsid w:val="00E64C62"/>
    <w:rsid w:val="00E67187"/>
    <w:rsid w:val="00E671E1"/>
    <w:rsid w:val="00E70852"/>
    <w:rsid w:val="00E714D5"/>
    <w:rsid w:val="00E72813"/>
    <w:rsid w:val="00E7476E"/>
    <w:rsid w:val="00E747FA"/>
    <w:rsid w:val="00E7746D"/>
    <w:rsid w:val="00E8000B"/>
    <w:rsid w:val="00E80599"/>
    <w:rsid w:val="00E816FE"/>
    <w:rsid w:val="00E8584F"/>
    <w:rsid w:val="00E8685F"/>
    <w:rsid w:val="00E86DB2"/>
    <w:rsid w:val="00E91A26"/>
    <w:rsid w:val="00E921DC"/>
    <w:rsid w:val="00E95CB7"/>
    <w:rsid w:val="00E95D47"/>
    <w:rsid w:val="00E95D4D"/>
    <w:rsid w:val="00E95F2F"/>
    <w:rsid w:val="00E964EF"/>
    <w:rsid w:val="00E97140"/>
    <w:rsid w:val="00E9716C"/>
    <w:rsid w:val="00E97C0D"/>
    <w:rsid w:val="00EA00DA"/>
    <w:rsid w:val="00EA08F1"/>
    <w:rsid w:val="00EA1067"/>
    <w:rsid w:val="00EA1144"/>
    <w:rsid w:val="00EA1F4B"/>
    <w:rsid w:val="00EA20ED"/>
    <w:rsid w:val="00EA2281"/>
    <w:rsid w:val="00EA254A"/>
    <w:rsid w:val="00EA30A6"/>
    <w:rsid w:val="00EA35EE"/>
    <w:rsid w:val="00EA49D1"/>
    <w:rsid w:val="00EA4E73"/>
    <w:rsid w:val="00EA5286"/>
    <w:rsid w:val="00EA5892"/>
    <w:rsid w:val="00EA6153"/>
    <w:rsid w:val="00EA62B7"/>
    <w:rsid w:val="00EA7867"/>
    <w:rsid w:val="00EB292F"/>
    <w:rsid w:val="00EB2989"/>
    <w:rsid w:val="00EB5252"/>
    <w:rsid w:val="00EB5DED"/>
    <w:rsid w:val="00EB72D4"/>
    <w:rsid w:val="00EB7EEE"/>
    <w:rsid w:val="00EC0811"/>
    <w:rsid w:val="00EC1BD4"/>
    <w:rsid w:val="00EC1F36"/>
    <w:rsid w:val="00EC2304"/>
    <w:rsid w:val="00EC2CAE"/>
    <w:rsid w:val="00EC301E"/>
    <w:rsid w:val="00EC4DC8"/>
    <w:rsid w:val="00EC55E1"/>
    <w:rsid w:val="00EC5D51"/>
    <w:rsid w:val="00EC671F"/>
    <w:rsid w:val="00EC6B29"/>
    <w:rsid w:val="00EC7A78"/>
    <w:rsid w:val="00ED0142"/>
    <w:rsid w:val="00ED0297"/>
    <w:rsid w:val="00ED14FA"/>
    <w:rsid w:val="00ED424C"/>
    <w:rsid w:val="00ED46BD"/>
    <w:rsid w:val="00ED4FA7"/>
    <w:rsid w:val="00ED5F36"/>
    <w:rsid w:val="00ED6AD4"/>
    <w:rsid w:val="00ED6B44"/>
    <w:rsid w:val="00EE0630"/>
    <w:rsid w:val="00EE097B"/>
    <w:rsid w:val="00EE2DBA"/>
    <w:rsid w:val="00EE33F2"/>
    <w:rsid w:val="00EE37A5"/>
    <w:rsid w:val="00EE65F1"/>
    <w:rsid w:val="00EE6D5D"/>
    <w:rsid w:val="00EE7953"/>
    <w:rsid w:val="00EE7EFB"/>
    <w:rsid w:val="00EF0EDD"/>
    <w:rsid w:val="00EF12C2"/>
    <w:rsid w:val="00EF1B4F"/>
    <w:rsid w:val="00EF27FB"/>
    <w:rsid w:val="00EF2BF5"/>
    <w:rsid w:val="00EF3020"/>
    <w:rsid w:val="00EF38BC"/>
    <w:rsid w:val="00EF4AAC"/>
    <w:rsid w:val="00EF4C67"/>
    <w:rsid w:val="00EF4CC9"/>
    <w:rsid w:val="00EF4D3D"/>
    <w:rsid w:val="00EF4FF5"/>
    <w:rsid w:val="00EF549B"/>
    <w:rsid w:val="00EF7272"/>
    <w:rsid w:val="00EF7CE3"/>
    <w:rsid w:val="00EF7D68"/>
    <w:rsid w:val="00F003A8"/>
    <w:rsid w:val="00F0066B"/>
    <w:rsid w:val="00F01A5E"/>
    <w:rsid w:val="00F0228F"/>
    <w:rsid w:val="00F03671"/>
    <w:rsid w:val="00F03E11"/>
    <w:rsid w:val="00F04482"/>
    <w:rsid w:val="00F04B80"/>
    <w:rsid w:val="00F05309"/>
    <w:rsid w:val="00F05546"/>
    <w:rsid w:val="00F0578F"/>
    <w:rsid w:val="00F05F6F"/>
    <w:rsid w:val="00F065C5"/>
    <w:rsid w:val="00F069C8"/>
    <w:rsid w:val="00F06F47"/>
    <w:rsid w:val="00F0774E"/>
    <w:rsid w:val="00F07778"/>
    <w:rsid w:val="00F10A33"/>
    <w:rsid w:val="00F117E9"/>
    <w:rsid w:val="00F11C82"/>
    <w:rsid w:val="00F1374A"/>
    <w:rsid w:val="00F145A3"/>
    <w:rsid w:val="00F149CE"/>
    <w:rsid w:val="00F14E49"/>
    <w:rsid w:val="00F165F9"/>
    <w:rsid w:val="00F17A31"/>
    <w:rsid w:val="00F17F48"/>
    <w:rsid w:val="00F20BAB"/>
    <w:rsid w:val="00F2127C"/>
    <w:rsid w:val="00F213ED"/>
    <w:rsid w:val="00F2192E"/>
    <w:rsid w:val="00F22887"/>
    <w:rsid w:val="00F25866"/>
    <w:rsid w:val="00F259D9"/>
    <w:rsid w:val="00F2615C"/>
    <w:rsid w:val="00F26C51"/>
    <w:rsid w:val="00F31DED"/>
    <w:rsid w:val="00F32339"/>
    <w:rsid w:val="00F3273C"/>
    <w:rsid w:val="00F33E5A"/>
    <w:rsid w:val="00F34F16"/>
    <w:rsid w:val="00F3584E"/>
    <w:rsid w:val="00F35EB6"/>
    <w:rsid w:val="00F365F1"/>
    <w:rsid w:val="00F36F18"/>
    <w:rsid w:val="00F375A9"/>
    <w:rsid w:val="00F37C5D"/>
    <w:rsid w:val="00F4064D"/>
    <w:rsid w:val="00F418A4"/>
    <w:rsid w:val="00F420D4"/>
    <w:rsid w:val="00F42728"/>
    <w:rsid w:val="00F42C3E"/>
    <w:rsid w:val="00F44ACE"/>
    <w:rsid w:val="00F45230"/>
    <w:rsid w:val="00F45337"/>
    <w:rsid w:val="00F45BE9"/>
    <w:rsid w:val="00F46AD4"/>
    <w:rsid w:val="00F503D0"/>
    <w:rsid w:val="00F50C34"/>
    <w:rsid w:val="00F514AA"/>
    <w:rsid w:val="00F5158E"/>
    <w:rsid w:val="00F51F19"/>
    <w:rsid w:val="00F53556"/>
    <w:rsid w:val="00F545A6"/>
    <w:rsid w:val="00F55FF3"/>
    <w:rsid w:val="00F56A3E"/>
    <w:rsid w:val="00F56CE5"/>
    <w:rsid w:val="00F57336"/>
    <w:rsid w:val="00F57F0E"/>
    <w:rsid w:val="00F60BAC"/>
    <w:rsid w:val="00F61067"/>
    <w:rsid w:val="00F615B6"/>
    <w:rsid w:val="00F6174F"/>
    <w:rsid w:val="00F643A3"/>
    <w:rsid w:val="00F66527"/>
    <w:rsid w:val="00F67395"/>
    <w:rsid w:val="00F67BDA"/>
    <w:rsid w:val="00F67EC8"/>
    <w:rsid w:val="00F709C1"/>
    <w:rsid w:val="00F70ED4"/>
    <w:rsid w:val="00F742D6"/>
    <w:rsid w:val="00F74475"/>
    <w:rsid w:val="00F744BA"/>
    <w:rsid w:val="00F7456A"/>
    <w:rsid w:val="00F776F6"/>
    <w:rsid w:val="00F817ED"/>
    <w:rsid w:val="00F82437"/>
    <w:rsid w:val="00F82A18"/>
    <w:rsid w:val="00F82B24"/>
    <w:rsid w:val="00F82EFF"/>
    <w:rsid w:val="00F831F2"/>
    <w:rsid w:val="00F83DAB"/>
    <w:rsid w:val="00F8503F"/>
    <w:rsid w:val="00F86355"/>
    <w:rsid w:val="00F8692D"/>
    <w:rsid w:val="00F86C82"/>
    <w:rsid w:val="00F86FF7"/>
    <w:rsid w:val="00F875C7"/>
    <w:rsid w:val="00F8792A"/>
    <w:rsid w:val="00F87B7C"/>
    <w:rsid w:val="00F906F4"/>
    <w:rsid w:val="00F90AB0"/>
    <w:rsid w:val="00F922BA"/>
    <w:rsid w:val="00F94942"/>
    <w:rsid w:val="00F951F2"/>
    <w:rsid w:val="00F962EA"/>
    <w:rsid w:val="00F968FE"/>
    <w:rsid w:val="00F96EC1"/>
    <w:rsid w:val="00F9726A"/>
    <w:rsid w:val="00FA463E"/>
    <w:rsid w:val="00FA49D4"/>
    <w:rsid w:val="00FA4B0F"/>
    <w:rsid w:val="00FA4DE3"/>
    <w:rsid w:val="00FA5DB7"/>
    <w:rsid w:val="00FA5DBE"/>
    <w:rsid w:val="00FA6D67"/>
    <w:rsid w:val="00FA731F"/>
    <w:rsid w:val="00FA7ACA"/>
    <w:rsid w:val="00FA7C57"/>
    <w:rsid w:val="00FA7E94"/>
    <w:rsid w:val="00FB133A"/>
    <w:rsid w:val="00FB2D91"/>
    <w:rsid w:val="00FB3A8E"/>
    <w:rsid w:val="00FB43AD"/>
    <w:rsid w:val="00FB605F"/>
    <w:rsid w:val="00FC0D22"/>
    <w:rsid w:val="00FC146D"/>
    <w:rsid w:val="00FC1C32"/>
    <w:rsid w:val="00FC42FA"/>
    <w:rsid w:val="00FC4547"/>
    <w:rsid w:val="00FC5613"/>
    <w:rsid w:val="00FC5787"/>
    <w:rsid w:val="00FC6E28"/>
    <w:rsid w:val="00FC6FFA"/>
    <w:rsid w:val="00FD05A5"/>
    <w:rsid w:val="00FD1806"/>
    <w:rsid w:val="00FD1DFE"/>
    <w:rsid w:val="00FD3BA3"/>
    <w:rsid w:val="00FD4919"/>
    <w:rsid w:val="00FD57D4"/>
    <w:rsid w:val="00FD64D7"/>
    <w:rsid w:val="00FD68AE"/>
    <w:rsid w:val="00FD6D2F"/>
    <w:rsid w:val="00FD7D90"/>
    <w:rsid w:val="00FE0FD3"/>
    <w:rsid w:val="00FE3060"/>
    <w:rsid w:val="00FE31CF"/>
    <w:rsid w:val="00FE37F0"/>
    <w:rsid w:val="00FE3DC5"/>
    <w:rsid w:val="00FE3F7A"/>
    <w:rsid w:val="00FE5033"/>
    <w:rsid w:val="00FE53A7"/>
    <w:rsid w:val="00FE698F"/>
    <w:rsid w:val="00FE7A32"/>
    <w:rsid w:val="00FF0CD5"/>
    <w:rsid w:val="00FF0FA4"/>
    <w:rsid w:val="00FF1D2A"/>
    <w:rsid w:val="00FF38DF"/>
    <w:rsid w:val="00FF4B34"/>
    <w:rsid w:val="00FF58B0"/>
    <w:rsid w:val="00FF598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nhideWhenUsed/>
    <w:rsid w:val="00C87E49"/>
    <w:pPr>
      <w:spacing w:after="120"/>
    </w:pPr>
    <w:rPr>
      <w:lang w:val="x-none"/>
    </w:rPr>
  </w:style>
  <w:style w:type="character" w:customStyle="1" w:styleId="TextoindependienteCar">
    <w:name w:val="Texto independiente Car"/>
    <w:link w:val="Textoindependiente"/>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 w:type="character" w:styleId="Refdecomentario">
    <w:name w:val="annotation reference"/>
    <w:uiPriority w:val="99"/>
    <w:semiHidden/>
    <w:unhideWhenUsed/>
    <w:rsid w:val="002448FB"/>
    <w:rPr>
      <w:sz w:val="16"/>
      <w:szCs w:val="16"/>
    </w:rPr>
  </w:style>
  <w:style w:type="paragraph" w:styleId="Textocomentario">
    <w:name w:val="annotation text"/>
    <w:basedOn w:val="Normal"/>
    <w:link w:val="TextocomentarioCar"/>
    <w:uiPriority w:val="99"/>
    <w:semiHidden/>
    <w:unhideWhenUsed/>
    <w:rsid w:val="002448FB"/>
  </w:style>
  <w:style w:type="character" w:customStyle="1" w:styleId="TextocomentarioCar">
    <w:name w:val="Texto comentario Car"/>
    <w:link w:val="Textocomentario"/>
    <w:uiPriority w:val="99"/>
    <w:semiHidden/>
    <w:rsid w:val="002448FB"/>
    <w:rPr>
      <w:rFonts w:ascii="Times New Roman" w:eastAsia="Times New Roman" w:hAnsi="Times New Roman"/>
      <w:lang w:val="es-ES"/>
    </w:rPr>
  </w:style>
  <w:style w:type="paragraph" w:styleId="Asuntodelcomentario">
    <w:name w:val="annotation subject"/>
    <w:basedOn w:val="Textocomentario"/>
    <w:next w:val="Textocomentario"/>
    <w:link w:val="AsuntodelcomentarioCar"/>
    <w:uiPriority w:val="99"/>
    <w:semiHidden/>
    <w:unhideWhenUsed/>
    <w:rsid w:val="002448FB"/>
    <w:rPr>
      <w:b/>
      <w:bCs/>
    </w:rPr>
  </w:style>
  <w:style w:type="character" w:customStyle="1" w:styleId="AsuntodelcomentarioCar">
    <w:name w:val="Asunto del comentario Car"/>
    <w:link w:val="Asuntodelcomentario"/>
    <w:uiPriority w:val="99"/>
    <w:semiHidden/>
    <w:rsid w:val="002448FB"/>
    <w:rPr>
      <w:rFonts w:ascii="Times New Roman" w:eastAsia="Times New Roman" w:hAnsi="Times New Roman"/>
      <w:b/>
      <w:bCs/>
      <w:lang w:val="es-ES"/>
    </w:rPr>
  </w:style>
  <w:style w:type="paragraph" w:customStyle="1" w:styleId="corte3centro">
    <w:name w:val="corte3 centro"/>
    <w:basedOn w:val="Normal"/>
    <w:link w:val="corte3centroCar"/>
    <w:rsid w:val="00303578"/>
    <w:pPr>
      <w:spacing w:line="360" w:lineRule="auto"/>
      <w:jc w:val="center"/>
    </w:pPr>
    <w:rPr>
      <w:rFonts w:ascii="Arial" w:hAnsi="Arial"/>
      <w:b/>
      <w:sz w:val="30"/>
      <w:lang w:val="es-ES_tradnl" w:eastAsia="es-ES"/>
    </w:rPr>
  </w:style>
  <w:style w:type="character" w:customStyle="1" w:styleId="corte3centroCar">
    <w:name w:val="corte3 centro Car"/>
    <w:link w:val="corte3centro"/>
    <w:rsid w:val="00303578"/>
    <w:rPr>
      <w:rFonts w:ascii="Arial" w:eastAsia="Times New Roman" w:hAnsi="Arial"/>
      <w:b/>
      <w:sz w:val="30"/>
      <w:lang w:val="es-ES_tradnl"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nhideWhenUsed/>
    <w:rsid w:val="00C87E49"/>
    <w:pPr>
      <w:spacing w:after="120"/>
    </w:pPr>
    <w:rPr>
      <w:lang w:val="x-none"/>
    </w:rPr>
  </w:style>
  <w:style w:type="character" w:customStyle="1" w:styleId="TextoindependienteCar">
    <w:name w:val="Texto independiente Car"/>
    <w:link w:val="Textoindependiente"/>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 w:type="character" w:styleId="Refdecomentario">
    <w:name w:val="annotation reference"/>
    <w:uiPriority w:val="99"/>
    <w:semiHidden/>
    <w:unhideWhenUsed/>
    <w:rsid w:val="002448FB"/>
    <w:rPr>
      <w:sz w:val="16"/>
      <w:szCs w:val="16"/>
    </w:rPr>
  </w:style>
  <w:style w:type="paragraph" w:styleId="Textocomentario">
    <w:name w:val="annotation text"/>
    <w:basedOn w:val="Normal"/>
    <w:link w:val="TextocomentarioCar"/>
    <w:uiPriority w:val="99"/>
    <w:semiHidden/>
    <w:unhideWhenUsed/>
    <w:rsid w:val="002448FB"/>
  </w:style>
  <w:style w:type="character" w:customStyle="1" w:styleId="TextocomentarioCar">
    <w:name w:val="Texto comentario Car"/>
    <w:link w:val="Textocomentario"/>
    <w:uiPriority w:val="99"/>
    <w:semiHidden/>
    <w:rsid w:val="002448FB"/>
    <w:rPr>
      <w:rFonts w:ascii="Times New Roman" w:eastAsia="Times New Roman" w:hAnsi="Times New Roman"/>
      <w:lang w:val="es-ES"/>
    </w:rPr>
  </w:style>
  <w:style w:type="paragraph" w:styleId="Asuntodelcomentario">
    <w:name w:val="annotation subject"/>
    <w:basedOn w:val="Textocomentario"/>
    <w:next w:val="Textocomentario"/>
    <w:link w:val="AsuntodelcomentarioCar"/>
    <w:uiPriority w:val="99"/>
    <w:semiHidden/>
    <w:unhideWhenUsed/>
    <w:rsid w:val="002448FB"/>
    <w:rPr>
      <w:b/>
      <w:bCs/>
    </w:rPr>
  </w:style>
  <w:style w:type="character" w:customStyle="1" w:styleId="AsuntodelcomentarioCar">
    <w:name w:val="Asunto del comentario Car"/>
    <w:link w:val="Asuntodelcomentario"/>
    <w:uiPriority w:val="99"/>
    <w:semiHidden/>
    <w:rsid w:val="002448FB"/>
    <w:rPr>
      <w:rFonts w:ascii="Times New Roman" w:eastAsia="Times New Roman" w:hAnsi="Times New Roman"/>
      <w:b/>
      <w:bCs/>
      <w:lang w:val="es-ES"/>
    </w:rPr>
  </w:style>
  <w:style w:type="paragraph" w:customStyle="1" w:styleId="corte3centro">
    <w:name w:val="corte3 centro"/>
    <w:basedOn w:val="Normal"/>
    <w:link w:val="corte3centroCar"/>
    <w:rsid w:val="00303578"/>
    <w:pPr>
      <w:spacing w:line="360" w:lineRule="auto"/>
      <w:jc w:val="center"/>
    </w:pPr>
    <w:rPr>
      <w:rFonts w:ascii="Arial" w:hAnsi="Arial"/>
      <w:b/>
      <w:sz w:val="30"/>
      <w:lang w:val="es-ES_tradnl" w:eastAsia="es-ES"/>
    </w:rPr>
  </w:style>
  <w:style w:type="character" w:customStyle="1" w:styleId="corte3centroCar">
    <w:name w:val="corte3 centro Car"/>
    <w:link w:val="corte3centro"/>
    <w:rsid w:val="00303578"/>
    <w:rPr>
      <w:rFonts w:ascii="Arial" w:eastAsia="Times New Roman" w:hAnsi="Arial"/>
      <w:b/>
      <w:sz w:val="3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4384642">
      <w:bodyDiv w:val="1"/>
      <w:marLeft w:val="0"/>
      <w:marRight w:val="0"/>
      <w:marTop w:val="0"/>
      <w:marBottom w:val="0"/>
      <w:divBdr>
        <w:top w:val="none" w:sz="0" w:space="0" w:color="auto"/>
        <w:left w:val="none" w:sz="0" w:space="0" w:color="auto"/>
        <w:bottom w:val="none" w:sz="0" w:space="0" w:color="auto"/>
        <w:right w:val="none" w:sz="0" w:space="0" w:color="auto"/>
      </w:divBdr>
      <w:divsChild>
        <w:div w:id="1796681054">
          <w:marLeft w:val="0"/>
          <w:marRight w:val="0"/>
          <w:marTop w:val="0"/>
          <w:marBottom w:val="0"/>
          <w:divBdr>
            <w:top w:val="none" w:sz="0" w:space="0" w:color="auto"/>
            <w:left w:val="none" w:sz="0" w:space="0" w:color="auto"/>
            <w:bottom w:val="none" w:sz="0" w:space="0" w:color="auto"/>
            <w:right w:val="none" w:sz="0" w:space="0" w:color="auto"/>
          </w:divBdr>
        </w:div>
      </w:divsChild>
    </w:div>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786848089">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8A027B-6105-41D4-88B9-21DEA139EE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5107</Words>
  <Characters>28092</Characters>
  <Application>Microsoft Office Word</Application>
  <DocSecurity>0</DocSecurity>
  <Lines>234</Lines>
  <Paragraphs>66</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Toshiba</Company>
  <LinksUpToDate>false</LinksUpToDate>
  <CharactersWithSpaces>33133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creator>user</dc:creator>
  <cp:lastModifiedBy>Luffi</cp:lastModifiedBy>
  <cp:revision>2</cp:revision>
  <cp:lastPrinted>2018-12-04T22:00:00Z</cp:lastPrinted>
  <dcterms:created xsi:type="dcterms:W3CDTF">2019-04-10T04:23:00Z</dcterms:created>
  <dcterms:modified xsi:type="dcterms:W3CDTF">2019-04-10T04:23:00Z</dcterms:modified>
</cp:coreProperties>
</file>