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header3.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017F968B" w14:textId="4DC2F9AB" w:rsidR="00C61E6F" w:rsidRPr="001042B6" w:rsidRDefault="00C61E6F" w:rsidP="00C61E6F">
      <w:pPr>
        <w:spacing w:line="360" w:lineRule="auto"/>
        <w:jc w:val="both"/>
        <w:rPr>
          <w:rFonts w:ascii="Arial" w:hAnsi="Arial" w:cs="Arial"/>
          <w:b/>
          <w:sz w:val="24"/>
          <w:szCs w:val="24"/>
        </w:rPr>
      </w:pPr>
      <w:r>
        <w:rPr>
          <w:rFonts w:ascii="Arial" w:hAnsi="Arial" w:cs="Arial"/>
          <w:b/>
          <w:sz w:val="24"/>
          <w:szCs w:val="24"/>
        </w:rPr>
        <w:t>TERCERA</w:t>
      </w:r>
      <w:r w:rsidRPr="001042B6">
        <w:rPr>
          <w:rFonts w:ascii="Arial" w:hAnsi="Arial" w:cs="Arial"/>
          <w:b/>
          <w:sz w:val="24"/>
          <w:szCs w:val="24"/>
        </w:rPr>
        <w:t xml:space="preserve"> SALA UNITARIA DE PRIMERA INSTANCIA DEL TRIBUNAL DE JUSTICIA ADMINISTRATIVA DEL ESTADO DE OAXACA. - - - - - - - - </w:t>
      </w:r>
      <w:r>
        <w:rPr>
          <w:rFonts w:ascii="Arial" w:hAnsi="Arial" w:cs="Arial"/>
          <w:b/>
          <w:sz w:val="24"/>
          <w:szCs w:val="24"/>
        </w:rPr>
        <w:t xml:space="preserve">- - </w:t>
      </w:r>
      <w:r w:rsidR="00FA3241">
        <w:rPr>
          <w:rFonts w:ascii="Arial" w:hAnsi="Arial" w:cs="Arial"/>
          <w:b/>
          <w:sz w:val="24"/>
          <w:szCs w:val="24"/>
        </w:rPr>
        <w:t>- - -</w:t>
      </w:r>
    </w:p>
    <w:p w14:paraId="16BEF903" w14:textId="4D0C090E" w:rsidR="00C61E6F" w:rsidRPr="001042B6" w:rsidRDefault="00C61E6F" w:rsidP="00C61E6F">
      <w:pPr>
        <w:spacing w:line="360" w:lineRule="auto"/>
        <w:jc w:val="both"/>
        <w:rPr>
          <w:rFonts w:ascii="Arial" w:hAnsi="Arial" w:cs="Arial"/>
          <w:b/>
          <w:sz w:val="24"/>
          <w:szCs w:val="24"/>
        </w:rPr>
      </w:pPr>
      <w:r w:rsidRPr="001042B6">
        <w:rPr>
          <w:rFonts w:ascii="Arial" w:hAnsi="Arial" w:cs="Arial"/>
          <w:b/>
          <w:sz w:val="24"/>
          <w:szCs w:val="24"/>
        </w:rPr>
        <w:t xml:space="preserve">OAXACA DE JUÁREZ, OAXACA; A </w:t>
      </w:r>
      <w:r w:rsidR="00073771">
        <w:rPr>
          <w:rFonts w:ascii="Arial" w:hAnsi="Arial" w:cs="Arial"/>
          <w:b/>
          <w:sz w:val="24"/>
          <w:szCs w:val="24"/>
        </w:rPr>
        <w:t xml:space="preserve">DIEZ </w:t>
      </w:r>
      <w:r w:rsidR="00F47DFA">
        <w:rPr>
          <w:rFonts w:ascii="Arial" w:hAnsi="Arial" w:cs="Arial"/>
          <w:b/>
          <w:sz w:val="24"/>
          <w:szCs w:val="24"/>
        </w:rPr>
        <w:t>DE MARZO</w:t>
      </w:r>
      <w:r w:rsidR="003736B9">
        <w:rPr>
          <w:rFonts w:ascii="Arial" w:hAnsi="Arial" w:cs="Arial"/>
          <w:b/>
          <w:sz w:val="24"/>
          <w:szCs w:val="24"/>
        </w:rPr>
        <w:t xml:space="preserve"> </w:t>
      </w:r>
      <w:r>
        <w:rPr>
          <w:rFonts w:ascii="Arial" w:hAnsi="Arial" w:cs="Arial"/>
          <w:b/>
          <w:sz w:val="24"/>
          <w:szCs w:val="24"/>
        </w:rPr>
        <w:t xml:space="preserve">DE DOS </w:t>
      </w:r>
      <w:r w:rsidR="005F0498">
        <w:rPr>
          <w:rFonts w:ascii="Arial" w:hAnsi="Arial" w:cs="Arial"/>
          <w:b/>
          <w:sz w:val="24"/>
          <w:szCs w:val="24"/>
        </w:rPr>
        <w:t xml:space="preserve">MIL </w:t>
      </w:r>
      <w:r w:rsidR="002C53F6">
        <w:rPr>
          <w:rFonts w:ascii="Arial" w:hAnsi="Arial" w:cs="Arial"/>
          <w:b/>
          <w:sz w:val="24"/>
          <w:szCs w:val="24"/>
        </w:rPr>
        <w:t>VEINTI</w:t>
      </w:r>
      <w:r w:rsidR="00F47DFA">
        <w:rPr>
          <w:rFonts w:ascii="Arial" w:hAnsi="Arial" w:cs="Arial"/>
          <w:b/>
          <w:sz w:val="24"/>
          <w:szCs w:val="24"/>
        </w:rPr>
        <w:t>DÓS</w:t>
      </w:r>
      <w:r w:rsidR="002C53F6">
        <w:rPr>
          <w:rFonts w:ascii="Arial" w:hAnsi="Arial" w:cs="Arial"/>
          <w:b/>
          <w:sz w:val="24"/>
          <w:szCs w:val="24"/>
        </w:rPr>
        <w:t xml:space="preserve"> (</w:t>
      </w:r>
      <w:r w:rsidR="00073771">
        <w:rPr>
          <w:rFonts w:ascii="Arial" w:hAnsi="Arial" w:cs="Arial"/>
          <w:b/>
          <w:sz w:val="24"/>
          <w:szCs w:val="24"/>
        </w:rPr>
        <w:t>10</w:t>
      </w:r>
      <w:r w:rsidR="003736B9">
        <w:rPr>
          <w:rFonts w:ascii="Arial" w:hAnsi="Arial" w:cs="Arial"/>
          <w:b/>
          <w:sz w:val="24"/>
          <w:szCs w:val="24"/>
        </w:rPr>
        <w:t>/0</w:t>
      </w:r>
      <w:r w:rsidR="00F47DFA">
        <w:rPr>
          <w:rFonts w:ascii="Arial" w:hAnsi="Arial" w:cs="Arial"/>
          <w:b/>
          <w:sz w:val="24"/>
          <w:szCs w:val="24"/>
        </w:rPr>
        <w:t>3</w:t>
      </w:r>
      <w:r>
        <w:rPr>
          <w:rFonts w:ascii="Arial" w:hAnsi="Arial" w:cs="Arial"/>
          <w:b/>
          <w:sz w:val="24"/>
          <w:szCs w:val="24"/>
        </w:rPr>
        <w:t>/202</w:t>
      </w:r>
      <w:r w:rsidR="00F47DFA">
        <w:rPr>
          <w:rFonts w:ascii="Arial" w:hAnsi="Arial" w:cs="Arial"/>
          <w:b/>
          <w:sz w:val="24"/>
          <w:szCs w:val="24"/>
        </w:rPr>
        <w:t>2</w:t>
      </w:r>
      <w:r w:rsidRPr="001042B6">
        <w:rPr>
          <w:rFonts w:ascii="Arial" w:hAnsi="Arial" w:cs="Arial"/>
          <w:b/>
          <w:sz w:val="24"/>
          <w:szCs w:val="24"/>
        </w:rPr>
        <w:t xml:space="preserve">). - - - - - - - - - - - - - - - - - - - - </w:t>
      </w:r>
      <w:r>
        <w:rPr>
          <w:rFonts w:ascii="Arial" w:hAnsi="Arial" w:cs="Arial"/>
          <w:b/>
          <w:sz w:val="24"/>
          <w:szCs w:val="24"/>
        </w:rPr>
        <w:t xml:space="preserve">- - - - - - - - - - - - - - </w:t>
      </w:r>
      <w:r w:rsidR="005F0498">
        <w:rPr>
          <w:rFonts w:ascii="Arial" w:hAnsi="Arial" w:cs="Arial"/>
          <w:b/>
          <w:sz w:val="24"/>
          <w:szCs w:val="24"/>
        </w:rPr>
        <w:t>- - -</w:t>
      </w:r>
    </w:p>
    <w:p w14:paraId="63F4EA7E" w14:textId="2126FCB2" w:rsidR="00413791" w:rsidRPr="001042B6" w:rsidRDefault="00413791" w:rsidP="00CC7A38">
      <w:pPr>
        <w:spacing w:line="360" w:lineRule="auto"/>
        <w:ind w:firstLine="708"/>
        <w:jc w:val="both"/>
        <w:rPr>
          <w:rFonts w:ascii="Arial" w:hAnsi="Arial" w:cs="Arial"/>
          <w:sz w:val="24"/>
          <w:szCs w:val="24"/>
        </w:rPr>
      </w:pPr>
      <w:r w:rsidRPr="001042B6">
        <w:rPr>
          <w:rFonts w:ascii="Arial" w:hAnsi="Arial" w:cs="Arial"/>
          <w:b/>
          <w:sz w:val="24"/>
          <w:szCs w:val="24"/>
        </w:rPr>
        <w:t xml:space="preserve">VISTOS </w:t>
      </w:r>
      <w:r w:rsidRPr="001042B6">
        <w:rPr>
          <w:rFonts w:ascii="Arial" w:hAnsi="Arial" w:cs="Arial"/>
          <w:sz w:val="24"/>
          <w:szCs w:val="24"/>
        </w:rPr>
        <w:t>los</w:t>
      </w:r>
      <w:r w:rsidR="00073771">
        <w:rPr>
          <w:rFonts w:ascii="Arial" w:hAnsi="Arial" w:cs="Arial"/>
          <w:sz w:val="24"/>
          <w:szCs w:val="24"/>
        </w:rPr>
        <w:t xml:space="preserve"> autos del Juicio de Nulidad </w:t>
      </w:r>
      <w:r w:rsidR="00782118">
        <w:rPr>
          <w:rFonts w:ascii="Arial" w:hAnsi="Arial" w:cs="Arial"/>
          <w:sz w:val="24"/>
          <w:szCs w:val="24"/>
        </w:rPr>
        <w:t>0</w:t>
      </w:r>
      <w:r w:rsidR="00073771">
        <w:rPr>
          <w:rFonts w:ascii="Arial" w:hAnsi="Arial" w:cs="Arial"/>
          <w:sz w:val="24"/>
          <w:szCs w:val="24"/>
        </w:rPr>
        <w:t>030</w:t>
      </w:r>
      <w:r w:rsidR="003763B0">
        <w:rPr>
          <w:rFonts w:ascii="Arial" w:hAnsi="Arial" w:cs="Arial"/>
          <w:sz w:val="24"/>
          <w:szCs w:val="24"/>
        </w:rPr>
        <w:t>/202</w:t>
      </w:r>
      <w:r w:rsidR="00B948E8">
        <w:rPr>
          <w:rFonts w:ascii="Arial" w:hAnsi="Arial" w:cs="Arial"/>
          <w:sz w:val="24"/>
          <w:szCs w:val="24"/>
        </w:rPr>
        <w:t>1</w:t>
      </w:r>
      <w:r w:rsidRPr="001042B6">
        <w:rPr>
          <w:rFonts w:ascii="Arial" w:hAnsi="Arial" w:cs="Arial"/>
          <w:sz w:val="24"/>
          <w:szCs w:val="24"/>
        </w:rPr>
        <w:t xml:space="preserve">, promovido por </w:t>
      </w:r>
      <w:r w:rsidR="00B56F8A">
        <w:rPr>
          <w:rFonts w:ascii="Arial" w:hAnsi="Arial" w:cs="Arial"/>
          <w:sz w:val="24"/>
          <w:szCs w:val="24"/>
        </w:rPr>
        <w:t>***** ***** ***** *****</w:t>
      </w:r>
      <w:r w:rsidRPr="001042B6">
        <w:rPr>
          <w:rFonts w:ascii="Arial" w:hAnsi="Arial" w:cs="Arial"/>
          <w:sz w:val="24"/>
          <w:szCs w:val="24"/>
        </w:rPr>
        <w:t xml:space="preserve">, solicitando la nulidad de la resolución </w:t>
      </w:r>
      <w:r w:rsidR="00073771">
        <w:rPr>
          <w:rFonts w:ascii="Arial" w:hAnsi="Arial" w:cs="Arial"/>
          <w:sz w:val="24"/>
          <w:szCs w:val="24"/>
        </w:rPr>
        <w:t>negativa ficta, que dice reca</w:t>
      </w:r>
      <w:r w:rsidR="006244F2">
        <w:rPr>
          <w:rFonts w:ascii="Arial" w:hAnsi="Arial" w:cs="Arial"/>
          <w:sz w:val="24"/>
          <w:szCs w:val="24"/>
        </w:rPr>
        <w:t>yó</w:t>
      </w:r>
      <w:r w:rsidR="00073771">
        <w:rPr>
          <w:rFonts w:ascii="Arial" w:hAnsi="Arial" w:cs="Arial"/>
          <w:sz w:val="24"/>
          <w:szCs w:val="24"/>
        </w:rPr>
        <w:t xml:space="preserve"> al escrito que presentó en la Dirección General de la Oficina de Pensiones del Gobierno del Estado de Oaxaca, </w:t>
      </w:r>
      <w:r w:rsidR="00831037">
        <w:rPr>
          <w:rFonts w:ascii="Arial" w:hAnsi="Arial" w:cs="Arial"/>
          <w:sz w:val="24"/>
          <w:szCs w:val="24"/>
        </w:rPr>
        <w:t xml:space="preserve">el día </w:t>
      </w:r>
      <w:r w:rsidR="00B56F8A">
        <w:rPr>
          <w:rFonts w:ascii="Arial" w:hAnsi="Arial" w:cs="Arial"/>
          <w:sz w:val="24"/>
          <w:szCs w:val="24"/>
        </w:rPr>
        <w:t>***** de ***** de dos mil veinte (**/**/2020)</w:t>
      </w:r>
      <w:r w:rsidR="00CC7A38">
        <w:rPr>
          <w:rFonts w:ascii="Arial" w:hAnsi="Arial" w:cs="Arial"/>
          <w:sz w:val="24"/>
          <w:szCs w:val="24"/>
        </w:rPr>
        <w:t>, atribuida</w:t>
      </w:r>
      <w:r w:rsidRPr="001042B6">
        <w:rPr>
          <w:rFonts w:ascii="Arial" w:hAnsi="Arial" w:cs="Arial"/>
          <w:sz w:val="24"/>
          <w:szCs w:val="24"/>
        </w:rPr>
        <w:t xml:space="preserve"> </w:t>
      </w:r>
      <w:r w:rsidR="00CC7A38">
        <w:rPr>
          <w:rFonts w:ascii="Arial" w:hAnsi="Arial" w:cs="Arial"/>
          <w:sz w:val="24"/>
          <w:szCs w:val="24"/>
        </w:rPr>
        <w:t>a</w:t>
      </w:r>
      <w:r w:rsidRPr="001042B6">
        <w:rPr>
          <w:rFonts w:ascii="Arial" w:hAnsi="Arial" w:cs="Arial"/>
          <w:sz w:val="24"/>
          <w:szCs w:val="24"/>
        </w:rPr>
        <w:t xml:space="preserve">l </w:t>
      </w:r>
      <w:proofErr w:type="gramStart"/>
      <w:r w:rsidRPr="001042B6">
        <w:rPr>
          <w:rFonts w:ascii="Arial" w:hAnsi="Arial" w:cs="Arial"/>
          <w:sz w:val="24"/>
          <w:szCs w:val="24"/>
        </w:rPr>
        <w:t>Director General</w:t>
      </w:r>
      <w:proofErr w:type="gramEnd"/>
      <w:r w:rsidRPr="001042B6">
        <w:rPr>
          <w:rFonts w:ascii="Arial" w:hAnsi="Arial" w:cs="Arial"/>
          <w:sz w:val="24"/>
          <w:szCs w:val="24"/>
        </w:rPr>
        <w:t xml:space="preserve"> de la Oficina de Pensiones del Estado de Oaxaca; y, - - - - - - </w:t>
      </w:r>
      <w:r w:rsidR="00371561">
        <w:rPr>
          <w:rFonts w:ascii="Arial" w:hAnsi="Arial" w:cs="Arial"/>
          <w:sz w:val="24"/>
          <w:szCs w:val="24"/>
        </w:rPr>
        <w:t xml:space="preserve">- - - - - - - - - - - - - - - - - - - - - - - - - - - - - - - - - - - </w:t>
      </w:r>
    </w:p>
    <w:p w14:paraId="45D4E16E" w14:textId="77777777" w:rsidR="00413791" w:rsidRPr="001042B6" w:rsidRDefault="00413791" w:rsidP="00413791">
      <w:pPr>
        <w:spacing w:line="360" w:lineRule="auto"/>
        <w:jc w:val="center"/>
        <w:rPr>
          <w:rFonts w:ascii="Arial" w:hAnsi="Arial" w:cs="Arial"/>
          <w:b/>
          <w:sz w:val="24"/>
          <w:szCs w:val="24"/>
        </w:rPr>
      </w:pPr>
      <w:r w:rsidRPr="001042B6">
        <w:rPr>
          <w:rFonts w:ascii="Arial" w:hAnsi="Arial" w:cs="Arial"/>
          <w:b/>
          <w:sz w:val="24"/>
          <w:szCs w:val="24"/>
        </w:rPr>
        <w:t>R E S U L T A N D O</w:t>
      </w:r>
    </w:p>
    <w:p w14:paraId="12D903E4" w14:textId="213C4451" w:rsidR="00413791" w:rsidRPr="001042B6" w:rsidRDefault="00413791" w:rsidP="00413791">
      <w:pPr>
        <w:spacing w:line="360" w:lineRule="auto"/>
        <w:ind w:firstLine="708"/>
        <w:jc w:val="both"/>
        <w:rPr>
          <w:rFonts w:ascii="Arial" w:hAnsi="Arial" w:cs="Arial"/>
          <w:sz w:val="24"/>
          <w:szCs w:val="24"/>
        </w:rPr>
      </w:pPr>
      <w:proofErr w:type="gramStart"/>
      <w:r w:rsidRPr="001042B6">
        <w:rPr>
          <w:rFonts w:ascii="Arial" w:hAnsi="Arial" w:cs="Arial"/>
          <w:b/>
          <w:sz w:val="24"/>
          <w:szCs w:val="24"/>
        </w:rPr>
        <w:t>PRIMERO.-</w:t>
      </w:r>
      <w:proofErr w:type="gramEnd"/>
      <w:r w:rsidRPr="001042B6">
        <w:rPr>
          <w:rFonts w:ascii="Arial" w:hAnsi="Arial" w:cs="Arial"/>
          <w:b/>
          <w:sz w:val="24"/>
          <w:szCs w:val="24"/>
        </w:rPr>
        <w:t xml:space="preserve"> </w:t>
      </w:r>
      <w:r w:rsidRPr="001042B6">
        <w:rPr>
          <w:rFonts w:ascii="Arial" w:hAnsi="Arial" w:cs="Arial"/>
          <w:sz w:val="24"/>
          <w:szCs w:val="24"/>
        </w:rPr>
        <w:t xml:space="preserve">Con fecha </w:t>
      </w:r>
      <w:r w:rsidR="006244F2">
        <w:rPr>
          <w:rFonts w:ascii="Arial" w:hAnsi="Arial" w:cs="Arial"/>
          <w:sz w:val="24"/>
          <w:szCs w:val="24"/>
        </w:rPr>
        <w:t xml:space="preserve">trece de abril de dos mil </w:t>
      </w:r>
      <w:r w:rsidR="005E34C0">
        <w:rPr>
          <w:rFonts w:ascii="Arial" w:hAnsi="Arial" w:cs="Arial"/>
          <w:sz w:val="24"/>
          <w:szCs w:val="24"/>
        </w:rPr>
        <w:t>veint</w:t>
      </w:r>
      <w:r w:rsidR="006244F2">
        <w:rPr>
          <w:rFonts w:ascii="Arial" w:hAnsi="Arial" w:cs="Arial"/>
          <w:sz w:val="24"/>
          <w:szCs w:val="24"/>
        </w:rPr>
        <w:t>iuno (13/04</w:t>
      </w:r>
      <w:r w:rsidR="002E1B26">
        <w:rPr>
          <w:rFonts w:ascii="Arial" w:hAnsi="Arial" w:cs="Arial"/>
          <w:sz w:val="24"/>
          <w:szCs w:val="24"/>
        </w:rPr>
        <w:t>/2021)</w:t>
      </w:r>
      <w:r w:rsidRPr="001042B6">
        <w:rPr>
          <w:rFonts w:ascii="Arial" w:hAnsi="Arial" w:cs="Arial"/>
          <w:sz w:val="24"/>
          <w:szCs w:val="24"/>
        </w:rPr>
        <w:t xml:space="preserve">, se recibió el escrito de demanda en la Oficialía de Partes de este Tribunal y con fecha </w:t>
      </w:r>
      <w:r w:rsidR="006244F2">
        <w:rPr>
          <w:rFonts w:ascii="Arial" w:hAnsi="Arial" w:cs="Arial"/>
          <w:sz w:val="24"/>
          <w:szCs w:val="24"/>
        </w:rPr>
        <w:t xml:space="preserve">quince </w:t>
      </w:r>
      <w:r w:rsidR="005E34C0">
        <w:rPr>
          <w:rFonts w:ascii="Arial" w:hAnsi="Arial" w:cs="Arial"/>
          <w:sz w:val="24"/>
          <w:szCs w:val="24"/>
        </w:rPr>
        <w:t>del mismo mes y año (</w:t>
      </w:r>
      <w:r w:rsidR="006244F2">
        <w:rPr>
          <w:rFonts w:ascii="Arial" w:hAnsi="Arial" w:cs="Arial"/>
          <w:sz w:val="24"/>
          <w:szCs w:val="24"/>
        </w:rPr>
        <w:t>15</w:t>
      </w:r>
      <w:r w:rsidRPr="001042B6">
        <w:rPr>
          <w:rFonts w:ascii="Arial" w:hAnsi="Arial" w:cs="Arial"/>
          <w:sz w:val="24"/>
          <w:szCs w:val="24"/>
        </w:rPr>
        <w:t>/</w:t>
      </w:r>
      <w:r w:rsidR="006244F2">
        <w:rPr>
          <w:rFonts w:ascii="Arial" w:hAnsi="Arial" w:cs="Arial"/>
          <w:sz w:val="24"/>
          <w:szCs w:val="24"/>
        </w:rPr>
        <w:t>04</w:t>
      </w:r>
      <w:r w:rsidR="002E1B26">
        <w:rPr>
          <w:rFonts w:ascii="Arial" w:hAnsi="Arial" w:cs="Arial"/>
          <w:sz w:val="24"/>
          <w:szCs w:val="24"/>
        </w:rPr>
        <w:t>/2021</w:t>
      </w:r>
      <w:r w:rsidRPr="001042B6">
        <w:rPr>
          <w:rFonts w:ascii="Arial" w:hAnsi="Arial" w:cs="Arial"/>
          <w:sz w:val="24"/>
          <w:szCs w:val="24"/>
        </w:rPr>
        <w:t>), se tuvo por admitida a trámite, ordenándose emplazar a Juicio a la autoridad demandada</w:t>
      </w:r>
      <w:r w:rsidR="006244F2">
        <w:rPr>
          <w:rFonts w:ascii="Arial" w:hAnsi="Arial" w:cs="Arial"/>
          <w:sz w:val="24"/>
          <w:szCs w:val="24"/>
        </w:rPr>
        <w:t>, y con fecha quince de julio de dos mil veintiuno (15/07/2021) se tuvo al actor ampliando la demanda</w:t>
      </w:r>
      <w:r w:rsidRPr="001042B6">
        <w:rPr>
          <w:rFonts w:ascii="Arial" w:hAnsi="Arial" w:cs="Arial"/>
          <w:sz w:val="24"/>
          <w:szCs w:val="24"/>
        </w:rPr>
        <w:t>.</w:t>
      </w:r>
      <w:r w:rsidR="006244F2">
        <w:rPr>
          <w:rFonts w:ascii="Arial" w:hAnsi="Arial" w:cs="Arial"/>
          <w:sz w:val="24"/>
          <w:szCs w:val="24"/>
        </w:rPr>
        <w:t xml:space="preserve">- - - - - - - - - - - - - - - - - - - - - - - - - - - - - - - - - - - - - - - - - - - - - - - - - </w:t>
      </w:r>
      <w:r w:rsidRPr="001042B6">
        <w:rPr>
          <w:rFonts w:ascii="Arial" w:hAnsi="Arial" w:cs="Arial"/>
          <w:sz w:val="24"/>
          <w:szCs w:val="24"/>
        </w:rPr>
        <w:t xml:space="preserve"> </w:t>
      </w:r>
    </w:p>
    <w:p w14:paraId="2A770DE2" w14:textId="7D57C756" w:rsidR="00413791" w:rsidRPr="001042B6" w:rsidRDefault="00413791" w:rsidP="00413791">
      <w:pPr>
        <w:spacing w:line="360" w:lineRule="auto"/>
        <w:ind w:firstLine="708"/>
        <w:jc w:val="both"/>
        <w:rPr>
          <w:rFonts w:ascii="Arial" w:hAnsi="Arial" w:cs="Arial"/>
          <w:sz w:val="24"/>
          <w:szCs w:val="24"/>
        </w:rPr>
      </w:pPr>
      <w:proofErr w:type="gramStart"/>
      <w:r w:rsidRPr="001042B6">
        <w:rPr>
          <w:rFonts w:ascii="Arial" w:hAnsi="Arial" w:cs="Arial"/>
          <w:b/>
          <w:sz w:val="24"/>
          <w:szCs w:val="24"/>
        </w:rPr>
        <w:t>SEGUNDO.-</w:t>
      </w:r>
      <w:proofErr w:type="gramEnd"/>
      <w:r w:rsidRPr="001042B6">
        <w:rPr>
          <w:rFonts w:ascii="Arial" w:hAnsi="Arial" w:cs="Arial"/>
          <w:b/>
          <w:sz w:val="24"/>
          <w:szCs w:val="24"/>
        </w:rPr>
        <w:t xml:space="preserve"> </w:t>
      </w:r>
      <w:r w:rsidRPr="001042B6">
        <w:rPr>
          <w:rFonts w:ascii="Arial" w:hAnsi="Arial" w:cs="Arial"/>
          <w:sz w:val="24"/>
          <w:szCs w:val="24"/>
        </w:rPr>
        <w:t xml:space="preserve">Con fecha </w:t>
      </w:r>
      <w:r w:rsidR="00224781">
        <w:rPr>
          <w:rFonts w:ascii="Arial" w:hAnsi="Arial" w:cs="Arial"/>
          <w:sz w:val="24"/>
          <w:szCs w:val="24"/>
        </w:rPr>
        <w:t xml:space="preserve">veintiuno de junio de dos mil veintiuno (21/06/2021), </w:t>
      </w:r>
      <w:r w:rsidRPr="001042B6">
        <w:rPr>
          <w:rFonts w:ascii="Arial" w:hAnsi="Arial" w:cs="Arial"/>
          <w:sz w:val="24"/>
          <w:szCs w:val="24"/>
        </w:rPr>
        <w:t>se tuvo a la autoridad demandada Director General de la Oficina de Pensiones del Estado de Oaxaca, c</w:t>
      </w:r>
      <w:r w:rsidR="00D92717">
        <w:rPr>
          <w:rFonts w:ascii="Arial" w:hAnsi="Arial" w:cs="Arial"/>
          <w:sz w:val="24"/>
          <w:szCs w:val="24"/>
        </w:rPr>
        <w:t xml:space="preserve">ontestando en tiempo la demanda, </w:t>
      </w:r>
      <w:r w:rsidR="00080B5C">
        <w:rPr>
          <w:rFonts w:ascii="Arial" w:hAnsi="Arial" w:cs="Arial"/>
          <w:sz w:val="24"/>
          <w:szCs w:val="24"/>
        </w:rPr>
        <w:t>y con fecha diecinueve de noviembre de dos mil veintiuno (19/11/2021)</w:t>
      </w:r>
      <w:r w:rsidR="009E7A13">
        <w:rPr>
          <w:rFonts w:ascii="Arial" w:hAnsi="Arial" w:cs="Arial"/>
          <w:sz w:val="24"/>
          <w:szCs w:val="24"/>
        </w:rPr>
        <w:t>,</w:t>
      </w:r>
      <w:r w:rsidR="00080B5C">
        <w:rPr>
          <w:rFonts w:ascii="Arial" w:hAnsi="Arial" w:cs="Arial"/>
          <w:sz w:val="24"/>
          <w:szCs w:val="24"/>
        </w:rPr>
        <w:t xml:space="preserve"> se le tuvo contestando en sentido afirmativo la ampliación de la demanda, </w:t>
      </w:r>
      <w:r w:rsidR="00D92717">
        <w:rPr>
          <w:rFonts w:ascii="Arial" w:hAnsi="Arial" w:cs="Arial"/>
          <w:sz w:val="24"/>
          <w:szCs w:val="24"/>
        </w:rPr>
        <w:t xml:space="preserve">señalándose además </w:t>
      </w:r>
      <w:r w:rsidRPr="001042B6">
        <w:rPr>
          <w:rFonts w:ascii="Arial" w:hAnsi="Arial" w:cs="Arial"/>
          <w:sz w:val="24"/>
          <w:szCs w:val="24"/>
        </w:rPr>
        <w:t xml:space="preserve">fecha y hora para el desahogo de la audiencia final. - </w:t>
      </w:r>
      <w:r w:rsidR="00932E67">
        <w:rPr>
          <w:rFonts w:ascii="Arial" w:hAnsi="Arial" w:cs="Arial"/>
          <w:sz w:val="24"/>
          <w:szCs w:val="24"/>
        </w:rPr>
        <w:t xml:space="preserve">- - </w:t>
      </w:r>
    </w:p>
    <w:p w14:paraId="345C5897" w14:textId="0A651841" w:rsidR="00413791" w:rsidRPr="001042B6" w:rsidRDefault="00413791" w:rsidP="00413791">
      <w:pPr>
        <w:tabs>
          <w:tab w:val="center" w:pos="4574"/>
        </w:tabs>
        <w:spacing w:line="360" w:lineRule="auto"/>
        <w:ind w:firstLine="708"/>
        <w:jc w:val="both"/>
        <w:rPr>
          <w:rFonts w:ascii="Arial" w:hAnsi="Arial" w:cs="Arial"/>
          <w:sz w:val="24"/>
          <w:szCs w:val="24"/>
        </w:rPr>
      </w:pPr>
      <w:proofErr w:type="gramStart"/>
      <w:r w:rsidRPr="001042B6">
        <w:rPr>
          <w:rFonts w:ascii="Arial" w:hAnsi="Arial" w:cs="Arial"/>
          <w:b/>
          <w:sz w:val="24"/>
          <w:szCs w:val="24"/>
        </w:rPr>
        <w:t>TERCERO.-</w:t>
      </w:r>
      <w:proofErr w:type="gramEnd"/>
      <w:r w:rsidRPr="001042B6">
        <w:rPr>
          <w:rFonts w:ascii="Arial" w:hAnsi="Arial" w:cs="Arial"/>
          <w:b/>
          <w:sz w:val="24"/>
          <w:szCs w:val="24"/>
        </w:rPr>
        <w:t xml:space="preserve"> </w:t>
      </w:r>
      <w:r w:rsidRPr="001042B6">
        <w:rPr>
          <w:rFonts w:ascii="Arial" w:hAnsi="Arial" w:cs="Arial"/>
          <w:sz w:val="24"/>
          <w:szCs w:val="24"/>
        </w:rPr>
        <w:t xml:space="preserve">El </w:t>
      </w:r>
      <w:r w:rsidR="00E079E6">
        <w:rPr>
          <w:rFonts w:ascii="Arial" w:hAnsi="Arial" w:cs="Arial"/>
          <w:sz w:val="24"/>
          <w:szCs w:val="24"/>
        </w:rPr>
        <w:t>ocho de diciembre de dos mil veintiuno (08/12</w:t>
      </w:r>
      <w:r w:rsidR="003646A8">
        <w:rPr>
          <w:rFonts w:ascii="Arial" w:hAnsi="Arial" w:cs="Arial"/>
          <w:sz w:val="24"/>
          <w:szCs w:val="24"/>
        </w:rPr>
        <w:t xml:space="preserve">/2021), </w:t>
      </w:r>
      <w:r w:rsidRPr="001042B6">
        <w:rPr>
          <w:rFonts w:ascii="Arial" w:hAnsi="Arial" w:cs="Arial"/>
          <w:sz w:val="24"/>
          <w:szCs w:val="24"/>
        </w:rPr>
        <w:t>se celebró la Audiencia Final,</w:t>
      </w:r>
      <w:r w:rsidRPr="001042B6">
        <w:rPr>
          <w:rFonts w:ascii="Arial" w:hAnsi="Arial" w:cs="Arial"/>
          <w:b/>
          <w:sz w:val="24"/>
          <w:szCs w:val="24"/>
        </w:rPr>
        <w:t xml:space="preserve"> </w:t>
      </w:r>
      <w:r w:rsidRPr="001042B6">
        <w:rPr>
          <w:rFonts w:ascii="Arial" w:hAnsi="Arial" w:cs="Arial"/>
          <w:sz w:val="24"/>
          <w:szCs w:val="24"/>
        </w:rPr>
        <w:t xml:space="preserve">sin que comparecieran las partes, se desahogaron pruebas, y </w:t>
      </w:r>
      <w:r w:rsidR="003646A8">
        <w:rPr>
          <w:rFonts w:ascii="Arial" w:hAnsi="Arial" w:cs="Arial"/>
          <w:sz w:val="24"/>
          <w:szCs w:val="24"/>
        </w:rPr>
        <w:t xml:space="preserve">no </w:t>
      </w:r>
      <w:r w:rsidRPr="001042B6">
        <w:rPr>
          <w:rFonts w:ascii="Arial" w:hAnsi="Arial" w:cs="Arial"/>
          <w:sz w:val="24"/>
          <w:szCs w:val="24"/>
        </w:rPr>
        <w:t>se recibió escrito de alegatos</w:t>
      </w:r>
      <w:r w:rsidR="00367074">
        <w:rPr>
          <w:rFonts w:ascii="Arial" w:hAnsi="Arial" w:cs="Arial"/>
          <w:sz w:val="24"/>
          <w:szCs w:val="24"/>
        </w:rPr>
        <w:t xml:space="preserve"> por</w:t>
      </w:r>
      <w:r w:rsidR="003646A8">
        <w:rPr>
          <w:rFonts w:ascii="Arial" w:hAnsi="Arial" w:cs="Arial"/>
          <w:sz w:val="24"/>
          <w:szCs w:val="24"/>
        </w:rPr>
        <w:t xml:space="preserve"> ninguna de las partes</w:t>
      </w:r>
      <w:r w:rsidRPr="001042B6">
        <w:rPr>
          <w:rFonts w:ascii="Arial" w:hAnsi="Arial" w:cs="Arial"/>
          <w:sz w:val="24"/>
          <w:szCs w:val="24"/>
        </w:rPr>
        <w:t xml:space="preserve">, quedando el asunto integrado y en estado de resolución; y, - - - - - </w:t>
      </w:r>
      <w:r w:rsidR="00E079E6">
        <w:rPr>
          <w:rFonts w:ascii="Arial" w:hAnsi="Arial" w:cs="Arial"/>
          <w:sz w:val="24"/>
          <w:szCs w:val="24"/>
        </w:rPr>
        <w:t xml:space="preserve">- - - - - - - - </w:t>
      </w:r>
    </w:p>
    <w:p w14:paraId="55BF6941" w14:textId="77777777" w:rsidR="00413791" w:rsidRPr="001042B6" w:rsidRDefault="00413791" w:rsidP="00413791">
      <w:pPr>
        <w:tabs>
          <w:tab w:val="center" w:pos="4574"/>
        </w:tabs>
        <w:spacing w:line="360" w:lineRule="auto"/>
        <w:ind w:firstLine="708"/>
        <w:jc w:val="center"/>
        <w:rPr>
          <w:rFonts w:ascii="Arial" w:hAnsi="Arial" w:cs="Arial"/>
          <w:b/>
          <w:sz w:val="24"/>
          <w:szCs w:val="24"/>
        </w:rPr>
      </w:pPr>
      <w:r w:rsidRPr="001042B6">
        <w:rPr>
          <w:rFonts w:ascii="Arial" w:hAnsi="Arial" w:cs="Arial"/>
          <w:b/>
          <w:sz w:val="24"/>
          <w:szCs w:val="24"/>
        </w:rPr>
        <w:t>C O N S I D E R A N D O</w:t>
      </w:r>
    </w:p>
    <w:p w14:paraId="2B35B8A2" w14:textId="49FAFED1" w:rsidR="00413791" w:rsidRPr="001042B6" w:rsidRDefault="00413791" w:rsidP="00413791">
      <w:pPr>
        <w:tabs>
          <w:tab w:val="center" w:pos="4574"/>
        </w:tabs>
        <w:spacing w:line="360" w:lineRule="auto"/>
        <w:ind w:firstLine="708"/>
        <w:jc w:val="both"/>
        <w:rPr>
          <w:rFonts w:ascii="Arial" w:hAnsi="Arial" w:cs="Arial"/>
          <w:sz w:val="24"/>
          <w:szCs w:val="24"/>
        </w:rPr>
      </w:pPr>
      <w:r w:rsidRPr="001042B6">
        <w:rPr>
          <w:rFonts w:ascii="Arial" w:hAnsi="Arial" w:cs="Arial"/>
          <w:b/>
          <w:sz w:val="24"/>
          <w:szCs w:val="24"/>
        </w:rPr>
        <w:t>PRIMERO.-</w:t>
      </w:r>
      <w:r w:rsidR="00341E59">
        <w:rPr>
          <w:rFonts w:ascii="Arial" w:hAnsi="Arial" w:cs="Arial"/>
          <w:b/>
          <w:sz w:val="24"/>
          <w:szCs w:val="24"/>
        </w:rPr>
        <w:t xml:space="preserve"> COMPE</w:t>
      </w:r>
      <w:r w:rsidR="00367074">
        <w:rPr>
          <w:rFonts w:ascii="Arial" w:hAnsi="Arial" w:cs="Arial"/>
          <w:b/>
          <w:sz w:val="24"/>
          <w:szCs w:val="24"/>
        </w:rPr>
        <w:t xml:space="preserve">TENCIA.- </w:t>
      </w:r>
      <w:r w:rsidRPr="001042B6">
        <w:rPr>
          <w:rFonts w:ascii="Arial" w:hAnsi="Arial" w:cs="Arial"/>
          <w:b/>
          <w:sz w:val="24"/>
          <w:szCs w:val="24"/>
        </w:rPr>
        <w:t xml:space="preserve"> </w:t>
      </w:r>
      <w:r w:rsidRPr="001042B6">
        <w:rPr>
          <w:rFonts w:ascii="Arial" w:hAnsi="Arial" w:cs="Arial"/>
          <w:sz w:val="24"/>
          <w:szCs w:val="24"/>
        </w:rPr>
        <w:t xml:space="preserve">Esta </w:t>
      </w:r>
      <w:r w:rsidR="00D7617B">
        <w:rPr>
          <w:rFonts w:ascii="Arial" w:hAnsi="Arial" w:cs="Arial"/>
          <w:sz w:val="24"/>
          <w:szCs w:val="24"/>
        </w:rPr>
        <w:t>Tercera</w:t>
      </w:r>
      <w:r w:rsidRPr="001042B6">
        <w:rPr>
          <w:rFonts w:ascii="Arial" w:hAnsi="Arial" w:cs="Arial"/>
          <w:sz w:val="24"/>
          <w:szCs w:val="24"/>
        </w:rPr>
        <w:t xml:space="preserve"> Sala Unitaria de Primera Instancia del Tribunal de Justicia Administrativa del Estado de Oaxaca, </w:t>
      </w:r>
      <w:r w:rsidRPr="001042B6">
        <w:rPr>
          <w:rFonts w:ascii="Arial" w:hAnsi="Arial" w:cs="Arial"/>
          <w:b/>
          <w:sz w:val="24"/>
          <w:szCs w:val="24"/>
        </w:rPr>
        <w:t xml:space="preserve">es competente </w:t>
      </w:r>
      <w:r w:rsidRPr="001042B6">
        <w:rPr>
          <w:rFonts w:ascii="Arial" w:hAnsi="Arial" w:cs="Arial"/>
          <w:sz w:val="24"/>
          <w:szCs w:val="24"/>
        </w:rPr>
        <w:t xml:space="preserve">para conocer y resolver del presente Juicio de Nulidad, de conformidad a lo establecido en el artículo 114 QUATER, de la Constitución Política del Estado Libre y Soberano de Oaxaca, en que se designó a este Órgano como la máxima autoridad jurisdiccional en materia de Fiscalización, Rendición de Cuentas, Responsabilidad de los Servidores Públicos, Combate </w:t>
      </w:r>
      <w:r w:rsidRPr="001042B6">
        <w:rPr>
          <w:rFonts w:ascii="Arial" w:hAnsi="Arial" w:cs="Arial"/>
          <w:sz w:val="24"/>
          <w:szCs w:val="24"/>
        </w:rPr>
        <w:lastRenderedPageBreak/>
        <w:t>a la Corrupción e Impartición de Justicia Administrativa; artículos 119, 120 fracción I,</w:t>
      </w:r>
      <w:r w:rsidR="00D7617B">
        <w:rPr>
          <w:rFonts w:ascii="Arial" w:hAnsi="Arial" w:cs="Arial"/>
          <w:sz w:val="24"/>
          <w:szCs w:val="24"/>
        </w:rPr>
        <w:t xml:space="preserve"> </w:t>
      </w:r>
      <w:r w:rsidRPr="001042B6">
        <w:rPr>
          <w:rFonts w:ascii="Arial" w:hAnsi="Arial" w:cs="Arial"/>
          <w:sz w:val="24"/>
          <w:szCs w:val="24"/>
        </w:rPr>
        <w:t xml:space="preserve">132 fracción II, 133 fracción I, 146 y 147, de la Ley de Procedimiento y Justicia Administrativa para el Estado de Oaxaca, por tratarse de un Juicio de Nulidad promovido contra la resolución dictada por una autoridad administrativa de carácter estatal, pues de conformidad a lo establecido en el penúltimo artículo citado, éste Tribunal tiene Jurisdicción en todo el territorio del </w:t>
      </w:r>
      <w:r w:rsidR="00D7617B" w:rsidRPr="001042B6">
        <w:rPr>
          <w:rFonts w:ascii="Arial" w:hAnsi="Arial" w:cs="Arial"/>
          <w:sz w:val="24"/>
          <w:szCs w:val="24"/>
        </w:rPr>
        <w:t>Estado</w:t>
      </w:r>
      <w:r w:rsidRPr="001042B6">
        <w:rPr>
          <w:rFonts w:ascii="Arial" w:hAnsi="Arial" w:cs="Arial"/>
          <w:sz w:val="24"/>
          <w:szCs w:val="24"/>
        </w:rPr>
        <w:t xml:space="preserve">. - - - - - - - - - - - - - - - - - - - - - - - - - - - - - - - - </w:t>
      </w:r>
      <w:r>
        <w:rPr>
          <w:rFonts w:ascii="Arial" w:hAnsi="Arial" w:cs="Arial"/>
          <w:sz w:val="24"/>
          <w:szCs w:val="24"/>
        </w:rPr>
        <w:t xml:space="preserve">- - - - </w:t>
      </w:r>
      <w:r w:rsidR="00A71D31">
        <w:rPr>
          <w:rFonts w:ascii="Arial" w:hAnsi="Arial" w:cs="Arial"/>
          <w:sz w:val="24"/>
          <w:szCs w:val="24"/>
        </w:rPr>
        <w:t>- - - - - - - - - - - -</w:t>
      </w:r>
    </w:p>
    <w:p w14:paraId="46F8E668" w14:textId="4A20ABD9" w:rsidR="00413791" w:rsidRPr="001042B6" w:rsidRDefault="00413791" w:rsidP="00413791">
      <w:pPr>
        <w:tabs>
          <w:tab w:val="center" w:pos="4574"/>
        </w:tabs>
        <w:spacing w:line="360" w:lineRule="auto"/>
        <w:ind w:firstLine="708"/>
        <w:jc w:val="both"/>
        <w:rPr>
          <w:rFonts w:ascii="Arial" w:hAnsi="Arial" w:cs="Arial"/>
          <w:sz w:val="24"/>
          <w:szCs w:val="24"/>
        </w:rPr>
      </w:pPr>
      <w:r w:rsidRPr="001042B6">
        <w:rPr>
          <w:rFonts w:ascii="Arial" w:hAnsi="Arial" w:cs="Arial"/>
          <w:b/>
          <w:sz w:val="24"/>
          <w:szCs w:val="24"/>
        </w:rPr>
        <w:t>SEGUNDO.-</w:t>
      </w:r>
      <w:r w:rsidR="00367074">
        <w:rPr>
          <w:rFonts w:ascii="Arial" w:hAnsi="Arial" w:cs="Arial"/>
          <w:b/>
          <w:sz w:val="24"/>
          <w:szCs w:val="24"/>
        </w:rPr>
        <w:t xml:space="preserve"> PRUEBAS.-</w:t>
      </w:r>
      <w:r w:rsidRPr="001042B6">
        <w:rPr>
          <w:rFonts w:ascii="Arial" w:hAnsi="Arial" w:cs="Arial"/>
          <w:b/>
          <w:sz w:val="24"/>
          <w:szCs w:val="24"/>
        </w:rPr>
        <w:t xml:space="preserve"> </w:t>
      </w:r>
      <w:r w:rsidRPr="001042B6">
        <w:rPr>
          <w:rFonts w:ascii="Arial" w:hAnsi="Arial" w:cs="Arial"/>
          <w:sz w:val="24"/>
          <w:szCs w:val="24"/>
        </w:rPr>
        <w:t>Los medios probatorios que ofrecieron las partes, se valoran en términos de lo dispuesto en el artículo 203 de la Ley de Procedimiento y Justicia Administrativa para el Estado de Oaxaca, que contempla las disposiciones y lineamientos; estableciendo que hará prueba plena la confesión expresa de las partes y los actos contenidos en documentos públicos, si en estos se contienen declaraciones de verdad o manifestaciones de hechos de particulares; que el valor de la pericial, la testimonial, y demás pruebas, quedarán  a la prudente y razonada apreciación del juzgador.</w:t>
      </w:r>
    </w:p>
    <w:p w14:paraId="17CF9B52" w14:textId="652BBA33" w:rsidR="00D648F5" w:rsidRDefault="00413791" w:rsidP="00413791">
      <w:pPr>
        <w:spacing w:line="360" w:lineRule="auto"/>
        <w:ind w:firstLine="708"/>
        <w:jc w:val="both"/>
        <w:rPr>
          <w:rFonts w:ascii="Arial" w:hAnsi="Arial" w:cs="Arial"/>
          <w:sz w:val="24"/>
          <w:szCs w:val="24"/>
        </w:rPr>
      </w:pPr>
      <w:r w:rsidRPr="001042B6">
        <w:rPr>
          <w:rFonts w:ascii="Arial" w:hAnsi="Arial" w:cs="Arial"/>
          <w:sz w:val="24"/>
          <w:szCs w:val="24"/>
        </w:rPr>
        <w:t>La</w:t>
      </w:r>
      <w:r w:rsidR="00A900E5">
        <w:rPr>
          <w:rFonts w:ascii="Arial" w:hAnsi="Arial" w:cs="Arial"/>
          <w:sz w:val="24"/>
          <w:szCs w:val="24"/>
        </w:rPr>
        <w:t>s</w:t>
      </w:r>
      <w:r w:rsidRPr="001042B6">
        <w:rPr>
          <w:rFonts w:ascii="Arial" w:hAnsi="Arial" w:cs="Arial"/>
          <w:sz w:val="24"/>
          <w:szCs w:val="24"/>
        </w:rPr>
        <w:t xml:space="preserve"> prueba</w:t>
      </w:r>
      <w:r w:rsidR="00A900E5">
        <w:rPr>
          <w:rFonts w:ascii="Arial" w:hAnsi="Arial" w:cs="Arial"/>
          <w:sz w:val="24"/>
          <w:szCs w:val="24"/>
        </w:rPr>
        <w:t>s</w:t>
      </w:r>
      <w:r w:rsidRPr="001042B6">
        <w:rPr>
          <w:rFonts w:ascii="Arial" w:hAnsi="Arial" w:cs="Arial"/>
          <w:sz w:val="24"/>
          <w:szCs w:val="24"/>
        </w:rPr>
        <w:t xml:space="preserve"> DOCUMENTAL</w:t>
      </w:r>
      <w:r w:rsidR="00A900E5">
        <w:rPr>
          <w:rFonts w:ascii="Arial" w:hAnsi="Arial" w:cs="Arial"/>
          <w:sz w:val="24"/>
          <w:szCs w:val="24"/>
        </w:rPr>
        <w:t>ES</w:t>
      </w:r>
      <w:r w:rsidRPr="001042B6">
        <w:rPr>
          <w:rFonts w:ascii="Arial" w:hAnsi="Arial" w:cs="Arial"/>
          <w:sz w:val="24"/>
          <w:szCs w:val="24"/>
        </w:rPr>
        <w:t xml:space="preserve"> ofrecida</w:t>
      </w:r>
      <w:r w:rsidR="00A900E5">
        <w:rPr>
          <w:rFonts w:ascii="Arial" w:hAnsi="Arial" w:cs="Arial"/>
          <w:sz w:val="24"/>
          <w:szCs w:val="24"/>
        </w:rPr>
        <w:t>s</w:t>
      </w:r>
      <w:r w:rsidRPr="001042B6">
        <w:rPr>
          <w:rFonts w:ascii="Arial" w:hAnsi="Arial" w:cs="Arial"/>
          <w:sz w:val="24"/>
          <w:szCs w:val="24"/>
        </w:rPr>
        <w:t xml:space="preserve"> y admitida</w:t>
      </w:r>
      <w:r w:rsidR="00A900E5">
        <w:rPr>
          <w:rFonts w:ascii="Arial" w:hAnsi="Arial" w:cs="Arial"/>
          <w:sz w:val="24"/>
          <w:szCs w:val="24"/>
        </w:rPr>
        <w:t>s</w:t>
      </w:r>
      <w:r w:rsidRPr="001042B6">
        <w:rPr>
          <w:rFonts w:ascii="Arial" w:hAnsi="Arial" w:cs="Arial"/>
          <w:sz w:val="24"/>
          <w:szCs w:val="24"/>
        </w:rPr>
        <w:t xml:space="preserve"> a la parte </w:t>
      </w:r>
      <w:r w:rsidRPr="001042B6">
        <w:rPr>
          <w:rFonts w:ascii="Arial" w:hAnsi="Arial" w:cs="Arial"/>
          <w:sz w:val="24"/>
          <w:szCs w:val="24"/>
          <w:u w:val="single"/>
        </w:rPr>
        <w:t>actora</w:t>
      </w:r>
      <w:r w:rsidRPr="001042B6">
        <w:rPr>
          <w:rFonts w:ascii="Arial" w:hAnsi="Arial" w:cs="Arial"/>
          <w:sz w:val="24"/>
          <w:szCs w:val="24"/>
        </w:rPr>
        <w:t xml:space="preserve"> </w:t>
      </w:r>
      <w:r w:rsidR="00B56F8A">
        <w:rPr>
          <w:rFonts w:ascii="Arial" w:hAnsi="Arial" w:cs="Arial"/>
          <w:sz w:val="24"/>
          <w:szCs w:val="24"/>
        </w:rPr>
        <w:t>***** ***** ***** *****</w:t>
      </w:r>
      <w:r w:rsidRPr="001042B6">
        <w:rPr>
          <w:rFonts w:ascii="Arial" w:hAnsi="Arial" w:cs="Arial"/>
          <w:sz w:val="24"/>
          <w:szCs w:val="24"/>
        </w:rPr>
        <w:t>, consiste</w:t>
      </w:r>
      <w:r w:rsidR="00A900E5">
        <w:rPr>
          <w:rFonts w:ascii="Arial" w:hAnsi="Arial" w:cs="Arial"/>
          <w:sz w:val="24"/>
          <w:szCs w:val="24"/>
        </w:rPr>
        <w:t>n</w:t>
      </w:r>
      <w:r w:rsidRPr="001042B6">
        <w:rPr>
          <w:rFonts w:ascii="Arial" w:hAnsi="Arial" w:cs="Arial"/>
          <w:sz w:val="24"/>
          <w:szCs w:val="24"/>
        </w:rPr>
        <w:t xml:space="preserve"> </w:t>
      </w:r>
      <w:r w:rsidRPr="00D648F5">
        <w:rPr>
          <w:rFonts w:ascii="Arial" w:hAnsi="Arial" w:cs="Arial"/>
          <w:sz w:val="24"/>
          <w:szCs w:val="24"/>
        </w:rPr>
        <w:t>en</w:t>
      </w:r>
      <w:r w:rsidR="00A900E5" w:rsidRPr="00D648F5">
        <w:rPr>
          <w:rFonts w:ascii="Arial" w:hAnsi="Arial" w:cs="Arial"/>
          <w:sz w:val="24"/>
          <w:szCs w:val="24"/>
        </w:rPr>
        <w:t xml:space="preserve">: </w:t>
      </w:r>
      <w:r w:rsidR="00A900E5" w:rsidRPr="00D648F5">
        <w:rPr>
          <w:rFonts w:ascii="Arial" w:hAnsi="Arial" w:cs="Arial"/>
          <w:b/>
          <w:sz w:val="24"/>
          <w:szCs w:val="24"/>
        </w:rPr>
        <w:t>1.-</w:t>
      </w:r>
      <w:r w:rsidR="00D648F5" w:rsidRPr="00D648F5">
        <w:rPr>
          <w:rFonts w:ascii="Arial" w:hAnsi="Arial" w:cs="Arial"/>
          <w:sz w:val="24"/>
          <w:szCs w:val="24"/>
        </w:rPr>
        <w:t xml:space="preserve"> Original de escrito que contiene un sello de recibido por el Departamento de Prestaciones Económicas de la Dirección General de Pensiones del Gobierno del Estado de Oaxaca, de fecha </w:t>
      </w:r>
      <w:r w:rsidR="00B56F8A">
        <w:rPr>
          <w:rFonts w:ascii="Arial" w:hAnsi="Arial" w:cs="Arial"/>
          <w:sz w:val="24"/>
          <w:szCs w:val="24"/>
        </w:rPr>
        <w:t>***** de ***** de dos mil veinte (**/**/2020)</w:t>
      </w:r>
      <w:r w:rsidR="00D648F5" w:rsidRPr="00D648F5">
        <w:rPr>
          <w:rFonts w:ascii="Arial" w:hAnsi="Arial" w:cs="Arial"/>
          <w:sz w:val="24"/>
          <w:szCs w:val="24"/>
        </w:rPr>
        <w:t xml:space="preserve">, a través del cual el actor solicitó al Director General de la Oficina de Pensiones del Gobierno del Estado de Oaxaca, la devolución de los descuentos que se le efectuaron a favor del fondo de pensiones; </w:t>
      </w:r>
      <w:r w:rsidR="00D648F5" w:rsidRPr="00D648F5">
        <w:rPr>
          <w:rFonts w:ascii="Arial" w:hAnsi="Arial" w:cs="Arial"/>
          <w:b/>
          <w:sz w:val="24"/>
          <w:szCs w:val="24"/>
        </w:rPr>
        <w:t xml:space="preserve">2.- </w:t>
      </w:r>
      <w:r w:rsidR="00D648F5" w:rsidRPr="00D648F5">
        <w:rPr>
          <w:rFonts w:ascii="Arial" w:hAnsi="Arial" w:cs="Arial"/>
          <w:sz w:val="24"/>
          <w:szCs w:val="24"/>
        </w:rPr>
        <w:t xml:space="preserve">Copia simple de tres nombramientos expedidos a favor del actor, como Jefe de la Unidad de Visitadurías y Registradurías de la Secretaría General de Gobierno; Jefe de Departamento, adscrito al Departamento de Fomento Comercial y Promoción al Consumo del Consejo Estatal del Café de Oaxaca; y Jefe de Departamento, adscrito al Departamento de Planeación del Fideicomiso para el Desarrollo Logístico del Estado de Oaxaca; </w:t>
      </w:r>
      <w:r w:rsidR="00D648F5" w:rsidRPr="00957D7B">
        <w:rPr>
          <w:rFonts w:ascii="Arial" w:hAnsi="Arial" w:cs="Arial"/>
          <w:b/>
          <w:sz w:val="24"/>
          <w:szCs w:val="24"/>
        </w:rPr>
        <w:t>3.-</w:t>
      </w:r>
      <w:r w:rsidR="00D648F5" w:rsidRPr="00D648F5">
        <w:rPr>
          <w:rFonts w:ascii="Arial" w:hAnsi="Arial" w:cs="Arial"/>
          <w:sz w:val="24"/>
          <w:szCs w:val="24"/>
        </w:rPr>
        <w:t xml:space="preserve"> Cuatro recibos de pago originales, correspondientes al mes de julio de dos mil siete</w:t>
      </w:r>
      <w:r w:rsidR="00D648F5">
        <w:rPr>
          <w:rFonts w:ascii="Arial" w:hAnsi="Arial" w:cs="Arial"/>
          <w:sz w:val="24"/>
          <w:szCs w:val="24"/>
        </w:rPr>
        <w:t xml:space="preserve"> (07/2007)</w:t>
      </w:r>
      <w:r w:rsidR="00D648F5" w:rsidRPr="00D648F5">
        <w:rPr>
          <w:rFonts w:ascii="Arial" w:hAnsi="Arial" w:cs="Arial"/>
          <w:sz w:val="24"/>
          <w:szCs w:val="24"/>
        </w:rPr>
        <w:t>, primera quincena de diciembre de dos mil diez</w:t>
      </w:r>
      <w:r w:rsidR="00D648F5">
        <w:rPr>
          <w:rFonts w:ascii="Arial" w:hAnsi="Arial" w:cs="Arial"/>
          <w:sz w:val="24"/>
          <w:szCs w:val="24"/>
        </w:rPr>
        <w:t xml:space="preserve"> (01-15/12/2010)</w:t>
      </w:r>
      <w:r w:rsidR="00D648F5" w:rsidRPr="00D648F5">
        <w:rPr>
          <w:rFonts w:ascii="Arial" w:hAnsi="Arial" w:cs="Arial"/>
          <w:sz w:val="24"/>
          <w:szCs w:val="24"/>
        </w:rPr>
        <w:t>; segunda quincena de junio de dos mil catorce</w:t>
      </w:r>
      <w:r w:rsidR="00371077">
        <w:rPr>
          <w:rFonts w:ascii="Arial" w:hAnsi="Arial" w:cs="Arial"/>
          <w:sz w:val="24"/>
          <w:szCs w:val="24"/>
        </w:rPr>
        <w:t xml:space="preserve"> (16</w:t>
      </w:r>
      <w:r w:rsidR="00D648F5">
        <w:rPr>
          <w:rFonts w:ascii="Arial" w:hAnsi="Arial" w:cs="Arial"/>
          <w:sz w:val="24"/>
          <w:szCs w:val="24"/>
        </w:rPr>
        <w:t>-30/06/2014),</w:t>
      </w:r>
      <w:r w:rsidR="00D648F5" w:rsidRPr="00D648F5">
        <w:rPr>
          <w:rFonts w:ascii="Arial" w:hAnsi="Arial" w:cs="Arial"/>
          <w:sz w:val="24"/>
          <w:szCs w:val="24"/>
        </w:rPr>
        <w:t xml:space="preserve"> y segunda quincena de abril de dos mil quince</w:t>
      </w:r>
      <w:r w:rsidR="00D648F5">
        <w:rPr>
          <w:rFonts w:ascii="Arial" w:hAnsi="Arial" w:cs="Arial"/>
          <w:sz w:val="24"/>
          <w:szCs w:val="24"/>
        </w:rPr>
        <w:t xml:space="preserve"> (</w:t>
      </w:r>
      <w:r w:rsidR="00371077">
        <w:rPr>
          <w:rFonts w:ascii="Arial" w:hAnsi="Arial" w:cs="Arial"/>
          <w:sz w:val="24"/>
          <w:szCs w:val="24"/>
        </w:rPr>
        <w:t>16-30/04/2015)</w:t>
      </w:r>
      <w:r w:rsidR="00D648F5" w:rsidRPr="00D648F5">
        <w:rPr>
          <w:rFonts w:ascii="Arial" w:hAnsi="Arial" w:cs="Arial"/>
          <w:sz w:val="24"/>
          <w:szCs w:val="24"/>
        </w:rPr>
        <w:t xml:space="preserve">; </w:t>
      </w:r>
      <w:r w:rsidR="00371077" w:rsidRPr="00957D7B">
        <w:rPr>
          <w:rFonts w:ascii="Arial" w:hAnsi="Arial" w:cs="Arial"/>
          <w:b/>
          <w:sz w:val="24"/>
          <w:szCs w:val="24"/>
        </w:rPr>
        <w:t>4.-</w:t>
      </w:r>
      <w:r w:rsidR="00371077">
        <w:rPr>
          <w:rFonts w:ascii="Arial" w:hAnsi="Arial" w:cs="Arial"/>
          <w:sz w:val="24"/>
          <w:szCs w:val="24"/>
        </w:rPr>
        <w:t xml:space="preserve"> </w:t>
      </w:r>
      <w:r w:rsidR="00371077" w:rsidRPr="00371077">
        <w:rPr>
          <w:rFonts w:ascii="Arial" w:hAnsi="Arial" w:cs="Arial"/>
          <w:sz w:val="24"/>
          <w:szCs w:val="24"/>
        </w:rPr>
        <w:t>Informe</w:t>
      </w:r>
      <w:r w:rsidR="00371077">
        <w:rPr>
          <w:rFonts w:ascii="Arial" w:hAnsi="Arial" w:cs="Arial"/>
          <w:b/>
          <w:sz w:val="24"/>
          <w:szCs w:val="24"/>
        </w:rPr>
        <w:t xml:space="preserve"> </w:t>
      </w:r>
      <w:r w:rsidR="00371077" w:rsidRPr="00371077">
        <w:rPr>
          <w:rFonts w:ascii="Arial" w:hAnsi="Arial" w:cs="Arial"/>
          <w:sz w:val="24"/>
          <w:szCs w:val="24"/>
        </w:rPr>
        <w:t>rendido por</w:t>
      </w:r>
      <w:r w:rsidR="00371077">
        <w:rPr>
          <w:rFonts w:ascii="Arial" w:hAnsi="Arial" w:cs="Arial"/>
          <w:b/>
          <w:sz w:val="24"/>
          <w:szCs w:val="24"/>
        </w:rPr>
        <w:t xml:space="preserve"> </w:t>
      </w:r>
      <w:r w:rsidR="00D648F5" w:rsidRPr="00D648F5">
        <w:rPr>
          <w:rFonts w:ascii="Arial" w:hAnsi="Arial" w:cs="Arial"/>
          <w:sz w:val="24"/>
          <w:szCs w:val="24"/>
        </w:rPr>
        <w:t xml:space="preserve">el </w:t>
      </w:r>
      <w:r w:rsidR="00371077">
        <w:rPr>
          <w:rFonts w:ascii="Arial" w:hAnsi="Arial" w:cs="Arial"/>
          <w:sz w:val="24"/>
          <w:szCs w:val="24"/>
        </w:rPr>
        <w:t xml:space="preserve">Director de Recursos Humanos de la </w:t>
      </w:r>
      <w:r w:rsidR="00D648F5" w:rsidRPr="00D648F5">
        <w:rPr>
          <w:rFonts w:ascii="Arial" w:hAnsi="Arial" w:cs="Arial"/>
          <w:sz w:val="24"/>
          <w:szCs w:val="24"/>
        </w:rPr>
        <w:t>Secretar</w:t>
      </w:r>
      <w:r w:rsidR="00371077">
        <w:rPr>
          <w:rFonts w:ascii="Arial" w:hAnsi="Arial" w:cs="Arial"/>
          <w:sz w:val="24"/>
          <w:szCs w:val="24"/>
        </w:rPr>
        <w:t>ía</w:t>
      </w:r>
      <w:r w:rsidR="00D648F5" w:rsidRPr="00D648F5">
        <w:rPr>
          <w:rFonts w:ascii="Arial" w:hAnsi="Arial" w:cs="Arial"/>
          <w:sz w:val="24"/>
          <w:szCs w:val="24"/>
        </w:rPr>
        <w:t xml:space="preserve"> de Administración del</w:t>
      </w:r>
      <w:r w:rsidR="00371077">
        <w:rPr>
          <w:rFonts w:ascii="Arial" w:hAnsi="Arial" w:cs="Arial"/>
          <w:sz w:val="24"/>
          <w:szCs w:val="24"/>
        </w:rPr>
        <w:t xml:space="preserve"> Gobierno del Estado de Oaxaca.</w:t>
      </w:r>
    </w:p>
    <w:p w14:paraId="7662E2D7" w14:textId="22892010" w:rsidR="00C60D16" w:rsidRDefault="00413791" w:rsidP="00C60D16">
      <w:pPr>
        <w:spacing w:line="360" w:lineRule="auto"/>
        <w:ind w:firstLine="708"/>
        <w:jc w:val="both"/>
        <w:rPr>
          <w:rFonts w:ascii="Arial" w:hAnsi="Arial" w:cs="Arial"/>
          <w:sz w:val="24"/>
          <w:szCs w:val="24"/>
        </w:rPr>
      </w:pPr>
      <w:r w:rsidRPr="001042B6">
        <w:rPr>
          <w:rFonts w:ascii="Arial" w:hAnsi="Arial" w:cs="Arial"/>
          <w:sz w:val="24"/>
          <w:szCs w:val="24"/>
        </w:rPr>
        <w:t xml:space="preserve">Por lo que respecta a la </w:t>
      </w:r>
      <w:r w:rsidRPr="001042B6">
        <w:rPr>
          <w:rFonts w:ascii="Arial" w:hAnsi="Arial" w:cs="Arial"/>
          <w:b/>
          <w:sz w:val="24"/>
          <w:szCs w:val="24"/>
        </w:rPr>
        <w:t xml:space="preserve">autoridad demandada </w:t>
      </w:r>
      <w:r w:rsidRPr="001042B6">
        <w:rPr>
          <w:rFonts w:ascii="Arial" w:hAnsi="Arial" w:cs="Arial"/>
          <w:sz w:val="24"/>
          <w:szCs w:val="24"/>
        </w:rPr>
        <w:t xml:space="preserve">Director General de la Oficina de Pensiones del Gobierno del Estado, se admitieron las DOCUMENTALES consistentes en: </w:t>
      </w:r>
      <w:r w:rsidRPr="001042B6">
        <w:rPr>
          <w:rFonts w:ascii="Arial" w:hAnsi="Arial" w:cs="Arial"/>
          <w:b/>
          <w:sz w:val="24"/>
          <w:szCs w:val="24"/>
        </w:rPr>
        <w:t>1.-</w:t>
      </w:r>
      <w:r w:rsidRPr="001042B6">
        <w:rPr>
          <w:rFonts w:ascii="Arial" w:hAnsi="Arial" w:cs="Arial"/>
          <w:sz w:val="24"/>
          <w:szCs w:val="24"/>
        </w:rPr>
        <w:t xml:space="preserve"> </w:t>
      </w:r>
      <w:r w:rsidR="007D6C72">
        <w:rPr>
          <w:rFonts w:ascii="Arial" w:hAnsi="Arial" w:cs="Arial"/>
          <w:sz w:val="24"/>
          <w:szCs w:val="24"/>
        </w:rPr>
        <w:t xml:space="preserve">Original </w:t>
      </w:r>
      <w:r w:rsidR="00C60D16">
        <w:rPr>
          <w:rFonts w:ascii="Arial" w:hAnsi="Arial" w:cs="Arial"/>
          <w:sz w:val="24"/>
          <w:szCs w:val="24"/>
        </w:rPr>
        <w:t xml:space="preserve">de hoja de resultados que arrojó la consulta que se hizo en el sistema de pensiones del gobierno del </w:t>
      </w:r>
      <w:r w:rsidR="00C60D16">
        <w:rPr>
          <w:rFonts w:ascii="Arial" w:hAnsi="Arial" w:cs="Arial"/>
          <w:sz w:val="24"/>
          <w:szCs w:val="24"/>
        </w:rPr>
        <w:lastRenderedPageBreak/>
        <w:t>estado, respecto del actor, folio</w:t>
      </w:r>
      <w:r w:rsidR="007D6C72">
        <w:rPr>
          <w:rFonts w:ascii="Arial" w:hAnsi="Arial" w:cs="Arial"/>
          <w:sz w:val="24"/>
          <w:szCs w:val="24"/>
        </w:rPr>
        <w:t xml:space="preserve"> de elaboración histórico </w:t>
      </w:r>
      <w:r w:rsidR="00AE7BDD">
        <w:rPr>
          <w:rFonts w:ascii="Arial" w:hAnsi="Arial" w:cs="Arial"/>
          <w:sz w:val="24"/>
          <w:szCs w:val="24"/>
        </w:rPr>
        <w:t>*****/21</w:t>
      </w:r>
      <w:r w:rsidR="00C60D16">
        <w:rPr>
          <w:rFonts w:ascii="Arial" w:hAnsi="Arial" w:cs="Arial"/>
          <w:sz w:val="24"/>
          <w:szCs w:val="24"/>
        </w:rPr>
        <w:t xml:space="preserve">; </w:t>
      </w:r>
      <w:r w:rsidR="0067174D" w:rsidRPr="0067174D">
        <w:rPr>
          <w:rFonts w:ascii="Arial" w:hAnsi="Arial" w:cs="Arial"/>
          <w:b/>
          <w:sz w:val="24"/>
          <w:szCs w:val="24"/>
        </w:rPr>
        <w:t>2.-</w:t>
      </w:r>
      <w:r w:rsidR="00C60D16">
        <w:rPr>
          <w:rFonts w:ascii="Arial" w:hAnsi="Arial" w:cs="Arial"/>
          <w:sz w:val="24"/>
          <w:szCs w:val="24"/>
        </w:rPr>
        <w:t xml:space="preserve"> copia certificada de póliza de cheque </w:t>
      </w:r>
      <w:r w:rsidR="00AE7BDD">
        <w:rPr>
          <w:rFonts w:ascii="Arial" w:hAnsi="Arial" w:cs="Arial"/>
          <w:sz w:val="24"/>
          <w:szCs w:val="24"/>
        </w:rPr>
        <w:t>número ***</w:t>
      </w:r>
      <w:r w:rsidR="00C60D16">
        <w:rPr>
          <w:rFonts w:ascii="Arial" w:hAnsi="Arial" w:cs="Arial"/>
          <w:sz w:val="24"/>
          <w:szCs w:val="24"/>
        </w:rPr>
        <w:t>, por concepto de devolución de fondo de pensiones</w:t>
      </w:r>
      <w:r w:rsidR="009F2717">
        <w:rPr>
          <w:rFonts w:ascii="Arial" w:hAnsi="Arial" w:cs="Arial"/>
          <w:sz w:val="24"/>
          <w:szCs w:val="24"/>
        </w:rPr>
        <w:t>;</w:t>
      </w:r>
      <w:r w:rsidR="009F2717" w:rsidRPr="009F2717">
        <w:rPr>
          <w:rFonts w:ascii="Arial" w:hAnsi="Arial" w:cs="Arial"/>
          <w:b/>
          <w:sz w:val="24"/>
          <w:szCs w:val="24"/>
        </w:rPr>
        <w:t xml:space="preserve"> 3.- </w:t>
      </w:r>
      <w:r w:rsidR="009F2717">
        <w:rPr>
          <w:rFonts w:ascii="Arial" w:hAnsi="Arial" w:cs="Arial"/>
          <w:sz w:val="24"/>
          <w:szCs w:val="24"/>
        </w:rPr>
        <w:t xml:space="preserve">Copia certificada de recibo </w:t>
      </w:r>
      <w:r w:rsidR="00AE7BDD">
        <w:rPr>
          <w:rFonts w:ascii="Arial" w:hAnsi="Arial" w:cs="Arial"/>
          <w:sz w:val="24"/>
          <w:szCs w:val="24"/>
        </w:rPr>
        <w:t>número ****/20 de ***** de ***** de dos mil veinte (**/**/2020)</w:t>
      </w:r>
      <w:r w:rsidR="009F2717">
        <w:rPr>
          <w:rFonts w:ascii="Arial" w:hAnsi="Arial" w:cs="Arial"/>
          <w:sz w:val="24"/>
          <w:szCs w:val="24"/>
        </w:rPr>
        <w:t>.</w:t>
      </w:r>
    </w:p>
    <w:p w14:paraId="5C7AED95" w14:textId="3DC3E11C" w:rsidR="00413791" w:rsidRPr="001042B6" w:rsidRDefault="00413791" w:rsidP="00413791">
      <w:pPr>
        <w:tabs>
          <w:tab w:val="center" w:pos="4574"/>
        </w:tabs>
        <w:spacing w:line="360" w:lineRule="auto"/>
        <w:ind w:firstLine="708"/>
        <w:jc w:val="both"/>
        <w:rPr>
          <w:rFonts w:ascii="Arial" w:hAnsi="Arial" w:cs="Arial"/>
          <w:sz w:val="24"/>
          <w:szCs w:val="24"/>
        </w:rPr>
      </w:pPr>
      <w:r>
        <w:rPr>
          <w:rFonts w:ascii="Arial" w:hAnsi="Arial" w:cs="Arial"/>
          <w:sz w:val="24"/>
          <w:szCs w:val="24"/>
        </w:rPr>
        <w:t>Las</w:t>
      </w:r>
      <w:r w:rsidRPr="001042B6">
        <w:rPr>
          <w:rFonts w:ascii="Arial" w:hAnsi="Arial" w:cs="Arial"/>
          <w:sz w:val="24"/>
          <w:szCs w:val="24"/>
        </w:rPr>
        <w:t xml:space="preserve"> pruebas aportadas al Juicio, consistentes en documentos originales y copias certificadas por </w:t>
      </w:r>
      <w:r>
        <w:rPr>
          <w:rFonts w:ascii="Arial" w:hAnsi="Arial" w:cs="Arial"/>
          <w:sz w:val="24"/>
          <w:szCs w:val="24"/>
        </w:rPr>
        <w:t xml:space="preserve">el </w:t>
      </w:r>
      <w:r w:rsidRPr="001042B6">
        <w:rPr>
          <w:rFonts w:ascii="Arial" w:hAnsi="Arial" w:cs="Arial"/>
          <w:sz w:val="24"/>
          <w:szCs w:val="24"/>
        </w:rPr>
        <w:t>Jefe del Departamento Jurídico de la Oficina de Pensiones del Estado d</w:t>
      </w:r>
      <w:r w:rsidR="003B24B8">
        <w:rPr>
          <w:rFonts w:ascii="Arial" w:hAnsi="Arial" w:cs="Arial"/>
          <w:sz w:val="24"/>
          <w:szCs w:val="24"/>
        </w:rPr>
        <w:t>e Oaxaca, remitidos tanto por la</w:t>
      </w:r>
      <w:r w:rsidRPr="001042B6">
        <w:rPr>
          <w:rFonts w:ascii="Arial" w:hAnsi="Arial" w:cs="Arial"/>
          <w:sz w:val="24"/>
          <w:szCs w:val="24"/>
        </w:rPr>
        <w:t xml:space="preserve"> </w:t>
      </w:r>
      <w:r w:rsidR="00367074">
        <w:rPr>
          <w:rFonts w:ascii="Arial" w:hAnsi="Arial" w:cs="Arial"/>
          <w:sz w:val="24"/>
          <w:szCs w:val="24"/>
        </w:rPr>
        <w:t xml:space="preserve">parte </w:t>
      </w:r>
      <w:r w:rsidRPr="001042B6">
        <w:rPr>
          <w:rFonts w:ascii="Arial" w:hAnsi="Arial" w:cs="Arial"/>
          <w:sz w:val="24"/>
          <w:szCs w:val="24"/>
        </w:rPr>
        <w:t>actor</w:t>
      </w:r>
      <w:r w:rsidR="003B24B8">
        <w:rPr>
          <w:rFonts w:ascii="Arial" w:hAnsi="Arial" w:cs="Arial"/>
          <w:sz w:val="24"/>
          <w:szCs w:val="24"/>
        </w:rPr>
        <w:t>a</w:t>
      </w:r>
      <w:r w:rsidRPr="001042B6">
        <w:rPr>
          <w:rFonts w:ascii="Arial" w:hAnsi="Arial" w:cs="Arial"/>
          <w:sz w:val="24"/>
          <w:szCs w:val="24"/>
        </w:rPr>
        <w:t xml:space="preserve"> como por la </w:t>
      </w:r>
      <w:r w:rsidR="00367074">
        <w:rPr>
          <w:rFonts w:ascii="Arial" w:hAnsi="Arial" w:cs="Arial"/>
          <w:sz w:val="24"/>
          <w:szCs w:val="24"/>
        </w:rPr>
        <w:t xml:space="preserve">autoridad </w:t>
      </w:r>
      <w:r w:rsidRPr="001042B6">
        <w:rPr>
          <w:rFonts w:ascii="Arial" w:hAnsi="Arial" w:cs="Arial"/>
          <w:sz w:val="24"/>
          <w:szCs w:val="24"/>
        </w:rPr>
        <w:t xml:space="preserve">demandada, tienen </w:t>
      </w:r>
      <w:r w:rsidRPr="001042B6">
        <w:rPr>
          <w:rFonts w:ascii="Arial" w:hAnsi="Arial" w:cs="Arial"/>
          <w:b/>
          <w:sz w:val="24"/>
          <w:szCs w:val="24"/>
        </w:rPr>
        <w:t>valor probatorio pleno</w:t>
      </w:r>
      <w:r w:rsidR="0088762B">
        <w:rPr>
          <w:rFonts w:ascii="Arial" w:hAnsi="Arial" w:cs="Arial"/>
          <w:sz w:val="24"/>
          <w:szCs w:val="24"/>
        </w:rPr>
        <w:t>,</w:t>
      </w:r>
      <w:r w:rsidRPr="001042B6">
        <w:rPr>
          <w:rFonts w:ascii="Arial" w:hAnsi="Arial" w:cs="Arial"/>
          <w:sz w:val="24"/>
          <w:szCs w:val="24"/>
        </w:rPr>
        <w:t xml:space="preserve"> </w:t>
      </w:r>
      <w:r w:rsidR="00F571D8">
        <w:rPr>
          <w:rFonts w:ascii="Arial" w:hAnsi="Arial" w:cs="Arial"/>
          <w:sz w:val="24"/>
          <w:szCs w:val="24"/>
        </w:rPr>
        <w:t xml:space="preserve">pues en los documentos originales </w:t>
      </w:r>
      <w:r w:rsidRPr="001042B6">
        <w:rPr>
          <w:rFonts w:ascii="Arial" w:hAnsi="Arial" w:cs="Arial"/>
          <w:sz w:val="24"/>
          <w:szCs w:val="24"/>
        </w:rPr>
        <w:t>aparece el nombre de</w:t>
      </w:r>
      <w:r w:rsidR="00F571D8">
        <w:rPr>
          <w:rFonts w:ascii="Arial" w:hAnsi="Arial" w:cs="Arial"/>
          <w:sz w:val="24"/>
          <w:szCs w:val="24"/>
        </w:rPr>
        <w:t xml:space="preserve"> </w:t>
      </w:r>
      <w:r w:rsidRPr="001042B6">
        <w:rPr>
          <w:rFonts w:ascii="Arial" w:hAnsi="Arial" w:cs="Arial"/>
          <w:sz w:val="24"/>
          <w:szCs w:val="24"/>
        </w:rPr>
        <w:t>l</w:t>
      </w:r>
      <w:r w:rsidR="00F571D8">
        <w:rPr>
          <w:rFonts w:ascii="Arial" w:hAnsi="Arial" w:cs="Arial"/>
          <w:sz w:val="24"/>
          <w:szCs w:val="24"/>
        </w:rPr>
        <w:t>os</w:t>
      </w:r>
      <w:r w:rsidRPr="001042B6">
        <w:rPr>
          <w:rFonts w:ascii="Arial" w:hAnsi="Arial" w:cs="Arial"/>
          <w:sz w:val="24"/>
          <w:szCs w:val="24"/>
        </w:rPr>
        <w:t xml:space="preserve"> servidor</w:t>
      </w:r>
      <w:r w:rsidR="00F571D8">
        <w:rPr>
          <w:rFonts w:ascii="Arial" w:hAnsi="Arial" w:cs="Arial"/>
          <w:sz w:val="24"/>
          <w:szCs w:val="24"/>
        </w:rPr>
        <w:t>es</w:t>
      </w:r>
      <w:r w:rsidRPr="001042B6">
        <w:rPr>
          <w:rFonts w:ascii="Arial" w:hAnsi="Arial" w:cs="Arial"/>
          <w:sz w:val="24"/>
          <w:szCs w:val="24"/>
        </w:rPr>
        <w:t xml:space="preserve"> público</w:t>
      </w:r>
      <w:r w:rsidR="00F571D8">
        <w:rPr>
          <w:rFonts w:ascii="Arial" w:hAnsi="Arial" w:cs="Arial"/>
          <w:sz w:val="24"/>
          <w:szCs w:val="24"/>
        </w:rPr>
        <w:t>s</w:t>
      </w:r>
      <w:r w:rsidRPr="001042B6">
        <w:rPr>
          <w:rFonts w:ascii="Arial" w:hAnsi="Arial" w:cs="Arial"/>
          <w:sz w:val="24"/>
          <w:szCs w:val="24"/>
        </w:rPr>
        <w:t xml:space="preserve"> que lo</w:t>
      </w:r>
      <w:r w:rsidR="00F571D8">
        <w:rPr>
          <w:rFonts w:ascii="Arial" w:hAnsi="Arial" w:cs="Arial"/>
          <w:sz w:val="24"/>
          <w:szCs w:val="24"/>
        </w:rPr>
        <w:t>s</w:t>
      </w:r>
      <w:r w:rsidRPr="001042B6">
        <w:rPr>
          <w:rFonts w:ascii="Arial" w:hAnsi="Arial" w:cs="Arial"/>
          <w:sz w:val="24"/>
          <w:szCs w:val="24"/>
        </w:rPr>
        <w:t xml:space="preserve"> emiti</w:t>
      </w:r>
      <w:r w:rsidR="00F571D8">
        <w:rPr>
          <w:rFonts w:ascii="Arial" w:hAnsi="Arial" w:cs="Arial"/>
          <w:sz w:val="24"/>
          <w:szCs w:val="24"/>
        </w:rPr>
        <w:t>eron</w:t>
      </w:r>
      <w:r w:rsidRPr="001042B6">
        <w:rPr>
          <w:rFonts w:ascii="Arial" w:hAnsi="Arial" w:cs="Arial"/>
          <w:sz w:val="24"/>
          <w:szCs w:val="24"/>
        </w:rPr>
        <w:t>, además de</w:t>
      </w:r>
      <w:r w:rsidR="00F571D8">
        <w:rPr>
          <w:rFonts w:ascii="Arial" w:hAnsi="Arial" w:cs="Arial"/>
          <w:sz w:val="24"/>
          <w:szCs w:val="24"/>
        </w:rPr>
        <w:t xml:space="preserve"> sus</w:t>
      </w:r>
      <w:r w:rsidRPr="001042B6">
        <w:rPr>
          <w:rFonts w:ascii="Arial" w:hAnsi="Arial" w:cs="Arial"/>
          <w:sz w:val="24"/>
          <w:szCs w:val="24"/>
        </w:rPr>
        <w:t xml:space="preserve"> nombre</w:t>
      </w:r>
      <w:r w:rsidR="00F571D8">
        <w:rPr>
          <w:rFonts w:ascii="Arial" w:hAnsi="Arial" w:cs="Arial"/>
          <w:sz w:val="24"/>
          <w:szCs w:val="24"/>
        </w:rPr>
        <w:t>s</w:t>
      </w:r>
      <w:r w:rsidRPr="001042B6">
        <w:rPr>
          <w:rFonts w:ascii="Arial" w:hAnsi="Arial" w:cs="Arial"/>
          <w:sz w:val="24"/>
          <w:szCs w:val="24"/>
        </w:rPr>
        <w:t>, firma</w:t>
      </w:r>
      <w:r w:rsidR="00F571D8">
        <w:rPr>
          <w:rFonts w:ascii="Arial" w:hAnsi="Arial" w:cs="Arial"/>
          <w:sz w:val="24"/>
          <w:szCs w:val="24"/>
        </w:rPr>
        <w:t>s</w:t>
      </w:r>
      <w:r w:rsidRPr="001042B6">
        <w:rPr>
          <w:rFonts w:ascii="Arial" w:hAnsi="Arial" w:cs="Arial"/>
          <w:sz w:val="24"/>
          <w:szCs w:val="24"/>
        </w:rPr>
        <w:t xml:space="preserve"> y sello</w:t>
      </w:r>
      <w:r w:rsidR="00F571D8">
        <w:rPr>
          <w:rFonts w:ascii="Arial" w:hAnsi="Arial" w:cs="Arial"/>
          <w:sz w:val="24"/>
          <w:szCs w:val="24"/>
        </w:rPr>
        <w:t>s</w:t>
      </w:r>
      <w:r w:rsidRPr="001042B6">
        <w:rPr>
          <w:rFonts w:ascii="Arial" w:hAnsi="Arial" w:cs="Arial"/>
          <w:sz w:val="24"/>
          <w:szCs w:val="24"/>
        </w:rPr>
        <w:t xml:space="preserve"> de la</w:t>
      </w:r>
      <w:r w:rsidR="00F571D8">
        <w:rPr>
          <w:rFonts w:ascii="Arial" w:hAnsi="Arial" w:cs="Arial"/>
          <w:sz w:val="24"/>
          <w:szCs w:val="24"/>
        </w:rPr>
        <w:t>s</w:t>
      </w:r>
      <w:r w:rsidRPr="001042B6">
        <w:rPr>
          <w:rFonts w:ascii="Arial" w:hAnsi="Arial" w:cs="Arial"/>
          <w:sz w:val="24"/>
          <w:szCs w:val="24"/>
        </w:rPr>
        <w:t xml:space="preserve"> dependencia</w:t>
      </w:r>
      <w:r w:rsidR="00F571D8">
        <w:rPr>
          <w:rFonts w:ascii="Arial" w:hAnsi="Arial" w:cs="Arial"/>
          <w:sz w:val="24"/>
          <w:szCs w:val="24"/>
        </w:rPr>
        <w:t>s</w:t>
      </w:r>
      <w:r w:rsidRPr="001042B6">
        <w:rPr>
          <w:rFonts w:ascii="Arial" w:hAnsi="Arial" w:cs="Arial"/>
          <w:sz w:val="24"/>
          <w:szCs w:val="24"/>
        </w:rPr>
        <w:t xml:space="preserve"> a la</w:t>
      </w:r>
      <w:r w:rsidR="00F571D8">
        <w:rPr>
          <w:rFonts w:ascii="Arial" w:hAnsi="Arial" w:cs="Arial"/>
          <w:sz w:val="24"/>
          <w:szCs w:val="24"/>
        </w:rPr>
        <w:t>s</w:t>
      </w:r>
      <w:r w:rsidRPr="001042B6">
        <w:rPr>
          <w:rFonts w:ascii="Arial" w:hAnsi="Arial" w:cs="Arial"/>
          <w:sz w:val="24"/>
          <w:szCs w:val="24"/>
        </w:rPr>
        <w:t xml:space="preserve"> que pertenecen</w:t>
      </w:r>
      <w:r>
        <w:rPr>
          <w:rFonts w:ascii="Arial" w:hAnsi="Arial" w:cs="Arial"/>
          <w:sz w:val="24"/>
          <w:szCs w:val="24"/>
        </w:rPr>
        <w:t>;</w:t>
      </w:r>
      <w:r w:rsidR="007B5518">
        <w:rPr>
          <w:rFonts w:ascii="Arial" w:hAnsi="Arial" w:cs="Arial"/>
          <w:sz w:val="24"/>
          <w:szCs w:val="24"/>
        </w:rPr>
        <w:t xml:space="preserve"> y respecto de</w:t>
      </w:r>
      <w:r w:rsidR="003B24B8">
        <w:rPr>
          <w:rFonts w:ascii="Arial" w:hAnsi="Arial" w:cs="Arial"/>
          <w:sz w:val="24"/>
          <w:szCs w:val="24"/>
        </w:rPr>
        <w:t xml:space="preserve"> las copias cert</w:t>
      </w:r>
      <w:r w:rsidR="007B5518">
        <w:rPr>
          <w:rFonts w:ascii="Arial" w:hAnsi="Arial" w:cs="Arial"/>
          <w:sz w:val="24"/>
          <w:szCs w:val="24"/>
        </w:rPr>
        <w:t>i</w:t>
      </w:r>
      <w:r w:rsidR="003B24B8">
        <w:rPr>
          <w:rFonts w:ascii="Arial" w:hAnsi="Arial" w:cs="Arial"/>
          <w:sz w:val="24"/>
          <w:szCs w:val="24"/>
        </w:rPr>
        <w:t xml:space="preserve">ficadas </w:t>
      </w:r>
      <w:r w:rsidRPr="001042B6">
        <w:rPr>
          <w:rFonts w:ascii="Arial" w:hAnsi="Arial" w:cs="Arial"/>
          <w:sz w:val="24"/>
          <w:szCs w:val="24"/>
        </w:rPr>
        <w:t xml:space="preserve">porque </w:t>
      </w:r>
      <w:r w:rsidR="007B5518">
        <w:rPr>
          <w:rFonts w:ascii="Arial" w:hAnsi="Arial" w:cs="Arial"/>
          <w:sz w:val="24"/>
          <w:szCs w:val="24"/>
        </w:rPr>
        <w:t xml:space="preserve">fueron cotejadas por una persona con plenas facultades para ello, </w:t>
      </w:r>
      <w:r w:rsidRPr="001042B6">
        <w:rPr>
          <w:rFonts w:ascii="Arial" w:hAnsi="Arial" w:cs="Arial"/>
          <w:sz w:val="24"/>
          <w:szCs w:val="24"/>
        </w:rPr>
        <w:t xml:space="preserve">de conformidad con lo dispuesto en el artículo 7 fracción X del Reglamento Interno de la Oficina de Pensiones del Estado de Oaxaca, </w:t>
      </w:r>
      <w:r w:rsidR="007B5518">
        <w:rPr>
          <w:rFonts w:ascii="Arial" w:hAnsi="Arial" w:cs="Arial"/>
          <w:sz w:val="24"/>
          <w:szCs w:val="24"/>
        </w:rPr>
        <w:t xml:space="preserve">pues </w:t>
      </w:r>
      <w:r w:rsidRPr="001042B6">
        <w:rPr>
          <w:rFonts w:ascii="Arial" w:hAnsi="Arial" w:cs="Arial"/>
          <w:sz w:val="24"/>
          <w:szCs w:val="24"/>
        </w:rPr>
        <w:t xml:space="preserve">el Director Jurídico </w:t>
      </w:r>
      <w:r w:rsidR="007B5518">
        <w:rPr>
          <w:rFonts w:ascii="Arial" w:hAnsi="Arial" w:cs="Arial"/>
          <w:sz w:val="24"/>
          <w:szCs w:val="24"/>
        </w:rPr>
        <w:t>referido</w:t>
      </w:r>
      <w:r w:rsidRPr="001042B6">
        <w:rPr>
          <w:rFonts w:ascii="Arial" w:hAnsi="Arial" w:cs="Arial"/>
          <w:sz w:val="24"/>
          <w:szCs w:val="24"/>
        </w:rPr>
        <w:t>, es la persona facultada para certificar los documentos que obren en los archivos de esa Oficina, de ahí la convicción sobre su existencia</w:t>
      </w:r>
      <w:r>
        <w:rPr>
          <w:rFonts w:ascii="Arial" w:hAnsi="Arial" w:cs="Arial"/>
          <w:sz w:val="24"/>
          <w:szCs w:val="24"/>
        </w:rPr>
        <w:t xml:space="preserve"> y la veracidad de su contenido;</w:t>
      </w:r>
      <w:r w:rsidRPr="001042B6">
        <w:rPr>
          <w:rFonts w:ascii="Arial" w:hAnsi="Arial" w:cs="Arial"/>
          <w:sz w:val="24"/>
          <w:szCs w:val="24"/>
        </w:rPr>
        <w:t xml:space="preserve"> sirve de apoyo a lo anterior la jurisprudencia sustentada por la Suprema Corte de Justicia de la Nación, con datos de identificación: Gaceta del Semanario Judicial de la Federación, Libro 27, Febrero de 2016, Tomo I, Décima Época, pág. 873, Número de registro 2010988, Jurisprudencia (Común, Civil) Segunda Sala y bajo el rubro: “</w:t>
      </w:r>
      <w:r w:rsidRPr="001042B6">
        <w:rPr>
          <w:rFonts w:ascii="Arial" w:hAnsi="Arial" w:cs="Arial"/>
          <w:i/>
          <w:sz w:val="24"/>
          <w:szCs w:val="24"/>
        </w:rPr>
        <w:t>CERTIFICACIÓN DE COPIAS FOTOSTÁTICAS. ALCANCE DE LA EXPRESIÓN</w:t>
      </w:r>
      <w:r w:rsidRPr="001042B6">
        <w:rPr>
          <w:rFonts w:ascii="Arial" w:hAnsi="Arial" w:cs="Arial"/>
          <w:sz w:val="24"/>
          <w:szCs w:val="24"/>
        </w:rPr>
        <w:t xml:space="preserve"> “</w:t>
      </w:r>
      <w:r w:rsidRPr="001042B6">
        <w:rPr>
          <w:rFonts w:ascii="Arial" w:hAnsi="Arial" w:cs="Arial"/>
          <w:i/>
          <w:sz w:val="24"/>
          <w:szCs w:val="24"/>
        </w:rPr>
        <w:t>QUE CORRESPONDE A LO REPRESENTADO EN ELLAS”, CONTENIDA EN EL ARTÍCULO 217 DEL CÓDIGO FEDERAL DE PROCEDIMIENTOS CIVILES, TRATÁNDOSE DE LA EMITIDA POR AUTORIDADES ADMINISTRATIVAS EN EJERCICIO DE SUS FUNCIONES.</w:t>
      </w:r>
      <w:r w:rsidRPr="001042B6">
        <w:rPr>
          <w:rFonts w:ascii="Arial" w:hAnsi="Arial" w:cs="Arial"/>
          <w:sz w:val="24"/>
          <w:szCs w:val="24"/>
        </w:rPr>
        <w:t>”</w:t>
      </w:r>
    </w:p>
    <w:p w14:paraId="17AAB8DD" w14:textId="25CCFBB7" w:rsidR="00A53D05" w:rsidRDefault="00A53D05" w:rsidP="00C67693">
      <w:pPr>
        <w:tabs>
          <w:tab w:val="center" w:pos="4574"/>
        </w:tabs>
        <w:spacing w:line="360" w:lineRule="auto"/>
        <w:ind w:firstLine="708"/>
        <w:jc w:val="both"/>
        <w:rPr>
          <w:rFonts w:ascii="Arial" w:hAnsi="Arial" w:cs="Arial"/>
          <w:sz w:val="24"/>
          <w:szCs w:val="24"/>
        </w:rPr>
      </w:pPr>
      <w:r>
        <w:rPr>
          <w:rFonts w:ascii="Arial" w:hAnsi="Arial" w:cs="Arial"/>
          <w:sz w:val="24"/>
          <w:szCs w:val="24"/>
        </w:rPr>
        <w:t xml:space="preserve">Respecto de las </w:t>
      </w:r>
      <w:r w:rsidRPr="00A53D05">
        <w:rPr>
          <w:rFonts w:ascii="Arial" w:hAnsi="Arial" w:cs="Arial"/>
          <w:b/>
          <w:sz w:val="24"/>
          <w:szCs w:val="24"/>
        </w:rPr>
        <w:t>copias simples</w:t>
      </w:r>
      <w:r>
        <w:rPr>
          <w:rFonts w:ascii="Arial" w:hAnsi="Arial" w:cs="Arial"/>
          <w:sz w:val="24"/>
          <w:szCs w:val="24"/>
        </w:rPr>
        <w:t xml:space="preserve"> remitidas por </w:t>
      </w:r>
      <w:r w:rsidR="00F571D8">
        <w:rPr>
          <w:rFonts w:ascii="Arial" w:hAnsi="Arial" w:cs="Arial"/>
          <w:sz w:val="24"/>
          <w:szCs w:val="24"/>
        </w:rPr>
        <w:t xml:space="preserve">el actor, </w:t>
      </w:r>
      <w:r w:rsidR="0088762B">
        <w:rPr>
          <w:rFonts w:ascii="Arial" w:hAnsi="Arial" w:cs="Arial"/>
          <w:sz w:val="24"/>
          <w:szCs w:val="24"/>
        </w:rPr>
        <w:t>contrario a la objeción planteada por la autoridad demandada,</w:t>
      </w:r>
      <w:r>
        <w:rPr>
          <w:rFonts w:ascii="Arial" w:hAnsi="Arial" w:cs="Arial"/>
          <w:sz w:val="24"/>
          <w:szCs w:val="24"/>
        </w:rPr>
        <w:t xml:space="preserve"> se les otorga </w:t>
      </w:r>
      <w:r w:rsidR="00F571D8">
        <w:rPr>
          <w:rFonts w:ascii="Arial" w:hAnsi="Arial" w:cs="Arial"/>
          <w:b/>
          <w:sz w:val="24"/>
          <w:szCs w:val="24"/>
        </w:rPr>
        <w:t xml:space="preserve">valor probatorio pleno, </w:t>
      </w:r>
      <w:r w:rsidR="00F571D8" w:rsidRPr="001042B6">
        <w:rPr>
          <w:rFonts w:ascii="Arial" w:hAnsi="Arial" w:cs="Arial"/>
          <w:sz w:val="24"/>
          <w:szCs w:val="24"/>
        </w:rPr>
        <w:t>porque</w:t>
      </w:r>
      <w:r w:rsidR="00F571D8">
        <w:rPr>
          <w:rFonts w:ascii="Arial" w:hAnsi="Arial" w:cs="Arial"/>
          <w:sz w:val="24"/>
          <w:szCs w:val="24"/>
        </w:rPr>
        <w:t xml:space="preserve"> los nombramientos que en copia simple remitió el actor, fueron remitidos a su vez por el </w:t>
      </w:r>
      <w:proofErr w:type="gramStart"/>
      <w:r w:rsidR="00F571D8">
        <w:rPr>
          <w:rFonts w:ascii="Arial" w:hAnsi="Arial" w:cs="Arial"/>
          <w:sz w:val="24"/>
          <w:szCs w:val="24"/>
        </w:rPr>
        <w:t>Director</w:t>
      </w:r>
      <w:proofErr w:type="gramEnd"/>
      <w:r w:rsidR="00F571D8">
        <w:rPr>
          <w:rFonts w:ascii="Arial" w:hAnsi="Arial" w:cs="Arial"/>
          <w:sz w:val="24"/>
          <w:szCs w:val="24"/>
        </w:rPr>
        <w:t xml:space="preserve"> de Recursos Humanos de la Secretaría de Administración en copia certificada, como soporte del informe que rindió, de ahí que se desestime la objeción planteada, y el valor otorgado a los documentos en análisis.</w:t>
      </w:r>
    </w:p>
    <w:p w14:paraId="605267B2" w14:textId="5DACB2CA" w:rsidR="00413791" w:rsidRPr="001042B6" w:rsidRDefault="00413791" w:rsidP="00413791">
      <w:pPr>
        <w:tabs>
          <w:tab w:val="center" w:pos="4574"/>
        </w:tabs>
        <w:spacing w:line="360" w:lineRule="auto"/>
        <w:ind w:firstLine="708"/>
        <w:jc w:val="both"/>
        <w:rPr>
          <w:rFonts w:ascii="Arial" w:hAnsi="Arial" w:cs="Arial"/>
          <w:sz w:val="24"/>
          <w:szCs w:val="24"/>
        </w:rPr>
      </w:pPr>
      <w:r w:rsidRPr="001042B6">
        <w:rPr>
          <w:rFonts w:ascii="Arial" w:hAnsi="Arial" w:cs="Arial"/>
          <w:sz w:val="24"/>
          <w:szCs w:val="24"/>
        </w:rPr>
        <w:t xml:space="preserve">Luego entonces, las documentales ofrecidas, cumplen con los requisitos de validez y eficacia, quedando de manifiesto la veracidad de su contenido, de conformidad a lo que establece el citado artículo 203 fracción I </w:t>
      </w:r>
      <w:r w:rsidR="00A53D05">
        <w:rPr>
          <w:rFonts w:ascii="Arial" w:hAnsi="Arial" w:cs="Arial"/>
          <w:sz w:val="24"/>
          <w:szCs w:val="24"/>
        </w:rPr>
        <w:t xml:space="preserve">y II </w:t>
      </w:r>
      <w:r w:rsidRPr="001042B6">
        <w:rPr>
          <w:rFonts w:ascii="Arial" w:hAnsi="Arial" w:cs="Arial"/>
          <w:sz w:val="24"/>
          <w:szCs w:val="24"/>
        </w:rPr>
        <w:t>de la Ley de Procedimiento y Justicia Administrativa para el Estado de Oaxaca.</w:t>
      </w:r>
    </w:p>
    <w:p w14:paraId="5460FBFE" w14:textId="4D1B5D33" w:rsidR="00413791" w:rsidRPr="001042B6" w:rsidRDefault="00413791" w:rsidP="00413791">
      <w:pPr>
        <w:tabs>
          <w:tab w:val="center" w:pos="4574"/>
        </w:tabs>
        <w:spacing w:before="240" w:line="360" w:lineRule="auto"/>
        <w:ind w:firstLine="708"/>
        <w:jc w:val="both"/>
        <w:rPr>
          <w:rFonts w:ascii="Arial" w:hAnsi="Arial" w:cs="Arial"/>
          <w:sz w:val="24"/>
          <w:szCs w:val="24"/>
        </w:rPr>
      </w:pPr>
      <w:r w:rsidRPr="001042B6">
        <w:rPr>
          <w:rFonts w:ascii="Arial" w:hAnsi="Arial" w:cs="Arial"/>
          <w:sz w:val="24"/>
          <w:szCs w:val="24"/>
        </w:rPr>
        <w:lastRenderedPageBreak/>
        <w:t xml:space="preserve">LA INSTRUMENTAL DE ACTUACIONES, ofrecida por la </w:t>
      </w:r>
      <w:r w:rsidR="00367074">
        <w:rPr>
          <w:rFonts w:ascii="Arial" w:hAnsi="Arial" w:cs="Arial"/>
          <w:sz w:val="24"/>
          <w:szCs w:val="24"/>
        </w:rPr>
        <w:t xml:space="preserve">parte </w:t>
      </w:r>
      <w:r w:rsidRPr="001042B6">
        <w:rPr>
          <w:rFonts w:ascii="Arial" w:hAnsi="Arial" w:cs="Arial"/>
          <w:sz w:val="24"/>
          <w:szCs w:val="24"/>
        </w:rPr>
        <w:t xml:space="preserve">actora y </w:t>
      </w:r>
      <w:r w:rsidR="00367074">
        <w:rPr>
          <w:rFonts w:ascii="Arial" w:hAnsi="Arial" w:cs="Arial"/>
          <w:sz w:val="24"/>
          <w:szCs w:val="24"/>
        </w:rPr>
        <w:t xml:space="preserve">autoridad </w:t>
      </w:r>
      <w:r w:rsidRPr="001042B6">
        <w:rPr>
          <w:rFonts w:ascii="Arial" w:hAnsi="Arial" w:cs="Arial"/>
          <w:sz w:val="24"/>
          <w:szCs w:val="24"/>
        </w:rPr>
        <w:t xml:space="preserve">demandada, se constituye de la totalidad de las pruebas recabadas en el presente Juicio, y con ellas se confirma el contenido del enjuiciamiento, porque los hechos contenidos en las documentales son afirmaciones expresadas por ellas. </w:t>
      </w:r>
    </w:p>
    <w:p w14:paraId="27B0216E" w14:textId="51061CB2" w:rsidR="00413791" w:rsidRPr="001042B6" w:rsidRDefault="00413791" w:rsidP="00413791">
      <w:pPr>
        <w:tabs>
          <w:tab w:val="center" w:pos="4574"/>
        </w:tabs>
        <w:spacing w:before="240" w:line="360" w:lineRule="auto"/>
        <w:ind w:firstLine="708"/>
        <w:jc w:val="both"/>
        <w:rPr>
          <w:rFonts w:ascii="Arial" w:hAnsi="Arial" w:cs="Arial"/>
          <w:sz w:val="24"/>
          <w:szCs w:val="24"/>
        </w:rPr>
      </w:pPr>
      <w:r w:rsidRPr="001042B6">
        <w:rPr>
          <w:rFonts w:ascii="Arial" w:hAnsi="Arial" w:cs="Arial"/>
          <w:sz w:val="24"/>
          <w:szCs w:val="24"/>
        </w:rPr>
        <w:t xml:space="preserve">LA PRESUNCIONAL LEGAL Y HUMANA también ofrecida por la </w:t>
      </w:r>
      <w:r w:rsidR="00367074">
        <w:rPr>
          <w:rFonts w:ascii="Arial" w:hAnsi="Arial" w:cs="Arial"/>
          <w:sz w:val="24"/>
          <w:szCs w:val="24"/>
        </w:rPr>
        <w:t xml:space="preserve">parte </w:t>
      </w:r>
      <w:r w:rsidRPr="001042B6">
        <w:rPr>
          <w:rFonts w:ascii="Arial" w:hAnsi="Arial" w:cs="Arial"/>
          <w:sz w:val="24"/>
          <w:szCs w:val="24"/>
        </w:rPr>
        <w:t xml:space="preserve">actora y autoridad demandada, se basa en los principios que las rigen, consistentes en determinar la consecuencia que la ley deduce de un hecho conocido, para averiguar la verdad de otro desconocido, y </w:t>
      </w:r>
      <w:proofErr w:type="gramStart"/>
      <w:r w:rsidRPr="001042B6">
        <w:rPr>
          <w:rFonts w:ascii="Arial" w:hAnsi="Arial" w:cs="Arial"/>
          <w:sz w:val="24"/>
          <w:szCs w:val="24"/>
        </w:rPr>
        <w:t>que</w:t>
      </w:r>
      <w:proofErr w:type="gramEnd"/>
      <w:r w:rsidRPr="001042B6">
        <w:rPr>
          <w:rFonts w:ascii="Arial" w:hAnsi="Arial" w:cs="Arial"/>
          <w:sz w:val="24"/>
          <w:szCs w:val="24"/>
        </w:rPr>
        <w:t xml:space="preserve"> de no ofrecerse prueba en contrario, se acredita de este modo el hecho desconocido. En tanto que la presunción humana, es una inferencia que el Juez deduce de un hecho desconocido, obtenido de la totalidad de las pruebas para arribar al que se desconoce. - - - - - - - - - - - - - - - - - - - - - - - - </w:t>
      </w:r>
      <w:r>
        <w:rPr>
          <w:rFonts w:ascii="Arial" w:hAnsi="Arial" w:cs="Arial"/>
          <w:sz w:val="24"/>
          <w:szCs w:val="24"/>
        </w:rPr>
        <w:t xml:space="preserve">- </w:t>
      </w:r>
      <w:r w:rsidR="000D0E14">
        <w:rPr>
          <w:rFonts w:ascii="Arial" w:hAnsi="Arial" w:cs="Arial"/>
          <w:sz w:val="24"/>
          <w:szCs w:val="24"/>
        </w:rPr>
        <w:t>- - - - - - - - - - - - - - - - - - - - - -</w:t>
      </w:r>
    </w:p>
    <w:p w14:paraId="2AFF50DA" w14:textId="49BC21B0" w:rsidR="00413791" w:rsidRPr="001042B6" w:rsidRDefault="00413791" w:rsidP="00413791">
      <w:pPr>
        <w:tabs>
          <w:tab w:val="center" w:pos="4574"/>
        </w:tabs>
        <w:spacing w:line="360" w:lineRule="auto"/>
        <w:ind w:firstLine="708"/>
        <w:jc w:val="both"/>
        <w:rPr>
          <w:rFonts w:cs="Arial"/>
          <w:sz w:val="24"/>
        </w:rPr>
      </w:pPr>
      <w:proofErr w:type="gramStart"/>
      <w:r w:rsidRPr="001042B6">
        <w:rPr>
          <w:rFonts w:ascii="Arial" w:hAnsi="Arial" w:cs="Arial"/>
          <w:b/>
          <w:sz w:val="24"/>
          <w:szCs w:val="24"/>
        </w:rPr>
        <w:t>TERCERO.-</w:t>
      </w:r>
      <w:proofErr w:type="gramEnd"/>
      <w:r w:rsidR="00367074">
        <w:rPr>
          <w:rFonts w:ascii="Arial" w:hAnsi="Arial" w:cs="Arial"/>
          <w:b/>
          <w:sz w:val="24"/>
          <w:szCs w:val="24"/>
        </w:rPr>
        <w:t xml:space="preserve"> AGRAVIOS.- </w:t>
      </w:r>
      <w:r w:rsidR="00087D42">
        <w:rPr>
          <w:rFonts w:ascii="Arial" w:hAnsi="Arial" w:cs="Arial"/>
          <w:sz w:val="24"/>
        </w:rPr>
        <w:t>Esta</w:t>
      </w:r>
      <w:r w:rsidR="00C67693">
        <w:rPr>
          <w:rFonts w:ascii="Arial" w:hAnsi="Arial" w:cs="Arial"/>
          <w:sz w:val="24"/>
        </w:rPr>
        <w:t xml:space="preserve"> Juzgadora</w:t>
      </w:r>
      <w:r w:rsidRPr="001042B6">
        <w:rPr>
          <w:rFonts w:ascii="Arial" w:hAnsi="Arial" w:cs="Arial"/>
          <w:sz w:val="24"/>
        </w:rPr>
        <w:t xml:space="preserve"> no realiza la transcripción de los agravios vertidos por la</w:t>
      </w:r>
      <w:r w:rsidR="00C67693">
        <w:rPr>
          <w:rFonts w:ascii="Arial" w:hAnsi="Arial" w:cs="Arial"/>
          <w:sz w:val="24"/>
        </w:rPr>
        <w:t xml:space="preserve"> parte</w:t>
      </w:r>
      <w:r w:rsidRPr="001042B6">
        <w:rPr>
          <w:rFonts w:ascii="Arial" w:hAnsi="Arial" w:cs="Arial"/>
          <w:sz w:val="24"/>
        </w:rPr>
        <w:t xml:space="preserve"> actora, toda vez que no existe disposición legal que obligue a ello; lo anterior con el fin de facilitar y agilizar el estudio de la presente resolución. Sirve de apoyo a lo anterior, la Jurisprudencia cuyo rubro es: </w:t>
      </w:r>
      <w:r w:rsidRPr="001042B6">
        <w:rPr>
          <w:rFonts w:ascii="Arial" w:hAnsi="Arial" w:cs="Arial"/>
          <w:i/>
          <w:sz w:val="24"/>
        </w:rPr>
        <w:t>CONCEPTOS DE VIOLACIÓN O AGRAVIOS. PARA CUMPLIR CON LOS PRINCIPIOS DE CONGRUENCIA Y EXHAUSTIVIDAD EN LAS SENTENCIAS DE AMPARO ES INNECESARIA SU TRANSCRIPCIÓN.</w:t>
      </w:r>
      <w:r w:rsidRPr="001042B6">
        <w:rPr>
          <w:rFonts w:ascii="Arial" w:hAnsi="Arial" w:cs="Arial"/>
          <w:b/>
          <w:i/>
          <w:sz w:val="24"/>
        </w:rPr>
        <w:t xml:space="preserve"> </w:t>
      </w:r>
      <w:r w:rsidRPr="001042B6">
        <w:rPr>
          <w:rFonts w:ascii="Arial" w:hAnsi="Arial" w:cs="Arial"/>
          <w:i/>
          <w:sz w:val="24"/>
        </w:rPr>
        <w:t xml:space="preserve">Visible en la Novena Época, pág. 830, registro 164618, Jurisprudencia Común, Segunda Sala, del Semanario Judicial de la Federación y su </w:t>
      </w:r>
      <w:proofErr w:type="gramStart"/>
      <w:r w:rsidRPr="001042B6">
        <w:rPr>
          <w:rFonts w:ascii="Arial" w:hAnsi="Arial" w:cs="Arial"/>
          <w:i/>
          <w:sz w:val="24"/>
        </w:rPr>
        <w:t>Gaceta</w:t>
      </w:r>
      <w:r w:rsidRPr="001042B6">
        <w:rPr>
          <w:rFonts w:ascii="Arial" w:hAnsi="Arial" w:cs="Arial"/>
          <w:sz w:val="24"/>
        </w:rPr>
        <w:t>.-</w:t>
      </w:r>
      <w:proofErr w:type="gramEnd"/>
      <w:r w:rsidRPr="001042B6">
        <w:rPr>
          <w:rFonts w:ascii="Arial" w:hAnsi="Arial" w:cs="Arial"/>
          <w:sz w:val="24"/>
        </w:rPr>
        <w:t xml:space="preserve"> - - - - - - </w:t>
      </w:r>
    </w:p>
    <w:p w14:paraId="1FCD9782" w14:textId="7DA54ADF" w:rsidR="00413791" w:rsidRPr="001042B6" w:rsidRDefault="00413791" w:rsidP="00D83FB8">
      <w:pPr>
        <w:tabs>
          <w:tab w:val="center" w:pos="4574"/>
        </w:tabs>
        <w:spacing w:line="360" w:lineRule="auto"/>
        <w:ind w:firstLine="708"/>
        <w:jc w:val="both"/>
        <w:rPr>
          <w:rFonts w:ascii="Arial" w:hAnsi="Arial" w:cs="Arial"/>
          <w:sz w:val="24"/>
          <w:szCs w:val="24"/>
        </w:rPr>
      </w:pPr>
      <w:r w:rsidRPr="001042B6">
        <w:rPr>
          <w:rFonts w:ascii="Arial" w:hAnsi="Arial" w:cs="Arial"/>
          <w:b/>
          <w:sz w:val="24"/>
          <w:szCs w:val="24"/>
        </w:rPr>
        <w:t>CUARTO.-</w:t>
      </w:r>
      <w:r w:rsidR="00367074">
        <w:rPr>
          <w:rFonts w:ascii="Arial" w:hAnsi="Arial" w:cs="Arial"/>
          <w:b/>
          <w:sz w:val="24"/>
          <w:szCs w:val="24"/>
        </w:rPr>
        <w:t xml:space="preserve"> PERSONALIDAD.- </w:t>
      </w:r>
      <w:r w:rsidRPr="001042B6">
        <w:rPr>
          <w:rFonts w:ascii="Arial" w:hAnsi="Arial" w:cs="Arial"/>
          <w:sz w:val="24"/>
          <w:szCs w:val="24"/>
        </w:rPr>
        <w:t>La personalidad de</w:t>
      </w:r>
      <w:r w:rsidR="00087D42">
        <w:rPr>
          <w:rFonts w:ascii="Arial" w:hAnsi="Arial" w:cs="Arial"/>
          <w:sz w:val="24"/>
          <w:szCs w:val="24"/>
        </w:rPr>
        <w:t xml:space="preserve"> </w:t>
      </w:r>
      <w:r w:rsidRPr="001042B6">
        <w:rPr>
          <w:rFonts w:ascii="Arial" w:hAnsi="Arial" w:cs="Arial"/>
          <w:sz w:val="24"/>
          <w:szCs w:val="24"/>
        </w:rPr>
        <w:t>l</w:t>
      </w:r>
      <w:r w:rsidR="00087D42">
        <w:rPr>
          <w:rFonts w:ascii="Arial" w:hAnsi="Arial" w:cs="Arial"/>
          <w:sz w:val="24"/>
          <w:szCs w:val="24"/>
        </w:rPr>
        <w:t>a</w:t>
      </w:r>
      <w:r w:rsidRPr="001042B6">
        <w:rPr>
          <w:rFonts w:ascii="Arial" w:hAnsi="Arial" w:cs="Arial"/>
          <w:sz w:val="24"/>
          <w:szCs w:val="24"/>
        </w:rPr>
        <w:t xml:space="preserve"> </w:t>
      </w:r>
      <w:r w:rsidR="00367074">
        <w:rPr>
          <w:rFonts w:ascii="Arial" w:hAnsi="Arial" w:cs="Arial"/>
          <w:sz w:val="24"/>
          <w:szCs w:val="24"/>
        </w:rPr>
        <w:t xml:space="preserve">parte </w:t>
      </w:r>
      <w:r w:rsidRPr="001042B6">
        <w:rPr>
          <w:rFonts w:ascii="Arial" w:hAnsi="Arial" w:cs="Arial"/>
          <w:sz w:val="24"/>
          <w:szCs w:val="24"/>
        </w:rPr>
        <w:t>actor</w:t>
      </w:r>
      <w:r w:rsidR="00087D42">
        <w:rPr>
          <w:rFonts w:ascii="Arial" w:hAnsi="Arial" w:cs="Arial"/>
          <w:sz w:val="24"/>
          <w:szCs w:val="24"/>
        </w:rPr>
        <w:t>a</w:t>
      </w:r>
      <w:r w:rsidRPr="001042B6">
        <w:rPr>
          <w:rFonts w:ascii="Arial" w:hAnsi="Arial" w:cs="Arial"/>
          <w:sz w:val="24"/>
          <w:szCs w:val="24"/>
        </w:rPr>
        <w:t xml:space="preserve"> </w:t>
      </w:r>
      <w:r w:rsidR="00B56F8A">
        <w:rPr>
          <w:rFonts w:ascii="Arial" w:hAnsi="Arial" w:cs="Arial"/>
          <w:sz w:val="24"/>
          <w:szCs w:val="24"/>
        </w:rPr>
        <w:t>***** ***** ***** *****</w:t>
      </w:r>
      <w:r w:rsidRPr="001042B6">
        <w:rPr>
          <w:rFonts w:ascii="Arial" w:hAnsi="Arial" w:cs="Arial"/>
          <w:sz w:val="24"/>
          <w:szCs w:val="24"/>
        </w:rPr>
        <w:t xml:space="preserve">, quedó legalmente acreditada en términos de los artículos 163 fracción I, inciso a) y 164, ambos de la Ley de Procedimiento y Justicia Administrativa para el Estado, pues </w:t>
      </w:r>
      <w:r w:rsidR="00C67693">
        <w:rPr>
          <w:rFonts w:ascii="Arial" w:hAnsi="Arial" w:cs="Arial"/>
          <w:sz w:val="24"/>
          <w:szCs w:val="24"/>
        </w:rPr>
        <w:t xml:space="preserve">habiendo justificado la presentación de una petición escrita ante la autoridad demandada, y que no obtuvo respuesta a ella, justifica su personalidad para impugnar la resolución ficta recaída a la misma, </w:t>
      </w:r>
      <w:r w:rsidR="00D83FB8">
        <w:rPr>
          <w:rFonts w:ascii="Arial" w:hAnsi="Arial" w:cs="Arial"/>
          <w:sz w:val="24"/>
          <w:szCs w:val="24"/>
        </w:rPr>
        <w:t>pues al no obtener una respuesta favorable</w:t>
      </w:r>
      <w:r w:rsidRPr="001042B6">
        <w:rPr>
          <w:rFonts w:ascii="Arial" w:hAnsi="Arial" w:cs="Arial"/>
          <w:sz w:val="24"/>
          <w:szCs w:val="24"/>
        </w:rPr>
        <w:t xml:space="preserve"> surg</w:t>
      </w:r>
      <w:r w:rsidR="00D83FB8">
        <w:rPr>
          <w:rFonts w:ascii="Arial" w:hAnsi="Arial" w:cs="Arial"/>
          <w:sz w:val="24"/>
          <w:szCs w:val="24"/>
        </w:rPr>
        <w:t>e</w:t>
      </w:r>
      <w:r w:rsidRPr="001042B6">
        <w:rPr>
          <w:rFonts w:ascii="Arial" w:hAnsi="Arial" w:cs="Arial"/>
          <w:sz w:val="24"/>
          <w:szCs w:val="24"/>
        </w:rPr>
        <w:t xml:space="preserve"> la afectación a su esfera jurídica, por la cual instaura el presente Juicio, por lo que sin duda quedó justificada su personalidad jurídica y legítima en el presente </w:t>
      </w:r>
      <w:r w:rsidR="00D83FB8">
        <w:rPr>
          <w:rFonts w:ascii="Arial" w:hAnsi="Arial" w:cs="Arial"/>
          <w:sz w:val="24"/>
          <w:szCs w:val="24"/>
        </w:rPr>
        <w:t>asunto</w:t>
      </w:r>
      <w:r w:rsidRPr="001042B6">
        <w:rPr>
          <w:rFonts w:ascii="Arial" w:hAnsi="Arial" w:cs="Arial"/>
          <w:sz w:val="24"/>
          <w:szCs w:val="24"/>
        </w:rPr>
        <w:t>.</w:t>
      </w:r>
    </w:p>
    <w:p w14:paraId="2D3A27AD" w14:textId="4547DA74" w:rsidR="00413791" w:rsidRPr="001042B6" w:rsidRDefault="00413791" w:rsidP="00413791">
      <w:pPr>
        <w:tabs>
          <w:tab w:val="center" w:pos="4574"/>
        </w:tabs>
        <w:spacing w:line="360" w:lineRule="auto"/>
        <w:ind w:firstLine="708"/>
        <w:jc w:val="both"/>
        <w:rPr>
          <w:rFonts w:ascii="Arial" w:hAnsi="Arial" w:cs="Arial"/>
          <w:sz w:val="24"/>
        </w:rPr>
      </w:pPr>
      <w:r w:rsidRPr="001042B6">
        <w:rPr>
          <w:rFonts w:ascii="Arial" w:hAnsi="Arial" w:cs="Arial"/>
          <w:sz w:val="24"/>
          <w:szCs w:val="24"/>
        </w:rPr>
        <w:t xml:space="preserve">Por lo que respecta a </w:t>
      </w:r>
      <w:r w:rsidRPr="001042B6">
        <w:rPr>
          <w:rFonts w:ascii="Arial" w:hAnsi="Arial" w:cs="Arial"/>
          <w:b/>
          <w:sz w:val="24"/>
          <w:szCs w:val="24"/>
        </w:rPr>
        <w:t>l</w:t>
      </w:r>
      <w:r w:rsidRPr="001042B6">
        <w:rPr>
          <w:rFonts w:ascii="Arial" w:hAnsi="Arial" w:cs="Arial"/>
          <w:b/>
          <w:sz w:val="24"/>
        </w:rPr>
        <w:t>a autoridad demandada</w:t>
      </w:r>
      <w:r w:rsidRPr="001042B6">
        <w:rPr>
          <w:rFonts w:ascii="Arial" w:hAnsi="Arial" w:cs="Arial"/>
          <w:sz w:val="24"/>
        </w:rPr>
        <w:t xml:space="preserve"> Director General de la Oficina de Pensiones, se tiene por acreditada su personalidad en términos del artículo 151 de la Ley de Procedimiento y Justicia Administrativa del Estado de Oaxaca, toda vez que ésta no fu</w:t>
      </w:r>
      <w:r w:rsidR="00FF40B1">
        <w:rPr>
          <w:rFonts w:ascii="Arial" w:hAnsi="Arial" w:cs="Arial"/>
          <w:sz w:val="24"/>
        </w:rPr>
        <w:t xml:space="preserve">e impugnada por la parte </w:t>
      </w:r>
      <w:proofErr w:type="gramStart"/>
      <w:r w:rsidR="00FF40B1">
        <w:rPr>
          <w:rFonts w:ascii="Arial" w:hAnsi="Arial" w:cs="Arial"/>
          <w:sz w:val="24"/>
        </w:rPr>
        <w:t>actora</w:t>
      </w:r>
      <w:r w:rsidRPr="001042B6">
        <w:rPr>
          <w:rFonts w:ascii="Arial" w:hAnsi="Arial" w:cs="Arial"/>
          <w:sz w:val="24"/>
        </w:rPr>
        <w:t>.-</w:t>
      </w:r>
      <w:proofErr w:type="gramEnd"/>
      <w:r w:rsidRPr="001042B6">
        <w:rPr>
          <w:rFonts w:ascii="Arial" w:hAnsi="Arial" w:cs="Arial"/>
          <w:sz w:val="24"/>
        </w:rPr>
        <w:t xml:space="preserve"> </w:t>
      </w:r>
      <w:r w:rsidR="00124121">
        <w:rPr>
          <w:rFonts w:ascii="Arial" w:hAnsi="Arial" w:cs="Arial"/>
          <w:sz w:val="24"/>
        </w:rPr>
        <w:t xml:space="preserve">- - - - - </w:t>
      </w:r>
    </w:p>
    <w:p w14:paraId="2B10DC55" w14:textId="1AA1A2D4" w:rsidR="00413791" w:rsidRPr="001042B6" w:rsidRDefault="00413791" w:rsidP="00413791">
      <w:pPr>
        <w:tabs>
          <w:tab w:val="center" w:pos="4574"/>
        </w:tabs>
        <w:spacing w:line="360" w:lineRule="auto"/>
        <w:ind w:firstLine="708"/>
        <w:jc w:val="both"/>
        <w:rPr>
          <w:rFonts w:ascii="Arial" w:hAnsi="Arial" w:cs="Arial"/>
          <w:sz w:val="24"/>
          <w:szCs w:val="24"/>
        </w:rPr>
      </w:pPr>
      <w:proofErr w:type="gramStart"/>
      <w:r w:rsidRPr="001042B6">
        <w:rPr>
          <w:rFonts w:ascii="Arial" w:hAnsi="Arial" w:cs="Arial"/>
          <w:b/>
          <w:sz w:val="24"/>
          <w:szCs w:val="24"/>
        </w:rPr>
        <w:lastRenderedPageBreak/>
        <w:t>QUINTO.-</w:t>
      </w:r>
      <w:proofErr w:type="gramEnd"/>
      <w:r w:rsidR="00367074">
        <w:rPr>
          <w:rFonts w:ascii="Arial" w:hAnsi="Arial" w:cs="Arial"/>
          <w:b/>
          <w:sz w:val="24"/>
          <w:szCs w:val="24"/>
        </w:rPr>
        <w:t xml:space="preserve"> IMPROCEDENCIA Y SOBRESEIMIENTO.- </w:t>
      </w:r>
      <w:r w:rsidRPr="001042B6">
        <w:rPr>
          <w:rFonts w:ascii="Arial" w:hAnsi="Arial" w:cs="Arial"/>
          <w:sz w:val="24"/>
          <w:szCs w:val="24"/>
        </w:rPr>
        <w:t xml:space="preserve">Las causales de </w:t>
      </w:r>
      <w:r w:rsidRPr="001042B6">
        <w:rPr>
          <w:rFonts w:ascii="Arial" w:hAnsi="Arial" w:cs="Arial"/>
          <w:b/>
          <w:sz w:val="24"/>
          <w:szCs w:val="24"/>
        </w:rPr>
        <w:t xml:space="preserve">improcedencia y sobreseimiento </w:t>
      </w:r>
      <w:r w:rsidRPr="001042B6">
        <w:rPr>
          <w:rFonts w:ascii="Arial" w:hAnsi="Arial" w:cs="Arial"/>
          <w:sz w:val="24"/>
          <w:szCs w:val="24"/>
        </w:rPr>
        <w:t xml:space="preserve">son de orden público y de estudio preferente a cualquier otra cuestión, porque aún de oficio deben ser examinadas, pues de actualizarse alguna de las hipótesis normativas, surge un impedimento para resolver el fondo del asunto, que obliga a declarar el sobreseimiento, tal y como se establece en los artículos 161 y 162, de la Ley de Procedimiento y Justicia Administrativa para el Estado de Oaxaca. </w:t>
      </w:r>
    </w:p>
    <w:p w14:paraId="40E18378" w14:textId="08BC4864" w:rsidR="009E5D9C" w:rsidRDefault="00413791" w:rsidP="00D83FB8">
      <w:pPr>
        <w:pStyle w:val="corte4fondoCarCarCar"/>
        <w:spacing w:before="240"/>
        <w:ind w:firstLine="708"/>
        <w:rPr>
          <w:rFonts w:cs="Arial"/>
          <w:bCs/>
          <w:sz w:val="24"/>
        </w:rPr>
      </w:pPr>
      <w:r w:rsidRPr="001042B6">
        <w:rPr>
          <w:rFonts w:cs="Arial"/>
          <w:bCs/>
          <w:sz w:val="24"/>
        </w:rPr>
        <w:t>La autoridad demanda hizo valer la</w:t>
      </w:r>
      <w:r w:rsidR="009E5D9C">
        <w:rPr>
          <w:rFonts w:cs="Arial"/>
          <w:bCs/>
          <w:sz w:val="24"/>
        </w:rPr>
        <w:t>s</w:t>
      </w:r>
      <w:r w:rsidRPr="001042B6">
        <w:rPr>
          <w:rFonts w:cs="Arial"/>
          <w:bCs/>
          <w:sz w:val="24"/>
        </w:rPr>
        <w:t xml:space="preserve"> </w:t>
      </w:r>
      <w:r w:rsidR="009E5D9C" w:rsidRPr="001042B6">
        <w:rPr>
          <w:rFonts w:cs="Arial"/>
          <w:bCs/>
          <w:sz w:val="24"/>
        </w:rPr>
        <w:t>excepcion</w:t>
      </w:r>
      <w:r w:rsidR="009E5D9C">
        <w:rPr>
          <w:rFonts w:cs="Arial"/>
          <w:bCs/>
          <w:sz w:val="24"/>
        </w:rPr>
        <w:t>es</w:t>
      </w:r>
      <w:r w:rsidRPr="001042B6">
        <w:rPr>
          <w:rFonts w:cs="Arial"/>
          <w:bCs/>
          <w:sz w:val="24"/>
        </w:rPr>
        <w:t xml:space="preserve"> de </w:t>
      </w:r>
      <w:r w:rsidRPr="009E5D9C">
        <w:rPr>
          <w:rFonts w:cs="Arial"/>
          <w:bCs/>
          <w:sz w:val="24"/>
        </w:rPr>
        <w:t>falta de acción y derecho del actor</w:t>
      </w:r>
      <w:r>
        <w:rPr>
          <w:rFonts w:cs="Arial"/>
          <w:bCs/>
          <w:sz w:val="24"/>
        </w:rPr>
        <w:t>,</w:t>
      </w:r>
      <w:r w:rsidR="009E5D9C">
        <w:rPr>
          <w:rFonts w:cs="Arial"/>
          <w:bCs/>
          <w:sz w:val="24"/>
        </w:rPr>
        <w:t xml:space="preserve"> </w:t>
      </w:r>
      <w:r w:rsidR="009B2DF0">
        <w:rPr>
          <w:rFonts w:cs="Arial"/>
          <w:bCs/>
          <w:sz w:val="24"/>
        </w:rPr>
        <w:t xml:space="preserve">la prescripción </w:t>
      </w:r>
      <w:r w:rsidR="009E5D9C">
        <w:rPr>
          <w:rFonts w:cs="Arial"/>
          <w:bCs/>
          <w:sz w:val="24"/>
        </w:rPr>
        <w:t xml:space="preserve">y la falsedad de los hechos en que funda su demanda; </w:t>
      </w:r>
      <w:r>
        <w:rPr>
          <w:rFonts w:cs="Arial"/>
          <w:bCs/>
          <w:sz w:val="24"/>
        </w:rPr>
        <w:t>basando su</w:t>
      </w:r>
      <w:r w:rsidR="009E5D9C">
        <w:rPr>
          <w:rFonts w:cs="Arial"/>
          <w:bCs/>
          <w:sz w:val="24"/>
        </w:rPr>
        <w:t>s</w:t>
      </w:r>
      <w:r>
        <w:rPr>
          <w:rFonts w:cs="Arial"/>
          <w:bCs/>
          <w:sz w:val="24"/>
        </w:rPr>
        <w:t xml:space="preserve"> argumento</w:t>
      </w:r>
      <w:r w:rsidR="009E5D9C">
        <w:rPr>
          <w:rFonts w:cs="Arial"/>
          <w:bCs/>
          <w:sz w:val="24"/>
        </w:rPr>
        <w:t xml:space="preserve">s respecto de la primera excepción referida, </w:t>
      </w:r>
      <w:r>
        <w:rPr>
          <w:rFonts w:cs="Arial"/>
          <w:bCs/>
          <w:sz w:val="24"/>
        </w:rPr>
        <w:t xml:space="preserve">en que </w:t>
      </w:r>
      <w:r w:rsidRPr="001042B6">
        <w:rPr>
          <w:rFonts w:cs="Arial"/>
          <w:bCs/>
          <w:sz w:val="24"/>
        </w:rPr>
        <w:t xml:space="preserve">ésta se actualiza porque el acto impugnado es </w:t>
      </w:r>
      <w:r w:rsidRPr="00DF4FFD">
        <w:rPr>
          <w:rFonts w:cs="Arial"/>
          <w:bCs/>
          <w:sz w:val="24"/>
        </w:rPr>
        <w:t>válido, de conformidad al artícu</w:t>
      </w:r>
      <w:r w:rsidR="009E5D9C" w:rsidRPr="00DF4FFD">
        <w:rPr>
          <w:rFonts w:cs="Arial"/>
          <w:bCs/>
          <w:sz w:val="24"/>
        </w:rPr>
        <w:t>lo 17 de la Ley de la Materia, sin embargo</w:t>
      </w:r>
      <w:r w:rsidR="00DF4FFD">
        <w:rPr>
          <w:rFonts w:cs="Arial"/>
          <w:bCs/>
          <w:sz w:val="24"/>
        </w:rPr>
        <w:t>,</w:t>
      </w:r>
      <w:r w:rsidR="009E5D9C" w:rsidRPr="00DF4FFD">
        <w:rPr>
          <w:rFonts w:cs="Arial"/>
          <w:bCs/>
          <w:sz w:val="24"/>
        </w:rPr>
        <w:t xml:space="preserve"> como se refirió</w:t>
      </w:r>
      <w:r w:rsidR="009E5D9C">
        <w:rPr>
          <w:rFonts w:cs="Arial"/>
          <w:bCs/>
          <w:sz w:val="24"/>
        </w:rPr>
        <w:t xml:space="preserve"> en el considerando que antecede, </w:t>
      </w:r>
      <w:r w:rsidR="00D83FB8">
        <w:rPr>
          <w:rFonts w:cs="Arial"/>
          <w:bCs/>
          <w:sz w:val="24"/>
        </w:rPr>
        <w:t>el hecho de que el actor haya justificado la presentación de una petición escrita ante la autoridad demandada y no haya obtenido respuesta a ella en los plazos dispuestos para tal efecto, genera u</w:t>
      </w:r>
      <w:r w:rsidR="007D6C72">
        <w:rPr>
          <w:rFonts w:cs="Arial"/>
          <w:bCs/>
          <w:sz w:val="24"/>
        </w:rPr>
        <w:t>n</w:t>
      </w:r>
      <w:r w:rsidR="00D83FB8">
        <w:rPr>
          <w:rFonts w:cs="Arial"/>
          <w:bCs/>
          <w:sz w:val="24"/>
        </w:rPr>
        <w:t xml:space="preserve"> escenario en el que puede válidamente considerarse una resolución ficta en su contra, de ahí que le asista interés jurídico al instaurar el presente Juicio,</w:t>
      </w:r>
      <w:r w:rsidR="009E5D9C">
        <w:rPr>
          <w:rFonts w:cs="Arial"/>
          <w:bCs/>
          <w:sz w:val="24"/>
        </w:rPr>
        <w:t xml:space="preserve"> </w:t>
      </w:r>
      <w:r w:rsidR="00D83FB8">
        <w:rPr>
          <w:rFonts w:cs="Arial"/>
          <w:bCs/>
          <w:sz w:val="24"/>
        </w:rPr>
        <w:t>y</w:t>
      </w:r>
      <w:r w:rsidR="009E5D9C">
        <w:rPr>
          <w:rFonts w:cs="Arial"/>
          <w:bCs/>
          <w:sz w:val="24"/>
        </w:rPr>
        <w:t xml:space="preserve"> que la excepción planteada no se actualice</w:t>
      </w:r>
      <w:r w:rsidR="009E5D9C" w:rsidRPr="006E175A">
        <w:rPr>
          <w:rFonts w:cs="Arial"/>
          <w:bCs/>
          <w:sz w:val="24"/>
        </w:rPr>
        <w:t>; respecto de la falsedad de los hechos que refiere la autoridad demandada</w:t>
      </w:r>
      <w:r w:rsidR="00F263DA" w:rsidRPr="006E175A">
        <w:rPr>
          <w:rFonts w:cs="Arial"/>
          <w:bCs/>
          <w:sz w:val="24"/>
        </w:rPr>
        <w:t>,</w:t>
      </w:r>
      <w:r w:rsidR="009E5D9C" w:rsidRPr="006E175A">
        <w:rPr>
          <w:rFonts w:cs="Arial"/>
          <w:bCs/>
          <w:sz w:val="24"/>
        </w:rPr>
        <w:t xml:space="preserve"> tampoco se actualiza, pues en el escrito de demanda la </w:t>
      </w:r>
      <w:r w:rsidR="00A153CE" w:rsidRPr="006E175A">
        <w:rPr>
          <w:rFonts w:cs="Arial"/>
          <w:bCs/>
          <w:sz w:val="24"/>
        </w:rPr>
        <w:t xml:space="preserve">parte </w:t>
      </w:r>
      <w:r w:rsidR="009E5D9C" w:rsidRPr="006E175A">
        <w:rPr>
          <w:rFonts w:cs="Arial"/>
          <w:bCs/>
          <w:sz w:val="24"/>
        </w:rPr>
        <w:t>actora se concret</w:t>
      </w:r>
      <w:r w:rsidR="00F263DA" w:rsidRPr="006E175A">
        <w:rPr>
          <w:rFonts w:cs="Arial"/>
          <w:bCs/>
          <w:sz w:val="24"/>
        </w:rPr>
        <w:t xml:space="preserve">ó a señalar las fechas en que </w:t>
      </w:r>
      <w:r w:rsidR="00930546">
        <w:rPr>
          <w:rFonts w:cs="Arial"/>
          <w:bCs/>
          <w:sz w:val="24"/>
        </w:rPr>
        <w:t xml:space="preserve">laboró así como los puestos que ocupó, </w:t>
      </w:r>
      <w:r w:rsidR="00F263DA" w:rsidRPr="006E175A">
        <w:rPr>
          <w:rFonts w:cs="Arial"/>
          <w:bCs/>
          <w:sz w:val="24"/>
        </w:rPr>
        <w:t xml:space="preserve">y </w:t>
      </w:r>
      <w:r w:rsidR="00930546">
        <w:rPr>
          <w:rFonts w:cs="Arial"/>
          <w:bCs/>
          <w:sz w:val="24"/>
        </w:rPr>
        <w:t xml:space="preserve">de los cuales </w:t>
      </w:r>
      <w:r w:rsidR="009E5D9C" w:rsidRPr="006E175A">
        <w:rPr>
          <w:rFonts w:cs="Arial"/>
          <w:bCs/>
          <w:sz w:val="24"/>
        </w:rPr>
        <w:t>solicitó la devolución de sus aportaciones al fondo de pensiones</w:t>
      </w:r>
      <w:r w:rsidR="0069780D" w:rsidRPr="006E175A">
        <w:rPr>
          <w:rFonts w:cs="Arial"/>
          <w:bCs/>
          <w:sz w:val="24"/>
        </w:rPr>
        <w:t xml:space="preserve">, </w:t>
      </w:r>
      <w:r w:rsidR="00930546">
        <w:rPr>
          <w:rFonts w:cs="Arial"/>
          <w:bCs/>
          <w:sz w:val="24"/>
        </w:rPr>
        <w:t>lo cual justificó con los nombramiento</w:t>
      </w:r>
      <w:r w:rsidR="007D6C72">
        <w:rPr>
          <w:rFonts w:cs="Arial"/>
          <w:bCs/>
          <w:sz w:val="24"/>
        </w:rPr>
        <w:t>s</w:t>
      </w:r>
      <w:r w:rsidR="00930546">
        <w:rPr>
          <w:rFonts w:cs="Arial"/>
          <w:bCs/>
          <w:sz w:val="24"/>
        </w:rPr>
        <w:t xml:space="preserve"> y el informe que aportó a este asunto, de ahí </w:t>
      </w:r>
      <w:r w:rsidR="009E5D9C" w:rsidRPr="006E175A">
        <w:rPr>
          <w:rFonts w:cs="Arial"/>
          <w:bCs/>
          <w:sz w:val="24"/>
        </w:rPr>
        <w:t>que la excepción planteada no se actualice.</w:t>
      </w:r>
    </w:p>
    <w:p w14:paraId="31859508" w14:textId="2C5B2503" w:rsidR="009B2DF0" w:rsidRDefault="009B2DF0" w:rsidP="00413791">
      <w:pPr>
        <w:pStyle w:val="corte4fondoCarCarCar"/>
        <w:spacing w:before="240"/>
        <w:ind w:firstLine="708"/>
        <w:rPr>
          <w:rFonts w:cs="Arial"/>
          <w:bCs/>
          <w:sz w:val="24"/>
        </w:rPr>
      </w:pPr>
      <w:r>
        <w:rPr>
          <w:rFonts w:cs="Arial"/>
          <w:bCs/>
          <w:sz w:val="24"/>
        </w:rPr>
        <w:t>Respecto de la prescripción referida por la autoridad demandada, esta autoridad considera que se trata de consideraciones que atañen al fondo del asunto, estudio al cual se avocará esta autoridad en líne</w:t>
      </w:r>
      <w:r w:rsidR="00107841">
        <w:rPr>
          <w:rFonts w:cs="Arial"/>
          <w:bCs/>
          <w:sz w:val="24"/>
        </w:rPr>
        <w:t xml:space="preserve">as siguientes, pues respecto de la resolución negativa ficta aquí impugnada, </w:t>
      </w:r>
      <w:r>
        <w:rPr>
          <w:rFonts w:cs="Arial"/>
          <w:bCs/>
          <w:sz w:val="24"/>
        </w:rPr>
        <w:t xml:space="preserve">como se advirtió en el acuerdo dictado con fecha </w:t>
      </w:r>
      <w:r w:rsidR="00107841">
        <w:rPr>
          <w:rFonts w:cs="Arial"/>
          <w:bCs/>
          <w:sz w:val="24"/>
        </w:rPr>
        <w:t xml:space="preserve">quince de abril de dos mil veintiuno (15/04/2021), </w:t>
      </w:r>
      <w:r>
        <w:rPr>
          <w:rFonts w:cs="Arial"/>
          <w:bCs/>
          <w:sz w:val="24"/>
        </w:rPr>
        <w:t xml:space="preserve">la </w:t>
      </w:r>
      <w:r w:rsidR="00107841">
        <w:rPr>
          <w:rFonts w:cs="Arial"/>
          <w:bCs/>
          <w:sz w:val="24"/>
        </w:rPr>
        <w:t xml:space="preserve">parte </w:t>
      </w:r>
      <w:r>
        <w:rPr>
          <w:rFonts w:cs="Arial"/>
          <w:bCs/>
          <w:sz w:val="24"/>
        </w:rPr>
        <w:t>actora interpuso en tiempo la demanda, de ahí que respecto de ese acto impugnado no se actualice la excepción planteada, que</w:t>
      </w:r>
      <w:r w:rsidR="00107841">
        <w:rPr>
          <w:rFonts w:cs="Arial"/>
          <w:bCs/>
          <w:sz w:val="24"/>
        </w:rPr>
        <w:t xml:space="preserve"> pudiera impedir</w:t>
      </w:r>
      <w:r>
        <w:rPr>
          <w:rFonts w:cs="Arial"/>
          <w:bCs/>
          <w:sz w:val="24"/>
        </w:rPr>
        <w:t xml:space="preserve"> entrar al estudio de fondo en este expediente.</w:t>
      </w:r>
    </w:p>
    <w:p w14:paraId="267D5D39" w14:textId="072BD3B9" w:rsidR="00413791" w:rsidRPr="001042B6" w:rsidRDefault="00413791" w:rsidP="00413791">
      <w:pPr>
        <w:pStyle w:val="corte4fondoCarCarCar"/>
        <w:spacing w:before="240"/>
        <w:ind w:firstLine="708"/>
        <w:rPr>
          <w:rFonts w:cs="Arial"/>
          <w:bCs/>
          <w:sz w:val="24"/>
        </w:rPr>
      </w:pPr>
      <w:r w:rsidRPr="001042B6">
        <w:rPr>
          <w:rFonts w:cs="Arial"/>
          <w:bCs/>
          <w:sz w:val="24"/>
        </w:rPr>
        <w:t xml:space="preserve"> </w:t>
      </w:r>
      <w:r w:rsidR="00723430">
        <w:rPr>
          <w:rFonts w:cs="Arial"/>
          <w:bCs/>
          <w:sz w:val="24"/>
        </w:rPr>
        <w:t>P</w:t>
      </w:r>
      <w:r w:rsidRPr="001042B6">
        <w:rPr>
          <w:rFonts w:cs="Arial"/>
          <w:bCs/>
          <w:sz w:val="24"/>
        </w:rPr>
        <w:t xml:space="preserve">or otra parte, </w:t>
      </w:r>
      <w:r w:rsidR="00723430">
        <w:rPr>
          <w:rFonts w:cs="Arial"/>
          <w:bCs/>
          <w:sz w:val="24"/>
        </w:rPr>
        <w:t xml:space="preserve">toda vez que </w:t>
      </w:r>
      <w:r w:rsidRPr="001042B6">
        <w:rPr>
          <w:rFonts w:cs="Arial"/>
          <w:bCs/>
          <w:sz w:val="24"/>
        </w:rPr>
        <w:t xml:space="preserve">esta Juzgadora no advierte que se actualice alguna </w:t>
      </w:r>
      <w:r w:rsidR="00723430">
        <w:rPr>
          <w:rFonts w:cs="Arial"/>
          <w:bCs/>
          <w:sz w:val="24"/>
        </w:rPr>
        <w:t xml:space="preserve">otra </w:t>
      </w:r>
      <w:r w:rsidRPr="001042B6">
        <w:rPr>
          <w:rFonts w:cs="Arial"/>
          <w:bCs/>
          <w:sz w:val="24"/>
        </w:rPr>
        <w:t>causa que impida entrar a</w:t>
      </w:r>
      <w:r w:rsidR="00723430">
        <w:rPr>
          <w:rFonts w:cs="Arial"/>
          <w:bCs/>
          <w:sz w:val="24"/>
        </w:rPr>
        <w:t>l estudia de</w:t>
      </w:r>
      <w:r w:rsidRPr="001042B6">
        <w:rPr>
          <w:rFonts w:cs="Arial"/>
          <w:bCs/>
          <w:sz w:val="24"/>
        </w:rPr>
        <w:t xml:space="preserve"> fondo del presente asunto, consecuentemente, este Juicio de Nulidad NO SE </w:t>
      </w:r>
      <w:proofErr w:type="gramStart"/>
      <w:r w:rsidRPr="001042B6">
        <w:rPr>
          <w:rFonts w:cs="Arial"/>
          <w:bCs/>
          <w:sz w:val="24"/>
        </w:rPr>
        <w:t>SOBRESEE.-</w:t>
      </w:r>
      <w:proofErr w:type="gramEnd"/>
      <w:r w:rsidRPr="001042B6">
        <w:rPr>
          <w:rFonts w:cs="Arial"/>
          <w:bCs/>
          <w:sz w:val="24"/>
        </w:rPr>
        <w:t xml:space="preserve"> - - </w:t>
      </w:r>
      <w:r>
        <w:rPr>
          <w:rFonts w:cs="Arial"/>
          <w:bCs/>
          <w:sz w:val="24"/>
        </w:rPr>
        <w:t xml:space="preserve">- - </w:t>
      </w:r>
    </w:p>
    <w:p w14:paraId="4FFD4F44" w14:textId="77777777" w:rsidR="00872BE1" w:rsidRDefault="00413791" w:rsidP="00865516">
      <w:pPr>
        <w:tabs>
          <w:tab w:val="center" w:pos="4574"/>
        </w:tabs>
        <w:spacing w:after="240" w:line="360" w:lineRule="auto"/>
        <w:ind w:firstLine="708"/>
        <w:jc w:val="both"/>
        <w:rPr>
          <w:rFonts w:ascii="Arial" w:hAnsi="Arial" w:cs="Arial"/>
          <w:b/>
          <w:sz w:val="24"/>
          <w:szCs w:val="24"/>
        </w:rPr>
      </w:pPr>
      <w:r w:rsidRPr="001042B6">
        <w:rPr>
          <w:rFonts w:ascii="Arial" w:hAnsi="Arial" w:cs="Arial"/>
          <w:b/>
          <w:sz w:val="24"/>
          <w:szCs w:val="24"/>
        </w:rPr>
        <w:tab/>
      </w:r>
    </w:p>
    <w:p w14:paraId="407FC901" w14:textId="7A74917B" w:rsidR="00865516" w:rsidRDefault="00413791" w:rsidP="00872BE1">
      <w:pPr>
        <w:tabs>
          <w:tab w:val="center" w:pos="4574"/>
        </w:tabs>
        <w:spacing w:after="240" w:line="360" w:lineRule="auto"/>
        <w:ind w:firstLine="708"/>
        <w:jc w:val="both"/>
        <w:rPr>
          <w:rFonts w:ascii="Arial" w:hAnsi="Arial" w:cs="Arial"/>
          <w:sz w:val="24"/>
          <w:szCs w:val="24"/>
        </w:rPr>
      </w:pPr>
      <w:proofErr w:type="gramStart"/>
      <w:r w:rsidRPr="001042B6">
        <w:rPr>
          <w:rFonts w:ascii="Arial" w:hAnsi="Arial" w:cs="Arial"/>
          <w:b/>
          <w:sz w:val="24"/>
          <w:szCs w:val="24"/>
        </w:rPr>
        <w:lastRenderedPageBreak/>
        <w:t>SEXTO.-</w:t>
      </w:r>
      <w:proofErr w:type="gramEnd"/>
      <w:r w:rsidR="00A153CE">
        <w:rPr>
          <w:rFonts w:ascii="Arial" w:hAnsi="Arial" w:cs="Arial"/>
          <w:b/>
          <w:sz w:val="24"/>
          <w:szCs w:val="24"/>
        </w:rPr>
        <w:t xml:space="preserve"> </w:t>
      </w:r>
      <w:r w:rsidR="00865516">
        <w:rPr>
          <w:rFonts w:ascii="Arial" w:hAnsi="Arial" w:cs="Arial"/>
          <w:b/>
          <w:sz w:val="24"/>
        </w:rPr>
        <w:t xml:space="preserve">ESTUDIO SOBRE CONFIGURACIÓN DE </w:t>
      </w:r>
      <w:r w:rsidR="00865516" w:rsidRPr="005B5116">
        <w:rPr>
          <w:rFonts w:ascii="Arial" w:hAnsi="Arial" w:cs="Arial"/>
          <w:b/>
          <w:sz w:val="24"/>
        </w:rPr>
        <w:t>RESOLUCIÓN NEGATIVA FICTA.</w:t>
      </w:r>
      <w:r w:rsidR="00865516" w:rsidRPr="005B5116">
        <w:rPr>
          <w:rFonts w:ascii="Arial" w:hAnsi="Arial" w:cs="Arial"/>
          <w:sz w:val="24"/>
          <w:szCs w:val="24"/>
        </w:rPr>
        <w:t xml:space="preserve"> Se procede a analizar la existencia de la resoluci</w:t>
      </w:r>
      <w:r w:rsidR="00865516">
        <w:rPr>
          <w:rFonts w:ascii="Arial" w:hAnsi="Arial" w:cs="Arial"/>
          <w:sz w:val="24"/>
          <w:szCs w:val="24"/>
        </w:rPr>
        <w:t>ón negativa ficta</w:t>
      </w:r>
      <w:r w:rsidR="00865516" w:rsidRPr="005B5116">
        <w:rPr>
          <w:rFonts w:ascii="Arial" w:hAnsi="Arial" w:cs="Arial"/>
          <w:sz w:val="24"/>
          <w:szCs w:val="24"/>
        </w:rPr>
        <w:t xml:space="preserve"> que </w:t>
      </w:r>
      <w:r w:rsidR="00865516">
        <w:rPr>
          <w:rFonts w:ascii="Arial" w:hAnsi="Arial" w:cs="Arial"/>
          <w:sz w:val="24"/>
          <w:szCs w:val="24"/>
        </w:rPr>
        <w:t>e</w:t>
      </w:r>
      <w:r w:rsidR="00865516" w:rsidRPr="005B5116">
        <w:rPr>
          <w:rFonts w:ascii="Arial" w:hAnsi="Arial" w:cs="Arial"/>
          <w:sz w:val="24"/>
          <w:szCs w:val="24"/>
        </w:rPr>
        <w:t>l</w:t>
      </w:r>
      <w:r w:rsidR="00865516">
        <w:rPr>
          <w:rFonts w:ascii="Arial" w:hAnsi="Arial" w:cs="Arial"/>
          <w:sz w:val="24"/>
          <w:szCs w:val="24"/>
        </w:rPr>
        <w:t xml:space="preserve"> </w:t>
      </w:r>
      <w:r w:rsidR="00865516" w:rsidRPr="005B5116">
        <w:rPr>
          <w:rFonts w:ascii="Arial" w:hAnsi="Arial" w:cs="Arial"/>
          <w:sz w:val="24"/>
          <w:szCs w:val="24"/>
        </w:rPr>
        <w:t>actor</w:t>
      </w:r>
      <w:r w:rsidR="00865516">
        <w:rPr>
          <w:rFonts w:ascii="Arial" w:hAnsi="Arial" w:cs="Arial"/>
          <w:sz w:val="24"/>
          <w:szCs w:val="24"/>
        </w:rPr>
        <w:t xml:space="preserve"> refiere configurada respecto del escrito que presentó </w:t>
      </w:r>
      <w:r w:rsidR="00865516" w:rsidRPr="00F72848">
        <w:rPr>
          <w:rFonts w:ascii="Arial" w:hAnsi="Arial" w:cs="Arial"/>
          <w:sz w:val="24"/>
          <w:szCs w:val="24"/>
        </w:rPr>
        <w:t>al</w:t>
      </w:r>
      <w:r w:rsidR="00865516">
        <w:rPr>
          <w:rFonts w:ascii="Arial" w:hAnsi="Arial" w:cs="Arial"/>
          <w:sz w:val="24"/>
          <w:szCs w:val="24"/>
        </w:rPr>
        <w:t xml:space="preserve"> </w:t>
      </w:r>
      <w:proofErr w:type="gramStart"/>
      <w:r w:rsidR="00865516">
        <w:rPr>
          <w:rFonts w:ascii="Arial" w:hAnsi="Arial" w:cs="Arial"/>
          <w:sz w:val="24"/>
          <w:szCs w:val="24"/>
        </w:rPr>
        <w:t>Director</w:t>
      </w:r>
      <w:proofErr w:type="gramEnd"/>
      <w:r w:rsidR="00865516">
        <w:rPr>
          <w:rFonts w:ascii="Arial" w:hAnsi="Arial" w:cs="Arial"/>
          <w:sz w:val="24"/>
          <w:szCs w:val="24"/>
        </w:rPr>
        <w:t xml:space="preserve"> de </w:t>
      </w:r>
      <w:r w:rsidR="00872BE1">
        <w:rPr>
          <w:rFonts w:ascii="Arial" w:hAnsi="Arial" w:cs="Arial"/>
          <w:sz w:val="24"/>
          <w:szCs w:val="24"/>
        </w:rPr>
        <w:t xml:space="preserve">General de la Oficina de Pensiones del Gobierno del Estado de Oaxaca, el día </w:t>
      </w:r>
      <w:r w:rsidR="00B56F8A">
        <w:rPr>
          <w:rFonts w:ascii="Arial" w:hAnsi="Arial" w:cs="Arial"/>
          <w:sz w:val="24"/>
          <w:szCs w:val="24"/>
        </w:rPr>
        <w:t>***** de ***** de dos mil veinte (**/**/2020)</w:t>
      </w:r>
      <w:r w:rsidR="00865516">
        <w:rPr>
          <w:rFonts w:ascii="Arial" w:hAnsi="Arial" w:cs="Arial"/>
          <w:sz w:val="24"/>
          <w:szCs w:val="24"/>
        </w:rPr>
        <w:t>.</w:t>
      </w:r>
    </w:p>
    <w:p w14:paraId="014EFC24" w14:textId="6BE39E4B" w:rsidR="00865516" w:rsidRDefault="00865516" w:rsidP="00865516">
      <w:pPr>
        <w:tabs>
          <w:tab w:val="center" w:pos="4574"/>
        </w:tabs>
        <w:spacing w:line="360" w:lineRule="auto"/>
        <w:ind w:firstLine="708"/>
        <w:jc w:val="both"/>
        <w:rPr>
          <w:rFonts w:ascii="Arial" w:hAnsi="Arial" w:cs="Arial"/>
          <w:sz w:val="24"/>
          <w:szCs w:val="24"/>
        </w:rPr>
      </w:pPr>
      <w:r>
        <w:rPr>
          <w:rFonts w:ascii="Arial" w:hAnsi="Arial" w:cs="Arial"/>
          <w:sz w:val="24"/>
          <w:szCs w:val="24"/>
        </w:rPr>
        <w:t>Al respecto se toma en cuenta, que el artículo 133 fracción V, de la Ley de Procedimiento y Justicia Administrativa para el Estado de Oaxaca, dispone que la resolución negativa ficta se configura cuando las promociones o peticiones formuladas ante las autoridades no sean resueltas en los plazos que la Ley o Reglamento fijen, o a falta de dicho plazo, en noventa días naturales.</w:t>
      </w:r>
    </w:p>
    <w:p w14:paraId="4E2B9D36" w14:textId="77777777" w:rsidR="00865516" w:rsidRDefault="00865516" w:rsidP="00865516">
      <w:pPr>
        <w:tabs>
          <w:tab w:val="center" w:pos="4574"/>
        </w:tabs>
        <w:spacing w:line="360" w:lineRule="auto"/>
        <w:ind w:firstLine="708"/>
        <w:jc w:val="both"/>
        <w:rPr>
          <w:rFonts w:ascii="Arial" w:hAnsi="Arial" w:cs="Arial"/>
          <w:sz w:val="24"/>
          <w:szCs w:val="24"/>
        </w:rPr>
      </w:pPr>
      <w:r>
        <w:rPr>
          <w:rFonts w:ascii="Arial" w:hAnsi="Arial" w:cs="Arial"/>
          <w:sz w:val="24"/>
          <w:szCs w:val="24"/>
        </w:rPr>
        <w:t>De lo antes transcrito, además de la doctrina, principios y efectos de diversas legislaciones, se advierte, que para que se materialice o se configure la resolución negativa ficta, es necesario que exista:</w:t>
      </w:r>
    </w:p>
    <w:p w14:paraId="7A3AF9EE" w14:textId="77777777" w:rsidR="00865516" w:rsidRDefault="00865516" w:rsidP="00865516">
      <w:pPr>
        <w:tabs>
          <w:tab w:val="center" w:pos="4574"/>
        </w:tabs>
        <w:spacing w:line="240" w:lineRule="auto"/>
        <w:ind w:firstLine="708"/>
        <w:jc w:val="both"/>
        <w:rPr>
          <w:rFonts w:ascii="Arial" w:hAnsi="Arial" w:cs="Arial"/>
          <w:sz w:val="24"/>
          <w:szCs w:val="24"/>
        </w:rPr>
      </w:pPr>
      <w:r>
        <w:rPr>
          <w:rFonts w:ascii="Arial" w:hAnsi="Arial" w:cs="Arial"/>
          <w:sz w:val="24"/>
          <w:szCs w:val="24"/>
        </w:rPr>
        <w:t xml:space="preserve">1.- Una petición particular a la Administración Pública; </w:t>
      </w:r>
    </w:p>
    <w:p w14:paraId="4393188C" w14:textId="77777777" w:rsidR="00865516" w:rsidRDefault="00865516" w:rsidP="00865516">
      <w:pPr>
        <w:tabs>
          <w:tab w:val="center" w:pos="4574"/>
        </w:tabs>
        <w:spacing w:line="240" w:lineRule="auto"/>
        <w:ind w:firstLine="708"/>
        <w:jc w:val="both"/>
        <w:rPr>
          <w:rFonts w:ascii="Arial" w:hAnsi="Arial" w:cs="Arial"/>
          <w:sz w:val="24"/>
          <w:szCs w:val="24"/>
        </w:rPr>
      </w:pPr>
      <w:r>
        <w:rPr>
          <w:rFonts w:ascii="Arial" w:hAnsi="Arial" w:cs="Arial"/>
          <w:sz w:val="24"/>
          <w:szCs w:val="24"/>
        </w:rPr>
        <w:t>2.- La inactividad de la Administración;</w:t>
      </w:r>
    </w:p>
    <w:p w14:paraId="7D217AB6" w14:textId="77777777" w:rsidR="00865516" w:rsidRDefault="00865516" w:rsidP="00865516">
      <w:pPr>
        <w:tabs>
          <w:tab w:val="center" w:pos="4574"/>
        </w:tabs>
        <w:spacing w:line="240" w:lineRule="auto"/>
        <w:ind w:firstLine="708"/>
        <w:jc w:val="both"/>
        <w:rPr>
          <w:rFonts w:ascii="Arial" w:hAnsi="Arial" w:cs="Arial"/>
          <w:sz w:val="24"/>
          <w:szCs w:val="24"/>
        </w:rPr>
      </w:pPr>
      <w:r>
        <w:rPr>
          <w:rFonts w:ascii="Arial" w:hAnsi="Arial" w:cs="Arial"/>
          <w:sz w:val="24"/>
          <w:szCs w:val="24"/>
        </w:rPr>
        <w:t>3.- El transcurso del plazo previsto en la Ley de la Materia; y,</w:t>
      </w:r>
    </w:p>
    <w:p w14:paraId="086D9FBE" w14:textId="77777777" w:rsidR="00865516" w:rsidRDefault="00865516" w:rsidP="00865516">
      <w:pPr>
        <w:tabs>
          <w:tab w:val="center" w:pos="4574"/>
        </w:tabs>
        <w:spacing w:line="240" w:lineRule="auto"/>
        <w:ind w:firstLine="708"/>
        <w:jc w:val="both"/>
        <w:rPr>
          <w:rFonts w:ascii="Arial" w:hAnsi="Arial" w:cs="Arial"/>
          <w:sz w:val="24"/>
          <w:szCs w:val="24"/>
        </w:rPr>
      </w:pPr>
      <w:r>
        <w:rPr>
          <w:rFonts w:ascii="Arial" w:hAnsi="Arial" w:cs="Arial"/>
          <w:sz w:val="24"/>
          <w:szCs w:val="24"/>
        </w:rPr>
        <w:t>4.- La presunción de una resolución denegatoria.</w:t>
      </w:r>
    </w:p>
    <w:p w14:paraId="7095E6CE" w14:textId="01EB5787" w:rsidR="00865516" w:rsidRDefault="00865516" w:rsidP="00865516">
      <w:pPr>
        <w:tabs>
          <w:tab w:val="center" w:pos="4574"/>
        </w:tabs>
        <w:spacing w:line="360" w:lineRule="auto"/>
        <w:ind w:firstLine="708"/>
        <w:jc w:val="both"/>
        <w:rPr>
          <w:rFonts w:ascii="Arial" w:hAnsi="Arial" w:cs="Arial"/>
          <w:sz w:val="24"/>
          <w:szCs w:val="24"/>
        </w:rPr>
      </w:pPr>
      <w:r>
        <w:rPr>
          <w:rFonts w:ascii="Arial" w:hAnsi="Arial" w:cs="Arial"/>
          <w:sz w:val="24"/>
          <w:szCs w:val="24"/>
        </w:rPr>
        <w:t xml:space="preserve">En el caso particular, el </w:t>
      </w:r>
      <w:r w:rsidRPr="00616C11">
        <w:rPr>
          <w:rFonts w:ascii="Arial" w:hAnsi="Arial" w:cs="Arial"/>
          <w:b/>
          <w:sz w:val="24"/>
          <w:szCs w:val="24"/>
        </w:rPr>
        <w:t xml:space="preserve">primer </w:t>
      </w:r>
      <w:r>
        <w:rPr>
          <w:rFonts w:ascii="Arial" w:hAnsi="Arial" w:cs="Arial"/>
          <w:b/>
          <w:sz w:val="24"/>
          <w:szCs w:val="24"/>
        </w:rPr>
        <w:t>requisito</w:t>
      </w:r>
      <w:r>
        <w:rPr>
          <w:rFonts w:ascii="Arial" w:hAnsi="Arial" w:cs="Arial"/>
          <w:sz w:val="24"/>
          <w:szCs w:val="24"/>
        </w:rPr>
        <w:t xml:space="preserve"> se colma, en a</w:t>
      </w:r>
      <w:r w:rsidR="00A549E7">
        <w:rPr>
          <w:rFonts w:ascii="Arial" w:hAnsi="Arial" w:cs="Arial"/>
          <w:sz w:val="24"/>
          <w:szCs w:val="24"/>
        </w:rPr>
        <w:t>tención a que a foja 12 de</w:t>
      </w:r>
      <w:r>
        <w:rPr>
          <w:rFonts w:ascii="Arial" w:hAnsi="Arial" w:cs="Arial"/>
          <w:sz w:val="24"/>
          <w:szCs w:val="24"/>
        </w:rPr>
        <w:t xml:space="preserve"> autos, existe una petición formulada por el hoy actor, al </w:t>
      </w:r>
      <w:r w:rsidR="00A549E7">
        <w:rPr>
          <w:rFonts w:ascii="Arial" w:hAnsi="Arial" w:cs="Arial"/>
          <w:sz w:val="24"/>
          <w:szCs w:val="24"/>
        </w:rPr>
        <w:t xml:space="preserve">Director de General de la Oficina de Pensiones del Gobierno del Estado de Oaxaca, </w:t>
      </w:r>
      <w:r>
        <w:rPr>
          <w:rFonts w:ascii="Arial" w:hAnsi="Arial" w:cs="Arial"/>
          <w:sz w:val="24"/>
          <w:szCs w:val="24"/>
        </w:rPr>
        <w:t xml:space="preserve"> en la que se aprecia un sello original de recibido por</w:t>
      </w:r>
      <w:r w:rsidR="00A549E7">
        <w:rPr>
          <w:rFonts w:ascii="Arial" w:hAnsi="Arial" w:cs="Arial"/>
          <w:sz w:val="24"/>
          <w:szCs w:val="24"/>
        </w:rPr>
        <w:t xml:space="preserve"> el Departamento de Prestaciones Económicas de</w:t>
      </w:r>
      <w:r>
        <w:rPr>
          <w:rFonts w:ascii="Arial" w:hAnsi="Arial" w:cs="Arial"/>
          <w:sz w:val="24"/>
          <w:szCs w:val="24"/>
        </w:rPr>
        <w:t xml:space="preserve"> esa Dependencia, el día </w:t>
      </w:r>
      <w:r w:rsidR="00B56F8A">
        <w:rPr>
          <w:rFonts w:ascii="Arial" w:hAnsi="Arial" w:cs="Arial"/>
          <w:sz w:val="24"/>
          <w:szCs w:val="24"/>
        </w:rPr>
        <w:t>***** de ***** de dos mil veinte (**/**/2020)</w:t>
      </w:r>
      <w:r>
        <w:rPr>
          <w:rFonts w:ascii="Arial" w:hAnsi="Arial" w:cs="Arial"/>
          <w:sz w:val="24"/>
          <w:szCs w:val="24"/>
        </w:rPr>
        <w:t xml:space="preserve">;  consecuentemente, </w:t>
      </w:r>
      <w:r w:rsidRPr="00A633A1">
        <w:rPr>
          <w:rFonts w:ascii="Arial" w:hAnsi="Arial" w:cs="Arial"/>
          <w:b/>
          <w:sz w:val="24"/>
          <w:szCs w:val="24"/>
        </w:rPr>
        <w:t>se tiene probada la existencia de una petición</w:t>
      </w:r>
      <w:r w:rsidRPr="00A633A1">
        <w:rPr>
          <w:rFonts w:ascii="Arial" w:hAnsi="Arial" w:cs="Arial"/>
          <w:sz w:val="24"/>
          <w:szCs w:val="24"/>
        </w:rPr>
        <w:t xml:space="preserve"> formulada ante autoridad administrativa en forma pacífica y respetuosa por parte del actor.</w:t>
      </w:r>
    </w:p>
    <w:p w14:paraId="25F71D35" w14:textId="4769591E" w:rsidR="00865516" w:rsidRDefault="00865516" w:rsidP="00865516">
      <w:pPr>
        <w:tabs>
          <w:tab w:val="center" w:pos="4574"/>
        </w:tabs>
        <w:spacing w:line="360" w:lineRule="auto"/>
        <w:ind w:firstLine="708"/>
        <w:jc w:val="both"/>
        <w:rPr>
          <w:rFonts w:ascii="Arial" w:hAnsi="Arial" w:cs="Arial"/>
          <w:sz w:val="24"/>
          <w:szCs w:val="24"/>
        </w:rPr>
      </w:pPr>
      <w:r>
        <w:rPr>
          <w:rFonts w:ascii="Arial" w:hAnsi="Arial" w:cs="Arial"/>
          <w:sz w:val="24"/>
          <w:szCs w:val="24"/>
        </w:rPr>
        <w:t xml:space="preserve">Por </w:t>
      </w:r>
      <w:r w:rsidRPr="001278BC">
        <w:rPr>
          <w:rFonts w:ascii="Arial" w:hAnsi="Arial" w:cs="Arial"/>
          <w:sz w:val="24"/>
          <w:szCs w:val="24"/>
        </w:rPr>
        <w:t>lo que</w:t>
      </w:r>
      <w:r>
        <w:rPr>
          <w:rFonts w:ascii="Arial" w:hAnsi="Arial" w:cs="Arial"/>
          <w:sz w:val="24"/>
          <w:szCs w:val="24"/>
        </w:rPr>
        <w:t xml:space="preserve"> respecta al </w:t>
      </w:r>
      <w:r w:rsidRPr="00616C11">
        <w:rPr>
          <w:rFonts w:ascii="Arial" w:hAnsi="Arial" w:cs="Arial"/>
          <w:b/>
          <w:sz w:val="24"/>
          <w:szCs w:val="24"/>
        </w:rPr>
        <w:t xml:space="preserve">segundo </w:t>
      </w:r>
      <w:r>
        <w:rPr>
          <w:rFonts w:ascii="Arial" w:hAnsi="Arial" w:cs="Arial"/>
          <w:b/>
          <w:sz w:val="24"/>
          <w:szCs w:val="24"/>
        </w:rPr>
        <w:t>elemento</w:t>
      </w:r>
      <w:r>
        <w:rPr>
          <w:rFonts w:ascii="Arial" w:hAnsi="Arial" w:cs="Arial"/>
          <w:sz w:val="24"/>
          <w:szCs w:val="24"/>
        </w:rPr>
        <w:t xml:space="preserve"> también se satisface, toda vez que la autoridad demandada, </w:t>
      </w:r>
      <w:r w:rsidR="005C13C6">
        <w:rPr>
          <w:rFonts w:ascii="Arial" w:hAnsi="Arial" w:cs="Arial"/>
          <w:sz w:val="24"/>
          <w:szCs w:val="24"/>
        </w:rPr>
        <w:t xml:space="preserve">Director de General de la Oficina de </w:t>
      </w:r>
      <w:r w:rsidR="005C13C6" w:rsidRPr="00CA54CD">
        <w:rPr>
          <w:rFonts w:ascii="Arial" w:hAnsi="Arial" w:cs="Arial"/>
          <w:sz w:val="24"/>
          <w:szCs w:val="24"/>
        </w:rPr>
        <w:t xml:space="preserve">Pensiones del Gobierno del Estado de Oaxaca, </w:t>
      </w:r>
      <w:r w:rsidRPr="00CA54CD">
        <w:rPr>
          <w:rFonts w:ascii="Arial" w:hAnsi="Arial" w:cs="Arial"/>
          <w:b/>
          <w:sz w:val="24"/>
          <w:szCs w:val="24"/>
        </w:rPr>
        <w:t xml:space="preserve">no justificó </w:t>
      </w:r>
      <w:r w:rsidR="006C317F" w:rsidRPr="00CA54CD">
        <w:rPr>
          <w:rFonts w:ascii="Arial" w:hAnsi="Arial" w:cs="Arial"/>
          <w:b/>
          <w:sz w:val="24"/>
          <w:szCs w:val="24"/>
        </w:rPr>
        <w:t xml:space="preserve">en este asunto </w:t>
      </w:r>
      <w:r w:rsidRPr="00CA54CD">
        <w:rPr>
          <w:rFonts w:ascii="Arial" w:hAnsi="Arial" w:cs="Arial"/>
          <w:sz w:val="24"/>
          <w:szCs w:val="24"/>
        </w:rPr>
        <w:t>que</w:t>
      </w:r>
      <w:r w:rsidRPr="00CA54CD">
        <w:rPr>
          <w:rFonts w:ascii="Arial" w:hAnsi="Arial" w:cs="Arial"/>
          <w:b/>
          <w:sz w:val="24"/>
          <w:szCs w:val="24"/>
        </w:rPr>
        <w:t xml:space="preserve"> </w:t>
      </w:r>
      <w:r w:rsidRPr="00CA54CD">
        <w:rPr>
          <w:rFonts w:ascii="Arial" w:hAnsi="Arial" w:cs="Arial"/>
          <w:sz w:val="24"/>
          <w:szCs w:val="24"/>
        </w:rPr>
        <w:t>haya dado trámite</w:t>
      </w:r>
      <w:r w:rsidR="006C317F" w:rsidRPr="00CA54CD">
        <w:rPr>
          <w:rFonts w:ascii="Arial" w:hAnsi="Arial" w:cs="Arial"/>
          <w:sz w:val="24"/>
          <w:szCs w:val="24"/>
        </w:rPr>
        <w:t>,</w:t>
      </w:r>
      <w:r w:rsidRPr="00CA54CD">
        <w:rPr>
          <w:rFonts w:ascii="Arial" w:hAnsi="Arial" w:cs="Arial"/>
          <w:sz w:val="24"/>
          <w:szCs w:val="24"/>
        </w:rPr>
        <w:t xml:space="preserve"> o contestación a la petición formulada por el actor; consecuentemente, </w:t>
      </w:r>
      <w:r w:rsidRPr="00CA54CD">
        <w:rPr>
          <w:rFonts w:ascii="Arial" w:hAnsi="Arial" w:cs="Arial"/>
          <w:b/>
          <w:sz w:val="24"/>
          <w:szCs w:val="24"/>
        </w:rPr>
        <w:t>se tiene por acreditada la inactividad de la administración pública ante la petición formulada por la parte actora, hasta la fecha de presentación de la demanda en este asunto</w:t>
      </w:r>
      <w:r w:rsidRPr="00CA54CD">
        <w:rPr>
          <w:rFonts w:ascii="Arial" w:hAnsi="Arial" w:cs="Arial"/>
          <w:sz w:val="24"/>
          <w:szCs w:val="24"/>
        </w:rPr>
        <w:t>, actualizando así lo dispuesto en el artículo 166 segundo párrafo, de la Ley de Procedimiento y Justicia Administrativa para el Estado de Oaxaca.</w:t>
      </w:r>
    </w:p>
    <w:p w14:paraId="14285153" w14:textId="008AC63B" w:rsidR="00865516" w:rsidRDefault="00865516" w:rsidP="00865516">
      <w:pPr>
        <w:tabs>
          <w:tab w:val="center" w:pos="4574"/>
        </w:tabs>
        <w:spacing w:line="360" w:lineRule="auto"/>
        <w:ind w:firstLine="708"/>
        <w:jc w:val="both"/>
        <w:rPr>
          <w:rFonts w:ascii="Arial" w:hAnsi="Arial" w:cs="Arial"/>
          <w:sz w:val="24"/>
          <w:szCs w:val="24"/>
        </w:rPr>
      </w:pPr>
      <w:r>
        <w:rPr>
          <w:rFonts w:ascii="Arial" w:hAnsi="Arial" w:cs="Arial"/>
          <w:sz w:val="24"/>
          <w:szCs w:val="24"/>
        </w:rPr>
        <w:lastRenderedPageBreak/>
        <w:t xml:space="preserve">El </w:t>
      </w:r>
      <w:r w:rsidRPr="00241974">
        <w:rPr>
          <w:rFonts w:ascii="Arial" w:hAnsi="Arial" w:cs="Arial"/>
          <w:b/>
          <w:sz w:val="24"/>
          <w:szCs w:val="24"/>
        </w:rPr>
        <w:t>tercer</w:t>
      </w:r>
      <w:r>
        <w:rPr>
          <w:rFonts w:ascii="Arial" w:hAnsi="Arial" w:cs="Arial"/>
          <w:b/>
          <w:sz w:val="24"/>
          <w:szCs w:val="24"/>
        </w:rPr>
        <w:t xml:space="preserve"> requisito</w:t>
      </w:r>
      <w:r>
        <w:rPr>
          <w:rFonts w:ascii="Arial" w:hAnsi="Arial" w:cs="Arial"/>
          <w:sz w:val="24"/>
          <w:szCs w:val="24"/>
        </w:rPr>
        <w:t xml:space="preserve">, referente al transcurso del plazo previsto en la ley, también se colma, porque en el presente caso, el actor presentó su escrito ante la demandada, el día </w:t>
      </w:r>
      <w:r w:rsidR="00B56F8A">
        <w:rPr>
          <w:rFonts w:ascii="Arial" w:hAnsi="Arial" w:cs="Arial"/>
          <w:sz w:val="24"/>
          <w:szCs w:val="24"/>
        </w:rPr>
        <w:t>***** de ***** de dos mil veinte (**/**/2020)</w:t>
      </w:r>
      <w:r>
        <w:rPr>
          <w:rFonts w:ascii="Arial" w:hAnsi="Arial" w:cs="Arial"/>
          <w:sz w:val="24"/>
          <w:szCs w:val="24"/>
        </w:rPr>
        <w:t xml:space="preserve"> y toda vez que la fecha en que presentó la demanda en este Tribunal, fue le día </w:t>
      </w:r>
      <w:r w:rsidR="006C317F">
        <w:rPr>
          <w:rFonts w:ascii="Arial" w:hAnsi="Arial" w:cs="Arial"/>
          <w:sz w:val="24"/>
          <w:szCs w:val="24"/>
        </w:rPr>
        <w:t>trece de abril de dos mil veintiuno (13/04/2021), fecha en la cual no se acreditó existiera respuesta a su petición,</w:t>
      </w:r>
      <w:r>
        <w:rPr>
          <w:rFonts w:ascii="Arial" w:hAnsi="Arial" w:cs="Arial"/>
          <w:sz w:val="24"/>
          <w:szCs w:val="24"/>
        </w:rPr>
        <w:t xml:space="preserve"> sin duda a esa fecha había transcurrido con exceso el plazo de noventa días previsto en el numeral 133 fracción V </w:t>
      </w:r>
      <w:r w:rsidRPr="00AD09F5">
        <w:rPr>
          <w:rFonts w:ascii="Arial" w:hAnsi="Arial" w:cs="Arial"/>
          <w:sz w:val="24"/>
          <w:szCs w:val="24"/>
        </w:rPr>
        <w:t xml:space="preserve">de la Ley de Procedimiento y Justicia Administrativa para el Estado de Oaxaca, </w:t>
      </w:r>
      <w:r>
        <w:rPr>
          <w:rFonts w:ascii="Arial" w:hAnsi="Arial" w:cs="Arial"/>
          <w:sz w:val="24"/>
          <w:szCs w:val="24"/>
        </w:rPr>
        <w:t xml:space="preserve">por lo que el silencio de la autoridad </w:t>
      </w:r>
      <w:r w:rsidRPr="007202C0">
        <w:rPr>
          <w:rFonts w:ascii="Arial" w:hAnsi="Arial" w:cs="Arial"/>
          <w:b/>
          <w:sz w:val="24"/>
          <w:szCs w:val="24"/>
        </w:rPr>
        <w:t>se encuentra dentro del supuesto de la negativa ficta</w:t>
      </w:r>
      <w:r>
        <w:rPr>
          <w:rFonts w:ascii="Arial" w:hAnsi="Arial" w:cs="Arial"/>
          <w:sz w:val="24"/>
          <w:szCs w:val="24"/>
        </w:rPr>
        <w:t xml:space="preserve">, previsto en los artículos 133 fracción V y 166 segundo </w:t>
      </w:r>
      <w:r w:rsidRPr="00F947FD">
        <w:rPr>
          <w:rFonts w:ascii="Arial" w:hAnsi="Arial" w:cs="Arial"/>
          <w:sz w:val="24"/>
          <w:szCs w:val="24"/>
        </w:rPr>
        <w:t>párrafo</w:t>
      </w:r>
      <w:r>
        <w:rPr>
          <w:rFonts w:ascii="Arial" w:hAnsi="Arial" w:cs="Arial"/>
          <w:sz w:val="24"/>
          <w:szCs w:val="24"/>
        </w:rPr>
        <w:t>, ambos de la Ley de Procedimiento y Justicia Administrativa para el Estado de Oaxaca</w:t>
      </w:r>
      <w:r w:rsidRPr="00F947FD">
        <w:rPr>
          <w:rFonts w:ascii="Arial" w:hAnsi="Arial" w:cs="Arial"/>
          <w:sz w:val="24"/>
          <w:szCs w:val="24"/>
        </w:rPr>
        <w:t>.</w:t>
      </w:r>
    </w:p>
    <w:p w14:paraId="69C4932C" w14:textId="09DD26BD" w:rsidR="00865516" w:rsidRDefault="00865516" w:rsidP="00544E73">
      <w:pPr>
        <w:tabs>
          <w:tab w:val="center" w:pos="4574"/>
        </w:tabs>
        <w:spacing w:line="360" w:lineRule="auto"/>
        <w:ind w:firstLine="708"/>
        <w:jc w:val="both"/>
        <w:rPr>
          <w:rFonts w:ascii="Arial" w:hAnsi="Arial" w:cs="Arial"/>
          <w:sz w:val="24"/>
          <w:szCs w:val="24"/>
        </w:rPr>
      </w:pPr>
      <w:r>
        <w:rPr>
          <w:rFonts w:ascii="Arial" w:hAnsi="Arial" w:cs="Arial"/>
          <w:sz w:val="24"/>
          <w:szCs w:val="24"/>
        </w:rPr>
        <w:t xml:space="preserve">Respecto al </w:t>
      </w:r>
      <w:r w:rsidRPr="001E31E1">
        <w:rPr>
          <w:rFonts w:ascii="Arial" w:hAnsi="Arial" w:cs="Arial"/>
          <w:b/>
          <w:sz w:val="24"/>
          <w:szCs w:val="24"/>
        </w:rPr>
        <w:t>cuarto elemento</w:t>
      </w:r>
      <w:r w:rsidRPr="001E31E1">
        <w:rPr>
          <w:rFonts w:ascii="Arial" w:hAnsi="Arial" w:cs="Arial"/>
          <w:sz w:val="24"/>
          <w:szCs w:val="24"/>
        </w:rPr>
        <w:t>, referente a la presunción de una resolución denegatoria, sin duda</w:t>
      </w:r>
      <w:r>
        <w:rPr>
          <w:rFonts w:ascii="Arial" w:hAnsi="Arial" w:cs="Arial"/>
          <w:sz w:val="24"/>
          <w:szCs w:val="24"/>
        </w:rPr>
        <w:t xml:space="preserve"> que se colma, toda vez que el actor solicitó a través del escrito presentado a la autoridad demandada, </w:t>
      </w:r>
      <w:r w:rsidR="006C317F">
        <w:rPr>
          <w:rFonts w:ascii="Arial" w:hAnsi="Arial" w:cs="Arial"/>
          <w:sz w:val="24"/>
          <w:szCs w:val="24"/>
        </w:rPr>
        <w:t xml:space="preserve">la devolución de sus aportaciones </w:t>
      </w:r>
      <w:r w:rsidR="00856BB8">
        <w:rPr>
          <w:rFonts w:ascii="Arial" w:hAnsi="Arial" w:cs="Arial"/>
          <w:sz w:val="24"/>
          <w:szCs w:val="24"/>
        </w:rPr>
        <w:t xml:space="preserve">al fondo de pensiones </w:t>
      </w:r>
      <w:r w:rsidR="00544E73">
        <w:rPr>
          <w:rFonts w:ascii="Arial" w:hAnsi="Arial" w:cs="Arial"/>
          <w:sz w:val="24"/>
          <w:szCs w:val="24"/>
        </w:rPr>
        <w:t xml:space="preserve">hasta la fecha en que terminó su relación laboral, </w:t>
      </w:r>
      <w:r>
        <w:rPr>
          <w:rFonts w:ascii="Arial" w:hAnsi="Arial" w:cs="Arial"/>
          <w:sz w:val="24"/>
          <w:szCs w:val="24"/>
        </w:rPr>
        <w:t xml:space="preserve">y al no haber obtenido </w:t>
      </w:r>
      <w:r w:rsidR="00544E73">
        <w:rPr>
          <w:rFonts w:ascii="Arial" w:hAnsi="Arial" w:cs="Arial"/>
          <w:sz w:val="24"/>
          <w:szCs w:val="24"/>
        </w:rPr>
        <w:t xml:space="preserve">dicha devolución, </w:t>
      </w:r>
      <w:r>
        <w:rPr>
          <w:rFonts w:ascii="Arial" w:hAnsi="Arial" w:cs="Arial"/>
          <w:sz w:val="24"/>
          <w:szCs w:val="24"/>
        </w:rPr>
        <w:t xml:space="preserve">sin duda que no se obtuvieron los fines pretendidos, por lo tanto, nos encontramos ante una ficción legal, en virtud de la cual, </w:t>
      </w:r>
      <w:r w:rsidRPr="007202C0">
        <w:rPr>
          <w:rFonts w:ascii="Arial" w:hAnsi="Arial" w:cs="Arial"/>
          <w:b/>
          <w:sz w:val="24"/>
          <w:szCs w:val="24"/>
        </w:rPr>
        <w:t xml:space="preserve">la falta de resolución por el silencio de la autoridad, produce la </w:t>
      </w:r>
      <w:r w:rsidRPr="00CD5241">
        <w:rPr>
          <w:rFonts w:ascii="Arial" w:hAnsi="Arial" w:cs="Arial"/>
          <w:b/>
          <w:sz w:val="24"/>
          <w:szCs w:val="24"/>
        </w:rPr>
        <w:t>desestimación de fondo de las pretensiones del particular</w:t>
      </w:r>
      <w:r w:rsidRPr="00CD5241">
        <w:rPr>
          <w:rFonts w:ascii="Arial" w:hAnsi="Arial" w:cs="Arial"/>
          <w:sz w:val="24"/>
          <w:szCs w:val="24"/>
        </w:rPr>
        <w:t>, lo que se traduce necesariamente en una denegación tácita del con</w:t>
      </w:r>
      <w:r w:rsidR="0021046C" w:rsidRPr="00CD5241">
        <w:rPr>
          <w:rFonts w:ascii="Arial" w:hAnsi="Arial" w:cs="Arial"/>
          <w:sz w:val="24"/>
          <w:szCs w:val="24"/>
        </w:rPr>
        <w:t>tenido material de su petición.</w:t>
      </w:r>
    </w:p>
    <w:p w14:paraId="354EFDC4" w14:textId="40C1C763" w:rsidR="00865516" w:rsidRDefault="00865516" w:rsidP="00865516">
      <w:pPr>
        <w:tabs>
          <w:tab w:val="center" w:pos="4574"/>
        </w:tabs>
        <w:spacing w:line="360" w:lineRule="auto"/>
        <w:ind w:firstLine="708"/>
        <w:jc w:val="both"/>
        <w:rPr>
          <w:rFonts w:ascii="Arial" w:hAnsi="Arial" w:cs="Arial"/>
          <w:sz w:val="24"/>
          <w:szCs w:val="24"/>
        </w:rPr>
      </w:pPr>
      <w:r>
        <w:rPr>
          <w:rFonts w:ascii="Arial" w:hAnsi="Arial" w:cs="Arial"/>
          <w:sz w:val="24"/>
          <w:szCs w:val="24"/>
        </w:rPr>
        <w:t xml:space="preserve">En tales </w:t>
      </w:r>
      <w:r w:rsidRPr="00FA200D">
        <w:rPr>
          <w:rFonts w:ascii="Arial" w:hAnsi="Arial" w:cs="Arial"/>
          <w:sz w:val="24"/>
          <w:szCs w:val="24"/>
        </w:rPr>
        <w:t>consideraciones, habiéndose actualizado los requisitos d</w:t>
      </w:r>
      <w:r>
        <w:rPr>
          <w:rFonts w:ascii="Arial" w:hAnsi="Arial" w:cs="Arial"/>
          <w:sz w:val="24"/>
          <w:szCs w:val="24"/>
        </w:rPr>
        <w:t xml:space="preserve">ispuestos para ello, se declara </w:t>
      </w:r>
      <w:r w:rsidRPr="00C040EC">
        <w:rPr>
          <w:rFonts w:ascii="Arial" w:hAnsi="Arial" w:cs="Arial"/>
          <w:b/>
          <w:sz w:val="24"/>
          <w:szCs w:val="24"/>
        </w:rPr>
        <w:t>CONFIGURADA LA RESOLUCI</w:t>
      </w:r>
      <w:r>
        <w:rPr>
          <w:rFonts w:ascii="Arial" w:hAnsi="Arial" w:cs="Arial"/>
          <w:b/>
          <w:sz w:val="24"/>
          <w:szCs w:val="24"/>
        </w:rPr>
        <w:t>ÓN</w:t>
      </w:r>
      <w:r w:rsidRPr="00C040EC">
        <w:rPr>
          <w:rFonts w:ascii="Arial" w:hAnsi="Arial" w:cs="Arial"/>
          <w:b/>
          <w:sz w:val="24"/>
          <w:szCs w:val="24"/>
        </w:rPr>
        <w:t xml:space="preserve"> NEGATIVA FICTA,</w:t>
      </w:r>
      <w:r>
        <w:rPr>
          <w:rFonts w:ascii="Arial" w:hAnsi="Arial" w:cs="Arial"/>
          <w:sz w:val="24"/>
          <w:szCs w:val="24"/>
        </w:rPr>
        <w:t xml:space="preserve"> recaída al escrito presentado p</w:t>
      </w:r>
      <w:r w:rsidR="00CD5241">
        <w:rPr>
          <w:rFonts w:ascii="Arial" w:hAnsi="Arial" w:cs="Arial"/>
          <w:sz w:val="24"/>
          <w:szCs w:val="24"/>
        </w:rPr>
        <w:t>or el actor</w:t>
      </w:r>
      <w:r>
        <w:rPr>
          <w:rFonts w:ascii="Arial" w:hAnsi="Arial" w:cs="Arial"/>
          <w:sz w:val="24"/>
          <w:szCs w:val="24"/>
        </w:rPr>
        <w:t xml:space="preserve"> el día </w:t>
      </w:r>
      <w:r w:rsidR="00B56F8A">
        <w:rPr>
          <w:rFonts w:ascii="Arial" w:hAnsi="Arial" w:cs="Arial"/>
          <w:sz w:val="24"/>
          <w:szCs w:val="24"/>
        </w:rPr>
        <w:t>***** de ***** de dos mil veinte (**/**/2020)</w:t>
      </w:r>
      <w:r w:rsidR="00CD5241">
        <w:rPr>
          <w:rFonts w:ascii="Arial" w:hAnsi="Arial" w:cs="Arial"/>
          <w:sz w:val="24"/>
          <w:szCs w:val="24"/>
        </w:rPr>
        <w:t xml:space="preserve">, </w:t>
      </w:r>
      <w:r>
        <w:rPr>
          <w:rFonts w:ascii="Arial" w:hAnsi="Arial" w:cs="Arial"/>
          <w:sz w:val="24"/>
          <w:szCs w:val="24"/>
        </w:rPr>
        <w:t xml:space="preserve">al </w:t>
      </w:r>
      <w:proofErr w:type="gramStart"/>
      <w:r>
        <w:rPr>
          <w:rFonts w:ascii="Arial" w:hAnsi="Arial" w:cs="Arial"/>
          <w:sz w:val="24"/>
          <w:szCs w:val="24"/>
        </w:rPr>
        <w:t xml:space="preserve">Director </w:t>
      </w:r>
      <w:r w:rsidR="00CD5241">
        <w:rPr>
          <w:rFonts w:ascii="Arial" w:hAnsi="Arial" w:cs="Arial"/>
          <w:sz w:val="24"/>
          <w:szCs w:val="24"/>
        </w:rPr>
        <w:t>General</w:t>
      </w:r>
      <w:proofErr w:type="gramEnd"/>
      <w:r w:rsidR="00CD5241">
        <w:rPr>
          <w:rFonts w:ascii="Arial" w:hAnsi="Arial" w:cs="Arial"/>
          <w:sz w:val="24"/>
          <w:szCs w:val="24"/>
        </w:rPr>
        <w:t xml:space="preserve"> de la Oficina de Pensiones del Gobierno del Estado de Oaxaca</w:t>
      </w:r>
      <w:r>
        <w:rPr>
          <w:rFonts w:ascii="Arial" w:hAnsi="Arial" w:cs="Arial"/>
          <w:sz w:val="24"/>
          <w:szCs w:val="24"/>
        </w:rPr>
        <w:t xml:space="preserve">. Sirve de apoyo a lo anterior, las jurisprudencias sustentadas por la Suprema Corte de Justicia de la Nación, bajo los datos de localización siguientes: Semanario Judicial de la Federación y su Gaceta, Tomo XXIV, </w:t>
      </w:r>
      <w:proofErr w:type="gramStart"/>
      <w:r>
        <w:rPr>
          <w:rFonts w:ascii="Arial" w:hAnsi="Arial" w:cs="Arial"/>
          <w:sz w:val="24"/>
          <w:szCs w:val="24"/>
        </w:rPr>
        <w:t>Diciembre</w:t>
      </w:r>
      <w:proofErr w:type="gramEnd"/>
      <w:r>
        <w:rPr>
          <w:rFonts w:ascii="Arial" w:hAnsi="Arial" w:cs="Arial"/>
          <w:sz w:val="24"/>
          <w:szCs w:val="24"/>
        </w:rPr>
        <w:t xml:space="preserve"> de 2006, Novena Época, pág. 204, número de registro 173736, Jurisprudencia (Administrativa) Segunda Sala, y bajo el rubro: “</w:t>
      </w:r>
      <w:r w:rsidRPr="00F962F5">
        <w:rPr>
          <w:rFonts w:ascii="Arial" w:hAnsi="Arial" w:cs="Arial"/>
          <w:i/>
          <w:sz w:val="24"/>
          <w:szCs w:val="24"/>
        </w:rPr>
        <w:t>NEGATIVA FICTA. LA DEMANDA DE NULIDAD EN SU CONTRA PUEDE PRESENTARSE EN CUALQUIER TIEMPO POSTERIOR A SU CONFIGURACIÓN, MIENTRAS NO SE NOTIFIQUE AL ADMINISTRADO LA RESOLUCIÓN EXPRESA (LEY DE JUSTICIA ADMINISTRATIVA PARA EL ESTADO DE NUEVO LEÓN)</w:t>
      </w:r>
      <w:r>
        <w:rPr>
          <w:rFonts w:ascii="Arial" w:hAnsi="Arial" w:cs="Arial"/>
          <w:sz w:val="24"/>
          <w:szCs w:val="24"/>
        </w:rPr>
        <w:t xml:space="preserve">.”. - - - - - - - - - - - - - - - - - - - - - - - - - - - - - - - </w:t>
      </w:r>
    </w:p>
    <w:p w14:paraId="326E2A40" w14:textId="7AD6724A" w:rsidR="00413791" w:rsidRPr="001042B6" w:rsidRDefault="00985012" w:rsidP="00985012">
      <w:pPr>
        <w:tabs>
          <w:tab w:val="center" w:pos="4574"/>
        </w:tabs>
        <w:spacing w:line="360" w:lineRule="auto"/>
        <w:jc w:val="both"/>
        <w:rPr>
          <w:rFonts w:ascii="Arial" w:hAnsi="Arial" w:cs="Arial"/>
          <w:sz w:val="24"/>
          <w:szCs w:val="24"/>
        </w:rPr>
      </w:pPr>
      <w:r>
        <w:rPr>
          <w:rFonts w:ascii="Arial" w:hAnsi="Arial" w:cs="Arial"/>
          <w:b/>
          <w:sz w:val="24"/>
          <w:szCs w:val="24"/>
        </w:rPr>
        <w:lastRenderedPageBreak/>
        <w:tab/>
        <w:t xml:space="preserve">        </w:t>
      </w:r>
      <w:proofErr w:type="gramStart"/>
      <w:r w:rsidR="00CD5241" w:rsidRPr="00CD5241">
        <w:rPr>
          <w:rFonts w:ascii="Arial" w:hAnsi="Arial" w:cs="Arial"/>
          <w:b/>
          <w:sz w:val="24"/>
          <w:szCs w:val="24"/>
        </w:rPr>
        <w:t>SÉPTIMO.-</w:t>
      </w:r>
      <w:proofErr w:type="gramEnd"/>
      <w:r w:rsidR="00CD5241" w:rsidRPr="00CD5241">
        <w:rPr>
          <w:rFonts w:ascii="Arial" w:hAnsi="Arial" w:cs="Arial"/>
          <w:b/>
          <w:sz w:val="24"/>
          <w:szCs w:val="24"/>
        </w:rPr>
        <w:t xml:space="preserve"> ESTUDIO </w:t>
      </w:r>
      <w:r w:rsidR="00A153CE">
        <w:rPr>
          <w:rFonts w:ascii="Arial" w:hAnsi="Arial" w:cs="Arial"/>
          <w:b/>
          <w:sz w:val="24"/>
          <w:szCs w:val="24"/>
        </w:rPr>
        <w:t xml:space="preserve">DE FONDO.- </w:t>
      </w:r>
      <w:r w:rsidR="00413791" w:rsidRPr="001042B6">
        <w:rPr>
          <w:rFonts w:ascii="Arial" w:hAnsi="Arial" w:cs="Arial"/>
          <w:sz w:val="24"/>
          <w:szCs w:val="24"/>
        </w:rPr>
        <w:t>Ahora bien, esta Juzgadora toma en cuenta los argumentos y pruebas ofrecidas por las partes, con los que arriba a la siguiente conclusión:</w:t>
      </w:r>
    </w:p>
    <w:p w14:paraId="3AA4F670" w14:textId="5856BFA7" w:rsidR="00021586" w:rsidRDefault="00985012" w:rsidP="00413791">
      <w:pPr>
        <w:tabs>
          <w:tab w:val="left" w:pos="284"/>
          <w:tab w:val="left" w:pos="567"/>
        </w:tabs>
        <w:spacing w:before="240" w:line="360" w:lineRule="auto"/>
        <w:jc w:val="both"/>
        <w:rPr>
          <w:rFonts w:ascii="Arial" w:hAnsi="Arial" w:cs="Arial"/>
          <w:sz w:val="24"/>
          <w:szCs w:val="24"/>
        </w:rPr>
      </w:pPr>
      <w:r>
        <w:rPr>
          <w:rFonts w:ascii="Arial" w:hAnsi="Arial" w:cs="Arial"/>
          <w:sz w:val="24"/>
          <w:szCs w:val="24"/>
        </w:rPr>
        <w:tab/>
      </w:r>
      <w:r>
        <w:rPr>
          <w:rFonts w:ascii="Arial" w:hAnsi="Arial" w:cs="Arial"/>
          <w:sz w:val="24"/>
          <w:szCs w:val="24"/>
        </w:rPr>
        <w:tab/>
      </w:r>
      <w:r w:rsidR="00021586">
        <w:rPr>
          <w:rFonts w:ascii="Arial" w:hAnsi="Arial" w:cs="Arial"/>
          <w:sz w:val="24"/>
          <w:szCs w:val="24"/>
        </w:rPr>
        <w:t>De las constancias que obran en autos y a las cuales se les otorgó pleno valor probatorio en el considerando correspondiente a la valoración probatoria</w:t>
      </w:r>
      <w:r w:rsidR="005F4103">
        <w:rPr>
          <w:rFonts w:ascii="Arial" w:hAnsi="Arial" w:cs="Arial"/>
          <w:sz w:val="24"/>
          <w:szCs w:val="24"/>
        </w:rPr>
        <w:t>,</w:t>
      </w:r>
      <w:r w:rsidR="00021586">
        <w:rPr>
          <w:rFonts w:ascii="Arial" w:hAnsi="Arial" w:cs="Arial"/>
          <w:sz w:val="24"/>
          <w:szCs w:val="24"/>
        </w:rPr>
        <w:t xml:space="preserve"> se tiene por probado que:</w:t>
      </w:r>
    </w:p>
    <w:p w14:paraId="252AF4DD" w14:textId="41AD7AA1" w:rsidR="000F17ED" w:rsidRDefault="00413791" w:rsidP="00413791">
      <w:pPr>
        <w:tabs>
          <w:tab w:val="left" w:pos="284"/>
          <w:tab w:val="left" w:pos="567"/>
        </w:tabs>
        <w:spacing w:before="240" w:line="360" w:lineRule="auto"/>
        <w:jc w:val="both"/>
        <w:rPr>
          <w:rFonts w:ascii="Arial" w:hAnsi="Arial" w:cs="Arial"/>
          <w:sz w:val="24"/>
          <w:szCs w:val="24"/>
        </w:rPr>
      </w:pPr>
      <w:r w:rsidRPr="001042B6">
        <w:rPr>
          <w:rFonts w:ascii="Arial" w:hAnsi="Arial" w:cs="Arial"/>
          <w:sz w:val="24"/>
          <w:szCs w:val="24"/>
        </w:rPr>
        <w:tab/>
      </w:r>
      <w:r w:rsidR="00985012">
        <w:rPr>
          <w:rFonts w:ascii="Arial" w:hAnsi="Arial" w:cs="Arial"/>
          <w:sz w:val="24"/>
          <w:szCs w:val="24"/>
        </w:rPr>
        <w:tab/>
      </w:r>
      <w:r w:rsidR="00D477D1">
        <w:rPr>
          <w:rFonts w:ascii="Arial" w:hAnsi="Arial" w:cs="Arial"/>
          <w:sz w:val="24"/>
          <w:szCs w:val="24"/>
        </w:rPr>
        <w:t xml:space="preserve">El actor </w:t>
      </w:r>
      <w:r w:rsidR="00B56F8A">
        <w:rPr>
          <w:rFonts w:ascii="Arial" w:hAnsi="Arial" w:cs="Arial"/>
          <w:sz w:val="24"/>
          <w:szCs w:val="24"/>
        </w:rPr>
        <w:t>***** ***** ***** *****</w:t>
      </w:r>
      <w:r w:rsidR="00951EAA">
        <w:rPr>
          <w:rFonts w:ascii="Arial" w:hAnsi="Arial" w:cs="Arial"/>
          <w:sz w:val="24"/>
          <w:szCs w:val="24"/>
        </w:rPr>
        <w:t>, fue trabajador del Gobierno del Estado de Oaxaca, dese</w:t>
      </w:r>
      <w:r w:rsidR="00527EE7">
        <w:rPr>
          <w:rFonts w:ascii="Arial" w:hAnsi="Arial" w:cs="Arial"/>
          <w:sz w:val="24"/>
          <w:szCs w:val="24"/>
        </w:rPr>
        <w:t>mpeñando los cargos siguientes</w:t>
      </w:r>
      <w:r w:rsidR="005F4103">
        <w:rPr>
          <w:rFonts w:ascii="Arial" w:hAnsi="Arial" w:cs="Arial"/>
          <w:sz w:val="24"/>
          <w:szCs w:val="24"/>
        </w:rPr>
        <w:t>:</w:t>
      </w:r>
    </w:p>
    <w:tbl>
      <w:tblPr>
        <w:tblStyle w:val="Tablaconcuadrcula"/>
        <w:tblW w:w="0" w:type="auto"/>
        <w:tblLook w:val="04A0" w:firstRow="1" w:lastRow="0" w:firstColumn="1" w:lastColumn="0" w:noHBand="0" w:noVBand="1"/>
      </w:tblPr>
      <w:tblGrid>
        <w:gridCol w:w="517"/>
        <w:gridCol w:w="5695"/>
        <w:gridCol w:w="2049"/>
      </w:tblGrid>
      <w:tr w:rsidR="000F17ED" w14:paraId="62B76D7A" w14:textId="77777777" w:rsidTr="00D90CCC">
        <w:tc>
          <w:tcPr>
            <w:tcW w:w="0" w:type="auto"/>
            <w:vAlign w:val="center"/>
          </w:tcPr>
          <w:p w14:paraId="4E7172E7" w14:textId="2CD31D90" w:rsidR="000F17ED" w:rsidRPr="00D90CCC" w:rsidRDefault="000F17ED" w:rsidP="00D90CCC">
            <w:pPr>
              <w:tabs>
                <w:tab w:val="left" w:pos="284"/>
                <w:tab w:val="left" w:pos="567"/>
              </w:tabs>
              <w:jc w:val="center"/>
              <w:rPr>
                <w:rFonts w:ascii="Arial" w:hAnsi="Arial" w:cs="Arial"/>
                <w:b/>
                <w:sz w:val="18"/>
                <w:szCs w:val="18"/>
              </w:rPr>
            </w:pPr>
            <w:r w:rsidRPr="00D90CCC">
              <w:rPr>
                <w:rFonts w:ascii="Arial" w:hAnsi="Arial" w:cs="Arial"/>
                <w:b/>
                <w:sz w:val="18"/>
                <w:szCs w:val="18"/>
              </w:rPr>
              <w:t>N/P</w:t>
            </w:r>
          </w:p>
        </w:tc>
        <w:tc>
          <w:tcPr>
            <w:tcW w:w="0" w:type="auto"/>
            <w:vAlign w:val="center"/>
          </w:tcPr>
          <w:p w14:paraId="7151EA85" w14:textId="4BAADE4D" w:rsidR="000F17ED" w:rsidRPr="00D90CCC" w:rsidRDefault="000F17ED" w:rsidP="00D90CCC">
            <w:pPr>
              <w:tabs>
                <w:tab w:val="left" w:pos="284"/>
                <w:tab w:val="left" w:pos="567"/>
              </w:tabs>
              <w:jc w:val="center"/>
              <w:rPr>
                <w:rFonts w:ascii="Arial" w:hAnsi="Arial" w:cs="Arial"/>
                <w:b/>
                <w:sz w:val="18"/>
                <w:szCs w:val="18"/>
              </w:rPr>
            </w:pPr>
            <w:r w:rsidRPr="00D90CCC">
              <w:rPr>
                <w:rFonts w:ascii="Arial" w:hAnsi="Arial" w:cs="Arial"/>
                <w:b/>
                <w:sz w:val="18"/>
                <w:szCs w:val="18"/>
              </w:rPr>
              <w:t>CARGO</w:t>
            </w:r>
          </w:p>
        </w:tc>
        <w:tc>
          <w:tcPr>
            <w:tcW w:w="0" w:type="auto"/>
            <w:vAlign w:val="center"/>
          </w:tcPr>
          <w:p w14:paraId="6340E80A" w14:textId="492064B5" w:rsidR="003D07EE" w:rsidRPr="00D90CCC" w:rsidRDefault="000F17ED" w:rsidP="00D90CCC">
            <w:pPr>
              <w:tabs>
                <w:tab w:val="left" w:pos="284"/>
                <w:tab w:val="left" w:pos="567"/>
              </w:tabs>
              <w:jc w:val="center"/>
              <w:rPr>
                <w:rFonts w:ascii="Arial" w:hAnsi="Arial" w:cs="Arial"/>
                <w:b/>
                <w:sz w:val="18"/>
                <w:szCs w:val="18"/>
              </w:rPr>
            </w:pPr>
            <w:r w:rsidRPr="00D90CCC">
              <w:rPr>
                <w:rFonts w:ascii="Arial" w:hAnsi="Arial" w:cs="Arial"/>
                <w:b/>
                <w:sz w:val="18"/>
                <w:szCs w:val="18"/>
              </w:rPr>
              <w:t>INICIO</w:t>
            </w:r>
          </w:p>
          <w:p w14:paraId="6E9EF204" w14:textId="08CB0FD2" w:rsidR="000F17ED" w:rsidRPr="00D90CCC" w:rsidRDefault="000F17ED" w:rsidP="00D90CCC">
            <w:pPr>
              <w:tabs>
                <w:tab w:val="left" w:pos="284"/>
                <w:tab w:val="left" w:pos="567"/>
              </w:tabs>
              <w:jc w:val="center"/>
              <w:rPr>
                <w:rFonts w:ascii="Arial" w:hAnsi="Arial" w:cs="Arial"/>
                <w:b/>
                <w:sz w:val="18"/>
                <w:szCs w:val="18"/>
              </w:rPr>
            </w:pPr>
            <w:r w:rsidRPr="00D90CCC">
              <w:rPr>
                <w:rFonts w:ascii="Arial" w:hAnsi="Arial" w:cs="Arial"/>
                <w:b/>
                <w:sz w:val="18"/>
                <w:szCs w:val="18"/>
              </w:rPr>
              <w:t>(De acuerdo a nombramiento</w:t>
            </w:r>
            <w:r w:rsidR="00326C9D">
              <w:rPr>
                <w:rFonts w:ascii="Arial" w:hAnsi="Arial" w:cs="Arial"/>
                <w:b/>
                <w:sz w:val="18"/>
                <w:szCs w:val="18"/>
              </w:rPr>
              <w:t>s</w:t>
            </w:r>
            <w:r w:rsidRPr="00D90CCC">
              <w:rPr>
                <w:rFonts w:ascii="Arial" w:hAnsi="Arial" w:cs="Arial"/>
                <w:b/>
                <w:sz w:val="18"/>
                <w:szCs w:val="18"/>
              </w:rPr>
              <w:t>)</w:t>
            </w:r>
          </w:p>
        </w:tc>
      </w:tr>
      <w:tr w:rsidR="000F17ED" w14:paraId="7072ADD5" w14:textId="77777777" w:rsidTr="00D90CCC">
        <w:tc>
          <w:tcPr>
            <w:tcW w:w="0" w:type="auto"/>
            <w:vAlign w:val="center"/>
          </w:tcPr>
          <w:p w14:paraId="31EFBC0F" w14:textId="3A21E9E4" w:rsidR="000F17ED" w:rsidRPr="00D90CCC" w:rsidRDefault="000F17ED" w:rsidP="00D90CCC">
            <w:pPr>
              <w:tabs>
                <w:tab w:val="left" w:pos="284"/>
                <w:tab w:val="left" w:pos="567"/>
              </w:tabs>
              <w:spacing w:before="240" w:line="360" w:lineRule="auto"/>
              <w:jc w:val="center"/>
              <w:rPr>
                <w:rFonts w:ascii="Arial" w:hAnsi="Arial" w:cs="Arial"/>
                <w:sz w:val="18"/>
                <w:szCs w:val="18"/>
              </w:rPr>
            </w:pPr>
            <w:r w:rsidRPr="00D90CCC">
              <w:rPr>
                <w:rFonts w:ascii="Arial" w:hAnsi="Arial" w:cs="Arial"/>
                <w:sz w:val="18"/>
                <w:szCs w:val="18"/>
              </w:rPr>
              <w:t>1</w:t>
            </w:r>
          </w:p>
        </w:tc>
        <w:tc>
          <w:tcPr>
            <w:tcW w:w="0" w:type="auto"/>
            <w:vAlign w:val="center"/>
          </w:tcPr>
          <w:p w14:paraId="550E6403" w14:textId="442882C7" w:rsidR="000F17ED" w:rsidRPr="00D90CCC" w:rsidRDefault="000F17ED" w:rsidP="00D90CCC">
            <w:pPr>
              <w:tabs>
                <w:tab w:val="left" w:pos="284"/>
                <w:tab w:val="left" w:pos="567"/>
              </w:tabs>
              <w:spacing w:before="240" w:line="360" w:lineRule="auto"/>
              <w:jc w:val="center"/>
              <w:rPr>
                <w:rFonts w:ascii="Arial" w:hAnsi="Arial" w:cs="Arial"/>
                <w:sz w:val="18"/>
                <w:szCs w:val="18"/>
              </w:rPr>
            </w:pPr>
            <w:r w:rsidRPr="00D90CCC">
              <w:rPr>
                <w:rFonts w:ascii="Arial" w:hAnsi="Arial" w:cs="Arial"/>
                <w:sz w:val="18"/>
                <w:szCs w:val="18"/>
              </w:rPr>
              <w:t>Director de Atención Ciudadana de la Secretaría Técnica del Poder Ejecutivo del Estado de Oaxaca.</w:t>
            </w:r>
          </w:p>
        </w:tc>
        <w:tc>
          <w:tcPr>
            <w:tcW w:w="0" w:type="auto"/>
            <w:vAlign w:val="center"/>
          </w:tcPr>
          <w:p w14:paraId="241FBBC1" w14:textId="300F46B0" w:rsidR="000F17ED" w:rsidRPr="00D90CCC" w:rsidRDefault="00C912F3" w:rsidP="00D90CCC">
            <w:pPr>
              <w:tabs>
                <w:tab w:val="left" w:pos="284"/>
                <w:tab w:val="left" w:pos="567"/>
              </w:tabs>
              <w:spacing w:before="240" w:line="360" w:lineRule="auto"/>
              <w:jc w:val="center"/>
              <w:rPr>
                <w:rFonts w:ascii="Arial" w:hAnsi="Arial" w:cs="Arial"/>
                <w:sz w:val="18"/>
                <w:szCs w:val="18"/>
              </w:rPr>
            </w:pPr>
            <w:r w:rsidRPr="00D90CCC">
              <w:rPr>
                <w:rFonts w:ascii="Arial" w:hAnsi="Arial" w:cs="Arial"/>
                <w:sz w:val="18"/>
                <w:szCs w:val="18"/>
              </w:rPr>
              <w:t>16/04/2006</w:t>
            </w:r>
          </w:p>
        </w:tc>
      </w:tr>
      <w:tr w:rsidR="000F17ED" w14:paraId="05E1939D" w14:textId="77777777" w:rsidTr="00D90CCC">
        <w:tc>
          <w:tcPr>
            <w:tcW w:w="0" w:type="auto"/>
            <w:vAlign w:val="center"/>
          </w:tcPr>
          <w:p w14:paraId="7A83B298" w14:textId="42169BBB" w:rsidR="000F17ED" w:rsidRPr="00D90CCC" w:rsidRDefault="000F17ED" w:rsidP="00D90CCC">
            <w:pPr>
              <w:tabs>
                <w:tab w:val="left" w:pos="284"/>
                <w:tab w:val="left" w:pos="567"/>
              </w:tabs>
              <w:spacing w:before="240" w:line="360" w:lineRule="auto"/>
              <w:jc w:val="center"/>
              <w:rPr>
                <w:rFonts w:ascii="Arial" w:hAnsi="Arial" w:cs="Arial"/>
                <w:sz w:val="18"/>
                <w:szCs w:val="18"/>
              </w:rPr>
            </w:pPr>
            <w:r w:rsidRPr="00D90CCC">
              <w:rPr>
                <w:rFonts w:ascii="Arial" w:hAnsi="Arial" w:cs="Arial"/>
                <w:sz w:val="18"/>
                <w:szCs w:val="18"/>
              </w:rPr>
              <w:t>2</w:t>
            </w:r>
          </w:p>
        </w:tc>
        <w:tc>
          <w:tcPr>
            <w:tcW w:w="0" w:type="auto"/>
            <w:vAlign w:val="center"/>
          </w:tcPr>
          <w:p w14:paraId="296778EA" w14:textId="577F27D9" w:rsidR="000F17ED" w:rsidRPr="00D90CCC" w:rsidRDefault="000F17ED" w:rsidP="00D90CCC">
            <w:pPr>
              <w:tabs>
                <w:tab w:val="left" w:pos="284"/>
                <w:tab w:val="left" w:pos="567"/>
              </w:tabs>
              <w:spacing w:before="240" w:line="360" w:lineRule="auto"/>
              <w:jc w:val="center"/>
              <w:rPr>
                <w:rFonts w:ascii="Arial" w:hAnsi="Arial" w:cs="Arial"/>
                <w:sz w:val="18"/>
                <w:szCs w:val="18"/>
              </w:rPr>
            </w:pPr>
            <w:r w:rsidRPr="00D90CCC">
              <w:rPr>
                <w:rFonts w:ascii="Arial" w:hAnsi="Arial" w:cs="Arial"/>
                <w:sz w:val="18"/>
                <w:szCs w:val="18"/>
              </w:rPr>
              <w:t>Jefe de la Unidad de Visitadurías y Registradurías, adscrito a la Dirección de Registro Público de la Propiedad de la Secretaría General de Gobierno del Estado de Oaxaca.</w:t>
            </w:r>
          </w:p>
        </w:tc>
        <w:tc>
          <w:tcPr>
            <w:tcW w:w="0" w:type="auto"/>
            <w:vAlign w:val="center"/>
          </w:tcPr>
          <w:p w14:paraId="0196810D" w14:textId="5517A587" w:rsidR="000F17ED" w:rsidRPr="00D90CCC" w:rsidRDefault="00C912F3" w:rsidP="00D90CCC">
            <w:pPr>
              <w:tabs>
                <w:tab w:val="left" w:pos="284"/>
                <w:tab w:val="left" w:pos="567"/>
              </w:tabs>
              <w:spacing w:before="240" w:line="360" w:lineRule="auto"/>
              <w:jc w:val="center"/>
              <w:rPr>
                <w:rFonts w:ascii="Arial" w:hAnsi="Arial" w:cs="Arial"/>
                <w:sz w:val="18"/>
                <w:szCs w:val="18"/>
              </w:rPr>
            </w:pPr>
            <w:r w:rsidRPr="00D90CCC">
              <w:rPr>
                <w:rFonts w:ascii="Arial" w:hAnsi="Arial" w:cs="Arial"/>
                <w:sz w:val="18"/>
                <w:szCs w:val="18"/>
              </w:rPr>
              <w:t>01/07/2007</w:t>
            </w:r>
          </w:p>
        </w:tc>
      </w:tr>
      <w:tr w:rsidR="00C912F3" w14:paraId="6C547294" w14:textId="77777777" w:rsidTr="00D90CCC">
        <w:tc>
          <w:tcPr>
            <w:tcW w:w="0" w:type="auto"/>
            <w:vAlign w:val="center"/>
          </w:tcPr>
          <w:p w14:paraId="0568960D" w14:textId="7EBC9245" w:rsidR="00C912F3" w:rsidRPr="00D90CCC" w:rsidRDefault="00C912F3" w:rsidP="00D90CCC">
            <w:pPr>
              <w:tabs>
                <w:tab w:val="left" w:pos="284"/>
                <w:tab w:val="left" w:pos="567"/>
              </w:tabs>
              <w:spacing w:before="240" w:line="360" w:lineRule="auto"/>
              <w:jc w:val="center"/>
              <w:rPr>
                <w:rFonts w:ascii="Arial" w:hAnsi="Arial" w:cs="Arial"/>
                <w:sz w:val="18"/>
                <w:szCs w:val="18"/>
              </w:rPr>
            </w:pPr>
            <w:r w:rsidRPr="00D90CCC">
              <w:rPr>
                <w:rFonts w:ascii="Arial" w:hAnsi="Arial" w:cs="Arial"/>
                <w:sz w:val="18"/>
                <w:szCs w:val="18"/>
              </w:rPr>
              <w:t>3</w:t>
            </w:r>
          </w:p>
        </w:tc>
        <w:tc>
          <w:tcPr>
            <w:tcW w:w="0" w:type="auto"/>
            <w:vAlign w:val="center"/>
          </w:tcPr>
          <w:p w14:paraId="1851160A" w14:textId="6B48E5E0" w:rsidR="00C912F3" w:rsidRPr="00D90CCC" w:rsidRDefault="00C912F3" w:rsidP="00D90CCC">
            <w:pPr>
              <w:tabs>
                <w:tab w:val="left" w:pos="284"/>
                <w:tab w:val="left" w:pos="567"/>
              </w:tabs>
              <w:spacing w:before="240" w:line="360" w:lineRule="auto"/>
              <w:jc w:val="center"/>
              <w:rPr>
                <w:rFonts w:ascii="Arial" w:hAnsi="Arial" w:cs="Arial"/>
                <w:sz w:val="18"/>
                <w:szCs w:val="18"/>
              </w:rPr>
            </w:pPr>
            <w:r w:rsidRPr="00D90CCC">
              <w:rPr>
                <w:rFonts w:ascii="Arial" w:hAnsi="Arial" w:cs="Arial"/>
                <w:sz w:val="18"/>
                <w:szCs w:val="18"/>
              </w:rPr>
              <w:t>Jefe de Departamento</w:t>
            </w:r>
            <w:r w:rsidR="00530964" w:rsidRPr="00D90CCC">
              <w:rPr>
                <w:rFonts w:ascii="Arial" w:hAnsi="Arial" w:cs="Arial"/>
                <w:sz w:val="18"/>
                <w:szCs w:val="18"/>
              </w:rPr>
              <w:t xml:space="preserve"> de Fomento Comercial y promoción al Consumo,</w:t>
            </w:r>
            <w:r w:rsidRPr="00D90CCC">
              <w:rPr>
                <w:rFonts w:ascii="Arial" w:hAnsi="Arial" w:cs="Arial"/>
                <w:sz w:val="18"/>
                <w:szCs w:val="18"/>
              </w:rPr>
              <w:t xml:space="preserve"> en el Consejo Estatal del Café</w:t>
            </w:r>
          </w:p>
        </w:tc>
        <w:tc>
          <w:tcPr>
            <w:tcW w:w="0" w:type="auto"/>
            <w:vAlign w:val="center"/>
          </w:tcPr>
          <w:p w14:paraId="79C742A3" w14:textId="66A7A98D" w:rsidR="00C912F3" w:rsidRPr="00D90CCC" w:rsidRDefault="00530964" w:rsidP="00D90CCC">
            <w:pPr>
              <w:tabs>
                <w:tab w:val="left" w:pos="284"/>
                <w:tab w:val="left" w:pos="567"/>
              </w:tabs>
              <w:spacing w:before="240" w:line="360" w:lineRule="auto"/>
              <w:jc w:val="center"/>
              <w:rPr>
                <w:rFonts w:ascii="Arial" w:hAnsi="Arial" w:cs="Arial"/>
                <w:sz w:val="18"/>
                <w:szCs w:val="18"/>
              </w:rPr>
            </w:pPr>
            <w:r w:rsidRPr="00D90CCC">
              <w:rPr>
                <w:rFonts w:ascii="Arial" w:hAnsi="Arial" w:cs="Arial"/>
                <w:sz w:val="18"/>
                <w:szCs w:val="18"/>
              </w:rPr>
              <w:t>16/06/2014</w:t>
            </w:r>
          </w:p>
        </w:tc>
      </w:tr>
      <w:tr w:rsidR="000F17ED" w14:paraId="35072BB4" w14:textId="77777777" w:rsidTr="00D90CCC">
        <w:tc>
          <w:tcPr>
            <w:tcW w:w="0" w:type="auto"/>
            <w:vAlign w:val="center"/>
          </w:tcPr>
          <w:p w14:paraId="39E890E1" w14:textId="78612ED8" w:rsidR="000F17ED" w:rsidRPr="00D90CCC" w:rsidRDefault="000F17ED" w:rsidP="00D90CCC">
            <w:pPr>
              <w:tabs>
                <w:tab w:val="left" w:pos="284"/>
                <w:tab w:val="left" w:pos="567"/>
              </w:tabs>
              <w:spacing w:before="240" w:line="360" w:lineRule="auto"/>
              <w:jc w:val="center"/>
              <w:rPr>
                <w:rFonts w:ascii="Arial" w:hAnsi="Arial" w:cs="Arial"/>
                <w:sz w:val="18"/>
                <w:szCs w:val="18"/>
              </w:rPr>
            </w:pPr>
            <w:r w:rsidRPr="00D90CCC">
              <w:rPr>
                <w:rFonts w:ascii="Arial" w:hAnsi="Arial" w:cs="Arial"/>
                <w:sz w:val="18"/>
                <w:szCs w:val="18"/>
              </w:rPr>
              <w:t>3</w:t>
            </w:r>
          </w:p>
        </w:tc>
        <w:tc>
          <w:tcPr>
            <w:tcW w:w="0" w:type="auto"/>
            <w:vAlign w:val="center"/>
          </w:tcPr>
          <w:p w14:paraId="2A0AD878" w14:textId="124761C9" w:rsidR="000F17ED" w:rsidRPr="00D90CCC" w:rsidRDefault="000F17ED" w:rsidP="00D90CCC">
            <w:pPr>
              <w:tabs>
                <w:tab w:val="left" w:pos="284"/>
                <w:tab w:val="left" w:pos="567"/>
              </w:tabs>
              <w:spacing w:before="240" w:line="360" w:lineRule="auto"/>
              <w:jc w:val="center"/>
              <w:rPr>
                <w:rFonts w:ascii="Arial" w:hAnsi="Arial" w:cs="Arial"/>
                <w:sz w:val="18"/>
                <w:szCs w:val="18"/>
              </w:rPr>
            </w:pPr>
            <w:r w:rsidRPr="00D90CCC">
              <w:rPr>
                <w:rFonts w:ascii="Arial" w:hAnsi="Arial" w:cs="Arial"/>
                <w:sz w:val="18"/>
                <w:szCs w:val="18"/>
              </w:rPr>
              <w:t>Jefe del Departamento de Planeación y Fideicomiso para el Desarrollo Logístico del Estado de Oaxaca.</w:t>
            </w:r>
          </w:p>
        </w:tc>
        <w:tc>
          <w:tcPr>
            <w:tcW w:w="0" w:type="auto"/>
            <w:vAlign w:val="center"/>
          </w:tcPr>
          <w:p w14:paraId="7D1F4E2E" w14:textId="073612D9" w:rsidR="000F17ED" w:rsidRPr="00D90CCC" w:rsidRDefault="00C912F3" w:rsidP="00D90CCC">
            <w:pPr>
              <w:tabs>
                <w:tab w:val="left" w:pos="284"/>
                <w:tab w:val="left" w:pos="567"/>
              </w:tabs>
              <w:spacing w:before="240" w:line="360" w:lineRule="auto"/>
              <w:jc w:val="center"/>
              <w:rPr>
                <w:rFonts w:ascii="Arial" w:hAnsi="Arial" w:cs="Arial"/>
                <w:sz w:val="18"/>
                <w:szCs w:val="18"/>
              </w:rPr>
            </w:pPr>
            <w:r w:rsidRPr="00D90CCC">
              <w:rPr>
                <w:rFonts w:ascii="Arial" w:hAnsi="Arial" w:cs="Arial"/>
                <w:sz w:val="18"/>
                <w:szCs w:val="18"/>
              </w:rPr>
              <w:t>16/01/2017</w:t>
            </w:r>
          </w:p>
        </w:tc>
      </w:tr>
      <w:tr w:rsidR="000F17ED" w14:paraId="54AA8592" w14:textId="77777777" w:rsidTr="00D90CCC">
        <w:tc>
          <w:tcPr>
            <w:tcW w:w="0" w:type="auto"/>
            <w:vAlign w:val="center"/>
          </w:tcPr>
          <w:p w14:paraId="6F246EEE" w14:textId="434F1379" w:rsidR="000F17ED" w:rsidRPr="00D90CCC" w:rsidRDefault="000F17ED" w:rsidP="00D90CCC">
            <w:pPr>
              <w:tabs>
                <w:tab w:val="left" w:pos="284"/>
                <w:tab w:val="left" w:pos="567"/>
              </w:tabs>
              <w:spacing w:before="240" w:line="360" w:lineRule="auto"/>
              <w:jc w:val="center"/>
              <w:rPr>
                <w:rFonts w:ascii="Arial" w:hAnsi="Arial" w:cs="Arial"/>
                <w:sz w:val="18"/>
                <w:szCs w:val="18"/>
              </w:rPr>
            </w:pPr>
            <w:r w:rsidRPr="00D90CCC">
              <w:rPr>
                <w:rFonts w:ascii="Arial" w:hAnsi="Arial" w:cs="Arial"/>
                <w:sz w:val="18"/>
                <w:szCs w:val="18"/>
              </w:rPr>
              <w:t>4</w:t>
            </w:r>
          </w:p>
        </w:tc>
        <w:tc>
          <w:tcPr>
            <w:tcW w:w="0" w:type="auto"/>
            <w:vAlign w:val="center"/>
          </w:tcPr>
          <w:p w14:paraId="63C098CB" w14:textId="7D9BCE69" w:rsidR="000F17ED" w:rsidRPr="00D90CCC" w:rsidRDefault="000F17ED" w:rsidP="00D90CCC">
            <w:pPr>
              <w:tabs>
                <w:tab w:val="left" w:pos="284"/>
                <w:tab w:val="left" w:pos="567"/>
              </w:tabs>
              <w:spacing w:before="240" w:line="360" w:lineRule="auto"/>
              <w:jc w:val="center"/>
              <w:rPr>
                <w:rFonts w:ascii="Arial" w:hAnsi="Arial" w:cs="Arial"/>
                <w:sz w:val="18"/>
                <w:szCs w:val="18"/>
              </w:rPr>
            </w:pPr>
            <w:r w:rsidRPr="00D90CCC">
              <w:rPr>
                <w:rFonts w:ascii="Arial" w:hAnsi="Arial" w:cs="Arial"/>
                <w:sz w:val="18"/>
                <w:szCs w:val="18"/>
              </w:rPr>
              <w:t>Jefe del Departamento de Recursos Humanos y Materiales del Fideicomiso para el Desarrollo Logístico del Estado de Oaxaca.</w:t>
            </w:r>
          </w:p>
        </w:tc>
        <w:tc>
          <w:tcPr>
            <w:tcW w:w="0" w:type="auto"/>
            <w:vAlign w:val="center"/>
          </w:tcPr>
          <w:p w14:paraId="6EB29928" w14:textId="407DCA66" w:rsidR="000F17ED" w:rsidRPr="00D90CCC" w:rsidRDefault="00C912F3" w:rsidP="00D90CCC">
            <w:pPr>
              <w:tabs>
                <w:tab w:val="left" w:pos="284"/>
                <w:tab w:val="left" w:pos="567"/>
              </w:tabs>
              <w:spacing w:before="240" w:line="360" w:lineRule="auto"/>
              <w:jc w:val="center"/>
              <w:rPr>
                <w:rFonts w:ascii="Arial" w:hAnsi="Arial" w:cs="Arial"/>
                <w:sz w:val="18"/>
                <w:szCs w:val="18"/>
              </w:rPr>
            </w:pPr>
            <w:r w:rsidRPr="00D90CCC">
              <w:rPr>
                <w:rFonts w:ascii="Arial" w:hAnsi="Arial" w:cs="Arial"/>
                <w:sz w:val="18"/>
                <w:szCs w:val="18"/>
              </w:rPr>
              <w:t>01/04/2017</w:t>
            </w:r>
          </w:p>
        </w:tc>
      </w:tr>
    </w:tbl>
    <w:p w14:paraId="4879FD05" w14:textId="79B09C1F" w:rsidR="000D32FD" w:rsidRDefault="000D32FD" w:rsidP="00413791">
      <w:pPr>
        <w:tabs>
          <w:tab w:val="left" w:pos="284"/>
          <w:tab w:val="left" w:pos="567"/>
        </w:tabs>
        <w:spacing w:before="240" w:line="360" w:lineRule="auto"/>
        <w:jc w:val="both"/>
        <w:rPr>
          <w:rFonts w:ascii="Arial" w:hAnsi="Arial" w:cs="Arial"/>
          <w:sz w:val="24"/>
          <w:szCs w:val="24"/>
        </w:rPr>
      </w:pPr>
      <w:r>
        <w:rPr>
          <w:rFonts w:ascii="Arial" w:hAnsi="Arial" w:cs="Arial"/>
          <w:sz w:val="24"/>
          <w:szCs w:val="24"/>
        </w:rPr>
        <w:tab/>
        <w:t>También, se tiene por probado en este asunto</w:t>
      </w:r>
      <w:r w:rsidR="00527EE7">
        <w:rPr>
          <w:rFonts w:ascii="Arial" w:hAnsi="Arial" w:cs="Arial"/>
          <w:sz w:val="24"/>
          <w:szCs w:val="24"/>
        </w:rPr>
        <w:t xml:space="preserve"> (pues el actor no objetó la información vertida por la autoridad demandada en la impresión de consulta al Sistema de Pensiones con el que cuenta la Oficina de Pensiones del Estado de Oaxaca),</w:t>
      </w:r>
      <w:r>
        <w:rPr>
          <w:rFonts w:ascii="Arial" w:hAnsi="Arial" w:cs="Arial"/>
          <w:sz w:val="24"/>
          <w:szCs w:val="24"/>
        </w:rPr>
        <w:t xml:space="preserve"> que las aportaciones y devoluciones del Fondo de pensiones a favor del actor </w:t>
      </w:r>
      <w:r w:rsidR="00B55B47">
        <w:rPr>
          <w:rFonts w:ascii="Arial" w:hAnsi="Arial" w:cs="Arial"/>
          <w:sz w:val="24"/>
          <w:szCs w:val="24"/>
        </w:rPr>
        <w:t xml:space="preserve">fueron </w:t>
      </w:r>
      <w:r>
        <w:rPr>
          <w:rFonts w:ascii="Arial" w:hAnsi="Arial" w:cs="Arial"/>
          <w:sz w:val="24"/>
          <w:szCs w:val="24"/>
        </w:rPr>
        <w:t>l</w:t>
      </w:r>
      <w:r w:rsidR="00B55B47">
        <w:rPr>
          <w:rFonts w:ascii="Arial" w:hAnsi="Arial" w:cs="Arial"/>
          <w:sz w:val="24"/>
          <w:szCs w:val="24"/>
        </w:rPr>
        <w:t>a</w:t>
      </w:r>
      <w:r>
        <w:rPr>
          <w:rFonts w:ascii="Arial" w:hAnsi="Arial" w:cs="Arial"/>
          <w:sz w:val="24"/>
          <w:szCs w:val="24"/>
        </w:rPr>
        <w:t>s siguientes:</w:t>
      </w:r>
    </w:p>
    <w:tbl>
      <w:tblPr>
        <w:tblStyle w:val="Tablaconcuadrcula"/>
        <w:tblW w:w="0" w:type="auto"/>
        <w:tblLook w:val="04A0" w:firstRow="1" w:lastRow="0" w:firstColumn="1" w:lastColumn="0" w:noHBand="0" w:noVBand="1"/>
      </w:tblPr>
      <w:tblGrid>
        <w:gridCol w:w="517"/>
        <w:gridCol w:w="1117"/>
        <w:gridCol w:w="1117"/>
        <w:gridCol w:w="1117"/>
        <w:gridCol w:w="1996"/>
      </w:tblGrid>
      <w:tr w:rsidR="005F19B6" w:rsidRPr="00D90CCC" w14:paraId="07337709" w14:textId="77777777" w:rsidTr="00D90CCC">
        <w:tc>
          <w:tcPr>
            <w:tcW w:w="0" w:type="auto"/>
          </w:tcPr>
          <w:p w14:paraId="4A39389D" w14:textId="76701258" w:rsidR="005F19B6" w:rsidRPr="00D90CCC" w:rsidRDefault="005F19B6" w:rsidP="005E527B">
            <w:pPr>
              <w:tabs>
                <w:tab w:val="left" w:pos="284"/>
                <w:tab w:val="left" w:pos="567"/>
              </w:tabs>
              <w:spacing w:before="240" w:line="360" w:lineRule="auto"/>
              <w:jc w:val="center"/>
              <w:rPr>
                <w:rFonts w:ascii="Arial" w:hAnsi="Arial" w:cs="Arial"/>
                <w:b/>
                <w:sz w:val="18"/>
                <w:szCs w:val="18"/>
              </w:rPr>
            </w:pPr>
            <w:r w:rsidRPr="00D90CCC">
              <w:rPr>
                <w:rFonts w:ascii="Arial" w:hAnsi="Arial" w:cs="Arial"/>
                <w:b/>
                <w:sz w:val="18"/>
                <w:szCs w:val="18"/>
              </w:rPr>
              <w:t>N/P</w:t>
            </w:r>
          </w:p>
        </w:tc>
        <w:tc>
          <w:tcPr>
            <w:tcW w:w="0" w:type="auto"/>
            <w:vAlign w:val="center"/>
          </w:tcPr>
          <w:p w14:paraId="2B71860D" w14:textId="5C2673E6" w:rsidR="005F19B6" w:rsidRPr="00D90CCC" w:rsidRDefault="005F19B6" w:rsidP="005E527B">
            <w:pPr>
              <w:tabs>
                <w:tab w:val="left" w:pos="284"/>
                <w:tab w:val="left" w:pos="567"/>
              </w:tabs>
              <w:spacing w:before="240" w:line="360" w:lineRule="auto"/>
              <w:jc w:val="center"/>
              <w:rPr>
                <w:rFonts w:ascii="Arial" w:hAnsi="Arial" w:cs="Arial"/>
                <w:b/>
                <w:sz w:val="18"/>
                <w:szCs w:val="18"/>
              </w:rPr>
            </w:pPr>
            <w:r w:rsidRPr="00D90CCC">
              <w:rPr>
                <w:rFonts w:ascii="Arial" w:hAnsi="Arial" w:cs="Arial"/>
                <w:b/>
                <w:sz w:val="18"/>
                <w:szCs w:val="18"/>
              </w:rPr>
              <w:t>DESDE</w:t>
            </w:r>
          </w:p>
        </w:tc>
        <w:tc>
          <w:tcPr>
            <w:tcW w:w="0" w:type="auto"/>
            <w:vAlign w:val="center"/>
          </w:tcPr>
          <w:p w14:paraId="3D30655C" w14:textId="280E2570" w:rsidR="005F19B6" w:rsidRPr="00D90CCC" w:rsidRDefault="005F19B6" w:rsidP="005E527B">
            <w:pPr>
              <w:tabs>
                <w:tab w:val="left" w:pos="284"/>
                <w:tab w:val="left" w:pos="567"/>
              </w:tabs>
              <w:spacing w:before="240" w:line="360" w:lineRule="auto"/>
              <w:jc w:val="center"/>
              <w:rPr>
                <w:rFonts w:ascii="Arial" w:hAnsi="Arial" w:cs="Arial"/>
                <w:b/>
                <w:sz w:val="18"/>
                <w:szCs w:val="18"/>
              </w:rPr>
            </w:pPr>
            <w:r w:rsidRPr="00D90CCC">
              <w:rPr>
                <w:rFonts w:ascii="Arial" w:hAnsi="Arial" w:cs="Arial"/>
                <w:b/>
                <w:sz w:val="18"/>
                <w:szCs w:val="18"/>
              </w:rPr>
              <w:t>HASTA</w:t>
            </w:r>
          </w:p>
        </w:tc>
        <w:tc>
          <w:tcPr>
            <w:tcW w:w="0" w:type="auto"/>
            <w:vAlign w:val="center"/>
          </w:tcPr>
          <w:p w14:paraId="04AD3C96" w14:textId="41BEFD93" w:rsidR="005F19B6" w:rsidRPr="00D90CCC" w:rsidRDefault="005F19B6" w:rsidP="005E527B">
            <w:pPr>
              <w:tabs>
                <w:tab w:val="left" w:pos="284"/>
                <w:tab w:val="left" w:pos="567"/>
              </w:tabs>
              <w:spacing w:before="240" w:line="360" w:lineRule="auto"/>
              <w:jc w:val="center"/>
              <w:rPr>
                <w:rFonts w:ascii="Arial" w:hAnsi="Arial" w:cs="Arial"/>
                <w:b/>
                <w:sz w:val="18"/>
                <w:szCs w:val="18"/>
              </w:rPr>
            </w:pPr>
            <w:r w:rsidRPr="00D90CCC">
              <w:rPr>
                <w:rFonts w:ascii="Arial" w:hAnsi="Arial" w:cs="Arial"/>
                <w:b/>
                <w:sz w:val="18"/>
                <w:szCs w:val="18"/>
              </w:rPr>
              <w:t>MONTO</w:t>
            </w:r>
          </w:p>
        </w:tc>
        <w:tc>
          <w:tcPr>
            <w:tcW w:w="0" w:type="auto"/>
            <w:vAlign w:val="center"/>
          </w:tcPr>
          <w:p w14:paraId="04FA08E2" w14:textId="0C1749D4" w:rsidR="005F19B6" w:rsidRPr="00D90CCC" w:rsidRDefault="005F19B6" w:rsidP="005E527B">
            <w:pPr>
              <w:tabs>
                <w:tab w:val="left" w:pos="284"/>
                <w:tab w:val="left" w:pos="567"/>
              </w:tabs>
              <w:spacing w:before="240" w:line="360" w:lineRule="auto"/>
              <w:jc w:val="center"/>
              <w:rPr>
                <w:rFonts w:ascii="Arial" w:hAnsi="Arial" w:cs="Arial"/>
                <w:b/>
                <w:sz w:val="18"/>
                <w:szCs w:val="18"/>
              </w:rPr>
            </w:pPr>
            <w:r w:rsidRPr="00D90CCC">
              <w:rPr>
                <w:rFonts w:ascii="Arial" w:hAnsi="Arial" w:cs="Arial"/>
                <w:b/>
                <w:sz w:val="18"/>
                <w:szCs w:val="18"/>
              </w:rPr>
              <w:t>DESCRICPCIÓN</w:t>
            </w:r>
          </w:p>
        </w:tc>
      </w:tr>
      <w:tr w:rsidR="005F19B6" w:rsidRPr="00D90CCC" w14:paraId="6E550FF1" w14:textId="77777777" w:rsidTr="00D90CCC">
        <w:tc>
          <w:tcPr>
            <w:tcW w:w="0" w:type="auto"/>
          </w:tcPr>
          <w:p w14:paraId="2A4C2229" w14:textId="447CAB69" w:rsidR="005F19B6" w:rsidRPr="00D90CCC" w:rsidRDefault="005F19B6" w:rsidP="00D90CCC">
            <w:pPr>
              <w:tabs>
                <w:tab w:val="left" w:pos="284"/>
                <w:tab w:val="left" w:pos="567"/>
              </w:tabs>
              <w:spacing w:before="240" w:line="360" w:lineRule="auto"/>
              <w:jc w:val="center"/>
              <w:rPr>
                <w:rFonts w:ascii="Arial" w:hAnsi="Arial" w:cs="Arial"/>
                <w:sz w:val="18"/>
                <w:szCs w:val="18"/>
              </w:rPr>
            </w:pPr>
            <w:r w:rsidRPr="00D90CCC">
              <w:rPr>
                <w:rFonts w:ascii="Arial" w:hAnsi="Arial" w:cs="Arial"/>
                <w:sz w:val="18"/>
                <w:szCs w:val="18"/>
              </w:rPr>
              <w:t>1</w:t>
            </w:r>
          </w:p>
        </w:tc>
        <w:tc>
          <w:tcPr>
            <w:tcW w:w="0" w:type="auto"/>
          </w:tcPr>
          <w:p w14:paraId="5C6A38D5" w14:textId="103DB4C2" w:rsidR="005F19B6" w:rsidRPr="00D90CCC" w:rsidRDefault="005F19B6" w:rsidP="00413791">
            <w:pPr>
              <w:tabs>
                <w:tab w:val="left" w:pos="284"/>
                <w:tab w:val="left" w:pos="567"/>
              </w:tabs>
              <w:spacing w:before="240" w:line="360" w:lineRule="auto"/>
              <w:jc w:val="both"/>
              <w:rPr>
                <w:rFonts w:ascii="Arial" w:hAnsi="Arial" w:cs="Arial"/>
                <w:sz w:val="18"/>
                <w:szCs w:val="18"/>
              </w:rPr>
            </w:pPr>
            <w:r w:rsidRPr="00D90CCC">
              <w:rPr>
                <w:rFonts w:ascii="Arial" w:hAnsi="Arial" w:cs="Arial"/>
                <w:sz w:val="18"/>
                <w:szCs w:val="18"/>
              </w:rPr>
              <w:t>16/04/2006</w:t>
            </w:r>
          </w:p>
        </w:tc>
        <w:tc>
          <w:tcPr>
            <w:tcW w:w="0" w:type="auto"/>
          </w:tcPr>
          <w:p w14:paraId="721335CB" w14:textId="3D4F9966" w:rsidR="005F19B6" w:rsidRPr="00D90CCC" w:rsidRDefault="005F19B6" w:rsidP="00413791">
            <w:pPr>
              <w:tabs>
                <w:tab w:val="left" w:pos="284"/>
                <w:tab w:val="left" w:pos="567"/>
              </w:tabs>
              <w:spacing w:before="240" w:line="360" w:lineRule="auto"/>
              <w:jc w:val="both"/>
              <w:rPr>
                <w:rFonts w:ascii="Arial" w:hAnsi="Arial" w:cs="Arial"/>
                <w:sz w:val="18"/>
                <w:szCs w:val="18"/>
              </w:rPr>
            </w:pPr>
            <w:r w:rsidRPr="00D90CCC">
              <w:rPr>
                <w:rFonts w:ascii="Arial" w:hAnsi="Arial" w:cs="Arial"/>
                <w:sz w:val="18"/>
                <w:szCs w:val="18"/>
              </w:rPr>
              <w:t>30/12/2006</w:t>
            </w:r>
          </w:p>
        </w:tc>
        <w:tc>
          <w:tcPr>
            <w:tcW w:w="0" w:type="auto"/>
          </w:tcPr>
          <w:p w14:paraId="66039498" w14:textId="31BCB340" w:rsidR="005F19B6" w:rsidRPr="00D90CCC" w:rsidRDefault="005F19B6" w:rsidP="00413791">
            <w:pPr>
              <w:tabs>
                <w:tab w:val="left" w:pos="284"/>
                <w:tab w:val="left" w:pos="567"/>
              </w:tabs>
              <w:spacing w:before="240" w:line="360" w:lineRule="auto"/>
              <w:jc w:val="both"/>
              <w:rPr>
                <w:rFonts w:ascii="Arial" w:hAnsi="Arial" w:cs="Arial"/>
                <w:sz w:val="18"/>
                <w:szCs w:val="18"/>
              </w:rPr>
            </w:pPr>
            <w:r w:rsidRPr="00D90CCC">
              <w:rPr>
                <w:rFonts w:ascii="Arial" w:hAnsi="Arial" w:cs="Arial"/>
                <w:sz w:val="18"/>
                <w:szCs w:val="18"/>
              </w:rPr>
              <w:t>$3,672.85</w:t>
            </w:r>
          </w:p>
        </w:tc>
        <w:tc>
          <w:tcPr>
            <w:tcW w:w="0" w:type="auto"/>
          </w:tcPr>
          <w:p w14:paraId="32688222" w14:textId="24C6A191" w:rsidR="005F19B6" w:rsidRPr="00D90CCC" w:rsidRDefault="00326C9D" w:rsidP="00413791">
            <w:pPr>
              <w:tabs>
                <w:tab w:val="left" w:pos="284"/>
                <w:tab w:val="left" w:pos="567"/>
              </w:tabs>
              <w:spacing w:before="240" w:line="360" w:lineRule="auto"/>
              <w:jc w:val="both"/>
              <w:rPr>
                <w:rFonts w:ascii="Arial" w:hAnsi="Arial" w:cs="Arial"/>
                <w:sz w:val="18"/>
                <w:szCs w:val="18"/>
              </w:rPr>
            </w:pPr>
            <w:r w:rsidRPr="00D90CCC">
              <w:rPr>
                <w:rFonts w:ascii="Arial" w:hAnsi="Arial" w:cs="Arial"/>
                <w:sz w:val="18"/>
                <w:szCs w:val="18"/>
              </w:rPr>
              <w:t>Aportación</w:t>
            </w:r>
          </w:p>
        </w:tc>
      </w:tr>
      <w:tr w:rsidR="005F19B6" w:rsidRPr="00D90CCC" w14:paraId="6DABA2D7" w14:textId="77777777" w:rsidTr="00D90CCC">
        <w:tc>
          <w:tcPr>
            <w:tcW w:w="0" w:type="auto"/>
          </w:tcPr>
          <w:p w14:paraId="0B0B9CD4" w14:textId="7DC8B548" w:rsidR="005F19B6" w:rsidRPr="00D90CCC" w:rsidRDefault="005F19B6" w:rsidP="00D90CCC">
            <w:pPr>
              <w:tabs>
                <w:tab w:val="left" w:pos="284"/>
                <w:tab w:val="left" w:pos="567"/>
              </w:tabs>
              <w:spacing w:before="240" w:line="360" w:lineRule="auto"/>
              <w:jc w:val="center"/>
              <w:rPr>
                <w:rFonts w:ascii="Arial" w:hAnsi="Arial" w:cs="Arial"/>
                <w:sz w:val="18"/>
                <w:szCs w:val="18"/>
              </w:rPr>
            </w:pPr>
            <w:r w:rsidRPr="00D90CCC">
              <w:rPr>
                <w:rFonts w:ascii="Arial" w:hAnsi="Arial" w:cs="Arial"/>
                <w:sz w:val="18"/>
                <w:szCs w:val="18"/>
              </w:rPr>
              <w:t>2</w:t>
            </w:r>
          </w:p>
        </w:tc>
        <w:tc>
          <w:tcPr>
            <w:tcW w:w="0" w:type="auto"/>
          </w:tcPr>
          <w:p w14:paraId="5051763A" w14:textId="61BD5EB6" w:rsidR="005F19B6" w:rsidRPr="00D90CCC" w:rsidRDefault="00D477D1" w:rsidP="00413791">
            <w:pPr>
              <w:tabs>
                <w:tab w:val="left" w:pos="284"/>
                <w:tab w:val="left" w:pos="567"/>
              </w:tabs>
              <w:spacing w:before="240" w:line="360" w:lineRule="auto"/>
              <w:jc w:val="both"/>
              <w:rPr>
                <w:rFonts w:ascii="Arial" w:hAnsi="Arial" w:cs="Arial"/>
                <w:sz w:val="18"/>
                <w:szCs w:val="18"/>
              </w:rPr>
            </w:pPr>
            <w:r>
              <w:rPr>
                <w:rFonts w:ascii="Arial" w:hAnsi="Arial" w:cs="Arial"/>
                <w:sz w:val="18"/>
                <w:szCs w:val="18"/>
              </w:rPr>
              <w:t>01/01</w:t>
            </w:r>
            <w:r w:rsidR="005F19B6" w:rsidRPr="00D90CCC">
              <w:rPr>
                <w:rFonts w:ascii="Arial" w:hAnsi="Arial" w:cs="Arial"/>
                <w:sz w:val="18"/>
                <w:szCs w:val="18"/>
              </w:rPr>
              <w:t>/2007</w:t>
            </w:r>
          </w:p>
        </w:tc>
        <w:tc>
          <w:tcPr>
            <w:tcW w:w="0" w:type="auto"/>
          </w:tcPr>
          <w:p w14:paraId="60317BA4" w14:textId="1DC69EE8" w:rsidR="005F19B6" w:rsidRPr="00D90CCC" w:rsidRDefault="00D477D1" w:rsidP="00413791">
            <w:pPr>
              <w:tabs>
                <w:tab w:val="left" w:pos="284"/>
                <w:tab w:val="left" w:pos="567"/>
              </w:tabs>
              <w:spacing w:before="240" w:line="360" w:lineRule="auto"/>
              <w:jc w:val="both"/>
              <w:rPr>
                <w:rFonts w:ascii="Arial" w:hAnsi="Arial" w:cs="Arial"/>
                <w:sz w:val="18"/>
                <w:szCs w:val="18"/>
              </w:rPr>
            </w:pPr>
            <w:r>
              <w:rPr>
                <w:rFonts w:ascii="Arial" w:hAnsi="Arial" w:cs="Arial"/>
                <w:sz w:val="18"/>
                <w:szCs w:val="18"/>
              </w:rPr>
              <w:t>30/06/2007</w:t>
            </w:r>
          </w:p>
        </w:tc>
        <w:tc>
          <w:tcPr>
            <w:tcW w:w="0" w:type="auto"/>
          </w:tcPr>
          <w:p w14:paraId="656123FC" w14:textId="3400FBFB" w:rsidR="005F19B6" w:rsidRPr="00D90CCC" w:rsidRDefault="005F19B6" w:rsidP="00413791">
            <w:pPr>
              <w:tabs>
                <w:tab w:val="left" w:pos="284"/>
                <w:tab w:val="left" w:pos="567"/>
              </w:tabs>
              <w:spacing w:before="240" w:line="360" w:lineRule="auto"/>
              <w:jc w:val="both"/>
              <w:rPr>
                <w:rFonts w:ascii="Arial" w:hAnsi="Arial" w:cs="Arial"/>
                <w:sz w:val="18"/>
                <w:szCs w:val="18"/>
              </w:rPr>
            </w:pPr>
            <w:r w:rsidRPr="00D90CCC">
              <w:rPr>
                <w:rFonts w:ascii="Arial" w:hAnsi="Arial" w:cs="Arial"/>
                <w:sz w:val="18"/>
                <w:szCs w:val="18"/>
              </w:rPr>
              <w:t>$0.00</w:t>
            </w:r>
          </w:p>
        </w:tc>
        <w:tc>
          <w:tcPr>
            <w:tcW w:w="0" w:type="auto"/>
          </w:tcPr>
          <w:p w14:paraId="5AAE597B" w14:textId="36E806C6" w:rsidR="005F19B6" w:rsidRPr="00D90CCC" w:rsidRDefault="00326C9D" w:rsidP="00413791">
            <w:pPr>
              <w:tabs>
                <w:tab w:val="left" w:pos="284"/>
                <w:tab w:val="left" w:pos="567"/>
              </w:tabs>
              <w:spacing w:before="240" w:line="360" w:lineRule="auto"/>
              <w:jc w:val="both"/>
              <w:rPr>
                <w:rFonts w:ascii="Arial" w:hAnsi="Arial" w:cs="Arial"/>
                <w:sz w:val="18"/>
                <w:szCs w:val="18"/>
              </w:rPr>
            </w:pPr>
            <w:r w:rsidRPr="00D90CCC">
              <w:rPr>
                <w:rFonts w:ascii="Arial" w:hAnsi="Arial" w:cs="Arial"/>
                <w:sz w:val="18"/>
                <w:szCs w:val="18"/>
              </w:rPr>
              <w:t>Periodo no aportado</w:t>
            </w:r>
          </w:p>
        </w:tc>
      </w:tr>
      <w:tr w:rsidR="005F19B6" w:rsidRPr="00D90CCC" w14:paraId="09EE7A84" w14:textId="77777777" w:rsidTr="00D90CCC">
        <w:tc>
          <w:tcPr>
            <w:tcW w:w="0" w:type="auto"/>
          </w:tcPr>
          <w:p w14:paraId="348C3C87" w14:textId="17DF78B4" w:rsidR="005F19B6" w:rsidRPr="00D90CCC" w:rsidRDefault="005F19B6" w:rsidP="00D90CCC">
            <w:pPr>
              <w:tabs>
                <w:tab w:val="left" w:pos="284"/>
                <w:tab w:val="left" w:pos="567"/>
              </w:tabs>
              <w:spacing w:before="240" w:line="360" w:lineRule="auto"/>
              <w:jc w:val="center"/>
              <w:rPr>
                <w:rFonts w:ascii="Arial" w:hAnsi="Arial" w:cs="Arial"/>
                <w:sz w:val="18"/>
                <w:szCs w:val="18"/>
              </w:rPr>
            </w:pPr>
            <w:r w:rsidRPr="00D90CCC">
              <w:rPr>
                <w:rFonts w:ascii="Arial" w:hAnsi="Arial" w:cs="Arial"/>
                <w:sz w:val="18"/>
                <w:szCs w:val="18"/>
              </w:rPr>
              <w:t>3</w:t>
            </w:r>
          </w:p>
        </w:tc>
        <w:tc>
          <w:tcPr>
            <w:tcW w:w="0" w:type="auto"/>
          </w:tcPr>
          <w:p w14:paraId="6C93062B" w14:textId="578C1847" w:rsidR="005F19B6" w:rsidRPr="00D90CCC" w:rsidRDefault="005F19B6" w:rsidP="00413791">
            <w:pPr>
              <w:tabs>
                <w:tab w:val="left" w:pos="284"/>
                <w:tab w:val="left" w:pos="567"/>
              </w:tabs>
              <w:spacing w:before="240" w:line="360" w:lineRule="auto"/>
              <w:jc w:val="both"/>
              <w:rPr>
                <w:rFonts w:ascii="Arial" w:hAnsi="Arial" w:cs="Arial"/>
                <w:sz w:val="18"/>
                <w:szCs w:val="18"/>
              </w:rPr>
            </w:pPr>
            <w:r w:rsidRPr="00D90CCC">
              <w:rPr>
                <w:rFonts w:ascii="Arial" w:hAnsi="Arial" w:cs="Arial"/>
                <w:sz w:val="18"/>
                <w:szCs w:val="18"/>
              </w:rPr>
              <w:t>01/07/2007</w:t>
            </w:r>
          </w:p>
        </w:tc>
        <w:tc>
          <w:tcPr>
            <w:tcW w:w="0" w:type="auto"/>
          </w:tcPr>
          <w:p w14:paraId="5F608765" w14:textId="70FCDB5B" w:rsidR="005F19B6" w:rsidRPr="00D90CCC" w:rsidRDefault="00D477D1" w:rsidP="00413791">
            <w:pPr>
              <w:tabs>
                <w:tab w:val="left" w:pos="284"/>
                <w:tab w:val="left" w:pos="567"/>
              </w:tabs>
              <w:spacing w:before="240" w:line="360" w:lineRule="auto"/>
              <w:jc w:val="both"/>
              <w:rPr>
                <w:rFonts w:ascii="Arial" w:hAnsi="Arial" w:cs="Arial"/>
                <w:sz w:val="18"/>
                <w:szCs w:val="18"/>
              </w:rPr>
            </w:pPr>
            <w:r>
              <w:rPr>
                <w:rFonts w:ascii="Arial" w:hAnsi="Arial" w:cs="Arial"/>
                <w:sz w:val="18"/>
                <w:szCs w:val="18"/>
              </w:rPr>
              <w:t>30/12/2010</w:t>
            </w:r>
          </w:p>
        </w:tc>
        <w:tc>
          <w:tcPr>
            <w:tcW w:w="0" w:type="auto"/>
          </w:tcPr>
          <w:p w14:paraId="15371D90" w14:textId="764A8393" w:rsidR="005F19B6" w:rsidRPr="00D90CCC" w:rsidRDefault="005F19B6" w:rsidP="00413791">
            <w:pPr>
              <w:tabs>
                <w:tab w:val="left" w:pos="284"/>
                <w:tab w:val="left" w:pos="567"/>
              </w:tabs>
              <w:spacing w:before="240" w:line="360" w:lineRule="auto"/>
              <w:jc w:val="both"/>
              <w:rPr>
                <w:rFonts w:ascii="Arial" w:hAnsi="Arial" w:cs="Arial"/>
                <w:sz w:val="18"/>
                <w:szCs w:val="18"/>
              </w:rPr>
            </w:pPr>
            <w:r w:rsidRPr="00D90CCC">
              <w:rPr>
                <w:rFonts w:ascii="Arial" w:hAnsi="Arial" w:cs="Arial"/>
                <w:sz w:val="18"/>
                <w:szCs w:val="18"/>
              </w:rPr>
              <w:t>$18,052.80</w:t>
            </w:r>
          </w:p>
        </w:tc>
        <w:tc>
          <w:tcPr>
            <w:tcW w:w="0" w:type="auto"/>
          </w:tcPr>
          <w:p w14:paraId="7E75D80E" w14:textId="27C80E59" w:rsidR="005F19B6" w:rsidRPr="00D90CCC" w:rsidRDefault="00326C9D" w:rsidP="00413791">
            <w:pPr>
              <w:tabs>
                <w:tab w:val="left" w:pos="284"/>
                <w:tab w:val="left" w:pos="567"/>
              </w:tabs>
              <w:spacing w:before="240" w:line="360" w:lineRule="auto"/>
              <w:jc w:val="both"/>
              <w:rPr>
                <w:rFonts w:ascii="Arial" w:hAnsi="Arial" w:cs="Arial"/>
                <w:sz w:val="18"/>
                <w:szCs w:val="18"/>
              </w:rPr>
            </w:pPr>
            <w:r w:rsidRPr="00D90CCC">
              <w:rPr>
                <w:rFonts w:ascii="Arial" w:hAnsi="Arial" w:cs="Arial"/>
                <w:sz w:val="18"/>
                <w:szCs w:val="18"/>
              </w:rPr>
              <w:t>Aportación</w:t>
            </w:r>
          </w:p>
        </w:tc>
      </w:tr>
      <w:tr w:rsidR="005F19B6" w:rsidRPr="00D90CCC" w14:paraId="59683252" w14:textId="77777777" w:rsidTr="00D90CCC">
        <w:tc>
          <w:tcPr>
            <w:tcW w:w="0" w:type="auto"/>
          </w:tcPr>
          <w:p w14:paraId="6AAF5102" w14:textId="73265A71" w:rsidR="005F19B6" w:rsidRPr="00D90CCC" w:rsidRDefault="005F19B6" w:rsidP="00D90CCC">
            <w:pPr>
              <w:tabs>
                <w:tab w:val="left" w:pos="284"/>
                <w:tab w:val="left" w:pos="567"/>
              </w:tabs>
              <w:spacing w:before="240" w:line="360" w:lineRule="auto"/>
              <w:jc w:val="center"/>
              <w:rPr>
                <w:rFonts w:ascii="Arial" w:hAnsi="Arial" w:cs="Arial"/>
                <w:sz w:val="18"/>
                <w:szCs w:val="18"/>
              </w:rPr>
            </w:pPr>
            <w:r w:rsidRPr="00D90CCC">
              <w:rPr>
                <w:rFonts w:ascii="Arial" w:hAnsi="Arial" w:cs="Arial"/>
                <w:sz w:val="18"/>
                <w:szCs w:val="18"/>
              </w:rPr>
              <w:t>4</w:t>
            </w:r>
          </w:p>
        </w:tc>
        <w:tc>
          <w:tcPr>
            <w:tcW w:w="0" w:type="auto"/>
          </w:tcPr>
          <w:p w14:paraId="1CDEBCF2" w14:textId="02FACDA1" w:rsidR="005F19B6" w:rsidRPr="00D90CCC" w:rsidRDefault="005F19B6" w:rsidP="005E527B">
            <w:pPr>
              <w:tabs>
                <w:tab w:val="left" w:pos="284"/>
                <w:tab w:val="left" w:pos="567"/>
              </w:tabs>
              <w:spacing w:before="240" w:line="360" w:lineRule="auto"/>
              <w:jc w:val="both"/>
              <w:rPr>
                <w:rFonts w:ascii="Arial" w:hAnsi="Arial" w:cs="Arial"/>
                <w:sz w:val="18"/>
                <w:szCs w:val="18"/>
              </w:rPr>
            </w:pPr>
            <w:r w:rsidRPr="00D90CCC">
              <w:rPr>
                <w:rFonts w:ascii="Arial" w:hAnsi="Arial" w:cs="Arial"/>
                <w:sz w:val="18"/>
                <w:szCs w:val="18"/>
              </w:rPr>
              <w:t>01/01/2011</w:t>
            </w:r>
          </w:p>
        </w:tc>
        <w:tc>
          <w:tcPr>
            <w:tcW w:w="0" w:type="auto"/>
          </w:tcPr>
          <w:p w14:paraId="28036316" w14:textId="7A9A8DBE" w:rsidR="005F19B6" w:rsidRPr="00D90CCC" w:rsidRDefault="005F19B6" w:rsidP="005E527B">
            <w:pPr>
              <w:tabs>
                <w:tab w:val="left" w:pos="284"/>
                <w:tab w:val="left" w:pos="567"/>
              </w:tabs>
              <w:spacing w:before="240" w:line="360" w:lineRule="auto"/>
              <w:jc w:val="both"/>
              <w:rPr>
                <w:rFonts w:ascii="Arial" w:hAnsi="Arial" w:cs="Arial"/>
                <w:sz w:val="18"/>
                <w:szCs w:val="18"/>
              </w:rPr>
            </w:pPr>
            <w:r w:rsidRPr="00D90CCC">
              <w:rPr>
                <w:rFonts w:ascii="Arial" w:hAnsi="Arial" w:cs="Arial"/>
                <w:sz w:val="18"/>
                <w:szCs w:val="18"/>
              </w:rPr>
              <w:t>15/06/2014</w:t>
            </w:r>
          </w:p>
        </w:tc>
        <w:tc>
          <w:tcPr>
            <w:tcW w:w="0" w:type="auto"/>
          </w:tcPr>
          <w:p w14:paraId="24FD0E4C" w14:textId="5584E5B4" w:rsidR="005F19B6" w:rsidRPr="00D90CCC" w:rsidRDefault="005F19B6" w:rsidP="005E527B">
            <w:pPr>
              <w:tabs>
                <w:tab w:val="left" w:pos="284"/>
                <w:tab w:val="left" w:pos="567"/>
              </w:tabs>
              <w:spacing w:before="240" w:line="360" w:lineRule="auto"/>
              <w:jc w:val="both"/>
              <w:rPr>
                <w:rFonts w:ascii="Arial" w:hAnsi="Arial" w:cs="Arial"/>
                <w:sz w:val="18"/>
                <w:szCs w:val="18"/>
              </w:rPr>
            </w:pPr>
            <w:r w:rsidRPr="00D90CCC">
              <w:rPr>
                <w:rFonts w:ascii="Arial" w:hAnsi="Arial" w:cs="Arial"/>
                <w:sz w:val="18"/>
                <w:szCs w:val="18"/>
              </w:rPr>
              <w:t>$0.00</w:t>
            </w:r>
          </w:p>
        </w:tc>
        <w:tc>
          <w:tcPr>
            <w:tcW w:w="0" w:type="auto"/>
          </w:tcPr>
          <w:p w14:paraId="1B1A4224" w14:textId="36DADAC3" w:rsidR="005F19B6" w:rsidRPr="00D90CCC" w:rsidRDefault="00326C9D" w:rsidP="005E527B">
            <w:pPr>
              <w:tabs>
                <w:tab w:val="left" w:pos="284"/>
                <w:tab w:val="left" w:pos="567"/>
              </w:tabs>
              <w:spacing w:before="240" w:line="360" w:lineRule="auto"/>
              <w:jc w:val="both"/>
              <w:rPr>
                <w:rFonts w:ascii="Arial" w:hAnsi="Arial" w:cs="Arial"/>
                <w:sz w:val="18"/>
                <w:szCs w:val="18"/>
              </w:rPr>
            </w:pPr>
            <w:r w:rsidRPr="00D90CCC">
              <w:rPr>
                <w:rFonts w:ascii="Arial" w:hAnsi="Arial" w:cs="Arial"/>
                <w:sz w:val="18"/>
                <w:szCs w:val="18"/>
              </w:rPr>
              <w:t>Periodo no aportado</w:t>
            </w:r>
          </w:p>
        </w:tc>
      </w:tr>
      <w:tr w:rsidR="005F19B6" w:rsidRPr="00D90CCC" w14:paraId="24383ACC" w14:textId="77777777" w:rsidTr="00D90CCC">
        <w:tc>
          <w:tcPr>
            <w:tcW w:w="0" w:type="auto"/>
          </w:tcPr>
          <w:p w14:paraId="076DC2E9" w14:textId="2168A514" w:rsidR="005F19B6" w:rsidRPr="00D90CCC" w:rsidRDefault="005F19B6" w:rsidP="00D90CCC">
            <w:pPr>
              <w:tabs>
                <w:tab w:val="left" w:pos="284"/>
                <w:tab w:val="left" w:pos="567"/>
              </w:tabs>
              <w:spacing w:before="240" w:line="360" w:lineRule="auto"/>
              <w:jc w:val="center"/>
              <w:rPr>
                <w:rFonts w:ascii="Arial" w:hAnsi="Arial" w:cs="Arial"/>
                <w:b/>
                <w:sz w:val="18"/>
                <w:szCs w:val="18"/>
              </w:rPr>
            </w:pPr>
            <w:r w:rsidRPr="00D90CCC">
              <w:rPr>
                <w:rFonts w:ascii="Arial" w:hAnsi="Arial" w:cs="Arial"/>
                <w:b/>
                <w:sz w:val="18"/>
                <w:szCs w:val="18"/>
              </w:rPr>
              <w:t>5</w:t>
            </w:r>
          </w:p>
        </w:tc>
        <w:tc>
          <w:tcPr>
            <w:tcW w:w="0" w:type="auto"/>
          </w:tcPr>
          <w:p w14:paraId="0D5F6C6D" w14:textId="62C3AA6B" w:rsidR="005F19B6" w:rsidRPr="00D90CCC" w:rsidRDefault="005F19B6" w:rsidP="005E527B">
            <w:pPr>
              <w:tabs>
                <w:tab w:val="left" w:pos="284"/>
                <w:tab w:val="left" w:pos="567"/>
              </w:tabs>
              <w:spacing w:before="240" w:line="360" w:lineRule="auto"/>
              <w:jc w:val="both"/>
              <w:rPr>
                <w:rFonts w:ascii="Arial" w:hAnsi="Arial" w:cs="Arial"/>
                <w:b/>
                <w:sz w:val="18"/>
                <w:szCs w:val="18"/>
              </w:rPr>
            </w:pPr>
            <w:r w:rsidRPr="00D90CCC">
              <w:rPr>
                <w:rFonts w:ascii="Arial" w:hAnsi="Arial" w:cs="Arial"/>
                <w:b/>
                <w:sz w:val="18"/>
                <w:szCs w:val="18"/>
              </w:rPr>
              <w:t>16/06/2014</w:t>
            </w:r>
          </w:p>
        </w:tc>
        <w:tc>
          <w:tcPr>
            <w:tcW w:w="0" w:type="auto"/>
          </w:tcPr>
          <w:p w14:paraId="20CF5602" w14:textId="7AF6F531" w:rsidR="005F19B6" w:rsidRPr="00D90CCC" w:rsidRDefault="005F19B6" w:rsidP="005E527B">
            <w:pPr>
              <w:tabs>
                <w:tab w:val="left" w:pos="284"/>
                <w:tab w:val="left" w:pos="567"/>
              </w:tabs>
              <w:spacing w:before="240" w:line="360" w:lineRule="auto"/>
              <w:jc w:val="both"/>
              <w:rPr>
                <w:rFonts w:ascii="Arial" w:hAnsi="Arial" w:cs="Arial"/>
                <w:b/>
                <w:sz w:val="18"/>
                <w:szCs w:val="18"/>
              </w:rPr>
            </w:pPr>
            <w:r w:rsidRPr="00D90CCC">
              <w:rPr>
                <w:rFonts w:ascii="Arial" w:hAnsi="Arial" w:cs="Arial"/>
                <w:b/>
                <w:sz w:val="18"/>
                <w:szCs w:val="18"/>
              </w:rPr>
              <w:t>30/01/2018</w:t>
            </w:r>
          </w:p>
        </w:tc>
        <w:tc>
          <w:tcPr>
            <w:tcW w:w="0" w:type="auto"/>
          </w:tcPr>
          <w:p w14:paraId="4D235E59" w14:textId="6F295BD9" w:rsidR="005F19B6" w:rsidRPr="00D90CCC" w:rsidRDefault="005F19B6" w:rsidP="005E527B">
            <w:pPr>
              <w:tabs>
                <w:tab w:val="left" w:pos="284"/>
                <w:tab w:val="left" w:pos="567"/>
              </w:tabs>
              <w:spacing w:before="240" w:line="360" w:lineRule="auto"/>
              <w:jc w:val="both"/>
              <w:rPr>
                <w:rFonts w:ascii="Arial" w:hAnsi="Arial" w:cs="Arial"/>
                <w:b/>
                <w:sz w:val="18"/>
                <w:szCs w:val="18"/>
              </w:rPr>
            </w:pPr>
            <w:r w:rsidRPr="00D90CCC">
              <w:rPr>
                <w:rFonts w:ascii="Arial" w:hAnsi="Arial" w:cs="Arial"/>
                <w:b/>
                <w:sz w:val="18"/>
                <w:szCs w:val="18"/>
              </w:rPr>
              <w:t>$13,933.35</w:t>
            </w:r>
          </w:p>
        </w:tc>
        <w:tc>
          <w:tcPr>
            <w:tcW w:w="0" w:type="auto"/>
          </w:tcPr>
          <w:p w14:paraId="60E74B14" w14:textId="00647599" w:rsidR="005F19B6" w:rsidRPr="00D90CCC" w:rsidRDefault="00326C9D" w:rsidP="005E527B">
            <w:pPr>
              <w:tabs>
                <w:tab w:val="left" w:pos="284"/>
                <w:tab w:val="left" w:pos="567"/>
              </w:tabs>
              <w:spacing w:before="240" w:line="360" w:lineRule="auto"/>
              <w:jc w:val="both"/>
              <w:rPr>
                <w:rFonts w:ascii="Arial" w:hAnsi="Arial" w:cs="Arial"/>
                <w:b/>
                <w:sz w:val="18"/>
                <w:szCs w:val="18"/>
              </w:rPr>
            </w:pPr>
            <w:r w:rsidRPr="00D90CCC">
              <w:rPr>
                <w:rFonts w:ascii="Arial" w:hAnsi="Arial" w:cs="Arial"/>
                <w:b/>
                <w:sz w:val="18"/>
                <w:szCs w:val="18"/>
              </w:rPr>
              <w:t>Devolución de fondo</w:t>
            </w:r>
          </w:p>
        </w:tc>
      </w:tr>
      <w:tr w:rsidR="005F19B6" w:rsidRPr="00D90CCC" w14:paraId="454B1BD5" w14:textId="77777777" w:rsidTr="00D90CCC">
        <w:tc>
          <w:tcPr>
            <w:tcW w:w="0" w:type="auto"/>
          </w:tcPr>
          <w:p w14:paraId="2827EFB6" w14:textId="4691A5D7" w:rsidR="005F19B6" w:rsidRPr="00D90CCC" w:rsidRDefault="005F19B6" w:rsidP="00D90CCC">
            <w:pPr>
              <w:tabs>
                <w:tab w:val="left" w:pos="284"/>
                <w:tab w:val="left" w:pos="567"/>
              </w:tabs>
              <w:spacing w:before="240" w:line="360" w:lineRule="auto"/>
              <w:jc w:val="center"/>
              <w:rPr>
                <w:rFonts w:ascii="Arial" w:hAnsi="Arial" w:cs="Arial"/>
                <w:sz w:val="18"/>
                <w:szCs w:val="18"/>
              </w:rPr>
            </w:pPr>
            <w:r w:rsidRPr="00D90CCC">
              <w:rPr>
                <w:rFonts w:ascii="Arial" w:hAnsi="Arial" w:cs="Arial"/>
                <w:sz w:val="18"/>
                <w:szCs w:val="18"/>
              </w:rPr>
              <w:t>6</w:t>
            </w:r>
          </w:p>
        </w:tc>
        <w:tc>
          <w:tcPr>
            <w:tcW w:w="0" w:type="auto"/>
          </w:tcPr>
          <w:p w14:paraId="1C34799B" w14:textId="18DB17AC" w:rsidR="005F19B6" w:rsidRPr="00D90CCC" w:rsidRDefault="005F19B6" w:rsidP="005E527B">
            <w:pPr>
              <w:tabs>
                <w:tab w:val="left" w:pos="284"/>
                <w:tab w:val="left" w:pos="567"/>
              </w:tabs>
              <w:spacing w:before="240" w:line="360" w:lineRule="auto"/>
              <w:jc w:val="both"/>
              <w:rPr>
                <w:rFonts w:ascii="Arial" w:hAnsi="Arial" w:cs="Arial"/>
                <w:sz w:val="18"/>
                <w:szCs w:val="18"/>
              </w:rPr>
            </w:pPr>
            <w:r w:rsidRPr="00D90CCC">
              <w:rPr>
                <w:rFonts w:ascii="Arial" w:hAnsi="Arial" w:cs="Arial"/>
                <w:sz w:val="18"/>
                <w:szCs w:val="18"/>
              </w:rPr>
              <w:t>16/06/2014</w:t>
            </w:r>
          </w:p>
        </w:tc>
        <w:tc>
          <w:tcPr>
            <w:tcW w:w="0" w:type="auto"/>
          </w:tcPr>
          <w:p w14:paraId="2429EC74" w14:textId="2CC92CF3" w:rsidR="005F19B6" w:rsidRPr="00D90CCC" w:rsidRDefault="005F19B6" w:rsidP="005E527B">
            <w:pPr>
              <w:tabs>
                <w:tab w:val="left" w:pos="284"/>
                <w:tab w:val="left" w:pos="567"/>
              </w:tabs>
              <w:spacing w:before="240" w:line="360" w:lineRule="auto"/>
              <w:jc w:val="both"/>
              <w:rPr>
                <w:rFonts w:ascii="Arial" w:hAnsi="Arial" w:cs="Arial"/>
                <w:sz w:val="18"/>
                <w:szCs w:val="18"/>
              </w:rPr>
            </w:pPr>
            <w:r w:rsidRPr="00D90CCC">
              <w:rPr>
                <w:rFonts w:ascii="Arial" w:hAnsi="Arial" w:cs="Arial"/>
                <w:sz w:val="18"/>
                <w:szCs w:val="18"/>
              </w:rPr>
              <w:t>30/04/2015</w:t>
            </w:r>
          </w:p>
        </w:tc>
        <w:tc>
          <w:tcPr>
            <w:tcW w:w="0" w:type="auto"/>
          </w:tcPr>
          <w:p w14:paraId="7760DA01" w14:textId="3CCE297D" w:rsidR="005F19B6" w:rsidRPr="00D90CCC" w:rsidRDefault="005F19B6" w:rsidP="005E527B">
            <w:pPr>
              <w:tabs>
                <w:tab w:val="left" w:pos="284"/>
                <w:tab w:val="left" w:pos="567"/>
              </w:tabs>
              <w:spacing w:before="240" w:line="360" w:lineRule="auto"/>
              <w:jc w:val="both"/>
              <w:rPr>
                <w:rFonts w:ascii="Arial" w:hAnsi="Arial" w:cs="Arial"/>
                <w:sz w:val="18"/>
                <w:szCs w:val="18"/>
              </w:rPr>
            </w:pPr>
            <w:r w:rsidRPr="00D90CCC">
              <w:rPr>
                <w:rFonts w:ascii="Arial" w:hAnsi="Arial" w:cs="Arial"/>
                <w:sz w:val="18"/>
                <w:szCs w:val="18"/>
              </w:rPr>
              <w:t>$6,492.15</w:t>
            </w:r>
          </w:p>
        </w:tc>
        <w:tc>
          <w:tcPr>
            <w:tcW w:w="0" w:type="auto"/>
          </w:tcPr>
          <w:p w14:paraId="59985D96" w14:textId="0435F5FD" w:rsidR="005F19B6" w:rsidRPr="00D90CCC" w:rsidRDefault="00326C9D" w:rsidP="005E527B">
            <w:pPr>
              <w:tabs>
                <w:tab w:val="left" w:pos="284"/>
                <w:tab w:val="left" w:pos="567"/>
              </w:tabs>
              <w:spacing w:before="240" w:line="360" w:lineRule="auto"/>
              <w:jc w:val="both"/>
              <w:rPr>
                <w:rFonts w:ascii="Arial" w:hAnsi="Arial" w:cs="Arial"/>
                <w:sz w:val="18"/>
                <w:szCs w:val="18"/>
              </w:rPr>
            </w:pPr>
            <w:r w:rsidRPr="00D90CCC">
              <w:rPr>
                <w:rFonts w:ascii="Arial" w:hAnsi="Arial" w:cs="Arial"/>
                <w:sz w:val="18"/>
                <w:szCs w:val="18"/>
              </w:rPr>
              <w:t>Aportación</w:t>
            </w:r>
          </w:p>
        </w:tc>
      </w:tr>
      <w:tr w:rsidR="005F19B6" w:rsidRPr="00D90CCC" w14:paraId="787FB874" w14:textId="77777777" w:rsidTr="00D90CCC">
        <w:tc>
          <w:tcPr>
            <w:tcW w:w="0" w:type="auto"/>
          </w:tcPr>
          <w:p w14:paraId="3F100AFD" w14:textId="5C93FE13" w:rsidR="005F19B6" w:rsidRPr="00D90CCC" w:rsidRDefault="005F19B6" w:rsidP="00D90CCC">
            <w:pPr>
              <w:tabs>
                <w:tab w:val="left" w:pos="284"/>
                <w:tab w:val="left" w:pos="567"/>
              </w:tabs>
              <w:spacing w:before="240" w:line="360" w:lineRule="auto"/>
              <w:jc w:val="center"/>
              <w:rPr>
                <w:rFonts w:ascii="Arial" w:hAnsi="Arial" w:cs="Arial"/>
                <w:sz w:val="18"/>
                <w:szCs w:val="18"/>
              </w:rPr>
            </w:pPr>
            <w:r w:rsidRPr="00D90CCC">
              <w:rPr>
                <w:rFonts w:ascii="Arial" w:hAnsi="Arial" w:cs="Arial"/>
                <w:sz w:val="18"/>
                <w:szCs w:val="18"/>
              </w:rPr>
              <w:lastRenderedPageBreak/>
              <w:t>7</w:t>
            </w:r>
          </w:p>
        </w:tc>
        <w:tc>
          <w:tcPr>
            <w:tcW w:w="0" w:type="auto"/>
          </w:tcPr>
          <w:p w14:paraId="6D779A23" w14:textId="1F23E4DF" w:rsidR="005F19B6" w:rsidRPr="00D90CCC" w:rsidRDefault="005F19B6" w:rsidP="005E527B">
            <w:pPr>
              <w:tabs>
                <w:tab w:val="left" w:pos="284"/>
                <w:tab w:val="left" w:pos="567"/>
              </w:tabs>
              <w:spacing w:before="240" w:line="360" w:lineRule="auto"/>
              <w:jc w:val="both"/>
              <w:rPr>
                <w:rFonts w:ascii="Arial" w:hAnsi="Arial" w:cs="Arial"/>
                <w:sz w:val="18"/>
                <w:szCs w:val="18"/>
              </w:rPr>
            </w:pPr>
            <w:r w:rsidRPr="00D90CCC">
              <w:rPr>
                <w:rFonts w:ascii="Arial" w:hAnsi="Arial" w:cs="Arial"/>
                <w:sz w:val="18"/>
                <w:szCs w:val="18"/>
              </w:rPr>
              <w:t>01/05/2015</w:t>
            </w:r>
          </w:p>
        </w:tc>
        <w:tc>
          <w:tcPr>
            <w:tcW w:w="0" w:type="auto"/>
          </w:tcPr>
          <w:p w14:paraId="20610FCD" w14:textId="5184A7C1" w:rsidR="005F19B6" w:rsidRPr="00D90CCC" w:rsidRDefault="005F19B6" w:rsidP="005E527B">
            <w:pPr>
              <w:tabs>
                <w:tab w:val="left" w:pos="284"/>
                <w:tab w:val="left" w:pos="567"/>
              </w:tabs>
              <w:spacing w:before="240" w:line="360" w:lineRule="auto"/>
              <w:jc w:val="both"/>
              <w:rPr>
                <w:rFonts w:ascii="Arial" w:hAnsi="Arial" w:cs="Arial"/>
                <w:sz w:val="18"/>
                <w:szCs w:val="18"/>
              </w:rPr>
            </w:pPr>
            <w:r w:rsidRPr="00D90CCC">
              <w:rPr>
                <w:rFonts w:ascii="Arial" w:hAnsi="Arial" w:cs="Arial"/>
                <w:sz w:val="18"/>
                <w:szCs w:val="18"/>
              </w:rPr>
              <w:t>30/12/2016</w:t>
            </w:r>
          </w:p>
        </w:tc>
        <w:tc>
          <w:tcPr>
            <w:tcW w:w="0" w:type="auto"/>
          </w:tcPr>
          <w:p w14:paraId="46A7F248" w14:textId="196CC3DA" w:rsidR="005F19B6" w:rsidRPr="00D90CCC" w:rsidRDefault="005F19B6" w:rsidP="005E527B">
            <w:pPr>
              <w:tabs>
                <w:tab w:val="left" w:pos="284"/>
                <w:tab w:val="left" w:pos="567"/>
              </w:tabs>
              <w:spacing w:before="240" w:line="360" w:lineRule="auto"/>
              <w:jc w:val="both"/>
              <w:rPr>
                <w:rFonts w:ascii="Arial" w:hAnsi="Arial" w:cs="Arial"/>
                <w:sz w:val="18"/>
                <w:szCs w:val="18"/>
              </w:rPr>
            </w:pPr>
            <w:r w:rsidRPr="00D90CCC">
              <w:rPr>
                <w:rFonts w:ascii="Arial" w:hAnsi="Arial" w:cs="Arial"/>
                <w:sz w:val="18"/>
                <w:szCs w:val="18"/>
              </w:rPr>
              <w:t>$0.00</w:t>
            </w:r>
          </w:p>
        </w:tc>
        <w:tc>
          <w:tcPr>
            <w:tcW w:w="0" w:type="auto"/>
          </w:tcPr>
          <w:p w14:paraId="34068096" w14:textId="71443407" w:rsidR="005F19B6" w:rsidRPr="00D90CCC" w:rsidRDefault="00326C9D" w:rsidP="005E527B">
            <w:pPr>
              <w:tabs>
                <w:tab w:val="left" w:pos="284"/>
                <w:tab w:val="left" w:pos="567"/>
              </w:tabs>
              <w:spacing w:before="240" w:line="360" w:lineRule="auto"/>
              <w:jc w:val="both"/>
              <w:rPr>
                <w:rFonts w:ascii="Arial" w:hAnsi="Arial" w:cs="Arial"/>
                <w:sz w:val="18"/>
                <w:szCs w:val="18"/>
              </w:rPr>
            </w:pPr>
            <w:r w:rsidRPr="00D90CCC">
              <w:rPr>
                <w:rFonts w:ascii="Arial" w:hAnsi="Arial" w:cs="Arial"/>
                <w:sz w:val="18"/>
                <w:szCs w:val="18"/>
              </w:rPr>
              <w:t>Periodo no aportado</w:t>
            </w:r>
          </w:p>
        </w:tc>
      </w:tr>
      <w:tr w:rsidR="005F19B6" w:rsidRPr="00D90CCC" w14:paraId="37D855EC" w14:textId="77777777" w:rsidTr="00D90CCC">
        <w:tc>
          <w:tcPr>
            <w:tcW w:w="0" w:type="auto"/>
          </w:tcPr>
          <w:p w14:paraId="57947C44" w14:textId="3486F7FE" w:rsidR="005F19B6" w:rsidRPr="00D90CCC" w:rsidRDefault="005F19B6" w:rsidP="00D90CCC">
            <w:pPr>
              <w:tabs>
                <w:tab w:val="left" w:pos="284"/>
                <w:tab w:val="left" w:pos="567"/>
              </w:tabs>
              <w:spacing w:before="240" w:line="360" w:lineRule="auto"/>
              <w:jc w:val="center"/>
              <w:rPr>
                <w:rFonts w:ascii="Arial" w:hAnsi="Arial" w:cs="Arial"/>
                <w:sz w:val="18"/>
                <w:szCs w:val="18"/>
              </w:rPr>
            </w:pPr>
            <w:r w:rsidRPr="00D90CCC">
              <w:rPr>
                <w:rFonts w:ascii="Arial" w:hAnsi="Arial" w:cs="Arial"/>
                <w:sz w:val="18"/>
                <w:szCs w:val="18"/>
              </w:rPr>
              <w:t>8</w:t>
            </w:r>
          </w:p>
        </w:tc>
        <w:tc>
          <w:tcPr>
            <w:tcW w:w="0" w:type="auto"/>
          </w:tcPr>
          <w:p w14:paraId="7DD4E7F7" w14:textId="65826CCA" w:rsidR="005F19B6" w:rsidRPr="00D90CCC" w:rsidRDefault="005F19B6" w:rsidP="005E527B">
            <w:pPr>
              <w:tabs>
                <w:tab w:val="left" w:pos="284"/>
                <w:tab w:val="left" w:pos="567"/>
              </w:tabs>
              <w:spacing w:before="240" w:line="360" w:lineRule="auto"/>
              <w:jc w:val="both"/>
              <w:rPr>
                <w:rFonts w:ascii="Arial" w:hAnsi="Arial" w:cs="Arial"/>
                <w:sz w:val="18"/>
                <w:szCs w:val="18"/>
              </w:rPr>
            </w:pPr>
            <w:r w:rsidRPr="00D90CCC">
              <w:rPr>
                <w:rFonts w:ascii="Arial" w:hAnsi="Arial" w:cs="Arial"/>
                <w:sz w:val="18"/>
                <w:szCs w:val="18"/>
              </w:rPr>
              <w:t>01/01/2017</w:t>
            </w:r>
          </w:p>
        </w:tc>
        <w:tc>
          <w:tcPr>
            <w:tcW w:w="0" w:type="auto"/>
          </w:tcPr>
          <w:p w14:paraId="6BD3DEAC" w14:textId="1B5EB441" w:rsidR="005F19B6" w:rsidRPr="00D90CCC" w:rsidRDefault="005F19B6" w:rsidP="005E527B">
            <w:pPr>
              <w:tabs>
                <w:tab w:val="left" w:pos="284"/>
                <w:tab w:val="left" w:pos="567"/>
              </w:tabs>
              <w:spacing w:before="240" w:line="360" w:lineRule="auto"/>
              <w:jc w:val="both"/>
              <w:rPr>
                <w:rFonts w:ascii="Arial" w:hAnsi="Arial" w:cs="Arial"/>
                <w:sz w:val="18"/>
                <w:szCs w:val="18"/>
              </w:rPr>
            </w:pPr>
            <w:r w:rsidRPr="00D90CCC">
              <w:rPr>
                <w:rFonts w:ascii="Arial" w:hAnsi="Arial" w:cs="Arial"/>
                <w:sz w:val="18"/>
                <w:szCs w:val="18"/>
              </w:rPr>
              <w:t>30/01/2018</w:t>
            </w:r>
          </w:p>
        </w:tc>
        <w:tc>
          <w:tcPr>
            <w:tcW w:w="0" w:type="auto"/>
          </w:tcPr>
          <w:p w14:paraId="3A1254B6" w14:textId="1B35DD09" w:rsidR="005F19B6" w:rsidRPr="00D90CCC" w:rsidRDefault="005F19B6" w:rsidP="005E527B">
            <w:pPr>
              <w:tabs>
                <w:tab w:val="left" w:pos="284"/>
                <w:tab w:val="left" w:pos="567"/>
              </w:tabs>
              <w:spacing w:before="240" w:line="360" w:lineRule="auto"/>
              <w:jc w:val="both"/>
              <w:rPr>
                <w:rFonts w:ascii="Arial" w:hAnsi="Arial" w:cs="Arial"/>
                <w:sz w:val="18"/>
                <w:szCs w:val="18"/>
              </w:rPr>
            </w:pPr>
            <w:r w:rsidRPr="00D90CCC">
              <w:rPr>
                <w:rFonts w:ascii="Arial" w:hAnsi="Arial" w:cs="Arial"/>
                <w:sz w:val="18"/>
                <w:szCs w:val="18"/>
              </w:rPr>
              <w:t>$7,441.20</w:t>
            </w:r>
          </w:p>
        </w:tc>
        <w:tc>
          <w:tcPr>
            <w:tcW w:w="0" w:type="auto"/>
          </w:tcPr>
          <w:p w14:paraId="6C489711" w14:textId="185EB3C2" w:rsidR="005F19B6" w:rsidRPr="00D90CCC" w:rsidRDefault="00326C9D" w:rsidP="005E527B">
            <w:pPr>
              <w:tabs>
                <w:tab w:val="left" w:pos="284"/>
                <w:tab w:val="left" w:pos="567"/>
              </w:tabs>
              <w:spacing w:before="240" w:line="360" w:lineRule="auto"/>
              <w:jc w:val="both"/>
              <w:rPr>
                <w:rFonts w:ascii="Arial" w:hAnsi="Arial" w:cs="Arial"/>
                <w:sz w:val="18"/>
                <w:szCs w:val="18"/>
              </w:rPr>
            </w:pPr>
            <w:r w:rsidRPr="00D90CCC">
              <w:rPr>
                <w:rFonts w:ascii="Arial" w:hAnsi="Arial" w:cs="Arial"/>
                <w:sz w:val="18"/>
                <w:szCs w:val="18"/>
              </w:rPr>
              <w:t>Aportación</w:t>
            </w:r>
          </w:p>
        </w:tc>
      </w:tr>
    </w:tbl>
    <w:p w14:paraId="4757AB39" w14:textId="2E2875C3" w:rsidR="00413791" w:rsidRPr="001042B6" w:rsidRDefault="00527EE7" w:rsidP="004C40E8">
      <w:pPr>
        <w:tabs>
          <w:tab w:val="left" w:pos="284"/>
          <w:tab w:val="left" w:pos="567"/>
        </w:tabs>
        <w:spacing w:before="240" w:line="360" w:lineRule="auto"/>
        <w:jc w:val="both"/>
        <w:rPr>
          <w:rFonts w:ascii="Arial" w:hAnsi="Arial" w:cs="Arial"/>
          <w:sz w:val="24"/>
          <w:szCs w:val="24"/>
        </w:rPr>
      </w:pPr>
      <w:r>
        <w:rPr>
          <w:rFonts w:ascii="Arial" w:hAnsi="Arial" w:cs="Arial"/>
          <w:sz w:val="24"/>
          <w:szCs w:val="24"/>
        </w:rPr>
        <w:tab/>
        <w:t>Ahora bien, e</w:t>
      </w:r>
      <w:r w:rsidR="00413791" w:rsidRPr="001042B6">
        <w:rPr>
          <w:rFonts w:ascii="Arial" w:hAnsi="Arial" w:cs="Arial"/>
          <w:sz w:val="24"/>
          <w:szCs w:val="24"/>
        </w:rPr>
        <w:t>l punto medular de</w:t>
      </w:r>
      <w:r w:rsidR="00413791">
        <w:rPr>
          <w:rFonts w:ascii="Arial" w:hAnsi="Arial" w:cs="Arial"/>
          <w:sz w:val="24"/>
          <w:szCs w:val="24"/>
        </w:rPr>
        <w:t xml:space="preserve"> este asunto</w:t>
      </w:r>
      <w:r w:rsidR="009B2DF0">
        <w:rPr>
          <w:rFonts w:ascii="Arial" w:hAnsi="Arial" w:cs="Arial"/>
          <w:sz w:val="24"/>
          <w:szCs w:val="24"/>
        </w:rPr>
        <w:t>,</w:t>
      </w:r>
      <w:r w:rsidR="00413791">
        <w:rPr>
          <w:rFonts w:ascii="Arial" w:hAnsi="Arial" w:cs="Arial"/>
          <w:sz w:val="24"/>
          <w:szCs w:val="24"/>
        </w:rPr>
        <w:t xml:space="preserve"> </w:t>
      </w:r>
      <w:r w:rsidR="009B2DF0">
        <w:rPr>
          <w:rFonts w:ascii="Arial" w:hAnsi="Arial" w:cs="Arial"/>
          <w:sz w:val="24"/>
          <w:szCs w:val="24"/>
        </w:rPr>
        <w:t>se centra</w:t>
      </w:r>
      <w:r w:rsidR="00413791" w:rsidRPr="001042B6">
        <w:rPr>
          <w:rFonts w:ascii="Arial" w:hAnsi="Arial" w:cs="Arial"/>
          <w:sz w:val="24"/>
          <w:szCs w:val="24"/>
        </w:rPr>
        <w:t xml:space="preserve"> en </w:t>
      </w:r>
      <w:r w:rsidR="00413791">
        <w:rPr>
          <w:rFonts w:ascii="Arial" w:hAnsi="Arial" w:cs="Arial"/>
          <w:sz w:val="24"/>
          <w:szCs w:val="24"/>
        </w:rPr>
        <w:t>determinar si resulta procedente l</w:t>
      </w:r>
      <w:r w:rsidR="00926D2F">
        <w:rPr>
          <w:rFonts w:ascii="Arial" w:hAnsi="Arial" w:cs="Arial"/>
          <w:sz w:val="24"/>
          <w:szCs w:val="24"/>
        </w:rPr>
        <w:t xml:space="preserve">a </w:t>
      </w:r>
      <w:r w:rsidR="00B55B47">
        <w:rPr>
          <w:rFonts w:ascii="Arial" w:hAnsi="Arial" w:cs="Arial"/>
          <w:sz w:val="24"/>
          <w:szCs w:val="24"/>
        </w:rPr>
        <w:t>devolución solicitada por el actor, pues la autoridad demandada refirió que dichas aportaciones se encuentran prescritas, conforme a</w:t>
      </w:r>
      <w:r w:rsidR="00F1262C">
        <w:rPr>
          <w:rFonts w:ascii="Arial" w:hAnsi="Arial" w:cs="Arial"/>
          <w:sz w:val="24"/>
          <w:szCs w:val="24"/>
        </w:rPr>
        <w:t xml:space="preserve">l </w:t>
      </w:r>
      <w:r w:rsidR="00413791" w:rsidRPr="006E175A">
        <w:rPr>
          <w:rFonts w:ascii="Arial" w:hAnsi="Arial" w:cs="Arial"/>
          <w:sz w:val="24"/>
          <w:szCs w:val="24"/>
        </w:rPr>
        <w:t xml:space="preserve">artículo </w:t>
      </w:r>
      <w:r w:rsidR="00413791">
        <w:rPr>
          <w:rFonts w:ascii="Arial" w:hAnsi="Arial" w:cs="Arial"/>
          <w:sz w:val="24"/>
          <w:szCs w:val="24"/>
        </w:rPr>
        <w:t xml:space="preserve">63 </w:t>
      </w:r>
      <w:r w:rsidR="00413791" w:rsidRPr="001042B6">
        <w:rPr>
          <w:rFonts w:ascii="Arial" w:hAnsi="Arial" w:cs="Arial"/>
          <w:sz w:val="24"/>
          <w:szCs w:val="24"/>
        </w:rPr>
        <w:t>de la Ley de Pensiones para los Trabajadores del Gobierno del Estado de Oaxaca</w:t>
      </w:r>
      <w:r w:rsidR="00413791">
        <w:rPr>
          <w:rFonts w:ascii="Arial" w:hAnsi="Arial" w:cs="Arial"/>
          <w:sz w:val="24"/>
          <w:szCs w:val="24"/>
        </w:rPr>
        <w:t>; que contempla el plazo de tres años como trámite para solicitar la devolución de los descuentos de la Oficina de Pen</w:t>
      </w:r>
      <w:r w:rsidR="004C40E8">
        <w:rPr>
          <w:rFonts w:ascii="Arial" w:hAnsi="Arial" w:cs="Arial"/>
          <w:sz w:val="24"/>
          <w:szCs w:val="24"/>
        </w:rPr>
        <w:t>siones del Gobierno del Estado</w:t>
      </w:r>
      <w:r w:rsidR="005F19B6">
        <w:rPr>
          <w:rFonts w:ascii="Arial" w:hAnsi="Arial" w:cs="Arial"/>
          <w:sz w:val="24"/>
          <w:szCs w:val="24"/>
        </w:rPr>
        <w:t>, y en el caso, si resulta procedente la desaplicación del numeral antes descrito, por ser discriminatorio en contra del actor, en su calidad de trabajador de confianza</w:t>
      </w:r>
      <w:r w:rsidR="004C40E8">
        <w:rPr>
          <w:rFonts w:ascii="Arial" w:hAnsi="Arial" w:cs="Arial"/>
          <w:sz w:val="24"/>
          <w:szCs w:val="24"/>
        </w:rPr>
        <w:t>.</w:t>
      </w:r>
    </w:p>
    <w:p w14:paraId="49067232" w14:textId="6EA6C0A3" w:rsidR="00B51272" w:rsidRDefault="004C40E8" w:rsidP="00413791">
      <w:pPr>
        <w:tabs>
          <w:tab w:val="left" w:pos="284"/>
          <w:tab w:val="left" w:pos="567"/>
        </w:tabs>
        <w:spacing w:before="240" w:line="360" w:lineRule="auto"/>
        <w:jc w:val="both"/>
        <w:rPr>
          <w:rFonts w:ascii="Arial" w:hAnsi="Arial" w:cs="Arial"/>
          <w:sz w:val="24"/>
          <w:szCs w:val="24"/>
        </w:rPr>
      </w:pPr>
      <w:r>
        <w:rPr>
          <w:rFonts w:ascii="Arial" w:hAnsi="Arial" w:cs="Arial"/>
          <w:sz w:val="24"/>
          <w:szCs w:val="24"/>
        </w:rPr>
        <w:tab/>
        <w:t>Si bien es cierto</w:t>
      </w:r>
      <w:r w:rsidR="005F19B6">
        <w:rPr>
          <w:rFonts w:ascii="Arial" w:hAnsi="Arial" w:cs="Arial"/>
          <w:sz w:val="24"/>
          <w:szCs w:val="24"/>
        </w:rPr>
        <w:t>,</w:t>
      </w:r>
      <w:r>
        <w:rPr>
          <w:rFonts w:ascii="Arial" w:hAnsi="Arial" w:cs="Arial"/>
          <w:sz w:val="24"/>
          <w:szCs w:val="24"/>
        </w:rPr>
        <w:t xml:space="preserve"> como en efecto lo </w:t>
      </w:r>
      <w:r w:rsidR="005F19B6">
        <w:rPr>
          <w:rFonts w:ascii="Arial" w:hAnsi="Arial" w:cs="Arial"/>
          <w:sz w:val="24"/>
          <w:szCs w:val="24"/>
        </w:rPr>
        <w:t>refiere la autoridad demandada, las aportaciones descritas en el cuadro anterior</w:t>
      </w:r>
      <w:r w:rsidR="00B51272">
        <w:rPr>
          <w:rFonts w:ascii="Arial" w:hAnsi="Arial" w:cs="Arial"/>
          <w:sz w:val="24"/>
          <w:szCs w:val="24"/>
        </w:rPr>
        <w:t>, precisadas en los puntos 1-7</w:t>
      </w:r>
      <w:r w:rsidR="005F19B6">
        <w:rPr>
          <w:rFonts w:ascii="Arial" w:hAnsi="Arial" w:cs="Arial"/>
          <w:sz w:val="24"/>
          <w:szCs w:val="24"/>
        </w:rPr>
        <w:t xml:space="preserve">, </w:t>
      </w:r>
      <w:r w:rsidR="005F19B6" w:rsidRPr="002A1220">
        <w:rPr>
          <w:rFonts w:ascii="Arial" w:hAnsi="Arial" w:cs="Arial"/>
          <w:b/>
          <w:sz w:val="24"/>
          <w:szCs w:val="24"/>
        </w:rPr>
        <w:t xml:space="preserve">que </w:t>
      </w:r>
      <w:r w:rsidR="00F86CA8" w:rsidRPr="002A1220">
        <w:rPr>
          <w:rFonts w:ascii="Arial" w:hAnsi="Arial" w:cs="Arial"/>
          <w:b/>
          <w:sz w:val="24"/>
          <w:szCs w:val="24"/>
        </w:rPr>
        <w:t>n</w:t>
      </w:r>
      <w:r w:rsidR="005F19B6" w:rsidRPr="002A1220">
        <w:rPr>
          <w:rFonts w:ascii="Arial" w:hAnsi="Arial" w:cs="Arial"/>
          <w:b/>
          <w:sz w:val="24"/>
          <w:szCs w:val="24"/>
        </w:rPr>
        <w:t>o han sido devuel</w:t>
      </w:r>
      <w:r w:rsidR="005453F6" w:rsidRPr="002A1220">
        <w:rPr>
          <w:rFonts w:ascii="Arial" w:hAnsi="Arial" w:cs="Arial"/>
          <w:b/>
          <w:sz w:val="24"/>
          <w:szCs w:val="24"/>
        </w:rPr>
        <w:t>tas</w:t>
      </w:r>
      <w:r w:rsidR="005453F6">
        <w:rPr>
          <w:rFonts w:ascii="Arial" w:hAnsi="Arial" w:cs="Arial"/>
          <w:sz w:val="24"/>
          <w:szCs w:val="24"/>
        </w:rPr>
        <w:t xml:space="preserve">, se encuentran fuera del plazo de tres años </w:t>
      </w:r>
      <w:r w:rsidR="00F86CA8">
        <w:rPr>
          <w:rFonts w:ascii="Arial" w:hAnsi="Arial" w:cs="Arial"/>
          <w:sz w:val="24"/>
          <w:szCs w:val="24"/>
        </w:rPr>
        <w:t xml:space="preserve">previsto en el numeral 63 </w:t>
      </w:r>
      <w:r w:rsidR="00F86CA8" w:rsidRPr="001042B6">
        <w:rPr>
          <w:rFonts w:ascii="Arial" w:hAnsi="Arial" w:cs="Arial"/>
          <w:sz w:val="24"/>
          <w:szCs w:val="24"/>
        </w:rPr>
        <w:t>de la Ley de Pensiones para los Trabajadores del Gobierno del Estado de Oaxaca</w:t>
      </w:r>
      <w:r w:rsidR="00F86CA8">
        <w:rPr>
          <w:rFonts w:ascii="Arial" w:hAnsi="Arial" w:cs="Arial"/>
          <w:sz w:val="24"/>
          <w:szCs w:val="24"/>
        </w:rPr>
        <w:t xml:space="preserve">, para solicitar su devolución, pues el actor había solicitado su reintegro primeramente mediante escrito de diez de agosto de dos mil veinte (10/08/2020), del que derivo la devolución únicamente </w:t>
      </w:r>
      <w:r w:rsidR="00DE373B">
        <w:rPr>
          <w:rFonts w:ascii="Arial" w:hAnsi="Arial" w:cs="Arial"/>
          <w:sz w:val="24"/>
          <w:szCs w:val="24"/>
        </w:rPr>
        <w:t>del monto referido en el punto 5</w:t>
      </w:r>
      <w:r w:rsidR="00F86CA8">
        <w:rPr>
          <w:rFonts w:ascii="Arial" w:hAnsi="Arial" w:cs="Arial"/>
          <w:sz w:val="24"/>
          <w:szCs w:val="24"/>
        </w:rPr>
        <w:t xml:space="preserve"> del cuadro que antecede, y posteriormente solicitó su devolución mediante escrito presentado el </w:t>
      </w:r>
      <w:r w:rsidR="00B56F8A">
        <w:rPr>
          <w:rFonts w:ascii="Arial" w:hAnsi="Arial" w:cs="Arial"/>
          <w:sz w:val="24"/>
          <w:szCs w:val="24"/>
        </w:rPr>
        <w:t>***** de ***** de dos mil veinte (**/**/2020)</w:t>
      </w:r>
      <w:r w:rsidR="005A3EE1">
        <w:rPr>
          <w:rFonts w:ascii="Arial" w:hAnsi="Arial" w:cs="Arial"/>
          <w:sz w:val="24"/>
          <w:szCs w:val="24"/>
        </w:rPr>
        <w:t>,</w:t>
      </w:r>
      <w:r w:rsidR="00F86CA8">
        <w:rPr>
          <w:rFonts w:ascii="Arial" w:hAnsi="Arial" w:cs="Arial"/>
          <w:sz w:val="24"/>
          <w:szCs w:val="24"/>
        </w:rPr>
        <w:t xml:space="preserve"> sobre el que recayó la resolución negativa ficta en estudio</w:t>
      </w:r>
      <w:r w:rsidR="002A1220">
        <w:rPr>
          <w:rFonts w:ascii="Arial" w:hAnsi="Arial" w:cs="Arial"/>
          <w:sz w:val="24"/>
          <w:szCs w:val="24"/>
        </w:rPr>
        <w:t>, de ahí que</w:t>
      </w:r>
      <w:r w:rsidR="00B51272">
        <w:rPr>
          <w:rFonts w:ascii="Arial" w:hAnsi="Arial" w:cs="Arial"/>
          <w:sz w:val="24"/>
          <w:szCs w:val="24"/>
        </w:rPr>
        <w:t xml:space="preserve"> tomando en cuenta la </w:t>
      </w:r>
      <w:r w:rsidR="00717944">
        <w:rPr>
          <w:rFonts w:ascii="Arial" w:hAnsi="Arial" w:cs="Arial"/>
          <w:sz w:val="24"/>
          <w:szCs w:val="24"/>
        </w:rPr>
        <w:t>última</w:t>
      </w:r>
      <w:r w:rsidR="00B51272">
        <w:rPr>
          <w:rFonts w:ascii="Arial" w:hAnsi="Arial" w:cs="Arial"/>
          <w:sz w:val="24"/>
          <w:szCs w:val="24"/>
        </w:rPr>
        <w:t xml:space="preserve"> aportación referida en el punto </w:t>
      </w:r>
      <w:r w:rsidR="00717944">
        <w:rPr>
          <w:rFonts w:ascii="Arial" w:hAnsi="Arial" w:cs="Arial"/>
          <w:sz w:val="24"/>
          <w:szCs w:val="24"/>
        </w:rPr>
        <w:t>número</w:t>
      </w:r>
      <w:r w:rsidR="00B51272">
        <w:rPr>
          <w:rFonts w:ascii="Arial" w:hAnsi="Arial" w:cs="Arial"/>
          <w:sz w:val="24"/>
          <w:szCs w:val="24"/>
        </w:rPr>
        <w:t xml:space="preserve"> 6 del cuadro que antecede, treinta de abril de dos mil quince </w:t>
      </w:r>
      <w:r w:rsidR="00717944">
        <w:rPr>
          <w:rFonts w:ascii="Arial" w:hAnsi="Arial" w:cs="Arial"/>
          <w:sz w:val="24"/>
          <w:szCs w:val="24"/>
        </w:rPr>
        <w:t>(30/04/2015), a la fecha de presentación del primer escrito de solicitud, diez de agosto de dos mil veinte (10/08/2020), había transcurrido con exceso el plazo de tres años previsto en el numeral en comento.</w:t>
      </w:r>
    </w:p>
    <w:p w14:paraId="0950789C" w14:textId="6BBB1DF5" w:rsidR="00413791" w:rsidRPr="001042B6" w:rsidRDefault="00717944" w:rsidP="00717944">
      <w:pPr>
        <w:tabs>
          <w:tab w:val="left" w:pos="284"/>
          <w:tab w:val="left" w:pos="567"/>
        </w:tabs>
        <w:spacing w:before="240" w:line="360" w:lineRule="auto"/>
        <w:jc w:val="both"/>
        <w:rPr>
          <w:rFonts w:ascii="Arial" w:hAnsi="Arial" w:cs="Arial"/>
          <w:sz w:val="24"/>
          <w:szCs w:val="24"/>
        </w:rPr>
      </w:pPr>
      <w:r>
        <w:rPr>
          <w:rFonts w:ascii="Arial" w:hAnsi="Arial" w:cs="Arial"/>
          <w:sz w:val="24"/>
          <w:szCs w:val="24"/>
        </w:rPr>
        <w:tab/>
        <w:t xml:space="preserve">No obstante lo anterior, se toma en cuenta que </w:t>
      </w:r>
      <w:r w:rsidR="00413791" w:rsidRPr="001042B6">
        <w:rPr>
          <w:rFonts w:ascii="Arial" w:hAnsi="Arial" w:cs="Arial"/>
          <w:sz w:val="24"/>
          <w:szCs w:val="24"/>
        </w:rPr>
        <w:t xml:space="preserve">el más alto Tribunal del País, ha </w:t>
      </w:r>
      <w:r w:rsidR="00413791">
        <w:rPr>
          <w:rFonts w:ascii="Arial" w:hAnsi="Arial" w:cs="Arial"/>
          <w:sz w:val="24"/>
          <w:szCs w:val="24"/>
        </w:rPr>
        <w:t xml:space="preserve">destacado </w:t>
      </w:r>
      <w:r w:rsidR="00413791" w:rsidRPr="001042B6">
        <w:rPr>
          <w:rFonts w:ascii="Arial" w:hAnsi="Arial" w:cs="Arial"/>
          <w:sz w:val="24"/>
          <w:szCs w:val="24"/>
        </w:rPr>
        <w:t xml:space="preserve">que los principios de seguridad y certeza jurídica dispuestos en los artículos 14 y 16 de la Constitución Política de los Estados Unidos Mexicanos, se </w:t>
      </w:r>
      <w:r w:rsidR="00413791">
        <w:rPr>
          <w:rFonts w:ascii="Arial" w:hAnsi="Arial" w:cs="Arial"/>
          <w:sz w:val="24"/>
          <w:szCs w:val="24"/>
        </w:rPr>
        <w:t xml:space="preserve">deben </w:t>
      </w:r>
      <w:r w:rsidR="00413791" w:rsidRPr="001042B6">
        <w:rPr>
          <w:rFonts w:ascii="Arial" w:hAnsi="Arial" w:cs="Arial"/>
          <w:sz w:val="24"/>
          <w:szCs w:val="24"/>
        </w:rPr>
        <w:t>respeta</w:t>
      </w:r>
      <w:r w:rsidR="00413791">
        <w:rPr>
          <w:rFonts w:ascii="Arial" w:hAnsi="Arial" w:cs="Arial"/>
          <w:sz w:val="24"/>
          <w:szCs w:val="24"/>
        </w:rPr>
        <w:t>r</w:t>
      </w:r>
      <w:r w:rsidR="00413791" w:rsidRPr="001042B6">
        <w:rPr>
          <w:rFonts w:ascii="Arial" w:hAnsi="Arial" w:cs="Arial"/>
          <w:sz w:val="24"/>
          <w:szCs w:val="24"/>
        </w:rPr>
        <w:t xml:space="preserve"> por las autoridades legislativas,</w:t>
      </w:r>
      <w:r w:rsidR="00413791">
        <w:rPr>
          <w:rFonts w:ascii="Arial" w:hAnsi="Arial" w:cs="Arial"/>
          <w:sz w:val="24"/>
          <w:szCs w:val="24"/>
        </w:rPr>
        <w:t xml:space="preserve"> en los siguientes supuestos:</w:t>
      </w:r>
      <w:r w:rsidR="00413791" w:rsidRPr="001042B6">
        <w:rPr>
          <w:rFonts w:ascii="Arial" w:hAnsi="Arial" w:cs="Arial"/>
          <w:sz w:val="24"/>
          <w:szCs w:val="24"/>
        </w:rPr>
        <w:t xml:space="preserve"> cuando las disposiciones de observancia general que crean</w:t>
      </w:r>
      <w:r w:rsidR="00413791">
        <w:rPr>
          <w:rFonts w:ascii="Arial" w:hAnsi="Arial" w:cs="Arial"/>
          <w:sz w:val="24"/>
          <w:szCs w:val="24"/>
        </w:rPr>
        <w:t>, genere</w:t>
      </w:r>
      <w:r w:rsidR="00413791" w:rsidRPr="001042B6">
        <w:rPr>
          <w:rFonts w:ascii="Arial" w:hAnsi="Arial" w:cs="Arial"/>
          <w:sz w:val="24"/>
          <w:szCs w:val="24"/>
        </w:rPr>
        <w:t>n certidumbre a sus destinatarios sobre las consecu</w:t>
      </w:r>
      <w:r w:rsidR="00413791">
        <w:rPr>
          <w:rFonts w:ascii="Arial" w:hAnsi="Arial" w:cs="Arial"/>
          <w:sz w:val="24"/>
          <w:szCs w:val="24"/>
        </w:rPr>
        <w:t>encias jurídicas de su conducta;</w:t>
      </w:r>
      <w:r w:rsidR="00413791" w:rsidRPr="001042B6">
        <w:rPr>
          <w:rFonts w:ascii="Arial" w:hAnsi="Arial" w:cs="Arial"/>
          <w:sz w:val="24"/>
          <w:szCs w:val="24"/>
        </w:rPr>
        <w:t xml:space="preserve"> </w:t>
      </w:r>
      <w:r w:rsidR="00413791">
        <w:rPr>
          <w:rFonts w:ascii="Arial" w:hAnsi="Arial" w:cs="Arial"/>
          <w:sz w:val="24"/>
          <w:szCs w:val="24"/>
        </w:rPr>
        <w:t xml:space="preserve">luego entonces, </w:t>
      </w:r>
      <w:r w:rsidR="00413791" w:rsidRPr="001042B6">
        <w:rPr>
          <w:rFonts w:ascii="Arial" w:hAnsi="Arial" w:cs="Arial"/>
          <w:sz w:val="24"/>
          <w:szCs w:val="24"/>
        </w:rPr>
        <w:t xml:space="preserve">cuando se configure alguna facultad a </w:t>
      </w:r>
      <w:r w:rsidR="00413791">
        <w:rPr>
          <w:rFonts w:ascii="Arial" w:hAnsi="Arial" w:cs="Arial"/>
          <w:sz w:val="24"/>
          <w:szCs w:val="24"/>
        </w:rPr>
        <w:t>la</w:t>
      </w:r>
      <w:r w:rsidR="00413791" w:rsidRPr="001042B6">
        <w:rPr>
          <w:rFonts w:ascii="Arial" w:hAnsi="Arial" w:cs="Arial"/>
          <w:sz w:val="24"/>
          <w:szCs w:val="24"/>
        </w:rPr>
        <w:t xml:space="preserve"> autoridad, esas garantías se cumplen </w:t>
      </w:r>
      <w:r w:rsidR="00413791">
        <w:rPr>
          <w:rFonts w:ascii="Arial" w:hAnsi="Arial" w:cs="Arial"/>
          <w:sz w:val="24"/>
          <w:szCs w:val="24"/>
        </w:rPr>
        <w:t xml:space="preserve">sólo </w:t>
      </w:r>
      <w:r w:rsidR="00413791" w:rsidRPr="001042B6">
        <w:rPr>
          <w:rFonts w:ascii="Arial" w:hAnsi="Arial" w:cs="Arial"/>
          <w:sz w:val="24"/>
          <w:szCs w:val="24"/>
        </w:rPr>
        <w:t xml:space="preserve">cuando acotan en la medida necesaria y razonable tal atribución, en forma tal que se impida a la autoridad </w:t>
      </w:r>
      <w:proofErr w:type="spellStart"/>
      <w:r w:rsidR="00413791" w:rsidRPr="001042B6">
        <w:rPr>
          <w:rFonts w:ascii="Arial" w:hAnsi="Arial" w:cs="Arial"/>
          <w:sz w:val="24"/>
          <w:szCs w:val="24"/>
        </w:rPr>
        <w:t>aplicadora</w:t>
      </w:r>
      <w:proofErr w:type="spellEnd"/>
      <w:r w:rsidR="00413791" w:rsidRPr="001042B6">
        <w:rPr>
          <w:rFonts w:ascii="Arial" w:hAnsi="Arial" w:cs="Arial"/>
          <w:sz w:val="24"/>
          <w:szCs w:val="24"/>
        </w:rPr>
        <w:t xml:space="preserve"> actuar de manera arbitraria. </w:t>
      </w:r>
    </w:p>
    <w:p w14:paraId="6F2FB669" w14:textId="4B96FBE4" w:rsidR="00413791" w:rsidRDefault="00413791" w:rsidP="00413791">
      <w:pPr>
        <w:tabs>
          <w:tab w:val="left" w:pos="284"/>
          <w:tab w:val="left" w:pos="567"/>
        </w:tabs>
        <w:spacing w:before="240" w:line="360" w:lineRule="auto"/>
        <w:jc w:val="both"/>
        <w:rPr>
          <w:rFonts w:ascii="Arial" w:hAnsi="Arial" w:cs="Arial"/>
          <w:sz w:val="24"/>
          <w:szCs w:val="24"/>
        </w:rPr>
      </w:pPr>
      <w:r w:rsidRPr="001042B6">
        <w:rPr>
          <w:rFonts w:ascii="Arial" w:hAnsi="Arial" w:cs="Arial"/>
          <w:sz w:val="24"/>
          <w:szCs w:val="24"/>
        </w:rPr>
        <w:lastRenderedPageBreak/>
        <w:tab/>
        <w:t xml:space="preserve">En esas consideraciones, se </w:t>
      </w:r>
      <w:r>
        <w:rPr>
          <w:rFonts w:ascii="Arial" w:hAnsi="Arial" w:cs="Arial"/>
          <w:sz w:val="24"/>
          <w:szCs w:val="24"/>
        </w:rPr>
        <w:t xml:space="preserve">atiende </w:t>
      </w:r>
      <w:r w:rsidRPr="001042B6">
        <w:rPr>
          <w:rFonts w:ascii="Arial" w:hAnsi="Arial" w:cs="Arial"/>
          <w:sz w:val="24"/>
          <w:szCs w:val="24"/>
        </w:rPr>
        <w:t>que</w:t>
      </w:r>
      <w:r>
        <w:rPr>
          <w:rFonts w:ascii="Arial" w:hAnsi="Arial" w:cs="Arial"/>
          <w:sz w:val="24"/>
          <w:szCs w:val="24"/>
        </w:rPr>
        <w:t xml:space="preserve"> el </w:t>
      </w:r>
      <w:r w:rsidR="00C62456">
        <w:rPr>
          <w:rFonts w:ascii="Arial" w:hAnsi="Arial" w:cs="Arial"/>
          <w:sz w:val="24"/>
          <w:szCs w:val="24"/>
        </w:rPr>
        <w:t xml:space="preserve">contenido </w:t>
      </w:r>
      <w:r w:rsidR="00C62456" w:rsidRPr="00C62456">
        <w:rPr>
          <w:rFonts w:ascii="Arial" w:hAnsi="Arial" w:cs="Arial"/>
          <w:sz w:val="24"/>
          <w:szCs w:val="24"/>
        </w:rPr>
        <w:t>de</w:t>
      </w:r>
      <w:r w:rsidRPr="00C62456">
        <w:rPr>
          <w:rFonts w:ascii="Arial" w:hAnsi="Arial" w:cs="Arial"/>
          <w:sz w:val="24"/>
          <w:szCs w:val="24"/>
        </w:rPr>
        <w:t>l</w:t>
      </w:r>
      <w:r w:rsidRPr="00D63670">
        <w:rPr>
          <w:rFonts w:ascii="Arial" w:hAnsi="Arial" w:cs="Arial"/>
          <w:b/>
          <w:sz w:val="24"/>
          <w:szCs w:val="24"/>
        </w:rPr>
        <w:t xml:space="preserve"> artículo 63</w:t>
      </w:r>
      <w:r w:rsidRPr="001042B6">
        <w:rPr>
          <w:rFonts w:ascii="Arial" w:hAnsi="Arial" w:cs="Arial"/>
          <w:sz w:val="24"/>
          <w:szCs w:val="24"/>
        </w:rPr>
        <w:t xml:space="preserve"> de la Ley de Pensiones para los Trabajadores del Gobierno del Estado de Oaxaca, </w:t>
      </w:r>
      <w:r w:rsidRPr="001042B6">
        <w:rPr>
          <w:rFonts w:ascii="Arial" w:hAnsi="Arial" w:cs="Arial"/>
          <w:b/>
          <w:sz w:val="24"/>
          <w:szCs w:val="24"/>
        </w:rPr>
        <w:t>contraviene los principios de seguridad  y certeza jurídica</w:t>
      </w:r>
      <w:r w:rsidRPr="001042B6">
        <w:rPr>
          <w:rFonts w:ascii="Arial" w:hAnsi="Arial" w:cs="Arial"/>
          <w:sz w:val="24"/>
          <w:szCs w:val="24"/>
        </w:rPr>
        <w:t xml:space="preserve">, </w:t>
      </w:r>
      <w:r>
        <w:rPr>
          <w:rFonts w:ascii="Arial" w:hAnsi="Arial" w:cs="Arial"/>
          <w:sz w:val="24"/>
          <w:szCs w:val="24"/>
        </w:rPr>
        <w:t xml:space="preserve">porque </w:t>
      </w:r>
      <w:r w:rsidRPr="001042B6">
        <w:rPr>
          <w:rFonts w:ascii="Arial" w:hAnsi="Arial" w:cs="Arial"/>
          <w:sz w:val="24"/>
          <w:szCs w:val="24"/>
        </w:rPr>
        <w:t>no señala con precisión el momento en que comenzará a contar el plazo de tres años que prescribe, y tampoco prevé que se dé oportun</w:t>
      </w:r>
      <w:r>
        <w:rPr>
          <w:rFonts w:ascii="Arial" w:hAnsi="Arial" w:cs="Arial"/>
          <w:sz w:val="24"/>
          <w:szCs w:val="24"/>
        </w:rPr>
        <w:t>o</w:t>
      </w:r>
      <w:r w:rsidRPr="001042B6">
        <w:rPr>
          <w:rFonts w:ascii="Arial" w:hAnsi="Arial" w:cs="Arial"/>
          <w:sz w:val="24"/>
          <w:szCs w:val="24"/>
        </w:rPr>
        <w:t xml:space="preserve"> aviso al asegurado o a sus beneficiarios, a efecto de evitar que opere la prescripción de </w:t>
      </w:r>
      <w:r>
        <w:rPr>
          <w:rFonts w:ascii="Arial" w:hAnsi="Arial" w:cs="Arial"/>
          <w:sz w:val="24"/>
          <w:szCs w:val="24"/>
        </w:rPr>
        <w:t>ese</w:t>
      </w:r>
      <w:r w:rsidRPr="001042B6">
        <w:rPr>
          <w:rFonts w:ascii="Arial" w:hAnsi="Arial" w:cs="Arial"/>
          <w:sz w:val="24"/>
          <w:szCs w:val="24"/>
        </w:rPr>
        <w:t xml:space="preserve"> derecho a la devolución de los descuentos efectuados por el Fondo de Pensiones, lo que evidencia la </w:t>
      </w:r>
      <w:r w:rsidRPr="0043781C">
        <w:rPr>
          <w:rFonts w:ascii="Arial" w:hAnsi="Arial" w:cs="Arial"/>
          <w:b/>
          <w:sz w:val="24"/>
          <w:szCs w:val="24"/>
        </w:rPr>
        <w:t>incertidumbre jurídica sobre el particular</w:t>
      </w:r>
      <w:r w:rsidRPr="001042B6">
        <w:rPr>
          <w:rFonts w:ascii="Arial" w:hAnsi="Arial" w:cs="Arial"/>
          <w:sz w:val="24"/>
          <w:szCs w:val="24"/>
        </w:rPr>
        <w:t>, pues ante el desconocimiento de tales circunstancias,</w:t>
      </w:r>
      <w:r>
        <w:rPr>
          <w:rFonts w:ascii="Arial" w:hAnsi="Arial" w:cs="Arial"/>
          <w:sz w:val="24"/>
          <w:szCs w:val="24"/>
        </w:rPr>
        <w:t xml:space="preserve"> se</w:t>
      </w:r>
      <w:r w:rsidRPr="001042B6">
        <w:rPr>
          <w:rFonts w:ascii="Arial" w:hAnsi="Arial" w:cs="Arial"/>
          <w:sz w:val="24"/>
          <w:szCs w:val="24"/>
        </w:rPr>
        <w:t xml:space="preserve"> le impide conocer el derecho que tiene a la devolución </w:t>
      </w:r>
      <w:r>
        <w:rPr>
          <w:rFonts w:ascii="Arial" w:hAnsi="Arial" w:cs="Arial"/>
          <w:sz w:val="24"/>
          <w:szCs w:val="24"/>
        </w:rPr>
        <w:t xml:space="preserve">de los descuentos </w:t>
      </w:r>
      <w:r w:rsidRPr="001042B6">
        <w:rPr>
          <w:rFonts w:ascii="Arial" w:hAnsi="Arial" w:cs="Arial"/>
          <w:sz w:val="24"/>
          <w:szCs w:val="24"/>
        </w:rPr>
        <w:t xml:space="preserve">y el momento en que inicia el cómputo para solicitarlo, y con ello la violación al derecho humano a la seguridad social que consagra el artículo 123, Apartado B, </w:t>
      </w:r>
      <w:r w:rsidRPr="002537F6">
        <w:rPr>
          <w:rFonts w:ascii="Arial" w:hAnsi="Arial" w:cs="Arial"/>
          <w:sz w:val="24"/>
          <w:szCs w:val="24"/>
        </w:rPr>
        <w:t>fracción XI, de la Constitución Política de lo</w:t>
      </w:r>
      <w:r>
        <w:rPr>
          <w:rFonts w:ascii="Arial" w:hAnsi="Arial" w:cs="Arial"/>
          <w:sz w:val="24"/>
          <w:szCs w:val="24"/>
        </w:rPr>
        <w:t>s Estados Unidos Mexicanos, estos razonamientos han sido un criterio adoptado por el Pleno de la Suprema Corte de Justicia de la Nación, en la Jurisprudencia con número de registro 165969, y adoptado por la segunda Sala del más alto Tribunal, al resolver el Amparo en Revisión 934/2014.</w:t>
      </w:r>
    </w:p>
    <w:p w14:paraId="1475CDC3" w14:textId="0171934A" w:rsidR="00413791" w:rsidRDefault="00413791" w:rsidP="00413791">
      <w:pPr>
        <w:tabs>
          <w:tab w:val="left" w:pos="284"/>
          <w:tab w:val="left" w:pos="567"/>
        </w:tabs>
        <w:spacing w:before="240" w:line="360" w:lineRule="auto"/>
        <w:jc w:val="both"/>
        <w:rPr>
          <w:rFonts w:ascii="Arial" w:hAnsi="Arial" w:cs="Arial"/>
          <w:sz w:val="24"/>
          <w:szCs w:val="24"/>
        </w:rPr>
      </w:pPr>
      <w:r>
        <w:rPr>
          <w:rFonts w:ascii="Arial" w:hAnsi="Arial" w:cs="Arial"/>
          <w:sz w:val="24"/>
          <w:szCs w:val="24"/>
        </w:rPr>
        <w:tab/>
        <w:t>Ahora bien, sentando lo anterior, también se toma en cuenta</w:t>
      </w:r>
      <w:r w:rsidR="006078B5">
        <w:rPr>
          <w:rFonts w:ascii="Arial" w:hAnsi="Arial" w:cs="Arial"/>
          <w:sz w:val="24"/>
          <w:szCs w:val="24"/>
        </w:rPr>
        <w:t>,</w:t>
      </w:r>
      <w:r>
        <w:rPr>
          <w:rFonts w:ascii="Arial" w:hAnsi="Arial" w:cs="Arial"/>
          <w:sz w:val="24"/>
          <w:szCs w:val="24"/>
        </w:rPr>
        <w:t xml:space="preserve"> que l</w:t>
      </w:r>
      <w:r w:rsidR="006078B5">
        <w:rPr>
          <w:rFonts w:ascii="Arial" w:hAnsi="Arial" w:cs="Arial"/>
          <w:sz w:val="24"/>
          <w:szCs w:val="24"/>
        </w:rPr>
        <w:t xml:space="preserve">as aportaciones realizadas por </w:t>
      </w:r>
      <w:r>
        <w:rPr>
          <w:rFonts w:ascii="Arial" w:hAnsi="Arial" w:cs="Arial"/>
          <w:sz w:val="24"/>
          <w:szCs w:val="24"/>
        </w:rPr>
        <w:t>l</w:t>
      </w:r>
      <w:r w:rsidR="006078B5">
        <w:rPr>
          <w:rFonts w:ascii="Arial" w:hAnsi="Arial" w:cs="Arial"/>
          <w:sz w:val="24"/>
          <w:szCs w:val="24"/>
        </w:rPr>
        <w:t>a</w:t>
      </w:r>
      <w:r>
        <w:rPr>
          <w:rFonts w:ascii="Arial" w:hAnsi="Arial" w:cs="Arial"/>
          <w:sz w:val="24"/>
          <w:szCs w:val="24"/>
        </w:rPr>
        <w:t xml:space="preserve"> </w:t>
      </w:r>
      <w:r w:rsidR="00E85F64">
        <w:rPr>
          <w:rFonts w:ascii="Arial" w:hAnsi="Arial" w:cs="Arial"/>
          <w:sz w:val="24"/>
          <w:szCs w:val="24"/>
        </w:rPr>
        <w:t xml:space="preserve">parte </w:t>
      </w:r>
      <w:r>
        <w:rPr>
          <w:rFonts w:ascii="Arial" w:hAnsi="Arial" w:cs="Arial"/>
          <w:sz w:val="24"/>
          <w:szCs w:val="24"/>
        </w:rPr>
        <w:t>actor</w:t>
      </w:r>
      <w:r w:rsidR="006078B5">
        <w:rPr>
          <w:rFonts w:ascii="Arial" w:hAnsi="Arial" w:cs="Arial"/>
          <w:sz w:val="24"/>
          <w:szCs w:val="24"/>
        </w:rPr>
        <w:t>a al Fondo de Pensiones,</w:t>
      </w:r>
      <w:r>
        <w:rPr>
          <w:rFonts w:ascii="Arial" w:hAnsi="Arial" w:cs="Arial"/>
          <w:sz w:val="24"/>
          <w:szCs w:val="24"/>
        </w:rPr>
        <w:t xml:space="preserve"> t</w:t>
      </w:r>
      <w:r w:rsidR="006078B5">
        <w:rPr>
          <w:rFonts w:ascii="Arial" w:hAnsi="Arial" w:cs="Arial"/>
          <w:sz w:val="24"/>
          <w:szCs w:val="24"/>
        </w:rPr>
        <w:t xml:space="preserve">uvieron </w:t>
      </w:r>
      <w:r>
        <w:rPr>
          <w:rFonts w:ascii="Arial" w:hAnsi="Arial" w:cs="Arial"/>
          <w:sz w:val="24"/>
          <w:szCs w:val="24"/>
        </w:rPr>
        <w:t>como finalidad</w:t>
      </w:r>
      <w:r w:rsidR="006078B5">
        <w:rPr>
          <w:rFonts w:ascii="Arial" w:hAnsi="Arial" w:cs="Arial"/>
          <w:sz w:val="24"/>
          <w:szCs w:val="24"/>
        </w:rPr>
        <w:t>,</w:t>
      </w:r>
      <w:r>
        <w:rPr>
          <w:rFonts w:ascii="Arial" w:hAnsi="Arial" w:cs="Arial"/>
          <w:sz w:val="24"/>
          <w:szCs w:val="24"/>
        </w:rPr>
        <w:t xml:space="preserve"> garantizar la protección al derecho a la seguridad social, por lo que no basta desaplicar el artículo 63 de la </w:t>
      </w:r>
      <w:r w:rsidRPr="001042B6">
        <w:rPr>
          <w:rFonts w:ascii="Arial" w:hAnsi="Arial" w:cs="Arial"/>
          <w:sz w:val="24"/>
          <w:szCs w:val="24"/>
        </w:rPr>
        <w:t>Ley de Pensiones para los Trabajadores del Gobierno del Estado de Oaxaca</w:t>
      </w:r>
      <w:r>
        <w:rPr>
          <w:rFonts w:ascii="Arial" w:hAnsi="Arial" w:cs="Arial"/>
          <w:sz w:val="24"/>
          <w:szCs w:val="24"/>
        </w:rPr>
        <w:t>, que se refiere a la restricción del tiempo para la solicitud, sino que además, en el presente asunto</w:t>
      </w:r>
      <w:r w:rsidR="006078B5">
        <w:rPr>
          <w:rFonts w:ascii="Arial" w:hAnsi="Arial" w:cs="Arial"/>
          <w:sz w:val="24"/>
          <w:szCs w:val="24"/>
        </w:rPr>
        <w:t>,</w:t>
      </w:r>
      <w:r>
        <w:rPr>
          <w:rFonts w:ascii="Arial" w:hAnsi="Arial" w:cs="Arial"/>
          <w:sz w:val="24"/>
          <w:szCs w:val="24"/>
        </w:rPr>
        <w:t xml:space="preserve"> existe una restricción mayor, por</w:t>
      </w:r>
      <w:r w:rsidR="00C62456">
        <w:rPr>
          <w:rFonts w:ascii="Arial" w:hAnsi="Arial" w:cs="Arial"/>
          <w:sz w:val="24"/>
          <w:szCs w:val="24"/>
        </w:rPr>
        <w:t xml:space="preserve">que la </w:t>
      </w:r>
      <w:r w:rsidR="0078122B">
        <w:rPr>
          <w:rFonts w:ascii="Arial" w:hAnsi="Arial" w:cs="Arial"/>
          <w:sz w:val="24"/>
          <w:szCs w:val="24"/>
        </w:rPr>
        <w:t xml:space="preserve">parte </w:t>
      </w:r>
      <w:r w:rsidR="00C62456">
        <w:rPr>
          <w:rFonts w:ascii="Arial" w:hAnsi="Arial" w:cs="Arial"/>
          <w:sz w:val="24"/>
          <w:szCs w:val="24"/>
        </w:rPr>
        <w:t>actora era un</w:t>
      </w:r>
      <w:r>
        <w:rPr>
          <w:rFonts w:ascii="Arial" w:hAnsi="Arial" w:cs="Arial"/>
          <w:sz w:val="24"/>
          <w:szCs w:val="24"/>
        </w:rPr>
        <w:t xml:space="preserve"> </w:t>
      </w:r>
      <w:r w:rsidRPr="00A17AA5">
        <w:rPr>
          <w:rFonts w:ascii="Arial" w:hAnsi="Arial" w:cs="Arial"/>
          <w:b/>
          <w:sz w:val="24"/>
          <w:szCs w:val="24"/>
        </w:rPr>
        <w:t>t</w:t>
      </w:r>
      <w:r w:rsidRPr="002162D7">
        <w:rPr>
          <w:rFonts w:ascii="Arial" w:hAnsi="Arial" w:cs="Arial"/>
          <w:b/>
          <w:sz w:val="24"/>
          <w:szCs w:val="24"/>
        </w:rPr>
        <w:t>rabajador de confianza</w:t>
      </w:r>
      <w:r>
        <w:rPr>
          <w:rFonts w:ascii="Arial" w:hAnsi="Arial" w:cs="Arial"/>
          <w:sz w:val="24"/>
          <w:szCs w:val="24"/>
        </w:rPr>
        <w:t xml:space="preserve">, dato que </w:t>
      </w:r>
      <w:r w:rsidR="00242A10">
        <w:rPr>
          <w:rFonts w:ascii="Arial" w:hAnsi="Arial" w:cs="Arial"/>
          <w:sz w:val="24"/>
          <w:szCs w:val="24"/>
        </w:rPr>
        <w:t xml:space="preserve">se corroboró los nombramientos </w:t>
      </w:r>
      <w:r w:rsidR="00C62456">
        <w:rPr>
          <w:rFonts w:ascii="Arial" w:hAnsi="Arial" w:cs="Arial"/>
          <w:sz w:val="24"/>
          <w:szCs w:val="24"/>
        </w:rPr>
        <w:t>que obran en autos</w:t>
      </w:r>
      <w:r>
        <w:rPr>
          <w:rFonts w:ascii="Arial" w:hAnsi="Arial" w:cs="Arial"/>
          <w:sz w:val="24"/>
          <w:szCs w:val="24"/>
        </w:rPr>
        <w:t>; luego entonces, al ser trabajador d</w:t>
      </w:r>
      <w:r w:rsidR="006078B5">
        <w:rPr>
          <w:rFonts w:ascii="Arial" w:hAnsi="Arial" w:cs="Arial"/>
          <w:sz w:val="24"/>
          <w:szCs w:val="24"/>
        </w:rPr>
        <w:t>e confianza, no está considerad</w:t>
      </w:r>
      <w:r w:rsidR="00C62456">
        <w:rPr>
          <w:rFonts w:ascii="Arial" w:hAnsi="Arial" w:cs="Arial"/>
          <w:sz w:val="24"/>
          <w:szCs w:val="24"/>
        </w:rPr>
        <w:t>o</w:t>
      </w:r>
      <w:r>
        <w:rPr>
          <w:rFonts w:ascii="Arial" w:hAnsi="Arial" w:cs="Arial"/>
          <w:sz w:val="24"/>
          <w:szCs w:val="24"/>
        </w:rPr>
        <w:t xml:space="preserve"> para obtener la devolución de los descuentos</w:t>
      </w:r>
      <w:r w:rsidR="006078B5">
        <w:rPr>
          <w:rFonts w:ascii="Arial" w:hAnsi="Arial" w:cs="Arial"/>
          <w:sz w:val="24"/>
          <w:szCs w:val="24"/>
        </w:rPr>
        <w:t xml:space="preserve"> que solicitó</w:t>
      </w:r>
      <w:r>
        <w:rPr>
          <w:rFonts w:ascii="Arial" w:hAnsi="Arial" w:cs="Arial"/>
          <w:sz w:val="24"/>
          <w:szCs w:val="24"/>
        </w:rPr>
        <w:t xml:space="preserve">, debido a que el artículo 64 de la Ley de Pensiones multicitada, </w:t>
      </w:r>
      <w:r w:rsidR="00242A10">
        <w:rPr>
          <w:rFonts w:ascii="Arial" w:hAnsi="Arial" w:cs="Arial"/>
          <w:sz w:val="24"/>
          <w:szCs w:val="24"/>
        </w:rPr>
        <w:t xml:space="preserve">dispone que </w:t>
      </w:r>
      <w:r>
        <w:rPr>
          <w:rFonts w:ascii="Arial" w:hAnsi="Arial" w:cs="Arial"/>
          <w:sz w:val="24"/>
          <w:szCs w:val="24"/>
        </w:rPr>
        <w:t>únicamente tienen ese derecho los trabajadores con la categoría de base,</w:t>
      </w:r>
      <w:r w:rsidR="0027404B">
        <w:rPr>
          <w:rFonts w:ascii="Arial" w:hAnsi="Arial" w:cs="Arial"/>
          <w:sz w:val="24"/>
          <w:szCs w:val="24"/>
        </w:rPr>
        <w:t xml:space="preserve"> por lo que esta autoridad considera procedente </w:t>
      </w:r>
      <w:r w:rsidRPr="00F57CD2">
        <w:rPr>
          <w:rFonts w:ascii="Arial" w:hAnsi="Arial" w:cs="Arial"/>
          <w:b/>
          <w:sz w:val="24"/>
          <w:szCs w:val="24"/>
        </w:rPr>
        <w:t>AMPLIA</w:t>
      </w:r>
      <w:r w:rsidR="0027404B">
        <w:rPr>
          <w:rFonts w:ascii="Arial" w:hAnsi="Arial" w:cs="Arial"/>
          <w:b/>
          <w:sz w:val="24"/>
          <w:szCs w:val="24"/>
        </w:rPr>
        <w:t>R</w:t>
      </w:r>
      <w:r w:rsidRPr="00F57CD2">
        <w:rPr>
          <w:rFonts w:ascii="Arial" w:hAnsi="Arial" w:cs="Arial"/>
          <w:b/>
          <w:sz w:val="24"/>
          <w:szCs w:val="24"/>
        </w:rPr>
        <w:t xml:space="preserve"> LA PROTECCIÓN DE </w:t>
      </w:r>
      <w:r w:rsidR="0097185F">
        <w:rPr>
          <w:rFonts w:ascii="Arial" w:hAnsi="Arial" w:cs="Arial"/>
          <w:b/>
          <w:sz w:val="24"/>
          <w:szCs w:val="24"/>
        </w:rPr>
        <w:t>SUS</w:t>
      </w:r>
      <w:r w:rsidRPr="00F57CD2">
        <w:rPr>
          <w:rFonts w:ascii="Arial" w:hAnsi="Arial" w:cs="Arial"/>
          <w:b/>
          <w:sz w:val="24"/>
          <w:szCs w:val="24"/>
        </w:rPr>
        <w:t xml:space="preserve"> DERECHOS HUMANOS</w:t>
      </w:r>
      <w:r>
        <w:rPr>
          <w:rFonts w:ascii="Arial" w:hAnsi="Arial" w:cs="Arial"/>
          <w:sz w:val="24"/>
          <w:szCs w:val="24"/>
        </w:rPr>
        <w:t xml:space="preserve">, de conformidad con el segundo párrafo del artículo 1 de la Constitución Política de los Estados Unidos Mexicanos, </w:t>
      </w:r>
      <w:r w:rsidR="0027404B">
        <w:rPr>
          <w:rFonts w:ascii="Arial" w:hAnsi="Arial" w:cs="Arial"/>
          <w:sz w:val="24"/>
          <w:szCs w:val="24"/>
        </w:rPr>
        <w:t xml:space="preserve">por lo que </w:t>
      </w:r>
      <w:r>
        <w:rPr>
          <w:rFonts w:ascii="Arial" w:hAnsi="Arial" w:cs="Arial"/>
          <w:sz w:val="24"/>
          <w:szCs w:val="24"/>
        </w:rPr>
        <w:t xml:space="preserve">esta Juzgadora realiza el análisis respecto a la </w:t>
      </w:r>
      <w:r w:rsidRPr="007D6FD4">
        <w:rPr>
          <w:rFonts w:ascii="Arial" w:hAnsi="Arial" w:cs="Arial"/>
          <w:b/>
          <w:sz w:val="24"/>
          <w:szCs w:val="24"/>
        </w:rPr>
        <w:t>desincorporación del artículo 64</w:t>
      </w:r>
      <w:r w:rsidR="00242A10">
        <w:rPr>
          <w:rFonts w:ascii="Arial" w:hAnsi="Arial" w:cs="Arial"/>
          <w:sz w:val="24"/>
          <w:szCs w:val="24"/>
        </w:rPr>
        <w:t xml:space="preserve"> citado</w:t>
      </w:r>
      <w:r>
        <w:rPr>
          <w:rFonts w:ascii="Arial" w:hAnsi="Arial" w:cs="Arial"/>
          <w:sz w:val="24"/>
          <w:szCs w:val="24"/>
        </w:rPr>
        <w:t xml:space="preserve"> de la esfera jurídica de</w:t>
      </w:r>
      <w:r w:rsidR="006078B5">
        <w:rPr>
          <w:rFonts w:ascii="Arial" w:hAnsi="Arial" w:cs="Arial"/>
          <w:sz w:val="24"/>
          <w:szCs w:val="24"/>
        </w:rPr>
        <w:t xml:space="preserve"> </w:t>
      </w:r>
      <w:r>
        <w:rPr>
          <w:rFonts w:ascii="Arial" w:hAnsi="Arial" w:cs="Arial"/>
          <w:sz w:val="24"/>
          <w:szCs w:val="24"/>
        </w:rPr>
        <w:t>l</w:t>
      </w:r>
      <w:r w:rsidR="006078B5">
        <w:rPr>
          <w:rFonts w:ascii="Arial" w:hAnsi="Arial" w:cs="Arial"/>
          <w:sz w:val="24"/>
          <w:szCs w:val="24"/>
        </w:rPr>
        <w:t>a</w:t>
      </w:r>
      <w:r w:rsidR="009F3A7F">
        <w:rPr>
          <w:rFonts w:ascii="Arial" w:hAnsi="Arial" w:cs="Arial"/>
          <w:sz w:val="24"/>
          <w:szCs w:val="24"/>
        </w:rPr>
        <w:t xml:space="preserve"> parte</w:t>
      </w:r>
      <w:r>
        <w:rPr>
          <w:rFonts w:ascii="Arial" w:hAnsi="Arial" w:cs="Arial"/>
          <w:sz w:val="24"/>
          <w:szCs w:val="24"/>
        </w:rPr>
        <w:t xml:space="preserve"> actor</w:t>
      </w:r>
      <w:r w:rsidR="006078B5">
        <w:rPr>
          <w:rFonts w:ascii="Arial" w:hAnsi="Arial" w:cs="Arial"/>
          <w:sz w:val="24"/>
          <w:szCs w:val="24"/>
        </w:rPr>
        <w:t>a</w:t>
      </w:r>
      <w:r>
        <w:rPr>
          <w:rFonts w:ascii="Arial" w:hAnsi="Arial" w:cs="Arial"/>
          <w:sz w:val="24"/>
          <w:szCs w:val="24"/>
        </w:rPr>
        <w:t xml:space="preserve"> al considerar</w:t>
      </w:r>
      <w:r w:rsidR="0027404B">
        <w:rPr>
          <w:rFonts w:ascii="Arial" w:hAnsi="Arial" w:cs="Arial"/>
          <w:sz w:val="24"/>
          <w:szCs w:val="24"/>
        </w:rPr>
        <w:t>lo</w:t>
      </w:r>
      <w:r>
        <w:rPr>
          <w:rFonts w:ascii="Arial" w:hAnsi="Arial" w:cs="Arial"/>
          <w:sz w:val="24"/>
          <w:szCs w:val="24"/>
        </w:rPr>
        <w:t xml:space="preserve"> discriminatorio, como se verá más adelante.</w:t>
      </w:r>
    </w:p>
    <w:p w14:paraId="06636FCF" w14:textId="36521AF2" w:rsidR="00413791" w:rsidRDefault="00413791" w:rsidP="00413791">
      <w:pPr>
        <w:tabs>
          <w:tab w:val="left" w:pos="284"/>
          <w:tab w:val="left" w:pos="567"/>
        </w:tabs>
        <w:spacing w:before="240" w:line="360" w:lineRule="auto"/>
        <w:jc w:val="both"/>
        <w:rPr>
          <w:rFonts w:ascii="Arial" w:hAnsi="Arial" w:cs="Arial"/>
          <w:sz w:val="24"/>
          <w:szCs w:val="24"/>
        </w:rPr>
      </w:pPr>
      <w:r w:rsidRPr="007D6FD4">
        <w:rPr>
          <w:rFonts w:ascii="Arial" w:hAnsi="Arial" w:cs="Arial"/>
          <w:sz w:val="24"/>
          <w:szCs w:val="24"/>
        </w:rPr>
        <w:tab/>
        <w:t>Pues bien, los descuentos a cargo del Fondo de Pensiones para el Estado de Oaxaca, tiene como fin brindar certeza jurídica al trabajador sobre los recursos que pagaran su pensión</w:t>
      </w:r>
      <w:r>
        <w:rPr>
          <w:rFonts w:ascii="Arial" w:hAnsi="Arial" w:cs="Arial"/>
          <w:sz w:val="24"/>
          <w:szCs w:val="24"/>
        </w:rPr>
        <w:t>, cuando alcance determinados supuestos</w:t>
      </w:r>
      <w:r w:rsidRPr="007D6FD4">
        <w:rPr>
          <w:rFonts w:ascii="Arial" w:hAnsi="Arial" w:cs="Arial"/>
          <w:sz w:val="24"/>
          <w:szCs w:val="24"/>
        </w:rPr>
        <w:t>,</w:t>
      </w:r>
      <w:r>
        <w:rPr>
          <w:rFonts w:ascii="Arial" w:hAnsi="Arial" w:cs="Arial"/>
          <w:sz w:val="24"/>
          <w:szCs w:val="24"/>
        </w:rPr>
        <w:t xml:space="preserve"> </w:t>
      </w:r>
      <w:r>
        <w:rPr>
          <w:rFonts w:ascii="Arial" w:hAnsi="Arial" w:cs="Arial"/>
          <w:sz w:val="24"/>
          <w:szCs w:val="24"/>
        </w:rPr>
        <w:lastRenderedPageBreak/>
        <w:t>los cuales se encuentran previstos en la Ley de Pensiones multicitada,</w:t>
      </w:r>
      <w:r w:rsidRPr="007D6FD4">
        <w:rPr>
          <w:rFonts w:ascii="Arial" w:hAnsi="Arial" w:cs="Arial"/>
          <w:sz w:val="24"/>
          <w:szCs w:val="24"/>
        </w:rPr>
        <w:t xml:space="preserve"> empero, cuando el trabajador no alcance a cubrir los supuestos para la obtención a una pensión o se separe del servicio, la propia Ley de Pensiones para los Trabajadores del Gobierno del Estado de Oaxaca, en </w:t>
      </w:r>
      <w:r>
        <w:rPr>
          <w:rFonts w:ascii="Arial" w:hAnsi="Arial" w:cs="Arial"/>
          <w:sz w:val="24"/>
          <w:szCs w:val="24"/>
        </w:rPr>
        <w:t xml:space="preserve">el citado </w:t>
      </w:r>
      <w:r w:rsidRPr="007D6FD4">
        <w:rPr>
          <w:rFonts w:ascii="Arial" w:hAnsi="Arial" w:cs="Arial"/>
          <w:sz w:val="24"/>
          <w:szCs w:val="24"/>
        </w:rPr>
        <w:t>artículo 64, contempla las modalidades para que los asegurados puedan obtener la devolución de los descuentos acumulados en el Fondo de Pensiones</w:t>
      </w:r>
      <w:r>
        <w:rPr>
          <w:rFonts w:ascii="Arial" w:hAnsi="Arial" w:cs="Arial"/>
          <w:sz w:val="24"/>
          <w:szCs w:val="24"/>
        </w:rPr>
        <w:t>,</w:t>
      </w:r>
      <w:r w:rsidRPr="007D6FD4">
        <w:rPr>
          <w:rFonts w:ascii="Arial" w:hAnsi="Arial" w:cs="Arial"/>
          <w:sz w:val="24"/>
          <w:szCs w:val="24"/>
        </w:rPr>
        <w:t xml:space="preserve"> y ello obedece sin duda</w:t>
      </w:r>
      <w:r>
        <w:rPr>
          <w:rFonts w:ascii="Arial" w:hAnsi="Arial" w:cs="Arial"/>
          <w:sz w:val="24"/>
          <w:szCs w:val="24"/>
        </w:rPr>
        <w:t>,</w:t>
      </w:r>
      <w:r w:rsidRPr="007D6FD4">
        <w:rPr>
          <w:rFonts w:ascii="Arial" w:hAnsi="Arial" w:cs="Arial"/>
          <w:sz w:val="24"/>
          <w:szCs w:val="24"/>
        </w:rPr>
        <w:t xml:space="preserve"> a la protección al derecho humano y universal a la seguridad social, por lo que la devolución de que se habla, garantiza otros derechos ligados intrínsecamente al de seguridad social, como es el derecho a la salud, a un vida dig</w:t>
      </w:r>
      <w:r w:rsidR="00111CA2">
        <w:rPr>
          <w:rFonts w:ascii="Arial" w:hAnsi="Arial" w:cs="Arial"/>
          <w:sz w:val="24"/>
          <w:szCs w:val="24"/>
        </w:rPr>
        <w:t>n</w:t>
      </w:r>
      <w:r w:rsidRPr="007D6FD4">
        <w:rPr>
          <w:rFonts w:ascii="Arial" w:hAnsi="Arial" w:cs="Arial"/>
          <w:sz w:val="24"/>
          <w:szCs w:val="24"/>
        </w:rPr>
        <w:t>a etc., pues cuando el trabajador se separe</w:t>
      </w:r>
      <w:r>
        <w:rPr>
          <w:rFonts w:ascii="Arial" w:hAnsi="Arial" w:cs="Arial"/>
          <w:sz w:val="24"/>
          <w:szCs w:val="24"/>
        </w:rPr>
        <w:t>,</w:t>
      </w:r>
      <w:r w:rsidRPr="007D6FD4">
        <w:rPr>
          <w:rFonts w:ascii="Arial" w:hAnsi="Arial" w:cs="Arial"/>
          <w:sz w:val="24"/>
          <w:szCs w:val="24"/>
        </w:rPr>
        <w:t xml:space="preserve"> o sea separado definitivamente del servicio</w:t>
      </w:r>
      <w:r>
        <w:rPr>
          <w:rFonts w:ascii="Arial" w:hAnsi="Arial" w:cs="Arial"/>
          <w:sz w:val="24"/>
          <w:szCs w:val="24"/>
        </w:rPr>
        <w:t>,</w:t>
      </w:r>
      <w:r w:rsidRPr="007D6FD4">
        <w:rPr>
          <w:rFonts w:ascii="Arial" w:hAnsi="Arial" w:cs="Arial"/>
          <w:sz w:val="24"/>
          <w:szCs w:val="24"/>
        </w:rPr>
        <w:t xml:space="preserve"> y no tenga derecho a una pensión, surge el derecho a la devolución de sus aportaciones, las cuáles garantizan que mientras se encuentre en desempleo tenga los recursos necesarios para subsistir, incluso para la subsistencia y manute</w:t>
      </w:r>
      <w:r>
        <w:rPr>
          <w:rFonts w:ascii="Arial" w:hAnsi="Arial" w:cs="Arial"/>
          <w:sz w:val="24"/>
          <w:szCs w:val="24"/>
        </w:rPr>
        <w:t>nción de los que de él dependan</w:t>
      </w:r>
      <w:r w:rsidRPr="007D6FD4">
        <w:rPr>
          <w:rFonts w:ascii="Arial" w:hAnsi="Arial" w:cs="Arial"/>
          <w:sz w:val="24"/>
          <w:szCs w:val="24"/>
        </w:rPr>
        <w:t>.</w:t>
      </w:r>
      <w:r>
        <w:rPr>
          <w:rFonts w:ascii="Arial" w:hAnsi="Arial" w:cs="Arial"/>
          <w:sz w:val="24"/>
          <w:szCs w:val="24"/>
        </w:rPr>
        <w:t xml:space="preserve"> </w:t>
      </w:r>
    </w:p>
    <w:p w14:paraId="2FC513FE" w14:textId="77777777" w:rsidR="00413791" w:rsidRDefault="00413791" w:rsidP="00413791">
      <w:pPr>
        <w:tabs>
          <w:tab w:val="left" w:pos="284"/>
          <w:tab w:val="left" w:pos="567"/>
        </w:tabs>
        <w:spacing w:before="240" w:line="360" w:lineRule="auto"/>
        <w:jc w:val="both"/>
        <w:rPr>
          <w:rFonts w:ascii="Arial" w:hAnsi="Arial" w:cs="Arial"/>
          <w:sz w:val="24"/>
          <w:szCs w:val="24"/>
        </w:rPr>
      </w:pPr>
      <w:r w:rsidRPr="001042B6">
        <w:rPr>
          <w:rFonts w:ascii="Arial" w:hAnsi="Arial" w:cs="Arial"/>
          <w:sz w:val="24"/>
          <w:szCs w:val="24"/>
        </w:rPr>
        <w:tab/>
      </w:r>
      <w:r w:rsidRPr="007D6FD4">
        <w:rPr>
          <w:rFonts w:ascii="Arial" w:hAnsi="Arial" w:cs="Arial"/>
          <w:sz w:val="24"/>
          <w:szCs w:val="24"/>
        </w:rPr>
        <w:t>Por otra parte, la Organización Internacional del Trabajo</w:t>
      </w:r>
      <w:r>
        <w:rPr>
          <w:rFonts w:ascii="Arial" w:hAnsi="Arial" w:cs="Arial"/>
          <w:sz w:val="24"/>
          <w:szCs w:val="24"/>
        </w:rPr>
        <w:t xml:space="preserve"> (OIT),</w:t>
      </w:r>
      <w:r w:rsidRPr="007D6FD4">
        <w:rPr>
          <w:rFonts w:ascii="Arial" w:hAnsi="Arial" w:cs="Arial"/>
          <w:sz w:val="24"/>
          <w:szCs w:val="24"/>
        </w:rPr>
        <w:t xml:space="preserve"> ha considerado que el derecho humano a la seguridad social</w:t>
      </w:r>
      <w:r>
        <w:rPr>
          <w:rFonts w:ascii="Arial" w:hAnsi="Arial" w:cs="Arial"/>
          <w:sz w:val="24"/>
          <w:szCs w:val="24"/>
        </w:rPr>
        <w:t>,</w:t>
      </w:r>
      <w:r w:rsidRPr="007D6FD4">
        <w:rPr>
          <w:rFonts w:ascii="Arial" w:hAnsi="Arial" w:cs="Arial"/>
          <w:sz w:val="24"/>
          <w:szCs w:val="24"/>
        </w:rPr>
        <w:t xml:space="preserve"> es la protección que una sociedad proporciona a los individuos y los hogares</w:t>
      </w:r>
      <w:r>
        <w:rPr>
          <w:rFonts w:ascii="Arial" w:hAnsi="Arial" w:cs="Arial"/>
          <w:sz w:val="24"/>
          <w:szCs w:val="24"/>
        </w:rPr>
        <w:t>,</w:t>
      </w:r>
      <w:r w:rsidRPr="007D6FD4">
        <w:rPr>
          <w:rFonts w:ascii="Arial" w:hAnsi="Arial" w:cs="Arial"/>
          <w:sz w:val="24"/>
          <w:szCs w:val="24"/>
        </w:rPr>
        <w:t xml:space="preserve"> para asegurar el acceso a la asistencia médica y </w:t>
      </w:r>
      <w:r w:rsidRPr="007D6FD4">
        <w:rPr>
          <w:rFonts w:ascii="Arial" w:hAnsi="Arial" w:cs="Arial"/>
          <w:b/>
          <w:sz w:val="24"/>
          <w:szCs w:val="24"/>
        </w:rPr>
        <w:t>garantizar la seguridad al ingreso</w:t>
      </w:r>
      <w:r w:rsidRPr="007D6FD4">
        <w:rPr>
          <w:rFonts w:ascii="Arial" w:hAnsi="Arial" w:cs="Arial"/>
          <w:sz w:val="24"/>
          <w:szCs w:val="24"/>
        </w:rPr>
        <w:t xml:space="preserve">, en particular en caso de vejez, </w:t>
      </w:r>
      <w:r w:rsidRPr="007D6FD4">
        <w:rPr>
          <w:rFonts w:ascii="Arial" w:hAnsi="Arial" w:cs="Arial"/>
          <w:b/>
          <w:sz w:val="24"/>
          <w:szCs w:val="24"/>
        </w:rPr>
        <w:t>desempleo</w:t>
      </w:r>
      <w:r w:rsidRPr="007D6FD4">
        <w:rPr>
          <w:rFonts w:ascii="Arial" w:hAnsi="Arial" w:cs="Arial"/>
          <w:sz w:val="24"/>
          <w:szCs w:val="24"/>
        </w:rPr>
        <w:t xml:space="preserve">, enfermedad, invalidez, accidentes del trabajo, maternidad o pérdida del sostén de familia (Organización Internacional del Trabajo, Hechos Concretos sobre la Seguridad Social. Suiza, Ginebra, OIT, 200, p.1), además, el Comité de Derechos Económicos Sociales y Culturales en su Observación General No. 9, </w:t>
      </w:r>
      <w:r>
        <w:rPr>
          <w:rFonts w:ascii="Arial" w:hAnsi="Arial" w:cs="Arial"/>
          <w:sz w:val="24"/>
          <w:szCs w:val="24"/>
        </w:rPr>
        <w:t>“</w:t>
      </w:r>
      <w:r w:rsidRPr="007D6FD4">
        <w:rPr>
          <w:rFonts w:ascii="Arial" w:hAnsi="Arial" w:cs="Arial"/>
          <w:sz w:val="24"/>
          <w:szCs w:val="24"/>
        </w:rPr>
        <w:t>El Derecho a la Seguridad Social, artículo 9</w:t>
      </w:r>
      <w:r>
        <w:rPr>
          <w:rFonts w:ascii="Arial" w:hAnsi="Arial" w:cs="Arial"/>
          <w:sz w:val="24"/>
          <w:szCs w:val="24"/>
        </w:rPr>
        <w:t>”</w:t>
      </w:r>
      <w:r w:rsidRPr="007D6FD4">
        <w:rPr>
          <w:rFonts w:ascii="Arial" w:hAnsi="Arial" w:cs="Arial"/>
          <w:sz w:val="24"/>
          <w:szCs w:val="24"/>
        </w:rPr>
        <w:t>, comparte el núcleo esencial precis</w:t>
      </w:r>
      <w:r>
        <w:rPr>
          <w:rFonts w:ascii="Arial" w:hAnsi="Arial" w:cs="Arial"/>
          <w:sz w:val="24"/>
          <w:szCs w:val="24"/>
        </w:rPr>
        <w:t>ado por la OIT, y señala que el</w:t>
      </w:r>
      <w:r w:rsidRPr="007D6FD4">
        <w:rPr>
          <w:rFonts w:ascii="Arial" w:hAnsi="Arial" w:cs="Arial"/>
          <w:sz w:val="24"/>
          <w:szCs w:val="24"/>
        </w:rPr>
        <w:t xml:space="preserve"> derecho humano a la seguridad social también</w:t>
      </w:r>
      <w:r>
        <w:rPr>
          <w:rFonts w:ascii="Arial" w:hAnsi="Arial" w:cs="Arial"/>
          <w:sz w:val="24"/>
          <w:szCs w:val="24"/>
        </w:rPr>
        <w:t>,</w:t>
      </w:r>
      <w:r w:rsidRPr="007D6FD4">
        <w:rPr>
          <w:rFonts w:ascii="Arial" w:hAnsi="Arial" w:cs="Arial"/>
          <w:sz w:val="24"/>
          <w:szCs w:val="24"/>
        </w:rPr>
        <w:t xml:space="preserve"> incluye</w:t>
      </w:r>
      <w:r>
        <w:rPr>
          <w:rFonts w:ascii="Arial" w:hAnsi="Arial" w:cs="Arial"/>
          <w:sz w:val="24"/>
          <w:szCs w:val="24"/>
        </w:rPr>
        <w:t xml:space="preserve"> </w:t>
      </w:r>
      <w:r w:rsidRPr="007D6FD4">
        <w:rPr>
          <w:rFonts w:ascii="Arial" w:hAnsi="Arial" w:cs="Arial"/>
          <w:sz w:val="24"/>
          <w:szCs w:val="24"/>
        </w:rPr>
        <w:t xml:space="preserve">el </w:t>
      </w:r>
      <w:r w:rsidRPr="007D6FD4">
        <w:rPr>
          <w:rFonts w:ascii="Arial" w:hAnsi="Arial" w:cs="Arial"/>
          <w:b/>
          <w:sz w:val="24"/>
          <w:szCs w:val="24"/>
        </w:rPr>
        <w:t>derecho a obtener</w:t>
      </w:r>
      <w:r w:rsidRPr="007D6FD4">
        <w:rPr>
          <w:rFonts w:ascii="Arial" w:hAnsi="Arial" w:cs="Arial"/>
          <w:sz w:val="24"/>
          <w:szCs w:val="24"/>
        </w:rPr>
        <w:t xml:space="preserve"> y mantener </w:t>
      </w:r>
      <w:r w:rsidRPr="007D6FD4">
        <w:rPr>
          <w:rFonts w:ascii="Arial" w:hAnsi="Arial" w:cs="Arial"/>
          <w:b/>
          <w:sz w:val="24"/>
          <w:szCs w:val="24"/>
        </w:rPr>
        <w:t>prestaciones sociales</w:t>
      </w:r>
      <w:r w:rsidRPr="007D6FD4">
        <w:rPr>
          <w:rFonts w:ascii="Arial" w:hAnsi="Arial" w:cs="Arial"/>
          <w:sz w:val="24"/>
          <w:szCs w:val="24"/>
        </w:rPr>
        <w:t xml:space="preserve">, ya sea </w:t>
      </w:r>
      <w:r w:rsidRPr="007D6FD4">
        <w:rPr>
          <w:rFonts w:ascii="Arial" w:hAnsi="Arial" w:cs="Arial"/>
          <w:b/>
          <w:sz w:val="24"/>
          <w:szCs w:val="24"/>
        </w:rPr>
        <w:t>en efectivo</w:t>
      </w:r>
      <w:r w:rsidRPr="007D6FD4">
        <w:rPr>
          <w:rFonts w:ascii="Arial" w:hAnsi="Arial" w:cs="Arial"/>
          <w:sz w:val="24"/>
          <w:szCs w:val="24"/>
        </w:rPr>
        <w:t xml:space="preserve"> o en especie, </w:t>
      </w:r>
      <w:r w:rsidRPr="007D6FD4">
        <w:rPr>
          <w:rFonts w:ascii="Arial" w:hAnsi="Arial" w:cs="Arial"/>
          <w:b/>
          <w:sz w:val="24"/>
          <w:szCs w:val="24"/>
        </w:rPr>
        <w:t>sin discriminación</w:t>
      </w:r>
      <w:r w:rsidRPr="007D6FD4">
        <w:rPr>
          <w:rFonts w:ascii="Arial" w:hAnsi="Arial" w:cs="Arial"/>
          <w:sz w:val="24"/>
          <w:szCs w:val="24"/>
        </w:rPr>
        <w:t>, con el fin de obtener protección, en particular, contra: a) la falta de ingresos procedentes del trabajo debido a enfermedad, invalidez, maternidad, accidente laboral, vejez o muerte de un familiar; b) gastos excesivos de atención a la salud; c) apoyo familiar insuficiente, en particular para los hijos y los familiares a cargo (Organización de las Naciones Unidas, Observación General No. 19. El derecho a la seguridad social, artículo 9, Ginebra Suiza, ONU, Consejo Económico y Social, Comité de Derechos Económicos, Sociales y Culturales, 39 periodo de sesiones, 2007, p.2).</w:t>
      </w:r>
      <w:r>
        <w:rPr>
          <w:rFonts w:ascii="Arial" w:hAnsi="Arial" w:cs="Arial"/>
          <w:sz w:val="24"/>
          <w:szCs w:val="24"/>
        </w:rPr>
        <w:t xml:space="preserve"> </w:t>
      </w:r>
      <w:r w:rsidRPr="007D6FD4">
        <w:rPr>
          <w:rFonts w:ascii="Arial" w:hAnsi="Arial" w:cs="Arial"/>
          <w:sz w:val="24"/>
          <w:szCs w:val="24"/>
        </w:rPr>
        <w:t xml:space="preserve">En la legislación Nacional, específicamente en el artículo 123 Apartado B, fracción XI, </w:t>
      </w:r>
      <w:r>
        <w:rPr>
          <w:rFonts w:ascii="Arial" w:hAnsi="Arial" w:cs="Arial"/>
          <w:sz w:val="24"/>
          <w:szCs w:val="24"/>
        </w:rPr>
        <w:t xml:space="preserve">de la Constitución Política de los Estados Unidos Mexicanos, </w:t>
      </w:r>
      <w:r w:rsidRPr="007D6FD4">
        <w:rPr>
          <w:rFonts w:ascii="Arial" w:hAnsi="Arial" w:cs="Arial"/>
          <w:sz w:val="24"/>
          <w:szCs w:val="24"/>
        </w:rPr>
        <w:t>se establecen bases mínimas de la seguridad social, y en ese tenor</w:t>
      </w:r>
      <w:r>
        <w:rPr>
          <w:rFonts w:ascii="Arial" w:hAnsi="Arial" w:cs="Arial"/>
          <w:sz w:val="24"/>
          <w:szCs w:val="24"/>
        </w:rPr>
        <w:t>,</w:t>
      </w:r>
      <w:r w:rsidRPr="007D6FD4">
        <w:rPr>
          <w:rFonts w:ascii="Arial" w:hAnsi="Arial" w:cs="Arial"/>
          <w:sz w:val="24"/>
          <w:szCs w:val="24"/>
        </w:rPr>
        <w:t xml:space="preserve"> resulta indiscutible que </w:t>
      </w:r>
      <w:r w:rsidRPr="007D6FD4">
        <w:rPr>
          <w:rFonts w:ascii="Arial" w:hAnsi="Arial" w:cs="Arial"/>
          <w:sz w:val="24"/>
          <w:szCs w:val="24"/>
        </w:rPr>
        <w:lastRenderedPageBreak/>
        <w:t>el derecho a la seguridad social es un derecho reconocido y protegido tanto por la legislación nacional como la internaciona</w:t>
      </w:r>
      <w:r w:rsidRPr="00AB739D">
        <w:rPr>
          <w:rFonts w:ascii="Arial" w:hAnsi="Arial" w:cs="Arial"/>
          <w:sz w:val="24"/>
          <w:szCs w:val="24"/>
        </w:rPr>
        <w:t>l, que no permite discriminación</w:t>
      </w:r>
      <w:r>
        <w:rPr>
          <w:rFonts w:ascii="Arial" w:hAnsi="Arial" w:cs="Arial"/>
          <w:sz w:val="24"/>
          <w:szCs w:val="24"/>
        </w:rPr>
        <w:t xml:space="preserve"> alguna.</w:t>
      </w:r>
      <w:r w:rsidRPr="001042B6">
        <w:rPr>
          <w:rFonts w:ascii="Arial" w:hAnsi="Arial" w:cs="Arial"/>
          <w:sz w:val="24"/>
          <w:szCs w:val="24"/>
        </w:rPr>
        <w:t xml:space="preserve"> </w:t>
      </w:r>
    </w:p>
    <w:p w14:paraId="369CCF2A" w14:textId="12C7CC1F" w:rsidR="00413791" w:rsidRPr="001042B6" w:rsidRDefault="00413791" w:rsidP="00413791">
      <w:pPr>
        <w:tabs>
          <w:tab w:val="left" w:pos="284"/>
          <w:tab w:val="left" w:pos="567"/>
        </w:tabs>
        <w:spacing w:before="240" w:line="360" w:lineRule="auto"/>
        <w:jc w:val="both"/>
        <w:rPr>
          <w:rFonts w:ascii="Arial" w:hAnsi="Arial" w:cs="Arial"/>
          <w:sz w:val="24"/>
          <w:szCs w:val="24"/>
        </w:rPr>
      </w:pPr>
      <w:r>
        <w:rPr>
          <w:rFonts w:ascii="Arial" w:hAnsi="Arial" w:cs="Arial"/>
          <w:sz w:val="24"/>
          <w:szCs w:val="24"/>
        </w:rPr>
        <w:tab/>
        <w:t xml:space="preserve">Por estas razones, es que esta Juzgadora </w:t>
      </w:r>
      <w:r w:rsidR="00902E2C">
        <w:rPr>
          <w:rFonts w:ascii="Arial" w:hAnsi="Arial" w:cs="Arial"/>
          <w:sz w:val="24"/>
          <w:szCs w:val="24"/>
        </w:rPr>
        <w:t>estima</w:t>
      </w:r>
      <w:r>
        <w:rPr>
          <w:rFonts w:ascii="Arial" w:hAnsi="Arial" w:cs="Arial"/>
          <w:sz w:val="24"/>
          <w:szCs w:val="24"/>
        </w:rPr>
        <w:t xml:space="preserve"> que </w:t>
      </w:r>
      <w:r w:rsidR="00902E2C">
        <w:rPr>
          <w:rFonts w:ascii="Arial" w:hAnsi="Arial" w:cs="Arial"/>
          <w:b/>
          <w:sz w:val="24"/>
          <w:szCs w:val="24"/>
        </w:rPr>
        <w:t>de considerarse</w:t>
      </w:r>
      <w:r w:rsidRPr="001042B6">
        <w:rPr>
          <w:rFonts w:ascii="Arial" w:hAnsi="Arial" w:cs="Arial"/>
          <w:sz w:val="24"/>
          <w:szCs w:val="24"/>
        </w:rPr>
        <w:t xml:space="preserve"> que un trabajador de confianza no tiene derecho a la devolución de sus aportaciones, </w:t>
      </w:r>
      <w:r>
        <w:rPr>
          <w:rFonts w:ascii="Arial" w:hAnsi="Arial" w:cs="Arial"/>
          <w:sz w:val="24"/>
          <w:szCs w:val="24"/>
        </w:rPr>
        <w:t xml:space="preserve">sólo </w:t>
      </w:r>
      <w:r w:rsidRPr="001042B6">
        <w:rPr>
          <w:rFonts w:ascii="Arial" w:hAnsi="Arial" w:cs="Arial"/>
          <w:sz w:val="24"/>
          <w:szCs w:val="24"/>
        </w:rPr>
        <w:t xml:space="preserve">los trabajadores de base, </w:t>
      </w:r>
      <w:r w:rsidR="00902E2C">
        <w:rPr>
          <w:rFonts w:ascii="Arial" w:hAnsi="Arial" w:cs="Arial"/>
          <w:sz w:val="24"/>
          <w:szCs w:val="24"/>
        </w:rPr>
        <w:t>se</w:t>
      </w:r>
      <w:r w:rsidRPr="001042B6">
        <w:rPr>
          <w:rFonts w:ascii="Arial" w:hAnsi="Arial" w:cs="Arial"/>
          <w:sz w:val="24"/>
          <w:szCs w:val="24"/>
        </w:rPr>
        <w:t xml:space="preserve"> deja de observar que aun cuando en la Ley de Pensiones para los Trabajadores del Gobierno del Estado</w:t>
      </w:r>
      <w:r>
        <w:rPr>
          <w:rFonts w:ascii="Arial" w:hAnsi="Arial" w:cs="Arial"/>
          <w:sz w:val="24"/>
          <w:szCs w:val="24"/>
        </w:rPr>
        <w:t>,</w:t>
      </w:r>
      <w:r w:rsidRPr="001042B6">
        <w:rPr>
          <w:rFonts w:ascii="Arial" w:hAnsi="Arial" w:cs="Arial"/>
          <w:sz w:val="24"/>
          <w:szCs w:val="24"/>
        </w:rPr>
        <w:t xml:space="preserve"> no se encuentra plasmado expresamente ese derecho, existen disposiciones constitucionales que forman técnicas sustitutivas para brindar respuesta eficaz a la petición de</w:t>
      </w:r>
      <w:r w:rsidR="00E22DC3">
        <w:rPr>
          <w:rFonts w:ascii="Arial" w:hAnsi="Arial" w:cs="Arial"/>
          <w:sz w:val="24"/>
          <w:szCs w:val="24"/>
        </w:rPr>
        <w:t>l</w:t>
      </w:r>
      <w:r w:rsidR="00242A10">
        <w:rPr>
          <w:rFonts w:ascii="Arial" w:hAnsi="Arial" w:cs="Arial"/>
          <w:sz w:val="24"/>
          <w:szCs w:val="24"/>
        </w:rPr>
        <w:t xml:space="preserve"> </w:t>
      </w:r>
      <w:r w:rsidRPr="001042B6">
        <w:rPr>
          <w:rFonts w:ascii="Arial" w:hAnsi="Arial" w:cs="Arial"/>
          <w:sz w:val="24"/>
          <w:szCs w:val="24"/>
        </w:rPr>
        <w:t>actor, pues es de destacarse</w:t>
      </w:r>
      <w:r>
        <w:rPr>
          <w:rFonts w:ascii="Arial" w:hAnsi="Arial" w:cs="Arial"/>
          <w:sz w:val="24"/>
          <w:szCs w:val="24"/>
        </w:rPr>
        <w:t>,</w:t>
      </w:r>
      <w:r w:rsidRPr="001042B6">
        <w:rPr>
          <w:rFonts w:ascii="Arial" w:hAnsi="Arial" w:cs="Arial"/>
          <w:sz w:val="24"/>
          <w:szCs w:val="24"/>
        </w:rPr>
        <w:t xml:space="preserve"> que las aportaciones reclamadas formaban parte de su salario, y que su deducción se establece con el ánimo de protección y nunca de causarle un perjuicio, aunado a que en la legislación internacional, específicamente en El Protocolo de Reformas a la Carta de la Organización de los Estados Americanos “Protocolo de Buenos Aires”, en su artículo 44</w:t>
      </w:r>
      <w:r>
        <w:rPr>
          <w:rFonts w:ascii="Arial" w:hAnsi="Arial" w:cs="Arial"/>
          <w:sz w:val="24"/>
          <w:szCs w:val="24"/>
        </w:rPr>
        <w:t>, se</w:t>
      </w:r>
      <w:r w:rsidRPr="001042B6">
        <w:rPr>
          <w:rFonts w:ascii="Arial" w:hAnsi="Arial" w:cs="Arial"/>
          <w:sz w:val="24"/>
          <w:szCs w:val="24"/>
        </w:rPr>
        <w:t xml:space="preserve"> establece que los estados miembros</w:t>
      </w:r>
      <w:r>
        <w:rPr>
          <w:rFonts w:ascii="Arial" w:hAnsi="Arial" w:cs="Arial"/>
          <w:sz w:val="24"/>
          <w:szCs w:val="24"/>
        </w:rPr>
        <w:t>,</w:t>
      </w:r>
      <w:r w:rsidRPr="001042B6">
        <w:rPr>
          <w:rFonts w:ascii="Arial" w:hAnsi="Arial" w:cs="Arial"/>
          <w:sz w:val="24"/>
          <w:szCs w:val="24"/>
        </w:rPr>
        <w:t xml:space="preserve"> reconocen que para facilitar el proceso de la integración regional latinoamericana, </w:t>
      </w:r>
      <w:r>
        <w:rPr>
          <w:rFonts w:ascii="Arial" w:hAnsi="Arial" w:cs="Arial"/>
          <w:sz w:val="24"/>
          <w:szCs w:val="24"/>
        </w:rPr>
        <w:t xml:space="preserve">se deberá </w:t>
      </w:r>
      <w:r w:rsidRPr="001042B6">
        <w:rPr>
          <w:rFonts w:ascii="Arial" w:hAnsi="Arial" w:cs="Arial"/>
          <w:sz w:val="24"/>
          <w:szCs w:val="24"/>
        </w:rPr>
        <w:t xml:space="preserve">armonizar la legislación social de los países en desarrollo, especialmente en el campo laboral y de la seguridad social, a fin de que </w:t>
      </w:r>
      <w:r w:rsidRPr="008A3AB2">
        <w:rPr>
          <w:rFonts w:ascii="Arial" w:hAnsi="Arial" w:cs="Arial"/>
          <w:b/>
          <w:sz w:val="24"/>
          <w:szCs w:val="24"/>
        </w:rPr>
        <w:t>los derechos de los trabajadores sean igualmente protegidos</w:t>
      </w:r>
      <w:r w:rsidRPr="001042B6">
        <w:rPr>
          <w:rFonts w:ascii="Arial" w:hAnsi="Arial" w:cs="Arial"/>
          <w:sz w:val="24"/>
          <w:szCs w:val="24"/>
        </w:rPr>
        <w:t xml:space="preserve"> y conviene en realizar los máximos esfuerzos para alcanzar esa finalidad, </w:t>
      </w:r>
      <w:r>
        <w:rPr>
          <w:rFonts w:ascii="Arial" w:hAnsi="Arial" w:cs="Arial"/>
          <w:sz w:val="24"/>
          <w:szCs w:val="24"/>
        </w:rPr>
        <w:t>luego entonces,</w:t>
      </w:r>
      <w:r w:rsidRPr="001042B6">
        <w:rPr>
          <w:rFonts w:ascii="Arial" w:hAnsi="Arial" w:cs="Arial"/>
          <w:sz w:val="24"/>
          <w:szCs w:val="24"/>
        </w:rPr>
        <w:t xml:space="preserve"> </w:t>
      </w:r>
      <w:r w:rsidR="007B38E9">
        <w:rPr>
          <w:rFonts w:ascii="Arial" w:hAnsi="Arial" w:cs="Arial"/>
          <w:sz w:val="24"/>
          <w:szCs w:val="24"/>
        </w:rPr>
        <w:t xml:space="preserve">si bien es cierto, </w:t>
      </w:r>
      <w:r w:rsidRPr="001042B6">
        <w:rPr>
          <w:rFonts w:ascii="Arial" w:hAnsi="Arial" w:cs="Arial"/>
          <w:sz w:val="24"/>
          <w:szCs w:val="24"/>
        </w:rPr>
        <w:t>en la ley de pensiones en vigor, existe el derecho de los trabajadores de base para obtener la devolución de sus aportaciones al fondo de</w:t>
      </w:r>
      <w:r>
        <w:rPr>
          <w:rFonts w:ascii="Arial" w:hAnsi="Arial" w:cs="Arial"/>
          <w:sz w:val="24"/>
          <w:szCs w:val="24"/>
        </w:rPr>
        <w:t xml:space="preserve"> pensiones, cuando aún no cumple</w:t>
      </w:r>
      <w:r w:rsidRPr="001042B6">
        <w:rPr>
          <w:rFonts w:ascii="Arial" w:hAnsi="Arial" w:cs="Arial"/>
          <w:sz w:val="24"/>
          <w:szCs w:val="24"/>
        </w:rPr>
        <w:t xml:space="preserve">n con la antigüedad requerida para la obtención de una pensión (artículo 64 de dicho ordenamiento legal), </w:t>
      </w:r>
      <w:r w:rsidR="007B38E9">
        <w:rPr>
          <w:rFonts w:ascii="Arial" w:hAnsi="Arial" w:cs="Arial"/>
          <w:sz w:val="24"/>
          <w:szCs w:val="24"/>
        </w:rPr>
        <w:t>lo cierto es</w:t>
      </w:r>
      <w:r w:rsidRPr="001042B6">
        <w:rPr>
          <w:rFonts w:ascii="Arial" w:hAnsi="Arial" w:cs="Arial"/>
          <w:sz w:val="24"/>
          <w:szCs w:val="24"/>
        </w:rPr>
        <w:t>,</w:t>
      </w:r>
      <w:r w:rsidR="007B38E9">
        <w:rPr>
          <w:rFonts w:ascii="Arial" w:hAnsi="Arial" w:cs="Arial"/>
          <w:sz w:val="24"/>
          <w:szCs w:val="24"/>
        </w:rPr>
        <w:t xml:space="preserve"> que</w:t>
      </w:r>
      <w:r w:rsidRPr="001042B6">
        <w:rPr>
          <w:rFonts w:ascii="Arial" w:hAnsi="Arial" w:cs="Arial"/>
          <w:sz w:val="24"/>
          <w:szCs w:val="24"/>
        </w:rPr>
        <w:t xml:space="preserve"> ni en dicho artículo, ni en ningún otro de esa Normatividad, existe la prohibición, impedimento o veto, para que los trabajadores de confianza obtengan dicha devolución, </w:t>
      </w:r>
      <w:r>
        <w:rPr>
          <w:rFonts w:ascii="Arial" w:hAnsi="Arial" w:cs="Arial"/>
          <w:sz w:val="24"/>
          <w:szCs w:val="24"/>
        </w:rPr>
        <w:t>pues de ser así</w:t>
      </w:r>
      <w:r w:rsidR="00636647">
        <w:rPr>
          <w:rFonts w:ascii="Arial" w:hAnsi="Arial" w:cs="Arial"/>
          <w:sz w:val="24"/>
          <w:szCs w:val="24"/>
        </w:rPr>
        <w:t>,</w:t>
      </w:r>
      <w:r>
        <w:rPr>
          <w:rFonts w:ascii="Arial" w:hAnsi="Arial" w:cs="Arial"/>
          <w:sz w:val="24"/>
          <w:szCs w:val="24"/>
        </w:rPr>
        <w:t xml:space="preserve"> se les estaría discriminando, </w:t>
      </w:r>
      <w:r w:rsidRPr="001042B6">
        <w:rPr>
          <w:rFonts w:ascii="Arial" w:hAnsi="Arial" w:cs="Arial"/>
          <w:sz w:val="24"/>
          <w:szCs w:val="24"/>
        </w:rPr>
        <w:t xml:space="preserve">consecuentemente, </w:t>
      </w:r>
      <w:r>
        <w:rPr>
          <w:rFonts w:ascii="Arial" w:hAnsi="Arial" w:cs="Arial"/>
          <w:sz w:val="24"/>
          <w:szCs w:val="24"/>
        </w:rPr>
        <w:t xml:space="preserve">ante ese </w:t>
      </w:r>
      <w:r w:rsidRPr="001042B6">
        <w:rPr>
          <w:rFonts w:ascii="Arial" w:hAnsi="Arial" w:cs="Arial"/>
          <w:b/>
          <w:sz w:val="24"/>
          <w:szCs w:val="24"/>
        </w:rPr>
        <w:t>vacío legislativo</w:t>
      </w:r>
      <w:r w:rsidRPr="001042B6">
        <w:rPr>
          <w:rFonts w:ascii="Arial" w:hAnsi="Arial" w:cs="Arial"/>
          <w:sz w:val="24"/>
          <w:szCs w:val="24"/>
        </w:rPr>
        <w:t>, resulta procedente aplica</w:t>
      </w:r>
      <w:r>
        <w:rPr>
          <w:rFonts w:ascii="Arial" w:hAnsi="Arial" w:cs="Arial"/>
          <w:sz w:val="24"/>
          <w:szCs w:val="24"/>
        </w:rPr>
        <w:t xml:space="preserve">r los </w:t>
      </w:r>
      <w:r w:rsidRPr="001042B6">
        <w:rPr>
          <w:rFonts w:ascii="Arial" w:hAnsi="Arial" w:cs="Arial"/>
          <w:sz w:val="24"/>
          <w:szCs w:val="24"/>
        </w:rPr>
        <w:t>Principio</w:t>
      </w:r>
      <w:r>
        <w:rPr>
          <w:rFonts w:ascii="Arial" w:hAnsi="Arial" w:cs="Arial"/>
          <w:sz w:val="24"/>
          <w:szCs w:val="24"/>
        </w:rPr>
        <w:t>s</w:t>
      </w:r>
      <w:r w:rsidRPr="001042B6">
        <w:rPr>
          <w:rFonts w:ascii="Arial" w:hAnsi="Arial" w:cs="Arial"/>
          <w:sz w:val="24"/>
          <w:szCs w:val="24"/>
        </w:rPr>
        <w:t xml:space="preserve"> General</w:t>
      </w:r>
      <w:r>
        <w:rPr>
          <w:rFonts w:ascii="Arial" w:hAnsi="Arial" w:cs="Arial"/>
          <w:sz w:val="24"/>
          <w:szCs w:val="24"/>
        </w:rPr>
        <w:t>es</w:t>
      </w:r>
      <w:r w:rsidRPr="001042B6">
        <w:rPr>
          <w:rFonts w:ascii="Arial" w:hAnsi="Arial" w:cs="Arial"/>
          <w:sz w:val="24"/>
          <w:szCs w:val="24"/>
        </w:rPr>
        <w:t xml:space="preserve"> de Derecho, procura</w:t>
      </w:r>
      <w:r>
        <w:rPr>
          <w:rFonts w:ascii="Arial" w:hAnsi="Arial" w:cs="Arial"/>
          <w:sz w:val="24"/>
          <w:szCs w:val="24"/>
        </w:rPr>
        <w:t>ndo</w:t>
      </w:r>
      <w:r w:rsidRPr="001042B6">
        <w:rPr>
          <w:rFonts w:ascii="Arial" w:hAnsi="Arial" w:cs="Arial"/>
          <w:sz w:val="24"/>
          <w:szCs w:val="24"/>
        </w:rPr>
        <w:t xml:space="preserve"> la protección más amplia de los derechos humanos del gobernado, protección a la que toda autoridad se encuent</w:t>
      </w:r>
      <w:r w:rsidR="00636647">
        <w:rPr>
          <w:rFonts w:ascii="Arial" w:hAnsi="Arial" w:cs="Arial"/>
          <w:sz w:val="24"/>
          <w:szCs w:val="24"/>
        </w:rPr>
        <w:t>ra sujeta</w:t>
      </w:r>
      <w:r w:rsidRPr="001042B6">
        <w:rPr>
          <w:rFonts w:ascii="Arial" w:hAnsi="Arial" w:cs="Arial"/>
          <w:sz w:val="24"/>
          <w:szCs w:val="24"/>
        </w:rPr>
        <w:t xml:space="preserve"> </w:t>
      </w:r>
      <w:r>
        <w:rPr>
          <w:rFonts w:ascii="Arial" w:hAnsi="Arial" w:cs="Arial"/>
          <w:sz w:val="24"/>
          <w:szCs w:val="24"/>
        </w:rPr>
        <w:t>a aplicar</w:t>
      </w:r>
      <w:r w:rsidR="00636647">
        <w:rPr>
          <w:rFonts w:ascii="Arial" w:hAnsi="Arial" w:cs="Arial"/>
          <w:sz w:val="24"/>
          <w:szCs w:val="24"/>
        </w:rPr>
        <w:t>,</w:t>
      </w:r>
      <w:r>
        <w:rPr>
          <w:rFonts w:ascii="Arial" w:hAnsi="Arial" w:cs="Arial"/>
          <w:sz w:val="24"/>
          <w:szCs w:val="24"/>
        </w:rPr>
        <w:t xml:space="preserve"> </w:t>
      </w:r>
      <w:r w:rsidRPr="001042B6">
        <w:rPr>
          <w:rFonts w:ascii="Arial" w:hAnsi="Arial" w:cs="Arial"/>
          <w:sz w:val="24"/>
          <w:szCs w:val="24"/>
        </w:rPr>
        <w:t>como lo prevé el segundo párrafo</w:t>
      </w:r>
      <w:r w:rsidR="00636647">
        <w:rPr>
          <w:rFonts w:ascii="Arial" w:hAnsi="Arial" w:cs="Arial"/>
          <w:sz w:val="24"/>
          <w:szCs w:val="24"/>
        </w:rPr>
        <w:t>,</w:t>
      </w:r>
      <w:r w:rsidRPr="001042B6">
        <w:rPr>
          <w:rFonts w:ascii="Arial" w:hAnsi="Arial" w:cs="Arial"/>
          <w:sz w:val="24"/>
          <w:szCs w:val="24"/>
        </w:rPr>
        <w:t xml:space="preserve"> del artículo 1 de la Constitución Política de los Estados Unidos Mexicanos, luego entonces, la demandada se encuentra constreñida a privilegiar el derecho a la seguridad social de</w:t>
      </w:r>
      <w:r w:rsidR="00242A10">
        <w:rPr>
          <w:rFonts w:ascii="Arial" w:hAnsi="Arial" w:cs="Arial"/>
          <w:sz w:val="24"/>
          <w:szCs w:val="24"/>
        </w:rPr>
        <w:t xml:space="preserve"> </w:t>
      </w:r>
      <w:r w:rsidR="009F3A7F">
        <w:rPr>
          <w:rFonts w:ascii="Arial" w:hAnsi="Arial" w:cs="Arial"/>
          <w:sz w:val="24"/>
          <w:szCs w:val="24"/>
        </w:rPr>
        <w:t>l</w:t>
      </w:r>
      <w:r w:rsidR="00242A10">
        <w:rPr>
          <w:rFonts w:ascii="Arial" w:hAnsi="Arial" w:cs="Arial"/>
          <w:sz w:val="24"/>
          <w:szCs w:val="24"/>
        </w:rPr>
        <w:t>a</w:t>
      </w:r>
      <w:r w:rsidR="009F3A7F">
        <w:rPr>
          <w:rFonts w:ascii="Arial" w:hAnsi="Arial" w:cs="Arial"/>
          <w:sz w:val="24"/>
          <w:szCs w:val="24"/>
        </w:rPr>
        <w:t xml:space="preserve"> </w:t>
      </w:r>
      <w:r w:rsidR="00E22DC3">
        <w:rPr>
          <w:rFonts w:ascii="Arial" w:hAnsi="Arial" w:cs="Arial"/>
          <w:sz w:val="24"/>
          <w:szCs w:val="24"/>
        </w:rPr>
        <w:t xml:space="preserve">parte </w:t>
      </w:r>
      <w:r w:rsidRPr="001042B6">
        <w:rPr>
          <w:rFonts w:ascii="Arial" w:hAnsi="Arial" w:cs="Arial"/>
          <w:sz w:val="24"/>
          <w:szCs w:val="24"/>
        </w:rPr>
        <w:t>actor</w:t>
      </w:r>
      <w:r w:rsidR="00242A10">
        <w:rPr>
          <w:rFonts w:ascii="Arial" w:hAnsi="Arial" w:cs="Arial"/>
          <w:sz w:val="24"/>
          <w:szCs w:val="24"/>
        </w:rPr>
        <w:t>a</w:t>
      </w:r>
      <w:r w:rsidRPr="001042B6">
        <w:rPr>
          <w:rFonts w:ascii="Arial" w:hAnsi="Arial" w:cs="Arial"/>
          <w:sz w:val="24"/>
          <w:szCs w:val="24"/>
        </w:rPr>
        <w:t>.</w:t>
      </w:r>
    </w:p>
    <w:p w14:paraId="38C45A92" w14:textId="346CB741" w:rsidR="00413791" w:rsidRPr="001042B6" w:rsidRDefault="00413791" w:rsidP="00413791">
      <w:pPr>
        <w:tabs>
          <w:tab w:val="left" w:pos="284"/>
          <w:tab w:val="left" w:pos="567"/>
        </w:tabs>
        <w:spacing w:before="240" w:line="360" w:lineRule="auto"/>
        <w:jc w:val="both"/>
        <w:rPr>
          <w:rFonts w:ascii="Arial" w:hAnsi="Arial" w:cs="Arial"/>
          <w:sz w:val="24"/>
          <w:szCs w:val="24"/>
        </w:rPr>
      </w:pPr>
      <w:r w:rsidRPr="001042B6">
        <w:rPr>
          <w:rFonts w:ascii="Arial" w:hAnsi="Arial" w:cs="Arial"/>
          <w:sz w:val="24"/>
          <w:szCs w:val="24"/>
        </w:rPr>
        <w:tab/>
        <w:t xml:space="preserve">A mayor abundamiento, la Suprema Corte de Justicia de la Nación, ha considerado que si bien es cierto el artículo 123 apartado B de la Constitución Política de los Estados Unidos Mexicanos, clasifica a los trabajadores en dos sectores, base y confianza, y que están limitados los derechos de éstos </w:t>
      </w:r>
      <w:r w:rsidRPr="001042B6">
        <w:rPr>
          <w:rFonts w:ascii="Arial" w:hAnsi="Arial" w:cs="Arial"/>
          <w:sz w:val="24"/>
          <w:szCs w:val="24"/>
        </w:rPr>
        <w:lastRenderedPageBreak/>
        <w:t xml:space="preserve">últimos, como el relativo a la estabilidad e inamovilidad del empleo; sin embargo, </w:t>
      </w:r>
      <w:r w:rsidRPr="008A3AB2">
        <w:rPr>
          <w:rFonts w:ascii="Arial" w:hAnsi="Arial" w:cs="Arial"/>
          <w:b/>
          <w:sz w:val="24"/>
          <w:szCs w:val="24"/>
        </w:rPr>
        <w:t>tales limitaciones</w:t>
      </w:r>
      <w:r w:rsidRPr="001042B6">
        <w:rPr>
          <w:rFonts w:ascii="Arial" w:hAnsi="Arial" w:cs="Arial"/>
          <w:sz w:val="24"/>
          <w:szCs w:val="24"/>
        </w:rPr>
        <w:t xml:space="preserve">, son de </w:t>
      </w:r>
      <w:r w:rsidRPr="008A3AB2">
        <w:rPr>
          <w:rFonts w:ascii="Arial" w:hAnsi="Arial" w:cs="Arial"/>
          <w:b/>
          <w:sz w:val="24"/>
          <w:szCs w:val="24"/>
        </w:rPr>
        <w:t>carácter excepcional</w:t>
      </w:r>
      <w:r w:rsidRPr="001042B6">
        <w:rPr>
          <w:rFonts w:ascii="Arial" w:hAnsi="Arial" w:cs="Arial"/>
          <w:sz w:val="24"/>
          <w:szCs w:val="24"/>
        </w:rPr>
        <w:t>, pues los trabajadores de confianza tienen reconocidos sus derechos laborales en la fracción XIV, del citado artículo 123 apartado B, dentro de ellos, a la s</w:t>
      </w:r>
      <w:r w:rsidR="00A16DB7">
        <w:rPr>
          <w:rFonts w:ascii="Arial" w:hAnsi="Arial" w:cs="Arial"/>
          <w:sz w:val="24"/>
          <w:szCs w:val="24"/>
        </w:rPr>
        <w:t xml:space="preserve">eguridad social, </w:t>
      </w:r>
      <w:r>
        <w:rPr>
          <w:rFonts w:ascii="Arial" w:hAnsi="Arial" w:cs="Arial"/>
          <w:sz w:val="24"/>
          <w:szCs w:val="24"/>
        </w:rPr>
        <w:t xml:space="preserve">el no considerarlo así </w:t>
      </w:r>
      <w:r w:rsidRPr="001042B6">
        <w:rPr>
          <w:rFonts w:ascii="Arial" w:hAnsi="Arial" w:cs="Arial"/>
          <w:sz w:val="24"/>
          <w:szCs w:val="24"/>
        </w:rPr>
        <w:t xml:space="preserve">resulta </w:t>
      </w:r>
      <w:r w:rsidRPr="001042B6">
        <w:rPr>
          <w:rFonts w:ascii="Arial" w:hAnsi="Arial" w:cs="Arial"/>
          <w:b/>
          <w:sz w:val="24"/>
          <w:szCs w:val="24"/>
        </w:rPr>
        <w:t>discriminatorio</w:t>
      </w:r>
      <w:r w:rsidRPr="001042B6">
        <w:rPr>
          <w:rFonts w:ascii="Arial" w:hAnsi="Arial" w:cs="Arial"/>
          <w:sz w:val="24"/>
          <w:szCs w:val="24"/>
        </w:rPr>
        <w:t xml:space="preserve"> par</w:t>
      </w:r>
      <w:r w:rsidR="00242A10">
        <w:rPr>
          <w:rFonts w:ascii="Arial" w:hAnsi="Arial" w:cs="Arial"/>
          <w:sz w:val="24"/>
          <w:szCs w:val="24"/>
        </w:rPr>
        <w:t>a los trabajadores de confianza, cuando</w:t>
      </w:r>
      <w:r w:rsidRPr="001042B6">
        <w:rPr>
          <w:rFonts w:ascii="Arial" w:hAnsi="Arial" w:cs="Arial"/>
          <w:sz w:val="24"/>
          <w:szCs w:val="24"/>
        </w:rPr>
        <w:t xml:space="preserve"> el artículo 123 apartado B, fracción XIV, de la Constitución Política de los Estados Unidos Mexicanos, claramente dispone que los trabajadores de confianza gozarán de los beneficios de la seguridad social, por lo que el espíritu de</w:t>
      </w:r>
      <w:r w:rsidR="0043315D">
        <w:rPr>
          <w:rFonts w:ascii="Arial" w:hAnsi="Arial" w:cs="Arial"/>
          <w:sz w:val="24"/>
          <w:szCs w:val="24"/>
        </w:rPr>
        <w:t>l legislador constitucionalista</w:t>
      </w:r>
      <w:r w:rsidRPr="001042B6">
        <w:rPr>
          <w:rFonts w:ascii="Arial" w:hAnsi="Arial" w:cs="Arial"/>
          <w:sz w:val="24"/>
          <w:szCs w:val="24"/>
        </w:rPr>
        <w:t xml:space="preserve"> tiene la intención de no restringir el derecho de los trabajadores de confianza a esa prerrogativa; máxime, que las aportaciones e</w:t>
      </w:r>
      <w:r>
        <w:rPr>
          <w:rFonts w:ascii="Arial" w:hAnsi="Arial" w:cs="Arial"/>
          <w:sz w:val="24"/>
          <w:szCs w:val="24"/>
        </w:rPr>
        <w:t>fectuadas por los trabajadores</w:t>
      </w:r>
      <w:r w:rsidR="00A16DB7">
        <w:rPr>
          <w:rFonts w:ascii="Arial" w:hAnsi="Arial" w:cs="Arial"/>
          <w:sz w:val="24"/>
          <w:szCs w:val="24"/>
        </w:rPr>
        <w:t>,</w:t>
      </w:r>
      <w:r>
        <w:rPr>
          <w:rFonts w:ascii="Arial" w:hAnsi="Arial" w:cs="Arial"/>
          <w:sz w:val="24"/>
          <w:szCs w:val="24"/>
        </w:rPr>
        <w:t xml:space="preserve"> ya sea</w:t>
      </w:r>
      <w:r w:rsidR="00A16DB7">
        <w:rPr>
          <w:rFonts w:ascii="Arial" w:hAnsi="Arial" w:cs="Arial"/>
          <w:sz w:val="24"/>
          <w:szCs w:val="24"/>
        </w:rPr>
        <w:t>n</w:t>
      </w:r>
      <w:r>
        <w:rPr>
          <w:rFonts w:ascii="Arial" w:hAnsi="Arial" w:cs="Arial"/>
          <w:sz w:val="24"/>
          <w:szCs w:val="24"/>
        </w:rPr>
        <w:t xml:space="preserve"> d</w:t>
      </w:r>
      <w:r w:rsidRPr="001042B6">
        <w:rPr>
          <w:rFonts w:ascii="Arial" w:hAnsi="Arial" w:cs="Arial"/>
          <w:sz w:val="24"/>
          <w:szCs w:val="24"/>
        </w:rPr>
        <w:t xml:space="preserve">e base </w:t>
      </w:r>
      <w:r>
        <w:rPr>
          <w:rFonts w:ascii="Arial" w:hAnsi="Arial" w:cs="Arial"/>
          <w:sz w:val="24"/>
          <w:szCs w:val="24"/>
        </w:rPr>
        <w:t>o</w:t>
      </w:r>
      <w:r w:rsidRPr="001042B6">
        <w:rPr>
          <w:rFonts w:ascii="Arial" w:hAnsi="Arial" w:cs="Arial"/>
          <w:sz w:val="24"/>
          <w:szCs w:val="24"/>
        </w:rPr>
        <w:t xml:space="preserve"> confianza, se</w:t>
      </w:r>
      <w:r w:rsidR="0043315D">
        <w:rPr>
          <w:rFonts w:ascii="Arial" w:hAnsi="Arial" w:cs="Arial"/>
          <w:sz w:val="24"/>
          <w:szCs w:val="24"/>
        </w:rPr>
        <w:t xml:space="preserve"> ubican en un plano de igualdad</w:t>
      </w:r>
      <w:r w:rsidRPr="001042B6">
        <w:rPr>
          <w:rFonts w:ascii="Arial" w:hAnsi="Arial" w:cs="Arial"/>
          <w:sz w:val="24"/>
          <w:szCs w:val="24"/>
        </w:rPr>
        <w:t xml:space="preserve"> en relación al porcentaje de descuento que se les efectúa (9%), como lo dispone el artículo 6 fracción II de la Ley de Pensiones para los Trabajadores del Gobierno del Estado de Oaxaca, el cual no hace distinción entre uno y otro, por lo que si ambos erogan en igualdad porcentual una parte de sus percepciones cuando se encuentren en activo al fondo de pensiones, ubicándose en línea recta ambas categorías (base-confianza), no existe razón para que unos tengan el derecho de obtener la devolución y otros no, cuando </w:t>
      </w:r>
      <w:r>
        <w:rPr>
          <w:rFonts w:ascii="Arial" w:hAnsi="Arial" w:cs="Arial"/>
          <w:sz w:val="24"/>
          <w:szCs w:val="24"/>
        </w:rPr>
        <w:t xml:space="preserve">soliciten la devolución de sus aportaciones y </w:t>
      </w:r>
      <w:r w:rsidRPr="001042B6">
        <w:rPr>
          <w:rFonts w:ascii="Arial" w:hAnsi="Arial" w:cs="Arial"/>
          <w:sz w:val="24"/>
          <w:szCs w:val="24"/>
        </w:rPr>
        <w:t xml:space="preserve">no cumplan la antigüedad requerida para la obtención de una pensión. </w:t>
      </w:r>
    </w:p>
    <w:p w14:paraId="5FD3647C" w14:textId="77777777" w:rsidR="00413791" w:rsidRPr="001042B6" w:rsidRDefault="00413791" w:rsidP="00413791">
      <w:pPr>
        <w:tabs>
          <w:tab w:val="left" w:pos="284"/>
          <w:tab w:val="left" w:pos="567"/>
        </w:tabs>
        <w:spacing w:before="240" w:line="360" w:lineRule="auto"/>
        <w:jc w:val="both"/>
        <w:rPr>
          <w:rFonts w:ascii="Arial" w:hAnsi="Arial" w:cs="Arial"/>
          <w:sz w:val="24"/>
          <w:szCs w:val="24"/>
        </w:rPr>
      </w:pPr>
      <w:r w:rsidRPr="001042B6">
        <w:rPr>
          <w:rFonts w:ascii="Arial" w:hAnsi="Arial" w:cs="Arial"/>
          <w:sz w:val="24"/>
          <w:szCs w:val="24"/>
        </w:rPr>
        <w:tab/>
        <w:t>Ahora bien, el artículo 1 reformado de la Constitución Política de los Estados Unidos Mexicanos, dispone:</w:t>
      </w:r>
    </w:p>
    <w:p w14:paraId="4BC2D3E5" w14:textId="77777777" w:rsidR="00413791" w:rsidRPr="001042B6" w:rsidRDefault="00413791" w:rsidP="00413791">
      <w:pPr>
        <w:tabs>
          <w:tab w:val="left" w:pos="284"/>
          <w:tab w:val="left" w:pos="567"/>
        </w:tabs>
        <w:spacing w:before="240" w:line="360" w:lineRule="auto"/>
        <w:jc w:val="both"/>
        <w:rPr>
          <w:rFonts w:ascii="Arial" w:hAnsi="Arial" w:cs="Arial"/>
          <w:i/>
          <w:sz w:val="24"/>
          <w:szCs w:val="24"/>
        </w:rPr>
      </w:pPr>
      <w:r w:rsidRPr="001042B6">
        <w:rPr>
          <w:rFonts w:ascii="Arial" w:hAnsi="Arial" w:cs="Arial"/>
          <w:sz w:val="24"/>
          <w:szCs w:val="24"/>
        </w:rPr>
        <w:tab/>
        <w:t>“</w:t>
      </w:r>
      <w:r w:rsidRPr="001042B6">
        <w:rPr>
          <w:rFonts w:ascii="Arial" w:hAnsi="Arial" w:cs="Arial"/>
          <w:b/>
          <w:i/>
          <w:sz w:val="24"/>
          <w:szCs w:val="24"/>
        </w:rPr>
        <w:t>Artículo 1o.</w:t>
      </w:r>
      <w:r w:rsidRPr="001042B6">
        <w:rPr>
          <w:rFonts w:ascii="Arial" w:hAnsi="Arial" w:cs="Arial"/>
          <w:i/>
          <w:sz w:val="24"/>
          <w:szCs w:val="24"/>
        </w:rPr>
        <w:t xml:space="preserve"> En los Estados Unidos Mexicanos todas las personas gozarán de los derechos humanos reconocidos en esta Constitución y en los tratados internacionales de los que el Estado Mexicano sea parte, así como de las garantías para su protección, cuyo ejercicio no podrá restringirse ni suspenderse, salvo en los casos y bajo las condiciones que esta Constitución establece.</w:t>
      </w:r>
    </w:p>
    <w:p w14:paraId="0C47D2C8" w14:textId="77777777" w:rsidR="00413791" w:rsidRPr="001042B6" w:rsidRDefault="00413791" w:rsidP="00413791">
      <w:pPr>
        <w:tabs>
          <w:tab w:val="left" w:pos="284"/>
          <w:tab w:val="left" w:pos="567"/>
        </w:tabs>
        <w:spacing w:before="240" w:line="360" w:lineRule="auto"/>
        <w:jc w:val="both"/>
        <w:rPr>
          <w:rFonts w:ascii="Arial" w:hAnsi="Arial" w:cs="Arial"/>
          <w:i/>
          <w:sz w:val="24"/>
          <w:szCs w:val="24"/>
        </w:rPr>
      </w:pPr>
      <w:r w:rsidRPr="001042B6">
        <w:rPr>
          <w:rFonts w:ascii="Arial" w:hAnsi="Arial" w:cs="Arial"/>
          <w:i/>
          <w:sz w:val="24"/>
          <w:szCs w:val="24"/>
        </w:rPr>
        <w:t>Las normas relativas a los derechos humanos se interpretarán de conformidad con esta Constitución y con los tratados internacionales de la materia favoreciendo en todo tiempo a las personas la protección más amplia.</w:t>
      </w:r>
    </w:p>
    <w:p w14:paraId="3A6E0D49" w14:textId="77777777" w:rsidR="00413791" w:rsidRPr="001042B6" w:rsidRDefault="00413791" w:rsidP="00413791">
      <w:pPr>
        <w:tabs>
          <w:tab w:val="left" w:pos="284"/>
          <w:tab w:val="left" w:pos="567"/>
        </w:tabs>
        <w:spacing w:before="240" w:line="360" w:lineRule="auto"/>
        <w:jc w:val="both"/>
        <w:rPr>
          <w:rFonts w:ascii="Arial" w:hAnsi="Arial" w:cs="Arial"/>
          <w:i/>
          <w:sz w:val="24"/>
          <w:szCs w:val="24"/>
        </w:rPr>
      </w:pPr>
      <w:r w:rsidRPr="001042B6">
        <w:rPr>
          <w:rFonts w:ascii="Arial" w:hAnsi="Arial" w:cs="Arial"/>
          <w:i/>
          <w:sz w:val="24"/>
          <w:szCs w:val="24"/>
        </w:rPr>
        <w:tab/>
        <w:t>Todas las autoridades, en el ámbito de sus competencias, tienen la obligación de promover, respetar, proteger y garantizar los derechos humanos de conformidad con los principios de universalidad, interdependencia, indivisibilidad y progresividad. En consecuencia, el Estado deberá prevenir, investigar, sancionar y reparar las violaciones a los derechos humanos, en los términos que establezca la ley.</w:t>
      </w:r>
    </w:p>
    <w:p w14:paraId="2B008010" w14:textId="77777777" w:rsidR="00413791" w:rsidRPr="001042B6" w:rsidRDefault="00413791" w:rsidP="00413791">
      <w:pPr>
        <w:tabs>
          <w:tab w:val="left" w:pos="284"/>
          <w:tab w:val="left" w:pos="567"/>
        </w:tabs>
        <w:spacing w:before="240" w:line="360" w:lineRule="auto"/>
        <w:jc w:val="both"/>
        <w:rPr>
          <w:rFonts w:ascii="Arial" w:hAnsi="Arial" w:cs="Arial"/>
          <w:i/>
          <w:sz w:val="24"/>
          <w:szCs w:val="24"/>
        </w:rPr>
      </w:pPr>
      <w:r w:rsidRPr="001042B6">
        <w:rPr>
          <w:rFonts w:ascii="Arial" w:hAnsi="Arial" w:cs="Arial"/>
          <w:i/>
          <w:sz w:val="24"/>
          <w:szCs w:val="24"/>
        </w:rPr>
        <w:lastRenderedPageBreak/>
        <w:tab/>
        <w:t>Está prohibida la esclavitud en los Estados Unidos Mexicanos. Los esclavos del extranjero que entren al territorio nacional alcanzarán, por este solo hecho, su libertad y la protección de las leyes.</w:t>
      </w:r>
    </w:p>
    <w:p w14:paraId="4D3DB7C9" w14:textId="77777777" w:rsidR="00413791" w:rsidRPr="001042B6" w:rsidRDefault="00413791" w:rsidP="00413791">
      <w:pPr>
        <w:tabs>
          <w:tab w:val="left" w:pos="284"/>
          <w:tab w:val="left" w:pos="567"/>
        </w:tabs>
        <w:spacing w:before="240" w:line="360" w:lineRule="auto"/>
        <w:jc w:val="both"/>
        <w:rPr>
          <w:rFonts w:ascii="Arial" w:hAnsi="Arial" w:cs="Arial"/>
          <w:sz w:val="24"/>
          <w:szCs w:val="24"/>
        </w:rPr>
      </w:pPr>
      <w:r w:rsidRPr="001042B6">
        <w:rPr>
          <w:rFonts w:ascii="Arial" w:hAnsi="Arial" w:cs="Arial"/>
          <w:i/>
          <w:sz w:val="24"/>
          <w:szCs w:val="24"/>
        </w:rPr>
        <w:tab/>
        <w:t>Queda prohibida toda discriminación motivada por origen étnico o nacional, el género, la edad, las discapacidades, la condición social, las condiciones de salud, la religión, las opiniones, las preferencias sexuales, el estado civil o cualquier otra que atente contra la dignidad humana y tenga por objeto anular o menoscabar los derechos y libertades de las personas</w:t>
      </w:r>
      <w:r w:rsidRPr="001042B6">
        <w:rPr>
          <w:rFonts w:ascii="Arial" w:hAnsi="Arial" w:cs="Arial"/>
          <w:sz w:val="24"/>
          <w:szCs w:val="24"/>
        </w:rPr>
        <w:t>.”</w:t>
      </w:r>
    </w:p>
    <w:p w14:paraId="53C068EB" w14:textId="77777777" w:rsidR="00413791" w:rsidRPr="001042B6" w:rsidRDefault="00413791" w:rsidP="00413791">
      <w:pPr>
        <w:tabs>
          <w:tab w:val="left" w:pos="284"/>
          <w:tab w:val="left" w:pos="567"/>
        </w:tabs>
        <w:spacing w:before="240" w:line="360" w:lineRule="auto"/>
        <w:jc w:val="both"/>
        <w:rPr>
          <w:rFonts w:ascii="Arial" w:hAnsi="Arial" w:cs="Arial"/>
          <w:sz w:val="24"/>
          <w:szCs w:val="24"/>
        </w:rPr>
      </w:pPr>
      <w:r w:rsidRPr="001042B6">
        <w:rPr>
          <w:rFonts w:ascii="Arial" w:hAnsi="Arial" w:cs="Arial"/>
          <w:sz w:val="24"/>
          <w:szCs w:val="24"/>
        </w:rPr>
        <w:tab/>
        <w:t xml:space="preserve">El más alto Tribunal del País, ha destacado </w:t>
      </w:r>
      <w:proofErr w:type="gramStart"/>
      <w:r w:rsidRPr="001042B6">
        <w:rPr>
          <w:rFonts w:ascii="Arial" w:hAnsi="Arial" w:cs="Arial"/>
          <w:sz w:val="24"/>
          <w:szCs w:val="24"/>
        </w:rPr>
        <w:t>que</w:t>
      </w:r>
      <w:proofErr w:type="gramEnd"/>
      <w:r w:rsidRPr="001042B6">
        <w:rPr>
          <w:rFonts w:ascii="Arial" w:hAnsi="Arial" w:cs="Arial"/>
          <w:sz w:val="24"/>
          <w:szCs w:val="24"/>
        </w:rPr>
        <w:t xml:space="preserve"> en dicho precepto constitucional, se establecen éstos criterios:</w:t>
      </w:r>
    </w:p>
    <w:p w14:paraId="1785E37A" w14:textId="77777777" w:rsidR="00413791" w:rsidRPr="001042B6" w:rsidRDefault="00413791" w:rsidP="00413791">
      <w:pPr>
        <w:tabs>
          <w:tab w:val="left" w:pos="284"/>
          <w:tab w:val="left" w:pos="567"/>
        </w:tabs>
        <w:spacing w:before="240" w:line="360" w:lineRule="auto"/>
        <w:jc w:val="both"/>
        <w:rPr>
          <w:rFonts w:ascii="Arial" w:hAnsi="Arial" w:cs="Arial"/>
          <w:sz w:val="24"/>
          <w:szCs w:val="24"/>
        </w:rPr>
      </w:pPr>
      <w:r w:rsidRPr="001042B6">
        <w:rPr>
          <w:rFonts w:ascii="Arial" w:hAnsi="Arial" w:cs="Arial"/>
          <w:b/>
          <w:sz w:val="24"/>
          <w:szCs w:val="24"/>
        </w:rPr>
        <w:tab/>
        <w:t>1)</w:t>
      </w:r>
      <w:r w:rsidRPr="001042B6">
        <w:rPr>
          <w:rFonts w:ascii="Arial" w:hAnsi="Arial" w:cs="Arial"/>
          <w:sz w:val="24"/>
          <w:szCs w:val="24"/>
        </w:rPr>
        <w:t xml:space="preserve"> Interpretación conforme a la Constitución y a los tratados internacionales en materia de derechos humanos; </w:t>
      </w:r>
    </w:p>
    <w:p w14:paraId="06748C93" w14:textId="77777777" w:rsidR="00413791" w:rsidRPr="001042B6" w:rsidRDefault="00413791" w:rsidP="00413791">
      <w:pPr>
        <w:tabs>
          <w:tab w:val="left" w:pos="284"/>
          <w:tab w:val="left" w:pos="567"/>
        </w:tabs>
        <w:spacing w:before="240" w:line="360" w:lineRule="auto"/>
        <w:jc w:val="both"/>
        <w:rPr>
          <w:rFonts w:ascii="Arial" w:hAnsi="Arial" w:cs="Arial"/>
          <w:sz w:val="24"/>
          <w:szCs w:val="24"/>
        </w:rPr>
      </w:pPr>
      <w:r w:rsidRPr="001042B6">
        <w:rPr>
          <w:rFonts w:ascii="Arial" w:hAnsi="Arial" w:cs="Arial"/>
          <w:b/>
          <w:sz w:val="24"/>
          <w:szCs w:val="24"/>
        </w:rPr>
        <w:tab/>
        <w:t>2)</w:t>
      </w:r>
      <w:r w:rsidRPr="001042B6">
        <w:rPr>
          <w:rFonts w:ascii="Arial" w:hAnsi="Arial" w:cs="Arial"/>
          <w:sz w:val="24"/>
          <w:szCs w:val="24"/>
        </w:rPr>
        <w:t xml:space="preserve"> Interpretación pro homine o más favorable a la persona, de la Constitución y las leyes secundarias; </w:t>
      </w:r>
    </w:p>
    <w:p w14:paraId="4041A14B" w14:textId="77777777" w:rsidR="00413791" w:rsidRPr="001042B6" w:rsidRDefault="00413791" w:rsidP="00413791">
      <w:pPr>
        <w:tabs>
          <w:tab w:val="left" w:pos="284"/>
          <w:tab w:val="left" w:pos="567"/>
        </w:tabs>
        <w:spacing w:before="240" w:line="360" w:lineRule="auto"/>
        <w:jc w:val="both"/>
        <w:rPr>
          <w:rFonts w:ascii="Arial" w:hAnsi="Arial" w:cs="Arial"/>
          <w:sz w:val="24"/>
          <w:szCs w:val="24"/>
        </w:rPr>
      </w:pPr>
      <w:r w:rsidRPr="001042B6">
        <w:rPr>
          <w:rFonts w:ascii="Arial" w:hAnsi="Arial" w:cs="Arial"/>
          <w:b/>
          <w:sz w:val="24"/>
          <w:szCs w:val="24"/>
        </w:rPr>
        <w:tab/>
        <w:t>3)</w:t>
      </w:r>
      <w:r w:rsidRPr="001042B6">
        <w:rPr>
          <w:rFonts w:ascii="Arial" w:hAnsi="Arial" w:cs="Arial"/>
          <w:sz w:val="24"/>
          <w:szCs w:val="24"/>
        </w:rPr>
        <w:t xml:space="preserve"> Interpretación amplia y expansiva de los derechos humanos, acorde con los subprincipios de universalidad, interdependencia, progresividad e indivisibilidad; y,</w:t>
      </w:r>
    </w:p>
    <w:p w14:paraId="30D5956F" w14:textId="77777777" w:rsidR="00413791" w:rsidRPr="001042B6" w:rsidRDefault="00413791" w:rsidP="00413791">
      <w:pPr>
        <w:tabs>
          <w:tab w:val="left" w:pos="284"/>
          <w:tab w:val="left" w:pos="567"/>
        </w:tabs>
        <w:spacing w:before="240" w:line="360" w:lineRule="auto"/>
        <w:jc w:val="both"/>
        <w:rPr>
          <w:rFonts w:ascii="Arial" w:hAnsi="Arial" w:cs="Arial"/>
          <w:sz w:val="24"/>
          <w:szCs w:val="24"/>
        </w:rPr>
      </w:pPr>
      <w:r w:rsidRPr="001042B6">
        <w:rPr>
          <w:rFonts w:ascii="Arial" w:hAnsi="Arial" w:cs="Arial"/>
          <w:b/>
          <w:sz w:val="24"/>
          <w:szCs w:val="24"/>
        </w:rPr>
        <w:tab/>
        <w:t>4)</w:t>
      </w:r>
      <w:r w:rsidRPr="001042B6">
        <w:rPr>
          <w:rFonts w:ascii="Arial" w:hAnsi="Arial" w:cs="Arial"/>
          <w:sz w:val="24"/>
          <w:szCs w:val="24"/>
        </w:rPr>
        <w:t xml:space="preserve"> Obligación de las autoridades de prevenir, investigar, reparar y sancionar las violaciones a los derechos humanos reconocidos por la Constitución o los tratados internacionales de la materia; así como, promover, respetar, proteger y garantizar los derechos humanos que gocen del mismo reconocimiento.</w:t>
      </w:r>
    </w:p>
    <w:p w14:paraId="0CD29F57" w14:textId="77777777" w:rsidR="00413791" w:rsidRPr="001042B6" w:rsidRDefault="00413791" w:rsidP="00413791">
      <w:pPr>
        <w:tabs>
          <w:tab w:val="left" w:pos="284"/>
          <w:tab w:val="left" w:pos="567"/>
        </w:tabs>
        <w:spacing w:before="240" w:line="360" w:lineRule="auto"/>
        <w:jc w:val="both"/>
        <w:rPr>
          <w:rFonts w:ascii="Arial" w:hAnsi="Arial" w:cs="Arial"/>
          <w:sz w:val="24"/>
          <w:szCs w:val="24"/>
        </w:rPr>
      </w:pPr>
      <w:r w:rsidRPr="001042B6">
        <w:rPr>
          <w:rFonts w:ascii="Arial" w:hAnsi="Arial" w:cs="Arial"/>
          <w:sz w:val="24"/>
          <w:szCs w:val="24"/>
        </w:rPr>
        <w:tab/>
        <w:t xml:space="preserve">Por lo que si bien es cierto, los Jueces Ordinarios no pueden hacer una declaración general sobre invalidez o expulsar del ordenamiento jurídico las normas que consideren contrarias a los derechos humanos contenidos en la Constitución y en los tratados, por ser actividad exclusiva de las vías de control directas establecidas en los artículos 103, 105 y 107 Constitucionales, lo cierto es, que existe la facultad de que todas las autoridades ordinarias, </w:t>
      </w:r>
      <w:r w:rsidRPr="001042B6">
        <w:rPr>
          <w:rFonts w:ascii="Arial" w:hAnsi="Arial" w:cs="Arial"/>
          <w:b/>
          <w:sz w:val="24"/>
          <w:szCs w:val="24"/>
        </w:rPr>
        <w:t>dejen de aplicar normas inferiores,</w:t>
      </w:r>
      <w:r w:rsidRPr="001042B6">
        <w:rPr>
          <w:rFonts w:ascii="Arial" w:hAnsi="Arial" w:cs="Arial"/>
          <w:sz w:val="24"/>
          <w:szCs w:val="24"/>
        </w:rPr>
        <w:t xml:space="preserve"> dando preferencia a los contenidos de la Constitución y de los tratados en la materia.</w:t>
      </w:r>
    </w:p>
    <w:p w14:paraId="0737822F" w14:textId="42AA1261" w:rsidR="00413791" w:rsidRPr="001042B6" w:rsidRDefault="00413791" w:rsidP="00331788">
      <w:pPr>
        <w:tabs>
          <w:tab w:val="left" w:pos="284"/>
          <w:tab w:val="left" w:pos="567"/>
        </w:tabs>
        <w:spacing w:before="240" w:line="360" w:lineRule="auto"/>
        <w:jc w:val="both"/>
        <w:rPr>
          <w:rFonts w:ascii="Arial" w:hAnsi="Arial" w:cs="Arial"/>
          <w:sz w:val="24"/>
          <w:szCs w:val="24"/>
        </w:rPr>
      </w:pPr>
      <w:r w:rsidRPr="001042B6">
        <w:rPr>
          <w:rFonts w:ascii="Arial" w:hAnsi="Arial" w:cs="Arial"/>
          <w:sz w:val="24"/>
          <w:szCs w:val="24"/>
        </w:rPr>
        <w:tab/>
        <w:t xml:space="preserve">Consecuentemente, para asegurar la primacía, y aplicación efectiva de los derechos humanos establecidos en la Constitución y en los Tratados Internacionales de los cuáles el Estado Mexicano es parte, en virtud del reformado texto del artículo 1 Constitucional, que impone a todas las autoridades del Estado Mexicano la obligación de respetar, proteger y </w:t>
      </w:r>
      <w:r w:rsidRPr="001042B6">
        <w:rPr>
          <w:rFonts w:ascii="Arial" w:hAnsi="Arial" w:cs="Arial"/>
          <w:sz w:val="24"/>
          <w:szCs w:val="24"/>
        </w:rPr>
        <w:lastRenderedPageBreak/>
        <w:t>garantizar los derechos humanos reconocidos en dichos ordenamientos jurídicos, esta Juzgadora considera jurídicamente procedente</w:t>
      </w:r>
      <w:r>
        <w:rPr>
          <w:rFonts w:ascii="Arial" w:hAnsi="Arial" w:cs="Arial"/>
          <w:sz w:val="24"/>
          <w:szCs w:val="24"/>
        </w:rPr>
        <w:t>,</w:t>
      </w:r>
      <w:r w:rsidRPr="001042B6">
        <w:rPr>
          <w:rFonts w:ascii="Arial" w:hAnsi="Arial" w:cs="Arial"/>
          <w:sz w:val="24"/>
          <w:szCs w:val="24"/>
        </w:rPr>
        <w:t xml:space="preserve"> para la protección del derecho a la seguridad social de</w:t>
      </w:r>
      <w:r w:rsidR="008E24B9">
        <w:rPr>
          <w:rFonts w:ascii="Arial" w:hAnsi="Arial" w:cs="Arial"/>
          <w:sz w:val="24"/>
          <w:szCs w:val="24"/>
        </w:rPr>
        <w:t xml:space="preserve"> </w:t>
      </w:r>
      <w:r w:rsidRPr="001042B6">
        <w:rPr>
          <w:rFonts w:ascii="Arial" w:hAnsi="Arial" w:cs="Arial"/>
          <w:sz w:val="24"/>
          <w:szCs w:val="24"/>
        </w:rPr>
        <w:t>l</w:t>
      </w:r>
      <w:r w:rsidR="008E24B9">
        <w:rPr>
          <w:rFonts w:ascii="Arial" w:hAnsi="Arial" w:cs="Arial"/>
          <w:sz w:val="24"/>
          <w:szCs w:val="24"/>
        </w:rPr>
        <w:t>a</w:t>
      </w:r>
      <w:r w:rsidRPr="001042B6">
        <w:rPr>
          <w:rFonts w:ascii="Arial" w:hAnsi="Arial" w:cs="Arial"/>
          <w:sz w:val="24"/>
          <w:szCs w:val="24"/>
        </w:rPr>
        <w:t xml:space="preserve"> </w:t>
      </w:r>
      <w:r w:rsidR="008978B6">
        <w:rPr>
          <w:rFonts w:ascii="Arial" w:hAnsi="Arial" w:cs="Arial"/>
          <w:sz w:val="24"/>
          <w:szCs w:val="24"/>
        </w:rPr>
        <w:t xml:space="preserve">parte </w:t>
      </w:r>
      <w:r w:rsidRPr="001042B6">
        <w:rPr>
          <w:rFonts w:ascii="Arial" w:hAnsi="Arial" w:cs="Arial"/>
          <w:sz w:val="24"/>
          <w:szCs w:val="24"/>
        </w:rPr>
        <w:t>actor</w:t>
      </w:r>
      <w:r w:rsidR="008E24B9">
        <w:rPr>
          <w:rFonts w:ascii="Arial" w:hAnsi="Arial" w:cs="Arial"/>
          <w:sz w:val="24"/>
          <w:szCs w:val="24"/>
        </w:rPr>
        <w:t>a</w:t>
      </w:r>
      <w:r w:rsidRPr="001042B6">
        <w:rPr>
          <w:rFonts w:ascii="Arial" w:hAnsi="Arial" w:cs="Arial"/>
          <w:sz w:val="24"/>
          <w:szCs w:val="24"/>
        </w:rPr>
        <w:t>, dispuesto en el artículo 123, Apartado B, fracción XI, de la Ley Suprema, el cual encuentra eco en la legislación internacional</w:t>
      </w:r>
      <w:r>
        <w:rPr>
          <w:rFonts w:ascii="Arial" w:hAnsi="Arial" w:cs="Arial"/>
          <w:sz w:val="24"/>
          <w:szCs w:val="24"/>
        </w:rPr>
        <w:t xml:space="preserve"> ya referida y en específico en </w:t>
      </w:r>
      <w:r w:rsidRPr="001042B6">
        <w:rPr>
          <w:rFonts w:ascii="Arial" w:hAnsi="Arial" w:cs="Arial"/>
          <w:sz w:val="24"/>
          <w:szCs w:val="24"/>
        </w:rPr>
        <w:t xml:space="preserve">el Pacto Internacional de los Derechos Económicos, Sociales y Culturales, que en su artículo 9, contempla ese derecho humano a la seguridad social, pacto del cual México es parte a partir del día doce de mayo de mil novecientos ochenta y uno (12/05/1981), </w:t>
      </w:r>
      <w:r w:rsidRPr="001042B6">
        <w:rPr>
          <w:rFonts w:ascii="Arial" w:hAnsi="Arial" w:cs="Arial"/>
          <w:b/>
          <w:sz w:val="24"/>
          <w:szCs w:val="24"/>
        </w:rPr>
        <w:t xml:space="preserve">INAPLICAR </w:t>
      </w:r>
      <w:r>
        <w:rPr>
          <w:rFonts w:ascii="Arial" w:hAnsi="Arial" w:cs="Arial"/>
          <w:b/>
          <w:sz w:val="24"/>
          <w:szCs w:val="24"/>
        </w:rPr>
        <w:t xml:space="preserve">los artículos 63 y </w:t>
      </w:r>
      <w:r w:rsidRPr="00D707F6">
        <w:rPr>
          <w:rFonts w:ascii="Arial" w:hAnsi="Arial" w:cs="Arial"/>
          <w:b/>
          <w:sz w:val="24"/>
          <w:szCs w:val="24"/>
        </w:rPr>
        <w:t>64,</w:t>
      </w:r>
      <w:r w:rsidR="008E24B9">
        <w:rPr>
          <w:rFonts w:ascii="Arial" w:hAnsi="Arial" w:cs="Arial"/>
          <w:sz w:val="24"/>
          <w:szCs w:val="24"/>
        </w:rPr>
        <w:t xml:space="preserve"> ambos</w:t>
      </w:r>
      <w:r w:rsidRPr="001042B6">
        <w:rPr>
          <w:rFonts w:ascii="Arial" w:hAnsi="Arial" w:cs="Arial"/>
          <w:sz w:val="24"/>
          <w:szCs w:val="24"/>
        </w:rPr>
        <w:t xml:space="preserve"> de la Ley de Pensiones para los Trabajadores del Gobierno del Estado, por </w:t>
      </w:r>
      <w:r>
        <w:rPr>
          <w:rFonts w:ascii="Arial" w:hAnsi="Arial" w:cs="Arial"/>
          <w:sz w:val="24"/>
          <w:szCs w:val="24"/>
        </w:rPr>
        <w:t xml:space="preserve">las consideraciones antes esgrimidas, </w:t>
      </w:r>
      <w:r w:rsidR="008E24B9">
        <w:rPr>
          <w:rFonts w:ascii="Arial" w:hAnsi="Arial" w:cs="Arial"/>
          <w:sz w:val="24"/>
          <w:szCs w:val="24"/>
        </w:rPr>
        <w:t xml:space="preserve">pues en el caso particular de </w:t>
      </w:r>
      <w:r w:rsidR="00B56F8A">
        <w:rPr>
          <w:rFonts w:ascii="Arial" w:hAnsi="Arial" w:cs="Arial"/>
          <w:sz w:val="24"/>
          <w:szCs w:val="24"/>
        </w:rPr>
        <w:t>***** ***** ***** *****</w:t>
      </w:r>
      <w:r w:rsidRPr="001042B6">
        <w:rPr>
          <w:rFonts w:ascii="Arial" w:hAnsi="Arial" w:cs="Arial"/>
          <w:sz w:val="24"/>
          <w:szCs w:val="24"/>
        </w:rPr>
        <w:t>, debe obtener la devolución de las aportaciones que efectuó al Fondo de Pensiones</w:t>
      </w:r>
      <w:r w:rsidR="004A7834">
        <w:rPr>
          <w:rFonts w:ascii="Arial" w:hAnsi="Arial" w:cs="Arial"/>
          <w:sz w:val="24"/>
          <w:szCs w:val="24"/>
        </w:rPr>
        <w:t xml:space="preserve"> establecidas en el cuadro de aportaciones antes plasmado, </w:t>
      </w:r>
      <w:r w:rsidR="004A7834" w:rsidRPr="00B270D2">
        <w:rPr>
          <w:rFonts w:ascii="Arial" w:hAnsi="Arial" w:cs="Arial"/>
          <w:sz w:val="24"/>
          <w:szCs w:val="24"/>
        </w:rPr>
        <w:t>con excepción del 5,</w:t>
      </w:r>
      <w:r w:rsidR="00FD3E0F" w:rsidRPr="00B270D2">
        <w:rPr>
          <w:rFonts w:ascii="Arial" w:hAnsi="Arial" w:cs="Arial"/>
          <w:sz w:val="24"/>
          <w:szCs w:val="24"/>
        </w:rPr>
        <w:t xml:space="preserve"> pues este ya fue devuelvo</w:t>
      </w:r>
      <w:r w:rsidRPr="00B270D2">
        <w:rPr>
          <w:rFonts w:ascii="Arial" w:hAnsi="Arial" w:cs="Arial"/>
          <w:sz w:val="24"/>
          <w:szCs w:val="24"/>
        </w:rPr>
        <w:t xml:space="preserve">; consecuentemente, se declara la </w:t>
      </w:r>
      <w:r w:rsidRPr="00B270D2">
        <w:rPr>
          <w:rFonts w:ascii="Arial" w:hAnsi="Arial" w:cs="Arial"/>
          <w:b/>
          <w:sz w:val="24"/>
          <w:szCs w:val="24"/>
        </w:rPr>
        <w:t>NULIDAD</w:t>
      </w:r>
      <w:r w:rsidR="00FD3E0F" w:rsidRPr="00B270D2">
        <w:rPr>
          <w:rFonts w:ascii="Arial" w:hAnsi="Arial" w:cs="Arial"/>
          <w:sz w:val="24"/>
          <w:szCs w:val="24"/>
        </w:rPr>
        <w:t xml:space="preserve"> de la resolución negativa ficta </w:t>
      </w:r>
      <w:r w:rsidR="00331788" w:rsidRPr="00B270D2">
        <w:rPr>
          <w:rFonts w:ascii="Arial" w:hAnsi="Arial" w:cs="Arial"/>
          <w:sz w:val="24"/>
          <w:szCs w:val="24"/>
        </w:rPr>
        <w:t>recaída</w:t>
      </w:r>
      <w:r w:rsidR="00FD3E0F" w:rsidRPr="00B270D2">
        <w:rPr>
          <w:rFonts w:ascii="Arial" w:hAnsi="Arial" w:cs="Arial"/>
          <w:sz w:val="24"/>
          <w:szCs w:val="24"/>
        </w:rPr>
        <w:t xml:space="preserve"> al escrito presentado </w:t>
      </w:r>
      <w:proofErr w:type="spellStart"/>
      <w:r w:rsidR="00FD3E0F" w:rsidRPr="00B270D2">
        <w:rPr>
          <w:rFonts w:ascii="Arial" w:hAnsi="Arial" w:cs="Arial"/>
          <w:sz w:val="24"/>
          <w:szCs w:val="24"/>
        </w:rPr>
        <w:t>pro</w:t>
      </w:r>
      <w:proofErr w:type="spellEnd"/>
      <w:r w:rsidR="00FD3E0F" w:rsidRPr="00B270D2">
        <w:rPr>
          <w:rFonts w:ascii="Arial" w:hAnsi="Arial" w:cs="Arial"/>
          <w:sz w:val="24"/>
          <w:szCs w:val="24"/>
        </w:rPr>
        <w:t xml:space="preserve"> el actor el día </w:t>
      </w:r>
      <w:r w:rsidR="00B56F8A">
        <w:rPr>
          <w:rFonts w:ascii="Arial" w:hAnsi="Arial" w:cs="Arial"/>
          <w:sz w:val="24"/>
          <w:szCs w:val="24"/>
        </w:rPr>
        <w:t>***** de ***** de dos mil veinte (**/**/2020)</w:t>
      </w:r>
      <w:r w:rsidR="00FD3E0F" w:rsidRPr="00B270D2">
        <w:rPr>
          <w:rFonts w:ascii="Arial" w:hAnsi="Arial" w:cs="Arial"/>
          <w:sz w:val="24"/>
          <w:szCs w:val="24"/>
        </w:rPr>
        <w:t xml:space="preserve">, </w:t>
      </w:r>
      <w:r w:rsidR="00331788" w:rsidRPr="00B270D2">
        <w:rPr>
          <w:rFonts w:ascii="Arial" w:hAnsi="Arial" w:cs="Arial"/>
          <w:sz w:val="24"/>
          <w:szCs w:val="24"/>
        </w:rPr>
        <w:t>en el Departamento de Prestaciones</w:t>
      </w:r>
      <w:r w:rsidR="00331788">
        <w:rPr>
          <w:rFonts w:ascii="Arial" w:hAnsi="Arial" w:cs="Arial"/>
          <w:sz w:val="24"/>
          <w:szCs w:val="24"/>
        </w:rPr>
        <w:t xml:space="preserve"> Económicas, de la Dirección General de Pensiones del Gobierno del Estado de Oaxaca; </w:t>
      </w:r>
      <w:r w:rsidRPr="001042B6">
        <w:rPr>
          <w:rFonts w:ascii="Arial" w:hAnsi="Arial" w:cs="Arial"/>
          <w:sz w:val="24"/>
          <w:szCs w:val="24"/>
        </w:rPr>
        <w:t xml:space="preserve">para el </w:t>
      </w:r>
      <w:r w:rsidRPr="001042B6">
        <w:rPr>
          <w:rFonts w:ascii="Arial" w:hAnsi="Arial" w:cs="Arial"/>
          <w:b/>
          <w:sz w:val="24"/>
          <w:szCs w:val="24"/>
        </w:rPr>
        <w:t>EFECTO</w:t>
      </w:r>
      <w:r w:rsidRPr="001042B6">
        <w:rPr>
          <w:rFonts w:ascii="Arial" w:hAnsi="Arial" w:cs="Arial"/>
          <w:sz w:val="24"/>
          <w:szCs w:val="24"/>
        </w:rPr>
        <w:t xml:space="preserve"> de que la autoridad demandada</w:t>
      </w:r>
      <w:r w:rsidR="007173F1">
        <w:rPr>
          <w:rFonts w:ascii="Arial" w:hAnsi="Arial" w:cs="Arial"/>
          <w:sz w:val="24"/>
          <w:szCs w:val="24"/>
        </w:rPr>
        <w:t>,</w:t>
      </w:r>
      <w:r w:rsidRPr="001042B6">
        <w:rPr>
          <w:rFonts w:ascii="Arial" w:hAnsi="Arial" w:cs="Arial"/>
          <w:sz w:val="24"/>
          <w:szCs w:val="24"/>
        </w:rPr>
        <w:t xml:space="preserve"> dev</w:t>
      </w:r>
      <w:r w:rsidR="002832C5">
        <w:rPr>
          <w:rFonts w:ascii="Arial" w:hAnsi="Arial" w:cs="Arial"/>
          <w:sz w:val="24"/>
          <w:szCs w:val="24"/>
        </w:rPr>
        <w:t>uelva</w:t>
      </w:r>
      <w:r w:rsidRPr="001042B6">
        <w:rPr>
          <w:rFonts w:ascii="Arial" w:hAnsi="Arial" w:cs="Arial"/>
          <w:sz w:val="24"/>
          <w:szCs w:val="24"/>
        </w:rPr>
        <w:t xml:space="preserve"> las aportaciones al fond</w:t>
      </w:r>
      <w:r w:rsidR="007173F1">
        <w:rPr>
          <w:rFonts w:ascii="Arial" w:hAnsi="Arial" w:cs="Arial"/>
          <w:sz w:val="24"/>
          <w:szCs w:val="24"/>
        </w:rPr>
        <w:t xml:space="preserve">o de pensiones solicitadas por </w:t>
      </w:r>
      <w:r w:rsidRPr="001042B6">
        <w:rPr>
          <w:rFonts w:ascii="Arial" w:hAnsi="Arial" w:cs="Arial"/>
          <w:sz w:val="24"/>
          <w:szCs w:val="24"/>
        </w:rPr>
        <w:t>l</w:t>
      </w:r>
      <w:r w:rsidR="007173F1">
        <w:rPr>
          <w:rFonts w:ascii="Arial" w:hAnsi="Arial" w:cs="Arial"/>
          <w:sz w:val="24"/>
          <w:szCs w:val="24"/>
        </w:rPr>
        <w:t>a</w:t>
      </w:r>
      <w:r w:rsidR="00F1262C">
        <w:rPr>
          <w:rFonts w:ascii="Arial" w:hAnsi="Arial" w:cs="Arial"/>
          <w:sz w:val="24"/>
          <w:szCs w:val="24"/>
        </w:rPr>
        <w:t xml:space="preserve"> parte</w:t>
      </w:r>
      <w:r w:rsidR="00F1262C" w:rsidRPr="001042B6">
        <w:rPr>
          <w:rFonts w:ascii="Arial" w:hAnsi="Arial" w:cs="Arial"/>
          <w:sz w:val="24"/>
          <w:szCs w:val="24"/>
        </w:rPr>
        <w:t xml:space="preserve"> </w:t>
      </w:r>
      <w:r w:rsidRPr="001042B6">
        <w:rPr>
          <w:rFonts w:ascii="Arial" w:hAnsi="Arial" w:cs="Arial"/>
          <w:sz w:val="24"/>
          <w:szCs w:val="24"/>
        </w:rPr>
        <w:t>actor</w:t>
      </w:r>
      <w:r w:rsidR="007173F1">
        <w:rPr>
          <w:rFonts w:ascii="Arial" w:hAnsi="Arial" w:cs="Arial"/>
          <w:sz w:val="24"/>
          <w:szCs w:val="24"/>
        </w:rPr>
        <w:t>a</w:t>
      </w:r>
      <w:r w:rsidRPr="001042B6">
        <w:rPr>
          <w:rFonts w:ascii="Arial" w:hAnsi="Arial" w:cs="Arial"/>
          <w:sz w:val="24"/>
          <w:szCs w:val="24"/>
        </w:rPr>
        <w:t xml:space="preserve">, lo anterior de conformidad con lo dispuesto en los artículos 207, 208, y 209 </w:t>
      </w:r>
      <w:r w:rsidR="0043315D">
        <w:rPr>
          <w:rFonts w:ascii="Arial" w:hAnsi="Arial" w:cs="Arial"/>
          <w:sz w:val="24"/>
          <w:szCs w:val="24"/>
        </w:rPr>
        <w:t xml:space="preserve">todos </w:t>
      </w:r>
      <w:r w:rsidRPr="001042B6">
        <w:rPr>
          <w:rFonts w:ascii="Arial" w:hAnsi="Arial" w:cs="Arial"/>
          <w:sz w:val="24"/>
          <w:szCs w:val="24"/>
        </w:rPr>
        <w:t xml:space="preserve">de la Ley de Procedimiento y Justicia Administrativa para el Estado de Oaxaca. </w:t>
      </w:r>
    </w:p>
    <w:p w14:paraId="7789F3AD" w14:textId="77777777" w:rsidR="00413791" w:rsidRPr="001042B6" w:rsidRDefault="00413791" w:rsidP="00413791">
      <w:pPr>
        <w:tabs>
          <w:tab w:val="left" w:pos="284"/>
          <w:tab w:val="left" w:pos="567"/>
        </w:tabs>
        <w:spacing w:before="240" w:line="360" w:lineRule="auto"/>
        <w:jc w:val="both"/>
        <w:rPr>
          <w:rFonts w:ascii="Arial" w:hAnsi="Arial" w:cs="Arial"/>
          <w:sz w:val="24"/>
          <w:szCs w:val="24"/>
        </w:rPr>
      </w:pPr>
      <w:r w:rsidRPr="001042B6">
        <w:rPr>
          <w:rFonts w:ascii="Arial" w:hAnsi="Arial" w:cs="Arial"/>
          <w:sz w:val="24"/>
          <w:szCs w:val="24"/>
        </w:rPr>
        <w:tab/>
        <w:t xml:space="preserve">Sirven de apoyo a lo anterior, las Jurisprudencias sustentadas por la Suprema Corte de Justicia de la Nación, con datos de identificación: </w:t>
      </w:r>
    </w:p>
    <w:p w14:paraId="0256334E" w14:textId="77777777" w:rsidR="00413791" w:rsidRPr="001042B6" w:rsidRDefault="00413791" w:rsidP="00413791">
      <w:pPr>
        <w:tabs>
          <w:tab w:val="left" w:pos="284"/>
          <w:tab w:val="left" w:pos="567"/>
        </w:tabs>
        <w:spacing w:before="240" w:line="360" w:lineRule="auto"/>
        <w:jc w:val="both"/>
        <w:rPr>
          <w:rFonts w:ascii="Arial" w:hAnsi="Arial" w:cs="Arial"/>
          <w:sz w:val="24"/>
          <w:szCs w:val="24"/>
        </w:rPr>
      </w:pPr>
      <w:r w:rsidRPr="001042B6">
        <w:rPr>
          <w:rFonts w:ascii="Arial" w:hAnsi="Arial" w:cs="Arial"/>
          <w:sz w:val="24"/>
          <w:szCs w:val="24"/>
        </w:rPr>
        <w:tab/>
        <w:t xml:space="preserve">(Por analogía) Semanario Judicial de la Federación y su Gaceta, Tomo XXX, </w:t>
      </w:r>
      <w:proofErr w:type="gramStart"/>
      <w:r w:rsidRPr="001042B6">
        <w:rPr>
          <w:rFonts w:ascii="Arial" w:hAnsi="Arial" w:cs="Arial"/>
          <w:sz w:val="24"/>
          <w:szCs w:val="24"/>
        </w:rPr>
        <w:t>Noviembre</w:t>
      </w:r>
      <w:proofErr w:type="gramEnd"/>
      <w:r w:rsidRPr="001042B6">
        <w:rPr>
          <w:rFonts w:ascii="Arial" w:hAnsi="Arial" w:cs="Arial"/>
          <w:sz w:val="24"/>
          <w:szCs w:val="24"/>
        </w:rPr>
        <w:t xml:space="preserve"> de 2009, Novena Época, PÁG. 15, registro número 165969, Jurisprudencia Constitucional, Laboral, Pleno, y de rubro: “</w:t>
      </w:r>
      <w:r w:rsidRPr="001042B6">
        <w:rPr>
          <w:rFonts w:ascii="Arial" w:hAnsi="Arial" w:cs="Arial"/>
          <w:i/>
          <w:sz w:val="24"/>
          <w:szCs w:val="24"/>
        </w:rPr>
        <w:t>ISSSTE. EL ARTÍCULO 251 DE LA LEY RELATIVA, AL ESTABLECER UN PLAZO DE DIEZ AÑOS PARA LA PRESCRIPCIÓN DEL DERECHO A RECIBIR LOS RECURSOS DE LA CUENTA INDIVIDUAL DEL TRABAJADOR SIN PRECISAR EL MOMENTO DE SU INICIO, ES VIOLATORIO DE LAS GARANTÍAS DE SEGURIDAD Y CERTEZA JURÍDICA Y SEGURIDAD SOCIAL (LEGISLACIÓN</w:t>
      </w:r>
      <w:r>
        <w:rPr>
          <w:rFonts w:ascii="Arial" w:hAnsi="Arial" w:cs="Arial"/>
          <w:i/>
          <w:sz w:val="24"/>
          <w:szCs w:val="24"/>
        </w:rPr>
        <w:t xml:space="preserve"> </w:t>
      </w:r>
      <w:r w:rsidRPr="001042B6">
        <w:rPr>
          <w:rFonts w:ascii="Arial" w:hAnsi="Arial" w:cs="Arial"/>
          <w:i/>
          <w:sz w:val="24"/>
          <w:szCs w:val="24"/>
        </w:rPr>
        <w:t>VIGENTE A PARTIR DEL 1o. DE ABRIL DE 2007)</w:t>
      </w:r>
      <w:r w:rsidRPr="001042B6">
        <w:rPr>
          <w:rFonts w:ascii="Arial" w:hAnsi="Arial" w:cs="Arial"/>
          <w:sz w:val="24"/>
          <w:szCs w:val="24"/>
        </w:rPr>
        <w:t>.”;</w:t>
      </w:r>
    </w:p>
    <w:p w14:paraId="3FFAE9C3" w14:textId="77777777" w:rsidR="00413791" w:rsidRPr="001042B6" w:rsidRDefault="00413791" w:rsidP="00413791">
      <w:pPr>
        <w:tabs>
          <w:tab w:val="left" w:pos="284"/>
          <w:tab w:val="left" w:pos="567"/>
        </w:tabs>
        <w:spacing w:before="240" w:line="360" w:lineRule="auto"/>
        <w:jc w:val="both"/>
        <w:rPr>
          <w:rFonts w:ascii="Arial" w:hAnsi="Arial" w:cs="Arial"/>
          <w:sz w:val="24"/>
          <w:szCs w:val="24"/>
        </w:rPr>
      </w:pPr>
      <w:r w:rsidRPr="001042B6">
        <w:rPr>
          <w:rFonts w:ascii="Arial" w:hAnsi="Arial" w:cs="Arial"/>
          <w:sz w:val="24"/>
          <w:szCs w:val="24"/>
        </w:rPr>
        <w:tab/>
        <w:t>Tomo I, Constitucional 3. Derechos Fundamentales, Primera Parte-SCJN, Vigésima Segunda, Sección- Derechos laborales, Novena Época, pág. 2169, registro 1012200, Segunda Sala, y de rubro: “</w:t>
      </w:r>
      <w:r w:rsidRPr="001042B6">
        <w:rPr>
          <w:rFonts w:ascii="Arial" w:hAnsi="Arial" w:cs="Arial"/>
          <w:i/>
          <w:sz w:val="24"/>
          <w:szCs w:val="24"/>
        </w:rPr>
        <w:t xml:space="preserve">TRABAJADORES DE CONFIANZA AL SERVICIO DEL ESTADO. AUNQUE NO GOZAN DEL </w:t>
      </w:r>
      <w:r w:rsidRPr="001042B6">
        <w:rPr>
          <w:rFonts w:ascii="Arial" w:hAnsi="Arial" w:cs="Arial"/>
          <w:i/>
          <w:sz w:val="24"/>
          <w:szCs w:val="24"/>
        </w:rPr>
        <w:lastRenderedPageBreak/>
        <w:t>DERECHO A LA ESTABILIDAD EN EL EMPLEO, EL ARTÍCULO 123, APARTADO B, FRACCIÓN XIV, DE LA CONSTITUCIÓN POLÍTICA DE LOS ESTADOS UNIDOS MEXICANOS, LES OTORGA DERECHOS DE PROTECCIÓN AL SALARIO Y DE SEGURIDAD SOCIAL</w:t>
      </w:r>
      <w:r w:rsidRPr="001042B6">
        <w:rPr>
          <w:rFonts w:ascii="Arial" w:hAnsi="Arial" w:cs="Arial"/>
          <w:sz w:val="24"/>
          <w:szCs w:val="24"/>
        </w:rPr>
        <w:t xml:space="preserve">.” </w:t>
      </w:r>
    </w:p>
    <w:p w14:paraId="17E6C10D" w14:textId="77777777" w:rsidR="00413791" w:rsidRPr="001042B6" w:rsidRDefault="00413791" w:rsidP="00413791">
      <w:pPr>
        <w:tabs>
          <w:tab w:val="left" w:pos="284"/>
          <w:tab w:val="left" w:pos="567"/>
        </w:tabs>
        <w:spacing w:before="240" w:line="360" w:lineRule="auto"/>
        <w:jc w:val="both"/>
        <w:rPr>
          <w:rFonts w:ascii="Arial" w:hAnsi="Arial" w:cs="Arial"/>
          <w:sz w:val="24"/>
          <w:szCs w:val="24"/>
        </w:rPr>
      </w:pPr>
      <w:r w:rsidRPr="001042B6">
        <w:rPr>
          <w:rFonts w:ascii="Arial" w:hAnsi="Arial" w:cs="Arial"/>
          <w:sz w:val="24"/>
          <w:szCs w:val="24"/>
        </w:rPr>
        <w:tab/>
        <w:t xml:space="preserve">Así también, la Tesis con datos de identificación: Gaceta del Semanario Judicial de la Federación, Libro I, </w:t>
      </w:r>
      <w:proofErr w:type="gramStart"/>
      <w:r w:rsidRPr="001042B6">
        <w:rPr>
          <w:rFonts w:ascii="Arial" w:hAnsi="Arial" w:cs="Arial"/>
          <w:sz w:val="24"/>
          <w:szCs w:val="24"/>
        </w:rPr>
        <w:t>Diciembre</w:t>
      </w:r>
      <w:proofErr w:type="gramEnd"/>
      <w:r w:rsidRPr="001042B6">
        <w:rPr>
          <w:rFonts w:ascii="Arial" w:hAnsi="Arial" w:cs="Arial"/>
          <w:sz w:val="24"/>
          <w:szCs w:val="24"/>
        </w:rPr>
        <w:t xml:space="preserve"> de 2013, Tomo II, Décima Época, pág. 1189, Tesis Aislada Constitucional, Tribunales Colegiados de Circuito, y de rubro: “</w:t>
      </w:r>
      <w:r w:rsidRPr="001042B6">
        <w:rPr>
          <w:rFonts w:ascii="Arial" w:hAnsi="Arial" w:cs="Arial"/>
          <w:i/>
          <w:sz w:val="24"/>
          <w:szCs w:val="24"/>
        </w:rPr>
        <w:t>LAGUNA JURÍDICA O DEL DERECHO" O "VACÍO LEGISLATIVO". PARA LLENARLO EL JUZGADOR DEBE ACUDIR, PRIMERO, A LA SUPLETORIEDAD O LA ANALOGÍA Y, DESPUÉS, A LOS PRINCIPIOS GENERALES DEL DERECHO</w:t>
      </w:r>
      <w:r w:rsidRPr="001042B6">
        <w:rPr>
          <w:rFonts w:ascii="Arial" w:hAnsi="Arial" w:cs="Arial"/>
          <w:sz w:val="24"/>
          <w:szCs w:val="24"/>
        </w:rPr>
        <w:t>.”; y,</w:t>
      </w:r>
    </w:p>
    <w:p w14:paraId="0A88C6B9" w14:textId="77777777" w:rsidR="00413791" w:rsidRPr="001042B6" w:rsidRDefault="00413791" w:rsidP="00413791">
      <w:pPr>
        <w:tabs>
          <w:tab w:val="center" w:pos="4574"/>
        </w:tabs>
        <w:spacing w:line="360" w:lineRule="auto"/>
        <w:ind w:firstLine="708"/>
        <w:jc w:val="both"/>
        <w:rPr>
          <w:rFonts w:ascii="Arial" w:hAnsi="Arial" w:cs="Arial"/>
          <w:sz w:val="24"/>
          <w:szCs w:val="24"/>
        </w:rPr>
      </w:pPr>
      <w:r w:rsidRPr="001042B6">
        <w:rPr>
          <w:rFonts w:ascii="Arial" w:hAnsi="Arial" w:cs="Arial"/>
          <w:sz w:val="24"/>
          <w:szCs w:val="24"/>
        </w:rPr>
        <w:t xml:space="preserve">Semanario Judicial de la Federación y su Gaceta, Libro XV, Diciembre de 2012, Tomo 1, Décima época, pág. 420, registro 2002264, Jurisprudencia Común, Primera Sala, y de rubro: </w:t>
      </w:r>
      <w:r w:rsidRPr="001042B6">
        <w:rPr>
          <w:rFonts w:ascii="Arial" w:hAnsi="Arial" w:cs="Arial"/>
          <w:i/>
          <w:sz w:val="24"/>
          <w:szCs w:val="24"/>
        </w:rPr>
        <w:t>“CONTROL DE CONSTITUCIONALIDAD Y DE CONVENCIONALIDAD (REFORMA CONSTITUCIONAL DE 10 DE JUNIO DE 2011).”;</w:t>
      </w:r>
      <w:r>
        <w:rPr>
          <w:rFonts w:ascii="Arial" w:hAnsi="Arial" w:cs="Arial"/>
          <w:i/>
          <w:sz w:val="24"/>
          <w:szCs w:val="24"/>
        </w:rPr>
        <w:t xml:space="preserve"> </w:t>
      </w:r>
      <w:r w:rsidRPr="009E208A">
        <w:rPr>
          <w:rFonts w:ascii="Arial" w:hAnsi="Arial" w:cs="Arial"/>
          <w:sz w:val="24"/>
          <w:szCs w:val="24"/>
        </w:rPr>
        <w:t>y</w:t>
      </w:r>
      <w:r w:rsidRPr="001042B6">
        <w:rPr>
          <w:rFonts w:ascii="Arial" w:hAnsi="Arial" w:cs="Arial"/>
          <w:i/>
          <w:sz w:val="24"/>
          <w:szCs w:val="24"/>
        </w:rPr>
        <w:t xml:space="preserve"> </w:t>
      </w:r>
      <w:r w:rsidRPr="001042B6">
        <w:rPr>
          <w:rFonts w:ascii="Arial" w:hAnsi="Arial" w:cs="Arial"/>
          <w:sz w:val="24"/>
          <w:szCs w:val="24"/>
        </w:rPr>
        <w:t xml:space="preserve">la Tesis identificada en el Semanario Judicial de la Federación y su Gaceta, Libro III, Diciembre de 2011, Tomo 1, Décima Época, pág. 552, registro 160525, Tesis Aislada Constitucional, Pleno, y de rubro: </w:t>
      </w:r>
      <w:r w:rsidRPr="001042B6">
        <w:rPr>
          <w:rFonts w:ascii="Arial" w:hAnsi="Arial" w:cs="Arial"/>
          <w:i/>
          <w:sz w:val="24"/>
          <w:szCs w:val="24"/>
        </w:rPr>
        <w:t>“PASOS A SEGUIR EN EL CONTROL DE CONSTITUCIONALIDAD Y CONVENCIONALIDAD EX OFFICIO EN MATERIA DE DERECHOS HUMANOS.</w:t>
      </w:r>
      <w:r w:rsidRPr="001042B6">
        <w:rPr>
          <w:rFonts w:ascii="Arial" w:hAnsi="Arial" w:cs="Arial"/>
          <w:sz w:val="24"/>
          <w:szCs w:val="24"/>
        </w:rPr>
        <w:t>”</w:t>
      </w:r>
    </w:p>
    <w:p w14:paraId="3C3C671F" w14:textId="034DA399" w:rsidR="00D208EE" w:rsidRDefault="00413791" w:rsidP="00413791">
      <w:pPr>
        <w:tabs>
          <w:tab w:val="center" w:pos="4574"/>
        </w:tabs>
        <w:spacing w:line="360" w:lineRule="auto"/>
        <w:ind w:firstLine="708"/>
        <w:jc w:val="both"/>
        <w:rPr>
          <w:rFonts w:ascii="Arial" w:hAnsi="Arial" w:cs="Arial"/>
          <w:sz w:val="24"/>
          <w:szCs w:val="24"/>
        </w:rPr>
      </w:pPr>
      <w:r w:rsidRPr="001042B6">
        <w:rPr>
          <w:rFonts w:ascii="Arial" w:hAnsi="Arial" w:cs="Arial"/>
          <w:sz w:val="24"/>
          <w:szCs w:val="24"/>
        </w:rPr>
        <w:t>De igual manera como criterio orientador, la resolución dictada por la Segunda Sala de la Suprema Corte de Justicia de la Nación</w:t>
      </w:r>
      <w:r>
        <w:rPr>
          <w:rFonts w:ascii="Arial" w:hAnsi="Arial" w:cs="Arial"/>
          <w:sz w:val="24"/>
          <w:szCs w:val="24"/>
        </w:rPr>
        <w:t>,</w:t>
      </w:r>
      <w:r w:rsidRPr="001042B6">
        <w:rPr>
          <w:rFonts w:ascii="Arial" w:hAnsi="Arial" w:cs="Arial"/>
          <w:sz w:val="24"/>
          <w:szCs w:val="24"/>
        </w:rPr>
        <w:t xml:space="preserve"> en el amparo en revisión 934/2014, que retomó y aplicó los criterios adoptados por el Pleno de la Suprema Corte de Justicia de la Nación en </w:t>
      </w:r>
      <w:r>
        <w:rPr>
          <w:rFonts w:ascii="Arial" w:hAnsi="Arial" w:cs="Arial"/>
          <w:sz w:val="24"/>
          <w:szCs w:val="24"/>
        </w:rPr>
        <w:t xml:space="preserve">la Jurisprudencia P./J.158/2008, con registro número 165969, visible en las sinopsis de asuntos destacados de las Salas de la SCJN, en la dirección electrónica </w:t>
      </w:r>
      <w:hyperlink r:id="rId8" w:history="1">
        <w:r w:rsidRPr="00D208EE">
          <w:rPr>
            <w:rStyle w:val="Hipervnculo"/>
            <w:rFonts w:ascii="Arial" w:hAnsi="Arial" w:cs="Arial"/>
            <w:sz w:val="24"/>
            <w:szCs w:val="24"/>
            <w:u w:val="none"/>
          </w:rPr>
          <w:t>https://www.scjn.gob.mx/sites/default/files/sinopsis_asuntos_destacados/documento/2017-01/2S-030615-JFFGS-0934.pdf</w:t>
        </w:r>
      </w:hyperlink>
      <w:r w:rsidR="009F3A7F">
        <w:rPr>
          <w:rFonts w:ascii="Arial" w:hAnsi="Arial" w:cs="Arial"/>
          <w:sz w:val="24"/>
          <w:szCs w:val="24"/>
        </w:rPr>
        <w:t>.</w:t>
      </w:r>
      <w:r w:rsidR="00D208EE">
        <w:rPr>
          <w:rFonts w:ascii="Arial" w:hAnsi="Arial" w:cs="Arial"/>
          <w:sz w:val="24"/>
          <w:szCs w:val="24"/>
        </w:rPr>
        <w:t xml:space="preserve"> </w:t>
      </w:r>
    </w:p>
    <w:p w14:paraId="744CE7C6" w14:textId="77777777" w:rsidR="00413791" w:rsidRDefault="00413791" w:rsidP="00413791">
      <w:pPr>
        <w:tabs>
          <w:tab w:val="center" w:pos="4574"/>
        </w:tabs>
        <w:spacing w:line="360" w:lineRule="auto"/>
        <w:ind w:firstLine="708"/>
        <w:jc w:val="both"/>
        <w:rPr>
          <w:rFonts w:ascii="Arial" w:hAnsi="Arial" w:cs="Arial"/>
          <w:sz w:val="24"/>
          <w:szCs w:val="24"/>
        </w:rPr>
      </w:pPr>
      <w:r w:rsidRPr="001042B6">
        <w:rPr>
          <w:rFonts w:ascii="Arial" w:hAnsi="Arial" w:cs="Arial"/>
          <w:sz w:val="24"/>
          <w:szCs w:val="24"/>
        </w:rPr>
        <w:t>Por lo expuesto</w:t>
      </w:r>
      <w:r>
        <w:rPr>
          <w:rFonts w:ascii="Arial" w:hAnsi="Arial" w:cs="Arial"/>
          <w:sz w:val="24"/>
          <w:szCs w:val="24"/>
        </w:rPr>
        <w:t xml:space="preserve"> y fundado</w:t>
      </w:r>
      <w:r w:rsidR="006228E8">
        <w:rPr>
          <w:rFonts w:ascii="Arial" w:hAnsi="Arial" w:cs="Arial"/>
          <w:sz w:val="24"/>
          <w:szCs w:val="24"/>
        </w:rPr>
        <w:t>,</w:t>
      </w:r>
      <w:r>
        <w:rPr>
          <w:rFonts w:ascii="Arial" w:hAnsi="Arial" w:cs="Arial"/>
          <w:sz w:val="24"/>
          <w:szCs w:val="24"/>
        </w:rPr>
        <w:t xml:space="preserve"> y con apoyo además en los artículos 207, 208 y 209 todos de la Ley de Procedimiento y Justicia Administrativa para el Estado de Oaxaca, se: - - - - - - - - - - - - - - - - - - - - - - - - - - - - - - - - - - - - - - - </w:t>
      </w:r>
    </w:p>
    <w:p w14:paraId="45649D20" w14:textId="77777777" w:rsidR="00413791" w:rsidRDefault="00413791" w:rsidP="00413791">
      <w:pPr>
        <w:tabs>
          <w:tab w:val="center" w:pos="4574"/>
        </w:tabs>
        <w:spacing w:before="240" w:line="360" w:lineRule="auto"/>
        <w:ind w:firstLine="708"/>
        <w:jc w:val="center"/>
        <w:rPr>
          <w:rFonts w:ascii="Arial" w:hAnsi="Arial" w:cs="Arial"/>
          <w:b/>
          <w:sz w:val="24"/>
          <w:szCs w:val="24"/>
        </w:rPr>
      </w:pPr>
      <w:r>
        <w:rPr>
          <w:rFonts w:ascii="Arial" w:hAnsi="Arial" w:cs="Arial"/>
          <w:b/>
          <w:sz w:val="24"/>
          <w:szCs w:val="24"/>
        </w:rPr>
        <w:t xml:space="preserve"> R E S U E L V E</w:t>
      </w:r>
    </w:p>
    <w:p w14:paraId="3FECBAC1" w14:textId="77777777" w:rsidR="00413791" w:rsidRDefault="00413791" w:rsidP="00413791">
      <w:pPr>
        <w:tabs>
          <w:tab w:val="center" w:pos="4574"/>
        </w:tabs>
        <w:spacing w:line="360" w:lineRule="auto"/>
        <w:ind w:firstLine="708"/>
        <w:jc w:val="both"/>
        <w:rPr>
          <w:rFonts w:ascii="Arial" w:hAnsi="Arial" w:cs="Arial"/>
          <w:sz w:val="24"/>
          <w:szCs w:val="24"/>
        </w:rPr>
      </w:pPr>
      <w:proofErr w:type="gramStart"/>
      <w:r>
        <w:rPr>
          <w:rFonts w:ascii="Arial" w:hAnsi="Arial" w:cs="Arial"/>
          <w:b/>
          <w:sz w:val="24"/>
          <w:szCs w:val="24"/>
        </w:rPr>
        <w:t>PRIMERO.-</w:t>
      </w:r>
      <w:proofErr w:type="gramEnd"/>
      <w:r>
        <w:rPr>
          <w:rFonts w:ascii="Arial" w:hAnsi="Arial" w:cs="Arial"/>
          <w:b/>
          <w:sz w:val="24"/>
          <w:szCs w:val="24"/>
        </w:rPr>
        <w:t xml:space="preserve"> </w:t>
      </w:r>
      <w:r>
        <w:rPr>
          <w:rFonts w:ascii="Arial" w:hAnsi="Arial" w:cs="Arial"/>
          <w:sz w:val="24"/>
          <w:szCs w:val="24"/>
        </w:rPr>
        <w:t xml:space="preserve">Esta </w:t>
      </w:r>
      <w:r w:rsidR="006228E8">
        <w:rPr>
          <w:rFonts w:ascii="Arial" w:hAnsi="Arial" w:cs="Arial"/>
          <w:sz w:val="24"/>
          <w:szCs w:val="24"/>
        </w:rPr>
        <w:t>Tercera</w:t>
      </w:r>
      <w:r>
        <w:rPr>
          <w:rFonts w:ascii="Arial" w:hAnsi="Arial" w:cs="Arial"/>
          <w:sz w:val="24"/>
          <w:szCs w:val="24"/>
        </w:rPr>
        <w:t xml:space="preserve"> Sala </w:t>
      </w:r>
      <w:r w:rsidR="006228E8">
        <w:rPr>
          <w:rFonts w:ascii="Arial" w:hAnsi="Arial" w:cs="Arial"/>
          <w:sz w:val="24"/>
          <w:szCs w:val="24"/>
        </w:rPr>
        <w:t xml:space="preserve">Unitaria </w:t>
      </w:r>
      <w:r>
        <w:rPr>
          <w:rFonts w:ascii="Arial" w:hAnsi="Arial" w:cs="Arial"/>
          <w:sz w:val="24"/>
          <w:szCs w:val="24"/>
        </w:rPr>
        <w:t>de Primera Instancia</w:t>
      </w:r>
      <w:r w:rsidR="006228E8">
        <w:rPr>
          <w:rFonts w:ascii="Arial" w:hAnsi="Arial" w:cs="Arial"/>
          <w:sz w:val="24"/>
          <w:szCs w:val="24"/>
        </w:rPr>
        <w:t>,</w:t>
      </w:r>
      <w:r>
        <w:rPr>
          <w:rFonts w:ascii="Arial" w:hAnsi="Arial" w:cs="Arial"/>
          <w:sz w:val="24"/>
          <w:szCs w:val="24"/>
        </w:rPr>
        <w:t xml:space="preserve"> del Tribunal de Justicia Administrativa del Estado de Oaxaca, es legalmente competente para conocer y resolver del presente Juicio de Nulidad. - - - - - - - </w:t>
      </w:r>
    </w:p>
    <w:p w14:paraId="77C547B1" w14:textId="77777777" w:rsidR="00413791" w:rsidRDefault="00413791" w:rsidP="00413791">
      <w:pPr>
        <w:tabs>
          <w:tab w:val="center" w:pos="4574"/>
        </w:tabs>
        <w:spacing w:line="360" w:lineRule="auto"/>
        <w:ind w:firstLine="708"/>
        <w:jc w:val="both"/>
        <w:rPr>
          <w:rFonts w:ascii="Arial" w:hAnsi="Arial" w:cs="Arial"/>
          <w:sz w:val="24"/>
          <w:szCs w:val="24"/>
        </w:rPr>
      </w:pPr>
      <w:proofErr w:type="gramStart"/>
      <w:r>
        <w:rPr>
          <w:rFonts w:ascii="Arial" w:hAnsi="Arial" w:cs="Arial"/>
          <w:b/>
          <w:sz w:val="24"/>
          <w:szCs w:val="24"/>
        </w:rPr>
        <w:lastRenderedPageBreak/>
        <w:t>SEGUNDO.-</w:t>
      </w:r>
      <w:proofErr w:type="gramEnd"/>
      <w:r>
        <w:rPr>
          <w:rFonts w:ascii="Arial" w:hAnsi="Arial" w:cs="Arial"/>
          <w:b/>
          <w:sz w:val="24"/>
          <w:szCs w:val="24"/>
        </w:rPr>
        <w:t xml:space="preserve"> </w:t>
      </w:r>
      <w:r>
        <w:rPr>
          <w:rFonts w:ascii="Arial" w:hAnsi="Arial" w:cs="Arial"/>
          <w:sz w:val="24"/>
          <w:szCs w:val="24"/>
        </w:rPr>
        <w:t>No se actualizó causal de improcedencia alguna, por lo que NO SE SOBRESEE EL JUICIO, en términos del considerando QUINTO de esta resolución.- - - - - - - - - - - - - - - - - - - - - - - - - - - - - - - - - - - - - - - - - - -</w:t>
      </w:r>
    </w:p>
    <w:p w14:paraId="06F8ACC9" w14:textId="59A68883" w:rsidR="00B270D2" w:rsidRDefault="00413791" w:rsidP="00413791">
      <w:pPr>
        <w:tabs>
          <w:tab w:val="center" w:pos="4574"/>
        </w:tabs>
        <w:spacing w:line="360" w:lineRule="auto"/>
        <w:ind w:firstLine="708"/>
        <w:jc w:val="both"/>
        <w:rPr>
          <w:rFonts w:ascii="Arial" w:hAnsi="Arial" w:cs="Arial"/>
          <w:sz w:val="24"/>
          <w:szCs w:val="24"/>
        </w:rPr>
      </w:pPr>
      <w:proofErr w:type="gramStart"/>
      <w:r w:rsidRPr="00972356">
        <w:rPr>
          <w:rFonts w:ascii="Arial" w:hAnsi="Arial" w:cs="Arial"/>
          <w:b/>
          <w:sz w:val="24"/>
          <w:szCs w:val="24"/>
        </w:rPr>
        <w:t>TERCERO.-</w:t>
      </w:r>
      <w:proofErr w:type="gramEnd"/>
      <w:r>
        <w:rPr>
          <w:rFonts w:ascii="Arial" w:hAnsi="Arial" w:cs="Arial"/>
          <w:sz w:val="24"/>
          <w:szCs w:val="24"/>
        </w:rPr>
        <w:t xml:space="preserve"> </w:t>
      </w:r>
      <w:r w:rsidR="00B270D2">
        <w:rPr>
          <w:rFonts w:ascii="Arial" w:hAnsi="Arial" w:cs="Arial"/>
          <w:sz w:val="24"/>
          <w:szCs w:val="24"/>
        </w:rPr>
        <w:t xml:space="preserve">Se declara </w:t>
      </w:r>
      <w:r w:rsidR="00B270D2" w:rsidRPr="00C040EC">
        <w:rPr>
          <w:rFonts w:ascii="Arial" w:hAnsi="Arial" w:cs="Arial"/>
          <w:b/>
          <w:sz w:val="24"/>
          <w:szCs w:val="24"/>
        </w:rPr>
        <w:t>CONFIGURADA LA RESOLUCI</w:t>
      </w:r>
      <w:r w:rsidR="00B270D2">
        <w:rPr>
          <w:rFonts w:ascii="Arial" w:hAnsi="Arial" w:cs="Arial"/>
          <w:b/>
          <w:sz w:val="24"/>
          <w:szCs w:val="24"/>
        </w:rPr>
        <w:t>ÓN</w:t>
      </w:r>
      <w:r w:rsidR="00B270D2" w:rsidRPr="00C040EC">
        <w:rPr>
          <w:rFonts w:ascii="Arial" w:hAnsi="Arial" w:cs="Arial"/>
          <w:b/>
          <w:sz w:val="24"/>
          <w:szCs w:val="24"/>
        </w:rPr>
        <w:t xml:space="preserve"> NEGATIVA FICTA,</w:t>
      </w:r>
      <w:r w:rsidR="00B270D2">
        <w:rPr>
          <w:rFonts w:ascii="Arial" w:hAnsi="Arial" w:cs="Arial"/>
          <w:sz w:val="24"/>
          <w:szCs w:val="24"/>
        </w:rPr>
        <w:t xml:space="preserve"> recaída al escrito presentado por el actor el día </w:t>
      </w:r>
      <w:r w:rsidR="00B56F8A">
        <w:rPr>
          <w:rFonts w:ascii="Arial" w:hAnsi="Arial" w:cs="Arial"/>
          <w:sz w:val="24"/>
          <w:szCs w:val="24"/>
        </w:rPr>
        <w:t>***** de ***** de dos mil veinte (**/**/2020)</w:t>
      </w:r>
      <w:r w:rsidR="00B270D2">
        <w:rPr>
          <w:rFonts w:ascii="Arial" w:hAnsi="Arial" w:cs="Arial"/>
          <w:sz w:val="24"/>
          <w:szCs w:val="24"/>
        </w:rPr>
        <w:t>, al Director General de la Oficina de Pensiones del Gobierno del Estado de Oaxaca</w:t>
      </w:r>
      <w:r w:rsidR="0064004D">
        <w:rPr>
          <w:rFonts w:ascii="Arial" w:hAnsi="Arial" w:cs="Arial"/>
          <w:sz w:val="24"/>
          <w:szCs w:val="24"/>
        </w:rPr>
        <w:t>, conforme al considerando SEXTO de esta determinación</w:t>
      </w:r>
      <w:r w:rsidR="00B270D2">
        <w:rPr>
          <w:rFonts w:ascii="Arial" w:hAnsi="Arial" w:cs="Arial"/>
          <w:sz w:val="24"/>
          <w:szCs w:val="24"/>
        </w:rPr>
        <w:t>. - - - - - - - - - - - - - - - - - - - - - -</w:t>
      </w:r>
      <w:r w:rsidR="0064004D">
        <w:rPr>
          <w:rFonts w:ascii="Arial" w:hAnsi="Arial" w:cs="Arial"/>
          <w:sz w:val="24"/>
          <w:szCs w:val="24"/>
        </w:rPr>
        <w:t xml:space="preserve"> - - - - - - - - - - - -</w:t>
      </w:r>
    </w:p>
    <w:p w14:paraId="665C3960" w14:textId="1AF7EF39" w:rsidR="00413791" w:rsidRDefault="00B270D2" w:rsidP="00816F3D">
      <w:pPr>
        <w:tabs>
          <w:tab w:val="center" w:pos="4574"/>
        </w:tabs>
        <w:spacing w:line="360" w:lineRule="auto"/>
        <w:ind w:firstLine="708"/>
        <w:jc w:val="both"/>
        <w:rPr>
          <w:rFonts w:ascii="Arial" w:hAnsi="Arial" w:cs="Arial"/>
          <w:sz w:val="24"/>
          <w:szCs w:val="24"/>
        </w:rPr>
      </w:pPr>
      <w:proofErr w:type="gramStart"/>
      <w:r w:rsidRPr="00B270D2">
        <w:rPr>
          <w:rFonts w:ascii="Arial" w:hAnsi="Arial" w:cs="Arial"/>
          <w:b/>
          <w:sz w:val="24"/>
          <w:szCs w:val="24"/>
        </w:rPr>
        <w:t>CUARTO</w:t>
      </w:r>
      <w:r>
        <w:rPr>
          <w:rFonts w:ascii="Arial" w:hAnsi="Arial" w:cs="Arial"/>
          <w:sz w:val="24"/>
          <w:szCs w:val="24"/>
        </w:rPr>
        <w:t>.-</w:t>
      </w:r>
      <w:proofErr w:type="gramEnd"/>
      <w:r>
        <w:rPr>
          <w:rFonts w:ascii="Arial" w:hAnsi="Arial" w:cs="Arial"/>
          <w:sz w:val="24"/>
          <w:szCs w:val="24"/>
        </w:rPr>
        <w:t xml:space="preserve"> </w:t>
      </w:r>
      <w:r w:rsidR="00413791">
        <w:rPr>
          <w:rFonts w:ascii="Arial" w:hAnsi="Arial" w:cs="Arial"/>
          <w:sz w:val="24"/>
          <w:szCs w:val="24"/>
        </w:rPr>
        <w:t xml:space="preserve">Se declara la </w:t>
      </w:r>
      <w:r w:rsidR="00413791" w:rsidRPr="00DE5509">
        <w:rPr>
          <w:rFonts w:ascii="Arial" w:hAnsi="Arial" w:cs="Arial"/>
          <w:b/>
          <w:sz w:val="24"/>
          <w:szCs w:val="24"/>
        </w:rPr>
        <w:t>NULIDAD</w:t>
      </w:r>
      <w:r w:rsidR="006228E8">
        <w:rPr>
          <w:rFonts w:ascii="Arial" w:hAnsi="Arial" w:cs="Arial"/>
          <w:sz w:val="24"/>
          <w:szCs w:val="24"/>
        </w:rPr>
        <w:t xml:space="preserve"> </w:t>
      </w:r>
      <w:r w:rsidRPr="00B270D2">
        <w:rPr>
          <w:rFonts w:ascii="Arial" w:hAnsi="Arial" w:cs="Arial"/>
          <w:sz w:val="24"/>
          <w:szCs w:val="24"/>
        </w:rPr>
        <w:t>de la resolución negativa ficta recaída</w:t>
      </w:r>
      <w:r>
        <w:rPr>
          <w:rFonts w:ascii="Arial" w:hAnsi="Arial" w:cs="Arial"/>
          <w:sz w:val="24"/>
          <w:szCs w:val="24"/>
        </w:rPr>
        <w:t xml:space="preserve"> al escrito presentado p</w:t>
      </w:r>
      <w:r w:rsidRPr="00B270D2">
        <w:rPr>
          <w:rFonts w:ascii="Arial" w:hAnsi="Arial" w:cs="Arial"/>
          <w:sz w:val="24"/>
          <w:szCs w:val="24"/>
        </w:rPr>
        <w:t>o</w:t>
      </w:r>
      <w:r>
        <w:rPr>
          <w:rFonts w:ascii="Arial" w:hAnsi="Arial" w:cs="Arial"/>
          <w:sz w:val="24"/>
          <w:szCs w:val="24"/>
        </w:rPr>
        <w:t>r</w:t>
      </w:r>
      <w:r w:rsidRPr="00B270D2">
        <w:rPr>
          <w:rFonts w:ascii="Arial" w:hAnsi="Arial" w:cs="Arial"/>
          <w:sz w:val="24"/>
          <w:szCs w:val="24"/>
        </w:rPr>
        <w:t xml:space="preserve"> el actor el día </w:t>
      </w:r>
      <w:r w:rsidR="00B56F8A">
        <w:rPr>
          <w:rFonts w:ascii="Arial" w:hAnsi="Arial" w:cs="Arial"/>
          <w:sz w:val="24"/>
          <w:szCs w:val="24"/>
        </w:rPr>
        <w:t>***** de ***** de dos mil veinte (**/**/2020)</w:t>
      </w:r>
      <w:r w:rsidRPr="00B270D2">
        <w:rPr>
          <w:rFonts w:ascii="Arial" w:hAnsi="Arial" w:cs="Arial"/>
          <w:sz w:val="24"/>
          <w:szCs w:val="24"/>
        </w:rPr>
        <w:t>, en el Departamento de Prestaciones</w:t>
      </w:r>
      <w:r>
        <w:rPr>
          <w:rFonts w:ascii="Arial" w:hAnsi="Arial" w:cs="Arial"/>
          <w:sz w:val="24"/>
          <w:szCs w:val="24"/>
        </w:rPr>
        <w:t xml:space="preserve"> Económicas, de la Dirección General de Pensiones del Gobierno del Estado de Oaxaca; </w:t>
      </w:r>
      <w:r w:rsidRPr="001042B6">
        <w:rPr>
          <w:rFonts w:ascii="Arial" w:hAnsi="Arial" w:cs="Arial"/>
          <w:sz w:val="24"/>
          <w:szCs w:val="24"/>
        </w:rPr>
        <w:t xml:space="preserve">para el </w:t>
      </w:r>
      <w:r w:rsidRPr="001042B6">
        <w:rPr>
          <w:rFonts w:ascii="Arial" w:hAnsi="Arial" w:cs="Arial"/>
          <w:b/>
          <w:sz w:val="24"/>
          <w:szCs w:val="24"/>
        </w:rPr>
        <w:t>EFECTO</w:t>
      </w:r>
      <w:r w:rsidRPr="001042B6">
        <w:rPr>
          <w:rFonts w:ascii="Arial" w:hAnsi="Arial" w:cs="Arial"/>
          <w:sz w:val="24"/>
          <w:szCs w:val="24"/>
        </w:rPr>
        <w:t xml:space="preserve"> de que la autoridad demandada</w:t>
      </w:r>
      <w:r>
        <w:rPr>
          <w:rFonts w:ascii="Arial" w:hAnsi="Arial" w:cs="Arial"/>
          <w:sz w:val="24"/>
          <w:szCs w:val="24"/>
        </w:rPr>
        <w:t>,</w:t>
      </w:r>
      <w:r w:rsidRPr="001042B6">
        <w:rPr>
          <w:rFonts w:ascii="Arial" w:hAnsi="Arial" w:cs="Arial"/>
          <w:sz w:val="24"/>
          <w:szCs w:val="24"/>
        </w:rPr>
        <w:t xml:space="preserve"> dev</w:t>
      </w:r>
      <w:r>
        <w:rPr>
          <w:rFonts w:ascii="Arial" w:hAnsi="Arial" w:cs="Arial"/>
          <w:sz w:val="24"/>
          <w:szCs w:val="24"/>
        </w:rPr>
        <w:t>uelva</w:t>
      </w:r>
      <w:r w:rsidRPr="001042B6">
        <w:rPr>
          <w:rFonts w:ascii="Arial" w:hAnsi="Arial" w:cs="Arial"/>
          <w:sz w:val="24"/>
          <w:szCs w:val="24"/>
        </w:rPr>
        <w:t xml:space="preserve"> las aportaciones al fond</w:t>
      </w:r>
      <w:r>
        <w:rPr>
          <w:rFonts w:ascii="Arial" w:hAnsi="Arial" w:cs="Arial"/>
          <w:sz w:val="24"/>
          <w:szCs w:val="24"/>
        </w:rPr>
        <w:t xml:space="preserve">o de pensiones solicitadas por </w:t>
      </w:r>
      <w:r w:rsidRPr="001042B6">
        <w:rPr>
          <w:rFonts w:ascii="Arial" w:hAnsi="Arial" w:cs="Arial"/>
          <w:sz w:val="24"/>
          <w:szCs w:val="24"/>
        </w:rPr>
        <w:t>l</w:t>
      </w:r>
      <w:r>
        <w:rPr>
          <w:rFonts w:ascii="Arial" w:hAnsi="Arial" w:cs="Arial"/>
          <w:sz w:val="24"/>
          <w:szCs w:val="24"/>
        </w:rPr>
        <w:t>a parte</w:t>
      </w:r>
      <w:r w:rsidRPr="001042B6">
        <w:rPr>
          <w:rFonts w:ascii="Arial" w:hAnsi="Arial" w:cs="Arial"/>
          <w:sz w:val="24"/>
          <w:szCs w:val="24"/>
        </w:rPr>
        <w:t xml:space="preserve"> actor</w:t>
      </w:r>
      <w:r>
        <w:rPr>
          <w:rFonts w:ascii="Arial" w:hAnsi="Arial" w:cs="Arial"/>
          <w:sz w:val="24"/>
          <w:szCs w:val="24"/>
        </w:rPr>
        <w:t>a</w:t>
      </w:r>
      <w:r w:rsidR="00413791">
        <w:rPr>
          <w:rFonts w:ascii="Arial" w:hAnsi="Arial" w:cs="Arial"/>
          <w:sz w:val="24"/>
          <w:szCs w:val="24"/>
        </w:rPr>
        <w:t>; lo anterior en términos pre</w:t>
      </w:r>
      <w:r w:rsidR="00816F3D">
        <w:rPr>
          <w:rFonts w:ascii="Arial" w:hAnsi="Arial" w:cs="Arial"/>
          <w:sz w:val="24"/>
          <w:szCs w:val="24"/>
        </w:rPr>
        <w:t>cisados en el considerando SÉPTIMO</w:t>
      </w:r>
      <w:r w:rsidR="00413791">
        <w:rPr>
          <w:rFonts w:ascii="Arial" w:hAnsi="Arial" w:cs="Arial"/>
          <w:sz w:val="24"/>
          <w:szCs w:val="24"/>
        </w:rPr>
        <w:t xml:space="preserve"> de esta resolución. - - - - - </w:t>
      </w:r>
      <w:r w:rsidR="0043315D">
        <w:rPr>
          <w:rFonts w:ascii="Arial" w:hAnsi="Arial" w:cs="Arial"/>
          <w:sz w:val="24"/>
          <w:szCs w:val="24"/>
        </w:rPr>
        <w:t xml:space="preserve">- - - - - - - - - - - - - - - </w:t>
      </w:r>
    </w:p>
    <w:p w14:paraId="7B11FD40" w14:textId="4AB3B21D" w:rsidR="00413791" w:rsidRDefault="0064004D" w:rsidP="00413791">
      <w:pPr>
        <w:tabs>
          <w:tab w:val="center" w:pos="4574"/>
        </w:tabs>
        <w:spacing w:line="360" w:lineRule="auto"/>
        <w:ind w:firstLine="708"/>
        <w:jc w:val="both"/>
        <w:rPr>
          <w:rFonts w:ascii="Arial" w:hAnsi="Arial" w:cs="Arial"/>
          <w:b/>
          <w:sz w:val="24"/>
          <w:szCs w:val="24"/>
        </w:rPr>
      </w:pPr>
      <w:proofErr w:type="gramStart"/>
      <w:r>
        <w:rPr>
          <w:rFonts w:ascii="Arial" w:hAnsi="Arial" w:cs="Arial"/>
          <w:b/>
          <w:sz w:val="24"/>
          <w:szCs w:val="24"/>
        </w:rPr>
        <w:t>QUINTO</w:t>
      </w:r>
      <w:r w:rsidR="00413791">
        <w:rPr>
          <w:rFonts w:ascii="Arial" w:hAnsi="Arial" w:cs="Arial"/>
          <w:b/>
          <w:sz w:val="24"/>
          <w:szCs w:val="24"/>
        </w:rPr>
        <w:t>.-</w:t>
      </w:r>
      <w:proofErr w:type="gramEnd"/>
      <w:r w:rsidR="00413791">
        <w:rPr>
          <w:rFonts w:ascii="Arial" w:hAnsi="Arial" w:cs="Arial"/>
          <w:b/>
          <w:sz w:val="24"/>
          <w:szCs w:val="24"/>
        </w:rPr>
        <w:t xml:space="preserve"> </w:t>
      </w:r>
      <w:r w:rsidR="00247186" w:rsidRPr="007B67C8">
        <w:rPr>
          <w:rFonts w:ascii="Arial" w:hAnsi="Arial" w:cs="Arial"/>
          <w:sz w:val="24"/>
          <w:szCs w:val="24"/>
        </w:rPr>
        <w:t>Con las medidas de salud determinadas por el Pleno de este Tribunal, en el Protocolo para la Reincorporación del Personal y Atención a los Usuarios, emitido en el Acuerdo General de Pleno AG/TJAO/12/2020</w:t>
      </w:r>
      <w:r w:rsidR="00247186">
        <w:rPr>
          <w:rFonts w:ascii="Arial" w:hAnsi="Arial" w:cs="Arial"/>
          <w:sz w:val="24"/>
          <w:szCs w:val="24"/>
        </w:rPr>
        <w:t>, y c</w:t>
      </w:r>
      <w:r w:rsidR="00413791">
        <w:rPr>
          <w:rFonts w:ascii="Arial" w:hAnsi="Arial" w:cs="Arial"/>
          <w:sz w:val="24"/>
          <w:szCs w:val="24"/>
        </w:rPr>
        <w:t xml:space="preserve">onforme a lo dispuesto en el artículo 172 fracción I y 173 fracciones I y II, de la Ley de Procedimiento y Justicia Administrativa para el Estado de Oaxaca, </w:t>
      </w:r>
      <w:r w:rsidR="00413791">
        <w:rPr>
          <w:rFonts w:ascii="Arial" w:hAnsi="Arial" w:cs="Arial"/>
          <w:b/>
          <w:sz w:val="24"/>
          <w:szCs w:val="24"/>
        </w:rPr>
        <w:t>NOTIFÍQUESE PERSONALMENTE A LA PARTE ACTORA Y POR OFICIO A LA AUTORIDAD DEMANDADA. CÚMPLASE</w:t>
      </w:r>
      <w:r w:rsidR="00413791" w:rsidRPr="00441770">
        <w:rPr>
          <w:rFonts w:ascii="Arial" w:hAnsi="Arial" w:cs="Arial"/>
          <w:sz w:val="24"/>
          <w:szCs w:val="24"/>
        </w:rPr>
        <w:t xml:space="preserve">. - </w:t>
      </w:r>
      <w:r w:rsidR="00247186">
        <w:rPr>
          <w:rFonts w:ascii="Arial" w:hAnsi="Arial" w:cs="Arial"/>
          <w:sz w:val="24"/>
          <w:szCs w:val="24"/>
        </w:rPr>
        <w:t xml:space="preserve">- - - - - - - - - - - - - - - - - - - </w:t>
      </w:r>
    </w:p>
    <w:p w14:paraId="7C2D773C" w14:textId="333DBDC4" w:rsidR="00EB0680" w:rsidRPr="0000129F" w:rsidRDefault="00413791" w:rsidP="0000129F">
      <w:pPr>
        <w:tabs>
          <w:tab w:val="center" w:pos="4574"/>
        </w:tabs>
        <w:spacing w:line="360" w:lineRule="auto"/>
        <w:ind w:firstLine="708"/>
        <w:jc w:val="both"/>
        <w:rPr>
          <w:rFonts w:ascii="Arial" w:hAnsi="Arial" w:cs="Arial"/>
          <w:sz w:val="24"/>
          <w:szCs w:val="24"/>
        </w:rPr>
      </w:pPr>
      <w:r>
        <w:rPr>
          <w:rFonts w:ascii="Arial" w:hAnsi="Arial" w:cs="Arial"/>
          <w:sz w:val="24"/>
          <w:szCs w:val="24"/>
        </w:rPr>
        <w:t xml:space="preserve">Así lo resolvió y firma la Licenciada </w:t>
      </w:r>
      <w:r w:rsidR="008840EE">
        <w:rPr>
          <w:rFonts w:ascii="Arial" w:hAnsi="Arial" w:cs="Arial"/>
          <w:sz w:val="24"/>
          <w:szCs w:val="24"/>
        </w:rPr>
        <w:t>TANIA RAMOS MARTÍNEZ</w:t>
      </w:r>
      <w:r>
        <w:rPr>
          <w:rFonts w:ascii="Arial" w:hAnsi="Arial" w:cs="Arial"/>
          <w:sz w:val="24"/>
          <w:szCs w:val="24"/>
        </w:rPr>
        <w:t xml:space="preserve">, Magistrada Titular de la </w:t>
      </w:r>
      <w:r w:rsidR="008840EE">
        <w:rPr>
          <w:rFonts w:ascii="Arial" w:hAnsi="Arial" w:cs="Arial"/>
          <w:sz w:val="24"/>
          <w:szCs w:val="24"/>
        </w:rPr>
        <w:t xml:space="preserve">Tercera </w:t>
      </w:r>
      <w:r>
        <w:rPr>
          <w:rFonts w:ascii="Arial" w:hAnsi="Arial" w:cs="Arial"/>
          <w:sz w:val="24"/>
          <w:szCs w:val="24"/>
        </w:rPr>
        <w:t xml:space="preserve">Sala </w:t>
      </w:r>
      <w:r w:rsidR="00EE22E5">
        <w:rPr>
          <w:rFonts w:ascii="Arial" w:hAnsi="Arial" w:cs="Arial"/>
          <w:sz w:val="24"/>
          <w:szCs w:val="24"/>
        </w:rPr>
        <w:t xml:space="preserve">Unitaria </w:t>
      </w:r>
      <w:r>
        <w:rPr>
          <w:rFonts w:ascii="Arial" w:hAnsi="Arial" w:cs="Arial"/>
          <w:sz w:val="24"/>
          <w:szCs w:val="24"/>
        </w:rPr>
        <w:t>de Primera Instancia</w:t>
      </w:r>
      <w:r w:rsidR="00EE22E5">
        <w:rPr>
          <w:rFonts w:ascii="Arial" w:hAnsi="Arial" w:cs="Arial"/>
          <w:sz w:val="24"/>
          <w:szCs w:val="24"/>
        </w:rPr>
        <w:t>,</w:t>
      </w:r>
      <w:r>
        <w:rPr>
          <w:rFonts w:ascii="Arial" w:hAnsi="Arial" w:cs="Arial"/>
          <w:sz w:val="24"/>
          <w:szCs w:val="24"/>
        </w:rPr>
        <w:t xml:space="preserve"> del Tribunal de Justicia Administrativa para el Estado de Oaxaca, quien actúa legalmente con el Licenciado ERNESTO GARCIA GONZALEZ, </w:t>
      </w:r>
      <w:proofErr w:type="gramStart"/>
      <w:r>
        <w:rPr>
          <w:rFonts w:ascii="Arial" w:hAnsi="Arial" w:cs="Arial"/>
          <w:sz w:val="24"/>
          <w:szCs w:val="24"/>
        </w:rPr>
        <w:t>Secretario</w:t>
      </w:r>
      <w:proofErr w:type="gramEnd"/>
      <w:r>
        <w:rPr>
          <w:rFonts w:ascii="Arial" w:hAnsi="Arial" w:cs="Arial"/>
          <w:sz w:val="24"/>
          <w:szCs w:val="24"/>
        </w:rPr>
        <w:t xml:space="preserve"> de Acuerdos de esta Sala, quien autoriza y da fe. - - - - - - - - - - - - - - - - - - - - </w:t>
      </w:r>
      <w:r w:rsidR="008978B6">
        <w:rPr>
          <w:rFonts w:ascii="Arial" w:hAnsi="Arial" w:cs="Arial"/>
          <w:sz w:val="24"/>
          <w:szCs w:val="24"/>
        </w:rPr>
        <w:t>- - -</w:t>
      </w:r>
    </w:p>
    <w:sectPr w:rsidR="00EB0680" w:rsidRPr="0000129F" w:rsidSect="000E1EA6">
      <w:headerReference w:type="even" r:id="rId9"/>
      <w:headerReference w:type="default" r:id="rId10"/>
      <w:footerReference w:type="default" r:id="rId11"/>
      <w:headerReference w:type="first" r:id="rId12"/>
      <w:pgSz w:w="12240" w:h="20160" w:code="5"/>
      <w:pgMar w:top="851" w:right="1701" w:bottom="2127" w:left="2268" w:header="1276" w:footer="198" w:gutter="0"/>
      <w:pgNumType w:chapStyle="1"/>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5FF7B70B" w14:textId="77777777" w:rsidR="005E68B5" w:rsidRDefault="005E68B5" w:rsidP="007A5B5E">
      <w:pPr>
        <w:spacing w:after="0" w:line="240" w:lineRule="auto"/>
      </w:pPr>
      <w:r>
        <w:separator/>
      </w:r>
    </w:p>
  </w:endnote>
  <w:endnote w:type="continuationSeparator" w:id="0">
    <w:p w14:paraId="5A691AF9" w14:textId="77777777" w:rsidR="005E68B5" w:rsidRDefault="005E68B5" w:rsidP="007A5B5E">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43" w:usb2="00000009" w:usb3="00000000" w:csb0="000001FF" w:csb1="00000000"/>
  </w:font>
  <w:font w:name="Calibri">
    <w:panose1 w:val="020F0502020204030204"/>
    <w:charset w:val="00"/>
    <w:family w:val="swiss"/>
    <w:pitch w:val="variable"/>
    <w:sig w:usb0="E0002AFF" w:usb1="C000247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Arial Unicode MS">
    <w:panose1 w:val="020B0604020202020204"/>
    <w:charset w:val="00"/>
    <w:family w:val="roman"/>
    <w:notTrueType/>
    <w:pitch w:val="variable"/>
    <w:sig w:usb0="00000003" w:usb1="00000000" w:usb2="00000000" w:usb3="00000000" w:csb0="00000001" w:csb1="00000000"/>
  </w:font>
  <w:font w:name="Bookman Old Style">
    <w:panose1 w:val="02050604050505020204"/>
    <w:charset w:val="00"/>
    <w:family w:val="roman"/>
    <w:pitch w:val="variable"/>
    <w:sig w:usb0="00000287" w:usb1="00000000" w:usb2="00000000" w:usb3="00000000" w:csb0="0000009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rPr>
        <w:rFonts w:ascii="Arial" w:hAnsi="Arial" w:cs="Arial"/>
      </w:rPr>
      <w:id w:val="1282156356"/>
      <w:docPartObj>
        <w:docPartGallery w:val="Page Numbers (Bottom of Page)"/>
        <w:docPartUnique/>
      </w:docPartObj>
    </w:sdtPr>
    <w:sdtEndPr/>
    <w:sdtContent>
      <w:p w14:paraId="20262152" w14:textId="77777777" w:rsidR="00BD2E39" w:rsidRPr="007D2760" w:rsidRDefault="00BD2E39" w:rsidP="002960E1">
        <w:pPr>
          <w:pStyle w:val="Piedepgina"/>
          <w:jc w:val="right"/>
          <w:rPr>
            <w:rFonts w:ascii="Arial" w:hAnsi="Arial" w:cs="Arial"/>
          </w:rPr>
        </w:pPr>
        <w:r>
          <w:rPr>
            <w:rFonts w:asciiTheme="majorHAnsi" w:eastAsiaTheme="majorEastAsia" w:hAnsiTheme="majorHAnsi" w:cstheme="majorBidi"/>
            <w:noProof/>
            <w:sz w:val="28"/>
            <w:szCs w:val="28"/>
            <w:lang w:eastAsia="es-MX"/>
          </w:rPr>
          <mc:AlternateContent>
            <mc:Choice Requires="wps">
              <w:drawing>
                <wp:anchor distT="0" distB="0" distL="114300" distR="114300" simplePos="0" relativeHeight="251661312" behindDoc="0" locked="0" layoutInCell="1" allowOverlap="1" wp14:anchorId="633AEF1A" wp14:editId="66F3956E">
                  <wp:simplePos x="0" y="0"/>
                  <wp:positionH relativeFrom="margin">
                    <wp:posOffset>2125345</wp:posOffset>
                  </wp:positionH>
                  <wp:positionV relativeFrom="bottomMargin">
                    <wp:posOffset>71120</wp:posOffset>
                  </wp:positionV>
                  <wp:extent cx="1282700" cy="343535"/>
                  <wp:effectExtent l="38100" t="19050" r="50800" b="18415"/>
                  <wp:wrapNone/>
                  <wp:docPr id="1" name="Cinta curvada hacia abajo 4"/>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282700" cy="343535"/>
                          </a:xfrm>
                          <a:prstGeom prst="ellipseRibbon">
                            <a:avLst>
                              <a:gd name="adj1" fmla="val 25000"/>
                              <a:gd name="adj2" fmla="val 50000"/>
                              <a:gd name="adj3" fmla="val 12500"/>
                            </a:avLst>
                          </a:prstGeom>
                          <a:ln w="12700">
                            <a:headEnd/>
                            <a:tailEnd/>
                          </a:ln>
                        </wps:spPr>
                        <wps:style>
                          <a:lnRef idx="2">
                            <a:schemeClr val="dk1"/>
                          </a:lnRef>
                          <a:fillRef idx="1">
                            <a:schemeClr val="lt1"/>
                          </a:fillRef>
                          <a:effectRef idx="0">
                            <a:schemeClr val="dk1"/>
                          </a:effectRef>
                          <a:fontRef idx="minor">
                            <a:schemeClr val="dk1"/>
                          </a:fontRef>
                        </wps:style>
                        <wps:txbx>
                          <w:txbxContent>
                            <w:p w14:paraId="7D919F0A" w14:textId="77777777" w:rsidR="00BD2E39" w:rsidRPr="00AC1B4C" w:rsidRDefault="00BD2E39">
                              <w:pPr>
                                <w:jc w:val="center"/>
                                <w:rPr>
                                  <w:color w:val="000000" w:themeColor="text1"/>
                                </w:rPr>
                              </w:pPr>
                              <w:r w:rsidRPr="00AC1B4C">
                                <w:rPr>
                                  <w:color w:val="000000" w:themeColor="text1"/>
                                </w:rPr>
                                <w:fldChar w:fldCharType="begin"/>
                              </w:r>
                              <w:r w:rsidRPr="00AC1B4C">
                                <w:rPr>
                                  <w:color w:val="000000" w:themeColor="text1"/>
                                </w:rPr>
                                <w:instrText>PAGE    \* MERGEFORMAT</w:instrText>
                              </w:r>
                              <w:r w:rsidRPr="00AC1B4C">
                                <w:rPr>
                                  <w:color w:val="000000" w:themeColor="text1"/>
                                </w:rPr>
                                <w:fldChar w:fldCharType="separate"/>
                              </w:r>
                              <w:r w:rsidR="00D11169" w:rsidRPr="00D11169">
                                <w:rPr>
                                  <w:noProof/>
                                  <w:color w:val="000000" w:themeColor="text1"/>
                                  <w:lang w:val="es-ES"/>
                                </w:rPr>
                                <w:t>4</w:t>
                              </w:r>
                              <w:r w:rsidRPr="00AC1B4C">
                                <w:rPr>
                                  <w:color w:val="000000" w:themeColor="text1"/>
                                </w:rPr>
                                <w:fldChar w:fldCharType="end"/>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633AEF1A" id="_x0000_t107" coordsize="21600,21600" o:spt="107" adj="5400,5400,18900" path="ar@9@38@8@37,0@27@0@26@9@13@8@4@0@25@22@25@9@38@8@37@22@26@3@27l@7@40@3,wa@9@35@8@10@3,0@21@33@9@36@8@1@21@31@20@31@9@35@8@10@20@33,,l@5@40xewr@9@36@8@1@20@31@0@32nfl@20@33ear@9@36@8@1@21@31@22@32nfl@21@33em@0@26nfl@0@32em@22@26nfl@22@32e">
                  <v:formulas>
                    <v:f eqn="val #0"/>
                    <v:f eqn="val #1"/>
                    <v:f eqn="val #2"/>
                    <v:f eqn="val width"/>
                    <v:f eqn="val height"/>
                    <v:f eqn="prod width 1 8"/>
                    <v:f eqn="prod width 1 2"/>
                    <v:f eqn="prod width 7 8"/>
                    <v:f eqn="prod width 3 2"/>
                    <v:f eqn="sum 0 0 @6"/>
                    <v:f eqn="sum height 0 #2"/>
                    <v:f eqn="prod @10 30573 4096"/>
                    <v:f eqn="prod @11 2 1"/>
                    <v:f eqn="sum height 0 @12"/>
                    <v:f eqn="sum @11 #2 0"/>
                    <v:f eqn="sum @11 height #1"/>
                    <v:f eqn="sum height 0 #1"/>
                    <v:f eqn="prod @16 1 2"/>
                    <v:f eqn="sum @11 @17 0"/>
                    <v:f eqn="sum @14 #1 height"/>
                    <v:f eqn="sum #0 @5 0"/>
                    <v:f eqn="sum width 0 @20"/>
                    <v:f eqn="sum width 0 #0"/>
                    <v:f eqn="sum @6 0 #0"/>
                    <v:f eqn="ellipse @23 width @11"/>
                    <v:f eqn="sum @24 height @11"/>
                    <v:f eqn="sum @25 @11 @19"/>
                    <v:f eqn="sum #2 @11 @19"/>
                    <v:f eqn="prod @11 2391 32768"/>
                    <v:f eqn="sum @6 0 @20"/>
                    <v:f eqn="ellipse @29 width @11"/>
                    <v:f eqn="sum #1 @30 @11"/>
                    <v:f eqn="sum @25 #1 height"/>
                    <v:f eqn="sum height @30 @14"/>
                    <v:f eqn="sum @11 @14 0"/>
                    <v:f eqn="sum height 0 @34"/>
                    <v:f eqn="sum @35 @19 @11"/>
                    <v:f eqn="sum @10 @15 @11"/>
                    <v:f eqn="sum @35 @15 @11"/>
                    <v:f eqn="sum @28 @14 @18"/>
                    <v:f eqn="sum height 0 @39"/>
                    <v:f eqn="sum @19 0 @18"/>
                    <v:f eqn="prod @41 2 3"/>
                    <v:f eqn="sum #1 0 @42"/>
                    <v:f eqn="sum #2 0 @42"/>
                    <v:f eqn="min @44 20925"/>
                    <v:f eqn="prod width 3 8"/>
                    <v:f eqn="sum @46 0 4"/>
                  </v:formulas>
                  <v:path o:extrusionok="f" o:connecttype="custom" o:connectlocs="@6,@1;@5,@40;@6,@4;@7,@40" o:connectangles="270,180,90,0" textboxrect="@0,@1,@22,@25"/>
                  <v:handles>
                    <v:h position="#0,bottomRight" xrange="@5,@47"/>
                    <v:h position="center,#1" yrange="@10,@43"/>
                    <v:h position="topLeft,#2" yrange="@27,@45"/>
                  </v:handles>
                  <o:complex v:ext="view"/>
                </v:shapetype>
                <v:shape id="Cinta curvada hacia abajo 4" o:spid="_x0000_s1027" type="#_x0000_t107" style="position:absolute;left:0;text-align:left;margin-left:167.35pt;margin-top:5.6pt;width:101pt;height:27.05pt;z-index:251661312;visibility:visible;mso-wrap-style:square;mso-width-percent:0;mso-height-percent:0;mso-wrap-distance-left:9pt;mso-wrap-distance-top:0;mso-wrap-distance-right:9pt;mso-wrap-distance-bottom:0;mso-position-horizontal:absolute;mso-position-horizontal-relative:margin;mso-position-vertical:absolute;mso-position-vertical-relative:bottom-margin-area;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" fillcolor="white [3201]" strokecolor="black [3200]" strokeweight="1pt">
                  <v:textbox>
                    <w:txbxContent>
                      <w:p w14:paraId="7D919F0A" w14:textId="77777777" w:rsidR="00BD2E39" w:rsidRPr="00AC1B4C" w:rsidRDefault="00BD2E39">
                        <w:pPr>
                          <w:jc w:val="center"/>
                          <w:rPr>
                            <w:color w:val="000000" w:themeColor="text1"/>
                          </w:rPr>
                        </w:pPr>
                        <w:r w:rsidRPr="00AC1B4C">
                          <w:rPr>
                            <w:color w:val="000000" w:themeColor="text1"/>
                          </w:rPr>
                          <w:fldChar w:fldCharType="begin"/>
                        </w:r>
                        <w:r w:rsidRPr="00AC1B4C">
                          <w:rPr>
                            <w:color w:val="000000" w:themeColor="text1"/>
                          </w:rPr>
                          <w:instrText>PAGE    \* MERGEFORMAT</w:instrText>
                        </w:r>
                        <w:r w:rsidRPr="00AC1B4C">
                          <w:rPr>
                            <w:color w:val="000000" w:themeColor="text1"/>
                          </w:rPr>
                          <w:fldChar w:fldCharType="separate"/>
                        </w:r>
                        <w:r w:rsidR="00D11169" w:rsidRPr="00D11169">
                          <w:rPr>
                            <w:noProof/>
                            <w:color w:val="000000" w:themeColor="text1"/>
                            <w:lang w:val="es-ES"/>
                          </w:rPr>
                          <w:t>4</w:t>
                        </w:r>
                        <w:r w:rsidRPr="00AC1B4C">
                          <w:rPr>
                            <w:color w:val="000000" w:themeColor="text1"/>
                          </w:rPr>
                          <w:fldChar w:fldCharType="end"/>
                        </w:r>
                      </w:p>
                    </w:txbxContent>
                  </v:textbox>
                  <w10:wrap anchorx="margin" anchory="margin"/>
                </v:shape>
              </w:pict>
            </mc:Fallback>
          </mc:AlternateContent>
        </w:r>
      </w:p>
    </w:sdtContent>
  </w:sdt>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229ABC5D" w14:textId="77777777" w:rsidR="005E68B5" w:rsidRDefault="005E68B5" w:rsidP="007A5B5E">
      <w:pPr>
        <w:spacing w:after="0" w:line="240" w:lineRule="auto"/>
      </w:pPr>
      <w:r>
        <w:separator/>
      </w:r>
    </w:p>
  </w:footnote>
  <w:footnote w:type="continuationSeparator" w:id="0">
    <w:p w14:paraId="166A760E" w14:textId="77777777" w:rsidR="005E68B5" w:rsidRDefault="005E68B5" w:rsidP="007A5B5E">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0201BEC" w14:textId="77777777" w:rsidR="00BD2E39" w:rsidRDefault="00B9131C">
    <w:pPr>
      <w:pStyle w:val="Encabezado"/>
    </w:pPr>
    <w:r>
      <w:rPr>
        <w:noProof/>
        <w:lang w:eastAsia="es-MX"/>
      </w:rPr>
      <w:pict w14:anchorId="42B21646">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14814589" o:spid="_x0000_s2050" type="#_x0000_t75" style="position:absolute;margin-left:0;margin-top:0;width:441.75pt;height:440.3pt;z-index:-251656192;mso-position-horizontal:center;mso-position-horizontal-relative:margin;mso-position-vertical:center;mso-position-vertical-relative:margin" o:allowincell="f">
          <v:imagedata r:id="rId1" o:title="TCAC final-01" gain="19661f" blacklevel="13107f"/>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0FBA05E" w14:textId="2D5BA9E0" w:rsidR="00BD2E39" w:rsidRDefault="00BD2E39" w:rsidP="002960E1">
    <w:pPr>
      <w:pStyle w:val="Encabezado"/>
      <w:jc w:val="right"/>
      <w:rPr>
        <w:rFonts w:ascii="Bookman Old Style" w:hAnsi="Bookman Old Style"/>
        <w:b/>
        <w:sz w:val="24"/>
        <w:szCs w:val="24"/>
      </w:rPr>
    </w:pPr>
    <w:r>
      <w:rPr>
        <w:rFonts w:ascii="Bookman Old Style" w:hAnsi="Bookman Old Style"/>
        <w:noProof/>
        <w:lang w:eastAsia="es-MX"/>
      </w:rPr>
      <mc:AlternateContent>
        <mc:Choice Requires="wps">
          <w:drawing>
            <wp:anchor distT="0" distB="0" distL="114300" distR="114300" simplePos="0" relativeHeight="251662336" behindDoc="0" locked="0" layoutInCell="1" allowOverlap="1" wp14:anchorId="450D4336" wp14:editId="572B8BAB">
              <wp:simplePos x="0" y="0"/>
              <wp:positionH relativeFrom="column">
                <wp:posOffset>-991235</wp:posOffset>
              </wp:positionH>
              <wp:positionV relativeFrom="paragraph">
                <wp:posOffset>-610235</wp:posOffset>
              </wp:positionV>
              <wp:extent cx="1311275" cy="1120775"/>
              <wp:effectExtent l="8890" t="8890" r="13335" b="13335"/>
              <wp:wrapNone/>
              <wp:docPr id="2" name="Cuadro de texto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311275" cy="1120775"/>
                      </a:xfrm>
                      <a:prstGeom prst="rect">
                        <a:avLst/>
                      </a:prstGeom>
                      <a:solidFill>
                        <a:srgbClr val="FFFFFF"/>
                      </a:solidFill>
                      <a:ln w="9525">
                        <a:solidFill>
                          <a:schemeClr val="bg1">
                            <a:lumMod val="100000"/>
                            <a:lumOff val="0"/>
                          </a:schemeClr>
                        </a:solidFill>
                        <a:miter lim="800000"/>
                        <a:headEnd/>
                        <a:tailEnd/>
                      </a:ln>
                    </wps:spPr>
                    <wps:txbx>
                      <w:txbxContent>
                        <w:p w14:paraId="2A8924E6" w14:textId="77777777" w:rsidR="00BD2E39" w:rsidRDefault="00BD2E39" w:rsidP="002960E1">
                          <w:r>
                            <w:rPr>
                              <w:noProof/>
                              <w:lang w:eastAsia="es-MX"/>
                            </w:rPr>
                            <w:drawing>
                              <wp:inline distT="0" distB="0" distL="0" distR="0" wp14:anchorId="36076274" wp14:editId="5458D920">
                                <wp:extent cx="1216025" cy="809625"/>
                                <wp:effectExtent l="0" t="0" r="0" b="0"/>
                                <wp:docPr id="12" name="Imagen 12"/>
                                <wp:cNvGraphicFramePr/>
                                <a:graphic xmlns:a="http://schemas.openxmlformats.org/drawingml/2006/main">
                                  <a:graphicData uri="http://schemas.openxmlformats.org/drawingml/2006/picture">
                                    <pic:pic xmlns:pic="http://schemas.openxmlformats.org/drawingml/2006/picture">
                                      <pic:nvPicPr>
                                        <pic:cNvPr id="24" name="Imagen 24"/>
                                        <pic:cNvPicPr/>
                                      </pic:nvPicPr>
                                      <pic:blipFill>
                                        <a:blip r:embed="rId1" cstate="print">
                                          <a:extLst>
                                            <a:ext uri="{28A0092B-C50C-407E-A947-70E740481C1C}">
                                              <a14:useLocalDpi xmlns:a14="http://schemas.microsoft.com/office/drawing/2010/main" val="0"/>
                                            </a:ext>
                                          </a:extLst>
                                        </a:blip>
                                        <a:stretch>
                                          <a:fillRect/>
                                        </a:stretch>
                                      </pic:blipFill>
                                      <pic:spPr bwMode="auto">
                                        <a:xfrm>
                                          <a:off x="0" y="0"/>
                                          <a:ext cx="1216025" cy="809625"/>
                                        </a:xfrm>
                                        <a:prstGeom prst="rect">
                                          <a:avLst/>
                                        </a:prstGeom>
                                        <a:noFill/>
                                        <a:ln>
                                          <a:noFill/>
                                        </a:ln>
                                      </pic:spPr>
                                    </pic:pic>
                                  </a:graphicData>
                                </a:graphic>
                              </wp:inline>
                            </w:drawing>
                          </w:r>
                        </w:p>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type w14:anchorId="450D4336" id="_x0000_t202" coordsize="21600,21600" o:spt="202" path="m,l,21600r21600,l21600,xe">
              <v:stroke joinstyle="miter"/>
              <v:path gradientshapeok="t" o:connecttype="rect"/>
            </v:shapetype>
            <v:shape id="Cuadro de texto 2" o:spid="_x0000_s1026" type="#_x0000_t202" style="position:absolute;left:0;text-align:left;margin-left:-78.05pt;margin-top:-48.05pt;width:103.25pt;height:88.25pt;z-index:25166233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" strokecolor="white [3212]">
              <v:textbox>
                <w:txbxContent>
                  <w:p w14:paraId="2A8924E6" w14:textId="77777777" w:rsidR="00BD2E39" w:rsidRDefault="00BD2E39" w:rsidP="002960E1">
                    <w:r>
                      <w:rPr>
                        <w:noProof/>
                        <w:lang w:eastAsia="es-MX"/>
                      </w:rPr>
                      <w:drawing>
                        <wp:inline distT="0" distB="0" distL="0" distR="0" wp14:anchorId="36076274" wp14:editId="5458D920">
                          <wp:extent cx="1216025" cy="809625"/>
                          <wp:effectExtent l="0" t="0" r="0" b="0"/>
                          <wp:docPr id="12" name="Imagen 12"/>
                          <wp:cNvGraphicFramePr/>
                          <a:graphic xmlns:a="http://schemas.openxmlformats.org/drawingml/2006/main">
                            <a:graphicData uri="http://schemas.openxmlformats.org/drawingml/2006/picture">
                              <pic:pic xmlns:pic="http://schemas.openxmlformats.org/drawingml/2006/picture">
                                <pic:nvPicPr>
                                  <pic:cNvPr id="24" name="Imagen 24"/>
                                  <pic:cNvPicPr/>
                                </pic:nvPicPr>
                                <pic:blipFill>
                                  <a:blip r:embed="rId2" cstate="print">
                                    <a:extLst>
                                      <a:ext uri="{28A0092B-C50C-407E-A947-70E740481C1C}">
                                        <a14:useLocalDpi xmlns:a14="http://schemas.microsoft.com/office/drawing/2010/main" val="0"/>
                                      </a:ext>
                                    </a:extLst>
                                  </a:blip>
                                  <a:stretch>
                                    <a:fillRect/>
                                  </a:stretch>
                                </pic:blipFill>
                                <pic:spPr bwMode="auto">
                                  <a:xfrm>
                                    <a:off x="0" y="0"/>
                                    <a:ext cx="1216025" cy="809625"/>
                                  </a:xfrm>
                                  <a:prstGeom prst="rect">
                                    <a:avLst/>
                                  </a:prstGeom>
                                  <a:noFill/>
                                  <a:ln>
                                    <a:noFill/>
                                  </a:ln>
                                </pic:spPr>
                              </pic:pic>
                            </a:graphicData>
                          </a:graphic>
                        </wp:inline>
                      </w:drawing>
                    </w:r>
                  </w:p>
                </w:txbxContent>
              </v:textbox>
            </v:shape>
          </w:pict>
        </mc:Fallback>
      </mc:AlternateContent>
    </w:r>
    <w:r w:rsidRPr="003B6A65">
      <w:rPr>
        <w:rFonts w:ascii="Bookman Old Style" w:hAnsi="Bookman Old Style"/>
      </w:rPr>
      <w:t xml:space="preserve">JUICIO DE </w:t>
    </w:r>
    <w:r>
      <w:rPr>
        <w:rFonts w:ascii="Bookman Old Style" w:hAnsi="Bookman Old Style"/>
      </w:rPr>
      <w:t xml:space="preserve">NULIDAD </w:t>
    </w:r>
    <w:r w:rsidR="008C0B7E">
      <w:rPr>
        <w:rFonts w:ascii="Bookman Old Style" w:hAnsi="Bookman Old Style"/>
        <w:b/>
        <w:sz w:val="24"/>
        <w:szCs w:val="24"/>
      </w:rPr>
      <w:t>0</w:t>
    </w:r>
    <w:r w:rsidR="00073771">
      <w:rPr>
        <w:rFonts w:ascii="Bookman Old Style" w:hAnsi="Bookman Old Style"/>
        <w:b/>
        <w:sz w:val="24"/>
        <w:szCs w:val="24"/>
      </w:rPr>
      <w:t>030</w:t>
    </w:r>
    <w:r w:rsidRPr="00391F24">
      <w:rPr>
        <w:rFonts w:ascii="Bookman Old Style" w:hAnsi="Bookman Old Style"/>
        <w:b/>
        <w:sz w:val="24"/>
        <w:szCs w:val="24"/>
      </w:rPr>
      <w:t>/</w:t>
    </w:r>
    <w:r w:rsidR="00F47DFA">
      <w:rPr>
        <w:rFonts w:ascii="Bookman Old Style" w:hAnsi="Bookman Old Style"/>
        <w:b/>
        <w:sz w:val="24"/>
        <w:szCs w:val="24"/>
      </w:rPr>
      <w:t>2021</w:t>
    </w:r>
  </w:p>
  <w:p w14:paraId="7043FFBA" w14:textId="3090C55A" w:rsidR="00BD2E39" w:rsidRPr="00071C38" w:rsidRDefault="00371561" w:rsidP="002960E1">
    <w:pPr>
      <w:pStyle w:val="Encabezado"/>
      <w:jc w:val="center"/>
      <w:rPr>
        <w:rFonts w:ascii="Arial" w:hAnsi="Arial" w:cs="Arial"/>
        <w:b/>
        <w:sz w:val="24"/>
      </w:rPr>
    </w:pPr>
    <w:r>
      <w:rPr>
        <w:rFonts w:ascii="Bookman Old Style" w:hAnsi="Bookman Old Style"/>
        <w:noProof/>
        <w:lang w:eastAsia="es-MX"/>
      </w:rPr>
      <mc:AlternateContent>
        <mc:Choice Requires="wps">
          <w:drawing>
            <wp:anchor distT="45720" distB="45720" distL="114300" distR="114300" simplePos="0" relativeHeight="251666432" behindDoc="1" locked="0" layoutInCell="1" allowOverlap="1" wp14:anchorId="18885091" wp14:editId="6ADBB881">
              <wp:simplePos x="0" y="0"/>
              <wp:positionH relativeFrom="leftMargin">
                <wp:posOffset>163830</wp:posOffset>
              </wp:positionH>
              <wp:positionV relativeFrom="paragraph">
                <wp:posOffset>4581525</wp:posOffset>
              </wp:positionV>
              <wp:extent cx="1181100" cy="1590675"/>
              <wp:effectExtent l="0" t="0" r="19050" b="28575"/>
              <wp:wrapNone/>
              <wp:docPr id="5" name="Cuadro de texto 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81100" cy="1590675"/>
                      </a:xfrm>
                      <a:prstGeom prst="rect">
                        <a:avLst/>
                      </a:prstGeom>
                      <a:solidFill>
                        <a:srgbClr val="FFFFFF"/>
                      </a:solidFill>
                      <a:ln w="9525">
                        <a:solidFill>
                          <a:srgbClr val="000000"/>
                        </a:solidFill>
                        <a:miter lim="800000"/>
                        <a:headEnd/>
                        <a:tailEnd/>
                      </a:ln>
                    </wps:spPr>
                    <wps:txbx>
                      <w:txbxContent>
                        <w:p w14:paraId="24FF77AA" w14:textId="77777777" w:rsidR="00B9131C" w:rsidRDefault="00B9131C" w:rsidP="00B9131C">
                          <w:pPr>
                            <w:jc w:val="both"/>
                            <w:rPr>
                              <w:rFonts w:ascii="Arial" w:hAnsi="Arial" w:cs="Arial"/>
                              <w:b/>
                            </w:rPr>
                          </w:pPr>
                          <w:r>
                            <w:rPr>
                              <w:rFonts w:ascii="Arial" w:hAnsi="Arial" w:cs="Arial"/>
                              <w:b/>
                              <w:color w:val="00B0F0"/>
                            </w:rPr>
                            <w:t xml:space="preserve">Datos personales protegidos </w:t>
                          </w:r>
                          <w:r>
                            <w:rPr>
                              <w:rFonts w:ascii="Arial" w:hAnsi="Arial" w:cs="Arial"/>
                              <w:b/>
                            </w:rPr>
                            <w:t>por el artículo 116 de la LGTAIP y el artículo 61 de la LTAIPBGEO.</w:t>
                          </w:r>
                        </w:p>
                        <w:p w14:paraId="5D317992" w14:textId="46E39CB4" w:rsidR="00371561" w:rsidRPr="003B6E97" w:rsidRDefault="00371561" w:rsidP="00371561">
                          <w:pPr>
                            <w:jc w:val="both"/>
                            <w:rPr>
                              <w:rFonts w:ascii="Arial" w:hAnsi="Arial" w:cs="Arial"/>
                              <w:b/>
                            </w:rPr>
                          </w:pPr>
                        </w:p>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type w14:anchorId="18885091" id="_x0000_t202" coordsize="21600,21600" o:spt="202" path="m,l,21600r21600,l21600,xe">
              <v:stroke joinstyle="miter"/>
              <v:path gradientshapeok="t" o:connecttype="rect"/>
            </v:shapetype>
            <v:shape id="Cuadro de texto 5" o:spid="_x0000_s1027" type="#_x0000_t202" style="position:absolute;left:0;text-align:left;margin-left:12.9pt;margin-top:360.75pt;width:93pt;height:125.25pt;z-index:-251650048;visibility:visible;mso-wrap-style:square;mso-width-percent:0;mso-height-percent:0;mso-wrap-distance-left:9pt;mso-wrap-distance-top:3.6pt;mso-wrap-distance-right:9pt;mso-wrap-distance-bottom:3.6pt;mso-position-horizontal:absolute;mso-position-horizontal-relative:left-margin-area;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">
              <v:textbox>
                <w:txbxContent>
                  <w:p w14:paraId="24FF77AA" w14:textId="77777777" w:rsidR="00B9131C" w:rsidRDefault="00B9131C" w:rsidP="00B9131C">
                    <w:pPr>
                      <w:jc w:val="both"/>
                      <w:rPr>
                        <w:rFonts w:ascii="Arial" w:hAnsi="Arial" w:cs="Arial"/>
                        <w:b/>
                      </w:rPr>
                    </w:pPr>
                    <w:r>
                      <w:rPr>
                        <w:rFonts w:ascii="Arial" w:hAnsi="Arial" w:cs="Arial"/>
                        <w:b/>
                        <w:color w:val="00B0F0"/>
                      </w:rPr>
                      <w:t xml:space="preserve">Datos personales protegidos </w:t>
                    </w:r>
                    <w:r>
                      <w:rPr>
                        <w:rFonts w:ascii="Arial" w:hAnsi="Arial" w:cs="Arial"/>
                        <w:b/>
                      </w:rPr>
                      <w:t>por el artículo 116 de la LGTAIP y el artículo 61 de la LTAIPBGEO.</w:t>
                    </w:r>
                  </w:p>
                  <w:p w14:paraId="5D317992" w14:textId="46E39CB4" w:rsidR="00371561" w:rsidRPr="003B6E97" w:rsidRDefault="00371561" w:rsidP="00371561">
                    <w:pPr>
                      <w:jc w:val="both"/>
                      <w:rPr>
                        <w:rFonts w:ascii="Arial" w:hAnsi="Arial" w:cs="Arial"/>
                        <w:b/>
                      </w:rPr>
                    </w:pPr>
                  </w:p>
                </w:txbxContent>
              </v:textbox>
              <w10:wrap anchorx="margin"/>
            </v:shape>
          </w:pict>
        </mc:Fallback>
      </mc:AlternateContent>
    </w:r>
    <w:r w:rsidR="00BD2E39" w:rsidRPr="003E6AD7">
      <w:rPr>
        <w:noProof/>
        <w:lang w:eastAsia="es-MX"/>
      </w:rPr>
      <w:drawing>
        <wp:anchor distT="0" distB="0" distL="114300" distR="114300" simplePos="0" relativeHeight="251664384" behindDoc="0" locked="0" layoutInCell="1" allowOverlap="1" wp14:anchorId="0C71C167" wp14:editId="03154D16">
          <wp:simplePos x="0" y="0"/>
          <wp:positionH relativeFrom="page">
            <wp:posOffset>1430655</wp:posOffset>
          </wp:positionH>
          <wp:positionV relativeFrom="paragraph">
            <wp:posOffset>3599815</wp:posOffset>
          </wp:positionV>
          <wp:extent cx="5146824" cy="3089837"/>
          <wp:effectExtent l="0" t="0" r="0" b="0"/>
          <wp:wrapNone/>
          <wp:docPr id="11" name="Imagen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3">
                    <a:duotone>
                      <a:schemeClr val="bg2">
                        <a:shade val="45000"/>
                        <a:satMod val="135000"/>
                      </a:schemeClr>
                      <a:prstClr val="white"/>
                    </a:duotone>
                    <a:extLst>
                      <a:ext uri="{28A0092B-C50C-407E-A947-70E740481C1C}">
                        <a14:useLocalDpi xmlns:a14="http://schemas.microsoft.com/office/drawing/2010/main" val="0"/>
                      </a:ext>
                    </a:extLst>
                  </a:blip>
                  <a:stretch>
                    <a:fillRect/>
                  </a:stretch>
                </pic:blipFill>
                <pic:spPr bwMode="auto">
                  <a:xfrm>
                    <a:off x="0" y="0"/>
                    <a:ext cx="5146824" cy="3089837"/>
                  </a:xfrm>
                  <a:prstGeom prst="rect">
                    <a:avLst/>
                  </a:prstGeom>
                  <a:noFill/>
                  <a:ln>
                    <a:noFill/>
                  </a:ln>
                </pic:spPr>
              </pic:pic>
            </a:graphicData>
          </a:graphic>
          <wp14:sizeRelH relativeFrom="margin">
            <wp14:pctWidth>0</wp14:pctWidth>
          </wp14:sizeRelH>
          <wp14:sizeRelV relativeFrom="margin">
            <wp14:pctHeight>0</wp14:pctHeight>
          </wp14:sizeRelV>
        </wp:anchor>
      </w:drawing>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066E1F0" w14:textId="77777777" w:rsidR="00BD2E39" w:rsidRDefault="00B9131C">
    <w:pPr>
      <w:pStyle w:val="Encabezado"/>
    </w:pPr>
    <w:r>
      <w:rPr>
        <w:noProof/>
        <w:lang w:eastAsia="es-MX"/>
      </w:rPr>
      <w:pict w14:anchorId="29B89DC4">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14814588" o:spid="_x0000_s2049" type="#_x0000_t75" style="position:absolute;margin-left:0;margin-top:0;width:441.75pt;height:440.3pt;z-index:-251657216;mso-position-horizontal:center;mso-position-horizontal-relative:margin;mso-position-vertical:center;mso-position-vertical-relative:margin" o:allowincell="f">
          <v:imagedata r:id="rId1" o:title="TCAC final-01" gain="19661f" blacklevel="22938f"/>
          <w10:wrap anchorx="margin" anchory="margin"/>
        </v:shape>
      </w:pic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14C33072"/>
    <w:multiLevelType w:val="hybridMultilevel"/>
    <w:tmpl w:val="F342D5B4"/>
    <w:lvl w:ilvl="0" w:tplc="E966A91A">
      <w:start w:val="1"/>
      <w:numFmt w:val="lowerLetter"/>
      <w:lvlText w:val="%1)"/>
      <w:lvlJc w:val="left"/>
      <w:pPr>
        <w:ind w:left="1068" w:hanging="360"/>
      </w:pPr>
      <w:rPr>
        <w:rFonts w:hint="default"/>
      </w:rPr>
    </w:lvl>
    <w:lvl w:ilvl="1" w:tplc="080A0019" w:tentative="1">
      <w:start w:val="1"/>
      <w:numFmt w:val="lowerLetter"/>
      <w:lvlText w:val="%2."/>
      <w:lvlJc w:val="left"/>
      <w:pPr>
        <w:ind w:left="1788" w:hanging="360"/>
      </w:pPr>
    </w:lvl>
    <w:lvl w:ilvl="2" w:tplc="080A001B" w:tentative="1">
      <w:start w:val="1"/>
      <w:numFmt w:val="lowerRoman"/>
      <w:lvlText w:val="%3."/>
      <w:lvlJc w:val="right"/>
      <w:pPr>
        <w:ind w:left="2508" w:hanging="180"/>
      </w:pPr>
    </w:lvl>
    <w:lvl w:ilvl="3" w:tplc="080A000F" w:tentative="1">
      <w:start w:val="1"/>
      <w:numFmt w:val="decimal"/>
      <w:lvlText w:val="%4."/>
      <w:lvlJc w:val="left"/>
      <w:pPr>
        <w:ind w:left="3228" w:hanging="360"/>
      </w:pPr>
    </w:lvl>
    <w:lvl w:ilvl="4" w:tplc="080A0019" w:tentative="1">
      <w:start w:val="1"/>
      <w:numFmt w:val="lowerLetter"/>
      <w:lvlText w:val="%5."/>
      <w:lvlJc w:val="left"/>
      <w:pPr>
        <w:ind w:left="3948" w:hanging="360"/>
      </w:pPr>
    </w:lvl>
    <w:lvl w:ilvl="5" w:tplc="080A001B" w:tentative="1">
      <w:start w:val="1"/>
      <w:numFmt w:val="lowerRoman"/>
      <w:lvlText w:val="%6."/>
      <w:lvlJc w:val="right"/>
      <w:pPr>
        <w:ind w:left="4668" w:hanging="180"/>
      </w:pPr>
    </w:lvl>
    <w:lvl w:ilvl="6" w:tplc="080A000F" w:tentative="1">
      <w:start w:val="1"/>
      <w:numFmt w:val="decimal"/>
      <w:lvlText w:val="%7."/>
      <w:lvlJc w:val="left"/>
      <w:pPr>
        <w:ind w:left="5388" w:hanging="360"/>
      </w:pPr>
    </w:lvl>
    <w:lvl w:ilvl="7" w:tplc="080A0019" w:tentative="1">
      <w:start w:val="1"/>
      <w:numFmt w:val="lowerLetter"/>
      <w:lvlText w:val="%8."/>
      <w:lvlJc w:val="left"/>
      <w:pPr>
        <w:ind w:left="6108" w:hanging="360"/>
      </w:pPr>
    </w:lvl>
    <w:lvl w:ilvl="8" w:tplc="080A001B" w:tentative="1">
      <w:start w:val="1"/>
      <w:numFmt w:val="lowerRoman"/>
      <w:lvlText w:val="%9."/>
      <w:lvlJc w:val="right"/>
      <w:pPr>
        <w:ind w:left="6828" w:hanging="180"/>
      </w:pPr>
    </w:lvl>
  </w:abstractNum>
  <w:abstractNum w:abstractNumId="1" w15:restartNumberingAfterBreak="0">
    <w:nsid w:val="25696EA7"/>
    <w:multiLevelType w:val="hybridMultilevel"/>
    <w:tmpl w:val="C5C47D3A"/>
    <w:lvl w:ilvl="0" w:tplc="8C120652">
      <w:start w:val="1"/>
      <w:numFmt w:val="lowerLetter"/>
      <w:lvlText w:val="%1)"/>
      <w:lvlJc w:val="left"/>
      <w:pPr>
        <w:ind w:left="1353" w:hanging="360"/>
      </w:pPr>
      <w:rPr>
        <w:rFonts w:hint="default"/>
      </w:rPr>
    </w:lvl>
    <w:lvl w:ilvl="1" w:tplc="080A0019" w:tentative="1">
      <w:start w:val="1"/>
      <w:numFmt w:val="lowerLetter"/>
      <w:lvlText w:val="%2."/>
      <w:lvlJc w:val="left"/>
      <w:pPr>
        <w:ind w:left="2073" w:hanging="360"/>
      </w:pPr>
    </w:lvl>
    <w:lvl w:ilvl="2" w:tplc="080A001B" w:tentative="1">
      <w:start w:val="1"/>
      <w:numFmt w:val="lowerRoman"/>
      <w:lvlText w:val="%3."/>
      <w:lvlJc w:val="right"/>
      <w:pPr>
        <w:ind w:left="2793" w:hanging="180"/>
      </w:pPr>
    </w:lvl>
    <w:lvl w:ilvl="3" w:tplc="080A000F" w:tentative="1">
      <w:start w:val="1"/>
      <w:numFmt w:val="decimal"/>
      <w:lvlText w:val="%4."/>
      <w:lvlJc w:val="left"/>
      <w:pPr>
        <w:ind w:left="3513" w:hanging="360"/>
      </w:pPr>
    </w:lvl>
    <w:lvl w:ilvl="4" w:tplc="080A0019" w:tentative="1">
      <w:start w:val="1"/>
      <w:numFmt w:val="lowerLetter"/>
      <w:lvlText w:val="%5."/>
      <w:lvlJc w:val="left"/>
      <w:pPr>
        <w:ind w:left="4233" w:hanging="360"/>
      </w:pPr>
    </w:lvl>
    <w:lvl w:ilvl="5" w:tplc="080A001B" w:tentative="1">
      <w:start w:val="1"/>
      <w:numFmt w:val="lowerRoman"/>
      <w:lvlText w:val="%6."/>
      <w:lvlJc w:val="right"/>
      <w:pPr>
        <w:ind w:left="4953" w:hanging="180"/>
      </w:pPr>
    </w:lvl>
    <w:lvl w:ilvl="6" w:tplc="080A000F" w:tentative="1">
      <w:start w:val="1"/>
      <w:numFmt w:val="decimal"/>
      <w:lvlText w:val="%7."/>
      <w:lvlJc w:val="left"/>
      <w:pPr>
        <w:ind w:left="5673" w:hanging="360"/>
      </w:pPr>
    </w:lvl>
    <w:lvl w:ilvl="7" w:tplc="080A0019" w:tentative="1">
      <w:start w:val="1"/>
      <w:numFmt w:val="lowerLetter"/>
      <w:lvlText w:val="%8."/>
      <w:lvlJc w:val="left"/>
      <w:pPr>
        <w:ind w:left="6393" w:hanging="360"/>
      </w:pPr>
    </w:lvl>
    <w:lvl w:ilvl="8" w:tplc="080A001B" w:tentative="1">
      <w:start w:val="1"/>
      <w:numFmt w:val="lowerRoman"/>
      <w:lvlText w:val="%9."/>
      <w:lvlJc w:val="right"/>
      <w:pPr>
        <w:ind w:left="7113" w:hanging="180"/>
      </w:pPr>
    </w:lvl>
  </w:abstractNum>
  <w:abstractNum w:abstractNumId="2" w15:restartNumberingAfterBreak="0">
    <w:nsid w:val="308C1D14"/>
    <w:multiLevelType w:val="hybridMultilevel"/>
    <w:tmpl w:val="7BFCDBEA"/>
    <w:lvl w:ilvl="0" w:tplc="2D4ABCA4">
      <w:start w:val="1"/>
      <w:numFmt w:val="decimal"/>
      <w:lvlText w:val="%1."/>
      <w:lvlJc w:val="left"/>
      <w:pPr>
        <w:ind w:left="1068" w:hanging="360"/>
      </w:pPr>
      <w:rPr>
        <w:rFonts w:hint="default"/>
        <w:b w:val="0"/>
      </w:rPr>
    </w:lvl>
    <w:lvl w:ilvl="1" w:tplc="080A0019" w:tentative="1">
      <w:start w:val="1"/>
      <w:numFmt w:val="lowerLetter"/>
      <w:lvlText w:val="%2."/>
      <w:lvlJc w:val="left"/>
      <w:pPr>
        <w:ind w:left="1788" w:hanging="360"/>
      </w:pPr>
    </w:lvl>
    <w:lvl w:ilvl="2" w:tplc="080A001B" w:tentative="1">
      <w:start w:val="1"/>
      <w:numFmt w:val="lowerRoman"/>
      <w:lvlText w:val="%3."/>
      <w:lvlJc w:val="right"/>
      <w:pPr>
        <w:ind w:left="2508" w:hanging="180"/>
      </w:pPr>
    </w:lvl>
    <w:lvl w:ilvl="3" w:tplc="080A000F" w:tentative="1">
      <w:start w:val="1"/>
      <w:numFmt w:val="decimal"/>
      <w:lvlText w:val="%4."/>
      <w:lvlJc w:val="left"/>
      <w:pPr>
        <w:ind w:left="3228" w:hanging="360"/>
      </w:pPr>
    </w:lvl>
    <w:lvl w:ilvl="4" w:tplc="080A0019" w:tentative="1">
      <w:start w:val="1"/>
      <w:numFmt w:val="lowerLetter"/>
      <w:lvlText w:val="%5."/>
      <w:lvlJc w:val="left"/>
      <w:pPr>
        <w:ind w:left="3948" w:hanging="360"/>
      </w:pPr>
    </w:lvl>
    <w:lvl w:ilvl="5" w:tplc="080A001B" w:tentative="1">
      <w:start w:val="1"/>
      <w:numFmt w:val="lowerRoman"/>
      <w:lvlText w:val="%6."/>
      <w:lvlJc w:val="right"/>
      <w:pPr>
        <w:ind w:left="4668" w:hanging="180"/>
      </w:pPr>
    </w:lvl>
    <w:lvl w:ilvl="6" w:tplc="080A000F" w:tentative="1">
      <w:start w:val="1"/>
      <w:numFmt w:val="decimal"/>
      <w:lvlText w:val="%7."/>
      <w:lvlJc w:val="left"/>
      <w:pPr>
        <w:ind w:left="5388" w:hanging="360"/>
      </w:pPr>
    </w:lvl>
    <w:lvl w:ilvl="7" w:tplc="080A0019" w:tentative="1">
      <w:start w:val="1"/>
      <w:numFmt w:val="lowerLetter"/>
      <w:lvlText w:val="%8."/>
      <w:lvlJc w:val="left"/>
      <w:pPr>
        <w:ind w:left="6108" w:hanging="360"/>
      </w:pPr>
    </w:lvl>
    <w:lvl w:ilvl="8" w:tplc="080A001B" w:tentative="1">
      <w:start w:val="1"/>
      <w:numFmt w:val="lowerRoman"/>
      <w:lvlText w:val="%9."/>
      <w:lvlJc w:val="right"/>
      <w:pPr>
        <w:ind w:left="6828" w:hanging="180"/>
      </w:pPr>
    </w:lvl>
  </w:abstractNum>
  <w:abstractNum w:abstractNumId="3" w15:restartNumberingAfterBreak="0">
    <w:nsid w:val="60740874"/>
    <w:multiLevelType w:val="hybridMultilevel"/>
    <w:tmpl w:val="EA507C90"/>
    <w:lvl w:ilvl="0" w:tplc="974CDC24">
      <w:start w:val="1"/>
      <w:numFmt w:val="lowerLetter"/>
      <w:lvlText w:val="%1)"/>
      <w:lvlJc w:val="left"/>
      <w:pPr>
        <w:ind w:left="1500" w:hanging="360"/>
      </w:pPr>
      <w:rPr>
        <w:rFonts w:hint="default"/>
      </w:rPr>
    </w:lvl>
    <w:lvl w:ilvl="1" w:tplc="080A0019" w:tentative="1">
      <w:start w:val="1"/>
      <w:numFmt w:val="lowerLetter"/>
      <w:lvlText w:val="%2."/>
      <w:lvlJc w:val="left"/>
      <w:pPr>
        <w:ind w:left="2220" w:hanging="360"/>
      </w:pPr>
    </w:lvl>
    <w:lvl w:ilvl="2" w:tplc="080A001B" w:tentative="1">
      <w:start w:val="1"/>
      <w:numFmt w:val="lowerRoman"/>
      <w:lvlText w:val="%3."/>
      <w:lvlJc w:val="right"/>
      <w:pPr>
        <w:ind w:left="2940" w:hanging="180"/>
      </w:pPr>
    </w:lvl>
    <w:lvl w:ilvl="3" w:tplc="080A000F" w:tentative="1">
      <w:start w:val="1"/>
      <w:numFmt w:val="decimal"/>
      <w:lvlText w:val="%4."/>
      <w:lvlJc w:val="left"/>
      <w:pPr>
        <w:ind w:left="3660" w:hanging="360"/>
      </w:pPr>
    </w:lvl>
    <w:lvl w:ilvl="4" w:tplc="080A0019" w:tentative="1">
      <w:start w:val="1"/>
      <w:numFmt w:val="lowerLetter"/>
      <w:lvlText w:val="%5."/>
      <w:lvlJc w:val="left"/>
      <w:pPr>
        <w:ind w:left="4380" w:hanging="360"/>
      </w:pPr>
    </w:lvl>
    <w:lvl w:ilvl="5" w:tplc="080A001B" w:tentative="1">
      <w:start w:val="1"/>
      <w:numFmt w:val="lowerRoman"/>
      <w:lvlText w:val="%6."/>
      <w:lvlJc w:val="right"/>
      <w:pPr>
        <w:ind w:left="5100" w:hanging="180"/>
      </w:pPr>
    </w:lvl>
    <w:lvl w:ilvl="6" w:tplc="080A000F" w:tentative="1">
      <w:start w:val="1"/>
      <w:numFmt w:val="decimal"/>
      <w:lvlText w:val="%7."/>
      <w:lvlJc w:val="left"/>
      <w:pPr>
        <w:ind w:left="5820" w:hanging="360"/>
      </w:pPr>
    </w:lvl>
    <w:lvl w:ilvl="7" w:tplc="080A0019" w:tentative="1">
      <w:start w:val="1"/>
      <w:numFmt w:val="lowerLetter"/>
      <w:lvlText w:val="%8."/>
      <w:lvlJc w:val="left"/>
      <w:pPr>
        <w:ind w:left="6540" w:hanging="360"/>
      </w:pPr>
    </w:lvl>
    <w:lvl w:ilvl="8" w:tplc="080A001B" w:tentative="1">
      <w:start w:val="1"/>
      <w:numFmt w:val="lowerRoman"/>
      <w:lvlText w:val="%9."/>
      <w:lvlJc w:val="right"/>
      <w:pPr>
        <w:ind w:left="7260" w:hanging="180"/>
      </w:pPr>
    </w:lvl>
  </w:abstractNum>
  <w:abstractNum w:abstractNumId="4" w15:restartNumberingAfterBreak="0">
    <w:nsid w:val="623F54E6"/>
    <w:multiLevelType w:val="hybridMultilevel"/>
    <w:tmpl w:val="92EAAA66"/>
    <w:lvl w:ilvl="0" w:tplc="80ACCA26">
      <w:start w:val="1"/>
      <w:numFmt w:val="upperRoman"/>
      <w:lvlText w:val="%1."/>
      <w:lvlJc w:val="left"/>
      <w:pPr>
        <w:ind w:left="1005" w:hanging="720"/>
      </w:pPr>
      <w:rPr>
        <w:rFonts w:hint="default"/>
      </w:rPr>
    </w:lvl>
    <w:lvl w:ilvl="1" w:tplc="080A0019" w:tentative="1">
      <w:start w:val="1"/>
      <w:numFmt w:val="lowerLetter"/>
      <w:lvlText w:val="%2."/>
      <w:lvlJc w:val="left"/>
      <w:pPr>
        <w:ind w:left="1365" w:hanging="360"/>
      </w:pPr>
    </w:lvl>
    <w:lvl w:ilvl="2" w:tplc="080A001B" w:tentative="1">
      <w:start w:val="1"/>
      <w:numFmt w:val="lowerRoman"/>
      <w:lvlText w:val="%3."/>
      <w:lvlJc w:val="right"/>
      <w:pPr>
        <w:ind w:left="2085" w:hanging="180"/>
      </w:pPr>
    </w:lvl>
    <w:lvl w:ilvl="3" w:tplc="080A000F" w:tentative="1">
      <w:start w:val="1"/>
      <w:numFmt w:val="decimal"/>
      <w:lvlText w:val="%4."/>
      <w:lvlJc w:val="left"/>
      <w:pPr>
        <w:ind w:left="2805" w:hanging="360"/>
      </w:pPr>
    </w:lvl>
    <w:lvl w:ilvl="4" w:tplc="080A0019" w:tentative="1">
      <w:start w:val="1"/>
      <w:numFmt w:val="lowerLetter"/>
      <w:lvlText w:val="%5."/>
      <w:lvlJc w:val="left"/>
      <w:pPr>
        <w:ind w:left="3525" w:hanging="360"/>
      </w:pPr>
    </w:lvl>
    <w:lvl w:ilvl="5" w:tplc="080A001B" w:tentative="1">
      <w:start w:val="1"/>
      <w:numFmt w:val="lowerRoman"/>
      <w:lvlText w:val="%6."/>
      <w:lvlJc w:val="right"/>
      <w:pPr>
        <w:ind w:left="4245" w:hanging="180"/>
      </w:pPr>
    </w:lvl>
    <w:lvl w:ilvl="6" w:tplc="080A000F" w:tentative="1">
      <w:start w:val="1"/>
      <w:numFmt w:val="decimal"/>
      <w:lvlText w:val="%7."/>
      <w:lvlJc w:val="left"/>
      <w:pPr>
        <w:ind w:left="4965" w:hanging="360"/>
      </w:pPr>
    </w:lvl>
    <w:lvl w:ilvl="7" w:tplc="080A0019" w:tentative="1">
      <w:start w:val="1"/>
      <w:numFmt w:val="lowerLetter"/>
      <w:lvlText w:val="%8."/>
      <w:lvlJc w:val="left"/>
      <w:pPr>
        <w:ind w:left="5685" w:hanging="360"/>
      </w:pPr>
    </w:lvl>
    <w:lvl w:ilvl="8" w:tplc="080A001B" w:tentative="1">
      <w:start w:val="1"/>
      <w:numFmt w:val="lowerRoman"/>
      <w:lvlText w:val="%9."/>
      <w:lvlJc w:val="right"/>
      <w:pPr>
        <w:ind w:left="6405" w:hanging="180"/>
      </w:pPr>
    </w:lvl>
  </w:abstractNum>
  <w:abstractNum w:abstractNumId="5" w15:restartNumberingAfterBreak="0">
    <w:nsid w:val="6C9D188F"/>
    <w:multiLevelType w:val="hybridMultilevel"/>
    <w:tmpl w:val="4A1ED532"/>
    <w:lvl w:ilvl="0" w:tplc="86560DF6">
      <w:start w:val="1"/>
      <w:numFmt w:val="upperLetter"/>
      <w:lvlText w:val="%1)"/>
      <w:lvlJc w:val="left"/>
      <w:pPr>
        <w:ind w:left="720" w:hanging="360"/>
      </w:pPr>
      <w:rPr>
        <w:rFonts w:ascii="Arial" w:eastAsiaTheme="minorHAnsi" w:hAnsi="Arial" w:cs="Arial"/>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6" w15:restartNumberingAfterBreak="0">
    <w:nsid w:val="7DB96EDB"/>
    <w:multiLevelType w:val="hybridMultilevel"/>
    <w:tmpl w:val="CCA21A50"/>
    <w:lvl w:ilvl="0" w:tplc="8B42D542">
      <w:numFmt w:val="bullet"/>
      <w:lvlText w:val=""/>
      <w:lvlJc w:val="left"/>
      <w:pPr>
        <w:ind w:left="1068" w:hanging="360"/>
      </w:pPr>
      <w:rPr>
        <w:rFonts w:ascii="Symbol" w:eastAsiaTheme="minorHAnsi" w:hAnsi="Symbol" w:cs="Arial" w:hint="default"/>
      </w:rPr>
    </w:lvl>
    <w:lvl w:ilvl="1" w:tplc="080A0003">
      <w:start w:val="1"/>
      <w:numFmt w:val="bullet"/>
      <w:lvlText w:val="o"/>
      <w:lvlJc w:val="left"/>
      <w:pPr>
        <w:ind w:left="1788" w:hanging="360"/>
      </w:pPr>
      <w:rPr>
        <w:rFonts w:ascii="Courier New" w:hAnsi="Courier New" w:cs="Courier New" w:hint="default"/>
      </w:rPr>
    </w:lvl>
    <w:lvl w:ilvl="2" w:tplc="080A0005" w:tentative="1">
      <w:start w:val="1"/>
      <w:numFmt w:val="bullet"/>
      <w:lvlText w:val=""/>
      <w:lvlJc w:val="left"/>
      <w:pPr>
        <w:ind w:left="2508" w:hanging="360"/>
      </w:pPr>
      <w:rPr>
        <w:rFonts w:ascii="Wingdings" w:hAnsi="Wingdings" w:hint="default"/>
      </w:rPr>
    </w:lvl>
    <w:lvl w:ilvl="3" w:tplc="080A0001" w:tentative="1">
      <w:start w:val="1"/>
      <w:numFmt w:val="bullet"/>
      <w:lvlText w:val=""/>
      <w:lvlJc w:val="left"/>
      <w:pPr>
        <w:ind w:left="3228" w:hanging="360"/>
      </w:pPr>
      <w:rPr>
        <w:rFonts w:ascii="Symbol" w:hAnsi="Symbol" w:hint="default"/>
      </w:rPr>
    </w:lvl>
    <w:lvl w:ilvl="4" w:tplc="080A0003" w:tentative="1">
      <w:start w:val="1"/>
      <w:numFmt w:val="bullet"/>
      <w:lvlText w:val="o"/>
      <w:lvlJc w:val="left"/>
      <w:pPr>
        <w:ind w:left="3948" w:hanging="360"/>
      </w:pPr>
      <w:rPr>
        <w:rFonts w:ascii="Courier New" w:hAnsi="Courier New" w:cs="Courier New" w:hint="default"/>
      </w:rPr>
    </w:lvl>
    <w:lvl w:ilvl="5" w:tplc="080A0005" w:tentative="1">
      <w:start w:val="1"/>
      <w:numFmt w:val="bullet"/>
      <w:lvlText w:val=""/>
      <w:lvlJc w:val="left"/>
      <w:pPr>
        <w:ind w:left="4668" w:hanging="360"/>
      </w:pPr>
      <w:rPr>
        <w:rFonts w:ascii="Wingdings" w:hAnsi="Wingdings" w:hint="default"/>
      </w:rPr>
    </w:lvl>
    <w:lvl w:ilvl="6" w:tplc="080A0001" w:tentative="1">
      <w:start w:val="1"/>
      <w:numFmt w:val="bullet"/>
      <w:lvlText w:val=""/>
      <w:lvlJc w:val="left"/>
      <w:pPr>
        <w:ind w:left="5388" w:hanging="360"/>
      </w:pPr>
      <w:rPr>
        <w:rFonts w:ascii="Symbol" w:hAnsi="Symbol" w:hint="default"/>
      </w:rPr>
    </w:lvl>
    <w:lvl w:ilvl="7" w:tplc="080A0003" w:tentative="1">
      <w:start w:val="1"/>
      <w:numFmt w:val="bullet"/>
      <w:lvlText w:val="o"/>
      <w:lvlJc w:val="left"/>
      <w:pPr>
        <w:ind w:left="6108" w:hanging="360"/>
      </w:pPr>
      <w:rPr>
        <w:rFonts w:ascii="Courier New" w:hAnsi="Courier New" w:cs="Courier New" w:hint="default"/>
      </w:rPr>
    </w:lvl>
    <w:lvl w:ilvl="8" w:tplc="080A0005" w:tentative="1">
      <w:start w:val="1"/>
      <w:numFmt w:val="bullet"/>
      <w:lvlText w:val=""/>
      <w:lvlJc w:val="left"/>
      <w:pPr>
        <w:ind w:left="6828" w:hanging="360"/>
      </w:pPr>
      <w:rPr>
        <w:rFonts w:ascii="Wingdings" w:hAnsi="Wingdings" w:hint="default"/>
      </w:rPr>
    </w:lvl>
  </w:abstractNum>
  <w:num w:numId="1" w16cid:durableId="1159660316">
    <w:abstractNumId w:val="2"/>
  </w:num>
  <w:num w:numId="2" w16cid:durableId="837304487">
    <w:abstractNumId w:val="1"/>
  </w:num>
  <w:num w:numId="3" w16cid:durableId="1045562435">
    <w:abstractNumId w:val="3"/>
  </w:num>
  <w:num w:numId="4" w16cid:durableId="1241984308">
    <w:abstractNumId w:val="0"/>
  </w:num>
  <w:num w:numId="5" w16cid:durableId="347297656">
    <w:abstractNumId w:val="4"/>
  </w:num>
  <w:num w:numId="6" w16cid:durableId="1266233819">
    <w:abstractNumId w:val="5"/>
  </w:num>
  <w:num w:numId="7" w16cid:durableId="1369794622">
    <w:abstractNumId w:val="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mirrorMargins/>
  <w:proofState w:spelling="clean" w:grammar="clean"/>
  <w:defaultTabStop w:val="708"/>
  <w:hyphenationZone w:val="425"/>
  <w:characterSpacingControl w:val="doNotCompress"/>
  <w:hdrShapeDefaults>
    <o:shapedefaults v:ext="edit" spidmax="2051"/>
    <o:shapelayout v:ext="edit">
      <o:idmap v:ext="edit" data="2"/>
    </o:shapelayout>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640240"/>
    <w:rsid w:val="00000185"/>
    <w:rsid w:val="0000129F"/>
    <w:rsid w:val="00002E71"/>
    <w:rsid w:val="00002F70"/>
    <w:rsid w:val="00003DDD"/>
    <w:rsid w:val="000054A2"/>
    <w:rsid w:val="00006E2A"/>
    <w:rsid w:val="000070AE"/>
    <w:rsid w:val="0000748D"/>
    <w:rsid w:val="00007B51"/>
    <w:rsid w:val="00010528"/>
    <w:rsid w:val="000109E4"/>
    <w:rsid w:val="000125A9"/>
    <w:rsid w:val="00012762"/>
    <w:rsid w:val="00012D64"/>
    <w:rsid w:val="0001302A"/>
    <w:rsid w:val="0002020F"/>
    <w:rsid w:val="00020339"/>
    <w:rsid w:val="000214C8"/>
    <w:rsid w:val="00021586"/>
    <w:rsid w:val="00022D97"/>
    <w:rsid w:val="00023964"/>
    <w:rsid w:val="00024046"/>
    <w:rsid w:val="0002489A"/>
    <w:rsid w:val="00025216"/>
    <w:rsid w:val="000252F9"/>
    <w:rsid w:val="00025B99"/>
    <w:rsid w:val="000265CB"/>
    <w:rsid w:val="000268AE"/>
    <w:rsid w:val="00032755"/>
    <w:rsid w:val="00033A92"/>
    <w:rsid w:val="00034A10"/>
    <w:rsid w:val="000364B3"/>
    <w:rsid w:val="00037568"/>
    <w:rsid w:val="000378BA"/>
    <w:rsid w:val="00037AFB"/>
    <w:rsid w:val="000400C0"/>
    <w:rsid w:val="00041042"/>
    <w:rsid w:val="000418A4"/>
    <w:rsid w:val="00042BD6"/>
    <w:rsid w:val="00043617"/>
    <w:rsid w:val="00043943"/>
    <w:rsid w:val="00045647"/>
    <w:rsid w:val="00047223"/>
    <w:rsid w:val="00050977"/>
    <w:rsid w:val="00052B0A"/>
    <w:rsid w:val="00054606"/>
    <w:rsid w:val="00054DF6"/>
    <w:rsid w:val="00056EBB"/>
    <w:rsid w:val="00056EEE"/>
    <w:rsid w:val="000575BB"/>
    <w:rsid w:val="000606E5"/>
    <w:rsid w:val="00060A65"/>
    <w:rsid w:val="0006273F"/>
    <w:rsid w:val="00062DC6"/>
    <w:rsid w:val="00066A1F"/>
    <w:rsid w:val="000679B2"/>
    <w:rsid w:val="00067DE1"/>
    <w:rsid w:val="00073453"/>
    <w:rsid w:val="00073771"/>
    <w:rsid w:val="00073DA8"/>
    <w:rsid w:val="000740B4"/>
    <w:rsid w:val="0007623E"/>
    <w:rsid w:val="00080379"/>
    <w:rsid w:val="00080B5C"/>
    <w:rsid w:val="0008431D"/>
    <w:rsid w:val="00084FF9"/>
    <w:rsid w:val="00085C5D"/>
    <w:rsid w:val="00086629"/>
    <w:rsid w:val="00087D42"/>
    <w:rsid w:val="000920FC"/>
    <w:rsid w:val="00092B13"/>
    <w:rsid w:val="00094496"/>
    <w:rsid w:val="000971FD"/>
    <w:rsid w:val="000A1953"/>
    <w:rsid w:val="000A3141"/>
    <w:rsid w:val="000A3C52"/>
    <w:rsid w:val="000A3D11"/>
    <w:rsid w:val="000A3F61"/>
    <w:rsid w:val="000A653D"/>
    <w:rsid w:val="000A712A"/>
    <w:rsid w:val="000A749A"/>
    <w:rsid w:val="000A76A2"/>
    <w:rsid w:val="000A7D40"/>
    <w:rsid w:val="000A7EF7"/>
    <w:rsid w:val="000B07FD"/>
    <w:rsid w:val="000B2F85"/>
    <w:rsid w:val="000B38F2"/>
    <w:rsid w:val="000B41EC"/>
    <w:rsid w:val="000B51EE"/>
    <w:rsid w:val="000B5202"/>
    <w:rsid w:val="000C1072"/>
    <w:rsid w:val="000C2D07"/>
    <w:rsid w:val="000C5A57"/>
    <w:rsid w:val="000D03A5"/>
    <w:rsid w:val="000D0E14"/>
    <w:rsid w:val="000D32FD"/>
    <w:rsid w:val="000D332F"/>
    <w:rsid w:val="000D6626"/>
    <w:rsid w:val="000D6D16"/>
    <w:rsid w:val="000D7002"/>
    <w:rsid w:val="000D7442"/>
    <w:rsid w:val="000E0164"/>
    <w:rsid w:val="000E0AD9"/>
    <w:rsid w:val="000E1EA6"/>
    <w:rsid w:val="000E38C0"/>
    <w:rsid w:val="000E3B74"/>
    <w:rsid w:val="000E43FC"/>
    <w:rsid w:val="000E7B24"/>
    <w:rsid w:val="000F17ED"/>
    <w:rsid w:val="000F2A5A"/>
    <w:rsid w:val="000F3A12"/>
    <w:rsid w:val="000F406C"/>
    <w:rsid w:val="000F682D"/>
    <w:rsid w:val="000F71FE"/>
    <w:rsid w:val="00100DBA"/>
    <w:rsid w:val="0010130E"/>
    <w:rsid w:val="0010171D"/>
    <w:rsid w:val="00101E9D"/>
    <w:rsid w:val="00102428"/>
    <w:rsid w:val="00103E7F"/>
    <w:rsid w:val="00104D32"/>
    <w:rsid w:val="001052E5"/>
    <w:rsid w:val="001057B8"/>
    <w:rsid w:val="00105C6F"/>
    <w:rsid w:val="001062D2"/>
    <w:rsid w:val="00106C22"/>
    <w:rsid w:val="00107841"/>
    <w:rsid w:val="00111CA2"/>
    <w:rsid w:val="001130B3"/>
    <w:rsid w:val="0011343F"/>
    <w:rsid w:val="001138F8"/>
    <w:rsid w:val="00117552"/>
    <w:rsid w:val="00117886"/>
    <w:rsid w:val="00120FD2"/>
    <w:rsid w:val="00121484"/>
    <w:rsid w:val="001239FF"/>
    <w:rsid w:val="00124121"/>
    <w:rsid w:val="00124E09"/>
    <w:rsid w:val="00131D15"/>
    <w:rsid w:val="00132191"/>
    <w:rsid w:val="001323F3"/>
    <w:rsid w:val="00132D25"/>
    <w:rsid w:val="0013537E"/>
    <w:rsid w:val="00136797"/>
    <w:rsid w:val="00143151"/>
    <w:rsid w:val="00150601"/>
    <w:rsid w:val="00150787"/>
    <w:rsid w:val="0015177E"/>
    <w:rsid w:val="00154068"/>
    <w:rsid w:val="00154BB8"/>
    <w:rsid w:val="00154E74"/>
    <w:rsid w:val="00160131"/>
    <w:rsid w:val="00160942"/>
    <w:rsid w:val="00160AF0"/>
    <w:rsid w:val="00162137"/>
    <w:rsid w:val="00162198"/>
    <w:rsid w:val="00163B6F"/>
    <w:rsid w:val="00164320"/>
    <w:rsid w:val="00164FAD"/>
    <w:rsid w:val="0016706C"/>
    <w:rsid w:val="001721C6"/>
    <w:rsid w:val="00172912"/>
    <w:rsid w:val="00173C5C"/>
    <w:rsid w:val="00174AD4"/>
    <w:rsid w:val="0017525B"/>
    <w:rsid w:val="001770F1"/>
    <w:rsid w:val="001771FB"/>
    <w:rsid w:val="00182700"/>
    <w:rsid w:val="00184097"/>
    <w:rsid w:val="00184A54"/>
    <w:rsid w:val="00185A8C"/>
    <w:rsid w:val="001866CE"/>
    <w:rsid w:val="00187B21"/>
    <w:rsid w:val="0019193E"/>
    <w:rsid w:val="00196D71"/>
    <w:rsid w:val="00197CCC"/>
    <w:rsid w:val="001A273D"/>
    <w:rsid w:val="001A2E7B"/>
    <w:rsid w:val="001A3488"/>
    <w:rsid w:val="001A360C"/>
    <w:rsid w:val="001A420D"/>
    <w:rsid w:val="001A551E"/>
    <w:rsid w:val="001A7108"/>
    <w:rsid w:val="001A761C"/>
    <w:rsid w:val="001A7C13"/>
    <w:rsid w:val="001B0015"/>
    <w:rsid w:val="001B1D93"/>
    <w:rsid w:val="001B31AA"/>
    <w:rsid w:val="001B3EDE"/>
    <w:rsid w:val="001C0584"/>
    <w:rsid w:val="001C194C"/>
    <w:rsid w:val="001C27B8"/>
    <w:rsid w:val="001C2FEE"/>
    <w:rsid w:val="001C4D2B"/>
    <w:rsid w:val="001C581E"/>
    <w:rsid w:val="001D595D"/>
    <w:rsid w:val="001D7D72"/>
    <w:rsid w:val="001E3BAC"/>
    <w:rsid w:val="001E468F"/>
    <w:rsid w:val="001E47D1"/>
    <w:rsid w:val="001E53BA"/>
    <w:rsid w:val="001E7EB8"/>
    <w:rsid w:val="001F174D"/>
    <w:rsid w:val="001F20B4"/>
    <w:rsid w:val="001F2521"/>
    <w:rsid w:val="001F670A"/>
    <w:rsid w:val="001F7825"/>
    <w:rsid w:val="00200C8A"/>
    <w:rsid w:val="002019F1"/>
    <w:rsid w:val="00204439"/>
    <w:rsid w:val="00204FDA"/>
    <w:rsid w:val="002053BA"/>
    <w:rsid w:val="00206154"/>
    <w:rsid w:val="002065C1"/>
    <w:rsid w:val="0021046C"/>
    <w:rsid w:val="00210846"/>
    <w:rsid w:val="0021209A"/>
    <w:rsid w:val="00215252"/>
    <w:rsid w:val="00215310"/>
    <w:rsid w:val="00215CFB"/>
    <w:rsid w:val="0022291D"/>
    <w:rsid w:val="00223701"/>
    <w:rsid w:val="00224781"/>
    <w:rsid w:val="00224B12"/>
    <w:rsid w:val="00225794"/>
    <w:rsid w:val="00225DD6"/>
    <w:rsid w:val="002273C1"/>
    <w:rsid w:val="00227673"/>
    <w:rsid w:val="00227B0E"/>
    <w:rsid w:val="00230C37"/>
    <w:rsid w:val="00231BB4"/>
    <w:rsid w:val="00236040"/>
    <w:rsid w:val="00237BFA"/>
    <w:rsid w:val="00242030"/>
    <w:rsid w:val="00242A10"/>
    <w:rsid w:val="00243840"/>
    <w:rsid w:val="00244832"/>
    <w:rsid w:val="0024563C"/>
    <w:rsid w:val="00245911"/>
    <w:rsid w:val="00245B7F"/>
    <w:rsid w:val="00247186"/>
    <w:rsid w:val="002476D8"/>
    <w:rsid w:val="002505F9"/>
    <w:rsid w:val="00250EDB"/>
    <w:rsid w:val="00251C7F"/>
    <w:rsid w:val="00256213"/>
    <w:rsid w:val="00260406"/>
    <w:rsid w:val="00261905"/>
    <w:rsid w:val="00264161"/>
    <w:rsid w:val="00264419"/>
    <w:rsid w:val="00266D60"/>
    <w:rsid w:val="002679C5"/>
    <w:rsid w:val="002723B8"/>
    <w:rsid w:val="00272998"/>
    <w:rsid w:val="00273025"/>
    <w:rsid w:val="00273681"/>
    <w:rsid w:val="0027404B"/>
    <w:rsid w:val="00274646"/>
    <w:rsid w:val="00274840"/>
    <w:rsid w:val="00275008"/>
    <w:rsid w:val="002777B4"/>
    <w:rsid w:val="00277BF9"/>
    <w:rsid w:val="00277F55"/>
    <w:rsid w:val="00280C38"/>
    <w:rsid w:val="00282C25"/>
    <w:rsid w:val="002832C5"/>
    <w:rsid w:val="0028392C"/>
    <w:rsid w:val="00284F95"/>
    <w:rsid w:val="0028642F"/>
    <w:rsid w:val="00287C42"/>
    <w:rsid w:val="00293574"/>
    <w:rsid w:val="00293C1E"/>
    <w:rsid w:val="002960E1"/>
    <w:rsid w:val="002968D0"/>
    <w:rsid w:val="002A119F"/>
    <w:rsid w:val="002A1220"/>
    <w:rsid w:val="002A1A88"/>
    <w:rsid w:val="002A305E"/>
    <w:rsid w:val="002A3B02"/>
    <w:rsid w:val="002A534A"/>
    <w:rsid w:val="002A70E2"/>
    <w:rsid w:val="002B033F"/>
    <w:rsid w:val="002B047A"/>
    <w:rsid w:val="002B0582"/>
    <w:rsid w:val="002B0633"/>
    <w:rsid w:val="002B1091"/>
    <w:rsid w:val="002B14A6"/>
    <w:rsid w:val="002B2E19"/>
    <w:rsid w:val="002B7125"/>
    <w:rsid w:val="002B797C"/>
    <w:rsid w:val="002B7BD2"/>
    <w:rsid w:val="002C05D9"/>
    <w:rsid w:val="002C3F59"/>
    <w:rsid w:val="002C53F6"/>
    <w:rsid w:val="002D0034"/>
    <w:rsid w:val="002D049B"/>
    <w:rsid w:val="002D0A58"/>
    <w:rsid w:val="002D1C5C"/>
    <w:rsid w:val="002D3821"/>
    <w:rsid w:val="002D41AF"/>
    <w:rsid w:val="002D4755"/>
    <w:rsid w:val="002D50CB"/>
    <w:rsid w:val="002E0A6B"/>
    <w:rsid w:val="002E0C00"/>
    <w:rsid w:val="002E1B26"/>
    <w:rsid w:val="002E2299"/>
    <w:rsid w:val="002E2D06"/>
    <w:rsid w:val="002E4128"/>
    <w:rsid w:val="002E4589"/>
    <w:rsid w:val="002E45CD"/>
    <w:rsid w:val="002E6842"/>
    <w:rsid w:val="002E7960"/>
    <w:rsid w:val="002F02CC"/>
    <w:rsid w:val="002F0653"/>
    <w:rsid w:val="002F0DE0"/>
    <w:rsid w:val="002F173D"/>
    <w:rsid w:val="002F4152"/>
    <w:rsid w:val="002F510D"/>
    <w:rsid w:val="002F7E67"/>
    <w:rsid w:val="002F7E96"/>
    <w:rsid w:val="00300B3D"/>
    <w:rsid w:val="00300D5A"/>
    <w:rsid w:val="00310B88"/>
    <w:rsid w:val="00314069"/>
    <w:rsid w:val="00315E00"/>
    <w:rsid w:val="003171EB"/>
    <w:rsid w:val="00321363"/>
    <w:rsid w:val="0032191E"/>
    <w:rsid w:val="003232EF"/>
    <w:rsid w:val="00323A0D"/>
    <w:rsid w:val="00324531"/>
    <w:rsid w:val="0032672E"/>
    <w:rsid w:val="00326C9D"/>
    <w:rsid w:val="00327FE7"/>
    <w:rsid w:val="00331366"/>
    <w:rsid w:val="00331788"/>
    <w:rsid w:val="003328A1"/>
    <w:rsid w:val="00332968"/>
    <w:rsid w:val="00334280"/>
    <w:rsid w:val="003370E1"/>
    <w:rsid w:val="003416F3"/>
    <w:rsid w:val="0034172C"/>
    <w:rsid w:val="00341E59"/>
    <w:rsid w:val="00345B0C"/>
    <w:rsid w:val="0034623D"/>
    <w:rsid w:val="003464E0"/>
    <w:rsid w:val="003525C9"/>
    <w:rsid w:val="003528A6"/>
    <w:rsid w:val="00354AAF"/>
    <w:rsid w:val="0035595B"/>
    <w:rsid w:val="0035713D"/>
    <w:rsid w:val="003605D0"/>
    <w:rsid w:val="00362621"/>
    <w:rsid w:val="00362B10"/>
    <w:rsid w:val="00362B9F"/>
    <w:rsid w:val="003646A8"/>
    <w:rsid w:val="0036559B"/>
    <w:rsid w:val="00365F83"/>
    <w:rsid w:val="00367074"/>
    <w:rsid w:val="00367CD8"/>
    <w:rsid w:val="00367E94"/>
    <w:rsid w:val="00370DDF"/>
    <w:rsid w:val="00371077"/>
    <w:rsid w:val="00371561"/>
    <w:rsid w:val="00372164"/>
    <w:rsid w:val="00372348"/>
    <w:rsid w:val="003730F1"/>
    <w:rsid w:val="003736B9"/>
    <w:rsid w:val="003739C0"/>
    <w:rsid w:val="00374EFB"/>
    <w:rsid w:val="00374F50"/>
    <w:rsid w:val="0037509C"/>
    <w:rsid w:val="00375885"/>
    <w:rsid w:val="00375B6F"/>
    <w:rsid w:val="003763B0"/>
    <w:rsid w:val="00376FD6"/>
    <w:rsid w:val="0037735A"/>
    <w:rsid w:val="0038465F"/>
    <w:rsid w:val="00384D88"/>
    <w:rsid w:val="003869AD"/>
    <w:rsid w:val="00387429"/>
    <w:rsid w:val="00387568"/>
    <w:rsid w:val="00387F33"/>
    <w:rsid w:val="00390B3C"/>
    <w:rsid w:val="00390E64"/>
    <w:rsid w:val="0039171C"/>
    <w:rsid w:val="00391F24"/>
    <w:rsid w:val="00393A57"/>
    <w:rsid w:val="003941A2"/>
    <w:rsid w:val="0039484D"/>
    <w:rsid w:val="00394F81"/>
    <w:rsid w:val="00396F92"/>
    <w:rsid w:val="003A19E0"/>
    <w:rsid w:val="003A257E"/>
    <w:rsid w:val="003A4548"/>
    <w:rsid w:val="003A54A8"/>
    <w:rsid w:val="003A5730"/>
    <w:rsid w:val="003A6F4F"/>
    <w:rsid w:val="003A766C"/>
    <w:rsid w:val="003B1785"/>
    <w:rsid w:val="003B1E1B"/>
    <w:rsid w:val="003B24B8"/>
    <w:rsid w:val="003B3C3C"/>
    <w:rsid w:val="003B4F0A"/>
    <w:rsid w:val="003B7E4D"/>
    <w:rsid w:val="003C07A2"/>
    <w:rsid w:val="003C2345"/>
    <w:rsid w:val="003C38DB"/>
    <w:rsid w:val="003C3D92"/>
    <w:rsid w:val="003C5391"/>
    <w:rsid w:val="003C5C1B"/>
    <w:rsid w:val="003D07EE"/>
    <w:rsid w:val="003D1756"/>
    <w:rsid w:val="003D231C"/>
    <w:rsid w:val="003D6F67"/>
    <w:rsid w:val="003E0290"/>
    <w:rsid w:val="003E088F"/>
    <w:rsid w:val="003E104E"/>
    <w:rsid w:val="003E204A"/>
    <w:rsid w:val="003E30FA"/>
    <w:rsid w:val="003E3AE3"/>
    <w:rsid w:val="003E4778"/>
    <w:rsid w:val="003E525F"/>
    <w:rsid w:val="003E6BD1"/>
    <w:rsid w:val="003E6DFB"/>
    <w:rsid w:val="003E71EB"/>
    <w:rsid w:val="003E7C91"/>
    <w:rsid w:val="003E7FAE"/>
    <w:rsid w:val="003F1214"/>
    <w:rsid w:val="003F172C"/>
    <w:rsid w:val="003F463D"/>
    <w:rsid w:val="003F4F5C"/>
    <w:rsid w:val="003F5F1A"/>
    <w:rsid w:val="003F6940"/>
    <w:rsid w:val="003F7700"/>
    <w:rsid w:val="003F7AB5"/>
    <w:rsid w:val="00400D7D"/>
    <w:rsid w:val="00402CA6"/>
    <w:rsid w:val="00403250"/>
    <w:rsid w:val="00406C4D"/>
    <w:rsid w:val="00407214"/>
    <w:rsid w:val="00412725"/>
    <w:rsid w:val="00413791"/>
    <w:rsid w:val="00413B0F"/>
    <w:rsid w:val="00413F61"/>
    <w:rsid w:val="00414063"/>
    <w:rsid w:val="00414D63"/>
    <w:rsid w:val="00415058"/>
    <w:rsid w:val="00415B61"/>
    <w:rsid w:val="004168B9"/>
    <w:rsid w:val="00417991"/>
    <w:rsid w:val="00417AEB"/>
    <w:rsid w:val="00420019"/>
    <w:rsid w:val="004256FC"/>
    <w:rsid w:val="0042675B"/>
    <w:rsid w:val="00427547"/>
    <w:rsid w:val="0043148E"/>
    <w:rsid w:val="004319A5"/>
    <w:rsid w:val="00431BB8"/>
    <w:rsid w:val="00432A10"/>
    <w:rsid w:val="0043315D"/>
    <w:rsid w:val="00433354"/>
    <w:rsid w:val="00433706"/>
    <w:rsid w:val="00433716"/>
    <w:rsid w:val="00434450"/>
    <w:rsid w:val="00434D4A"/>
    <w:rsid w:val="00434FEC"/>
    <w:rsid w:val="00440D9A"/>
    <w:rsid w:val="00440DC5"/>
    <w:rsid w:val="0044124C"/>
    <w:rsid w:val="004424D7"/>
    <w:rsid w:val="00442B17"/>
    <w:rsid w:val="0044490A"/>
    <w:rsid w:val="00446E39"/>
    <w:rsid w:val="00452E13"/>
    <w:rsid w:val="00454AEC"/>
    <w:rsid w:val="00456E66"/>
    <w:rsid w:val="00457534"/>
    <w:rsid w:val="00457F1F"/>
    <w:rsid w:val="0046188A"/>
    <w:rsid w:val="0046298F"/>
    <w:rsid w:val="00463209"/>
    <w:rsid w:val="00464A4A"/>
    <w:rsid w:val="00465C4F"/>
    <w:rsid w:val="004667D8"/>
    <w:rsid w:val="00470598"/>
    <w:rsid w:val="00471217"/>
    <w:rsid w:val="00472536"/>
    <w:rsid w:val="00472D9E"/>
    <w:rsid w:val="00473912"/>
    <w:rsid w:val="00475A77"/>
    <w:rsid w:val="00476E4D"/>
    <w:rsid w:val="00476F7D"/>
    <w:rsid w:val="004775EB"/>
    <w:rsid w:val="004808C5"/>
    <w:rsid w:val="00480C7E"/>
    <w:rsid w:val="00481558"/>
    <w:rsid w:val="00482137"/>
    <w:rsid w:val="004839B4"/>
    <w:rsid w:val="004847B0"/>
    <w:rsid w:val="00484921"/>
    <w:rsid w:val="00485500"/>
    <w:rsid w:val="0048552C"/>
    <w:rsid w:val="00485BB2"/>
    <w:rsid w:val="0048608F"/>
    <w:rsid w:val="00486AED"/>
    <w:rsid w:val="00493F4D"/>
    <w:rsid w:val="004943A0"/>
    <w:rsid w:val="004953B5"/>
    <w:rsid w:val="004953DE"/>
    <w:rsid w:val="004A0636"/>
    <w:rsid w:val="004A0969"/>
    <w:rsid w:val="004A0ACE"/>
    <w:rsid w:val="004A3624"/>
    <w:rsid w:val="004A7834"/>
    <w:rsid w:val="004B074C"/>
    <w:rsid w:val="004B21D3"/>
    <w:rsid w:val="004B3184"/>
    <w:rsid w:val="004B38DE"/>
    <w:rsid w:val="004B4229"/>
    <w:rsid w:val="004B524C"/>
    <w:rsid w:val="004B55EA"/>
    <w:rsid w:val="004B5DC4"/>
    <w:rsid w:val="004B768F"/>
    <w:rsid w:val="004C0A0A"/>
    <w:rsid w:val="004C0E52"/>
    <w:rsid w:val="004C1605"/>
    <w:rsid w:val="004C287A"/>
    <w:rsid w:val="004C40E8"/>
    <w:rsid w:val="004C4AE3"/>
    <w:rsid w:val="004C5180"/>
    <w:rsid w:val="004C53EB"/>
    <w:rsid w:val="004C7B48"/>
    <w:rsid w:val="004C7C3E"/>
    <w:rsid w:val="004D1F2C"/>
    <w:rsid w:val="004D27B4"/>
    <w:rsid w:val="004D369F"/>
    <w:rsid w:val="004D36EF"/>
    <w:rsid w:val="004D3942"/>
    <w:rsid w:val="004D4191"/>
    <w:rsid w:val="004D48D5"/>
    <w:rsid w:val="004D49E7"/>
    <w:rsid w:val="004D7A34"/>
    <w:rsid w:val="004D7E78"/>
    <w:rsid w:val="004E1604"/>
    <w:rsid w:val="004E16B4"/>
    <w:rsid w:val="004E21EE"/>
    <w:rsid w:val="004E2D52"/>
    <w:rsid w:val="004E3647"/>
    <w:rsid w:val="004E3EF3"/>
    <w:rsid w:val="004E42B9"/>
    <w:rsid w:val="004E594A"/>
    <w:rsid w:val="004E6A61"/>
    <w:rsid w:val="004E6D38"/>
    <w:rsid w:val="004F0041"/>
    <w:rsid w:val="004F0602"/>
    <w:rsid w:val="004F162F"/>
    <w:rsid w:val="004F54A2"/>
    <w:rsid w:val="004F68EE"/>
    <w:rsid w:val="004F6F81"/>
    <w:rsid w:val="004F74B5"/>
    <w:rsid w:val="0050028A"/>
    <w:rsid w:val="00500F92"/>
    <w:rsid w:val="00502478"/>
    <w:rsid w:val="00502589"/>
    <w:rsid w:val="00502D4F"/>
    <w:rsid w:val="00502DA7"/>
    <w:rsid w:val="00504FCD"/>
    <w:rsid w:val="005108C4"/>
    <w:rsid w:val="00510BB9"/>
    <w:rsid w:val="005129E0"/>
    <w:rsid w:val="00512B63"/>
    <w:rsid w:val="0051390F"/>
    <w:rsid w:val="005221FE"/>
    <w:rsid w:val="00522A4F"/>
    <w:rsid w:val="00522C05"/>
    <w:rsid w:val="00523223"/>
    <w:rsid w:val="0052369A"/>
    <w:rsid w:val="00523A3B"/>
    <w:rsid w:val="005247FF"/>
    <w:rsid w:val="00524EF5"/>
    <w:rsid w:val="00525109"/>
    <w:rsid w:val="005277AB"/>
    <w:rsid w:val="00527A5C"/>
    <w:rsid w:val="00527EE7"/>
    <w:rsid w:val="00530964"/>
    <w:rsid w:val="005319C3"/>
    <w:rsid w:val="00533998"/>
    <w:rsid w:val="005339E7"/>
    <w:rsid w:val="0053471F"/>
    <w:rsid w:val="00536197"/>
    <w:rsid w:val="005362B4"/>
    <w:rsid w:val="00536DC3"/>
    <w:rsid w:val="00537CED"/>
    <w:rsid w:val="005401D7"/>
    <w:rsid w:val="0054198E"/>
    <w:rsid w:val="00542573"/>
    <w:rsid w:val="00542EDF"/>
    <w:rsid w:val="00543854"/>
    <w:rsid w:val="00544394"/>
    <w:rsid w:val="00544E73"/>
    <w:rsid w:val="005453F6"/>
    <w:rsid w:val="00545ABC"/>
    <w:rsid w:val="00550E48"/>
    <w:rsid w:val="00553A79"/>
    <w:rsid w:val="00553A88"/>
    <w:rsid w:val="00555EC8"/>
    <w:rsid w:val="005650AD"/>
    <w:rsid w:val="0056582A"/>
    <w:rsid w:val="0056625C"/>
    <w:rsid w:val="00566511"/>
    <w:rsid w:val="0056783C"/>
    <w:rsid w:val="00571121"/>
    <w:rsid w:val="00572C64"/>
    <w:rsid w:val="0057749A"/>
    <w:rsid w:val="00580EEB"/>
    <w:rsid w:val="0058166F"/>
    <w:rsid w:val="0058281B"/>
    <w:rsid w:val="00586280"/>
    <w:rsid w:val="0059235B"/>
    <w:rsid w:val="00592C9E"/>
    <w:rsid w:val="0059392E"/>
    <w:rsid w:val="00593E48"/>
    <w:rsid w:val="00594EC0"/>
    <w:rsid w:val="00595183"/>
    <w:rsid w:val="00595200"/>
    <w:rsid w:val="005A0AE9"/>
    <w:rsid w:val="005A1832"/>
    <w:rsid w:val="005A1C6E"/>
    <w:rsid w:val="005A383E"/>
    <w:rsid w:val="005A3B1A"/>
    <w:rsid w:val="005A3EE1"/>
    <w:rsid w:val="005A43CF"/>
    <w:rsid w:val="005A6344"/>
    <w:rsid w:val="005A7099"/>
    <w:rsid w:val="005A776C"/>
    <w:rsid w:val="005A7853"/>
    <w:rsid w:val="005A7A13"/>
    <w:rsid w:val="005B1B32"/>
    <w:rsid w:val="005B1D24"/>
    <w:rsid w:val="005B211C"/>
    <w:rsid w:val="005B3800"/>
    <w:rsid w:val="005B5100"/>
    <w:rsid w:val="005B63A5"/>
    <w:rsid w:val="005B6473"/>
    <w:rsid w:val="005B6C40"/>
    <w:rsid w:val="005C13C6"/>
    <w:rsid w:val="005C1975"/>
    <w:rsid w:val="005C4441"/>
    <w:rsid w:val="005C5DF2"/>
    <w:rsid w:val="005C641B"/>
    <w:rsid w:val="005C7798"/>
    <w:rsid w:val="005D01E0"/>
    <w:rsid w:val="005D0741"/>
    <w:rsid w:val="005D2DC4"/>
    <w:rsid w:val="005D738D"/>
    <w:rsid w:val="005E0299"/>
    <w:rsid w:val="005E0422"/>
    <w:rsid w:val="005E1297"/>
    <w:rsid w:val="005E1383"/>
    <w:rsid w:val="005E2538"/>
    <w:rsid w:val="005E34C0"/>
    <w:rsid w:val="005E527B"/>
    <w:rsid w:val="005E583E"/>
    <w:rsid w:val="005E68B5"/>
    <w:rsid w:val="005E6B1F"/>
    <w:rsid w:val="005E720D"/>
    <w:rsid w:val="005E7791"/>
    <w:rsid w:val="005E788E"/>
    <w:rsid w:val="005F0498"/>
    <w:rsid w:val="005F19B6"/>
    <w:rsid w:val="005F4103"/>
    <w:rsid w:val="005F4676"/>
    <w:rsid w:val="005F76E9"/>
    <w:rsid w:val="00602BEA"/>
    <w:rsid w:val="00604785"/>
    <w:rsid w:val="006050EC"/>
    <w:rsid w:val="00605FD1"/>
    <w:rsid w:val="0060689E"/>
    <w:rsid w:val="00606A66"/>
    <w:rsid w:val="0060771A"/>
    <w:rsid w:val="006077DB"/>
    <w:rsid w:val="006078B5"/>
    <w:rsid w:val="00607F2F"/>
    <w:rsid w:val="00610311"/>
    <w:rsid w:val="00613139"/>
    <w:rsid w:val="00615AAB"/>
    <w:rsid w:val="006179D5"/>
    <w:rsid w:val="00620884"/>
    <w:rsid w:val="006220CA"/>
    <w:rsid w:val="006224F4"/>
    <w:rsid w:val="006228E8"/>
    <w:rsid w:val="00623270"/>
    <w:rsid w:val="006244F2"/>
    <w:rsid w:val="00626EF2"/>
    <w:rsid w:val="00627280"/>
    <w:rsid w:val="00631468"/>
    <w:rsid w:val="00631E6F"/>
    <w:rsid w:val="00631ECE"/>
    <w:rsid w:val="006337B9"/>
    <w:rsid w:val="00633B84"/>
    <w:rsid w:val="00635019"/>
    <w:rsid w:val="00635299"/>
    <w:rsid w:val="006365E4"/>
    <w:rsid w:val="00636647"/>
    <w:rsid w:val="0063702E"/>
    <w:rsid w:val="0064004D"/>
    <w:rsid w:val="00640240"/>
    <w:rsid w:val="006406B1"/>
    <w:rsid w:val="00641999"/>
    <w:rsid w:val="00643848"/>
    <w:rsid w:val="00644003"/>
    <w:rsid w:val="0064587C"/>
    <w:rsid w:val="006532EB"/>
    <w:rsid w:val="00653A69"/>
    <w:rsid w:val="0065458C"/>
    <w:rsid w:val="00655524"/>
    <w:rsid w:val="00657EDA"/>
    <w:rsid w:val="006635AF"/>
    <w:rsid w:val="0066390D"/>
    <w:rsid w:val="00665319"/>
    <w:rsid w:val="00665C49"/>
    <w:rsid w:val="0066609A"/>
    <w:rsid w:val="006663FA"/>
    <w:rsid w:val="00667494"/>
    <w:rsid w:val="006675F6"/>
    <w:rsid w:val="006706D9"/>
    <w:rsid w:val="00671276"/>
    <w:rsid w:val="006715DA"/>
    <w:rsid w:val="0067174D"/>
    <w:rsid w:val="006720CF"/>
    <w:rsid w:val="00674769"/>
    <w:rsid w:val="00674CC7"/>
    <w:rsid w:val="0067751D"/>
    <w:rsid w:val="00680A5D"/>
    <w:rsid w:val="00680F7D"/>
    <w:rsid w:val="00682104"/>
    <w:rsid w:val="006823F1"/>
    <w:rsid w:val="00685BA2"/>
    <w:rsid w:val="00686A51"/>
    <w:rsid w:val="00692FFF"/>
    <w:rsid w:val="00694E21"/>
    <w:rsid w:val="00694FBA"/>
    <w:rsid w:val="0069526B"/>
    <w:rsid w:val="0069780D"/>
    <w:rsid w:val="006A0B2E"/>
    <w:rsid w:val="006A11E3"/>
    <w:rsid w:val="006A1E8F"/>
    <w:rsid w:val="006A284E"/>
    <w:rsid w:val="006A28D2"/>
    <w:rsid w:val="006A43C2"/>
    <w:rsid w:val="006A673B"/>
    <w:rsid w:val="006A6B10"/>
    <w:rsid w:val="006B1019"/>
    <w:rsid w:val="006B49C1"/>
    <w:rsid w:val="006B5994"/>
    <w:rsid w:val="006B5E0A"/>
    <w:rsid w:val="006B6337"/>
    <w:rsid w:val="006B7353"/>
    <w:rsid w:val="006C1E72"/>
    <w:rsid w:val="006C1F01"/>
    <w:rsid w:val="006C317F"/>
    <w:rsid w:val="006C54F2"/>
    <w:rsid w:val="006C74D9"/>
    <w:rsid w:val="006D0360"/>
    <w:rsid w:val="006D192F"/>
    <w:rsid w:val="006D317A"/>
    <w:rsid w:val="006D389F"/>
    <w:rsid w:val="006D3D74"/>
    <w:rsid w:val="006D64CB"/>
    <w:rsid w:val="006D6A52"/>
    <w:rsid w:val="006E0198"/>
    <w:rsid w:val="006E0789"/>
    <w:rsid w:val="006E1063"/>
    <w:rsid w:val="006E10CA"/>
    <w:rsid w:val="006E1531"/>
    <w:rsid w:val="006E175A"/>
    <w:rsid w:val="006E22C3"/>
    <w:rsid w:val="006E22DC"/>
    <w:rsid w:val="006E2BED"/>
    <w:rsid w:val="006E3EF2"/>
    <w:rsid w:val="006E412C"/>
    <w:rsid w:val="006E4950"/>
    <w:rsid w:val="006E5138"/>
    <w:rsid w:val="006E58FC"/>
    <w:rsid w:val="006E59ED"/>
    <w:rsid w:val="006F0A48"/>
    <w:rsid w:val="006F0AE8"/>
    <w:rsid w:val="006F1902"/>
    <w:rsid w:val="006F1BDC"/>
    <w:rsid w:val="006F383C"/>
    <w:rsid w:val="006F51F4"/>
    <w:rsid w:val="006F5239"/>
    <w:rsid w:val="006F5BD8"/>
    <w:rsid w:val="00702FFA"/>
    <w:rsid w:val="00703C06"/>
    <w:rsid w:val="00703C8B"/>
    <w:rsid w:val="00705CF3"/>
    <w:rsid w:val="00706D02"/>
    <w:rsid w:val="00707A54"/>
    <w:rsid w:val="0071474B"/>
    <w:rsid w:val="00714E8F"/>
    <w:rsid w:val="0071537A"/>
    <w:rsid w:val="007171A5"/>
    <w:rsid w:val="007173F1"/>
    <w:rsid w:val="007175DA"/>
    <w:rsid w:val="00717944"/>
    <w:rsid w:val="007200C8"/>
    <w:rsid w:val="00721EC8"/>
    <w:rsid w:val="00723430"/>
    <w:rsid w:val="00723AAA"/>
    <w:rsid w:val="00724ADE"/>
    <w:rsid w:val="00726144"/>
    <w:rsid w:val="00727727"/>
    <w:rsid w:val="007312A2"/>
    <w:rsid w:val="00732829"/>
    <w:rsid w:val="00736266"/>
    <w:rsid w:val="007373DB"/>
    <w:rsid w:val="0073781A"/>
    <w:rsid w:val="00744665"/>
    <w:rsid w:val="0074489B"/>
    <w:rsid w:val="00746426"/>
    <w:rsid w:val="007464DF"/>
    <w:rsid w:val="007470F3"/>
    <w:rsid w:val="007518D1"/>
    <w:rsid w:val="007536F9"/>
    <w:rsid w:val="00754684"/>
    <w:rsid w:val="00755D85"/>
    <w:rsid w:val="00756459"/>
    <w:rsid w:val="00760C2A"/>
    <w:rsid w:val="007624B6"/>
    <w:rsid w:val="00763AC0"/>
    <w:rsid w:val="00766AB5"/>
    <w:rsid w:val="0076779D"/>
    <w:rsid w:val="00770A31"/>
    <w:rsid w:val="00770FEC"/>
    <w:rsid w:val="00772907"/>
    <w:rsid w:val="00776EA8"/>
    <w:rsid w:val="0078122B"/>
    <w:rsid w:val="007816A0"/>
    <w:rsid w:val="00782118"/>
    <w:rsid w:val="00783121"/>
    <w:rsid w:val="007846E5"/>
    <w:rsid w:val="0078531B"/>
    <w:rsid w:val="00785927"/>
    <w:rsid w:val="00786894"/>
    <w:rsid w:val="00786F18"/>
    <w:rsid w:val="00787149"/>
    <w:rsid w:val="00787C90"/>
    <w:rsid w:val="00794BFE"/>
    <w:rsid w:val="00794EA7"/>
    <w:rsid w:val="0079545D"/>
    <w:rsid w:val="007A13A0"/>
    <w:rsid w:val="007A22EE"/>
    <w:rsid w:val="007A43ED"/>
    <w:rsid w:val="007A44BA"/>
    <w:rsid w:val="007A4ADC"/>
    <w:rsid w:val="007A5119"/>
    <w:rsid w:val="007A5B5E"/>
    <w:rsid w:val="007A6A71"/>
    <w:rsid w:val="007A774E"/>
    <w:rsid w:val="007A7A48"/>
    <w:rsid w:val="007B26AA"/>
    <w:rsid w:val="007B3624"/>
    <w:rsid w:val="007B38E9"/>
    <w:rsid w:val="007B3EBE"/>
    <w:rsid w:val="007B4C91"/>
    <w:rsid w:val="007B4FFD"/>
    <w:rsid w:val="007B5518"/>
    <w:rsid w:val="007C01AF"/>
    <w:rsid w:val="007C0766"/>
    <w:rsid w:val="007C1FD6"/>
    <w:rsid w:val="007C23A0"/>
    <w:rsid w:val="007C4F03"/>
    <w:rsid w:val="007C6008"/>
    <w:rsid w:val="007C6B9D"/>
    <w:rsid w:val="007C6EFA"/>
    <w:rsid w:val="007C76B6"/>
    <w:rsid w:val="007C7B26"/>
    <w:rsid w:val="007C7BB1"/>
    <w:rsid w:val="007C7D73"/>
    <w:rsid w:val="007D0C8D"/>
    <w:rsid w:val="007D1333"/>
    <w:rsid w:val="007D227E"/>
    <w:rsid w:val="007D36E5"/>
    <w:rsid w:val="007D51B8"/>
    <w:rsid w:val="007D55ED"/>
    <w:rsid w:val="007D6515"/>
    <w:rsid w:val="007D6C72"/>
    <w:rsid w:val="007E1317"/>
    <w:rsid w:val="007E15ED"/>
    <w:rsid w:val="007E2943"/>
    <w:rsid w:val="007E41A0"/>
    <w:rsid w:val="007E51B4"/>
    <w:rsid w:val="007E6387"/>
    <w:rsid w:val="007E66DC"/>
    <w:rsid w:val="007E7276"/>
    <w:rsid w:val="007E77A3"/>
    <w:rsid w:val="007F0760"/>
    <w:rsid w:val="007F2831"/>
    <w:rsid w:val="007F4F02"/>
    <w:rsid w:val="007F4FFC"/>
    <w:rsid w:val="007F60E9"/>
    <w:rsid w:val="00801A84"/>
    <w:rsid w:val="0080253B"/>
    <w:rsid w:val="0080467C"/>
    <w:rsid w:val="00805256"/>
    <w:rsid w:val="008110F1"/>
    <w:rsid w:val="008138BB"/>
    <w:rsid w:val="008144D8"/>
    <w:rsid w:val="00814B35"/>
    <w:rsid w:val="00814D65"/>
    <w:rsid w:val="00816F3D"/>
    <w:rsid w:val="008177E9"/>
    <w:rsid w:val="00820232"/>
    <w:rsid w:val="0082288F"/>
    <w:rsid w:val="00825252"/>
    <w:rsid w:val="00825D59"/>
    <w:rsid w:val="00831037"/>
    <w:rsid w:val="0083187D"/>
    <w:rsid w:val="00832355"/>
    <w:rsid w:val="00836BB6"/>
    <w:rsid w:val="00836D58"/>
    <w:rsid w:val="00836D84"/>
    <w:rsid w:val="0083758C"/>
    <w:rsid w:val="008405F9"/>
    <w:rsid w:val="0084348F"/>
    <w:rsid w:val="00844B94"/>
    <w:rsid w:val="00846D5B"/>
    <w:rsid w:val="008503F4"/>
    <w:rsid w:val="008509CD"/>
    <w:rsid w:val="00850F70"/>
    <w:rsid w:val="00851860"/>
    <w:rsid w:val="00854294"/>
    <w:rsid w:val="0085465C"/>
    <w:rsid w:val="00856A4E"/>
    <w:rsid w:val="00856BB8"/>
    <w:rsid w:val="00857943"/>
    <w:rsid w:val="00860369"/>
    <w:rsid w:val="00860BE0"/>
    <w:rsid w:val="0086137F"/>
    <w:rsid w:val="008615A1"/>
    <w:rsid w:val="008626C1"/>
    <w:rsid w:val="00862D54"/>
    <w:rsid w:val="00863FE3"/>
    <w:rsid w:val="00865516"/>
    <w:rsid w:val="00872BE1"/>
    <w:rsid w:val="00875789"/>
    <w:rsid w:val="00883F5C"/>
    <w:rsid w:val="008840EE"/>
    <w:rsid w:val="008846DD"/>
    <w:rsid w:val="008848C8"/>
    <w:rsid w:val="00885691"/>
    <w:rsid w:val="00886378"/>
    <w:rsid w:val="0088762B"/>
    <w:rsid w:val="00890C8B"/>
    <w:rsid w:val="008911C8"/>
    <w:rsid w:val="00896F1B"/>
    <w:rsid w:val="008973C3"/>
    <w:rsid w:val="008978B6"/>
    <w:rsid w:val="008A027B"/>
    <w:rsid w:val="008A0B67"/>
    <w:rsid w:val="008A0DB8"/>
    <w:rsid w:val="008A27E3"/>
    <w:rsid w:val="008A4EBD"/>
    <w:rsid w:val="008A5038"/>
    <w:rsid w:val="008B481A"/>
    <w:rsid w:val="008B4928"/>
    <w:rsid w:val="008C0B7E"/>
    <w:rsid w:val="008C2010"/>
    <w:rsid w:val="008C223B"/>
    <w:rsid w:val="008C5CBD"/>
    <w:rsid w:val="008C5FB8"/>
    <w:rsid w:val="008C6592"/>
    <w:rsid w:val="008C7219"/>
    <w:rsid w:val="008D17E8"/>
    <w:rsid w:val="008D2F2D"/>
    <w:rsid w:val="008D6A15"/>
    <w:rsid w:val="008E1BC1"/>
    <w:rsid w:val="008E24B9"/>
    <w:rsid w:val="008E2F4C"/>
    <w:rsid w:val="008E3CC6"/>
    <w:rsid w:val="008E5B65"/>
    <w:rsid w:val="008E5D7B"/>
    <w:rsid w:val="008E656B"/>
    <w:rsid w:val="008E7CB5"/>
    <w:rsid w:val="008F0C04"/>
    <w:rsid w:val="008F3652"/>
    <w:rsid w:val="008F378D"/>
    <w:rsid w:val="008F4675"/>
    <w:rsid w:val="008F4EA9"/>
    <w:rsid w:val="008F5460"/>
    <w:rsid w:val="009001D8"/>
    <w:rsid w:val="00900837"/>
    <w:rsid w:val="00900CAE"/>
    <w:rsid w:val="0090118B"/>
    <w:rsid w:val="009015F9"/>
    <w:rsid w:val="00901822"/>
    <w:rsid w:val="00901ED2"/>
    <w:rsid w:val="00902C09"/>
    <w:rsid w:val="00902E2C"/>
    <w:rsid w:val="009032BC"/>
    <w:rsid w:val="00903E2E"/>
    <w:rsid w:val="00904443"/>
    <w:rsid w:val="0090463C"/>
    <w:rsid w:val="009048FC"/>
    <w:rsid w:val="00906A7F"/>
    <w:rsid w:val="00906BEA"/>
    <w:rsid w:val="00907A9D"/>
    <w:rsid w:val="00910FE2"/>
    <w:rsid w:val="00912F02"/>
    <w:rsid w:val="00913A5B"/>
    <w:rsid w:val="009146E9"/>
    <w:rsid w:val="009151E7"/>
    <w:rsid w:val="00915453"/>
    <w:rsid w:val="009156C4"/>
    <w:rsid w:val="009172F2"/>
    <w:rsid w:val="009178C8"/>
    <w:rsid w:val="0092037B"/>
    <w:rsid w:val="00920665"/>
    <w:rsid w:val="009228E4"/>
    <w:rsid w:val="00922925"/>
    <w:rsid w:val="00922CC9"/>
    <w:rsid w:val="00926315"/>
    <w:rsid w:val="00926D2F"/>
    <w:rsid w:val="0092754C"/>
    <w:rsid w:val="0093030F"/>
    <w:rsid w:val="00930546"/>
    <w:rsid w:val="00930BDF"/>
    <w:rsid w:val="0093147D"/>
    <w:rsid w:val="00932E67"/>
    <w:rsid w:val="0093785B"/>
    <w:rsid w:val="00937EAC"/>
    <w:rsid w:val="00944386"/>
    <w:rsid w:val="00944597"/>
    <w:rsid w:val="009468AA"/>
    <w:rsid w:val="00947085"/>
    <w:rsid w:val="00951EAA"/>
    <w:rsid w:val="00952BBB"/>
    <w:rsid w:val="00952DA2"/>
    <w:rsid w:val="00953189"/>
    <w:rsid w:val="00956C6E"/>
    <w:rsid w:val="009575F5"/>
    <w:rsid w:val="00957D7B"/>
    <w:rsid w:val="00961528"/>
    <w:rsid w:val="00961A42"/>
    <w:rsid w:val="00961AB8"/>
    <w:rsid w:val="009652D6"/>
    <w:rsid w:val="0097185F"/>
    <w:rsid w:val="009755FD"/>
    <w:rsid w:val="00980029"/>
    <w:rsid w:val="009802A4"/>
    <w:rsid w:val="009836F2"/>
    <w:rsid w:val="00985012"/>
    <w:rsid w:val="009878B0"/>
    <w:rsid w:val="0099265D"/>
    <w:rsid w:val="009963CC"/>
    <w:rsid w:val="009963D8"/>
    <w:rsid w:val="0099650D"/>
    <w:rsid w:val="0099673B"/>
    <w:rsid w:val="00996E9F"/>
    <w:rsid w:val="009972DA"/>
    <w:rsid w:val="009A10C0"/>
    <w:rsid w:val="009A23EA"/>
    <w:rsid w:val="009A3224"/>
    <w:rsid w:val="009A3359"/>
    <w:rsid w:val="009A3CC5"/>
    <w:rsid w:val="009A6F9E"/>
    <w:rsid w:val="009B1AA6"/>
    <w:rsid w:val="009B20BA"/>
    <w:rsid w:val="009B21AB"/>
    <w:rsid w:val="009B2DF0"/>
    <w:rsid w:val="009B3A19"/>
    <w:rsid w:val="009B6097"/>
    <w:rsid w:val="009B7578"/>
    <w:rsid w:val="009B7B93"/>
    <w:rsid w:val="009C2AC7"/>
    <w:rsid w:val="009C3349"/>
    <w:rsid w:val="009C5272"/>
    <w:rsid w:val="009C5F23"/>
    <w:rsid w:val="009C5F78"/>
    <w:rsid w:val="009C7D7A"/>
    <w:rsid w:val="009D0408"/>
    <w:rsid w:val="009D066D"/>
    <w:rsid w:val="009D10CD"/>
    <w:rsid w:val="009D23D6"/>
    <w:rsid w:val="009D5381"/>
    <w:rsid w:val="009D6656"/>
    <w:rsid w:val="009D6D39"/>
    <w:rsid w:val="009D75E8"/>
    <w:rsid w:val="009E013B"/>
    <w:rsid w:val="009E0826"/>
    <w:rsid w:val="009E5D9C"/>
    <w:rsid w:val="009E7A13"/>
    <w:rsid w:val="009E7E15"/>
    <w:rsid w:val="009F006E"/>
    <w:rsid w:val="009F2123"/>
    <w:rsid w:val="009F2717"/>
    <w:rsid w:val="009F3A7F"/>
    <w:rsid w:val="009F3D2B"/>
    <w:rsid w:val="009F4899"/>
    <w:rsid w:val="009F5B0C"/>
    <w:rsid w:val="00A00586"/>
    <w:rsid w:val="00A00744"/>
    <w:rsid w:val="00A03414"/>
    <w:rsid w:val="00A03FFE"/>
    <w:rsid w:val="00A045F3"/>
    <w:rsid w:val="00A049AD"/>
    <w:rsid w:val="00A057F6"/>
    <w:rsid w:val="00A068EB"/>
    <w:rsid w:val="00A13F37"/>
    <w:rsid w:val="00A153CE"/>
    <w:rsid w:val="00A154B0"/>
    <w:rsid w:val="00A16DB7"/>
    <w:rsid w:val="00A175A0"/>
    <w:rsid w:val="00A17ABB"/>
    <w:rsid w:val="00A206A3"/>
    <w:rsid w:val="00A2218D"/>
    <w:rsid w:val="00A24D9A"/>
    <w:rsid w:val="00A276A9"/>
    <w:rsid w:val="00A30D89"/>
    <w:rsid w:val="00A3104C"/>
    <w:rsid w:val="00A3160F"/>
    <w:rsid w:val="00A326E4"/>
    <w:rsid w:val="00A3304C"/>
    <w:rsid w:val="00A357D2"/>
    <w:rsid w:val="00A371D5"/>
    <w:rsid w:val="00A377F9"/>
    <w:rsid w:val="00A37DF5"/>
    <w:rsid w:val="00A41D9F"/>
    <w:rsid w:val="00A43406"/>
    <w:rsid w:val="00A44239"/>
    <w:rsid w:val="00A4544A"/>
    <w:rsid w:val="00A465BE"/>
    <w:rsid w:val="00A47699"/>
    <w:rsid w:val="00A478B9"/>
    <w:rsid w:val="00A51258"/>
    <w:rsid w:val="00A5200D"/>
    <w:rsid w:val="00A521C9"/>
    <w:rsid w:val="00A52A8B"/>
    <w:rsid w:val="00A53D05"/>
    <w:rsid w:val="00A549E7"/>
    <w:rsid w:val="00A54C1E"/>
    <w:rsid w:val="00A56A2F"/>
    <w:rsid w:val="00A57E36"/>
    <w:rsid w:val="00A62BB9"/>
    <w:rsid w:val="00A62F26"/>
    <w:rsid w:val="00A640B9"/>
    <w:rsid w:val="00A659DE"/>
    <w:rsid w:val="00A71814"/>
    <w:rsid w:val="00A71D31"/>
    <w:rsid w:val="00A75971"/>
    <w:rsid w:val="00A76574"/>
    <w:rsid w:val="00A765DB"/>
    <w:rsid w:val="00A778B8"/>
    <w:rsid w:val="00A8034D"/>
    <w:rsid w:val="00A811AE"/>
    <w:rsid w:val="00A8222B"/>
    <w:rsid w:val="00A83C18"/>
    <w:rsid w:val="00A8529D"/>
    <w:rsid w:val="00A872B9"/>
    <w:rsid w:val="00A879E4"/>
    <w:rsid w:val="00A87BD8"/>
    <w:rsid w:val="00A900E5"/>
    <w:rsid w:val="00A917BE"/>
    <w:rsid w:val="00A91995"/>
    <w:rsid w:val="00A968B7"/>
    <w:rsid w:val="00A96E44"/>
    <w:rsid w:val="00A97BC6"/>
    <w:rsid w:val="00AA0710"/>
    <w:rsid w:val="00AA3699"/>
    <w:rsid w:val="00AA4103"/>
    <w:rsid w:val="00AA51ED"/>
    <w:rsid w:val="00AA62AE"/>
    <w:rsid w:val="00AA7145"/>
    <w:rsid w:val="00AA796F"/>
    <w:rsid w:val="00AA7BAB"/>
    <w:rsid w:val="00AB12C6"/>
    <w:rsid w:val="00AB1630"/>
    <w:rsid w:val="00AB5C18"/>
    <w:rsid w:val="00AC05A6"/>
    <w:rsid w:val="00AC593D"/>
    <w:rsid w:val="00AC5FBE"/>
    <w:rsid w:val="00AC6AF8"/>
    <w:rsid w:val="00AD071B"/>
    <w:rsid w:val="00AD11D5"/>
    <w:rsid w:val="00AD14A8"/>
    <w:rsid w:val="00AD2E92"/>
    <w:rsid w:val="00AD390C"/>
    <w:rsid w:val="00AD462D"/>
    <w:rsid w:val="00AD4AA5"/>
    <w:rsid w:val="00AD723C"/>
    <w:rsid w:val="00AE0255"/>
    <w:rsid w:val="00AE058A"/>
    <w:rsid w:val="00AE134C"/>
    <w:rsid w:val="00AE4BC4"/>
    <w:rsid w:val="00AE4F40"/>
    <w:rsid w:val="00AE579E"/>
    <w:rsid w:val="00AE6EBD"/>
    <w:rsid w:val="00AE7BDD"/>
    <w:rsid w:val="00AE7DDB"/>
    <w:rsid w:val="00AF01E3"/>
    <w:rsid w:val="00AF0927"/>
    <w:rsid w:val="00AF5B34"/>
    <w:rsid w:val="00B00359"/>
    <w:rsid w:val="00B03CFF"/>
    <w:rsid w:val="00B044C2"/>
    <w:rsid w:val="00B103A0"/>
    <w:rsid w:val="00B11332"/>
    <w:rsid w:val="00B124E3"/>
    <w:rsid w:val="00B12AAE"/>
    <w:rsid w:val="00B147BA"/>
    <w:rsid w:val="00B14C4C"/>
    <w:rsid w:val="00B155D4"/>
    <w:rsid w:val="00B160B2"/>
    <w:rsid w:val="00B171D1"/>
    <w:rsid w:val="00B17D2D"/>
    <w:rsid w:val="00B20A79"/>
    <w:rsid w:val="00B22B25"/>
    <w:rsid w:val="00B22DC7"/>
    <w:rsid w:val="00B26A51"/>
    <w:rsid w:val="00B270D2"/>
    <w:rsid w:val="00B30502"/>
    <w:rsid w:val="00B3432E"/>
    <w:rsid w:val="00B36A1F"/>
    <w:rsid w:val="00B36E7D"/>
    <w:rsid w:val="00B37BED"/>
    <w:rsid w:val="00B427E2"/>
    <w:rsid w:val="00B438E5"/>
    <w:rsid w:val="00B44A59"/>
    <w:rsid w:val="00B4639E"/>
    <w:rsid w:val="00B46E86"/>
    <w:rsid w:val="00B479AC"/>
    <w:rsid w:val="00B47C42"/>
    <w:rsid w:val="00B51272"/>
    <w:rsid w:val="00B52D40"/>
    <w:rsid w:val="00B53C8F"/>
    <w:rsid w:val="00B543C8"/>
    <w:rsid w:val="00B544E2"/>
    <w:rsid w:val="00B55B47"/>
    <w:rsid w:val="00B568A3"/>
    <w:rsid w:val="00B56F8A"/>
    <w:rsid w:val="00B600ED"/>
    <w:rsid w:val="00B60B28"/>
    <w:rsid w:val="00B61077"/>
    <w:rsid w:val="00B61428"/>
    <w:rsid w:val="00B6476E"/>
    <w:rsid w:val="00B65E88"/>
    <w:rsid w:val="00B669FD"/>
    <w:rsid w:val="00B6775D"/>
    <w:rsid w:val="00B702EA"/>
    <w:rsid w:val="00B70BBD"/>
    <w:rsid w:val="00B70C05"/>
    <w:rsid w:val="00B7407D"/>
    <w:rsid w:val="00B755B0"/>
    <w:rsid w:val="00B76724"/>
    <w:rsid w:val="00B77C3E"/>
    <w:rsid w:val="00B81C77"/>
    <w:rsid w:val="00B86059"/>
    <w:rsid w:val="00B9131C"/>
    <w:rsid w:val="00B9140E"/>
    <w:rsid w:val="00B91B88"/>
    <w:rsid w:val="00B92449"/>
    <w:rsid w:val="00B948E8"/>
    <w:rsid w:val="00B94C99"/>
    <w:rsid w:val="00B96811"/>
    <w:rsid w:val="00B97A95"/>
    <w:rsid w:val="00B97D1F"/>
    <w:rsid w:val="00BA03F3"/>
    <w:rsid w:val="00BA251A"/>
    <w:rsid w:val="00BA2C92"/>
    <w:rsid w:val="00BA3642"/>
    <w:rsid w:val="00BA4620"/>
    <w:rsid w:val="00BA4A5A"/>
    <w:rsid w:val="00BA4E23"/>
    <w:rsid w:val="00BA53DA"/>
    <w:rsid w:val="00BA6BAA"/>
    <w:rsid w:val="00BA6D4F"/>
    <w:rsid w:val="00BA7364"/>
    <w:rsid w:val="00BB1732"/>
    <w:rsid w:val="00BB3D8B"/>
    <w:rsid w:val="00BB4F0B"/>
    <w:rsid w:val="00BB6225"/>
    <w:rsid w:val="00BC5175"/>
    <w:rsid w:val="00BC5D03"/>
    <w:rsid w:val="00BC7B55"/>
    <w:rsid w:val="00BD0DA4"/>
    <w:rsid w:val="00BD254D"/>
    <w:rsid w:val="00BD28DD"/>
    <w:rsid w:val="00BD2E39"/>
    <w:rsid w:val="00BD3684"/>
    <w:rsid w:val="00BD37EC"/>
    <w:rsid w:val="00BD4AC2"/>
    <w:rsid w:val="00BD4B09"/>
    <w:rsid w:val="00BD7507"/>
    <w:rsid w:val="00BE1154"/>
    <w:rsid w:val="00BE18B1"/>
    <w:rsid w:val="00BE1DD4"/>
    <w:rsid w:val="00BE26D9"/>
    <w:rsid w:val="00BE34B7"/>
    <w:rsid w:val="00BE3865"/>
    <w:rsid w:val="00BE52B6"/>
    <w:rsid w:val="00BE7135"/>
    <w:rsid w:val="00BF0E86"/>
    <w:rsid w:val="00BF1A88"/>
    <w:rsid w:val="00BF1B60"/>
    <w:rsid w:val="00BF2E0E"/>
    <w:rsid w:val="00BF76D7"/>
    <w:rsid w:val="00C006F9"/>
    <w:rsid w:val="00C011CA"/>
    <w:rsid w:val="00C04195"/>
    <w:rsid w:val="00C046EC"/>
    <w:rsid w:val="00C049F6"/>
    <w:rsid w:val="00C057DF"/>
    <w:rsid w:val="00C064AB"/>
    <w:rsid w:val="00C070B3"/>
    <w:rsid w:val="00C1368C"/>
    <w:rsid w:val="00C13B09"/>
    <w:rsid w:val="00C13FB8"/>
    <w:rsid w:val="00C142D8"/>
    <w:rsid w:val="00C15DB6"/>
    <w:rsid w:val="00C201E1"/>
    <w:rsid w:val="00C20A30"/>
    <w:rsid w:val="00C20B6F"/>
    <w:rsid w:val="00C225DB"/>
    <w:rsid w:val="00C22771"/>
    <w:rsid w:val="00C22ACD"/>
    <w:rsid w:val="00C24668"/>
    <w:rsid w:val="00C24815"/>
    <w:rsid w:val="00C2501E"/>
    <w:rsid w:val="00C261B0"/>
    <w:rsid w:val="00C27A7E"/>
    <w:rsid w:val="00C27F1A"/>
    <w:rsid w:val="00C3005E"/>
    <w:rsid w:val="00C30161"/>
    <w:rsid w:val="00C307F1"/>
    <w:rsid w:val="00C33CED"/>
    <w:rsid w:val="00C349DF"/>
    <w:rsid w:val="00C36AC2"/>
    <w:rsid w:val="00C37DF5"/>
    <w:rsid w:val="00C41270"/>
    <w:rsid w:val="00C44DDE"/>
    <w:rsid w:val="00C4671D"/>
    <w:rsid w:val="00C46F31"/>
    <w:rsid w:val="00C505D6"/>
    <w:rsid w:val="00C50828"/>
    <w:rsid w:val="00C519F2"/>
    <w:rsid w:val="00C521D4"/>
    <w:rsid w:val="00C532C8"/>
    <w:rsid w:val="00C5377A"/>
    <w:rsid w:val="00C56B89"/>
    <w:rsid w:val="00C5781F"/>
    <w:rsid w:val="00C60D14"/>
    <w:rsid w:val="00C60D16"/>
    <w:rsid w:val="00C60D32"/>
    <w:rsid w:val="00C61706"/>
    <w:rsid w:val="00C61E6F"/>
    <w:rsid w:val="00C62456"/>
    <w:rsid w:val="00C633E9"/>
    <w:rsid w:val="00C64081"/>
    <w:rsid w:val="00C6716F"/>
    <w:rsid w:val="00C67280"/>
    <w:rsid w:val="00C67693"/>
    <w:rsid w:val="00C7097E"/>
    <w:rsid w:val="00C73D2E"/>
    <w:rsid w:val="00C74D5B"/>
    <w:rsid w:val="00C753F3"/>
    <w:rsid w:val="00C7577E"/>
    <w:rsid w:val="00C76F08"/>
    <w:rsid w:val="00C77142"/>
    <w:rsid w:val="00C817E5"/>
    <w:rsid w:val="00C81E73"/>
    <w:rsid w:val="00C84412"/>
    <w:rsid w:val="00C84F09"/>
    <w:rsid w:val="00C86601"/>
    <w:rsid w:val="00C86A96"/>
    <w:rsid w:val="00C876BE"/>
    <w:rsid w:val="00C912F3"/>
    <w:rsid w:val="00C918A0"/>
    <w:rsid w:val="00C93D84"/>
    <w:rsid w:val="00C9473D"/>
    <w:rsid w:val="00C94C59"/>
    <w:rsid w:val="00C96CBE"/>
    <w:rsid w:val="00C96D03"/>
    <w:rsid w:val="00CA0A5B"/>
    <w:rsid w:val="00CA2601"/>
    <w:rsid w:val="00CA54CD"/>
    <w:rsid w:val="00CA7578"/>
    <w:rsid w:val="00CB0191"/>
    <w:rsid w:val="00CB1103"/>
    <w:rsid w:val="00CB114D"/>
    <w:rsid w:val="00CB16E2"/>
    <w:rsid w:val="00CB466F"/>
    <w:rsid w:val="00CB5288"/>
    <w:rsid w:val="00CB5CCC"/>
    <w:rsid w:val="00CB69C9"/>
    <w:rsid w:val="00CB6CCF"/>
    <w:rsid w:val="00CB6D0B"/>
    <w:rsid w:val="00CB731B"/>
    <w:rsid w:val="00CB754E"/>
    <w:rsid w:val="00CC0343"/>
    <w:rsid w:val="00CC1556"/>
    <w:rsid w:val="00CC7806"/>
    <w:rsid w:val="00CC7A38"/>
    <w:rsid w:val="00CD140A"/>
    <w:rsid w:val="00CD219A"/>
    <w:rsid w:val="00CD3746"/>
    <w:rsid w:val="00CD43CA"/>
    <w:rsid w:val="00CD5241"/>
    <w:rsid w:val="00CD6397"/>
    <w:rsid w:val="00CD707F"/>
    <w:rsid w:val="00CE2FED"/>
    <w:rsid w:val="00CE3BF3"/>
    <w:rsid w:val="00CE5022"/>
    <w:rsid w:val="00CE5F5D"/>
    <w:rsid w:val="00CE6EF0"/>
    <w:rsid w:val="00CE780B"/>
    <w:rsid w:val="00CE7E1C"/>
    <w:rsid w:val="00CF354D"/>
    <w:rsid w:val="00CF38C2"/>
    <w:rsid w:val="00CF4C7E"/>
    <w:rsid w:val="00CF5F21"/>
    <w:rsid w:val="00CF64E5"/>
    <w:rsid w:val="00D02545"/>
    <w:rsid w:val="00D03237"/>
    <w:rsid w:val="00D035CE"/>
    <w:rsid w:val="00D0449D"/>
    <w:rsid w:val="00D05055"/>
    <w:rsid w:val="00D06A86"/>
    <w:rsid w:val="00D06B91"/>
    <w:rsid w:val="00D11169"/>
    <w:rsid w:val="00D11FEF"/>
    <w:rsid w:val="00D12DC7"/>
    <w:rsid w:val="00D14D1C"/>
    <w:rsid w:val="00D14FD7"/>
    <w:rsid w:val="00D208EE"/>
    <w:rsid w:val="00D21E68"/>
    <w:rsid w:val="00D26454"/>
    <w:rsid w:val="00D266C0"/>
    <w:rsid w:val="00D27503"/>
    <w:rsid w:val="00D300B5"/>
    <w:rsid w:val="00D341B7"/>
    <w:rsid w:val="00D345CA"/>
    <w:rsid w:val="00D34765"/>
    <w:rsid w:val="00D35A3C"/>
    <w:rsid w:val="00D35CB2"/>
    <w:rsid w:val="00D36878"/>
    <w:rsid w:val="00D37247"/>
    <w:rsid w:val="00D42E86"/>
    <w:rsid w:val="00D43241"/>
    <w:rsid w:val="00D44940"/>
    <w:rsid w:val="00D4537E"/>
    <w:rsid w:val="00D45465"/>
    <w:rsid w:val="00D459CC"/>
    <w:rsid w:val="00D46C75"/>
    <w:rsid w:val="00D472D8"/>
    <w:rsid w:val="00D477D1"/>
    <w:rsid w:val="00D5194F"/>
    <w:rsid w:val="00D52AE9"/>
    <w:rsid w:val="00D53B00"/>
    <w:rsid w:val="00D54036"/>
    <w:rsid w:val="00D54271"/>
    <w:rsid w:val="00D54B83"/>
    <w:rsid w:val="00D55CA1"/>
    <w:rsid w:val="00D60C60"/>
    <w:rsid w:val="00D648F5"/>
    <w:rsid w:val="00D67F35"/>
    <w:rsid w:val="00D714AE"/>
    <w:rsid w:val="00D737EA"/>
    <w:rsid w:val="00D7617B"/>
    <w:rsid w:val="00D80489"/>
    <w:rsid w:val="00D8282E"/>
    <w:rsid w:val="00D83FB8"/>
    <w:rsid w:val="00D841BC"/>
    <w:rsid w:val="00D84AF9"/>
    <w:rsid w:val="00D869D1"/>
    <w:rsid w:val="00D8770B"/>
    <w:rsid w:val="00D90CCC"/>
    <w:rsid w:val="00D91179"/>
    <w:rsid w:val="00D925FE"/>
    <w:rsid w:val="00D92717"/>
    <w:rsid w:val="00DA253C"/>
    <w:rsid w:val="00DA2D58"/>
    <w:rsid w:val="00DA2E36"/>
    <w:rsid w:val="00DA5796"/>
    <w:rsid w:val="00DB142A"/>
    <w:rsid w:val="00DB42D5"/>
    <w:rsid w:val="00DB5795"/>
    <w:rsid w:val="00DB693D"/>
    <w:rsid w:val="00DC0E04"/>
    <w:rsid w:val="00DC0F1E"/>
    <w:rsid w:val="00DC104E"/>
    <w:rsid w:val="00DC1120"/>
    <w:rsid w:val="00DC14DE"/>
    <w:rsid w:val="00DC18DF"/>
    <w:rsid w:val="00DC247F"/>
    <w:rsid w:val="00DC24B5"/>
    <w:rsid w:val="00DD217B"/>
    <w:rsid w:val="00DD3263"/>
    <w:rsid w:val="00DD39C2"/>
    <w:rsid w:val="00DD6535"/>
    <w:rsid w:val="00DD7775"/>
    <w:rsid w:val="00DD7B94"/>
    <w:rsid w:val="00DE04F5"/>
    <w:rsid w:val="00DE2AAD"/>
    <w:rsid w:val="00DE3267"/>
    <w:rsid w:val="00DE373B"/>
    <w:rsid w:val="00DE45DF"/>
    <w:rsid w:val="00DE4BFA"/>
    <w:rsid w:val="00DE676E"/>
    <w:rsid w:val="00DE719E"/>
    <w:rsid w:val="00DE78F9"/>
    <w:rsid w:val="00DF0B70"/>
    <w:rsid w:val="00DF0C7E"/>
    <w:rsid w:val="00DF1654"/>
    <w:rsid w:val="00DF4249"/>
    <w:rsid w:val="00DF431D"/>
    <w:rsid w:val="00DF4A65"/>
    <w:rsid w:val="00DF4FFD"/>
    <w:rsid w:val="00DF5113"/>
    <w:rsid w:val="00DF596A"/>
    <w:rsid w:val="00DF5F35"/>
    <w:rsid w:val="00DF61BB"/>
    <w:rsid w:val="00DF7C84"/>
    <w:rsid w:val="00E05E49"/>
    <w:rsid w:val="00E07258"/>
    <w:rsid w:val="00E079E6"/>
    <w:rsid w:val="00E13318"/>
    <w:rsid w:val="00E16656"/>
    <w:rsid w:val="00E16FB5"/>
    <w:rsid w:val="00E202EB"/>
    <w:rsid w:val="00E21065"/>
    <w:rsid w:val="00E21766"/>
    <w:rsid w:val="00E21E6C"/>
    <w:rsid w:val="00E21FBE"/>
    <w:rsid w:val="00E22DC3"/>
    <w:rsid w:val="00E2480A"/>
    <w:rsid w:val="00E24926"/>
    <w:rsid w:val="00E265B8"/>
    <w:rsid w:val="00E27318"/>
    <w:rsid w:val="00E278E3"/>
    <w:rsid w:val="00E3025F"/>
    <w:rsid w:val="00E334AA"/>
    <w:rsid w:val="00E355F4"/>
    <w:rsid w:val="00E36FBF"/>
    <w:rsid w:val="00E4005F"/>
    <w:rsid w:val="00E440D4"/>
    <w:rsid w:val="00E445FA"/>
    <w:rsid w:val="00E44860"/>
    <w:rsid w:val="00E452E5"/>
    <w:rsid w:val="00E47551"/>
    <w:rsid w:val="00E475C5"/>
    <w:rsid w:val="00E502E1"/>
    <w:rsid w:val="00E5039B"/>
    <w:rsid w:val="00E5122D"/>
    <w:rsid w:val="00E5150B"/>
    <w:rsid w:val="00E515FE"/>
    <w:rsid w:val="00E5231A"/>
    <w:rsid w:val="00E551C5"/>
    <w:rsid w:val="00E578BA"/>
    <w:rsid w:val="00E6162A"/>
    <w:rsid w:val="00E61665"/>
    <w:rsid w:val="00E61683"/>
    <w:rsid w:val="00E619E9"/>
    <w:rsid w:val="00E61FB2"/>
    <w:rsid w:val="00E6405F"/>
    <w:rsid w:val="00E64E5F"/>
    <w:rsid w:val="00E70524"/>
    <w:rsid w:val="00E70540"/>
    <w:rsid w:val="00E70AF2"/>
    <w:rsid w:val="00E72774"/>
    <w:rsid w:val="00E728F5"/>
    <w:rsid w:val="00E75677"/>
    <w:rsid w:val="00E764E3"/>
    <w:rsid w:val="00E76510"/>
    <w:rsid w:val="00E77D22"/>
    <w:rsid w:val="00E81789"/>
    <w:rsid w:val="00E819BC"/>
    <w:rsid w:val="00E83AFF"/>
    <w:rsid w:val="00E8462D"/>
    <w:rsid w:val="00E85F64"/>
    <w:rsid w:val="00E90C31"/>
    <w:rsid w:val="00E91751"/>
    <w:rsid w:val="00E9337C"/>
    <w:rsid w:val="00E93738"/>
    <w:rsid w:val="00E94339"/>
    <w:rsid w:val="00E974F8"/>
    <w:rsid w:val="00E97896"/>
    <w:rsid w:val="00EA20B7"/>
    <w:rsid w:val="00EA2229"/>
    <w:rsid w:val="00EA5B8C"/>
    <w:rsid w:val="00EA6D91"/>
    <w:rsid w:val="00EA6EFA"/>
    <w:rsid w:val="00EA6F8F"/>
    <w:rsid w:val="00EB04DA"/>
    <w:rsid w:val="00EB0680"/>
    <w:rsid w:val="00EB268D"/>
    <w:rsid w:val="00EB6911"/>
    <w:rsid w:val="00EC07DF"/>
    <w:rsid w:val="00EC616C"/>
    <w:rsid w:val="00ED0200"/>
    <w:rsid w:val="00ED0588"/>
    <w:rsid w:val="00ED0959"/>
    <w:rsid w:val="00ED20A6"/>
    <w:rsid w:val="00ED2A23"/>
    <w:rsid w:val="00ED34D2"/>
    <w:rsid w:val="00ED48CB"/>
    <w:rsid w:val="00ED5611"/>
    <w:rsid w:val="00ED5F8D"/>
    <w:rsid w:val="00EE1573"/>
    <w:rsid w:val="00EE1893"/>
    <w:rsid w:val="00EE190C"/>
    <w:rsid w:val="00EE22E5"/>
    <w:rsid w:val="00EE3204"/>
    <w:rsid w:val="00EE3B4D"/>
    <w:rsid w:val="00EE5703"/>
    <w:rsid w:val="00EE66A3"/>
    <w:rsid w:val="00EE69CB"/>
    <w:rsid w:val="00EE7010"/>
    <w:rsid w:val="00EF074F"/>
    <w:rsid w:val="00EF0DD2"/>
    <w:rsid w:val="00EF0E36"/>
    <w:rsid w:val="00EF36ED"/>
    <w:rsid w:val="00EF77C0"/>
    <w:rsid w:val="00EF7A16"/>
    <w:rsid w:val="00EF7E28"/>
    <w:rsid w:val="00F006C8"/>
    <w:rsid w:val="00F0095B"/>
    <w:rsid w:val="00F00D08"/>
    <w:rsid w:val="00F015A6"/>
    <w:rsid w:val="00F03C2B"/>
    <w:rsid w:val="00F05A92"/>
    <w:rsid w:val="00F1204A"/>
    <w:rsid w:val="00F1260F"/>
    <w:rsid w:val="00F1262C"/>
    <w:rsid w:val="00F13121"/>
    <w:rsid w:val="00F133A3"/>
    <w:rsid w:val="00F13EC9"/>
    <w:rsid w:val="00F14EC5"/>
    <w:rsid w:val="00F15699"/>
    <w:rsid w:val="00F2100B"/>
    <w:rsid w:val="00F21161"/>
    <w:rsid w:val="00F2234C"/>
    <w:rsid w:val="00F228AA"/>
    <w:rsid w:val="00F22EB8"/>
    <w:rsid w:val="00F24188"/>
    <w:rsid w:val="00F24B6D"/>
    <w:rsid w:val="00F251E2"/>
    <w:rsid w:val="00F259C1"/>
    <w:rsid w:val="00F25B5E"/>
    <w:rsid w:val="00F263DA"/>
    <w:rsid w:val="00F2712C"/>
    <w:rsid w:val="00F2726B"/>
    <w:rsid w:val="00F2791B"/>
    <w:rsid w:val="00F3086B"/>
    <w:rsid w:val="00F32B65"/>
    <w:rsid w:val="00F330E3"/>
    <w:rsid w:val="00F330E8"/>
    <w:rsid w:val="00F34268"/>
    <w:rsid w:val="00F35133"/>
    <w:rsid w:val="00F410FB"/>
    <w:rsid w:val="00F41968"/>
    <w:rsid w:val="00F43C89"/>
    <w:rsid w:val="00F4521C"/>
    <w:rsid w:val="00F458FB"/>
    <w:rsid w:val="00F47DFA"/>
    <w:rsid w:val="00F571D8"/>
    <w:rsid w:val="00F57AB8"/>
    <w:rsid w:val="00F60516"/>
    <w:rsid w:val="00F652B5"/>
    <w:rsid w:val="00F65989"/>
    <w:rsid w:val="00F668A7"/>
    <w:rsid w:val="00F66942"/>
    <w:rsid w:val="00F66A57"/>
    <w:rsid w:val="00F67054"/>
    <w:rsid w:val="00F675CF"/>
    <w:rsid w:val="00F67A11"/>
    <w:rsid w:val="00F729BA"/>
    <w:rsid w:val="00F72F25"/>
    <w:rsid w:val="00F74FF0"/>
    <w:rsid w:val="00F767DC"/>
    <w:rsid w:val="00F82D42"/>
    <w:rsid w:val="00F84428"/>
    <w:rsid w:val="00F85C13"/>
    <w:rsid w:val="00F85E9E"/>
    <w:rsid w:val="00F869F5"/>
    <w:rsid w:val="00F86CA8"/>
    <w:rsid w:val="00F90CB3"/>
    <w:rsid w:val="00F90F2B"/>
    <w:rsid w:val="00F9203A"/>
    <w:rsid w:val="00F9284A"/>
    <w:rsid w:val="00F93C6D"/>
    <w:rsid w:val="00F94850"/>
    <w:rsid w:val="00F954CB"/>
    <w:rsid w:val="00F9554D"/>
    <w:rsid w:val="00F965D8"/>
    <w:rsid w:val="00F968B2"/>
    <w:rsid w:val="00F969CE"/>
    <w:rsid w:val="00FA2DE8"/>
    <w:rsid w:val="00FA3241"/>
    <w:rsid w:val="00FA6AE7"/>
    <w:rsid w:val="00FB7682"/>
    <w:rsid w:val="00FC10E9"/>
    <w:rsid w:val="00FC3F22"/>
    <w:rsid w:val="00FC45EE"/>
    <w:rsid w:val="00FC47E6"/>
    <w:rsid w:val="00FC4C77"/>
    <w:rsid w:val="00FC4F6A"/>
    <w:rsid w:val="00FC6458"/>
    <w:rsid w:val="00FD26EE"/>
    <w:rsid w:val="00FD339D"/>
    <w:rsid w:val="00FD3894"/>
    <w:rsid w:val="00FD3E0F"/>
    <w:rsid w:val="00FD6A8A"/>
    <w:rsid w:val="00FD78DB"/>
    <w:rsid w:val="00FD79EC"/>
    <w:rsid w:val="00FE00C8"/>
    <w:rsid w:val="00FE2437"/>
    <w:rsid w:val="00FE4585"/>
    <w:rsid w:val="00FE4939"/>
    <w:rsid w:val="00FE652D"/>
    <w:rsid w:val="00FE673E"/>
    <w:rsid w:val="00FF3E3A"/>
    <w:rsid w:val="00FF40B1"/>
    <w:rsid w:val="00FF5322"/>
    <w:rsid w:val="00FF5557"/>
    <w:rsid w:val="00FF7B8F"/>
  </w:rsids>
  <m:mathPr>
    <m:mathFont m:val="Cambria Math"/>
    <m:brkBin m:val="before"/>
    <m:brkBinSub m:val="--"/>
    <m:smallFrac m:val="0"/>
    <m:dispDef/>
    <m:lMargin m:val="0"/>
    <m:rMargin m:val="0"/>
    <m:defJc m:val="centerGroup"/>
    <m:wrapIndent m:val="1440"/>
    <m:intLim m:val="subSup"/>
    <m:naryLim m:val="undOvr"/>
  </m:mathPr>
  <w:themeFontLang w:val="es-MX"/>
  <w:clrSchemeMapping w:bg1="light1" w:t1="dark1" w:bg2="light2" w:t2="dark2" w:accent1="accent1" w:accent2="accent2" w:accent3="accent3" w:accent4="accent4" w:accent5="accent5" w:accent6="accent6" w:hyperlink="hyperlink" w:followedHyperlink="followedHyperlink"/>
  <w:shapeDefaults>
    <o:shapedefaults v:ext="edit" spidmax="2051"/>
    <o:shapelayout v:ext="edit">
      <o:idmap v:ext="edit" data="1"/>
    </o:shapelayout>
  </w:shapeDefaults>
  <w:decimalSymbol w:val="."/>
  <w:listSeparator w:val=","/>
  <w14:docId w14:val="4A613D5B"/>
  <w15:docId w15:val="{99C71BEF-A000-4831-9699-68BC3CC3B6C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s-MX"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321363"/>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Encabezado">
    <w:name w:val="header"/>
    <w:basedOn w:val="Normal"/>
    <w:link w:val="EncabezadoCar"/>
    <w:uiPriority w:val="99"/>
    <w:unhideWhenUsed/>
    <w:rsid w:val="00640240"/>
    <w:pPr>
      <w:tabs>
        <w:tab w:val="center" w:pos="4419"/>
        <w:tab w:val="right" w:pos="8838"/>
      </w:tabs>
      <w:spacing w:after="0" w:line="240" w:lineRule="auto"/>
    </w:pPr>
  </w:style>
  <w:style w:type="character" w:customStyle="1" w:styleId="EncabezadoCar">
    <w:name w:val="Encabezado Car"/>
    <w:basedOn w:val="Fuentedeprrafopredeter"/>
    <w:link w:val="Encabezado"/>
    <w:uiPriority w:val="99"/>
    <w:rsid w:val="00640240"/>
  </w:style>
  <w:style w:type="paragraph" w:styleId="Piedepgina">
    <w:name w:val="footer"/>
    <w:basedOn w:val="Normal"/>
    <w:link w:val="PiedepginaCar"/>
    <w:uiPriority w:val="99"/>
    <w:unhideWhenUsed/>
    <w:rsid w:val="00640240"/>
    <w:pPr>
      <w:tabs>
        <w:tab w:val="center" w:pos="4419"/>
        <w:tab w:val="right" w:pos="8838"/>
      </w:tabs>
      <w:spacing w:after="0" w:line="240" w:lineRule="auto"/>
    </w:pPr>
  </w:style>
  <w:style w:type="character" w:customStyle="1" w:styleId="PiedepginaCar">
    <w:name w:val="Pie de página Car"/>
    <w:basedOn w:val="Fuentedeprrafopredeter"/>
    <w:link w:val="Piedepgina"/>
    <w:uiPriority w:val="99"/>
    <w:rsid w:val="00640240"/>
  </w:style>
  <w:style w:type="paragraph" w:styleId="Textodeglobo">
    <w:name w:val="Balloon Text"/>
    <w:basedOn w:val="Normal"/>
    <w:link w:val="TextodegloboCar"/>
    <w:uiPriority w:val="99"/>
    <w:semiHidden/>
    <w:unhideWhenUsed/>
    <w:rsid w:val="00640240"/>
    <w:pPr>
      <w:spacing w:after="0" w:line="240" w:lineRule="auto"/>
    </w:pPr>
    <w:rPr>
      <w:rFonts w:ascii="Tahoma" w:hAnsi="Tahoma" w:cs="Tahoma"/>
      <w:sz w:val="16"/>
      <w:szCs w:val="16"/>
    </w:rPr>
  </w:style>
  <w:style w:type="character" w:customStyle="1" w:styleId="TextodegloboCar">
    <w:name w:val="Texto de globo Car"/>
    <w:basedOn w:val="Fuentedeprrafopredeter"/>
    <w:link w:val="Textodeglobo"/>
    <w:uiPriority w:val="99"/>
    <w:semiHidden/>
    <w:rsid w:val="00640240"/>
    <w:rPr>
      <w:rFonts w:ascii="Tahoma" w:hAnsi="Tahoma" w:cs="Tahoma"/>
      <w:sz w:val="16"/>
      <w:szCs w:val="16"/>
    </w:rPr>
  </w:style>
  <w:style w:type="paragraph" w:customStyle="1" w:styleId="corte4fondoCarCarCar">
    <w:name w:val="corte4 fondo Car Car Car"/>
    <w:basedOn w:val="Normal"/>
    <w:rsid w:val="00080379"/>
    <w:pPr>
      <w:spacing w:after="0" w:line="360" w:lineRule="auto"/>
      <w:ind w:firstLine="709"/>
      <w:jc w:val="both"/>
    </w:pPr>
    <w:rPr>
      <w:rFonts w:ascii="Arial" w:eastAsia="Times New Roman" w:hAnsi="Arial" w:cs="Times New Roman"/>
      <w:sz w:val="30"/>
      <w:szCs w:val="24"/>
      <w:lang w:eastAsia="es-MX"/>
    </w:rPr>
  </w:style>
  <w:style w:type="table" w:styleId="Tablaconcuadrcula">
    <w:name w:val="Table Grid"/>
    <w:basedOn w:val="Tablanormal"/>
    <w:uiPriority w:val="39"/>
    <w:rsid w:val="003739C0"/>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Hipervnculo">
    <w:name w:val="Hyperlink"/>
    <w:basedOn w:val="Fuentedeprrafopredeter"/>
    <w:uiPriority w:val="99"/>
    <w:unhideWhenUsed/>
    <w:rsid w:val="00524EF5"/>
    <w:rPr>
      <w:color w:val="0000FF"/>
      <w:u w:val="single"/>
    </w:rPr>
  </w:style>
  <w:style w:type="paragraph" w:styleId="Prrafodelista">
    <w:name w:val="List Paragraph"/>
    <w:basedOn w:val="Normal"/>
    <w:uiPriority w:val="34"/>
    <w:qFormat/>
    <w:rsid w:val="003F7AB5"/>
    <w:pPr>
      <w:ind w:left="720"/>
      <w:contextualSpacing/>
    </w:pPr>
  </w:style>
  <w:style w:type="paragraph" w:customStyle="1" w:styleId="Standard">
    <w:name w:val="Standard"/>
    <w:rsid w:val="006E5138"/>
    <w:pPr>
      <w:widowControl w:val="0"/>
      <w:suppressAutoHyphens/>
      <w:autoSpaceDN w:val="0"/>
      <w:spacing w:after="0" w:line="240" w:lineRule="auto"/>
      <w:textAlignment w:val="baseline"/>
    </w:pPr>
    <w:rPr>
      <w:rFonts w:ascii="Times New Roman" w:eastAsia="Arial Unicode MS" w:hAnsi="Times New Roman" w:cs="Tahoma"/>
      <w:kern w:val="3"/>
      <w:sz w:val="24"/>
      <w:szCs w:val="24"/>
      <w:lang w:eastAsia="es-MX"/>
    </w:rPr>
  </w:style>
  <w:style w:type="character" w:customStyle="1" w:styleId="corte4fondoCar">
    <w:name w:val="corte4 fondo Car"/>
    <w:link w:val="corte4fondo"/>
    <w:locked/>
    <w:rsid w:val="00B92449"/>
    <w:rPr>
      <w:rFonts w:ascii="Arial" w:eastAsia="Times New Roman" w:hAnsi="Arial" w:cs="Arial"/>
      <w:sz w:val="30"/>
      <w:lang w:val="es-ES_tradnl" w:eastAsia="es-ES"/>
    </w:rPr>
  </w:style>
  <w:style w:type="paragraph" w:customStyle="1" w:styleId="corte4fondo">
    <w:name w:val="corte4 fondo"/>
    <w:basedOn w:val="Normal"/>
    <w:link w:val="corte4fondoCar"/>
    <w:rsid w:val="00B92449"/>
    <w:pPr>
      <w:spacing w:after="0" w:line="360" w:lineRule="auto"/>
      <w:ind w:firstLine="709"/>
      <w:jc w:val="both"/>
    </w:pPr>
    <w:rPr>
      <w:rFonts w:ascii="Arial" w:eastAsia="Times New Roman" w:hAnsi="Arial" w:cs="Arial"/>
      <w:sz w:val="30"/>
      <w:lang w:val="es-ES_tradnl" w:eastAsia="es-ES"/>
    </w:rPr>
  </w:style>
  <w:style w:type="character" w:customStyle="1" w:styleId="lbl-encabezado-negro">
    <w:name w:val="lbl-encabezado-negro"/>
    <w:basedOn w:val="Fuentedeprrafopredeter"/>
    <w:rsid w:val="00DC247F"/>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602764362">
      <w:bodyDiv w:val="1"/>
      <w:marLeft w:val="0"/>
      <w:marRight w:val="0"/>
      <w:marTop w:val="0"/>
      <w:marBottom w:val="0"/>
      <w:divBdr>
        <w:top w:val="none" w:sz="0" w:space="0" w:color="auto"/>
        <w:left w:val="none" w:sz="0" w:space="0" w:color="auto"/>
        <w:bottom w:val="none" w:sz="0" w:space="0" w:color="auto"/>
        <w:right w:val="none" w:sz="0" w:space="0" w:color="auto"/>
      </w:divBdr>
    </w:div>
    <w:div w:id="1752695344">
      <w:bodyDiv w:val="1"/>
      <w:marLeft w:val="0"/>
      <w:marRight w:val="0"/>
      <w:marTop w:val="0"/>
      <w:marBottom w:val="0"/>
      <w:divBdr>
        <w:top w:val="none" w:sz="0" w:space="0" w:color="auto"/>
        <w:left w:val="none" w:sz="0" w:space="0" w:color="auto"/>
        <w:bottom w:val="none" w:sz="0" w:space="0" w:color="auto"/>
        <w:right w:val="none" w:sz="0" w:space="0" w:color="auto"/>
      </w:divBdr>
    </w:div>
    <w:div w:id="1897161015">
      <w:bodyDiv w:val="1"/>
      <w:marLeft w:val="0"/>
      <w:marRight w:val="0"/>
      <w:marTop w:val="0"/>
      <w:marBottom w:val="0"/>
      <w:divBdr>
        <w:top w:val="none" w:sz="0" w:space="0" w:color="auto"/>
        <w:left w:val="none" w:sz="0" w:space="0" w:color="auto"/>
        <w:bottom w:val="none" w:sz="0" w:space="0" w:color="auto"/>
        <w:right w:val="none" w:sz="0" w:space="0" w:color="auto"/>
      </w:divBdr>
      <w:divsChild>
        <w:div w:id="426928777">
          <w:marLeft w:val="0"/>
          <w:marRight w:val="0"/>
          <w:marTop w:val="0"/>
          <w:marBottom w:val="0"/>
          <w:divBdr>
            <w:top w:val="none" w:sz="0" w:space="0" w:color="auto"/>
            <w:left w:val="none" w:sz="0" w:space="0" w:color="auto"/>
            <w:bottom w:val="none" w:sz="0" w:space="0" w:color="auto"/>
            <w:right w:val="none" w:sz="0" w:space="0" w:color="auto"/>
          </w:divBdr>
          <w:divsChild>
            <w:div w:id="418215388">
              <w:marLeft w:val="0"/>
              <w:marRight w:val="0"/>
              <w:marTop w:val="0"/>
              <w:marBottom w:val="0"/>
              <w:divBdr>
                <w:top w:val="none" w:sz="0" w:space="0" w:color="auto"/>
                <w:left w:val="none" w:sz="0" w:space="0" w:color="auto"/>
                <w:bottom w:val="none" w:sz="0" w:space="0" w:color="auto"/>
                <w:right w:val="none" w:sz="0" w:space="0" w:color="auto"/>
              </w:divBdr>
            </w:div>
          </w:divsChild>
        </w:div>
        <w:div w:id="827408244">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www.scjn.gob.mx/sites/default/files/sinopsis_asuntos_destacados/documento/2017-01/2S-030615-JFFGS-0934.pdf" TargetMode="External"/><Relationship Id="rId13"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3.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theme" Target="theme/theme1.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_rels/header2.xml.rels><?xml version="1.0" encoding="UTF-8" standalone="yes"?>
<Relationships xmlns="http://schemas.openxmlformats.org/package/2006/relationships"><Relationship Id="rId3" Type="http://schemas.openxmlformats.org/officeDocument/2006/relationships/image" Target="media/image3.png"/><Relationship Id="rId2" Type="http://schemas.openxmlformats.org/officeDocument/2006/relationships/image" Target="media/image20.png"/><Relationship Id="rId1" Type="http://schemas.openxmlformats.org/officeDocument/2006/relationships/image" Target="media/image2.png"/></Relationships>
</file>

<file path=word/_rels/header3.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033767A4-9F6D-414A-BAF0-7B5DA4411AB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17</Pages>
  <Words>6513</Words>
  <Characters>35827</Characters>
  <Application>Microsoft Office Word</Application>
  <DocSecurity>0</DocSecurity>
  <Lines>298</Lines>
  <Paragraphs>84</Paragraphs>
  <ScaleCrop>false</ScaleCrop>
  <HeadingPairs>
    <vt:vector size="2" baseType="variant">
      <vt:variant>
        <vt:lpstr>Título</vt:lpstr>
      </vt:variant>
      <vt:variant>
        <vt:i4>1</vt:i4>
      </vt:variant>
    </vt:vector>
  </HeadingPairs>
  <TitlesOfParts>
    <vt:vector size="1" baseType="lpstr">
      <vt:lpstr/>
    </vt:vector>
  </TitlesOfParts>
  <Company>TuSoft.org</Company>
  <LinksUpToDate>false</LinksUpToDate>
  <CharactersWithSpaces>42256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TCA-PERSONAL</dc:creator>
  <cp:lastModifiedBy>TJA-Personal</cp:lastModifiedBy>
  <cp:revision>3</cp:revision>
  <cp:lastPrinted>2021-04-26T14:41:00Z</cp:lastPrinted>
  <dcterms:created xsi:type="dcterms:W3CDTF">2022-04-21T17:39:00Z</dcterms:created>
  <dcterms:modified xsi:type="dcterms:W3CDTF">2022-07-08T16:10:00Z</dcterms:modified>
</cp:coreProperties>
</file>