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AB41F9">
      <w:pPr>
        <w:spacing w:line="240" w:lineRule="auto"/>
        <w:ind w:left="2268" w:right="191"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CB943D1" w:rsidR="003B6CF0" w:rsidRPr="00CB6405" w:rsidRDefault="000C2192" w:rsidP="00AB41F9">
      <w:pPr>
        <w:spacing w:line="240" w:lineRule="auto"/>
        <w:ind w:left="2268" w:right="191"/>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AE0C43">
        <w:rPr>
          <w:rFonts w:ascii="Arial" w:hAnsi="Arial" w:cs="Arial"/>
          <w:b/>
          <w:sz w:val="26"/>
          <w:szCs w:val="26"/>
        </w:rPr>
        <w:t>0</w:t>
      </w:r>
      <w:r w:rsidR="00065B42">
        <w:rPr>
          <w:rFonts w:ascii="Arial" w:hAnsi="Arial" w:cs="Arial"/>
          <w:b/>
          <w:sz w:val="26"/>
          <w:szCs w:val="26"/>
        </w:rPr>
        <w:t>0</w:t>
      </w:r>
      <w:r w:rsidR="007C055E">
        <w:rPr>
          <w:rFonts w:ascii="Arial" w:hAnsi="Arial" w:cs="Arial"/>
          <w:b/>
          <w:sz w:val="26"/>
          <w:szCs w:val="26"/>
        </w:rPr>
        <w:t>30</w:t>
      </w:r>
      <w:r w:rsidR="003B6CF0">
        <w:rPr>
          <w:rFonts w:ascii="Arial" w:hAnsi="Arial" w:cs="Arial"/>
          <w:b/>
          <w:sz w:val="26"/>
          <w:szCs w:val="26"/>
        </w:rPr>
        <w:t>/202</w:t>
      </w:r>
      <w:r w:rsidR="00065B42">
        <w:rPr>
          <w:rFonts w:ascii="Arial" w:hAnsi="Arial" w:cs="Arial"/>
          <w:b/>
          <w:sz w:val="26"/>
          <w:szCs w:val="26"/>
        </w:rPr>
        <w:t>2</w:t>
      </w:r>
      <w:r w:rsidR="003B6CF0">
        <w:rPr>
          <w:rFonts w:ascii="Arial" w:hAnsi="Arial" w:cs="Arial"/>
          <w:b/>
          <w:sz w:val="26"/>
          <w:szCs w:val="26"/>
        </w:rPr>
        <w:t>.</w:t>
      </w:r>
    </w:p>
    <w:p w14:paraId="4DFA70CD" w14:textId="62E5CAFE" w:rsidR="003B6CF0" w:rsidRDefault="003B6CF0" w:rsidP="00AB41F9">
      <w:pPr>
        <w:spacing w:line="240" w:lineRule="auto"/>
        <w:ind w:left="2268" w:right="191"/>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FE5607">
        <w:rPr>
          <w:rFonts w:ascii="Arial" w:hAnsi="Arial" w:cs="Arial"/>
          <w:b/>
          <w:sz w:val="26"/>
          <w:szCs w:val="26"/>
        </w:rPr>
        <w:t>0</w:t>
      </w:r>
      <w:r w:rsidR="007C055E">
        <w:rPr>
          <w:rFonts w:ascii="Arial" w:hAnsi="Arial" w:cs="Arial"/>
          <w:b/>
          <w:sz w:val="26"/>
          <w:szCs w:val="26"/>
        </w:rPr>
        <w:t>58</w:t>
      </w:r>
      <w:r w:rsidR="0042210F">
        <w:rPr>
          <w:rFonts w:ascii="Arial" w:hAnsi="Arial" w:cs="Arial"/>
          <w:b/>
          <w:sz w:val="26"/>
          <w:szCs w:val="26"/>
        </w:rPr>
        <w:t>/20</w:t>
      </w:r>
      <w:r w:rsidR="00FE5607">
        <w:rPr>
          <w:rFonts w:ascii="Arial" w:hAnsi="Arial" w:cs="Arial"/>
          <w:b/>
          <w:sz w:val="26"/>
          <w:szCs w:val="26"/>
        </w:rPr>
        <w:t>2</w:t>
      </w:r>
      <w:r w:rsidR="00065B42">
        <w:rPr>
          <w:rFonts w:ascii="Arial" w:hAnsi="Arial" w:cs="Arial"/>
          <w:b/>
          <w:sz w:val="26"/>
          <w:szCs w:val="26"/>
        </w:rPr>
        <w:t>1</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7C055E">
        <w:rPr>
          <w:rFonts w:ascii="Arial" w:hAnsi="Arial" w:cs="Arial"/>
          <w:b/>
          <w:sz w:val="26"/>
          <w:szCs w:val="26"/>
        </w:rPr>
        <w:t>TERCERA</w:t>
      </w:r>
      <w:r w:rsidR="00AE0C43">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23F25B5" w:rsidR="003B6CF0" w:rsidRDefault="003B6CF0" w:rsidP="00AB41F9">
      <w:pPr>
        <w:spacing w:line="240" w:lineRule="auto"/>
        <w:ind w:left="2268" w:right="191"/>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02D16164" w:rsidR="003B6CF0" w:rsidRDefault="003B6CF0" w:rsidP="000C2192">
      <w:pPr>
        <w:spacing w:before="240" w:line="360" w:lineRule="auto"/>
        <w:ind w:firstLine="709"/>
        <w:jc w:val="both"/>
        <w:rPr>
          <w:rFonts w:ascii="Arial" w:hAnsi="Arial" w:cs="Arial"/>
          <w:b/>
          <w:sz w:val="26"/>
          <w:szCs w:val="26"/>
        </w:rPr>
      </w:pPr>
      <w:r>
        <w:rPr>
          <w:rFonts w:ascii="Arial" w:hAnsi="Arial" w:cs="Arial"/>
          <w:b/>
          <w:sz w:val="26"/>
          <w:szCs w:val="26"/>
        </w:rPr>
        <w:t xml:space="preserve">OAXACA DE JUÁREZ, OAXACA A </w:t>
      </w:r>
      <w:r w:rsidR="00AB41F9">
        <w:rPr>
          <w:rFonts w:ascii="Arial" w:hAnsi="Arial" w:cs="Arial"/>
          <w:b/>
          <w:sz w:val="26"/>
          <w:szCs w:val="26"/>
        </w:rPr>
        <w:t>SEIS</w:t>
      </w:r>
      <w:r>
        <w:rPr>
          <w:rFonts w:ascii="Arial" w:hAnsi="Arial" w:cs="Arial"/>
          <w:b/>
          <w:sz w:val="26"/>
          <w:szCs w:val="26"/>
        </w:rPr>
        <w:t xml:space="preserve"> DE </w:t>
      </w:r>
      <w:r w:rsidR="00AB41F9">
        <w:rPr>
          <w:rFonts w:ascii="Arial" w:hAnsi="Arial" w:cs="Arial"/>
          <w:b/>
          <w:sz w:val="26"/>
          <w:szCs w:val="26"/>
        </w:rPr>
        <w:t>OCTUBRE</w:t>
      </w:r>
      <w:r>
        <w:rPr>
          <w:rFonts w:ascii="Arial" w:hAnsi="Arial" w:cs="Arial"/>
          <w:b/>
          <w:sz w:val="26"/>
          <w:szCs w:val="26"/>
        </w:rPr>
        <w:t xml:space="preserve"> DE DOS MIL </w:t>
      </w:r>
      <w:r w:rsidR="005D0D24">
        <w:rPr>
          <w:rFonts w:ascii="Arial" w:hAnsi="Arial" w:cs="Arial"/>
          <w:b/>
          <w:sz w:val="26"/>
          <w:szCs w:val="26"/>
        </w:rPr>
        <w:t>VEINTIDÓS</w:t>
      </w:r>
      <w:r>
        <w:rPr>
          <w:rFonts w:ascii="Arial" w:hAnsi="Arial" w:cs="Arial"/>
          <w:b/>
          <w:sz w:val="26"/>
          <w:szCs w:val="26"/>
        </w:rPr>
        <w:t xml:space="preserve">. - - - - - - - - - - - - - - - - - - - - - - - - - - - - - - - - - - - </w:t>
      </w:r>
    </w:p>
    <w:p w14:paraId="11244B64" w14:textId="0999B209" w:rsidR="002560BB" w:rsidRDefault="003B6CF0" w:rsidP="00AE2B8D">
      <w:pPr>
        <w:spacing w:line="360" w:lineRule="auto"/>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065B42">
        <w:rPr>
          <w:rFonts w:ascii="Arial" w:hAnsi="Arial" w:cs="Arial"/>
          <w:b/>
          <w:sz w:val="26"/>
          <w:szCs w:val="26"/>
        </w:rPr>
        <w:t>0</w:t>
      </w:r>
      <w:r w:rsidR="007C055E">
        <w:rPr>
          <w:rFonts w:ascii="Arial" w:hAnsi="Arial" w:cs="Arial"/>
          <w:b/>
          <w:sz w:val="26"/>
          <w:szCs w:val="26"/>
        </w:rPr>
        <w:t>30</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bookmarkStart w:id="0" w:name="_Hlk74567089"/>
      <w:bookmarkStart w:id="1" w:name="_Hlk107219931"/>
      <w:r w:rsidR="00AB41F9">
        <w:rPr>
          <w:rFonts w:ascii="Arial" w:hAnsi="Arial" w:cs="Arial"/>
          <w:b/>
          <w:sz w:val="26"/>
          <w:szCs w:val="26"/>
        </w:rPr>
        <w:t>CÉSAR ANTONIO SANTIAGO GARCÍA</w:t>
      </w:r>
      <w:r w:rsidR="00AB41F9">
        <w:rPr>
          <w:rFonts w:ascii="Arial" w:hAnsi="Arial" w:cs="Arial"/>
          <w:sz w:val="26"/>
          <w:szCs w:val="26"/>
        </w:rPr>
        <w:t>,</w:t>
      </w:r>
      <w:r w:rsidR="00AB41F9">
        <w:rPr>
          <w:rFonts w:ascii="Arial" w:hAnsi="Arial" w:cs="Arial"/>
          <w:b/>
          <w:sz w:val="26"/>
          <w:szCs w:val="26"/>
        </w:rPr>
        <w:t xml:space="preserve"> POLICÍA VIAL CON NÚMERO ESTADÍSTICO PV-188, </w:t>
      </w:r>
      <w:bookmarkEnd w:id="0"/>
      <w:r w:rsidR="00AB41F9" w:rsidRPr="00802152">
        <w:rPr>
          <w:rFonts w:ascii="Arial" w:eastAsia="Calibri" w:hAnsi="Arial" w:cs="Arial"/>
          <w:b/>
          <w:color w:val="000000" w:themeColor="text1"/>
          <w:sz w:val="26"/>
          <w:szCs w:val="26"/>
        </w:rPr>
        <w:t>ADSCRIT</w:t>
      </w:r>
      <w:r w:rsidR="00AB41F9">
        <w:rPr>
          <w:rFonts w:ascii="Arial" w:eastAsia="Calibri" w:hAnsi="Arial" w:cs="Arial"/>
          <w:b/>
          <w:color w:val="000000" w:themeColor="text1"/>
          <w:sz w:val="26"/>
          <w:szCs w:val="26"/>
        </w:rPr>
        <w:t>O</w:t>
      </w:r>
      <w:r w:rsidR="00AB41F9" w:rsidRPr="00802152">
        <w:rPr>
          <w:rFonts w:ascii="Arial" w:eastAsia="Calibri" w:hAnsi="Arial" w:cs="Arial"/>
          <w:b/>
          <w:color w:val="000000" w:themeColor="text1"/>
          <w:sz w:val="26"/>
          <w:szCs w:val="26"/>
        </w:rPr>
        <w:t xml:space="preserve"> A LA </w:t>
      </w:r>
      <w:r w:rsidR="00AB41F9">
        <w:rPr>
          <w:rFonts w:ascii="Arial" w:eastAsia="Calibri" w:hAnsi="Arial" w:cs="Arial"/>
          <w:b/>
          <w:color w:val="000000" w:themeColor="text1"/>
          <w:sz w:val="26"/>
          <w:szCs w:val="26"/>
        </w:rPr>
        <w:t xml:space="preserve">DIRECCIÓN DE </w:t>
      </w:r>
      <w:r w:rsidR="00AB41F9" w:rsidRPr="00802152">
        <w:rPr>
          <w:rFonts w:ascii="Arial" w:eastAsia="Calibri" w:hAnsi="Arial" w:cs="Arial"/>
          <w:b/>
          <w:color w:val="000000" w:themeColor="text1"/>
          <w:sz w:val="26"/>
          <w:szCs w:val="26"/>
        </w:rPr>
        <w:t>MOVILIDAD DEL MUNICIPIO DE OAXACA DE JUÁREZ, OAXACA</w:t>
      </w:r>
      <w:bookmarkEnd w:id="1"/>
      <w:r w:rsidR="00E1384D" w:rsidRPr="0052375D">
        <w:rPr>
          <w:rFonts w:ascii="Arial" w:hAnsi="Arial" w:cs="Arial"/>
          <w:b/>
          <w:sz w:val="26"/>
          <w:szCs w:val="26"/>
        </w:rPr>
        <w:t xml:space="preserve">,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w:t>
      </w:r>
      <w:bookmarkStart w:id="2" w:name="_Hlk80613725"/>
      <w:r w:rsidR="00EA5018">
        <w:rPr>
          <w:rFonts w:ascii="Arial" w:hAnsi="Arial" w:cs="Arial"/>
          <w:sz w:val="26"/>
          <w:szCs w:val="26"/>
        </w:rPr>
        <w:t xml:space="preserve">veintidós de </w:t>
      </w:r>
      <w:r w:rsidR="00ED17EB">
        <w:rPr>
          <w:rFonts w:ascii="Arial" w:hAnsi="Arial" w:cs="Arial"/>
          <w:sz w:val="26"/>
          <w:szCs w:val="26"/>
        </w:rPr>
        <w:t>febrero</w:t>
      </w:r>
      <w:r w:rsidR="00EA5018">
        <w:rPr>
          <w:rFonts w:ascii="Arial" w:hAnsi="Arial" w:cs="Arial"/>
          <w:sz w:val="26"/>
          <w:szCs w:val="26"/>
        </w:rPr>
        <w:t xml:space="preserve"> de dos mil veintidós</w:t>
      </w:r>
      <w:r w:rsidR="0091394C">
        <w:rPr>
          <w:rFonts w:ascii="Arial" w:hAnsi="Arial" w:cs="Arial"/>
          <w:sz w:val="26"/>
          <w:szCs w:val="26"/>
        </w:rPr>
        <w:t>,</w:t>
      </w:r>
      <w:r w:rsidRPr="0052375D">
        <w:rPr>
          <w:rFonts w:ascii="Arial" w:hAnsi="Arial" w:cs="Arial"/>
          <w:sz w:val="26"/>
          <w:szCs w:val="26"/>
        </w:rPr>
        <w:t xml:space="preserve"> </w:t>
      </w:r>
      <w:bookmarkEnd w:id="2"/>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AE2B8D">
        <w:rPr>
          <w:rFonts w:ascii="Arial" w:eastAsia="Calibri" w:hAnsi="Arial" w:cs="Arial"/>
          <w:bCs/>
          <w:sz w:val="26"/>
          <w:szCs w:val="26"/>
          <w:lang w:eastAsia="en-US"/>
        </w:rPr>
        <w:t>0</w:t>
      </w:r>
      <w:r w:rsidR="00FE5607">
        <w:rPr>
          <w:rFonts w:ascii="Arial" w:eastAsia="Calibri" w:hAnsi="Arial" w:cs="Arial"/>
          <w:bCs/>
          <w:sz w:val="26"/>
          <w:szCs w:val="26"/>
          <w:lang w:eastAsia="en-US"/>
        </w:rPr>
        <w:t>0</w:t>
      </w:r>
      <w:r w:rsidR="00ED17EB">
        <w:rPr>
          <w:rFonts w:ascii="Arial" w:eastAsia="Calibri" w:hAnsi="Arial" w:cs="Arial"/>
          <w:bCs/>
          <w:sz w:val="26"/>
          <w:szCs w:val="26"/>
          <w:lang w:eastAsia="en-US"/>
        </w:rPr>
        <w:t>58</w:t>
      </w:r>
      <w:r w:rsidR="00AE2B8D">
        <w:rPr>
          <w:rFonts w:ascii="Arial" w:eastAsia="Calibri" w:hAnsi="Arial" w:cs="Arial"/>
          <w:bCs/>
          <w:sz w:val="26"/>
          <w:szCs w:val="26"/>
          <w:lang w:eastAsia="en-US"/>
        </w:rPr>
        <w:t>/20</w:t>
      </w:r>
      <w:r w:rsidR="00FE5607">
        <w:rPr>
          <w:rFonts w:ascii="Arial" w:eastAsia="Calibri" w:hAnsi="Arial" w:cs="Arial"/>
          <w:bCs/>
          <w:sz w:val="26"/>
          <w:szCs w:val="26"/>
          <w:lang w:eastAsia="en-US"/>
        </w:rPr>
        <w:t>2</w:t>
      </w:r>
      <w:r w:rsidR="00EA5018">
        <w:rPr>
          <w:rFonts w:ascii="Arial" w:eastAsia="Calibri" w:hAnsi="Arial" w:cs="Arial"/>
          <w:bCs/>
          <w:sz w:val="26"/>
          <w:szCs w:val="26"/>
          <w:lang w:eastAsia="en-US"/>
        </w:rPr>
        <w:t>1</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ED17EB">
        <w:rPr>
          <w:rFonts w:ascii="Arial" w:eastAsia="Calibri" w:hAnsi="Arial" w:cs="Arial"/>
          <w:bCs/>
          <w:sz w:val="26"/>
          <w:szCs w:val="26"/>
          <w:lang w:eastAsia="en-US"/>
        </w:rPr>
        <w:t>Tercera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7E1A52">
        <w:rPr>
          <w:rFonts w:ascii="Arial"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FE5607">
        <w:rPr>
          <w:rFonts w:ascii="Arial" w:hAnsi="Arial" w:cs="Arial"/>
          <w:sz w:val="26"/>
          <w:szCs w:val="26"/>
        </w:rPr>
        <w:t>l</w:t>
      </w:r>
      <w:r w:rsidR="00AE2B8D">
        <w:rPr>
          <w:rFonts w:ascii="Arial" w:hAnsi="Arial" w:cs="Arial"/>
          <w:sz w:val="26"/>
          <w:szCs w:val="26"/>
        </w:rPr>
        <w:t xml:space="preserve"> </w:t>
      </w:r>
      <w:r w:rsidR="00AE0C43">
        <w:rPr>
          <w:rFonts w:ascii="Arial" w:hAnsi="Arial" w:cs="Arial"/>
          <w:b/>
          <w:sz w:val="26"/>
          <w:szCs w:val="26"/>
        </w:rPr>
        <w:t>r</w:t>
      </w:r>
      <w:r w:rsidR="002A2B0B">
        <w:rPr>
          <w:rFonts w:ascii="Arial" w:hAnsi="Arial" w:cs="Arial"/>
          <w:b/>
          <w:sz w:val="26"/>
          <w:szCs w:val="26"/>
        </w:rPr>
        <w:t>ecurrente</w:t>
      </w:r>
      <w:r w:rsidR="00B736E2" w:rsidRPr="0052375D">
        <w:rPr>
          <w:rFonts w:ascii="Arial" w:hAnsi="Arial" w:cs="Arial"/>
          <w:b/>
          <w:sz w:val="26"/>
          <w:szCs w:val="26"/>
        </w:rPr>
        <w:t>;</w:t>
      </w:r>
      <w:r>
        <w:rPr>
          <w:rFonts w:ascii="Arial" w:hAnsi="Arial" w:cs="Arial"/>
          <w:sz w:val="26"/>
          <w:szCs w:val="26"/>
        </w:rPr>
        <w:t xml:space="preserve"> por lo que, con fundamento en los </w:t>
      </w:r>
      <w:r w:rsidR="00AE2B8D">
        <w:rPr>
          <w:rFonts w:ascii="Arial" w:hAnsi="Arial" w:cs="Arial"/>
          <w:sz w:val="26"/>
          <w:szCs w:val="26"/>
        </w:rPr>
        <w:t>artículos</w:t>
      </w:r>
      <w:r w:rsidR="00FE5607">
        <w:rPr>
          <w:rFonts w:ascii="Arial" w:hAnsi="Arial" w:cs="Arial"/>
          <w:sz w:val="26"/>
          <w:szCs w:val="26"/>
        </w:rPr>
        <w:t xml:space="preserve"> </w:t>
      </w:r>
      <w:r w:rsidR="00FE5607" w:rsidRPr="00A979D7">
        <w:rPr>
          <w:rFonts w:ascii="Arial" w:eastAsiaTheme="minorHAnsi" w:hAnsi="Arial" w:cs="Arial"/>
          <w:sz w:val="26"/>
          <w:szCs w:val="26"/>
          <w:lang w:eastAsia="en-US"/>
        </w:rPr>
        <w:t>2</w:t>
      </w:r>
      <w:r w:rsidR="00FE5607">
        <w:rPr>
          <w:rFonts w:ascii="Arial" w:eastAsiaTheme="minorHAnsi" w:hAnsi="Arial" w:cs="Arial"/>
          <w:sz w:val="26"/>
          <w:szCs w:val="26"/>
          <w:lang w:eastAsia="en-US"/>
        </w:rPr>
        <w:t>3</w:t>
      </w:r>
      <w:r w:rsidR="00FE5607" w:rsidRPr="00A979D7">
        <w:rPr>
          <w:rFonts w:ascii="Arial" w:eastAsiaTheme="minorHAnsi" w:hAnsi="Arial" w:cs="Arial"/>
          <w:sz w:val="26"/>
          <w:szCs w:val="26"/>
          <w:lang w:eastAsia="en-US"/>
        </w:rPr>
        <w:t>6 y 2</w:t>
      </w:r>
      <w:r w:rsidR="00FE5607">
        <w:rPr>
          <w:rFonts w:ascii="Arial" w:eastAsiaTheme="minorHAnsi" w:hAnsi="Arial" w:cs="Arial"/>
          <w:sz w:val="26"/>
          <w:szCs w:val="26"/>
          <w:lang w:eastAsia="en-US"/>
        </w:rPr>
        <w:t>3</w:t>
      </w:r>
      <w:r w:rsidR="00310965">
        <w:rPr>
          <w:rFonts w:ascii="Arial" w:eastAsiaTheme="minorHAnsi" w:hAnsi="Arial" w:cs="Arial"/>
          <w:sz w:val="26"/>
          <w:szCs w:val="26"/>
          <w:lang w:eastAsia="en-US"/>
        </w:rPr>
        <w:t>8</w:t>
      </w:r>
      <w:r w:rsidR="00FE5607" w:rsidRPr="00A979D7">
        <w:rPr>
          <w:rFonts w:ascii="Arial" w:eastAsiaTheme="minorHAnsi" w:hAnsi="Arial" w:cs="Arial"/>
          <w:sz w:val="26"/>
          <w:szCs w:val="26"/>
          <w:lang w:eastAsia="en-US"/>
        </w:rPr>
        <w:t xml:space="preserve"> de la Ley de</w:t>
      </w:r>
      <w:r w:rsidR="00FE5607">
        <w:rPr>
          <w:rFonts w:ascii="Arial" w:eastAsiaTheme="minorHAnsi" w:hAnsi="Arial" w:cs="Arial"/>
          <w:sz w:val="26"/>
          <w:szCs w:val="26"/>
          <w:lang w:eastAsia="en-US"/>
        </w:rPr>
        <w:t xml:space="preserve"> Procedimiento y</w:t>
      </w:r>
      <w:r w:rsidR="00FE5607" w:rsidRPr="00A979D7">
        <w:rPr>
          <w:rFonts w:ascii="Arial" w:eastAsiaTheme="minorHAnsi" w:hAnsi="Arial" w:cs="Arial"/>
          <w:sz w:val="26"/>
          <w:szCs w:val="26"/>
          <w:lang w:eastAsia="en-US"/>
        </w:rPr>
        <w:t xml:space="preserve"> Justicia Administrativa para el Estado de Oaxaca</w:t>
      </w:r>
      <w:r w:rsidR="00FE5607">
        <w:rPr>
          <w:rFonts w:ascii="Arial" w:eastAsiaTheme="minorHAnsi" w:hAnsi="Arial" w:cs="Arial"/>
          <w:sz w:val="26"/>
          <w:szCs w:val="26"/>
          <w:lang w:eastAsia="en-US"/>
        </w:rPr>
        <w:t>,</w:t>
      </w:r>
      <w:r w:rsidR="00310965" w:rsidRPr="00310965">
        <w:rPr>
          <w:rFonts w:ascii="Arial" w:eastAsiaTheme="minorHAnsi" w:hAnsi="Arial" w:cs="Arial"/>
          <w:sz w:val="26"/>
          <w:szCs w:val="26"/>
          <w:lang w:eastAsia="en-US"/>
        </w:rPr>
        <w:t xml:space="preserve"> </w:t>
      </w:r>
      <w:r w:rsidR="00310965">
        <w:rPr>
          <w:rFonts w:ascii="Arial" w:eastAsiaTheme="minorHAnsi" w:hAnsi="Arial" w:cs="Arial"/>
          <w:sz w:val="26"/>
          <w:szCs w:val="26"/>
          <w:lang w:eastAsia="en-US"/>
        </w:rPr>
        <w:t xml:space="preserve">y </w:t>
      </w:r>
      <w:r w:rsidR="00310965" w:rsidRPr="00442B2B">
        <w:rPr>
          <w:rFonts w:ascii="Arial" w:eastAsiaTheme="minorHAnsi" w:hAnsi="Arial" w:cs="Arial"/>
          <w:sz w:val="26"/>
          <w:szCs w:val="26"/>
          <w:lang w:eastAsia="en-US"/>
        </w:rPr>
        <w:t>24 fracci</w:t>
      </w:r>
      <w:r w:rsidR="00442B2B" w:rsidRPr="00442B2B">
        <w:rPr>
          <w:rFonts w:ascii="Arial" w:eastAsiaTheme="minorHAnsi" w:hAnsi="Arial" w:cs="Arial"/>
          <w:sz w:val="26"/>
          <w:szCs w:val="26"/>
          <w:lang w:eastAsia="en-US"/>
        </w:rPr>
        <w:t>ones</w:t>
      </w:r>
      <w:r w:rsidR="00310965">
        <w:rPr>
          <w:rFonts w:ascii="Arial" w:eastAsiaTheme="minorHAnsi" w:hAnsi="Arial" w:cs="Arial"/>
          <w:sz w:val="26"/>
          <w:szCs w:val="26"/>
          <w:lang w:eastAsia="en-US"/>
        </w:rPr>
        <w:t xml:space="preserve"> I y III de la </w:t>
      </w:r>
      <w:r w:rsidR="00310965" w:rsidRPr="00EB490F">
        <w:rPr>
          <w:rFonts w:ascii="Arial" w:eastAsiaTheme="minorHAnsi" w:hAnsi="Arial" w:cs="Arial"/>
          <w:sz w:val="26"/>
          <w:szCs w:val="26"/>
          <w:lang w:eastAsia="en-US"/>
        </w:rPr>
        <w:t>Ley Orgánica del Tribunal de Justicia Administrativa del Estado de Oaxaca</w:t>
      </w:r>
      <w:r w:rsidR="00310965">
        <w:rPr>
          <w:rFonts w:ascii="Arial" w:eastAsiaTheme="minorHAnsi" w:hAnsi="Arial" w:cs="Arial"/>
          <w:sz w:val="26"/>
          <w:szCs w:val="26"/>
          <w:lang w:eastAsia="en-US"/>
        </w:rPr>
        <w:t>,</w:t>
      </w:r>
      <w:r w:rsidR="00AB41F9">
        <w:rPr>
          <w:rFonts w:ascii="Arial" w:eastAsiaTheme="minorHAnsi" w:hAnsi="Arial" w:cs="Arial"/>
          <w:sz w:val="26"/>
          <w:szCs w:val="26"/>
          <w:lang w:eastAsia="en-US"/>
        </w:rPr>
        <w:t xml:space="preserve"> se da tramite. Por consiguiente,</w:t>
      </w:r>
      <w:r w:rsidR="00FE5607">
        <w:rPr>
          <w:rFonts w:ascii="Arial" w:eastAsiaTheme="minorHAnsi" w:hAnsi="Arial" w:cs="Arial"/>
          <w:sz w:val="26"/>
          <w:szCs w:val="26"/>
          <w:lang w:eastAsia="en-US"/>
        </w:rPr>
        <w:t xml:space="preserve"> </w:t>
      </w:r>
      <w:r w:rsidR="00AE2B8D">
        <w:rPr>
          <w:rFonts w:ascii="Arial" w:hAnsi="Arial" w:cs="Arial"/>
          <w:sz w:val="26"/>
          <w:szCs w:val="26"/>
        </w:rPr>
        <w:t>se procede a dictar resolución en los siguientes términos</w:t>
      </w:r>
      <w:r w:rsidR="00AE2B8D" w:rsidRPr="003509B6">
        <w:rPr>
          <w:rFonts w:ascii="Arial" w:hAnsi="Arial" w:cs="Arial"/>
          <w:sz w:val="26"/>
          <w:szCs w:val="26"/>
        </w:rPr>
        <w:t>:</w:t>
      </w:r>
      <w:r w:rsidR="00AE2B8D">
        <w:rPr>
          <w:rFonts w:ascii="Arial" w:hAnsi="Arial" w:cs="Arial"/>
          <w:sz w:val="26"/>
          <w:szCs w:val="26"/>
        </w:rPr>
        <w:t xml:space="preserve">- - </w:t>
      </w:r>
      <w:r w:rsidR="0069767A">
        <w:rPr>
          <w:rFonts w:ascii="Arial" w:hAnsi="Arial" w:cs="Arial"/>
          <w:sz w:val="26"/>
          <w:szCs w:val="26"/>
        </w:rPr>
        <w:t xml:space="preserve">- - </w:t>
      </w:r>
      <w:r w:rsidR="007E1A52">
        <w:rPr>
          <w:rFonts w:ascii="Arial" w:hAnsi="Arial" w:cs="Arial"/>
          <w:sz w:val="26"/>
          <w:szCs w:val="26"/>
        </w:rPr>
        <w:t xml:space="preserve">- - - - - - </w:t>
      </w:r>
    </w:p>
    <w:p w14:paraId="42B43640" w14:textId="390BA595" w:rsidR="00B40346" w:rsidRPr="007F11DC" w:rsidRDefault="00B40346" w:rsidP="00AB41F9">
      <w:pPr>
        <w:spacing w:after="0" w:line="360" w:lineRule="auto"/>
        <w:jc w:val="center"/>
        <w:rPr>
          <w:rFonts w:ascii="Arial" w:hAnsi="Arial" w:cs="Arial"/>
          <w:sz w:val="26"/>
          <w:szCs w:val="26"/>
        </w:rPr>
      </w:pPr>
      <w:r w:rsidRPr="007F11DC">
        <w:rPr>
          <w:rFonts w:ascii="Arial" w:hAnsi="Arial" w:cs="Arial"/>
          <w:b/>
          <w:bCs/>
          <w:sz w:val="26"/>
          <w:szCs w:val="26"/>
          <w:lang w:val="es-ES"/>
        </w:rPr>
        <w:t>R E S U L T A N D O</w:t>
      </w:r>
    </w:p>
    <w:p w14:paraId="5DE428AC" w14:textId="08638190"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ED17EB">
        <w:rPr>
          <w:rFonts w:ascii="Arial" w:hAnsi="Arial" w:cs="Arial"/>
          <w:sz w:val="26"/>
          <w:szCs w:val="26"/>
        </w:rPr>
        <w:t>veintidós de febrero de dos mil veintidós</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ED17EB">
        <w:rPr>
          <w:rFonts w:ascii="Arial" w:hAnsi="Arial" w:cs="Arial"/>
          <w:sz w:val="26"/>
          <w:szCs w:val="26"/>
        </w:rPr>
        <w:t>Tercera</w:t>
      </w:r>
      <w:r w:rsidR="00442B2B">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AB41F9">
        <w:rPr>
          <w:rFonts w:ascii="Arial" w:hAnsi="Arial" w:cs="Arial"/>
          <w:b/>
          <w:sz w:val="26"/>
          <w:szCs w:val="26"/>
        </w:rPr>
        <w:t>CÉSAR ANTONIO SANTIAGO GARCÍA</w:t>
      </w:r>
      <w:r w:rsidR="00AB41F9">
        <w:rPr>
          <w:rFonts w:ascii="Arial" w:hAnsi="Arial" w:cs="Arial"/>
          <w:sz w:val="26"/>
          <w:szCs w:val="26"/>
        </w:rPr>
        <w:t>,</w:t>
      </w:r>
      <w:r w:rsidR="00AB41F9">
        <w:rPr>
          <w:rFonts w:ascii="Arial" w:hAnsi="Arial" w:cs="Arial"/>
          <w:b/>
          <w:sz w:val="26"/>
          <w:szCs w:val="26"/>
        </w:rPr>
        <w:t xml:space="preserve"> POLICÍA VIAL CON NÚMERO ESTADÍSTICO PV-188, </w:t>
      </w:r>
      <w:r w:rsidR="00AB41F9" w:rsidRPr="00802152">
        <w:rPr>
          <w:rFonts w:ascii="Arial" w:eastAsia="Calibri" w:hAnsi="Arial" w:cs="Arial"/>
          <w:b/>
          <w:color w:val="000000" w:themeColor="text1"/>
          <w:sz w:val="26"/>
          <w:szCs w:val="26"/>
        </w:rPr>
        <w:t>ADSCRIT</w:t>
      </w:r>
      <w:r w:rsidR="00AB41F9">
        <w:rPr>
          <w:rFonts w:ascii="Arial" w:eastAsia="Calibri" w:hAnsi="Arial" w:cs="Arial"/>
          <w:b/>
          <w:color w:val="000000" w:themeColor="text1"/>
          <w:sz w:val="26"/>
          <w:szCs w:val="26"/>
        </w:rPr>
        <w:t>O</w:t>
      </w:r>
      <w:r w:rsidR="00AB41F9" w:rsidRPr="00802152">
        <w:rPr>
          <w:rFonts w:ascii="Arial" w:eastAsia="Calibri" w:hAnsi="Arial" w:cs="Arial"/>
          <w:b/>
          <w:color w:val="000000" w:themeColor="text1"/>
          <w:sz w:val="26"/>
          <w:szCs w:val="26"/>
        </w:rPr>
        <w:t xml:space="preserve"> A LA </w:t>
      </w:r>
      <w:r w:rsidR="00AB41F9">
        <w:rPr>
          <w:rFonts w:ascii="Arial" w:eastAsia="Calibri" w:hAnsi="Arial" w:cs="Arial"/>
          <w:b/>
          <w:color w:val="000000" w:themeColor="text1"/>
          <w:sz w:val="26"/>
          <w:szCs w:val="26"/>
        </w:rPr>
        <w:t xml:space="preserve">DIRECCIÓN DE </w:t>
      </w:r>
      <w:r w:rsidR="00AB41F9" w:rsidRPr="00802152">
        <w:rPr>
          <w:rFonts w:ascii="Arial" w:eastAsia="Calibri" w:hAnsi="Arial" w:cs="Arial"/>
          <w:b/>
          <w:color w:val="000000" w:themeColor="text1"/>
          <w:sz w:val="26"/>
          <w:szCs w:val="26"/>
        </w:rPr>
        <w:t>MOVILIDAD DEL MUNICIPIO DE OAXACA DE JUÁREZ, OAXACA</w:t>
      </w:r>
      <w:r w:rsidR="00592971" w:rsidRPr="0052375D">
        <w:rPr>
          <w:rFonts w:ascii="Arial" w:hAnsi="Arial" w:cs="Arial"/>
          <w:b/>
          <w:sz w:val="26"/>
          <w:szCs w:val="26"/>
        </w:rPr>
        <w:t>,</w:t>
      </w:r>
      <w:r w:rsidR="00E1384D"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w:t>
      </w:r>
      <w:r w:rsidR="00AB41F9" w:rsidRPr="00CB6405">
        <w:rPr>
          <w:rFonts w:ascii="Arial" w:hAnsi="Arial" w:cs="Arial"/>
          <w:sz w:val="26"/>
          <w:szCs w:val="26"/>
        </w:rPr>
        <w:t>revisión.</w:t>
      </w:r>
      <w:r w:rsidR="00AB41F9">
        <w:rPr>
          <w:rFonts w:ascii="Arial" w:hAnsi="Arial" w:cs="Arial"/>
          <w:sz w:val="26"/>
          <w:szCs w:val="26"/>
        </w:rPr>
        <w:t xml:space="preserve"> -</w:t>
      </w:r>
      <w:r w:rsidR="000C2192">
        <w:rPr>
          <w:rFonts w:ascii="Arial" w:hAnsi="Arial" w:cs="Arial"/>
          <w:sz w:val="26"/>
          <w:szCs w:val="26"/>
        </w:rPr>
        <w:t xml:space="preserve"> </w:t>
      </w:r>
      <w:r w:rsidR="00473FEF">
        <w:rPr>
          <w:rFonts w:ascii="Arial" w:hAnsi="Arial" w:cs="Arial"/>
          <w:sz w:val="26"/>
          <w:szCs w:val="26"/>
        </w:rPr>
        <w:t xml:space="preserve">- - - -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003765AE" w14:textId="441F455B" w:rsidR="0050607F" w:rsidRDefault="0050607F" w:rsidP="00AB41F9">
      <w:pPr>
        <w:spacing w:after="0"/>
        <w:ind w:left="1134" w:right="900" w:firstLine="282"/>
        <w:jc w:val="both"/>
        <w:rPr>
          <w:rFonts w:ascii="Arial" w:eastAsia="Calibri" w:hAnsi="Arial" w:cs="Arial"/>
          <w:bCs/>
          <w:i/>
          <w:color w:val="000000" w:themeColor="text1"/>
        </w:rPr>
      </w:pPr>
      <w:r>
        <w:rPr>
          <w:rFonts w:ascii="Arial" w:eastAsia="Calibri" w:hAnsi="Arial" w:cs="Arial"/>
          <w:b/>
          <w:bCs/>
          <w:i/>
          <w:color w:val="000000" w:themeColor="text1"/>
        </w:rPr>
        <w:t xml:space="preserve">PRIMERO.- </w:t>
      </w:r>
      <w:r w:rsidR="00ED17EB">
        <w:rPr>
          <w:rFonts w:ascii="Arial" w:eastAsia="Calibri" w:hAnsi="Arial" w:cs="Arial"/>
          <w:bCs/>
          <w:i/>
          <w:color w:val="000000" w:themeColor="text1"/>
        </w:rPr>
        <w:t xml:space="preserve">Esta Tercera Sala de Primera Instancia del Tribunal de Justicia Administrativa del Estado de Oaxaca, es </w:t>
      </w:r>
      <w:r w:rsidR="00ED17EB">
        <w:rPr>
          <w:rFonts w:ascii="Arial" w:eastAsia="Calibri" w:hAnsi="Arial" w:cs="Arial"/>
          <w:bCs/>
          <w:i/>
          <w:color w:val="000000" w:themeColor="text1"/>
        </w:rPr>
        <w:lastRenderedPageBreak/>
        <w:t>legalmente competente para conocer y resolver del presente Juicio de Nulidad.- - - - - - - - - - - - - - - -</w:t>
      </w:r>
      <w:r w:rsidR="00FE5607">
        <w:rPr>
          <w:rFonts w:ascii="Arial" w:eastAsia="Calibri" w:hAnsi="Arial" w:cs="Arial"/>
          <w:bCs/>
          <w:i/>
          <w:color w:val="000000" w:themeColor="text1"/>
        </w:rPr>
        <w:t xml:space="preserve"> - - - - - - - - - - - - - - - - - </w:t>
      </w:r>
    </w:p>
    <w:p w14:paraId="409D7CDD" w14:textId="22543BAA" w:rsidR="0091394C" w:rsidRPr="0091394C" w:rsidRDefault="0050607F" w:rsidP="00AB41F9">
      <w:pPr>
        <w:spacing w:after="120"/>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SEGUNDO.-</w:t>
      </w:r>
      <w:r w:rsidR="00473FEF">
        <w:rPr>
          <w:rFonts w:ascii="Arial" w:eastAsia="Calibri" w:hAnsi="Arial" w:cs="Arial"/>
          <w:b/>
          <w:bCs/>
          <w:i/>
          <w:color w:val="000000" w:themeColor="text1"/>
        </w:rPr>
        <w:t xml:space="preserve"> </w:t>
      </w:r>
      <w:r w:rsidR="00ED17EB">
        <w:rPr>
          <w:rFonts w:ascii="Arial" w:eastAsia="Calibri" w:hAnsi="Arial" w:cs="Arial"/>
          <w:i/>
          <w:color w:val="000000" w:themeColor="text1"/>
        </w:rPr>
        <w:t>No se actualizó causal de improcedencia alguna, por lo que NO SE SOBRESEE EL JUICIO, en términos del considerando QUINTO de esta resolución</w:t>
      </w:r>
      <w:r w:rsidR="00695AA3">
        <w:rPr>
          <w:rFonts w:ascii="Arial" w:eastAsia="Calibri" w:hAnsi="Arial" w:cs="Arial"/>
          <w:i/>
          <w:color w:val="000000" w:themeColor="text1"/>
        </w:rPr>
        <w:t xml:space="preserve">.- - - - - - - - - - - - - </w:t>
      </w:r>
    </w:p>
    <w:p w14:paraId="2779780D" w14:textId="6708D421" w:rsidR="0050607F" w:rsidRDefault="0091394C" w:rsidP="00AB41F9">
      <w:pPr>
        <w:spacing w:after="120"/>
        <w:ind w:left="1134" w:right="902" w:firstLine="284"/>
        <w:jc w:val="both"/>
        <w:rPr>
          <w:rFonts w:ascii="Arial" w:eastAsia="Calibri" w:hAnsi="Arial" w:cs="Arial"/>
          <w:bCs/>
          <w:i/>
          <w:color w:val="000000" w:themeColor="text1"/>
        </w:rPr>
      </w:pPr>
      <w:r>
        <w:rPr>
          <w:rFonts w:ascii="Arial" w:eastAsia="Calibri" w:hAnsi="Arial" w:cs="Arial"/>
          <w:b/>
          <w:i/>
          <w:color w:val="000000" w:themeColor="text1"/>
        </w:rPr>
        <w:t xml:space="preserve">TERCERO. </w:t>
      </w:r>
      <w:r w:rsidR="00FE5607">
        <w:rPr>
          <w:rFonts w:ascii="Arial" w:eastAsia="Calibri" w:hAnsi="Arial" w:cs="Arial"/>
          <w:i/>
          <w:color w:val="000000" w:themeColor="text1"/>
        </w:rPr>
        <w:t xml:space="preserve">Se declara la </w:t>
      </w:r>
      <w:r w:rsidR="00ED17EB">
        <w:rPr>
          <w:rFonts w:ascii="Arial" w:eastAsia="Calibri" w:hAnsi="Arial" w:cs="Arial"/>
          <w:b/>
          <w:bCs/>
          <w:i/>
          <w:color w:val="000000" w:themeColor="text1"/>
        </w:rPr>
        <w:t xml:space="preserve">NULIDAD </w:t>
      </w:r>
      <w:r w:rsidR="00FE5607">
        <w:rPr>
          <w:rFonts w:ascii="Arial" w:eastAsia="Calibri" w:hAnsi="Arial" w:cs="Arial"/>
          <w:i/>
          <w:color w:val="000000" w:themeColor="text1"/>
        </w:rPr>
        <w:t xml:space="preserve">del acta de infracción </w:t>
      </w:r>
      <w:r w:rsidR="00ED17EB">
        <w:rPr>
          <w:rFonts w:ascii="Arial" w:eastAsia="Calibri" w:hAnsi="Arial" w:cs="Arial"/>
          <w:i/>
          <w:color w:val="000000" w:themeColor="text1"/>
        </w:rPr>
        <w:t xml:space="preserve">con número de folio </w:t>
      </w:r>
      <w:r w:rsidR="007E1A52">
        <w:rPr>
          <w:rFonts w:ascii="Arial" w:eastAsia="Calibri" w:hAnsi="Arial" w:cs="Arial"/>
          <w:b/>
          <w:bCs/>
          <w:i/>
          <w:color w:val="000000" w:themeColor="text1"/>
        </w:rPr>
        <w:t>*******</w:t>
      </w:r>
      <w:r w:rsidR="00ED17EB">
        <w:rPr>
          <w:rFonts w:ascii="Arial" w:eastAsia="Calibri" w:hAnsi="Arial" w:cs="Arial"/>
          <w:b/>
          <w:bCs/>
          <w:i/>
          <w:color w:val="000000" w:themeColor="text1"/>
        </w:rPr>
        <w:t xml:space="preserve">, de veinte de mayo de dos mil veintiuno (20/05/2021), </w:t>
      </w:r>
      <w:r w:rsidR="00ED17EB">
        <w:rPr>
          <w:rFonts w:ascii="Arial" w:eastAsia="Calibri" w:hAnsi="Arial" w:cs="Arial"/>
          <w:i/>
          <w:color w:val="000000" w:themeColor="text1"/>
        </w:rPr>
        <w:t xml:space="preserve">relacionada al vehículo marca </w:t>
      </w:r>
      <w:r w:rsidR="007E1A52">
        <w:rPr>
          <w:rFonts w:ascii="Arial" w:eastAsia="Calibri" w:hAnsi="Arial" w:cs="Arial"/>
          <w:i/>
          <w:color w:val="000000" w:themeColor="text1"/>
        </w:rPr>
        <w:t>*******</w:t>
      </w:r>
      <w:r w:rsidR="00ED17EB">
        <w:rPr>
          <w:rFonts w:ascii="Arial" w:eastAsia="Calibri" w:hAnsi="Arial" w:cs="Arial"/>
          <w:i/>
          <w:color w:val="000000" w:themeColor="text1"/>
        </w:rPr>
        <w:t xml:space="preserve">, tipo </w:t>
      </w:r>
      <w:r w:rsidR="007E1A52">
        <w:rPr>
          <w:rFonts w:ascii="Arial" w:eastAsia="Calibri" w:hAnsi="Arial" w:cs="Arial"/>
          <w:i/>
          <w:color w:val="000000" w:themeColor="text1"/>
        </w:rPr>
        <w:t>*******</w:t>
      </w:r>
      <w:r w:rsidR="00ED17EB">
        <w:rPr>
          <w:rFonts w:ascii="Arial" w:eastAsia="Calibri" w:hAnsi="Arial" w:cs="Arial"/>
          <w:i/>
          <w:color w:val="000000" w:themeColor="text1"/>
        </w:rPr>
        <w:t xml:space="preserve">, color amarillo, modelo 2016, número económico </w:t>
      </w:r>
      <w:r w:rsidR="007E1A52">
        <w:rPr>
          <w:rFonts w:ascii="Arial" w:eastAsia="Calibri" w:hAnsi="Arial" w:cs="Arial"/>
          <w:i/>
          <w:color w:val="000000" w:themeColor="text1"/>
        </w:rPr>
        <w:t>*******</w:t>
      </w:r>
      <w:r w:rsidR="00ED17EB">
        <w:rPr>
          <w:rFonts w:ascii="Arial" w:eastAsia="Calibri" w:hAnsi="Arial" w:cs="Arial"/>
          <w:i/>
          <w:color w:val="000000" w:themeColor="text1"/>
        </w:rPr>
        <w:t xml:space="preserve">, con placas de circulación </w:t>
      </w:r>
      <w:r w:rsidR="007E1A52">
        <w:rPr>
          <w:rFonts w:ascii="Arial" w:eastAsia="Calibri" w:hAnsi="Arial" w:cs="Arial"/>
          <w:i/>
          <w:color w:val="000000" w:themeColor="text1"/>
        </w:rPr>
        <w:t>*******</w:t>
      </w:r>
      <w:r w:rsidR="00ED17EB">
        <w:rPr>
          <w:rFonts w:ascii="Arial" w:eastAsia="Calibri" w:hAnsi="Arial" w:cs="Arial"/>
          <w:i/>
          <w:color w:val="000000" w:themeColor="text1"/>
        </w:rPr>
        <w:t xml:space="preserve">, taxi del Sitio </w:t>
      </w:r>
      <w:r w:rsidR="007E1A52">
        <w:rPr>
          <w:rFonts w:ascii="Arial" w:eastAsia="Calibri" w:hAnsi="Arial" w:cs="Arial"/>
          <w:i/>
          <w:color w:val="000000" w:themeColor="text1"/>
        </w:rPr>
        <w:t>*******</w:t>
      </w:r>
      <w:r w:rsidR="00ED17EB">
        <w:rPr>
          <w:rFonts w:ascii="Arial" w:eastAsia="Calibri" w:hAnsi="Arial" w:cs="Arial"/>
          <w:i/>
          <w:color w:val="000000" w:themeColor="text1"/>
        </w:rPr>
        <w:t xml:space="preserve">, emitida por CÉSAR ANTONIO SANTIAGO GARCÍA, Policía Vial con número estadístico 188, de la Subdirección de Tránsito </w:t>
      </w:r>
      <w:r w:rsidR="003E62FE">
        <w:rPr>
          <w:rFonts w:ascii="Arial" w:eastAsia="Calibri" w:hAnsi="Arial" w:cs="Arial"/>
          <w:i/>
          <w:color w:val="000000" w:themeColor="text1"/>
        </w:rPr>
        <w:t xml:space="preserve">y Movilidad de la Dirección de Seguridad Pública, Vialidad y Protección Ciudadana del Municipio de Oaxaca de Juárez; ordenándose a la autoridad demandada, realice las gestiones necesarias para la cancelación del acta de infracción en el sistema electrónico con que cuenta la Subdirección de Tránsito y Movilidad del Municipio de Oaxaca de Juárez, Oaxaca, a la que pertenece; lo anterior en términos precisados en el considerando SEXTO de esta resolución.- - - - - - - - - - - - - - - - </w:t>
      </w:r>
    </w:p>
    <w:p w14:paraId="76493677" w14:textId="660F20FF" w:rsidR="00E203B1" w:rsidRDefault="003E62FE" w:rsidP="00AB41F9">
      <w:pPr>
        <w:spacing w:before="240" w:after="120"/>
        <w:ind w:left="1134" w:right="902" w:firstLine="284"/>
        <w:jc w:val="both"/>
        <w:rPr>
          <w:rFonts w:ascii="Arial" w:eastAsia="Calibri" w:hAnsi="Arial" w:cs="Arial"/>
          <w:i/>
          <w:color w:val="000000" w:themeColor="text1"/>
        </w:rPr>
      </w:pPr>
      <w:r>
        <w:rPr>
          <w:rFonts w:ascii="Arial" w:eastAsia="Calibri" w:hAnsi="Arial" w:cs="Arial"/>
          <w:b/>
          <w:bCs/>
          <w:i/>
          <w:color w:val="000000" w:themeColor="text1"/>
        </w:rPr>
        <w:t>CUARTO</w:t>
      </w:r>
      <w:r w:rsidR="0050607F">
        <w:rPr>
          <w:rFonts w:ascii="Arial" w:eastAsia="Calibri" w:hAnsi="Arial" w:cs="Arial"/>
          <w:b/>
          <w:bCs/>
          <w:i/>
          <w:color w:val="000000" w:themeColor="text1"/>
        </w:rPr>
        <w:t>.-</w:t>
      </w:r>
      <w:r>
        <w:rPr>
          <w:rFonts w:ascii="Arial" w:eastAsia="Calibri" w:hAnsi="Arial" w:cs="Arial"/>
          <w:b/>
          <w:bCs/>
          <w:i/>
          <w:color w:val="000000" w:themeColor="text1"/>
        </w:rPr>
        <w:t xml:space="preserve"> </w:t>
      </w:r>
      <w:r>
        <w:rPr>
          <w:rFonts w:ascii="Arial" w:eastAsia="Calibri" w:hAnsi="Arial" w:cs="Arial"/>
          <w:i/>
          <w:color w:val="000000" w:themeColor="text1"/>
        </w:rPr>
        <w:t xml:space="preserve">Conforme a lo dispuesto en el artículo 172 fracción I y 173 fracciones I y II, de la Ley de Procedimiento y Justicia Administrativa para el Estado de Oaxaca, </w:t>
      </w:r>
      <w:r>
        <w:rPr>
          <w:rFonts w:ascii="Arial" w:eastAsia="Calibri" w:hAnsi="Arial" w:cs="Arial"/>
          <w:b/>
          <w:bCs/>
          <w:i/>
          <w:color w:val="000000" w:themeColor="text1"/>
        </w:rPr>
        <w:t>NOTIFÍQUESE PERSONALMENTE A LA PARTE ACTORA Y POR OFICIO A LA AUTORIDAD DEMANDADA</w:t>
      </w:r>
      <w:r>
        <w:rPr>
          <w:rFonts w:ascii="Arial" w:eastAsia="Calibri" w:hAnsi="Arial" w:cs="Arial"/>
          <w:i/>
          <w:color w:val="000000" w:themeColor="text1"/>
        </w:rPr>
        <w:t xml:space="preserve">. </w:t>
      </w:r>
      <w:r w:rsidR="00146C9D">
        <w:rPr>
          <w:rFonts w:ascii="Arial" w:eastAsia="Calibri" w:hAnsi="Arial" w:cs="Arial"/>
          <w:b/>
          <w:bCs/>
          <w:i/>
          <w:color w:val="000000" w:themeColor="text1"/>
        </w:rPr>
        <w:t>CÚMPLASE.</w:t>
      </w:r>
      <w:r>
        <w:rPr>
          <w:rFonts w:ascii="Arial" w:eastAsia="Calibri" w:hAnsi="Arial" w:cs="Arial"/>
          <w:i/>
          <w:color w:val="000000" w:themeColor="text1"/>
        </w:rPr>
        <w:t>”</w:t>
      </w:r>
      <w:r w:rsidR="00E203B1">
        <w:rPr>
          <w:rFonts w:ascii="Arial" w:eastAsia="Calibri" w:hAnsi="Arial" w:cs="Arial"/>
          <w:i/>
          <w:color w:val="000000" w:themeColor="text1"/>
        </w:rPr>
        <w:t>- - - - - - - - - - - - - - - - - - - - -</w:t>
      </w:r>
      <w:r w:rsidR="00893D21">
        <w:rPr>
          <w:rFonts w:ascii="Arial" w:eastAsia="Calibri" w:hAnsi="Arial" w:cs="Arial"/>
          <w:i/>
          <w:color w:val="000000" w:themeColor="text1"/>
        </w:rPr>
        <w:t xml:space="preserve"> - - - - - - - </w:t>
      </w:r>
      <w:r>
        <w:rPr>
          <w:rFonts w:ascii="Arial" w:eastAsia="Calibri" w:hAnsi="Arial" w:cs="Arial"/>
          <w:i/>
          <w:color w:val="000000" w:themeColor="text1"/>
        </w:rPr>
        <w:t xml:space="preserve">- - - - - - - - </w:t>
      </w:r>
      <w:r w:rsidR="00E203B1">
        <w:rPr>
          <w:rFonts w:ascii="Arial" w:eastAsia="Calibri" w:hAnsi="Arial" w:cs="Arial"/>
          <w:i/>
          <w:color w:val="000000" w:themeColor="text1"/>
        </w:rPr>
        <w:t xml:space="preserve"> </w:t>
      </w:r>
    </w:p>
    <w:p w14:paraId="6D71BAAA" w14:textId="77777777" w:rsidR="00AB41F9" w:rsidRPr="00E203B1" w:rsidRDefault="00AB41F9" w:rsidP="00AB41F9">
      <w:pPr>
        <w:spacing w:after="120"/>
        <w:ind w:left="1134" w:right="902" w:firstLine="284"/>
        <w:jc w:val="both"/>
        <w:rPr>
          <w:rFonts w:ascii="Arial" w:eastAsia="Calibri" w:hAnsi="Arial" w:cs="Arial"/>
          <w:i/>
          <w:color w:val="000000" w:themeColor="text1"/>
        </w:rPr>
      </w:pPr>
    </w:p>
    <w:p w14:paraId="2620BBCC" w14:textId="69E735FD" w:rsidR="00E67FFE" w:rsidRPr="00183EE9" w:rsidRDefault="00E67FFE" w:rsidP="00AB41F9">
      <w:pPr>
        <w:spacing w:before="24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0B7C76DE" w14:textId="738669E0"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4C001D" w:rsidRPr="004C001D">
        <w:rPr>
          <w:rFonts w:ascii="Arial" w:hAnsi="Arial" w:cs="Arial"/>
          <w:bCs/>
          <w:iCs/>
          <w:sz w:val="26"/>
          <w:szCs w:val="26"/>
        </w:rPr>
        <w:t>1, 2, 4 fracción VIII, 23, 24 fracción I, 25 y 27 de la Ley Orgánica del Tribunal de Justicia Administrativa del Estado de Oaxaca</w:t>
      </w:r>
      <w:r w:rsidRPr="00455424">
        <w:rPr>
          <w:rFonts w:ascii="Arial" w:hAnsi="Arial" w:cs="Arial"/>
          <w:bCs/>
          <w:iCs/>
          <w:sz w:val="26"/>
          <w:szCs w:val="26"/>
        </w:rPr>
        <w:t>;</w:t>
      </w:r>
      <w:r>
        <w:rPr>
          <w:rFonts w:ascii="Arial" w:hAnsi="Arial" w:cs="Arial"/>
          <w:bCs/>
          <w:iCs/>
          <w:sz w:val="26"/>
          <w:szCs w:val="26"/>
        </w:rPr>
        <w:t xml:space="preserve"> </w:t>
      </w:r>
      <w:r w:rsidR="004C001D">
        <w:rPr>
          <w:rFonts w:ascii="Arial" w:hAnsi="Arial" w:cs="Arial"/>
          <w:bCs/>
          <w:iCs/>
          <w:sz w:val="26"/>
          <w:szCs w:val="26"/>
          <w:lang w:eastAsia="es-ES"/>
        </w:rPr>
        <w:t>1, 118, 119, 120, 123 segundo párrafo, 125, 130 fracción I, 131, 231, 236 fracción V</w:t>
      </w:r>
      <w:r w:rsidR="00414715">
        <w:rPr>
          <w:rFonts w:ascii="Arial" w:hAnsi="Arial" w:cs="Arial"/>
          <w:bCs/>
          <w:iCs/>
          <w:sz w:val="26"/>
          <w:szCs w:val="26"/>
          <w:lang w:eastAsia="es-ES"/>
        </w:rPr>
        <w:t>II</w:t>
      </w:r>
      <w:r w:rsidR="004C001D">
        <w:rPr>
          <w:rFonts w:ascii="Arial" w:hAnsi="Arial" w:cs="Arial"/>
          <w:bCs/>
          <w:iCs/>
          <w:sz w:val="26"/>
          <w:szCs w:val="26"/>
          <w:lang w:eastAsia="es-ES"/>
        </w:rPr>
        <w:t xml:space="preserve"> y 238 de la Ley de </w:t>
      </w:r>
      <w:r w:rsidR="004C001D" w:rsidRPr="00A979D7">
        <w:rPr>
          <w:rFonts w:ascii="Arial" w:eastAsiaTheme="minorHAnsi" w:hAnsi="Arial" w:cs="Arial"/>
          <w:bCs/>
          <w:iCs/>
          <w:sz w:val="26"/>
          <w:szCs w:val="26"/>
          <w:lang w:eastAsia="es-ES"/>
        </w:rPr>
        <w:t xml:space="preserve"> Pr</w:t>
      </w:r>
      <w:r w:rsidR="004C001D" w:rsidRPr="00ED5413">
        <w:rPr>
          <w:rFonts w:ascii="Arial" w:eastAsiaTheme="minorHAnsi" w:hAnsi="Arial" w:cs="Arial"/>
          <w:bCs/>
          <w:iCs/>
          <w:sz w:val="26"/>
          <w:szCs w:val="26"/>
          <w:lang w:eastAsia="es-ES"/>
        </w:rPr>
        <w:t>ocedimiento</w:t>
      </w:r>
      <w:r w:rsidR="004C001D"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sidR="00F306AA">
        <w:rPr>
          <w:rFonts w:ascii="Arial" w:hAnsi="Arial" w:cs="Arial"/>
          <w:bCs/>
          <w:iCs/>
          <w:sz w:val="26"/>
          <w:szCs w:val="26"/>
        </w:rPr>
        <w:t xml:space="preserve">sentencia de </w:t>
      </w:r>
      <w:r w:rsidR="007C7E10">
        <w:rPr>
          <w:rFonts w:ascii="Arial" w:hAnsi="Arial" w:cs="Arial"/>
          <w:sz w:val="26"/>
          <w:szCs w:val="26"/>
        </w:rPr>
        <w:t xml:space="preserve">veintidós de </w:t>
      </w:r>
      <w:r w:rsidR="00414715">
        <w:rPr>
          <w:rFonts w:ascii="Arial" w:hAnsi="Arial" w:cs="Arial"/>
          <w:sz w:val="26"/>
          <w:szCs w:val="26"/>
        </w:rPr>
        <w:t>febrero</w:t>
      </w:r>
      <w:r w:rsidR="007C7E10">
        <w:rPr>
          <w:rFonts w:ascii="Arial" w:hAnsi="Arial" w:cs="Arial"/>
          <w:sz w:val="26"/>
          <w:szCs w:val="26"/>
        </w:rPr>
        <w:t xml:space="preserve"> de dos mil veintidós</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 xml:space="preserve">ada por la </w:t>
      </w:r>
      <w:r w:rsidR="00414715">
        <w:rPr>
          <w:rFonts w:ascii="Arial" w:hAnsi="Arial" w:cs="Arial"/>
          <w:bCs/>
          <w:iCs/>
          <w:sz w:val="26"/>
          <w:szCs w:val="26"/>
        </w:rPr>
        <w:t>Tercera</w:t>
      </w:r>
      <w:r w:rsidR="00440F20">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173D97">
        <w:rPr>
          <w:rFonts w:ascii="Arial" w:hAnsi="Arial" w:cs="Arial"/>
          <w:b/>
          <w:bCs/>
          <w:iCs/>
          <w:sz w:val="26"/>
          <w:szCs w:val="26"/>
        </w:rPr>
        <w:t>0</w:t>
      </w:r>
      <w:r w:rsidR="00440F20">
        <w:rPr>
          <w:rFonts w:ascii="Arial" w:hAnsi="Arial" w:cs="Arial"/>
          <w:b/>
          <w:bCs/>
          <w:iCs/>
          <w:sz w:val="26"/>
          <w:szCs w:val="26"/>
        </w:rPr>
        <w:t>0</w:t>
      </w:r>
      <w:r w:rsidR="00414715">
        <w:rPr>
          <w:rFonts w:ascii="Arial" w:hAnsi="Arial" w:cs="Arial"/>
          <w:b/>
          <w:bCs/>
          <w:iCs/>
          <w:sz w:val="26"/>
          <w:szCs w:val="26"/>
        </w:rPr>
        <w:t>58</w:t>
      </w:r>
      <w:r w:rsidR="00173D97">
        <w:rPr>
          <w:rFonts w:ascii="Arial" w:hAnsi="Arial" w:cs="Arial"/>
          <w:b/>
          <w:bCs/>
          <w:iCs/>
          <w:sz w:val="26"/>
          <w:szCs w:val="26"/>
        </w:rPr>
        <w:t>/20</w:t>
      </w:r>
      <w:r w:rsidR="00440F20">
        <w:rPr>
          <w:rFonts w:ascii="Arial" w:hAnsi="Arial" w:cs="Arial"/>
          <w:b/>
          <w:bCs/>
          <w:iCs/>
          <w:sz w:val="26"/>
          <w:szCs w:val="26"/>
        </w:rPr>
        <w:t>2</w:t>
      </w:r>
      <w:r w:rsidR="007C7E10">
        <w:rPr>
          <w:rFonts w:ascii="Arial" w:hAnsi="Arial" w:cs="Arial"/>
          <w:b/>
          <w:bCs/>
          <w:iCs/>
          <w:sz w:val="26"/>
          <w:szCs w:val="26"/>
        </w:rPr>
        <w:t>1</w:t>
      </w:r>
      <w:r w:rsidRPr="00AE78C3">
        <w:rPr>
          <w:rFonts w:ascii="Arial" w:hAnsi="Arial" w:cs="Arial"/>
          <w:b/>
          <w:bCs/>
          <w:iCs/>
          <w:sz w:val="26"/>
          <w:szCs w:val="26"/>
        </w:rPr>
        <w:t>.</w:t>
      </w:r>
      <w:r w:rsidR="000E07D9">
        <w:rPr>
          <w:rFonts w:ascii="Arial" w:hAnsi="Arial" w:cs="Arial"/>
          <w:bCs/>
          <w:iCs/>
          <w:sz w:val="26"/>
          <w:szCs w:val="26"/>
        </w:rPr>
        <w:t xml:space="preserve">- </w:t>
      </w:r>
      <w:r w:rsidR="000C2192">
        <w:rPr>
          <w:rFonts w:ascii="Arial" w:hAnsi="Arial" w:cs="Arial"/>
          <w:bCs/>
          <w:iCs/>
          <w:sz w:val="26"/>
          <w:szCs w:val="26"/>
        </w:rPr>
        <w:t>-</w:t>
      </w:r>
      <w:r w:rsidR="002560BB">
        <w:rPr>
          <w:rFonts w:ascii="Arial" w:hAnsi="Arial" w:cs="Arial"/>
          <w:bCs/>
          <w:iCs/>
          <w:sz w:val="26"/>
          <w:szCs w:val="26"/>
        </w:rPr>
        <w:t xml:space="preserve"> </w:t>
      </w:r>
    </w:p>
    <w:p w14:paraId="7C54A577" w14:textId="09EBBF7A"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F306AA">
        <w:rPr>
          <w:rFonts w:ascii="Arial" w:hAnsi="Arial" w:cs="Arial"/>
          <w:sz w:val="26"/>
          <w:szCs w:val="26"/>
        </w:rPr>
        <w:t>Los</w:t>
      </w:r>
      <w:r w:rsidR="000C2192">
        <w:rPr>
          <w:rFonts w:ascii="Arial" w:hAnsi="Arial" w:cs="Arial"/>
          <w:sz w:val="26"/>
          <w:szCs w:val="26"/>
        </w:rPr>
        <w:t xml:space="preserve"> </w:t>
      </w:r>
      <w:r w:rsidRPr="00CB6405">
        <w:rPr>
          <w:rFonts w:ascii="Arial" w:hAnsi="Arial" w:cs="Arial"/>
          <w:sz w:val="26"/>
          <w:szCs w:val="26"/>
        </w:rPr>
        <w:t>agravio</w:t>
      </w:r>
      <w:r w:rsidR="00F306AA">
        <w:rPr>
          <w:rFonts w:ascii="Arial" w:hAnsi="Arial" w:cs="Arial"/>
          <w:sz w:val="26"/>
          <w:szCs w:val="26"/>
        </w:rPr>
        <w:t>s</w:t>
      </w:r>
      <w:r w:rsidRPr="00CB6405">
        <w:rPr>
          <w:rFonts w:ascii="Arial" w:hAnsi="Arial" w:cs="Arial"/>
          <w:sz w:val="26"/>
          <w:szCs w:val="26"/>
        </w:rPr>
        <w:t xml:space="preserve"> hecho</w:t>
      </w:r>
      <w:r w:rsidR="00F306AA">
        <w:rPr>
          <w:rFonts w:ascii="Arial" w:hAnsi="Arial" w:cs="Arial"/>
          <w:sz w:val="26"/>
          <w:szCs w:val="26"/>
        </w:rPr>
        <w:t>s</w:t>
      </w:r>
      <w:r w:rsidRPr="00CB6405">
        <w:rPr>
          <w:rFonts w:ascii="Arial" w:hAnsi="Arial" w:cs="Arial"/>
          <w:sz w:val="26"/>
          <w:szCs w:val="26"/>
        </w:rPr>
        <w:t xml:space="preserve"> valer se encuentra</w:t>
      </w:r>
      <w:r w:rsidR="00F306AA">
        <w:rPr>
          <w:rFonts w:ascii="Arial" w:hAnsi="Arial" w:cs="Arial"/>
          <w:sz w:val="26"/>
          <w:szCs w:val="26"/>
        </w:rPr>
        <w:t>n</w:t>
      </w:r>
      <w:r w:rsidRPr="00CB6405">
        <w:rPr>
          <w:rFonts w:ascii="Arial" w:hAnsi="Arial" w:cs="Arial"/>
          <w:sz w:val="26"/>
          <w:szCs w:val="26"/>
        </w:rPr>
        <w:t xml:space="preserve"> expuesto</w:t>
      </w:r>
      <w:r w:rsidR="00F306AA">
        <w:rPr>
          <w:rFonts w:ascii="Arial" w:hAnsi="Arial" w:cs="Arial"/>
          <w:sz w:val="26"/>
          <w:szCs w:val="26"/>
        </w:rPr>
        <w:t>s</w:t>
      </w:r>
      <w:r w:rsidRPr="00CB6405">
        <w:rPr>
          <w:rFonts w:ascii="Arial" w:hAnsi="Arial" w:cs="Arial"/>
          <w:sz w:val="26"/>
          <w:szCs w:val="26"/>
        </w:rPr>
        <w:t xml:space="preserve"> en el escrito d</w:t>
      </w:r>
      <w:r>
        <w:rPr>
          <w:rFonts w:ascii="Arial" w:hAnsi="Arial" w:cs="Arial"/>
          <w:sz w:val="26"/>
          <w:szCs w:val="26"/>
        </w:rPr>
        <w:t>e</w:t>
      </w:r>
      <w:r w:rsidR="0026476F">
        <w:rPr>
          <w:rFonts w:ascii="Arial" w:hAnsi="Arial" w:cs="Arial"/>
          <w:sz w:val="26"/>
          <w:szCs w:val="26"/>
        </w:rPr>
        <w:t>l</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00F306AA">
        <w:rPr>
          <w:rFonts w:ascii="Arial" w:hAnsi="Arial" w:cs="Arial"/>
          <w:sz w:val="26"/>
          <w:szCs w:val="26"/>
        </w:rPr>
        <w:t>s</w:t>
      </w:r>
      <w:r w:rsidRPr="0052375D">
        <w:rPr>
          <w:rFonts w:ascii="Arial" w:hAnsi="Arial" w:cs="Arial"/>
          <w:sz w:val="26"/>
          <w:szCs w:val="26"/>
        </w:rPr>
        <w:t>,</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w:t>
      </w:r>
      <w:r w:rsidR="000C2192">
        <w:rPr>
          <w:rFonts w:ascii="Arial" w:hAnsi="Arial" w:cs="Arial"/>
          <w:bCs/>
          <w:color w:val="000000"/>
          <w:sz w:val="26"/>
          <w:szCs w:val="26"/>
        </w:rPr>
        <w:lastRenderedPageBreak/>
        <w:t>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 </w:t>
      </w:r>
    </w:p>
    <w:p w14:paraId="7E5F0606" w14:textId="52240342" w:rsidR="001868F4" w:rsidRDefault="000C2192" w:rsidP="00AB41F9">
      <w:pPr>
        <w:spacing w:after="120"/>
        <w:ind w:left="851" w:right="616"/>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w:t>
      </w:r>
      <w:r w:rsidR="002560BB">
        <w:rPr>
          <w:rFonts w:ascii="Arial" w:eastAsia="Calibri" w:hAnsi="Arial" w:cs="Arial"/>
          <w:bCs/>
          <w:i/>
        </w:rPr>
        <w:t xml:space="preserve">- - - - - - - - - - - - - - </w:t>
      </w:r>
    </w:p>
    <w:p w14:paraId="6230DD1F" w14:textId="33FAF2F3" w:rsidR="006429B9" w:rsidRDefault="00344445" w:rsidP="00B71370">
      <w:pPr>
        <w:widowControl w:val="0"/>
        <w:tabs>
          <w:tab w:val="left" w:pos="7938"/>
        </w:tabs>
        <w:spacing w:before="24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 xml:space="preserve">TERCERO.-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w:t>
      </w:r>
      <w:r w:rsidR="00E838B5">
        <w:rPr>
          <w:rFonts w:ascii="Arial" w:eastAsia="Times New Roman" w:hAnsi="Arial" w:cs="Arial"/>
          <w:sz w:val="26"/>
          <w:szCs w:val="26"/>
        </w:rPr>
        <w:t>en el</w:t>
      </w:r>
      <w:r w:rsidR="00E9518A">
        <w:rPr>
          <w:rFonts w:ascii="Arial" w:eastAsia="Times New Roman" w:hAnsi="Arial" w:cs="Arial"/>
          <w:sz w:val="26"/>
          <w:szCs w:val="26"/>
        </w:rPr>
        <w:t xml:space="preserve"> </w:t>
      </w:r>
      <w:r w:rsidR="00E9518A" w:rsidRPr="00460E0C">
        <w:rPr>
          <w:rFonts w:ascii="Arial" w:eastAsia="Times New Roman" w:hAnsi="Arial" w:cs="Arial"/>
          <w:b/>
          <w:bCs/>
          <w:sz w:val="26"/>
          <w:szCs w:val="26"/>
        </w:rPr>
        <w:t>agravio primero</w:t>
      </w:r>
      <w:r w:rsidR="00E9518A">
        <w:rPr>
          <w:rFonts w:ascii="Arial" w:eastAsia="Times New Roman" w:hAnsi="Arial" w:cs="Arial"/>
          <w:sz w:val="26"/>
          <w:szCs w:val="26"/>
        </w:rPr>
        <w:t xml:space="preserve"> </w:t>
      </w:r>
      <w:r w:rsidR="002C7856" w:rsidRPr="00344445">
        <w:rPr>
          <w:rFonts w:ascii="Arial" w:eastAsia="Times New Roman" w:hAnsi="Arial" w:cs="Arial"/>
          <w:sz w:val="26"/>
          <w:szCs w:val="26"/>
        </w:rPr>
        <w:t xml:space="preserve">que </w:t>
      </w:r>
      <w:r w:rsidR="002871FC">
        <w:rPr>
          <w:rFonts w:ascii="Arial" w:eastAsia="Times New Roman" w:hAnsi="Arial" w:cs="Arial"/>
          <w:sz w:val="26"/>
          <w:szCs w:val="26"/>
        </w:rPr>
        <w:t xml:space="preserve">le causa </w:t>
      </w:r>
      <w:r w:rsidR="00E9518A">
        <w:rPr>
          <w:rFonts w:ascii="Arial" w:eastAsia="Times New Roman" w:hAnsi="Arial" w:cs="Arial"/>
          <w:sz w:val="26"/>
          <w:szCs w:val="26"/>
        </w:rPr>
        <w:t>perjuicio</w:t>
      </w:r>
      <w:r w:rsidR="002871FC">
        <w:rPr>
          <w:rFonts w:ascii="Arial" w:eastAsia="Times New Roman" w:hAnsi="Arial" w:cs="Arial"/>
          <w:sz w:val="26"/>
          <w:szCs w:val="26"/>
        </w:rPr>
        <w:t xml:space="preserve"> </w:t>
      </w:r>
      <w:r w:rsidR="00883831">
        <w:rPr>
          <w:rFonts w:ascii="Arial" w:eastAsia="Times New Roman" w:hAnsi="Arial" w:cs="Arial"/>
          <w:sz w:val="26"/>
          <w:szCs w:val="26"/>
        </w:rPr>
        <w:t xml:space="preserve">el considerando </w:t>
      </w:r>
      <w:r w:rsidR="00414715">
        <w:rPr>
          <w:rFonts w:ascii="Arial" w:eastAsia="Times New Roman" w:hAnsi="Arial" w:cs="Arial"/>
          <w:sz w:val="26"/>
          <w:szCs w:val="26"/>
        </w:rPr>
        <w:t>quinto</w:t>
      </w:r>
      <w:r w:rsidR="00086DC5">
        <w:rPr>
          <w:rFonts w:ascii="Arial" w:eastAsia="Times New Roman" w:hAnsi="Arial" w:cs="Arial"/>
          <w:sz w:val="26"/>
          <w:szCs w:val="26"/>
        </w:rPr>
        <w:t xml:space="preserve"> </w:t>
      </w:r>
      <w:r w:rsidR="00883831">
        <w:rPr>
          <w:rFonts w:ascii="Arial" w:eastAsia="Times New Roman" w:hAnsi="Arial" w:cs="Arial"/>
          <w:sz w:val="26"/>
          <w:szCs w:val="26"/>
        </w:rPr>
        <w:t xml:space="preserve">de </w:t>
      </w:r>
      <w:r w:rsidR="002871FC">
        <w:rPr>
          <w:rFonts w:ascii="Arial" w:eastAsia="Times New Roman" w:hAnsi="Arial" w:cs="Arial"/>
          <w:sz w:val="26"/>
          <w:szCs w:val="26"/>
        </w:rPr>
        <w:t>la sentencia que combate, ya que la misma viola en perjuicio de la autoridad que representa, los artículos 14 y 16 de la Constitución Política de los Estados Unidos Mexicanos y 207 fracción II</w:t>
      </w:r>
      <w:r w:rsidR="00F63174">
        <w:rPr>
          <w:rFonts w:ascii="Arial" w:eastAsia="Times New Roman" w:hAnsi="Arial" w:cs="Arial"/>
          <w:sz w:val="26"/>
          <w:szCs w:val="26"/>
        </w:rPr>
        <w:t>,</w:t>
      </w:r>
      <w:r w:rsidR="002871FC">
        <w:rPr>
          <w:rFonts w:ascii="Arial" w:eastAsia="Times New Roman" w:hAnsi="Arial" w:cs="Arial"/>
          <w:sz w:val="26"/>
          <w:szCs w:val="26"/>
        </w:rPr>
        <w:t xml:space="preserve"> de la Ley de Procedimiento y Justicia Administrativa para el Estado de Oaxaca</w:t>
      </w:r>
      <w:r w:rsidR="0097405A">
        <w:rPr>
          <w:rFonts w:ascii="Arial" w:eastAsia="Times New Roman" w:hAnsi="Arial" w:cs="Arial"/>
          <w:sz w:val="26"/>
          <w:szCs w:val="26"/>
        </w:rPr>
        <w:t>, en virtud de que la sentencia que recurre no está emitida en forma congruente con el acto impugnado, ya que a pesar de que quedó debidamente acreditada la correcta fundamentación y motivación del acto, y con ello la validez del mismo, l</w:t>
      </w:r>
      <w:r w:rsidR="00A204FC">
        <w:rPr>
          <w:rFonts w:ascii="Arial" w:eastAsia="Times New Roman" w:hAnsi="Arial" w:cs="Arial"/>
          <w:sz w:val="26"/>
          <w:szCs w:val="26"/>
        </w:rPr>
        <w:t>a</w:t>
      </w:r>
      <w:r w:rsidR="0097405A">
        <w:rPr>
          <w:rFonts w:ascii="Arial" w:eastAsia="Times New Roman" w:hAnsi="Arial" w:cs="Arial"/>
          <w:sz w:val="26"/>
          <w:szCs w:val="26"/>
        </w:rPr>
        <w:t xml:space="preserve"> A quo hace un razonamiento </w:t>
      </w:r>
      <w:r w:rsidR="0097405A" w:rsidRPr="00DD6194">
        <w:rPr>
          <w:rFonts w:ascii="Arial" w:eastAsia="Times New Roman" w:hAnsi="Arial" w:cs="Arial"/>
          <w:sz w:val="26"/>
          <w:szCs w:val="26"/>
        </w:rPr>
        <w:t>omiso,</w:t>
      </w:r>
      <w:r w:rsidR="0097405A">
        <w:rPr>
          <w:rFonts w:ascii="Arial" w:eastAsia="Times New Roman" w:hAnsi="Arial" w:cs="Arial"/>
          <w:sz w:val="26"/>
          <w:szCs w:val="26"/>
        </w:rPr>
        <w:t xml:space="preserve"> cuando determina que se d</w:t>
      </w:r>
      <w:r w:rsidR="00B71370">
        <w:rPr>
          <w:rFonts w:ascii="Arial" w:eastAsia="Times New Roman" w:hAnsi="Arial" w:cs="Arial"/>
          <w:sz w:val="26"/>
          <w:szCs w:val="26"/>
        </w:rPr>
        <w:t>eclara la nulidad lisa y llana</w:t>
      </w:r>
      <w:bookmarkStart w:id="3" w:name="_Hlk39776426"/>
      <w:bookmarkStart w:id="4" w:name="_Hlk74574762"/>
      <w:r w:rsidR="00460EEF">
        <w:rPr>
          <w:rFonts w:ascii="Arial" w:eastAsia="Times New Roman" w:hAnsi="Arial" w:cs="Arial"/>
          <w:sz w:val="26"/>
          <w:szCs w:val="26"/>
        </w:rPr>
        <w:t>.</w:t>
      </w:r>
      <w:r w:rsidR="00AB41F9">
        <w:rPr>
          <w:rFonts w:ascii="Arial" w:eastAsia="Times New Roman" w:hAnsi="Arial" w:cs="Arial"/>
          <w:sz w:val="26"/>
          <w:szCs w:val="26"/>
        </w:rPr>
        <w:t xml:space="preserve"> - - - - - - </w:t>
      </w:r>
    </w:p>
    <w:p w14:paraId="58F9E789" w14:textId="4E216FE8" w:rsidR="00BF2233" w:rsidRDefault="00BF2233" w:rsidP="00802152">
      <w:pPr>
        <w:spacing w:after="120" w:line="360" w:lineRule="auto"/>
        <w:ind w:firstLine="708"/>
        <w:jc w:val="both"/>
        <w:rPr>
          <w:rFonts w:ascii="Arial" w:eastAsia="Calibri" w:hAnsi="Arial" w:cs="Arial"/>
          <w:bCs/>
          <w:color w:val="FF0000"/>
          <w:sz w:val="26"/>
          <w:szCs w:val="26"/>
        </w:rPr>
      </w:pPr>
      <w:r>
        <w:rPr>
          <w:rFonts w:ascii="Arial" w:eastAsia="Calibri" w:hAnsi="Arial" w:cs="Arial"/>
          <w:sz w:val="26"/>
          <w:szCs w:val="26"/>
          <w:lang w:val="es-ES" w:eastAsia="en-US"/>
        </w:rPr>
        <w:t>Continúa</w:t>
      </w:r>
      <w:r w:rsidRPr="00344445">
        <w:rPr>
          <w:rFonts w:ascii="Arial" w:eastAsia="Calibri" w:hAnsi="Arial" w:cs="Arial"/>
          <w:sz w:val="26"/>
          <w:szCs w:val="26"/>
          <w:lang w:val="es-ES" w:eastAsia="en-US"/>
        </w:rPr>
        <w:t xml:space="preserve"> </w:t>
      </w:r>
      <w:r>
        <w:rPr>
          <w:rFonts w:ascii="Arial" w:eastAsia="Calibri" w:hAnsi="Arial" w:cs="Arial"/>
          <w:bCs/>
          <w:sz w:val="26"/>
          <w:szCs w:val="26"/>
        </w:rPr>
        <w:t xml:space="preserve">manifestando </w:t>
      </w:r>
      <w:r w:rsidR="00AD7C9D">
        <w:rPr>
          <w:rFonts w:ascii="Arial" w:eastAsia="Calibri" w:hAnsi="Arial" w:cs="Arial"/>
          <w:bCs/>
          <w:sz w:val="26"/>
          <w:szCs w:val="26"/>
        </w:rPr>
        <w:t>el</w:t>
      </w:r>
      <w:r>
        <w:rPr>
          <w:rFonts w:ascii="Arial" w:eastAsia="Calibri" w:hAnsi="Arial" w:cs="Arial"/>
          <w:bCs/>
          <w:sz w:val="26"/>
          <w:szCs w:val="26"/>
        </w:rPr>
        <w:t xml:space="preserve"> recurrente que la sentencia que combate </w:t>
      </w:r>
      <w:r>
        <w:rPr>
          <w:rFonts w:ascii="Arial" w:eastAsia="Calibri" w:hAnsi="Arial" w:cs="Arial"/>
          <w:bCs/>
          <w:color w:val="000000" w:themeColor="text1"/>
          <w:sz w:val="26"/>
          <w:szCs w:val="26"/>
        </w:rPr>
        <w:t xml:space="preserve">le causa afectación a su </w:t>
      </w:r>
      <w:r w:rsidRPr="00856841">
        <w:rPr>
          <w:rFonts w:ascii="Arial" w:eastAsia="Calibri" w:hAnsi="Arial" w:cs="Arial"/>
          <w:bCs/>
          <w:color w:val="000000" w:themeColor="text1"/>
          <w:sz w:val="26"/>
          <w:szCs w:val="26"/>
        </w:rPr>
        <w:t>inve</w:t>
      </w:r>
      <w:r>
        <w:rPr>
          <w:rFonts w:ascii="Arial" w:eastAsia="Calibri" w:hAnsi="Arial" w:cs="Arial"/>
          <w:bCs/>
          <w:color w:val="000000" w:themeColor="text1"/>
          <w:sz w:val="26"/>
          <w:szCs w:val="26"/>
        </w:rPr>
        <w:t>stidura como Policía Vial Municipal del Municipio de Oaxaca de Juárez, ya que</w:t>
      </w:r>
      <w:r w:rsidR="00070248">
        <w:rPr>
          <w:rFonts w:ascii="Arial" w:eastAsia="Calibri" w:hAnsi="Arial" w:cs="Arial"/>
          <w:bCs/>
          <w:color w:val="000000" w:themeColor="text1"/>
          <w:sz w:val="26"/>
          <w:szCs w:val="26"/>
        </w:rPr>
        <w:t xml:space="preserve"> en primer término el acta de infracción </w:t>
      </w:r>
      <w:r w:rsidR="00802152">
        <w:rPr>
          <w:rFonts w:ascii="Arial" w:eastAsia="Calibri" w:hAnsi="Arial" w:cs="Arial"/>
          <w:bCs/>
          <w:color w:val="000000" w:themeColor="text1"/>
          <w:sz w:val="26"/>
          <w:szCs w:val="26"/>
        </w:rPr>
        <w:t xml:space="preserve">con número de folio </w:t>
      </w:r>
      <w:r w:rsidR="007E1A52">
        <w:rPr>
          <w:rFonts w:ascii="Arial" w:eastAsia="Calibri" w:hAnsi="Arial" w:cs="Arial"/>
          <w:bCs/>
          <w:color w:val="000000" w:themeColor="text1"/>
          <w:sz w:val="26"/>
          <w:szCs w:val="26"/>
        </w:rPr>
        <w:t>*******</w:t>
      </w:r>
      <w:r w:rsidR="0080215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se encuentra </w:t>
      </w:r>
      <w:r w:rsidR="00070248">
        <w:rPr>
          <w:rFonts w:ascii="Arial" w:eastAsia="Calibri" w:hAnsi="Arial" w:cs="Arial"/>
          <w:bCs/>
          <w:color w:val="000000" w:themeColor="text1"/>
          <w:sz w:val="26"/>
          <w:szCs w:val="26"/>
        </w:rPr>
        <w:t xml:space="preserve"> debidamente fundada y motivada, ya que en la misma se encuentra </w:t>
      </w:r>
      <w:r w:rsidR="00B81B34">
        <w:rPr>
          <w:rFonts w:ascii="Arial" w:eastAsia="Calibri" w:hAnsi="Arial" w:cs="Arial"/>
          <w:bCs/>
          <w:color w:val="000000" w:themeColor="text1"/>
          <w:sz w:val="26"/>
          <w:szCs w:val="26"/>
        </w:rPr>
        <w:t>plasmado</w:t>
      </w:r>
      <w:r>
        <w:rPr>
          <w:rFonts w:ascii="Arial" w:eastAsia="Calibri" w:hAnsi="Arial" w:cs="Arial"/>
          <w:bCs/>
          <w:color w:val="000000" w:themeColor="text1"/>
          <w:sz w:val="26"/>
          <w:szCs w:val="26"/>
        </w:rPr>
        <w:t xml:space="preserve"> </w:t>
      </w:r>
      <w:r w:rsidR="00B81B34">
        <w:rPr>
          <w:rFonts w:ascii="Arial" w:eastAsia="Calibri" w:hAnsi="Arial" w:cs="Arial"/>
          <w:bCs/>
          <w:color w:val="000000" w:themeColor="text1"/>
          <w:sz w:val="26"/>
          <w:szCs w:val="26"/>
        </w:rPr>
        <w:t xml:space="preserve">el </w:t>
      </w:r>
      <w:r>
        <w:rPr>
          <w:rFonts w:ascii="Arial" w:eastAsia="Calibri" w:hAnsi="Arial" w:cs="Arial"/>
          <w:bCs/>
          <w:color w:val="000000" w:themeColor="text1"/>
          <w:sz w:val="26"/>
          <w:szCs w:val="26"/>
        </w:rPr>
        <w:t xml:space="preserve">artículo </w:t>
      </w:r>
      <w:r w:rsidR="00070248">
        <w:rPr>
          <w:rFonts w:ascii="Arial" w:eastAsia="Calibri" w:hAnsi="Arial" w:cs="Arial"/>
          <w:bCs/>
          <w:color w:val="000000" w:themeColor="text1"/>
          <w:sz w:val="26"/>
          <w:szCs w:val="26"/>
        </w:rPr>
        <w:t>59 fracción I, inciso c) y d)</w:t>
      </w:r>
      <w:r w:rsidR="00A204FC">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del Reglamento de Vialidad para el Municipio de Oaxaca de Juárez, que prevé la conducta </w:t>
      </w:r>
      <w:r>
        <w:rPr>
          <w:rFonts w:ascii="Arial" w:eastAsia="Calibri" w:hAnsi="Arial" w:cs="Arial"/>
          <w:bCs/>
          <w:color w:val="000000" w:themeColor="text1"/>
          <w:sz w:val="26"/>
          <w:szCs w:val="26"/>
        </w:rPr>
        <w:lastRenderedPageBreak/>
        <w:t>ilegal del infractor</w:t>
      </w:r>
      <w:r w:rsidR="00070248">
        <w:rPr>
          <w:rFonts w:ascii="Arial" w:eastAsia="Calibri" w:hAnsi="Arial" w:cs="Arial"/>
          <w:bCs/>
          <w:color w:val="000000" w:themeColor="text1"/>
          <w:sz w:val="26"/>
          <w:szCs w:val="26"/>
        </w:rPr>
        <w:t>, ordenamiento jurídico de orden público y de carácter obligatorio</w:t>
      </w:r>
      <w:r>
        <w:rPr>
          <w:rFonts w:ascii="Arial" w:eastAsia="Calibri" w:hAnsi="Arial" w:cs="Arial"/>
          <w:bCs/>
          <w:color w:val="000000" w:themeColor="text1"/>
          <w:sz w:val="26"/>
          <w:szCs w:val="26"/>
        </w:rPr>
        <w:t xml:space="preserve">, y que tal como reza el principio general de derecho “LA IGNORANCIA DE LA LEY, NO EXIME DE SU CUMPLIMIENTO”; </w:t>
      </w:r>
      <w:r w:rsidR="00E571A1">
        <w:rPr>
          <w:rFonts w:ascii="Arial" w:eastAsiaTheme="minorHAnsi" w:hAnsi="Arial" w:cs="Arial"/>
          <w:bCs/>
          <w:iCs/>
          <w:sz w:val="26"/>
          <w:szCs w:val="26"/>
          <w:lang w:eastAsia="en-US"/>
        </w:rPr>
        <w:t xml:space="preserve">el efecto de cometerse una infracción prevista en el mismo, </w:t>
      </w:r>
      <w:r w:rsidR="005066E9">
        <w:rPr>
          <w:rFonts w:ascii="Arial" w:eastAsiaTheme="minorHAnsi" w:hAnsi="Arial" w:cs="Arial"/>
          <w:bCs/>
          <w:iCs/>
          <w:sz w:val="26"/>
          <w:szCs w:val="26"/>
          <w:lang w:eastAsia="en-US"/>
        </w:rPr>
        <w:t>es el de</w:t>
      </w:r>
      <w:r w:rsidR="00E571A1">
        <w:rPr>
          <w:rFonts w:ascii="Arial" w:eastAsiaTheme="minorHAnsi" w:hAnsi="Arial" w:cs="Arial"/>
          <w:bCs/>
          <w:iCs/>
          <w:sz w:val="26"/>
          <w:szCs w:val="26"/>
          <w:lang w:eastAsia="en-US"/>
        </w:rPr>
        <w:t xml:space="preserve"> hace</w:t>
      </w:r>
      <w:r w:rsidR="005066E9">
        <w:rPr>
          <w:rFonts w:ascii="Arial" w:eastAsiaTheme="minorHAnsi" w:hAnsi="Arial" w:cs="Arial"/>
          <w:bCs/>
          <w:iCs/>
          <w:sz w:val="26"/>
          <w:szCs w:val="26"/>
          <w:lang w:eastAsia="en-US"/>
        </w:rPr>
        <w:t>rse</w:t>
      </w:r>
      <w:r w:rsidR="00E571A1">
        <w:rPr>
          <w:rFonts w:ascii="Arial" w:eastAsiaTheme="minorHAnsi" w:hAnsi="Arial" w:cs="Arial"/>
          <w:bCs/>
          <w:iCs/>
          <w:sz w:val="26"/>
          <w:szCs w:val="26"/>
          <w:lang w:eastAsia="en-US"/>
        </w:rPr>
        <w:t xml:space="preserve"> acreedor a una sanción, y en el caso el infractor debió ser acreedor a la multa, la cual resulta ser la consecuencia de su conducta ilegal. </w:t>
      </w:r>
      <w:r>
        <w:rPr>
          <w:rFonts w:ascii="Arial" w:eastAsia="Calibri" w:hAnsi="Arial" w:cs="Arial"/>
          <w:bCs/>
          <w:color w:val="000000" w:themeColor="text1"/>
          <w:sz w:val="26"/>
          <w:szCs w:val="26"/>
        </w:rPr>
        <w:t>Tal como se desprende de la boleta de infracción que fue notificada al administrado</w:t>
      </w:r>
      <w:bookmarkStart w:id="5" w:name="_Hlk99533130"/>
      <w:r w:rsidR="003078BA">
        <w:rPr>
          <w:rFonts w:ascii="Arial" w:eastAsia="Calibri" w:hAnsi="Arial" w:cs="Arial"/>
          <w:bCs/>
          <w:color w:val="000000" w:themeColor="text1"/>
          <w:sz w:val="26"/>
          <w:szCs w:val="26"/>
        </w:rPr>
        <w:t xml:space="preserve">, </w:t>
      </w:r>
      <w:r w:rsidRPr="00561FDA">
        <w:rPr>
          <w:rFonts w:ascii="Arial" w:eastAsia="Calibri" w:hAnsi="Arial" w:cs="Arial"/>
          <w:bCs/>
          <w:sz w:val="26"/>
          <w:szCs w:val="26"/>
        </w:rPr>
        <w:t>por ello refiere que la sentencia no está apegada a derecho, ni fundada ni motivada.</w:t>
      </w:r>
      <w:r w:rsidR="00AB41F9">
        <w:rPr>
          <w:rFonts w:ascii="Arial" w:eastAsia="Calibri" w:hAnsi="Arial" w:cs="Arial"/>
          <w:bCs/>
          <w:sz w:val="26"/>
          <w:szCs w:val="26"/>
        </w:rPr>
        <w:t xml:space="preserve"> - - - - - - - - - - - - - - - - - - - - </w:t>
      </w:r>
    </w:p>
    <w:bookmarkEnd w:id="5"/>
    <w:p w14:paraId="1E88B890" w14:textId="01EE0822" w:rsidR="00BF2233" w:rsidRDefault="00BF2233" w:rsidP="00802152">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sz w:val="26"/>
          <w:szCs w:val="26"/>
          <w:lang w:val="es-ES" w:eastAsia="en-US"/>
        </w:rPr>
        <w:t>Además menciona</w:t>
      </w:r>
      <w:r w:rsidRPr="00344445">
        <w:rPr>
          <w:rFonts w:ascii="Arial" w:eastAsia="Calibri" w:hAnsi="Arial" w:cs="Arial"/>
          <w:sz w:val="26"/>
          <w:szCs w:val="26"/>
          <w:lang w:val="es-ES" w:eastAsia="en-US"/>
        </w:rPr>
        <w:t xml:space="preserve"> </w:t>
      </w:r>
      <w:r>
        <w:rPr>
          <w:rFonts w:ascii="Arial" w:eastAsia="Calibri" w:hAnsi="Arial" w:cs="Arial"/>
          <w:sz w:val="26"/>
          <w:szCs w:val="26"/>
          <w:lang w:val="es-ES" w:eastAsia="en-US"/>
        </w:rPr>
        <w:t xml:space="preserve">el revisionista </w:t>
      </w:r>
      <w:r>
        <w:rPr>
          <w:rFonts w:ascii="Arial" w:eastAsia="Calibri" w:hAnsi="Arial" w:cs="Arial"/>
          <w:bCs/>
          <w:sz w:val="26"/>
          <w:szCs w:val="26"/>
        </w:rPr>
        <w:t>q</w:t>
      </w:r>
      <w:r>
        <w:rPr>
          <w:rFonts w:ascii="Arial" w:eastAsia="Calibri" w:hAnsi="Arial" w:cs="Arial"/>
          <w:bCs/>
          <w:color w:val="000000" w:themeColor="text1"/>
          <w:sz w:val="26"/>
          <w:szCs w:val="26"/>
        </w:rPr>
        <w:t xml:space="preserve">ue, en el acta de infracción  </w:t>
      </w:r>
      <w:r w:rsidR="00696150">
        <w:rPr>
          <w:rFonts w:ascii="Arial" w:eastAsia="Calibri" w:hAnsi="Arial" w:cs="Arial"/>
          <w:bCs/>
          <w:color w:val="000000" w:themeColor="text1"/>
          <w:sz w:val="26"/>
          <w:szCs w:val="26"/>
        </w:rPr>
        <w:t>citó</w:t>
      </w:r>
      <w:r>
        <w:rPr>
          <w:rFonts w:ascii="Arial" w:eastAsia="Calibri" w:hAnsi="Arial" w:cs="Arial"/>
          <w:bCs/>
          <w:color w:val="000000" w:themeColor="text1"/>
          <w:sz w:val="26"/>
          <w:szCs w:val="26"/>
        </w:rPr>
        <w:t xml:space="preserve"> las circunstancias de modo, tiempo</w:t>
      </w:r>
      <w:r>
        <w:rPr>
          <w:rFonts w:ascii="Arial" w:hAnsi="Arial" w:cs="Arial"/>
          <w:bCs/>
          <w:iCs/>
          <w:sz w:val="26"/>
          <w:szCs w:val="26"/>
        </w:rPr>
        <w:t xml:space="preserve"> </w:t>
      </w:r>
      <w:r>
        <w:rPr>
          <w:rFonts w:ascii="Arial" w:eastAsia="Calibri" w:hAnsi="Arial" w:cs="Arial"/>
          <w:bCs/>
          <w:color w:val="000000" w:themeColor="text1"/>
          <w:sz w:val="26"/>
          <w:szCs w:val="26"/>
        </w:rPr>
        <w:t xml:space="preserve">y lugar, las cuales resultan suficientes para cumplir con el requisito de fundamentación que exige el artículo 17 fracción V, de la </w:t>
      </w:r>
      <w:r w:rsidRPr="00BE5D80">
        <w:rPr>
          <w:rFonts w:ascii="Arial" w:eastAsia="Calibri" w:hAnsi="Arial" w:cs="Arial"/>
          <w:bCs/>
          <w:color w:val="000000" w:themeColor="text1"/>
          <w:sz w:val="26"/>
          <w:szCs w:val="26"/>
        </w:rPr>
        <w:t xml:space="preserve">Ley de </w:t>
      </w:r>
      <w:r>
        <w:rPr>
          <w:rFonts w:ascii="Arial" w:eastAsia="Calibri" w:hAnsi="Arial" w:cs="Arial"/>
          <w:bCs/>
          <w:color w:val="000000" w:themeColor="text1"/>
          <w:sz w:val="26"/>
          <w:szCs w:val="26"/>
        </w:rPr>
        <w:t xml:space="preserve">Procedimiento y </w:t>
      </w:r>
      <w:r w:rsidRPr="00BE5D80">
        <w:rPr>
          <w:rFonts w:ascii="Arial" w:eastAsia="Calibri" w:hAnsi="Arial" w:cs="Arial"/>
          <w:bCs/>
          <w:color w:val="000000" w:themeColor="text1"/>
          <w:sz w:val="26"/>
          <w:szCs w:val="26"/>
        </w:rPr>
        <w:t>Justicia Administrativa</w:t>
      </w:r>
      <w:r>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del infractor, sin que se le dejara en estado de indefensión</w:t>
      </w:r>
      <w:r w:rsidR="00460EEF">
        <w:rPr>
          <w:rFonts w:ascii="Arial" w:eastAsia="Calibri" w:hAnsi="Arial" w:cs="Arial"/>
          <w:bCs/>
          <w:color w:val="000000" w:themeColor="text1"/>
          <w:sz w:val="26"/>
          <w:szCs w:val="26"/>
        </w:rPr>
        <w:t>.</w:t>
      </w:r>
      <w:r w:rsidR="00AD7C9D">
        <w:rPr>
          <w:rFonts w:ascii="Arial" w:eastAsia="Calibri" w:hAnsi="Arial" w:cs="Arial"/>
          <w:bCs/>
          <w:color w:val="000000" w:themeColor="text1"/>
          <w:sz w:val="26"/>
          <w:szCs w:val="26"/>
        </w:rPr>
        <w:t xml:space="preserve"> </w:t>
      </w:r>
      <w:r w:rsidR="00AB41F9">
        <w:rPr>
          <w:rFonts w:ascii="Arial" w:eastAsia="Calibri" w:hAnsi="Arial" w:cs="Arial"/>
          <w:bCs/>
          <w:sz w:val="26"/>
          <w:szCs w:val="26"/>
        </w:rPr>
        <w:t xml:space="preserve">- - - - - - - - - - - - - - - - - - - - - - - - - - </w:t>
      </w:r>
    </w:p>
    <w:p w14:paraId="4BC33055" w14:textId="5FB4466A" w:rsidR="00070248" w:rsidRPr="00460E0C" w:rsidRDefault="00070248" w:rsidP="00802152">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También refiere que los hechos motivo de la infracción quedaron plasmados en el acta respectiva (motivación), así como los fundamentos jurídicos que sirvieron de sustento para emitirla (fundamentación), </w:t>
      </w:r>
      <w:r w:rsidR="00B62853">
        <w:rPr>
          <w:rFonts w:ascii="Arial" w:eastAsia="Calibri" w:hAnsi="Arial" w:cs="Arial"/>
          <w:bCs/>
          <w:color w:val="000000" w:themeColor="text1"/>
          <w:sz w:val="26"/>
          <w:szCs w:val="26"/>
        </w:rPr>
        <w:t xml:space="preserve">los cuales </w:t>
      </w:r>
      <w:r>
        <w:rPr>
          <w:rFonts w:ascii="Arial" w:eastAsia="Calibri" w:hAnsi="Arial" w:cs="Arial"/>
          <w:bCs/>
          <w:color w:val="000000" w:themeColor="text1"/>
          <w:sz w:val="26"/>
          <w:szCs w:val="26"/>
        </w:rPr>
        <w:t xml:space="preserve">están previstos tanto en el Reglamento de Vialidad del Municipio de Oaxaca de Juárez, como en el Bando de Policía y Gobierno del Municipio de Oaxaca de Juárez y la Ley de </w:t>
      </w:r>
      <w:r w:rsidR="000137CB">
        <w:rPr>
          <w:rFonts w:ascii="Arial" w:eastAsia="Calibri" w:hAnsi="Arial" w:cs="Arial"/>
          <w:bCs/>
          <w:color w:val="000000" w:themeColor="text1"/>
          <w:sz w:val="26"/>
          <w:szCs w:val="26"/>
        </w:rPr>
        <w:t>Ingresos del Municipio de Oaxaca de Juárez, respectivamente, por lo que precisa que si bien es cierto que el artículo 16 Constitucional, establece la obligación para las autoridades de fundar y motivar sus actos, también los es que dicha obligación se satisface desde el punto de vista formal, cuando se expresan las normas legales aplicables y los hechos que hacen que el caso encaje en las hipótesis normativas</w:t>
      </w:r>
      <w:r w:rsidR="00101B29">
        <w:rPr>
          <w:rFonts w:ascii="Arial" w:eastAsia="Calibri" w:hAnsi="Arial" w:cs="Arial"/>
          <w:bCs/>
          <w:color w:val="000000" w:themeColor="text1"/>
          <w:sz w:val="26"/>
          <w:szCs w:val="26"/>
        </w:rPr>
        <w:t xml:space="preserve">, bastando el razonamiento sustancial al respecto, sin que pueda exigirse formalmente mayor amplitud o abundancia que la expresión de lo estrictamente necesario, para </w:t>
      </w:r>
      <w:r w:rsidR="00B62853">
        <w:rPr>
          <w:rFonts w:ascii="Arial" w:eastAsia="Calibri" w:hAnsi="Arial" w:cs="Arial"/>
          <w:bCs/>
          <w:color w:val="000000" w:themeColor="text1"/>
          <w:sz w:val="26"/>
          <w:szCs w:val="26"/>
        </w:rPr>
        <w:t>que sustancialmente se comprenda el argumento expresado.</w:t>
      </w:r>
      <w:r w:rsidR="00753571">
        <w:rPr>
          <w:rFonts w:ascii="Arial" w:eastAsia="Calibri" w:hAnsi="Arial" w:cs="Arial"/>
          <w:bCs/>
          <w:color w:val="000000" w:themeColor="text1"/>
          <w:sz w:val="26"/>
          <w:szCs w:val="26"/>
        </w:rPr>
        <w:t xml:space="preserve"> </w:t>
      </w:r>
      <w:r w:rsidR="00753571">
        <w:rPr>
          <w:rFonts w:ascii="Arial" w:eastAsia="Calibri" w:hAnsi="Arial" w:cs="Arial"/>
          <w:bCs/>
          <w:sz w:val="26"/>
          <w:szCs w:val="26"/>
        </w:rPr>
        <w:t xml:space="preserve">- - - - - - - - - - - - - - - - - - - - - - - - - - - - - - - - - - - </w:t>
      </w:r>
    </w:p>
    <w:p w14:paraId="7E1D31FE" w14:textId="0E0A1C8A" w:rsidR="00BF2233" w:rsidRDefault="00B62853" w:rsidP="00BF2233">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Asimismo manifiesta</w:t>
      </w:r>
      <w:r w:rsidR="00BF2233">
        <w:rPr>
          <w:rFonts w:ascii="Arial" w:eastAsia="Calibri" w:hAnsi="Arial" w:cs="Arial"/>
          <w:bCs/>
          <w:color w:val="000000" w:themeColor="text1"/>
          <w:sz w:val="26"/>
          <w:szCs w:val="26"/>
        </w:rPr>
        <w:t xml:space="preserve"> que</w:t>
      </w:r>
      <w:r>
        <w:rPr>
          <w:rFonts w:ascii="Arial" w:eastAsia="Calibri" w:hAnsi="Arial" w:cs="Arial"/>
          <w:bCs/>
          <w:color w:val="000000" w:themeColor="text1"/>
          <w:sz w:val="26"/>
          <w:szCs w:val="26"/>
        </w:rPr>
        <w:t xml:space="preserve"> en el acta de infracción con número de folio </w:t>
      </w:r>
      <w:r w:rsidR="007E1A52">
        <w:rPr>
          <w:rFonts w:ascii="Arial" w:eastAsia="Calibri" w:hAnsi="Arial" w:cs="Arial"/>
          <w:bCs/>
          <w:color w:val="000000" w:themeColor="text1"/>
          <w:sz w:val="26"/>
          <w:szCs w:val="26"/>
        </w:rPr>
        <w:t>*******</w:t>
      </w:r>
      <w:r>
        <w:rPr>
          <w:rFonts w:ascii="Arial" w:eastAsia="Calibri" w:hAnsi="Arial" w:cs="Arial"/>
          <w:bCs/>
          <w:color w:val="000000" w:themeColor="text1"/>
          <w:sz w:val="26"/>
          <w:szCs w:val="26"/>
        </w:rPr>
        <w:t>, se indicaron claramente</w:t>
      </w:r>
      <w:r w:rsidR="00AA49D8">
        <w:rPr>
          <w:rFonts w:ascii="Arial" w:eastAsia="Calibri" w:hAnsi="Arial" w:cs="Arial"/>
          <w:bCs/>
          <w:color w:val="000000" w:themeColor="text1"/>
          <w:sz w:val="26"/>
          <w:szCs w:val="26"/>
        </w:rPr>
        <w:t xml:space="preserve"> los motivos que la originaron, los cuales fueron del conocimiento del infractor </w:t>
      </w:r>
      <w:r w:rsidR="007E1A52">
        <w:rPr>
          <w:rFonts w:ascii="Arial" w:eastAsia="Calibri" w:hAnsi="Arial" w:cs="Arial"/>
          <w:bCs/>
          <w:color w:val="000000" w:themeColor="text1"/>
          <w:sz w:val="26"/>
          <w:szCs w:val="26"/>
        </w:rPr>
        <w:t>*******</w:t>
      </w:r>
      <w:r w:rsidR="00AA49D8">
        <w:rPr>
          <w:rFonts w:ascii="Arial" w:eastAsia="Calibri" w:hAnsi="Arial" w:cs="Arial"/>
          <w:bCs/>
          <w:color w:val="000000" w:themeColor="text1"/>
          <w:sz w:val="26"/>
          <w:szCs w:val="26"/>
        </w:rPr>
        <w:t xml:space="preserve">, que de igual forma </w:t>
      </w:r>
      <w:r w:rsidR="00AA49D8">
        <w:rPr>
          <w:rFonts w:ascii="Arial" w:eastAsia="Calibri" w:hAnsi="Arial" w:cs="Arial"/>
          <w:bCs/>
          <w:color w:val="000000" w:themeColor="text1"/>
          <w:sz w:val="26"/>
          <w:szCs w:val="26"/>
        </w:rPr>
        <w:lastRenderedPageBreak/>
        <w:t xml:space="preserve">se desprende que </w:t>
      </w:r>
      <w:r w:rsidR="00BF2233">
        <w:rPr>
          <w:rFonts w:ascii="Arial" w:eastAsia="Calibri" w:hAnsi="Arial" w:cs="Arial"/>
          <w:bCs/>
          <w:color w:val="000000" w:themeColor="text1"/>
          <w:sz w:val="26"/>
          <w:szCs w:val="26"/>
        </w:rPr>
        <w:t>como Policía Vial</w:t>
      </w:r>
      <w:r w:rsidR="00B3423C">
        <w:rPr>
          <w:rFonts w:ascii="Arial" w:eastAsia="Calibri" w:hAnsi="Arial" w:cs="Arial"/>
          <w:bCs/>
          <w:color w:val="000000" w:themeColor="text1"/>
          <w:sz w:val="26"/>
          <w:szCs w:val="26"/>
        </w:rPr>
        <w:t>,</w:t>
      </w:r>
      <w:r w:rsidR="00BF2233">
        <w:rPr>
          <w:rFonts w:ascii="Arial" w:eastAsia="Calibri" w:hAnsi="Arial" w:cs="Arial"/>
          <w:bCs/>
          <w:color w:val="000000" w:themeColor="text1"/>
          <w:sz w:val="26"/>
          <w:szCs w:val="26"/>
        </w:rPr>
        <w:t xml:space="preserve"> señaló la falta administrativa en que incurrió la parte actora consistente en “</w:t>
      </w:r>
      <w:r w:rsidR="00AA49D8">
        <w:rPr>
          <w:rFonts w:ascii="Arial" w:eastAsia="Calibri" w:hAnsi="Arial" w:cs="Arial"/>
          <w:bCs/>
          <w:color w:val="000000" w:themeColor="text1"/>
          <w:sz w:val="26"/>
          <w:szCs w:val="26"/>
        </w:rPr>
        <w:t>POR PASARSE LA LUZ ROJA DEL SEMÁFORO</w:t>
      </w:r>
      <w:r w:rsidR="00BF2233">
        <w:rPr>
          <w:rFonts w:ascii="Arial" w:eastAsia="Calibri" w:hAnsi="Arial" w:cs="Arial"/>
          <w:bCs/>
          <w:color w:val="000000" w:themeColor="text1"/>
          <w:sz w:val="26"/>
          <w:szCs w:val="26"/>
        </w:rPr>
        <w:t xml:space="preserve">”, </w:t>
      </w:r>
      <w:r w:rsidR="003078BA">
        <w:rPr>
          <w:rFonts w:ascii="Arial" w:eastAsia="Calibri" w:hAnsi="Arial" w:cs="Arial"/>
          <w:bCs/>
          <w:color w:val="000000" w:themeColor="text1"/>
          <w:sz w:val="26"/>
          <w:szCs w:val="26"/>
        </w:rPr>
        <w:t xml:space="preserve">y </w:t>
      </w:r>
      <w:r w:rsidR="00BF2233">
        <w:rPr>
          <w:rFonts w:ascii="Arial" w:eastAsia="Calibri" w:hAnsi="Arial" w:cs="Arial"/>
          <w:bCs/>
          <w:color w:val="000000" w:themeColor="text1"/>
          <w:sz w:val="26"/>
          <w:szCs w:val="26"/>
        </w:rPr>
        <w:t xml:space="preserve"> </w:t>
      </w:r>
      <w:r w:rsidR="003078BA">
        <w:rPr>
          <w:rFonts w:ascii="Arial" w:eastAsia="Calibri" w:hAnsi="Arial" w:cs="Arial"/>
          <w:bCs/>
          <w:color w:val="000000" w:themeColor="text1"/>
          <w:sz w:val="26"/>
          <w:szCs w:val="26"/>
        </w:rPr>
        <w:t xml:space="preserve">que </w:t>
      </w:r>
      <w:r w:rsidR="00BF2233">
        <w:rPr>
          <w:rFonts w:ascii="Arial" w:eastAsia="Calibri" w:hAnsi="Arial" w:cs="Arial"/>
          <w:bCs/>
          <w:color w:val="000000" w:themeColor="text1"/>
          <w:sz w:val="26"/>
          <w:szCs w:val="26"/>
        </w:rPr>
        <w:t>como fundame</w:t>
      </w:r>
      <w:r w:rsidR="003078BA">
        <w:rPr>
          <w:rFonts w:ascii="Arial" w:eastAsia="Calibri" w:hAnsi="Arial" w:cs="Arial"/>
          <w:bCs/>
          <w:color w:val="000000" w:themeColor="text1"/>
          <w:sz w:val="26"/>
          <w:szCs w:val="26"/>
        </w:rPr>
        <w:t xml:space="preserve">nto cito el </w:t>
      </w:r>
      <w:r w:rsidR="00AD7C9D">
        <w:rPr>
          <w:rFonts w:ascii="Arial" w:eastAsia="Calibri" w:hAnsi="Arial" w:cs="Arial"/>
          <w:bCs/>
          <w:color w:val="000000" w:themeColor="text1"/>
          <w:sz w:val="26"/>
          <w:szCs w:val="26"/>
        </w:rPr>
        <w:t>a</w:t>
      </w:r>
      <w:r w:rsidR="00BF2233">
        <w:rPr>
          <w:rFonts w:ascii="Arial" w:eastAsia="Calibri" w:hAnsi="Arial" w:cs="Arial"/>
          <w:bCs/>
          <w:color w:val="000000" w:themeColor="text1"/>
          <w:sz w:val="26"/>
          <w:szCs w:val="26"/>
        </w:rPr>
        <w:t xml:space="preserve">rtículo </w:t>
      </w:r>
      <w:r w:rsidR="00AA49D8">
        <w:rPr>
          <w:rFonts w:ascii="Arial" w:eastAsia="Calibri" w:hAnsi="Arial" w:cs="Arial"/>
          <w:bCs/>
          <w:color w:val="000000" w:themeColor="text1"/>
          <w:sz w:val="26"/>
          <w:szCs w:val="26"/>
        </w:rPr>
        <w:t>59 fracción I, inciso c) y d)</w:t>
      </w:r>
      <w:r w:rsidR="003078BA">
        <w:rPr>
          <w:rFonts w:ascii="Arial" w:eastAsia="Calibri" w:hAnsi="Arial" w:cs="Arial"/>
          <w:bCs/>
          <w:color w:val="000000" w:themeColor="text1"/>
          <w:sz w:val="26"/>
          <w:szCs w:val="26"/>
        </w:rPr>
        <w:t xml:space="preserve"> del </w:t>
      </w:r>
      <w:r w:rsidR="0095720B">
        <w:rPr>
          <w:rFonts w:ascii="Arial" w:eastAsia="Calibri" w:hAnsi="Arial" w:cs="Arial"/>
          <w:bCs/>
          <w:color w:val="000000" w:themeColor="text1"/>
          <w:sz w:val="26"/>
          <w:szCs w:val="26"/>
        </w:rPr>
        <w:t xml:space="preserve">Reglamento de Vialidad, </w:t>
      </w:r>
      <w:r w:rsidR="00BF2233">
        <w:rPr>
          <w:rFonts w:ascii="Arial" w:eastAsia="Calibri" w:hAnsi="Arial" w:cs="Arial"/>
          <w:bCs/>
          <w:color w:val="000000" w:themeColor="text1"/>
          <w:sz w:val="26"/>
          <w:szCs w:val="26"/>
        </w:rPr>
        <w:t xml:space="preserve">con lo que el acto impugnado se encuentra debidamente fundado y motivado, sin </w:t>
      </w:r>
      <w:r w:rsidR="00BF2233" w:rsidRPr="006C2282">
        <w:rPr>
          <w:rFonts w:ascii="Arial" w:eastAsia="Calibri" w:hAnsi="Arial" w:cs="Arial"/>
          <w:bCs/>
          <w:color w:val="000000" w:themeColor="text1"/>
          <w:sz w:val="26"/>
          <w:szCs w:val="26"/>
        </w:rPr>
        <w:t xml:space="preserve">que </w:t>
      </w:r>
      <w:r w:rsidR="00AD7C9D">
        <w:rPr>
          <w:rFonts w:ascii="Arial" w:eastAsia="Calibri" w:hAnsi="Arial" w:cs="Arial"/>
          <w:bCs/>
          <w:color w:val="000000" w:themeColor="text1"/>
          <w:sz w:val="26"/>
          <w:szCs w:val="26"/>
        </w:rPr>
        <w:t>la</w:t>
      </w:r>
      <w:r w:rsidR="0095720B">
        <w:rPr>
          <w:rFonts w:ascii="Arial" w:eastAsia="Calibri" w:hAnsi="Arial" w:cs="Arial"/>
          <w:bCs/>
          <w:color w:val="000000" w:themeColor="text1"/>
          <w:sz w:val="26"/>
          <w:szCs w:val="26"/>
        </w:rPr>
        <w:t xml:space="preserve"> </w:t>
      </w:r>
      <w:r w:rsidR="00BF2233" w:rsidRPr="006C2282">
        <w:rPr>
          <w:rFonts w:ascii="Arial" w:eastAsia="Calibri" w:hAnsi="Arial" w:cs="Arial"/>
          <w:bCs/>
          <w:color w:val="000000" w:themeColor="text1"/>
          <w:sz w:val="26"/>
          <w:szCs w:val="26"/>
        </w:rPr>
        <w:t xml:space="preserve">Titular de la </w:t>
      </w:r>
      <w:r w:rsidR="00AA49D8">
        <w:rPr>
          <w:rFonts w:ascii="Arial" w:eastAsia="Calibri" w:hAnsi="Arial" w:cs="Arial"/>
          <w:bCs/>
          <w:color w:val="000000" w:themeColor="text1"/>
          <w:sz w:val="26"/>
          <w:szCs w:val="26"/>
        </w:rPr>
        <w:t>Tercera</w:t>
      </w:r>
      <w:r w:rsidR="00BF2233" w:rsidRPr="006C2282">
        <w:rPr>
          <w:rFonts w:ascii="Arial" w:eastAsia="Calibri" w:hAnsi="Arial" w:cs="Arial"/>
          <w:bCs/>
          <w:color w:val="000000" w:themeColor="text1"/>
          <w:sz w:val="26"/>
          <w:szCs w:val="26"/>
        </w:rPr>
        <w:t xml:space="preserve"> Sala lo haya tomado en cuenta, razón</w:t>
      </w:r>
      <w:r w:rsidR="00BF2233">
        <w:rPr>
          <w:rFonts w:ascii="Arial" w:eastAsia="Calibri" w:hAnsi="Arial" w:cs="Arial"/>
          <w:bCs/>
          <w:color w:val="000000" w:themeColor="text1"/>
          <w:sz w:val="26"/>
          <w:szCs w:val="26"/>
        </w:rPr>
        <w:t xml:space="preserve"> por la cual</w:t>
      </w:r>
      <w:r w:rsidR="0095720B">
        <w:rPr>
          <w:rFonts w:ascii="Arial" w:eastAsia="Calibri" w:hAnsi="Arial" w:cs="Arial"/>
          <w:bCs/>
          <w:color w:val="000000" w:themeColor="text1"/>
          <w:sz w:val="26"/>
          <w:szCs w:val="26"/>
        </w:rPr>
        <w:t>,</w:t>
      </w:r>
      <w:r w:rsidR="00BF2233" w:rsidRPr="006C2282">
        <w:rPr>
          <w:rFonts w:ascii="Arial" w:eastAsia="Calibri" w:hAnsi="Arial" w:cs="Arial"/>
          <w:bCs/>
          <w:color w:val="000000" w:themeColor="text1"/>
          <w:sz w:val="26"/>
          <w:szCs w:val="26"/>
        </w:rPr>
        <w:t xml:space="preserve"> </w:t>
      </w:r>
      <w:r w:rsidR="00BF2233">
        <w:rPr>
          <w:rFonts w:ascii="Arial" w:eastAsia="Calibri" w:hAnsi="Arial" w:cs="Arial"/>
          <w:bCs/>
          <w:color w:val="000000" w:themeColor="text1"/>
          <w:sz w:val="26"/>
          <w:szCs w:val="26"/>
        </w:rPr>
        <w:t xml:space="preserve">indica </w:t>
      </w:r>
      <w:r w:rsidR="00696150">
        <w:rPr>
          <w:rFonts w:ascii="Arial" w:eastAsia="Calibri" w:hAnsi="Arial" w:cs="Arial"/>
          <w:bCs/>
          <w:color w:val="000000" w:themeColor="text1"/>
          <w:sz w:val="26"/>
          <w:szCs w:val="26"/>
        </w:rPr>
        <w:t>que es claro que no</w:t>
      </w:r>
      <w:r w:rsidR="00BF2233" w:rsidRPr="006C2282">
        <w:rPr>
          <w:rFonts w:ascii="Arial" w:eastAsia="Calibri" w:hAnsi="Arial" w:cs="Arial"/>
          <w:bCs/>
          <w:color w:val="000000" w:themeColor="text1"/>
          <w:sz w:val="26"/>
          <w:szCs w:val="26"/>
        </w:rPr>
        <w:t xml:space="preserve"> hizo una valoración correcta de las pruebas que obran en autos (acta de infracción impugnada), </w:t>
      </w:r>
      <w:r w:rsidR="00BF2233">
        <w:rPr>
          <w:rFonts w:ascii="Arial" w:eastAsia="Calibri" w:hAnsi="Arial" w:cs="Arial"/>
          <w:bCs/>
          <w:color w:val="000000" w:themeColor="text1"/>
          <w:sz w:val="26"/>
          <w:szCs w:val="26"/>
        </w:rPr>
        <w:t xml:space="preserve">la cual </w:t>
      </w:r>
      <w:r w:rsidR="00BF2233" w:rsidRPr="006C2282">
        <w:rPr>
          <w:rFonts w:ascii="Arial" w:eastAsia="Calibri" w:hAnsi="Arial" w:cs="Arial"/>
          <w:bCs/>
          <w:color w:val="000000" w:themeColor="text1"/>
          <w:sz w:val="26"/>
          <w:szCs w:val="26"/>
        </w:rPr>
        <w:t xml:space="preserve">cumple con los requisitos de validez </w:t>
      </w:r>
      <w:r w:rsidR="00AD7C9D">
        <w:rPr>
          <w:rFonts w:ascii="Arial" w:eastAsia="Calibri" w:hAnsi="Arial" w:cs="Arial"/>
          <w:bCs/>
          <w:color w:val="000000" w:themeColor="text1"/>
          <w:sz w:val="26"/>
          <w:szCs w:val="26"/>
        </w:rPr>
        <w:t xml:space="preserve">que debe contener todo acto de autoridad, en términos de lo dispuesto </w:t>
      </w:r>
      <w:r w:rsidR="00BF2233">
        <w:rPr>
          <w:rFonts w:ascii="Arial" w:eastAsia="Calibri" w:hAnsi="Arial" w:cs="Arial"/>
          <w:bCs/>
          <w:color w:val="000000" w:themeColor="text1"/>
          <w:sz w:val="26"/>
          <w:szCs w:val="26"/>
        </w:rPr>
        <w:t>en el artículo</w:t>
      </w:r>
      <w:r w:rsidR="00BF2233" w:rsidRPr="006C2282">
        <w:rPr>
          <w:rFonts w:ascii="Arial" w:eastAsia="Calibri" w:hAnsi="Arial" w:cs="Arial"/>
          <w:bCs/>
          <w:color w:val="000000" w:themeColor="text1"/>
          <w:sz w:val="26"/>
          <w:szCs w:val="26"/>
        </w:rPr>
        <w:t xml:space="preserve"> 17 de la Ley de Procedimiento y Justicia Administrativa para el Estado de Oaxaca.</w:t>
      </w:r>
      <w:r w:rsidR="00753571">
        <w:rPr>
          <w:rFonts w:ascii="Arial" w:eastAsia="Calibri" w:hAnsi="Arial" w:cs="Arial"/>
          <w:bCs/>
          <w:color w:val="000000" w:themeColor="text1"/>
          <w:sz w:val="26"/>
          <w:szCs w:val="26"/>
        </w:rPr>
        <w:t xml:space="preserve"> </w:t>
      </w:r>
      <w:r w:rsidR="00753571">
        <w:rPr>
          <w:rFonts w:ascii="Arial" w:eastAsia="Calibri" w:hAnsi="Arial" w:cs="Arial"/>
          <w:bCs/>
          <w:sz w:val="26"/>
          <w:szCs w:val="26"/>
        </w:rPr>
        <w:t xml:space="preserve">- - - - - - - - - - - - - - - - </w:t>
      </w:r>
    </w:p>
    <w:bookmarkEnd w:id="3"/>
    <w:bookmarkEnd w:id="4"/>
    <w:p w14:paraId="60EE2337" w14:textId="719F33B2" w:rsidR="00B00792" w:rsidRDefault="00EE1D22" w:rsidP="00B00792">
      <w:pPr>
        <w:spacing w:before="120" w:after="0" w:line="360" w:lineRule="auto"/>
        <w:ind w:firstLine="708"/>
        <w:jc w:val="both"/>
        <w:rPr>
          <w:rFonts w:ascii="Arial" w:hAnsi="Arial" w:cs="Arial"/>
          <w:bCs/>
          <w:iCs/>
          <w:sz w:val="26"/>
          <w:szCs w:val="26"/>
          <w:lang w:eastAsia="es-ES"/>
        </w:rPr>
      </w:pPr>
      <w:r w:rsidRPr="00753571">
        <w:rPr>
          <w:rFonts w:ascii="Arial" w:eastAsia="Calibri" w:hAnsi="Arial" w:cs="Arial"/>
          <w:sz w:val="26"/>
          <w:szCs w:val="26"/>
        </w:rPr>
        <w:t>R</w:t>
      </w:r>
      <w:r w:rsidRPr="00E93C71">
        <w:rPr>
          <w:rFonts w:ascii="Arial" w:eastAsia="Calibri" w:hAnsi="Arial" w:cs="Arial"/>
          <w:bCs/>
          <w:sz w:val="26"/>
          <w:szCs w:val="26"/>
        </w:rPr>
        <w:t>esulta</w:t>
      </w:r>
      <w:r w:rsidR="008E2E6D" w:rsidRPr="00E93C71">
        <w:rPr>
          <w:rFonts w:ascii="Arial" w:eastAsia="Calibri" w:hAnsi="Arial" w:cs="Arial"/>
          <w:bCs/>
          <w:sz w:val="26"/>
          <w:szCs w:val="26"/>
        </w:rPr>
        <w:t xml:space="preserve"> </w:t>
      </w:r>
      <w:r w:rsidRPr="00E93C71">
        <w:rPr>
          <w:rFonts w:ascii="Arial" w:eastAsia="Calibri" w:hAnsi="Arial" w:cs="Arial"/>
          <w:b/>
          <w:bCs/>
          <w:sz w:val="26"/>
          <w:szCs w:val="26"/>
        </w:rPr>
        <w:t xml:space="preserve">INFUNDADO </w:t>
      </w:r>
      <w:r w:rsidRPr="00E93C71">
        <w:rPr>
          <w:rFonts w:ascii="Arial" w:eastAsia="Calibri" w:hAnsi="Arial" w:cs="Arial"/>
          <w:bCs/>
          <w:sz w:val="26"/>
          <w:szCs w:val="26"/>
        </w:rPr>
        <w:t>el agravio primero del recurrente</w:t>
      </w:r>
      <w:r w:rsidR="008E2E6D" w:rsidRPr="00E93C71">
        <w:rPr>
          <w:rFonts w:ascii="Arial" w:eastAsia="Calibri" w:hAnsi="Arial" w:cs="Arial"/>
          <w:bCs/>
          <w:sz w:val="26"/>
          <w:szCs w:val="26"/>
        </w:rPr>
        <w:t>,</w:t>
      </w:r>
      <w:r w:rsidR="008E2E6D">
        <w:rPr>
          <w:rFonts w:ascii="Arial" w:eastAsia="Calibri" w:hAnsi="Arial" w:cs="Arial"/>
          <w:b/>
          <w:bCs/>
          <w:sz w:val="26"/>
          <w:szCs w:val="26"/>
        </w:rPr>
        <w:t xml:space="preserve"> </w:t>
      </w:r>
      <w:r w:rsidR="008E2E6D">
        <w:rPr>
          <w:rFonts w:ascii="Arial" w:eastAsia="Calibri" w:hAnsi="Arial" w:cs="Arial"/>
          <w:bCs/>
          <w:sz w:val="26"/>
          <w:szCs w:val="26"/>
        </w:rPr>
        <w:t>porque del</w:t>
      </w:r>
      <w:r w:rsidR="006860F9">
        <w:rPr>
          <w:rFonts w:ascii="Arial" w:eastAsia="Calibri" w:hAnsi="Arial" w:cs="Arial"/>
          <w:sz w:val="26"/>
          <w:szCs w:val="26"/>
        </w:rPr>
        <w:t xml:space="preserve"> </w:t>
      </w:r>
      <w:r w:rsidR="00B00792">
        <w:rPr>
          <w:rFonts w:ascii="Arial" w:eastAsia="Calibri" w:hAnsi="Arial" w:cs="Arial"/>
          <w:bCs/>
          <w:sz w:val="26"/>
          <w:szCs w:val="26"/>
        </w:rPr>
        <w:t xml:space="preserve">análisis de las constancias </w:t>
      </w:r>
      <w:r w:rsidR="00B00792">
        <w:rPr>
          <w:rFonts w:ascii="Arial" w:hAnsi="Arial" w:cs="Arial"/>
          <w:color w:val="000000"/>
          <w:sz w:val="26"/>
          <w:szCs w:val="26"/>
        </w:rPr>
        <w:t xml:space="preserve">que integran el expediente de Primera Instancia remitido para la substanciación del presente recurso, </w:t>
      </w:r>
      <w:r w:rsidR="003B4539">
        <w:rPr>
          <w:rFonts w:ascii="Arial" w:hAnsi="Arial" w:cs="Arial"/>
          <w:color w:val="000000"/>
          <w:sz w:val="26"/>
          <w:szCs w:val="26"/>
        </w:rPr>
        <w:t>con valor probatorio</w:t>
      </w:r>
      <w:r w:rsidR="00B00792">
        <w:rPr>
          <w:rFonts w:ascii="Arial" w:hAnsi="Arial" w:cs="Arial"/>
          <w:color w:val="000000"/>
          <w:sz w:val="26"/>
          <w:szCs w:val="26"/>
        </w:rPr>
        <w:t xml:space="preserve"> pleno, por tratarse de actuaciones procesales, conforme a lo dispuesto por el artículo </w:t>
      </w:r>
      <w:bookmarkStart w:id="6" w:name="_Hlk77171460"/>
      <w:r w:rsidR="00B00792">
        <w:rPr>
          <w:rFonts w:ascii="Arial" w:hAnsi="Arial" w:cs="Arial"/>
          <w:color w:val="000000"/>
          <w:sz w:val="26"/>
          <w:szCs w:val="26"/>
        </w:rPr>
        <w:t>203</w:t>
      </w:r>
      <w:r w:rsidR="003B4539">
        <w:rPr>
          <w:rFonts w:ascii="Arial" w:hAnsi="Arial" w:cs="Arial"/>
          <w:color w:val="000000"/>
          <w:sz w:val="26"/>
          <w:szCs w:val="26"/>
        </w:rPr>
        <w:t>,</w:t>
      </w:r>
      <w:r w:rsidR="00B00792">
        <w:rPr>
          <w:rFonts w:ascii="Arial" w:hAnsi="Arial" w:cs="Arial"/>
          <w:color w:val="000000"/>
          <w:sz w:val="26"/>
          <w:szCs w:val="26"/>
        </w:rPr>
        <w:t xml:space="preserve"> </w:t>
      </w:r>
      <w:r w:rsidR="003B4539" w:rsidRPr="00FB703E">
        <w:rPr>
          <w:rFonts w:ascii="Arial" w:eastAsia="Calibri" w:hAnsi="Arial" w:cs="Arial"/>
          <w:bCs/>
          <w:sz w:val="26"/>
          <w:szCs w:val="26"/>
          <w:lang w:val="es-ES" w:eastAsia="en-US"/>
        </w:rPr>
        <w:t>fracción I</w:t>
      </w:r>
      <w:r w:rsidR="003B4539">
        <w:rPr>
          <w:rStyle w:val="Refdenotaalpie"/>
          <w:rFonts w:ascii="Arial" w:eastAsia="Calibri" w:hAnsi="Arial" w:cs="Arial"/>
          <w:bCs/>
          <w:sz w:val="26"/>
          <w:szCs w:val="26"/>
          <w:lang w:val="es-ES" w:eastAsia="en-US"/>
        </w:rPr>
        <w:footnoteReference w:id="1"/>
      </w:r>
      <w:r w:rsidR="003B4539" w:rsidRPr="00371086">
        <w:rPr>
          <w:rFonts w:ascii="Arial" w:hAnsi="Arial" w:cs="Arial"/>
          <w:bCs/>
          <w:color w:val="000000"/>
          <w:sz w:val="26"/>
          <w:szCs w:val="26"/>
        </w:rPr>
        <w:t xml:space="preserve"> </w:t>
      </w:r>
      <w:r w:rsidR="00B00792">
        <w:rPr>
          <w:rFonts w:ascii="Arial" w:hAnsi="Arial" w:cs="Arial"/>
          <w:color w:val="000000"/>
          <w:sz w:val="26"/>
          <w:szCs w:val="26"/>
        </w:rPr>
        <w:t xml:space="preserve"> de la Ley de Procedimiento y Justicia Administrativa para el Estado de Oaxaca</w:t>
      </w:r>
      <w:bookmarkEnd w:id="6"/>
      <w:r w:rsidR="00B00792">
        <w:rPr>
          <w:rFonts w:ascii="Arial" w:hAnsi="Arial" w:cs="Arial"/>
          <w:color w:val="000000"/>
          <w:sz w:val="26"/>
          <w:szCs w:val="26"/>
        </w:rPr>
        <w:t xml:space="preserve">, se tiene la sentencia de </w:t>
      </w:r>
      <w:r w:rsidR="008D018D">
        <w:rPr>
          <w:rFonts w:ascii="Arial" w:hAnsi="Arial" w:cs="Arial"/>
          <w:bCs/>
          <w:color w:val="000000"/>
          <w:sz w:val="26"/>
          <w:szCs w:val="26"/>
        </w:rPr>
        <w:t xml:space="preserve">veintidós de </w:t>
      </w:r>
      <w:r w:rsidR="00086DC5">
        <w:rPr>
          <w:rFonts w:ascii="Arial" w:hAnsi="Arial" w:cs="Arial"/>
          <w:bCs/>
          <w:color w:val="000000"/>
          <w:sz w:val="26"/>
          <w:szCs w:val="26"/>
        </w:rPr>
        <w:t xml:space="preserve">febrero </w:t>
      </w:r>
      <w:r w:rsidR="008D018D">
        <w:rPr>
          <w:rFonts w:ascii="Arial" w:hAnsi="Arial" w:cs="Arial"/>
          <w:bCs/>
          <w:color w:val="000000"/>
          <w:sz w:val="26"/>
          <w:szCs w:val="26"/>
        </w:rPr>
        <w:t>de dos mil veintidós</w:t>
      </w:r>
      <w:r w:rsidR="00B00792">
        <w:rPr>
          <w:rFonts w:ascii="Arial" w:hAnsi="Arial" w:cs="Arial"/>
          <w:bCs/>
          <w:iCs/>
          <w:sz w:val="26"/>
          <w:szCs w:val="26"/>
          <w:lang w:eastAsia="es-ES"/>
        </w:rPr>
        <w:t xml:space="preserve">, en la que en su considerando </w:t>
      </w:r>
      <w:r w:rsidR="008D018D">
        <w:rPr>
          <w:rFonts w:ascii="Arial" w:hAnsi="Arial" w:cs="Arial"/>
          <w:bCs/>
          <w:iCs/>
          <w:sz w:val="26"/>
          <w:szCs w:val="26"/>
          <w:lang w:eastAsia="es-ES"/>
        </w:rPr>
        <w:t>S</w:t>
      </w:r>
      <w:r w:rsidR="00450460">
        <w:rPr>
          <w:rFonts w:ascii="Arial" w:hAnsi="Arial" w:cs="Arial"/>
          <w:bCs/>
          <w:iCs/>
          <w:sz w:val="26"/>
          <w:szCs w:val="26"/>
          <w:lang w:eastAsia="es-ES"/>
        </w:rPr>
        <w:t>EXTO</w:t>
      </w:r>
      <w:r w:rsidR="00B00792">
        <w:rPr>
          <w:rFonts w:ascii="Arial" w:hAnsi="Arial" w:cs="Arial"/>
          <w:bCs/>
          <w:iCs/>
          <w:sz w:val="26"/>
          <w:szCs w:val="26"/>
          <w:lang w:eastAsia="es-ES"/>
        </w:rPr>
        <w:t xml:space="preserve"> se encuentra la siguiente determinación:</w:t>
      </w:r>
    </w:p>
    <w:p w14:paraId="4DC48877" w14:textId="4BB951DB" w:rsidR="00B00792" w:rsidRPr="00753571" w:rsidRDefault="00B00792" w:rsidP="00753571">
      <w:pPr>
        <w:spacing w:before="120" w:after="0"/>
        <w:ind w:left="851" w:right="900" w:firstLine="567"/>
        <w:jc w:val="both"/>
        <w:rPr>
          <w:rFonts w:ascii="Arial" w:hAnsi="Arial" w:cs="Arial"/>
          <w:i/>
          <w:iCs/>
          <w:lang w:eastAsia="es-ES"/>
        </w:rPr>
      </w:pPr>
      <w:r w:rsidRPr="00753571">
        <w:rPr>
          <w:rFonts w:ascii="Arial" w:hAnsi="Arial" w:cs="Arial"/>
          <w:bCs/>
          <w:i/>
          <w:iCs/>
          <w:lang w:eastAsia="es-ES"/>
        </w:rPr>
        <w:t>“</w:t>
      </w:r>
      <w:r w:rsidR="00450460" w:rsidRPr="00753571">
        <w:rPr>
          <w:rFonts w:ascii="Arial" w:hAnsi="Arial" w:cs="Arial"/>
          <w:b/>
          <w:bCs/>
          <w:i/>
          <w:iCs/>
          <w:lang w:eastAsia="es-ES"/>
        </w:rPr>
        <w:t xml:space="preserve">SEXTO. </w:t>
      </w:r>
      <w:r w:rsidR="00086DC5" w:rsidRPr="00753571">
        <w:rPr>
          <w:rFonts w:ascii="Arial" w:hAnsi="Arial" w:cs="Arial"/>
          <w:b/>
          <w:bCs/>
          <w:i/>
          <w:iCs/>
          <w:lang w:eastAsia="es-ES"/>
        </w:rPr>
        <w:t>ESTUDIO DE FONDO</w:t>
      </w:r>
      <w:r w:rsidR="00450460" w:rsidRPr="00753571">
        <w:rPr>
          <w:rFonts w:ascii="Arial" w:hAnsi="Arial" w:cs="Arial"/>
          <w:b/>
          <w:bCs/>
          <w:i/>
          <w:iCs/>
          <w:lang w:eastAsia="es-ES"/>
        </w:rPr>
        <w:t xml:space="preserve">. </w:t>
      </w:r>
      <w:r w:rsidR="00086DC5" w:rsidRPr="00753571">
        <w:rPr>
          <w:rFonts w:ascii="Arial" w:hAnsi="Arial" w:cs="Arial"/>
          <w:i/>
          <w:iCs/>
          <w:lang w:eastAsia="es-ES"/>
        </w:rPr>
        <w:t>Esta Juzgadora toma en cuenta que la autoridad demandada CÉSAR ANTONIO SANTIAGO GARCÍA, Policía Vial con número estad</w:t>
      </w:r>
      <w:r w:rsidR="004719DD" w:rsidRPr="00753571">
        <w:rPr>
          <w:rFonts w:ascii="Arial" w:hAnsi="Arial" w:cs="Arial"/>
          <w:i/>
          <w:iCs/>
          <w:lang w:eastAsia="es-ES"/>
        </w:rPr>
        <w:t>ístico</w:t>
      </w:r>
      <w:r w:rsidR="00086DC5" w:rsidRPr="00753571">
        <w:rPr>
          <w:rFonts w:ascii="Arial" w:hAnsi="Arial" w:cs="Arial"/>
          <w:i/>
          <w:iCs/>
          <w:lang w:eastAsia="es-ES"/>
        </w:rPr>
        <w:t xml:space="preserve"> 188, de la Subdirección de </w:t>
      </w:r>
      <w:r w:rsidR="004719DD" w:rsidRPr="00753571">
        <w:rPr>
          <w:rFonts w:ascii="Arial" w:hAnsi="Arial" w:cs="Arial"/>
          <w:i/>
          <w:iCs/>
          <w:lang w:eastAsia="es-ES"/>
        </w:rPr>
        <w:t>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1F8614CE" w14:textId="54CB21BF" w:rsidR="004719DD" w:rsidRPr="00753571" w:rsidRDefault="004719DD" w:rsidP="00753571">
      <w:pPr>
        <w:spacing w:before="120" w:after="0"/>
        <w:ind w:left="851" w:right="900" w:firstLine="567"/>
        <w:jc w:val="both"/>
        <w:rPr>
          <w:rFonts w:ascii="Arial" w:hAnsi="Arial" w:cs="Arial"/>
          <w:i/>
          <w:iCs/>
          <w:lang w:eastAsia="es-ES"/>
        </w:rPr>
      </w:pPr>
      <w:r w:rsidRPr="00753571">
        <w:rPr>
          <w:rFonts w:ascii="Arial" w:hAnsi="Arial" w:cs="Arial"/>
          <w:i/>
          <w:iCs/>
          <w:lang w:eastAsia="es-ES"/>
        </w:rPr>
        <w:t>Sin embargo, dicho acto administrativo,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w:t>
      </w:r>
      <w:r w:rsidR="00776EB5" w:rsidRPr="00753571">
        <w:rPr>
          <w:rFonts w:ascii="Arial" w:hAnsi="Arial" w:cs="Arial"/>
          <w:i/>
          <w:iCs/>
          <w:lang w:eastAsia="es-ES"/>
        </w:rPr>
        <w:t>)</w:t>
      </w:r>
      <w:r w:rsidRPr="00753571">
        <w:rPr>
          <w:rFonts w:ascii="Arial" w:hAnsi="Arial" w:cs="Arial"/>
          <w:i/>
          <w:iCs/>
          <w:lang w:eastAsia="es-ES"/>
        </w:rPr>
        <w:t xml:space="preserve">, pues incluso, el formato de </w:t>
      </w:r>
      <w:r w:rsidRPr="00753571">
        <w:rPr>
          <w:rFonts w:ascii="Arial" w:hAnsi="Arial" w:cs="Arial"/>
          <w:i/>
          <w:iCs/>
          <w:lang w:eastAsia="es-ES"/>
        </w:rPr>
        <w:lastRenderedPageBreak/>
        <w:t>infracción contempla dos rubros específicos, uno para la fundamentación y otro para la motivación.</w:t>
      </w:r>
    </w:p>
    <w:p w14:paraId="2DFA2F83" w14:textId="77777777" w:rsidR="00474755" w:rsidRPr="00753571" w:rsidRDefault="004719DD" w:rsidP="00753571">
      <w:pPr>
        <w:spacing w:before="120" w:after="0"/>
        <w:ind w:left="851" w:right="900" w:firstLine="567"/>
        <w:jc w:val="both"/>
        <w:rPr>
          <w:rFonts w:ascii="Arial" w:hAnsi="Arial" w:cs="Arial"/>
          <w:i/>
          <w:iCs/>
          <w:lang w:eastAsia="es-ES"/>
        </w:rPr>
      </w:pPr>
      <w:r w:rsidRPr="00753571">
        <w:rPr>
          <w:rFonts w:ascii="Arial" w:hAnsi="Arial" w:cs="Arial"/>
          <w:i/>
          <w:iCs/>
          <w:lang w:eastAsia="es-ES"/>
        </w:rPr>
        <w:t xml:space="preserve">Por </w:t>
      </w:r>
      <w:r w:rsidRPr="00753571">
        <w:rPr>
          <w:rFonts w:ascii="Arial" w:hAnsi="Arial" w:cs="Arial"/>
          <w:b/>
          <w:bCs/>
          <w:i/>
          <w:iCs/>
          <w:lang w:eastAsia="es-ES"/>
        </w:rPr>
        <w:t xml:space="preserve">fundamentación </w:t>
      </w:r>
      <w:r w:rsidRPr="00753571">
        <w:rPr>
          <w:rFonts w:ascii="Arial" w:hAnsi="Arial" w:cs="Arial"/>
          <w:i/>
          <w:iCs/>
          <w:lang w:eastAsia="es-ES"/>
        </w:rPr>
        <w:t xml:space="preserve"> del acto de autoridad, debe entenderse al precepto legal aplicable al caso concreto, debiendo precisarse el párrafo, la fracción, el inciso o sub-inciso, circunstancia que per</w:t>
      </w:r>
      <w:r w:rsidR="00474755" w:rsidRPr="00753571">
        <w:rPr>
          <w:rFonts w:ascii="Arial" w:hAnsi="Arial" w:cs="Arial"/>
          <w:i/>
          <w:iCs/>
          <w:lang w:eastAsia="es-ES"/>
        </w:rPr>
        <w:t xml:space="preserve">mita al administrado, conocer los preceptos en que la autoridad sustentó su actuar, a fin de poder combatirlos; por </w:t>
      </w:r>
      <w:r w:rsidR="00474755" w:rsidRPr="00753571">
        <w:rPr>
          <w:rFonts w:ascii="Arial" w:hAnsi="Arial" w:cs="Arial"/>
          <w:b/>
          <w:bCs/>
          <w:i/>
          <w:iCs/>
          <w:lang w:eastAsia="es-ES"/>
        </w:rPr>
        <w:t xml:space="preserve">motivación </w:t>
      </w:r>
      <w:r w:rsidR="00474755" w:rsidRPr="00753571">
        <w:rPr>
          <w:rFonts w:ascii="Arial" w:hAnsi="Arial" w:cs="Arial"/>
          <w:i/>
          <w:iCs/>
          <w:lang w:eastAsia="es-ES"/>
        </w:rPr>
        <w:t xml:space="preserve">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474755" w:rsidRPr="00753571">
        <w:rPr>
          <w:rFonts w:ascii="Arial" w:hAnsi="Arial" w:cs="Arial"/>
          <w:b/>
          <w:bCs/>
          <w:i/>
          <w:iCs/>
          <w:lang w:eastAsia="es-ES"/>
        </w:rPr>
        <w:t>configuración de las hipótesis normativas</w:t>
      </w:r>
      <w:r w:rsidR="00474755" w:rsidRPr="00753571">
        <w:rPr>
          <w:rFonts w:ascii="Arial" w:hAnsi="Arial" w:cs="Arial"/>
          <w:i/>
          <w:iCs/>
          <w:lang w:eastAsia="es-ES"/>
        </w:rPr>
        <w:t>.</w:t>
      </w:r>
    </w:p>
    <w:p w14:paraId="547B645B" w14:textId="6AF92657" w:rsidR="004719DD" w:rsidRPr="00753571" w:rsidRDefault="00474755" w:rsidP="00753571">
      <w:pPr>
        <w:spacing w:before="120" w:after="0"/>
        <w:ind w:left="851" w:right="900" w:firstLine="567"/>
        <w:jc w:val="both"/>
        <w:rPr>
          <w:rFonts w:ascii="Arial" w:hAnsi="Arial" w:cs="Arial"/>
          <w:i/>
          <w:iCs/>
          <w:lang w:eastAsia="es-ES"/>
        </w:rPr>
      </w:pPr>
      <w:r w:rsidRPr="00753571">
        <w:rPr>
          <w:rFonts w:ascii="Arial" w:hAnsi="Arial" w:cs="Arial"/>
          <w:i/>
          <w:iCs/>
          <w:lang w:eastAsia="es-ES"/>
        </w:rPr>
        <w:t xml:space="preserve">Para motivar el acta de infracción impugnada, el Policía Vial demandado plasmó: “Artículo 59 fracción I inciso C y D. Por pasarse la luz roja del semáforo, pudo </w:t>
      </w:r>
      <w:proofErr w:type="spellStart"/>
      <w:r w:rsidRPr="00753571">
        <w:rPr>
          <w:rFonts w:ascii="Arial" w:hAnsi="Arial" w:cs="Arial"/>
          <w:i/>
          <w:iCs/>
          <w:lang w:eastAsia="es-ES"/>
        </w:rPr>
        <w:t>probocar</w:t>
      </w:r>
      <w:proofErr w:type="spellEnd"/>
      <w:r w:rsidRPr="00753571">
        <w:rPr>
          <w:rFonts w:ascii="Arial" w:hAnsi="Arial" w:cs="Arial"/>
          <w:i/>
          <w:iCs/>
          <w:lang w:eastAsia="es-ES"/>
        </w:rPr>
        <w:t xml:space="preserve"> (sic) un accidente vial” y demás que en el apartado de FALTAS ADMINISTRATIVAS CONTEMPLADAS EN EL REGLAMENTO DE VIALIDAD PARA EL MUNICIPIO DE OAXACA DE JUAREZ, subrayó “Pasarse la luz roja o ámbar del semáforo. Artículo 59 fracción I, inciso c y d”, el cual dispone:</w:t>
      </w:r>
    </w:p>
    <w:p w14:paraId="306BB778" w14:textId="0961486E" w:rsidR="00B76CA2" w:rsidRPr="00753571" w:rsidRDefault="00C25346" w:rsidP="00753571">
      <w:pPr>
        <w:spacing w:before="120" w:after="0"/>
        <w:ind w:left="1560" w:right="900"/>
        <w:jc w:val="both"/>
        <w:rPr>
          <w:rFonts w:ascii="Arial" w:hAnsi="Arial" w:cs="Arial"/>
          <w:bCs/>
          <w:i/>
          <w:iCs/>
          <w:lang w:eastAsia="es-ES"/>
        </w:rPr>
      </w:pPr>
      <w:r w:rsidRPr="00753571">
        <w:rPr>
          <w:rFonts w:ascii="Arial" w:hAnsi="Arial" w:cs="Arial"/>
          <w:bCs/>
          <w:i/>
          <w:iCs/>
          <w:lang w:eastAsia="es-ES"/>
        </w:rPr>
        <w:t>“</w:t>
      </w:r>
      <w:r w:rsidR="002F0E07" w:rsidRPr="00753571">
        <w:rPr>
          <w:rFonts w:ascii="Arial" w:hAnsi="Arial" w:cs="Arial"/>
          <w:b/>
          <w:i/>
          <w:iCs/>
          <w:lang w:eastAsia="es-ES"/>
        </w:rPr>
        <w:t xml:space="preserve">ARTÍCULO 59.- </w:t>
      </w:r>
      <w:r w:rsidR="002F0E07" w:rsidRPr="00753571">
        <w:rPr>
          <w:rFonts w:ascii="Arial" w:hAnsi="Arial" w:cs="Arial"/>
          <w:bCs/>
          <w:i/>
          <w:iCs/>
          <w:lang w:eastAsia="es-ES"/>
        </w:rPr>
        <w:t>Son obligaciones de los conductores de vehículos automotores para que puedan circular libremente en la jurisdicción del Municipio de Oaxaca de Juárez:</w:t>
      </w:r>
    </w:p>
    <w:p w14:paraId="0B79BE8A" w14:textId="55109C4C" w:rsidR="00C25346" w:rsidRPr="00753571" w:rsidRDefault="002F0E07" w:rsidP="00753571">
      <w:pPr>
        <w:spacing w:after="0"/>
        <w:ind w:left="1560" w:right="900" w:firstLine="567"/>
        <w:jc w:val="both"/>
        <w:rPr>
          <w:rFonts w:ascii="Arial" w:hAnsi="Arial" w:cs="Arial"/>
          <w:i/>
          <w:iCs/>
          <w:lang w:eastAsia="es-ES"/>
        </w:rPr>
      </w:pPr>
      <w:r w:rsidRPr="00753571">
        <w:rPr>
          <w:rFonts w:ascii="Arial" w:hAnsi="Arial" w:cs="Arial"/>
          <w:i/>
          <w:iCs/>
          <w:lang w:eastAsia="es-ES"/>
        </w:rPr>
        <w:t>I. Obedecer las indicaciones de los semáforos para vehículos, de la siguiente manera:</w:t>
      </w:r>
    </w:p>
    <w:p w14:paraId="7948FD73" w14:textId="0BDC8BD3" w:rsidR="002F0E07" w:rsidRPr="00753571" w:rsidRDefault="002F0E07" w:rsidP="00753571">
      <w:pPr>
        <w:spacing w:after="0"/>
        <w:ind w:left="1560" w:right="900" w:firstLine="567"/>
        <w:jc w:val="both"/>
        <w:rPr>
          <w:rFonts w:ascii="Arial" w:hAnsi="Arial" w:cs="Arial"/>
          <w:i/>
          <w:iCs/>
          <w:lang w:eastAsia="es-ES"/>
        </w:rPr>
      </w:pPr>
      <w:r w:rsidRPr="00753571">
        <w:rPr>
          <w:rFonts w:ascii="Arial" w:hAnsi="Arial" w:cs="Arial"/>
          <w:i/>
          <w:iCs/>
          <w:lang w:eastAsia="es-ES"/>
        </w:rPr>
        <w:t>a)….;</w:t>
      </w:r>
    </w:p>
    <w:p w14:paraId="61A949F9" w14:textId="77777777" w:rsidR="002F0E07" w:rsidRPr="00753571" w:rsidRDefault="002F0E07" w:rsidP="00753571">
      <w:pPr>
        <w:spacing w:after="0"/>
        <w:ind w:left="1560" w:right="900" w:firstLine="567"/>
        <w:jc w:val="both"/>
        <w:rPr>
          <w:rFonts w:ascii="Arial" w:hAnsi="Arial" w:cs="Arial"/>
          <w:i/>
          <w:iCs/>
          <w:lang w:eastAsia="es-ES"/>
        </w:rPr>
      </w:pPr>
      <w:r w:rsidRPr="00753571">
        <w:rPr>
          <w:rFonts w:ascii="Arial" w:hAnsi="Arial" w:cs="Arial"/>
          <w:i/>
          <w:iCs/>
          <w:lang w:eastAsia="es-ES"/>
        </w:rPr>
        <w:t>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14:paraId="5FF18C2E" w14:textId="6836BDD5" w:rsidR="00C25346" w:rsidRPr="00753571" w:rsidRDefault="002F0E07" w:rsidP="00753571">
      <w:pPr>
        <w:spacing w:after="0"/>
        <w:ind w:left="1560" w:right="900" w:firstLine="567"/>
        <w:jc w:val="both"/>
        <w:rPr>
          <w:rFonts w:ascii="Arial" w:hAnsi="Arial" w:cs="Arial"/>
          <w:i/>
          <w:iCs/>
          <w:lang w:eastAsia="es-ES"/>
        </w:rPr>
      </w:pPr>
      <w:r w:rsidRPr="00753571">
        <w:rPr>
          <w:rFonts w:ascii="Arial" w:hAnsi="Arial" w:cs="Arial"/>
          <w:i/>
          <w:iCs/>
          <w:lang w:eastAsia="es-ES"/>
        </w:rPr>
        <w:t xml:space="preserve">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w:t>
      </w:r>
      <w:r w:rsidR="00753571" w:rsidRPr="00753571">
        <w:rPr>
          <w:rFonts w:ascii="Arial" w:hAnsi="Arial" w:cs="Arial"/>
          <w:i/>
          <w:iCs/>
          <w:lang w:eastAsia="es-ES"/>
        </w:rPr>
        <w:t>los límites extremos</w:t>
      </w:r>
      <w:r w:rsidRPr="00753571">
        <w:rPr>
          <w:rFonts w:ascii="Arial" w:hAnsi="Arial" w:cs="Arial"/>
          <w:i/>
          <w:iCs/>
          <w:lang w:eastAsia="es-ES"/>
        </w:rPr>
        <w:t xml:space="preserve"> de las banquetas el espacio suficiente para el cruce de peatones;</w:t>
      </w:r>
    </w:p>
    <w:p w14:paraId="302D3FF7" w14:textId="3A9838AC" w:rsidR="00F669C7" w:rsidRPr="00753571" w:rsidRDefault="00C25346" w:rsidP="00753571">
      <w:pPr>
        <w:spacing w:before="120" w:after="0"/>
        <w:ind w:left="851" w:right="616" w:firstLine="567"/>
        <w:jc w:val="both"/>
        <w:rPr>
          <w:rFonts w:ascii="Arial" w:hAnsi="Arial" w:cs="Arial"/>
          <w:bCs/>
          <w:i/>
          <w:iCs/>
          <w:lang w:eastAsia="es-ES"/>
        </w:rPr>
      </w:pPr>
      <w:r w:rsidRPr="00753571">
        <w:rPr>
          <w:rFonts w:ascii="Arial" w:hAnsi="Arial" w:cs="Arial"/>
          <w:bCs/>
          <w:i/>
          <w:iCs/>
          <w:lang w:eastAsia="es-ES"/>
        </w:rPr>
        <w:t xml:space="preserve">De lo </w:t>
      </w:r>
      <w:r w:rsidR="002F0E07" w:rsidRPr="00753571">
        <w:rPr>
          <w:rFonts w:ascii="Arial" w:hAnsi="Arial" w:cs="Arial"/>
          <w:bCs/>
          <w:i/>
          <w:iCs/>
          <w:lang w:eastAsia="es-ES"/>
        </w:rPr>
        <w:t>transcrito</w:t>
      </w:r>
      <w:r w:rsidRPr="00753571">
        <w:rPr>
          <w:rFonts w:ascii="Arial" w:hAnsi="Arial" w:cs="Arial"/>
          <w:bCs/>
          <w:i/>
          <w:iCs/>
          <w:lang w:eastAsia="es-ES"/>
        </w:rPr>
        <w:t xml:space="preserve"> se </w:t>
      </w:r>
      <w:r w:rsidR="002F0E07" w:rsidRPr="00753571">
        <w:rPr>
          <w:rFonts w:ascii="Arial" w:hAnsi="Arial" w:cs="Arial"/>
          <w:bCs/>
          <w:i/>
          <w:iCs/>
          <w:lang w:eastAsia="es-ES"/>
        </w:rPr>
        <w:t>advierte, que si bien es cierto, la porción normativa plasmada en el acta de infracción impugnada por el Policía Vial demandado,</w:t>
      </w:r>
      <w:r w:rsidR="00C80226" w:rsidRPr="00753571">
        <w:rPr>
          <w:rFonts w:ascii="Arial" w:hAnsi="Arial" w:cs="Arial"/>
          <w:bCs/>
          <w:i/>
          <w:iCs/>
          <w:lang w:eastAsia="es-ES"/>
        </w:rPr>
        <w:t xml:space="preserve"> establece las circunstancias para el tránsito de los vehículos y reglas a seguir, obedeciendo las indicaciones de los semáforos, lo cierto es que con la motivación plasmada por el Policía Vial demandado, hace imposible la actualización de la hipótesis normativa, </w:t>
      </w:r>
      <w:bookmarkStart w:id="7" w:name="_Hlk113965517"/>
      <w:r w:rsidR="00C80226" w:rsidRPr="00753571">
        <w:rPr>
          <w:rFonts w:ascii="Arial" w:hAnsi="Arial" w:cs="Arial"/>
          <w:bCs/>
          <w:i/>
          <w:iCs/>
          <w:lang w:eastAsia="es-ES"/>
        </w:rPr>
        <w:t>pues se toma en cuenta que los</w:t>
      </w:r>
      <w:r w:rsidR="00141CA7" w:rsidRPr="00753571">
        <w:rPr>
          <w:rFonts w:ascii="Arial" w:hAnsi="Arial" w:cs="Arial"/>
          <w:bCs/>
          <w:i/>
          <w:iCs/>
          <w:lang w:eastAsia="es-ES"/>
        </w:rPr>
        <w:t xml:space="preserve"> supuestos previstos en los incisos c) y d) de la fracción I del artículo 59 del Reglamento de Vialidad para el Municipio de Oaxaca de Juárez, contienen supuestos diferenciados uno de otro, pues en el primero se advierte la forma en que los conductores deben comportarse ante la luz amarilla del semáforo y en el segundo la forma en que deben de comportarse ante la luz roja del semáforo, circunstancias que no encuadran en la hipótesis </w:t>
      </w:r>
      <w:r w:rsidR="00F669C7" w:rsidRPr="00753571">
        <w:rPr>
          <w:rFonts w:ascii="Arial" w:hAnsi="Arial" w:cs="Arial"/>
          <w:bCs/>
          <w:i/>
          <w:iCs/>
          <w:lang w:eastAsia="es-ES"/>
        </w:rPr>
        <w:t xml:space="preserve">plasmada por el Policía Vial demandado (pasarse la luz roja del semáforo), cuando ese hecho, se advierte contenido en un </w:t>
      </w:r>
      <w:r w:rsidR="00F669C7" w:rsidRPr="00753571">
        <w:rPr>
          <w:rFonts w:ascii="Arial" w:hAnsi="Arial" w:cs="Arial"/>
          <w:bCs/>
          <w:i/>
          <w:iCs/>
          <w:lang w:eastAsia="es-ES"/>
        </w:rPr>
        <w:lastRenderedPageBreak/>
        <w:t xml:space="preserve">artículo diverso del plasmado, como es el numeral 60 fracción XV del Reglamento de Vialidad para el Municipio de Oaxaca de Juárez, Oaxaca, </w:t>
      </w:r>
      <w:bookmarkEnd w:id="7"/>
      <w:r w:rsidR="00F669C7" w:rsidRPr="00753571">
        <w:rPr>
          <w:rFonts w:ascii="Arial" w:hAnsi="Arial" w:cs="Arial"/>
          <w:bCs/>
          <w:i/>
          <w:iCs/>
          <w:lang w:eastAsia="es-ES"/>
        </w:rPr>
        <w:t xml:space="preserve">el cual </w:t>
      </w:r>
      <w:r w:rsidR="00F669C7" w:rsidRPr="00753571">
        <w:rPr>
          <w:rFonts w:ascii="Arial" w:hAnsi="Arial" w:cs="Arial"/>
          <w:bCs/>
          <w:i/>
          <w:iCs/>
          <w:color w:val="000000" w:themeColor="text1"/>
          <w:lang w:eastAsia="es-ES"/>
        </w:rPr>
        <w:t>dispon</w:t>
      </w:r>
      <w:r w:rsidR="00C03F20" w:rsidRPr="00753571">
        <w:rPr>
          <w:rFonts w:ascii="Arial" w:hAnsi="Arial" w:cs="Arial"/>
          <w:bCs/>
          <w:i/>
          <w:iCs/>
          <w:color w:val="000000" w:themeColor="text1"/>
          <w:lang w:eastAsia="es-ES"/>
        </w:rPr>
        <w:t>e</w:t>
      </w:r>
      <w:r w:rsidR="00F669C7" w:rsidRPr="00753571">
        <w:rPr>
          <w:rFonts w:ascii="Arial" w:hAnsi="Arial" w:cs="Arial"/>
          <w:bCs/>
          <w:i/>
          <w:iCs/>
          <w:lang w:eastAsia="es-ES"/>
        </w:rPr>
        <w:t xml:space="preserve"> la prohibición de los conductores, de cruzar las vialidades cuando las luces del semáforo se encuentren en rojo o amarillo, numeral que no fue plasmado en el acta de infracción impugnada, de ahí que se considere que el acta de infracción impugnada, no se encuentra debidamente fundada y motivada.</w:t>
      </w:r>
    </w:p>
    <w:p w14:paraId="6AAAB3BD" w14:textId="62B30E66" w:rsidR="00C15AC2" w:rsidRPr="00753571" w:rsidRDefault="00F669C7" w:rsidP="00753571">
      <w:pPr>
        <w:spacing w:before="120" w:after="0"/>
        <w:ind w:left="851" w:right="616" w:firstLine="567"/>
        <w:jc w:val="both"/>
        <w:rPr>
          <w:rFonts w:ascii="Arial" w:hAnsi="Arial" w:cs="Arial"/>
          <w:bCs/>
          <w:i/>
          <w:iCs/>
          <w:lang w:eastAsia="es-ES"/>
        </w:rPr>
      </w:pPr>
      <w:r w:rsidRPr="00753571">
        <w:rPr>
          <w:rFonts w:ascii="Arial" w:hAnsi="Arial" w:cs="Arial"/>
          <w:bCs/>
          <w:i/>
          <w:iCs/>
          <w:lang w:eastAsia="es-ES"/>
        </w:rPr>
        <w:t>Con tales omisiones, se violentó lo dispuesto en la fracción I</w:t>
      </w:r>
      <w:r w:rsidR="00352A91" w:rsidRPr="00753571">
        <w:rPr>
          <w:rFonts w:ascii="Arial" w:hAnsi="Arial" w:cs="Arial"/>
          <w:bCs/>
          <w:i/>
          <w:iCs/>
          <w:lang w:eastAsia="es-ES"/>
        </w:rPr>
        <w:t>I</w:t>
      </w:r>
      <w:r w:rsidRPr="00753571">
        <w:rPr>
          <w:rFonts w:ascii="Arial" w:hAnsi="Arial" w:cs="Arial"/>
          <w:bCs/>
          <w:i/>
          <w:iCs/>
          <w:lang w:eastAsia="es-ES"/>
        </w:rPr>
        <w:t xml:space="preserve"> de la artículo 16 del Reglamento de Vialidad para el Municipio de Oaxaca de Juárez, el cual dispone “</w:t>
      </w:r>
      <w:r w:rsidRPr="00753571">
        <w:rPr>
          <w:rFonts w:ascii="Arial" w:hAnsi="Arial" w:cs="Arial"/>
          <w:b/>
          <w:i/>
          <w:iCs/>
          <w:lang w:eastAsia="es-ES"/>
        </w:rPr>
        <w:t xml:space="preserve">ARTÍCULO 16.- </w:t>
      </w:r>
      <w:r w:rsidRPr="00753571">
        <w:rPr>
          <w:rFonts w:ascii="Arial" w:hAnsi="Arial" w:cs="Arial"/>
          <w:bCs/>
          <w:i/>
          <w:iCs/>
          <w:lang w:eastAsia="es-ES"/>
        </w:rPr>
        <w:t xml:space="preserve">Independientemente de las obligaciones y atribuciones que contempla el presente Ordenamiento y el Reglamento de la Comisión, son atribuciones y obligaciones de los Policías </w:t>
      </w:r>
      <w:proofErr w:type="spellStart"/>
      <w:r w:rsidR="00753571" w:rsidRPr="00753571">
        <w:rPr>
          <w:rFonts w:ascii="Arial" w:hAnsi="Arial" w:cs="Arial"/>
          <w:bCs/>
          <w:i/>
          <w:iCs/>
          <w:lang w:eastAsia="es-ES"/>
        </w:rPr>
        <w:t>Viales:</w:t>
      </w:r>
      <w:r w:rsidRPr="00753571">
        <w:rPr>
          <w:rFonts w:ascii="Arial" w:hAnsi="Arial" w:cs="Arial"/>
          <w:bCs/>
          <w:i/>
          <w:iCs/>
          <w:lang w:eastAsia="es-ES"/>
        </w:rPr>
        <w:t>II</w:t>
      </w:r>
      <w:proofErr w:type="spellEnd"/>
      <w:r w:rsidRPr="00753571">
        <w:rPr>
          <w:rFonts w:ascii="Arial" w:hAnsi="Arial" w:cs="Arial"/>
          <w:bCs/>
          <w:i/>
          <w:iCs/>
          <w:lang w:eastAsia="es-ES"/>
        </w:rPr>
        <w:t xml:space="preserve">. Formular las actas de infracción cometidas por los conductores que infrinjan el presente Reglamento, </w:t>
      </w:r>
      <w:r w:rsidRPr="00753571">
        <w:rPr>
          <w:rFonts w:ascii="Arial" w:hAnsi="Arial" w:cs="Arial"/>
          <w:b/>
          <w:i/>
          <w:iCs/>
          <w:lang w:eastAsia="es-ES"/>
        </w:rPr>
        <w:t xml:space="preserve">fundándolas y motivándolas correctamente, evitando abreviaturas o signos que impidan la comprensión del </w:t>
      </w:r>
      <w:r w:rsidR="00753571" w:rsidRPr="00753571">
        <w:rPr>
          <w:rFonts w:ascii="Arial" w:hAnsi="Arial" w:cs="Arial"/>
          <w:b/>
          <w:i/>
          <w:iCs/>
          <w:lang w:eastAsia="es-ES"/>
        </w:rPr>
        <w:t>contenido</w:t>
      </w:r>
      <w:r w:rsidR="00753571" w:rsidRPr="00753571">
        <w:rPr>
          <w:rFonts w:ascii="Arial" w:hAnsi="Arial" w:cs="Arial"/>
          <w:bCs/>
          <w:i/>
          <w:iCs/>
          <w:lang w:eastAsia="es-ES"/>
        </w:rPr>
        <w:t>; …</w:t>
      </w:r>
      <w:r w:rsidR="00C15AC2" w:rsidRPr="00753571">
        <w:rPr>
          <w:rFonts w:ascii="Arial" w:hAnsi="Arial" w:cs="Arial"/>
          <w:bCs/>
          <w:i/>
          <w:iCs/>
          <w:lang w:eastAsia="es-ES"/>
        </w:rPr>
        <w:t>”.</w:t>
      </w:r>
    </w:p>
    <w:p w14:paraId="69820F66" w14:textId="77777777" w:rsidR="00C54CF8" w:rsidRPr="00753571" w:rsidRDefault="00C15AC2" w:rsidP="00753571">
      <w:pPr>
        <w:spacing w:before="120" w:after="0"/>
        <w:ind w:left="851" w:right="616" w:firstLine="567"/>
        <w:jc w:val="both"/>
        <w:rPr>
          <w:rFonts w:ascii="Arial" w:hAnsi="Arial" w:cs="Arial"/>
          <w:bCs/>
          <w:i/>
          <w:iCs/>
          <w:lang w:eastAsia="es-ES"/>
        </w:rPr>
      </w:pPr>
      <w:r w:rsidRPr="00753571">
        <w:rPr>
          <w:rFonts w:ascii="Arial" w:hAnsi="Arial" w:cs="Arial"/>
          <w:bCs/>
          <w:i/>
          <w:iCs/>
          <w:lang w:eastAsia="es-ES"/>
        </w:rPr>
        <w:t xml:space="preserve">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el acta impugnada de debida fundamentación y motivación, porque como ya se dijo, las circunstancias que rodearon el hecho, constituyen la base para determinar que efectivamente la parte actora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w:t>
      </w:r>
      <w:r w:rsidR="00C54CF8" w:rsidRPr="00753571">
        <w:rPr>
          <w:rFonts w:ascii="Arial" w:hAnsi="Arial" w:cs="Arial"/>
          <w:bCs/>
          <w:i/>
          <w:iCs/>
          <w:lang w:eastAsia="es-ES"/>
        </w:rPr>
        <w:t>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FUNDAMNETACIÓN Y MOTIVACIÓN, visible en la Jurisprudencia con número de registro 394216, de la Segunda Sala de la Suprema Corte de Justicia de la Nación, en el Tomo VI, Séptima Época, página 175 del apéndice al Semanario Judicial de la Federación y su Gaceta de 1995.</w:t>
      </w:r>
    </w:p>
    <w:p w14:paraId="130912BE" w14:textId="0DC5598B" w:rsidR="00086D53" w:rsidRPr="00753571" w:rsidRDefault="00C54CF8" w:rsidP="00753571">
      <w:pPr>
        <w:spacing w:before="120" w:after="0"/>
        <w:ind w:left="851" w:right="616" w:firstLine="567"/>
        <w:jc w:val="both"/>
        <w:rPr>
          <w:rFonts w:ascii="Arial" w:hAnsi="Arial" w:cs="Arial"/>
          <w:bCs/>
          <w:i/>
          <w:iCs/>
          <w:lang w:eastAsia="es-ES"/>
        </w:rPr>
      </w:pPr>
      <w:r w:rsidRPr="00753571">
        <w:rPr>
          <w:rFonts w:ascii="Arial" w:hAnsi="Arial" w:cs="Arial"/>
          <w:bCs/>
          <w:i/>
          <w:iCs/>
          <w:lang w:eastAsia="es-ES"/>
        </w:rPr>
        <w:t xml:space="preserve">En las relatadas consideraciones, lo procedente es conforme a la fracción II del artículo 208 de la Ley de Procedimiento y Justicia Administrativa para el Estado de Oaxaca, declarar </w:t>
      </w:r>
      <w:r w:rsidRPr="00753571">
        <w:rPr>
          <w:rFonts w:ascii="Arial" w:hAnsi="Arial" w:cs="Arial"/>
          <w:b/>
          <w:i/>
          <w:iCs/>
          <w:lang w:eastAsia="es-ES"/>
        </w:rPr>
        <w:t xml:space="preserve">la NULIDAD del acta de infracción con número de folio </w:t>
      </w:r>
      <w:r w:rsidR="007E1A52">
        <w:rPr>
          <w:rFonts w:ascii="Arial" w:hAnsi="Arial" w:cs="Arial"/>
          <w:b/>
          <w:i/>
          <w:iCs/>
          <w:lang w:eastAsia="es-ES"/>
        </w:rPr>
        <w:t>*******</w:t>
      </w:r>
      <w:r w:rsidRPr="00753571">
        <w:rPr>
          <w:rFonts w:ascii="Arial" w:hAnsi="Arial" w:cs="Arial"/>
          <w:b/>
          <w:i/>
          <w:iCs/>
          <w:lang w:eastAsia="es-ES"/>
        </w:rPr>
        <w:t xml:space="preserve">, de veinte de mayo de dos mil veintiuno (20/05/2021), </w:t>
      </w:r>
      <w:r w:rsidRPr="00753571">
        <w:rPr>
          <w:rFonts w:ascii="Arial" w:hAnsi="Arial" w:cs="Arial"/>
          <w:bCs/>
          <w:i/>
          <w:iCs/>
          <w:lang w:eastAsia="es-ES"/>
        </w:rPr>
        <w:t xml:space="preserve">relacionada al vehículo marca </w:t>
      </w:r>
      <w:r w:rsidR="007E1A52">
        <w:rPr>
          <w:rFonts w:ascii="Arial" w:hAnsi="Arial" w:cs="Arial"/>
          <w:bCs/>
          <w:i/>
          <w:iCs/>
          <w:lang w:eastAsia="es-ES"/>
        </w:rPr>
        <w:t>*******</w:t>
      </w:r>
      <w:r w:rsidRPr="00753571">
        <w:rPr>
          <w:rFonts w:ascii="Arial" w:hAnsi="Arial" w:cs="Arial"/>
          <w:bCs/>
          <w:i/>
          <w:iCs/>
          <w:lang w:eastAsia="es-ES"/>
        </w:rPr>
        <w:t xml:space="preserve">, tipo </w:t>
      </w:r>
      <w:r w:rsidR="007E1A52">
        <w:rPr>
          <w:rFonts w:ascii="Arial" w:hAnsi="Arial" w:cs="Arial"/>
          <w:bCs/>
          <w:i/>
          <w:iCs/>
          <w:lang w:eastAsia="es-ES"/>
        </w:rPr>
        <w:t>*******</w:t>
      </w:r>
      <w:r w:rsidRPr="00753571">
        <w:rPr>
          <w:rFonts w:ascii="Arial" w:hAnsi="Arial" w:cs="Arial"/>
          <w:bCs/>
          <w:i/>
          <w:iCs/>
          <w:lang w:eastAsia="es-ES"/>
        </w:rPr>
        <w:t>, color amarillo, modelo 2016, número económico</w:t>
      </w:r>
      <w:r w:rsidR="007E1A52">
        <w:rPr>
          <w:rFonts w:ascii="Arial" w:hAnsi="Arial" w:cs="Arial"/>
          <w:bCs/>
          <w:i/>
          <w:iCs/>
          <w:lang w:eastAsia="es-ES"/>
        </w:rPr>
        <w:t>*******</w:t>
      </w:r>
      <w:r w:rsidR="008F08D7" w:rsidRPr="00753571">
        <w:rPr>
          <w:rFonts w:ascii="Arial" w:hAnsi="Arial" w:cs="Arial"/>
          <w:bCs/>
          <w:i/>
          <w:iCs/>
          <w:lang w:eastAsia="es-ES"/>
        </w:rPr>
        <w:t xml:space="preserve">, con placas de circulación </w:t>
      </w:r>
      <w:r w:rsidR="007E1A52">
        <w:rPr>
          <w:rFonts w:ascii="Arial" w:hAnsi="Arial" w:cs="Arial"/>
          <w:bCs/>
          <w:i/>
          <w:iCs/>
          <w:lang w:eastAsia="es-ES"/>
        </w:rPr>
        <w:t>*******</w:t>
      </w:r>
      <w:r w:rsidR="008F08D7" w:rsidRPr="00753571">
        <w:rPr>
          <w:rFonts w:ascii="Arial" w:hAnsi="Arial" w:cs="Arial"/>
          <w:bCs/>
          <w:i/>
          <w:iCs/>
          <w:lang w:eastAsia="es-ES"/>
        </w:rPr>
        <w:t xml:space="preserve">, taxi del Sitio </w:t>
      </w:r>
      <w:r w:rsidR="007E1A52">
        <w:rPr>
          <w:rFonts w:ascii="Arial" w:hAnsi="Arial" w:cs="Arial"/>
          <w:bCs/>
          <w:i/>
          <w:iCs/>
          <w:lang w:eastAsia="es-ES"/>
        </w:rPr>
        <w:t>*******</w:t>
      </w:r>
      <w:r w:rsidR="008F08D7" w:rsidRPr="00753571">
        <w:rPr>
          <w:rFonts w:ascii="Arial" w:hAnsi="Arial" w:cs="Arial"/>
          <w:bCs/>
          <w:i/>
          <w:iCs/>
          <w:lang w:eastAsia="es-ES"/>
        </w:rPr>
        <w:t xml:space="preserve">, emitida por CÉSAR ANTONIO SANTIAGO GARCÍA, Policía Vial con número estadístico 188, de la Subdirección de Tránsito y Movilidad de la Dirección de Seguridad Pública, Vialidad y Protección Ciudadana del Municipio de Oaxaca de Juárez; y como consecuencia de ello, se </w:t>
      </w:r>
      <w:r w:rsidR="008F08D7" w:rsidRPr="00753571">
        <w:rPr>
          <w:rFonts w:ascii="Arial" w:hAnsi="Arial" w:cs="Arial"/>
          <w:b/>
          <w:i/>
          <w:iCs/>
          <w:lang w:eastAsia="es-ES"/>
        </w:rPr>
        <w:t xml:space="preserve">ordena </w:t>
      </w:r>
      <w:r w:rsidR="008F08D7" w:rsidRPr="00753571">
        <w:rPr>
          <w:rFonts w:ascii="Arial" w:hAnsi="Arial" w:cs="Arial"/>
          <w:bCs/>
          <w:i/>
          <w:iCs/>
          <w:lang w:eastAsia="es-ES"/>
        </w:rPr>
        <w:t xml:space="preserve">al Policía Vial demandado, realizar las gestiones </w:t>
      </w:r>
      <w:r w:rsidR="008F08D7" w:rsidRPr="00753571">
        <w:rPr>
          <w:rFonts w:ascii="Arial" w:hAnsi="Arial" w:cs="Arial"/>
          <w:bCs/>
          <w:i/>
          <w:iCs/>
          <w:lang w:eastAsia="es-ES"/>
        </w:rPr>
        <w:lastRenderedPageBreak/>
        <w:t xml:space="preserve">necesarias para la </w:t>
      </w:r>
      <w:r w:rsidR="008F08D7" w:rsidRPr="00753571">
        <w:rPr>
          <w:rFonts w:ascii="Arial" w:hAnsi="Arial" w:cs="Arial"/>
          <w:b/>
          <w:i/>
          <w:iCs/>
          <w:lang w:eastAsia="es-ES"/>
        </w:rPr>
        <w:t xml:space="preserve">cancelación del acta de infracción </w:t>
      </w:r>
      <w:r w:rsidR="008F08D7" w:rsidRPr="00753571">
        <w:rPr>
          <w:rFonts w:ascii="Arial" w:hAnsi="Arial" w:cs="Arial"/>
          <w:bCs/>
          <w:i/>
          <w:iCs/>
          <w:lang w:eastAsia="es-ES"/>
        </w:rPr>
        <w:t xml:space="preserve">en el sistema electrónico con que cuenta la Subdirección de Tránsito y Movilidad del Municipio de Oaxaca de Juárez, Oaxaca, lo que la autoridad demandada deberá cumplir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w:t>
      </w:r>
      <w:r w:rsidR="008D250D" w:rsidRPr="00753571">
        <w:rPr>
          <w:rFonts w:ascii="Arial" w:hAnsi="Arial" w:cs="Arial"/>
          <w:bCs/>
          <w:i/>
          <w:iCs/>
          <w:lang w:eastAsia="es-ES"/>
        </w:rPr>
        <w:t xml:space="preserve">para el Estado de Oaxaca; sirve de apoyo a lo anterior, la Jurisprudencia sustentada por la Suprema Corte de Justicia de la Nación, con datos de identificación. Semanario Judicial de la Federación, Volumen 121-126, Sexta </w:t>
      </w:r>
      <w:r w:rsidR="00086D53" w:rsidRPr="00753571">
        <w:rPr>
          <w:rFonts w:ascii="Arial" w:hAnsi="Arial" w:cs="Arial"/>
          <w:bCs/>
          <w:i/>
          <w:iCs/>
          <w:lang w:eastAsia="es-ES"/>
        </w:rPr>
        <w:t>Parte, Séptima época, pág. 280, número de registro 252103, Jurisprudencia (Común), Tribunales Colegiados de Circuito, bajo el rubro “ACTOS VICIADOS, FRUTOS DE.”; y por analogía, la Tesis con datos de identificación: Semanario Judicial de la Federación, Tomo LV, Quinta Época, pág. 2373, número de registro 808818, Tesis Aislada (Común), Tercera Sala, bajo el rubro “SUSPENSIÓN PROVISIONAL, EFECTOS DE LA”.</w:t>
      </w:r>
    </w:p>
    <w:p w14:paraId="691DF1E6" w14:textId="5E20BC7E" w:rsidR="002E338A" w:rsidRPr="00753571" w:rsidRDefault="00086D53" w:rsidP="00753571">
      <w:pPr>
        <w:spacing w:before="120" w:after="0"/>
        <w:ind w:left="851" w:right="616" w:firstLine="567"/>
        <w:jc w:val="both"/>
        <w:rPr>
          <w:rFonts w:ascii="Arial" w:hAnsi="Arial" w:cs="Arial"/>
          <w:bCs/>
          <w:i/>
          <w:iCs/>
          <w:lang w:eastAsia="es-ES"/>
        </w:rPr>
      </w:pPr>
      <w:r w:rsidRPr="00753571">
        <w:rPr>
          <w:rFonts w:ascii="Arial" w:hAnsi="Arial" w:cs="Arial"/>
          <w:bCs/>
          <w:i/>
          <w:iCs/>
          <w:lang w:eastAsia="es-ES"/>
        </w:rPr>
        <w:t xml:space="preserve"> </w:t>
      </w:r>
      <w:r w:rsidR="00451858" w:rsidRPr="00753571">
        <w:rPr>
          <w:rFonts w:ascii="Arial" w:hAnsi="Arial" w:cs="Arial"/>
          <w:bCs/>
          <w:i/>
          <w:iCs/>
          <w:lang w:eastAsia="es-ES"/>
        </w:rPr>
        <w:t xml:space="preserve">[…].”.- - - - - - - - - - - - - - - - - - - - - - - - - - - - - - - - - - - - - - - - - - </w:t>
      </w:r>
    </w:p>
    <w:p w14:paraId="55D93CC6" w14:textId="352860FF" w:rsidR="00797A88" w:rsidRPr="00753571" w:rsidRDefault="00451858" w:rsidP="00753571">
      <w:pPr>
        <w:spacing w:before="120" w:after="0"/>
        <w:ind w:left="851" w:right="616" w:firstLine="283"/>
        <w:jc w:val="both"/>
        <w:rPr>
          <w:rFonts w:ascii="Arial" w:eastAsia="Calibri" w:hAnsi="Arial" w:cs="Arial"/>
          <w:bCs/>
          <w:color w:val="000000" w:themeColor="text1"/>
        </w:rPr>
      </w:pPr>
      <w:r w:rsidRPr="00753571">
        <w:rPr>
          <w:rFonts w:ascii="Arial" w:hAnsi="Arial" w:cs="Arial"/>
          <w:bCs/>
          <w:i/>
          <w:iCs/>
          <w:lang w:eastAsia="es-ES"/>
        </w:rPr>
        <w:t xml:space="preserve"> </w:t>
      </w:r>
      <w:r w:rsidR="005D1E6B" w:rsidRPr="00753571">
        <w:rPr>
          <w:rFonts w:ascii="Arial" w:hAnsi="Arial" w:cs="Arial"/>
          <w:bCs/>
          <w:i/>
          <w:iCs/>
          <w:lang w:eastAsia="es-ES"/>
        </w:rPr>
        <w:t xml:space="preserve"> </w:t>
      </w:r>
    </w:p>
    <w:p w14:paraId="64CFEF98" w14:textId="6120E0B0" w:rsidR="006F19DE" w:rsidRDefault="008E2E6D" w:rsidP="006F19DE">
      <w:pPr>
        <w:spacing w:after="120" w:line="360" w:lineRule="auto"/>
        <w:ind w:firstLine="709"/>
        <w:jc w:val="both"/>
        <w:rPr>
          <w:rFonts w:ascii="Arial" w:eastAsia="Calibri" w:hAnsi="Arial" w:cs="Arial"/>
          <w:bCs/>
          <w:sz w:val="26"/>
          <w:szCs w:val="26"/>
        </w:rPr>
      </w:pPr>
      <w:r>
        <w:rPr>
          <w:rFonts w:ascii="Arial" w:eastAsia="Calibri" w:hAnsi="Arial" w:cs="Arial"/>
          <w:bCs/>
          <w:color w:val="000000" w:themeColor="text1"/>
          <w:sz w:val="26"/>
          <w:szCs w:val="26"/>
        </w:rPr>
        <w:t>Transcripción de la que</w:t>
      </w:r>
      <w:r w:rsidR="006C2282">
        <w:rPr>
          <w:rFonts w:ascii="Arial" w:eastAsia="Calibri" w:hAnsi="Arial" w:cs="Arial"/>
          <w:bCs/>
          <w:color w:val="000000" w:themeColor="text1"/>
          <w:sz w:val="26"/>
          <w:szCs w:val="26"/>
        </w:rPr>
        <w:t xml:space="preserve"> </w:t>
      </w:r>
      <w:r w:rsidR="006C2282">
        <w:rPr>
          <w:rFonts w:ascii="Arial" w:eastAsia="Calibri" w:hAnsi="Arial" w:cs="Arial"/>
          <w:bCs/>
          <w:sz w:val="26"/>
          <w:szCs w:val="26"/>
        </w:rPr>
        <w:t xml:space="preserve">se </w:t>
      </w:r>
      <w:r w:rsidR="00D87462">
        <w:rPr>
          <w:rFonts w:ascii="Arial" w:eastAsia="Calibri" w:hAnsi="Arial" w:cs="Arial"/>
          <w:bCs/>
          <w:sz w:val="26"/>
          <w:szCs w:val="26"/>
        </w:rPr>
        <w:t>advierte</w:t>
      </w:r>
      <w:r w:rsidR="006C2282">
        <w:rPr>
          <w:rFonts w:ascii="Arial" w:eastAsia="Calibri" w:hAnsi="Arial" w:cs="Arial"/>
          <w:bCs/>
          <w:sz w:val="26"/>
          <w:szCs w:val="26"/>
        </w:rPr>
        <w:t xml:space="preserve"> que</w:t>
      </w:r>
      <w:r>
        <w:rPr>
          <w:rFonts w:ascii="Arial" w:eastAsia="Calibri" w:hAnsi="Arial" w:cs="Arial"/>
          <w:bCs/>
          <w:sz w:val="26"/>
          <w:szCs w:val="26"/>
        </w:rPr>
        <w:t>,</w:t>
      </w:r>
      <w:r w:rsidR="006C2282">
        <w:rPr>
          <w:rFonts w:ascii="Arial" w:eastAsia="Calibri" w:hAnsi="Arial" w:cs="Arial"/>
          <w:bCs/>
          <w:sz w:val="26"/>
          <w:szCs w:val="26"/>
        </w:rPr>
        <w:t xml:space="preserve"> la </w:t>
      </w:r>
      <w:r w:rsidR="005240D9">
        <w:rPr>
          <w:rFonts w:ascii="Arial" w:eastAsia="Calibri" w:hAnsi="Arial" w:cs="Arial"/>
          <w:bCs/>
          <w:sz w:val="26"/>
          <w:szCs w:val="26"/>
        </w:rPr>
        <w:t xml:space="preserve">sentencia combatida se encuentra emitida </w:t>
      </w:r>
      <w:r w:rsidR="00856841">
        <w:rPr>
          <w:rFonts w:ascii="Arial" w:eastAsia="Calibri" w:hAnsi="Arial" w:cs="Arial"/>
          <w:bCs/>
          <w:sz w:val="26"/>
          <w:szCs w:val="26"/>
        </w:rPr>
        <w:t>en</w:t>
      </w:r>
      <w:r w:rsidR="005240D9">
        <w:rPr>
          <w:rFonts w:ascii="Arial" w:eastAsia="Calibri" w:hAnsi="Arial" w:cs="Arial"/>
          <w:bCs/>
          <w:sz w:val="26"/>
          <w:szCs w:val="26"/>
        </w:rPr>
        <w:t xml:space="preserve"> forma congruente con el acto impugnado</w:t>
      </w:r>
      <w:r w:rsidR="00BC4EBB">
        <w:rPr>
          <w:rFonts w:ascii="Arial" w:eastAsia="Calibri" w:hAnsi="Arial" w:cs="Arial"/>
          <w:bCs/>
          <w:sz w:val="26"/>
          <w:szCs w:val="26"/>
        </w:rPr>
        <w:t xml:space="preserve"> (acta de infracción)</w:t>
      </w:r>
      <w:r w:rsidR="005240D9">
        <w:rPr>
          <w:rFonts w:ascii="Arial" w:eastAsia="Calibri" w:hAnsi="Arial" w:cs="Arial"/>
          <w:bCs/>
          <w:sz w:val="26"/>
          <w:szCs w:val="26"/>
        </w:rPr>
        <w:t xml:space="preserve">, </w:t>
      </w:r>
      <w:r w:rsidR="005345BC">
        <w:rPr>
          <w:rFonts w:ascii="Arial" w:eastAsia="Calibri" w:hAnsi="Arial" w:cs="Arial"/>
          <w:bCs/>
          <w:sz w:val="26"/>
          <w:szCs w:val="26"/>
        </w:rPr>
        <w:t xml:space="preserve">pues de su contenido se tiene que la Primera Instancia para arribar a la </w:t>
      </w:r>
      <w:r w:rsidR="001005F9">
        <w:rPr>
          <w:rFonts w:ascii="Arial" w:eastAsia="Calibri" w:hAnsi="Arial" w:cs="Arial"/>
          <w:bCs/>
          <w:sz w:val="26"/>
          <w:szCs w:val="26"/>
        </w:rPr>
        <w:t>conclusión</w:t>
      </w:r>
      <w:r w:rsidR="005345BC">
        <w:rPr>
          <w:rFonts w:ascii="Arial" w:eastAsia="Calibri" w:hAnsi="Arial" w:cs="Arial"/>
          <w:bCs/>
          <w:sz w:val="26"/>
          <w:szCs w:val="26"/>
        </w:rPr>
        <w:t xml:space="preserve"> de que el acta de infracción </w:t>
      </w:r>
      <w:r w:rsidR="009168E6">
        <w:rPr>
          <w:rFonts w:ascii="Arial" w:eastAsia="Calibri" w:hAnsi="Arial" w:cs="Arial"/>
          <w:bCs/>
          <w:sz w:val="26"/>
          <w:szCs w:val="26"/>
        </w:rPr>
        <w:t xml:space="preserve">folio </w:t>
      </w:r>
      <w:r w:rsidR="007E1A52">
        <w:rPr>
          <w:rFonts w:ascii="Arial" w:eastAsia="Calibri" w:hAnsi="Arial" w:cs="Arial"/>
          <w:bCs/>
          <w:sz w:val="26"/>
          <w:szCs w:val="26"/>
        </w:rPr>
        <w:t>*******</w:t>
      </w:r>
      <w:r w:rsidR="00391E34" w:rsidRPr="00391E34">
        <w:rPr>
          <w:rFonts w:ascii="Arial" w:eastAsia="Calibri" w:hAnsi="Arial" w:cs="Arial"/>
          <w:bCs/>
          <w:sz w:val="26"/>
          <w:szCs w:val="26"/>
        </w:rPr>
        <w:t xml:space="preserve"> de fecha diecinueve de marzo de dos mil veintiuno,</w:t>
      </w:r>
      <w:r w:rsidR="005345BC">
        <w:rPr>
          <w:rFonts w:ascii="Arial" w:eastAsia="Calibri" w:hAnsi="Arial" w:cs="Arial"/>
          <w:bCs/>
          <w:sz w:val="26"/>
          <w:szCs w:val="26"/>
        </w:rPr>
        <w:t xml:space="preserve"> no se encontraba debidamente </w:t>
      </w:r>
      <w:r w:rsidR="00512C44">
        <w:rPr>
          <w:rFonts w:ascii="Arial" w:eastAsia="Calibri" w:hAnsi="Arial" w:cs="Arial"/>
          <w:bCs/>
          <w:sz w:val="26"/>
          <w:szCs w:val="26"/>
        </w:rPr>
        <w:t>fundada y motivada</w:t>
      </w:r>
      <w:r w:rsidR="005345BC">
        <w:rPr>
          <w:rFonts w:ascii="Arial" w:eastAsia="Calibri" w:hAnsi="Arial" w:cs="Arial"/>
          <w:bCs/>
          <w:sz w:val="26"/>
          <w:szCs w:val="26"/>
        </w:rPr>
        <w:t xml:space="preserve">, realizó </w:t>
      </w:r>
      <w:r w:rsidR="00236828">
        <w:rPr>
          <w:rFonts w:ascii="Arial" w:eastAsia="Calibri" w:hAnsi="Arial" w:cs="Arial"/>
          <w:bCs/>
          <w:sz w:val="26"/>
          <w:szCs w:val="26"/>
        </w:rPr>
        <w:t xml:space="preserve">primeramente </w:t>
      </w:r>
      <w:r w:rsidR="005345BC">
        <w:rPr>
          <w:rFonts w:ascii="Arial" w:eastAsia="Calibri" w:hAnsi="Arial" w:cs="Arial"/>
          <w:bCs/>
          <w:sz w:val="26"/>
          <w:szCs w:val="26"/>
        </w:rPr>
        <w:t xml:space="preserve">una exposición de lo planteado por las partes, así como un análisis detallado del acto impugnado, para </w:t>
      </w:r>
      <w:r w:rsidR="00236828">
        <w:rPr>
          <w:rFonts w:ascii="Arial" w:eastAsia="Calibri" w:hAnsi="Arial" w:cs="Arial"/>
          <w:bCs/>
          <w:sz w:val="26"/>
          <w:szCs w:val="26"/>
        </w:rPr>
        <w:t xml:space="preserve">después </w:t>
      </w:r>
      <w:r w:rsidR="005345BC">
        <w:rPr>
          <w:rFonts w:ascii="Arial" w:eastAsia="Calibri" w:hAnsi="Arial" w:cs="Arial"/>
          <w:bCs/>
          <w:sz w:val="26"/>
          <w:szCs w:val="26"/>
        </w:rPr>
        <w:t xml:space="preserve">proceder a declarar </w:t>
      </w:r>
      <w:r w:rsidR="00460E0C">
        <w:rPr>
          <w:rFonts w:ascii="Arial" w:eastAsia="Calibri" w:hAnsi="Arial" w:cs="Arial"/>
          <w:bCs/>
          <w:sz w:val="26"/>
          <w:szCs w:val="26"/>
        </w:rPr>
        <w:t xml:space="preserve">la </w:t>
      </w:r>
      <w:r w:rsidR="005345BC">
        <w:rPr>
          <w:rFonts w:ascii="Arial" w:eastAsia="Calibri" w:hAnsi="Arial" w:cs="Arial"/>
          <w:bCs/>
          <w:sz w:val="26"/>
          <w:szCs w:val="26"/>
        </w:rPr>
        <w:t xml:space="preserve">nulidad lisa y llana </w:t>
      </w:r>
      <w:r w:rsidR="00460E0C">
        <w:rPr>
          <w:rFonts w:ascii="Arial" w:eastAsia="Calibri" w:hAnsi="Arial" w:cs="Arial"/>
          <w:bCs/>
          <w:sz w:val="26"/>
          <w:szCs w:val="26"/>
        </w:rPr>
        <w:t xml:space="preserve">del acta de infracción </w:t>
      </w:r>
      <w:r w:rsidR="00B07259">
        <w:rPr>
          <w:rFonts w:ascii="Arial" w:eastAsia="Calibri" w:hAnsi="Arial" w:cs="Arial"/>
          <w:bCs/>
          <w:sz w:val="26"/>
          <w:szCs w:val="26"/>
        </w:rPr>
        <w:t>combatida</w:t>
      </w:r>
      <w:r w:rsidR="00460E0C">
        <w:rPr>
          <w:rFonts w:ascii="Arial" w:eastAsia="Calibri" w:hAnsi="Arial" w:cs="Arial"/>
          <w:bCs/>
          <w:sz w:val="26"/>
          <w:szCs w:val="26"/>
        </w:rPr>
        <w:t xml:space="preserve">, </w:t>
      </w:r>
      <w:r w:rsidR="00D87462">
        <w:rPr>
          <w:rFonts w:ascii="Arial" w:eastAsia="Calibri" w:hAnsi="Arial" w:cs="Arial"/>
          <w:bCs/>
          <w:sz w:val="26"/>
          <w:szCs w:val="26"/>
        </w:rPr>
        <w:t>al</w:t>
      </w:r>
      <w:r w:rsidR="000C3F73">
        <w:rPr>
          <w:rFonts w:ascii="Arial" w:eastAsia="Calibri" w:hAnsi="Arial" w:cs="Arial"/>
          <w:bCs/>
          <w:sz w:val="26"/>
          <w:szCs w:val="26"/>
        </w:rPr>
        <w:t xml:space="preserve"> no cumplir con</w:t>
      </w:r>
      <w:r w:rsidR="005345BC">
        <w:rPr>
          <w:rFonts w:ascii="Arial" w:eastAsia="Calibri" w:hAnsi="Arial" w:cs="Arial"/>
          <w:bCs/>
          <w:sz w:val="26"/>
          <w:szCs w:val="26"/>
        </w:rPr>
        <w:t xml:space="preserve"> lo estatuido </w:t>
      </w:r>
      <w:r w:rsidR="006C7CE8">
        <w:rPr>
          <w:rFonts w:ascii="Arial" w:eastAsia="Calibri" w:hAnsi="Arial" w:cs="Arial"/>
          <w:bCs/>
          <w:sz w:val="26"/>
          <w:szCs w:val="26"/>
        </w:rPr>
        <w:t>en</w:t>
      </w:r>
      <w:r w:rsidR="006C7CE8" w:rsidRPr="00E45C02">
        <w:rPr>
          <w:rFonts w:ascii="Arial" w:eastAsia="Calibri" w:hAnsi="Arial" w:cs="Arial"/>
          <w:bCs/>
          <w:sz w:val="26"/>
          <w:szCs w:val="26"/>
        </w:rPr>
        <w:t xml:space="preserve"> l</w:t>
      </w:r>
      <w:r w:rsidR="006C7CE8">
        <w:rPr>
          <w:rFonts w:ascii="Arial" w:eastAsia="Calibri" w:hAnsi="Arial" w:cs="Arial"/>
          <w:bCs/>
          <w:sz w:val="26"/>
          <w:szCs w:val="26"/>
        </w:rPr>
        <w:t xml:space="preserve">a </w:t>
      </w:r>
      <w:r w:rsidR="006C7CE8" w:rsidRPr="007F7867">
        <w:rPr>
          <w:rFonts w:ascii="Arial" w:eastAsia="Calibri" w:hAnsi="Arial" w:cs="Arial"/>
          <w:bCs/>
          <w:color w:val="000000" w:themeColor="text1"/>
          <w:sz w:val="26"/>
          <w:szCs w:val="26"/>
        </w:rPr>
        <w:t>fracción V</w:t>
      </w:r>
      <w:r w:rsidR="006C7CE8">
        <w:rPr>
          <w:rFonts w:ascii="Arial" w:eastAsia="Calibri" w:hAnsi="Arial" w:cs="Arial"/>
          <w:bCs/>
          <w:color w:val="000000" w:themeColor="text1"/>
          <w:sz w:val="26"/>
          <w:szCs w:val="26"/>
        </w:rPr>
        <w:t xml:space="preserve"> del artículo</w:t>
      </w:r>
      <w:r w:rsidR="006C7CE8" w:rsidRPr="007F7867">
        <w:rPr>
          <w:rFonts w:ascii="Arial" w:eastAsia="Calibri" w:hAnsi="Arial" w:cs="Arial"/>
          <w:bCs/>
          <w:color w:val="000000" w:themeColor="text1"/>
          <w:sz w:val="26"/>
          <w:szCs w:val="26"/>
        </w:rPr>
        <w:t xml:space="preserve"> </w:t>
      </w:r>
      <w:r w:rsidR="00802565" w:rsidRPr="007F7867">
        <w:rPr>
          <w:rFonts w:ascii="Arial" w:eastAsia="Calibri" w:hAnsi="Arial" w:cs="Arial"/>
          <w:bCs/>
          <w:color w:val="000000" w:themeColor="text1"/>
          <w:sz w:val="26"/>
          <w:szCs w:val="26"/>
        </w:rPr>
        <w:t>17</w:t>
      </w:r>
      <w:r w:rsidR="00802565" w:rsidRPr="007F7867">
        <w:rPr>
          <w:rFonts w:ascii="Arial" w:eastAsia="Calibri" w:hAnsi="Arial" w:cs="Arial"/>
          <w:bCs/>
          <w:color w:val="000000" w:themeColor="text1"/>
          <w:sz w:val="26"/>
          <w:szCs w:val="26"/>
          <w:vertAlign w:val="superscript"/>
        </w:rPr>
        <w:footnoteReference w:id="2"/>
      </w:r>
      <w:r w:rsidR="00802565" w:rsidRPr="007F7867">
        <w:rPr>
          <w:rFonts w:ascii="Arial" w:eastAsia="Calibri" w:hAnsi="Arial" w:cs="Arial"/>
          <w:bCs/>
          <w:color w:val="000000" w:themeColor="text1"/>
          <w:sz w:val="26"/>
          <w:szCs w:val="26"/>
        </w:rPr>
        <w:t xml:space="preserve"> de la Ley de Procedimiento y Justicia Administrativa para el Estado de Oaxaca</w:t>
      </w:r>
      <w:r w:rsidR="00E45C02">
        <w:rPr>
          <w:rFonts w:ascii="Arial" w:eastAsia="Calibri" w:hAnsi="Arial" w:cs="Arial"/>
          <w:bCs/>
          <w:sz w:val="26"/>
          <w:szCs w:val="26"/>
        </w:rPr>
        <w:t>, esto</w:t>
      </w:r>
      <w:r w:rsidR="006C7CE8">
        <w:rPr>
          <w:rFonts w:ascii="Arial" w:eastAsia="Calibri" w:hAnsi="Arial" w:cs="Arial"/>
          <w:bCs/>
          <w:sz w:val="26"/>
          <w:szCs w:val="26"/>
        </w:rPr>
        <w:t>,</w:t>
      </w:r>
      <w:r w:rsidR="00E45C02">
        <w:rPr>
          <w:rFonts w:ascii="Arial" w:eastAsia="Calibri" w:hAnsi="Arial" w:cs="Arial"/>
          <w:bCs/>
          <w:sz w:val="26"/>
          <w:szCs w:val="26"/>
        </w:rPr>
        <w:t xml:space="preserve"> </w:t>
      </w:r>
      <w:r w:rsidR="00D87462">
        <w:rPr>
          <w:rFonts w:ascii="Arial" w:eastAsia="Calibri" w:hAnsi="Arial" w:cs="Arial"/>
          <w:bCs/>
          <w:sz w:val="26"/>
          <w:szCs w:val="26"/>
        </w:rPr>
        <w:t xml:space="preserve">porque </w:t>
      </w:r>
      <w:r w:rsidR="001542F4">
        <w:rPr>
          <w:rFonts w:ascii="Arial" w:eastAsia="Calibri" w:hAnsi="Arial" w:cs="Arial"/>
          <w:bCs/>
          <w:sz w:val="26"/>
          <w:szCs w:val="26"/>
        </w:rPr>
        <w:t>la hipótesis que plasmó el</w:t>
      </w:r>
      <w:r w:rsidR="000C3F73">
        <w:rPr>
          <w:rFonts w:ascii="Arial" w:eastAsia="Calibri" w:hAnsi="Arial" w:cs="Arial"/>
          <w:bCs/>
          <w:sz w:val="26"/>
          <w:szCs w:val="26"/>
        </w:rPr>
        <w:t xml:space="preserve"> </w:t>
      </w:r>
      <w:r w:rsidR="00972AC0" w:rsidRPr="00972AC0">
        <w:rPr>
          <w:rFonts w:ascii="Arial" w:eastAsia="Calibri" w:hAnsi="Arial" w:cs="Arial"/>
          <w:b/>
          <w:bCs/>
          <w:sz w:val="26"/>
          <w:szCs w:val="26"/>
        </w:rPr>
        <w:t xml:space="preserve">Policía Vial con número estadístico </w:t>
      </w:r>
      <w:r w:rsidR="000C3F73" w:rsidRPr="00972AC0">
        <w:rPr>
          <w:rFonts w:ascii="Arial" w:eastAsia="Calibri" w:hAnsi="Arial" w:cs="Arial"/>
          <w:b/>
          <w:bCs/>
          <w:sz w:val="26"/>
          <w:szCs w:val="26"/>
        </w:rPr>
        <w:t>PV-</w:t>
      </w:r>
      <w:r w:rsidR="00CD3023">
        <w:rPr>
          <w:rFonts w:ascii="Arial" w:eastAsia="Calibri" w:hAnsi="Arial" w:cs="Arial"/>
          <w:b/>
          <w:bCs/>
          <w:sz w:val="26"/>
          <w:szCs w:val="26"/>
        </w:rPr>
        <w:t>1</w:t>
      </w:r>
      <w:r w:rsidR="00391E34">
        <w:rPr>
          <w:rFonts w:ascii="Arial" w:eastAsia="Calibri" w:hAnsi="Arial" w:cs="Arial"/>
          <w:b/>
          <w:bCs/>
          <w:sz w:val="26"/>
          <w:szCs w:val="26"/>
        </w:rPr>
        <w:t>8</w:t>
      </w:r>
      <w:r w:rsidR="00383A00">
        <w:rPr>
          <w:rFonts w:ascii="Arial" w:eastAsia="Calibri" w:hAnsi="Arial" w:cs="Arial"/>
          <w:b/>
          <w:bCs/>
          <w:sz w:val="26"/>
          <w:szCs w:val="26"/>
        </w:rPr>
        <w:t>8</w:t>
      </w:r>
      <w:r w:rsidR="001542F4">
        <w:rPr>
          <w:rFonts w:ascii="Arial" w:eastAsia="Calibri" w:hAnsi="Arial" w:cs="Arial"/>
          <w:bCs/>
          <w:sz w:val="26"/>
          <w:szCs w:val="26"/>
        </w:rPr>
        <w:t xml:space="preserve"> </w:t>
      </w:r>
      <w:r w:rsidR="00C37DE4">
        <w:rPr>
          <w:rFonts w:ascii="Arial" w:eastAsia="Calibri" w:hAnsi="Arial" w:cs="Arial"/>
          <w:bCs/>
          <w:sz w:val="26"/>
          <w:szCs w:val="26"/>
        </w:rPr>
        <w:t xml:space="preserve">en el acto impugnado, </w:t>
      </w:r>
      <w:r w:rsidR="00C37DE4" w:rsidRPr="00C37DE4">
        <w:rPr>
          <w:rFonts w:ascii="Arial" w:eastAsia="Calibri" w:hAnsi="Arial" w:cs="Arial"/>
          <w:bCs/>
          <w:sz w:val="26"/>
          <w:szCs w:val="26"/>
        </w:rPr>
        <w:t>consistente en pasarse la luz roja del semáforo</w:t>
      </w:r>
      <w:r w:rsidR="001542F4">
        <w:rPr>
          <w:rFonts w:ascii="Arial" w:eastAsia="Calibri" w:hAnsi="Arial" w:cs="Arial"/>
          <w:bCs/>
          <w:sz w:val="26"/>
          <w:szCs w:val="26"/>
        </w:rPr>
        <w:t>, no encuadra</w:t>
      </w:r>
      <w:r w:rsidR="00C4205B">
        <w:rPr>
          <w:rFonts w:ascii="Arial" w:eastAsia="Calibri" w:hAnsi="Arial" w:cs="Arial"/>
          <w:bCs/>
          <w:sz w:val="26"/>
          <w:szCs w:val="26"/>
        </w:rPr>
        <w:t xml:space="preserve"> en el artículo </w:t>
      </w:r>
      <w:r w:rsidR="001542F4">
        <w:rPr>
          <w:rFonts w:ascii="Arial" w:eastAsia="Calibri" w:hAnsi="Arial" w:cs="Arial"/>
          <w:bCs/>
          <w:sz w:val="26"/>
          <w:szCs w:val="26"/>
        </w:rPr>
        <w:t xml:space="preserve"> </w:t>
      </w:r>
      <w:r w:rsidR="00C37DE4">
        <w:rPr>
          <w:rFonts w:ascii="Arial" w:eastAsia="Calibri" w:hAnsi="Arial" w:cs="Arial"/>
          <w:bCs/>
          <w:sz w:val="26"/>
          <w:szCs w:val="26"/>
        </w:rPr>
        <w:t xml:space="preserve">59, fracción I, inciso c y d, </w:t>
      </w:r>
      <w:r w:rsidR="00352A91" w:rsidRPr="00352A91">
        <w:rPr>
          <w:rFonts w:ascii="Arial" w:eastAsia="Calibri" w:hAnsi="Arial" w:cs="Arial"/>
          <w:bCs/>
          <w:sz w:val="26"/>
          <w:szCs w:val="26"/>
        </w:rPr>
        <w:t>del Reglamento de Vialidad para el Municipio de Oaxaca de Juárez,</w:t>
      </w:r>
      <w:r w:rsidR="0022444B">
        <w:rPr>
          <w:rFonts w:ascii="Arial" w:eastAsia="Calibri" w:hAnsi="Arial" w:cs="Arial"/>
          <w:bCs/>
          <w:sz w:val="26"/>
          <w:szCs w:val="26"/>
        </w:rPr>
        <w:t xml:space="preserve"> Oaxaca</w:t>
      </w:r>
      <w:r w:rsidR="00601EE1">
        <w:rPr>
          <w:rFonts w:ascii="Arial" w:eastAsia="Calibri" w:hAnsi="Arial" w:cs="Arial"/>
          <w:bCs/>
          <w:sz w:val="26"/>
          <w:szCs w:val="26"/>
        </w:rPr>
        <w:t>,</w:t>
      </w:r>
      <w:r w:rsidR="00352A91" w:rsidRPr="00352A91">
        <w:rPr>
          <w:rFonts w:ascii="Arial" w:eastAsia="Calibri" w:hAnsi="Arial" w:cs="Arial"/>
          <w:bCs/>
          <w:sz w:val="26"/>
          <w:szCs w:val="26"/>
        </w:rPr>
        <w:t xml:space="preserve"> </w:t>
      </w:r>
      <w:r w:rsidR="00C37DE4">
        <w:rPr>
          <w:rFonts w:ascii="Arial" w:eastAsia="Calibri" w:hAnsi="Arial" w:cs="Arial"/>
          <w:bCs/>
          <w:sz w:val="26"/>
          <w:szCs w:val="26"/>
        </w:rPr>
        <w:t xml:space="preserve">que </w:t>
      </w:r>
      <w:r w:rsidR="0022444B">
        <w:rPr>
          <w:rFonts w:ascii="Arial" w:eastAsia="Calibri" w:hAnsi="Arial" w:cs="Arial"/>
          <w:bCs/>
          <w:sz w:val="26"/>
          <w:szCs w:val="26"/>
        </w:rPr>
        <w:t>señaló</w:t>
      </w:r>
      <w:r w:rsidR="00C37DE4">
        <w:rPr>
          <w:rFonts w:ascii="Arial" w:eastAsia="Calibri" w:hAnsi="Arial" w:cs="Arial"/>
          <w:bCs/>
          <w:sz w:val="26"/>
          <w:szCs w:val="26"/>
        </w:rPr>
        <w:t xml:space="preserve"> como</w:t>
      </w:r>
      <w:r w:rsidR="00A26FD9">
        <w:rPr>
          <w:rFonts w:ascii="Arial" w:eastAsia="Calibri" w:hAnsi="Arial" w:cs="Arial"/>
          <w:bCs/>
          <w:sz w:val="26"/>
          <w:szCs w:val="26"/>
        </w:rPr>
        <w:t xml:space="preserve"> fundamento de su actuar, siendo que dicha hipótesis se encuentra plasmada en el artículo </w:t>
      </w:r>
      <w:r w:rsidR="00352A91" w:rsidRPr="00352A91">
        <w:rPr>
          <w:rFonts w:ascii="Arial" w:eastAsia="Calibri" w:hAnsi="Arial" w:cs="Arial"/>
          <w:bCs/>
          <w:sz w:val="26"/>
          <w:szCs w:val="26"/>
        </w:rPr>
        <w:t>60 fracción XV del Reglamento de Vialidad para el Municipio de Oaxaca de Juárez, Oaxaca,</w:t>
      </w:r>
      <w:r w:rsidR="0076509A">
        <w:rPr>
          <w:rFonts w:ascii="Arial" w:eastAsia="Calibri" w:hAnsi="Arial" w:cs="Arial"/>
          <w:bCs/>
          <w:sz w:val="26"/>
          <w:szCs w:val="26"/>
        </w:rPr>
        <w:t xml:space="preserve"> el cual no fue </w:t>
      </w:r>
      <w:r w:rsidR="0076509A" w:rsidRPr="0076509A">
        <w:rPr>
          <w:rFonts w:ascii="Arial" w:eastAsia="Calibri" w:hAnsi="Arial" w:cs="Arial"/>
          <w:bCs/>
          <w:sz w:val="26"/>
          <w:szCs w:val="26"/>
        </w:rPr>
        <w:t>plasmad</w:t>
      </w:r>
      <w:r w:rsidR="0076509A">
        <w:rPr>
          <w:rFonts w:ascii="Arial" w:eastAsia="Calibri" w:hAnsi="Arial" w:cs="Arial"/>
          <w:bCs/>
          <w:sz w:val="26"/>
          <w:szCs w:val="26"/>
        </w:rPr>
        <w:t>o</w:t>
      </w:r>
      <w:r w:rsidR="0076509A" w:rsidRPr="0076509A">
        <w:rPr>
          <w:rFonts w:ascii="Arial" w:eastAsia="Calibri" w:hAnsi="Arial" w:cs="Arial"/>
          <w:bCs/>
          <w:sz w:val="26"/>
          <w:szCs w:val="26"/>
        </w:rPr>
        <w:t xml:space="preserve"> en el acta de infracción impugnada, </w:t>
      </w:r>
      <w:r w:rsidR="006F19DE">
        <w:rPr>
          <w:rFonts w:ascii="Arial" w:eastAsia="Calibri" w:hAnsi="Arial" w:cs="Arial"/>
          <w:bCs/>
          <w:sz w:val="26"/>
          <w:szCs w:val="26"/>
        </w:rPr>
        <w:t>por lo que considero que</w:t>
      </w:r>
      <w:r w:rsidR="006F19DE" w:rsidRPr="0076509A">
        <w:rPr>
          <w:rFonts w:ascii="Arial" w:eastAsia="Calibri" w:hAnsi="Arial" w:cs="Arial"/>
          <w:bCs/>
          <w:sz w:val="26"/>
          <w:szCs w:val="26"/>
        </w:rPr>
        <w:t xml:space="preserve"> </w:t>
      </w:r>
      <w:r w:rsidR="006F19DE" w:rsidRPr="0076509A">
        <w:rPr>
          <w:rFonts w:ascii="Arial" w:eastAsia="Calibri" w:hAnsi="Arial" w:cs="Arial"/>
          <w:bCs/>
          <w:sz w:val="26"/>
          <w:szCs w:val="26"/>
        </w:rPr>
        <w:lastRenderedPageBreak/>
        <w:t>el acta de infracción impugnada</w:t>
      </w:r>
      <w:r w:rsidR="006F19DE">
        <w:rPr>
          <w:rFonts w:ascii="Arial" w:eastAsia="Calibri" w:hAnsi="Arial" w:cs="Arial"/>
          <w:bCs/>
          <w:sz w:val="26"/>
          <w:szCs w:val="26"/>
        </w:rPr>
        <w:t xml:space="preserve"> </w:t>
      </w:r>
      <w:r w:rsidR="006F19DE" w:rsidRPr="0076509A">
        <w:rPr>
          <w:rFonts w:ascii="Arial" w:eastAsia="Calibri" w:hAnsi="Arial" w:cs="Arial"/>
          <w:bCs/>
          <w:sz w:val="26"/>
          <w:szCs w:val="26"/>
        </w:rPr>
        <w:t xml:space="preserve">no se encuentra debidamente </w:t>
      </w:r>
      <w:r w:rsidR="006F19DE">
        <w:rPr>
          <w:rFonts w:ascii="Arial" w:eastAsia="Calibri" w:hAnsi="Arial" w:cs="Arial"/>
          <w:bCs/>
          <w:sz w:val="26"/>
          <w:szCs w:val="26"/>
        </w:rPr>
        <w:t>fundada y motivada.</w:t>
      </w:r>
      <w:r w:rsidR="00753571">
        <w:rPr>
          <w:rFonts w:ascii="Arial" w:eastAsia="Calibri" w:hAnsi="Arial" w:cs="Arial"/>
          <w:bCs/>
          <w:sz w:val="26"/>
          <w:szCs w:val="26"/>
        </w:rPr>
        <w:t xml:space="preserve"> - - - - - - - - - - - - - - - - - - - - - - - - - - - - - - - - - - - - - - - - - - - </w:t>
      </w:r>
    </w:p>
    <w:p w14:paraId="1E45B36B" w14:textId="4558A008" w:rsidR="00900B5A" w:rsidRDefault="00802565" w:rsidP="006F19DE">
      <w:pPr>
        <w:spacing w:after="120" w:line="360" w:lineRule="auto"/>
        <w:ind w:firstLine="709"/>
        <w:jc w:val="both"/>
        <w:rPr>
          <w:rFonts w:ascii="Arial" w:hAnsi="Arial" w:cs="Arial"/>
          <w:bCs/>
          <w:sz w:val="26"/>
          <w:szCs w:val="26"/>
          <w:lang w:eastAsia="es-ES"/>
        </w:rPr>
      </w:pPr>
      <w:r>
        <w:rPr>
          <w:rFonts w:ascii="Arial" w:eastAsia="Calibri" w:hAnsi="Arial" w:cs="Arial"/>
          <w:bCs/>
          <w:sz w:val="26"/>
          <w:szCs w:val="26"/>
        </w:rPr>
        <w:t>Por tanto</w:t>
      </w:r>
      <w:r w:rsidRPr="00063F30">
        <w:rPr>
          <w:rFonts w:ascii="Arial" w:eastAsia="Calibri" w:hAnsi="Arial" w:cs="Arial"/>
          <w:bCs/>
          <w:sz w:val="26"/>
          <w:szCs w:val="26"/>
        </w:rPr>
        <w:t>, la afirmación de</w:t>
      </w:r>
      <w:r>
        <w:rPr>
          <w:rFonts w:ascii="Arial" w:eastAsia="Calibri" w:hAnsi="Arial" w:cs="Arial"/>
          <w:bCs/>
          <w:sz w:val="26"/>
          <w:szCs w:val="26"/>
        </w:rPr>
        <w:t>l</w:t>
      </w:r>
      <w:r w:rsidRPr="00063F30">
        <w:rPr>
          <w:rFonts w:ascii="Arial" w:eastAsia="Calibri" w:hAnsi="Arial" w:cs="Arial"/>
          <w:bCs/>
          <w:sz w:val="26"/>
          <w:szCs w:val="26"/>
        </w:rPr>
        <w:t xml:space="preserve"> inconforme </w:t>
      </w:r>
      <w:r w:rsidR="00E93C71">
        <w:rPr>
          <w:rFonts w:ascii="Arial" w:eastAsia="Calibri" w:hAnsi="Arial" w:cs="Arial"/>
          <w:bCs/>
          <w:sz w:val="26"/>
          <w:szCs w:val="26"/>
        </w:rPr>
        <w:t>de que</w:t>
      </w:r>
      <w:r w:rsidRPr="00063F30">
        <w:rPr>
          <w:rFonts w:ascii="Arial" w:eastAsia="Calibri" w:hAnsi="Arial" w:cs="Arial"/>
          <w:bCs/>
          <w:sz w:val="26"/>
          <w:szCs w:val="26"/>
        </w:rPr>
        <w:t xml:space="preserve"> la Primera Instancia no hizo una valoración correcta del acta de infracción,</w:t>
      </w:r>
      <w:r>
        <w:rPr>
          <w:rFonts w:ascii="Arial" w:eastAsia="Calibri" w:hAnsi="Arial" w:cs="Arial"/>
          <w:bCs/>
          <w:sz w:val="26"/>
          <w:szCs w:val="26"/>
        </w:rPr>
        <w:t xml:space="preserve"> </w:t>
      </w:r>
      <w:r w:rsidRPr="00063F30">
        <w:rPr>
          <w:rFonts w:ascii="Arial" w:eastAsia="Calibri" w:hAnsi="Arial" w:cs="Arial"/>
          <w:bCs/>
          <w:sz w:val="26"/>
          <w:szCs w:val="26"/>
        </w:rPr>
        <w:t xml:space="preserve">resulta </w:t>
      </w:r>
      <w:r w:rsidRPr="00AF79B5">
        <w:rPr>
          <w:rFonts w:ascii="Arial" w:eastAsia="Calibri" w:hAnsi="Arial" w:cs="Arial"/>
          <w:bCs/>
          <w:sz w:val="26"/>
          <w:szCs w:val="26"/>
        </w:rPr>
        <w:t>equivocada</w:t>
      </w:r>
      <w:r w:rsidRPr="00063F30">
        <w:rPr>
          <w:rFonts w:ascii="Arial" w:eastAsia="Calibri" w:hAnsi="Arial" w:cs="Arial"/>
          <w:bCs/>
          <w:sz w:val="26"/>
          <w:szCs w:val="26"/>
        </w:rPr>
        <w:t>, porque la determinación de</w:t>
      </w:r>
      <w:r>
        <w:rPr>
          <w:rFonts w:ascii="Arial" w:eastAsia="Calibri" w:hAnsi="Arial" w:cs="Arial"/>
          <w:bCs/>
          <w:sz w:val="26"/>
          <w:szCs w:val="26"/>
        </w:rPr>
        <w:t xml:space="preserve"> </w:t>
      </w:r>
      <w:r w:rsidRPr="00063F30">
        <w:rPr>
          <w:rFonts w:ascii="Arial" w:eastAsia="Calibri" w:hAnsi="Arial" w:cs="Arial"/>
          <w:bCs/>
          <w:sz w:val="26"/>
          <w:szCs w:val="26"/>
        </w:rPr>
        <w:t>l</w:t>
      </w:r>
      <w:r>
        <w:rPr>
          <w:rFonts w:ascii="Arial" w:eastAsia="Calibri" w:hAnsi="Arial" w:cs="Arial"/>
          <w:bCs/>
          <w:sz w:val="26"/>
          <w:szCs w:val="26"/>
        </w:rPr>
        <w:t>a</w:t>
      </w:r>
      <w:r w:rsidRPr="00063F30">
        <w:rPr>
          <w:rFonts w:ascii="Arial" w:eastAsia="Calibri" w:hAnsi="Arial" w:cs="Arial"/>
          <w:bCs/>
          <w:sz w:val="26"/>
          <w:szCs w:val="26"/>
        </w:rPr>
        <w:t xml:space="preserve"> A quo, se basó precisamente en el análisis y valoración que realizó del acta de infracción </w:t>
      </w:r>
      <w:r>
        <w:rPr>
          <w:rFonts w:ascii="Arial" w:eastAsia="Calibri" w:hAnsi="Arial" w:cs="Arial"/>
          <w:bCs/>
          <w:sz w:val="26"/>
          <w:szCs w:val="26"/>
        </w:rPr>
        <w:t xml:space="preserve">folio </w:t>
      </w:r>
      <w:r w:rsidR="007E1A52">
        <w:rPr>
          <w:rFonts w:ascii="Arial" w:eastAsia="Calibri" w:hAnsi="Arial" w:cs="Arial"/>
          <w:bCs/>
          <w:sz w:val="26"/>
          <w:szCs w:val="26"/>
        </w:rPr>
        <w:t>*******</w:t>
      </w:r>
      <w:r w:rsidR="00B07259" w:rsidRPr="00391E34">
        <w:rPr>
          <w:rFonts w:ascii="Arial" w:eastAsia="Calibri" w:hAnsi="Arial" w:cs="Arial"/>
          <w:bCs/>
          <w:sz w:val="26"/>
          <w:szCs w:val="26"/>
        </w:rPr>
        <w:t xml:space="preserve"> de fecha </w:t>
      </w:r>
      <w:r w:rsidR="00601EE1">
        <w:rPr>
          <w:rFonts w:ascii="Arial" w:eastAsia="Calibri" w:hAnsi="Arial" w:cs="Arial"/>
          <w:bCs/>
          <w:sz w:val="26"/>
          <w:szCs w:val="26"/>
        </w:rPr>
        <w:t>veinte</w:t>
      </w:r>
      <w:r w:rsidR="00612598">
        <w:rPr>
          <w:rFonts w:ascii="Arial" w:eastAsia="Calibri" w:hAnsi="Arial" w:cs="Arial"/>
          <w:bCs/>
          <w:sz w:val="26"/>
          <w:szCs w:val="26"/>
        </w:rPr>
        <w:t xml:space="preserve"> de mayo de dos mil veintiuno</w:t>
      </w:r>
      <w:r>
        <w:rPr>
          <w:rFonts w:ascii="Arial" w:hAnsi="Arial" w:cs="Arial"/>
          <w:bCs/>
          <w:sz w:val="26"/>
          <w:szCs w:val="26"/>
          <w:lang w:eastAsia="es-ES"/>
        </w:rPr>
        <w:t>.</w:t>
      </w:r>
      <w:r w:rsidR="00753571">
        <w:rPr>
          <w:rFonts w:ascii="Arial" w:hAnsi="Arial" w:cs="Arial"/>
          <w:bCs/>
          <w:sz w:val="26"/>
          <w:szCs w:val="26"/>
          <w:lang w:eastAsia="es-ES"/>
        </w:rPr>
        <w:t>-</w:t>
      </w:r>
      <w:r w:rsidR="007E1A52">
        <w:rPr>
          <w:rFonts w:ascii="Arial" w:hAnsi="Arial" w:cs="Arial"/>
          <w:bCs/>
          <w:sz w:val="26"/>
          <w:szCs w:val="26"/>
          <w:lang w:eastAsia="es-ES"/>
        </w:rPr>
        <w:t xml:space="preserve"> - - </w:t>
      </w:r>
    </w:p>
    <w:p w14:paraId="482A7444" w14:textId="15E291C1" w:rsidR="00900B5A" w:rsidRPr="00E93C71" w:rsidRDefault="00900B5A" w:rsidP="00BD1174">
      <w:pPr>
        <w:spacing w:before="120" w:after="0" w:line="360" w:lineRule="auto"/>
        <w:ind w:firstLine="567"/>
        <w:jc w:val="both"/>
        <w:rPr>
          <w:rFonts w:ascii="Arial" w:hAnsi="Arial" w:cs="Arial"/>
          <w:bCs/>
          <w:sz w:val="26"/>
          <w:szCs w:val="26"/>
          <w:lang w:eastAsia="es-ES"/>
        </w:rPr>
      </w:pPr>
      <w:r w:rsidRPr="00E93C71">
        <w:rPr>
          <w:rFonts w:ascii="Arial" w:eastAsia="Calibri" w:hAnsi="Arial" w:cs="Arial"/>
          <w:bCs/>
          <w:color w:val="000000" w:themeColor="text1"/>
          <w:sz w:val="26"/>
          <w:szCs w:val="26"/>
        </w:rPr>
        <w:t xml:space="preserve">En el </w:t>
      </w:r>
      <w:r w:rsidRPr="00E93C71">
        <w:rPr>
          <w:rFonts w:ascii="Arial" w:eastAsia="Calibri" w:hAnsi="Arial" w:cs="Arial"/>
          <w:b/>
          <w:color w:val="000000" w:themeColor="text1"/>
          <w:sz w:val="26"/>
          <w:szCs w:val="26"/>
        </w:rPr>
        <w:t>agravio segundo</w:t>
      </w:r>
      <w:r w:rsidRPr="00E93C71">
        <w:rPr>
          <w:rFonts w:ascii="Arial" w:eastAsia="Calibri" w:hAnsi="Arial" w:cs="Arial"/>
          <w:bCs/>
          <w:color w:val="000000" w:themeColor="text1"/>
          <w:sz w:val="26"/>
          <w:szCs w:val="26"/>
        </w:rPr>
        <w:t xml:space="preserve"> señala el recurrente</w:t>
      </w:r>
      <w:r w:rsidR="00B54C4D" w:rsidRPr="00E93C71">
        <w:rPr>
          <w:rFonts w:ascii="Arial" w:eastAsia="Calibri" w:hAnsi="Arial" w:cs="Arial"/>
          <w:bCs/>
          <w:color w:val="000000" w:themeColor="text1"/>
          <w:sz w:val="26"/>
          <w:szCs w:val="26"/>
        </w:rPr>
        <w:t>,</w:t>
      </w:r>
      <w:r w:rsidRPr="00E93C71">
        <w:rPr>
          <w:rFonts w:ascii="Arial" w:eastAsia="Calibri" w:hAnsi="Arial" w:cs="Arial"/>
          <w:bCs/>
          <w:color w:val="000000" w:themeColor="text1"/>
          <w:sz w:val="26"/>
          <w:szCs w:val="26"/>
        </w:rPr>
        <w:t xml:space="preserve"> que la motivación del acta de infracción multicitada fue la correcta y los preceptos legales citados, son aplicables al caso particular, por lo que de ninguna manera se dejó al administrado en estado de indefensión,</w:t>
      </w:r>
      <w:r w:rsidR="002560BB" w:rsidRPr="00E93C71">
        <w:rPr>
          <w:rFonts w:ascii="Arial" w:eastAsia="Calibri" w:hAnsi="Arial" w:cs="Arial"/>
          <w:bCs/>
          <w:color w:val="000000" w:themeColor="text1"/>
          <w:sz w:val="26"/>
          <w:szCs w:val="26"/>
        </w:rPr>
        <w:t xml:space="preserve"> </w:t>
      </w:r>
      <w:r w:rsidRPr="00E93C71">
        <w:rPr>
          <w:rFonts w:ascii="Arial" w:eastAsia="Calibri" w:hAnsi="Arial" w:cs="Arial"/>
          <w:bCs/>
          <w:color w:val="000000" w:themeColor="text1"/>
          <w:sz w:val="26"/>
          <w:szCs w:val="26"/>
        </w:rPr>
        <w:t>dado que se señalaron los motivos, circunstancias especiales o razones particulares para determinar la conducta ilegal del infractor, cumpliéndose así con lo previsto por el artículo 17, fracción V de la Ley de Procedimiento y Justicia Administrativa para el Estado de Oaxaca.</w:t>
      </w:r>
      <w:r w:rsidR="00753571" w:rsidRPr="00753571">
        <w:rPr>
          <w:rFonts w:ascii="Arial" w:eastAsia="Calibri" w:hAnsi="Arial" w:cs="Arial"/>
          <w:bCs/>
          <w:sz w:val="26"/>
          <w:szCs w:val="26"/>
        </w:rPr>
        <w:t xml:space="preserve"> </w:t>
      </w:r>
      <w:r w:rsidR="00753571">
        <w:rPr>
          <w:rFonts w:ascii="Arial" w:eastAsia="Calibri" w:hAnsi="Arial" w:cs="Arial"/>
          <w:bCs/>
          <w:sz w:val="26"/>
          <w:szCs w:val="26"/>
        </w:rPr>
        <w:t>- - - - - - - - - - - - - - - -</w:t>
      </w:r>
    </w:p>
    <w:p w14:paraId="11DD7BDF" w14:textId="5F319D3A" w:rsidR="00BD1174" w:rsidRPr="00E93C71" w:rsidRDefault="0013331B" w:rsidP="00BD1174">
      <w:pPr>
        <w:spacing w:before="120" w:after="0" w:line="360" w:lineRule="auto"/>
        <w:ind w:firstLine="708"/>
        <w:jc w:val="both"/>
        <w:rPr>
          <w:rFonts w:ascii="Arial" w:eastAsia="Calibri" w:hAnsi="Arial" w:cs="Arial"/>
          <w:color w:val="000000" w:themeColor="text1"/>
          <w:sz w:val="26"/>
          <w:szCs w:val="26"/>
        </w:rPr>
      </w:pPr>
      <w:r w:rsidRPr="00E93C71">
        <w:rPr>
          <w:rFonts w:ascii="Arial" w:eastAsia="Calibri" w:hAnsi="Arial" w:cs="Arial"/>
          <w:bCs/>
          <w:sz w:val="26"/>
          <w:szCs w:val="26"/>
        </w:rPr>
        <w:t xml:space="preserve">Se califica de </w:t>
      </w:r>
      <w:r w:rsidRPr="00E93C71">
        <w:rPr>
          <w:rFonts w:ascii="Arial" w:eastAsia="Calibri" w:hAnsi="Arial" w:cs="Arial"/>
          <w:b/>
          <w:bCs/>
          <w:sz w:val="26"/>
          <w:szCs w:val="26"/>
        </w:rPr>
        <w:t>INOPERANTE</w:t>
      </w:r>
      <w:r w:rsidRPr="00E93C71">
        <w:rPr>
          <w:rFonts w:ascii="Arial" w:eastAsia="Calibri" w:hAnsi="Arial" w:cs="Arial"/>
          <w:bCs/>
          <w:sz w:val="26"/>
          <w:szCs w:val="26"/>
        </w:rPr>
        <w:t xml:space="preserve"> el agravio segundo de la autoridad recurrente</w:t>
      </w:r>
      <w:r w:rsidR="00BD1174" w:rsidRPr="00E93C71">
        <w:rPr>
          <w:rFonts w:ascii="Arial" w:eastAsia="Calibri" w:hAnsi="Arial" w:cs="Arial"/>
          <w:bCs/>
          <w:sz w:val="26"/>
          <w:szCs w:val="26"/>
        </w:rPr>
        <w:t xml:space="preserve">, porque </w:t>
      </w:r>
      <w:r w:rsidR="00BD1174" w:rsidRPr="00E93C71">
        <w:rPr>
          <w:rFonts w:ascii="Arial" w:eastAsia="Calibri" w:hAnsi="Arial" w:cs="Arial"/>
          <w:bCs/>
          <w:color w:val="000000" w:themeColor="text1"/>
          <w:sz w:val="26"/>
          <w:szCs w:val="26"/>
          <w:lang w:eastAsia="en-US"/>
        </w:rPr>
        <w:t xml:space="preserve">no </w:t>
      </w:r>
      <w:r w:rsidR="00BD1174" w:rsidRPr="00E93C71">
        <w:rPr>
          <w:rFonts w:ascii="Arial" w:eastAsia="Calibri" w:hAnsi="Arial" w:cs="Arial"/>
          <w:bCs/>
          <w:sz w:val="26"/>
          <w:szCs w:val="26"/>
        </w:rPr>
        <w:t xml:space="preserve">expone argumento alguno destinado a combatir la consideración toral emitida por la Primera Instancia para declarar la nulidad lisa y llana </w:t>
      </w:r>
      <w:r w:rsidR="00BD1174" w:rsidRPr="00E93C71">
        <w:rPr>
          <w:rFonts w:ascii="Arial" w:eastAsia="Calibri" w:hAnsi="Arial" w:cs="Arial"/>
          <w:color w:val="000000" w:themeColor="text1"/>
          <w:sz w:val="26"/>
          <w:szCs w:val="26"/>
        </w:rPr>
        <w:t xml:space="preserve">del acta de infracción con número de folio </w:t>
      </w:r>
      <w:r w:rsidR="007E1A52">
        <w:rPr>
          <w:rFonts w:ascii="Arial" w:eastAsia="Calibri" w:hAnsi="Arial" w:cs="Arial"/>
          <w:bCs/>
          <w:sz w:val="26"/>
          <w:szCs w:val="26"/>
        </w:rPr>
        <w:t>*******</w:t>
      </w:r>
      <w:r w:rsidR="00612598" w:rsidRPr="00391E34">
        <w:rPr>
          <w:rFonts w:ascii="Arial" w:eastAsia="Calibri" w:hAnsi="Arial" w:cs="Arial"/>
          <w:bCs/>
          <w:sz w:val="26"/>
          <w:szCs w:val="26"/>
        </w:rPr>
        <w:t xml:space="preserve"> de fecha </w:t>
      </w:r>
      <w:r w:rsidR="00601EE1">
        <w:rPr>
          <w:rFonts w:ascii="Arial" w:eastAsia="Calibri" w:hAnsi="Arial" w:cs="Arial"/>
          <w:bCs/>
          <w:sz w:val="26"/>
          <w:szCs w:val="26"/>
        </w:rPr>
        <w:t>veinte</w:t>
      </w:r>
      <w:r w:rsidR="00612598">
        <w:rPr>
          <w:rFonts w:ascii="Arial" w:eastAsia="Calibri" w:hAnsi="Arial" w:cs="Arial"/>
          <w:bCs/>
          <w:sz w:val="26"/>
          <w:szCs w:val="26"/>
        </w:rPr>
        <w:t xml:space="preserve"> de mayo de dos mil veintiuno</w:t>
      </w:r>
      <w:r w:rsidR="00BD1174" w:rsidRPr="00E93C71">
        <w:rPr>
          <w:rFonts w:ascii="Arial" w:eastAsia="Calibri" w:hAnsi="Arial" w:cs="Arial"/>
          <w:color w:val="000000" w:themeColor="text1"/>
          <w:sz w:val="26"/>
          <w:szCs w:val="26"/>
        </w:rPr>
        <w:t>, emitida por</w:t>
      </w:r>
      <w:r w:rsidR="00612598">
        <w:rPr>
          <w:rFonts w:ascii="Arial" w:eastAsia="Calibri" w:hAnsi="Arial" w:cs="Arial"/>
          <w:color w:val="000000" w:themeColor="text1"/>
          <w:sz w:val="26"/>
          <w:szCs w:val="26"/>
        </w:rPr>
        <w:t xml:space="preserve"> el</w:t>
      </w:r>
      <w:r w:rsidRPr="00E93C71">
        <w:rPr>
          <w:rFonts w:ascii="Arial" w:eastAsia="Calibri" w:hAnsi="Arial" w:cs="Arial"/>
          <w:color w:val="000000" w:themeColor="text1"/>
          <w:sz w:val="26"/>
          <w:szCs w:val="26"/>
        </w:rPr>
        <w:t xml:space="preserve"> Policía Vial con número estadístico PV-18</w:t>
      </w:r>
      <w:r w:rsidR="00612598">
        <w:rPr>
          <w:rFonts w:ascii="Arial" w:eastAsia="Calibri" w:hAnsi="Arial" w:cs="Arial"/>
          <w:color w:val="000000" w:themeColor="text1"/>
          <w:sz w:val="26"/>
          <w:szCs w:val="26"/>
        </w:rPr>
        <w:t>8</w:t>
      </w:r>
      <w:r w:rsidRPr="00E93C71">
        <w:rPr>
          <w:rFonts w:ascii="Arial" w:eastAsia="Calibri" w:hAnsi="Arial" w:cs="Arial"/>
          <w:color w:val="000000" w:themeColor="text1"/>
          <w:sz w:val="26"/>
          <w:szCs w:val="26"/>
        </w:rPr>
        <w:t>, adscrito a la Subdirección de Tránsito y Movilidad de</w:t>
      </w:r>
      <w:r w:rsidR="00612598">
        <w:rPr>
          <w:rFonts w:ascii="Arial" w:eastAsia="Calibri" w:hAnsi="Arial" w:cs="Arial"/>
          <w:color w:val="000000" w:themeColor="text1"/>
          <w:sz w:val="26"/>
          <w:szCs w:val="26"/>
        </w:rPr>
        <w:t xml:space="preserve"> </w:t>
      </w:r>
      <w:r w:rsidRPr="00E93C71">
        <w:rPr>
          <w:rFonts w:ascii="Arial" w:eastAsia="Calibri" w:hAnsi="Arial" w:cs="Arial"/>
          <w:color w:val="000000" w:themeColor="text1"/>
          <w:sz w:val="26"/>
          <w:szCs w:val="26"/>
        </w:rPr>
        <w:t>l</w:t>
      </w:r>
      <w:r w:rsidR="00612598">
        <w:rPr>
          <w:rFonts w:ascii="Arial" w:eastAsia="Calibri" w:hAnsi="Arial" w:cs="Arial"/>
          <w:color w:val="000000" w:themeColor="text1"/>
          <w:sz w:val="26"/>
          <w:szCs w:val="26"/>
        </w:rPr>
        <w:t>a Dirección de Seguridad Pública, Vialidad y Protección Ciudadana del</w:t>
      </w:r>
      <w:r w:rsidRPr="00E93C71">
        <w:rPr>
          <w:rFonts w:ascii="Arial" w:eastAsia="Calibri" w:hAnsi="Arial" w:cs="Arial"/>
          <w:color w:val="000000" w:themeColor="text1"/>
          <w:sz w:val="26"/>
          <w:szCs w:val="26"/>
        </w:rPr>
        <w:t xml:space="preserve"> Municipio de Oaxaca de Juárez</w:t>
      </w:r>
      <w:r w:rsidR="00BD1174" w:rsidRPr="00E93C71">
        <w:rPr>
          <w:rFonts w:ascii="Arial" w:eastAsia="Calibri" w:hAnsi="Arial" w:cs="Arial"/>
          <w:color w:val="000000" w:themeColor="text1"/>
          <w:sz w:val="26"/>
          <w:szCs w:val="26"/>
        </w:rPr>
        <w:t xml:space="preserve">; </w:t>
      </w:r>
      <w:r w:rsidR="00BD1174" w:rsidRPr="00E93C71">
        <w:rPr>
          <w:rFonts w:ascii="Arial" w:hAnsi="Arial" w:cs="Arial"/>
          <w:bCs/>
          <w:color w:val="000000"/>
          <w:sz w:val="26"/>
          <w:szCs w:val="26"/>
        </w:rPr>
        <w:t xml:space="preserve">es decir, para ser considerado como agravio, era necesario que expusiera cuál es el precepto violado por la resolutora, así como debían indicar las razones que estima son suficientes para combatir la determinación de la juzgadora primigenia y explicar en todo caso, porque no procede la nulidad decretada, lo que no logra al tratarse de meras afirmaciones sin sustento legal alguno, </w:t>
      </w:r>
      <w:r w:rsidR="00BD1174" w:rsidRPr="00E93C71">
        <w:rPr>
          <w:rFonts w:ascii="Arial" w:hAnsi="Arial" w:cs="Arial"/>
          <w:bCs/>
          <w:sz w:val="26"/>
          <w:szCs w:val="26"/>
        </w:rPr>
        <w:t>ya que se trata de argumentos genéricos, ambiguos, que en manera alguna explican la forma en que la se</w:t>
      </w:r>
      <w:r w:rsidRPr="00E93C71">
        <w:rPr>
          <w:rFonts w:ascii="Arial" w:hAnsi="Arial" w:cs="Arial"/>
          <w:bCs/>
          <w:sz w:val="26"/>
          <w:szCs w:val="26"/>
        </w:rPr>
        <w:t xml:space="preserve">ntencia le agravia. </w:t>
      </w:r>
      <w:r w:rsidR="00753571">
        <w:rPr>
          <w:rFonts w:ascii="Arial" w:eastAsia="Calibri" w:hAnsi="Arial" w:cs="Arial"/>
          <w:bCs/>
          <w:sz w:val="26"/>
          <w:szCs w:val="26"/>
        </w:rPr>
        <w:t xml:space="preserve">- - - - - - - - - - - - - - - - - - - - - - - - - - - - - - - - - - - - - - - - - - - - </w:t>
      </w:r>
    </w:p>
    <w:p w14:paraId="78E5C564" w14:textId="23833FB1" w:rsidR="00BD1174" w:rsidRPr="00E93C71" w:rsidRDefault="00BD1174" w:rsidP="00753571">
      <w:pPr>
        <w:spacing w:before="120" w:line="360" w:lineRule="auto"/>
        <w:ind w:firstLine="708"/>
        <w:jc w:val="both"/>
        <w:rPr>
          <w:rFonts w:ascii="Arial" w:hAnsi="Arial" w:cs="Arial"/>
          <w:bCs/>
          <w:sz w:val="26"/>
          <w:szCs w:val="26"/>
        </w:rPr>
      </w:pPr>
      <w:r w:rsidRPr="00E93C71">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es decir, debe exponer </w:t>
      </w:r>
      <w:r w:rsidRPr="00E93C71">
        <w:rPr>
          <w:rFonts w:ascii="Arial" w:hAnsi="Arial" w:cs="Arial"/>
          <w:bCs/>
          <w:sz w:val="26"/>
          <w:szCs w:val="26"/>
        </w:rPr>
        <w:t>en qué consiste la lesión sufrida con la actuación de la juzgadora,</w:t>
      </w:r>
      <w:r w:rsidRPr="00E93C71">
        <w:rPr>
          <w:rFonts w:ascii="Arial" w:eastAsia="Calibri" w:hAnsi="Arial" w:cs="Arial"/>
          <w:bCs/>
          <w:sz w:val="26"/>
          <w:szCs w:val="26"/>
        </w:rPr>
        <w:t xml:space="preserve"> el precepto legal violado y que explique de qué manera la </w:t>
      </w:r>
      <w:r w:rsidRPr="00E93C71">
        <w:rPr>
          <w:rFonts w:ascii="Arial" w:eastAsia="Calibri" w:hAnsi="Arial" w:cs="Arial"/>
          <w:bCs/>
          <w:sz w:val="26"/>
          <w:szCs w:val="26"/>
        </w:rPr>
        <w:lastRenderedPageBreak/>
        <w:t>juzgadora le irroga el perjuicio, sin que sea válido que haga aportaciones genéricas e hipotéticas como acontece en el presente caso,  pues así lo exige la técnica procesa</w:t>
      </w:r>
      <w:r w:rsidR="0013331B" w:rsidRPr="00E93C71">
        <w:rPr>
          <w:rFonts w:ascii="Arial" w:eastAsia="Calibri" w:hAnsi="Arial" w:cs="Arial"/>
          <w:bCs/>
          <w:sz w:val="26"/>
          <w:szCs w:val="26"/>
        </w:rPr>
        <w:t xml:space="preserve">l tratándose de recursos. </w:t>
      </w:r>
      <w:r w:rsidR="00753571">
        <w:rPr>
          <w:rFonts w:ascii="Arial" w:eastAsia="Calibri" w:hAnsi="Arial" w:cs="Arial"/>
          <w:bCs/>
          <w:sz w:val="26"/>
          <w:szCs w:val="26"/>
        </w:rPr>
        <w:t xml:space="preserve"> - -</w:t>
      </w:r>
    </w:p>
    <w:p w14:paraId="5C8B901B" w14:textId="01705197" w:rsidR="003C24B0" w:rsidRPr="00E93C71" w:rsidRDefault="00BD1174" w:rsidP="00BD1174">
      <w:pPr>
        <w:spacing w:before="120" w:after="0" w:line="360" w:lineRule="auto"/>
        <w:ind w:firstLine="709"/>
        <w:jc w:val="both"/>
        <w:rPr>
          <w:rFonts w:ascii="Arial" w:hAnsi="Arial" w:cs="Arial"/>
          <w:bCs/>
          <w:sz w:val="26"/>
          <w:szCs w:val="26"/>
        </w:rPr>
      </w:pPr>
      <w:r w:rsidRPr="00E93C71">
        <w:rPr>
          <w:rFonts w:ascii="Arial" w:hAnsi="Arial" w:cs="Arial"/>
          <w:bCs/>
          <w:sz w:val="26"/>
          <w:szCs w:val="26"/>
        </w:rPr>
        <w:t xml:space="preserve">Estas consideraciones encuentran apoyo en </w:t>
      </w:r>
      <w:r w:rsidR="003C24B0" w:rsidRPr="00E93C71">
        <w:rPr>
          <w:rFonts w:ascii="Arial" w:hAnsi="Arial" w:cs="Arial"/>
          <w:bCs/>
          <w:sz w:val="26"/>
          <w:szCs w:val="26"/>
        </w:rPr>
        <w:t xml:space="preserve">el criterio jurisprudencial I.4º.A. J/48, emitido </w:t>
      </w:r>
      <w:r w:rsidR="00E3509D" w:rsidRPr="00E93C71">
        <w:rPr>
          <w:rFonts w:ascii="Arial" w:hAnsi="Arial" w:cs="Arial"/>
          <w:bCs/>
          <w:sz w:val="26"/>
          <w:szCs w:val="26"/>
        </w:rPr>
        <w:t>por los Tribunales Colegiados de Circuito, con número de registro</w:t>
      </w:r>
      <w:r w:rsidR="00E3509D" w:rsidRPr="00E93C71">
        <w:t xml:space="preserve"> </w:t>
      </w:r>
      <w:r w:rsidR="00E3509D" w:rsidRPr="00E93C71">
        <w:rPr>
          <w:rFonts w:ascii="Arial" w:hAnsi="Arial" w:cs="Arial"/>
          <w:bCs/>
          <w:sz w:val="26"/>
          <w:szCs w:val="26"/>
        </w:rPr>
        <w:t xml:space="preserve">173593, publicado en el Semanario Judicial de la Federación y su Gaceta, Tomo XXV, enero de 2007, visible a página 2121, novena época, </w:t>
      </w:r>
      <w:r w:rsidR="00E3509D" w:rsidRPr="00E93C71">
        <w:rPr>
          <w:rFonts w:ascii="Arial" w:hAnsi="Arial" w:cs="Arial"/>
          <w:bCs/>
          <w:color w:val="000000"/>
          <w:sz w:val="26"/>
          <w:szCs w:val="26"/>
        </w:rPr>
        <w:t>bajo el rubro y texto siguientes:</w:t>
      </w:r>
    </w:p>
    <w:p w14:paraId="268680FA" w14:textId="77777777" w:rsidR="00BD1174" w:rsidRPr="00E93C71" w:rsidRDefault="00BD1174" w:rsidP="00753571">
      <w:pPr>
        <w:pStyle w:val="NormalWeb"/>
        <w:shd w:val="clear" w:color="auto" w:fill="FFFFFF"/>
        <w:spacing w:before="120" w:beforeAutospacing="0" w:after="0" w:afterAutospacing="0" w:line="276" w:lineRule="auto"/>
        <w:ind w:left="851" w:right="902"/>
        <w:jc w:val="both"/>
        <w:rPr>
          <w:rFonts w:ascii="Arial" w:hAnsi="Arial" w:cs="Arial"/>
          <w:i/>
          <w:iCs/>
          <w:color w:val="222222"/>
          <w:sz w:val="22"/>
          <w:szCs w:val="22"/>
        </w:rPr>
      </w:pPr>
      <w:r w:rsidRPr="00E93C71">
        <w:rPr>
          <w:rFonts w:ascii="Arial" w:hAnsi="Arial" w:cs="Arial"/>
          <w:b/>
          <w:bCs/>
          <w:i/>
          <w:iCs/>
          <w:color w:val="222222"/>
          <w:sz w:val="22"/>
          <w:szCs w:val="22"/>
        </w:rPr>
        <w:t>“CONCEPTOS DE VIOLACIÓN O AGRAVIOS. SON INOPERANTES CUANDO LOS ARGUMENTOS EXPUESTOS POR EL QUEJOSO O EL RECURRENTE SON AMBIGUOS Y SUPERFICIALES</w:t>
      </w:r>
      <w:r w:rsidRPr="00E93C71">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sidRPr="00E93C71">
        <w:rPr>
          <w:rFonts w:ascii="Arial" w:hAnsi="Arial" w:cs="Arial"/>
          <w:i/>
          <w:iCs/>
          <w:color w:val="222222"/>
          <w:sz w:val="22"/>
          <w:szCs w:val="22"/>
        </w:rPr>
        <w:t>sequitur</w:t>
      </w:r>
      <w:proofErr w:type="spellEnd"/>
      <w:r w:rsidRPr="00E93C71">
        <w:rPr>
          <w:rFonts w:ascii="Arial" w:hAnsi="Arial" w:cs="Arial"/>
          <w:i/>
          <w:iCs/>
          <w:color w:val="222222"/>
          <w:sz w:val="22"/>
          <w:szCs w:val="22"/>
        </w:rPr>
        <w:t xml:space="preserve"> para obtener una declaratoria de invalidez.”</w:t>
      </w:r>
    </w:p>
    <w:p w14:paraId="110ED0E3" w14:textId="77777777" w:rsidR="00BD1174" w:rsidRPr="00E93C71" w:rsidRDefault="00BD1174" w:rsidP="00753571">
      <w:pPr>
        <w:pStyle w:val="NormalWeb"/>
        <w:shd w:val="clear" w:color="auto" w:fill="FFFFFF"/>
        <w:spacing w:before="0" w:beforeAutospacing="0" w:after="120" w:afterAutospacing="0" w:line="276" w:lineRule="auto"/>
        <w:ind w:left="851" w:right="902"/>
        <w:jc w:val="both"/>
        <w:rPr>
          <w:rFonts w:ascii="Arial" w:hAnsi="Arial" w:cs="Arial"/>
          <w:i/>
          <w:iCs/>
          <w:color w:val="222222"/>
          <w:sz w:val="22"/>
          <w:szCs w:val="22"/>
        </w:rPr>
      </w:pPr>
    </w:p>
    <w:p w14:paraId="007054AF" w14:textId="4488C437" w:rsidR="00BD1174" w:rsidRPr="00E93C71" w:rsidRDefault="00BD1174" w:rsidP="00BD1174">
      <w:pPr>
        <w:spacing w:after="120" w:line="360" w:lineRule="auto"/>
        <w:ind w:firstLine="709"/>
        <w:jc w:val="both"/>
        <w:rPr>
          <w:rFonts w:ascii="Arial" w:hAnsi="Arial" w:cs="Arial"/>
          <w:bCs/>
          <w:sz w:val="26"/>
          <w:szCs w:val="26"/>
        </w:rPr>
      </w:pPr>
      <w:r w:rsidRPr="00E93C71">
        <w:rPr>
          <w:rFonts w:ascii="Arial" w:hAnsi="Arial" w:cs="Arial"/>
          <w:bCs/>
          <w:sz w:val="26"/>
          <w:szCs w:val="26"/>
        </w:rPr>
        <w:t>Así como en la jurisprudencia IV.3o. J/12 del Tercer Tribunal Colegiado del Cuarto Circuito</w:t>
      </w:r>
      <w:r w:rsidR="00D868D2" w:rsidRPr="00E93C71">
        <w:rPr>
          <w:rFonts w:ascii="Arial" w:hAnsi="Arial" w:cs="Arial"/>
          <w:bCs/>
          <w:sz w:val="26"/>
          <w:szCs w:val="26"/>
        </w:rPr>
        <w:t xml:space="preserve">, con número de registro 218411, publicada </w:t>
      </w:r>
      <w:r w:rsidRPr="00E93C71">
        <w:rPr>
          <w:rFonts w:ascii="Arial" w:hAnsi="Arial" w:cs="Arial"/>
          <w:bCs/>
          <w:sz w:val="26"/>
          <w:szCs w:val="26"/>
        </w:rPr>
        <w:t>en la Gaceta del Semanario Judi</w:t>
      </w:r>
      <w:r w:rsidR="00D868D2" w:rsidRPr="00E93C71">
        <w:rPr>
          <w:rFonts w:ascii="Arial" w:hAnsi="Arial" w:cs="Arial"/>
          <w:bCs/>
          <w:sz w:val="26"/>
          <w:szCs w:val="26"/>
        </w:rPr>
        <w:t xml:space="preserve">cial de la Federación número 57, </w:t>
      </w:r>
      <w:r w:rsidRPr="00E93C71">
        <w:rPr>
          <w:rFonts w:ascii="Arial" w:hAnsi="Arial" w:cs="Arial"/>
          <w:bCs/>
          <w:sz w:val="26"/>
          <w:szCs w:val="26"/>
        </w:rPr>
        <w:t>septiembre de 1992, visible a página 57</w:t>
      </w:r>
      <w:r w:rsidR="00D868D2" w:rsidRPr="00E93C71">
        <w:rPr>
          <w:rFonts w:ascii="Arial" w:hAnsi="Arial" w:cs="Arial"/>
          <w:bCs/>
          <w:sz w:val="26"/>
          <w:szCs w:val="26"/>
        </w:rPr>
        <w:t>, octava época,</w:t>
      </w:r>
      <w:r w:rsidRPr="00E93C71">
        <w:rPr>
          <w:rFonts w:ascii="Arial" w:hAnsi="Arial" w:cs="Arial"/>
          <w:bCs/>
          <w:sz w:val="26"/>
          <w:szCs w:val="26"/>
        </w:rPr>
        <w:t xml:space="preserve"> con el rubro y texto</w:t>
      </w:r>
      <w:r w:rsidR="0013331B" w:rsidRPr="00E93C71">
        <w:rPr>
          <w:rFonts w:ascii="Arial" w:hAnsi="Arial" w:cs="Arial"/>
          <w:bCs/>
          <w:sz w:val="26"/>
          <w:szCs w:val="26"/>
        </w:rPr>
        <w:t xml:space="preserve"> del tenor literal siguiente</w:t>
      </w:r>
      <w:r w:rsidR="00D868D2" w:rsidRPr="00E93C71">
        <w:rPr>
          <w:rFonts w:ascii="Arial" w:hAnsi="Arial" w:cs="Arial"/>
          <w:bCs/>
          <w:sz w:val="26"/>
          <w:szCs w:val="26"/>
        </w:rPr>
        <w:t>s</w:t>
      </w:r>
      <w:r w:rsidR="0013331B" w:rsidRPr="00E93C71">
        <w:rPr>
          <w:rFonts w:ascii="Arial" w:hAnsi="Arial" w:cs="Arial"/>
          <w:bCs/>
          <w:sz w:val="26"/>
          <w:szCs w:val="26"/>
        </w:rPr>
        <w:t xml:space="preserve">: </w:t>
      </w:r>
    </w:p>
    <w:p w14:paraId="706D643C" w14:textId="77777777" w:rsidR="00BD1174" w:rsidRDefault="00BD1174" w:rsidP="00753571">
      <w:pPr>
        <w:spacing w:before="120" w:after="0"/>
        <w:ind w:left="851" w:right="900"/>
        <w:jc w:val="both"/>
        <w:rPr>
          <w:rFonts w:ascii="Arial" w:eastAsia="Times New Roman" w:hAnsi="Arial"/>
          <w:i/>
          <w:color w:val="000000" w:themeColor="text1"/>
        </w:rPr>
      </w:pPr>
      <w:r w:rsidRPr="00E93C71">
        <w:rPr>
          <w:rFonts w:ascii="Arial" w:eastAsia="Times New Roman" w:hAnsi="Arial"/>
          <w:i/>
          <w:color w:val="000000" w:themeColor="text1"/>
        </w:rPr>
        <w:t>“</w:t>
      </w:r>
      <w:r w:rsidRPr="00E93C71">
        <w:rPr>
          <w:rFonts w:ascii="Arial" w:eastAsia="Times New Roman" w:hAnsi="Arial"/>
          <w:b/>
          <w:i/>
          <w:color w:val="000000" w:themeColor="text1"/>
        </w:rPr>
        <w:t xml:space="preserve">AGRAVIOS. DEBEN DE IMPUGNAR LA ILEGALIDAD DEL FALLO RECURRIDO. </w:t>
      </w:r>
      <w:r w:rsidRPr="00E93C71">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B45F2A7" w14:textId="77777777" w:rsidR="003A1C10" w:rsidRPr="0012160D" w:rsidRDefault="003A1C10" w:rsidP="00753571">
      <w:pPr>
        <w:spacing w:after="120"/>
        <w:ind w:right="900"/>
        <w:jc w:val="both"/>
        <w:rPr>
          <w:rFonts w:ascii="Arial" w:eastAsia="Times New Roman" w:hAnsi="Arial" w:cs="Arial"/>
          <w:i/>
          <w:iCs/>
          <w:color w:val="000000" w:themeColor="text1"/>
        </w:rPr>
      </w:pPr>
      <w:bookmarkStart w:id="8" w:name="_GoBack"/>
      <w:bookmarkEnd w:id="8"/>
    </w:p>
    <w:p w14:paraId="25D61B3A" w14:textId="273CD136" w:rsidR="003226B6" w:rsidRDefault="00EB6767" w:rsidP="007855B5">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En consecuencia</w:t>
      </w:r>
      <w:r w:rsidR="0013331B">
        <w:rPr>
          <w:rFonts w:ascii="Arial" w:eastAsia="Calibri" w:hAnsi="Arial" w:cs="Arial"/>
          <w:sz w:val="26"/>
          <w:szCs w:val="26"/>
          <w:lang w:val="es-ES" w:eastAsia="en-US"/>
        </w:rPr>
        <w:t xml:space="preserve">, </w:t>
      </w:r>
      <w:r w:rsidR="00CD74FB">
        <w:rPr>
          <w:rFonts w:ascii="Arial" w:eastAsia="Calibri" w:hAnsi="Arial" w:cs="Arial"/>
          <w:sz w:val="26"/>
          <w:szCs w:val="26"/>
          <w:lang w:val="es-ES" w:eastAsia="en-US"/>
        </w:rPr>
        <w:t>lo procedente es</w:t>
      </w:r>
      <w:r w:rsidR="003164D4">
        <w:rPr>
          <w:rFonts w:ascii="Arial" w:eastAsia="Calibri" w:hAnsi="Arial" w:cs="Arial"/>
          <w:sz w:val="26"/>
          <w:szCs w:val="26"/>
          <w:lang w:val="es-ES" w:eastAsia="en-US"/>
        </w:rPr>
        <w:t xml:space="preserve"> </w:t>
      </w:r>
      <w:r w:rsidR="003164D4">
        <w:rPr>
          <w:rFonts w:ascii="Arial" w:eastAsia="Calibri" w:hAnsi="Arial" w:cs="Arial"/>
          <w:b/>
          <w:bCs/>
          <w:sz w:val="26"/>
          <w:szCs w:val="26"/>
          <w:lang w:val="es-ES" w:eastAsia="en-US"/>
        </w:rPr>
        <w:t>C</w:t>
      </w:r>
      <w:r w:rsidR="00344445" w:rsidRPr="0015274D">
        <w:rPr>
          <w:rFonts w:ascii="Arial" w:eastAsia="Calibri" w:hAnsi="Arial" w:cs="Arial"/>
          <w:b/>
          <w:sz w:val="26"/>
          <w:szCs w:val="26"/>
          <w:lang w:val="es-ES" w:eastAsia="en-US"/>
        </w:rPr>
        <w:t>ONFIRMA</w:t>
      </w:r>
      <w:r w:rsidR="003164D4">
        <w:rPr>
          <w:rFonts w:ascii="Arial" w:eastAsia="Calibri" w:hAnsi="Arial" w:cs="Arial"/>
          <w:b/>
          <w:sz w:val="26"/>
          <w:szCs w:val="26"/>
          <w:lang w:val="es-ES" w:eastAsia="en-US"/>
        </w:rPr>
        <w:t>R</w:t>
      </w:r>
      <w:r w:rsidR="00344445"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00344445" w:rsidRPr="00344445">
        <w:rPr>
          <w:rFonts w:ascii="Arial" w:eastAsia="Calibri" w:hAnsi="Arial" w:cs="Arial"/>
          <w:sz w:val="26"/>
          <w:szCs w:val="26"/>
          <w:lang w:val="es-ES" w:eastAsia="en-US"/>
        </w:rPr>
        <w:t xml:space="preserve">; </w:t>
      </w:r>
      <w:r w:rsidR="00E93C71">
        <w:rPr>
          <w:rFonts w:ascii="Arial" w:eastAsia="Calibri" w:hAnsi="Arial" w:cs="Arial"/>
          <w:sz w:val="26"/>
          <w:szCs w:val="26"/>
          <w:lang w:val="es-ES" w:eastAsia="en-US"/>
        </w:rPr>
        <w:t>y</w:t>
      </w:r>
      <w:r w:rsidR="003226B6">
        <w:rPr>
          <w:rFonts w:ascii="Arial" w:eastAsia="Calibri" w:hAnsi="Arial" w:cs="Arial"/>
          <w:sz w:val="26"/>
          <w:szCs w:val="26"/>
          <w:lang w:val="es-ES" w:eastAsia="en-US"/>
        </w:rPr>
        <w:t xml:space="preserve"> </w:t>
      </w:r>
      <w:r w:rsidR="00344445" w:rsidRPr="00344445">
        <w:rPr>
          <w:rFonts w:ascii="Arial" w:eastAsia="Calibri" w:hAnsi="Arial" w:cs="Arial"/>
          <w:bCs/>
          <w:sz w:val="26"/>
          <w:szCs w:val="26"/>
          <w:lang w:val="es-ES" w:eastAsia="en-US"/>
        </w:rPr>
        <w:t>c</w:t>
      </w:r>
      <w:r w:rsidR="00344445" w:rsidRPr="00344445">
        <w:rPr>
          <w:rFonts w:ascii="Arial" w:eastAsia="Calibri" w:hAnsi="Arial" w:cs="Arial"/>
          <w:sz w:val="26"/>
          <w:szCs w:val="26"/>
          <w:lang w:val="es-ES" w:eastAsia="en-US"/>
        </w:rPr>
        <w:t>on fundamento en los artículos 23</w:t>
      </w:r>
      <w:r w:rsidR="00056F47">
        <w:rPr>
          <w:rFonts w:ascii="Arial" w:eastAsia="Calibri" w:hAnsi="Arial" w:cs="Arial"/>
          <w:sz w:val="26"/>
          <w:szCs w:val="26"/>
          <w:lang w:val="es-ES" w:eastAsia="en-US"/>
        </w:rPr>
        <w:t>6</w:t>
      </w:r>
      <w:r w:rsidR="00344445" w:rsidRPr="00344445">
        <w:rPr>
          <w:rFonts w:ascii="Arial" w:eastAsia="Calibri" w:hAnsi="Arial" w:cs="Arial"/>
          <w:sz w:val="26"/>
          <w:szCs w:val="26"/>
          <w:lang w:val="es-ES" w:eastAsia="en-US"/>
        </w:rPr>
        <w:t xml:space="preserve"> y 238 de la Ley de Procedimiento y Justicia Administrativa para el Estado de Oaxaca, se:</w:t>
      </w:r>
      <w:r w:rsidR="002F3B79">
        <w:rPr>
          <w:rFonts w:ascii="Arial" w:eastAsia="Calibri" w:hAnsi="Arial" w:cs="Arial"/>
          <w:sz w:val="26"/>
          <w:szCs w:val="26"/>
          <w:lang w:val="es-ES" w:eastAsia="en-US"/>
        </w:rPr>
        <w:t xml:space="preserve"> </w:t>
      </w:r>
    </w:p>
    <w:p w14:paraId="62D7FB8B" w14:textId="3FD1A963" w:rsidR="00E67FFE" w:rsidRPr="00753571" w:rsidRDefault="00E67FFE" w:rsidP="00753571">
      <w:pPr>
        <w:spacing w:before="240" w:after="120" w:line="360" w:lineRule="auto"/>
        <w:jc w:val="center"/>
        <w:rPr>
          <w:rFonts w:ascii="Arial" w:hAnsi="Arial" w:cs="Arial"/>
          <w:sz w:val="26"/>
          <w:szCs w:val="26"/>
        </w:rPr>
      </w:pPr>
      <w:r w:rsidRPr="00753571">
        <w:rPr>
          <w:rFonts w:ascii="Arial" w:hAnsi="Arial" w:cs="Arial"/>
          <w:b/>
          <w:sz w:val="26"/>
          <w:szCs w:val="26"/>
        </w:rPr>
        <w:t>R E S U E L V E</w:t>
      </w:r>
    </w:p>
    <w:p w14:paraId="54BB4080" w14:textId="251DC25F"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w:t>
      </w:r>
      <w:r w:rsidR="004E68CA">
        <w:rPr>
          <w:rFonts w:ascii="Arial" w:hAnsi="Arial" w:cs="Arial"/>
          <w:sz w:val="26"/>
          <w:szCs w:val="26"/>
        </w:rPr>
        <w:t xml:space="preserve">veintidós de </w:t>
      </w:r>
      <w:r w:rsidR="00B82F01">
        <w:rPr>
          <w:rFonts w:ascii="Arial" w:hAnsi="Arial" w:cs="Arial"/>
          <w:sz w:val="26"/>
          <w:szCs w:val="26"/>
        </w:rPr>
        <w:t xml:space="preserve">febrero </w:t>
      </w:r>
      <w:r w:rsidR="004E68CA">
        <w:rPr>
          <w:rFonts w:ascii="Arial" w:hAnsi="Arial" w:cs="Arial"/>
          <w:sz w:val="26"/>
          <w:szCs w:val="26"/>
        </w:rPr>
        <w:t>de dos mil veintidós</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 xml:space="preserve">por las razones expuestas en el considerando que </w:t>
      </w:r>
      <w:r w:rsidR="00753571" w:rsidRPr="00344445">
        <w:rPr>
          <w:rFonts w:ascii="Arial" w:eastAsia="Times New Roman" w:hAnsi="Arial" w:cs="Arial"/>
          <w:color w:val="000000"/>
          <w:sz w:val="26"/>
          <w:szCs w:val="26"/>
        </w:rPr>
        <w:t>antecede.</w:t>
      </w:r>
      <w:r w:rsidR="00753571">
        <w:rPr>
          <w:rFonts w:ascii="Arial" w:eastAsia="Times New Roman" w:hAnsi="Arial" w:cs="Arial"/>
          <w:color w:val="000000"/>
          <w:sz w:val="26"/>
          <w:szCs w:val="26"/>
        </w:rPr>
        <w:t xml:space="preserve"> -</w:t>
      </w:r>
      <w:r w:rsidR="005B16CD">
        <w:rPr>
          <w:rFonts w:ascii="Arial" w:eastAsia="Times New Roman" w:hAnsi="Arial" w:cs="Arial"/>
          <w:color w:val="000000"/>
          <w:sz w:val="26"/>
          <w:szCs w:val="26"/>
        </w:rPr>
        <w:t xml:space="preserve"> - - - - - - - - - - - - - - - - - - - - - - - - - - - - - -</w:t>
      </w:r>
      <w:r w:rsidR="00B776DA">
        <w:rPr>
          <w:rFonts w:ascii="Arial" w:eastAsia="Times New Roman" w:hAnsi="Arial" w:cs="Arial"/>
          <w:color w:val="000000"/>
          <w:sz w:val="26"/>
          <w:szCs w:val="26"/>
        </w:rPr>
        <w:t xml:space="preserve"> </w:t>
      </w:r>
    </w:p>
    <w:p w14:paraId="2674C596" w14:textId="77777777" w:rsidR="00753571" w:rsidRDefault="00EC3D78" w:rsidP="00753571">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B82F01">
        <w:rPr>
          <w:rFonts w:ascii="Arial" w:hAnsi="Arial" w:cs="Arial"/>
          <w:sz w:val="26"/>
          <w:szCs w:val="26"/>
        </w:rPr>
        <w:t>Tercera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 xml:space="preserve">revisión como asunto </w:t>
      </w:r>
      <w:r w:rsidR="00753571">
        <w:rPr>
          <w:rFonts w:ascii="Arial" w:hAnsi="Arial" w:cs="Arial"/>
          <w:sz w:val="26"/>
          <w:szCs w:val="26"/>
        </w:rPr>
        <w:t>concluido.</w:t>
      </w:r>
      <w:r w:rsidR="00753571" w:rsidRPr="001E435C">
        <w:rPr>
          <w:rFonts w:ascii="Arial" w:hAnsi="Arial" w:cs="Arial"/>
          <w:sz w:val="26"/>
          <w:szCs w:val="26"/>
        </w:rPr>
        <w:t xml:space="preserve"> -</w:t>
      </w:r>
      <w:r w:rsidRPr="001E435C">
        <w:rPr>
          <w:rFonts w:ascii="Arial" w:hAnsi="Arial" w:cs="Arial"/>
          <w:sz w:val="26"/>
          <w:szCs w:val="26"/>
        </w:rPr>
        <w:t xml:space="preserve"> - -</w:t>
      </w:r>
      <w:r w:rsidR="00E93C71">
        <w:rPr>
          <w:rFonts w:ascii="Arial" w:hAnsi="Arial" w:cs="Arial"/>
          <w:sz w:val="26"/>
          <w:szCs w:val="26"/>
        </w:rPr>
        <w:t xml:space="preserve"> - - - - - - - - - - - - - - - - - - - - - - - - - - - - - - - - - - - - - - - - -</w:t>
      </w:r>
      <w:r w:rsidR="002F0F79">
        <w:rPr>
          <w:rFonts w:ascii="Arial" w:hAnsi="Arial" w:cs="Arial"/>
          <w:sz w:val="26"/>
          <w:szCs w:val="26"/>
        </w:rPr>
        <w:tab/>
      </w:r>
      <w:r w:rsidR="00753571">
        <w:rPr>
          <w:rFonts w:ascii="Arial" w:hAnsi="Arial" w:cs="Arial"/>
          <w:sz w:val="26"/>
          <w:szCs w:val="26"/>
        </w:rPr>
        <w:t xml:space="preserve"> P</w:t>
      </w:r>
      <w:r w:rsidR="00344445" w:rsidRPr="00344445">
        <w:rPr>
          <w:rFonts w:ascii="Arial" w:hAnsi="Arial" w:cs="Arial"/>
          <w:sz w:val="26"/>
          <w:szCs w:val="26"/>
        </w:rPr>
        <w:t>or unanimidad de votos, lo resolvieron y firmaron los Magistrados Manuel Velasco Alcántara, Raúl Palomares Palomino</w:t>
      </w:r>
      <w:r w:rsidR="00AA7B8E">
        <w:rPr>
          <w:rFonts w:ascii="Arial" w:hAnsi="Arial" w:cs="Arial"/>
          <w:sz w:val="26"/>
          <w:szCs w:val="26"/>
        </w:rPr>
        <w:t>,</w:t>
      </w:r>
      <w:r w:rsidR="00344445" w:rsidRPr="00344445">
        <w:rPr>
          <w:rFonts w:ascii="Arial" w:hAnsi="Arial" w:cs="Arial"/>
          <w:b/>
          <w:bCs/>
          <w:sz w:val="26"/>
          <w:szCs w:val="26"/>
        </w:rPr>
        <w:t xml:space="preserve"> </w:t>
      </w:r>
      <w:r w:rsidR="00AA7B8E" w:rsidRPr="00344445">
        <w:rPr>
          <w:rFonts w:ascii="Arial" w:hAnsi="Arial" w:cs="Arial"/>
          <w:sz w:val="26"/>
          <w:szCs w:val="26"/>
        </w:rPr>
        <w:t xml:space="preserve">Gloria del Carmen Camacho Meza </w:t>
      </w:r>
      <w:r w:rsidR="00AA7B8E">
        <w:rPr>
          <w:rFonts w:ascii="Arial" w:hAnsi="Arial" w:cs="Arial"/>
          <w:b/>
          <w:sz w:val="26"/>
          <w:szCs w:val="26"/>
        </w:rPr>
        <w:t>(ponente),</w:t>
      </w:r>
      <w:r w:rsidR="00AA7B8E">
        <w:rPr>
          <w:rFonts w:ascii="Arial" w:hAnsi="Arial" w:cs="Arial"/>
          <w:sz w:val="26"/>
          <w:szCs w:val="26"/>
        </w:rPr>
        <w:t xml:space="preserve"> </w:t>
      </w:r>
      <w:r w:rsidR="00344445" w:rsidRPr="00344445">
        <w:rPr>
          <w:rFonts w:ascii="Arial" w:hAnsi="Arial" w:cs="Arial"/>
          <w:sz w:val="26"/>
          <w:szCs w:val="26"/>
        </w:rPr>
        <w:t xml:space="preserve">Paulo José </w:t>
      </w:r>
      <w:r w:rsidR="00592971">
        <w:rPr>
          <w:rFonts w:ascii="Arial" w:hAnsi="Arial" w:cs="Arial"/>
          <w:sz w:val="26"/>
          <w:szCs w:val="26"/>
        </w:rPr>
        <w:t>Luis Tapia Palacios</w:t>
      </w:r>
      <w:r w:rsidR="00E92BDA">
        <w:rPr>
          <w:rFonts w:ascii="Arial" w:hAnsi="Arial" w:cs="Arial"/>
          <w:sz w:val="26"/>
          <w:szCs w:val="26"/>
        </w:rPr>
        <w:t xml:space="preserve"> y Elías Cortés López</w:t>
      </w:r>
      <w:r w:rsidR="00344445" w:rsidRPr="00BE5D80">
        <w:rPr>
          <w:rFonts w:ascii="Arial" w:hAnsi="Arial" w:cs="Arial"/>
          <w:sz w:val="26"/>
          <w:szCs w:val="26"/>
        </w:rPr>
        <w:t>,</w:t>
      </w:r>
      <w:r w:rsidR="00344445" w:rsidRPr="00344445">
        <w:rPr>
          <w:rFonts w:ascii="Arial" w:hAnsi="Arial" w:cs="Arial"/>
          <w:sz w:val="26"/>
          <w:szCs w:val="26"/>
        </w:rPr>
        <w:t xml:space="preserve"> quienes actúan con el Licenciado Juan Edy García Coronado, Secretario General de Acuerdos de este Tribunal, que autoriza y da fe. -</w:t>
      </w:r>
      <w:r w:rsidR="00AA7B8E">
        <w:rPr>
          <w:rFonts w:ascii="Arial" w:hAnsi="Arial" w:cs="Arial"/>
          <w:sz w:val="26"/>
          <w:szCs w:val="26"/>
        </w:rPr>
        <w:t xml:space="preserve"> - - - - - - - - - - - - - - - - </w:t>
      </w:r>
      <w:r w:rsidR="00C172D3">
        <w:rPr>
          <w:rFonts w:ascii="Arial" w:hAnsi="Arial" w:cs="Arial"/>
          <w:sz w:val="26"/>
          <w:szCs w:val="26"/>
        </w:rPr>
        <w:t>- - - - - - - - - - - - -</w:t>
      </w:r>
      <w:r w:rsidR="00753571">
        <w:rPr>
          <w:rFonts w:ascii="Arial" w:hAnsi="Arial" w:cs="Arial"/>
          <w:sz w:val="26"/>
          <w:szCs w:val="26"/>
        </w:rPr>
        <w:t xml:space="preserve"> - - - - - - - - - - </w:t>
      </w:r>
    </w:p>
    <w:p w14:paraId="5AC42CD2" w14:textId="77777777" w:rsidR="00753571" w:rsidRDefault="00753571" w:rsidP="007E1A52">
      <w:pPr>
        <w:widowControl w:val="0"/>
        <w:tabs>
          <w:tab w:val="left" w:pos="7938"/>
        </w:tabs>
        <w:spacing w:after="120" w:line="360" w:lineRule="auto"/>
        <w:ind w:right="17"/>
        <w:jc w:val="both"/>
        <w:rPr>
          <w:rFonts w:ascii="Arial" w:hAnsi="Arial" w:cs="Arial"/>
          <w:sz w:val="26"/>
          <w:szCs w:val="26"/>
        </w:rPr>
      </w:pPr>
    </w:p>
    <w:p w14:paraId="7DE236BD" w14:textId="77777777" w:rsidR="00753571" w:rsidRDefault="00753571" w:rsidP="00753571">
      <w:pPr>
        <w:widowControl w:val="0"/>
        <w:tabs>
          <w:tab w:val="left" w:pos="7938"/>
        </w:tabs>
        <w:spacing w:after="120" w:line="360" w:lineRule="auto"/>
        <w:ind w:right="17" w:firstLine="709"/>
        <w:jc w:val="both"/>
        <w:rPr>
          <w:rFonts w:ascii="Arial" w:hAnsi="Arial" w:cs="Arial"/>
          <w:sz w:val="26"/>
          <w:szCs w:val="26"/>
        </w:rPr>
      </w:pPr>
    </w:p>
    <w:p w14:paraId="260C74AF" w14:textId="147435F5" w:rsidR="00344445" w:rsidRPr="00753571" w:rsidRDefault="00460EEF" w:rsidP="00753571">
      <w:pPr>
        <w:widowControl w:val="0"/>
        <w:tabs>
          <w:tab w:val="left" w:pos="7938"/>
        </w:tabs>
        <w:spacing w:after="120" w:line="360" w:lineRule="auto"/>
        <w:ind w:right="17" w:firstLine="709"/>
        <w:jc w:val="both"/>
        <w:rPr>
          <w:rFonts w:ascii="Arial" w:hAnsi="Arial" w:cs="Arial"/>
          <w:sz w:val="26"/>
          <w:szCs w:val="26"/>
        </w:rPr>
      </w:pPr>
      <w:r>
        <w:rPr>
          <w:rFonts w:ascii="Arial" w:hAnsi="Arial" w:cs="Arial"/>
          <w:sz w:val="26"/>
          <w:szCs w:val="26"/>
        </w:rPr>
        <w:t xml:space="preserve"> </w:t>
      </w:r>
    </w:p>
    <w:p w14:paraId="46E512D9" w14:textId="77777777" w:rsidR="00344445" w:rsidRPr="00344445" w:rsidRDefault="00344445" w:rsidP="00AA7B8E">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MAGISTRADO MANUEL VELASCO ALCÁNTARA</w:t>
      </w:r>
    </w:p>
    <w:p w14:paraId="5D10EE4A" w14:textId="77777777" w:rsidR="00344445" w:rsidRDefault="00344445" w:rsidP="00AA7B8E">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PRESIDENTE</w:t>
      </w:r>
    </w:p>
    <w:p w14:paraId="19D17B4F" w14:textId="4946AA95" w:rsidR="00753571" w:rsidRDefault="00753571" w:rsidP="007E1A52">
      <w:pPr>
        <w:tabs>
          <w:tab w:val="center" w:pos="4135"/>
          <w:tab w:val="left" w:pos="7515"/>
        </w:tabs>
        <w:spacing w:line="360" w:lineRule="auto"/>
        <w:rPr>
          <w:rFonts w:ascii="Arial" w:eastAsia="Times New Roman" w:hAnsi="Arial" w:cs="Arial"/>
          <w:sz w:val="26"/>
          <w:szCs w:val="26"/>
        </w:rPr>
      </w:pPr>
    </w:p>
    <w:p w14:paraId="370AE0E9" w14:textId="77777777" w:rsidR="00753571" w:rsidRPr="00344445" w:rsidRDefault="00753571" w:rsidP="00344445">
      <w:pPr>
        <w:tabs>
          <w:tab w:val="center" w:pos="4135"/>
          <w:tab w:val="left" w:pos="7515"/>
        </w:tabs>
        <w:spacing w:line="360" w:lineRule="auto"/>
        <w:jc w:val="center"/>
        <w:rPr>
          <w:rFonts w:ascii="Arial" w:eastAsia="Times New Roman" w:hAnsi="Arial" w:cs="Arial"/>
          <w:sz w:val="26"/>
          <w:szCs w:val="26"/>
        </w:rPr>
      </w:pPr>
    </w:p>
    <w:p w14:paraId="6D927674" w14:textId="77777777" w:rsidR="00344445" w:rsidRPr="00344445" w:rsidRDefault="00344445" w:rsidP="00344445">
      <w:pPr>
        <w:tabs>
          <w:tab w:val="center" w:pos="4135"/>
          <w:tab w:val="left" w:pos="7515"/>
        </w:tabs>
        <w:spacing w:line="360" w:lineRule="auto"/>
        <w:jc w:val="center"/>
        <w:rPr>
          <w:rFonts w:ascii="Arial" w:eastAsia="Times New Roman" w:hAnsi="Arial" w:cs="Arial"/>
          <w:sz w:val="26"/>
          <w:szCs w:val="26"/>
        </w:rPr>
      </w:pPr>
    </w:p>
    <w:p w14:paraId="68FBECB2" w14:textId="77777777" w:rsidR="00753571" w:rsidRDefault="00344445" w:rsidP="00753571">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RAÚL PALOMARES PALOMINO</w:t>
      </w:r>
    </w:p>
    <w:p w14:paraId="7D85E712" w14:textId="14FE9547" w:rsidR="00753571" w:rsidRDefault="00753571" w:rsidP="00344445">
      <w:pPr>
        <w:tabs>
          <w:tab w:val="center" w:pos="4135"/>
          <w:tab w:val="left" w:pos="7515"/>
        </w:tabs>
        <w:spacing w:line="360" w:lineRule="auto"/>
        <w:jc w:val="center"/>
        <w:rPr>
          <w:rFonts w:ascii="Arial" w:eastAsia="Times New Roman" w:hAnsi="Arial" w:cs="Arial"/>
          <w:sz w:val="26"/>
          <w:szCs w:val="26"/>
        </w:rPr>
      </w:pPr>
    </w:p>
    <w:p w14:paraId="06981271" w14:textId="77777777" w:rsidR="007E1A52" w:rsidRDefault="007E1A52" w:rsidP="00344445">
      <w:pPr>
        <w:tabs>
          <w:tab w:val="center" w:pos="4135"/>
          <w:tab w:val="left" w:pos="7515"/>
        </w:tabs>
        <w:spacing w:line="360" w:lineRule="auto"/>
        <w:jc w:val="center"/>
        <w:rPr>
          <w:rFonts w:ascii="Arial" w:eastAsia="Times New Roman" w:hAnsi="Arial" w:cs="Arial"/>
          <w:sz w:val="26"/>
          <w:szCs w:val="26"/>
        </w:rPr>
      </w:pPr>
    </w:p>
    <w:p w14:paraId="05B18276" w14:textId="77777777" w:rsidR="00753571" w:rsidRPr="00344445" w:rsidRDefault="00753571" w:rsidP="00344445">
      <w:pPr>
        <w:tabs>
          <w:tab w:val="center" w:pos="4135"/>
          <w:tab w:val="left" w:pos="7515"/>
        </w:tabs>
        <w:spacing w:line="360" w:lineRule="auto"/>
        <w:jc w:val="center"/>
        <w:rPr>
          <w:rFonts w:ascii="Arial" w:eastAsia="Times New Roman" w:hAnsi="Arial" w:cs="Arial"/>
          <w:sz w:val="26"/>
          <w:szCs w:val="26"/>
        </w:rPr>
      </w:pPr>
    </w:p>
    <w:p w14:paraId="7FF5CCA0" w14:textId="77777777" w:rsidR="00344445" w:rsidRPr="00344445" w:rsidRDefault="00344445" w:rsidP="00344445">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MAGISTRADA GLORIA DEL CARMEN CAMACHO MEZA</w:t>
      </w:r>
    </w:p>
    <w:p w14:paraId="13083273" w14:textId="77777777" w:rsidR="007E1A52" w:rsidRPr="00753571" w:rsidRDefault="007E1A52" w:rsidP="007E1A52">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b/>
          <w:bCs/>
          <w:sz w:val="16"/>
          <w:szCs w:val="16"/>
        </w:rPr>
        <w:lastRenderedPageBreak/>
        <w:t xml:space="preserve">LAS PRESENTES FIRMAS CORRESPONDEN A LA RESOLUCIÓN DEL RECURSO DE REVISIÓN </w:t>
      </w:r>
      <w:r>
        <w:rPr>
          <w:rFonts w:ascii="Arial" w:eastAsia="Times New Roman" w:hAnsi="Arial" w:cs="Arial"/>
          <w:b/>
          <w:bCs/>
          <w:sz w:val="16"/>
          <w:szCs w:val="16"/>
        </w:rPr>
        <w:t>0030/</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7DDA2D2D" w14:textId="36041886" w:rsidR="00753571" w:rsidRDefault="00753571" w:rsidP="00344445">
      <w:pPr>
        <w:tabs>
          <w:tab w:val="center" w:pos="4135"/>
          <w:tab w:val="left" w:pos="7515"/>
        </w:tabs>
        <w:spacing w:line="360" w:lineRule="auto"/>
        <w:jc w:val="center"/>
        <w:rPr>
          <w:rFonts w:ascii="Arial" w:eastAsia="Times New Roman" w:hAnsi="Arial" w:cs="Arial"/>
          <w:sz w:val="26"/>
          <w:szCs w:val="26"/>
        </w:rPr>
      </w:pPr>
    </w:p>
    <w:p w14:paraId="562DAC36" w14:textId="31348429" w:rsidR="00753571" w:rsidRDefault="00753571" w:rsidP="00344445">
      <w:pPr>
        <w:tabs>
          <w:tab w:val="center" w:pos="4135"/>
          <w:tab w:val="left" w:pos="7515"/>
        </w:tabs>
        <w:spacing w:line="360" w:lineRule="auto"/>
        <w:jc w:val="center"/>
        <w:rPr>
          <w:rFonts w:ascii="Arial" w:eastAsia="Times New Roman" w:hAnsi="Arial" w:cs="Arial"/>
          <w:sz w:val="26"/>
          <w:szCs w:val="26"/>
        </w:rPr>
      </w:pPr>
    </w:p>
    <w:p w14:paraId="46BEEBFD" w14:textId="77777777" w:rsidR="00753571" w:rsidRPr="00344445" w:rsidRDefault="00753571" w:rsidP="00344445">
      <w:pPr>
        <w:tabs>
          <w:tab w:val="center" w:pos="4135"/>
          <w:tab w:val="left" w:pos="7515"/>
        </w:tabs>
        <w:spacing w:line="360" w:lineRule="auto"/>
        <w:jc w:val="center"/>
        <w:rPr>
          <w:rFonts w:ascii="Arial" w:eastAsia="Times New Roman" w:hAnsi="Arial" w:cs="Arial"/>
          <w:sz w:val="26"/>
          <w:szCs w:val="26"/>
        </w:rPr>
      </w:pPr>
    </w:p>
    <w:p w14:paraId="4C81F7B8" w14:textId="31093E16" w:rsidR="00E92BDA" w:rsidRPr="00344445" w:rsidRDefault="00344445" w:rsidP="00E92BDA">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PAULO JOSÉ LUIS TAPIA PALACIOS</w:t>
      </w:r>
    </w:p>
    <w:p w14:paraId="3F59343A" w14:textId="2570339C" w:rsidR="002D24C6" w:rsidRDefault="002D24C6" w:rsidP="00344445">
      <w:pPr>
        <w:tabs>
          <w:tab w:val="center" w:pos="4135"/>
          <w:tab w:val="left" w:pos="7515"/>
        </w:tabs>
        <w:spacing w:line="360" w:lineRule="auto"/>
        <w:jc w:val="center"/>
        <w:rPr>
          <w:rFonts w:ascii="Arial" w:eastAsia="Times New Roman" w:hAnsi="Arial" w:cs="Arial"/>
          <w:sz w:val="26"/>
          <w:szCs w:val="26"/>
        </w:rPr>
      </w:pPr>
    </w:p>
    <w:p w14:paraId="6011EEB4" w14:textId="2AFF4FC0" w:rsidR="00753571" w:rsidRDefault="00753571" w:rsidP="00344445">
      <w:pPr>
        <w:tabs>
          <w:tab w:val="center" w:pos="4135"/>
          <w:tab w:val="left" w:pos="7515"/>
        </w:tabs>
        <w:spacing w:line="360" w:lineRule="auto"/>
        <w:jc w:val="center"/>
        <w:rPr>
          <w:rFonts w:ascii="Arial" w:eastAsia="Times New Roman" w:hAnsi="Arial" w:cs="Arial"/>
          <w:sz w:val="26"/>
          <w:szCs w:val="26"/>
        </w:rPr>
      </w:pPr>
    </w:p>
    <w:p w14:paraId="1FA342DB" w14:textId="77777777" w:rsidR="00753571" w:rsidRDefault="00753571" w:rsidP="00344445">
      <w:pPr>
        <w:tabs>
          <w:tab w:val="center" w:pos="4135"/>
          <w:tab w:val="left" w:pos="7515"/>
        </w:tabs>
        <w:spacing w:line="360" w:lineRule="auto"/>
        <w:jc w:val="center"/>
        <w:rPr>
          <w:rFonts w:ascii="Arial" w:eastAsia="Times New Roman" w:hAnsi="Arial" w:cs="Arial"/>
          <w:sz w:val="26"/>
          <w:szCs w:val="26"/>
        </w:rPr>
      </w:pPr>
    </w:p>
    <w:p w14:paraId="7751D82F" w14:textId="3D802AB7" w:rsidR="00344445" w:rsidRPr="00344445" w:rsidRDefault="00E92BDA" w:rsidP="0034444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 xml:space="preserve">MAGISTRADO </w:t>
      </w:r>
      <w:r w:rsidRPr="00E92BDA">
        <w:rPr>
          <w:rFonts w:ascii="Arial" w:eastAsia="Times New Roman" w:hAnsi="Arial" w:cs="Arial"/>
          <w:sz w:val="26"/>
          <w:szCs w:val="26"/>
        </w:rPr>
        <w:t>ELÍAS CORTÉS LÓPEZ</w:t>
      </w:r>
    </w:p>
    <w:p w14:paraId="5C356744" w14:textId="554897AF" w:rsidR="002D24C6" w:rsidRDefault="002D24C6" w:rsidP="00AA7B8E">
      <w:pPr>
        <w:spacing w:after="0" w:line="240" w:lineRule="auto"/>
        <w:jc w:val="center"/>
        <w:rPr>
          <w:rFonts w:ascii="Arial" w:eastAsia="Times New Roman" w:hAnsi="Arial" w:cs="Arial"/>
          <w:sz w:val="26"/>
          <w:szCs w:val="26"/>
        </w:rPr>
      </w:pPr>
    </w:p>
    <w:p w14:paraId="5CF00364" w14:textId="7EBF05F7" w:rsidR="00753571" w:rsidRDefault="00753571" w:rsidP="00AA7B8E">
      <w:pPr>
        <w:spacing w:after="0" w:line="240" w:lineRule="auto"/>
        <w:jc w:val="center"/>
        <w:rPr>
          <w:rFonts w:ascii="Arial" w:eastAsia="Times New Roman" w:hAnsi="Arial" w:cs="Arial"/>
          <w:sz w:val="26"/>
          <w:szCs w:val="26"/>
        </w:rPr>
      </w:pPr>
    </w:p>
    <w:p w14:paraId="0154D17D" w14:textId="2DF56C85" w:rsidR="00753571" w:rsidRDefault="00753571" w:rsidP="00AA7B8E">
      <w:pPr>
        <w:spacing w:after="0" w:line="240" w:lineRule="auto"/>
        <w:jc w:val="center"/>
        <w:rPr>
          <w:rFonts w:ascii="Arial" w:eastAsia="Times New Roman" w:hAnsi="Arial" w:cs="Arial"/>
          <w:sz w:val="26"/>
          <w:szCs w:val="26"/>
        </w:rPr>
      </w:pPr>
    </w:p>
    <w:p w14:paraId="29C1283C" w14:textId="72315A17" w:rsidR="00753571" w:rsidRDefault="00753571" w:rsidP="00AA7B8E">
      <w:pPr>
        <w:spacing w:after="0" w:line="240" w:lineRule="auto"/>
        <w:jc w:val="center"/>
        <w:rPr>
          <w:rFonts w:ascii="Arial" w:eastAsia="Times New Roman" w:hAnsi="Arial" w:cs="Arial"/>
          <w:sz w:val="26"/>
          <w:szCs w:val="26"/>
        </w:rPr>
      </w:pPr>
    </w:p>
    <w:p w14:paraId="6A5A0B74" w14:textId="1B765EF3" w:rsidR="00753571" w:rsidRDefault="00753571" w:rsidP="00AA7B8E">
      <w:pPr>
        <w:spacing w:after="0" w:line="240" w:lineRule="auto"/>
        <w:jc w:val="center"/>
        <w:rPr>
          <w:rFonts w:ascii="Arial" w:eastAsia="Times New Roman" w:hAnsi="Arial" w:cs="Arial"/>
          <w:sz w:val="26"/>
          <w:szCs w:val="26"/>
        </w:rPr>
      </w:pPr>
    </w:p>
    <w:p w14:paraId="272542C8" w14:textId="77777777" w:rsidR="00753571" w:rsidRDefault="00753571" w:rsidP="00AA7B8E">
      <w:pPr>
        <w:spacing w:after="0" w:line="240" w:lineRule="auto"/>
        <w:jc w:val="center"/>
        <w:rPr>
          <w:rFonts w:ascii="Arial" w:eastAsia="Times New Roman" w:hAnsi="Arial" w:cs="Arial"/>
          <w:sz w:val="26"/>
          <w:szCs w:val="26"/>
        </w:rPr>
      </w:pPr>
    </w:p>
    <w:p w14:paraId="19DF7ABD" w14:textId="77777777" w:rsidR="00344445" w:rsidRPr="00344445" w:rsidRDefault="00344445" w:rsidP="00AA7B8E">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LICENCIADO JUAN EDY GARCÍA CORONADO.</w:t>
      </w:r>
    </w:p>
    <w:p w14:paraId="2D745B49" w14:textId="77777777" w:rsidR="00344445" w:rsidRPr="00344445" w:rsidRDefault="00344445" w:rsidP="00AA7B8E">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SECRETARIO GENERAL DE ACUERDOS.</w:t>
      </w:r>
    </w:p>
    <w:p w14:paraId="63DEC2F4" w14:textId="77777777" w:rsidR="00344445" w:rsidRPr="00344445" w:rsidRDefault="00344445" w:rsidP="00344445">
      <w:pPr>
        <w:rPr>
          <w:rFonts w:ascii="Calibri" w:eastAsia="Times New Roman" w:hAnsi="Calibri" w:cs="Times New Roman"/>
        </w:rPr>
      </w:pPr>
      <w:r w:rsidRPr="00344445">
        <w:rPr>
          <w:rFonts w:ascii="Calibri" w:eastAsia="Times New Roman" w:hAnsi="Calibri" w:cs="Times New Roman"/>
        </w:rPr>
        <w:t xml:space="preserve"> </w:t>
      </w:r>
    </w:p>
    <w:sectPr w:rsidR="00344445" w:rsidRPr="00344445" w:rsidSect="00AF5B98">
      <w:headerReference w:type="even" r:id="rId8"/>
      <w:headerReference w:type="default" r:id="rId9"/>
      <w:footerReference w:type="default" r:id="rId10"/>
      <w:headerReference w:type="first" r:id="rId11"/>
      <w:pgSz w:w="12240" w:h="20160" w:code="5"/>
      <w:pgMar w:top="1560" w:right="1134" w:bottom="1843"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23466E" w14:textId="77777777" w:rsidR="00495E42" w:rsidRDefault="00495E42">
      <w:pPr>
        <w:spacing w:after="0" w:line="240" w:lineRule="auto"/>
      </w:pPr>
      <w:r>
        <w:separator/>
      </w:r>
    </w:p>
  </w:endnote>
  <w:endnote w:type="continuationSeparator" w:id="0">
    <w:p w14:paraId="10898462" w14:textId="77777777" w:rsidR="00495E42" w:rsidRDefault="00495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819F2A" w14:textId="77777777" w:rsidR="00495E42" w:rsidRDefault="00495E42">
      <w:pPr>
        <w:spacing w:after="0" w:line="240" w:lineRule="auto"/>
      </w:pPr>
      <w:r>
        <w:separator/>
      </w:r>
    </w:p>
  </w:footnote>
  <w:footnote w:type="continuationSeparator" w:id="0">
    <w:p w14:paraId="403E7229" w14:textId="77777777" w:rsidR="00495E42" w:rsidRDefault="00495E42">
      <w:pPr>
        <w:spacing w:after="0" w:line="240" w:lineRule="auto"/>
      </w:pPr>
      <w:r>
        <w:continuationSeparator/>
      </w:r>
    </w:p>
  </w:footnote>
  <w:footnote w:id="1">
    <w:p w14:paraId="1618BA37" w14:textId="78349DF7" w:rsidR="003B4539" w:rsidRPr="00070FFE" w:rsidRDefault="003B4539" w:rsidP="00070FFE">
      <w:pPr>
        <w:pStyle w:val="Textonotapie"/>
        <w:jc w:val="both"/>
        <w:rPr>
          <w:sz w:val="18"/>
          <w:szCs w:val="18"/>
        </w:rPr>
      </w:pPr>
      <w:r w:rsidRPr="00070FFE">
        <w:rPr>
          <w:rStyle w:val="Refdenotaalpie"/>
          <w:sz w:val="18"/>
          <w:szCs w:val="18"/>
        </w:rPr>
        <w:footnoteRef/>
      </w:r>
      <w:r w:rsidRPr="00070FFE">
        <w:rPr>
          <w:sz w:val="18"/>
          <w:szCs w:val="18"/>
        </w:rPr>
        <w:t xml:space="preserve"> “</w:t>
      </w:r>
      <w:r w:rsidRPr="00070FFE">
        <w:rPr>
          <w:b/>
          <w:bCs/>
          <w:sz w:val="18"/>
          <w:szCs w:val="18"/>
        </w:rPr>
        <w:t>ARTÍCULO 203.-</w:t>
      </w:r>
      <w:r w:rsidRPr="00070FFE">
        <w:rPr>
          <w:sz w:val="18"/>
          <w:szCs w:val="18"/>
        </w:rPr>
        <w:t xml:space="preserve"> La valoración de las pruebas se hará de acuerdo con las siguientes reglas:</w:t>
      </w:r>
    </w:p>
    <w:p w14:paraId="4DAC834C" w14:textId="77777777" w:rsidR="003B4539" w:rsidRPr="00070FFE" w:rsidRDefault="003B4539" w:rsidP="00070FFE">
      <w:pPr>
        <w:pStyle w:val="Textonotapie"/>
        <w:jc w:val="both"/>
        <w:rPr>
          <w:sz w:val="18"/>
          <w:szCs w:val="18"/>
        </w:rPr>
      </w:pPr>
    </w:p>
    <w:p w14:paraId="2D7647C7" w14:textId="474C4F79" w:rsidR="003B4539" w:rsidRPr="00070FFE" w:rsidRDefault="003B4539" w:rsidP="00070FFE">
      <w:pPr>
        <w:pStyle w:val="Textonotapie"/>
        <w:jc w:val="both"/>
        <w:rPr>
          <w:sz w:val="18"/>
          <w:szCs w:val="18"/>
        </w:rPr>
      </w:pPr>
      <w:r w:rsidRPr="00070FFE">
        <w:rPr>
          <w:sz w:val="18"/>
          <w:szCs w:val="18"/>
        </w:rPr>
        <w:t>I. Harán prueba plena la confesión expresa de las partes y los actos contenidos en</w:t>
      </w:r>
      <w:r w:rsidR="00070FFE">
        <w:rPr>
          <w:sz w:val="18"/>
          <w:szCs w:val="18"/>
        </w:rPr>
        <w:t xml:space="preserve"> </w:t>
      </w:r>
      <w:r w:rsidRPr="00070FFE">
        <w:rPr>
          <w:sz w:val="18"/>
          <w:szCs w:val="18"/>
        </w:rPr>
        <w:t>documentos públicos, si en éstos últimos se contienen declaraciones de verdad o</w:t>
      </w:r>
      <w:r w:rsidR="00070FFE">
        <w:rPr>
          <w:sz w:val="18"/>
          <w:szCs w:val="18"/>
        </w:rPr>
        <w:t xml:space="preserve"> </w:t>
      </w:r>
      <w:r w:rsidRPr="00070FFE">
        <w:rPr>
          <w:sz w:val="18"/>
          <w:szCs w:val="18"/>
        </w:rPr>
        <w:t>manifestaciones de hechos de particulares; y …”</w:t>
      </w:r>
    </w:p>
  </w:footnote>
  <w:footnote w:id="2">
    <w:p w14:paraId="6D9568B6" w14:textId="77777777" w:rsidR="00802565" w:rsidRDefault="00802565" w:rsidP="00802565">
      <w:pPr>
        <w:pStyle w:val="Textonotapie"/>
      </w:pPr>
      <w:r>
        <w:rPr>
          <w:rStyle w:val="Refdenotaalpie"/>
        </w:rPr>
        <w:footnoteRef/>
      </w:r>
      <w:r>
        <w:t xml:space="preserve"> </w:t>
      </w:r>
      <w:r w:rsidRPr="008D0852">
        <w:rPr>
          <w:b/>
        </w:rPr>
        <w:t>ARTÍCULO 17</w:t>
      </w:r>
      <w:r>
        <w:t>.- Son elementos y requisitos de validez del acto administrativo:</w:t>
      </w:r>
    </w:p>
    <w:p w14:paraId="17DEF958" w14:textId="77777777" w:rsidR="00802565" w:rsidRDefault="00802565" w:rsidP="00802565">
      <w:pPr>
        <w:pStyle w:val="Textonotapie"/>
      </w:pPr>
      <w: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7E1A5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7E1A52">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7E1A5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7E1A52">
          <w:rPr>
            <w:noProof/>
            <w:lang w:val="es-ES"/>
          </w:rPr>
          <w:t>11</w:t>
        </w:r>
        <w:r w:rsidR="000F5C41">
          <w:fldChar w:fldCharType="end"/>
        </w:r>
      </w:sdtContent>
    </w:sdt>
  </w:p>
  <w:p w14:paraId="51E22156" w14:textId="64D5E579" w:rsidR="00655BA3" w:rsidRDefault="007E1A5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0027F86" wp14:editId="1453905C">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AE3193D" w14:textId="77777777" w:rsidR="007E1A52" w:rsidRDefault="007E1A52" w:rsidP="007E1A5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027F86"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0AE3193D" w14:textId="77777777" w:rsidR="007E1A52" w:rsidRDefault="007E1A52" w:rsidP="007E1A5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58240"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220D3E5" id="Grupo 3" o:spid="_x0000_s1026" style="position:absolute;margin-left:-107.25pt;margin-top:397.9pt;width:90pt;height:63.6pt;z-index:251658240;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7E1A5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001FEF"/>
    <w:multiLevelType w:val="hybridMultilevel"/>
    <w:tmpl w:val="EC1230EE"/>
    <w:lvl w:ilvl="0" w:tplc="3EA46B12">
      <w:start w:val="1"/>
      <w:numFmt w:val="upperRoman"/>
      <w:lvlText w:val="%1."/>
      <w:lvlJc w:val="left"/>
      <w:pPr>
        <w:ind w:left="2847" w:hanging="720"/>
      </w:pPr>
      <w:rPr>
        <w:rFonts w:hint="default"/>
      </w:rPr>
    </w:lvl>
    <w:lvl w:ilvl="1" w:tplc="080A0019" w:tentative="1">
      <w:start w:val="1"/>
      <w:numFmt w:val="lowerLetter"/>
      <w:lvlText w:val="%2."/>
      <w:lvlJc w:val="left"/>
      <w:pPr>
        <w:ind w:left="3207" w:hanging="360"/>
      </w:pPr>
    </w:lvl>
    <w:lvl w:ilvl="2" w:tplc="080A001B" w:tentative="1">
      <w:start w:val="1"/>
      <w:numFmt w:val="lowerRoman"/>
      <w:lvlText w:val="%3."/>
      <w:lvlJc w:val="right"/>
      <w:pPr>
        <w:ind w:left="3927" w:hanging="180"/>
      </w:pPr>
    </w:lvl>
    <w:lvl w:ilvl="3" w:tplc="080A000F" w:tentative="1">
      <w:start w:val="1"/>
      <w:numFmt w:val="decimal"/>
      <w:lvlText w:val="%4."/>
      <w:lvlJc w:val="left"/>
      <w:pPr>
        <w:ind w:left="4647" w:hanging="360"/>
      </w:pPr>
    </w:lvl>
    <w:lvl w:ilvl="4" w:tplc="080A0019" w:tentative="1">
      <w:start w:val="1"/>
      <w:numFmt w:val="lowerLetter"/>
      <w:lvlText w:val="%5."/>
      <w:lvlJc w:val="left"/>
      <w:pPr>
        <w:ind w:left="5367" w:hanging="360"/>
      </w:pPr>
    </w:lvl>
    <w:lvl w:ilvl="5" w:tplc="080A001B" w:tentative="1">
      <w:start w:val="1"/>
      <w:numFmt w:val="lowerRoman"/>
      <w:lvlText w:val="%6."/>
      <w:lvlJc w:val="right"/>
      <w:pPr>
        <w:ind w:left="6087" w:hanging="180"/>
      </w:pPr>
    </w:lvl>
    <w:lvl w:ilvl="6" w:tplc="080A000F" w:tentative="1">
      <w:start w:val="1"/>
      <w:numFmt w:val="decimal"/>
      <w:lvlText w:val="%7."/>
      <w:lvlJc w:val="left"/>
      <w:pPr>
        <w:ind w:left="6807" w:hanging="360"/>
      </w:pPr>
    </w:lvl>
    <w:lvl w:ilvl="7" w:tplc="080A0019" w:tentative="1">
      <w:start w:val="1"/>
      <w:numFmt w:val="lowerLetter"/>
      <w:lvlText w:val="%8."/>
      <w:lvlJc w:val="left"/>
      <w:pPr>
        <w:ind w:left="7527" w:hanging="360"/>
      </w:pPr>
    </w:lvl>
    <w:lvl w:ilvl="8" w:tplc="080A001B" w:tentative="1">
      <w:start w:val="1"/>
      <w:numFmt w:val="lowerRoman"/>
      <w:lvlText w:val="%9."/>
      <w:lvlJc w:val="right"/>
      <w:pPr>
        <w:ind w:left="824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6F06304"/>
    <w:multiLevelType w:val="hybridMultilevel"/>
    <w:tmpl w:val="A3487AEC"/>
    <w:lvl w:ilvl="0" w:tplc="41C697E6">
      <w:start w:val="1"/>
      <w:numFmt w:val="upperRoman"/>
      <w:lvlText w:val="%1."/>
      <w:lvlJc w:val="left"/>
      <w:pPr>
        <w:ind w:left="912" w:hanging="185"/>
        <w:jc w:val="left"/>
      </w:pPr>
      <w:rPr>
        <w:rFonts w:ascii="Arial" w:eastAsia="Arial" w:hAnsi="Arial" w:cs="Arial" w:hint="default"/>
        <w:b/>
        <w:bCs/>
        <w:spacing w:val="0"/>
        <w:w w:val="99"/>
        <w:sz w:val="22"/>
        <w:szCs w:val="22"/>
      </w:rPr>
    </w:lvl>
    <w:lvl w:ilvl="1" w:tplc="EBA60888">
      <w:start w:val="1"/>
      <w:numFmt w:val="lowerLetter"/>
      <w:lvlText w:val="%2)"/>
      <w:lvlJc w:val="left"/>
      <w:pPr>
        <w:ind w:left="1617" w:hanging="274"/>
        <w:jc w:val="left"/>
      </w:pPr>
      <w:rPr>
        <w:rFonts w:ascii="Arial" w:eastAsia="Arial" w:hAnsi="Arial" w:cs="Arial" w:hint="default"/>
        <w:b/>
        <w:bCs/>
        <w:w w:val="100"/>
        <w:sz w:val="22"/>
        <w:szCs w:val="22"/>
      </w:rPr>
    </w:lvl>
    <w:lvl w:ilvl="2" w:tplc="B678C73A">
      <w:numFmt w:val="bullet"/>
      <w:lvlText w:val="•"/>
      <w:lvlJc w:val="left"/>
      <w:pPr>
        <w:ind w:left="2580" w:hanging="274"/>
      </w:pPr>
      <w:rPr>
        <w:rFonts w:hint="default"/>
      </w:rPr>
    </w:lvl>
    <w:lvl w:ilvl="3" w:tplc="A8D6904A">
      <w:numFmt w:val="bullet"/>
      <w:lvlText w:val="•"/>
      <w:lvlJc w:val="left"/>
      <w:pPr>
        <w:ind w:left="3540" w:hanging="274"/>
      </w:pPr>
      <w:rPr>
        <w:rFonts w:hint="default"/>
      </w:rPr>
    </w:lvl>
    <w:lvl w:ilvl="4" w:tplc="D812A778">
      <w:numFmt w:val="bullet"/>
      <w:lvlText w:val="•"/>
      <w:lvlJc w:val="left"/>
      <w:pPr>
        <w:ind w:left="4500" w:hanging="274"/>
      </w:pPr>
      <w:rPr>
        <w:rFonts w:hint="default"/>
      </w:rPr>
    </w:lvl>
    <w:lvl w:ilvl="5" w:tplc="1B5E3E28">
      <w:numFmt w:val="bullet"/>
      <w:lvlText w:val="•"/>
      <w:lvlJc w:val="left"/>
      <w:pPr>
        <w:ind w:left="5460" w:hanging="274"/>
      </w:pPr>
      <w:rPr>
        <w:rFonts w:hint="default"/>
      </w:rPr>
    </w:lvl>
    <w:lvl w:ilvl="6" w:tplc="FF24D3BC">
      <w:numFmt w:val="bullet"/>
      <w:lvlText w:val="•"/>
      <w:lvlJc w:val="left"/>
      <w:pPr>
        <w:ind w:left="6420" w:hanging="274"/>
      </w:pPr>
      <w:rPr>
        <w:rFonts w:hint="default"/>
      </w:rPr>
    </w:lvl>
    <w:lvl w:ilvl="7" w:tplc="8F4E391E">
      <w:numFmt w:val="bullet"/>
      <w:lvlText w:val="•"/>
      <w:lvlJc w:val="left"/>
      <w:pPr>
        <w:ind w:left="7380" w:hanging="274"/>
      </w:pPr>
      <w:rPr>
        <w:rFonts w:hint="default"/>
      </w:rPr>
    </w:lvl>
    <w:lvl w:ilvl="8" w:tplc="88BE5316">
      <w:numFmt w:val="bullet"/>
      <w:lvlText w:val="•"/>
      <w:lvlJc w:val="left"/>
      <w:pPr>
        <w:ind w:left="8340" w:hanging="274"/>
      </w:pPr>
      <w:rPr>
        <w:rFonts w:hint="default"/>
      </w:r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3"/>
  </w:num>
  <w:num w:numId="3">
    <w:abstractNumId w:val="0"/>
  </w:num>
  <w:num w:numId="4">
    <w:abstractNumId w:val="9"/>
  </w:num>
  <w:num w:numId="5">
    <w:abstractNumId w:val="12"/>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11"/>
  </w:num>
  <w:num w:numId="14">
    <w:abstractNumId w:val="13"/>
  </w:num>
  <w:num w:numId="15">
    <w:abstractNumId w:val="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37CB"/>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393"/>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5B42"/>
    <w:rsid w:val="00067B5A"/>
    <w:rsid w:val="00070248"/>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F74"/>
    <w:rsid w:val="00086277"/>
    <w:rsid w:val="00086D53"/>
    <w:rsid w:val="00086DC5"/>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7B5"/>
    <w:rsid w:val="000C4974"/>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7D9"/>
    <w:rsid w:val="000E0CD7"/>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4A6"/>
    <w:rsid w:val="001019F2"/>
    <w:rsid w:val="00101B29"/>
    <w:rsid w:val="001025E5"/>
    <w:rsid w:val="00102AFD"/>
    <w:rsid w:val="001039D9"/>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1E33"/>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5132"/>
    <w:rsid w:val="0013555E"/>
    <w:rsid w:val="00135B0C"/>
    <w:rsid w:val="00136897"/>
    <w:rsid w:val="0013695E"/>
    <w:rsid w:val="00136FB8"/>
    <w:rsid w:val="00137C86"/>
    <w:rsid w:val="0014043C"/>
    <w:rsid w:val="00140D7E"/>
    <w:rsid w:val="00141CA7"/>
    <w:rsid w:val="00142417"/>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BE"/>
    <w:rsid w:val="001542F4"/>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6C2"/>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2515"/>
    <w:rsid w:val="001E25CF"/>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412"/>
    <w:rsid w:val="0022444B"/>
    <w:rsid w:val="002245FB"/>
    <w:rsid w:val="002246DF"/>
    <w:rsid w:val="002248E9"/>
    <w:rsid w:val="00225069"/>
    <w:rsid w:val="0022552E"/>
    <w:rsid w:val="00227445"/>
    <w:rsid w:val="00227471"/>
    <w:rsid w:val="00230758"/>
    <w:rsid w:val="00230D10"/>
    <w:rsid w:val="00231036"/>
    <w:rsid w:val="00232D7F"/>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60BB"/>
    <w:rsid w:val="00256B3C"/>
    <w:rsid w:val="00256E7D"/>
    <w:rsid w:val="00256F27"/>
    <w:rsid w:val="00257816"/>
    <w:rsid w:val="00257C5E"/>
    <w:rsid w:val="00260433"/>
    <w:rsid w:val="002605BC"/>
    <w:rsid w:val="0026116F"/>
    <w:rsid w:val="0026142D"/>
    <w:rsid w:val="002614F4"/>
    <w:rsid w:val="002617F9"/>
    <w:rsid w:val="00262666"/>
    <w:rsid w:val="00262D7C"/>
    <w:rsid w:val="00263720"/>
    <w:rsid w:val="0026476F"/>
    <w:rsid w:val="00265161"/>
    <w:rsid w:val="00265F1B"/>
    <w:rsid w:val="002665A2"/>
    <w:rsid w:val="00267221"/>
    <w:rsid w:val="00270087"/>
    <w:rsid w:val="00270831"/>
    <w:rsid w:val="00271BD4"/>
    <w:rsid w:val="0027275E"/>
    <w:rsid w:val="00272A7D"/>
    <w:rsid w:val="00273171"/>
    <w:rsid w:val="00273266"/>
    <w:rsid w:val="002743FD"/>
    <w:rsid w:val="002748AA"/>
    <w:rsid w:val="00275418"/>
    <w:rsid w:val="002758A4"/>
    <w:rsid w:val="0027726A"/>
    <w:rsid w:val="002805AC"/>
    <w:rsid w:val="00280919"/>
    <w:rsid w:val="00281661"/>
    <w:rsid w:val="00282C81"/>
    <w:rsid w:val="00283B3F"/>
    <w:rsid w:val="002841EE"/>
    <w:rsid w:val="002844AF"/>
    <w:rsid w:val="00284891"/>
    <w:rsid w:val="00285B3A"/>
    <w:rsid w:val="00285C95"/>
    <w:rsid w:val="00286C13"/>
    <w:rsid w:val="00286D80"/>
    <w:rsid w:val="002871FC"/>
    <w:rsid w:val="00287888"/>
    <w:rsid w:val="00290E56"/>
    <w:rsid w:val="00291333"/>
    <w:rsid w:val="00291341"/>
    <w:rsid w:val="00291746"/>
    <w:rsid w:val="002926B1"/>
    <w:rsid w:val="00292B32"/>
    <w:rsid w:val="00292CA5"/>
    <w:rsid w:val="00292FE3"/>
    <w:rsid w:val="00293B1D"/>
    <w:rsid w:val="00293B4E"/>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15A"/>
    <w:rsid w:val="002C5540"/>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6E4D"/>
    <w:rsid w:val="002D724E"/>
    <w:rsid w:val="002D7BA0"/>
    <w:rsid w:val="002E1666"/>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E07"/>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845"/>
    <w:rsid w:val="002F6EC3"/>
    <w:rsid w:val="002F7173"/>
    <w:rsid w:val="002F7484"/>
    <w:rsid w:val="002F77C3"/>
    <w:rsid w:val="00301CB4"/>
    <w:rsid w:val="00302462"/>
    <w:rsid w:val="00302960"/>
    <w:rsid w:val="00302ABB"/>
    <w:rsid w:val="00302BBC"/>
    <w:rsid w:val="0030330D"/>
    <w:rsid w:val="003040E3"/>
    <w:rsid w:val="0030470B"/>
    <w:rsid w:val="00304999"/>
    <w:rsid w:val="00304F25"/>
    <w:rsid w:val="003056B2"/>
    <w:rsid w:val="00305D48"/>
    <w:rsid w:val="00306940"/>
    <w:rsid w:val="00307353"/>
    <w:rsid w:val="003078BA"/>
    <w:rsid w:val="00307E06"/>
    <w:rsid w:val="00310965"/>
    <w:rsid w:val="0031096E"/>
    <w:rsid w:val="00311560"/>
    <w:rsid w:val="00311708"/>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A91"/>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52C6"/>
    <w:rsid w:val="003654A6"/>
    <w:rsid w:val="00365DE7"/>
    <w:rsid w:val="003660A9"/>
    <w:rsid w:val="00366829"/>
    <w:rsid w:val="003668C0"/>
    <w:rsid w:val="0036711C"/>
    <w:rsid w:val="00370629"/>
    <w:rsid w:val="003708D3"/>
    <w:rsid w:val="00371249"/>
    <w:rsid w:val="003726E1"/>
    <w:rsid w:val="00372BD4"/>
    <w:rsid w:val="00374012"/>
    <w:rsid w:val="003743D7"/>
    <w:rsid w:val="003749C0"/>
    <w:rsid w:val="003750D6"/>
    <w:rsid w:val="00375120"/>
    <w:rsid w:val="003752B5"/>
    <w:rsid w:val="0037599C"/>
    <w:rsid w:val="00375FDD"/>
    <w:rsid w:val="0037725F"/>
    <w:rsid w:val="003804A7"/>
    <w:rsid w:val="00381DC3"/>
    <w:rsid w:val="0038228C"/>
    <w:rsid w:val="00382BDE"/>
    <w:rsid w:val="00383A00"/>
    <w:rsid w:val="00384B1C"/>
    <w:rsid w:val="003859C4"/>
    <w:rsid w:val="00385B11"/>
    <w:rsid w:val="00385EA5"/>
    <w:rsid w:val="00386F92"/>
    <w:rsid w:val="003874C3"/>
    <w:rsid w:val="00387725"/>
    <w:rsid w:val="00387C65"/>
    <w:rsid w:val="00390CDE"/>
    <w:rsid w:val="00391E34"/>
    <w:rsid w:val="00392B20"/>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DF1"/>
    <w:rsid w:val="003C1936"/>
    <w:rsid w:val="003C24B0"/>
    <w:rsid w:val="003C268F"/>
    <w:rsid w:val="003C3104"/>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2FE"/>
    <w:rsid w:val="003E6A41"/>
    <w:rsid w:val="003E7801"/>
    <w:rsid w:val="003F0AF5"/>
    <w:rsid w:val="003F14E4"/>
    <w:rsid w:val="003F1FC5"/>
    <w:rsid w:val="003F2A66"/>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B71"/>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715"/>
    <w:rsid w:val="0041486D"/>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213"/>
    <w:rsid w:val="00427899"/>
    <w:rsid w:val="00427DBB"/>
    <w:rsid w:val="00427FBB"/>
    <w:rsid w:val="00430399"/>
    <w:rsid w:val="00430E42"/>
    <w:rsid w:val="0043209C"/>
    <w:rsid w:val="004322A6"/>
    <w:rsid w:val="00433351"/>
    <w:rsid w:val="00434026"/>
    <w:rsid w:val="004340BA"/>
    <w:rsid w:val="004348C5"/>
    <w:rsid w:val="004356BF"/>
    <w:rsid w:val="00436B6F"/>
    <w:rsid w:val="0043782D"/>
    <w:rsid w:val="00437D5A"/>
    <w:rsid w:val="0044044F"/>
    <w:rsid w:val="00440F20"/>
    <w:rsid w:val="00441DE8"/>
    <w:rsid w:val="00442B2B"/>
    <w:rsid w:val="00442F67"/>
    <w:rsid w:val="00442FBB"/>
    <w:rsid w:val="00443487"/>
    <w:rsid w:val="0044467E"/>
    <w:rsid w:val="0044496C"/>
    <w:rsid w:val="00444F46"/>
    <w:rsid w:val="0044520F"/>
    <w:rsid w:val="004456C1"/>
    <w:rsid w:val="00445CB2"/>
    <w:rsid w:val="004468EC"/>
    <w:rsid w:val="00446A05"/>
    <w:rsid w:val="00446B69"/>
    <w:rsid w:val="0044712C"/>
    <w:rsid w:val="004502C5"/>
    <w:rsid w:val="00450460"/>
    <w:rsid w:val="004509CE"/>
    <w:rsid w:val="004515BE"/>
    <w:rsid w:val="00451858"/>
    <w:rsid w:val="00452B43"/>
    <w:rsid w:val="00453288"/>
    <w:rsid w:val="00454957"/>
    <w:rsid w:val="00455119"/>
    <w:rsid w:val="004557F7"/>
    <w:rsid w:val="00455A62"/>
    <w:rsid w:val="00456294"/>
    <w:rsid w:val="00456393"/>
    <w:rsid w:val="004572E7"/>
    <w:rsid w:val="00457778"/>
    <w:rsid w:val="00457FE0"/>
    <w:rsid w:val="00460E0C"/>
    <w:rsid w:val="00460EEF"/>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0C14"/>
    <w:rsid w:val="004719DD"/>
    <w:rsid w:val="0047274B"/>
    <w:rsid w:val="00472B3D"/>
    <w:rsid w:val="00472D90"/>
    <w:rsid w:val="00473EB5"/>
    <w:rsid w:val="00473FEF"/>
    <w:rsid w:val="00474755"/>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2F59"/>
    <w:rsid w:val="0049318A"/>
    <w:rsid w:val="00493A5B"/>
    <w:rsid w:val="00494F0A"/>
    <w:rsid w:val="00495547"/>
    <w:rsid w:val="00495E42"/>
    <w:rsid w:val="004961AD"/>
    <w:rsid w:val="00496339"/>
    <w:rsid w:val="004967A0"/>
    <w:rsid w:val="00496C40"/>
    <w:rsid w:val="00497059"/>
    <w:rsid w:val="00497082"/>
    <w:rsid w:val="004973EC"/>
    <w:rsid w:val="00497B15"/>
    <w:rsid w:val="004A0617"/>
    <w:rsid w:val="004A1A63"/>
    <w:rsid w:val="004A1DAB"/>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5E0"/>
    <w:rsid w:val="004B4654"/>
    <w:rsid w:val="004B5540"/>
    <w:rsid w:val="004B5F62"/>
    <w:rsid w:val="004B6800"/>
    <w:rsid w:val="004B69CB"/>
    <w:rsid w:val="004B6B98"/>
    <w:rsid w:val="004B748E"/>
    <w:rsid w:val="004B7C5E"/>
    <w:rsid w:val="004C001D"/>
    <w:rsid w:val="004C05E4"/>
    <w:rsid w:val="004C1578"/>
    <w:rsid w:val="004C1927"/>
    <w:rsid w:val="004C2276"/>
    <w:rsid w:val="004C2AC2"/>
    <w:rsid w:val="004C3A42"/>
    <w:rsid w:val="004C4262"/>
    <w:rsid w:val="004C4721"/>
    <w:rsid w:val="004C4B13"/>
    <w:rsid w:val="004C4B5E"/>
    <w:rsid w:val="004C5064"/>
    <w:rsid w:val="004C513B"/>
    <w:rsid w:val="004C546F"/>
    <w:rsid w:val="004C54F2"/>
    <w:rsid w:val="004C62A2"/>
    <w:rsid w:val="004C643F"/>
    <w:rsid w:val="004C6683"/>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68CA"/>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17C7"/>
    <w:rsid w:val="005222FC"/>
    <w:rsid w:val="005229B8"/>
    <w:rsid w:val="00522C1A"/>
    <w:rsid w:val="00523091"/>
    <w:rsid w:val="0052375D"/>
    <w:rsid w:val="0052402F"/>
    <w:rsid w:val="005240D9"/>
    <w:rsid w:val="005241A5"/>
    <w:rsid w:val="005242CB"/>
    <w:rsid w:val="00524D42"/>
    <w:rsid w:val="00525BAD"/>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0BF8"/>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1327"/>
    <w:rsid w:val="005817AB"/>
    <w:rsid w:val="00582C57"/>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5C75"/>
    <w:rsid w:val="005960D3"/>
    <w:rsid w:val="005969E2"/>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131F"/>
    <w:rsid w:val="005D1E6B"/>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1EE1"/>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2598"/>
    <w:rsid w:val="00614079"/>
    <w:rsid w:val="00614188"/>
    <w:rsid w:val="00615362"/>
    <w:rsid w:val="006157B6"/>
    <w:rsid w:val="00615A62"/>
    <w:rsid w:val="00615EBC"/>
    <w:rsid w:val="00616F1D"/>
    <w:rsid w:val="00616FA1"/>
    <w:rsid w:val="00617C77"/>
    <w:rsid w:val="00617E6C"/>
    <w:rsid w:val="0062006E"/>
    <w:rsid w:val="00620357"/>
    <w:rsid w:val="00620A08"/>
    <w:rsid w:val="00620FB8"/>
    <w:rsid w:val="006214D7"/>
    <w:rsid w:val="00621B71"/>
    <w:rsid w:val="00622BEF"/>
    <w:rsid w:val="0062386E"/>
    <w:rsid w:val="00624802"/>
    <w:rsid w:val="006248D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7C1"/>
    <w:rsid w:val="006A0D44"/>
    <w:rsid w:val="006A11F0"/>
    <w:rsid w:val="006A136B"/>
    <w:rsid w:val="006A19D5"/>
    <w:rsid w:val="006A1B5C"/>
    <w:rsid w:val="006A28FD"/>
    <w:rsid w:val="006A326C"/>
    <w:rsid w:val="006A48C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408C"/>
    <w:rsid w:val="006C44AE"/>
    <w:rsid w:val="006C456A"/>
    <w:rsid w:val="006C54AE"/>
    <w:rsid w:val="006C564D"/>
    <w:rsid w:val="006C6072"/>
    <w:rsid w:val="006C671F"/>
    <w:rsid w:val="006C6F3C"/>
    <w:rsid w:val="006C6FB7"/>
    <w:rsid w:val="006C7CE8"/>
    <w:rsid w:val="006D007C"/>
    <w:rsid w:val="006D06F5"/>
    <w:rsid w:val="006D07E9"/>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344A"/>
    <w:rsid w:val="006E58AF"/>
    <w:rsid w:val="006E5D89"/>
    <w:rsid w:val="006E698C"/>
    <w:rsid w:val="006E6A36"/>
    <w:rsid w:val="006E7F21"/>
    <w:rsid w:val="006F0329"/>
    <w:rsid w:val="006F0771"/>
    <w:rsid w:val="006F0913"/>
    <w:rsid w:val="006F19DE"/>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058"/>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63B"/>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3571"/>
    <w:rsid w:val="00754C71"/>
    <w:rsid w:val="007558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09A"/>
    <w:rsid w:val="007652A4"/>
    <w:rsid w:val="007656A2"/>
    <w:rsid w:val="00765C36"/>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6EB5"/>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97A88"/>
    <w:rsid w:val="007A0C87"/>
    <w:rsid w:val="007A0DD5"/>
    <w:rsid w:val="007A1877"/>
    <w:rsid w:val="007A1A79"/>
    <w:rsid w:val="007A251B"/>
    <w:rsid w:val="007A2A39"/>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BF4"/>
    <w:rsid w:val="007B7EEA"/>
    <w:rsid w:val="007C04A2"/>
    <w:rsid w:val="007C055E"/>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1A52"/>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6D98"/>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18C"/>
    <w:rsid w:val="008205D0"/>
    <w:rsid w:val="0082070E"/>
    <w:rsid w:val="00820D99"/>
    <w:rsid w:val="00820E06"/>
    <w:rsid w:val="008211F5"/>
    <w:rsid w:val="00823863"/>
    <w:rsid w:val="008240AB"/>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8A9"/>
    <w:rsid w:val="00872D12"/>
    <w:rsid w:val="00873D60"/>
    <w:rsid w:val="00873E81"/>
    <w:rsid w:val="008740F9"/>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3D21"/>
    <w:rsid w:val="00894002"/>
    <w:rsid w:val="008946EA"/>
    <w:rsid w:val="00894A6C"/>
    <w:rsid w:val="00894D4A"/>
    <w:rsid w:val="00894E30"/>
    <w:rsid w:val="0089545F"/>
    <w:rsid w:val="0089557F"/>
    <w:rsid w:val="008959BA"/>
    <w:rsid w:val="00895D42"/>
    <w:rsid w:val="00896821"/>
    <w:rsid w:val="00896F48"/>
    <w:rsid w:val="008A0BA3"/>
    <w:rsid w:val="008A12C7"/>
    <w:rsid w:val="008A23DD"/>
    <w:rsid w:val="008A249E"/>
    <w:rsid w:val="008A4947"/>
    <w:rsid w:val="008A4D05"/>
    <w:rsid w:val="008A4EE6"/>
    <w:rsid w:val="008A6544"/>
    <w:rsid w:val="008A65C4"/>
    <w:rsid w:val="008A7B97"/>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18D"/>
    <w:rsid w:val="008D0852"/>
    <w:rsid w:val="008D1236"/>
    <w:rsid w:val="008D1766"/>
    <w:rsid w:val="008D1EDE"/>
    <w:rsid w:val="008D250D"/>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F0205"/>
    <w:rsid w:val="008F08D7"/>
    <w:rsid w:val="008F0DCC"/>
    <w:rsid w:val="008F1EB2"/>
    <w:rsid w:val="008F284E"/>
    <w:rsid w:val="008F2BAD"/>
    <w:rsid w:val="008F2C56"/>
    <w:rsid w:val="008F2CAE"/>
    <w:rsid w:val="008F39F2"/>
    <w:rsid w:val="008F45EB"/>
    <w:rsid w:val="008F4E1B"/>
    <w:rsid w:val="008F52F4"/>
    <w:rsid w:val="008F733A"/>
    <w:rsid w:val="008F743B"/>
    <w:rsid w:val="0090050D"/>
    <w:rsid w:val="00900B5A"/>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45A"/>
    <w:rsid w:val="009E592E"/>
    <w:rsid w:val="009E646B"/>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8BB"/>
    <w:rsid w:val="00A25DBC"/>
    <w:rsid w:val="00A26FD9"/>
    <w:rsid w:val="00A27138"/>
    <w:rsid w:val="00A30789"/>
    <w:rsid w:val="00A30D30"/>
    <w:rsid w:val="00A30D67"/>
    <w:rsid w:val="00A31158"/>
    <w:rsid w:val="00A3163A"/>
    <w:rsid w:val="00A3215A"/>
    <w:rsid w:val="00A32881"/>
    <w:rsid w:val="00A3359F"/>
    <w:rsid w:val="00A33F3B"/>
    <w:rsid w:val="00A352E3"/>
    <w:rsid w:val="00A35446"/>
    <w:rsid w:val="00A3583F"/>
    <w:rsid w:val="00A367EE"/>
    <w:rsid w:val="00A36936"/>
    <w:rsid w:val="00A37825"/>
    <w:rsid w:val="00A40E93"/>
    <w:rsid w:val="00A4105D"/>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1BE0"/>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E3D"/>
    <w:rsid w:val="00A72EE1"/>
    <w:rsid w:val="00A73B00"/>
    <w:rsid w:val="00A746E4"/>
    <w:rsid w:val="00A761F4"/>
    <w:rsid w:val="00A77448"/>
    <w:rsid w:val="00A77B65"/>
    <w:rsid w:val="00A77EC2"/>
    <w:rsid w:val="00A8007D"/>
    <w:rsid w:val="00A802EC"/>
    <w:rsid w:val="00A80761"/>
    <w:rsid w:val="00A80DC8"/>
    <w:rsid w:val="00A812F5"/>
    <w:rsid w:val="00A814C5"/>
    <w:rsid w:val="00A81C21"/>
    <w:rsid w:val="00A82953"/>
    <w:rsid w:val="00A82B2C"/>
    <w:rsid w:val="00A833A8"/>
    <w:rsid w:val="00A83B1C"/>
    <w:rsid w:val="00A83D36"/>
    <w:rsid w:val="00A8427B"/>
    <w:rsid w:val="00A8480D"/>
    <w:rsid w:val="00A84B23"/>
    <w:rsid w:val="00A84B4C"/>
    <w:rsid w:val="00A85897"/>
    <w:rsid w:val="00A86E22"/>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49D8"/>
    <w:rsid w:val="00AA55E0"/>
    <w:rsid w:val="00AA5BC8"/>
    <w:rsid w:val="00AA61B7"/>
    <w:rsid w:val="00AA689B"/>
    <w:rsid w:val="00AA7023"/>
    <w:rsid w:val="00AA7B8E"/>
    <w:rsid w:val="00AB00F1"/>
    <w:rsid w:val="00AB0CE7"/>
    <w:rsid w:val="00AB11B8"/>
    <w:rsid w:val="00AB22DC"/>
    <w:rsid w:val="00AB3569"/>
    <w:rsid w:val="00AB410D"/>
    <w:rsid w:val="00AB41F9"/>
    <w:rsid w:val="00AB45BF"/>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5D8D"/>
    <w:rsid w:val="00AD5EAE"/>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7DA"/>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259"/>
    <w:rsid w:val="00B0768C"/>
    <w:rsid w:val="00B10264"/>
    <w:rsid w:val="00B11F89"/>
    <w:rsid w:val="00B1212B"/>
    <w:rsid w:val="00B125A0"/>
    <w:rsid w:val="00B1290E"/>
    <w:rsid w:val="00B13177"/>
    <w:rsid w:val="00B13E8D"/>
    <w:rsid w:val="00B148CC"/>
    <w:rsid w:val="00B15178"/>
    <w:rsid w:val="00B15852"/>
    <w:rsid w:val="00B161B4"/>
    <w:rsid w:val="00B16887"/>
    <w:rsid w:val="00B176C8"/>
    <w:rsid w:val="00B20379"/>
    <w:rsid w:val="00B2074B"/>
    <w:rsid w:val="00B211BD"/>
    <w:rsid w:val="00B21544"/>
    <w:rsid w:val="00B21AB1"/>
    <w:rsid w:val="00B225D8"/>
    <w:rsid w:val="00B22717"/>
    <w:rsid w:val="00B228FA"/>
    <w:rsid w:val="00B2361C"/>
    <w:rsid w:val="00B23719"/>
    <w:rsid w:val="00B23A5D"/>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4C4D"/>
    <w:rsid w:val="00B5501D"/>
    <w:rsid w:val="00B558B6"/>
    <w:rsid w:val="00B55AEC"/>
    <w:rsid w:val="00B55C20"/>
    <w:rsid w:val="00B56166"/>
    <w:rsid w:val="00B5658B"/>
    <w:rsid w:val="00B565A9"/>
    <w:rsid w:val="00B5681F"/>
    <w:rsid w:val="00B56F11"/>
    <w:rsid w:val="00B60E54"/>
    <w:rsid w:val="00B613DE"/>
    <w:rsid w:val="00B6152A"/>
    <w:rsid w:val="00B61A36"/>
    <w:rsid w:val="00B6219D"/>
    <w:rsid w:val="00B62853"/>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2F01"/>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16F"/>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2642"/>
    <w:rsid w:val="00BC3390"/>
    <w:rsid w:val="00BC342A"/>
    <w:rsid w:val="00BC40F2"/>
    <w:rsid w:val="00BC45CE"/>
    <w:rsid w:val="00BC4E13"/>
    <w:rsid w:val="00BC4EBB"/>
    <w:rsid w:val="00BC4F3D"/>
    <w:rsid w:val="00BC64CE"/>
    <w:rsid w:val="00BC68AD"/>
    <w:rsid w:val="00BC696B"/>
    <w:rsid w:val="00BC7112"/>
    <w:rsid w:val="00BD0C00"/>
    <w:rsid w:val="00BD0DA0"/>
    <w:rsid w:val="00BD107F"/>
    <w:rsid w:val="00BD1174"/>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233"/>
    <w:rsid w:val="00BF2AD9"/>
    <w:rsid w:val="00BF2FDA"/>
    <w:rsid w:val="00BF4493"/>
    <w:rsid w:val="00BF5877"/>
    <w:rsid w:val="00BF68A1"/>
    <w:rsid w:val="00C006E1"/>
    <w:rsid w:val="00C013E9"/>
    <w:rsid w:val="00C01536"/>
    <w:rsid w:val="00C0185C"/>
    <w:rsid w:val="00C01AE5"/>
    <w:rsid w:val="00C0372A"/>
    <w:rsid w:val="00C03F20"/>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C2"/>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346"/>
    <w:rsid w:val="00C25A02"/>
    <w:rsid w:val="00C268F6"/>
    <w:rsid w:val="00C27D1A"/>
    <w:rsid w:val="00C308B5"/>
    <w:rsid w:val="00C31200"/>
    <w:rsid w:val="00C31A08"/>
    <w:rsid w:val="00C31BE7"/>
    <w:rsid w:val="00C32229"/>
    <w:rsid w:val="00C32DE7"/>
    <w:rsid w:val="00C32F73"/>
    <w:rsid w:val="00C32FD3"/>
    <w:rsid w:val="00C33AF3"/>
    <w:rsid w:val="00C341CB"/>
    <w:rsid w:val="00C3542E"/>
    <w:rsid w:val="00C35B5E"/>
    <w:rsid w:val="00C36CCE"/>
    <w:rsid w:val="00C370A0"/>
    <w:rsid w:val="00C37DE4"/>
    <w:rsid w:val="00C4017A"/>
    <w:rsid w:val="00C404FF"/>
    <w:rsid w:val="00C40770"/>
    <w:rsid w:val="00C41148"/>
    <w:rsid w:val="00C41357"/>
    <w:rsid w:val="00C41799"/>
    <w:rsid w:val="00C4205B"/>
    <w:rsid w:val="00C4244D"/>
    <w:rsid w:val="00C42C2F"/>
    <w:rsid w:val="00C43B8F"/>
    <w:rsid w:val="00C4451E"/>
    <w:rsid w:val="00C45268"/>
    <w:rsid w:val="00C455CD"/>
    <w:rsid w:val="00C45BBF"/>
    <w:rsid w:val="00C46708"/>
    <w:rsid w:val="00C474EF"/>
    <w:rsid w:val="00C500D2"/>
    <w:rsid w:val="00C50922"/>
    <w:rsid w:val="00C51440"/>
    <w:rsid w:val="00C52089"/>
    <w:rsid w:val="00C53E87"/>
    <w:rsid w:val="00C54CF8"/>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D41"/>
    <w:rsid w:val="00C756FD"/>
    <w:rsid w:val="00C75775"/>
    <w:rsid w:val="00C75C57"/>
    <w:rsid w:val="00C76261"/>
    <w:rsid w:val="00C76E4E"/>
    <w:rsid w:val="00C80226"/>
    <w:rsid w:val="00C80261"/>
    <w:rsid w:val="00C808D5"/>
    <w:rsid w:val="00C810FC"/>
    <w:rsid w:val="00C81188"/>
    <w:rsid w:val="00C83651"/>
    <w:rsid w:val="00C83754"/>
    <w:rsid w:val="00C83965"/>
    <w:rsid w:val="00C83F2B"/>
    <w:rsid w:val="00C8418C"/>
    <w:rsid w:val="00C84998"/>
    <w:rsid w:val="00C855DB"/>
    <w:rsid w:val="00C9111E"/>
    <w:rsid w:val="00C91446"/>
    <w:rsid w:val="00C919AB"/>
    <w:rsid w:val="00C92681"/>
    <w:rsid w:val="00C93604"/>
    <w:rsid w:val="00C94994"/>
    <w:rsid w:val="00C94C04"/>
    <w:rsid w:val="00C951C1"/>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48D3"/>
    <w:rsid w:val="00CC55E8"/>
    <w:rsid w:val="00CC5DF0"/>
    <w:rsid w:val="00CC71C6"/>
    <w:rsid w:val="00CC72EF"/>
    <w:rsid w:val="00CC7E7D"/>
    <w:rsid w:val="00CD0968"/>
    <w:rsid w:val="00CD098C"/>
    <w:rsid w:val="00CD1491"/>
    <w:rsid w:val="00CD18C2"/>
    <w:rsid w:val="00CD2580"/>
    <w:rsid w:val="00CD3023"/>
    <w:rsid w:val="00CD3739"/>
    <w:rsid w:val="00CD3AE0"/>
    <w:rsid w:val="00CD3B16"/>
    <w:rsid w:val="00CD4B83"/>
    <w:rsid w:val="00CD4DBB"/>
    <w:rsid w:val="00CD5020"/>
    <w:rsid w:val="00CD5346"/>
    <w:rsid w:val="00CD5815"/>
    <w:rsid w:val="00CD58BA"/>
    <w:rsid w:val="00CD6145"/>
    <w:rsid w:val="00CD64DE"/>
    <w:rsid w:val="00CD6D50"/>
    <w:rsid w:val="00CD74FB"/>
    <w:rsid w:val="00CD7638"/>
    <w:rsid w:val="00CD7E95"/>
    <w:rsid w:val="00CE049D"/>
    <w:rsid w:val="00CE123E"/>
    <w:rsid w:val="00CE140B"/>
    <w:rsid w:val="00CE1FD3"/>
    <w:rsid w:val="00CE2476"/>
    <w:rsid w:val="00CE25CA"/>
    <w:rsid w:val="00CE2CAC"/>
    <w:rsid w:val="00CE2CBA"/>
    <w:rsid w:val="00CE302C"/>
    <w:rsid w:val="00CE31BD"/>
    <w:rsid w:val="00CE449A"/>
    <w:rsid w:val="00CE4619"/>
    <w:rsid w:val="00CE46EF"/>
    <w:rsid w:val="00CE4BF2"/>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62F2"/>
    <w:rsid w:val="00D47AB6"/>
    <w:rsid w:val="00D47C0C"/>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0C7"/>
    <w:rsid w:val="00D84AEE"/>
    <w:rsid w:val="00D8502A"/>
    <w:rsid w:val="00D850ED"/>
    <w:rsid w:val="00D85E53"/>
    <w:rsid w:val="00D865D9"/>
    <w:rsid w:val="00D868D2"/>
    <w:rsid w:val="00D86B99"/>
    <w:rsid w:val="00D87462"/>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E9B"/>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4415"/>
    <w:rsid w:val="00E24D01"/>
    <w:rsid w:val="00E25521"/>
    <w:rsid w:val="00E25917"/>
    <w:rsid w:val="00E261E0"/>
    <w:rsid w:val="00E26580"/>
    <w:rsid w:val="00E2721C"/>
    <w:rsid w:val="00E27AE3"/>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57EF"/>
    <w:rsid w:val="00E55F46"/>
    <w:rsid w:val="00E5633C"/>
    <w:rsid w:val="00E56E97"/>
    <w:rsid w:val="00E56EE4"/>
    <w:rsid w:val="00E571A1"/>
    <w:rsid w:val="00E60206"/>
    <w:rsid w:val="00E60A17"/>
    <w:rsid w:val="00E620BC"/>
    <w:rsid w:val="00E621FE"/>
    <w:rsid w:val="00E62CBA"/>
    <w:rsid w:val="00E648F7"/>
    <w:rsid w:val="00E64CC9"/>
    <w:rsid w:val="00E65E40"/>
    <w:rsid w:val="00E664CE"/>
    <w:rsid w:val="00E6690D"/>
    <w:rsid w:val="00E675D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3C71"/>
    <w:rsid w:val="00E943E1"/>
    <w:rsid w:val="00E94929"/>
    <w:rsid w:val="00E9518A"/>
    <w:rsid w:val="00E9535A"/>
    <w:rsid w:val="00E9543E"/>
    <w:rsid w:val="00E9569C"/>
    <w:rsid w:val="00E968B6"/>
    <w:rsid w:val="00E96D3C"/>
    <w:rsid w:val="00E97133"/>
    <w:rsid w:val="00E97839"/>
    <w:rsid w:val="00E97BE5"/>
    <w:rsid w:val="00EA131E"/>
    <w:rsid w:val="00EA2148"/>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7EB"/>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1D22"/>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38"/>
    <w:rsid w:val="00F053FC"/>
    <w:rsid w:val="00F05564"/>
    <w:rsid w:val="00F06302"/>
    <w:rsid w:val="00F06365"/>
    <w:rsid w:val="00F06826"/>
    <w:rsid w:val="00F07041"/>
    <w:rsid w:val="00F079CC"/>
    <w:rsid w:val="00F101C7"/>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9C7"/>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520C"/>
    <w:rsid w:val="00FE5607"/>
    <w:rsid w:val="00FE65C5"/>
    <w:rsid w:val="00FE6DA0"/>
    <w:rsid w:val="00FF0C49"/>
    <w:rsid w:val="00FF0FDB"/>
    <w:rsid w:val="00FF1282"/>
    <w:rsid w:val="00FF1339"/>
    <w:rsid w:val="00FF1682"/>
    <w:rsid w:val="00FF1CA2"/>
    <w:rsid w:val="00FF1D0B"/>
    <w:rsid w:val="00FF33D3"/>
    <w:rsid w:val="00FF479B"/>
    <w:rsid w:val="00FF5100"/>
    <w:rsid w:val="00FF5C53"/>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4AB72656-31C4-405B-9A9A-DBA1FE46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09A"/>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1"/>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B5DDB-3CFA-44CA-A74D-7E81500DB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12</Pages>
  <Words>4425</Words>
  <Characters>24339</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56</cp:revision>
  <cp:lastPrinted>2022-10-11T17:47:00Z</cp:lastPrinted>
  <dcterms:created xsi:type="dcterms:W3CDTF">2022-07-07T04:12:00Z</dcterms:created>
  <dcterms:modified xsi:type="dcterms:W3CDTF">2023-02-24T18:03:00Z</dcterms:modified>
</cp:coreProperties>
</file>