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E85DC7">
      <w:pPr>
        <w:spacing w:line="240" w:lineRule="auto"/>
        <w:ind w:left="2977"/>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720AFA33" w:rsidR="003B6CF0" w:rsidRPr="00CB6405" w:rsidRDefault="003B6CF0" w:rsidP="00E85DC7">
      <w:pPr>
        <w:spacing w:line="240" w:lineRule="auto"/>
        <w:ind w:left="2977"/>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A61C6D">
        <w:rPr>
          <w:rFonts w:ascii="Arial" w:hAnsi="Arial" w:cs="Arial"/>
          <w:b/>
          <w:sz w:val="26"/>
          <w:szCs w:val="26"/>
        </w:rPr>
        <w:t>035</w:t>
      </w:r>
      <w:r>
        <w:rPr>
          <w:rFonts w:ascii="Arial" w:hAnsi="Arial" w:cs="Arial"/>
          <w:b/>
          <w:sz w:val="26"/>
          <w:szCs w:val="26"/>
        </w:rPr>
        <w:t>/20</w:t>
      </w:r>
      <w:r w:rsidR="00A61C6D">
        <w:rPr>
          <w:rFonts w:ascii="Arial" w:hAnsi="Arial" w:cs="Arial"/>
          <w:b/>
          <w:sz w:val="26"/>
          <w:szCs w:val="26"/>
        </w:rPr>
        <w:t>19</w:t>
      </w:r>
      <w:r>
        <w:rPr>
          <w:rFonts w:ascii="Arial" w:hAnsi="Arial" w:cs="Arial"/>
          <w:b/>
          <w:sz w:val="26"/>
          <w:szCs w:val="26"/>
        </w:rPr>
        <w:t>.</w:t>
      </w:r>
    </w:p>
    <w:p w14:paraId="4DFA70CD" w14:textId="69781E58" w:rsidR="003B6CF0" w:rsidRDefault="003B6CF0" w:rsidP="00E85DC7">
      <w:pPr>
        <w:spacing w:line="240" w:lineRule="auto"/>
        <w:ind w:left="2977"/>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A61C6D">
        <w:rPr>
          <w:rFonts w:ascii="Arial" w:hAnsi="Arial" w:cs="Arial"/>
          <w:b/>
          <w:sz w:val="26"/>
          <w:szCs w:val="26"/>
        </w:rPr>
        <w:t>0111</w:t>
      </w:r>
      <w:r>
        <w:rPr>
          <w:rFonts w:ascii="Arial" w:hAnsi="Arial" w:cs="Arial"/>
          <w:b/>
          <w:sz w:val="26"/>
          <w:szCs w:val="26"/>
        </w:rPr>
        <w:t>/</w:t>
      </w:r>
      <w:r w:rsidRPr="00CB6405">
        <w:rPr>
          <w:rFonts w:ascii="Arial" w:hAnsi="Arial" w:cs="Arial"/>
          <w:b/>
          <w:sz w:val="26"/>
          <w:szCs w:val="26"/>
        </w:rPr>
        <w:t>201</w:t>
      </w:r>
      <w:r w:rsidR="00A61C6D">
        <w:rPr>
          <w:rFonts w:ascii="Arial" w:hAnsi="Arial" w:cs="Arial"/>
          <w:b/>
          <w:sz w:val="26"/>
          <w:szCs w:val="26"/>
        </w:rPr>
        <w:t>8</w:t>
      </w:r>
      <w:r w:rsidRPr="00CB6405">
        <w:rPr>
          <w:rFonts w:ascii="Arial" w:hAnsi="Arial" w:cs="Arial"/>
          <w:b/>
          <w:sz w:val="26"/>
          <w:szCs w:val="26"/>
        </w:rPr>
        <w:t xml:space="preserve"> </w:t>
      </w:r>
      <w:r w:rsidR="001603D9">
        <w:rPr>
          <w:rFonts w:ascii="Arial" w:hAnsi="Arial" w:cs="Arial"/>
          <w:b/>
          <w:sz w:val="26"/>
          <w:szCs w:val="26"/>
        </w:rPr>
        <w:t xml:space="preserve">DE LA </w:t>
      </w:r>
      <w:r w:rsidR="00D733BC">
        <w:rPr>
          <w:rFonts w:ascii="Arial" w:hAnsi="Arial" w:cs="Arial"/>
          <w:b/>
          <w:sz w:val="26"/>
          <w:szCs w:val="26"/>
        </w:rPr>
        <w:t>CUART</w:t>
      </w:r>
      <w:r>
        <w:rPr>
          <w:rFonts w:ascii="Arial" w:hAnsi="Arial" w:cs="Arial"/>
          <w:b/>
          <w:sz w:val="26"/>
          <w:szCs w:val="26"/>
        </w:rPr>
        <w:t xml:space="preserve">A </w:t>
      </w:r>
      <w:r w:rsidRPr="00CB6405">
        <w:rPr>
          <w:rFonts w:ascii="Arial" w:hAnsi="Arial" w:cs="Arial"/>
          <w:b/>
          <w:sz w:val="26"/>
          <w:szCs w:val="26"/>
        </w:rPr>
        <w:t>SALA UNITARIA DE PRIMERA INSTANCIA</w:t>
      </w:r>
      <w:r>
        <w:rPr>
          <w:rFonts w:ascii="Arial" w:hAnsi="Arial" w:cs="Arial"/>
          <w:b/>
          <w:sz w:val="26"/>
          <w:szCs w:val="26"/>
        </w:rPr>
        <w:t>.</w:t>
      </w:r>
    </w:p>
    <w:p w14:paraId="4A9CE685" w14:textId="00444706" w:rsidR="00E85DC7" w:rsidRDefault="003B6CF0" w:rsidP="00E85DC7">
      <w:pPr>
        <w:spacing w:before="240" w:line="240" w:lineRule="auto"/>
        <w:ind w:left="2977"/>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3DE7165A" w14:textId="3DD5910B"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E85DC7">
        <w:rPr>
          <w:rFonts w:ascii="Arial" w:hAnsi="Arial" w:cs="Arial"/>
          <w:b/>
          <w:sz w:val="26"/>
          <w:szCs w:val="26"/>
        </w:rPr>
        <w:t>VEINTIDÓS</w:t>
      </w:r>
      <w:r w:rsidR="009F14C6">
        <w:rPr>
          <w:rFonts w:ascii="Arial" w:hAnsi="Arial" w:cs="Arial"/>
          <w:b/>
          <w:sz w:val="26"/>
          <w:szCs w:val="26"/>
        </w:rPr>
        <w:t xml:space="preserve"> DE </w:t>
      </w:r>
      <w:r w:rsidR="00E85DC7">
        <w:rPr>
          <w:rFonts w:ascii="Arial" w:hAnsi="Arial" w:cs="Arial"/>
          <w:b/>
          <w:sz w:val="26"/>
          <w:szCs w:val="26"/>
        </w:rPr>
        <w:t>SEPTIEMBRE</w:t>
      </w:r>
      <w:r w:rsidR="009F14C6">
        <w:rPr>
          <w:rFonts w:ascii="Arial" w:hAnsi="Arial" w:cs="Arial"/>
          <w:b/>
          <w:sz w:val="26"/>
          <w:szCs w:val="26"/>
        </w:rPr>
        <w:t xml:space="preserve"> DE DOS MIL VEINTIDÓS</w:t>
      </w:r>
      <w:r>
        <w:rPr>
          <w:rFonts w:ascii="Arial" w:hAnsi="Arial" w:cs="Arial"/>
          <w:b/>
          <w:sz w:val="26"/>
          <w:szCs w:val="26"/>
        </w:rPr>
        <w:t xml:space="preserve">. - - - - - - - - - - - - - - - - - - - - - - - - - - - - - - - - - - - </w:t>
      </w:r>
    </w:p>
    <w:p w14:paraId="01785D12" w14:textId="3261338B" w:rsidR="0048498F" w:rsidRPr="0082373C" w:rsidRDefault="003B6CF0" w:rsidP="00E85DC7">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A61C6D">
        <w:rPr>
          <w:rFonts w:ascii="Arial" w:hAnsi="Arial" w:cs="Arial"/>
          <w:b/>
          <w:sz w:val="26"/>
          <w:szCs w:val="26"/>
        </w:rPr>
        <w:t>035</w:t>
      </w:r>
      <w:r w:rsidRPr="00CB6405">
        <w:rPr>
          <w:rFonts w:ascii="Arial" w:hAnsi="Arial" w:cs="Arial"/>
          <w:b/>
          <w:sz w:val="26"/>
          <w:szCs w:val="26"/>
        </w:rPr>
        <w:t>/20</w:t>
      </w:r>
      <w:r w:rsidR="00A61C6D">
        <w:rPr>
          <w:rFonts w:ascii="Arial" w:hAnsi="Arial" w:cs="Arial"/>
          <w:b/>
          <w:sz w:val="26"/>
          <w:szCs w:val="26"/>
        </w:rPr>
        <w:t>19</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D3539A">
        <w:rPr>
          <w:rFonts w:ascii="Arial" w:hAnsi="Arial" w:cs="Arial"/>
          <w:b/>
          <w:sz w:val="26"/>
          <w:szCs w:val="26"/>
        </w:rPr>
        <w:t xml:space="preserve"> </w:t>
      </w:r>
      <w:r w:rsidR="00E84264" w:rsidRPr="00E84264">
        <w:rPr>
          <w:rFonts w:ascii="Arial" w:hAnsi="Arial" w:cs="Arial"/>
          <w:sz w:val="26"/>
          <w:szCs w:val="26"/>
        </w:rPr>
        <w:t>el</w:t>
      </w:r>
      <w:r w:rsidR="00E84264">
        <w:rPr>
          <w:rFonts w:ascii="Arial" w:hAnsi="Arial" w:cs="Arial"/>
          <w:b/>
          <w:sz w:val="26"/>
          <w:szCs w:val="26"/>
        </w:rPr>
        <w:t xml:space="preserve"> </w:t>
      </w:r>
      <w:r w:rsidR="00A61C6D">
        <w:rPr>
          <w:rFonts w:ascii="Arial" w:hAnsi="Arial" w:cs="Arial"/>
          <w:b/>
          <w:sz w:val="26"/>
          <w:szCs w:val="26"/>
        </w:rPr>
        <w:t>DIRECTOR DE DESARROLLO URBANO, OBRAS PÚBLICAS Y MEDIO AMBIENTE DEL MUNICIPIO DE OAXACA DE JUÁREZ, OAXACA</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A61C6D">
        <w:rPr>
          <w:rFonts w:ascii="Arial" w:hAnsi="Arial" w:cs="Arial"/>
          <w:sz w:val="26"/>
          <w:szCs w:val="26"/>
        </w:rPr>
        <w:t>l</w:t>
      </w:r>
      <w:r>
        <w:rPr>
          <w:rFonts w:ascii="Arial" w:hAnsi="Arial" w:cs="Arial"/>
          <w:sz w:val="26"/>
          <w:szCs w:val="26"/>
        </w:rPr>
        <w:t xml:space="preserve"> </w:t>
      </w:r>
      <w:r w:rsidR="007007A1">
        <w:rPr>
          <w:rFonts w:ascii="Arial" w:hAnsi="Arial" w:cs="Arial"/>
          <w:sz w:val="26"/>
          <w:szCs w:val="26"/>
        </w:rPr>
        <w:t>a</w:t>
      </w:r>
      <w:r w:rsidR="00A61C6D">
        <w:rPr>
          <w:rFonts w:ascii="Arial" w:hAnsi="Arial" w:cs="Arial"/>
          <w:sz w:val="26"/>
          <w:szCs w:val="26"/>
        </w:rPr>
        <w:t>cuerdo</w:t>
      </w:r>
      <w:r w:rsidR="00AC648A">
        <w:rPr>
          <w:rFonts w:ascii="Arial" w:hAnsi="Arial" w:cs="Arial"/>
          <w:sz w:val="26"/>
          <w:szCs w:val="26"/>
        </w:rPr>
        <w:t xml:space="preserve"> de </w:t>
      </w:r>
      <w:r w:rsidR="00A61C6D">
        <w:rPr>
          <w:rFonts w:ascii="Arial" w:hAnsi="Arial" w:cs="Arial"/>
          <w:sz w:val="26"/>
          <w:szCs w:val="26"/>
        </w:rPr>
        <w:t>once</w:t>
      </w:r>
      <w:r>
        <w:rPr>
          <w:rFonts w:ascii="Arial" w:hAnsi="Arial" w:cs="Arial"/>
          <w:sz w:val="26"/>
          <w:szCs w:val="26"/>
        </w:rPr>
        <w:t xml:space="preserve"> de </w:t>
      </w:r>
      <w:r w:rsidR="00A61C6D">
        <w:rPr>
          <w:rFonts w:ascii="Arial" w:hAnsi="Arial" w:cs="Arial"/>
          <w:sz w:val="26"/>
          <w:szCs w:val="26"/>
        </w:rPr>
        <w:t>dici</w:t>
      </w:r>
      <w:r w:rsidR="00D3539A">
        <w:rPr>
          <w:rFonts w:ascii="Arial" w:hAnsi="Arial" w:cs="Arial"/>
          <w:sz w:val="26"/>
          <w:szCs w:val="26"/>
        </w:rPr>
        <w:t>embre</w:t>
      </w:r>
      <w:r>
        <w:rPr>
          <w:rFonts w:ascii="Arial" w:hAnsi="Arial" w:cs="Arial"/>
          <w:sz w:val="26"/>
          <w:szCs w:val="26"/>
        </w:rPr>
        <w:t xml:space="preserve"> de dos mil </w:t>
      </w:r>
      <w:r w:rsidR="00D3539A">
        <w:rPr>
          <w:rFonts w:ascii="Arial" w:hAnsi="Arial" w:cs="Arial"/>
          <w:sz w:val="26"/>
          <w:szCs w:val="26"/>
        </w:rPr>
        <w:t>dieci</w:t>
      </w:r>
      <w:r w:rsidR="00A61C6D">
        <w:rPr>
          <w:rFonts w:ascii="Arial" w:hAnsi="Arial" w:cs="Arial"/>
          <w:sz w:val="26"/>
          <w:szCs w:val="26"/>
        </w:rPr>
        <w:t>ocho</w:t>
      </w:r>
      <w:r>
        <w:rPr>
          <w:rFonts w:ascii="Arial" w:hAnsi="Arial" w:cs="Arial"/>
          <w:sz w:val="26"/>
          <w:szCs w:val="26"/>
        </w:rPr>
        <w:t>, dictad</w:t>
      </w:r>
      <w:r w:rsidR="00A61C6D">
        <w:rPr>
          <w:rFonts w:ascii="Arial" w:hAnsi="Arial" w:cs="Arial"/>
          <w:sz w:val="26"/>
          <w:szCs w:val="26"/>
        </w:rPr>
        <w:t>o</w:t>
      </w:r>
      <w:r>
        <w:rPr>
          <w:rFonts w:ascii="Arial" w:hAnsi="Arial" w:cs="Arial"/>
          <w:sz w:val="26"/>
          <w:szCs w:val="26"/>
        </w:rPr>
        <w:t xml:space="preserve"> en el expediente </w:t>
      </w:r>
      <w:r w:rsidR="00D3539A">
        <w:rPr>
          <w:rFonts w:ascii="Arial" w:hAnsi="Arial" w:cs="Arial"/>
          <w:b/>
          <w:sz w:val="26"/>
          <w:szCs w:val="26"/>
        </w:rPr>
        <w:t>0</w:t>
      </w:r>
      <w:r w:rsidR="00A61C6D">
        <w:rPr>
          <w:rFonts w:ascii="Arial" w:hAnsi="Arial" w:cs="Arial"/>
          <w:b/>
          <w:sz w:val="26"/>
          <w:szCs w:val="26"/>
        </w:rPr>
        <w:t>111</w:t>
      </w:r>
      <w:r w:rsidR="007007A1">
        <w:rPr>
          <w:rFonts w:ascii="Arial" w:hAnsi="Arial" w:cs="Arial"/>
          <w:b/>
          <w:sz w:val="26"/>
          <w:szCs w:val="26"/>
        </w:rPr>
        <w:t>/201</w:t>
      </w:r>
      <w:r w:rsidR="00A61C6D">
        <w:rPr>
          <w:rFonts w:ascii="Arial" w:hAnsi="Arial" w:cs="Arial"/>
          <w:b/>
          <w:sz w:val="26"/>
          <w:szCs w:val="26"/>
        </w:rPr>
        <w:t>8</w:t>
      </w:r>
      <w:r>
        <w:rPr>
          <w:rFonts w:ascii="Arial" w:hAnsi="Arial" w:cs="Arial"/>
          <w:b/>
          <w:sz w:val="26"/>
          <w:szCs w:val="26"/>
        </w:rPr>
        <w:t xml:space="preserve"> </w:t>
      </w:r>
      <w:r w:rsidR="007007A1">
        <w:rPr>
          <w:rFonts w:ascii="Arial" w:hAnsi="Arial" w:cs="Arial"/>
          <w:sz w:val="26"/>
          <w:szCs w:val="26"/>
        </w:rPr>
        <w:t xml:space="preserve">del índice de la </w:t>
      </w:r>
      <w:r w:rsidR="00AC648A">
        <w:rPr>
          <w:rFonts w:ascii="Arial" w:hAnsi="Arial" w:cs="Arial"/>
          <w:sz w:val="26"/>
          <w:szCs w:val="26"/>
        </w:rPr>
        <w:t>Cuar</w:t>
      </w:r>
      <w:r w:rsidR="007007A1">
        <w:rPr>
          <w:rFonts w:ascii="Arial" w:hAnsi="Arial" w:cs="Arial"/>
          <w:sz w:val="26"/>
          <w:szCs w:val="26"/>
        </w:rPr>
        <w:t>t</w:t>
      </w:r>
      <w:r>
        <w:rPr>
          <w:rFonts w:ascii="Arial" w:hAnsi="Arial" w:cs="Arial"/>
          <w:sz w:val="26"/>
          <w:szCs w:val="26"/>
        </w:rPr>
        <w:t xml:space="preserve">a Sala Unitaria de Primera Instancia, relativo al </w:t>
      </w:r>
      <w:r w:rsidR="00D733BC">
        <w:rPr>
          <w:rFonts w:ascii="Arial" w:hAnsi="Arial" w:cs="Arial"/>
          <w:sz w:val="26"/>
          <w:szCs w:val="26"/>
        </w:rPr>
        <w:t>juicio de nulidad promovido por</w:t>
      </w:r>
      <w:r>
        <w:rPr>
          <w:rFonts w:ascii="Arial" w:hAnsi="Arial" w:cs="Arial"/>
          <w:sz w:val="26"/>
          <w:szCs w:val="26"/>
        </w:rPr>
        <w:t xml:space="preserve"> </w:t>
      </w:r>
      <w:r w:rsidR="004325AE">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A61C6D">
        <w:rPr>
          <w:rFonts w:ascii="Arial" w:hAnsi="Arial" w:cs="Arial"/>
          <w:sz w:val="26"/>
          <w:szCs w:val="26"/>
        </w:rPr>
        <w:t xml:space="preserve"> la </w:t>
      </w:r>
      <w:r w:rsidR="00A61C6D">
        <w:rPr>
          <w:rFonts w:ascii="Arial" w:hAnsi="Arial" w:cs="Arial"/>
          <w:b/>
          <w:sz w:val="26"/>
          <w:szCs w:val="26"/>
        </w:rPr>
        <w:t xml:space="preserve">DIRECTORA </w:t>
      </w:r>
      <w:r w:rsidR="004C1769">
        <w:rPr>
          <w:rFonts w:ascii="Arial" w:hAnsi="Arial" w:cs="Arial"/>
          <w:b/>
          <w:sz w:val="26"/>
          <w:szCs w:val="26"/>
        </w:rPr>
        <w:t>GENERAL DE DESARROLLO URBA</w:t>
      </w:r>
      <w:r w:rsidR="00E84264">
        <w:rPr>
          <w:rFonts w:ascii="Arial" w:hAnsi="Arial" w:cs="Arial"/>
          <w:b/>
          <w:sz w:val="26"/>
          <w:szCs w:val="26"/>
        </w:rPr>
        <w:t xml:space="preserve">NO, CENTRO HISTÓRICO Y ECOLOGÍA DEL MUNICIPIO DE OAXACA DE JUÁREZ, </w:t>
      </w:r>
      <w:r w:rsidR="001603D9">
        <w:rPr>
          <w:rFonts w:ascii="Arial" w:hAnsi="Arial" w:cs="Arial"/>
          <w:b/>
          <w:sz w:val="26"/>
          <w:szCs w:val="26"/>
        </w:rPr>
        <w:t xml:space="preserve">OAXACA, </w:t>
      </w:r>
      <w:r w:rsidR="00E84264">
        <w:rPr>
          <w:rFonts w:ascii="Arial" w:hAnsi="Arial" w:cs="Arial"/>
          <w:b/>
          <w:sz w:val="26"/>
          <w:szCs w:val="26"/>
        </w:rPr>
        <w:t xml:space="preserve">Y </w:t>
      </w:r>
      <w:r w:rsidR="004C1769">
        <w:rPr>
          <w:rFonts w:ascii="Arial" w:hAnsi="Arial" w:cs="Arial"/>
          <w:b/>
          <w:sz w:val="26"/>
          <w:szCs w:val="26"/>
        </w:rPr>
        <w:t xml:space="preserve">RICARDO ANTONIO ESCAMILLA, </w:t>
      </w:r>
      <w:r w:rsidR="00E84264">
        <w:rPr>
          <w:rFonts w:ascii="Arial" w:hAnsi="Arial" w:cs="Arial"/>
          <w:b/>
          <w:sz w:val="26"/>
          <w:szCs w:val="26"/>
        </w:rPr>
        <w:t>VERIFICADOR ADSCRITO A LA DIRECCIÓN GENERAL DE DESARROLLO URBANO, CENTRO HISTÓRICO Y ECOLOGÍA DEL MISMO MUNICIPIO</w:t>
      </w:r>
      <w:r w:rsidR="00B736E2">
        <w:rPr>
          <w:rFonts w:ascii="Arial" w:hAnsi="Arial" w:cs="Arial"/>
          <w:b/>
          <w:sz w:val="26"/>
          <w:szCs w:val="26"/>
        </w:rPr>
        <w:t>;</w:t>
      </w:r>
      <w:r>
        <w:rPr>
          <w:rFonts w:ascii="Arial" w:hAnsi="Arial" w:cs="Arial"/>
          <w:sz w:val="26"/>
          <w:szCs w:val="26"/>
        </w:rPr>
        <w:t xml:space="preserve"> </w:t>
      </w:r>
      <w:r w:rsidR="0048498F">
        <w:rPr>
          <w:rFonts w:ascii="Arial" w:hAnsi="Arial" w:cs="Arial"/>
          <w:sz w:val="26"/>
          <w:szCs w:val="26"/>
        </w:rPr>
        <w:t xml:space="preserve">por lo que, con </w:t>
      </w:r>
      <w:r w:rsidR="0048498F" w:rsidRPr="000C4EA3">
        <w:rPr>
          <w:rFonts w:ascii="Arial" w:hAnsi="Arial" w:cs="Arial"/>
          <w:sz w:val="26"/>
          <w:szCs w:val="26"/>
        </w:rPr>
        <w:t xml:space="preserve">fundamento en los artículos </w:t>
      </w:r>
      <w:r w:rsidR="0048498F">
        <w:rPr>
          <w:rFonts w:ascii="Arial" w:hAnsi="Arial" w:cs="Arial"/>
          <w:sz w:val="26"/>
          <w:szCs w:val="26"/>
        </w:rPr>
        <w:t>236 y 23</w:t>
      </w:r>
      <w:r w:rsidR="0048498F" w:rsidRPr="00671697">
        <w:rPr>
          <w:rFonts w:ascii="Arial" w:hAnsi="Arial" w:cs="Arial"/>
          <w:sz w:val="26"/>
          <w:szCs w:val="26"/>
        </w:rPr>
        <w:t>8</w:t>
      </w:r>
      <w:r w:rsidR="0048498F">
        <w:rPr>
          <w:rFonts w:ascii="Arial" w:hAnsi="Arial" w:cs="Arial"/>
          <w:sz w:val="26"/>
          <w:szCs w:val="26"/>
        </w:rPr>
        <w:t xml:space="preserve"> de la Ley de Procedimiento y Justicia Administrativa para el Estado de Oaxaca, y </w:t>
      </w:r>
      <w:r w:rsidR="0048498F">
        <w:rPr>
          <w:rFonts w:ascii="Arial" w:hAnsi="Arial" w:cs="Arial"/>
          <w:bCs/>
          <w:iCs/>
          <w:sz w:val="26"/>
          <w:szCs w:val="26"/>
        </w:rPr>
        <w:t xml:space="preserve">24 fracciones I y III </w:t>
      </w:r>
      <w:r w:rsidR="0048498F" w:rsidRPr="00455424">
        <w:rPr>
          <w:rFonts w:ascii="Arial" w:hAnsi="Arial" w:cs="Arial"/>
          <w:bCs/>
          <w:iCs/>
          <w:sz w:val="26"/>
          <w:szCs w:val="26"/>
        </w:rPr>
        <w:t>de la Ley Orgánica del Tribunal de Justicia Administrativa del Estado de Oaxaca</w:t>
      </w:r>
      <w:r w:rsidR="0048498F">
        <w:rPr>
          <w:rFonts w:ascii="Arial" w:hAnsi="Arial" w:cs="Arial"/>
          <w:bCs/>
          <w:iCs/>
          <w:sz w:val="26"/>
          <w:szCs w:val="26"/>
        </w:rPr>
        <w:t xml:space="preserve">, </w:t>
      </w:r>
      <w:r w:rsidR="00E85DC7">
        <w:rPr>
          <w:rFonts w:ascii="Arial" w:hAnsi="Arial" w:cs="Arial"/>
          <w:bCs/>
          <w:iCs/>
          <w:sz w:val="26"/>
          <w:szCs w:val="26"/>
        </w:rPr>
        <w:t xml:space="preserve">se da tramite. Por consiguiente, </w:t>
      </w:r>
      <w:r w:rsidR="0048498F">
        <w:rPr>
          <w:rFonts w:ascii="Arial" w:hAnsi="Arial" w:cs="Arial"/>
          <w:sz w:val="26"/>
          <w:szCs w:val="26"/>
        </w:rPr>
        <w:t>se procede a dictar resolución en los siguientes términos</w:t>
      </w:r>
      <w:r w:rsidR="0048498F" w:rsidRPr="003509B6">
        <w:rPr>
          <w:rFonts w:ascii="Arial" w:hAnsi="Arial" w:cs="Arial"/>
          <w:sz w:val="26"/>
          <w:szCs w:val="26"/>
        </w:rPr>
        <w:t>:</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4C057450"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4C1769">
        <w:rPr>
          <w:rFonts w:ascii="Arial" w:hAnsi="Arial" w:cs="Arial"/>
          <w:sz w:val="26"/>
          <w:szCs w:val="26"/>
        </w:rPr>
        <w:t xml:space="preserve">el </w:t>
      </w:r>
      <w:r>
        <w:rPr>
          <w:rFonts w:ascii="Arial" w:hAnsi="Arial" w:cs="Arial"/>
          <w:sz w:val="26"/>
          <w:szCs w:val="26"/>
        </w:rPr>
        <w:t>a</w:t>
      </w:r>
      <w:r w:rsidR="004C1769">
        <w:rPr>
          <w:rFonts w:ascii="Arial" w:hAnsi="Arial" w:cs="Arial"/>
          <w:sz w:val="26"/>
          <w:szCs w:val="26"/>
        </w:rPr>
        <w:t>cuerdo</w:t>
      </w:r>
      <w:r>
        <w:rPr>
          <w:rFonts w:ascii="Arial" w:hAnsi="Arial" w:cs="Arial"/>
          <w:sz w:val="26"/>
          <w:szCs w:val="26"/>
        </w:rPr>
        <w:t xml:space="preserve"> de </w:t>
      </w:r>
      <w:r w:rsidR="004C1769">
        <w:rPr>
          <w:rFonts w:ascii="Arial" w:hAnsi="Arial" w:cs="Arial"/>
          <w:sz w:val="26"/>
          <w:szCs w:val="26"/>
        </w:rPr>
        <w:t>once</w:t>
      </w:r>
      <w:r w:rsidR="00B736E2">
        <w:rPr>
          <w:rFonts w:ascii="Arial" w:hAnsi="Arial" w:cs="Arial"/>
          <w:sz w:val="26"/>
          <w:szCs w:val="26"/>
        </w:rPr>
        <w:t xml:space="preserve"> </w:t>
      </w:r>
      <w:r w:rsidR="00D3539A">
        <w:rPr>
          <w:rFonts w:ascii="Arial" w:hAnsi="Arial" w:cs="Arial"/>
          <w:sz w:val="26"/>
          <w:szCs w:val="26"/>
        </w:rPr>
        <w:t xml:space="preserve">de </w:t>
      </w:r>
      <w:r w:rsidR="004C1769">
        <w:rPr>
          <w:rFonts w:ascii="Arial" w:hAnsi="Arial" w:cs="Arial"/>
          <w:sz w:val="26"/>
          <w:szCs w:val="26"/>
        </w:rPr>
        <w:t>dici</w:t>
      </w:r>
      <w:r w:rsidR="00D3539A">
        <w:rPr>
          <w:rFonts w:ascii="Arial" w:hAnsi="Arial" w:cs="Arial"/>
          <w:sz w:val="26"/>
          <w:szCs w:val="26"/>
        </w:rPr>
        <w:t>embre de dos mil dieci</w:t>
      </w:r>
      <w:r w:rsidR="004C1769">
        <w:rPr>
          <w:rFonts w:ascii="Arial" w:hAnsi="Arial" w:cs="Arial"/>
          <w:sz w:val="26"/>
          <w:szCs w:val="26"/>
        </w:rPr>
        <w:t>ocho</w:t>
      </w:r>
      <w:r>
        <w:rPr>
          <w:rFonts w:ascii="Arial" w:hAnsi="Arial" w:cs="Arial"/>
          <w:sz w:val="26"/>
          <w:szCs w:val="26"/>
        </w:rPr>
        <w:t xml:space="preserve"> </w:t>
      </w:r>
      <w:r w:rsidRPr="00CB6405">
        <w:rPr>
          <w:rFonts w:ascii="Arial" w:hAnsi="Arial" w:cs="Arial"/>
          <w:sz w:val="26"/>
          <w:szCs w:val="26"/>
        </w:rPr>
        <w:t>dictad</w:t>
      </w:r>
      <w:r w:rsidR="004C1769">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A02F13">
        <w:rPr>
          <w:rFonts w:ascii="Arial" w:hAnsi="Arial" w:cs="Arial"/>
          <w:sz w:val="26"/>
          <w:szCs w:val="26"/>
        </w:rPr>
        <w:t>Cuar</w:t>
      </w:r>
      <w:r w:rsidR="00B736E2">
        <w:rPr>
          <w:rFonts w:ascii="Arial" w:hAnsi="Arial" w:cs="Arial"/>
          <w:sz w:val="26"/>
          <w:szCs w:val="26"/>
        </w:rPr>
        <w:t>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E84264">
        <w:rPr>
          <w:rFonts w:ascii="Arial" w:hAnsi="Arial" w:cs="Arial"/>
          <w:sz w:val="26"/>
          <w:szCs w:val="26"/>
        </w:rPr>
        <w:t>el</w:t>
      </w:r>
      <w:r w:rsidR="004C1769">
        <w:rPr>
          <w:rFonts w:ascii="Arial" w:hAnsi="Arial" w:cs="Arial"/>
          <w:b/>
          <w:sz w:val="26"/>
          <w:szCs w:val="26"/>
        </w:rPr>
        <w:t xml:space="preserve"> DIRECTOR DE DESARROLLO URBANO, OBRAS PÚBLICAS Y MEDIO AMBIENTE DEL MUNICIPIO DE OAXACA DE JUÁREZ, OAXACA</w:t>
      </w:r>
      <w:r w:rsidR="00E84264">
        <w:rPr>
          <w:rFonts w:ascii="Arial" w:hAnsi="Arial" w:cs="Arial"/>
          <w:b/>
          <w:sz w:val="26"/>
          <w:szCs w:val="26"/>
        </w:rPr>
        <w:t>,</w:t>
      </w:r>
      <w:r w:rsidR="004C1769" w:rsidRPr="00CB6405">
        <w:rPr>
          <w:rFonts w:ascii="Arial" w:hAnsi="Arial" w:cs="Arial"/>
          <w:sz w:val="26"/>
          <w:szCs w:val="26"/>
        </w:rPr>
        <w:t xml:space="preserve"> </w:t>
      </w:r>
      <w:r w:rsidRPr="00CB6405">
        <w:rPr>
          <w:rFonts w:ascii="Arial" w:hAnsi="Arial" w:cs="Arial"/>
          <w:sz w:val="26"/>
          <w:szCs w:val="26"/>
        </w:rPr>
        <w:t>interpuso en su contra recurso de revisión.</w:t>
      </w:r>
      <w:r w:rsidR="00E85DC7">
        <w:rPr>
          <w:rFonts w:ascii="Arial" w:hAnsi="Arial" w:cs="Arial"/>
          <w:sz w:val="26"/>
          <w:szCs w:val="26"/>
        </w:rPr>
        <w:t xml:space="preserve"> - - - - - - </w:t>
      </w:r>
    </w:p>
    <w:p w14:paraId="05F6577A" w14:textId="77777777" w:rsidR="00E84264" w:rsidRDefault="003B6CF0" w:rsidP="004C1769">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4C1769">
        <w:rPr>
          <w:rFonts w:ascii="Arial" w:hAnsi="Arial" w:cs="Arial"/>
          <w:bCs/>
          <w:iCs/>
          <w:sz w:val="26"/>
          <w:szCs w:val="26"/>
        </w:rPr>
        <w:t>El texto del acuerdo recurrido es el siguiente</w:t>
      </w:r>
      <w:r w:rsidR="004C1769" w:rsidRPr="003B084B">
        <w:rPr>
          <w:rFonts w:ascii="Arial" w:hAnsi="Arial" w:cs="Arial"/>
          <w:bCs/>
          <w:iCs/>
          <w:sz w:val="26"/>
          <w:szCs w:val="26"/>
        </w:rPr>
        <w:t>:</w:t>
      </w:r>
    </w:p>
    <w:p w14:paraId="6B042558" w14:textId="56869393" w:rsidR="004C1769" w:rsidRDefault="004C1769" w:rsidP="004C1769">
      <w:pPr>
        <w:spacing w:after="0" w:line="360" w:lineRule="auto"/>
        <w:ind w:firstLine="567"/>
        <w:jc w:val="both"/>
        <w:rPr>
          <w:rFonts w:ascii="Arial" w:eastAsia="Times New Roman" w:hAnsi="Arial" w:cs="Arial"/>
          <w:b/>
          <w:bCs/>
          <w:i/>
          <w:iCs/>
          <w:lang w:eastAsia="es-ES"/>
        </w:rPr>
      </w:pPr>
      <w:r w:rsidRPr="003B084B">
        <w:rPr>
          <w:rFonts w:ascii="Arial" w:eastAsia="Times New Roman" w:hAnsi="Arial" w:cs="Arial"/>
          <w:b/>
          <w:bCs/>
          <w:i/>
          <w:iCs/>
          <w:lang w:eastAsia="es-ES"/>
        </w:rPr>
        <w:t xml:space="preserve"> </w:t>
      </w:r>
    </w:p>
    <w:p w14:paraId="31407C94" w14:textId="77777777" w:rsidR="00FB5DB2" w:rsidRDefault="003B6CF0" w:rsidP="00E85DC7">
      <w:pPr>
        <w:spacing w:after="0"/>
        <w:ind w:left="567" w:right="616" w:firstLine="567"/>
        <w:jc w:val="both"/>
        <w:rPr>
          <w:rFonts w:ascii="Arial" w:eastAsia="Times New Roman" w:hAnsi="Arial" w:cs="Arial"/>
          <w:bCs/>
          <w:i/>
          <w:iCs/>
          <w:lang w:eastAsia="es-ES"/>
        </w:rPr>
      </w:pPr>
      <w:r w:rsidRPr="003B084B">
        <w:rPr>
          <w:rFonts w:ascii="Arial" w:eastAsia="Times New Roman" w:hAnsi="Arial" w:cs="Arial"/>
          <w:b/>
          <w:bCs/>
          <w:i/>
          <w:iCs/>
          <w:lang w:eastAsia="es-ES"/>
        </w:rPr>
        <w:lastRenderedPageBreak/>
        <w:t>“</w:t>
      </w:r>
      <w:r w:rsidR="00FD1EC3">
        <w:rPr>
          <w:rFonts w:ascii="Arial" w:eastAsia="Times New Roman" w:hAnsi="Arial" w:cs="Arial"/>
          <w:bCs/>
          <w:i/>
          <w:iCs/>
          <w:lang w:eastAsia="es-ES"/>
        </w:rPr>
        <w:t xml:space="preserve">Se recibió en la Oficialía de Partes Común de Primera Instancia de este Tribunal, el 20 veinte de noviembre de 2018 dos mil dieciocho, el </w:t>
      </w:r>
      <w:r w:rsidR="00FD1EC3">
        <w:rPr>
          <w:rFonts w:ascii="Arial" w:eastAsia="Times New Roman" w:hAnsi="Arial" w:cs="Arial"/>
          <w:b/>
          <w:bCs/>
          <w:i/>
          <w:iCs/>
          <w:lang w:eastAsia="es-ES"/>
        </w:rPr>
        <w:t xml:space="preserve">escrito </w:t>
      </w:r>
      <w:r w:rsidR="00FD1EC3">
        <w:rPr>
          <w:rFonts w:ascii="Arial" w:eastAsia="Times New Roman" w:hAnsi="Arial" w:cs="Arial"/>
          <w:bCs/>
          <w:i/>
          <w:iCs/>
          <w:lang w:eastAsia="es-ES"/>
        </w:rPr>
        <w:t xml:space="preserve">de la autorizada de la </w:t>
      </w:r>
      <w:r w:rsidR="00FD1EC3">
        <w:rPr>
          <w:rFonts w:ascii="Arial" w:eastAsia="Times New Roman" w:hAnsi="Arial" w:cs="Arial"/>
          <w:b/>
          <w:bCs/>
          <w:i/>
          <w:iCs/>
          <w:lang w:eastAsia="es-ES"/>
        </w:rPr>
        <w:t xml:space="preserve">parte actora; </w:t>
      </w:r>
      <w:r w:rsidR="00FD1EC3">
        <w:rPr>
          <w:rFonts w:ascii="Arial" w:eastAsia="Times New Roman" w:hAnsi="Arial" w:cs="Arial"/>
          <w:bCs/>
          <w:i/>
          <w:iCs/>
          <w:lang w:eastAsia="es-ES"/>
        </w:rPr>
        <w:t xml:space="preserve">mediante el cual </w:t>
      </w:r>
      <w:r w:rsidR="00FD1EC3">
        <w:rPr>
          <w:rFonts w:ascii="Arial" w:eastAsia="Times New Roman" w:hAnsi="Arial" w:cs="Arial"/>
          <w:b/>
          <w:bCs/>
          <w:i/>
          <w:iCs/>
          <w:lang w:eastAsia="es-ES"/>
        </w:rPr>
        <w:t xml:space="preserve">informa </w:t>
      </w:r>
      <w:r w:rsidR="00FD1EC3">
        <w:rPr>
          <w:rFonts w:ascii="Arial" w:eastAsia="Times New Roman" w:hAnsi="Arial" w:cs="Arial"/>
          <w:bCs/>
          <w:i/>
          <w:iCs/>
          <w:lang w:eastAsia="es-ES"/>
        </w:rPr>
        <w:t xml:space="preserve">que los documentos </w:t>
      </w:r>
      <w:r w:rsidR="00FB5DB2">
        <w:rPr>
          <w:rFonts w:ascii="Arial" w:eastAsia="Times New Roman" w:hAnsi="Arial" w:cs="Arial"/>
          <w:bCs/>
          <w:i/>
          <w:iCs/>
          <w:lang w:eastAsia="es-ES"/>
        </w:rPr>
        <w:t xml:space="preserve">consistentes en el original o copia certificada de los recibos de pago que le fueron requeridos mediante auto de 13 trece de noviembre de la presente anualidad, ya se encuentran anexados al cuadernillo de copias certificadas por la Notario Público número setenta y ocho. - - - - - - - - - - - - - - - - - - - - - - - - - - - - - - - - - - - - - - - - - - - - </w:t>
      </w:r>
    </w:p>
    <w:p w14:paraId="7911D424" w14:textId="20142FC6" w:rsidR="00A128A3" w:rsidRDefault="00FB5DB2" w:rsidP="00E85DC7">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Visto lo anterior, y toda vez que esta Sala Unitaria por error involuntario fue omisa en acordar las pruebas documentales de la </w:t>
      </w:r>
      <w:r>
        <w:rPr>
          <w:rFonts w:ascii="Arial" w:eastAsia="Times New Roman" w:hAnsi="Arial" w:cs="Arial"/>
          <w:b/>
          <w:bCs/>
          <w:i/>
          <w:iCs/>
          <w:lang w:eastAsia="es-ES"/>
        </w:rPr>
        <w:t xml:space="preserve">parte actora, </w:t>
      </w:r>
      <w:r>
        <w:rPr>
          <w:rFonts w:ascii="Arial" w:eastAsia="Times New Roman" w:hAnsi="Arial" w:cs="Arial"/>
          <w:bCs/>
          <w:i/>
          <w:iCs/>
          <w:lang w:eastAsia="es-ES"/>
        </w:rPr>
        <w:t xml:space="preserve">consistentes en copias certificadas de los recibos de pago de derechos por concepto de autorizaciones temporales para la colocación de andamios, tapiales y material de construcción números </w:t>
      </w:r>
      <w:r>
        <w:rPr>
          <w:rFonts w:ascii="Arial" w:eastAsia="Times New Roman" w:hAnsi="Arial" w:cs="Arial"/>
          <w:b/>
          <w:bCs/>
          <w:i/>
          <w:iCs/>
          <w:lang w:eastAsia="es-ES"/>
        </w:rPr>
        <w:t xml:space="preserve">MURO </w:t>
      </w:r>
      <w:r w:rsidR="004325AE">
        <w:rPr>
          <w:rFonts w:ascii="Arial" w:eastAsia="Times New Roman" w:hAnsi="Arial" w:cs="Arial"/>
          <w:b/>
          <w:bCs/>
          <w:i/>
          <w:iCs/>
          <w:lang w:eastAsia="es-ES"/>
        </w:rPr>
        <w:t>*******</w:t>
      </w:r>
      <w:r>
        <w:rPr>
          <w:rFonts w:ascii="Arial" w:eastAsia="Times New Roman" w:hAnsi="Arial" w:cs="Arial"/>
          <w:b/>
          <w:bCs/>
          <w:i/>
          <w:iCs/>
          <w:lang w:eastAsia="es-ES"/>
        </w:rPr>
        <w:t xml:space="preserve">, </w:t>
      </w:r>
      <w:r>
        <w:rPr>
          <w:rFonts w:ascii="Arial" w:eastAsia="Times New Roman" w:hAnsi="Arial" w:cs="Arial"/>
          <w:bCs/>
          <w:i/>
          <w:iCs/>
          <w:lang w:eastAsia="es-ES"/>
        </w:rPr>
        <w:t xml:space="preserve">de fechas 15 quince de marzo y 12 doce de julio de 2018 dos mil dieciocho, </w:t>
      </w:r>
      <w:r w:rsidR="00A128A3">
        <w:rPr>
          <w:rFonts w:ascii="Arial" w:eastAsia="Times New Roman" w:hAnsi="Arial" w:cs="Arial"/>
          <w:bCs/>
          <w:i/>
          <w:iCs/>
          <w:lang w:eastAsia="es-ES"/>
        </w:rPr>
        <w:t xml:space="preserve">mismas que ya obraban agregados a los autos de las fojas 51 y 52, por lo que atendiendo a ello y al estar facultada esta autoridad, para acordar diligencias para </w:t>
      </w:r>
      <w:r w:rsidR="00E038AF">
        <w:rPr>
          <w:rFonts w:ascii="Arial" w:eastAsia="Times New Roman" w:hAnsi="Arial" w:cs="Arial"/>
          <w:bCs/>
          <w:i/>
          <w:iCs/>
          <w:lang w:eastAsia="es-ES"/>
        </w:rPr>
        <w:t>mejor proveer en términos de la</w:t>
      </w:r>
      <w:r w:rsidR="00A128A3">
        <w:rPr>
          <w:rFonts w:ascii="Arial" w:eastAsia="Times New Roman" w:hAnsi="Arial" w:cs="Arial"/>
          <w:bCs/>
          <w:i/>
          <w:iCs/>
          <w:lang w:eastAsia="es-ES"/>
        </w:rPr>
        <w:t xml:space="preserve"> </w:t>
      </w:r>
      <w:proofErr w:type="spellStart"/>
      <w:r w:rsidR="00A128A3">
        <w:rPr>
          <w:rFonts w:ascii="Arial" w:eastAsia="Times New Roman" w:hAnsi="Arial" w:cs="Arial"/>
          <w:bCs/>
          <w:i/>
          <w:iCs/>
          <w:lang w:eastAsia="es-ES"/>
        </w:rPr>
        <w:t>Tésis</w:t>
      </w:r>
      <w:proofErr w:type="spellEnd"/>
      <w:r w:rsidR="00A128A3">
        <w:rPr>
          <w:rFonts w:ascii="Arial" w:eastAsia="Times New Roman" w:hAnsi="Arial" w:cs="Arial"/>
          <w:bCs/>
          <w:i/>
          <w:iCs/>
          <w:lang w:eastAsia="es-ES"/>
        </w:rPr>
        <w:t xml:space="preserve"> Jurisprudencial, Quinta Época, Tercera Sala, Apéndice de 1995, Tomo IV Parte SCJN, Tesis 205, página ciento cuarenta y uno, con el rubro y texto siguiente</w:t>
      </w:r>
      <w:r w:rsidR="00E038AF">
        <w:rPr>
          <w:rFonts w:ascii="Arial" w:eastAsia="Times New Roman" w:hAnsi="Arial" w:cs="Arial"/>
          <w:bCs/>
          <w:i/>
          <w:iCs/>
          <w:lang w:eastAsia="es-ES"/>
        </w:rPr>
        <w:t>s</w:t>
      </w:r>
      <w:r w:rsidR="00A128A3">
        <w:rPr>
          <w:rFonts w:ascii="Arial" w:eastAsia="Times New Roman" w:hAnsi="Arial" w:cs="Arial"/>
          <w:bCs/>
          <w:i/>
          <w:iCs/>
          <w:lang w:eastAsia="es-ES"/>
        </w:rPr>
        <w:t xml:space="preserve">:- </w:t>
      </w:r>
      <w:r w:rsidR="004325AE">
        <w:rPr>
          <w:rFonts w:ascii="Arial" w:eastAsia="Times New Roman" w:hAnsi="Arial" w:cs="Arial"/>
          <w:bCs/>
          <w:i/>
          <w:iCs/>
          <w:lang w:eastAsia="es-ES"/>
        </w:rPr>
        <w:t>- - - - - - - - - - - - - - - - - - - - - - - - - - - - - - - - - - - - - - - - - - - -</w:t>
      </w:r>
    </w:p>
    <w:p w14:paraId="056E2D2C" w14:textId="2E23987B" w:rsidR="00A128A3" w:rsidRDefault="00A128A3" w:rsidP="00E85DC7">
      <w:pPr>
        <w:spacing w:after="0"/>
        <w:ind w:left="567" w:right="616" w:firstLine="567"/>
        <w:jc w:val="both"/>
        <w:rPr>
          <w:rFonts w:ascii="Arial" w:eastAsia="Times New Roman" w:hAnsi="Arial" w:cs="Arial"/>
          <w:bCs/>
          <w:i/>
          <w:iCs/>
          <w:lang w:eastAsia="es-ES"/>
        </w:rPr>
      </w:pPr>
    </w:p>
    <w:p w14:paraId="269D6FBE" w14:textId="4B24613E" w:rsidR="00A128A3" w:rsidRDefault="00A128A3" w:rsidP="00E85DC7">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w:t>
      </w:r>
      <w:r>
        <w:rPr>
          <w:rFonts w:ascii="Arial" w:eastAsia="Times New Roman" w:hAnsi="Arial" w:cs="Arial"/>
          <w:b/>
          <w:bCs/>
          <w:i/>
          <w:iCs/>
          <w:lang w:eastAsia="es-ES"/>
        </w:rPr>
        <w:t xml:space="preserve">DILIGENCIA PARA MEJOR PROVEER” </w:t>
      </w:r>
      <w:r>
        <w:rPr>
          <w:rFonts w:ascii="Arial" w:eastAsia="Times New Roman" w:hAnsi="Arial" w:cs="Arial"/>
          <w:bCs/>
          <w:i/>
          <w:iCs/>
          <w:lang w:eastAsia="es-ES"/>
        </w:rPr>
        <w:t xml:space="preserve">El uso que los Tribunales hagan de la facultad que tienen de mandar practicar diligencias para mejor proveer, no puede considerase como agravio para ninguno de los litigantes, ni altera las partes substanciales del procedimiento, ni deja sin defensa ninguna de las partes contendientes.”- </w:t>
      </w:r>
    </w:p>
    <w:p w14:paraId="759ADC88" w14:textId="48889471" w:rsidR="00A128A3" w:rsidRDefault="00A128A3" w:rsidP="00E85DC7">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En consecuencia, se tiene a la </w:t>
      </w:r>
      <w:r>
        <w:rPr>
          <w:rFonts w:ascii="Arial" w:eastAsia="Times New Roman" w:hAnsi="Arial" w:cs="Arial"/>
          <w:b/>
          <w:bCs/>
          <w:i/>
          <w:iCs/>
          <w:lang w:eastAsia="es-ES"/>
        </w:rPr>
        <w:t xml:space="preserve">parte actora </w:t>
      </w:r>
      <w:r>
        <w:rPr>
          <w:rFonts w:ascii="Arial" w:eastAsia="Times New Roman" w:hAnsi="Arial" w:cs="Arial"/>
          <w:bCs/>
          <w:i/>
          <w:iCs/>
          <w:lang w:eastAsia="es-ES"/>
        </w:rPr>
        <w:t xml:space="preserve">haciendo valer sus manifestaciones respecto al requerimiento efectuado por auto de 13 trece de noviembre de 2018 dos mil dieciocho, por lo tanto se admiten las pruebas documentales consistentes en: copias certificadas de los recibos de pago de derechos por concepto de autorizaciones temporales para la colocación de andamios, tapiales y material de construcción números </w:t>
      </w:r>
      <w:r>
        <w:rPr>
          <w:rFonts w:ascii="Arial" w:eastAsia="Times New Roman" w:hAnsi="Arial" w:cs="Arial"/>
          <w:b/>
          <w:bCs/>
          <w:i/>
          <w:iCs/>
          <w:lang w:eastAsia="es-ES"/>
        </w:rPr>
        <w:t xml:space="preserve">MURO </w:t>
      </w:r>
      <w:r w:rsidR="004325AE">
        <w:rPr>
          <w:rFonts w:ascii="Arial" w:eastAsia="Times New Roman" w:hAnsi="Arial" w:cs="Arial"/>
          <w:b/>
          <w:bCs/>
          <w:i/>
          <w:iCs/>
          <w:lang w:eastAsia="es-ES"/>
        </w:rPr>
        <w:t>*******</w:t>
      </w:r>
      <w:r>
        <w:rPr>
          <w:rFonts w:ascii="Arial" w:eastAsia="Times New Roman" w:hAnsi="Arial" w:cs="Arial"/>
          <w:b/>
          <w:bCs/>
          <w:i/>
          <w:iCs/>
          <w:lang w:eastAsia="es-ES"/>
        </w:rPr>
        <w:t xml:space="preserve"> </w:t>
      </w:r>
      <w:r>
        <w:rPr>
          <w:rFonts w:ascii="Arial" w:eastAsia="Times New Roman" w:hAnsi="Arial" w:cs="Arial"/>
          <w:bCs/>
          <w:i/>
          <w:iCs/>
          <w:lang w:eastAsia="es-ES"/>
        </w:rPr>
        <w:t xml:space="preserve">de fechas 15 quince de marzo y 12 doce de julio de 2018 dos mil dieciocho; lo anterior con fundamento en los artículos </w:t>
      </w:r>
      <w:r w:rsidR="000A15A1">
        <w:rPr>
          <w:rFonts w:ascii="Arial" w:eastAsia="Times New Roman" w:hAnsi="Arial" w:cs="Arial"/>
          <w:bCs/>
          <w:i/>
          <w:iCs/>
          <w:lang w:eastAsia="es-ES"/>
        </w:rPr>
        <w:t>188 y 189 de la Ley de Procedimiento y Justicia Administrativa para el Estado de Oaxaca.</w:t>
      </w:r>
      <w:r w:rsidR="004325AE" w:rsidRPr="004325AE">
        <w:rPr>
          <w:rFonts w:ascii="Arial" w:eastAsia="Times New Roman" w:hAnsi="Arial" w:cs="Arial"/>
          <w:bCs/>
          <w:i/>
          <w:iCs/>
          <w:lang w:eastAsia="es-ES"/>
        </w:rPr>
        <w:t xml:space="preserve"> </w:t>
      </w:r>
      <w:r w:rsidR="004325AE">
        <w:rPr>
          <w:rFonts w:ascii="Arial" w:eastAsia="Times New Roman" w:hAnsi="Arial" w:cs="Arial"/>
          <w:bCs/>
          <w:i/>
          <w:iCs/>
          <w:lang w:eastAsia="es-ES"/>
        </w:rPr>
        <w:t>- - - - - - - - - - - - - - - - - - - - - - - - - - - - - - - - - - - - - - - - - - - - -</w:t>
      </w:r>
      <w:r w:rsidR="004325AE">
        <w:rPr>
          <w:rFonts w:ascii="Arial" w:eastAsia="Times New Roman" w:hAnsi="Arial" w:cs="Arial"/>
          <w:bCs/>
          <w:i/>
          <w:iCs/>
          <w:lang w:eastAsia="es-ES"/>
        </w:rPr>
        <w:t xml:space="preserve"> - </w:t>
      </w:r>
    </w:p>
    <w:p w14:paraId="66D0A012" w14:textId="16E20F1C" w:rsidR="000A15A1" w:rsidRDefault="000A15A1" w:rsidP="00E85DC7">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Por otra parte, visto el estado procesal que guardan los presentes autos, de ellos se advierte que mediante proveído de 13 trece de noviembre del presente año, se admitió a trámite la demanda de nulidad de la </w:t>
      </w:r>
      <w:r>
        <w:rPr>
          <w:rFonts w:ascii="Arial" w:eastAsia="Times New Roman" w:hAnsi="Arial" w:cs="Arial"/>
          <w:b/>
          <w:bCs/>
          <w:i/>
          <w:iCs/>
          <w:lang w:eastAsia="es-ES"/>
        </w:rPr>
        <w:t xml:space="preserve">parte actora, </w:t>
      </w:r>
      <w:r>
        <w:rPr>
          <w:rFonts w:ascii="Arial" w:eastAsia="Times New Roman" w:hAnsi="Arial" w:cs="Arial"/>
          <w:bCs/>
          <w:i/>
          <w:iCs/>
          <w:lang w:eastAsia="es-ES"/>
        </w:rPr>
        <w:t xml:space="preserve">por lo que se ordenó notificar, emplazar y correr traslado a las autoridades demandadas </w:t>
      </w:r>
      <w:r>
        <w:rPr>
          <w:rFonts w:ascii="Arial" w:eastAsia="Times New Roman" w:hAnsi="Arial" w:cs="Arial"/>
          <w:b/>
          <w:bCs/>
          <w:i/>
          <w:iCs/>
          <w:lang w:eastAsia="es-ES"/>
        </w:rPr>
        <w:t xml:space="preserve">Directora General de Desarrollo Urbano, Centro Histórico y Ecología Municipal, y Ricardo Antonio Escamilla, Verificador adscrito a la Dirección General de Desarrollo Urbano, Centro Histórico y Ecología Municipal, autoridades del municipio de Oaxaca de Juárez, Oaxaca, </w:t>
      </w:r>
      <w:r>
        <w:rPr>
          <w:rFonts w:ascii="Arial" w:eastAsia="Times New Roman" w:hAnsi="Arial" w:cs="Arial"/>
          <w:bCs/>
          <w:i/>
          <w:iCs/>
          <w:lang w:eastAsia="es-ES"/>
        </w:rPr>
        <w:t>para que dentro del término de nueve días hábiles dieran contestación a la demanda de nulidad interpuesta en su contra; y toda vez que las autoridades demandadas, fueron notificadas el 15 quince de noviembre de 2018 dos mil dieciocho, su término de nueve días transcurrieron</w:t>
      </w:r>
      <w:r w:rsidR="000F2D58">
        <w:rPr>
          <w:rFonts w:ascii="Arial" w:eastAsia="Times New Roman" w:hAnsi="Arial" w:cs="Arial"/>
          <w:bCs/>
          <w:i/>
          <w:iCs/>
          <w:lang w:eastAsia="es-ES"/>
        </w:rPr>
        <w:t xml:space="preserve"> del 20 veinte al 30 treinta de noviembre del año en curso, </w:t>
      </w:r>
      <w:r w:rsidR="00417405">
        <w:rPr>
          <w:rFonts w:ascii="Arial" w:eastAsia="Times New Roman" w:hAnsi="Arial" w:cs="Arial"/>
          <w:bCs/>
          <w:i/>
          <w:iCs/>
          <w:lang w:eastAsia="es-ES"/>
        </w:rPr>
        <w:t xml:space="preserve">descontándose los días 24 veinticuatro y 25 veinticinco de noviembre del año en curso, </w:t>
      </w:r>
      <w:r w:rsidR="000F2D58">
        <w:rPr>
          <w:rFonts w:ascii="Arial" w:eastAsia="Times New Roman" w:hAnsi="Arial" w:cs="Arial"/>
          <w:bCs/>
          <w:i/>
          <w:iCs/>
          <w:lang w:eastAsia="es-ES"/>
        </w:rPr>
        <w:t xml:space="preserve">por  haber correspondido </w:t>
      </w:r>
      <w:r w:rsidR="00213C10">
        <w:rPr>
          <w:rFonts w:ascii="Arial" w:eastAsia="Times New Roman" w:hAnsi="Arial" w:cs="Arial"/>
          <w:bCs/>
          <w:i/>
          <w:iCs/>
          <w:lang w:eastAsia="es-ES"/>
        </w:rPr>
        <w:t xml:space="preserve">a los días sábado y domingo; y siendo un hecho notorio para esta Sala Unitaria que hasta la fecha, las </w:t>
      </w:r>
      <w:r w:rsidR="00213C10">
        <w:rPr>
          <w:rFonts w:ascii="Arial" w:eastAsia="Times New Roman" w:hAnsi="Arial" w:cs="Arial"/>
          <w:b/>
          <w:bCs/>
          <w:i/>
          <w:iCs/>
          <w:lang w:eastAsia="es-ES"/>
        </w:rPr>
        <w:t xml:space="preserve">autoridades demandadas no han dado </w:t>
      </w:r>
      <w:r w:rsidR="00213C10">
        <w:rPr>
          <w:rFonts w:ascii="Arial" w:eastAsia="Times New Roman" w:hAnsi="Arial" w:cs="Arial"/>
          <w:bCs/>
          <w:i/>
          <w:iCs/>
          <w:lang w:eastAsia="es-ES"/>
        </w:rPr>
        <w:t xml:space="preserve">contestación a la demanda de nulidad entablada en su contra, en consecuencia se les hace efectivo el apercibimiento decretado por auto de 13 trece de noviembre de 2018 dos mil dieciocho, por lo tanto se tiene a la </w:t>
      </w:r>
      <w:r w:rsidR="00213C10">
        <w:rPr>
          <w:rFonts w:ascii="Arial" w:eastAsia="Times New Roman" w:hAnsi="Arial" w:cs="Arial"/>
          <w:b/>
          <w:bCs/>
          <w:i/>
          <w:iCs/>
          <w:lang w:eastAsia="es-ES"/>
        </w:rPr>
        <w:t xml:space="preserve">Directora General de Desarrollo Urbano, Centro Histórico y Ecología Municipal, y Ricardo Antonio </w:t>
      </w:r>
      <w:r w:rsidR="00213C10">
        <w:rPr>
          <w:rFonts w:ascii="Arial" w:eastAsia="Times New Roman" w:hAnsi="Arial" w:cs="Arial"/>
          <w:b/>
          <w:bCs/>
          <w:i/>
          <w:iCs/>
          <w:lang w:eastAsia="es-ES"/>
        </w:rPr>
        <w:lastRenderedPageBreak/>
        <w:t xml:space="preserve">Escamilla, Verificador adscrito a la Dirección General de Desarrollo Urbano, Centro Histórico y Ecología Municipal, autoridades del municipio de Oaxaca de Juárez, Oaxaca, contestando </w:t>
      </w:r>
      <w:r w:rsidR="00213C10">
        <w:rPr>
          <w:rFonts w:ascii="Arial" w:eastAsia="Times New Roman" w:hAnsi="Arial" w:cs="Arial"/>
          <w:bCs/>
          <w:i/>
          <w:iCs/>
          <w:lang w:eastAsia="es-ES"/>
        </w:rPr>
        <w:t xml:space="preserve">la demanda de nulidad en </w:t>
      </w:r>
      <w:r w:rsidR="00213C10">
        <w:rPr>
          <w:rFonts w:ascii="Arial" w:eastAsia="Times New Roman" w:hAnsi="Arial" w:cs="Arial"/>
          <w:b/>
          <w:bCs/>
          <w:i/>
          <w:iCs/>
          <w:lang w:eastAsia="es-ES"/>
        </w:rPr>
        <w:t xml:space="preserve">sentido afirmativo, </w:t>
      </w:r>
      <w:r w:rsidR="00213C10">
        <w:rPr>
          <w:rFonts w:ascii="Arial" w:eastAsia="Times New Roman" w:hAnsi="Arial" w:cs="Arial"/>
          <w:bCs/>
          <w:i/>
          <w:iCs/>
          <w:lang w:eastAsia="es-ES"/>
        </w:rPr>
        <w:t xml:space="preserve">salvo prueba en contrario, lo anterior con fundamento en el artículo 183, segundo párrafo, de la Ley de la Materia.- </w:t>
      </w:r>
    </w:p>
    <w:p w14:paraId="21011626" w14:textId="796A5174" w:rsidR="00213C10" w:rsidRDefault="00213C10" w:rsidP="00E85DC7">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Por último, y para evitar mayores dilaciones procesales se señalan las </w:t>
      </w:r>
      <w:r>
        <w:rPr>
          <w:rFonts w:ascii="Arial" w:eastAsia="Times New Roman" w:hAnsi="Arial" w:cs="Arial"/>
          <w:b/>
          <w:bCs/>
          <w:i/>
          <w:iCs/>
          <w:lang w:eastAsia="es-ES"/>
        </w:rPr>
        <w:t xml:space="preserve">12 DOCE HORAS DEL DÍA 30 TREINTA DE ENERO DE 2019 DOS MIL DIECINUEVE, </w:t>
      </w:r>
      <w:r>
        <w:rPr>
          <w:rFonts w:ascii="Arial" w:eastAsia="Times New Roman" w:hAnsi="Arial" w:cs="Arial"/>
          <w:bCs/>
          <w:i/>
          <w:iCs/>
          <w:lang w:eastAsia="es-ES"/>
        </w:rPr>
        <w:t xml:space="preserve">para que tenga verificación la </w:t>
      </w:r>
      <w:r>
        <w:rPr>
          <w:rFonts w:ascii="Arial" w:eastAsia="Times New Roman" w:hAnsi="Arial" w:cs="Arial"/>
          <w:b/>
          <w:bCs/>
          <w:i/>
          <w:iCs/>
          <w:lang w:eastAsia="es-ES"/>
        </w:rPr>
        <w:t xml:space="preserve">AUDIENCIA DE LEY; </w:t>
      </w:r>
      <w:r>
        <w:rPr>
          <w:rFonts w:ascii="Arial" w:eastAsia="Times New Roman" w:hAnsi="Arial" w:cs="Arial"/>
          <w:bCs/>
          <w:i/>
          <w:iCs/>
          <w:lang w:eastAsia="es-ES"/>
        </w:rPr>
        <w:t xml:space="preserve">en el cual se procederán a desahogar las pruebas que las partes hayan ofrecido dentro del </w:t>
      </w:r>
      <w:r w:rsidR="00343592">
        <w:rPr>
          <w:rFonts w:ascii="Arial" w:eastAsia="Times New Roman" w:hAnsi="Arial" w:cs="Arial"/>
          <w:bCs/>
          <w:i/>
          <w:iCs/>
          <w:lang w:eastAsia="es-ES"/>
        </w:rPr>
        <w:t xml:space="preserve">juicio y se recibirán alegatos, los cuales deberán ser formulados por escrito de conformidad con los artículos 187 y 204 último párrafo de la Ley de la materia. - - - - - - - - - - - - - - - - - - - - - - - - - - - - - - </w:t>
      </w:r>
    </w:p>
    <w:p w14:paraId="3D64F9CD" w14:textId="5ACB36A1" w:rsidR="00343592" w:rsidRDefault="00343592" w:rsidP="00E85DC7">
      <w:pPr>
        <w:spacing w:after="0"/>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 xml:space="preserve">NOTIFÍQUESE personalmente a la parte actora, y mediante oficio a las autoridades demandadas; </w:t>
      </w:r>
      <w:r>
        <w:rPr>
          <w:rFonts w:ascii="Arial" w:eastAsia="Times New Roman" w:hAnsi="Arial" w:cs="Arial"/>
          <w:bCs/>
          <w:i/>
          <w:iCs/>
          <w:lang w:eastAsia="es-ES"/>
        </w:rPr>
        <w:t>en términos de los artículos 172 fracción I, y 173 fracciones I y II, de la Ley de Procedimiento y Justicia Administrativa para el Estado de Oaxaca</w:t>
      </w:r>
      <w:r w:rsidR="00E038AF">
        <w:rPr>
          <w:rFonts w:ascii="Arial" w:eastAsia="Times New Roman" w:hAnsi="Arial" w:cs="Arial"/>
          <w:bCs/>
          <w:i/>
          <w:iCs/>
          <w:lang w:eastAsia="es-ES"/>
        </w:rPr>
        <w:t>.</w:t>
      </w:r>
    </w:p>
    <w:p w14:paraId="1DD2B178" w14:textId="702E22E2" w:rsidR="003B6CF0" w:rsidRPr="002614F4" w:rsidRDefault="00E038AF" w:rsidP="00E85DC7">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Así lo acordó y firma el Maestro en Derecho Pedro Carlos Zamora Martínez, Magistrado Titular de la Cuarta Sala Unitaria de Primera Instancia del Tribunal de Justicia Administrativa del Estado de Oaxaca, quien actúa legalmente con la Licenciada Monserrat García Altamirano, Secretaria de Acuerdos de es</w:t>
      </w:r>
      <w:r w:rsidR="00E84264">
        <w:rPr>
          <w:rFonts w:ascii="Arial" w:eastAsia="Times New Roman" w:hAnsi="Arial" w:cs="Arial"/>
          <w:bCs/>
          <w:i/>
          <w:iCs/>
          <w:lang w:eastAsia="es-ES"/>
        </w:rPr>
        <w:t>ta Sala, quien autoriza y da fe</w:t>
      </w:r>
      <w:r w:rsidR="003B6CF0">
        <w:rPr>
          <w:rFonts w:ascii="Arial" w:hAnsi="Arial" w:cs="Arial"/>
          <w:i/>
        </w:rPr>
        <w:t>”</w:t>
      </w:r>
      <w:r w:rsidR="00E84264">
        <w:rPr>
          <w:rFonts w:ascii="Arial" w:hAnsi="Arial" w:cs="Arial"/>
          <w:i/>
        </w:rPr>
        <w:t>.</w:t>
      </w:r>
      <w:r w:rsidR="003B6CF0" w:rsidRPr="00001C39">
        <w:rPr>
          <w:rFonts w:ascii="Arial" w:eastAsia="Times New Roman" w:hAnsi="Arial" w:cs="Arial"/>
          <w:b/>
          <w:bCs/>
          <w:i/>
          <w:iCs/>
          <w:lang w:eastAsia="es-ES"/>
        </w:rPr>
        <w:t xml:space="preserve"> </w:t>
      </w:r>
    </w:p>
    <w:p w14:paraId="36EF0AC2" w14:textId="66BC5331" w:rsidR="003B6CF0" w:rsidRPr="00CB6405" w:rsidRDefault="00997198"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673C1100"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 xml:space="preserve">3, </w:t>
      </w:r>
      <w:r w:rsidR="00E42B52">
        <w:rPr>
          <w:rFonts w:ascii="Arial" w:hAnsi="Arial" w:cs="Arial"/>
          <w:bCs/>
          <w:iCs/>
          <w:sz w:val="26"/>
          <w:szCs w:val="26"/>
        </w:rPr>
        <w:t>24 fraccio</w:t>
      </w:r>
      <w:r>
        <w:rPr>
          <w:rFonts w:ascii="Arial" w:hAnsi="Arial" w:cs="Arial"/>
          <w:bCs/>
          <w:iCs/>
          <w:sz w:val="26"/>
          <w:szCs w:val="26"/>
        </w:rPr>
        <w:t>n</w:t>
      </w:r>
      <w:r w:rsidR="00E42B52">
        <w:rPr>
          <w:rFonts w:ascii="Arial" w:hAnsi="Arial" w:cs="Arial"/>
          <w:bCs/>
          <w:iCs/>
          <w:sz w:val="26"/>
          <w:szCs w:val="26"/>
        </w:rPr>
        <w:t>es</w:t>
      </w:r>
      <w:r>
        <w:rPr>
          <w:rFonts w:ascii="Arial" w:hAnsi="Arial" w:cs="Arial"/>
          <w:bCs/>
          <w:iCs/>
          <w:sz w:val="26"/>
          <w:szCs w:val="26"/>
        </w:rPr>
        <w:t xml:space="preserve"> I</w:t>
      </w:r>
      <w:r w:rsidR="00E42B52">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5F2283">
        <w:rPr>
          <w:rFonts w:ascii="Arial" w:hAnsi="Arial" w:cs="Arial"/>
          <w:bCs/>
          <w:iCs/>
          <w:sz w:val="26"/>
          <w:szCs w:val="26"/>
        </w:rPr>
        <w:t>l</w:t>
      </w:r>
      <w:r w:rsidRPr="008E3662">
        <w:rPr>
          <w:rFonts w:ascii="Arial" w:hAnsi="Arial" w:cs="Arial"/>
          <w:bCs/>
          <w:iCs/>
          <w:sz w:val="26"/>
          <w:szCs w:val="26"/>
        </w:rPr>
        <w:t xml:space="preserve"> </w:t>
      </w:r>
      <w:r>
        <w:rPr>
          <w:rFonts w:ascii="Arial" w:hAnsi="Arial" w:cs="Arial"/>
          <w:sz w:val="26"/>
          <w:szCs w:val="26"/>
        </w:rPr>
        <w:t>a</w:t>
      </w:r>
      <w:r w:rsidR="005F2283">
        <w:rPr>
          <w:rFonts w:ascii="Arial" w:hAnsi="Arial" w:cs="Arial"/>
          <w:sz w:val="26"/>
          <w:szCs w:val="26"/>
        </w:rPr>
        <w:t>cuerdo</w:t>
      </w:r>
      <w:r w:rsidR="006F6BBE">
        <w:rPr>
          <w:rFonts w:ascii="Arial" w:hAnsi="Arial" w:cs="Arial"/>
          <w:sz w:val="26"/>
          <w:szCs w:val="26"/>
        </w:rPr>
        <w:t xml:space="preserve"> de </w:t>
      </w:r>
      <w:r w:rsidR="007C63BD">
        <w:rPr>
          <w:rFonts w:ascii="Arial" w:hAnsi="Arial" w:cs="Arial"/>
          <w:sz w:val="26"/>
          <w:szCs w:val="26"/>
        </w:rPr>
        <w:t>o</w:t>
      </w:r>
      <w:r w:rsidR="005F2283">
        <w:rPr>
          <w:rFonts w:ascii="Arial" w:hAnsi="Arial" w:cs="Arial"/>
          <w:sz w:val="26"/>
          <w:szCs w:val="26"/>
        </w:rPr>
        <w:t>nce</w:t>
      </w:r>
      <w:r w:rsidR="006F7407">
        <w:rPr>
          <w:rFonts w:ascii="Arial" w:hAnsi="Arial" w:cs="Arial"/>
          <w:sz w:val="26"/>
          <w:szCs w:val="26"/>
        </w:rPr>
        <w:t xml:space="preserve"> de </w:t>
      </w:r>
      <w:r w:rsidR="005F2283">
        <w:rPr>
          <w:rFonts w:ascii="Arial" w:hAnsi="Arial" w:cs="Arial"/>
          <w:sz w:val="26"/>
          <w:szCs w:val="26"/>
        </w:rPr>
        <w:t>dici</w:t>
      </w:r>
      <w:r w:rsidR="007C63BD">
        <w:rPr>
          <w:rFonts w:ascii="Arial" w:hAnsi="Arial" w:cs="Arial"/>
          <w:sz w:val="26"/>
          <w:szCs w:val="26"/>
        </w:rPr>
        <w:t>embre</w:t>
      </w:r>
      <w:r w:rsidR="006F7407">
        <w:rPr>
          <w:rFonts w:ascii="Arial" w:hAnsi="Arial" w:cs="Arial"/>
          <w:sz w:val="26"/>
          <w:szCs w:val="26"/>
        </w:rPr>
        <w:t xml:space="preserve"> de dos mil </w:t>
      </w:r>
      <w:r w:rsidR="007C63BD">
        <w:rPr>
          <w:rFonts w:ascii="Arial" w:hAnsi="Arial" w:cs="Arial"/>
          <w:sz w:val="26"/>
          <w:szCs w:val="26"/>
        </w:rPr>
        <w:t>dieci</w:t>
      </w:r>
      <w:r w:rsidR="005F2283">
        <w:rPr>
          <w:rFonts w:ascii="Arial" w:hAnsi="Arial" w:cs="Arial"/>
          <w:sz w:val="26"/>
          <w:szCs w:val="26"/>
        </w:rPr>
        <w:t>ocho</w:t>
      </w:r>
      <w:r w:rsidRPr="008E3662">
        <w:rPr>
          <w:rFonts w:ascii="Arial" w:hAnsi="Arial" w:cs="Arial"/>
          <w:bCs/>
          <w:iCs/>
          <w:sz w:val="26"/>
          <w:szCs w:val="26"/>
        </w:rPr>
        <w:t>, dictad</w:t>
      </w:r>
      <w:r w:rsidR="005F2283">
        <w:rPr>
          <w:rFonts w:ascii="Arial" w:hAnsi="Arial" w:cs="Arial"/>
          <w:bCs/>
          <w:iCs/>
          <w:sz w:val="26"/>
          <w:szCs w:val="26"/>
        </w:rPr>
        <w:t>o</w:t>
      </w:r>
      <w:r w:rsidRPr="008E3662">
        <w:rPr>
          <w:rFonts w:ascii="Arial" w:hAnsi="Arial" w:cs="Arial"/>
          <w:bCs/>
          <w:iCs/>
          <w:sz w:val="26"/>
          <w:szCs w:val="26"/>
        </w:rPr>
        <w:t xml:space="preserve"> por la </w:t>
      </w:r>
      <w:r w:rsidR="002614F4">
        <w:rPr>
          <w:rFonts w:ascii="Arial" w:hAnsi="Arial" w:cs="Arial"/>
          <w:bCs/>
          <w:iCs/>
          <w:sz w:val="26"/>
          <w:szCs w:val="26"/>
        </w:rPr>
        <w:t>Cuar</w:t>
      </w:r>
      <w:r w:rsidR="006F7407">
        <w:rPr>
          <w:rFonts w:ascii="Arial" w:hAnsi="Arial" w:cs="Arial"/>
          <w:bCs/>
          <w:iCs/>
          <w:sz w:val="26"/>
          <w:szCs w:val="26"/>
        </w:rPr>
        <w:t>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5F2283">
        <w:rPr>
          <w:rFonts w:ascii="Arial" w:hAnsi="Arial" w:cs="Arial"/>
          <w:b/>
          <w:bCs/>
          <w:iCs/>
          <w:sz w:val="26"/>
          <w:szCs w:val="26"/>
        </w:rPr>
        <w:t>111</w:t>
      </w:r>
      <w:r w:rsidRPr="00AE78C3">
        <w:rPr>
          <w:rFonts w:ascii="Arial" w:hAnsi="Arial" w:cs="Arial"/>
          <w:b/>
          <w:bCs/>
          <w:iCs/>
          <w:sz w:val="26"/>
          <w:szCs w:val="26"/>
        </w:rPr>
        <w:t>/201</w:t>
      </w:r>
      <w:r w:rsidR="005F2283">
        <w:rPr>
          <w:rFonts w:ascii="Arial" w:hAnsi="Arial" w:cs="Arial"/>
          <w:b/>
          <w:bCs/>
          <w:iCs/>
          <w:sz w:val="26"/>
          <w:szCs w:val="26"/>
        </w:rPr>
        <w:t>8</w:t>
      </w:r>
      <w:r w:rsidRPr="00AE78C3">
        <w:rPr>
          <w:rFonts w:ascii="Arial" w:hAnsi="Arial" w:cs="Arial"/>
          <w:b/>
          <w:bCs/>
          <w:iCs/>
          <w:sz w:val="26"/>
          <w:szCs w:val="26"/>
        </w:rPr>
        <w:t>.</w:t>
      </w:r>
      <w:r w:rsidR="00E85DC7">
        <w:rPr>
          <w:rFonts w:ascii="Arial" w:hAnsi="Arial" w:cs="Arial"/>
          <w:b/>
          <w:bCs/>
          <w:iCs/>
          <w:sz w:val="26"/>
          <w:szCs w:val="26"/>
        </w:rPr>
        <w:t xml:space="preserve"> </w:t>
      </w:r>
      <w:r w:rsidR="00E85DC7" w:rsidRPr="00E85DC7">
        <w:rPr>
          <w:rFonts w:ascii="Arial" w:hAnsi="Arial" w:cs="Arial"/>
          <w:iCs/>
          <w:sz w:val="26"/>
          <w:szCs w:val="26"/>
        </w:rPr>
        <w:t>- - - - - - - - - - - - - - - - - - - - - - - - - - - - - - - -</w:t>
      </w:r>
      <w:r w:rsidR="00E85DC7">
        <w:rPr>
          <w:rFonts w:ascii="Arial" w:hAnsi="Arial" w:cs="Arial"/>
          <w:b/>
          <w:bCs/>
          <w:iCs/>
          <w:sz w:val="26"/>
          <w:szCs w:val="26"/>
        </w:rPr>
        <w:t xml:space="preserve"> </w:t>
      </w:r>
    </w:p>
    <w:p w14:paraId="21D475FA" w14:textId="06650FB9" w:rsidR="0058783F" w:rsidRDefault="003B6CF0" w:rsidP="0058783F">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58783F" w:rsidRPr="00CB6405">
        <w:rPr>
          <w:rFonts w:ascii="Arial" w:hAnsi="Arial" w:cs="Arial"/>
          <w:sz w:val="26"/>
          <w:szCs w:val="26"/>
        </w:rPr>
        <w:t>Los agravios hechos valer se encuentran expuestos en el escrito respectivo d</w:t>
      </w:r>
      <w:r w:rsidR="0058783F">
        <w:rPr>
          <w:rFonts w:ascii="Arial" w:hAnsi="Arial" w:cs="Arial"/>
          <w:sz w:val="26"/>
          <w:szCs w:val="26"/>
        </w:rPr>
        <w:t>e la</w:t>
      </w:r>
      <w:r w:rsidR="0058783F"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58783F">
        <w:rPr>
          <w:rFonts w:ascii="Arial" w:hAnsi="Arial" w:cs="Arial"/>
          <w:sz w:val="26"/>
          <w:szCs w:val="26"/>
        </w:rPr>
        <w:t xml:space="preserve">En apoyo a lo anterior, se invoca la Jurisprudencia </w:t>
      </w:r>
      <w:r w:rsidR="0058783F" w:rsidRPr="00741479">
        <w:rPr>
          <w:rFonts w:ascii="Arial" w:hAnsi="Arial" w:cs="Arial"/>
          <w:sz w:val="26"/>
          <w:szCs w:val="26"/>
        </w:rPr>
        <w:t>2a./J. 58/2010</w:t>
      </w:r>
      <w:r w:rsidR="0058783F">
        <w:rPr>
          <w:rFonts w:ascii="Arial" w:hAnsi="Arial" w:cs="Arial"/>
          <w:sz w:val="26"/>
          <w:szCs w:val="26"/>
        </w:rPr>
        <w:t xml:space="preserve">, con número de registro digital </w:t>
      </w:r>
      <w:r w:rsidR="0058783F" w:rsidRPr="00741479">
        <w:rPr>
          <w:rFonts w:ascii="Arial" w:hAnsi="Arial" w:cs="Arial"/>
          <w:sz w:val="26"/>
          <w:szCs w:val="26"/>
        </w:rPr>
        <w:t>164618</w:t>
      </w:r>
      <w:r w:rsidR="0058783F">
        <w:rPr>
          <w:rFonts w:ascii="Arial" w:hAnsi="Arial" w:cs="Arial"/>
          <w:sz w:val="26"/>
          <w:szCs w:val="26"/>
        </w:rPr>
        <w:t xml:space="preserve">, emitida por la Segunda Sala de la Suprema Corte de Justicia de la Nación, publicada en el Semanario Judicial de la </w:t>
      </w:r>
      <w:r w:rsidR="0058783F">
        <w:rPr>
          <w:rFonts w:ascii="Arial" w:hAnsi="Arial" w:cs="Arial"/>
          <w:sz w:val="26"/>
          <w:szCs w:val="26"/>
        </w:rPr>
        <w:lastRenderedPageBreak/>
        <w:t>Federación y su Gaceta, perteneciente a la Novena Época, materia común, de rubro y texto siguientes:</w:t>
      </w:r>
      <w:r w:rsidR="00E85DC7">
        <w:rPr>
          <w:rFonts w:ascii="Arial" w:hAnsi="Arial" w:cs="Arial"/>
          <w:sz w:val="26"/>
          <w:szCs w:val="26"/>
        </w:rPr>
        <w:t xml:space="preserve"> </w:t>
      </w:r>
    </w:p>
    <w:p w14:paraId="6EBEC212" w14:textId="77777777" w:rsidR="0058783F" w:rsidRPr="00541B12" w:rsidRDefault="0058783F" w:rsidP="00E85DC7">
      <w:pPr>
        <w:spacing w:before="240" w:after="0"/>
        <w:ind w:left="1134" w:right="616"/>
        <w:jc w:val="both"/>
        <w:rPr>
          <w:rFonts w:ascii="Arial" w:hAnsi="Arial" w:cs="Arial"/>
          <w:b/>
          <w:i/>
        </w:rPr>
      </w:pPr>
      <w:r w:rsidRPr="00541B12">
        <w:rPr>
          <w:rFonts w:ascii="Arial" w:hAnsi="Arial" w:cs="Arial"/>
          <w:b/>
          <w:i/>
        </w:rPr>
        <w:t>“CONCEPTOS DE VIOLACIÓN O AGRAVIOS. PARA CUMPLIR CON LOS PRINCIPIOS DE CONGRUENCIA Y EXHAUSTIVIDAD EN LAS SENTENCIAS DE AMPARO ES INNECESARIA SU TRANSCRIPCIÓN.</w:t>
      </w:r>
    </w:p>
    <w:p w14:paraId="27282CF8" w14:textId="77777777" w:rsidR="0058783F" w:rsidRPr="00541B12" w:rsidRDefault="0058783F" w:rsidP="00E85DC7">
      <w:pPr>
        <w:spacing w:before="240" w:after="0"/>
        <w:ind w:left="1134" w:right="616"/>
        <w:jc w:val="both"/>
        <w:rPr>
          <w:rFonts w:ascii="Arial" w:hAnsi="Arial" w:cs="Arial"/>
          <w:i/>
        </w:rPr>
      </w:pPr>
      <w:r w:rsidRPr="00541B12">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B51E675" w14:textId="77777777" w:rsidR="0058783F" w:rsidRPr="00541B12" w:rsidRDefault="0058783F" w:rsidP="00E85DC7">
      <w:pPr>
        <w:spacing w:before="240" w:after="0"/>
        <w:ind w:left="1134" w:right="616"/>
        <w:jc w:val="both"/>
        <w:rPr>
          <w:rFonts w:ascii="Arial" w:hAnsi="Arial" w:cs="Arial"/>
          <w:i/>
        </w:rPr>
      </w:pPr>
      <w:r w:rsidRPr="00541B12">
        <w:rPr>
          <w:rFonts w:ascii="Arial" w:hAnsi="Arial" w:cs="Arial"/>
          <w:i/>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2002F178" w14:textId="77777777" w:rsidR="0058783F" w:rsidRPr="00541B12" w:rsidRDefault="0058783F" w:rsidP="00E85DC7">
      <w:pPr>
        <w:spacing w:before="240" w:after="0"/>
        <w:ind w:left="1134" w:right="616"/>
        <w:jc w:val="both"/>
        <w:rPr>
          <w:rFonts w:ascii="Arial" w:hAnsi="Arial" w:cs="Arial"/>
          <w:i/>
        </w:rPr>
      </w:pPr>
      <w:r w:rsidRPr="00541B12">
        <w:rPr>
          <w:rFonts w:ascii="Arial" w:hAnsi="Arial" w:cs="Arial"/>
          <w:i/>
        </w:rPr>
        <w:t>Tesis de jurisprudencia 58/2010. Aprobada por la Segunda Sala de este Alto Tribunal, en sesión privada del doce de mayo de dos mil diez.”</w:t>
      </w:r>
    </w:p>
    <w:p w14:paraId="621FB5A2" w14:textId="313ABA1F" w:rsidR="00F9733A" w:rsidRPr="004E2E2B" w:rsidRDefault="00626352" w:rsidP="00D37901">
      <w:pPr>
        <w:spacing w:before="240" w:line="360" w:lineRule="auto"/>
        <w:ind w:firstLine="708"/>
        <w:jc w:val="both"/>
        <w:rPr>
          <w:rFonts w:ascii="Arial" w:hAnsi="Arial" w:cs="Arial"/>
          <w:b/>
          <w:i/>
          <w:sz w:val="26"/>
          <w:szCs w:val="26"/>
        </w:rPr>
      </w:pPr>
      <w:r w:rsidRPr="00626352">
        <w:rPr>
          <w:rFonts w:ascii="Arial" w:hAnsi="Arial" w:cs="Arial"/>
          <w:b/>
          <w:sz w:val="26"/>
          <w:szCs w:val="26"/>
        </w:rPr>
        <w:t xml:space="preserve">TERCERO.- </w:t>
      </w:r>
      <w:r w:rsidR="00D37901">
        <w:rPr>
          <w:rFonts w:ascii="Arial" w:hAnsi="Arial" w:cs="Arial"/>
          <w:b/>
          <w:sz w:val="26"/>
          <w:szCs w:val="26"/>
        </w:rPr>
        <w:t xml:space="preserve">La autoridad </w:t>
      </w:r>
      <w:r w:rsidR="00554CE2">
        <w:rPr>
          <w:rFonts w:ascii="Arial" w:hAnsi="Arial" w:cs="Arial"/>
          <w:sz w:val="26"/>
          <w:szCs w:val="26"/>
        </w:rPr>
        <w:t xml:space="preserve">inconforme </w:t>
      </w:r>
      <w:r w:rsidR="00D37901">
        <w:rPr>
          <w:rFonts w:ascii="Arial" w:hAnsi="Arial" w:cs="Arial"/>
          <w:sz w:val="26"/>
          <w:szCs w:val="26"/>
        </w:rPr>
        <w:t xml:space="preserve">alega que </w:t>
      </w:r>
      <w:r w:rsidR="00554CE2">
        <w:rPr>
          <w:rFonts w:ascii="Arial" w:hAnsi="Arial" w:cs="Arial"/>
          <w:sz w:val="26"/>
          <w:szCs w:val="26"/>
        </w:rPr>
        <w:t xml:space="preserve">le </w:t>
      </w:r>
      <w:r w:rsidR="004E2E2B">
        <w:rPr>
          <w:rFonts w:ascii="Arial" w:hAnsi="Arial" w:cs="Arial"/>
          <w:sz w:val="26"/>
          <w:szCs w:val="26"/>
        </w:rPr>
        <w:t xml:space="preserve">causa </w:t>
      </w:r>
      <w:r w:rsidR="00554CE2">
        <w:rPr>
          <w:rFonts w:ascii="Arial" w:hAnsi="Arial" w:cs="Arial"/>
          <w:sz w:val="26"/>
          <w:szCs w:val="26"/>
        </w:rPr>
        <w:t xml:space="preserve">agravio el acuerdo de once de diciembre de dos mil dieciocho, al violar en su perjuicio el principio de seguridad jurídica, consagrado en el artículo 16, primer párrafo de la Constitución Federal, pues dicho principio no debe entenderse en el sentido de que la ley ha de señalar de manera especial y precisa un procedimiento para regular cada una de las relaciones que se entablen entre las autoridades y los particulares, sino que debe contener los elementos mínimos para hacer valer el derecho del gobernado y para que, sobre este aspecto, la autoridad no incurra en arbitrariedades, lo que explica que existen trámites o relaciones que por su simplicidad o sencillez, no requieren de que la ley pormenorice un procedimiento detallado para ejercer el derecho correlativo, de lo </w:t>
      </w:r>
      <w:r w:rsidR="00554CE2">
        <w:rPr>
          <w:rFonts w:ascii="Arial" w:hAnsi="Arial" w:cs="Arial"/>
          <w:sz w:val="26"/>
          <w:szCs w:val="26"/>
        </w:rPr>
        <w:lastRenderedPageBreak/>
        <w:t xml:space="preserve">anterior corrobora que es innecesario que en todos los supuestos de la ley se deba detallar minuciosamente el procedimiento, cuando éste </w:t>
      </w:r>
      <w:r w:rsidR="00391311">
        <w:rPr>
          <w:rFonts w:ascii="Arial" w:hAnsi="Arial" w:cs="Arial"/>
          <w:sz w:val="26"/>
          <w:szCs w:val="26"/>
        </w:rPr>
        <w:t>se encuentra definido de manera sencilla para evidenciar la forma en que debe hacerse valer el derecho por el particular, así como las facultades y obligaciones que le corresponden a la autoridad, por tanto</w:t>
      </w:r>
      <w:r w:rsidR="00D7332C">
        <w:rPr>
          <w:rFonts w:ascii="Arial" w:hAnsi="Arial" w:cs="Arial"/>
          <w:sz w:val="26"/>
          <w:szCs w:val="26"/>
        </w:rPr>
        <w:t>,</w:t>
      </w:r>
      <w:r w:rsidR="00391311">
        <w:rPr>
          <w:rFonts w:ascii="Arial" w:hAnsi="Arial" w:cs="Arial"/>
          <w:sz w:val="26"/>
          <w:szCs w:val="26"/>
        </w:rPr>
        <w:t xml:space="preserve"> es evidente que le ocasiona molestia el hecho de que con la determinación que se recurre no se garantice su derecho de</w:t>
      </w:r>
      <w:r w:rsidR="001664EA">
        <w:rPr>
          <w:rFonts w:ascii="Arial" w:hAnsi="Arial" w:cs="Arial"/>
          <w:sz w:val="26"/>
          <w:szCs w:val="26"/>
        </w:rPr>
        <w:t xml:space="preserve"> accede</w:t>
      </w:r>
      <w:r w:rsidR="00391311">
        <w:rPr>
          <w:rFonts w:ascii="Arial" w:hAnsi="Arial" w:cs="Arial"/>
          <w:sz w:val="26"/>
          <w:szCs w:val="26"/>
        </w:rPr>
        <w:t xml:space="preserve">r a una justicia pronta, eficaz, imparcial y sobre todo le ocasiona incertidumbre e inseguridad jurídica, y con ello le genera un estado de indefensión, pues el precepto 16 constitucional establece: “Nadie puede ser molestado en su persona, familia, domicilio, papales y posesiones, sino en virtud de mandamiento escrito de la autoridad competente, que funde y motive la causa legal del procedimiento”, y esta garantía forma parte de la genérica de seguridad jurídica que tiene como finalidad que, al gobernado se proporcionen los elementos necesarios </w:t>
      </w:r>
      <w:r w:rsidR="00F9733A">
        <w:rPr>
          <w:rFonts w:ascii="Arial" w:hAnsi="Arial" w:cs="Arial"/>
          <w:sz w:val="26"/>
          <w:szCs w:val="26"/>
        </w:rPr>
        <w:t>para que esté en aptitud de defender sus derechos, bien ante la propia autoridad administrativa a través de los recursos, bien ante la autoridad judicial por medio de las acciones que las leyes respectivas establezcan; así para satisfacer el principio de seguridad jurídica la Constitución establece las garantías de audiencia, de fundamentación y motivación, las formalidades del acto autoritario y las de legalidad.</w:t>
      </w:r>
      <w:r w:rsidR="004E2E2B">
        <w:rPr>
          <w:rFonts w:ascii="Arial" w:hAnsi="Arial" w:cs="Arial"/>
          <w:sz w:val="26"/>
          <w:szCs w:val="26"/>
        </w:rPr>
        <w:t xml:space="preserve"> </w:t>
      </w:r>
      <w:r w:rsidR="00F9733A">
        <w:rPr>
          <w:rFonts w:ascii="Arial" w:hAnsi="Arial" w:cs="Arial"/>
          <w:sz w:val="26"/>
          <w:szCs w:val="26"/>
        </w:rPr>
        <w:t xml:space="preserve">Invoca la tesis de rubro siguiente: </w:t>
      </w:r>
      <w:r w:rsidR="00F9733A" w:rsidRPr="004E2E2B">
        <w:rPr>
          <w:rFonts w:ascii="Arial" w:hAnsi="Arial" w:cs="Arial"/>
          <w:b/>
          <w:i/>
          <w:sz w:val="26"/>
          <w:szCs w:val="26"/>
        </w:rPr>
        <w:t xml:space="preserve">“SEGURIDAD JURÍDICA. ALCANCE DE LAS GARANTÍAS INSTRUMENTALES DE MANDAMIENTO ESCRITO, AUTORIDAD COMPETENTE Y FUNDAMENTACIÓN Y MOTIVACIÓN, PREVISTAS EN EL ARTÍCULO 16, PRIMER PÁRRAFO, DE LA CONSTITUCIÓN FEDERAL, PARA ASEGURAR EL RESPECTO A DICHO DERECHO HUMANO”. </w:t>
      </w:r>
      <w:r w:rsidR="00E85DC7" w:rsidRPr="00E85DC7">
        <w:rPr>
          <w:rFonts w:ascii="Arial" w:hAnsi="Arial" w:cs="Arial"/>
          <w:bCs/>
          <w:iCs/>
          <w:sz w:val="26"/>
          <w:szCs w:val="26"/>
        </w:rPr>
        <w:t>- - - - -</w:t>
      </w:r>
      <w:r w:rsidR="00E85DC7">
        <w:rPr>
          <w:rFonts w:ascii="Arial" w:hAnsi="Arial" w:cs="Arial"/>
          <w:b/>
          <w:i/>
          <w:sz w:val="26"/>
          <w:szCs w:val="26"/>
        </w:rPr>
        <w:t xml:space="preserve"> </w:t>
      </w:r>
    </w:p>
    <w:p w14:paraId="2FCCA3F9" w14:textId="4019A051" w:rsidR="00D37901" w:rsidRPr="000A2674" w:rsidRDefault="00D37901" w:rsidP="000A2674">
      <w:pPr>
        <w:spacing w:line="360" w:lineRule="auto"/>
        <w:ind w:right="49" w:firstLine="567"/>
        <w:jc w:val="both"/>
        <w:rPr>
          <w:rFonts w:ascii="Arial" w:eastAsia="Calibri" w:hAnsi="Arial" w:cs="Arial"/>
          <w:bCs/>
          <w:sz w:val="26"/>
          <w:szCs w:val="26"/>
          <w:lang w:val="es-ES" w:eastAsia="en-US"/>
        </w:rPr>
      </w:pPr>
      <w:r w:rsidRPr="00E84F50">
        <w:rPr>
          <w:rFonts w:ascii="Arial" w:eastAsia="Calibri" w:hAnsi="Arial" w:cs="Arial"/>
          <w:bCs/>
          <w:iCs/>
          <w:sz w:val="26"/>
          <w:szCs w:val="26"/>
          <w:lang w:eastAsia="en-US"/>
        </w:rPr>
        <w:t xml:space="preserve">Esta Sala Superior advierte que los argumentos </w:t>
      </w:r>
      <w:r w:rsidRPr="00E84F50">
        <w:rPr>
          <w:rFonts w:ascii="Arial" w:eastAsia="Calibri" w:hAnsi="Arial" w:cs="Arial"/>
          <w:bCs/>
          <w:sz w:val="26"/>
          <w:szCs w:val="26"/>
          <w:lang w:val="es-ES" w:eastAsia="en-US"/>
        </w:rPr>
        <w:t>expresados por la autoridad inconforme en el oficio de recurso de revisión devienen</w:t>
      </w:r>
      <w:r w:rsidRPr="00E84F50">
        <w:rPr>
          <w:rFonts w:ascii="Arial" w:eastAsia="Calibri" w:hAnsi="Arial" w:cs="Arial"/>
          <w:b/>
          <w:bCs/>
          <w:sz w:val="26"/>
          <w:szCs w:val="26"/>
          <w:lang w:val="es-ES" w:eastAsia="en-US"/>
        </w:rPr>
        <w:t xml:space="preserve"> INOPERANTES,</w:t>
      </w:r>
      <w:r w:rsidR="004269DA" w:rsidRPr="00E84F50">
        <w:rPr>
          <w:rFonts w:ascii="Arial" w:eastAsia="Calibri" w:hAnsi="Arial" w:cs="Arial"/>
          <w:bCs/>
          <w:sz w:val="26"/>
          <w:szCs w:val="26"/>
          <w:lang w:val="es-ES" w:eastAsia="en-US"/>
        </w:rPr>
        <w:t xml:space="preserve"> porque no combaten </w:t>
      </w:r>
      <w:r w:rsidRPr="00E84F50">
        <w:rPr>
          <w:rFonts w:ascii="Arial" w:eastAsia="Calibri" w:hAnsi="Arial" w:cs="Arial"/>
          <w:bCs/>
          <w:sz w:val="26"/>
          <w:szCs w:val="26"/>
          <w:lang w:val="es-ES" w:eastAsia="en-US"/>
        </w:rPr>
        <w:t>de ninguna manera las</w:t>
      </w:r>
      <w:r w:rsidR="000A2674" w:rsidRPr="00E84F50">
        <w:rPr>
          <w:rFonts w:ascii="Arial" w:eastAsia="Calibri" w:hAnsi="Arial" w:cs="Arial"/>
          <w:bCs/>
          <w:sz w:val="26"/>
          <w:szCs w:val="26"/>
          <w:lang w:val="es-ES" w:eastAsia="en-US"/>
        </w:rPr>
        <w:t xml:space="preserve"> razones</w:t>
      </w:r>
      <w:r w:rsidR="004269DA" w:rsidRPr="00E84F50">
        <w:rPr>
          <w:rFonts w:ascii="Arial" w:eastAsia="Calibri" w:hAnsi="Arial" w:cs="Arial"/>
          <w:bCs/>
          <w:sz w:val="26"/>
          <w:szCs w:val="26"/>
          <w:lang w:val="es-ES" w:eastAsia="en-US"/>
        </w:rPr>
        <w:t xml:space="preserve"> principales</w:t>
      </w:r>
      <w:r w:rsidR="000A2674" w:rsidRPr="00E84F50">
        <w:rPr>
          <w:rFonts w:ascii="Arial" w:eastAsia="Calibri" w:hAnsi="Arial" w:cs="Arial"/>
          <w:bCs/>
          <w:sz w:val="26"/>
          <w:szCs w:val="26"/>
          <w:lang w:val="es-ES" w:eastAsia="en-US"/>
        </w:rPr>
        <w:t xml:space="preserve"> que tuvo la Cuarta Sala Unitaria de Primera Instancia para tener por contestada la demanda en sentido afirmativo en el acuerdo impugnado, a consecuencia de que la </w:t>
      </w:r>
      <w:r w:rsidR="000A2674" w:rsidRPr="00E84F50">
        <w:rPr>
          <w:rFonts w:ascii="Arial" w:eastAsia="Calibri" w:hAnsi="Arial" w:cs="Arial"/>
          <w:b/>
          <w:bCs/>
          <w:sz w:val="26"/>
          <w:szCs w:val="26"/>
          <w:lang w:val="es-ES" w:eastAsia="en-US"/>
        </w:rPr>
        <w:t>Directora General de Desarrollo Urbano, Centro Histórico y Ecología Municipal del Municipio de Oaxaca de Juárez, Oaxaca,</w:t>
      </w:r>
      <w:r w:rsidR="000A2674" w:rsidRPr="00E84F50">
        <w:rPr>
          <w:rFonts w:ascii="Arial" w:eastAsia="Calibri" w:hAnsi="Arial" w:cs="Arial"/>
          <w:bCs/>
          <w:sz w:val="26"/>
          <w:szCs w:val="26"/>
          <w:lang w:val="es-ES" w:eastAsia="en-US"/>
        </w:rPr>
        <w:t xml:space="preserve"> en aquélla época no presentó su oficio de contestación en tiempo y forma, </w:t>
      </w:r>
      <w:r w:rsidRPr="00E84F50">
        <w:rPr>
          <w:rFonts w:ascii="Arial" w:eastAsia="Calibri" w:hAnsi="Arial" w:cs="Arial"/>
          <w:bCs/>
          <w:sz w:val="26"/>
          <w:szCs w:val="26"/>
          <w:lang w:val="es-ES" w:eastAsia="en-US"/>
        </w:rPr>
        <w:t xml:space="preserve">y era indispensable que planteara el recurrente, las razones por las cuales a su juicio, la primera instancia </w:t>
      </w:r>
      <w:r w:rsidRPr="00E84F50">
        <w:rPr>
          <w:rFonts w:ascii="Arial" w:eastAsia="Calibri" w:hAnsi="Arial" w:cs="Arial"/>
          <w:bCs/>
          <w:sz w:val="26"/>
          <w:szCs w:val="26"/>
          <w:lang w:val="es-ES" w:eastAsia="en-US"/>
        </w:rPr>
        <w:lastRenderedPageBreak/>
        <w:t xml:space="preserve">contravino el principio de </w:t>
      </w:r>
      <w:r w:rsidR="000A2674" w:rsidRPr="00E84F50">
        <w:rPr>
          <w:rFonts w:ascii="Arial" w:eastAsia="Calibri" w:hAnsi="Arial" w:cs="Arial"/>
          <w:bCs/>
          <w:sz w:val="26"/>
          <w:szCs w:val="26"/>
          <w:lang w:val="es-ES" w:eastAsia="en-US"/>
        </w:rPr>
        <w:t xml:space="preserve">seguridad jurídica </w:t>
      </w:r>
      <w:r w:rsidRPr="00E84F50">
        <w:rPr>
          <w:rFonts w:ascii="Arial" w:eastAsia="Calibri" w:hAnsi="Arial" w:cs="Arial"/>
          <w:bCs/>
          <w:sz w:val="26"/>
          <w:szCs w:val="26"/>
          <w:lang w:val="es-ES" w:eastAsia="en-US"/>
        </w:rPr>
        <w:t xml:space="preserve">cuando dictó </w:t>
      </w:r>
      <w:r w:rsidR="00753413" w:rsidRPr="00E84F50">
        <w:rPr>
          <w:rFonts w:ascii="Arial" w:eastAsia="Calibri" w:hAnsi="Arial" w:cs="Arial"/>
          <w:bCs/>
          <w:sz w:val="26"/>
          <w:szCs w:val="26"/>
          <w:lang w:val="es-ES" w:eastAsia="en-US"/>
        </w:rPr>
        <w:t xml:space="preserve">el acuerdo </w:t>
      </w:r>
      <w:r w:rsidRPr="00E84F50">
        <w:rPr>
          <w:rFonts w:ascii="Arial" w:eastAsia="Calibri" w:hAnsi="Arial" w:cs="Arial"/>
          <w:bCs/>
          <w:sz w:val="26"/>
          <w:szCs w:val="26"/>
          <w:lang w:val="es-ES" w:eastAsia="en-US"/>
        </w:rPr>
        <w:t xml:space="preserve">en revisión. De ahí la </w:t>
      </w:r>
      <w:r w:rsidRPr="00E84F50">
        <w:rPr>
          <w:rFonts w:ascii="Arial" w:eastAsia="Calibri" w:hAnsi="Arial" w:cs="Arial"/>
          <w:b/>
          <w:bCs/>
          <w:sz w:val="26"/>
          <w:szCs w:val="26"/>
          <w:lang w:val="es-ES" w:eastAsia="en-US"/>
        </w:rPr>
        <w:t>INOPERANCIA</w:t>
      </w:r>
      <w:r w:rsidRPr="00E84F50">
        <w:rPr>
          <w:rFonts w:ascii="Arial" w:eastAsia="Calibri" w:hAnsi="Arial" w:cs="Arial"/>
          <w:bCs/>
          <w:sz w:val="26"/>
          <w:szCs w:val="26"/>
          <w:lang w:val="es-ES" w:eastAsia="en-US"/>
        </w:rPr>
        <w:t xml:space="preserve"> de sus argumentos.</w:t>
      </w:r>
      <w:r w:rsidRPr="00B066F1">
        <w:rPr>
          <w:rFonts w:ascii="Arial" w:eastAsia="Calibri" w:hAnsi="Arial" w:cs="Arial"/>
          <w:bCs/>
          <w:sz w:val="26"/>
          <w:szCs w:val="26"/>
          <w:lang w:val="es-ES" w:eastAsia="en-US"/>
        </w:rPr>
        <w:t xml:space="preserve"> </w:t>
      </w:r>
      <w:r w:rsidR="00E85DC7">
        <w:rPr>
          <w:rFonts w:ascii="Arial" w:eastAsia="Calibri" w:hAnsi="Arial" w:cs="Arial"/>
          <w:bCs/>
          <w:sz w:val="26"/>
          <w:szCs w:val="26"/>
          <w:lang w:val="es-ES" w:eastAsia="en-US"/>
        </w:rPr>
        <w:t xml:space="preserve">- - - - - - - - - - - - </w:t>
      </w:r>
    </w:p>
    <w:p w14:paraId="58BB5B13" w14:textId="77777777" w:rsidR="00D37901" w:rsidRPr="00B066F1" w:rsidRDefault="00D37901" w:rsidP="00D37901">
      <w:pPr>
        <w:spacing w:before="240" w:line="360" w:lineRule="auto"/>
        <w:ind w:firstLine="708"/>
        <w:jc w:val="both"/>
        <w:rPr>
          <w:rFonts w:ascii="Arial" w:eastAsia="Calibri" w:hAnsi="Arial" w:cs="Arial"/>
          <w:bCs/>
          <w:sz w:val="26"/>
          <w:szCs w:val="26"/>
          <w:lang w:val="es-ES" w:eastAsia="en-US"/>
        </w:rPr>
      </w:pPr>
      <w:r w:rsidRPr="00B066F1">
        <w:rPr>
          <w:rFonts w:ascii="Arial" w:eastAsia="Calibri" w:hAnsi="Arial" w:cs="Arial"/>
          <w:bCs/>
          <w:sz w:val="26"/>
          <w:szCs w:val="26"/>
          <w:lang w:val="es-ES" w:eastAsia="en-US"/>
        </w:rPr>
        <w:t>Es aplicable al presente caso, la jurisprudencia IV.3o.J/12 emitida por el Tercer Tribunal Colegiado del Cuarto Circuito, visible en la Gaceta del Semanario Judicial de la Federación, perteneciente a la Octava Época, Septiembre de 1992, consultable a página 57, de rubro y texto siguientes:</w:t>
      </w:r>
    </w:p>
    <w:p w14:paraId="26A1DD04" w14:textId="77777777" w:rsidR="00D37901" w:rsidRPr="00B066F1" w:rsidRDefault="00D37901" w:rsidP="00E85DC7">
      <w:pPr>
        <w:spacing w:before="240"/>
        <w:ind w:left="567" w:right="616"/>
        <w:jc w:val="both"/>
        <w:rPr>
          <w:rFonts w:ascii="Arial" w:eastAsia="Calibri" w:hAnsi="Arial" w:cs="Arial"/>
          <w:bCs/>
          <w:i/>
          <w:lang w:val="es-ES" w:eastAsia="en-US"/>
        </w:rPr>
      </w:pPr>
      <w:r w:rsidRPr="00B066F1">
        <w:rPr>
          <w:rFonts w:ascii="Arial" w:eastAsia="Calibri" w:hAnsi="Arial" w:cs="Arial"/>
          <w:bCs/>
          <w:i/>
          <w:lang w:val="es-ES" w:eastAsia="en-US"/>
        </w:rPr>
        <w:t>“</w:t>
      </w:r>
      <w:r w:rsidRPr="00B066F1">
        <w:rPr>
          <w:rFonts w:ascii="Arial" w:eastAsia="Calibri" w:hAnsi="Arial" w:cs="Arial"/>
          <w:b/>
          <w:bCs/>
          <w:i/>
          <w:lang w:val="es-ES" w:eastAsia="en-US"/>
        </w:rPr>
        <w:t>AGRAVIOS. DEBEN DE IMPUGNAR LA ILEGALIDAD DEL FALLO RECURRIDO.</w:t>
      </w:r>
      <w:r w:rsidRPr="00B066F1">
        <w:rPr>
          <w:rFonts w:ascii="Arial" w:eastAsia="Calibri" w:hAnsi="Arial" w:cs="Arial"/>
          <w:bCs/>
          <w:i/>
          <w:lang w:val="es-ES" w:eastAsia="en-US"/>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248C8ABA" w14:textId="00AE7140" w:rsidR="003B6CF0" w:rsidRDefault="00753413" w:rsidP="00753413">
      <w:pPr>
        <w:spacing w:before="240" w:line="360" w:lineRule="auto"/>
        <w:ind w:firstLine="708"/>
        <w:jc w:val="both"/>
        <w:rPr>
          <w:rFonts w:ascii="Arial" w:hAnsi="Arial" w:cs="Arial"/>
          <w:sz w:val="26"/>
          <w:szCs w:val="26"/>
        </w:rPr>
      </w:pPr>
      <w:r>
        <w:rPr>
          <w:rFonts w:ascii="Arial" w:hAnsi="Arial" w:cs="Arial"/>
          <w:sz w:val="26"/>
          <w:szCs w:val="26"/>
          <w:lang w:val="es-ES"/>
        </w:rPr>
        <w:t xml:space="preserve">Por lo tanto, es </w:t>
      </w:r>
      <w:r w:rsidR="003B6CF0">
        <w:rPr>
          <w:rFonts w:ascii="Arial" w:eastAsia="Calibri" w:hAnsi="Arial" w:cs="Arial"/>
          <w:bCs/>
          <w:sz w:val="26"/>
          <w:szCs w:val="26"/>
        </w:rPr>
        <w:t>procedente</w:t>
      </w:r>
      <w:r w:rsidR="003B6CF0">
        <w:rPr>
          <w:rFonts w:ascii="Arial" w:eastAsia="Calibri" w:hAnsi="Arial" w:cs="Arial"/>
          <w:b/>
          <w:bCs/>
          <w:sz w:val="26"/>
          <w:szCs w:val="26"/>
        </w:rPr>
        <w:t xml:space="preserve"> </w:t>
      </w:r>
      <w:r>
        <w:rPr>
          <w:rFonts w:ascii="Arial" w:eastAsia="Calibri" w:hAnsi="Arial" w:cs="Arial"/>
          <w:b/>
          <w:bCs/>
          <w:sz w:val="26"/>
          <w:szCs w:val="26"/>
        </w:rPr>
        <w:t xml:space="preserve">CONFIRMAR </w:t>
      </w:r>
      <w:r>
        <w:rPr>
          <w:rFonts w:ascii="Arial" w:eastAsia="Calibri" w:hAnsi="Arial" w:cs="Arial"/>
          <w:sz w:val="26"/>
          <w:szCs w:val="26"/>
        </w:rPr>
        <w:t>el acuerdo recurrido</w:t>
      </w:r>
      <w:r w:rsidR="003B6CF0" w:rsidRPr="00867780">
        <w:rPr>
          <w:rFonts w:ascii="Arial" w:eastAsia="Calibri" w:hAnsi="Arial" w:cs="Arial"/>
          <w:sz w:val="26"/>
          <w:szCs w:val="26"/>
        </w:rPr>
        <w:t xml:space="preserve"> por las consideraciones expuestas por esta Sala Superior,</w:t>
      </w:r>
      <w:r w:rsidR="003B6CF0">
        <w:rPr>
          <w:rFonts w:ascii="Arial" w:eastAsia="Calibri" w:hAnsi="Arial" w:cs="Arial"/>
          <w:bCs/>
          <w:sz w:val="26"/>
          <w:szCs w:val="26"/>
        </w:rPr>
        <w:t xml:space="preserve"> </w:t>
      </w:r>
      <w:r w:rsidR="003B6CF0" w:rsidRPr="006406CE">
        <w:rPr>
          <w:rFonts w:ascii="Arial" w:eastAsia="Calibri" w:hAnsi="Arial" w:cs="Arial"/>
          <w:sz w:val="26"/>
          <w:szCs w:val="26"/>
        </w:rPr>
        <w:t>y con fundamento en los artículos 237 y 238 de la Ley de Procedimiento y Justicia Administrativa para el Estado</w:t>
      </w:r>
      <w:r w:rsidR="003B6CF0">
        <w:rPr>
          <w:rFonts w:ascii="Arial" w:eastAsia="Calibri" w:hAnsi="Arial" w:cs="Arial"/>
          <w:sz w:val="26"/>
          <w:szCs w:val="26"/>
        </w:rPr>
        <w:t xml:space="preserve"> de Oaxaca</w:t>
      </w:r>
      <w:r w:rsidR="003B6CF0" w:rsidRPr="006406CE">
        <w:rPr>
          <w:rFonts w:ascii="Arial" w:eastAsia="Calibri" w:hAnsi="Arial" w:cs="Arial"/>
          <w:sz w:val="26"/>
          <w:szCs w:val="26"/>
        </w:rPr>
        <w:t>, se</w:t>
      </w:r>
      <w:r w:rsidR="003B6CF0">
        <w:rPr>
          <w:rFonts w:ascii="Arial" w:hAnsi="Arial" w:cs="Arial"/>
          <w:sz w:val="26"/>
          <w:szCs w:val="26"/>
        </w:rPr>
        <w:t>:</w:t>
      </w:r>
      <w:r w:rsidR="00E85DC7">
        <w:rPr>
          <w:rFonts w:ascii="Arial" w:hAnsi="Arial" w:cs="Arial"/>
          <w:sz w:val="26"/>
          <w:szCs w:val="26"/>
        </w:rPr>
        <w:t xml:space="preserve"> - - - - - - - - - - - - - - - - - - - </w:t>
      </w:r>
    </w:p>
    <w:p w14:paraId="3EB2D5DD" w14:textId="77777777" w:rsidR="003B6CF0" w:rsidRPr="00E85DC7" w:rsidRDefault="003B6CF0" w:rsidP="003B6CF0">
      <w:pPr>
        <w:pStyle w:val="Sinespaciado"/>
        <w:spacing w:before="240" w:line="360" w:lineRule="auto"/>
        <w:jc w:val="center"/>
        <w:rPr>
          <w:rFonts w:ascii="Arial" w:hAnsi="Arial" w:cs="Arial"/>
          <w:b/>
          <w:sz w:val="26"/>
          <w:szCs w:val="26"/>
        </w:rPr>
      </w:pPr>
      <w:r w:rsidRPr="00E85DC7">
        <w:rPr>
          <w:rFonts w:ascii="Arial" w:hAnsi="Arial" w:cs="Arial"/>
          <w:b/>
          <w:sz w:val="26"/>
          <w:szCs w:val="26"/>
        </w:rPr>
        <w:t>R E S U E L V E</w:t>
      </w:r>
    </w:p>
    <w:p w14:paraId="6DC36662" w14:textId="10005E65" w:rsidR="003B6CF0" w:rsidRDefault="003B6CF0" w:rsidP="003B6CF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w:t>
      </w:r>
      <w:r w:rsidR="00753413">
        <w:rPr>
          <w:rFonts w:ascii="Arial" w:eastAsia="Calibri" w:hAnsi="Arial" w:cs="Arial"/>
          <w:b/>
          <w:bCs/>
          <w:sz w:val="26"/>
          <w:szCs w:val="26"/>
        </w:rPr>
        <w:t>CONFIRMA</w:t>
      </w:r>
      <w:r w:rsidR="00E84F50">
        <w:rPr>
          <w:rFonts w:ascii="Arial" w:hAnsi="Arial" w:cs="Arial"/>
          <w:bCs/>
          <w:color w:val="000000"/>
          <w:sz w:val="26"/>
          <w:szCs w:val="26"/>
          <w:lang w:val="es-MX"/>
        </w:rPr>
        <w:t xml:space="preserve"> el </w:t>
      </w:r>
      <w:r w:rsidR="00E84F50">
        <w:rPr>
          <w:rFonts w:ascii="Arial" w:hAnsi="Arial" w:cs="Arial"/>
          <w:sz w:val="26"/>
          <w:szCs w:val="26"/>
        </w:rPr>
        <w:t>acuerdo de once de diciembre de dos mil dieciocho</w:t>
      </w:r>
      <w:r>
        <w:rPr>
          <w:rFonts w:ascii="Arial" w:hAnsi="Arial" w:cs="Arial"/>
          <w:color w:val="000000"/>
          <w:sz w:val="26"/>
          <w:szCs w:val="26"/>
          <w:lang w:val="es-MX"/>
        </w:rPr>
        <w:t>, por las razones expuestas por esta Sala Superior en el considerando que antecede.</w:t>
      </w:r>
      <w:r w:rsidR="00E85DC7">
        <w:rPr>
          <w:rFonts w:ascii="Arial" w:hAnsi="Arial" w:cs="Arial"/>
          <w:color w:val="000000"/>
          <w:sz w:val="26"/>
          <w:szCs w:val="26"/>
          <w:lang w:val="es-MX"/>
        </w:rPr>
        <w:t xml:space="preserve"> - - - - - - - - - - - - - - - - - - - - - - - - - - - - - -</w:t>
      </w:r>
    </w:p>
    <w:p w14:paraId="7C3BBB67" w14:textId="2C51A0A0" w:rsidR="003B6CF0" w:rsidRDefault="00E84F50" w:rsidP="003B6CF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003B6CF0" w:rsidRPr="007B1E95">
        <w:rPr>
          <w:rFonts w:ascii="Arial" w:hAnsi="Arial" w:cs="Arial"/>
          <w:b/>
          <w:sz w:val="26"/>
          <w:szCs w:val="26"/>
        </w:rPr>
        <w:t>N</w:t>
      </w:r>
      <w:r w:rsidR="003B6CF0" w:rsidRPr="006E349D">
        <w:rPr>
          <w:rFonts w:ascii="Arial" w:hAnsi="Arial" w:cs="Arial"/>
          <w:b/>
          <w:sz w:val="26"/>
          <w:szCs w:val="26"/>
        </w:rPr>
        <w:t>OTIFÍQUESE</w:t>
      </w:r>
      <w:r w:rsidR="003B6CF0">
        <w:rPr>
          <w:rFonts w:ascii="Arial" w:hAnsi="Arial" w:cs="Arial"/>
          <w:b/>
          <w:sz w:val="26"/>
          <w:szCs w:val="26"/>
        </w:rPr>
        <w:t xml:space="preserve"> Y CÚMPLASE,</w:t>
      </w:r>
      <w:r w:rsidR="003B6CF0" w:rsidRPr="00986534">
        <w:rPr>
          <w:rFonts w:ascii="Arial" w:hAnsi="Arial" w:cs="Arial"/>
          <w:sz w:val="26"/>
          <w:szCs w:val="26"/>
        </w:rPr>
        <w:t xml:space="preserve"> </w:t>
      </w:r>
      <w:r w:rsidR="003B6CF0">
        <w:rPr>
          <w:rFonts w:ascii="Arial" w:hAnsi="Arial" w:cs="Arial"/>
          <w:sz w:val="26"/>
          <w:szCs w:val="26"/>
        </w:rPr>
        <w:t xml:space="preserve">remítase copia certificada </w:t>
      </w:r>
      <w:r w:rsidR="00753413">
        <w:rPr>
          <w:rFonts w:ascii="Arial" w:hAnsi="Arial" w:cs="Arial"/>
          <w:sz w:val="26"/>
          <w:szCs w:val="26"/>
        </w:rPr>
        <w:t>de la presente resolución a la Cuarta</w:t>
      </w:r>
      <w:r w:rsidR="003B6CF0">
        <w:rPr>
          <w:rFonts w:ascii="Arial" w:hAnsi="Arial" w:cs="Arial"/>
          <w:sz w:val="26"/>
          <w:szCs w:val="26"/>
        </w:rPr>
        <w:t xml:space="preserve"> Sala Unitaria de Primera Instancia de este Tribunal y en su oportunidad archívese el presente cuaderno de revisión como asunto concluido.</w:t>
      </w:r>
      <w:r w:rsidR="00E85DC7">
        <w:rPr>
          <w:rFonts w:ascii="Arial" w:hAnsi="Arial" w:cs="Arial"/>
          <w:sz w:val="26"/>
          <w:szCs w:val="26"/>
        </w:rPr>
        <w:t xml:space="preserve"> </w:t>
      </w:r>
      <w:r w:rsidR="00E85DC7">
        <w:rPr>
          <w:rFonts w:ascii="Arial" w:hAnsi="Arial" w:cs="Arial"/>
          <w:color w:val="000000"/>
          <w:sz w:val="26"/>
          <w:szCs w:val="26"/>
        </w:rPr>
        <w:t xml:space="preserve">- - - - - - - - - - - - - - - - - - - </w:t>
      </w:r>
    </w:p>
    <w:p w14:paraId="611EC106" w14:textId="636AC36D" w:rsidR="00753413" w:rsidRDefault="006D1DB2" w:rsidP="00753413">
      <w:pPr>
        <w:spacing w:before="240" w:line="360" w:lineRule="auto"/>
        <w:ind w:firstLine="708"/>
        <w:jc w:val="both"/>
        <w:rPr>
          <w:rFonts w:ascii="Arial" w:hAnsi="Arial" w:cs="Arial"/>
          <w:sz w:val="26"/>
          <w:szCs w:val="26"/>
        </w:rPr>
      </w:pPr>
      <w:r w:rsidRPr="003B6CF0">
        <w:t xml:space="preserve"> </w:t>
      </w:r>
      <w:r w:rsidR="00753413" w:rsidRPr="00F75F08">
        <w:rPr>
          <w:rFonts w:ascii="Arial" w:hAnsi="Arial" w:cs="Arial"/>
          <w:sz w:val="26"/>
          <w:szCs w:val="26"/>
        </w:rPr>
        <w:t>Por unanimidad de votos, lo resolvieron y firmaron los Magistrados Manuel Velasco Alcántara,</w:t>
      </w:r>
      <w:r w:rsidR="00753413">
        <w:rPr>
          <w:rFonts w:ascii="Arial" w:hAnsi="Arial" w:cs="Arial"/>
          <w:sz w:val="26"/>
          <w:szCs w:val="26"/>
        </w:rPr>
        <w:t xml:space="preserve"> </w:t>
      </w:r>
      <w:r w:rsidR="00753413" w:rsidRPr="00F75F08">
        <w:rPr>
          <w:rFonts w:ascii="Arial" w:hAnsi="Arial" w:cs="Arial"/>
          <w:sz w:val="26"/>
          <w:szCs w:val="26"/>
        </w:rPr>
        <w:t>Raúl Palomares Palomino</w:t>
      </w:r>
      <w:r w:rsidR="00753413">
        <w:rPr>
          <w:rFonts w:ascii="Arial" w:hAnsi="Arial" w:cs="Arial"/>
          <w:sz w:val="26"/>
          <w:szCs w:val="26"/>
        </w:rPr>
        <w:t xml:space="preserve"> </w:t>
      </w:r>
      <w:r w:rsidR="00753413" w:rsidRPr="009C68EB">
        <w:rPr>
          <w:rFonts w:ascii="Arial" w:hAnsi="Arial" w:cs="Arial"/>
          <w:b/>
          <w:bCs/>
          <w:sz w:val="26"/>
          <w:szCs w:val="26"/>
        </w:rPr>
        <w:t>(ponente)</w:t>
      </w:r>
      <w:r w:rsidR="00753413" w:rsidRPr="009C68EB">
        <w:rPr>
          <w:rFonts w:ascii="Arial" w:hAnsi="Arial" w:cs="Arial"/>
          <w:b/>
          <w:sz w:val="26"/>
          <w:szCs w:val="26"/>
        </w:rPr>
        <w:t>,</w:t>
      </w:r>
      <w:r w:rsidR="00753413">
        <w:rPr>
          <w:rFonts w:ascii="Arial" w:hAnsi="Arial" w:cs="Arial"/>
          <w:sz w:val="26"/>
          <w:szCs w:val="26"/>
        </w:rPr>
        <w:t xml:space="preserve"> </w:t>
      </w:r>
      <w:r w:rsidR="00753413" w:rsidRPr="00F75F08">
        <w:rPr>
          <w:rFonts w:ascii="Arial" w:hAnsi="Arial" w:cs="Arial"/>
          <w:sz w:val="26"/>
          <w:szCs w:val="26"/>
        </w:rPr>
        <w:t>Gloria del Carmen Camacho Meza</w:t>
      </w:r>
      <w:r w:rsidR="00753413">
        <w:rPr>
          <w:rFonts w:ascii="Arial" w:hAnsi="Arial" w:cs="Arial"/>
          <w:sz w:val="26"/>
          <w:szCs w:val="26"/>
        </w:rPr>
        <w:t xml:space="preserve"> </w:t>
      </w:r>
      <w:r w:rsidR="00753413" w:rsidRPr="00A20301">
        <w:rPr>
          <w:rFonts w:ascii="Arial" w:hAnsi="Arial" w:cs="Arial"/>
          <w:bCs/>
          <w:sz w:val="26"/>
          <w:szCs w:val="26"/>
        </w:rPr>
        <w:t>y</w:t>
      </w:r>
      <w:r w:rsidR="00753413" w:rsidRPr="00F75F08">
        <w:rPr>
          <w:rFonts w:ascii="Arial" w:hAnsi="Arial" w:cs="Arial"/>
          <w:sz w:val="26"/>
          <w:szCs w:val="26"/>
        </w:rPr>
        <w:t xml:space="preserve"> Paulo José Luis Tapia Palacios</w:t>
      </w:r>
      <w:r w:rsidR="00753413">
        <w:rPr>
          <w:rFonts w:ascii="Arial" w:hAnsi="Arial" w:cs="Arial"/>
          <w:sz w:val="26"/>
          <w:szCs w:val="26"/>
        </w:rPr>
        <w:t xml:space="preserve">, Elías Cortés López; </w:t>
      </w:r>
      <w:r w:rsidR="00753413" w:rsidRPr="00F75F08">
        <w:rPr>
          <w:rFonts w:ascii="Arial" w:hAnsi="Arial" w:cs="Arial"/>
          <w:sz w:val="26"/>
          <w:szCs w:val="26"/>
        </w:rPr>
        <w:t>quienes actúan con el Licenciado Juan Edy García Coronado, Secretario</w:t>
      </w:r>
      <w:r w:rsidR="00753413">
        <w:rPr>
          <w:rFonts w:ascii="Arial" w:hAnsi="Arial" w:cs="Arial"/>
          <w:sz w:val="26"/>
          <w:szCs w:val="26"/>
        </w:rPr>
        <w:t xml:space="preserve"> </w:t>
      </w:r>
      <w:r w:rsidR="00753413" w:rsidRPr="00F75F08">
        <w:rPr>
          <w:rFonts w:ascii="Arial" w:hAnsi="Arial" w:cs="Arial"/>
          <w:sz w:val="26"/>
          <w:szCs w:val="26"/>
        </w:rPr>
        <w:t xml:space="preserve">General de Acuerdos de este Tribunal, que autoriza y da fe. </w:t>
      </w:r>
      <w:r w:rsidR="00E85DC7">
        <w:rPr>
          <w:rFonts w:ascii="Arial" w:hAnsi="Arial" w:cs="Arial"/>
          <w:color w:val="000000"/>
          <w:sz w:val="26"/>
          <w:szCs w:val="26"/>
        </w:rPr>
        <w:t xml:space="preserve">- - - - - - - - - - - - - - - - - - - - - - - - - - - - - - - - - - - - - </w:t>
      </w:r>
    </w:p>
    <w:p w14:paraId="230CBE37" w14:textId="77777777" w:rsidR="00E85DC7" w:rsidRDefault="00E85DC7" w:rsidP="00E85DC7">
      <w:pPr>
        <w:tabs>
          <w:tab w:val="center" w:pos="4135"/>
          <w:tab w:val="left" w:pos="7515"/>
        </w:tabs>
        <w:spacing w:after="0" w:line="240" w:lineRule="auto"/>
        <w:jc w:val="center"/>
        <w:rPr>
          <w:rFonts w:ascii="Arial" w:eastAsia="Times New Roman" w:hAnsi="Arial" w:cs="Arial"/>
          <w:sz w:val="26"/>
          <w:szCs w:val="26"/>
        </w:rPr>
      </w:pPr>
    </w:p>
    <w:p w14:paraId="3FDD919D" w14:textId="77777777" w:rsidR="00E85DC7" w:rsidRDefault="00E85DC7" w:rsidP="00E85DC7">
      <w:pPr>
        <w:tabs>
          <w:tab w:val="center" w:pos="4135"/>
          <w:tab w:val="left" w:pos="7515"/>
        </w:tabs>
        <w:spacing w:after="0" w:line="240" w:lineRule="auto"/>
        <w:jc w:val="center"/>
        <w:rPr>
          <w:rFonts w:ascii="Arial" w:eastAsia="Times New Roman" w:hAnsi="Arial" w:cs="Arial"/>
          <w:sz w:val="26"/>
          <w:szCs w:val="26"/>
        </w:rPr>
      </w:pPr>
    </w:p>
    <w:p w14:paraId="0212D12C" w14:textId="77777777" w:rsidR="00E85DC7" w:rsidRDefault="00E85DC7" w:rsidP="00E85DC7">
      <w:pPr>
        <w:tabs>
          <w:tab w:val="center" w:pos="4135"/>
          <w:tab w:val="left" w:pos="7515"/>
        </w:tabs>
        <w:spacing w:line="360" w:lineRule="auto"/>
        <w:rPr>
          <w:rFonts w:ascii="Arial" w:eastAsia="Times New Roman" w:hAnsi="Arial" w:cs="Arial"/>
          <w:b/>
          <w:bCs/>
          <w:sz w:val="16"/>
          <w:szCs w:val="16"/>
        </w:rPr>
      </w:pPr>
    </w:p>
    <w:p w14:paraId="26EF4127" w14:textId="54B8D071" w:rsidR="00E85DC7" w:rsidRDefault="00E85DC7" w:rsidP="00E85DC7">
      <w:pPr>
        <w:tabs>
          <w:tab w:val="center" w:pos="4135"/>
          <w:tab w:val="left" w:pos="7515"/>
        </w:tabs>
        <w:spacing w:line="360" w:lineRule="auto"/>
        <w:jc w:val="center"/>
        <w:rPr>
          <w:rFonts w:ascii="Arial" w:eastAsia="Times New Roman" w:hAnsi="Arial" w:cs="Arial"/>
          <w:b/>
          <w:bCs/>
          <w:sz w:val="16"/>
          <w:szCs w:val="16"/>
        </w:rPr>
      </w:pPr>
      <w:bookmarkStart w:id="0" w:name="_Hlk115784555"/>
      <w:r w:rsidRPr="007E36E2">
        <w:rPr>
          <w:rFonts w:ascii="Arial" w:eastAsia="Times New Roman" w:hAnsi="Arial" w:cs="Arial"/>
          <w:b/>
          <w:bCs/>
          <w:sz w:val="16"/>
          <w:szCs w:val="16"/>
        </w:rPr>
        <w:lastRenderedPageBreak/>
        <w:t xml:space="preserve">LAS PRESENTES FIRMAS CORRESPONDEN A LA </w:t>
      </w:r>
      <w:bookmarkStart w:id="1" w:name="_GoBack"/>
      <w:bookmarkEnd w:id="1"/>
      <w:r w:rsidRPr="007E36E2">
        <w:rPr>
          <w:rFonts w:ascii="Arial" w:eastAsia="Times New Roman" w:hAnsi="Arial" w:cs="Arial"/>
          <w:b/>
          <w:bCs/>
          <w:sz w:val="16"/>
          <w:szCs w:val="16"/>
        </w:rPr>
        <w:t xml:space="preserve">RESOLUCIÓN DEL RECURSO DE REVISIÓN </w:t>
      </w:r>
      <w:r>
        <w:rPr>
          <w:rFonts w:ascii="Arial" w:eastAsia="Times New Roman" w:hAnsi="Arial" w:cs="Arial"/>
          <w:b/>
          <w:bCs/>
          <w:sz w:val="16"/>
          <w:szCs w:val="16"/>
        </w:rPr>
        <w:t>0035/</w:t>
      </w:r>
      <w:r w:rsidRPr="007E36E2">
        <w:rPr>
          <w:rFonts w:ascii="Arial" w:eastAsia="Times New Roman" w:hAnsi="Arial" w:cs="Arial"/>
          <w:b/>
          <w:bCs/>
          <w:sz w:val="16"/>
          <w:szCs w:val="16"/>
        </w:rPr>
        <w:t>20</w:t>
      </w:r>
      <w:r>
        <w:rPr>
          <w:rFonts w:ascii="Arial" w:eastAsia="Times New Roman" w:hAnsi="Arial" w:cs="Arial"/>
          <w:b/>
          <w:bCs/>
          <w:sz w:val="16"/>
          <w:szCs w:val="16"/>
        </w:rPr>
        <w:t>19.</w:t>
      </w:r>
    </w:p>
    <w:bookmarkEnd w:id="0"/>
    <w:p w14:paraId="660FD797" w14:textId="77777777" w:rsidR="00E85DC7" w:rsidRDefault="00E85DC7" w:rsidP="00E85DC7">
      <w:pPr>
        <w:tabs>
          <w:tab w:val="center" w:pos="4135"/>
          <w:tab w:val="left" w:pos="7515"/>
        </w:tabs>
        <w:spacing w:after="0" w:line="240" w:lineRule="auto"/>
        <w:jc w:val="center"/>
        <w:rPr>
          <w:rFonts w:ascii="Arial" w:eastAsia="Times New Roman" w:hAnsi="Arial" w:cs="Arial"/>
          <w:sz w:val="26"/>
          <w:szCs w:val="26"/>
        </w:rPr>
      </w:pPr>
    </w:p>
    <w:p w14:paraId="7BD556DB" w14:textId="77777777" w:rsidR="00E85DC7" w:rsidRDefault="00E85DC7" w:rsidP="00E85DC7">
      <w:pPr>
        <w:tabs>
          <w:tab w:val="center" w:pos="4135"/>
          <w:tab w:val="left" w:pos="7515"/>
        </w:tabs>
        <w:spacing w:after="0" w:line="240" w:lineRule="auto"/>
        <w:jc w:val="center"/>
        <w:rPr>
          <w:rFonts w:ascii="Arial" w:eastAsia="Times New Roman" w:hAnsi="Arial" w:cs="Arial"/>
          <w:sz w:val="26"/>
          <w:szCs w:val="26"/>
        </w:rPr>
      </w:pPr>
    </w:p>
    <w:p w14:paraId="292D47B2" w14:textId="77777777" w:rsidR="00E85DC7" w:rsidRDefault="00E85DC7" w:rsidP="00E85DC7">
      <w:pPr>
        <w:tabs>
          <w:tab w:val="center" w:pos="4135"/>
          <w:tab w:val="left" w:pos="7515"/>
        </w:tabs>
        <w:spacing w:after="0" w:line="240" w:lineRule="auto"/>
        <w:jc w:val="center"/>
        <w:rPr>
          <w:rFonts w:ascii="Arial" w:eastAsia="Times New Roman" w:hAnsi="Arial" w:cs="Arial"/>
          <w:sz w:val="26"/>
          <w:szCs w:val="26"/>
        </w:rPr>
      </w:pPr>
    </w:p>
    <w:p w14:paraId="0D1BE44B" w14:textId="77777777" w:rsidR="00E85DC7" w:rsidRDefault="00E85DC7" w:rsidP="00E85DC7">
      <w:pPr>
        <w:tabs>
          <w:tab w:val="center" w:pos="4135"/>
          <w:tab w:val="left" w:pos="7515"/>
        </w:tabs>
        <w:spacing w:after="0" w:line="240" w:lineRule="auto"/>
        <w:jc w:val="center"/>
        <w:rPr>
          <w:rFonts w:ascii="Arial" w:eastAsia="Times New Roman" w:hAnsi="Arial" w:cs="Arial"/>
          <w:sz w:val="26"/>
          <w:szCs w:val="26"/>
        </w:rPr>
      </w:pPr>
    </w:p>
    <w:p w14:paraId="01807EAE" w14:textId="77777777" w:rsidR="00E85DC7" w:rsidRDefault="00E85DC7" w:rsidP="00E85DC7">
      <w:pPr>
        <w:tabs>
          <w:tab w:val="center" w:pos="4135"/>
          <w:tab w:val="left" w:pos="7515"/>
        </w:tabs>
        <w:spacing w:after="0" w:line="240" w:lineRule="auto"/>
        <w:jc w:val="center"/>
        <w:rPr>
          <w:rFonts w:ascii="Arial" w:eastAsia="Times New Roman" w:hAnsi="Arial" w:cs="Arial"/>
          <w:sz w:val="26"/>
          <w:szCs w:val="26"/>
        </w:rPr>
      </w:pPr>
    </w:p>
    <w:p w14:paraId="47EBB4B3" w14:textId="77777777" w:rsidR="00E85DC7" w:rsidRDefault="00E85DC7" w:rsidP="00E85DC7">
      <w:pPr>
        <w:tabs>
          <w:tab w:val="center" w:pos="4135"/>
          <w:tab w:val="left" w:pos="7515"/>
        </w:tabs>
        <w:spacing w:after="0" w:line="240" w:lineRule="auto"/>
        <w:jc w:val="center"/>
        <w:rPr>
          <w:rFonts w:ascii="Arial" w:eastAsia="Times New Roman" w:hAnsi="Arial" w:cs="Arial"/>
          <w:sz w:val="26"/>
          <w:szCs w:val="26"/>
        </w:rPr>
      </w:pPr>
    </w:p>
    <w:p w14:paraId="2450439B" w14:textId="77777777" w:rsidR="00E85DC7" w:rsidRDefault="00E85DC7" w:rsidP="00E85DC7">
      <w:pPr>
        <w:tabs>
          <w:tab w:val="center" w:pos="4135"/>
          <w:tab w:val="left" w:pos="7515"/>
        </w:tabs>
        <w:spacing w:after="0" w:line="240" w:lineRule="auto"/>
        <w:jc w:val="center"/>
        <w:rPr>
          <w:rFonts w:ascii="Arial" w:eastAsia="Times New Roman" w:hAnsi="Arial" w:cs="Arial"/>
          <w:sz w:val="26"/>
          <w:szCs w:val="26"/>
        </w:rPr>
      </w:pPr>
    </w:p>
    <w:p w14:paraId="12179433" w14:textId="77777777" w:rsidR="00E85DC7" w:rsidRDefault="00E85DC7" w:rsidP="00E85DC7">
      <w:pPr>
        <w:tabs>
          <w:tab w:val="center" w:pos="4135"/>
          <w:tab w:val="left" w:pos="7515"/>
        </w:tabs>
        <w:spacing w:after="0" w:line="240" w:lineRule="auto"/>
        <w:jc w:val="center"/>
        <w:rPr>
          <w:rFonts w:ascii="Arial" w:eastAsia="Times New Roman" w:hAnsi="Arial" w:cs="Arial"/>
          <w:sz w:val="26"/>
          <w:szCs w:val="26"/>
        </w:rPr>
      </w:pPr>
    </w:p>
    <w:p w14:paraId="631D4CDD" w14:textId="363E60E2" w:rsidR="00E85DC7" w:rsidRPr="007E36E2" w:rsidRDefault="00E85DC7" w:rsidP="00E85DC7">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761AAAF9" w14:textId="77777777" w:rsidR="00E85DC7" w:rsidRPr="007E36E2" w:rsidRDefault="00E85DC7" w:rsidP="00E85DC7">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781E19D9" w14:textId="77777777" w:rsidR="00E85DC7" w:rsidRPr="007E36E2" w:rsidRDefault="00E85DC7" w:rsidP="00E85DC7">
      <w:pPr>
        <w:tabs>
          <w:tab w:val="center" w:pos="4135"/>
          <w:tab w:val="left" w:pos="7515"/>
        </w:tabs>
        <w:spacing w:line="360" w:lineRule="auto"/>
        <w:jc w:val="center"/>
        <w:rPr>
          <w:rFonts w:ascii="Arial" w:eastAsia="Times New Roman" w:hAnsi="Arial" w:cs="Arial"/>
          <w:sz w:val="26"/>
          <w:szCs w:val="26"/>
        </w:rPr>
      </w:pPr>
    </w:p>
    <w:p w14:paraId="35D2A2BA" w14:textId="77777777" w:rsidR="00E85DC7" w:rsidRPr="007E36E2" w:rsidRDefault="00E85DC7" w:rsidP="00E85DC7">
      <w:pPr>
        <w:tabs>
          <w:tab w:val="center" w:pos="4135"/>
          <w:tab w:val="left" w:pos="7515"/>
        </w:tabs>
        <w:spacing w:line="360" w:lineRule="auto"/>
        <w:jc w:val="center"/>
        <w:rPr>
          <w:rFonts w:ascii="Arial" w:eastAsia="Times New Roman" w:hAnsi="Arial" w:cs="Arial"/>
          <w:sz w:val="26"/>
          <w:szCs w:val="26"/>
        </w:rPr>
      </w:pPr>
    </w:p>
    <w:p w14:paraId="6CB98E03" w14:textId="77777777" w:rsidR="00E85DC7" w:rsidRPr="007E36E2" w:rsidRDefault="00E85DC7" w:rsidP="00E85DC7">
      <w:pPr>
        <w:tabs>
          <w:tab w:val="center" w:pos="4135"/>
          <w:tab w:val="left" w:pos="7515"/>
        </w:tabs>
        <w:spacing w:line="360" w:lineRule="auto"/>
        <w:jc w:val="center"/>
        <w:rPr>
          <w:rFonts w:ascii="Arial" w:eastAsia="Times New Roman" w:hAnsi="Arial" w:cs="Arial"/>
          <w:sz w:val="26"/>
          <w:szCs w:val="26"/>
        </w:rPr>
      </w:pPr>
    </w:p>
    <w:p w14:paraId="2589FE21" w14:textId="77777777" w:rsidR="00E85DC7" w:rsidRDefault="00E85DC7" w:rsidP="00E85DC7">
      <w:pPr>
        <w:tabs>
          <w:tab w:val="center" w:pos="4135"/>
          <w:tab w:val="left" w:pos="7515"/>
        </w:tabs>
        <w:spacing w:line="360" w:lineRule="auto"/>
        <w:jc w:val="center"/>
        <w:rPr>
          <w:rFonts w:ascii="Arial" w:eastAsia="Times New Roman" w:hAnsi="Arial" w:cs="Arial"/>
          <w:sz w:val="26"/>
          <w:szCs w:val="26"/>
        </w:rPr>
      </w:pPr>
    </w:p>
    <w:p w14:paraId="39E70757" w14:textId="77777777" w:rsidR="00E85DC7" w:rsidRPr="007E36E2" w:rsidRDefault="00E85DC7" w:rsidP="00E85DC7">
      <w:pPr>
        <w:tabs>
          <w:tab w:val="center" w:pos="4135"/>
          <w:tab w:val="left" w:pos="7515"/>
        </w:tabs>
        <w:spacing w:line="360" w:lineRule="auto"/>
        <w:jc w:val="center"/>
        <w:rPr>
          <w:rFonts w:ascii="Arial" w:eastAsia="Times New Roman" w:hAnsi="Arial" w:cs="Arial"/>
          <w:sz w:val="26"/>
          <w:szCs w:val="26"/>
        </w:rPr>
      </w:pPr>
    </w:p>
    <w:p w14:paraId="6F1155CA" w14:textId="77777777" w:rsidR="00E85DC7" w:rsidRPr="007E36E2" w:rsidRDefault="00E85DC7" w:rsidP="00E85DC7">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071527A3" w14:textId="77777777" w:rsidR="00E85DC7" w:rsidRPr="007E36E2" w:rsidRDefault="00E85DC7" w:rsidP="00E85DC7">
      <w:pPr>
        <w:tabs>
          <w:tab w:val="center" w:pos="4135"/>
          <w:tab w:val="left" w:pos="7515"/>
        </w:tabs>
        <w:spacing w:line="360" w:lineRule="auto"/>
        <w:jc w:val="center"/>
        <w:rPr>
          <w:rFonts w:ascii="Arial" w:eastAsia="Times New Roman" w:hAnsi="Arial" w:cs="Arial"/>
          <w:sz w:val="26"/>
          <w:szCs w:val="26"/>
        </w:rPr>
      </w:pPr>
    </w:p>
    <w:p w14:paraId="519E586D" w14:textId="77777777" w:rsidR="00E85DC7" w:rsidRDefault="00E85DC7" w:rsidP="00E85DC7">
      <w:pPr>
        <w:tabs>
          <w:tab w:val="center" w:pos="4135"/>
          <w:tab w:val="left" w:pos="7515"/>
        </w:tabs>
        <w:spacing w:line="360" w:lineRule="auto"/>
        <w:jc w:val="center"/>
        <w:rPr>
          <w:rFonts w:ascii="Arial" w:eastAsia="Times New Roman" w:hAnsi="Arial" w:cs="Arial"/>
          <w:sz w:val="26"/>
          <w:szCs w:val="26"/>
        </w:rPr>
      </w:pPr>
    </w:p>
    <w:p w14:paraId="42B340FD" w14:textId="77777777" w:rsidR="00E85DC7" w:rsidRDefault="00E85DC7" w:rsidP="00E85DC7">
      <w:pPr>
        <w:tabs>
          <w:tab w:val="center" w:pos="4135"/>
          <w:tab w:val="left" w:pos="7515"/>
        </w:tabs>
        <w:spacing w:line="360" w:lineRule="auto"/>
        <w:jc w:val="center"/>
        <w:rPr>
          <w:rFonts w:ascii="Arial" w:eastAsia="Times New Roman" w:hAnsi="Arial" w:cs="Arial"/>
          <w:sz w:val="26"/>
          <w:szCs w:val="26"/>
        </w:rPr>
      </w:pPr>
    </w:p>
    <w:p w14:paraId="71D0F942" w14:textId="77777777" w:rsidR="00E85DC7" w:rsidRPr="007E36E2" w:rsidRDefault="00E85DC7" w:rsidP="00E85DC7">
      <w:pPr>
        <w:tabs>
          <w:tab w:val="center" w:pos="4135"/>
          <w:tab w:val="left" w:pos="7515"/>
        </w:tabs>
        <w:spacing w:line="360" w:lineRule="auto"/>
        <w:jc w:val="center"/>
        <w:rPr>
          <w:rFonts w:ascii="Arial" w:eastAsia="Times New Roman" w:hAnsi="Arial" w:cs="Arial"/>
          <w:sz w:val="26"/>
          <w:szCs w:val="26"/>
        </w:rPr>
      </w:pPr>
    </w:p>
    <w:p w14:paraId="78F74086" w14:textId="77777777" w:rsidR="00E85DC7" w:rsidRPr="007E36E2" w:rsidRDefault="00E85DC7" w:rsidP="00E85DC7">
      <w:pPr>
        <w:tabs>
          <w:tab w:val="center" w:pos="4135"/>
          <w:tab w:val="left" w:pos="7515"/>
        </w:tabs>
        <w:spacing w:line="360" w:lineRule="auto"/>
        <w:jc w:val="center"/>
        <w:rPr>
          <w:rFonts w:ascii="Arial" w:eastAsia="Times New Roman" w:hAnsi="Arial" w:cs="Arial"/>
          <w:sz w:val="26"/>
          <w:szCs w:val="26"/>
        </w:rPr>
      </w:pPr>
    </w:p>
    <w:p w14:paraId="40735615" w14:textId="77777777" w:rsidR="00E85DC7" w:rsidRPr="007E36E2" w:rsidRDefault="00E85DC7" w:rsidP="00E85DC7">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23BA31C8" w14:textId="77777777" w:rsidR="00E85DC7" w:rsidRPr="007E36E2" w:rsidRDefault="00E85DC7" w:rsidP="00E85DC7">
      <w:pPr>
        <w:tabs>
          <w:tab w:val="center" w:pos="4135"/>
          <w:tab w:val="left" w:pos="7515"/>
        </w:tabs>
        <w:spacing w:line="360" w:lineRule="auto"/>
        <w:jc w:val="center"/>
        <w:rPr>
          <w:rFonts w:ascii="Arial" w:eastAsia="Times New Roman" w:hAnsi="Arial" w:cs="Arial"/>
          <w:sz w:val="26"/>
          <w:szCs w:val="26"/>
        </w:rPr>
      </w:pPr>
    </w:p>
    <w:p w14:paraId="39148A71" w14:textId="77777777" w:rsidR="00E85DC7" w:rsidRPr="007E36E2" w:rsidRDefault="00E85DC7" w:rsidP="00E85DC7">
      <w:pPr>
        <w:tabs>
          <w:tab w:val="center" w:pos="4135"/>
          <w:tab w:val="left" w:pos="7515"/>
        </w:tabs>
        <w:spacing w:line="360" w:lineRule="auto"/>
        <w:rPr>
          <w:rFonts w:ascii="Arial" w:eastAsia="Times New Roman" w:hAnsi="Arial" w:cs="Arial"/>
          <w:sz w:val="26"/>
          <w:szCs w:val="26"/>
        </w:rPr>
      </w:pPr>
    </w:p>
    <w:p w14:paraId="640FE126" w14:textId="77777777" w:rsidR="00E85DC7" w:rsidRPr="007E36E2" w:rsidRDefault="00E85DC7" w:rsidP="00E85DC7">
      <w:pPr>
        <w:tabs>
          <w:tab w:val="center" w:pos="4135"/>
          <w:tab w:val="left" w:pos="7515"/>
        </w:tabs>
        <w:spacing w:line="360" w:lineRule="auto"/>
        <w:jc w:val="center"/>
        <w:rPr>
          <w:rFonts w:ascii="Arial" w:eastAsia="Times New Roman" w:hAnsi="Arial" w:cs="Arial"/>
          <w:sz w:val="26"/>
          <w:szCs w:val="26"/>
        </w:rPr>
      </w:pPr>
    </w:p>
    <w:p w14:paraId="503D4F50" w14:textId="77777777" w:rsidR="00E85DC7" w:rsidRDefault="00E85DC7" w:rsidP="00E85DC7">
      <w:pPr>
        <w:tabs>
          <w:tab w:val="center" w:pos="4135"/>
          <w:tab w:val="left" w:pos="7515"/>
        </w:tabs>
        <w:spacing w:line="360" w:lineRule="auto"/>
        <w:jc w:val="center"/>
        <w:rPr>
          <w:rFonts w:ascii="Arial" w:eastAsia="Times New Roman" w:hAnsi="Arial" w:cs="Arial"/>
          <w:b/>
          <w:bCs/>
          <w:sz w:val="16"/>
          <w:szCs w:val="16"/>
        </w:rPr>
      </w:pPr>
    </w:p>
    <w:p w14:paraId="5B18881A" w14:textId="77777777" w:rsidR="00E85DC7" w:rsidRDefault="00E85DC7" w:rsidP="00E85DC7">
      <w:pPr>
        <w:tabs>
          <w:tab w:val="center" w:pos="4135"/>
          <w:tab w:val="left" w:pos="7515"/>
        </w:tabs>
        <w:spacing w:line="360" w:lineRule="auto"/>
        <w:rPr>
          <w:rFonts w:ascii="Arial" w:eastAsia="Times New Roman" w:hAnsi="Arial" w:cs="Arial"/>
          <w:b/>
          <w:bCs/>
          <w:sz w:val="16"/>
          <w:szCs w:val="16"/>
        </w:rPr>
      </w:pPr>
    </w:p>
    <w:p w14:paraId="572A37B1" w14:textId="77777777" w:rsidR="00E85DC7" w:rsidRDefault="00E85DC7" w:rsidP="00E85DC7">
      <w:pPr>
        <w:tabs>
          <w:tab w:val="center" w:pos="4135"/>
          <w:tab w:val="left" w:pos="7515"/>
        </w:tabs>
        <w:spacing w:line="360" w:lineRule="auto"/>
        <w:jc w:val="center"/>
        <w:rPr>
          <w:rFonts w:ascii="Arial" w:eastAsia="Times New Roman" w:hAnsi="Arial" w:cs="Arial"/>
          <w:b/>
          <w:bCs/>
          <w:sz w:val="16"/>
          <w:szCs w:val="16"/>
        </w:rPr>
      </w:pPr>
    </w:p>
    <w:p w14:paraId="09A770DF" w14:textId="77777777" w:rsidR="00E85DC7" w:rsidRPr="007E36E2" w:rsidRDefault="00E85DC7" w:rsidP="00E85DC7">
      <w:pPr>
        <w:tabs>
          <w:tab w:val="center" w:pos="4135"/>
          <w:tab w:val="left" w:pos="7515"/>
        </w:tabs>
        <w:spacing w:line="360" w:lineRule="auto"/>
        <w:jc w:val="center"/>
        <w:rPr>
          <w:rFonts w:ascii="Arial" w:eastAsia="Times New Roman" w:hAnsi="Arial" w:cs="Arial"/>
          <w:sz w:val="26"/>
          <w:szCs w:val="26"/>
        </w:rPr>
      </w:pPr>
    </w:p>
    <w:p w14:paraId="77A1E03E" w14:textId="77777777" w:rsidR="00E85DC7" w:rsidRPr="007E36E2" w:rsidRDefault="00E85DC7" w:rsidP="00E85DC7">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30580BF8" w14:textId="77777777" w:rsidR="00E85DC7" w:rsidRPr="00BB1A32" w:rsidRDefault="00E85DC7" w:rsidP="00E85DC7">
      <w:pPr>
        <w:tabs>
          <w:tab w:val="center" w:pos="4135"/>
          <w:tab w:val="left" w:pos="7515"/>
        </w:tabs>
        <w:spacing w:line="360" w:lineRule="auto"/>
        <w:rPr>
          <w:rFonts w:ascii="Arial" w:eastAsia="Times New Roman" w:hAnsi="Arial" w:cs="Arial"/>
          <w:b/>
          <w:bCs/>
          <w:sz w:val="16"/>
          <w:szCs w:val="16"/>
        </w:rPr>
      </w:pPr>
      <w:r>
        <w:rPr>
          <w:rFonts w:ascii="Arial" w:eastAsia="Times New Roman" w:hAnsi="Arial" w:cs="Arial"/>
          <w:sz w:val="26"/>
          <w:szCs w:val="26"/>
        </w:rPr>
        <w:br/>
      </w:r>
    </w:p>
    <w:p w14:paraId="096CDCB5" w14:textId="77777777" w:rsidR="00E85DC7" w:rsidRDefault="00E85DC7" w:rsidP="00E85DC7">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lastRenderedPageBreak/>
        <w:t xml:space="preserve">LAS PRESENTES FIRMAS CORRESPONDEN A LA RESOLUCIÓN DEL RECURSO DE REVISIÓN </w:t>
      </w:r>
      <w:r>
        <w:rPr>
          <w:rFonts w:ascii="Arial" w:eastAsia="Times New Roman" w:hAnsi="Arial" w:cs="Arial"/>
          <w:b/>
          <w:bCs/>
          <w:sz w:val="16"/>
          <w:szCs w:val="16"/>
        </w:rPr>
        <w:t>0035/</w:t>
      </w:r>
      <w:r w:rsidRPr="007E36E2">
        <w:rPr>
          <w:rFonts w:ascii="Arial" w:eastAsia="Times New Roman" w:hAnsi="Arial" w:cs="Arial"/>
          <w:b/>
          <w:bCs/>
          <w:sz w:val="16"/>
          <w:szCs w:val="16"/>
        </w:rPr>
        <w:t>20</w:t>
      </w:r>
      <w:r>
        <w:rPr>
          <w:rFonts w:ascii="Arial" w:eastAsia="Times New Roman" w:hAnsi="Arial" w:cs="Arial"/>
          <w:b/>
          <w:bCs/>
          <w:sz w:val="16"/>
          <w:szCs w:val="16"/>
        </w:rPr>
        <w:t>19.</w:t>
      </w:r>
    </w:p>
    <w:p w14:paraId="3CCFFA17" w14:textId="305BC7C6" w:rsidR="00E85DC7" w:rsidRDefault="00E85DC7" w:rsidP="00E85DC7">
      <w:pPr>
        <w:tabs>
          <w:tab w:val="center" w:pos="4135"/>
          <w:tab w:val="left" w:pos="7515"/>
        </w:tabs>
        <w:spacing w:line="360" w:lineRule="auto"/>
        <w:jc w:val="center"/>
        <w:rPr>
          <w:rFonts w:ascii="Arial" w:eastAsia="Times New Roman" w:hAnsi="Arial" w:cs="Arial"/>
          <w:sz w:val="26"/>
          <w:szCs w:val="26"/>
        </w:rPr>
      </w:pPr>
    </w:p>
    <w:p w14:paraId="4EFAC6DE" w14:textId="77777777" w:rsidR="00E85DC7" w:rsidRPr="007E36E2" w:rsidRDefault="00E85DC7" w:rsidP="00E85DC7">
      <w:pPr>
        <w:tabs>
          <w:tab w:val="center" w:pos="4135"/>
          <w:tab w:val="left" w:pos="7515"/>
        </w:tabs>
        <w:spacing w:line="360" w:lineRule="auto"/>
        <w:jc w:val="center"/>
        <w:rPr>
          <w:rFonts w:ascii="Arial" w:eastAsia="Times New Roman" w:hAnsi="Arial" w:cs="Arial"/>
          <w:sz w:val="26"/>
          <w:szCs w:val="26"/>
        </w:rPr>
      </w:pPr>
    </w:p>
    <w:p w14:paraId="11BA2BC2" w14:textId="77777777" w:rsidR="00E85DC7" w:rsidRDefault="00E85DC7" w:rsidP="00E85DC7">
      <w:pPr>
        <w:tabs>
          <w:tab w:val="center" w:pos="4135"/>
          <w:tab w:val="left" w:pos="7515"/>
        </w:tabs>
        <w:spacing w:line="360" w:lineRule="auto"/>
        <w:jc w:val="center"/>
        <w:rPr>
          <w:rFonts w:ascii="Arial" w:eastAsia="Times New Roman" w:hAnsi="Arial" w:cs="Arial"/>
          <w:sz w:val="26"/>
          <w:szCs w:val="26"/>
        </w:rPr>
      </w:pPr>
    </w:p>
    <w:p w14:paraId="2E2D7E6E" w14:textId="77777777" w:rsidR="00E85DC7" w:rsidRPr="007E36E2" w:rsidRDefault="00E85DC7" w:rsidP="00E85DC7">
      <w:pPr>
        <w:tabs>
          <w:tab w:val="center" w:pos="4135"/>
          <w:tab w:val="left" w:pos="7515"/>
        </w:tabs>
        <w:spacing w:line="360" w:lineRule="auto"/>
        <w:rPr>
          <w:rFonts w:ascii="Arial" w:eastAsia="Times New Roman" w:hAnsi="Arial" w:cs="Arial"/>
          <w:sz w:val="26"/>
          <w:szCs w:val="26"/>
        </w:rPr>
      </w:pPr>
    </w:p>
    <w:p w14:paraId="22580A58" w14:textId="77777777" w:rsidR="00E85DC7" w:rsidRPr="007E36E2" w:rsidRDefault="00E85DC7" w:rsidP="00E85DC7">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26919748" w14:textId="77777777" w:rsidR="00E85DC7" w:rsidRPr="007E36E2" w:rsidRDefault="00E85DC7" w:rsidP="00E85DC7">
      <w:pPr>
        <w:spacing w:after="0" w:line="240" w:lineRule="auto"/>
        <w:jc w:val="center"/>
        <w:rPr>
          <w:rFonts w:ascii="Arial" w:eastAsia="Times New Roman" w:hAnsi="Arial" w:cs="Arial"/>
          <w:sz w:val="26"/>
          <w:szCs w:val="26"/>
        </w:rPr>
      </w:pPr>
    </w:p>
    <w:p w14:paraId="3A65594F" w14:textId="77777777" w:rsidR="00E85DC7" w:rsidRPr="007E36E2" w:rsidRDefault="00E85DC7" w:rsidP="00E85DC7">
      <w:pPr>
        <w:spacing w:after="0" w:line="240" w:lineRule="auto"/>
        <w:jc w:val="center"/>
        <w:rPr>
          <w:rFonts w:ascii="Arial" w:eastAsia="Times New Roman" w:hAnsi="Arial" w:cs="Arial"/>
          <w:sz w:val="26"/>
          <w:szCs w:val="26"/>
        </w:rPr>
      </w:pPr>
    </w:p>
    <w:p w14:paraId="5D1FEF5C" w14:textId="77777777" w:rsidR="00E85DC7" w:rsidRDefault="00E85DC7" w:rsidP="00E85DC7">
      <w:pPr>
        <w:spacing w:after="0" w:line="240" w:lineRule="auto"/>
        <w:jc w:val="center"/>
        <w:rPr>
          <w:rFonts w:ascii="Arial" w:eastAsia="Times New Roman" w:hAnsi="Arial" w:cs="Arial"/>
          <w:sz w:val="26"/>
          <w:szCs w:val="26"/>
        </w:rPr>
      </w:pPr>
    </w:p>
    <w:p w14:paraId="2D2E7716" w14:textId="77777777" w:rsidR="00E85DC7" w:rsidRPr="007E36E2" w:rsidRDefault="00E85DC7" w:rsidP="00E85DC7">
      <w:pPr>
        <w:spacing w:after="0" w:line="240" w:lineRule="auto"/>
        <w:jc w:val="center"/>
        <w:rPr>
          <w:rFonts w:ascii="Arial" w:eastAsia="Times New Roman" w:hAnsi="Arial" w:cs="Arial"/>
          <w:sz w:val="26"/>
          <w:szCs w:val="26"/>
        </w:rPr>
      </w:pPr>
    </w:p>
    <w:p w14:paraId="6A9B5896" w14:textId="77777777" w:rsidR="00E85DC7" w:rsidRPr="007E36E2" w:rsidRDefault="00E85DC7" w:rsidP="00E85DC7">
      <w:pPr>
        <w:spacing w:after="0" w:line="240" w:lineRule="auto"/>
        <w:jc w:val="center"/>
        <w:rPr>
          <w:rFonts w:ascii="Arial" w:eastAsia="Times New Roman" w:hAnsi="Arial" w:cs="Arial"/>
          <w:sz w:val="26"/>
          <w:szCs w:val="26"/>
        </w:rPr>
      </w:pPr>
    </w:p>
    <w:p w14:paraId="64A26B46" w14:textId="77777777" w:rsidR="00E85DC7" w:rsidRPr="007E36E2" w:rsidRDefault="00E85DC7" w:rsidP="00E85DC7">
      <w:pPr>
        <w:spacing w:after="0" w:line="240" w:lineRule="auto"/>
        <w:jc w:val="center"/>
        <w:rPr>
          <w:rFonts w:ascii="Arial" w:eastAsia="Times New Roman" w:hAnsi="Arial" w:cs="Arial"/>
          <w:sz w:val="26"/>
          <w:szCs w:val="26"/>
        </w:rPr>
      </w:pPr>
    </w:p>
    <w:p w14:paraId="45FA5524" w14:textId="77777777" w:rsidR="00E85DC7" w:rsidRPr="007E36E2" w:rsidRDefault="00E85DC7" w:rsidP="00E85DC7">
      <w:pPr>
        <w:spacing w:after="0" w:line="240" w:lineRule="auto"/>
        <w:jc w:val="center"/>
        <w:rPr>
          <w:rFonts w:ascii="Arial" w:eastAsia="Times New Roman" w:hAnsi="Arial" w:cs="Arial"/>
          <w:sz w:val="26"/>
          <w:szCs w:val="26"/>
        </w:rPr>
      </w:pPr>
    </w:p>
    <w:p w14:paraId="2FA11175" w14:textId="77777777" w:rsidR="00E85DC7" w:rsidRPr="007E36E2" w:rsidRDefault="00E85DC7" w:rsidP="00E85DC7">
      <w:pPr>
        <w:spacing w:after="0" w:line="240" w:lineRule="auto"/>
        <w:jc w:val="center"/>
        <w:rPr>
          <w:rFonts w:ascii="Arial" w:eastAsia="Times New Roman" w:hAnsi="Arial" w:cs="Arial"/>
          <w:sz w:val="26"/>
          <w:szCs w:val="26"/>
        </w:rPr>
      </w:pPr>
    </w:p>
    <w:p w14:paraId="51278501" w14:textId="77777777" w:rsidR="00E85DC7" w:rsidRPr="007E36E2" w:rsidRDefault="00E85DC7" w:rsidP="00E85DC7">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7426467C" w14:textId="77777777" w:rsidR="00E85DC7" w:rsidRPr="007E36E2" w:rsidRDefault="00E85DC7" w:rsidP="00E85DC7">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710A7992" w14:textId="1323E538" w:rsidR="00753413" w:rsidRPr="003B6CF0" w:rsidRDefault="00753413" w:rsidP="00E85DC7">
      <w:pPr>
        <w:tabs>
          <w:tab w:val="center" w:pos="4135"/>
          <w:tab w:val="left" w:pos="7515"/>
        </w:tabs>
        <w:spacing w:line="360" w:lineRule="auto"/>
        <w:jc w:val="center"/>
      </w:pPr>
    </w:p>
    <w:sectPr w:rsidR="00753413"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C2C098" w14:textId="77777777" w:rsidR="003809FB" w:rsidRDefault="003809FB">
      <w:pPr>
        <w:spacing w:after="0" w:line="240" w:lineRule="auto"/>
      </w:pPr>
      <w:r>
        <w:separator/>
      </w:r>
    </w:p>
  </w:endnote>
  <w:endnote w:type="continuationSeparator" w:id="0">
    <w:p w14:paraId="1CB7355E" w14:textId="77777777" w:rsidR="003809FB" w:rsidRDefault="00380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1B331E" w14:textId="77777777" w:rsidR="003809FB" w:rsidRDefault="003809FB">
      <w:pPr>
        <w:spacing w:after="0" w:line="240" w:lineRule="auto"/>
      </w:pPr>
      <w:r>
        <w:separator/>
      </w:r>
    </w:p>
  </w:footnote>
  <w:footnote w:type="continuationSeparator" w:id="0">
    <w:p w14:paraId="22E4D13C" w14:textId="77777777" w:rsidR="003809FB" w:rsidRDefault="003809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DEA919F" w:rsidR="000F5C41" w:rsidRDefault="004325AE">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4325AE">
          <w:rPr>
            <w:noProof/>
            <w:lang w:val="es-ES"/>
          </w:rPr>
          <w:t>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F94B7B0" w:rsidR="000F5C41" w:rsidRDefault="004325AE">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4325AE">
          <w:rPr>
            <w:noProof/>
            <w:lang w:val="es-ES"/>
          </w:rPr>
          <w:t>3</w:t>
        </w:r>
        <w:r w:rsidR="000F5C41">
          <w:fldChar w:fldCharType="end"/>
        </w:r>
      </w:sdtContent>
    </w:sdt>
  </w:p>
  <w:p w14:paraId="51E22156" w14:textId="366FEBF2" w:rsidR="00655BA3" w:rsidRDefault="004325AE"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3DC1D2B7" wp14:editId="42BF0D59">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FBD8CF2" w14:textId="77777777" w:rsidR="004325AE" w:rsidRDefault="004325AE" w:rsidP="004325AE">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C1D2B7"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4FBD8CF2" w14:textId="77777777" w:rsidR="004325AE" w:rsidRDefault="004325AE" w:rsidP="004325A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4325AE">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2727A"/>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5792"/>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EB8"/>
    <w:rsid w:val="000A084D"/>
    <w:rsid w:val="000A0E5E"/>
    <w:rsid w:val="000A12C0"/>
    <w:rsid w:val="000A1491"/>
    <w:rsid w:val="000A15A1"/>
    <w:rsid w:val="000A17DF"/>
    <w:rsid w:val="000A200A"/>
    <w:rsid w:val="000A2550"/>
    <w:rsid w:val="000A2674"/>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2D58"/>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B7E"/>
    <w:rsid w:val="0010719A"/>
    <w:rsid w:val="001108F3"/>
    <w:rsid w:val="00110B09"/>
    <w:rsid w:val="00110C32"/>
    <w:rsid w:val="00110C97"/>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55FF"/>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617"/>
    <w:rsid w:val="00156250"/>
    <w:rsid w:val="00156F22"/>
    <w:rsid w:val="001570E1"/>
    <w:rsid w:val="001603D9"/>
    <w:rsid w:val="00161661"/>
    <w:rsid w:val="0016171F"/>
    <w:rsid w:val="00161F6F"/>
    <w:rsid w:val="001621EF"/>
    <w:rsid w:val="00163EBF"/>
    <w:rsid w:val="00164BCE"/>
    <w:rsid w:val="001659D0"/>
    <w:rsid w:val="0016604B"/>
    <w:rsid w:val="001664EA"/>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7FC"/>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6E7"/>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3C10"/>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221"/>
    <w:rsid w:val="00270087"/>
    <w:rsid w:val="00270831"/>
    <w:rsid w:val="0027275E"/>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6FDD"/>
    <w:rsid w:val="0029713B"/>
    <w:rsid w:val="00297864"/>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1769"/>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592"/>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085B"/>
    <w:rsid w:val="003611E4"/>
    <w:rsid w:val="0036133D"/>
    <w:rsid w:val="003617D9"/>
    <w:rsid w:val="00361938"/>
    <w:rsid w:val="003625FB"/>
    <w:rsid w:val="003633B9"/>
    <w:rsid w:val="003636DE"/>
    <w:rsid w:val="003646B9"/>
    <w:rsid w:val="003646E5"/>
    <w:rsid w:val="003652C6"/>
    <w:rsid w:val="003654A6"/>
    <w:rsid w:val="003660A9"/>
    <w:rsid w:val="00366573"/>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09FB"/>
    <w:rsid w:val="00381DC3"/>
    <w:rsid w:val="0038228C"/>
    <w:rsid w:val="00382BDE"/>
    <w:rsid w:val="003859C4"/>
    <w:rsid w:val="00385B11"/>
    <w:rsid w:val="00385EA5"/>
    <w:rsid w:val="00386F92"/>
    <w:rsid w:val="003874C3"/>
    <w:rsid w:val="00387725"/>
    <w:rsid w:val="00387C65"/>
    <w:rsid w:val="00390CDE"/>
    <w:rsid w:val="00391311"/>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60D"/>
    <w:rsid w:val="003F290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B90"/>
    <w:rsid w:val="004113F8"/>
    <w:rsid w:val="00411707"/>
    <w:rsid w:val="0041258E"/>
    <w:rsid w:val="00412C2F"/>
    <w:rsid w:val="0041486D"/>
    <w:rsid w:val="0041540D"/>
    <w:rsid w:val="0041584F"/>
    <w:rsid w:val="00415924"/>
    <w:rsid w:val="00415EE7"/>
    <w:rsid w:val="004165A7"/>
    <w:rsid w:val="00416D45"/>
    <w:rsid w:val="00416F89"/>
    <w:rsid w:val="00417405"/>
    <w:rsid w:val="00417B7B"/>
    <w:rsid w:val="004211BE"/>
    <w:rsid w:val="0042205F"/>
    <w:rsid w:val="00423C26"/>
    <w:rsid w:val="00423E43"/>
    <w:rsid w:val="00424839"/>
    <w:rsid w:val="00424D35"/>
    <w:rsid w:val="004256FF"/>
    <w:rsid w:val="004258D6"/>
    <w:rsid w:val="00425C7D"/>
    <w:rsid w:val="004264F9"/>
    <w:rsid w:val="00426777"/>
    <w:rsid w:val="004269DA"/>
    <w:rsid w:val="00427031"/>
    <w:rsid w:val="00427142"/>
    <w:rsid w:val="00427899"/>
    <w:rsid w:val="00427DBB"/>
    <w:rsid w:val="00427FBB"/>
    <w:rsid w:val="00430399"/>
    <w:rsid w:val="00430E42"/>
    <w:rsid w:val="0043209C"/>
    <w:rsid w:val="004322A6"/>
    <w:rsid w:val="004325AE"/>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98F"/>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769"/>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0F78"/>
    <w:rsid w:val="004E13BA"/>
    <w:rsid w:val="004E1A6E"/>
    <w:rsid w:val="004E1B12"/>
    <w:rsid w:val="004E2E2B"/>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1812"/>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4CE2"/>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DD5"/>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5931"/>
    <w:rsid w:val="00585B71"/>
    <w:rsid w:val="0058621D"/>
    <w:rsid w:val="00586D72"/>
    <w:rsid w:val="00586E4F"/>
    <w:rsid w:val="00587330"/>
    <w:rsid w:val="0058783F"/>
    <w:rsid w:val="00587984"/>
    <w:rsid w:val="00587A84"/>
    <w:rsid w:val="00590AF7"/>
    <w:rsid w:val="00592360"/>
    <w:rsid w:val="00593333"/>
    <w:rsid w:val="005960D3"/>
    <w:rsid w:val="005973A7"/>
    <w:rsid w:val="005A0825"/>
    <w:rsid w:val="005A09A3"/>
    <w:rsid w:val="005A1FEE"/>
    <w:rsid w:val="005A273F"/>
    <w:rsid w:val="005A3182"/>
    <w:rsid w:val="005A3583"/>
    <w:rsid w:val="005A4118"/>
    <w:rsid w:val="005A453F"/>
    <w:rsid w:val="005A493F"/>
    <w:rsid w:val="005A69C8"/>
    <w:rsid w:val="005A6A9E"/>
    <w:rsid w:val="005A752F"/>
    <w:rsid w:val="005B1E67"/>
    <w:rsid w:val="005B223E"/>
    <w:rsid w:val="005B2365"/>
    <w:rsid w:val="005B289A"/>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283"/>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6352"/>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895"/>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363"/>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6BBE"/>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3413"/>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63BD"/>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038"/>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5FB7"/>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3011"/>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C4C"/>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37FF8"/>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0601"/>
    <w:rsid w:val="00971321"/>
    <w:rsid w:val="00972B61"/>
    <w:rsid w:val="009730F2"/>
    <w:rsid w:val="00974250"/>
    <w:rsid w:val="00974F50"/>
    <w:rsid w:val="009756EC"/>
    <w:rsid w:val="009757EE"/>
    <w:rsid w:val="0097584C"/>
    <w:rsid w:val="00976FCC"/>
    <w:rsid w:val="0097768E"/>
    <w:rsid w:val="009803D1"/>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98"/>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8EB"/>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0C04"/>
    <w:rsid w:val="009E10EC"/>
    <w:rsid w:val="009E10F6"/>
    <w:rsid w:val="009E1628"/>
    <w:rsid w:val="009E26BF"/>
    <w:rsid w:val="009E2B95"/>
    <w:rsid w:val="009E2F5D"/>
    <w:rsid w:val="009E34FA"/>
    <w:rsid w:val="009E3D69"/>
    <w:rsid w:val="009E3DB9"/>
    <w:rsid w:val="009E4B0C"/>
    <w:rsid w:val="009E4B72"/>
    <w:rsid w:val="009E646B"/>
    <w:rsid w:val="009E7B07"/>
    <w:rsid w:val="009F050C"/>
    <w:rsid w:val="009F14C6"/>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8A3"/>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4F82"/>
    <w:rsid w:val="00A55915"/>
    <w:rsid w:val="00A55A68"/>
    <w:rsid w:val="00A56094"/>
    <w:rsid w:val="00A5698E"/>
    <w:rsid w:val="00A56B70"/>
    <w:rsid w:val="00A575B4"/>
    <w:rsid w:val="00A608CD"/>
    <w:rsid w:val="00A61C6D"/>
    <w:rsid w:val="00A62EFE"/>
    <w:rsid w:val="00A64280"/>
    <w:rsid w:val="00A64C7D"/>
    <w:rsid w:val="00A64E0F"/>
    <w:rsid w:val="00A654A2"/>
    <w:rsid w:val="00A654DF"/>
    <w:rsid w:val="00A655E9"/>
    <w:rsid w:val="00A66CB2"/>
    <w:rsid w:val="00A701A6"/>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A2C"/>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16CF"/>
    <w:rsid w:val="00B1212B"/>
    <w:rsid w:val="00B125A0"/>
    <w:rsid w:val="00B1292E"/>
    <w:rsid w:val="00B13177"/>
    <w:rsid w:val="00B13E8D"/>
    <w:rsid w:val="00B15852"/>
    <w:rsid w:val="00B161B4"/>
    <w:rsid w:val="00B16887"/>
    <w:rsid w:val="00B176C8"/>
    <w:rsid w:val="00B17A1C"/>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927"/>
    <w:rsid w:val="00B64DB8"/>
    <w:rsid w:val="00B652A9"/>
    <w:rsid w:val="00B6596E"/>
    <w:rsid w:val="00B65D72"/>
    <w:rsid w:val="00B661AF"/>
    <w:rsid w:val="00B6786A"/>
    <w:rsid w:val="00B67AA4"/>
    <w:rsid w:val="00B7058E"/>
    <w:rsid w:val="00B70EC1"/>
    <w:rsid w:val="00B70F1D"/>
    <w:rsid w:val="00B7103E"/>
    <w:rsid w:val="00B71FF3"/>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6BF"/>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2D5E"/>
    <w:rsid w:val="00BD3693"/>
    <w:rsid w:val="00BD438C"/>
    <w:rsid w:val="00BD492B"/>
    <w:rsid w:val="00BD4F9A"/>
    <w:rsid w:val="00BD545C"/>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30D9"/>
    <w:rsid w:val="00BF5877"/>
    <w:rsid w:val="00BF5B35"/>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0DA"/>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630"/>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D37"/>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3C34"/>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4739"/>
    <w:rsid w:val="00D055E6"/>
    <w:rsid w:val="00D05CAF"/>
    <w:rsid w:val="00D05E39"/>
    <w:rsid w:val="00D065AD"/>
    <w:rsid w:val="00D06BB8"/>
    <w:rsid w:val="00D072EF"/>
    <w:rsid w:val="00D07394"/>
    <w:rsid w:val="00D07A9C"/>
    <w:rsid w:val="00D10A14"/>
    <w:rsid w:val="00D113FF"/>
    <w:rsid w:val="00D11E7B"/>
    <w:rsid w:val="00D12C52"/>
    <w:rsid w:val="00D12D84"/>
    <w:rsid w:val="00D13A93"/>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39A"/>
    <w:rsid w:val="00D35BC6"/>
    <w:rsid w:val="00D3635F"/>
    <w:rsid w:val="00D36532"/>
    <w:rsid w:val="00D367F9"/>
    <w:rsid w:val="00D37901"/>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0CD4"/>
    <w:rsid w:val="00D62605"/>
    <w:rsid w:val="00D63073"/>
    <w:rsid w:val="00D6362A"/>
    <w:rsid w:val="00D6373A"/>
    <w:rsid w:val="00D63DA5"/>
    <w:rsid w:val="00D641C8"/>
    <w:rsid w:val="00D64B3A"/>
    <w:rsid w:val="00D64D09"/>
    <w:rsid w:val="00D6587E"/>
    <w:rsid w:val="00D65C48"/>
    <w:rsid w:val="00D67C48"/>
    <w:rsid w:val="00D70CA3"/>
    <w:rsid w:val="00D718E2"/>
    <w:rsid w:val="00D719E5"/>
    <w:rsid w:val="00D72097"/>
    <w:rsid w:val="00D73167"/>
    <w:rsid w:val="00D7322F"/>
    <w:rsid w:val="00D7332C"/>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E7940"/>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8AF"/>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20"/>
    <w:rsid w:val="00E4029A"/>
    <w:rsid w:val="00E410B5"/>
    <w:rsid w:val="00E41DFA"/>
    <w:rsid w:val="00E4205C"/>
    <w:rsid w:val="00E42264"/>
    <w:rsid w:val="00E42B52"/>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1834"/>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4264"/>
    <w:rsid w:val="00E84F50"/>
    <w:rsid w:val="00E85DC7"/>
    <w:rsid w:val="00E86711"/>
    <w:rsid w:val="00E86798"/>
    <w:rsid w:val="00E90CAB"/>
    <w:rsid w:val="00E90E54"/>
    <w:rsid w:val="00E9118C"/>
    <w:rsid w:val="00E914A9"/>
    <w:rsid w:val="00E92595"/>
    <w:rsid w:val="00E92FE6"/>
    <w:rsid w:val="00E93151"/>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140"/>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1A6"/>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56D00"/>
    <w:rsid w:val="00F60D33"/>
    <w:rsid w:val="00F61136"/>
    <w:rsid w:val="00F6166A"/>
    <w:rsid w:val="00F624A5"/>
    <w:rsid w:val="00F62D15"/>
    <w:rsid w:val="00F6398A"/>
    <w:rsid w:val="00F63C51"/>
    <w:rsid w:val="00F63C85"/>
    <w:rsid w:val="00F64C5A"/>
    <w:rsid w:val="00F65256"/>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0AF"/>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33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5DB2"/>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5618"/>
    <w:rsid w:val="00FC6C11"/>
    <w:rsid w:val="00FC7940"/>
    <w:rsid w:val="00FC7B46"/>
    <w:rsid w:val="00FC7B74"/>
    <w:rsid w:val="00FD0CFA"/>
    <w:rsid w:val="00FD1CE7"/>
    <w:rsid w:val="00FD1D4B"/>
    <w:rsid w:val="00FD1EC3"/>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9787-CF88-4147-8B70-59D2E9E89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2558</Words>
  <Characters>14075</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10</cp:revision>
  <cp:lastPrinted>2022-10-04T19:01:00Z</cp:lastPrinted>
  <dcterms:created xsi:type="dcterms:W3CDTF">2022-08-12T16:10:00Z</dcterms:created>
  <dcterms:modified xsi:type="dcterms:W3CDTF">2023-02-23T16:40:00Z</dcterms:modified>
</cp:coreProperties>
</file>