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F2342" w14:textId="77777777" w:rsidR="00E32A2C" w:rsidRDefault="00E32A2C" w:rsidP="003B6CF0">
      <w:pPr>
        <w:spacing w:line="240" w:lineRule="auto"/>
        <w:ind w:left="2124"/>
        <w:jc w:val="both"/>
        <w:rPr>
          <w:rFonts w:ascii="Arial" w:hAnsi="Arial" w:cs="Arial"/>
          <w:b/>
          <w:sz w:val="26"/>
          <w:szCs w:val="26"/>
        </w:rPr>
      </w:pPr>
    </w:p>
    <w:p w14:paraId="2E980313" w14:textId="2EDE924B" w:rsidR="003B6CF0" w:rsidRPr="00CB6405" w:rsidRDefault="003B6CF0" w:rsidP="005A695E">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6F69346" w:rsidR="003B6CF0" w:rsidRPr="00CB6405" w:rsidRDefault="003B6CF0" w:rsidP="005A695E">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E7247">
        <w:rPr>
          <w:rFonts w:ascii="Arial" w:hAnsi="Arial" w:cs="Arial"/>
          <w:b/>
          <w:sz w:val="26"/>
          <w:szCs w:val="26"/>
        </w:rPr>
        <w:t>035</w:t>
      </w:r>
      <w:r w:rsidR="00DC4222">
        <w:rPr>
          <w:rFonts w:ascii="Arial" w:hAnsi="Arial" w:cs="Arial"/>
          <w:b/>
          <w:sz w:val="26"/>
          <w:szCs w:val="26"/>
        </w:rPr>
        <w:t>/2021</w:t>
      </w:r>
      <w:r>
        <w:rPr>
          <w:rFonts w:ascii="Arial" w:hAnsi="Arial" w:cs="Arial"/>
          <w:b/>
          <w:sz w:val="26"/>
          <w:szCs w:val="26"/>
        </w:rPr>
        <w:t>.</w:t>
      </w:r>
    </w:p>
    <w:p w14:paraId="4DFA70CD" w14:textId="646C550B" w:rsidR="003B6CF0" w:rsidRDefault="003B6CF0" w:rsidP="005A695E">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E7247">
        <w:rPr>
          <w:rFonts w:ascii="Arial" w:hAnsi="Arial" w:cs="Arial"/>
          <w:b/>
          <w:sz w:val="26"/>
          <w:szCs w:val="26"/>
        </w:rPr>
        <w:t>0041</w:t>
      </w:r>
      <w:r>
        <w:rPr>
          <w:rFonts w:ascii="Arial" w:hAnsi="Arial" w:cs="Arial"/>
          <w:b/>
          <w:sz w:val="26"/>
          <w:szCs w:val="26"/>
        </w:rPr>
        <w:t>/</w:t>
      </w:r>
      <w:r w:rsidR="00240A94">
        <w:rPr>
          <w:rFonts w:ascii="Arial" w:hAnsi="Arial" w:cs="Arial"/>
          <w:b/>
          <w:sz w:val="26"/>
          <w:szCs w:val="26"/>
        </w:rPr>
        <w:t>20</w:t>
      </w:r>
      <w:r w:rsidR="009E7247">
        <w:rPr>
          <w:rFonts w:ascii="Arial" w:hAnsi="Arial" w:cs="Arial"/>
          <w:b/>
          <w:sz w:val="26"/>
          <w:szCs w:val="26"/>
        </w:rPr>
        <w:t>19</w:t>
      </w:r>
      <w:r w:rsidRPr="00CB6405">
        <w:rPr>
          <w:rFonts w:ascii="Arial" w:hAnsi="Arial" w:cs="Arial"/>
          <w:b/>
          <w:sz w:val="26"/>
          <w:szCs w:val="26"/>
        </w:rPr>
        <w:t xml:space="preserve"> </w:t>
      </w:r>
      <w:r w:rsidR="00F37BD5">
        <w:rPr>
          <w:rFonts w:ascii="Arial" w:hAnsi="Arial" w:cs="Arial"/>
          <w:b/>
          <w:sz w:val="26"/>
          <w:szCs w:val="26"/>
        </w:rPr>
        <w:t xml:space="preserve">DE LA </w:t>
      </w:r>
      <w:r w:rsidR="001B6950">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5A695E">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04A81F7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5A695E">
        <w:rPr>
          <w:rFonts w:ascii="Arial" w:hAnsi="Arial" w:cs="Arial"/>
          <w:b/>
          <w:sz w:val="26"/>
          <w:szCs w:val="26"/>
        </w:rPr>
        <w:t>VEINTIDÓS</w:t>
      </w:r>
      <w:r w:rsidR="00B83946">
        <w:rPr>
          <w:rFonts w:ascii="Arial" w:hAnsi="Arial" w:cs="Arial"/>
          <w:b/>
          <w:sz w:val="26"/>
          <w:szCs w:val="26"/>
        </w:rPr>
        <w:t xml:space="preserve"> DE </w:t>
      </w:r>
      <w:r w:rsidR="005A695E">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w:t>
      </w:r>
    </w:p>
    <w:p w14:paraId="7CF0F441" w14:textId="767C9DAD" w:rsidR="003B6CF0" w:rsidRPr="0082373C" w:rsidRDefault="003B6CF0" w:rsidP="005A695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9E7247">
        <w:rPr>
          <w:rFonts w:ascii="Arial" w:hAnsi="Arial" w:cs="Arial"/>
          <w:b/>
          <w:sz w:val="26"/>
          <w:szCs w:val="26"/>
        </w:rPr>
        <w:t>035</w:t>
      </w:r>
      <w:r w:rsidRPr="00CB6405">
        <w:rPr>
          <w:rFonts w:ascii="Arial" w:hAnsi="Arial" w:cs="Arial"/>
          <w:b/>
          <w:sz w:val="26"/>
          <w:szCs w:val="26"/>
        </w:rPr>
        <w:t>/20</w:t>
      </w:r>
      <w:r>
        <w:rPr>
          <w:rFonts w:ascii="Arial" w:hAnsi="Arial" w:cs="Arial"/>
          <w:b/>
          <w:sz w:val="26"/>
          <w:szCs w:val="26"/>
        </w:rPr>
        <w:t>2</w:t>
      </w:r>
      <w:r w:rsidR="00DC4222">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E32A2C">
        <w:rPr>
          <w:rFonts w:ascii="Arial" w:hAnsi="Arial" w:cs="Arial"/>
          <w:sz w:val="26"/>
          <w:szCs w:val="26"/>
        </w:rPr>
        <w:t xml:space="preserve"> la</w:t>
      </w:r>
      <w:r w:rsidR="009E7247">
        <w:rPr>
          <w:rFonts w:ascii="Arial" w:hAnsi="Arial" w:cs="Arial"/>
          <w:b/>
          <w:sz w:val="26"/>
          <w:szCs w:val="26"/>
        </w:rPr>
        <w:t xml:space="preserve"> SÍNDICO MUNICIPAL DEL AYU</w:t>
      </w:r>
      <w:r w:rsidR="00AE5680">
        <w:rPr>
          <w:rFonts w:ascii="Arial" w:hAnsi="Arial" w:cs="Arial"/>
          <w:b/>
          <w:sz w:val="26"/>
          <w:szCs w:val="26"/>
        </w:rPr>
        <w:t>N</w:t>
      </w:r>
      <w:r w:rsidR="009E7247">
        <w:rPr>
          <w:rFonts w:ascii="Arial" w:hAnsi="Arial" w:cs="Arial"/>
          <w:b/>
          <w:sz w:val="26"/>
          <w:szCs w:val="26"/>
        </w:rPr>
        <w:t xml:space="preserve">TAMIENTO DE </w:t>
      </w:r>
      <w:proofErr w:type="spellStart"/>
      <w:r w:rsidR="009E7247">
        <w:rPr>
          <w:rFonts w:ascii="Arial" w:hAnsi="Arial" w:cs="Arial"/>
          <w:b/>
          <w:sz w:val="26"/>
          <w:szCs w:val="26"/>
        </w:rPr>
        <w:t>CUIL</w:t>
      </w:r>
      <w:r w:rsidR="005A695E">
        <w:rPr>
          <w:rFonts w:ascii="Arial" w:hAnsi="Arial" w:cs="Arial"/>
          <w:b/>
          <w:sz w:val="26"/>
          <w:szCs w:val="26"/>
        </w:rPr>
        <w:t>A</w:t>
      </w:r>
      <w:r w:rsidR="009E7247">
        <w:rPr>
          <w:rFonts w:ascii="Arial" w:hAnsi="Arial" w:cs="Arial"/>
          <w:b/>
          <w:sz w:val="26"/>
          <w:szCs w:val="26"/>
        </w:rPr>
        <w:t>PAM</w:t>
      </w:r>
      <w:proofErr w:type="spellEnd"/>
      <w:r w:rsidR="009E7247">
        <w:rPr>
          <w:rFonts w:ascii="Arial" w:hAnsi="Arial" w:cs="Arial"/>
          <w:b/>
          <w:sz w:val="26"/>
          <w:szCs w:val="26"/>
        </w:rPr>
        <w:t xml:space="preserve"> DE GUERRERO,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990926">
        <w:rPr>
          <w:rFonts w:ascii="Arial" w:hAnsi="Arial" w:cs="Arial"/>
          <w:sz w:val="26"/>
          <w:szCs w:val="26"/>
        </w:rPr>
        <w:t xml:space="preserve"> la sentencia</w:t>
      </w:r>
      <w:r w:rsidR="009E7247">
        <w:rPr>
          <w:rFonts w:ascii="Arial" w:hAnsi="Arial" w:cs="Arial"/>
          <w:sz w:val="26"/>
          <w:szCs w:val="26"/>
        </w:rPr>
        <w:t xml:space="preserve"> de treinta</w:t>
      </w:r>
      <w:r w:rsidR="007A3A9D">
        <w:rPr>
          <w:rFonts w:ascii="Arial" w:hAnsi="Arial" w:cs="Arial"/>
          <w:sz w:val="26"/>
          <w:szCs w:val="26"/>
        </w:rPr>
        <w:t xml:space="preserve"> </w:t>
      </w:r>
      <w:r w:rsidR="000E2300">
        <w:rPr>
          <w:rFonts w:ascii="Arial" w:hAnsi="Arial" w:cs="Arial"/>
          <w:sz w:val="26"/>
          <w:szCs w:val="26"/>
        </w:rPr>
        <w:t xml:space="preserve">de </w:t>
      </w:r>
      <w:r w:rsidR="009E7247">
        <w:rPr>
          <w:rFonts w:ascii="Arial" w:hAnsi="Arial" w:cs="Arial"/>
          <w:sz w:val="26"/>
          <w:szCs w:val="26"/>
        </w:rPr>
        <w:t>enero de dos mil veinte</w:t>
      </w:r>
      <w:r>
        <w:rPr>
          <w:rFonts w:ascii="Arial" w:hAnsi="Arial" w:cs="Arial"/>
          <w:sz w:val="26"/>
          <w:szCs w:val="26"/>
        </w:rPr>
        <w:t>, dictad</w:t>
      </w:r>
      <w:r w:rsidR="00990926">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9E7247">
        <w:rPr>
          <w:rFonts w:ascii="Arial" w:hAnsi="Arial" w:cs="Arial"/>
          <w:b/>
          <w:sz w:val="26"/>
          <w:szCs w:val="26"/>
        </w:rPr>
        <w:t>041</w:t>
      </w:r>
      <w:r w:rsidR="007007A1">
        <w:rPr>
          <w:rFonts w:ascii="Arial" w:hAnsi="Arial" w:cs="Arial"/>
          <w:b/>
          <w:sz w:val="26"/>
          <w:szCs w:val="26"/>
        </w:rPr>
        <w:t>/20</w:t>
      </w:r>
      <w:r w:rsidR="009E7247">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E22B81">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9E7247">
        <w:rPr>
          <w:rFonts w:ascii="Arial" w:hAnsi="Arial" w:cs="Arial"/>
          <w:b/>
          <w:sz w:val="26"/>
          <w:szCs w:val="26"/>
        </w:rPr>
        <w:t xml:space="preserve"> </w:t>
      </w:r>
      <w:r w:rsidR="006F2682">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307AB">
        <w:rPr>
          <w:rFonts w:ascii="Arial" w:hAnsi="Arial" w:cs="Arial"/>
          <w:sz w:val="26"/>
          <w:szCs w:val="26"/>
        </w:rPr>
        <w:t xml:space="preserve"> la</w:t>
      </w:r>
      <w:r w:rsidR="00240A94">
        <w:rPr>
          <w:rFonts w:ascii="Arial" w:hAnsi="Arial" w:cs="Arial"/>
          <w:sz w:val="26"/>
          <w:szCs w:val="26"/>
        </w:rPr>
        <w:t xml:space="preserve"> </w:t>
      </w:r>
      <w:r w:rsidR="009E7247">
        <w:rPr>
          <w:rFonts w:ascii="Arial" w:hAnsi="Arial" w:cs="Arial"/>
          <w:b/>
          <w:sz w:val="26"/>
          <w:szCs w:val="26"/>
        </w:rPr>
        <w:t>SÍNDICO MUNICIPAL Y ALCALDE CONSTITUCIONAL</w:t>
      </w:r>
      <w:r w:rsidR="00E32A2C">
        <w:rPr>
          <w:rFonts w:ascii="Arial" w:hAnsi="Arial" w:cs="Arial"/>
          <w:b/>
          <w:sz w:val="26"/>
          <w:szCs w:val="26"/>
        </w:rPr>
        <w:t>,</w:t>
      </w:r>
      <w:r w:rsidR="009E7247">
        <w:rPr>
          <w:rFonts w:ascii="Arial" w:hAnsi="Arial" w:cs="Arial"/>
          <w:b/>
          <w:sz w:val="26"/>
          <w:szCs w:val="26"/>
        </w:rPr>
        <w:t xml:space="preserve"> AMBOS DEL AYUNTAMIENTO DE </w:t>
      </w:r>
      <w:proofErr w:type="spellStart"/>
      <w:r w:rsidR="009E7247">
        <w:rPr>
          <w:rFonts w:ascii="Arial" w:hAnsi="Arial" w:cs="Arial"/>
          <w:b/>
          <w:sz w:val="26"/>
          <w:szCs w:val="26"/>
        </w:rPr>
        <w:t>CUILAPAM</w:t>
      </w:r>
      <w:proofErr w:type="spellEnd"/>
      <w:r w:rsidR="009E7247">
        <w:rPr>
          <w:rFonts w:ascii="Arial" w:hAnsi="Arial" w:cs="Arial"/>
          <w:b/>
          <w:sz w:val="26"/>
          <w:szCs w:val="26"/>
        </w:rPr>
        <w:t xml:space="preserve"> DE </w:t>
      </w:r>
      <w:r w:rsidR="005A695E">
        <w:rPr>
          <w:rFonts w:ascii="Arial" w:hAnsi="Arial" w:cs="Arial"/>
          <w:b/>
          <w:sz w:val="26"/>
          <w:szCs w:val="26"/>
        </w:rPr>
        <w:t>GUERRERO</w:t>
      </w:r>
      <w:r w:rsidR="009E7247">
        <w:rPr>
          <w:rFonts w:ascii="Arial" w:hAnsi="Arial" w:cs="Arial"/>
          <w:b/>
          <w:sz w:val="26"/>
          <w:szCs w:val="26"/>
        </w:rPr>
        <w:t>,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Administrativa para el Estado de Oaxaca, y </w:t>
      </w:r>
      <w:r w:rsidR="00E80EAA">
        <w:rPr>
          <w:rFonts w:ascii="Arial" w:hAnsi="Arial" w:cs="Arial"/>
          <w:bCs/>
          <w:iCs/>
          <w:sz w:val="26"/>
          <w:szCs w:val="26"/>
        </w:rPr>
        <w:t xml:space="preserve">24 fracciones I y III </w:t>
      </w:r>
      <w:r w:rsidR="00E80EAA" w:rsidRPr="00455424">
        <w:rPr>
          <w:rFonts w:ascii="Arial" w:hAnsi="Arial" w:cs="Arial"/>
          <w:bCs/>
          <w:iCs/>
          <w:sz w:val="26"/>
          <w:szCs w:val="26"/>
        </w:rPr>
        <w:t>de la Ley Orgánica del Tribunal de Justicia Administrativa del Estado de Oaxaca</w:t>
      </w:r>
      <w:r w:rsidR="00E80EAA">
        <w:rPr>
          <w:rFonts w:ascii="Arial" w:hAnsi="Arial" w:cs="Arial"/>
          <w:bCs/>
          <w:iCs/>
          <w:sz w:val="26"/>
          <w:szCs w:val="26"/>
        </w:rPr>
        <w:t xml:space="preserve">, </w:t>
      </w:r>
      <w:r w:rsidR="005A695E">
        <w:rPr>
          <w:rFonts w:ascii="Arial" w:hAnsi="Arial" w:cs="Arial"/>
          <w:bCs/>
          <w:iCs/>
          <w:sz w:val="26"/>
          <w:szCs w:val="26"/>
        </w:rPr>
        <w:t xml:space="preserve">se da tramite. Por consiguiente, </w:t>
      </w:r>
      <w:r w:rsidR="00E80EAA">
        <w:rPr>
          <w:rFonts w:ascii="Arial" w:hAnsi="Arial" w:cs="Arial"/>
          <w:sz w:val="26"/>
          <w:szCs w:val="26"/>
        </w:rPr>
        <w:t>se procede a dictar resolución en los siguientes términos</w:t>
      </w:r>
      <w:r w:rsidR="00E80EAA" w:rsidRPr="003509B6">
        <w:rPr>
          <w:rFonts w:ascii="Arial" w:hAnsi="Arial" w:cs="Arial"/>
          <w:sz w:val="26"/>
          <w:szCs w:val="26"/>
        </w:rPr>
        <w:t>:</w:t>
      </w:r>
      <w:r w:rsidR="005A695E">
        <w:rPr>
          <w:rFonts w:ascii="Arial" w:hAnsi="Arial" w:cs="Arial"/>
          <w:sz w:val="26"/>
          <w:szCs w:val="26"/>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01C6741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990926">
        <w:rPr>
          <w:rFonts w:ascii="Arial" w:hAnsi="Arial" w:cs="Arial"/>
          <w:sz w:val="26"/>
          <w:szCs w:val="26"/>
        </w:rPr>
        <w:t xml:space="preserve"> la sentencia</w:t>
      </w:r>
      <w:r w:rsidR="001A2019">
        <w:rPr>
          <w:rFonts w:ascii="Arial" w:hAnsi="Arial" w:cs="Arial"/>
          <w:sz w:val="26"/>
          <w:szCs w:val="26"/>
        </w:rPr>
        <w:t xml:space="preserve"> de treinta</w:t>
      </w:r>
      <w:r w:rsidR="00C401B5">
        <w:rPr>
          <w:rFonts w:ascii="Arial" w:hAnsi="Arial" w:cs="Arial"/>
          <w:sz w:val="26"/>
          <w:szCs w:val="26"/>
        </w:rPr>
        <w:t xml:space="preserve"> </w:t>
      </w:r>
      <w:r w:rsidR="001A2019">
        <w:rPr>
          <w:rFonts w:ascii="Arial" w:hAnsi="Arial" w:cs="Arial"/>
          <w:sz w:val="26"/>
          <w:szCs w:val="26"/>
        </w:rPr>
        <w:t>de enero</w:t>
      </w:r>
      <w:r w:rsidR="00C401B5">
        <w:rPr>
          <w:rFonts w:ascii="Arial" w:hAnsi="Arial" w:cs="Arial"/>
          <w:sz w:val="26"/>
          <w:szCs w:val="26"/>
        </w:rPr>
        <w:t xml:space="preserve"> </w:t>
      </w:r>
      <w:r w:rsidR="009307AB">
        <w:rPr>
          <w:rFonts w:ascii="Arial" w:hAnsi="Arial" w:cs="Arial"/>
          <w:sz w:val="26"/>
          <w:szCs w:val="26"/>
        </w:rPr>
        <w:t>d</w:t>
      </w:r>
      <w:r w:rsidR="00D863E5">
        <w:rPr>
          <w:rFonts w:ascii="Arial" w:hAnsi="Arial" w:cs="Arial"/>
          <w:sz w:val="26"/>
          <w:szCs w:val="26"/>
        </w:rPr>
        <w:t xml:space="preserve">e </w:t>
      </w:r>
      <w:r w:rsidR="001A2019">
        <w:rPr>
          <w:rFonts w:ascii="Arial" w:hAnsi="Arial" w:cs="Arial"/>
          <w:sz w:val="26"/>
          <w:szCs w:val="26"/>
        </w:rPr>
        <w:t>dos mil veinte</w:t>
      </w:r>
      <w:r>
        <w:rPr>
          <w:rFonts w:ascii="Arial" w:hAnsi="Arial" w:cs="Arial"/>
          <w:sz w:val="26"/>
          <w:szCs w:val="26"/>
        </w:rPr>
        <w:t xml:space="preserve">, </w:t>
      </w:r>
      <w:r w:rsidRPr="00CB6405">
        <w:rPr>
          <w:rFonts w:ascii="Arial" w:hAnsi="Arial" w:cs="Arial"/>
          <w:sz w:val="26"/>
          <w:szCs w:val="26"/>
        </w:rPr>
        <w:t>dictad</w:t>
      </w:r>
      <w:r w:rsidR="00990926">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C401B5">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E32A2C">
        <w:rPr>
          <w:rFonts w:ascii="Arial" w:hAnsi="Arial" w:cs="Arial"/>
          <w:sz w:val="26"/>
          <w:szCs w:val="26"/>
        </w:rPr>
        <w:t>la</w:t>
      </w:r>
      <w:r w:rsidR="001A2019">
        <w:rPr>
          <w:rFonts w:ascii="Arial" w:hAnsi="Arial" w:cs="Arial"/>
          <w:b/>
          <w:sz w:val="26"/>
          <w:szCs w:val="26"/>
        </w:rPr>
        <w:t xml:space="preserve"> SÍNDICO MUNICIPAL DEL AYU</w:t>
      </w:r>
      <w:r w:rsidR="00AE5680">
        <w:rPr>
          <w:rFonts w:ascii="Arial" w:hAnsi="Arial" w:cs="Arial"/>
          <w:b/>
          <w:sz w:val="26"/>
          <w:szCs w:val="26"/>
        </w:rPr>
        <w:t>N</w:t>
      </w:r>
      <w:r w:rsidR="001A2019">
        <w:rPr>
          <w:rFonts w:ascii="Arial" w:hAnsi="Arial" w:cs="Arial"/>
          <w:b/>
          <w:sz w:val="26"/>
          <w:szCs w:val="26"/>
        </w:rPr>
        <w:t xml:space="preserve">TAMIENTO DE </w:t>
      </w:r>
      <w:proofErr w:type="spellStart"/>
      <w:r w:rsidR="001A2019">
        <w:rPr>
          <w:rFonts w:ascii="Arial" w:hAnsi="Arial" w:cs="Arial"/>
          <w:b/>
          <w:sz w:val="26"/>
          <w:szCs w:val="26"/>
        </w:rPr>
        <w:t>CUILÁPAM</w:t>
      </w:r>
      <w:proofErr w:type="spellEnd"/>
      <w:r w:rsidR="001A2019">
        <w:rPr>
          <w:rFonts w:ascii="Arial" w:hAnsi="Arial" w:cs="Arial"/>
          <w:b/>
          <w:sz w:val="26"/>
          <w:szCs w:val="26"/>
        </w:rPr>
        <w:t xml:space="preserve"> DE GUERRERO,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5A695E">
        <w:rPr>
          <w:rFonts w:ascii="Arial" w:hAnsi="Arial" w:cs="Arial"/>
          <w:sz w:val="26"/>
          <w:szCs w:val="26"/>
        </w:rPr>
        <w:t xml:space="preserve"> - - - </w:t>
      </w:r>
    </w:p>
    <w:p w14:paraId="4231C4CC" w14:textId="08626B8F" w:rsidR="00F0794F" w:rsidRDefault="00990926" w:rsidP="00990926">
      <w:pPr>
        <w:spacing w:after="0" w:line="360" w:lineRule="auto"/>
        <w:ind w:firstLine="567"/>
        <w:jc w:val="both"/>
        <w:rPr>
          <w:rFonts w:ascii="Arial" w:hAnsi="Arial" w:cs="Arial"/>
          <w:bCs/>
          <w:iCs/>
          <w:sz w:val="26"/>
          <w:szCs w:val="26"/>
        </w:rPr>
      </w:pPr>
      <w:r>
        <w:rPr>
          <w:rFonts w:ascii="Arial" w:hAnsi="Arial" w:cs="Arial"/>
          <w:b/>
          <w:bCs/>
          <w:iCs/>
          <w:sz w:val="26"/>
          <w:szCs w:val="26"/>
        </w:rPr>
        <w:t>SEGUNDO.</w:t>
      </w:r>
      <w:r w:rsidRPr="003B084B">
        <w:rPr>
          <w:rFonts w:ascii="Arial" w:hAnsi="Arial" w:cs="Arial"/>
          <w:bCs/>
          <w:iCs/>
          <w:sz w:val="26"/>
          <w:szCs w:val="26"/>
        </w:rPr>
        <w:t xml:space="preserve"> Los puntos resolutivos de la sentencia recurrida son los siguientes:</w:t>
      </w:r>
    </w:p>
    <w:p w14:paraId="4729D42B" w14:textId="3E4E1085" w:rsidR="00F02BAD" w:rsidRDefault="00F0794F" w:rsidP="005A695E">
      <w:pPr>
        <w:spacing w:after="0"/>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6914D4" w:rsidRPr="003C791B">
        <w:rPr>
          <w:rFonts w:ascii="Arial" w:eastAsia="Times New Roman" w:hAnsi="Arial" w:cs="Arial"/>
          <w:bCs/>
          <w:i/>
          <w:iCs/>
          <w:lang w:eastAsia="es-ES"/>
        </w:rPr>
        <w:t>“</w:t>
      </w:r>
      <w:r w:rsidR="00E77284">
        <w:rPr>
          <w:rFonts w:ascii="Arial" w:eastAsia="Times New Roman" w:hAnsi="Arial" w:cs="Arial"/>
          <w:b/>
          <w:bCs/>
          <w:i/>
          <w:iCs/>
          <w:lang w:eastAsia="es-ES"/>
        </w:rPr>
        <w:t xml:space="preserve">PRIMERO. - </w:t>
      </w:r>
      <w:r w:rsidR="00E77284">
        <w:rPr>
          <w:rFonts w:ascii="Arial" w:eastAsia="Times New Roman" w:hAnsi="Arial" w:cs="Arial"/>
          <w:bCs/>
          <w:i/>
          <w:iCs/>
          <w:lang w:eastAsia="es-ES"/>
        </w:rPr>
        <w:t xml:space="preserve">Esta Primera Sala de Primera Instancia es competente para conocer y resolver del presente asunto. </w:t>
      </w:r>
    </w:p>
    <w:p w14:paraId="53DC9921" w14:textId="5394B645" w:rsidR="00E77284" w:rsidRDefault="00E77284" w:rsidP="005A695E">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SEGUNDO.</w:t>
      </w:r>
      <w:r w:rsidRPr="00017101">
        <w:rPr>
          <w:rFonts w:ascii="Arial" w:eastAsia="Times New Roman" w:hAnsi="Arial" w:cs="Arial"/>
          <w:b/>
          <w:bCs/>
          <w:i/>
          <w:iCs/>
          <w:lang w:eastAsia="es-ES"/>
        </w:rPr>
        <w:t xml:space="preserve"> –</w:t>
      </w:r>
      <w:r>
        <w:rPr>
          <w:rFonts w:ascii="Arial" w:eastAsia="Times New Roman" w:hAnsi="Arial" w:cs="Arial"/>
          <w:b/>
          <w:bCs/>
          <w:i/>
          <w:iCs/>
          <w:lang w:eastAsia="es-ES"/>
        </w:rPr>
        <w:t xml:space="preserve"> </w:t>
      </w:r>
      <w:r>
        <w:rPr>
          <w:rFonts w:ascii="Arial" w:eastAsia="Times New Roman" w:hAnsi="Arial" w:cs="Arial"/>
          <w:bCs/>
          <w:i/>
          <w:iCs/>
          <w:lang w:eastAsia="es-ES"/>
        </w:rPr>
        <w:t>La personalidad de las partes quedó establecida en el considerando SEGUNDO de esta sentencia.</w:t>
      </w:r>
    </w:p>
    <w:p w14:paraId="0B21677C" w14:textId="04EE7FC5" w:rsidR="00E77284" w:rsidRDefault="00E77284" w:rsidP="005A695E">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TERCERO. – </w:t>
      </w:r>
      <w:r>
        <w:rPr>
          <w:rFonts w:ascii="Arial" w:eastAsia="Times New Roman" w:hAnsi="Arial" w:cs="Arial"/>
          <w:bCs/>
          <w:i/>
          <w:iCs/>
          <w:lang w:eastAsia="es-ES"/>
        </w:rPr>
        <w:t xml:space="preserve">No se actualizó ninguna de las causales contenida en los artículos 161 y 162 de la Ley de Procedimiento y Justicia Administrativa para el Estado de Oaxaca, expuestas en el considerando TERCERO por lo que </w:t>
      </w:r>
      <w:r>
        <w:rPr>
          <w:rFonts w:ascii="Arial" w:eastAsia="Times New Roman" w:hAnsi="Arial" w:cs="Arial"/>
          <w:bCs/>
          <w:i/>
          <w:iCs/>
          <w:u w:val="single"/>
          <w:lang w:eastAsia="es-ES"/>
        </w:rPr>
        <w:t xml:space="preserve">no se sobresee el presente juicio. </w:t>
      </w:r>
    </w:p>
    <w:p w14:paraId="4CA8523A" w14:textId="287B0B29" w:rsidR="00E77284" w:rsidRDefault="00E77284" w:rsidP="005A695E">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Pr>
          <w:rFonts w:ascii="Arial" w:eastAsia="Times New Roman" w:hAnsi="Arial" w:cs="Arial"/>
          <w:bCs/>
          <w:i/>
          <w:iCs/>
          <w:lang w:eastAsia="es-ES"/>
        </w:rPr>
        <w:t xml:space="preserve">Se declara </w:t>
      </w:r>
      <w:bookmarkStart w:id="0" w:name="_Hlk110615895"/>
      <w:r>
        <w:rPr>
          <w:rFonts w:ascii="Arial" w:eastAsia="Times New Roman" w:hAnsi="Arial" w:cs="Arial"/>
          <w:bCs/>
          <w:i/>
          <w:iCs/>
          <w:lang w:eastAsia="es-ES"/>
        </w:rPr>
        <w:t xml:space="preserve">la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 la resolución al recurso de revocación número </w:t>
      </w:r>
      <w:r w:rsidR="006F2682">
        <w:rPr>
          <w:rFonts w:ascii="Arial" w:eastAsia="Times New Roman" w:hAnsi="Arial" w:cs="Arial"/>
          <w:bCs/>
          <w:i/>
          <w:iCs/>
          <w:lang w:eastAsia="es-ES"/>
        </w:rPr>
        <w:t>*******</w:t>
      </w:r>
      <w:r>
        <w:rPr>
          <w:rFonts w:ascii="Arial" w:eastAsia="Times New Roman" w:hAnsi="Arial" w:cs="Arial"/>
          <w:bCs/>
          <w:i/>
          <w:iCs/>
          <w:lang w:eastAsia="es-ES"/>
        </w:rPr>
        <w:t xml:space="preserve"> de fecha veintitrés de abril de dos mil diecinueve (23/04/2019), emitida por la Síndico Municipal y Alcalde Constitucional ambos del Ayuntamiento de </w:t>
      </w:r>
      <w:proofErr w:type="spellStart"/>
      <w:r>
        <w:rPr>
          <w:rFonts w:ascii="Arial" w:eastAsia="Times New Roman" w:hAnsi="Arial" w:cs="Arial"/>
          <w:bCs/>
          <w:i/>
          <w:iCs/>
          <w:lang w:eastAsia="es-ES"/>
        </w:rPr>
        <w:t>Cuilapam</w:t>
      </w:r>
      <w:proofErr w:type="spellEnd"/>
      <w:r>
        <w:rPr>
          <w:rFonts w:ascii="Arial" w:eastAsia="Times New Roman" w:hAnsi="Arial" w:cs="Arial"/>
          <w:bCs/>
          <w:i/>
          <w:iCs/>
          <w:lang w:eastAsia="es-ES"/>
        </w:rPr>
        <w:t xml:space="preserve"> de Guerrero, Oaxaca, por haber sido resuelta por funcionario incompetente, </w:t>
      </w:r>
      <w:r>
        <w:rPr>
          <w:rFonts w:ascii="Arial" w:eastAsia="Times New Roman" w:hAnsi="Arial" w:cs="Arial"/>
          <w:bCs/>
          <w:i/>
          <w:iCs/>
          <w:u w:val="single"/>
          <w:lang w:eastAsia="es-ES"/>
        </w:rPr>
        <w:t xml:space="preserve">por lo que se ordena a esas autoridades municipales, dejar insubsistentes de resolución y todo lo actuado dentro del expediente número </w:t>
      </w:r>
      <w:r w:rsidR="006F2682">
        <w:rPr>
          <w:rFonts w:ascii="Arial" w:eastAsia="Times New Roman" w:hAnsi="Arial" w:cs="Arial"/>
          <w:bCs/>
          <w:i/>
          <w:iCs/>
          <w:u w:val="single"/>
          <w:lang w:eastAsia="es-ES"/>
        </w:rPr>
        <w:t>*******</w:t>
      </w:r>
      <w:r>
        <w:rPr>
          <w:rFonts w:ascii="Arial" w:eastAsia="Times New Roman" w:hAnsi="Arial" w:cs="Arial"/>
          <w:bCs/>
          <w:i/>
          <w:iCs/>
          <w:u w:val="single"/>
          <w:lang w:eastAsia="es-ES"/>
        </w:rPr>
        <w:t>,</w:t>
      </w:r>
      <w:r>
        <w:rPr>
          <w:rFonts w:ascii="Arial" w:eastAsia="Times New Roman" w:hAnsi="Arial" w:cs="Arial"/>
          <w:bCs/>
          <w:i/>
          <w:iCs/>
          <w:lang w:eastAsia="es-ES"/>
        </w:rPr>
        <w:t xml:space="preserve"> </w:t>
      </w:r>
      <w:bookmarkEnd w:id="0"/>
      <w:r>
        <w:rPr>
          <w:rFonts w:ascii="Arial" w:eastAsia="Times New Roman" w:hAnsi="Arial" w:cs="Arial"/>
          <w:bCs/>
          <w:i/>
          <w:iCs/>
          <w:lang w:eastAsia="es-ES"/>
        </w:rPr>
        <w:t xml:space="preserve">por las razones expuestas en el considerando CUARTO  de esta resolución. </w:t>
      </w:r>
    </w:p>
    <w:p w14:paraId="6CE9EB21" w14:textId="0C982F4B" w:rsidR="00E77284" w:rsidRDefault="00E77284" w:rsidP="005A695E">
      <w:pPr>
        <w:spacing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QUINTO. – </w:t>
      </w:r>
      <w:r>
        <w:rPr>
          <w:rFonts w:ascii="Arial" w:eastAsia="Times New Roman" w:hAnsi="Arial" w:cs="Arial"/>
          <w:bCs/>
          <w:i/>
          <w:iCs/>
          <w:lang w:eastAsia="es-ES"/>
        </w:rPr>
        <w:t xml:space="preserve">Conforme a lo dispuesto en los artículos 172 y 173 de la Ley de Procedimiento y Justicia Administrativa para el Estado de Oaxaca, </w:t>
      </w:r>
      <w:proofErr w:type="spellStart"/>
      <w:r>
        <w:rPr>
          <w:rFonts w:ascii="Arial" w:eastAsia="Times New Roman" w:hAnsi="Arial" w:cs="Arial"/>
          <w:b/>
          <w:bCs/>
          <w:i/>
          <w:iCs/>
          <w:lang w:eastAsia="es-ES"/>
        </w:rPr>
        <w:t>NOTÍFIQUESE</w:t>
      </w:r>
      <w:proofErr w:type="spellEnd"/>
      <w:r>
        <w:rPr>
          <w:rFonts w:ascii="Arial" w:eastAsia="Times New Roman" w:hAnsi="Arial" w:cs="Arial"/>
          <w:b/>
          <w:bCs/>
          <w:i/>
          <w:iCs/>
          <w:lang w:eastAsia="es-ES"/>
        </w:rPr>
        <w:t xml:space="preserve"> y CÚMPLASE. </w:t>
      </w:r>
    </w:p>
    <w:p w14:paraId="0EFDDD1A" w14:textId="3316FE10" w:rsidR="0002308B" w:rsidRPr="005A695E" w:rsidRDefault="00E77284" w:rsidP="005A695E">
      <w:pPr>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w:t>
      </w:r>
      <w:r>
        <w:rPr>
          <w:rFonts w:ascii="Arial" w:eastAsia="Times New Roman" w:hAnsi="Arial" w:cs="Arial"/>
          <w:b/>
          <w:bCs/>
          <w:i/>
          <w:iCs/>
          <w:lang w:eastAsia="es-ES"/>
        </w:rPr>
        <w:t xml:space="preserve">licenciada Frida Jiménez Valencia, </w:t>
      </w:r>
      <w:r>
        <w:rPr>
          <w:rFonts w:ascii="Arial" w:eastAsia="Times New Roman" w:hAnsi="Arial" w:cs="Arial"/>
          <w:bCs/>
          <w:i/>
          <w:iCs/>
          <w:lang w:eastAsia="es-ES"/>
        </w:rPr>
        <w:t>Magistrada de la Primera Sala Unitaria de Primera Instancia del Tribunal de Justicia Administrativa del Estado de Oaxaca, ante el Secretario de Acuerdos, licenciado Renato Gabriel Ibáñez Castellanos, quien autoriza y da fe.”</w:t>
      </w:r>
    </w:p>
    <w:p w14:paraId="0F7E4CB7" w14:textId="3C17F0E8"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53CEB5EA"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C37044">
        <w:rPr>
          <w:rFonts w:ascii="Arial" w:hAnsi="Arial" w:cs="Arial"/>
          <w:bCs/>
          <w:iCs/>
          <w:sz w:val="26"/>
          <w:szCs w:val="26"/>
        </w:rPr>
        <w:t>ones</w:t>
      </w:r>
      <w:r>
        <w:rPr>
          <w:rFonts w:ascii="Arial" w:hAnsi="Arial" w:cs="Arial"/>
          <w:bCs/>
          <w:iCs/>
          <w:sz w:val="26"/>
          <w:szCs w:val="26"/>
        </w:rPr>
        <w:t xml:space="preserve"> I</w:t>
      </w:r>
      <w:r w:rsidR="00C37044">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C3704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DD5760">
        <w:rPr>
          <w:rFonts w:ascii="Arial" w:hAnsi="Arial" w:cs="Arial"/>
          <w:bCs/>
          <w:iCs/>
          <w:sz w:val="26"/>
          <w:szCs w:val="26"/>
        </w:rPr>
        <w:t xml:space="preserve"> la sentencia</w:t>
      </w:r>
      <w:r w:rsidR="00F94B07">
        <w:rPr>
          <w:rFonts w:ascii="Arial" w:hAnsi="Arial" w:cs="Arial"/>
          <w:bCs/>
          <w:iCs/>
          <w:sz w:val="26"/>
          <w:szCs w:val="26"/>
        </w:rPr>
        <w:t xml:space="preserve"> </w:t>
      </w:r>
      <w:r>
        <w:rPr>
          <w:rFonts w:ascii="Arial" w:hAnsi="Arial" w:cs="Arial"/>
          <w:sz w:val="26"/>
          <w:szCs w:val="26"/>
        </w:rPr>
        <w:t xml:space="preserve">de </w:t>
      </w:r>
      <w:r w:rsidR="00DD5760">
        <w:rPr>
          <w:rFonts w:ascii="Arial" w:hAnsi="Arial" w:cs="Arial"/>
          <w:sz w:val="26"/>
          <w:szCs w:val="26"/>
        </w:rPr>
        <w:t>treinta</w:t>
      </w:r>
      <w:r w:rsidR="00722639">
        <w:rPr>
          <w:rFonts w:ascii="Arial" w:hAnsi="Arial" w:cs="Arial"/>
          <w:sz w:val="26"/>
          <w:szCs w:val="26"/>
        </w:rPr>
        <w:t xml:space="preserve"> de </w:t>
      </w:r>
      <w:r w:rsidR="00DD5760">
        <w:rPr>
          <w:rFonts w:ascii="Arial" w:hAnsi="Arial" w:cs="Arial"/>
          <w:sz w:val="26"/>
          <w:szCs w:val="26"/>
        </w:rPr>
        <w:t>enero</w:t>
      </w:r>
      <w:r w:rsidR="00722639">
        <w:rPr>
          <w:rFonts w:ascii="Arial" w:hAnsi="Arial" w:cs="Arial"/>
          <w:sz w:val="26"/>
          <w:szCs w:val="26"/>
        </w:rPr>
        <w:t xml:space="preserve"> </w:t>
      </w:r>
      <w:r w:rsidR="00DD5760">
        <w:rPr>
          <w:rFonts w:ascii="Arial" w:hAnsi="Arial" w:cs="Arial"/>
          <w:sz w:val="26"/>
          <w:szCs w:val="26"/>
        </w:rPr>
        <w:t>de dos mil veinte</w:t>
      </w:r>
      <w:r w:rsidRPr="008E3662">
        <w:rPr>
          <w:rFonts w:ascii="Arial" w:hAnsi="Arial" w:cs="Arial"/>
          <w:bCs/>
          <w:iCs/>
          <w:sz w:val="26"/>
          <w:szCs w:val="26"/>
        </w:rPr>
        <w:t>, dictad</w:t>
      </w:r>
      <w:r w:rsidR="00DD5760">
        <w:rPr>
          <w:rFonts w:ascii="Arial" w:hAnsi="Arial" w:cs="Arial"/>
          <w:bCs/>
          <w:iCs/>
          <w:sz w:val="26"/>
          <w:szCs w:val="26"/>
        </w:rPr>
        <w:t>a</w:t>
      </w:r>
      <w:r w:rsidRPr="008E3662">
        <w:rPr>
          <w:rFonts w:ascii="Arial" w:hAnsi="Arial" w:cs="Arial"/>
          <w:bCs/>
          <w:iCs/>
          <w:sz w:val="26"/>
          <w:szCs w:val="26"/>
        </w:rPr>
        <w:t xml:space="preserve"> por la </w:t>
      </w:r>
      <w:r w:rsidR="00B87957">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DD5760">
        <w:rPr>
          <w:rFonts w:ascii="Arial" w:hAnsi="Arial" w:cs="Arial"/>
          <w:b/>
          <w:bCs/>
          <w:iCs/>
          <w:sz w:val="26"/>
          <w:szCs w:val="26"/>
        </w:rPr>
        <w:t>041</w:t>
      </w:r>
      <w:r w:rsidR="0025208A">
        <w:rPr>
          <w:rFonts w:ascii="Arial" w:hAnsi="Arial" w:cs="Arial"/>
          <w:b/>
          <w:bCs/>
          <w:iCs/>
          <w:sz w:val="26"/>
          <w:szCs w:val="26"/>
        </w:rPr>
        <w:t>/20</w:t>
      </w:r>
      <w:r w:rsidR="00DD5760">
        <w:rPr>
          <w:rFonts w:ascii="Arial" w:hAnsi="Arial" w:cs="Arial"/>
          <w:b/>
          <w:bCs/>
          <w:iCs/>
          <w:sz w:val="26"/>
          <w:szCs w:val="26"/>
        </w:rPr>
        <w:t>19</w:t>
      </w:r>
      <w:r w:rsidRPr="00AE78C3">
        <w:rPr>
          <w:rFonts w:ascii="Arial" w:hAnsi="Arial" w:cs="Arial"/>
          <w:b/>
          <w:bCs/>
          <w:iCs/>
          <w:sz w:val="26"/>
          <w:szCs w:val="26"/>
        </w:rPr>
        <w:t>.</w:t>
      </w:r>
      <w:r w:rsidR="005A695E">
        <w:rPr>
          <w:rFonts w:ascii="Arial" w:hAnsi="Arial" w:cs="Arial"/>
          <w:b/>
          <w:bCs/>
          <w:iCs/>
          <w:sz w:val="26"/>
          <w:szCs w:val="26"/>
        </w:rPr>
        <w:t xml:space="preserve"> </w:t>
      </w:r>
      <w:r w:rsidR="005A695E" w:rsidRPr="005A695E">
        <w:rPr>
          <w:rFonts w:ascii="Arial" w:hAnsi="Arial" w:cs="Arial"/>
          <w:iCs/>
          <w:sz w:val="26"/>
          <w:szCs w:val="26"/>
        </w:rPr>
        <w:t>- - - - - - - -</w:t>
      </w:r>
    </w:p>
    <w:p w14:paraId="78696826" w14:textId="77777777" w:rsidR="00F94B07" w:rsidRPr="00011CEC" w:rsidRDefault="00F94B07" w:rsidP="00F94B07">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ECD6F10" w14:textId="77777777" w:rsidR="00F94B07" w:rsidRPr="00011CEC" w:rsidRDefault="00F94B07" w:rsidP="005A695E">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w:t>
      </w:r>
      <w:r w:rsidRPr="00011CEC">
        <w:rPr>
          <w:rFonts w:ascii="Arial" w:eastAsia="Times New Roman" w:hAnsi="Arial" w:cs="Arial"/>
          <w:b/>
          <w:bCs/>
          <w:i/>
          <w:iCs/>
        </w:rPr>
        <w:lastRenderedPageBreak/>
        <w:t xml:space="preserve">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F07B1EF" w14:textId="31B9D910" w:rsidR="00B071D5" w:rsidRDefault="003B6CF0"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96773A">
        <w:rPr>
          <w:rFonts w:ascii="Arial" w:eastAsia="Calibri" w:hAnsi="Arial" w:cs="Arial"/>
          <w:bCs/>
          <w:sz w:val="26"/>
          <w:szCs w:val="26"/>
        </w:rPr>
        <w:t xml:space="preserve">Señala </w:t>
      </w:r>
      <w:r w:rsidR="00DD5760">
        <w:rPr>
          <w:rFonts w:ascii="Arial" w:eastAsia="Calibri" w:hAnsi="Arial" w:cs="Arial"/>
          <w:bCs/>
          <w:sz w:val="26"/>
          <w:szCs w:val="26"/>
        </w:rPr>
        <w:t>la recurrente le causa agravio la resolución recurrida en la que resulta contraria a derecho, por lo siguiente:</w:t>
      </w:r>
      <w:r w:rsidR="005A695E">
        <w:rPr>
          <w:rFonts w:ascii="Arial" w:eastAsia="Calibri" w:hAnsi="Arial" w:cs="Arial"/>
          <w:bCs/>
          <w:sz w:val="26"/>
          <w:szCs w:val="26"/>
        </w:rPr>
        <w:t xml:space="preserve"> - - - - - - </w:t>
      </w:r>
    </w:p>
    <w:p w14:paraId="755CEF40" w14:textId="248E58D9" w:rsidR="00DD5760" w:rsidRDefault="00DD5760"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Que se decreta la nulidad lisa y llana de la resolución dictada en el recurso de revocación </w:t>
      </w:r>
      <w:r w:rsidR="006F2682">
        <w:rPr>
          <w:rFonts w:ascii="Arial" w:eastAsia="Calibri" w:hAnsi="Arial" w:cs="Arial"/>
          <w:bCs/>
          <w:sz w:val="26"/>
          <w:szCs w:val="26"/>
        </w:rPr>
        <w:t>*******</w:t>
      </w:r>
      <w:r>
        <w:rPr>
          <w:rFonts w:ascii="Arial" w:eastAsia="Calibri" w:hAnsi="Arial" w:cs="Arial"/>
          <w:bCs/>
          <w:sz w:val="26"/>
          <w:szCs w:val="26"/>
        </w:rPr>
        <w:t xml:space="preserve"> de veintitrés de abril de dos mil diecinueve, resuelto por la Síndico Municipal del Ayuntamiento de </w:t>
      </w:r>
      <w:proofErr w:type="spellStart"/>
      <w:r>
        <w:rPr>
          <w:rFonts w:ascii="Arial" w:eastAsia="Calibri" w:hAnsi="Arial" w:cs="Arial"/>
          <w:bCs/>
          <w:sz w:val="26"/>
          <w:szCs w:val="26"/>
        </w:rPr>
        <w:t>Cuil</w:t>
      </w:r>
      <w:r w:rsidR="00C37044">
        <w:rPr>
          <w:rFonts w:ascii="Arial" w:eastAsia="Calibri" w:hAnsi="Arial" w:cs="Arial"/>
          <w:bCs/>
          <w:sz w:val="26"/>
          <w:szCs w:val="26"/>
        </w:rPr>
        <w:t>a</w:t>
      </w:r>
      <w:r>
        <w:rPr>
          <w:rFonts w:ascii="Arial" w:eastAsia="Calibri" w:hAnsi="Arial" w:cs="Arial"/>
          <w:bCs/>
          <w:sz w:val="26"/>
          <w:szCs w:val="26"/>
        </w:rPr>
        <w:t>pam</w:t>
      </w:r>
      <w:proofErr w:type="spellEnd"/>
      <w:r>
        <w:rPr>
          <w:rFonts w:ascii="Arial" w:eastAsia="Calibri" w:hAnsi="Arial" w:cs="Arial"/>
          <w:bCs/>
          <w:sz w:val="26"/>
          <w:szCs w:val="26"/>
        </w:rPr>
        <w:t xml:space="preserve"> de Guerrero, ya que considera que la materia del asunto, al tratarse de la impugnación de una diligencia de apeo y deslinde, misma que constituye una diligencia de jurisdicción voluntaria que está regulada por el Código de Procedimientos Civiles del Estado de Oaxaca y que realizan los Alcaldes de un Municipio </w:t>
      </w:r>
      <w:r w:rsidR="008F4183">
        <w:rPr>
          <w:rFonts w:ascii="Arial" w:eastAsia="Calibri" w:hAnsi="Arial" w:cs="Arial"/>
          <w:bCs/>
          <w:sz w:val="26"/>
          <w:szCs w:val="26"/>
        </w:rPr>
        <w:t xml:space="preserve">en auxilio de los jueces del orden civil, por esta situación quien debió conocer y en su momento determinar la nulidad de dicha actuación fue un juez de lo civil y no así la Síndico Municipal. </w:t>
      </w:r>
    </w:p>
    <w:p w14:paraId="6F92012B" w14:textId="302F303D" w:rsidR="008F4183" w:rsidRDefault="005925D0"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F4183">
        <w:rPr>
          <w:rFonts w:ascii="Arial" w:eastAsia="Calibri" w:hAnsi="Arial" w:cs="Arial"/>
          <w:bCs/>
          <w:sz w:val="26"/>
          <w:szCs w:val="26"/>
        </w:rPr>
        <w:t>Alega que contrario a lo señalado por la Sala Unitaria, considera que como Síndica Municipal s</w:t>
      </w:r>
      <w:r w:rsidR="00C37044">
        <w:rPr>
          <w:rFonts w:ascii="Arial" w:eastAsia="Calibri" w:hAnsi="Arial" w:cs="Arial"/>
          <w:bCs/>
          <w:sz w:val="26"/>
          <w:szCs w:val="26"/>
        </w:rPr>
        <w:t>í</w:t>
      </w:r>
      <w:r w:rsidR="008F4183">
        <w:rPr>
          <w:rFonts w:ascii="Arial" w:eastAsia="Calibri" w:hAnsi="Arial" w:cs="Arial"/>
          <w:bCs/>
          <w:sz w:val="26"/>
          <w:szCs w:val="26"/>
        </w:rPr>
        <w:t xml:space="preserve"> cuenta con competencia para conocer y resolver el recurso de revocación, con independencia que la materia de impugnación del recurso referido se trate de una diligencia de apeo y deslinde regulada por el Código de Procedimientos Civiles del Estado de Oaxaca, ya que si bien puede demandarse la nulidad de dichas diligencias ante un Juez del orden civil por el tipo de normas que regulan dichas actuaciones de apeo y deslinde, lo cierto es que dicha situación no excluye a la competencia en sede administrativa para conocer y resolver el mismo, pudiendo decir que existe a favor de la persona que se considera afectada por la diligencia de apeo y deslinde, una </w:t>
      </w:r>
      <w:r w:rsidR="008F4183">
        <w:rPr>
          <w:rFonts w:ascii="Arial" w:eastAsia="Calibri" w:hAnsi="Arial" w:cs="Arial"/>
          <w:bCs/>
          <w:sz w:val="26"/>
          <w:szCs w:val="26"/>
        </w:rPr>
        <w:lastRenderedPageBreak/>
        <w:t xml:space="preserve">competencia concurrente pero con objetos diferentes, para decidir en qué vía demandar la nulidad del acto </w:t>
      </w:r>
      <w:r>
        <w:rPr>
          <w:rFonts w:ascii="Arial" w:eastAsia="Calibri" w:hAnsi="Arial" w:cs="Arial"/>
          <w:bCs/>
          <w:sz w:val="26"/>
          <w:szCs w:val="26"/>
        </w:rPr>
        <w:t xml:space="preserve">que considera lesivo a su esfera jurídica. </w:t>
      </w:r>
    </w:p>
    <w:p w14:paraId="2E176CA5" w14:textId="21597D40" w:rsidR="005925D0" w:rsidRDefault="005925D0"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Argumenta que como los Alcaldes Constitucionales de un Municipio forman parte de la estructura administrativa y de gobierno, los cuales tienen reguladas sus facultades en los artículos 144 y 145 de la Ley Orgánica Municipal del Estado de Oaxaca</w:t>
      </w:r>
      <w:r w:rsidR="00C37044">
        <w:rPr>
          <w:rFonts w:ascii="Arial" w:eastAsia="Calibri" w:hAnsi="Arial" w:cs="Arial"/>
          <w:bCs/>
          <w:sz w:val="26"/>
          <w:szCs w:val="26"/>
        </w:rPr>
        <w:t xml:space="preserve"> (</w:t>
      </w:r>
      <w:r>
        <w:rPr>
          <w:rFonts w:ascii="Arial" w:eastAsia="Calibri" w:hAnsi="Arial" w:cs="Arial"/>
          <w:bCs/>
          <w:sz w:val="26"/>
          <w:szCs w:val="26"/>
        </w:rPr>
        <w:t>los transcrib</w:t>
      </w:r>
      <w:r w:rsidR="00C37044">
        <w:rPr>
          <w:rFonts w:ascii="Arial" w:eastAsia="Calibri" w:hAnsi="Arial" w:cs="Arial"/>
          <w:bCs/>
          <w:sz w:val="26"/>
          <w:szCs w:val="26"/>
        </w:rPr>
        <w:t>e).</w:t>
      </w:r>
    </w:p>
    <w:p w14:paraId="5C869A8C" w14:textId="7D1164FA" w:rsidR="006A5022" w:rsidRPr="00CF162E" w:rsidRDefault="005925D0" w:rsidP="00DD5760">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t xml:space="preserve">De su transcripción manifiesta que manifiesta que los Alcaldes Constitucionales, son autoridades administrativas de los Ayuntamientos encargados de la denominada justicia municipal y dentro de sus facultades está poder auxiliar a los jueces de diferentes materias, sin embargo, en cuanto a sus actuaciones como autoridad municipal están sometidos a la revisión de la legalidad de sus actuaciones por medio del recurso de revocación </w:t>
      </w:r>
      <w:r w:rsidR="00DF0E87">
        <w:rPr>
          <w:rFonts w:ascii="Arial" w:eastAsia="Calibri" w:hAnsi="Arial" w:cs="Arial"/>
          <w:bCs/>
          <w:sz w:val="26"/>
          <w:szCs w:val="26"/>
        </w:rPr>
        <w:t xml:space="preserve">el cual conoce y resuelve la Sindicatura Municipal, </w:t>
      </w:r>
      <w:r w:rsidR="006A5022">
        <w:rPr>
          <w:rFonts w:ascii="Arial" w:eastAsia="Calibri" w:hAnsi="Arial" w:cs="Arial"/>
          <w:bCs/>
          <w:sz w:val="26"/>
          <w:szCs w:val="26"/>
        </w:rPr>
        <w:t>como encargada de velar por la correcta acusación de todos y cada uno de los integrantes de una administración municipal.</w:t>
      </w:r>
      <w:r w:rsidR="008E1F4D">
        <w:rPr>
          <w:rFonts w:ascii="Arial" w:eastAsia="Calibri" w:hAnsi="Arial" w:cs="Arial"/>
          <w:bCs/>
          <w:sz w:val="26"/>
          <w:szCs w:val="26"/>
        </w:rPr>
        <w:t xml:space="preserve"> </w:t>
      </w:r>
      <w:r w:rsidR="006A5022">
        <w:rPr>
          <w:rFonts w:ascii="Arial" w:eastAsia="Calibri" w:hAnsi="Arial" w:cs="Arial"/>
          <w:bCs/>
          <w:sz w:val="26"/>
          <w:szCs w:val="26"/>
        </w:rPr>
        <w:t xml:space="preserve">Invoca la tesis de rubro siguiente: </w:t>
      </w:r>
      <w:r w:rsidR="006A5022" w:rsidRPr="00CF162E">
        <w:rPr>
          <w:rFonts w:ascii="Arial" w:eastAsia="Calibri" w:hAnsi="Arial" w:cs="Arial"/>
          <w:bCs/>
          <w:i/>
          <w:sz w:val="26"/>
          <w:szCs w:val="26"/>
        </w:rPr>
        <w:t xml:space="preserve">“RECURSOS EN SEDE </w:t>
      </w:r>
      <w:proofErr w:type="spellStart"/>
      <w:r w:rsidR="006A5022" w:rsidRPr="00CF162E">
        <w:rPr>
          <w:rFonts w:ascii="Arial" w:eastAsia="Calibri" w:hAnsi="Arial" w:cs="Arial"/>
          <w:bCs/>
          <w:i/>
          <w:sz w:val="26"/>
          <w:szCs w:val="26"/>
        </w:rPr>
        <w:t>ADMINISRATIVA</w:t>
      </w:r>
      <w:proofErr w:type="spellEnd"/>
      <w:r w:rsidR="006A5022" w:rsidRPr="00CF162E">
        <w:rPr>
          <w:rFonts w:ascii="Arial" w:eastAsia="Calibri" w:hAnsi="Arial" w:cs="Arial"/>
          <w:bCs/>
          <w:i/>
          <w:sz w:val="26"/>
          <w:szCs w:val="26"/>
        </w:rPr>
        <w:t>. NO IMPLICAN EL DESARROLLO DE UNA ACTIVIDAD JURISDICCIONAL.”</w:t>
      </w:r>
    </w:p>
    <w:p w14:paraId="4E5A8F2A" w14:textId="6B09C20D" w:rsidR="006A5022" w:rsidRDefault="006A5022"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Luego entonces, señala que el recurso de revocación constituye ese medio interno o de auto control en la sede administrativa municipal y está contemplado en la Ley Orgánica Municipal del Estado de Oaxaca, en los artículos 149, 150, 151 y 152</w:t>
      </w:r>
      <w:r w:rsidR="008E1F4D">
        <w:rPr>
          <w:rFonts w:ascii="Arial" w:eastAsia="Calibri" w:hAnsi="Arial" w:cs="Arial"/>
          <w:bCs/>
          <w:sz w:val="26"/>
          <w:szCs w:val="26"/>
        </w:rPr>
        <w:t xml:space="preserve"> (</w:t>
      </w:r>
      <w:r>
        <w:rPr>
          <w:rFonts w:ascii="Arial" w:eastAsia="Calibri" w:hAnsi="Arial" w:cs="Arial"/>
          <w:bCs/>
          <w:sz w:val="26"/>
          <w:szCs w:val="26"/>
        </w:rPr>
        <w:t>los transcrib</w:t>
      </w:r>
      <w:r w:rsidR="008E1F4D">
        <w:rPr>
          <w:rFonts w:ascii="Arial" w:eastAsia="Calibri" w:hAnsi="Arial" w:cs="Arial"/>
          <w:bCs/>
          <w:sz w:val="26"/>
          <w:szCs w:val="26"/>
        </w:rPr>
        <w:t>e).</w:t>
      </w:r>
    </w:p>
    <w:p w14:paraId="6553F0D6" w14:textId="28FD79E9" w:rsidR="006A5022" w:rsidRDefault="006A5022"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de los artículos transcritos, el recurso de revocación </w:t>
      </w:r>
      <w:r w:rsidR="003F73D1">
        <w:rPr>
          <w:rFonts w:ascii="Arial" w:eastAsia="Calibri" w:hAnsi="Arial" w:cs="Arial"/>
          <w:bCs/>
          <w:sz w:val="26"/>
          <w:szCs w:val="26"/>
        </w:rPr>
        <w:t xml:space="preserve">puede ser interpuesto en contra de cualquier actuación o diligencia de las autoridades municipales que le cause perjuicio al administrado y únicamente excluye de su conocimiento a la materia fiscal, es decir, que las determinaciones que dicte la administración municipal de naturaleza fiscal no puede ser impugnada en este recurso en sede administrativa, sin embargo, cualquier otro acto jurídico emitido por las autoridades municipales, lo que incluye los Alcaldes puede ser impugnada y susceptible de revisión mediante este recurso en sede administrativa. Así la autoridad competente para conocer y resolver de </w:t>
      </w:r>
      <w:r w:rsidR="007C57E1">
        <w:rPr>
          <w:rFonts w:ascii="Arial" w:eastAsia="Calibri" w:hAnsi="Arial" w:cs="Arial"/>
          <w:bCs/>
          <w:sz w:val="26"/>
          <w:szCs w:val="26"/>
        </w:rPr>
        <w:t>e</w:t>
      </w:r>
      <w:r w:rsidR="003F73D1">
        <w:rPr>
          <w:rFonts w:ascii="Arial" w:eastAsia="Calibri" w:hAnsi="Arial" w:cs="Arial"/>
          <w:bCs/>
          <w:sz w:val="26"/>
          <w:szCs w:val="26"/>
        </w:rPr>
        <w:t>se med</w:t>
      </w:r>
      <w:r w:rsidR="007C57E1">
        <w:rPr>
          <w:rFonts w:ascii="Arial" w:eastAsia="Calibri" w:hAnsi="Arial" w:cs="Arial"/>
          <w:bCs/>
          <w:sz w:val="26"/>
          <w:szCs w:val="26"/>
        </w:rPr>
        <w:t>i</w:t>
      </w:r>
      <w:r w:rsidR="003F73D1">
        <w:rPr>
          <w:rFonts w:ascii="Arial" w:eastAsia="Calibri" w:hAnsi="Arial" w:cs="Arial"/>
          <w:bCs/>
          <w:sz w:val="26"/>
          <w:szCs w:val="26"/>
        </w:rPr>
        <w:t>o de impugnación legal, como se puede apreciar de los referidos art</w:t>
      </w:r>
      <w:r w:rsidR="007C57E1">
        <w:rPr>
          <w:rFonts w:ascii="Arial" w:eastAsia="Calibri" w:hAnsi="Arial" w:cs="Arial"/>
          <w:bCs/>
          <w:sz w:val="26"/>
          <w:szCs w:val="26"/>
        </w:rPr>
        <w:t>ículos</w:t>
      </w:r>
      <w:r>
        <w:rPr>
          <w:rFonts w:ascii="Arial" w:eastAsia="Calibri" w:hAnsi="Arial" w:cs="Arial"/>
          <w:bCs/>
          <w:sz w:val="26"/>
          <w:szCs w:val="26"/>
        </w:rPr>
        <w:t xml:space="preserve"> </w:t>
      </w:r>
      <w:r w:rsidR="007C57E1">
        <w:rPr>
          <w:rFonts w:ascii="Arial" w:eastAsia="Calibri" w:hAnsi="Arial" w:cs="Arial"/>
          <w:bCs/>
          <w:sz w:val="26"/>
          <w:szCs w:val="26"/>
        </w:rPr>
        <w:t xml:space="preserve">es el Síndico Municipal, de ahí la competencia para </w:t>
      </w:r>
      <w:r w:rsidR="007C57E1">
        <w:rPr>
          <w:rFonts w:ascii="Arial" w:eastAsia="Calibri" w:hAnsi="Arial" w:cs="Arial"/>
          <w:bCs/>
          <w:sz w:val="26"/>
          <w:szCs w:val="26"/>
        </w:rPr>
        <w:lastRenderedPageBreak/>
        <w:t xml:space="preserve">conocer y resolver el recursos de reconsideración </w:t>
      </w:r>
      <w:r w:rsidR="006F2682">
        <w:rPr>
          <w:rFonts w:ascii="Arial" w:eastAsia="Calibri" w:hAnsi="Arial" w:cs="Arial"/>
          <w:bCs/>
          <w:sz w:val="26"/>
          <w:szCs w:val="26"/>
        </w:rPr>
        <w:t>*******</w:t>
      </w:r>
      <w:r w:rsidR="007C57E1">
        <w:rPr>
          <w:rFonts w:ascii="Arial" w:eastAsia="Calibri" w:hAnsi="Arial" w:cs="Arial"/>
          <w:bCs/>
          <w:sz w:val="26"/>
          <w:szCs w:val="26"/>
        </w:rPr>
        <w:t xml:space="preserve"> de veintitrés de abril de dos mil veintiuno, con independencia que la materia de éste recurso sea una diligencia de apeo y deslinde regulada por la Ley Procesal Civil del Estado, atento a lo que da competencia a la recurrente </w:t>
      </w:r>
      <w:r w:rsidR="00266A3D">
        <w:rPr>
          <w:rFonts w:ascii="Arial" w:eastAsia="Calibri" w:hAnsi="Arial" w:cs="Arial"/>
          <w:bCs/>
          <w:sz w:val="26"/>
          <w:szCs w:val="26"/>
        </w:rPr>
        <w:t xml:space="preserve">para poder haber conocido y resuelto del señalado recurso de revocación es precisamente la calidad o tipo de autoridad que realizo la diligencia de apeo y deslinde, es decir, el Primer Alcalde Constitucional del Ayuntamiento de </w:t>
      </w:r>
      <w:proofErr w:type="spellStart"/>
      <w:r w:rsidR="00266A3D">
        <w:rPr>
          <w:rFonts w:ascii="Arial" w:eastAsia="Calibri" w:hAnsi="Arial" w:cs="Arial"/>
          <w:bCs/>
          <w:sz w:val="26"/>
          <w:szCs w:val="26"/>
        </w:rPr>
        <w:t>Cuil</w:t>
      </w:r>
      <w:r w:rsidR="008E1F4D">
        <w:rPr>
          <w:rFonts w:ascii="Arial" w:eastAsia="Calibri" w:hAnsi="Arial" w:cs="Arial"/>
          <w:bCs/>
          <w:sz w:val="26"/>
          <w:szCs w:val="26"/>
        </w:rPr>
        <w:t>a</w:t>
      </w:r>
      <w:r w:rsidR="00266A3D">
        <w:rPr>
          <w:rFonts w:ascii="Arial" w:eastAsia="Calibri" w:hAnsi="Arial" w:cs="Arial"/>
          <w:bCs/>
          <w:sz w:val="26"/>
          <w:szCs w:val="26"/>
        </w:rPr>
        <w:t>pam</w:t>
      </w:r>
      <w:proofErr w:type="spellEnd"/>
      <w:r w:rsidR="00266A3D">
        <w:rPr>
          <w:rFonts w:ascii="Arial" w:eastAsia="Calibri" w:hAnsi="Arial" w:cs="Arial"/>
          <w:bCs/>
          <w:sz w:val="26"/>
          <w:szCs w:val="26"/>
        </w:rPr>
        <w:t xml:space="preserve"> de Guerrero quien es una autoridad del orden municipal. </w:t>
      </w:r>
    </w:p>
    <w:p w14:paraId="12A83376" w14:textId="25C33715" w:rsidR="00266A3D" w:rsidRDefault="002351DD"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Alega que la Primera Instancia parte de una premisa equivocada para determinar la nulidad lisa y llana del recurso de revocación </w:t>
      </w:r>
      <w:r w:rsidR="006F2682">
        <w:rPr>
          <w:rFonts w:ascii="Arial" w:eastAsia="Calibri" w:hAnsi="Arial" w:cs="Arial"/>
          <w:bCs/>
          <w:sz w:val="26"/>
          <w:szCs w:val="26"/>
        </w:rPr>
        <w:t>*******</w:t>
      </w:r>
      <w:r>
        <w:rPr>
          <w:rFonts w:ascii="Arial" w:eastAsia="Calibri" w:hAnsi="Arial" w:cs="Arial"/>
          <w:bCs/>
          <w:sz w:val="26"/>
          <w:szCs w:val="26"/>
        </w:rPr>
        <w:t xml:space="preserve">, ya que el hecho de que las diligencias de apeo y deslinde estén contempladas en el Código de Procedimientos Civiles del Estado de Oaxaca, y puedan demandarse su nulidad en cuanto a su contenido, no excluye la procedencia y conocimiento del recurso de revocación, ya que persiguen finalidades diferentes. </w:t>
      </w:r>
    </w:p>
    <w:p w14:paraId="10317683" w14:textId="1A9BEDF4" w:rsidR="002351DD" w:rsidRDefault="002351DD"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Refiere que ya que mientras </w:t>
      </w:r>
      <w:r w:rsidR="008205C6">
        <w:rPr>
          <w:rFonts w:ascii="Arial" w:eastAsia="Calibri" w:hAnsi="Arial" w:cs="Arial"/>
          <w:bCs/>
          <w:sz w:val="26"/>
          <w:szCs w:val="26"/>
        </w:rPr>
        <w:t xml:space="preserve">el juicio del orden civil, en el cual se demanda la nulidad de un acto como podría ser la diligencia de apeo y deslinde obedece a la falta de un elemento de validez o existencia del acto jurídico, en el recurso de revocación en sede administrativa lo que se revisa, es la correcta actuación del servidor público, es decir, que se haya conducido en sus actuaciones con apego a sus facultades, esto es, respetando el principio de legalidad y en caso que no haya sido así, entonces se determina la nulidad de sus actos, así la diligencia de apeo y deslinde motivo de interposición del recurso de revocación </w:t>
      </w:r>
      <w:r w:rsidR="006F2682">
        <w:rPr>
          <w:rFonts w:ascii="Arial" w:eastAsia="Calibri" w:hAnsi="Arial" w:cs="Arial"/>
          <w:bCs/>
          <w:sz w:val="26"/>
          <w:szCs w:val="26"/>
        </w:rPr>
        <w:t>*******</w:t>
      </w:r>
      <w:r w:rsidR="008205C6">
        <w:rPr>
          <w:rFonts w:ascii="Arial" w:eastAsia="Calibri" w:hAnsi="Arial" w:cs="Arial"/>
          <w:bCs/>
          <w:sz w:val="26"/>
          <w:szCs w:val="26"/>
        </w:rPr>
        <w:t>, fue declarada nula porque el Alcalde Primero Constitucional no se sujetó en su actuación a las disposiciones que rigen su actuación, incluidas las de jurisdicción voluntaria, y no se declaró la nulidad de su actuación porque esta adoleciera del algún elemento de validez o de existencia, situación que sí le correspondería al Juez del orden civil.</w:t>
      </w:r>
    </w:p>
    <w:p w14:paraId="5E35FF37" w14:textId="25DEC6BF" w:rsidR="008205C6" w:rsidRDefault="008205C6"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0720A8">
        <w:rPr>
          <w:rFonts w:ascii="Arial" w:eastAsia="Calibri" w:hAnsi="Arial" w:cs="Arial"/>
          <w:bCs/>
          <w:sz w:val="26"/>
          <w:szCs w:val="26"/>
        </w:rPr>
        <w:t xml:space="preserve">De acuerdo a lo anterior, consideran desacertada la resolución de la Sala Unitaria, ya que </w:t>
      </w:r>
      <w:r w:rsidR="00B90365">
        <w:rPr>
          <w:rFonts w:ascii="Arial" w:eastAsia="Calibri" w:hAnsi="Arial" w:cs="Arial"/>
          <w:bCs/>
          <w:sz w:val="26"/>
          <w:szCs w:val="26"/>
        </w:rPr>
        <w:t xml:space="preserve">la </w:t>
      </w:r>
      <w:r w:rsidR="000720A8">
        <w:rPr>
          <w:rFonts w:ascii="Arial" w:eastAsia="Calibri" w:hAnsi="Arial" w:cs="Arial"/>
          <w:bCs/>
          <w:sz w:val="26"/>
          <w:szCs w:val="26"/>
        </w:rPr>
        <w:t>recurrente s</w:t>
      </w:r>
      <w:r w:rsidR="00B90365">
        <w:rPr>
          <w:rFonts w:ascii="Arial" w:eastAsia="Calibri" w:hAnsi="Arial" w:cs="Arial"/>
          <w:bCs/>
          <w:sz w:val="26"/>
          <w:szCs w:val="26"/>
        </w:rPr>
        <w:t>í</w:t>
      </w:r>
      <w:r w:rsidR="000720A8">
        <w:rPr>
          <w:rFonts w:ascii="Arial" w:eastAsia="Calibri" w:hAnsi="Arial" w:cs="Arial"/>
          <w:bCs/>
          <w:sz w:val="26"/>
          <w:szCs w:val="26"/>
        </w:rPr>
        <w:t xml:space="preserve"> tiene competencia para conocer y resolver el recurso de revocación multicitado, ya que en él se analizó si el Alcalde Primero Constitucional, como funcionario de la Administración Municipal del Ayuntamiento de </w:t>
      </w:r>
      <w:proofErr w:type="spellStart"/>
      <w:r w:rsidR="000720A8">
        <w:rPr>
          <w:rFonts w:ascii="Arial" w:eastAsia="Calibri" w:hAnsi="Arial" w:cs="Arial"/>
          <w:bCs/>
          <w:sz w:val="26"/>
          <w:szCs w:val="26"/>
        </w:rPr>
        <w:t>Cuil</w:t>
      </w:r>
      <w:r w:rsidR="00B90365">
        <w:rPr>
          <w:rFonts w:ascii="Arial" w:eastAsia="Calibri" w:hAnsi="Arial" w:cs="Arial"/>
          <w:bCs/>
          <w:sz w:val="26"/>
          <w:szCs w:val="26"/>
        </w:rPr>
        <w:t>a</w:t>
      </w:r>
      <w:r w:rsidR="000720A8">
        <w:rPr>
          <w:rFonts w:ascii="Arial" w:eastAsia="Calibri" w:hAnsi="Arial" w:cs="Arial"/>
          <w:bCs/>
          <w:sz w:val="26"/>
          <w:szCs w:val="26"/>
        </w:rPr>
        <w:t>pam</w:t>
      </w:r>
      <w:proofErr w:type="spellEnd"/>
      <w:r w:rsidR="000720A8">
        <w:rPr>
          <w:rFonts w:ascii="Arial" w:eastAsia="Calibri" w:hAnsi="Arial" w:cs="Arial"/>
          <w:bCs/>
          <w:sz w:val="26"/>
          <w:szCs w:val="26"/>
        </w:rPr>
        <w:t xml:space="preserve"> de Guerrero, fue a justado a derecho o no, por lo que resulta equivocado el argumento </w:t>
      </w:r>
      <w:r w:rsidR="000720A8">
        <w:rPr>
          <w:rFonts w:ascii="Arial" w:eastAsia="Calibri" w:hAnsi="Arial" w:cs="Arial"/>
          <w:bCs/>
          <w:sz w:val="26"/>
          <w:szCs w:val="26"/>
        </w:rPr>
        <w:lastRenderedPageBreak/>
        <w:t xml:space="preserve">de determinar la nulidad lisa y llana del recurso de revocación </w:t>
      </w:r>
      <w:r w:rsidR="006F2682">
        <w:rPr>
          <w:rFonts w:ascii="Arial" w:eastAsia="Calibri" w:hAnsi="Arial" w:cs="Arial"/>
          <w:bCs/>
          <w:sz w:val="26"/>
          <w:szCs w:val="26"/>
        </w:rPr>
        <w:t>*******</w:t>
      </w:r>
      <w:r w:rsidR="000720A8">
        <w:rPr>
          <w:rFonts w:ascii="Arial" w:eastAsia="Calibri" w:hAnsi="Arial" w:cs="Arial"/>
          <w:bCs/>
          <w:sz w:val="26"/>
          <w:szCs w:val="26"/>
        </w:rPr>
        <w:t>, por considerar que la competencia le corresponde a un Juez Civil, ya que como señalaron el objeto de una demanda de nulidad civil atiende a revisar que el acto jurídico cuente con los elementos de valide y existencia, mientras que los recursos en sede administrativa revisan la correcta actuación de los servidores públicos, en el caso que les ocupa del orden municipal de ahí el error o confusión de la Primera Instancia.</w:t>
      </w:r>
    </w:p>
    <w:p w14:paraId="351FE7BA" w14:textId="2B220305" w:rsidR="000720A8" w:rsidRDefault="000720A8"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Alegan que la Sala Unitaria vulneró los artículos 207 y 208 de la Ley de Procedimiento y Justicia Administrativa del Estado de Oaxaca, en relación con el artículo 16 de la Constitución Política de los Estados Unidos Mexicanos, ya que, al no haberse percatado del objeto y materia del recurso de revocación, y que el Síndico Municipal de un Ayuntamiento es competente para conocer y resolver del mismo, partiendo de una premisa equivocada al considerar que debió haber conocido de la acción un Juez Civil, hacer que la resoluci</w:t>
      </w:r>
      <w:r w:rsidR="00AE5680">
        <w:rPr>
          <w:rFonts w:ascii="Arial" w:eastAsia="Calibri" w:hAnsi="Arial" w:cs="Arial"/>
          <w:bCs/>
          <w:sz w:val="26"/>
          <w:szCs w:val="26"/>
        </w:rPr>
        <w:t xml:space="preserve">ón impugnada es indebidamente fundada y motivada, debiendo ser revocada la misma, por no estar ajustada a derecho. </w:t>
      </w:r>
    </w:p>
    <w:p w14:paraId="52DAA604" w14:textId="5D884955" w:rsidR="00B90365" w:rsidRDefault="00B90365"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advierte que devienen </w:t>
      </w:r>
      <w:r w:rsidRPr="00B90365">
        <w:rPr>
          <w:rFonts w:ascii="Arial" w:eastAsia="Calibri" w:hAnsi="Arial" w:cs="Arial"/>
          <w:b/>
          <w:sz w:val="26"/>
          <w:szCs w:val="26"/>
        </w:rPr>
        <w:t xml:space="preserve">infundados </w:t>
      </w:r>
      <w:r>
        <w:rPr>
          <w:rFonts w:ascii="Arial" w:eastAsia="Calibri" w:hAnsi="Arial" w:cs="Arial"/>
          <w:bCs/>
          <w:sz w:val="26"/>
          <w:szCs w:val="26"/>
        </w:rPr>
        <w:t>los argumentos de la autoridad inconforme.</w:t>
      </w:r>
    </w:p>
    <w:p w14:paraId="50723C16" w14:textId="00FD34B7" w:rsidR="00B90365" w:rsidRDefault="00B90365" w:rsidP="00DD57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Para empezar, es pertinente señalar que de las</w:t>
      </w:r>
      <w:r w:rsidRPr="00571437">
        <w:rPr>
          <w:rFonts w:ascii="Arial" w:eastAsia="Calibri" w:hAnsi="Arial" w:cs="Arial"/>
          <w:bCs/>
          <w:sz w:val="26"/>
          <w:szCs w:val="26"/>
        </w:rPr>
        <w:t xml:space="preserve"> constancias procesales que integran el expediente de primera instancia, las que </w:t>
      </w:r>
      <w:r>
        <w:rPr>
          <w:rFonts w:ascii="Arial" w:eastAsia="Calibri" w:hAnsi="Arial" w:cs="Arial"/>
          <w:bCs/>
          <w:sz w:val="26"/>
          <w:szCs w:val="26"/>
        </w:rPr>
        <w:t>tienen</w:t>
      </w:r>
      <w:r w:rsidRPr="00571437">
        <w:rPr>
          <w:rFonts w:ascii="Arial" w:eastAsia="Calibri" w:hAnsi="Arial" w:cs="Arial"/>
          <w:bCs/>
          <w:sz w:val="26"/>
          <w:szCs w:val="26"/>
        </w:rPr>
        <w:t xml:space="preserve"> pleno valor probatorio </w:t>
      </w:r>
      <w:r>
        <w:rPr>
          <w:rFonts w:ascii="Arial" w:eastAsia="Calibri" w:hAnsi="Arial" w:cs="Arial"/>
          <w:bCs/>
          <w:sz w:val="26"/>
          <w:szCs w:val="26"/>
        </w:rPr>
        <w:t>en términos</w:t>
      </w:r>
      <w:r w:rsidRPr="00571437">
        <w:rPr>
          <w:rFonts w:ascii="Arial" w:eastAsia="Calibri" w:hAnsi="Arial" w:cs="Arial"/>
          <w:bCs/>
          <w:sz w:val="26"/>
          <w:szCs w:val="26"/>
        </w:rPr>
        <w:t xml:space="preserve"> </w:t>
      </w:r>
      <w:r>
        <w:rPr>
          <w:rFonts w:ascii="Arial" w:eastAsia="Calibri" w:hAnsi="Arial" w:cs="Arial"/>
          <w:bCs/>
          <w:sz w:val="26"/>
          <w:szCs w:val="26"/>
        </w:rPr>
        <w:t>d</w:t>
      </w:r>
      <w:r w:rsidRPr="00571437">
        <w:rPr>
          <w:rFonts w:ascii="Arial" w:eastAsia="Calibri" w:hAnsi="Arial" w:cs="Arial"/>
          <w:bCs/>
          <w:sz w:val="26"/>
          <w:szCs w:val="26"/>
        </w:rPr>
        <w:t>el artículo 203 fracción I</w:t>
      </w:r>
      <w:r>
        <w:rPr>
          <w:rStyle w:val="Refdenotaalpie"/>
          <w:rFonts w:ascii="Arial" w:eastAsia="Calibri" w:hAnsi="Arial" w:cs="Arial"/>
          <w:bCs/>
          <w:sz w:val="26"/>
          <w:szCs w:val="26"/>
        </w:rPr>
        <w:footnoteReference w:id="1"/>
      </w:r>
      <w:r w:rsidRPr="00571437">
        <w:rPr>
          <w:rFonts w:ascii="Arial" w:eastAsia="Calibri" w:hAnsi="Arial" w:cs="Arial"/>
          <w:bCs/>
          <w:sz w:val="26"/>
          <w:szCs w:val="26"/>
        </w:rPr>
        <w:t xml:space="preserve"> de la Ley de Procedimiento y Justicia Administrativa para el Estado de Oaxaca, por tratarse de actuaciones judiciales,</w:t>
      </w:r>
      <w:r>
        <w:rPr>
          <w:rFonts w:ascii="Arial" w:eastAsia="Calibri" w:hAnsi="Arial" w:cs="Arial"/>
          <w:bCs/>
          <w:sz w:val="26"/>
          <w:szCs w:val="26"/>
        </w:rPr>
        <w:t xml:space="preserve"> se identifica que</w:t>
      </w:r>
      <w:r w:rsidR="00400839">
        <w:rPr>
          <w:rFonts w:ascii="Arial" w:eastAsia="Calibri" w:hAnsi="Arial" w:cs="Arial"/>
          <w:bCs/>
          <w:sz w:val="26"/>
          <w:szCs w:val="26"/>
        </w:rPr>
        <w:t xml:space="preserve"> mediante acuerdo de veinte de mayo de dos mil diecinueve</w:t>
      </w:r>
      <w:r w:rsidR="00400839">
        <w:rPr>
          <w:rStyle w:val="Refdenotaalpie"/>
          <w:rFonts w:ascii="Arial" w:eastAsia="Calibri" w:hAnsi="Arial" w:cs="Arial"/>
          <w:bCs/>
          <w:sz w:val="26"/>
          <w:szCs w:val="26"/>
        </w:rPr>
        <w:footnoteReference w:id="2"/>
      </w:r>
      <w:r w:rsidR="00400839">
        <w:rPr>
          <w:rFonts w:ascii="Arial" w:eastAsia="Calibri" w:hAnsi="Arial" w:cs="Arial"/>
          <w:bCs/>
          <w:sz w:val="26"/>
          <w:szCs w:val="26"/>
        </w:rPr>
        <w:t xml:space="preserve">, la Primera Sala Unitaria admitió a trámite la demanda </w:t>
      </w:r>
      <w:r w:rsidR="00400839" w:rsidRPr="006F2682">
        <w:rPr>
          <w:rFonts w:ascii="Arial" w:eastAsia="Calibri" w:hAnsi="Arial" w:cs="Arial"/>
          <w:bCs/>
          <w:sz w:val="26"/>
          <w:szCs w:val="26"/>
        </w:rPr>
        <w:t>de</w:t>
      </w:r>
      <w:r w:rsidRPr="006F2682">
        <w:rPr>
          <w:rFonts w:ascii="Arial" w:eastAsia="Calibri" w:hAnsi="Arial" w:cs="Arial"/>
          <w:bCs/>
          <w:sz w:val="26"/>
          <w:szCs w:val="26"/>
        </w:rPr>
        <w:t xml:space="preserve"> </w:t>
      </w:r>
      <w:r w:rsidR="006F2682">
        <w:rPr>
          <w:rFonts w:ascii="Arial" w:eastAsia="Calibri" w:hAnsi="Arial" w:cs="Arial"/>
          <w:b/>
          <w:sz w:val="26"/>
          <w:szCs w:val="26"/>
        </w:rPr>
        <w:t>*******</w:t>
      </w:r>
      <w:r w:rsidR="00400839" w:rsidRPr="006F2682">
        <w:rPr>
          <w:rFonts w:ascii="Arial" w:eastAsia="Calibri" w:hAnsi="Arial" w:cs="Arial"/>
          <w:bCs/>
          <w:sz w:val="26"/>
          <w:szCs w:val="26"/>
        </w:rPr>
        <w:t>, quien</w:t>
      </w:r>
      <w:r w:rsidR="00CF2539" w:rsidRPr="006F2682">
        <w:rPr>
          <w:rFonts w:ascii="Arial" w:eastAsia="Calibri" w:hAnsi="Arial" w:cs="Arial"/>
          <w:bCs/>
          <w:sz w:val="26"/>
          <w:szCs w:val="26"/>
        </w:rPr>
        <w:t xml:space="preserve"> promovió juicio de nulidad en co</w:t>
      </w:r>
      <w:r w:rsidR="00CF2539">
        <w:rPr>
          <w:rFonts w:ascii="Arial" w:eastAsia="Calibri" w:hAnsi="Arial" w:cs="Arial"/>
          <w:bCs/>
          <w:sz w:val="26"/>
          <w:szCs w:val="26"/>
        </w:rPr>
        <w:t xml:space="preserve">ntra de la resolución de veintitrés de abril de dos mil diecinueve dictada en el recurso de revocación </w:t>
      </w:r>
      <w:r w:rsidR="006F2682">
        <w:rPr>
          <w:rFonts w:ascii="Arial" w:eastAsia="Calibri" w:hAnsi="Arial" w:cs="Arial"/>
          <w:bCs/>
          <w:sz w:val="26"/>
          <w:szCs w:val="26"/>
        </w:rPr>
        <w:t>*******</w:t>
      </w:r>
      <w:r w:rsidR="00CF2539">
        <w:rPr>
          <w:rFonts w:ascii="Arial" w:eastAsia="Calibri" w:hAnsi="Arial" w:cs="Arial"/>
          <w:bCs/>
          <w:sz w:val="26"/>
          <w:szCs w:val="26"/>
        </w:rPr>
        <w:t xml:space="preserve">, y señaló como autoridades demandadas a la Síndica Municipal y al Alcalde Constitucional del Municipio de </w:t>
      </w:r>
      <w:proofErr w:type="spellStart"/>
      <w:r w:rsidR="00CF2539">
        <w:rPr>
          <w:rFonts w:ascii="Arial" w:eastAsia="Calibri" w:hAnsi="Arial" w:cs="Arial"/>
          <w:bCs/>
          <w:sz w:val="26"/>
          <w:szCs w:val="26"/>
        </w:rPr>
        <w:t>Cuilapam</w:t>
      </w:r>
      <w:proofErr w:type="spellEnd"/>
      <w:r w:rsidR="00CF2539">
        <w:rPr>
          <w:rFonts w:ascii="Arial" w:eastAsia="Calibri" w:hAnsi="Arial" w:cs="Arial"/>
          <w:bCs/>
          <w:sz w:val="26"/>
          <w:szCs w:val="26"/>
        </w:rPr>
        <w:t xml:space="preserve"> de Guerrero, Oaxaca</w:t>
      </w:r>
      <w:r w:rsidR="00400839">
        <w:rPr>
          <w:rFonts w:ascii="Arial" w:eastAsia="Calibri" w:hAnsi="Arial" w:cs="Arial"/>
          <w:bCs/>
          <w:sz w:val="26"/>
          <w:szCs w:val="26"/>
        </w:rPr>
        <w:t xml:space="preserve">. </w:t>
      </w:r>
    </w:p>
    <w:p w14:paraId="19583DFE" w14:textId="5E397DD2" w:rsidR="00400839" w:rsidRDefault="00400839" w:rsidP="00DD5760">
      <w:pPr>
        <w:widowControl w:val="0"/>
        <w:tabs>
          <w:tab w:val="left" w:pos="0"/>
        </w:tabs>
        <w:spacing w:before="240" w:after="0" w:line="360" w:lineRule="auto"/>
        <w:ind w:right="18"/>
        <w:jc w:val="both"/>
        <w:rPr>
          <w:rFonts w:ascii="Arial" w:eastAsia="Times New Roman" w:hAnsi="Arial" w:cs="Arial"/>
          <w:bCs/>
          <w:sz w:val="26"/>
          <w:szCs w:val="26"/>
          <w:lang w:eastAsia="es-ES"/>
        </w:rPr>
      </w:pPr>
      <w:r>
        <w:rPr>
          <w:rFonts w:ascii="Arial" w:eastAsia="Calibri" w:hAnsi="Arial" w:cs="Arial"/>
          <w:bCs/>
          <w:sz w:val="26"/>
          <w:szCs w:val="26"/>
        </w:rPr>
        <w:tab/>
        <w:t>En la sentencia dictada el treinta de enero de dos mil veinte</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w:t>
      </w:r>
      <w:r w:rsidR="00CA342F">
        <w:rPr>
          <w:rFonts w:ascii="Arial" w:eastAsia="Calibri" w:hAnsi="Arial" w:cs="Arial"/>
          <w:bCs/>
          <w:sz w:val="26"/>
          <w:szCs w:val="26"/>
        </w:rPr>
        <w:t xml:space="preserve">la </w:t>
      </w:r>
      <w:r w:rsidR="00CA342F">
        <w:rPr>
          <w:rFonts w:ascii="Arial" w:eastAsia="Calibri" w:hAnsi="Arial" w:cs="Arial"/>
          <w:bCs/>
          <w:sz w:val="26"/>
          <w:szCs w:val="26"/>
        </w:rPr>
        <w:lastRenderedPageBreak/>
        <w:t xml:space="preserve">Primera Instancia resolvió declarar la nulidad lisa y llana </w:t>
      </w:r>
      <w:r w:rsidR="00CA342F" w:rsidRPr="00CA342F">
        <w:rPr>
          <w:rFonts w:ascii="Arial" w:eastAsia="Times New Roman" w:hAnsi="Arial" w:cs="Arial"/>
          <w:bCs/>
          <w:sz w:val="26"/>
          <w:szCs w:val="26"/>
          <w:lang w:eastAsia="es-ES"/>
        </w:rPr>
        <w:t xml:space="preserve">de la resolución al recurso de revocación número </w:t>
      </w:r>
      <w:r w:rsidR="006F2682">
        <w:rPr>
          <w:rFonts w:ascii="Arial" w:eastAsia="Times New Roman" w:hAnsi="Arial" w:cs="Arial"/>
          <w:bCs/>
          <w:sz w:val="26"/>
          <w:szCs w:val="26"/>
          <w:lang w:eastAsia="es-ES"/>
        </w:rPr>
        <w:t>*******</w:t>
      </w:r>
      <w:r w:rsidR="00E928A2">
        <w:rPr>
          <w:rStyle w:val="Refdenotaalpie"/>
          <w:rFonts w:ascii="Arial" w:eastAsia="Times New Roman" w:hAnsi="Arial" w:cs="Arial"/>
          <w:bCs/>
          <w:sz w:val="26"/>
          <w:szCs w:val="26"/>
          <w:lang w:eastAsia="es-ES"/>
        </w:rPr>
        <w:footnoteReference w:id="4"/>
      </w:r>
      <w:r w:rsidR="00CA342F" w:rsidRPr="00CA342F">
        <w:rPr>
          <w:rFonts w:ascii="Arial" w:eastAsia="Times New Roman" w:hAnsi="Arial" w:cs="Arial"/>
          <w:bCs/>
          <w:sz w:val="26"/>
          <w:szCs w:val="26"/>
          <w:lang w:eastAsia="es-ES"/>
        </w:rPr>
        <w:t xml:space="preserve"> de veintitrés de abril de dos mil diecinueve (23/04/2019), emitida por la Síndico Municipal y Alcalde Constitucional ambos del Ayuntamiento de </w:t>
      </w:r>
      <w:proofErr w:type="spellStart"/>
      <w:r w:rsidR="00CA342F" w:rsidRPr="00CA342F">
        <w:rPr>
          <w:rFonts w:ascii="Arial" w:eastAsia="Times New Roman" w:hAnsi="Arial" w:cs="Arial"/>
          <w:bCs/>
          <w:sz w:val="26"/>
          <w:szCs w:val="26"/>
          <w:lang w:eastAsia="es-ES"/>
        </w:rPr>
        <w:t>Cuilapam</w:t>
      </w:r>
      <w:proofErr w:type="spellEnd"/>
      <w:r w:rsidR="00CA342F" w:rsidRPr="00CA342F">
        <w:rPr>
          <w:rFonts w:ascii="Arial" w:eastAsia="Times New Roman" w:hAnsi="Arial" w:cs="Arial"/>
          <w:bCs/>
          <w:sz w:val="26"/>
          <w:szCs w:val="26"/>
          <w:lang w:eastAsia="es-ES"/>
        </w:rPr>
        <w:t xml:space="preserve"> de Guerrero, Oaxaca, por haber sido resuelta por funcionario incompetente, </w:t>
      </w:r>
      <w:r w:rsidR="00020CE8">
        <w:rPr>
          <w:rFonts w:ascii="Arial" w:eastAsia="Times New Roman" w:hAnsi="Arial" w:cs="Arial"/>
          <w:bCs/>
          <w:sz w:val="26"/>
          <w:szCs w:val="26"/>
          <w:lang w:eastAsia="es-ES"/>
        </w:rPr>
        <w:t xml:space="preserve">y </w:t>
      </w:r>
      <w:r w:rsidR="00CA342F" w:rsidRPr="00F1048C">
        <w:rPr>
          <w:rFonts w:ascii="Arial" w:eastAsia="Times New Roman" w:hAnsi="Arial" w:cs="Arial"/>
          <w:bCs/>
          <w:sz w:val="26"/>
          <w:szCs w:val="26"/>
          <w:lang w:eastAsia="es-ES"/>
        </w:rPr>
        <w:t>orden</w:t>
      </w:r>
      <w:r w:rsidR="00020CE8">
        <w:rPr>
          <w:rFonts w:ascii="Arial" w:eastAsia="Times New Roman" w:hAnsi="Arial" w:cs="Arial"/>
          <w:bCs/>
          <w:sz w:val="26"/>
          <w:szCs w:val="26"/>
          <w:lang w:eastAsia="es-ES"/>
        </w:rPr>
        <w:t>ó</w:t>
      </w:r>
      <w:r w:rsidR="00CA342F" w:rsidRPr="00F1048C">
        <w:rPr>
          <w:rFonts w:ascii="Arial" w:eastAsia="Times New Roman" w:hAnsi="Arial" w:cs="Arial"/>
          <w:bCs/>
          <w:sz w:val="26"/>
          <w:szCs w:val="26"/>
          <w:lang w:eastAsia="es-ES"/>
        </w:rPr>
        <w:t xml:space="preserve"> a esas autoridades municipales, dejar insubsistentes </w:t>
      </w:r>
      <w:r w:rsidR="00020CE8">
        <w:rPr>
          <w:rFonts w:ascii="Arial" w:eastAsia="Times New Roman" w:hAnsi="Arial" w:cs="Arial"/>
          <w:bCs/>
          <w:sz w:val="26"/>
          <w:szCs w:val="26"/>
          <w:lang w:eastAsia="es-ES"/>
        </w:rPr>
        <w:t xml:space="preserve">la </w:t>
      </w:r>
      <w:r w:rsidR="00CA342F" w:rsidRPr="00F1048C">
        <w:rPr>
          <w:rFonts w:ascii="Arial" w:eastAsia="Times New Roman" w:hAnsi="Arial" w:cs="Arial"/>
          <w:bCs/>
          <w:sz w:val="26"/>
          <w:szCs w:val="26"/>
          <w:lang w:eastAsia="es-ES"/>
        </w:rPr>
        <w:t xml:space="preserve">resolución y todo lo actuado dentro del expediente número </w:t>
      </w:r>
      <w:r w:rsidR="006F2682">
        <w:rPr>
          <w:rFonts w:ascii="Arial" w:eastAsia="Times New Roman" w:hAnsi="Arial" w:cs="Arial"/>
          <w:bCs/>
          <w:sz w:val="26"/>
          <w:szCs w:val="26"/>
          <w:lang w:eastAsia="es-ES"/>
        </w:rPr>
        <w:t>*******</w:t>
      </w:r>
      <w:r w:rsidR="00CA342F" w:rsidRPr="00F1048C">
        <w:rPr>
          <w:rFonts w:ascii="Arial" w:eastAsia="Times New Roman" w:hAnsi="Arial" w:cs="Arial"/>
          <w:bCs/>
          <w:sz w:val="26"/>
          <w:szCs w:val="26"/>
          <w:lang w:eastAsia="es-ES"/>
        </w:rPr>
        <w:t>,</w:t>
      </w:r>
      <w:r w:rsidR="00020CE8">
        <w:rPr>
          <w:rFonts w:ascii="Arial" w:eastAsia="Times New Roman" w:hAnsi="Arial" w:cs="Arial"/>
          <w:bCs/>
          <w:sz w:val="26"/>
          <w:szCs w:val="26"/>
          <w:lang w:eastAsia="es-ES"/>
        </w:rPr>
        <w:t xml:space="preserve"> con base en las razones que expresó en el considerando cuarto de la propia sentencia, cuya parte relativa es pertinente traer a la vista:</w:t>
      </w:r>
    </w:p>
    <w:p w14:paraId="280AE167" w14:textId="1CDEFEE3" w:rsidR="00020CE8" w:rsidRPr="00771348" w:rsidRDefault="00020CE8" w:rsidP="005A695E">
      <w:pPr>
        <w:widowControl w:val="0"/>
        <w:spacing w:before="240" w:after="0"/>
        <w:ind w:left="567" w:right="758"/>
        <w:jc w:val="both"/>
        <w:rPr>
          <w:rFonts w:ascii="Arial" w:eastAsia="Times New Roman" w:hAnsi="Arial" w:cs="Arial"/>
          <w:bCs/>
          <w:i/>
          <w:iCs/>
          <w:lang w:eastAsia="es-ES"/>
        </w:rPr>
      </w:pPr>
      <w:r w:rsidRPr="00771348">
        <w:rPr>
          <w:rFonts w:ascii="Arial" w:eastAsia="Times New Roman" w:hAnsi="Arial" w:cs="Arial"/>
          <w:b/>
          <w:i/>
          <w:iCs/>
          <w:lang w:eastAsia="es-ES"/>
        </w:rPr>
        <w:t>“CUARTO.-</w:t>
      </w:r>
      <w:r w:rsidRPr="00771348">
        <w:rPr>
          <w:rFonts w:ascii="Arial" w:eastAsia="Times New Roman" w:hAnsi="Arial" w:cs="Arial"/>
          <w:bCs/>
          <w:i/>
          <w:iCs/>
          <w:lang w:eastAsia="es-ES"/>
        </w:rPr>
        <w:t xml:space="preserve"> … se advierte que el acto impugnado se trata de una diligencia de apeo y deslinde, en ese tenor, dicho acto es de naturaleza civil, realizada por las autoridades municipales en auxilio de los jueces civiles de primera instancia, de ahí que los diversos criterios jurisprudenciales cataloguen al apeo y deslinde como un juicio no contencioso de naturaleza civil, contemplado en el Capítulo VI dentro del Título </w:t>
      </w:r>
      <w:proofErr w:type="spellStart"/>
      <w:r w:rsidRPr="00771348">
        <w:rPr>
          <w:rFonts w:ascii="Arial" w:eastAsia="Times New Roman" w:hAnsi="Arial" w:cs="Arial"/>
          <w:bCs/>
          <w:i/>
          <w:iCs/>
          <w:lang w:eastAsia="es-ES"/>
        </w:rPr>
        <w:t>Décimoquinto</w:t>
      </w:r>
      <w:proofErr w:type="spellEnd"/>
      <w:r w:rsidRPr="00771348">
        <w:rPr>
          <w:rFonts w:ascii="Arial" w:eastAsia="Times New Roman" w:hAnsi="Arial" w:cs="Arial"/>
          <w:bCs/>
          <w:i/>
          <w:iCs/>
          <w:lang w:eastAsia="es-ES"/>
        </w:rPr>
        <w:t xml:space="preserve"> de la Jurisdicción Voluntaria, perteneciente al Código de Procedimientos Civiles del Estado de Oaxaca, sirve de sustento la jurisprudencia número 1ª./J. 100/2004, con número de registro </w:t>
      </w:r>
      <w:r w:rsidR="009F339B" w:rsidRPr="00771348">
        <w:rPr>
          <w:rFonts w:ascii="Arial" w:eastAsia="Times New Roman" w:hAnsi="Arial" w:cs="Arial"/>
          <w:bCs/>
          <w:i/>
          <w:iCs/>
          <w:lang w:eastAsia="es-ES"/>
        </w:rPr>
        <w:t>179598, por la Primera Sala de la Suprema Corte de Justicia de la Nación en el Semanario Judicial de la Federación y su Gaceta, Tomo XXI, Enero de 2005, Página 128, Novena Época, bajo el rubro y texto siguiente: DILIGENCIAS DE DESLINDE. SON EQUIPARABLES A UN PROCEDIMIENTO DE JURISDICCIÓN VOLUNTARIA (LEGISLACIÓN DEL ESTADO DE PUEBLA). …</w:t>
      </w:r>
    </w:p>
    <w:p w14:paraId="31E4FBB2" w14:textId="7FE8F0B9" w:rsidR="009F339B" w:rsidRPr="00771348" w:rsidRDefault="009F339B" w:rsidP="005A695E">
      <w:pPr>
        <w:widowControl w:val="0"/>
        <w:spacing w:before="240" w:after="0"/>
        <w:ind w:left="567" w:right="758"/>
        <w:jc w:val="both"/>
        <w:rPr>
          <w:rFonts w:ascii="Arial" w:eastAsia="Times New Roman" w:hAnsi="Arial" w:cs="Arial"/>
          <w:bCs/>
          <w:i/>
          <w:iCs/>
          <w:lang w:eastAsia="es-ES"/>
        </w:rPr>
      </w:pPr>
      <w:r w:rsidRPr="00771348">
        <w:rPr>
          <w:rFonts w:ascii="Arial" w:eastAsia="Times New Roman" w:hAnsi="Arial" w:cs="Arial"/>
          <w:bCs/>
          <w:i/>
          <w:iCs/>
          <w:lang w:eastAsia="es-ES"/>
        </w:rPr>
        <w:tab/>
        <w:t xml:space="preserve">Derivado de lo anterior, se advierte que la autoridad demandada inició indebidamente el recurso de revocación cuando lo que procedía era diverso juicio ante el juez civil de primera instancia, </w:t>
      </w:r>
      <w:r w:rsidR="00C07EA5" w:rsidRPr="00771348">
        <w:rPr>
          <w:rFonts w:ascii="Arial" w:eastAsia="Times New Roman" w:hAnsi="Arial" w:cs="Arial"/>
          <w:bCs/>
          <w:i/>
          <w:iCs/>
          <w:lang w:eastAsia="es-ES"/>
        </w:rPr>
        <w:t xml:space="preserve">esto es por la naturaleza del acto que dio origen al recurso, es decir, el apeo y deslinde, ahora bien, se colige que dicha autoridad no resulta competente puesto que excede de sus facultades en virtud de que dentro de las leyes que facultan a dicho órgano colegiado denominado Ayuntamiento, pueden válidamente conocer del recurso de revocación , esta se convierte en un tema contencioso, donde debe conocer el juez civil competente, </w:t>
      </w:r>
      <w:r w:rsidR="00771348" w:rsidRPr="00771348">
        <w:rPr>
          <w:rFonts w:ascii="Arial" w:eastAsia="Times New Roman" w:hAnsi="Arial" w:cs="Arial"/>
          <w:bCs/>
          <w:i/>
          <w:iCs/>
          <w:lang w:eastAsia="es-ES"/>
        </w:rPr>
        <w:t xml:space="preserve">no así ante sede administrativa, ya que los mismos son actos de naturaleza civil realizados fuera de juicio, por lo que en una lógica simple, si pretende impugnar dichas diligencias, estas deben ser impugnadas ante el juez civil competente”. </w:t>
      </w:r>
    </w:p>
    <w:p w14:paraId="2667DB79" w14:textId="0CDBFB0B" w:rsidR="00771348" w:rsidRDefault="002E2E22" w:rsidP="00DD5760">
      <w:pPr>
        <w:widowControl w:val="0"/>
        <w:tabs>
          <w:tab w:val="left" w:pos="0"/>
        </w:tabs>
        <w:spacing w:before="240" w:after="0" w:line="360" w:lineRule="auto"/>
        <w:ind w:right="18"/>
        <w:jc w:val="both"/>
        <w:rPr>
          <w:rFonts w:ascii="Arial" w:eastAsia="Times New Roman" w:hAnsi="Arial" w:cs="Arial"/>
          <w:bCs/>
          <w:sz w:val="26"/>
          <w:szCs w:val="26"/>
          <w:lang w:eastAsia="es-ES"/>
        </w:rPr>
      </w:pPr>
      <w:r>
        <w:rPr>
          <w:rFonts w:ascii="Arial" w:eastAsia="Calibri" w:hAnsi="Arial" w:cs="Arial"/>
          <w:bCs/>
          <w:sz w:val="26"/>
          <w:szCs w:val="26"/>
        </w:rPr>
        <w:tab/>
        <w:t xml:space="preserve">De la transcripción anterior, se desprende que la A quo estimó procedente declarar la nulidad lisa y llana de la resolución dictada en el recurso de </w:t>
      </w:r>
      <w:r w:rsidR="00832526">
        <w:rPr>
          <w:rFonts w:ascii="Arial" w:eastAsia="Calibri" w:hAnsi="Arial" w:cs="Arial"/>
          <w:bCs/>
          <w:sz w:val="26"/>
          <w:szCs w:val="26"/>
        </w:rPr>
        <w:t>revocación número</w:t>
      </w:r>
      <w:r w:rsidRPr="00F1048C">
        <w:rPr>
          <w:rFonts w:ascii="Arial" w:eastAsia="Times New Roman" w:hAnsi="Arial" w:cs="Arial"/>
          <w:bCs/>
          <w:sz w:val="26"/>
          <w:szCs w:val="26"/>
          <w:lang w:eastAsia="es-ES"/>
        </w:rPr>
        <w:t xml:space="preserve"> </w:t>
      </w:r>
      <w:r w:rsidR="006F2682">
        <w:rPr>
          <w:rFonts w:ascii="Arial" w:eastAsia="Times New Roman" w:hAnsi="Arial" w:cs="Arial"/>
          <w:bCs/>
          <w:sz w:val="26"/>
          <w:szCs w:val="26"/>
          <w:lang w:eastAsia="es-ES"/>
        </w:rPr>
        <w:t>*******</w:t>
      </w:r>
      <w:r>
        <w:rPr>
          <w:rFonts w:ascii="Arial" w:eastAsia="Times New Roman" w:hAnsi="Arial" w:cs="Arial"/>
          <w:bCs/>
          <w:sz w:val="26"/>
          <w:szCs w:val="26"/>
          <w:lang w:eastAsia="es-ES"/>
        </w:rPr>
        <w:t>, porque al tratarse de un acto de naturaleza civil, la Síndica Municipal es incompetente para dirimir esa controversia a través de un recurso administrativo, lo cual estima esta instancia revisora que es acertado.</w:t>
      </w:r>
      <w:r w:rsidR="005A695E">
        <w:rPr>
          <w:rFonts w:ascii="Arial" w:eastAsia="Times New Roman" w:hAnsi="Arial" w:cs="Arial"/>
          <w:bCs/>
          <w:sz w:val="26"/>
          <w:szCs w:val="26"/>
          <w:lang w:eastAsia="es-ES"/>
        </w:rPr>
        <w:t xml:space="preserve"> - - - - - - - - - - - - - - - - - -</w:t>
      </w:r>
      <w:r w:rsidR="006F2682">
        <w:rPr>
          <w:rFonts w:ascii="Arial" w:eastAsia="Times New Roman" w:hAnsi="Arial" w:cs="Arial"/>
          <w:bCs/>
          <w:sz w:val="26"/>
          <w:szCs w:val="26"/>
          <w:lang w:eastAsia="es-ES"/>
        </w:rPr>
        <w:t xml:space="preserve"> - - - - - - - - </w:t>
      </w:r>
    </w:p>
    <w:p w14:paraId="05D46CEE" w14:textId="14FBDA1B" w:rsidR="001B5269" w:rsidRPr="00562CDE" w:rsidRDefault="00832526" w:rsidP="00832526">
      <w:pPr>
        <w:widowControl w:val="0"/>
        <w:tabs>
          <w:tab w:val="left" w:pos="0"/>
        </w:tabs>
        <w:spacing w:before="240" w:after="0" w:line="360" w:lineRule="auto"/>
        <w:ind w:right="18"/>
        <w:jc w:val="both"/>
        <w:rPr>
          <w:rFonts w:ascii="Arial" w:hAnsi="Arial" w:cs="Arial"/>
          <w:sz w:val="26"/>
          <w:szCs w:val="26"/>
        </w:rPr>
      </w:pPr>
      <w:r>
        <w:rPr>
          <w:rFonts w:ascii="Arial" w:eastAsia="Times New Roman" w:hAnsi="Arial" w:cs="Arial"/>
          <w:bCs/>
          <w:sz w:val="26"/>
          <w:szCs w:val="26"/>
          <w:lang w:eastAsia="es-ES"/>
        </w:rPr>
        <w:tab/>
      </w:r>
      <w:r w:rsidR="002E2E22">
        <w:rPr>
          <w:rFonts w:ascii="Arial" w:eastAsia="Times New Roman" w:hAnsi="Arial" w:cs="Arial"/>
          <w:bCs/>
          <w:sz w:val="26"/>
          <w:szCs w:val="26"/>
          <w:lang w:eastAsia="es-ES"/>
        </w:rPr>
        <w:t>A mayor abundamiento, se ti</w:t>
      </w:r>
      <w:r w:rsidR="00EF37E6">
        <w:rPr>
          <w:rFonts w:ascii="Arial" w:eastAsia="Times New Roman" w:hAnsi="Arial" w:cs="Arial"/>
          <w:bCs/>
          <w:sz w:val="26"/>
          <w:szCs w:val="26"/>
          <w:lang w:eastAsia="es-ES"/>
        </w:rPr>
        <w:t xml:space="preserve">ene que el artículo 833 del Código </w:t>
      </w:r>
      <w:r w:rsidR="00EF37E6" w:rsidRPr="00EF37E6">
        <w:rPr>
          <w:rFonts w:ascii="Arial" w:eastAsia="Times New Roman" w:hAnsi="Arial" w:cs="Arial"/>
          <w:bCs/>
          <w:sz w:val="26"/>
          <w:szCs w:val="26"/>
          <w:lang w:eastAsia="es-ES"/>
        </w:rPr>
        <w:t xml:space="preserve">de </w:t>
      </w:r>
      <w:r w:rsidR="00EF37E6" w:rsidRPr="00EF37E6">
        <w:rPr>
          <w:rFonts w:ascii="Arial" w:eastAsia="Times New Roman" w:hAnsi="Arial" w:cs="Arial"/>
          <w:bCs/>
          <w:sz w:val="26"/>
          <w:szCs w:val="26"/>
          <w:lang w:eastAsia="es-ES"/>
        </w:rPr>
        <w:lastRenderedPageBreak/>
        <w:t>Procedimientos Civiles del Estado de Oaxaca</w:t>
      </w:r>
      <w:r w:rsidR="00EF37E6">
        <w:rPr>
          <w:rFonts w:ascii="Arial" w:eastAsia="Times New Roman" w:hAnsi="Arial" w:cs="Arial"/>
          <w:bCs/>
          <w:sz w:val="26"/>
          <w:szCs w:val="26"/>
          <w:lang w:eastAsia="es-ES"/>
        </w:rPr>
        <w:t xml:space="preserve"> establece que </w:t>
      </w:r>
      <w:r w:rsidR="00EF37E6" w:rsidRPr="00BD1076">
        <w:rPr>
          <w:rFonts w:ascii="Arial" w:eastAsia="Times New Roman" w:hAnsi="Arial" w:cs="Arial"/>
          <w:bCs/>
          <w:i/>
          <w:iCs/>
          <w:sz w:val="26"/>
          <w:szCs w:val="26"/>
          <w:lang w:eastAsia="es-ES"/>
        </w:rPr>
        <w:t>“</w:t>
      </w:r>
      <w:r w:rsidRPr="00BD1076">
        <w:rPr>
          <w:rFonts w:ascii="Arial" w:hAnsi="Arial" w:cs="Arial"/>
          <w:i/>
          <w:iCs/>
          <w:sz w:val="26"/>
          <w:szCs w:val="26"/>
        </w:rPr>
        <w:t>La jurisdicción voluntaria comprende todos los actos en que, por disposición de la ley o por solicitud de los interesados, se requiere la intervención del juez, sin que esté promovida ni se promueva cuestión alguna entre partes determinadas</w:t>
      </w:r>
      <w:r w:rsidR="00BD1076" w:rsidRPr="00BD1076">
        <w:rPr>
          <w:rFonts w:ascii="Arial" w:hAnsi="Arial" w:cs="Arial"/>
          <w:i/>
          <w:iCs/>
          <w:sz w:val="26"/>
          <w:szCs w:val="26"/>
        </w:rPr>
        <w:t>”</w:t>
      </w:r>
      <w:r w:rsidR="006F22DA">
        <w:rPr>
          <w:rFonts w:ascii="Arial" w:hAnsi="Arial" w:cs="Arial"/>
          <w:i/>
          <w:iCs/>
          <w:sz w:val="26"/>
          <w:szCs w:val="26"/>
        </w:rPr>
        <w:t xml:space="preserve">, </w:t>
      </w:r>
      <w:r w:rsidR="006F22DA">
        <w:rPr>
          <w:rFonts w:ascii="Arial" w:hAnsi="Arial" w:cs="Arial"/>
          <w:sz w:val="26"/>
          <w:szCs w:val="26"/>
        </w:rPr>
        <w:t>y la diligencia de apeo y deslinde prevista en el numeral 923</w:t>
      </w:r>
      <w:r w:rsidR="006F22DA">
        <w:rPr>
          <w:rStyle w:val="Refdenotaalpie"/>
          <w:rFonts w:ascii="Arial" w:hAnsi="Arial" w:cs="Arial"/>
          <w:sz w:val="26"/>
          <w:szCs w:val="26"/>
        </w:rPr>
        <w:footnoteReference w:id="5"/>
      </w:r>
      <w:r w:rsidR="006F22DA">
        <w:rPr>
          <w:rFonts w:ascii="Arial" w:hAnsi="Arial" w:cs="Arial"/>
          <w:sz w:val="26"/>
          <w:szCs w:val="26"/>
        </w:rPr>
        <w:t xml:space="preserve"> se encuentra catalogada como </w:t>
      </w:r>
      <w:r w:rsidR="00AA075B">
        <w:rPr>
          <w:rFonts w:ascii="Arial" w:hAnsi="Arial" w:cs="Arial"/>
          <w:sz w:val="26"/>
          <w:szCs w:val="26"/>
        </w:rPr>
        <w:t xml:space="preserve">una diligencia de jurisdicción voluntaria </w:t>
      </w:r>
      <w:r w:rsidR="001B5269">
        <w:rPr>
          <w:rFonts w:ascii="Arial" w:hAnsi="Arial" w:cs="Arial"/>
          <w:sz w:val="26"/>
          <w:szCs w:val="26"/>
        </w:rPr>
        <w:t xml:space="preserve">en el Título </w:t>
      </w:r>
      <w:proofErr w:type="spellStart"/>
      <w:r w:rsidR="001B5269">
        <w:rPr>
          <w:rFonts w:ascii="Arial" w:hAnsi="Arial" w:cs="Arial"/>
          <w:sz w:val="26"/>
          <w:szCs w:val="26"/>
        </w:rPr>
        <w:t>décimoquinto</w:t>
      </w:r>
      <w:proofErr w:type="spellEnd"/>
      <w:r w:rsidR="001B5269">
        <w:rPr>
          <w:rFonts w:ascii="Arial" w:hAnsi="Arial" w:cs="Arial"/>
          <w:sz w:val="26"/>
          <w:szCs w:val="26"/>
        </w:rPr>
        <w:t xml:space="preserve"> del mismo </w:t>
      </w:r>
      <w:bookmarkStart w:id="1" w:name="_Hlk110620739"/>
      <w:r w:rsidR="001B5269">
        <w:rPr>
          <w:rFonts w:ascii="Arial" w:hAnsi="Arial" w:cs="Arial"/>
          <w:sz w:val="26"/>
          <w:szCs w:val="26"/>
        </w:rPr>
        <w:t xml:space="preserve">Código de </w:t>
      </w:r>
      <w:r w:rsidR="001B5269" w:rsidRPr="00EF37E6">
        <w:rPr>
          <w:rFonts w:ascii="Arial" w:eastAsia="Times New Roman" w:hAnsi="Arial" w:cs="Arial"/>
          <w:bCs/>
          <w:sz w:val="26"/>
          <w:szCs w:val="26"/>
          <w:lang w:eastAsia="es-ES"/>
        </w:rPr>
        <w:t>Procedimientos Civiles del Estado de Oaxaca</w:t>
      </w:r>
      <w:bookmarkEnd w:id="1"/>
      <w:r w:rsidR="001B5269">
        <w:rPr>
          <w:rFonts w:ascii="Arial" w:eastAsia="Times New Roman" w:hAnsi="Arial" w:cs="Arial"/>
          <w:bCs/>
          <w:sz w:val="26"/>
          <w:szCs w:val="26"/>
          <w:lang w:eastAsia="es-ES"/>
        </w:rPr>
        <w:t xml:space="preserve">, </w:t>
      </w:r>
      <w:r w:rsidR="001B5269">
        <w:rPr>
          <w:rFonts w:ascii="Arial" w:hAnsi="Arial" w:cs="Arial"/>
          <w:sz w:val="26"/>
          <w:szCs w:val="26"/>
        </w:rPr>
        <w:t xml:space="preserve">como acertadamente lo señaló la primera instancia. Y en cuanto a la impugnación de las diligencias de este tipo, el código procesal en cita preceptúa en el artículo 889 que </w:t>
      </w:r>
      <w:r w:rsidR="001B5269" w:rsidRPr="001B5269">
        <w:rPr>
          <w:rFonts w:ascii="Arial" w:hAnsi="Arial" w:cs="Arial"/>
          <w:i/>
          <w:iCs/>
          <w:sz w:val="26"/>
          <w:szCs w:val="26"/>
        </w:rPr>
        <w:t>“las providencias de jurisdicción voluntaria serán apelables en ambos efectos, salvo los casos en que la ley disponga otra cosa, y la apelación se substanciará conforme a lo establecido en este Código para los juicios ordinarios.”</w:t>
      </w:r>
      <w:r w:rsidR="005A695E">
        <w:rPr>
          <w:rFonts w:ascii="Arial" w:hAnsi="Arial" w:cs="Arial"/>
          <w:i/>
          <w:iCs/>
          <w:sz w:val="26"/>
          <w:szCs w:val="26"/>
        </w:rPr>
        <w:t xml:space="preserve"> - - - - - - - - - - - - - - - - - - - - - - - - - - -</w:t>
      </w:r>
    </w:p>
    <w:p w14:paraId="549BE68F" w14:textId="1E3CFDE3" w:rsidR="00B2281F" w:rsidRPr="00734A95" w:rsidRDefault="002D378A" w:rsidP="005A695E">
      <w:pPr>
        <w:widowControl w:val="0"/>
        <w:tabs>
          <w:tab w:val="left" w:pos="0"/>
        </w:tabs>
        <w:spacing w:line="360" w:lineRule="auto"/>
        <w:ind w:right="18"/>
        <w:jc w:val="both"/>
        <w:rPr>
          <w:rFonts w:ascii="Arial" w:hAnsi="Arial" w:cs="Arial"/>
          <w:sz w:val="26"/>
          <w:szCs w:val="26"/>
        </w:rPr>
      </w:pPr>
      <w:r>
        <w:rPr>
          <w:rFonts w:ascii="Arial" w:hAnsi="Arial" w:cs="Arial"/>
          <w:sz w:val="26"/>
          <w:szCs w:val="26"/>
        </w:rPr>
        <w:tab/>
      </w:r>
      <w:r w:rsidR="00B2281F">
        <w:rPr>
          <w:rFonts w:ascii="Arial" w:hAnsi="Arial" w:cs="Arial"/>
          <w:sz w:val="26"/>
          <w:szCs w:val="26"/>
        </w:rPr>
        <w:t>De lo anterior se colige que</w:t>
      </w:r>
      <w:r>
        <w:rPr>
          <w:rFonts w:ascii="Arial" w:hAnsi="Arial" w:cs="Arial"/>
          <w:sz w:val="26"/>
          <w:szCs w:val="26"/>
        </w:rPr>
        <w:t xml:space="preserve">, aunque </w:t>
      </w:r>
      <w:r w:rsidR="00AF7E14">
        <w:rPr>
          <w:rFonts w:ascii="Arial" w:hAnsi="Arial" w:cs="Arial"/>
          <w:sz w:val="26"/>
          <w:szCs w:val="26"/>
        </w:rPr>
        <w:t xml:space="preserve">la diligencia de apeo y deslinde cuestionada fue emitida por una autoridad del Municipio de </w:t>
      </w:r>
      <w:proofErr w:type="spellStart"/>
      <w:r w:rsidR="00AF7E14">
        <w:rPr>
          <w:rFonts w:ascii="Arial" w:hAnsi="Arial" w:cs="Arial"/>
          <w:sz w:val="26"/>
          <w:szCs w:val="26"/>
        </w:rPr>
        <w:t>Cuilapam</w:t>
      </w:r>
      <w:proofErr w:type="spellEnd"/>
      <w:r w:rsidR="00AF7E14">
        <w:rPr>
          <w:rFonts w:ascii="Arial" w:hAnsi="Arial" w:cs="Arial"/>
          <w:sz w:val="26"/>
          <w:szCs w:val="26"/>
        </w:rPr>
        <w:t xml:space="preserve"> de Guerrero, Oaxaca, que es</w:t>
      </w:r>
      <w:r w:rsidR="00B2281F">
        <w:rPr>
          <w:rFonts w:ascii="Arial" w:hAnsi="Arial" w:cs="Arial"/>
          <w:sz w:val="26"/>
          <w:szCs w:val="26"/>
        </w:rPr>
        <w:t xml:space="preserve"> </w:t>
      </w:r>
      <w:r>
        <w:rPr>
          <w:rFonts w:ascii="Arial" w:hAnsi="Arial" w:cs="Arial"/>
          <w:sz w:val="26"/>
          <w:szCs w:val="26"/>
        </w:rPr>
        <w:t>el Alcald</w:t>
      </w:r>
      <w:r w:rsidR="00AF7E14">
        <w:rPr>
          <w:rFonts w:ascii="Arial" w:hAnsi="Arial" w:cs="Arial"/>
          <w:sz w:val="26"/>
          <w:szCs w:val="26"/>
        </w:rPr>
        <w:t>e, ya que éste</w:t>
      </w:r>
      <w:r>
        <w:rPr>
          <w:rFonts w:ascii="Arial" w:hAnsi="Arial" w:cs="Arial"/>
          <w:sz w:val="26"/>
          <w:szCs w:val="26"/>
        </w:rPr>
        <w:t xml:space="preserve"> </w:t>
      </w:r>
      <w:r w:rsidR="00AF7E14">
        <w:rPr>
          <w:rFonts w:ascii="Arial" w:hAnsi="Arial" w:cs="Arial"/>
          <w:sz w:val="26"/>
          <w:szCs w:val="26"/>
        </w:rPr>
        <w:t xml:space="preserve">se encuentra facultado para </w:t>
      </w:r>
      <w:r w:rsidR="00562CDE">
        <w:rPr>
          <w:rFonts w:ascii="Arial" w:hAnsi="Arial" w:cs="Arial"/>
          <w:sz w:val="26"/>
          <w:szCs w:val="26"/>
        </w:rPr>
        <w:t>realizar diligencias de</w:t>
      </w:r>
      <w:r w:rsidR="00B2281F">
        <w:rPr>
          <w:rFonts w:ascii="Arial" w:hAnsi="Arial" w:cs="Arial"/>
          <w:sz w:val="26"/>
          <w:szCs w:val="26"/>
        </w:rPr>
        <w:t xml:space="preserve"> apeo y deslinde, conforme al artículo 145 fracción I de la Ley Orgánica Municipal</w:t>
      </w:r>
      <w:r w:rsidR="00A26F9D">
        <w:rPr>
          <w:rFonts w:ascii="Arial" w:hAnsi="Arial" w:cs="Arial"/>
          <w:sz w:val="26"/>
          <w:szCs w:val="26"/>
        </w:rPr>
        <w:t xml:space="preserve"> del Estado de Oaxaca</w:t>
      </w:r>
      <w:r w:rsidR="00B2281F">
        <w:rPr>
          <w:rFonts w:ascii="Arial" w:hAnsi="Arial" w:cs="Arial"/>
          <w:sz w:val="26"/>
          <w:szCs w:val="26"/>
        </w:rPr>
        <w:t>,</w:t>
      </w:r>
      <w:r w:rsidR="00562CDE">
        <w:rPr>
          <w:rFonts w:ascii="Arial" w:hAnsi="Arial" w:cs="Arial"/>
          <w:sz w:val="26"/>
          <w:szCs w:val="26"/>
        </w:rPr>
        <w:t xml:space="preserve"> que lo</w:t>
      </w:r>
      <w:r w:rsidR="00B2281F">
        <w:rPr>
          <w:rFonts w:ascii="Arial" w:hAnsi="Arial" w:cs="Arial"/>
          <w:sz w:val="26"/>
          <w:szCs w:val="26"/>
        </w:rPr>
        <w:t xml:space="preserve"> faculta para conocer de </w:t>
      </w:r>
      <w:r w:rsidR="00B2281F" w:rsidRPr="002D378A">
        <w:rPr>
          <w:rFonts w:ascii="Arial" w:hAnsi="Arial" w:cs="Arial"/>
          <w:sz w:val="26"/>
          <w:szCs w:val="26"/>
        </w:rPr>
        <w:t xml:space="preserve">los asuntos de jurisdicción voluntaria y de aquellos no contenciosos de su competencia que soliciten las partes con excepción de las informaciones de dominio y </w:t>
      </w:r>
      <w:r w:rsidR="00B2281F" w:rsidRPr="00D63940">
        <w:rPr>
          <w:rFonts w:ascii="Arial" w:hAnsi="Arial" w:cs="Arial"/>
          <w:i/>
          <w:iCs/>
          <w:sz w:val="26"/>
          <w:szCs w:val="26"/>
        </w:rPr>
        <w:t>ad-</w:t>
      </w:r>
      <w:proofErr w:type="spellStart"/>
      <w:r w:rsidR="00B2281F" w:rsidRPr="00D63940">
        <w:rPr>
          <w:rFonts w:ascii="Arial" w:hAnsi="Arial" w:cs="Arial"/>
          <w:i/>
          <w:iCs/>
          <w:sz w:val="26"/>
          <w:szCs w:val="26"/>
        </w:rPr>
        <w:t>perpetuam</w:t>
      </w:r>
      <w:proofErr w:type="spellEnd"/>
      <w:r w:rsidR="00A26F9D">
        <w:rPr>
          <w:rFonts w:ascii="Arial" w:hAnsi="Arial" w:cs="Arial"/>
          <w:sz w:val="26"/>
          <w:szCs w:val="26"/>
        </w:rPr>
        <w:t>, como ya se explicó, la anulación de las diligencias de jurisdicción voluntaria sólo puede solicitarse a través del juicio ordinario civil, y por lo tanto, la Síndica Municipal resulta incompetente para dirimir esa controversia a través del recurso administrativo de revocación</w:t>
      </w:r>
      <w:r w:rsidR="005A695E">
        <w:rPr>
          <w:rFonts w:ascii="Arial" w:hAnsi="Arial" w:cs="Arial"/>
          <w:sz w:val="26"/>
          <w:szCs w:val="26"/>
        </w:rPr>
        <w:t xml:space="preserve"> </w:t>
      </w:r>
      <w:r w:rsidR="00A26F9D">
        <w:rPr>
          <w:rFonts w:ascii="Arial" w:hAnsi="Arial" w:cs="Arial"/>
          <w:sz w:val="26"/>
          <w:szCs w:val="26"/>
        </w:rPr>
        <w:t xml:space="preserve">previsto en </w:t>
      </w:r>
      <w:r w:rsidR="00734A95">
        <w:rPr>
          <w:rFonts w:ascii="Arial" w:hAnsi="Arial" w:cs="Arial"/>
          <w:sz w:val="26"/>
          <w:szCs w:val="26"/>
        </w:rPr>
        <w:t>los</w:t>
      </w:r>
      <w:r w:rsidR="00A26F9D">
        <w:rPr>
          <w:rFonts w:ascii="Arial" w:hAnsi="Arial" w:cs="Arial"/>
          <w:sz w:val="26"/>
          <w:szCs w:val="26"/>
        </w:rPr>
        <w:t xml:space="preserve"> numeral</w:t>
      </w:r>
      <w:r w:rsidR="00734A95">
        <w:rPr>
          <w:rFonts w:ascii="Arial" w:hAnsi="Arial" w:cs="Arial"/>
          <w:sz w:val="26"/>
          <w:szCs w:val="26"/>
        </w:rPr>
        <w:t>es</w:t>
      </w:r>
      <w:r w:rsidR="00A26F9D">
        <w:rPr>
          <w:rFonts w:ascii="Arial" w:hAnsi="Arial" w:cs="Arial"/>
          <w:sz w:val="26"/>
          <w:szCs w:val="26"/>
        </w:rPr>
        <w:t xml:space="preserve"> 147</w:t>
      </w:r>
      <w:r w:rsidR="00734A95">
        <w:rPr>
          <w:rStyle w:val="Refdenotaalpie"/>
          <w:rFonts w:ascii="Arial" w:hAnsi="Arial" w:cs="Arial"/>
          <w:sz w:val="26"/>
          <w:szCs w:val="26"/>
        </w:rPr>
        <w:footnoteReference w:id="6"/>
      </w:r>
      <w:r w:rsidR="00734A95">
        <w:rPr>
          <w:rFonts w:ascii="Arial" w:hAnsi="Arial" w:cs="Arial"/>
          <w:sz w:val="26"/>
          <w:szCs w:val="26"/>
        </w:rPr>
        <w:t xml:space="preserve"> y 150</w:t>
      </w:r>
      <w:r w:rsidR="00734A95">
        <w:rPr>
          <w:rStyle w:val="Refdenotaalpie"/>
          <w:rFonts w:ascii="Arial" w:hAnsi="Arial" w:cs="Arial"/>
          <w:sz w:val="26"/>
          <w:szCs w:val="26"/>
        </w:rPr>
        <w:footnoteReference w:id="7"/>
      </w:r>
      <w:r w:rsidR="00A26F9D">
        <w:rPr>
          <w:rFonts w:ascii="Arial" w:hAnsi="Arial" w:cs="Arial"/>
          <w:sz w:val="26"/>
          <w:szCs w:val="26"/>
        </w:rPr>
        <w:t xml:space="preserve"> de la Ley Orgánica Municipal del </w:t>
      </w:r>
      <w:r w:rsidR="00A26F9D">
        <w:rPr>
          <w:rFonts w:ascii="Arial" w:hAnsi="Arial" w:cs="Arial"/>
          <w:sz w:val="26"/>
          <w:szCs w:val="26"/>
        </w:rPr>
        <w:lastRenderedPageBreak/>
        <w:t>Estado de Oaxaca, pues éste m</w:t>
      </w:r>
      <w:bookmarkStart w:id="2" w:name="_GoBack"/>
      <w:bookmarkEnd w:id="2"/>
      <w:r w:rsidR="00A26F9D">
        <w:rPr>
          <w:rFonts w:ascii="Arial" w:hAnsi="Arial" w:cs="Arial"/>
          <w:sz w:val="26"/>
          <w:szCs w:val="26"/>
        </w:rPr>
        <w:t xml:space="preserve">edio de defensa administrativa es procedente para impugnar actos que las autoridades administrativas municipales </w:t>
      </w:r>
      <w:r w:rsidR="00734A95">
        <w:rPr>
          <w:rFonts w:ascii="Arial" w:hAnsi="Arial" w:cs="Arial"/>
          <w:sz w:val="26"/>
          <w:szCs w:val="26"/>
        </w:rPr>
        <w:t xml:space="preserve">emitan conforme a </w:t>
      </w:r>
      <w:r w:rsidR="00734A95" w:rsidRPr="00734A95">
        <w:rPr>
          <w:rFonts w:ascii="Arial" w:hAnsi="Arial" w:cs="Arial"/>
          <w:sz w:val="26"/>
          <w:szCs w:val="26"/>
        </w:rPr>
        <w:t>los Bandos de Policía y Gobierno, circulares y disposiciones administrativas de observancia general</w:t>
      </w:r>
      <w:r w:rsidR="00734A95">
        <w:rPr>
          <w:rFonts w:ascii="Arial" w:hAnsi="Arial" w:cs="Arial"/>
          <w:sz w:val="26"/>
          <w:szCs w:val="26"/>
        </w:rPr>
        <w:t xml:space="preserve"> vigentes en la municipalidad, </w:t>
      </w:r>
      <w:r w:rsidR="005629E9">
        <w:rPr>
          <w:rFonts w:ascii="Arial" w:hAnsi="Arial" w:cs="Arial"/>
          <w:sz w:val="26"/>
          <w:szCs w:val="26"/>
        </w:rPr>
        <w:t>en términos del numeral 149</w:t>
      </w:r>
      <w:r w:rsidR="005629E9">
        <w:rPr>
          <w:rStyle w:val="Refdenotaalpie"/>
          <w:rFonts w:ascii="Arial" w:hAnsi="Arial" w:cs="Arial"/>
          <w:sz w:val="26"/>
          <w:szCs w:val="26"/>
        </w:rPr>
        <w:footnoteReference w:id="8"/>
      </w:r>
      <w:r w:rsidR="005629E9">
        <w:rPr>
          <w:rFonts w:ascii="Arial" w:hAnsi="Arial" w:cs="Arial"/>
          <w:sz w:val="26"/>
          <w:szCs w:val="26"/>
        </w:rPr>
        <w:t xml:space="preserve"> de la ley Orgánica Municipal en cita, supuesto que es distinto al apeo y deslinde que como diligencia de jurisdicción voluntaria, se desahoga conforme al Código de </w:t>
      </w:r>
      <w:r w:rsidR="005629E9" w:rsidRPr="00EF37E6">
        <w:rPr>
          <w:rFonts w:ascii="Arial" w:eastAsia="Times New Roman" w:hAnsi="Arial" w:cs="Arial"/>
          <w:bCs/>
          <w:sz w:val="26"/>
          <w:szCs w:val="26"/>
          <w:lang w:eastAsia="es-ES"/>
        </w:rPr>
        <w:t>Procedimientos Civiles del Estado de Oaxaca</w:t>
      </w:r>
      <w:r w:rsidR="005629E9">
        <w:rPr>
          <w:rFonts w:ascii="Arial" w:eastAsia="Times New Roman" w:hAnsi="Arial" w:cs="Arial"/>
          <w:bCs/>
          <w:sz w:val="26"/>
          <w:szCs w:val="26"/>
          <w:lang w:eastAsia="es-ES"/>
        </w:rPr>
        <w:t xml:space="preserve">. De ahí lo </w:t>
      </w:r>
      <w:r w:rsidR="005629E9" w:rsidRPr="005629E9">
        <w:rPr>
          <w:rFonts w:ascii="Arial" w:eastAsia="Times New Roman" w:hAnsi="Arial" w:cs="Arial"/>
          <w:b/>
          <w:sz w:val="26"/>
          <w:szCs w:val="26"/>
          <w:lang w:eastAsia="es-ES"/>
        </w:rPr>
        <w:t xml:space="preserve">INFUNDADO </w:t>
      </w:r>
      <w:r w:rsidR="005629E9">
        <w:rPr>
          <w:rFonts w:ascii="Arial" w:eastAsia="Times New Roman" w:hAnsi="Arial" w:cs="Arial"/>
          <w:bCs/>
          <w:sz w:val="26"/>
          <w:szCs w:val="26"/>
          <w:lang w:eastAsia="es-ES"/>
        </w:rPr>
        <w:t xml:space="preserve">del agravio de la autoridad inconforme. </w:t>
      </w:r>
      <w:r w:rsidR="005A695E">
        <w:rPr>
          <w:rFonts w:ascii="Arial" w:eastAsia="Times New Roman" w:hAnsi="Arial" w:cs="Arial"/>
          <w:bCs/>
          <w:sz w:val="26"/>
          <w:szCs w:val="26"/>
          <w:lang w:eastAsia="es-ES"/>
        </w:rPr>
        <w:t xml:space="preserve">- - - - - - - - - - - - - </w:t>
      </w:r>
    </w:p>
    <w:p w14:paraId="1494606E" w14:textId="44A19112" w:rsidR="005629E9" w:rsidRPr="00CA0630" w:rsidRDefault="005629E9" w:rsidP="005629E9">
      <w:pPr>
        <w:widowControl w:val="0"/>
        <w:spacing w:before="240" w:after="0" w:line="360" w:lineRule="auto"/>
        <w:ind w:right="49" w:firstLine="567"/>
        <w:jc w:val="both"/>
        <w:rPr>
          <w:rFonts w:ascii="Arial" w:eastAsia="Calibri" w:hAnsi="Arial" w:cs="Arial"/>
          <w:sz w:val="26"/>
          <w:szCs w:val="26"/>
        </w:rPr>
      </w:pPr>
      <w:r>
        <w:rPr>
          <w:rFonts w:ascii="Arial" w:eastAsia="Calibri" w:hAnsi="Arial" w:cs="Arial"/>
          <w:bCs/>
          <w:sz w:val="26"/>
          <w:szCs w:val="26"/>
        </w:rPr>
        <w:t xml:space="preserve">En virtud de lo anterior, es procedente </w:t>
      </w:r>
      <w:r>
        <w:rPr>
          <w:rFonts w:ascii="Arial" w:eastAsia="Calibri" w:hAnsi="Arial" w:cs="Arial"/>
          <w:b/>
          <w:sz w:val="26"/>
          <w:szCs w:val="26"/>
        </w:rPr>
        <w:t>CONFIRMAR</w:t>
      </w:r>
      <w:r>
        <w:rPr>
          <w:rFonts w:ascii="Arial" w:eastAsia="Calibri" w:hAnsi="Arial" w:cs="Arial"/>
          <w:bCs/>
          <w:sz w:val="26"/>
          <w:szCs w:val="26"/>
        </w:rPr>
        <w:t xml:space="preserve"> la sentencia de treinta de enero de dos mil veinte, por las razones explicadas por esta Sala Superior,</w:t>
      </w:r>
      <w:r w:rsidRPr="00CA0630">
        <w:rPr>
          <w:rFonts w:ascii="Arial" w:eastAsia="Calibri" w:hAnsi="Arial" w:cs="Arial"/>
          <w:sz w:val="26"/>
          <w:szCs w:val="26"/>
        </w:rPr>
        <w:t xml:space="preserve"> </w:t>
      </w:r>
      <w:r>
        <w:rPr>
          <w:rFonts w:ascii="Arial" w:eastAsia="Calibri" w:hAnsi="Arial" w:cs="Arial"/>
          <w:sz w:val="26"/>
          <w:szCs w:val="26"/>
        </w:rPr>
        <w:t xml:space="preserve">y </w:t>
      </w:r>
      <w:r w:rsidRPr="00CA0630">
        <w:rPr>
          <w:rFonts w:ascii="Arial" w:eastAsia="Calibri" w:hAnsi="Arial" w:cs="Arial"/>
          <w:bCs/>
          <w:sz w:val="26"/>
          <w:szCs w:val="26"/>
        </w:rPr>
        <w:t>c</w:t>
      </w:r>
      <w:r w:rsidRPr="00CA0630">
        <w:rPr>
          <w:rFonts w:ascii="Arial" w:eastAsia="Calibri" w:hAnsi="Arial" w:cs="Arial"/>
          <w:sz w:val="26"/>
          <w:szCs w:val="26"/>
        </w:rPr>
        <w:t>on fundamento en los artículos 23</w:t>
      </w:r>
      <w:r>
        <w:rPr>
          <w:rFonts w:ascii="Arial" w:eastAsia="Calibri" w:hAnsi="Arial" w:cs="Arial"/>
          <w:sz w:val="26"/>
          <w:szCs w:val="26"/>
        </w:rPr>
        <w:t>6</w:t>
      </w:r>
      <w:r w:rsidRPr="00CA0630">
        <w:rPr>
          <w:rFonts w:ascii="Arial" w:eastAsia="Calibri" w:hAnsi="Arial" w:cs="Arial"/>
          <w:sz w:val="26"/>
          <w:szCs w:val="26"/>
        </w:rPr>
        <w:t xml:space="preserve"> y 238 de la Ley de Procedimiento y Justicia Administrativa para el Estado de Oaxaca, se:</w:t>
      </w:r>
      <w:r w:rsidR="005A695E">
        <w:rPr>
          <w:rFonts w:ascii="Arial" w:eastAsia="Calibri" w:hAnsi="Arial" w:cs="Arial"/>
          <w:sz w:val="26"/>
          <w:szCs w:val="26"/>
        </w:rPr>
        <w:t xml:space="preserve"> - - - - - - - - - - - - - - - - - - - - - - - - - - - - - - - - - - - - - - - - - - -</w:t>
      </w:r>
    </w:p>
    <w:p w14:paraId="1B4413EF" w14:textId="77777777" w:rsidR="005629E9" w:rsidRPr="00E04A29" w:rsidRDefault="005629E9" w:rsidP="005629E9">
      <w:pPr>
        <w:widowControl w:val="0"/>
        <w:tabs>
          <w:tab w:val="left" w:pos="0"/>
        </w:tabs>
        <w:spacing w:before="240" w:after="0" w:line="360" w:lineRule="auto"/>
        <w:ind w:right="18"/>
        <w:jc w:val="center"/>
        <w:rPr>
          <w:rFonts w:ascii="Arial" w:hAnsi="Arial" w:cs="Arial"/>
          <w:b/>
          <w:sz w:val="26"/>
          <w:szCs w:val="26"/>
        </w:rPr>
      </w:pPr>
      <w:r w:rsidRPr="00E04A29">
        <w:rPr>
          <w:rFonts w:ascii="Arial" w:hAnsi="Arial" w:cs="Arial"/>
          <w:b/>
          <w:sz w:val="26"/>
          <w:szCs w:val="26"/>
        </w:rPr>
        <w:t>R E S U E L V E</w:t>
      </w:r>
    </w:p>
    <w:p w14:paraId="1DBD859A" w14:textId="34CDE2FA" w:rsidR="005629E9" w:rsidRDefault="005629E9" w:rsidP="005629E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eastAsia="Calibri" w:hAnsi="Arial" w:cs="Arial"/>
          <w:b/>
          <w:sz w:val="26"/>
          <w:szCs w:val="26"/>
        </w:rPr>
        <w:t>CONFIRMA</w:t>
      </w:r>
      <w:r>
        <w:rPr>
          <w:rFonts w:ascii="Arial" w:eastAsia="Calibri" w:hAnsi="Arial" w:cs="Arial"/>
          <w:bCs/>
          <w:sz w:val="26"/>
          <w:szCs w:val="26"/>
        </w:rPr>
        <w:t xml:space="preserve"> la sentencia de treinta de enero de dos mil veinte, </w:t>
      </w:r>
      <w:r>
        <w:rPr>
          <w:rFonts w:ascii="Arial" w:hAnsi="Arial" w:cs="Arial"/>
          <w:color w:val="000000"/>
          <w:sz w:val="26"/>
          <w:szCs w:val="26"/>
          <w:lang w:val="es-MX"/>
        </w:rPr>
        <w:t>por las razones expuestas en el considerando que antecede.</w:t>
      </w:r>
      <w:r w:rsidR="005A695E">
        <w:rPr>
          <w:rFonts w:ascii="Arial" w:hAnsi="Arial" w:cs="Arial"/>
          <w:color w:val="000000"/>
          <w:sz w:val="26"/>
          <w:szCs w:val="26"/>
          <w:lang w:val="es-MX"/>
        </w:rPr>
        <w:t xml:space="preserve"> - - - - - - - - - - - - - - - - - - - - - - - - - - - - - - - - - - - - - - - - - - - - - </w:t>
      </w:r>
    </w:p>
    <w:p w14:paraId="0ABB2D41" w14:textId="49A83F6A" w:rsidR="005629E9" w:rsidRDefault="005629E9" w:rsidP="005629E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r w:rsidR="005A695E">
        <w:rPr>
          <w:rFonts w:ascii="Arial" w:hAnsi="Arial" w:cs="Arial"/>
          <w:sz w:val="26"/>
          <w:szCs w:val="26"/>
        </w:rPr>
        <w:t xml:space="preserve"> - - - - - - - - - - - - </w:t>
      </w:r>
    </w:p>
    <w:p w14:paraId="49C3D4F4" w14:textId="1A630470" w:rsidR="005629E9" w:rsidRPr="009D1B2F" w:rsidRDefault="005629E9" w:rsidP="005629E9">
      <w:pPr>
        <w:spacing w:before="240" w:line="360" w:lineRule="auto"/>
        <w:ind w:firstLine="708"/>
        <w:jc w:val="both"/>
        <w:rPr>
          <w:rFonts w:ascii="Arial" w:hAnsi="Arial" w:cs="Arial"/>
          <w:sz w:val="26"/>
          <w:szCs w:val="26"/>
        </w:rPr>
      </w:pPr>
      <w:r w:rsidRPr="009D1B2F">
        <w:rPr>
          <w:rFonts w:ascii="Arial" w:hAnsi="Arial" w:cs="Arial"/>
          <w:sz w:val="26"/>
          <w:szCs w:val="26"/>
        </w:rPr>
        <w:t xml:space="preserve">Por unanimidad de votos, lo resolvieron y firmaron los Magistrados Manuel Velasco Alcántara; Raúl Palomares Palomino </w:t>
      </w:r>
      <w:r w:rsidRPr="009D1B2F">
        <w:rPr>
          <w:rFonts w:ascii="Arial" w:hAnsi="Arial" w:cs="Arial"/>
          <w:bCs/>
          <w:sz w:val="26"/>
          <w:szCs w:val="26"/>
        </w:rPr>
        <w:t>(ponente)</w:t>
      </w:r>
      <w:r w:rsidRPr="009D1B2F">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5A695E">
        <w:rPr>
          <w:rFonts w:ascii="Arial" w:hAnsi="Arial" w:cs="Arial"/>
          <w:sz w:val="26"/>
          <w:szCs w:val="26"/>
        </w:rPr>
        <w:t xml:space="preserve">- - - - - - - - - - - - - - - - - - - - - - - - - - - - - - - - - - - - - - - - </w:t>
      </w:r>
    </w:p>
    <w:p w14:paraId="28D140DF"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31BFAB71" w14:textId="77777777" w:rsidR="006F2682" w:rsidRDefault="006F2682" w:rsidP="006F2682">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0035/</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1D3E634F"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78DFF4C7"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1C98DD22"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4791F393"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639C7EE4"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3A134D20"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5A457591" w14:textId="77777777" w:rsidR="005A695E" w:rsidRDefault="005A695E" w:rsidP="005A695E">
      <w:pPr>
        <w:tabs>
          <w:tab w:val="center" w:pos="4135"/>
          <w:tab w:val="left" w:pos="7515"/>
        </w:tabs>
        <w:spacing w:after="0" w:line="240" w:lineRule="auto"/>
        <w:jc w:val="center"/>
        <w:rPr>
          <w:rFonts w:ascii="Arial" w:eastAsia="Times New Roman" w:hAnsi="Arial" w:cs="Arial"/>
          <w:sz w:val="26"/>
          <w:szCs w:val="26"/>
        </w:rPr>
      </w:pPr>
    </w:p>
    <w:p w14:paraId="13421536" w14:textId="11829972" w:rsidR="005A695E" w:rsidRPr="007E36E2" w:rsidRDefault="005A695E" w:rsidP="005A695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693483C5" w14:textId="77777777" w:rsidR="005A695E" w:rsidRPr="007E36E2" w:rsidRDefault="005A695E" w:rsidP="005A695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609DD92A" w14:textId="77777777" w:rsidR="005A695E" w:rsidRPr="007E36E2" w:rsidRDefault="005A695E" w:rsidP="006F2682">
      <w:pPr>
        <w:tabs>
          <w:tab w:val="center" w:pos="4135"/>
          <w:tab w:val="left" w:pos="7515"/>
        </w:tabs>
        <w:spacing w:line="360" w:lineRule="auto"/>
        <w:rPr>
          <w:rFonts w:ascii="Arial" w:eastAsia="Times New Roman" w:hAnsi="Arial" w:cs="Arial"/>
          <w:sz w:val="26"/>
          <w:szCs w:val="26"/>
        </w:rPr>
      </w:pPr>
    </w:p>
    <w:p w14:paraId="22A11825"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p>
    <w:p w14:paraId="30D03DA9"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p>
    <w:p w14:paraId="3FDA4766"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3F1E714"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p>
    <w:p w14:paraId="7F60469E" w14:textId="77777777" w:rsidR="005A695E" w:rsidRPr="007E36E2" w:rsidRDefault="005A695E" w:rsidP="006F2682">
      <w:pPr>
        <w:tabs>
          <w:tab w:val="center" w:pos="4135"/>
          <w:tab w:val="left" w:pos="7515"/>
        </w:tabs>
        <w:spacing w:line="360" w:lineRule="auto"/>
        <w:rPr>
          <w:rFonts w:ascii="Arial" w:eastAsia="Times New Roman" w:hAnsi="Arial" w:cs="Arial"/>
          <w:sz w:val="26"/>
          <w:szCs w:val="26"/>
        </w:rPr>
      </w:pPr>
    </w:p>
    <w:p w14:paraId="2B821B27"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p>
    <w:p w14:paraId="39587578"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61FBE081" w14:textId="77777777" w:rsidR="005A695E" w:rsidRDefault="005A695E" w:rsidP="006F2682">
      <w:pPr>
        <w:tabs>
          <w:tab w:val="center" w:pos="4135"/>
          <w:tab w:val="left" w:pos="7515"/>
        </w:tabs>
        <w:spacing w:line="360" w:lineRule="auto"/>
        <w:rPr>
          <w:rFonts w:ascii="Arial" w:eastAsia="Times New Roman" w:hAnsi="Arial" w:cs="Arial"/>
          <w:b/>
          <w:bCs/>
          <w:sz w:val="16"/>
          <w:szCs w:val="16"/>
        </w:rPr>
      </w:pPr>
    </w:p>
    <w:p w14:paraId="16E09C44" w14:textId="77777777" w:rsidR="005A695E" w:rsidRDefault="005A695E" w:rsidP="005A695E">
      <w:pPr>
        <w:tabs>
          <w:tab w:val="center" w:pos="4135"/>
          <w:tab w:val="left" w:pos="7515"/>
        </w:tabs>
        <w:spacing w:line="360" w:lineRule="auto"/>
        <w:rPr>
          <w:rFonts w:ascii="Arial" w:eastAsia="Times New Roman" w:hAnsi="Arial" w:cs="Arial"/>
          <w:b/>
          <w:bCs/>
          <w:sz w:val="16"/>
          <w:szCs w:val="16"/>
        </w:rPr>
      </w:pPr>
    </w:p>
    <w:p w14:paraId="41D7A9A8" w14:textId="77777777" w:rsidR="005A695E" w:rsidRDefault="005A695E" w:rsidP="005A695E">
      <w:pPr>
        <w:tabs>
          <w:tab w:val="center" w:pos="4135"/>
          <w:tab w:val="left" w:pos="7515"/>
        </w:tabs>
        <w:spacing w:line="360" w:lineRule="auto"/>
        <w:jc w:val="center"/>
        <w:rPr>
          <w:rFonts w:ascii="Arial" w:eastAsia="Times New Roman" w:hAnsi="Arial" w:cs="Arial"/>
          <w:b/>
          <w:bCs/>
          <w:sz w:val="16"/>
          <w:szCs w:val="16"/>
        </w:rPr>
      </w:pPr>
    </w:p>
    <w:p w14:paraId="09945A6A"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p>
    <w:p w14:paraId="74E313C7" w14:textId="0755BD07" w:rsidR="005A695E" w:rsidRPr="006F2682" w:rsidRDefault="005A695E" w:rsidP="006F268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67AB141"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p>
    <w:p w14:paraId="6BEEDD1B" w14:textId="77777777" w:rsidR="005A695E" w:rsidRDefault="005A695E" w:rsidP="005A695E">
      <w:pPr>
        <w:tabs>
          <w:tab w:val="center" w:pos="4135"/>
          <w:tab w:val="left" w:pos="7515"/>
        </w:tabs>
        <w:spacing w:line="360" w:lineRule="auto"/>
        <w:jc w:val="center"/>
        <w:rPr>
          <w:rFonts w:ascii="Arial" w:eastAsia="Times New Roman" w:hAnsi="Arial" w:cs="Arial"/>
          <w:sz w:val="26"/>
          <w:szCs w:val="26"/>
        </w:rPr>
      </w:pPr>
    </w:p>
    <w:p w14:paraId="45A5547D" w14:textId="77777777" w:rsidR="005A695E" w:rsidRPr="007E36E2" w:rsidRDefault="005A695E" w:rsidP="005A695E">
      <w:pPr>
        <w:tabs>
          <w:tab w:val="center" w:pos="4135"/>
          <w:tab w:val="left" w:pos="7515"/>
        </w:tabs>
        <w:spacing w:line="360" w:lineRule="auto"/>
        <w:rPr>
          <w:rFonts w:ascii="Arial" w:eastAsia="Times New Roman" w:hAnsi="Arial" w:cs="Arial"/>
          <w:sz w:val="26"/>
          <w:szCs w:val="26"/>
        </w:rPr>
      </w:pPr>
    </w:p>
    <w:p w14:paraId="72A706AA" w14:textId="77777777" w:rsidR="005A695E" w:rsidRPr="007E36E2" w:rsidRDefault="005A695E" w:rsidP="005A695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0CB79E00" w14:textId="77777777" w:rsidR="005A695E" w:rsidRPr="007E36E2" w:rsidRDefault="005A695E" w:rsidP="005A695E">
      <w:pPr>
        <w:spacing w:after="0" w:line="240" w:lineRule="auto"/>
        <w:jc w:val="center"/>
        <w:rPr>
          <w:rFonts w:ascii="Arial" w:eastAsia="Times New Roman" w:hAnsi="Arial" w:cs="Arial"/>
          <w:sz w:val="26"/>
          <w:szCs w:val="26"/>
        </w:rPr>
      </w:pPr>
    </w:p>
    <w:p w14:paraId="7B350B63" w14:textId="77777777" w:rsidR="005A695E" w:rsidRPr="007E36E2" w:rsidRDefault="005A695E" w:rsidP="005A695E">
      <w:pPr>
        <w:spacing w:after="0" w:line="240" w:lineRule="auto"/>
        <w:jc w:val="center"/>
        <w:rPr>
          <w:rFonts w:ascii="Arial" w:eastAsia="Times New Roman" w:hAnsi="Arial" w:cs="Arial"/>
          <w:sz w:val="26"/>
          <w:szCs w:val="26"/>
        </w:rPr>
      </w:pPr>
    </w:p>
    <w:p w14:paraId="3D02C74E" w14:textId="77777777" w:rsidR="005A695E" w:rsidRDefault="005A695E" w:rsidP="005A695E">
      <w:pPr>
        <w:spacing w:after="0" w:line="240" w:lineRule="auto"/>
        <w:jc w:val="center"/>
        <w:rPr>
          <w:rFonts w:ascii="Arial" w:eastAsia="Times New Roman" w:hAnsi="Arial" w:cs="Arial"/>
          <w:sz w:val="26"/>
          <w:szCs w:val="26"/>
        </w:rPr>
      </w:pPr>
    </w:p>
    <w:p w14:paraId="2EA4DC5F" w14:textId="77777777" w:rsidR="005A695E" w:rsidRPr="007E36E2" w:rsidRDefault="005A695E" w:rsidP="005A695E">
      <w:pPr>
        <w:spacing w:after="0" w:line="240" w:lineRule="auto"/>
        <w:jc w:val="center"/>
        <w:rPr>
          <w:rFonts w:ascii="Arial" w:eastAsia="Times New Roman" w:hAnsi="Arial" w:cs="Arial"/>
          <w:sz w:val="26"/>
          <w:szCs w:val="26"/>
        </w:rPr>
      </w:pPr>
    </w:p>
    <w:p w14:paraId="05A6E49C" w14:textId="77777777" w:rsidR="005A695E" w:rsidRPr="007E36E2" w:rsidRDefault="005A695E" w:rsidP="005A695E">
      <w:pPr>
        <w:spacing w:after="0" w:line="240" w:lineRule="auto"/>
        <w:jc w:val="center"/>
        <w:rPr>
          <w:rFonts w:ascii="Arial" w:eastAsia="Times New Roman" w:hAnsi="Arial" w:cs="Arial"/>
          <w:sz w:val="26"/>
          <w:szCs w:val="26"/>
        </w:rPr>
      </w:pPr>
    </w:p>
    <w:p w14:paraId="6E9CDBB5" w14:textId="77777777" w:rsidR="005A695E" w:rsidRPr="007E36E2" w:rsidRDefault="005A695E" w:rsidP="005A695E">
      <w:pPr>
        <w:spacing w:after="0" w:line="240" w:lineRule="auto"/>
        <w:jc w:val="center"/>
        <w:rPr>
          <w:rFonts w:ascii="Arial" w:eastAsia="Times New Roman" w:hAnsi="Arial" w:cs="Arial"/>
          <w:sz w:val="26"/>
          <w:szCs w:val="26"/>
        </w:rPr>
      </w:pPr>
    </w:p>
    <w:p w14:paraId="12A5A0F3" w14:textId="77777777" w:rsidR="005A695E" w:rsidRPr="007E36E2" w:rsidRDefault="005A695E" w:rsidP="005A695E">
      <w:pPr>
        <w:spacing w:after="0" w:line="240" w:lineRule="auto"/>
        <w:jc w:val="center"/>
        <w:rPr>
          <w:rFonts w:ascii="Arial" w:eastAsia="Times New Roman" w:hAnsi="Arial" w:cs="Arial"/>
          <w:sz w:val="26"/>
          <w:szCs w:val="26"/>
        </w:rPr>
      </w:pPr>
    </w:p>
    <w:p w14:paraId="771C36DB" w14:textId="77777777" w:rsidR="005A695E" w:rsidRPr="007E36E2" w:rsidRDefault="005A695E" w:rsidP="005A695E">
      <w:pPr>
        <w:spacing w:after="0" w:line="240" w:lineRule="auto"/>
        <w:jc w:val="center"/>
        <w:rPr>
          <w:rFonts w:ascii="Arial" w:eastAsia="Times New Roman" w:hAnsi="Arial" w:cs="Arial"/>
          <w:sz w:val="26"/>
          <w:szCs w:val="26"/>
        </w:rPr>
      </w:pPr>
    </w:p>
    <w:p w14:paraId="107172B0" w14:textId="77777777" w:rsidR="005A695E" w:rsidRPr="007E36E2" w:rsidRDefault="005A695E" w:rsidP="005A695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6B49789E" w14:textId="77777777" w:rsidR="005A695E" w:rsidRPr="007E36E2" w:rsidRDefault="005A695E" w:rsidP="005A695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0770F3B5" w:rsidR="00BA258A" w:rsidRPr="003B6CF0" w:rsidRDefault="00BA258A" w:rsidP="005A695E">
      <w:pPr>
        <w:tabs>
          <w:tab w:val="center" w:pos="4135"/>
          <w:tab w:val="left" w:pos="7515"/>
        </w:tabs>
        <w:spacing w:after="0"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37F6A" w14:textId="77777777" w:rsidR="008B1523" w:rsidRDefault="008B1523">
      <w:pPr>
        <w:spacing w:after="0" w:line="240" w:lineRule="auto"/>
      </w:pPr>
      <w:r>
        <w:separator/>
      </w:r>
    </w:p>
  </w:endnote>
  <w:endnote w:type="continuationSeparator" w:id="0">
    <w:p w14:paraId="1CA0ADA6" w14:textId="77777777" w:rsidR="008B1523" w:rsidRDefault="008B1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4C02A8" w:rsidRDefault="004C02A8">
    <w:pPr>
      <w:pStyle w:val="Piedepgina"/>
      <w:jc w:val="center"/>
    </w:pPr>
  </w:p>
  <w:p w14:paraId="195FF414" w14:textId="77777777" w:rsidR="004C02A8" w:rsidRDefault="004C02A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7E55D" w14:textId="77777777" w:rsidR="008B1523" w:rsidRDefault="008B1523">
      <w:pPr>
        <w:spacing w:after="0" w:line="240" w:lineRule="auto"/>
      </w:pPr>
      <w:r>
        <w:separator/>
      </w:r>
    </w:p>
  </w:footnote>
  <w:footnote w:type="continuationSeparator" w:id="0">
    <w:p w14:paraId="6378F1A8" w14:textId="77777777" w:rsidR="008B1523" w:rsidRDefault="008B1523">
      <w:pPr>
        <w:spacing w:after="0" w:line="240" w:lineRule="auto"/>
      </w:pPr>
      <w:r>
        <w:continuationSeparator/>
      </w:r>
    </w:p>
  </w:footnote>
  <w:footnote w:id="1">
    <w:p w14:paraId="32A5A80C" w14:textId="77777777" w:rsidR="00B90365" w:rsidRPr="00571437" w:rsidRDefault="00B90365" w:rsidP="00B90365">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182C98D9" w14:textId="77777777" w:rsidR="00B90365" w:rsidRPr="00571437" w:rsidRDefault="00B90365" w:rsidP="00B90365">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15111043" w14:textId="3C01CAA6" w:rsidR="00400839" w:rsidRPr="00400839" w:rsidRDefault="00400839" w:rsidP="00400839">
      <w:pPr>
        <w:pStyle w:val="Textonotapie"/>
        <w:jc w:val="both"/>
        <w:rPr>
          <w:rFonts w:ascii="Arial" w:hAnsi="Arial" w:cs="Arial"/>
        </w:rPr>
      </w:pPr>
      <w:r w:rsidRPr="00400839">
        <w:rPr>
          <w:rStyle w:val="Refdenotaalpie"/>
          <w:rFonts w:ascii="Arial" w:hAnsi="Arial" w:cs="Arial"/>
        </w:rPr>
        <w:footnoteRef/>
      </w:r>
      <w:r w:rsidRPr="00400839">
        <w:rPr>
          <w:rFonts w:ascii="Arial" w:hAnsi="Arial" w:cs="Arial"/>
        </w:rPr>
        <w:t xml:space="preserve"> Consultable en las fojas 01 (uno) y 02 (dos) del expediente </w:t>
      </w:r>
      <w:r w:rsidRPr="00400839">
        <w:rPr>
          <w:rFonts w:ascii="Arial" w:hAnsi="Arial" w:cs="Arial"/>
          <w:b/>
          <w:bCs/>
        </w:rPr>
        <w:t>41/2019</w:t>
      </w:r>
      <w:r w:rsidRPr="00400839">
        <w:rPr>
          <w:rFonts w:ascii="Arial" w:hAnsi="Arial" w:cs="Arial"/>
        </w:rPr>
        <w:t xml:space="preserve"> del índice de la Primera Sala Unitaria de Primera Instancia. </w:t>
      </w:r>
    </w:p>
  </w:footnote>
  <w:footnote w:id="3">
    <w:p w14:paraId="28C36E6E" w14:textId="7791452C" w:rsidR="00400839" w:rsidRPr="00CA342F" w:rsidRDefault="00400839">
      <w:pPr>
        <w:pStyle w:val="Textonotapie"/>
        <w:rPr>
          <w:rFonts w:ascii="Arial" w:hAnsi="Arial" w:cs="Arial"/>
        </w:rPr>
      </w:pPr>
      <w:r w:rsidRPr="00CA342F">
        <w:rPr>
          <w:rStyle w:val="Refdenotaalpie"/>
          <w:rFonts w:ascii="Arial" w:hAnsi="Arial" w:cs="Arial"/>
        </w:rPr>
        <w:footnoteRef/>
      </w:r>
      <w:r w:rsidRPr="00CA342F">
        <w:rPr>
          <w:rFonts w:ascii="Arial" w:hAnsi="Arial" w:cs="Arial"/>
        </w:rPr>
        <w:t xml:space="preserve"> </w:t>
      </w:r>
      <w:r w:rsidR="00CA342F" w:rsidRPr="00CA342F">
        <w:rPr>
          <w:rFonts w:ascii="Arial" w:hAnsi="Arial" w:cs="Arial"/>
        </w:rPr>
        <w:t>Glosada de las fojas 109 (ciento nueve) a la 112 (ciento doce) del mismo expediente.</w:t>
      </w:r>
    </w:p>
  </w:footnote>
  <w:footnote w:id="4">
    <w:p w14:paraId="1AA4F4CF" w14:textId="3BFC50B2" w:rsidR="00E928A2" w:rsidRPr="00E928A2" w:rsidRDefault="00E928A2">
      <w:pPr>
        <w:pStyle w:val="Textonotapie"/>
        <w:rPr>
          <w:rFonts w:ascii="Arial" w:hAnsi="Arial" w:cs="Arial"/>
        </w:rPr>
      </w:pPr>
      <w:r w:rsidRPr="00E928A2">
        <w:rPr>
          <w:rStyle w:val="Refdenotaalpie"/>
          <w:rFonts w:ascii="Arial" w:hAnsi="Arial" w:cs="Arial"/>
        </w:rPr>
        <w:footnoteRef/>
      </w:r>
      <w:r w:rsidRPr="00E928A2">
        <w:rPr>
          <w:rFonts w:ascii="Arial" w:hAnsi="Arial" w:cs="Arial"/>
        </w:rPr>
        <w:t xml:space="preserve"> Visible de la foja 11 (once) a la 14 (catorce), </w:t>
      </w:r>
      <w:r w:rsidRPr="00E928A2">
        <w:rPr>
          <w:rFonts w:ascii="Arial" w:hAnsi="Arial" w:cs="Arial"/>
          <w:i/>
          <w:iCs/>
        </w:rPr>
        <w:t>ibídem.</w:t>
      </w:r>
    </w:p>
  </w:footnote>
  <w:footnote w:id="5">
    <w:p w14:paraId="366D3C36" w14:textId="4E190399" w:rsidR="006F22DA" w:rsidRPr="006F22DA" w:rsidRDefault="006F22DA" w:rsidP="006F22DA">
      <w:pPr>
        <w:pStyle w:val="Textonotapie"/>
        <w:jc w:val="both"/>
        <w:rPr>
          <w:rFonts w:ascii="Arial" w:hAnsi="Arial" w:cs="Arial"/>
          <w:i/>
          <w:iCs/>
        </w:rPr>
      </w:pPr>
      <w:r w:rsidRPr="006F22DA">
        <w:rPr>
          <w:rStyle w:val="Refdenotaalpie"/>
          <w:rFonts w:ascii="Arial" w:hAnsi="Arial" w:cs="Arial"/>
          <w:i/>
          <w:iCs/>
        </w:rPr>
        <w:footnoteRef/>
      </w:r>
      <w:r w:rsidRPr="006F22DA">
        <w:rPr>
          <w:rFonts w:ascii="Arial" w:hAnsi="Arial" w:cs="Arial"/>
          <w:i/>
          <w:iCs/>
        </w:rPr>
        <w:t xml:space="preserve"> </w:t>
      </w:r>
      <w:r w:rsidRPr="006F22DA">
        <w:rPr>
          <w:rFonts w:ascii="Arial" w:hAnsi="Arial" w:cs="Arial"/>
          <w:b/>
          <w:bCs/>
          <w:i/>
          <w:iCs/>
        </w:rPr>
        <w:t xml:space="preserve">“Artículo 923.- </w:t>
      </w:r>
      <w:r w:rsidRPr="006F22DA">
        <w:rPr>
          <w:rFonts w:ascii="Arial" w:hAnsi="Arial" w:cs="Arial"/>
          <w:i/>
          <w:iCs/>
        </w:rPr>
        <w:t>El apeo o deslinde tiene lugar siempre que no se hayan fijado los límites que separan un predio de otro u otros, o que habiéndose fijado hay motivo fundado para creer que no son exactos, ya porque naturalmente se hayan confundido, ora porque se hayan destruido las señales que los marcaban, bien porque éstas se hayan colocado en lugar distinto del primitivo.</w:t>
      </w:r>
      <w:r>
        <w:rPr>
          <w:rFonts w:ascii="Arial" w:hAnsi="Arial" w:cs="Arial"/>
          <w:i/>
          <w:iCs/>
        </w:rPr>
        <w:t>”</w:t>
      </w:r>
    </w:p>
  </w:footnote>
  <w:footnote w:id="6">
    <w:p w14:paraId="797A08C3" w14:textId="6E9FD2B9" w:rsidR="00734A95" w:rsidRPr="00734A95" w:rsidRDefault="00734A95" w:rsidP="00734A95">
      <w:pPr>
        <w:widowControl w:val="0"/>
        <w:tabs>
          <w:tab w:val="left" w:pos="0"/>
        </w:tabs>
        <w:spacing w:before="240" w:after="0" w:line="360" w:lineRule="auto"/>
        <w:ind w:right="18"/>
        <w:jc w:val="both"/>
        <w:rPr>
          <w:rFonts w:ascii="Arial" w:hAnsi="Arial" w:cs="Arial"/>
          <w:i/>
          <w:iCs/>
          <w:sz w:val="20"/>
          <w:szCs w:val="20"/>
        </w:rPr>
      </w:pPr>
      <w:r w:rsidRPr="00734A95">
        <w:rPr>
          <w:rStyle w:val="Refdenotaalpie"/>
          <w:rFonts w:ascii="Arial" w:hAnsi="Arial" w:cs="Arial"/>
          <w:i/>
          <w:iCs/>
          <w:sz w:val="20"/>
          <w:szCs w:val="20"/>
        </w:rPr>
        <w:footnoteRef/>
      </w:r>
      <w:r w:rsidRPr="00734A95">
        <w:rPr>
          <w:rFonts w:ascii="Arial" w:hAnsi="Arial" w:cs="Arial"/>
          <w:i/>
          <w:iCs/>
          <w:sz w:val="20"/>
          <w:szCs w:val="20"/>
        </w:rPr>
        <w:t xml:space="preserve"> </w:t>
      </w:r>
      <w:r w:rsidRPr="00734A95">
        <w:rPr>
          <w:rFonts w:ascii="Arial" w:hAnsi="Arial" w:cs="Arial"/>
          <w:b/>
          <w:bCs/>
          <w:i/>
          <w:iCs/>
          <w:sz w:val="20"/>
          <w:szCs w:val="20"/>
        </w:rPr>
        <w:t>“ARTÍCULO 147.-</w:t>
      </w:r>
      <w:r w:rsidRPr="00734A95">
        <w:rPr>
          <w:rFonts w:ascii="Arial" w:hAnsi="Arial" w:cs="Arial"/>
          <w:i/>
          <w:iCs/>
          <w:sz w:val="20"/>
          <w:szCs w:val="20"/>
        </w:rPr>
        <w:t xml:space="preserve"> Contra los actos y resoluciones administrativas que dicten o ejecuten las autoridades competentes en aplicación del presente ordenamiento, los particulares afectados podrán promover el recurso administrativo que corresponda y substanciado éste, también podrán interponer el juicio respectivo ante el Tribunal de lo Contencioso Administrativo y de Cuentas.</w:t>
      </w:r>
      <w:r>
        <w:rPr>
          <w:rFonts w:ascii="Arial" w:hAnsi="Arial" w:cs="Arial"/>
          <w:i/>
          <w:iCs/>
          <w:sz w:val="20"/>
          <w:szCs w:val="20"/>
        </w:rPr>
        <w:t>”</w:t>
      </w:r>
    </w:p>
  </w:footnote>
  <w:footnote w:id="7">
    <w:p w14:paraId="75C82520" w14:textId="521EDE91" w:rsidR="00734A95" w:rsidRPr="00734A95" w:rsidRDefault="00734A95" w:rsidP="00734A95">
      <w:pPr>
        <w:widowControl w:val="0"/>
        <w:tabs>
          <w:tab w:val="left" w:pos="0"/>
        </w:tabs>
        <w:spacing w:before="240" w:after="0" w:line="360" w:lineRule="auto"/>
        <w:ind w:right="18"/>
        <w:jc w:val="both"/>
        <w:rPr>
          <w:rFonts w:ascii="Arial" w:hAnsi="Arial" w:cs="Arial"/>
          <w:i/>
          <w:iCs/>
          <w:sz w:val="20"/>
          <w:szCs w:val="20"/>
        </w:rPr>
      </w:pPr>
      <w:r w:rsidRPr="00734A95">
        <w:rPr>
          <w:rStyle w:val="Refdenotaalpie"/>
          <w:rFonts w:ascii="Arial" w:hAnsi="Arial" w:cs="Arial"/>
          <w:i/>
          <w:iCs/>
          <w:sz w:val="20"/>
          <w:szCs w:val="20"/>
        </w:rPr>
        <w:footnoteRef/>
      </w:r>
      <w:r w:rsidRPr="00734A95">
        <w:rPr>
          <w:rFonts w:ascii="Arial" w:hAnsi="Arial" w:cs="Arial"/>
          <w:i/>
          <w:iCs/>
          <w:sz w:val="20"/>
          <w:szCs w:val="20"/>
        </w:rPr>
        <w:t xml:space="preserve"> </w:t>
      </w:r>
      <w:r w:rsidRPr="00734A95">
        <w:rPr>
          <w:rFonts w:ascii="Arial" w:hAnsi="Arial" w:cs="Arial"/>
          <w:b/>
          <w:bCs/>
          <w:i/>
          <w:iCs/>
          <w:sz w:val="20"/>
          <w:szCs w:val="20"/>
        </w:rPr>
        <w:t>“ARTÍCULO 150.-</w:t>
      </w:r>
      <w:r w:rsidRPr="00734A95">
        <w:rPr>
          <w:rFonts w:ascii="Arial" w:hAnsi="Arial" w:cs="Arial"/>
          <w:i/>
          <w:iCs/>
          <w:sz w:val="20"/>
          <w:szCs w:val="20"/>
        </w:rPr>
        <w:t xml:space="preserve"> Los actos, acuerdos y resoluciones de carácter no fiscal que emitan las autoridades municipales, podrán ser impugnados mediante la interposición por escrito del recurso administrativo de revocación, conforme a las siguientes disposiciones</w:t>
      </w:r>
      <w:r>
        <w:rPr>
          <w:rFonts w:ascii="Arial" w:hAnsi="Arial" w:cs="Arial"/>
          <w:i/>
          <w:iCs/>
          <w:sz w:val="20"/>
          <w:szCs w:val="20"/>
        </w:rPr>
        <w:t xml:space="preserve"> …”</w:t>
      </w:r>
    </w:p>
    <w:p w14:paraId="120DB4A3" w14:textId="1A45461F" w:rsidR="00734A95" w:rsidRPr="00734A95" w:rsidRDefault="00734A95">
      <w:pPr>
        <w:pStyle w:val="Textonotapie"/>
        <w:rPr>
          <w:rFonts w:ascii="Arial" w:hAnsi="Arial" w:cs="Arial"/>
          <w:i/>
          <w:iCs/>
        </w:rPr>
      </w:pPr>
    </w:p>
  </w:footnote>
  <w:footnote w:id="8">
    <w:p w14:paraId="029B6223" w14:textId="7480E14A" w:rsidR="005629E9" w:rsidRPr="005629E9" w:rsidRDefault="005629E9" w:rsidP="005629E9">
      <w:pPr>
        <w:widowControl w:val="0"/>
        <w:tabs>
          <w:tab w:val="left" w:pos="0"/>
        </w:tabs>
        <w:spacing w:before="240" w:after="0" w:line="360" w:lineRule="auto"/>
        <w:ind w:right="18"/>
        <w:jc w:val="both"/>
        <w:rPr>
          <w:rFonts w:ascii="Arial" w:hAnsi="Arial" w:cs="Arial"/>
          <w:i/>
          <w:iCs/>
          <w:sz w:val="20"/>
          <w:szCs w:val="20"/>
        </w:rPr>
      </w:pPr>
      <w:r w:rsidRPr="005629E9">
        <w:rPr>
          <w:rStyle w:val="Refdenotaalpie"/>
          <w:rFonts w:ascii="Arial" w:hAnsi="Arial" w:cs="Arial"/>
          <w:i/>
          <w:iCs/>
          <w:sz w:val="20"/>
          <w:szCs w:val="20"/>
        </w:rPr>
        <w:footnoteRef/>
      </w:r>
      <w:r w:rsidRPr="005629E9">
        <w:rPr>
          <w:rFonts w:ascii="Arial" w:hAnsi="Arial" w:cs="Arial"/>
          <w:i/>
          <w:iCs/>
          <w:sz w:val="20"/>
          <w:szCs w:val="20"/>
        </w:rPr>
        <w:t xml:space="preserve"> </w:t>
      </w:r>
      <w:r w:rsidRPr="005629E9">
        <w:rPr>
          <w:rFonts w:ascii="Arial" w:hAnsi="Arial" w:cs="Arial"/>
          <w:b/>
          <w:bCs/>
          <w:i/>
          <w:iCs/>
          <w:sz w:val="20"/>
          <w:szCs w:val="20"/>
        </w:rPr>
        <w:t>“ARTÍCULO 149.-</w:t>
      </w:r>
      <w:r w:rsidRPr="005629E9">
        <w:rPr>
          <w:rFonts w:ascii="Arial" w:hAnsi="Arial" w:cs="Arial"/>
          <w:i/>
          <w:iCs/>
          <w:sz w:val="20"/>
          <w:szCs w:val="20"/>
        </w:rPr>
        <w:t xml:space="preserve"> Las autoridades municipales deberán sujetar su actuación a las leyes, los Bandos de Policía y Gobierno, circulares y disposiciones administrativas de observancia general; en consecuencia, los actos, acuerdos y resoluciones que dicten, se presumen legales y si no son impugnados, se procederá a su ejecución.</w:t>
      </w:r>
      <w:r>
        <w:rPr>
          <w:rFonts w:ascii="Arial" w:hAnsi="Arial" w:cs="Arial"/>
          <w:i/>
          <w:iCs/>
          <w:sz w:val="20"/>
          <w:szCs w:val="20"/>
        </w:rPr>
        <w:t>”</w:t>
      </w:r>
      <w:r w:rsidRPr="005629E9">
        <w:rPr>
          <w:rFonts w:ascii="Arial" w:hAnsi="Arial" w:cs="Arial"/>
          <w:i/>
          <w:iCs/>
          <w:sz w:val="20"/>
          <w:szCs w:val="20"/>
        </w:rPr>
        <w:t xml:space="preserve"> </w:t>
      </w:r>
    </w:p>
    <w:p w14:paraId="04029390" w14:textId="1E108F31" w:rsidR="005629E9" w:rsidRDefault="005629E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EF486F5" w:rsidR="004C02A8" w:rsidRDefault="006F268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C02A8">
          <w:fldChar w:fldCharType="begin"/>
        </w:r>
        <w:r w:rsidR="004C02A8">
          <w:instrText>PAGE   \* MERGEFORMAT</w:instrText>
        </w:r>
        <w:r w:rsidR="004C02A8">
          <w:fldChar w:fldCharType="separate"/>
        </w:r>
        <w:r w:rsidRPr="006F2682">
          <w:rPr>
            <w:noProof/>
            <w:lang w:val="es-ES"/>
          </w:rPr>
          <w:t>8</w:t>
        </w:r>
        <w:r w:rsidR="004C02A8">
          <w:fldChar w:fldCharType="end"/>
        </w:r>
      </w:p>
    </w:sdtContent>
  </w:sdt>
  <w:p w14:paraId="0E68208C" w14:textId="77777777" w:rsidR="004C02A8" w:rsidRDefault="004C02A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DC7CE99" w:rsidR="004C02A8" w:rsidRDefault="006F268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C02A8">
          <w:fldChar w:fldCharType="begin"/>
        </w:r>
        <w:r w:rsidR="004C02A8">
          <w:instrText>PAGE   \* MERGEFORMAT</w:instrText>
        </w:r>
        <w:r w:rsidR="004C02A8">
          <w:fldChar w:fldCharType="separate"/>
        </w:r>
        <w:r w:rsidRPr="006F2682">
          <w:rPr>
            <w:noProof/>
            <w:lang w:val="es-ES"/>
          </w:rPr>
          <w:t>9</w:t>
        </w:r>
        <w:r w:rsidR="004C02A8">
          <w:fldChar w:fldCharType="end"/>
        </w:r>
      </w:sdtContent>
    </w:sdt>
  </w:p>
  <w:p w14:paraId="51E22156" w14:textId="66FD66E0" w:rsidR="004C02A8" w:rsidRDefault="006F268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96173EE" wp14:editId="62155226">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AA94322" w14:textId="77777777" w:rsidR="006F2682" w:rsidRDefault="006F2682" w:rsidP="006F268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173EE"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AA94322" w14:textId="77777777" w:rsidR="006F2682" w:rsidRDefault="006F2682" w:rsidP="006F268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C02A8"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4C02A8" w:rsidRDefault="006F268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activeWritingStyle w:appName="MSWord" w:lang="es-MX" w:vendorID="64" w:dllVersion="6" w:nlCheck="1" w:checkStyle="1"/>
  <w:activeWritingStyle w:appName="MSWord" w:lang="es-ES" w:vendorID="64" w:dllVersion="6" w:nlCheck="1" w:checkStyle="1"/>
  <w:activeWritingStyle w:appName="MSWord" w:lang="es-MX" w:vendorID="64" w:dllVersion="0" w:nlCheck="1" w:checkStyle="0"/>
  <w:activeWritingStyle w:appName="MSWord" w:lang="es-ES"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MX" w:vendorID="64" w:dllVersion="131078" w:nlCheck="1" w:checkStyle="1"/>
  <w:activeWritingStyle w:appName="MSWord" w:lang="es-ES" w:vendorID="64" w:dllVersion="131078" w:nlCheck="1" w:checkStyle="1"/>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101"/>
    <w:rsid w:val="000174F5"/>
    <w:rsid w:val="00020680"/>
    <w:rsid w:val="00020CE8"/>
    <w:rsid w:val="00020D86"/>
    <w:rsid w:val="00021989"/>
    <w:rsid w:val="00021B04"/>
    <w:rsid w:val="00021C5F"/>
    <w:rsid w:val="00022BBC"/>
    <w:rsid w:val="0002308B"/>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0A8"/>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274"/>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3A7"/>
    <w:rsid w:val="000C3DC9"/>
    <w:rsid w:val="000C4139"/>
    <w:rsid w:val="000C47B5"/>
    <w:rsid w:val="000C5414"/>
    <w:rsid w:val="000C5BCE"/>
    <w:rsid w:val="000C5DC1"/>
    <w:rsid w:val="000C6670"/>
    <w:rsid w:val="000D04BF"/>
    <w:rsid w:val="000D153E"/>
    <w:rsid w:val="000D170C"/>
    <w:rsid w:val="000D1CF0"/>
    <w:rsid w:val="000D2688"/>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05E6"/>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EE9"/>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67E80"/>
    <w:rsid w:val="001702C6"/>
    <w:rsid w:val="00170497"/>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019"/>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269"/>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94D"/>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042"/>
    <w:rsid w:val="001F5050"/>
    <w:rsid w:val="001F5FB1"/>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1DD"/>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6A3D"/>
    <w:rsid w:val="00267012"/>
    <w:rsid w:val="00267221"/>
    <w:rsid w:val="00270087"/>
    <w:rsid w:val="00270831"/>
    <w:rsid w:val="0027275E"/>
    <w:rsid w:val="00272A7D"/>
    <w:rsid w:val="00273171"/>
    <w:rsid w:val="00273266"/>
    <w:rsid w:val="00273CC9"/>
    <w:rsid w:val="002748AA"/>
    <w:rsid w:val="00275418"/>
    <w:rsid w:val="00280212"/>
    <w:rsid w:val="002805AC"/>
    <w:rsid w:val="00280919"/>
    <w:rsid w:val="00281661"/>
    <w:rsid w:val="00282C81"/>
    <w:rsid w:val="00282EA2"/>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78A"/>
    <w:rsid w:val="002D3CF1"/>
    <w:rsid w:val="002D3F79"/>
    <w:rsid w:val="002D413F"/>
    <w:rsid w:val="002D4B99"/>
    <w:rsid w:val="002D6E4D"/>
    <w:rsid w:val="002D724E"/>
    <w:rsid w:val="002D7BA0"/>
    <w:rsid w:val="002E1666"/>
    <w:rsid w:val="002E2E22"/>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25E0"/>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BF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1DF1"/>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1B"/>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3D1"/>
    <w:rsid w:val="003F7A40"/>
    <w:rsid w:val="004003E7"/>
    <w:rsid w:val="00400839"/>
    <w:rsid w:val="00400CE8"/>
    <w:rsid w:val="00401B8F"/>
    <w:rsid w:val="00401FEB"/>
    <w:rsid w:val="004022FC"/>
    <w:rsid w:val="00402763"/>
    <w:rsid w:val="004027A1"/>
    <w:rsid w:val="00404B7E"/>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840"/>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73D5"/>
    <w:rsid w:val="0047274B"/>
    <w:rsid w:val="0047294E"/>
    <w:rsid w:val="00472B3D"/>
    <w:rsid w:val="00472D90"/>
    <w:rsid w:val="00473EB5"/>
    <w:rsid w:val="0047647A"/>
    <w:rsid w:val="004771E5"/>
    <w:rsid w:val="00477357"/>
    <w:rsid w:val="00477E07"/>
    <w:rsid w:val="00480A69"/>
    <w:rsid w:val="004813E0"/>
    <w:rsid w:val="0048141A"/>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2A8"/>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80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9E9"/>
    <w:rsid w:val="00562CDE"/>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25D0"/>
    <w:rsid w:val="00593333"/>
    <w:rsid w:val="005960D3"/>
    <w:rsid w:val="005973A7"/>
    <w:rsid w:val="005A0825"/>
    <w:rsid w:val="005A09A3"/>
    <w:rsid w:val="005A1FEE"/>
    <w:rsid w:val="005A273F"/>
    <w:rsid w:val="005A3583"/>
    <w:rsid w:val="005A4118"/>
    <w:rsid w:val="005A453F"/>
    <w:rsid w:val="005A493F"/>
    <w:rsid w:val="005A695E"/>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E7B49"/>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19EC"/>
    <w:rsid w:val="006A28FD"/>
    <w:rsid w:val="006A326C"/>
    <w:rsid w:val="006A5022"/>
    <w:rsid w:val="006A52BF"/>
    <w:rsid w:val="006A5821"/>
    <w:rsid w:val="006A5A6C"/>
    <w:rsid w:val="006A61E5"/>
    <w:rsid w:val="006A654C"/>
    <w:rsid w:val="006A6B9A"/>
    <w:rsid w:val="006A7061"/>
    <w:rsid w:val="006B009B"/>
    <w:rsid w:val="006B0A9C"/>
    <w:rsid w:val="006B0B08"/>
    <w:rsid w:val="006B10A8"/>
    <w:rsid w:val="006B10B6"/>
    <w:rsid w:val="006B1B86"/>
    <w:rsid w:val="006B1EB8"/>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2DA"/>
    <w:rsid w:val="006F2412"/>
    <w:rsid w:val="006F268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4A95"/>
    <w:rsid w:val="00736F71"/>
    <w:rsid w:val="00740D93"/>
    <w:rsid w:val="00740F14"/>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348"/>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C29"/>
    <w:rsid w:val="00795A12"/>
    <w:rsid w:val="00796315"/>
    <w:rsid w:val="00796538"/>
    <w:rsid w:val="00796AB8"/>
    <w:rsid w:val="00796CE5"/>
    <w:rsid w:val="007A0C87"/>
    <w:rsid w:val="007A0DD5"/>
    <w:rsid w:val="007A1877"/>
    <w:rsid w:val="007A1A79"/>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B7441"/>
    <w:rsid w:val="007C04A2"/>
    <w:rsid w:val="007C1271"/>
    <w:rsid w:val="007C313D"/>
    <w:rsid w:val="007C3B2E"/>
    <w:rsid w:val="007C405D"/>
    <w:rsid w:val="007C4D7C"/>
    <w:rsid w:val="007C5545"/>
    <w:rsid w:val="007C57E1"/>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C6"/>
    <w:rsid w:val="008205D0"/>
    <w:rsid w:val="0082070E"/>
    <w:rsid w:val="00820D99"/>
    <w:rsid w:val="00820E06"/>
    <w:rsid w:val="008211F5"/>
    <w:rsid w:val="00822434"/>
    <w:rsid w:val="0082373C"/>
    <w:rsid w:val="00823863"/>
    <w:rsid w:val="008240AB"/>
    <w:rsid w:val="008241FC"/>
    <w:rsid w:val="00824B51"/>
    <w:rsid w:val="00825DF2"/>
    <w:rsid w:val="00826459"/>
    <w:rsid w:val="008264A3"/>
    <w:rsid w:val="00826F27"/>
    <w:rsid w:val="008270BC"/>
    <w:rsid w:val="0083045A"/>
    <w:rsid w:val="008309C8"/>
    <w:rsid w:val="008309F3"/>
    <w:rsid w:val="008312B3"/>
    <w:rsid w:val="00832526"/>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1DD7"/>
    <w:rsid w:val="008721B7"/>
    <w:rsid w:val="008728A9"/>
    <w:rsid w:val="00872D12"/>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6544"/>
    <w:rsid w:val="008A65C4"/>
    <w:rsid w:val="008A7EC3"/>
    <w:rsid w:val="008A7F72"/>
    <w:rsid w:val="008B0AD8"/>
    <w:rsid w:val="008B1523"/>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1F4D"/>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183"/>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D5E"/>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7AB"/>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1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90013"/>
    <w:rsid w:val="00990926"/>
    <w:rsid w:val="00990D44"/>
    <w:rsid w:val="00991E94"/>
    <w:rsid w:val="00992712"/>
    <w:rsid w:val="00993E7E"/>
    <w:rsid w:val="0099690A"/>
    <w:rsid w:val="00997136"/>
    <w:rsid w:val="009971A7"/>
    <w:rsid w:val="009A081C"/>
    <w:rsid w:val="009A25B0"/>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247"/>
    <w:rsid w:val="009E7B07"/>
    <w:rsid w:val="009F050C"/>
    <w:rsid w:val="009F1587"/>
    <w:rsid w:val="009F339B"/>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716"/>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6F9D"/>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5B"/>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8E9"/>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680"/>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AF7E14"/>
    <w:rsid w:val="00B0093A"/>
    <w:rsid w:val="00B00AAC"/>
    <w:rsid w:val="00B02152"/>
    <w:rsid w:val="00B0229E"/>
    <w:rsid w:val="00B02BB1"/>
    <w:rsid w:val="00B02FB6"/>
    <w:rsid w:val="00B03ACC"/>
    <w:rsid w:val="00B04123"/>
    <w:rsid w:val="00B049EC"/>
    <w:rsid w:val="00B04B6B"/>
    <w:rsid w:val="00B04DD6"/>
    <w:rsid w:val="00B050D6"/>
    <w:rsid w:val="00B071D5"/>
    <w:rsid w:val="00B0768C"/>
    <w:rsid w:val="00B10264"/>
    <w:rsid w:val="00B1212B"/>
    <w:rsid w:val="00B125A0"/>
    <w:rsid w:val="00B13177"/>
    <w:rsid w:val="00B13E8D"/>
    <w:rsid w:val="00B15852"/>
    <w:rsid w:val="00B161B4"/>
    <w:rsid w:val="00B16887"/>
    <w:rsid w:val="00B176C8"/>
    <w:rsid w:val="00B20379"/>
    <w:rsid w:val="00B2074B"/>
    <w:rsid w:val="00B20BF5"/>
    <w:rsid w:val="00B211BD"/>
    <w:rsid w:val="00B21544"/>
    <w:rsid w:val="00B21AB1"/>
    <w:rsid w:val="00B2281F"/>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6E4"/>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8FB"/>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3E8"/>
    <w:rsid w:val="00B854B7"/>
    <w:rsid w:val="00B8650B"/>
    <w:rsid w:val="00B868FA"/>
    <w:rsid w:val="00B86B3C"/>
    <w:rsid w:val="00B876BF"/>
    <w:rsid w:val="00B87957"/>
    <w:rsid w:val="00B87BE7"/>
    <w:rsid w:val="00B87E94"/>
    <w:rsid w:val="00B90116"/>
    <w:rsid w:val="00B90365"/>
    <w:rsid w:val="00B90ED9"/>
    <w:rsid w:val="00B91714"/>
    <w:rsid w:val="00B923B6"/>
    <w:rsid w:val="00B9293A"/>
    <w:rsid w:val="00B93021"/>
    <w:rsid w:val="00B93BE3"/>
    <w:rsid w:val="00B95FE2"/>
    <w:rsid w:val="00B962EE"/>
    <w:rsid w:val="00B97246"/>
    <w:rsid w:val="00B9725F"/>
    <w:rsid w:val="00B972B2"/>
    <w:rsid w:val="00B97390"/>
    <w:rsid w:val="00B97C58"/>
    <w:rsid w:val="00BA03EE"/>
    <w:rsid w:val="00BA109F"/>
    <w:rsid w:val="00BA17F0"/>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414"/>
    <w:rsid w:val="00BB1812"/>
    <w:rsid w:val="00BB190F"/>
    <w:rsid w:val="00BB23CB"/>
    <w:rsid w:val="00BB2532"/>
    <w:rsid w:val="00BB2686"/>
    <w:rsid w:val="00BB37EA"/>
    <w:rsid w:val="00BB3A96"/>
    <w:rsid w:val="00BB4D08"/>
    <w:rsid w:val="00BB59A8"/>
    <w:rsid w:val="00BB6A68"/>
    <w:rsid w:val="00BB739C"/>
    <w:rsid w:val="00BB7905"/>
    <w:rsid w:val="00BC0108"/>
    <w:rsid w:val="00BC088B"/>
    <w:rsid w:val="00BC0EFF"/>
    <w:rsid w:val="00BC1305"/>
    <w:rsid w:val="00BC2587"/>
    <w:rsid w:val="00BC342A"/>
    <w:rsid w:val="00BC40F2"/>
    <w:rsid w:val="00BC45CE"/>
    <w:rsid w:val="00BC4F3D"/>
    <w:rsid w:val="00BC5D8B"/>
    <w:rsid w:val="00BC64CE"/>
    <w:rsid w:val="00BC68AD"/>
    <w:rsid w:val="00BC7112"/>
    <w:rsid w:val="00BD0C00"/>
    <w:rsid w:val="00BD0DA0"/>
    <w:rsid w:val="00BD1076"/>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0A0"/>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07EA5"/>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AB8"/>
    <w:rsid w:val="00C31200"/>
    <w:rsid w:val="00C31A08"/>
    <w:rsid w:val="00C31BE7"/>
    <w:rsid w:val="00C32229"/>
    <w:rsid w:val="00C32DE7"/>
    <w:rsid w:val="00C32F73"/>
    <w:rsid w:val="00C32FD3"/>
    <w:rsid w:val="00C341CB"/>
    <w:rsid w:val="00C3542E"/>
    <w:rsid w:val="00C35B5E"/>
    <w:rsid w:val="00C37044"/>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A57"/>
    <w:rsid w:val="00C6230B"/>
    <w:rsid w:val="00C6257D"/>
    <w:rsid w:val="00C632FA"/>
    <w:rsid w:val="00C635D0"/>
    <w:rsid w:val="00C64273"/>
    <w:rsid w:val="00C650F8"/>
    <w:rsid w:val="00C65B9B"/>
    <w:rsid w:val="00C67249"/>
    <w:rsid w:val="00C67698"/>
    <w:rsid w:val="00C70952"/>
    <w:rsid w:val="00C70B81"/>
    <w:rsid w:val="00C724E4"/>
    <w:rsid w:val="00C732D8"/>
    <w:rsid w:val="00C7377B"/>
    <w:rsid w:val="00C737D7"/>
    <w:rsid w:val="00C73886"/>
    <w:rsid w:val="00C73B2B"/>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342F"/>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F01EA"/>
    <w:rsid w:val="00CF10EF"/>
    <w:rsid w:val="00CF162E"/>
    <w:rsid w:val="00CF1F53"/>
    <w:rsid w:val="00CF1FAE"/>
    <w:rsid w:val="00CF2539"/>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99F"/>
    <w:rsid w:val="00D07A9C"/>
    <w:rsid w:val="00D106B0"/>
    <w:rsid w:val="00D10A14"/>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447"/>
    <w:rsid w:val="00D53E86"/>
    <w:rsid w:val="00D545A8"/>
    <w:rsid w:val="00D548A5"/>
    <w:rsid w:val="00D548E5"/>
    <w:rsid w:val="00D55BD9"/>
    <w:rsid w:val="00D56163"/>
    <w:rsid w:val="00D566F5"/>
    <w:rsid w:val="00D56BF3"/>
    <w:rsid w:val="00D60503"/>
    <w:rsid w:val="00D62605"/>
    <w:rsid w:val="00D63073"/>
    <w:rsid w:val="00D6362A"/>
    <w:rsid w:val="00D63940"/>
    <w:rsid w:val="00D63DA5"/>
    <w:rsid w:val="00D641C8"/>
    <w:rsid w:val="00D64B3A"/>
    <w:rsid w:val="00D64D09"/>
    <w:rsid w:val="00D6587E"/>
    <w:rsid w:val="00D65C48"/>
    <w:rsid w:val="00D66531"/>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760"/>
    <w:rsid w:val="00DD58B8"/>
    <w:rsid w:val="00DD5EFB"/>
    <w:rsid w:val="00DD618F"/>
    <w:rsid w:val="00DD6784"/>
    <w:rsid w:val="00DD7A5E"/>
    <w:rsid w:val="00DD7A78"/>
    <w:rsid w:val="00DE00F6"/>
    <w:rsid w:val="00DE0186"/>
    <w:rsid w:val="00DE1132"/>
    <w:rsid w:val="00DE1E31"/>
    <w:rsid w:val="00DE2C26"/>
    <w:rsid w:val="00DE2CFB"/>
    <w:rsid w:val="00DE35A3"/>
    <w:rsid w:val="00DE414D"/>
    <w:rsid w:val="00DE5048"/>
    <w:rsid w:val="00DE68DD"/>
    <w:rsid w:val="00DE77DC"/>
    <w:rsid w:val="00DF0E87"/>
    <w:rsid w:val="00DF0FAE"/>
    <w:rsid w:val="00DF1506"/>
    <w:rsid w:val="00DF1880"/>
    <w:rsid w:val="00DF1F74"/>
    <w:rsid w:val="00DF2FA1"/>
    <w:rsid w:val="00DF5862"/>
    <w:rsid w:val="00DF5E93"/>
    <w:rsid w:val="00DF66BB"/>
    <w:rsid w:val="00DF7D55"/>
    <w:rsid w:val="00E00E3A"/>
    <w:rsid w:val="00E013E9"/>
    <w:rsid w:val="00E013EF"/>
    <w:rsid w:val="00E01629"/>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2A2C"/>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0BE"/>
    <w:rsid w:val="00E7676F"/>
    <w:rsid w:val="00E77284"/>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8A2"/>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7E6"/>
    <w:rsid w:val="00EF58F2"/>
    <w:rsid w:val="00EF60C8"/>
    <w:rsid w:val="00EF6733"/>
    <w:rsid w:val="00EF6AD7"/>
    <w:rsid w:val="00F006A9"/>
    <w:rsid w:val="00F009EB"/>
    <w:rsid w:val="00F00EFF"/>
    <w:rsid w:val="00F017FB"/>
    <w:rsid w:val="00F01F7A"/>
    <w:rsid w:val="00F02736"/>
    <w:rsid w:val="00F02A35"/>
    <w:rsid w:val="00F02BAD"/>
    <w:rsid w:val="00F02DE0"/>
    <w:rsid w:val="00F030A2"/>
    <w:rsid w:val="00F0344E"/>
    <w:rsid w:val="00F03930"/>
    <w:rsid w:val="00F04DD4"/>
    <w:rsid w:val="00F053FC"/>
    <w:rsid w:val="00F05564"/>
    <w:rsid w:val="00F06302"/>
    <w:rsid w:val="00F0794F"/>
    <w:rsid w:val="00F079CC"/>
    <w:rsid w:val="00F1048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B1B"/>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6F5"/>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B7FC3"/>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E7B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5E7B49"/>
    <w:rPr>
      <w:rFonts w:asciiTheme="majorHAnsi" w:eastAsiaTheme="majorEastAsia" w:hAnsiTheme="majorHAnsi" w:cstheme="majorBidi"/>
      <w:color w:val="365F91" w:themeColor="accent1" w:themeShade="BF"/>
      <w:sz w:val="26"/>
      <w:szCs w:val="26"/>
    </w:rPr>
  </w:style>
  <w:style w:type="character" w:customStyle="1" w:styleId="Mencinsinresolver1">
    <w:name w:val="Mención sin resolver1"/>
    <w:basedOn w:val="Fuentedeprrafopredeter"/>
    <w:uiPriority w:val="99"/>
    <w:semiHidden/>
    <w:unhideWhenUsed/>
    <w:rsid w:val="00346BF4"/>
    <w:rPr>
      <w:color w:val="605E5C"/>
      <w:shd w:val="clear" w:color="auto" w:fill="E1DFDD"/>
    </w:rPr>
  </w:style>
  <w:style w:type="character" w:styleId="Hipervnculovisitado">
    <w:name w:val="FollowedHyperlink"/>
    <w:basedOn w:val="Fuentedeprrafopredeter"/>
    <w:uiPriority w:val="99"/>
    <w:semiHidden/>
    <w:unhideWhenUsed/>
    <w:rsid w:val="00B228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F4CF1-09F1-4989-950E-51F684832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11</Pages>
  <Words>3497</Words>
  <Characters>19238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33</cp:revision>
  <cp:lastPrinted>2022-10-04T19:06:00Z</cp:lastPrinted>
  <dcterms:created xsi:type="dcterms:W3CDTF">2022-08-05T02:52:00Z</dcterms:created>
  <dcterms:modified xsi:type="dcterms:W3CDTF">2023-02-23T16:43:00Z</dcterms:modified>
</cp:coreProperties>
</file>