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5B1" w:rsidRPr="00327C48" w:rsidRDefault="00FE05B1" w:rsidP="00FE05B1">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rsidR="00FE05B1" w:rsidRPr="00327C48" w:rsidRDefault="00FE05B1" w:rsidP="00FE05B1">
      <w:pPr>
        <w:pStyle w:val="Encabezado"/>
        <w:ind w:left="4248"/>
        <w:jc w:val="both"/>
        <w:rPr>
          <w:rFonts w:ascii="Arial" w:hAnsi="Arial" w:cs="Arial"/>
          <w:b/>
          <w:sz w:val="26"/>
          <w:szCs w:val="26"/>
        </w:rPr>
      </w:pPr>
    </w:p>
    <w:p w:rsidR="00FE05B1" w:rsidRPr="00327C48" w:rsidRDefault="00FE05B1" w:rsidP="00FE05B1">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Pr>
          <w:rFonts w:ascii="Arial" w:hAnsi="Arial" w:cs="Arial"/>
          <w:b/>
          <w:sz w:val="26"/>
          <w:szCs w:val="26"/>
        </w:rPr>
        <w:t>36</w:t>
      </w:r>
      <w:r w:rsidRPr="00327C48">
        <w:rPr>
          <w:rFonts w:ascii="Arial" w:hAnsi="Arial" w:cs="Arial"/>
          <w:b/>
          <w:sz w:val="26"/>
          <w:szCs w:val="26"/>
        </w:rPr>
        <w:t>/20</w:t>
      </w:r>
      <w:r>
        <w:rPr>
          <w:rFonts w:ascii="Arial" w:hAnsi="Arial" w:cs="Arial"/>
          <w:b/>
          <w:sz w:val="26"/>
          <w:szCs w:val="26"/>
        </w:rPr>
        <w:t>20</w:t>
      </w:r>
    </w:p>
    <w:p w:rsidR="00FE05B1" w:rsidRPr="00327C48" w:rsidRDefault="00FE05B1" w:rsidP="00FE05B1">
      <w:pPr>
        <w:pStyle w:val="Encabezado"/>
        <w:tabs>
          <w:tab w:val="clear" w:pos="4419"/>
          <w:tab w:val="center" w:pos="8931"/>
        </w:tabs>
        <w:jc w:val="both"/>
        <w:rPr>
          <w:rFonts w:ascii="Arial" w:hAnsi="Arial" w:cs="Arial"/>
          <w:b/>
          <w:sz w:val="26"/>
          <w:szCs w:val="26"/>
        </w:rPr>
      </w:pPr>
    </w:p>
    <w:p w:rsidR="00FE05B1" w:rsidRPr="00327C48" w:rsidRDefault="00FE05B1" w:rsidP="00FE05B1">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Pr>
          <w:rFonts w:ascii="Arial" w:hAnsi="Arial" w:cs="Arial"/>
          <w:b/>
          <w:sz w:val="26"/>
          <w:szCs w:val="26"/>
        </w:rPr>
        <w:t>A</w:t>
      </w:r>
      <w:r w:rsidRPr="00327C48">
        <w:rPr>
          <w:rFonts w:ascii="Arial" w:hAnsi="Arial" w:cs="Arial"/>
          <w:b/>
          <w:sz w:val="26"/>
          <w:szCs w:val="26"/>
        </w:rPr>
        <w:t>:</w:t>
      </w:r>
      <w:r>
        <w:rPr>
          <w:rFonts w:ascii="Arial" w:hAnsi="Arial" w:cs="Arial"/>
          <w:b/>
          <w:sz w:val="26"/>
          <w:szCs w:val="26"/>
        </w:rPr>
        <w:t xml:space="preserve"> **********</w:t>
      </w:r>
      <w:r w:rsidRPr="00327C48">
        <w:rPr>
          <w:rFonts w:ascii="Arial" w:hAnsi="Arial" w:cs="Arial"/>
          <w:b/>
          <w:sz w:val="26"/>
          <w:szCs w:val="26"/>
        </w:rPr>
        <w:t>.</w:t>
      </w:r>
    </w:p>
    <w:p w:rsidR="00FE05B1" w:rsidRPr="00327C48" w:rsidRDefault="00FE05B1" w:rsidP="00FE05B1">
      <w:pPr>
        <w:pStyle w:val="Encabezado"/>
        <w:ind w:left="4248"/>
        <w:jc w:val="both"/>
        <w:rPr>
          <w:rFonts w:ascii="Arial" w:hAnsi="Arial" w:cs="Arial"/>
          <w:b/>
          <w:sz w:val="26"/>
          <w:szCs w:val="26"/>
        </w:rPr>
      </w:pPr>
    </w:p>
    <w:p w:rsidR="00FE05B1" w:rsidRPr="00327C48" w:rsidRDefault="00FE05B1" w:rsidP="00FE05B1">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POLICÍA VIAL </w:t>
      </w:r>
      <w:r>
        <w:rPr>
          <w:rFonts w:ascii="Arial" w:hAnsi="Arial" w:cs="Arial"/>
          <w:b/>
          <w:sz w:val="26"/>
          <w:szCs w:val="26"/>
        </w:rPr>
        <w:t>CON NÚMERO ESTADÍSTICO PV-375</w:t>
      </w:r>
      <w:r w:rsidRPr="00327C48">
        <w:rPr>
          <w:rFonts w:ascii="Arial" w:hAnsi="Arial" w:cs="Arial"/>
          <w:b/>
          <w:sz w:val="26"/>
          <w:szCs w:val="26"/>
        </w:rPr>
        <w:t>, ADSCRITO A LA SUBDIRECCIÓN DE TRÁNSITO Y MOVILIDAD DE LA DIRECCIÓN DE SEGURIDAD PÚBLICA, VIALIDAD Y PROTECCIÓN CIUDADANA DEL MUNICIPIO DE OAXACA DE JUÁREZ, OAXACA.</w:t>
      </w:r>
    </w:p>
    <w:p w:rsidR="00FE05B1" w:rsidRPr="00327C48" w:rsidRDefault="00FE05B1" w:rsidP="00FE05B1">
      <w:pPr>
        <w:pStyle w:val="Encabezado"/>
        <w:tabs>
          <w:tab w:val="clear" w:pos="4419"/>
          <w:tab w:val="clear" w:pos="8838"/>
          <w:tab w:val="center" w:pos="-1418"/>
        </w:tabs>
        <w:ind w:left="3540"/>
        <w:jc w:val="both"/>
        <w:rPr>
          <w:rFonts w:ascii="Arial" w:hAnsi="Arial" w:cs="Arial"/>
          <w:b/>
          <w:sz w:val="26"/>
          <w:szCs w:val="26"/>
        </w:rPr>
      </w:pPr>
    </w:p>
    <w:p w:rsidR="00FE05B1" w:rsidRPr="00327C48" w:rsidRDefault="00FE05B1" w:rsidP="00FE05B1">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MAGISTRADO. ENRIQUE PACHECO MARTÍNEZ.</w:t>
      </w:r>
    </w:p>
    <w:p w:rsidR="00FE05B1" w:rsidRPr="00327C48" w:rsidRDefault="00FE05B1" w:rsidP="00FE05B1">
      <w:pPr>
        <w:pStyle w:val="Encabezado"/>
        <w:tabs>
          <w:tab w:val="clear" w:pos="4419"/>
          <w:tab w:val="clear" w:pos="8838"/>
          <w:tab w:val="center" w:pos="-1418"/>
        </w:tabs>
        <w:ind w:left="3540"/>
        <w:jc w:val="both"/>
        <w:rPr>
          <w:rFonts w:ascii="Arial" w:hAnsi="Arial" w:cs="Arial"/>
          <w:b/>
          <w:sz w:val="26"/>
          <w:szCs w:val="26"/>
        </w:rPr>
      </w:pPr>
    </w:p>
    <w:p w:rsidR="00FE05B1" w:rsidRPr="00327C48" w:rsidRDefault="00FE05B1" w:rsidP="00FE05B1">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Pr>
          <w:rFonts w:ascii="Arial" w:hAnsi="Arial" w:cs="Arial"/>
          <w:b/>
          <w:sz w:val="26"/>
          <w:szCs w:val="26"/>
        </w:rPr>
        <w:t>LICENCIADO RENATO GABRIEL IBAÑEZ CASTELLANOS</w:t>
      </w:r>
      <w:r w:rsidRPr="00327C48">
        <w:rPr>
          <w:rFonts w:ascii="Arial" w:hAnsi="Arial" w:cs="Arial"/>
          <w:b/>
          <w:sz w:val="26"/>
          <w:szCs w:val="26"/>
        </w:rPr>
        <w:t>.</w:t>
      </w:r>
    </w:p>
    <w:p w:rsidR="00FE05B1" w:rsidRDefault="00FE05B1" w:rsidP="00FE05B1">
      <w:pPr>
        <w:spacing w:line="360" w:lineRule="auto"/>
        <w:jc w:val="both"/>
        <w:rPr>
          <w:rFonts w:ascii="Arial" w:hAnsi="Arial" w:cs="Arial"/>
          <w:b/>
          <w:sz w:val="26"/>
          <w:szCs w:val="26"/>
        </w:rPr>
      </w:pPr>
    </w:p>
    <w:p w:rsidR="00FE05B1" w:rsidRPr="009B59DB" w:rsidRDefault="00FE05B1" w:rsidP="00FE05B1">
      <w:pPr>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QUINCE DE DICIEMBRE DE DOS MIL VEINTE. - - - - - - - - - - - - - - - - - - - - - - - - - - - - - - - - - - - - - - - - - - - - - - - - -</w:t>
      </w:r>
    </w:p>
    <w:p w:rsidR="00FE05B1" w:rsidRPr="009B59DB" w:rsidRDefault="00FE05B1" w:rsidP="00FE05B1">
      <w:pPr>
        <w:spacing w:before="24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Pr>
          <w:rFonts w:ascii="Arial" w:hAnsi="Arial" w:cs="Arial"/>
          <w:b/>
          <w:sz w:val="26"/>
          <w:szCs w:val="26"/>
        </w:rPr>
        <w:t>36</w:t>
      </w:r>
      <w:r w:rsidRPr="009B59DB">
        <w:rPr>
          <w:rFonts w:ascii="Arial" w:hAnsi="Arial" w:cs="Arial"/>
          <w:b/>
          <w:sz w:val="26"/>
          <w:szCs w:val="26"/>
        </w:rPr>
        <w:t>/20</w:t>
      </w:r>
      <w:r>
        <w:rPr>
          <w:rFonts w:ascii="Arial" w:hAnsi="Arial" w:cs="Arial"/>
          <w:b/>
          <w:sz w:val="26"/>
          <w:szCs w:val="26"/>
        </w:rPr>
        <w:t>20</w:t>
      </w:r>
      <w:r w:rsidRPr="009B59DB">
        <w:rPr>
          <w:rFonts w:ascii="Arial" w:hAnsi="Arial" w:cs="Arial"/>
          <w:sz w:val="26"/>
          <w:szCs w:val="26"/>
        </w:rPr>
        <w:t xml:space="preserve">, promovido por </w:t>
      </w:r>
      <w:r>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POLIC</w:t>
      </w:r>
      <w:r>
        <w:rPr>
          <w:rFonts w:ascii="Arial" w:hAnsi="Arial" w:cs="Arial"/>
          <w:b/>
          <w:sz w:val="26"/>
          <w:szCs w:val="26"/>
        </w:rPr>
        <w:t>Í</w:t>
      </w:r>
      <w:r w:rsidRPr="009B59DB">
        <w:rPr>
          <w:rFonts w:ascii="Arial" w:hAnsi="Arial" w:cs="Arial"/>
          <w:b/>
          <w:sz w:val="26"/>
          <w:szCs w:val="26"/>
        </w:rPr>
        <w:t xml:space="preserve">A VIAL </w:t>
      </w:r>
      <w:r>
        <w:rPr>
          <w:rFonts w:ascii="Arial" w:hAnsi="Arial" w:cs="Arial"/>
          <w:b/>
          <w:sz w:val="26"/>
          <w:szCs w:val="26"/>
        </w:rPr>
        <w:t>CON NÚMERO ESTADÍSTICO PV-375, ADSCRITO A LA SUBDIRECIÓN DE TRÁNSITO Y MOVILIDAD DE LA DIRECCIÓN DE SEGURIDAD PÚBLICA, VIALIDAD Y PROTECCIÓN CIUDADANA DEL MUNICIPIO DE OAXACA DE JUÁREZ, OAXACA</w:t>
      </w:r>
      <w:r w:rsidRPr="00DC4C53">
        <w:rPr>
          <w:rFonts w:ascii="Arial" w:hAnsi="Arial" w:cs="Arial"/>
          <w:sz w:val="26"/>
          <w:szCs w:val="26"/>
        </w:rPr>
        <w:t xml:space="preserve">.- - - - </w:t>
      </w:r>
      <w:r>
        <w:rPr>
          <w:rFonts w:ascii="Arial" w:hAnsi="Arial" w:cs="Arial"/>
          <w:sz w:val="26"/>
          <w:szCs w:val="26"/>
        </w:rPr>
        <w:t>- - - - - - - - - - - - - - - - - - - - - - - - - - - - - - - - - -</w:t>
      </w:r>
    </w:p>
    <w:p w:rsidR="00FE05B1" w:rsidRPr="009B59DB" w:rsidRDefault="00FE05B1" w:rsidP="00FE05B1">
      <w:pPr>
        <w:spacing w:before="240" w:line="360" w:lineRule="auto"/>
        <w:jc w:val="center"/>
        <w:rPr>
          <w:rFonts w:ascii="Arial" w:hAnsi="Arial" w:cs="Arial"/>
          <w:b/>
          <w:sz w:val="26"/>
          <w:szCs w:val="26"/>
        </w:rPr>
      </w:pPr>
      <w:r w:rsidRPr="009B59DB">
        <w:rPr>
          <w:rFonts w:ascii="Arial" w:hAnsi="Arial" w:cs="Arial"/>
          <w:b/>
          <w:sz w:val="26"/>
          <w:szCs w:val="26"/>
        </w:rPr>
        <w:t>R E S U L T A N D O:</w:t>
      </w:r>
    </w:p>
    <w:p w:rsidR="00FE05B1" w:rsidRDefault="00FE05B1" w:rsidP="00FE05B1">
      <w:pPr>
        <w:spacing w:before="24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Pr>
          <w:rFonts w:ascii="Arial" w:hAnsi="Arial" w:cs="Arial"/>
          <w:sz w:val="26"/>
          <w:szCs w:val="26"/>
        </w:rPr>
        <w:t>veintiocho de febrero de dos mil 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folio ********** de diez de enero de dos mil veinte, emitida por el </w:t>
      </w:r>
      <w:r w:rsidRPr="00C83C06">
        <w:rPr>
          <w:rFonts w:ascii="Arial" w:hAnsi="Arial" w:cs="Arial"/>
          <w:sz w:val="26"/>
          <w:szCs w:val="26"/>
        </w:rPr>
        <w:t>Polic</w:t>
      </w:r>
      <w:r>
        <w:rPr>
          <w:rFonts w:ascii="Arial" w:hAnsi="Arial" w:cs="Arial"/>
          <w:sz w:val="26"/>
          <w:szCs w:val="26"/>
        </w:rPr>
        <w:t>í</w:t>
      </w:r>
      <w:r w:rsidRPr="00C83C06">
        <w:rPr>
          <w:rFonts w:ascii="Arial" w:hAnsi="Arial" w:cs="Arial"/>
          <w:sz w:val="26"/>
          <w:szCs w:val="26"/>
        </w:rPr>
        <w:t>a Vial</w:t>
      </w:r>
      <w:r>
        <w:rPr>
          <w:rFonts w:ascii="Arial" w:hAnsi="Arial" w:cs="Arial"/>
          <w:sz w:val="26"/>
          <w:szCs w:val="26"/>
        </w:rPr>
        <w:t xml:space="preserve"> con número estadístico PV-375, a</w:t>
      </w:r>
      <w:r w:rsidRPr="00C83C06">
        <w:rPr>
          <w:rFonts w:ascii="Arial" w:hAnsi="Arial" w:cs="Arial"/>
          <w:sz w:val="26"/>
          <w:szCs w:val="26"/>
        </w:rPr>
        <w:t xml:space="preserve">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sidRPr="009B59DB">
        <w:rPr>
          <w:rFonts w:ascii="Arial" w:hAnsi="Arial" w:cs="Arial"/>
          <w:sz w:val="26"/>
          <w:szCs w:val="26"/>
        </w:rPr>
        <w:t>.</w:t>
      </w:r>
      <w:r>
        <w:rPr>
          <w:rFonts w:ascii="Arial" w:hAnsi="Arial" w:cs="Arial"/>
          <w:sz w:val="26"/>
          <w:szCs w:val="26"/>
        </w:rPr>
        <w:t xml:space="preserve">- - - - - - - - - - - - - - - </w:t>
      </w:r>
      <w:r>
        <w:rPr>
          <w:rFonts w:ascii="Arial" w:hAnsi="Arial" w:cs="Arial"/>
          <w:sz w:val="26"/>
          <w:szCs w:val="26"/>
        </w:rPr>
        <w:t>- - - - - - - - - - - - - - - - - - - - - - - - - - - - - - - - - - -</w:t>
      </w:r>
    </w:p>
    <w:p w:rsidR="00FE05B1" w:rsidRPr="009B59DB" w:rsidRDefault="00FE05B1" w:rsidP="00FE05B1">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Pr>
          <w:rFonts w:ascii="Arial" w:hAnsi="Arial" w:cs="Arial"/>
          <w:sz w:val="26"/>
          <w:szCs w:val="26"/>
        </w:rPr>
        <w:t>veintiocho de febrero de dos mil veinte</w:t>
      </w:r>
      <w:r w:rsidRPr="009B59DB">
        <w:rPr>
          <w:rFonts w:ascii="Arial" w:hAnsi="Arial" w:cs="Arial"/>
          <w:sz w:val="26"/>
          <w:szCs w:val="26"/>
        </w:rPr>
        <w:t>, se admitió a trámite la demanda en contra del acta de infracción folio</w:t>
      </w:r>
      <w:r>
        <w:rPr>
          <w:rFonts w:ascii="Arial" w:hAnsi="Arial" w:cs="Arial"/>
          <w:sz w:val="26"/>
          <w:szCs w:val="26"/>
        </w:rPr>
        <w:t xml:space="preserve"> ********** </w:t>
      </w:r>
      <w:r>
        <w:rPr>
          <w:rFonts w:ascii="Arial" w:hAnsi="Arial" w:cs="Arial"/>
          <w:sz w:val="26"/>
          <w:szCs w:val="26"/>
        </w:rPr>
        <w:lastRenderedPageBreak/>
        <w:t>de diez de enero de dos mil veinte,</w:t>
      </w:r>
      <w:r w:rsidRPr="009B59DB">
        <w:rPr>
          <w:rFonts w:ascii="Arial" w:hAnsi="Arial" w:cs="Arial"/>
          <w:sz w:val="26"/>
          <w:szCs w:val="26"/>
        </w:rPr>
        <w:t xml:space="preserve"> </w:t>
      </w:r>
      <w:r>
        <w:rPr>
          <w:rFonts w:ascii="Arial" w:hAnsi="Arial" w:cs="Arial"/>
          <w:sz w:val="26"/>
          <w:szCs w:val="26"/>
        </w:rPr>
        <w:t xml:space="preserve">emitida por el </w:t>
      </w:r>
      <w:r w:rsidRPr="00C83C06">
        <w:rPr>
          <w:rFonts w:ascii="Arial" w:hAnsi="Arial" w:cs="Arial"/>
          <w:sz w:val="26"/>
          <w:szCs w:val="26"/>
        </w:rPr>
        <w:t>Policía Vial</w:t>
      </w:r>
      <w:r>
        <w:rPr>
          <w:rFonts w:ascii="Arial" w:hAnsi="Arial" w:cs="Arial"/>
          <w:sz w:val="26"/>
          <w:szCs w:val="26"/>
        </w:rPr>
        <w:t xml:space="preserve"> con número estadístico PV-375, a</w:t>
      </w:r>
      <w:r w:rsidRPr="00C83C06">
        <w:rPr>
          <w:rFonts w:ascii="Arial" w:hAnsi="Arial" w:cs="Arial"/>
          <w:sz w:val="26"/>
          <w:szCs w:val="26"/>
        </w:rPr>
        <w:t xml:space="preserve">dscrito </w:t>
      </w:r>
      <w:r>
        <w:rPr>
          <w:rFonts w:ascii="Arial" w:hAnsi="Arial" w:cs="Arial"/>
          <w:sz w:val="26"/>
          <w:szCs w:val="26"/>
        </w:rPr>
        <w:t>a 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 xml:space="preserve">e Oaxaca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ordenándose</w:t>
      </w:r>
      <w:r>
        <w:rPr>
          <w:rFonts w:ascii="Arial" w:hAnsi="Arial" w:cs="Arial"/>
          <w:sz w:val="26"/>
          <w:szCs w:val="26"/>
        </w:rPr>
        <w:t>le</w:t>
      </w:r>
      <w:r w:rsidRPr="009B59DB">
        <w:rPr>
          <w:rFonts w:ascii="Arial" w:hAnsi="Arial" w:cs="Arial"/>
          <w:sz w:val="26"/>
          <w:szCs w:val="26"/>
        </w:rPr>
        <w:t xml:space="preserve"> notificar, emplazar y correr traslado</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el apercibimiento que de no hacerlo dentro del plazo concedido, se le tendría contestando la demanda en sentido afirmativo y de no referirse a todos los hechos, se le tendrían como ciertos; s</w:t>
      </w:r>
      <w:r w:rsidRPr="009B59DB">
        <w:rPr>
          <w:rFonts w:ascii="Arial" w:hAnsi="Arial" w:cs="Arial"/>
          <w:sz w:val="26"/>
          <w:szCs w:val="26"/>
        </w:rPr>
        <w:t xml:space="preserve">e admitieron las pruebas ofrecidas </w:t>
      </w:r>
      <w:r>
        <w:rPr>
          <w:rFonts w:ascii="Arial" w:hAnsi="Arial" w:cs="Arial"/>
          <w:sz w:val="26"/>
          <w:szCs w:val="26"/>
        </w:rPr>
        <w:t>por el actor</w:t>
      </w:r>
      <w:r w:rsidRPr="009B59DB">
        <w:rPr>
          <w:rFonts w:ascii="Arial" w:hAnsi="Arial" w:cs="Arial"/>
          <w:sz w:val="26"/>
          <w:szCs w:val="26"/>
        </w:rPr>
        <w:t xml:space="preserve">.- - - - - - - - - - - </w:t>
      </w:r>
      <w:r>
        <w:rPr>
          <w:rFonts w:ascii="Arial" w:hAnsi="Arial" w:cs="Arial"/>
          <w:sz w:val="26"/>
          <w:szCs w:val="26"/>
        </w:rPr>
        <w:t xml:space="preserve">- - - - - - - - - - - - - - - - - - - - </w:t>
      </w:r>
      <w:r>
        <w:rPr>
          <w:rFonts w:ascii="Arial" w:hAnsi="Arial" w:cs="Arial"/>
          <w:sz w:val="26"/>
          <w:szCs w:val="26"/>
        </w:rPr>
        <w:t xml:space="preserve">- - </w:t>
      </w:r>
    </w:p>
    <w:p w:rsidR="00FE05B1" w:rsidRDefault="00FE05B1" w:rsidP="00FE05B1">
      <w:pPr>
        <w:spacing w:before="24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veinticuatro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se ordenó notificar de nuevamente a la autoridad demanda, toda vez, que inicialmente fue notifica autoridad incorrecta.- - - - - </w:t>
      </w:r>
      <w:r>
        <w:rPr>
          <w:rFonts w:ascii="Arial" w:hAnsi="Arial" w:cs="Arial"/>
          <w:sz w:val="26"/>
          <w:szCs w:val="26"/>
        </w:rPr>
        <w:t>- - - - - - - - - - - -</w:t>
      </w:r>
    </w:p>
    <w:p w:rsidR="00FE05B1" w:rsidRDefault="00FE05B1" w:rsidP="00FE05B1">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tres de noviembre de dos mil veinte, se tuvo a la demandada contestando la demanda entablada en su contra; se tuvieron por ofrecidas y admitidas su pruebas; se ordenó notificar y correr traslado con copias de la contestación y anexos a la parte actora para los efectos legales correspondientes; se señaló fecha y hora, para la celebración de la audiencia de ley.- - - - - - - - - - - - - - - - - - - - - - - - - - - - - - - - - - - - - - - - - - - </w:t>
      </w:r>
      <w:r>
        <w:rPr>
          <w:rFonts w:ascii="Arial" w:hAnsi="Arial" w:cs="Arial"/>
          <w:sz w:val="26"/>
          <w:szCs w:val="26"/>
        </w:rPr>
        <w:t>- - - - - - - -</w:t>
      </w:r>
    </w:p>
    <w:p w:rsidR="00FE05B1" w:rsidRDefault="00FE05B1" w:rsidP="00FE05B1">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auto de veintitrés de noviembre de dos mil veinte, alno haberse podido notificar el proveído que señaló fecha para el desahogo de la audiencia final, se señaló nueva hora y fecha.- - - - - - - - - - - - - - - - - - - - - </w:t>
      </w:r>
      <w:r>
        <w:rPr>
          <w:rFonts w:ascii="Arial" w:hAnsi="Arial" w:cs="Arial"/>
          <w:sz w:val="26"/>
          <w:szCs w:val="26"/>
        </w:rPr>
        <w:t>-</w:t>
      </w:r>
    </w:p>
    <w:p w:rsidR="00FE05B1" w:rsidRPr="009B59DB" w:rsidRDefault="00FE05B1" w:rsidP="00FE05B1">
      <w:pPr>
        <w:spacing w:before="240" w:line="360" w:lineRule="auto"/>
        <w:ind w:firstLine="567"/>
        <w:jc w:val="both"/>
        <w:rPr>
          <w:rFonts w:ascii="Arial" w:hAnsi="Arial" w:cs="Arial"/>
          <w:sz w:val="26"/>
          <w:szCs w:val="26"/>
        </w:rPr>
      </w:pPr>
      <w:r>
        <w:rPr>
          <w:rFonts w:ascii="Arial" w:hAnsi="Arial" w:cs="Arial"/>
          <w:b/>
          <w:sz w:val="26"/>
          <w:szCs w:val="26"/>
        </w:rPr>
        <w:t xml:space="preserve">SEXTO. </w:t>
      </w:r>
      <w:r w:rsidRPr="009B59DB">
        <w:rPr>
          <w:rFonts w:ascii="Arial" w:hAnsi="Arial" w:cs="Arial"/>
          <w:sz w:val="26"/>
          <w:szCs w:val="26"/>
        </w:rPr>
        <w:t xml:space="preserve">Finalmente, el </w:t>
      </w:r>
      <w:r>
        <w:rPr>
          <w:rFonts w:ascii="Arial" w:hAnsi="Arial" w:cs="Arial"/>
          <w:sz w:val="26"/>
          <w:szCs w:val="26"/>
        </w:rPr>
        <w:t xml:space="preserve">dos de diciembre de dos mil veinte,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presentó alegatos, declarándose cerrada la etapa de instrucción; </w:t>
      </w:r>
      <w:r w:rsidRPr="009B59DB">
        <w:rPr>
          <w:rFonts w:ascii="Arial" w:hAnsi="Arial" w:cs="Arial"/>
          <w:sz w:val="26"/>
          <w:szCs w:val="26"/>
        </w:rPr>
        <w:t xml:space="preserve">y, por último se citó a las partes para oír sentencia, misma que ahora se pronuncia.- - - - - </w:t>
      </w:r>
    </w:p>
    <w:p w:rsidR="00FE05B1" w:rsidRDefault="00FE05B1" w:rsidP="00FE05B1">
      <w:pPr>
        <w:spacing w:before="240" w:line="360" w:lineRule="auto"/>
        <w:jc w:val="center"/>
        <w:rPr>
          <w:rFonts w:ascii="Arial" w:hAnsi="Arial" w:cs="Arial"/>
          <w:b/>
          <w:sz w:val="26"/>
          <w:szCs w:val="26"/>
        </w:rPr>
      </w:pPr>
    </w:p>
    <w:p w:rsidR="00FE05B1" w:rsidRDefault="00FE05B1" w:rsidP="00FE05B1">
      <w:pPr>
        <w:spacing w:before="240" w:line="360" w:lineRule="auto"/>
        <w:jc w:val="center"/>
        <w:rPr>
          <w:rFonts w:ascii="Arial" w:hAnsi="Arial" w:cs="Arial"/>
          <w:b/>
          <w:sz w:val="26"/>
          <w:szCs w:val="26"/>
        </w:rPr>
      </w:pPr>
    </w:p>
    <w:p w:rsidR="00FE05B1" w:rsidRPr="009B59DB" w:rsidRDefault="00FE05B1" w:rsidP="00FE05B1">
      <w:pPr>
        <w:spacing w:before="240" w:line="360" w:lineRule="auto"/>
        <w:jc w:val="center"/>
        <w:rPr>
          <w:rFonts w:ascii="Arial" w:hAnsi="Arial" w:cs="Arial"/>
          <w:b/>
          <w:sz w:val="26"/>
          <w:szCs w:val="26"/>
        </w:rPr>
      </w:pPr>
      <w:r w:rsidRPr="009B59DB">
        <w:rPr>
          <w:rFonts w:ascii="Arial" w:hAnsi="Arial" w:cs="Arial"/>
          <w:b/>
          <w:sz w:val="26"/>
          <w:szCs w:val="26"/>
        </w:rPr>
        <w:lastRenderedPageBreak/>
        <w:t>C O N S I D E R A N D O:</w:t>
      </w:r>
    </w:p>
    <w:p w:rsidR="00FE05B1" w:rsidRPr="004B23F2" w:rsidRDefault="00FE05B1" w:rsidP="00FE05B1">
      <w:pPr>
        <w:spacing w:before="24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r>
        <w:rPr>
          <w:rFonts w:ascii="Arial" w:hAnsi="Arial" w:cs="Arial"/>
          <w:sz w:val="26"/>
          <w:szCs w:val="26"/>
        </w:rPr>
        <w:t xml:space="preserve">- - - - - - - - - - - </w:t>
      </w:r>
    </w:p>
    <w:p w:rsidR="00FE05B1" w:rsidRPr="009B59DB" w:rsidRDefault="00FE05B1" w:rsidP="00FE05B1">
      <w:pPr>
        <w:tabs>
          <w:tab w:val="left" w:pos="6946"/>
        </w:tabs>
        <w:spacing w:before="24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w:t>
      </w:r>
    </w:p>
    <w:p w:rsidR="00FE05B1" w:rsidRDefault="00FE05B1" w:rsidP="00FE05B1">
      <w:pPr>
        <w:spacing w:before="24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w:t>
      </w:r>
      <w:r>
        <w:rPr>
          <w:rFonts w:ascii="Arial" w:hAnsi="Arial" w:cs="Arial"/>
          <w:sz w:val="26"/>
          <w:szCs w:val="26"/>
        </w:rPr>
        <w:t xml:space="preserve">Procedimiento y Justicia Administrativa para el Estado de Oaxaca; </w:t>
      </w:r>
      <w:r w:rsidRPr="009B59DB">
        <w:rPr>
          <w:rFonts w:ascii="Arial" w:hAnsi="Arial" w:cs="Arial"/>
          <w:sz w:val="26"/>
          <w:szCs w:val="26"/>
        </w:rPr>
        <w:t xml:space="preserve">esta Sala </w:t>
      </w:r>
      <w:r>
        <w:rPr>
          <w:rFonts w:ascii="Arial" w:hAnsi="Arial" w:cs="Arial"/>
          <w:sz w:val="26"/>
          <w:szCs w:val="26"/>
        </w:rPr>
        <w:t xml:space="preserve">advierte, que en el caso se actualiza la causal de improcedencia prevista por la fracción VI del referido artículo 161, en la que se regula, que es improcedente el juicio, contra actos consentidos expresamente; es decir, contra aquellos en los que se promueva el juicio fuera del término legal correspondiente.- - - - - - - - - - - </w:t>
      </w:r>
      <w:r>
        <w:rPr>
          <w:rFonts w:ascii="Arial" w:hAnsi="Arial" w:cs="Arial"/>
          <w:sz w:val="26"/>
          <w:szCs w:val="26"/>
        </w:rPr>
        <w:t>- - - - - - - - - - - - - - - -</w:t>
      </w:r>
    </w:p>
    <w:p w:rsidR="00FE05B1" w:rsidRDefault="00FE05B1" w:rsidP="00FE05B1">
      <w:pPr>
        <w:spacing w:before="240" w:line="360" w:lineRule="auto"/>
        <w:ind w:firstLine="567"/>
        <w:jc w:val="both"/>
        <w:rPr>
          <w:rFonts w:ascii="Arial" w:hAnsi="Arial" w:cs="Arial"/>
          <w:sz w:val="26"/>
          <w:szCs w:val="26"/>
        </w:rPr>
      </w:pPr>
      <w:r>
        <w:rPr>
          <w:rFonts w:ascii="Arial" w:hAnsi="Arial" w:cs="Arial"/>
          <w:sz w:val="26"/>
          <w:szCs w:val="26"/>
        </w:rPr>
        <w:t xml:space="preserve">Esto es así; pues del análisis a las constancias que integran el presente expediente, corre agregada a foja 8, el original del acta de infracción folio **********; documental a la que se le concede pleno valor probatorio conforme </w:t>
      </w:r>
      <w:r>
        <w:rPr>
          <w:rFonts w:ascii="Arial" w:hAnsi="Arial" w:cs="Arial"/>
          <w:sz w:val="26"/>
          <w:szCs w:val="26"/>
        </w:rPr>
        <w:lastRenderedPageBreak/>
        <w:t>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tratarse de documento público, emitido por autoridad en ejercicio de sus facultades, y de la que se obtiene que fue emitida el diez de enero de dos mil veinte.- - - - - - - - - - - - - - </w:t>
      </w:r>
    </w:p>
    <w:p w:rsidR="00FE05B1" w:rsidRDefault="00FE05B1" w:rsidP="00FE05B1">
      <w:pPr>
        <w:spacing w:before="240" w:line="360" w:lineRule="auto"/>
        <w:ind w:firstLine="567"/>
        <w:jc w:val="both"/>
        <w:rPr>
          <w:rFonts w:ascii="Arial" w:hAnsi="Arial" w:cs="Arial"/>
          <w:sz w:val="26"/>
          <w:szCs w:val="26"/>
        </w:rPr>
      </w:pPr>
      <w:r>
        <w:rPr>
          <w:rFonts w:ascii="Arial" w:hAnsi="Arial" w:cs="Arial"/>
          <w:sz w:val="26"/>
          <w:szCs w:val="26"/>
        </w:rPr>
        <w:t>También de autos se tiene, el escrito inicial de demanda interpuesto por **********, quien manifestó que tuvo conocimiento del acto el mismo día de su emisión: “</w:t>
      </w:r>
      <w:r w:rsidRPr="00177259">
        <w:rPr>
          <w:rFonts w:ascii="Arial" w:hAnsi="Arial" w:cs="Arial"/>
          <w:i/>
          <w:sz w:val="24"/>
          <w:szCs w:val="24"/>
        </w:rPr>
        <w:t xml:space="preserve">SEÑALAMIENT0O (sic) DE LA FECHA EN QUE SE TUVO CONOCIMIENTO DE LA RESOLUCIÓN O ACTO COMBATIDO: </w:t>
      </w:r>
      <w:r w:rsidRPr="00177259">
        <w:rPr>
          <w:rFonts w:ascii="Arial" w:hAnsi="Arial" w:cs="Arial"/>
          <w:b/>
          <w:i/>
          <w:sz w:val="24"/>
          <w:szCs w:val="24"/>
        </w:rPr>
        <w:t xml:space="preserve">Bajo protesta de decir verdad </w:t>
      </w:r>
      <w:r w:rsidRPr="00177259">
        <w:rPr>
          <w:rFonts w:ascii="Arial" w:hAnsi="Arial" w:cs="Arial"/>
          <w:i/>
          <w:sz w:val="24"/>
          <w:szCs w:val="24"/>
        </w:rPr>
        <w:t>manifiesto que tuve conocimiento del acto impugnado EL MISMO DÍA DE LA INFRACCIÓN es decir, 10 DE ENERO DEL PRESENTE.</w:t>
      </w:r>
      <w:r>
        <w:rPr>
          <w:rFonts w:ascii="Arial" w:hAnsi="Arial" w:cs="Arial"/>
          <w:sz w:val="26"/>
          <w:szCs w:val="26"/>
        </w:rPr>
        <w:t xml:space="preserve">”.- - - - - - - - - - - - </w:t>
      </w:r>
    </w:p>
    <w:p w:rsidR="00FE05B1" w:rsidRPr="00177259" w:rsidRDefault="00FE05B1" w:rsidP="00FE05B1">
      <w:pPr>
        <w:spacing w:before="240" w:line="360" w:lineRule="auto"/>
        <w:ind w:firstLine="567"/>
        <w:jc w:val="both"/>
        <w:rPr>
          <w:rFonts w:ascii="Arial" w:hAnsi="Arial" w:cs="Arial"/>
          <w:sz w:val="26"/>
          <w:szCs w:val="26"/>
        </w:rPr>
      </w:pPr>
      <w:r>
        <w:rPr>
          <w:rFonts w:ascii="Arial" w:hAnsi="Arial" w:cs="Arial"/>
          <w:sz w:val="26"/>
          <w:szCs w:val="26"/>
        </w:rPr>
        <w:t>Afirmación que reiteró en los hechos constitutivos de su demanda, cuando señaló: “</w:t>
      </w:r>
      <w:r w:rsidRPr="00177259">
        <w:rPr>
          <w:rFonts w:ascii="Arial" w:hAnsi="Arial" w:cs="Arial"/>
          <w:i/>
          <w:sz w:val="24"/>
          <w:szCs w:val="24"/>
        </w:rPr>
        <w:t>El día diez de enero de dos mil veinte estaba estacionado en la calle Constitución y sin ningún motivo o razón se me acercó un policía vial y me infraccionó sin darme una explicación, me impuso una infracción ilegal, carente de fundamentación y motivación, como demostraré en los conceptos de impugnación siguiente.</w:t>
      </w:r>
      <w:r>
        <w:rPr>
          <w:rFonts w:ascii="Arial" w:hAnsi="Arial" w:cs="Arial"/>
          <w:sz w:val="26"/>
          <w:szCs w:val="26"/>
        </w:rPr>
        <w:t>”.- - - - - - - - - - - - - - - - - - - - - - - - - - - - - - - - - - - - - - - - - - - - - - - -</w:t>
      </w:r>
    </w:p>
    <w:p w:rsidR="00FE05B1" w:rsidRDefault="00FE05B1" w:rsidP="00FE05B1">
      <w:pPr>
        <w:spacing w:before="240" w:line="360" w:lineRule="auto"/>
        <w:ind w:firstLine="567"/>
        <w:jc w:val="both"/>
        <w:rPr>
          <w:rFonts w:ascii="Arial" w:hAnsi="Arial" w:cs="Arial"/>
          <w:sz w:val="26"/>
          <w:szCs w:val="26"/>
        </w:rPr>
      </w:pPr>
      <w:r w:rsidRPr="00F7332D">
        <w:rPr>
          <w:rFonts w:ascii="Arial" w:hAnsi="Arial" w:cs="Arial"/>
          <w:color w:val="000000" w:themeColor="text1"/>
          <w:sz w:val="26"/>
          <w:szCs w:val="26"/>
        </w:rPr>
        <w:t xml:space="preserve">Ahora, el artículo </w:t>
      </w:r>
      <w:r>
        <w:rPr>
          <w:rFonts w:ascii="Arial" w:hAnsi="Arial" w:cs="Arial"/>
          <w:sz w:val="26"/>
          <w:szCs w:val="26"/>
        </w:rPr>
        <w:t xml:space="preserve">166 primer párrafo de la Ley de Procedimiento y Justicia Administrativa para el Estado de Oaxaca, establece; que el plazo para interponer la demanda será de treinta días hábiles, contados a partir del día siguiente al en que surta efectos la notificación del acto combatido:- - </w:t>
      </w:r>
    </w:p>
    <w:p w:rsidR="00FE05B1" w:rsidRPr="002F212B" w:rsidRDefault="00FE05B1" w:rsidP="00FE05B1">
      <w:pPr>
        <w:spacing w:before="240" w:line="360" w:lineRule="auto"/>
        <w:ind w:left="1134" w:right="616"/>
        <w:jc w:val="both"/>
        <w:rPr>
          <w:rFonts w:ascii="Arial" w:hAnsi="Arial" w:cs="Arial"/>
          <w:sz w:val="26"/>
          <w:szCs w:val="26"/>
        </w:rPr>
      </w:pPr>
      <w:r>
        <w:rPr>
          <w:rFonts w:ascii="Arial" w:hAnsi="Arial" w:cs="Arial"/>
          <w:sz w:val="26"/>
          <w:szCs w:val="26"/>
        </w:rPr>
        <w:t>“</w:t>
      </w:r>
      <w:r w:rsidRPr="002F212B">
        <w:rPr>
          <w:rFonts w:ascii="Arial" w:hAnsi="Arial" w:cs="Arial"/>
          <w:b/>
          <w:i/>
          <w:sz w:val="24"/>
          <w:szCs w:val="24"/>
        </w:rPr>
        <w:t xml:space="preserve">ARTÍCULO 166.- </w:t>
      </w:r>
      <w:r w:rsidRPr="002F212B">
        <w:rPr>
          <w:rFonts w:ascii="Arial" w:hAnsi="Arial" w:cs="Arial"/>
          <w:i/>
          <w:sz w:val="24"/>
          <w:szCs w:val="24"/>
        </w:rPr>
        <w:t>El plazo para interponer la demanda ante el tribunal será de treinta días hábiles, contados a partir del día siguiente al en que surta efectos, conforme a la ley aplicable el acto, la notificación de la resolución o acto que se combata; o conste fehacientemente que el o los interesados o afectados tienen conocimiento del acto.</w:t>
      </w:r>
      <w:r>
        <w:rPr>
          <w:rFonts w:ascii="Arial" w:hAnsi="Arial" w:cs="Arial"/>
          <w:sz w:val="26"/>
          <w:szCs w:val="26"/>
        </w:rPr>
        <w:t>”</w:t>
      </w:r>
    </w:p>
    <w:p w:rsidR="00FE05B1" w:rsidRDefault="00FE05B1" w:rsidP="00FE05B1">
      <w:pPr>
        <w:spacing w:before="240" w:line="360" w:lineRule="auto"/>
        <w:ind w:firstLine="567"/>
        <w:jc w:val="both"/>
        <w:rPr>
          <w:rFonts w:ascii="Arial" w:hAnsi="Arial" w:cs="Arial"/>
          <w:color w:val="000000" w:themeColor="text1"/>
          <w:sz w:val="26"/>
          <w:szCs w:val="26"/>
        </w:rPr>
      </w:pPr>
      <w:r>
        <w:rPr>
          <w:rFonts w:ascii="Arial" w:hAnsi="Arial" w:cs="Arial"/>
          <w:sz w:val="26"/>
          <w:szCs w:val="26"/>
        </w:rPr>
        <w:t xml:space="preserve">Y, el </w:t>
      </w:r>
      <w:r w:rsidRPr="00E52137">
        <w:rPr>
          <w:rFonts w:ascii="Arial" w:hAnsi="Arial" w:cs="Arial"/>
          <w:color w:val="000000" w:themeColor="text1"/>
          <w:sz w:val="26"/>
          <w:szCs w:val="26"/>
        </w:rPr>
        <w:t xml:space="preserve">diverso artículo </w:t>
      </w:r>
      <w:r>
        <w:rPr>
          <w:rFonts w:ascii="Arial" w:hAnsi="Arial" w:cs="Arial"/>
          <w:color w:val="000000" w:themeColor="text1"/>
          <w:sz w:val="26"/>
          <w:szCs w:val="26"/>
        </w:rPr>
        <w:t>17</w:t>
      </w:r>
      <w:r w:rsidRPr="00E52137">
        <w:rPr>
          <w:rFonts w:ascii="Arial" w:hAnsi="Arial" w:cs="Arial"/>
          <w:color w:val="000000" w:themeColor="text1"/>
          <w:sz w:val="26"/>
          <w:szCs w:val="26"/>
        </w:rPr>
        <w:t>0 segundo párrafo de la citada Ley, señala</w:t>
      </w:r>
      <w:r>
        <w:rPr>
          <w:rFonts w:ascii="Arial" w:hAnsi="Arial" w:cs="Arial"/>
          <w:color w:val="000000" w:themeColor="text1"/>
          <w:sz w:val="26"/>
          <w:szCs w:val="26"/>
        </w:rPr>
        <w:t>, que las notificaciones surtirán efectos el día hábil siguiente al que se realicen:- -</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sz w:val="26"/>
          <w:szCs w:val="26"/>
        </w:rPr>
        <w:t>“</w:t>
      </w:r>
      <w:r w:rsidRPr="002F212B">
        <w:rPr>
          <w:rFonts w:ascii="Arial" w:hAnsi="Arial" w:cs="Arial"/>
          <w:b/>
          <w:i/>
          <w:sz w:val="24"/>
          <w:szCs w:val="24"/>
        </w:rPr>
        <w:t>ARTÍCULO 1</w:t>
      </w:r>
      <w:r>
        <w:rPr>
          <w:rFonts w:ascii="Arial" w:hAnsi="Arial" w:cs="Arial"/>
          <w:b/>
          <w:i/>
          <w:sz w:val="24"/>
          <w:szCs w:val="24"/>
        </w:rPr>
        <w:t>70</w:t>
      </w:r>
      <w:r w:rsidRPr="002F212B">
        <w:rPr>
          <w:rFonts w:ascii="Arial" w:hAnsi="Arial" w:cs="Arial"/>
          <w:b/>
          <w:i/>
          <w:sz w:val="24"/>
          <w:szCs w:val="24"/>
        </w:rPr>
        <w:t>.</w:t>
      </w:r>
      <w:proofErr w:type="gramStart"/>
      <w:r w:rsidRPr="002F212B">
        <w:rPr>
          <w:rFonts w:ascii="Arial" w:hAnsi="Arial" w:cs="Arial"/>
          <w:b/>
          <w:i/>
          <w:sz w:val="24"/>
          <w:szCs w:val="24"/>
        </w:rPr>
        <w:t xml:space="preserve">- </w:t>
      </w:r>
      <w:r>
        <w:rPr>
          <w:rFonts w:ascii="Arial" w:hAnsi="Arial" w:cs="Arial"/>
          <w:i/>
          <w:sz w:val="24"/>
          <w:szCs w:val="24"/>
        </w:rPr>
        <w:t>…</w:t>
      </w:r>
      <w:proofErr w:type="gramEnd"/>
    </w:p>
    <w:p w:rsidR="00FE05B1" w:rsidRPr="002F212B" w:rsidRDefault="00FE05B1" w:rsidP="00FE05B1">
      <w:pPr>
        <w:spacing w:before="240" w:line="360" w:lineRule="auto"/>
        <w:ind w:left="1134" w:right="616"/>
        <w:jc w:val="both"/>
        <w:rPr>
          <w:rFonts w:ascii="Arial" w:hAnsi="Arial" w:cs="Arial"/>
          <w:sz w:val="26"/>
          <w:szCs w:val="26"/>
        </w:rPr>
      </w:pPr>
      <w:r>
        <w:rPr>
          <w:rFonts w:ascii="Arial" w:hAnsi="Arial" w:cs="Arial"/>
          <w:i/>
          <w:sz w:val="24"/>
          <w:szCs w:val="24"/>
        </w:rPr>
        <w:lastRenderedPageBreak/>
        <w:t>Las notificaciones surtirán efectos el día hábil siguiente de aquel en que se realicen</w:t>
      </w:r>
      <w:r w:rsidRPr="002F212B">
        <w:rPr>
          <w:rFonts w:ascii="Arial" w:hAnsi="Arial" w:cs="Arial"/>
          <w:i/>
          <w:sz w:val="24"/>
          <w:szCs w:val="24"/>
        </w:rPr>
        <w:t>.</w:t>
      </w:r>
      <w:r>
        <w:rPr>
          <w:rFonts w:ascii="Arial" w:hAnsi="Arial" w:cs="Arial"/>
          <w:sz w:val="26"/>
          <w:szCs w:val="26"/>
        </w:rPr>
        <w:t>”</w:t>
      </w:r>
    </w:p>
    <w:p w:rsidR="00FE05B1" w:rsidRDefault="00FE05B1" w:rsidP="00FE05B1">
      <w:pPr>
        <w:spacing w:before="240" w:line="360" w:lineRule="auto"/>
        <w:ind w:firstLine="709"/>
        <w:jc w:val="both"/>
        <w:rPr>
          <w:rFonts w:ascii="Arial" w:hAnsi="Arial" w:cs="Arial"/>
          <w:color w:val="000000" w:themeColor="text1"/>
          <w:sz w:val="26"/>
          <w:szCs w:val="26"/>
        </w:rPr>
      </w:pPr>
      <w:r>
        <w:rPr>
          <w:rFonts w:ascii="Arial" w:hAnsi="Arial" w:cs="Arial"/>
          <w:color w:val="000000" w:themeColor="text1"/>
          <w:sz w:val="26"/>
          <w:szCs w:val="26"/>
        </w:rPr>
        <w:t xml:space="preserve">En el caso que nos ocupa, la notificación del acta de infracción se realizó el día </w:t>
      </w:r>
      <w:r w:rsidRPr="002F212B">
        <w:rPr>
          <w:rFonts w:ascii="Arial" w:hAnsi="Arial" w:cs="Arial"/>
          <w:color w:val="000000" w:themeColor="text1"/>
          <w:sz w:val="26"/>
          <w:szCs w:val="26"/>
          <w:u w:val="single"/>
        </w:rPr>
        <w:t>diez de enero de dos mil veinte</w:t>
      </w:r>
      <w:r>
        <w:rPr>
          <w:rFonts w:ascii="Arial" w:hAnsi="Arial" w:cs="Arial"/>
          <w:color w:val="000000" w:themeColor="text1"/>
          <w:sz w:val="26"/>
          <w:szCs w:val="26"/>
        </w:rPr>
        <w:t>, como así lo sostuvo la propia actora, al señalar que tuvo conocimiento el mismo día de su emisión</w:t>
      </w:r>
      <w:r>
        <w:rPr>
          <w:rFonts w:ascii="Arial" w:hAnsi="Arial" w:cs="Arial"/>
          <w:bCs/>
          <w:color w:val="000000" w:themeColor="text1"/>
          <w:sz w:val="26"/>
          <w:szCs w:val="26"/>
        </w:rPr>
        <w:t xml:space="preserve">; por lo que </w:t>
      </w:r>
      <w:r w:rsidRPr="00043583">
        <w:rPr>
          <w:rFonts w:ascii="Arial" w:hAnsi="Arial" w:cs="Arial"/>
          <w:b/>
          <w:bCs/>
          <w:color w:val="000000" w:themeColor="text1"/>
          <w:sz w:val="26"/>
          <w:szCs w:val="26"/>
        </w:rPr>
        <w:t>s</w:t>
      </w:r>
      <w:r w:rsidRPr="002E649C">
        <w:rPr>
          <w:rFonts w:ascii="Arial" w:hAnsi="Arial" w:cs="Arial"/>
          <w:b/>
          <w:color w:val="000000" w:themeColor="text1"/>
          <w:sz w:val="26"/>
          <w:szCs w:val="26"/>
        </w:rPr>
        <w:t>urtió efectos</w:t>
      </w:r>
      <w:r w:rsidRPr="00E52137">
        <w:rPr>
          <w:rFonts w:ascii="Arial" w:hAnsi="Arial" w:cs="Arial"/>
          <w:color w:val="000000" w:themeColor="text1"/>
          <w:sz w:val="26"/>
          <w:szCs w:val="26"/>
        </w:rPr>
        <w:t xml:space="preserve"> el </w:t>
      </w:r>
      <w:r w:rsidRPr="002F212B">
        <w:rPr>
          <w:rFonts w:ascii="Arial" w:hAnsi="Arial" w:cs="Arial"/>
          <w:color w:val="000000" w:themeColor="text1"/>
          <w:sz w:val="26"/>
          <w:szCs w:val="26"/>
          <w:u w:val="single"/>
        </w:rPr>
        <w:t>trece de enero de dos mil veinte</w:t>
      </w:r>
      <w:r w:rsidRPr="00E52137">
        <w:rPr>
          <w:rFonts w:ascii="Arial" w:hAnsi="Arial" w:cs="Arial"/>
          <w:color w:val="000000" w:themeColor="text1"/>
          <w:sz w:val="26"/>
          <w:szCs w:val="26"/>
        </w:rPr>
        <w:t>, día hábil siguiente a la realización de la referida notificación</w:t>
      </w:r>
      <w:r>
        <w:rPr>
          <w:rFonts w:ascii="Arial" w:hAnsi="Arial" w:cs="Arial"/>
          <w:color w:val="000000" w:themeColor="text1"/>
          <w:sz w:val="26"/>
          <w:szCs w:val="26"/>
        </w:rPr>
        <w:t xml:space="preserve">.- - - - - - - - - - - - - - - - - - - - - - - - - - - </w:t>
      </w:r>
    </w:p>
    <w:p w:rsidR="00FE05B1" w:rsidRDefault="00FE05B1" w:rsidP="00FE05B1">
      <w:pPr>
        <w:spacing w:before="240" w:line="360" w:lineRule="auto"/>
        <w:ind w:firstLine="709"/>
        <w:jc w:val="both"/>
        <w:rPr>
          <w:rFonts w:ascii="Arial" w:hAnsi="Arial" w:cs="Arial"/>
          <w:color w:val="000000" w:themeColor="text1"/>
          <w:sz w:val="26"/>
          <w:szCs w:val="26"/>
        </w:rPr>
      </w:pPr>
      <w:r>
        <w:rPr>
          <w:rFonts w:ascii="Arial" w:hAnsi="Arial" w:cs="Arial"/>
          <w:color w:val="000000" w:themeColor="text1"/>
          <w:sz w:val="26"/>
          <w:szCs w:val="26"/>
        </w:rPr>
        <w:t xml:space="preserve">Por su parte, </w:t>
      </w:r>
      <w:r w:rsidRPr="00E52137">
        <w:rPr>
          <w:rFonts w:ascii="Arial" w:hAnsi="Arial" w:cs="Arial"/>
          <w:color w:val="000000" w:themeColor="text1"/>
          <w:sz w:val="26"/>
          <w:szCs w:val="26"/>
        </w:rPr>
        <w:t>el artículo 1</w:t>
      </w:r>
      <w:r>
        <w:rPr>
          <w:rFonts w:ascii="Arial" w:hAnsi="Arial" w:cs="Arial"/>
          <w:color w:val="000000" w:themeColor="text1"/>
          <w:sz w:val="26"/>
          <w:szCs w:val="26"/>
        </w:rPr>
        <w:t>6</w:t>
      </w:r>
      <w:r w:rsidRPr="00E52137">
        <w:rPr>
          <w:rFonts w:ascii="Arial" w:hAnsi="Arial" w:cs="Arial"/>
          <w:color w:val="000000" w:themeColor="text1"/>
          <w:sz w:val="26"/>
          <w:szCs w:val="26"/>
        </w:rPr>
        <w:t xml:space="preserve">8 de la Ley de </w:t>
      </w:r>
      <w:r>
        <w:rPr>
          <w:rFonts w:ascii="Arial" w:hAnsi="Arial" w:cs="Arial"/>
          <w:color w:val="000000" w:themeColor="text1"/>
          <w:sz w:val="26"/>
          <w:szCs w:val="26"/>
        </w:rPr>
        <w:t xml:space="preserve">Procedimiento y Justicia Administrativa para el Estado de Oaxaca, </w:t>
      </w:r>
      <w:r w:rsidRPr="00E52137">
        <w:rPr>
          <w:rFonts w:ascii="Arial" w:hAnsi="Arial" w:cs="Arial"/>
          <w:color w:val="000000" w:themeColor="text1"/>
          <w:sz w:val="26"/>
          <w:szCs w:val="26"/>
        </w:rPr>
        <w:t>establece que los plazos empezarán a correr a partir del día siguiente a aquél en que surta efectos la notificación, incluyéndose en ellos el día del vencimiento, así como que se contarán por días hábiles</w:t>
      </w:r>
      <w:r>
        <w:rPr>
          <w:rFonts w:ascii="Arial" w:hAnsi="Arial" w:cs="Arial"/>
          <w:color w:val="000000" w:themeColor="text1"/>
          <w:sz w:val="26"/>
          <w:szCs w:val="26"/>
        </w:rPr>
        <w:t xml:space="preserve">:- - - - - - - - - - - - - - - - - - - - - - - - - - - - - - - - - - - - - </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sz w:val="26"/>
          <w:szCs w:val="26"/>
        </w:rPr>
        <w:t>“</w:t>
      </w:r>
      <w:r w:rsidRPr="002F212B">
        <w:rPr>
          <w:rFonts w:ascii="Arial" w:hAnsi="Arial" w:cs="Arial"/>
          <w:b/>
          <w:i/>
          <w:sz w:val="24"/>
          <w:szCs w:val="24"/>
        </w:rPr>
        <w:t>ARTÍCULO 16</w:t>
      </w:r>
      <w:r>
        <w:rPr>
          <w:rFonts w:ascii="Arial" w:hAnsi="Arial" w:cs="Arial"/>
          <w:b/>
          <w:i/>
          <w:sz w:val="24"/>
          <w:szCs w:val="24"/>
        </w:rPr>
        <w:t>8</w:t>
      </w:r>
      <w:r w:rsidRPr="002F212B">
        <w:rPr>
          <w:rFonts w:ascii="Arial" w:hAnsi="Arial" w:cs="Arial"/>
          <w:b/>
          <w:i/>
          <w:sz w:val="24"/>
          <w:szCs w:val="24"/>
        </w:rPr>
        <w:t xml:space="preserve">.- </w:t>
      </w:r>
      <w:r>
        <w:rPr>
          <w:rFonts w:ascii="Arial" w:hAnsi="Arial" w:cs="Arial"/>
          <w:i/>
          <w:sz w:val="24"/>
          <w:szCs w:val="24"/>
        </w:rPr>
        <w:t>Los plazos serán improrrogables y su cómputo se sujetará a las reglas siguientes:</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i/>
          <w:sz w:val="24"/>
          <w:szCs w:val="24"/>
        </w:rPr>
        <w:t>I. Empezarán a correr a partir del día siguiente a aquél en que surta efectos la notificación y se incluirá en ellos el día del vencimiento; y</w:t>
      </w:r>
    </w:p>
    <w:p w:rsidR="00FE05B1" w:rsidRPr="002F212B" w:rsidRDefault="00FE05B1" w:rsidP="00FE05B1">
      <w:pPr>
        <w:spacing w:before="240" w:line="360" w:lineRule="auto"/>
        <w:ind w:left="1134" w:right="616"/>
        <w:jc w:val="both"/>
        <w:rPr>
          <w:rFonts w:ascii="Arial" w:hAnsi="Arial" w:cs="Arial"/>
          <w:sz w:val="26"/>
          <w:szCs w:val="26"/>
        </w:rPr>
      </w:pPr>
      <w:r>
        <w:rPr>
          <w:rFonts w:ascii="Arial" w:hAnsi="Arial" w:cs="Arial"/>
          <w:i/>
          <w:sz w:val="24"/>
          <w:szCs w:val="24"/>
        </w:rPr>
        <w:t>II. Los plazos se contarán por días hábiles.</w:t>
      </w:r>
      <w:r>
        <w:rPr>
          <w:rFonts w:ascii="Arial" w:hAnsi="Arial" w:cs="Arial"/>
          <w:sz w:val="26"/>
          <w:szCs w:val="26"/>
        </w:rPr>
        <w:t>”</w:t>
      </w:r>
    </w:p>
    <w:p w:rsidR="00FE05B1" w:rsidRDefault="00FE05B1" w:rsidP="00FE05B1">
      <w:pPr>
        <w:spacing w:before="240" w:line="360" w:lineRule="auto"/>
        <w:ind w:firstLine="709"/>
        <w:jc w:val="both"/>
        <w:rPr>
          <w:rFonts w:ascii="Arial" w:hAnsi="Arial" w:cs="Arial"/>
          <w:color w:val="000000" w:themeColor="text1"/>
          <w:sz w:val="26"/>
          <w:szCs w:val="26"/>
        </w:rPr>
      </w:pPr>
      <w:r>
        <w:rPr>
          <w:rFonts w:ascii="Arial" w:hAnsi="Arial" w:cs="Arial"/>
          <w:color w:val="000000" w:themeColor="text1"/>
          <w:sz w:val="26"/>
          <w:szCs w:val="26"/>
        </w:rPr>
        <w:t xml:space="preserve">Por lo que, </w:t>
      </w:r>
      <w:r w:rsidRPr="00E52137">
        <w:rPr>
          <w:rFonts w:ascii="Arial" w:hAnsi="Arial" w:cs="Arial"/>
          <w:color w:val="000000" w:themeColor="text1"/>
          <w:sz w:val="26"/>
          <w:szCs w:val="26"/>
        </w:rPr>
        <w:t xml:space="preserve">el plazo </w:t>
      </w:r>
      <w:r>
        <w:rPr>
          <w:rFonts w:ascii="Arial" w:hAnsi="Arial" w:cs="Arial"/>
          <w:color w:val="000000" w:themeColor="text1"/>
          <w:sz w:val="26"/>
          <w:szCs w:val="26"/>
        </w:rPr>
        <w:t xml:space="preserve">de treinta días </w:t>
      </w:r>
      <w:r w:rsidRPr="00E52137">
        <w:rPr>
          <w:rFonts w:ascii="Arial" w:hAnsi="Arial" w:cs="Arial"/>
          <w:color w:val="000000" w:themeColor="text1"/>
          <w:sz w:val="26"/>
          <w:szCs w:val="26"/>
        </w:rPr>
        <w:t>aludido</w:t>
      </w:r>
      <w:r>
        <w:rPr>
          <w:rFonts w:ascii="Arial" w:hAnsi="Arial" w:cs="Arial"/>
          <w:color w:val="000000" w:themeColor="text1"/>
          <w:sz w:val="26"/>
          <w:szCs w:val="26"/>
        </w:rPr>
        <w:t>,</w:t>
      </w:r>
      <w:r w:rsidRPr="00E52137">
        <w:rPr>
          <w:rFonts w:ascii="Arial" w:hAnsi="Arial" w:cs="Arial"/>
          <w:color w:val="000000" w:themeColor="text1"/>
          <w:sz w:val="26"/>
          <w:szCs w:val="26"/>
        </w:rPr>
        <w:t xml:space="preserve"> </w:t>
      </w:r>
      <w:r w:rsidRPr="002E649C">
        <w:rPr>
          <w:rFonts w:ascii="Arial" w:hAnsi="Arial" w:cs="Arial"/>
          <w:b/>
          <w:color w:val="000000" w:themeColor="text1"/>
          <w:sz w:val="26"/>
          <w:szCs w:val="26"/>
        </w:rPr>
        <w:t>transcurrió</w:t>
      </w:r>
      <w:r w:rsidRPr="00E52137">
        <w:rPr>
          <w:rFonts w:ascii="Arial" w:hAnsi="Arial" w:cs="Arial"/>
          <w:color w:val="000000" w:themeColor="text1"/>
          <w:sz w:val="26"/>
          <w:szCs w:val="26"/>
        </w:rPr>
        <w:t xml:space="preserve"> del </w:t>
      </w:r>
      <w:r w:rsidRPr="002F212B">
        <w:rPr>
          <w:rFonts w:ascii="Arial" w:hAnsi="Arial" w:cs="Arial"/>
          <w:color w:val="000000" w:themeColor="text1"/>
          <w:sz w:val="26"/>
          <w:szCs w:val="26"/>
          <w:u w:val="single"/>
        </w:rPr>
        <w:t>catorce de enero</w:t>
      </w:r>
      <w:r>
        <w:rPr>
          <w:rFonts w:ascii="Arial" w:hAnsi="Arial" w:cs="Arial"/>
          <w:color w:val="000000" w:themeColor="text1"/>
          <w:sz w:val="26"/>
          <w:szCs w:val="26"/>
        </w:rPr>
        <w:t xml:space="preserve">, </w:t>
      </w:r>
      <w:r w:rsidRPr="00E52137">
        <w:rPr>
          <w:rFonts w:ascii="Arial" w:hAnsi="Arial" w:cs="Arial"/>
          <w:color w:val="000000" w:themeColor="text1"/>
          <w:sz w:val="26"/>
          <w:szCs w:val="26"/>
        </w:rPr>
        <w:t xml:space="preserve">día hábil siguiente al que surtió efectos la notificación correspondiente </w:t>
      </w:r>
      <w:r>
        <w:rPr>
          <w:rFonts w:ascii="Arial" w:hAnsi="Arial" w:cs="Arial"/>
          <w:color w:val="000000" w:themeColor="text1"/>
          <w:sz w:val="26"/>
          <w:szCs w:val="26"/>
        </w:rPr>
        <w:t xml:space="preserve">al </w:t>
      </w:r>
      <w:r w:rsidRPr="002F212B">
        <w:rPr>
          <w:rFonts w:ascii="Arial" w:hAnsi="Arial" w:cs="Arial"/>
          <w:color w:val="000000" w:themeColor="text1"/>
          <w:sz w:val="26"/>
          <w:szCs w:val="26"/>
          <w:u w:val="single"/>
        </w:rPr>
        <w:t>veinticinco de febrero de dos mil veinte</w:t>
      </w:r>
      <w:r>
        <w:rPr>
          <w:rFonts w:ascii="Arial" w:hAnsi="Arial" w:cs="Arial"/>
          <w:color w:val="000000" w:themeColor="text1"/>
          <w:sz w:val="26"/>
          <w:szCs w:val="26"/>
        </w:rPr>
        <w:t>; d</w:t>
      </w:r>
      <w:r w:rsidRPr="00E52137">
        <w:rPr>
          <w:rFonts w:ascii="Arial" w:hAnsi="Arial" w:cs="Arial"/>
          <w:color w:val="000000" w:themeColor="text1"/>
          <w:sz w:val="26"/>
          <w:szCs w:val="26"/>
        </w:rPr>
        <w:t xml:space="preserve">escontándose los días </w:t>
      </w:r>
      <w:r>
        <w:rPr>
          <w:rFonts w:ascii="Arial" w:hAnsi="Arial" w:cs="Arial"/>
          <w:color w:val="000000" w:themeColor="text1"/>
          <w:sz w:val="26"/>
          <w:szCs w:val="26"/>
        </w:rPr>
        <w:t>dieciocho, diecinueve, veinticinco y veintiséis de enero; así como los días uno, dos, ocho, nueve, quince, dieciséis, veintidós y veintitrés de febrero de dos mil veinte;</w:t>
      </w:r>
      <w:r w:rsidRPr="00E52137">
        <w:rPr>
          <w:rFonts w:ascii="Arial" w:hAnsi="Arial" w:cs="Arial"/>
          <w:color w:val="000000" w:themeColor="text1"/>
          <w:sz w:val="26"/>
          <w:szCs w:val="26"/>
        </w:rPr>
        <w:t xml:space="preserve"> por ser</w:t>
      </w:r>
      <w:r>
        <w:rPr>
          <w:rFonts w:ascii="Arial" w:hAnsi="Arial" w:cs="Arial"/>
          <w:color w:val="000000" w:themeColor="text1"/>
          <w:sz w:val="26"/>
          <w:szCs w:val="26"/>
        </w:rPr>
        <w:t xml:space="preserve"> </w:t>
      </w:r>
      <w:r w:rsidRPr="00E52137">
        <w:rPr>
          <w:rFonts w:ascii="Arial" w:hAnsi="Arial" w:cs="Arial"/>
          <w:color w:val="000000" w:themeColor="text1"/>
          <w:sz w:val="26"/>
          <w:szCs w:val="26"/>
        </w:rPr>
        <w:t>sábado</w:t>
      </w:r>
      <w:r>
        <w:rPr>
          <w:rFonts w:ascii="Arial" w:hAnsi="Arial" w:cs="Arial"/>
          <w:color w:val="000000" w:themeColor="text1"/>
          <w:sz w:val="26"/>
          <w:szCs w:val="26"/>
        </w:rPr>
        <w:t>s</w:t>
      </w:r>
      <w:r w:rsidRPr="00E52137">
        <w:rPr>
          <w:rFonts w:ascii="Arial" w:hAnsi="Arial" w:cs="Arial"/>
          <w:color w:val="000000" w:themeColor="text1"/>
          <w:sz w:val="26"/>
          <w:szCs w:val="26"/>
        </w:rPr>
        <w:t xml:space="preserve"> y domingo</w:t>
      </w:r>
      <w:r>
        <w:rPr>
          <w:rFonts w:ascii="Arial" w:hAnsi="Arial" w:cs="Arial"/>
          <w:color w:val="000000" w:themeColor="text1"/>
          <w:sz w:val="26"/>
          <w:szCs w:val="26"/>
        </w:rPr>
        <w:t>s y ser considerados como días inhábiles, de conformidad con lo estatuido por el artículo 39</w:t>
      </w:r>
      <w:r>
        <w:rPr>
          <w:rStyle w:val="Refdenotaalpie"/>
          <w:rFonts w:ascii="Arial" w:hAnsi="Arial" w:cs="Arial"/>
          <w:color w:val="000000" w:themeColor="text1"/>
          <w:sz w:val="26"/>
          <w:szCs w:val="26"/>
        </w:rPr>
        <w:footnoteReference w:id="4"/>
      </w:r>
      <w:r>
        <w:rPr>
          <w:rFonts w:ascii="Arial" w:hAnsi="Arial" w:cs="Arial"/>
          <w:color w:val="000000" w:themeColor="text1"/>
          <w:sz w:val="26"/>
          <w:szCs w:val="26"/>
        </w:rPr>
        <w:t xml:space="preserve"> de la Ley de Procedimiento y Justicia Administrativa, que dispone:- - - - - - - - - - </w:t>
      </w:r>
      <w:r>
        <w:rPr>
          <w:rFonts w:ascii="Arial" w:hAnsi="Arial" w:cs="Arial"/>
          <w:color w:val="000000" w:themeColor="text1"/>
          <w:sz w:val="26"/>
          <w:szCs w:val="26"/>
        </w:rPr>
        <w:t xml:space="preserve">- - - - - - - - - - - - - - - - - - </w:t>
      </w:r>
    </w:p>
    <w:p w:rsidR="00FE05B1" w:rsidRPr="002F212B" w:rsidRDefault="00FE05B1" w:rsidP="00FE05B1">
      <w:pPr>
        <w:pStyle w:val="Sinespaciado"/>
        <w:spacing w:line="360" w:lineRule="auto"/>
        <w:ind w:left="1134" w:right="616"/>
        <w:jc w:val="both"/>
        <w:rPr>
          <w:rFonts w:ascii="Arial" w:hAnsi="Arial" w:cs="Arial"/>
          <w:i/>
          <w:sz w:val="24"/>
          <w:szCs w:val="24"/>
        </w:rPr>
      </w:pPr>
      <w:r w:rsidRPr="002F212B">
        <w:rPr>
          <w:rFonts w:ascii="Arial" w:hAnsi="Arial" w:cs="Arial"/>
          <w:sz w:val="26"/>
          <w:szCs w:val="26"/>
        </w:rPr>
        <w:lastRenderedPageBreak/>
        <w:t>“</w:t>
      </w:r>
      <w:r w:rsidRPr="002F212B">
        <w:rPr>
          <w:rFonts w:ascii="Arial" w:hAnsi="Arial" w:cs="Arial"/>
          <w:b/>
          <w:i/>
          <w:sz w:val="24"/>
          <w:szCs w:val="24"/>
        </w:rPr>
        <w:t xml:space="preserve">ARTÍCULO 39.- </w:t>
      </w:r>
      <w:r w:rsidRPr="002F212B">
        <w:rPr>
          <w:rFonts w:ascii="Arial" w:hAnsi="Arial" w:cs="Arial"/>
          <w:i/>
          <w:sz w:val="24"/>
          <w:szCs w:val="24"/>
        </w:rPr>
        <w:t>La actuaciones y diligencias administrativas se practicarán en días y horas hábiles.</w:t>
      </w:r>
    </w:p>
    <w:p w:rsidR="00FE05B1" w:rsidRPr="002F212B" w:rsidRDefault="00FE05B1" w:rsidP="00FE05B1">
      <w:pPr>
        <w:pStyle w:val="Sinespaciado"/>
        <w:spacing w:line="360" w:lineRule="auto"/>
        <w:ind w:left="1134" w:right="616"/>
        <w:jc w:val="both"/>
        <w:rPr>
          <w:rFonts w:ascii="Arial" w:hAnsi="Arial" w:cs="Arial"/>
          <w:i/>
          <w:sz w:val="24"/>
          <w:szCs w:val="24"/>
        </w:rPr>
      </w:pPr>
      <w:r w:rsidRPr="002F212B">
        <w:rPr>
          <w:rFonts w:ascii="Arial" w:hAnsi="Arial" w:cs="Arial"/>
          <w:i/>
          <w:sz w:val="24"/>
          <w:szCs w:val="24"/>
        </w:rPr>
        <w:t>En los plazos fijados en días no se contarán los inhábiles, salvo disposición en contrario.</w:t>
      </w:r>
    </w:p>
    <w:p w:rsidR="00FE05B1" w:rsidRPr="002F212B" w:rsidRDefault="00FE05B1" w:rsidP="00FE05B1">
      <w:pPr>
        <w:pStyle w:val="Sinespaciado"/>
        <w:spacing w:line="360" w:lineRule="auto"/>
        <w:ind w:left="1134" w:right="616"/>
        <w:jc w:val="both"/>
        <w:rPr>
          <w:rFonts w:ascii="Arial" w:hAnsi="Arial" w:cs="Arial"/>
          <w:color w:val="000000" w:themeColor="text1"/>
          <w:sz w:val="26"/>
          <w:szCs w:val="26"/>
        </w:rPr>
      </w:pPr>
      <w:r w:rsidRPr="002F212B">
        <w:rPr>
          <w:rFonts w:ascii="Arial" w:hAnsi="Arial" w:cs="Arial"/>
          <w:i/>
          <w:sz w:val="24"/>
          <w:szCs w:val="24"/>
        </w:rPr>
        <w:t>No se considerarán días hábiles: los sábados, los domingos, el 1 de enero; el primero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pública en el Periódico oficial del Gobierno del Estado, en la página electrónica del Tribunal y los estrados…</w:t>
      </w:r>
      <w:r w:rsidRPr="002F212B">
        <w:rPr>
          <w:rFonts w:ascii="Arial" w:hAnsi="Arial" w:cs="Arial"/>
          <w:sz w:val="26"/>
          <w:szCs w:val="26"/>
        </w:rPr>
        <w:t>”</w:t>
      </w:r>
    </w:p>
    <w:p w:rsidR="00FE05B1" w:rsidRDefault="00FE05B1" w:rsidP="00FE05B1">
      <w:pPr>
        <w:spacing w:before="240" w:line="360" w:lineRule="auto"/>
        <w:ind w:firstLine="709"/>
        <w:jc w:val="both"/>
        <w:rPr>
          <w:rFonts w:ascii="Arial" w:hAnsi="Arial" w:cs="Arial"/>
          <w:color w:val="000000" w:themeColor="text1"/>
          <w:sz w:val="26"/>
          <w:szCs w:val="26"/>
        </w:rPr>
      </w:pPr>
      <w:r>
        <w:rPr>
          <w:rFonts w:ascii="Arial" w:hAnsi="Arial" w:cs="Arial"/>
          <w:color w:val="000000" w:themeColor="text1"/>
          <w:sz w:val="26"/>
          <w:szCs w:val="26"/>
        </w:rPr>
        <w:t xml:space="preserve">Del mismo modo, se descontó el día tres de febrero, primer lunes del mes de febrero, considerado inhábil en conmemoración del 5 de febrero, de conformidad con el artículo anteriormente citado; y, así encontrarse plasmado en el calendario oficial correspondiente al año dos mil veinte de este Tribunal de Justicia Administrativa, emitido por acuerdo general AG/TJAO/01/2020.- - </w:t>
      </w:r>
    </w:p>
    <w:p w:rsidR="00FE05B1" w:rsidRDefault="00FE05B1" w:rsidP="00FE05B1">
      <w:pPr>
        <w:spacing w:before="240" w:line="360" w:lineRule="auto"/>
        <w:ind w:firstLine="709"/>
        <w:jc w:val="both"/>
        <w:rPr>
          <w:rFonts w:ascii="Arial" w:hAnsi="Arial" w:cs="Arial"/>
          <w:color w:val="000000" w:themeColor="text1"/>
          <w:sz w:val="26"/>
          <w:szCs w:val="26"/>
        </w:rPr>
      </w:pPr>
      <w:r w:rsidRPr="006E5F31">
        <w:rPr>
          <w:rFonts w:ascii="Arial" w:hAnsi="Arial" w:cs="Arial"/>
          <w:b/>
          <w:color w:val="000000" w:themeColor="text1"/>
          <w:sz w:val="26"/>
          <w:szCs w:val="26"/>
        </w:rPr>
        <w:t>Por tanto</w:t>
      </w:r>
      <w:r w:rsidRPr="00E52137">
        <w:rPr>
          <w:rFonts w:ascii="Arial" w:hAnsi="Arial" w:cs="Arial"/>
          <w:color w:val="000000" w:themeColor="text1"/>
          <w:sz w:val="26"/>
          <w:szCs w:val="26"/>
        </w:rPr>
        <w:t>, al haberse presentado el escrito de</w:t>
      </w:r>
      <w:r>
        <w:rPr>
          <w:rFonts w:ascii="Arial" w:hAnsi="Arial" w:cs="Arial"/>
          <w:color w:val="000000" w:themeColor="text1"/>
          <w:sz w:val="26"/>
          <w:szCs w:val="26"/>
        </w:rPr>
        <w:t xml:space="preserve"> demanda de nulidad </w:t>
      </w:r>
      <w:r w:rsidRPr="00E52137">
        <w:rPr>
          <w:rFonts w:ascii="Arial" w:hAnsi="Arial" w:cs="Arial"/>
          <w:color w:val="000000" w:themeColor="text1"/>
          <w:sz w:val="26"/>
          <w:szCs w:val="26"/>
        </w:rPr>
        <w:t xml:space="preserve">el </w:t>
      </w:r>
      <w:r>
        <w:rPr>
          <w:rFonts w:ascii="Arial" w:hAnsi="Arial" w:cs="Arial"/>
          <w:color w:val="000000" w:themeColor="text1"/>
          <w:sz w:val="26"/>
          <w:szCs w:val="26"/>
        </w:rPr>
        <w:t xml:space="preserve">veintiocho de febrero </w:t>
      </w:r>
      <w:r w:rsidRPr="004A2D71">
        <w:rPr>
          <w:rFonts w:ascii="Arial" w:hAnsi="Arial" w:cs="Arial"/>
          <w:color w:val="000000" w:themeColor="text1"/>
          <w:sz w:val="26"/>
          <w:szCs w:val="26"/>
        </w:rPr>
        <w:t>de dos mil veinte</w:t>
      </w:r>
      <w:r w:rsidRPr="00E52137">
        <w:rPr>
          <w:rFonts w:ascii="Arial" w:hAnsi="Arial" w:cs="Arial"/>
          <w:color w:val="000000" w:themeColor="text1"/>
          <w:sz w:val="26"/>
          <w:szCs w:val="26"/>
        </w:rPr>
        <w:t xml:space="preserve">, como consta del sello de recepción de </w:t>
      </w:r>
      <w:r>
        <w:rPr>
          <w:rFonts w:ascii="Arial" w:hAnsi="Arial" w:cs="Arial"/>
          <w:color w:val="000000" w:themeColor="text1"/>
          <w:sz w:val="26"/>
          <w:szCs w:val="26"/>
        </w:rPr>
        <w:t>O</w:t>
      </w:r>
      <w:r w:rsidRPr="00E52137">
        <w:rPr>
          <w:rFonts w:ascii="Arial" w:hAnsi="Arial" w:cs="Arial"/>
          <w:color w:val="000000" w:themeColor="text1"/>
          <w:sz w:val="26"/>
          <w:szCs w:val="26"/>
        </w:rPr>
        <w:t xml:space="preserve">ficialía de </w:t>
      </w:r>
      <w:r>
        <w:rPr>
          <w:rFonts w:ascii="Arial" w:hAnsi="Arial" w:cs="Arial"/>
          <w:color w:val="000000" w:themeColor="text1"/>
          <w:sz w:val="26"/>
          <w:szCs w:val="26"/>
        </w:rPr>
        <w:t>P</w:t>
      </w:r>
      <w:r w:rsidRPr="00E52137">
        <w:rPr>
          <w:rFonts w:ascii="Arial" w:hAnsi="Arial" w:cs="Arial"/>
          <w:color w:val="000000" w:themeColor="text1"/>
          <w:sz w:val="26"/>
          <w:szCs w:val="26"/>
        </w:rPr>
        <w:t>artes este Tribunal,</w:t>
      </w:r>
      <w:r>
        <w:rPr>
          <w:rFonts w:ascii="Arial" w:hAnsi="Arial" w:cs="Arial"/>
          <w:color w:val="000000" w:themeColor="text1"/>
          <w:sz w:val="26"/>
          <w:szCs w:val="26"/>
        </w:rPr>
        <w:t xml:space="preserve"> estampado en la parte de atrás de la primera hoja del escrito inicial de demanda, agregado a foja 3 vuelta del presente expediente; </w:t>
      </w:r>
      <w:r w:rsidRPr="00E52137">
        <w:rPr>
          <w:rFonts w:ascii="Arial" w:hAnsi="Arial" w:cs="Arial"/>
          <w:color w:val="000000" w:themeColor="text1"/>
          <w:sz w:val="26"/>
          <w:szCs w:val="26"/>
        </w:rPr>
        <w:t xml:space="preserve">se hace evidente se realizó fuera del plazo que dispone el artículo </w:t>
      </w:r>
      <w:r>
        <w:rPr>
          <w:rFonts w:ascii="Arial" w:hAnsi="Arial" w:cs="Arial"/>
          <w:color w:val="000000" w:themeColor="text1"/>
          <w:sz w:val="26"/>
          <w:szCs w:val="26"/>
        </w:rPr>
        <w:t>166</w:t>
      </w:r>
      <w:r w:rsidRPr="00E52137">
        <w:rPr>
          <w:rFonts w:ascii="Arial" w:hAnsi="Arial" w:cs="Arial"/>
          <w:color w:val="000000" w:themeColor="text1"/>
          <w:sz w:val="26"/>
          <w:szCs w:val="26"/>
        </w:rPr>
        <w:t xml:space="preserve"> de la Ley en comento</w:t>
      </w:r>
      <w:r>
        <w:rPr>
          <w:rFonts w:ascii="Arial" w:hAnsi="Arial" w:cs="Arial"/>
          <w:color w:val="000000" w:themeColor="text1"/>
          <w:sz w:val="26"/>
          <w:szCs w:val="26"/>
        </w:rPr>
        <w:t>; pues como ya quedó precisando en párrafos que anteceden, el término para la presentación de la demanda concluyó el veinticinco de febrero de dos mil veinte; actualizando así, la causal de improcedencia prevista por el artículo 161 fracción VI</w:t>
      </w:r>
      <w:r w:rsidRPr="009B5395">
        <w:rPr>
          <w:rFonts w:ascii="Arial" w:hAnsi="Arial" w:cs="Arial"/>
          <w:color w:val="000000" w:themeColor="text1"/>
          <w:sz w:val="26"/>
          <w:szCs w:val="26"/>
        </w:rPr>
        <w:t xml:space="preserve"> </w:t>
      </w:r>
      <w:r>
        <w:rPr>
          <w:rFonts w:ascii="Arial" w:hAnsi="Arial" w:cs="Arial"/>
          <w:color w:val="000000" w:themeColor="text1"/>
          <w:sz w:val="26"/>
          <w:szCs w:val="26"/>
        </w:rPr>
        <w:t xml:space="preserve">de la Ley de Procedimiento y Justicia Administrativa para el Estado de Oaxaca, ya invocada; y en consecuencia la de sobreseimiento establecida en las fracciones II y VI del artículo 162 de la citada ley, mismos que establecen:- - </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sz w:val="26"/>
          <w:szCs w:val="26"/>
        </w:rPr>
        <w:t>“</w:t>
      </w:r>
      <w:r w:rsidRPr="002F212B">
        <w:rPr>
          <w:rFonts w:ascii="Arial" w:hAnsi="Arial" w:cs="Arial"/>
          <w:b/>
          <w:i/>
          <w:sz w:val="24"/>
          <w:szCs w:val="24"/>
        </w:rPr>
        <w:t>ARTÍCULO 16</w:t>
      </w:r>
      <w:r>
        <w:rPr>
          <w:rFonts w:ascii="Arial" w:hAnsi="Arial" w:cs="Arial"/>
          <w:b/>
          <w:i/>
          <w:sz w:val="24"/>
          <w:szCs w:val="24"/>
        </w:rPr>
        <w:t>1</w:t>
      </w:r>
      <w:r w:rsidRPr="002F212B">
        <w:rPr>
          <w:rFonts w:ascii="Arial" w:hAnsi="Arial" w:cs="Arial"/>
          <w:b/>
          <w:i/>
          <w:sz w:val="24"/>
          <w:szCs w:val="24"/>
        </w:rPr>
        <w:t xml:space="preserve">.- </w:t>
      </w:r>
      <w:r>
        <w:rPr>
          <w:rFonts w:ascii="Arial" w:hAnsi="Arial" w:cs="Arial"/>
          <w:i/>
          <w:sz w:val="24"/>
          <w:szCs w:val="24"/>
        </w:rPr>
        <w:t>Es improcedente el juicio ante el Tribunal contra actos:</w:t>
      </w:r>
    </w:p>
    <w:p w:rsidR="00FE05B1" w:rsidRPr="00CF4C7A" w:rsidRDefault="00FE05B1" w:rsidP="00FE05B1">
      <w:pPr>
        <w:spacing w:before="240" w:line="360" w:lineRule="auto"/>
        <w:ind w:left="1134" w:right="616"/>
        <w:jc w:val="both"/>
        <w:rPr>
          <w:rFonts w:ascii="Arial" w:hAnsi="Arial" w:cs="Arial"/>
          <w:i/>
          <w:sz w:val="24"/>
          <w:szCs w:val="24"/>
        </w:rPr>
      </w:pPr>
      <w:r w:rsidRPr="00CF4C7A">
        <w:rPr>
          <w:rFonts w:ascii="Arial" w:hAnsi="Arial" w:cs="Arial"/>
          <w:i/>
          <w:sz w:val="24"/>
          <w:szCs w:val="24"/>
        </w:rPr>
        <w:lastRenderedPageBreak/>
        <w:t>…</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i/>
          <w:sz w:val="24"/>
          <w:szCs w:val="24"/>
        </w:rPr>
        <w:t>VI. Contra actos consentidos expresamente o por manifestaciones de voluntad que entrañen ese consentimiento, entendiéndose por éstos últimos, en contra de los cuales no se promueva el juicio dentro del término que para tal efecto señale esta ley;</w:t>
      </w:r>
    </w:p>
    <w:p w:rsidR="00FE05B1" w:rsidRPr="002F212B" w:rsidRDefault="00FE05B1" w:rsidP="00FE05B1">
      <w:pPr>
        <w:spacing w:before="240" w:line="360" w:lineRule="auto"/>
        <w:ind w:left="1134" w:right="616"/>
        <w:jc w:val="both"/>
        <w:rPr>
          <w:rFonts w:ascii="Arial" w:hAnsi="Arial" w:cs="Arial"/>
          <w:sz w:val="26"/>
          <w:szCs w:val="26"/>
        </w:rPr>
      </w:pPr>
      <w:r>
        <w:rPr>
          <w:rFonts w:ascii="Arial" w:hAnsi="Arial" w:cs="Arial"/>
          <w:i/>
          <w:sz w:val="24"/>
          <w:szCs w:val="24"/>
        </w:rPr>
        <w:t>…</w:t>
      </w:r>
      <w:r>
        <w:rPr>
          <w:rFonts w:ascii="Arial" w:hAnsi="Arial" w:cs="Arial"/>
          <w:sz w:val="26"/>
          <w:szCs w:val="26"/>
        </w:rPr>
        <w:t>”</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sz w:val="26"/>
          <w:szCs w:val="26"/>
        </w:rPr>
        <w:t>“</w:t>
      </w:r>
      <w:r w:rsidRPr="002F212B">
        <w:rPr>
          <w:rFonts w:ascii="Arial" w:hAnsi="Arial" w:cs="Arial"/>
          <w:b/>
          <w:i/>
          <w:sz w:val="24"/>
          <w:szCs w:val="24"/>
        </w:rPr>
        <w:t>ARTÍCULO 16</w:t>
      </w:r>
      <w:r>
        <w:rPr>
          <w:rFonts w:ascii="Arial" w:hAnsi="Arial" w:cs="Arial"/>
          <w:b/>
          <w:i/>
          <w:sz w:val="24"/>
          <w:szCs w:val="24"/>
        </w:rPr>
        <w:t>2</w:t>
      </w:r>
      <w:r w:rsidRPr="002F212B">
        <w:rPr>
          <w:rFonts w:ascii="Arial" w:hAnsi="Arial" w:cs="Arial"/>
          <w:b/>
          <w:i/>
          <w:sz w:val="24"/>
          <w:szCs w:val="24"/>
        </w:rPr>
        <w:t xml:space="preserve">.- </w:t>
      </w:r>
      <w:r>
        <w:rPr>
          <w:rFonts w:ascii="Arial" w:hAnsi="Arial" w:cs="Arial"/>
          <w:i/>
          <w:sz w:val="24"/>
          <w:szCs w:val="24"/>
        </w:rPr>
        <w:t>Procede el sobreseimiento del juicio:</w:t>
      </w:r>
    </w:p>
    <w:p w:rsidR="00FE05B1" w:rsidRPr="00CF4C7A" w:rsidRDefault="00FE05B1" w:rsidP="00FE05B1">
      <w:pPr>
        <w:spacing w:before="240" w:line="360" w:lineRule="auto"/>
        <w:ind w:left="1134" w:right="616"/>
        <w:jc w:val="both"/>
        <w:rPr>
          <w:rFonts w:ascii="Arial" w:hAnsi="Arial" w:cs="Arial"/>
          <w:i/>
          <w:sz w:val="24"/>
          <w:szCs w:val="24"/>
        </w:rPr>
      </w:pPr>
      <w:r w:rsidRPr="00CF4C7A">
        <w:rPr>
          <w:rFonts w:ascii="Arial" w:hAnsi="Arial" w:cs="Arial"/>
          <w:i/>
          <w:sz w:val="24"/>
          <w:szCs w:val="24"/>
        </w:rPr>
        <w:t>…</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i/>
          <w:sz w:val="24"/>
          <w:szCs w:val="24"/>
        </w:rPr>
        <w:t>II. Cuando durante la tramitación del procedimiento sobreviniere alguna de las causales de improcedencia a que se refiere el artículo anterior;</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i/>
          <w:sz w:val="24"/>
          <w:szCs w:val="24"/>
        </w:rPr>
        <w:t>…</w:t>
      </w:r>
    </w:p>
    <w:p w:rsidR="00FE05B1" w:rsidRDefault="00FE05B1" w:rsidP="00FE05B1">
      <w:pPr>
        <w:spacing w:before="240" w:line="360" w:lineRule="auto"/>
        <w:ind w:left="1134" w:right="616"/>
        <w:jc w:val="both"/>
        <w:rPr>
          <w:rFonts w:ascii="Arial" w:hAnsi="Arial" w:cs="Arial"/>
          <w:i/>
          <w:sz w:val="24"/>
          <w:szCs w:val="24"/>
        </w:rPr>
      </w:pPr>
      <w:r>
        <w:rPr>
          <w:rFonts w:ascii="Arial" w:hAnsi="Arial" w:cs="Arial"/>
          <w:i/>
          <w:sz w:val="24"/>
          <w:szCs w:val="24"/>
        </w:rPr>
        <w:t>VI. En los demás casos en los que por disposición legal exista impedimento para emitir resoluciones en cuanto al fondo; y</w:t>
      </w:r>
    </w:p>
    <w:p w:rsidR="00FE05B1" w:rsidRPr="002F212B" w:rsidRDefault="00FE05B1" w:rsidP="00FE05B1">
      <w:pPr>
        <w:spacing w:before="240" w:line="360" w:lineRule="auto"/>
        <w:ind w:left="1134" w:right="616"/>
        <w:jc w:val="both"/>
        <w:rPr>
          <w:rFonts w:ascii="Arial" w:hAnsi="Arial" w:cs="Arial"/>
          <w:sz w:val="26"/>
          <w:szCs w:val="26"/>
        </w:rPr>
      </w:pPr>
      <w:r>
        <w:rPr>
          <w:rFonts w:ascii="Arial" w:hAnsi="Arial" w:cs="Arial"/>
          <w:i/>
          <w:sz w:val="24"/>
          <w:szCs w:val="24"/>
        </w:rPr>
        <w:t>….</w:t>
      </w:r>
      <w:r>
        <w:rPr>
          <w:rFonts w:ascii="Arial" w:hAnsi="Arial" w:cs="Arial"/>
          <w:sz w:val="26"/>
          <w:szCs w:val="26"/>
        </w:rPr>
        <w:t>”</w:t>
      </w:r>
    </w:p>
    <w:p w:rsidR="00FE05B1" w:rsidRPr="004B23F2" w:rsidRDefault="00FE05B1" w:rsidP="00FE05B1">
      <w:pPr>
        <w:spacing w:before="240" w:line="360" w:lineRule="auto"/>
        <w:ind w:firstLine="709"/>
        <w:jc w:val="both"/>
        <w:rPr>
          <w:rFonts w:ascii="Arial" w:hAnsi="Arial" w:cs="Arial"/>
          <w:sz w:val="26"/>
          <w:szCs w:val="26"/>
        </w:rPr>
      </w:pPr>
      <w:r>
        <w:rPr>
          <w:rFonts w:ascii="Arial" w:hAnsi="Arial" w:cs="Arial"/>
          <w:color w:val="000000" w:themeColor="text1"/>
          <w:sz w:val="26"/>
          <w:szCs w:val="26"/>
        </w:rPr>
        <w:t xml:space="preserve">Consecuentemente, por las razones plasmadas en la presente resolución; lo procedente es </w:t>
      </w:r>
      <w:r>
        <w:rPr>
          <w:rFonts w:ascii="Arial" w:hAnsi="Arial" w:cs="Arial"/>
          <w:b/>
          <w:color w:val="000000" w:themeColor="text1"/>
          <w:sz w:val="26"/>
          <w:szCs w:val="26"/>
        </w:rPr>
        <w:t xml:space="preserve">SOBRESEER </w:t>
      </w:r>
      <w:r w:rsidRPr="009B59DB">
        <w:rPr>
          <w:rFonts w:ascii="Arial" w:hAnsi="Arial" w:cs="Arial"/>
          <w:sz w:val="26"/>
          <w:szCs w:val="26"/>
        </w:rPr>
        <w:t>el juicio</w:t>
      </w:r>
      <w:r>
        <w:rPr>
          <w:rFonts w:ascii="Arial" w:hAnsi="Arial" w:cs="Arial"/>
          <w:sz w:val="26"/>
          <w:szCs w:val="26"/>
        </w:rPr>
        <w:t xml:space="preserve">; por lo que, </w:t>
      </w:r>
      <w:r w:rsidRPr="004B23F2">
        <w:rPr>
          <w:rFonts w:ascii="Arial" w:hAnsi="Arial" w:cs="Arial"/>
          <w:sz w:val="26"/>
          <w:szCs w:val="26"/>
        </w:rPr>
        <w:t xml:space="preserve">con fundamento en los artículos 207, </w:t>
      </w:r>
      <w:r>
        <w:rPr>
          <w:rFonts w:ascii="Arial" w:hAnsi="Arial" w:cs="Arial"/>
          <w:sz w:val="26"/>
          <w:szCs w:val="26"/>
        </w:rPr>
        <w:t xml:space="preserve">161 </w:t>
      </w:r>
      <w:proofErr w:type="gramStart"/>
      <w:r>
        <w:rPr>
          <w:rFonts w:ascii="Arial" w:hAnsi="Arial" w:cs="Arial"/>
          <w:sz w:val="26"/>
          <w:szCs w:val="26"/>
        </w:rPr>
        <w:t>fracción</w:t>
      </w:r>
      <w:proofErr w:type="gramEnd"/>
      <w:r>
        <w:rPr>
          <w:rFonts w:ascii="Arial" w:hAnsi="Arial" w:cs="Arial"/>
          <w:sz w:val="26"/>
          <w:szCs w:val="26"/>
        </w:rPr>
        <w:t xml:space="preserve"> VI, 162 fracciones II y VI </w:t>
      </w:r>
      <w:r w:rsidRPr="004B23F2">
        <w:rPr>
          <w:rFonts w:ascii="Arial" w:hAnsi="Arial" w:cs="Arial"/>
          <w:sz w:val="26"/>
          <w:szCs w:val="26"/>
        </w:rPr>
        <w:t>de Ley de Procedimiento y Justicia Administrativa para el Estado de Oaxaca, se</w:t>
      </w:r>
      <w:r>
        <w:rPr>
          <w:rFonts w:ascii="Arial" w:hAnsi="Arial" w:cs="Arial"/>
          <w:sz w:val="26"/>
          <w:szCs w:val="26"/>
        </w:rPr>
        <w:t xml:space="preserve">:- - - </w:t>
      </w:r>
    </w:p>
    <w:p w:rsidR="00FE05B1" w:rsidRPr="004B23F2" w:rsidRDefault="00FE05B1" w:rsidP="00FE05B1">
      <w:pPr>
        <w:spacing w:before="240" w:line="360" w:lineRule="auto"/>
        <w:ind w:right="49"/>
        <w:jc w:val="center"/>
        <w:rPr>
          <w:rFonts w:ascii="Arial" w:hAnsi="Arial" w:cs="Arial"/>
          <w:b/>
          <w:sz w:val="26"/>
          <w:szCs w:val="26"/>
        </w:rPr>
      </w:pPr>
      <w:r w:rsidRPr="004B23F2">
        <w:rPr>
          <w:rFonts w:ascii="Arial" w:hAnsi="Arial" w:cs="Arial"/>
          <w:b/>
          <w:sz w:val="26"/>
          <w:szCs w:val="26"/>
        </w:rPr>
        <w:t>R E S U E L V E:</w:t>
      </w:r>
    </w:p>
    <w:p w:rsidR="00FE05B1" w:rsidRPr="004B23F2" w:rsidRDefault="00FE05B1" w:rsidP="00FE05B1">
      <w:pPr>
        <w:spacing w:before="240" w:line="360" w:lineRule="auto"/>
        <w:ind w:right="49" w:firstLine="567"/>
        <w:jc w:val="both"/>
        <w:rPr>
          <w:rFonts w:ascii="Arial" w:hAnsi="Arial" w:cs="Arial"/>
          <w:sz w:val="26"/>
          <w:szCs w:val="26"/>
        </w:rPr>
      </w:pPr>
      <w:r w:rsidRPr="004B23F2">
        <w:rPr>
          <w:rFonts w:ascii="Arial" w:hAnsi="Arial" w:cs="Arial"/>
          <w:b/>
          <w:sz w:val="26"/>
          <w:szCs w:val="26"/>
        </w:rPr>
        <w:t>PRIMERO.-</w:t>
      </w:r>
      <w:r w:rsidRPr="004B23F2">
        <w:rPr>
          <w:rFonts w:ascii="Arial" w:hAnsi="Arial" w:cs="Arial"/>
          <w:sz w:val="26"/>
          <w:szCs w:val="26"/>
        </w:rPr>
        <w:t xml:space="preserve"> Esta </w:t>
      </w:r>
      <w:r>
        <w:rPr>
          <w:rFonts w:ascii="Arial" w:hAnsi="Arial" w:cs="Arial"/>
          <w:sz w:val="26"/>
          <w:szCs w:val="26"/>
        </w:rPr>
        <w:t xml:space="preserve">Primera </w:t>
      </w:r>
      <w:r w:rsidRPr="004B23F2">
        <w:rPr>
          <w:rFonts w:ascii="Arial" w:hAnsi="Arial" w:cs="Arial"/>
          <w:sz w:val="26"/>
          <w:szCs w:val="26"/>
        </w:rPr>
        <w:t xml:space="preserve">Sala Unitaria fue competente para conocer y resolver del presente asunto - - - - - - - - - - - - - - - - - - - - - - - - - - - - - - - - - - </w:t>
      </w:r>
    </w:p>
    <w:p w:rsidR="00FE05B1" w:rsidRDefault="00FE05B1" w:rsidP="00FE05B1">
      <w:pPr>
        <w:spacing w:before="240" w:line="360" w:lineRule="auto"/>
        <w:ind w:right="49" w:firstLine="567"/>
        <w:jc w:val="both"/>
        <w:rPr>
          <w:rFonts w:ascii="Arial" w:hAnsi="Arial" w:cs="Arial"/>
          <w:sz w:val="26"/>
          <w:szCs w:val="26"/>
        </w:rPr>
      </w:pPr>
      <w:r w:rsidRPr="004B23F2">
        <w:rPr>
          <w:rFonts w:ascii="Arial" w:hAnsi="Arial" w:cs="Arial"/>
          <w:b/>
          <w:sz w:val="26"/>
          <w:szCs w:val="26"/>
        </w:rPr>
        <w:t>SEGUNDO.</w:t>
      </w:r>
      <w:r>
        <w:rPr>
          <w:rFonts w:ascii="Arial" w:hAnsi="Arial" w:cs="Arial"/>
          <w:sz w:val="26"/>
          <w:szCs w:val="26"/>
        </w:rPr>
        <w:t xml:space="preserve"> S</w:t>
      </w:r>
      <w:r w:rsidRPr="004B23F2">
        <w:rPr>
          <w:rFonts w:ascii="Arial" w:hAnsi="Arial" w:cs="Arial"/>
          <w:sz w:val="26"/>
          <w:szCs w:val="26"/>
        </w:rPr>
        <w:t>e actualiz</w:t>
      </w:r>
      <w:r>
        <w:rPr>
          <w:rFonts w:ascii="Arial" w:hAnsi="Arial" w:cs="Arial"/>
          <w:sz w:val="26"/>
          <w:szCs w:val="26"/>
        </w:rPr>
        <w:t xml:space="preserve">ó </w:t>
      </w:r>
      <w:r w:rsidRPr="004B23F2">
        <w:rPr>
          <w:rFonts w:ascii="Arial" w:hAnsi="Arial" w:cs="Arial"/>
          <w:sz w:val="26"/>
          <w:szCs w:val="26"/>
        </w:rPr>
        <w:t xml:space="preserve">causal de improcedencia </w:t>
      </w:r>
      <w:r>
        <w:rPr>
          <w:rFonts w:ascii="Arial" w:hAnsi="Arial" w:cs="Arial"/>
          <w:sz w:val="26"/>
          <w:szCs w:val="26"/>
        </w:rPr>
        <w:t xml:space="preserve">prevista por el artículo 161 fracción VI; </w:t>
      </w:r>
      <w:r w:rsidRPr="004B23F2">
        <w:rPr>
          <w:rFonts w:ascii="Arial" w:hAnsi="Arial" w:cs="Arial"/>
          <w:sz w:val="26"/>
          <w:szCs w:val="26"/>
        </w:rPr>
        <w:t xml:space="preserve">por lo que se </w:t>
      </w:r>
      <w:r w:rsidRPr="007A58F3">
        <w:rPr>
          <w:rFonts w:ascii="Arial" w:hAnsi="Arial" w:cs="Arial"/>
          <w:b/>
          <w:sz w:val="26"/>
          <w:szCs w:val="26"/>
        </w:rPr>
        <w:t>SOBRESEE</w:t>
      </w:r>
      <w:r>
        <w:rPr>
          <w:rFonts w:ascii="Arial" w:hAnsi="Arial" w:cs="Arial"/>
          <w:sz w:val="26"/>
          <w:szCs w:val="26"/>
        </w:rPr>
        <w:t xml:space="preserve"> el juicio.</w:t>
      </w:r>
      <w:r w:rsidRPr="004B23F2">
        <w:rPr>
          <w:rFonts w:ascii="Arial" w:hAnsi="Arial" w:cs="Arial"/>
          <w:sz w:val="26"/>
          <w:szCs w:val="26"/>
        </w:rPr>
        <w:t xml:space="preserve">- - - - - - - - - - - </w:t>
      </w:r>
      <w:r>
        <w:rPr>
          <w:rFonts w:ascii="Arial" w:hAnsi="Arial" w:cs="Arial"/>
          <w:sz w:val="26"/>
          <w:szCs w:val="26"/>
        </w:rPr>
        <w:t>-</w:t>
      </w:r>
    </w:p>
    <w:p w:rsidR="00FE05B1" w:rsidRPr="004B23F2" w:rsidRDefault="00FE05B1" w:rsidP="00FE05B1">
      <w:pPr>
        <w:spacing w:before="240" w:line="360" w:lineRule="auto"/>
        <w:ind w:right="49" w:firstLine="708"/>
        <w:jc w:val="both"/>
        <w:rPr>
          <w:rFonts w:ascii="Arial" w:hAnsi="Arial" w:cs="Arial"/>
          <w:b/>
          <w:sz w:val="26"/>
          <w:szCs w:val="26"/>
        </w:rPr>
      </w:pPr>
      <w:r w:rsidRPr="004B23F2">
        <w:rPr>
          <w:rFonts w:ascii="Arial" w:hAnsi="Arial" w:cs="Arial"/>
          <w:b/>
          <w:sz w:val="26"/>
          <w:szCs w:val="26"/>
        </w:rPr>
        <w:t xml:space="preserve">TERCERO. NOTIFÍQUESE </w:t>
      </w:r>
      <w:r w:rsidRPr="007A58F3">
        <w:rPr>
          <w:rFonts w:ascii="Arial" w:hAnsi="Arial" w:cs="Arial"/>
          <w:sz w:val="26"/>
          <w:szCs w:val="26"/>
        </w:rPr>
        <w:t>personalmente a la actora y por oficio a la autoridad demandada</w:t>
      </w:r>
      <w:r w:rsidRPr="004B23F2">
        <w:rPr>
          <w:rFonts w:ascii="Arial" w:hAnsi="Arial" w:cs="Arial"/>
          <w:sz w:val="26"/>
          <w:szCs w:val="26"/>
        </w:rPr>
        <w:t>, con fundamento en los artículos 172 fracción I y 173 fracciones I y II, de la Ley de Procedimiento y Justicia Administrativa para el Estado de Oaxaca</w:t>
      </w:r>
      <w:r>
        <w:rPr>
          <w:rFonts w:ascii="Arial" w:hAnsi="Arial" w:cs="Arial"/>
          <w:sz w:val="26"/>
          <w:szCs w:val="26"/>
        </w:rPr>
        <w:t>.</w:t>
      </w:r>
      <w:r w:rsidRPr="00E6346F">
        <w:rPr>
          <w:rFonts w:ascii="Arial" w:hAnsi="Arial" w:cs="Arial"/>
          <w:iCs/>
          <w:sz w:val="26"/>
          <w:szCs w:val="26"/>
        </w:rPr>
        <w:t>-</w:t>
      </w:r>
      <w:r w:rsidRPr="004B23F2">
        <w:rPr>
          <w:rFonts w:ascii="Arial" w:hAnsi="Arial" w:cs="Arial"/>
          <w:b/>
          <w:iCs/>
          <w:sz w:val="26"/>
          <w:szCs w:val="26"/>
        </w:rPr>
        <w:t xml:space="preserve"> CÚMPLASE</w:t>
      </w:r>
      <w:r>
        <w:rPr>
          <w:rFonts w:ascii="Arial" w:hAnsi="Arial" w:cs="Arial"/>
          <w:sz w:val="26"/>
          <w:szCs w:val="26"/>
        </w:rPr>
        <w:t>.</w:t>
      </w:r>
      <w:r w:rsidRPr="004B23F2">
        <w:rPr>
          <w:rFonts w:ascii="Arial" w:hAnsi="Arial" w:cs="Arial"/>
          <w:sz w:val="26"/>
          <w:szCs w:val="26"/>
        </w:rPr>
        <w:t xml:space="preserve">- - - - - - - - </w:t>
      </w:r>
      <w:r>
        <w:rPr>
          <w:rFonts w:ascii="Arial" w:hAnsi="Arial" w:cs="Arial"/>
          <w:sz w:val="26"/>
          <w:szCs w:val="26"/>
        </w:rPr>
        <w:t xml:space="preserve">- - - - - - - - - - - - - - - - - - - - - - - </w:t>
      </w:r>
    </w:p>
    <w:p w:rsidR="00FE05B1" w:rsidRPr="009B59DB" w:rsidRDefault="00FE05B1" w:rsidP="00FE05B1">
      <w:pPr>
        <w:spacing w:before="240" w:line="360" w:lineRule="auto"/>
        <w:ind w:right="49" w:firstLine="708"/>
        <w:jc w:val="both"/>
        <w:rPr>
          <w:rFonts w:ascii="Arial" w:hAnsi="Arial" w:cs="Arial"/>
          <w:sz w:val="26"/>
          <w:szCs w:val="26"/>
        </w:rPr>
      </w:pPr>
      <w:r w:rsidRPr="009B59DB">
        <w:rPr>
          <w:rFonts w:ascii="Arial" w:hAnsi="Arial" w:cs="Arial"/>
          <w:sz w:val="26"/>
          <w:szCs w:val="26"/>
        </w:rPr>
        <w:lastRenderedPageBreak/>
        <w:t xml:space="preserve">Así lo resolvió y firmó el Titular de la </w:t>
      </w:r>
      <w:r>
        <w:rPr>
          <w:rFonts w:ascii="Arial" w:hAnsi="Arial" w:cs="Arial"/>
          <w:sz w:val="26"/>
          <w:szCs w:val="26"/>
        </w:rPr>
        <w:t xml:space="preserve">Primera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 - - - - - - - - - - - - - - - - - - - - - - - - - - - - - - - - - - - - - - - - - -</w:t>
      </w:r>
      <w:bookmarkStart w:id="0" w:name="_GoBack"/>
      <w:bookmarkEnd w:id="0"/>
    </w:p>
    <w:sectPr w:rsidR="00FE05B1" w:rsidRPr="009B59DB" w:rsidSect="00CC7ADF">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BD4" w:rsidRDefault="00441BD4" w:rsidP="00CC7ADF">
      <w:r>
        <w:separator/>
      </w:r>
    </w:p>
  </w:endnote>
  <w:endnote w:type="continuationSeparator" w:id="0">
    <w:p w:rsidR="00441BD4" w:rsidRDefault="00441BD4"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BD4" w:rsidRDefault="00441BD4" w:rsidP="00CC7ADF">
      <w:r>
        <w:separator/>
      </w:r>
    </w:p>
  </w:footnote>
  <w:footnote w:type="continuationSeparator" w:id="0">
    <w:p w:rsidR="00441BD4" w:rsidRDefault="00441BD4" w:rsidP="00CC7ADF">
      <w:r>
        <w:continuationSeparator/>
      </w:r>
    </w:p>
  </w:footnote>
  <w:footnote w:id="1">
    <w:p w:rsidR="00FE05B1" w:rsidRPr="00271AF8" w:rsidRDefault="00FE05B1" w:rsidP="00FE05B1">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FE05B1" w:rsidRDefault="00FE05B1" w:rsidP="00FE05B1">
      <w:pPr>
        <w:pStyle w:val="Textonotapie"/>
      </w:pPr>
      <w:r>
        <w:rPr>
          <w:rStyle w:val="Refdenotaalpie"/>
        </w:rPr>
        <w:footnoteRef/>
      </w:r>
      <w:r>
        <w:t xml:space="preserve"> “</w:t>
      </w:r>
      <w:r>
        <w:rPr>
          <w:b/>
        </w:rPr>
        <w:t>ARTÍCULO 161.</w:t>
      </w:r>
      <w:proofErr w:type="gramStart"/>
      <w:r>
        <w:rPr>
          <w:b/>
        </w:rPr>
        <w:t xml:space="preserve">- </w:t>
      </w:r>
      <w:r>
        <w:t>…</w:t>
      </w:r>
      <w:proofErr w:type="gramEnd"/>
    </w:p>
    <w:p w:rsidR="00FE05B1" w:rsidRDefault="00FE05B1" w:rsidP="00FE05B1">
      <w:pPr>
        <w:pStyle w:val="Textonotapie"/>
      </w:pPr>
      <w:r>
        <w:t xml:space="preserve">   …</w:t>
      </w:r>
    </w:p>
    <w:p w:rsidR="00FE05B1" w:rsidRPr="00271AF8" w:rsidRDefault="00FE05B1" w:rsidP="00FE05B1">
      <w:pPr>
        <w:pStyle w:val="Textonotapie"/>
      </w:pPr>
      <w:r>
        <w:t xml:space="preserve">   Las causales de improcedencia deben ser examinadas de oficio.”</w:t>
      </w:r>
    </w:p>
  </w:footnote>
  <w:footnote w:id="3">
    <w:p w:rsidR="00FE05B1" w:rsidRDefault="00FE05B1" w:rsidP="00FE05B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FE05B1" w:rsidRDefault="00FE05B1" w:rsidP="00FE05B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FE05B1" w:rsidRPr="002C650C" w:rsidRDefault="00FE05B1" w:rsidP="00FE05B1">
      <w:pPr>
        <w:pStyle w:val="Textonotapie"/>
        <w:jc w:val="both"/>
      </w:pPr>
      <w:r>
        <w:t xml:space="preserve">   …”</w:t>
      </w:r>
    </w:p>
  </w:footnote>
  <w:footnote w:id="4">
    <w:p w:rsidR="00FE05B1" w:rsidRDefault="00FE05B1" w:rsidP="00FE05B1">
      <w:pPr>
        <w:pStyle w:val="Textonotapie"/>
        <w:jc w:val="both"/>
      </w:pPr>
      <w:r>
        <w:rPr>
          <w:rStyle w:val="Refdenotaalpie"/>
        </w:rPr>
        <w:footnoteRef/>
      </w:r>
      <w:r>
        <w:t xml:space="preserve"> “</w:t>
      </w:r>
      <w:r>
        <w:rPr>
          <w:b/>
        </w:rPr>
        <w:t xml:space="preserve">ARTÍCULO 39.- </w:t>
      </w:r>
      <w:r>
        <w:t>La actuaciones y diligencias administrativas se practicarán en días y horas hábiles.</w:t>
      </w:r>
    </w:p>
    <w:p w:rsidR="00FE05B1" w:rsidRDefault="00FE05B1" w:rsidP="00FE05B1">
      <w:pPr>
        <w:pStyle w:val="Textonotapie"/>
        <w:jc w:val="both"/>
      </w:pPr>
      <w:r>
        <w:t xml:space="preserve">   En los plazos fijados en días no se contarán los inhábiles, salvo disposición en contrario.</w:t>
      </w:r>
    </w:p>
    <w:p w:rsidR="00FE05B1" w:rsidRPr="002C17B2" w:rsidRDefault="00FE05B1" w:rsidP="00FE05B1">
      <w:pPr>
        <w:pStyle w:val="Textonotapie"/>
        <w:jc w:val="both"/>
      </w:pPr>
      <w:r>
        <w:t xml:space="preserve">   No se considerarán días hábiles: los sábados, los domingos, el 1 de enero; el primero lunes del mes de febrero en conmemoración del 5 de febrero; el tercer lunes del mes de marzo en conmemoración del 21 de marzo; el 1 de mayo; 16 de septiembre; el tercer lunes del mes de noviembre en conmemoración del 20 de noviembre; y el 25 de diciembre, así como los días en que tengan vacaciones generales las autoridades competentes o aquéllos en que se suspendan las labores, los que se harán del conocimiento público mediante acuerdo del titular de la dependencia, entidad o Ayuntamiento respectivo, que se pública en el Periódico oficial del Gobierno del Estado, en la página electrónica del Tribunal y los estrados…”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417FB7"/>
    <w:rsid w:val="00422C2C"/>
    <w:rsid w:val="00441BD4"/>
    <w:rsid w:val="00557D3F"/>
    <w:rsid w:val="0096153A"/>
    <w:rsid w:val="00AB2B08"/>
    <w:rsid w:val="00BD31BE"/>
    <w:rsid w:val="00CC7ADF"/>
    <w:rsid w:val="00EC1227"/>
    <w:rsid w:val="00FE0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FE05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D3227-6600-4948-8BBC-E8F1744B1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2199</Words>
  <Characters>12100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2021-07-08T18:37:00Z</dcterms:created>
  <dcterms:modified xsi:type="dcterms:W3CDTF">2021-07-08T18:37:00Z</dcterms:modified>
</cp:coreProperties>
</file>