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26B3" w:rsidRPr="00A102CE" w:rsidRDefault="006426B3" w:rsidP="006426B3">
      <w:pPr>
        <w:spacing w:after="0"/>
        <w:ind w:left="3686" w:right="51"/>
        <w:jc w:val="both"/>
        <w:rPr>
          <w:rFonts w:ascii="Arial" w:eastAsia="Times New Roman" w:hAnsi="Arial" w:cs="Arial"/>
          <w:b/>
          <w:sz w:val="24"/>
          <w:szCs w:val="24"/>
          <w:lang w:val="es-ES_tradnl" w:eastAsia="es-ES"/>
        </w:rPr>
      </w:pPr>
      <w:r w:rsidRPr="00A102CE">
        <w:rPr>
          <w:rFonts w:ascii="Arial" w:eastAsia="Times New Roman" w:hAnsi="Arial" w:cs="Arial"/>
          <w:b/>
          <w:sz w:val="24"/>
          <w:szCs w:val="24"/>
          <w:lang w:val="es-ES_tradnl" w:eastAsia="es-ES"/>
        </w:rPr>
        <w:t>TRIBUNAL DE JUSTICIA ADMINISTRATIVA DEL ESTADO DE OAXACA.</w:t>
      </w:r>
    </w:p>
    <w:p w:rsidR="006426B3" w:rsidRPr="00A102CE" w:rsidRDefault="006426B3" w:rsidP="006426B3">
      <w:pPr>
        <w:spacing w:after="0"/>
        <w:ind w:left="3686" w:right="51"/>
        <w:jc w:val="both"/>
        <w:rPr>
          <w:rFonts w:ascii="Arial" w:eastAsia="Times New Roman" w:hAnsi="Arial" w:cs="Arial"/>
          <w:b/>
          <w:sz w:val="24"/>
          <w:szCs w:val="24"/>
          <w:lang w:val="es-ES_tradnl" w:eastAsia="es-ES"/>
        </w:rPr>
      </w:pPr>
    </w:p>
    <w:p w:rsidR="006426B3" w:rsidRPr="00A102CE" w:rsidRDefault="006426B3" w:rsidP="006426B3">
      <w:pPr>
        <w:spacing w:after="0"/>
        <w:ind w:left="3686" w:right="51"/>
        <w:jc w:val="both"/>
        <w:rPr>
          <w:rFonts w:ascii="Arial" w:eastAsia="Times New Roman" w:hAnsi="Arial" w:cs="Arial"/>
          <w:b/>
          <w:sz w:val="24"/>
          <w:szCs w:val="24"/>
          <w:lang w:val="es-ES_tradnl" w:eastAsia="es-ES"/>
        </w:rPr>
      </w:pPr>
      <w:r w:rsidRPr="00A102CE">
        <w:rPr>
          <w:rFonts w:ascii="Arial" w:eastAsia="Times New Roman" w:hAnsi="Arial" w:cs="Arial"/>
          <w:b/>
          <w:sz w:val="24"/>
          <w:szCs w:val="24"/>
          <w:lang w:val="es-ES_tradnl" w:eastAsia="es-ES"/>
        </w:rPr>
        <w:t>SEXTA SALA UNITARIA DE PRIMERA INSTANCIA.</w:t>
      </w:r>
    </w:p>
    <w:p w:rsidR="006426B3" w:rsidRPr="00A102CE" w:rsidRDefault="006426B3" w:rsidP="006426B3">
      <w:pPr>
        <w:spacing w:after="0"/>
        <w:ind w:left="3686" w:right="51"/>
        <w:jc w:val="both"/>
        <w:rPr>
          <w:rFonts w:ascii="Arial" w:eastAsia="Times New Roman" w:hAnsi="Arial" w:cs="Arial"/>
          <w:b/>
          <w:sz w:val="24"/>
          <w:szCs w:val="24"/>
          <w:lang w:val="es-ES_tradnl" w:eastAsia="es-ES"/>
        </w:rPr>
      </w:pPr>
    </w:p>
    <w:p w:rsidR="006426B3" w:rsidRPr="00A102CE" w:rsidRDefault="006426B3" w:rsidP="006426B3">
      <w:pPr>
        <w:spacing w:after="0"/>
        <w:ind w:left="3686" w:right="51"/>
        <w:jc w:val="both"/>
        <w:rPr>
          <w:rFonts w:ascii="Arial" w:eastAsia="Times New Roman" w:hAnsi="Arial" w:cs="Arial"/>
          <w:bCs/>
          <w:sz w:val="24"/>
          <w:szCs w:val="24"/>
          <w:lang w:val="es-ES_tradnl" w:eastAsia="es-ES"/>
        </w:rPr>
      </w:pPr>
      <w:r w:rsidRPr="00A102CE">
        <w:rPr>
          <w:rFonts w:ascii="Arial" w:eastAsia="Times New Roman" w:hAnsi="Arial" w:cs="Arial"/>
          <w:b/>
          <w:sz w:val="24"/>
          <w:szCs w:val="24"/>
          <w:lang w:val="es-ES_tradnl" w:eastAsia="es-ES"/>
        </w:rPr>
        <w:t xml:space="preserve">JUICIO DE NULIDAD: </w:t>
      </w:r>
      <w:r w:rsidRPr="00A102CE">
        <w:rPr>
          <w:rFonts w:ascii="Arial" w:eastAsia="Times New Roman" w:hAnsi="Arial" w:cs="Arial"/>
          <w:bCs/>
          <w:sz w:val="24"/>
          <w:szCs w:val="24"/>
          <w:lang w:val="es-ES_tradnl" w:eastAsia="es-ES"/>
        </w:rPr>
        <w:t xml:space="preserve">42/2019. </w:t>
      </w:r>
    </w:p>
    <w:p w:rsidR="006426B3" w:rsidRPr="00A102CE" w:rsidRDefault="006426B3" w:rsidP="006426B3">
      <w:pPr>
        <w:spacing w:after="0"/>
        <w:ind w:left="3686" w:right="51"/>
        <w:jc w:val="both"/>
        <w:rPr>
          <w:rFonts w:ascii="Arial" w:eastAsia="Times New Roman" w:hAnsi="Arial" w:cs="Arial"/>
          <w:b/>
          <w:sz w:val="24"/>
          <w:szCs w:val="24"/>
          <w:lang w:val="es-ES_tradnl" w:eastAsia="es-ES"/>
        </w:rPr>
      </w:pPr>
    </w:p>
    <w:p w:rsidR="006426B3" w:rsidRPr="00A102CE" w:rsidRDefault="006426B3" w:rsidP="006426B3">
      <w:pPr>
        <w:spacing w:after="0"/>
        <w:ind w:left="3686" w:right="51"/>
        <w:jc w:val="both"/>
        <w:rPr>
          <w:rFonts w:ascii="Arial" w:eastAsia="Times New Roman" w:hAnsi="Arial" w:cs="Arial"/>
          <w:sz w:val="24"/>
          <w:szCs w:val="24"/>
          <w:lang w:val="es-ES_tradnl" w:eastAsia="es-ES"/>
        </w:rPr>
      </w:pPr>
      <w:r w:rsidRPr="00A102CE">
        <w:rPr>
          <w:rFonts w:ascii="Arial" w:eastAsia="Times New Roman" w:hAnsi="Arial" w:cs="Arial"/>
          <w:b/>
          <w:sz w:val="24"/>
          <w:szCs w:val="24"/>
          <w:lang w:val="es-ES_tradnl" w:eastAsia="es-ES"/>
        </w:rPr>
        <w:t xml:space="preserve">ACTOR: </w:t>
      </w:r>
      <w:r w:rsidR="00BA73DA">
        <w:rPr>
          <w:rFonts w:ascii="Arial" w:eastAsia="Times New Roman" w:hAnsi="Arial" w:cs="Arial"/>
          <w:color w:val="FF0000"/>
          <w:sz w:val="24"/>
          <w:szCs w:val="24"/>
          <w:lang w:val="es-ES_tradnl" w:eastAsia="es-ES"/>
        </w:rPr>
        <w:t>**********</w:t>
      </w:r>
      <w:r w:rsidRPr="00A102CE">
        <w:rPr>
          <w:rFonts w:ascii="Arial" w:eastAsia="Times New Roman" w:hAnsi="Arial" w:cs="Arial"/>
          <w:sz w:val="24"/>
          <w:szCs w:val="24"/>
          <w:lang w:val="es-ES_tradnl" w:eastAsia="es-ES"/>
        </w:rPr>
        <w:t xml:space="preserve">.  </w:t>
      </w:r>
    </w:p>
    <w:p w:rsidR="006426B3" w:rsidRPr="00A102CE" w:rsidRDefault="006426B3" w:rsidP="006426B3">
      <w:pPr>
        <w:spacing w:after="0"/>
        <w:ind w:left="3686" w:right="51"/>
        <w:jc w:val="both"/>
        <w:rPr>
          <w:rFonts w:ascii="Arial" w:eastAsia="Times New Roman" w:hAnsi="Arial" w:cs="Arial"/>
          <w:sz w:val="24"/>
          <w:szCs w:val="24"/>
          <w:lang w:val="es-ES_tradnl" w:eastAsia="es-ES"/>
        </w:rPr>
      </w:pPr>
    </w:p>
    <w:p w:rsidR="006426B3" w:rsidRPr="00A102CE" w:rsidRDefault="006426B3" w:rsidP="006426B3">
      <w:pPr>
        <w:spacing w:after="0"/>
        <w:ind w:left="3686" w:right="51"/>
        <w:jc w:val="both"/>
        <w:rPr>
          <w:rFonts w:ascii="Arial" w:eastAsia="Times New Roman" w:hAnsi="Arial" w:cs="Arial"/>
          <w:sz w:val="24"/>
          <w:szCs w:val="24"/>
          <w:lang w:val="es-ES_tradnl" w:eastAsia="es-ES"/>
        </w:rPr>
      </w:pPr>
      <w:r w:rsidRPr="00A102CE">
        <w:rPr>
          <w:rFonts w:ascii="Arial" w:eastAsia="Times New Roman" w:hAnsi="Arial" w:cs="Arial"/>
          <w:b/>
          <w:sz w:val="24"/>
          <w:szCs w:val="24"/>
          <w:lang w:val="es-ES_tradnl" w:eastAsia="es-ES"/>
        </w:rPr>
        <w:t xml:space="preserve">AUTORIDAD DEMANDADA: </w:t>
      </w:r>
      <w:bookmarkStart w:id="0" w:name="_Hlk49769963"/>
      <w:r w:rsidRPr="00A102CE">
        <w:rPr>
          <w:rFonts w:ascii="Arial" w:eastAsia="Times New Roman" w:hAnsi="Arial" w:cs="Arial"/>
          <w:sz w:val="24"/>
          <w:szCs w:val="24"/>
          <w:lang w:val="es-ES_tradnl" w:eastAsia="es-ES"/>
        </w:rPr>
        <w:t>DIRECTORA DE INGRESOS Y RECAUDACIÓN DE LA SUBSECRETARÍA DE INGRESOS DE LA SECRETARÍA DE FINANZAS DEL GOBIERNO DEL ESTADO DE OAXACA</w:t>
      </w:r>
      <w:bookmarkEnd w:id="0"/>
      <w:r w:rsidRPr="00A102CE">
        <w:rPr>
          <w:rFonts w:ascii="Arial" w:eastAsia="Times New Roman" w:hAnsi="Arial" w:cs="Arial"/>
          <w:sz w:val="24"/>
          <w:szCs w:val="24"/>
          <w:lang w:val="es-ES_tradnl" w:eastAsia="es-ES"/>
        </w:rPr>
        <w:t>.</w:t>
      </w:r>
    </w:p>
    <w:p w:rsidR="006426B3" w:rsidRPr="00A102CE" w:rsidRDefault="006426B3" w:rsidP="006426B3">
      <w:pPr>
        <w:spacing w:after="0"/>
        <w:ind w:left="3969" w:right="51"/>
        <w:jc w:val="both"/>
        <w:rPr>
          <w:rFonts w:ascii="Arial" w:eastAsia="Times New Roman" w:hAnsi="Arial" w:cs="Arial"/>
          <w:sz w:val="24"/>
          <w:szCs w:val="24"/>
          <w:lang w:val="es-ES_tradnl" w:eastAsia="es-ES"/>
        </w:rPr>
      </w:pPr>
    </w:p>
    <w:p w:rsidR="006426B3" w:rsidRPr="00A102CE" w:rsidRDefault="004A2715" w:rsidP="004A2715">
      <w:pPr>
        <w:widowControl w:val="0"/>
        <w:tabs>
          <w:tab w:val="left" w:pos="2797"/>
        </w:tabs>
        <w:spacing w:after="0" w:line="240" w:lineRule="auto"/>
        <w:ind w:right="51"/>
        <w:rPr>
          <w:rFonts w:ascii="Arial" w:eastAsia="Times New Roman" w:hAnsi="Arial" w:cs="Arial"/>
          <w:color w:val="FF0000"/>
          <w:sz w:val="24"/>
          <w:szCs w:val="24"/>
          <w:lang w:val="es-ES" w:eastAsia="es-ES"/>
        </w:rPr>
      </w:pPr>
      <w:r w:rsidRPr="00A102CE">
        <w:rPr>
          <w:rFonts w:ascii="Arial" w:eastAsia="Times New Roman" w:hAnsi="Arial" w:cs="Arial"/>
          <w:color w:val="FF0000"/>
          <w:sz w:val="24"/>
          <w:szCs w:val="24"/>
          <w:lang w:val="es-ES" w:eastAsia="es-ES"/>
        </w:rPr>
        <w:tab/>
      </w:r>
    </w:p>
    <w:p w:rsidR="006426B3" w:rsidRPr="00A102CE" w:rsidRDefault="006426B3" w:rsidP="006426B3">
      <w:pPr>
        <w:widowControl w:val="0"/>
        <w:spacing w:line="360" w:lineRule="auto"/>
        <w:ind w:right="51" w:firstLine="567"/>
        <w:jc w:val="both"/>
        <w:rPr>
          <w:rFonts w:ascii="Arial" w:eastAsia="Times New Roman" w:hAnsi="Arial" w:cs="Arial"/>
          <w:b/>
          <w:sz w:val="24"/>
          <w:szCs w:val="24"/>
          <w:lang w:val="es-ES" w:eastAsia="es-ES"/>
        </w:rPr>
      </w:pPr>
      <w:r w:rsidRPr="00A102CE">
        <w:rPr>
          <w:rFonts w:ascii="Arial" w:eastAsia="Times New Roman" w:hAnsi="Arial" w:cs="Arial"/>
          <w:b/>
          <w:sz w:val="24"/>
          <w:szCs w:val="24"/>
          <w:lang w:val="es-ES" w:eastAsia="es-ES"/>
        </w:rPr>
        <w:t xml:space="preserve">OAXACA DE JUÁREZ, OAXACA, </w:t>
      </w:r>
      <w:r w:rsidR="00053EAE">
        <w:rPr>
          <w:rFonts w:ascii="Arial" w:eastAsia="Times New Roman" w:hAnsi="Arial" w:cs="Arial"/>
          <w:b/>
          <w:sz w:val="24"/>
          <w:szCs w:val="24"/>
          <w:lang w:val="es-ES" w:eastAsia="es-ES"/>
        </w:rPr>
        <w:t>TREINTA</w:t>
      </w:r>
      <w:r w:rsidR="00307CD8" w:rsidRPr="00A102CE">
        <w:rPr>
          <w:rFonts w:ascii="Arial" w:eastAsia="Times New Roman" w:hAnsi="Arial" w:cs="Arial"/>
          <w:b/>
          <w:sz w:val="24"/>
          <w:szCs w:val="24"/>
          <w:lang w:val="es-ES" w:eastAsia="es-ES"/>
        </w:rPr>
        <w:t xml:space="preserve"> DE SEPTIEMBRE</w:t>
      </w:r>
      <w:r w:rsidRPr="00A102CE">
        <w:rPr>
          <w:rFonts w:ascii="Arial" w:eastAsia="Times New Roman" w:hAnsi="Arial" w:cs="Arial"/>
          <w:b/>
          <w:sz w:val="24"/>
          <w:szCs w:val="24"/>
          <w:lang w:val="es-ES" w:eastAsia="es-ES"/>
        </w:rPr>
        <w:t xml:space="preserve"> DE DOS MIL VEINTE.</w:t>
      </w:r>
      <w:r w:rsidRPr="00A102CE">
        <w:rPr>
          <w:sz w:val="24"/>
          <w:szCs w:val="24"/>
        </w:rPr>
        <w:t xml:space="preserve"> </w:t>
      </w:r>
      <w:r w:rsidRPr="00A102CE">
        <w:rPr>
          <w:rFonts w:ascii="Arial" w:eastAsia="Times New Roman" w:hAnsi="Arial" w:cs="Arial"/>
          <w:b/>
          <w:sz w:val="24"/>
          <w:szCs w:val="24"/>
          <w:lang w:val="es-ES" w:eastAsia="es-ES"/>
        </w:rPr>
        <w:t xml:space="preserve"> </w:t>
      </w:r>
    </w:p>
    <w:p w:rsidR="006426B3" w:rsidRPr="00A102CE" w:rsidRDefault="006426B3" w:rsidP="006426B3">
      <w:pPr>
        <w:widowControl w:val="0"/>
        <w:spacing w:line="360" w:lineRule="auto"/>
        <w:ind w:right="51" w:firstLine="567"/>
        <w:jc w:val="both"/>
        <w:rPr>
          <w:rFonts w:ascii="Arial" w:eastAsia="Times New Roman" w:hAnsi="Arial" w:cs="Arial"/>
          <w:sz w:val="24"/>
          <w:szCs w:val="24"/>
          <w:lang w:val="es-ES" w:eastAsia="es-ES"/>
        </w:rPr>
      </w:pPr>
      <w:r w:rsidRPr="00A102CE">
        <w:rPr>
          <w:rFonts w:ascii="Arial" w:eastAsia="Times New Roman" w:hAnsi="Arial" w:cs="Arial"/>
          <w:b/>
          <w:sz w:val="24"/>
          <w:szCs w:val="24"/>
          <w:lang w:val="es-ES_tradnl" w:eastAsia="es-ES"/>
        </w:rPr>
        <w:t xml:space="preserve">V I S T O S, </w:t>
      </w:r>
      <w:r w:rsidRPr="00A102CE">
        <w:rPr>
          <w:rFonts w:ascii="Arial" w:eastAsia="Times New Roman" w:hAnsi="Arial" w:cs="Arial"/>
          <w:sz w:val="24"/>
          <w:szCs w:val="24"/>
          <w:lang w:val="es-ES_tradnl" w:eastAsia="es-ES"/>
        </w:rPr>
        <w:t xml:space="preserve">para resolver los autos del juicio de nulidad número </w:t>
      </w:r>
      <w:r w:rsidRPr="00A102CE">
        <w:rPr>
          <w:rFonts w:ascii="Arial" w:eastAsia="Times New Roman" w:hAnsi="Arial" w:cs="Arial"/>
          <w:b/>
          <w:bCs/>
          <w:sz w:val="24"/>
          <w:szCs w:val="24"/>
          <w:lang w:val="es-ES_tradnl" w:eastAsia="es-ES"/>
        </w:rPr>
        <w:t>42/2019</w:t>
      </w:r>
      <w:r w:rsidRPr="00A102CE">
        <w:rPr>
          <w:rFonts w:ascii="Arial" w:eastAsia="Times New Roman" w:hAnsi="Arial" w:cs="Arial"/>
          <w:sz w:val="24"/>
          <w:szCs w:val="24"/>
          <w:lang w:val="es-ES_tradnl" w:eastAsia="es-ES"/>
        </w:rPr>
        <w:t xml:space="preserve">, interpuesto por </w:t>
      </w:r>
      <w:r w:rsidR="00BA73DA">
        <w:rPr>
          <w:rFonts w:ascii="Arial" w:eastAsia="Times New Roman" w:hAnsi="Arial" w:cs="Arial"/>
          <w:b/>
          <w:bCs/>
          <w:sz w:val="24"/>
          <w:szCs w:val="24"/>
          <w:lang w:val="es-ES_tradnl" w:eastAsia="es-ES"/>
        </w:rPr>
        <w:t>**********</w:t>
      </w:r>
      <w:r w:rsidRPr="00A102CE">
        <w:rPr>
          <w:rFonts w:ascii="Arial" w:eastAsia="Times New Roman" w:hAnsi="Arial" w:cs="Arial"/>
          <w:b/>
          <w:sz w:val="24"/>
          <w:szCs w:val="24"/>
          <w:lang w:val="es-ES_tradnl" w:eastAsia="es-ES"/>
        </w:rPr>
        <w:t>,</w:t>
      </w:r>
      <w:r w:rsidRPr="00A102CE">
        <w:rPr>
          <w:rFonts w:ascii="Arial" w:eastAsia="Times New Roman" w:hAnsi="Arial" w:cs="Arial"/>
          <w:sz w:val="24"/>
          <w:szCs w:val="24"/>
          <w:lang w:val="es-ES_tradnl" w:eastAsia="es-ES"/>
        </w:rPr>
        <w:t xml:space="preserve"> en contra de la </w:t>
      </w:r>
      <w:r w:rsidRPr="00A102CE">
        <w:rPr>
          <w:rFonts w:ascii="Arial" w:eastAsia="Times New Roman" w:hAnsi="Arial" w:cs="Arial"/>
          <w:b/>
          <w:sz w:val="24"/>
          <w:szCs w:val="24"/>
          <w:lang w:val="es-ES_tradnl" w:eastAsia="es-ES"/>
        </w:rPr>
        <w:t>DIRECTORA DE INGRESOS Y RECAUDACIÓN DE LA SUBSECRETARÍA DE INGRESOS DE LA SECRETARÍA DE FINANZAS DEL GOBIERNO DEL ESTADO DE OAXACA</w:t>
      </w:r>
      <w:r w:rsidRPr="00A102CE">
        <w:rPr>
          <w:rFonts w:ascii="Arial" w:eastAsia="Times New Roman" w:hAnsi="Arial" w:cs="Arial"/>
          <w:sz w:val="24"/>
          <w:szCs w:val="24"/>
          <w:lang w:val="es-ES_tradnl" w:eastAsia="es-ES"/>
        </w:rPr>
        <w:t>, y;</w:t>
      </w:r>
    </w:p>
    <w:p w:rsidR="006426B3" w:rsidRPr="00A102CE" w:rsidRDefault="006426B3" w:rsidP="006426B3">
      <w:pPr>
        <w:spacing w:line="360" w:lineRule="auto"/>
        <w:jc w:val="center"/>
        <w:rPr>
          <w:rFonts w:ascii="Arial" w:hAnsi="Arial" w:cs="Arial"/>
          <w:b/>
          <w:spacing w:val="-3"/>
          <w:sz w:val="24"/>
          <w:szCs w:val="24"/>
          <w:lang w:val="es-ES_tradnl"/>
        </w:rPr>
      </w:pPr>
      <w:r w:rsidRPr="00A102CE">
        <w:rPr>
          <w:rFonts w:ascii="Arial" w:hAnsi="Arial" w:cs="Arial"/>
          <w:b/>
          <w:sz w:val="24"/>
          <w:szCs w:val="24"/>
        </w:rPr>
        <w:t>R E</w:t>
      </w:r>
      <w:r w:rsidRPr="00A102CE">
        <w:rPr>
          <w:rFonts w:ascii="Arial" w:hAnsi="Arial" w:cs="Arial"/>
          <w:b/>
          <w:spacing w:val="-3"/>
          <w:sz w:val="24"/>
          <w:szCs w:val="24"/>
          <w:lang w:val="es-ES_tradnl"/>
        </w:rPr>
        <w:t xml:space="preserve"> S U L T A N D O:</w:t>
      </w:r>
    </w:p>
    <w:p w:rsidR="004A2715" w:rsidRPr="00A102CE" w:rsidRDefault="00BA73DA" w:rsidP="006426B3">
      <w:pPr>
        <w:spacing w:line="360" w:lineRule="auto"/>
        <w:ind w:firstLine="567"/>
        <w:jc w:val="both"/>
        <w:rPr>
          <w:rFonts w:ascii="Arial" w:hAnsi="Arial" w:cs="Arial"/>
          <w:bCs/>
          <w:spacing w:val="-3"/>
          <w:sz w:val="24"/>
          <w:szCs w:val="24"/>
          <w:lang w:val="es-ES_tradnl"/>
        </w:rPr>
      </w:pPr>
      <w:r w:rsidRPr="00BA73DA">
        <w:rPr>
          <w:noProof/>
          <w:lang w:eastAsia="es-MX"/>
        </w:rPr>
        <mc:AlternateContent>
          <mc:Choice Requires="wps">
            <w:drawing>
              <wp:anchor distT="0" distB="0" distL="114300" distR="114300" simplePos="0" relativeHeight="251659264" behindDoc="1" locked="0" layoutInCell="1" allowOverlap="1" wp14:anchorId="68047B7C" wp14:editId="0F023711">
                <wp:simplePos x="0" y="0"/>
                <wp:positionH relativeFrom="column">
                  <wp:posOffset>-1158240</wp:posOffset>
                </wp:positionH>
                <wp:positionV relativeFrom="paragraph">
                  <wp:posOffset>911225</wp:posOffset>
                </wp:positionV>
                <wp:extent cx="1009650" cy="96202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BA73DA" w:rsidRPr="00035E13" w:rsidRDefault="00BA73DA" w:rsidP="00BA73D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047B7C" id="_x0000_t202" coordsize="21600,21600" o:spt="202" path="m,l,21600r21600,l21600,xe">
                <v:stroke joinstyle="miter"/>
                <v:path gradientshapeok="t" o:connecttype="rect"/>
              </v:shapetype>
              <v:shape id="Cuadro de texto 5" o:spid="_x0000_s1026" type="#_x0000_t202" style="position:absolute;left:0;text-align:left;margin-left:-91.2pt;margin-top:71.75pt;width:79.5pt;height:75.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" fillcolor="window" strokeweight=".5pt">
                <v:path arrowok="t"/>
                <v:textbox>
                  <w:txbxContent>
                    <w:p w:rsidR="00BA73DA" w:rsidRPr="00035E13" w:rsidRDefault="00BA73DA" w:rsidP="00BA73D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6426B3" w:rsidRPr="00A102CE">
        <w:rPr>
          <w:rFonts w:ascii="Arial" w:hAnsi="Arial" w:cs="Arial"/>
          <w:b/>
          <w:spacing w:val="-3"/>
          <w:sz w:val="24"/>
          <w:szCs w:val="24"/>
          <w:lang w:val="es-ES_tradnl"/>
        </w:rPr>
        <w:t xml:space="preserve">PRIMERO.- </w:t>
      </w:r>
      <w:r w:rsidR="006426B3" w:rsidRPr="00A102CE">
        <w:rPr>
          <w:rFonts w:ascii="Arial" w:hAnsi="Arial" w:cs="Arial"/>
          <w:bCs/>
          <w:spacing w:val="-3"/>
          <w:sz w:val="24"/>
          <w:szCs w:val="24"/>
          <w:lang w:val="es-ES_tradnl"/>
        </w:rPr>
        <w:t xml:space="preserve">Con fecha catorce de mayo de dos mil diecinueve (14/05/2019) </w:t>
      </w:r>
      <w:r>
        <w:rPr>
          <w:rFonts w:ascii="Arial" w:hAnsi="Arial" w:cs="Arial"/>
          <w:b/>
          <w:bCs/>
          <w:spacing w:val="-3"/>
          <w:sz w:val="24"/>
          <w:szCs w:val="24"/>
          <w:lang w:val="es-ES_tradnl"/>
        </w:rPr>
        <w:t>**********</w:t>
      </w:r>
      <w:r w:rsidR="006426B3" w:rsidRPr="00A102CE">
        <w:rPr>
          <w:rFonts w:ascii="Arial" w:hAnsi="Arial" w:cs="Arial"/>
          <w:bCs/>
          <w:spacing w:val="-3"/>
          <w:sz w:val="24"/>
          <w:szCs w:val="24"/>
          <w:lang w:val="es-ES_tradnl"/>
        </w:rPr>
        <w:t xml:space="preserve">, presentó en la Oficialía de Partes Común de este Tribunal, presentó en la Oficialía de Partes Común de este Tribunal su escrito de demanda, en el cual  solicitó la nulidad de la multa por infracción relacionada con la presentación de declaraciones del Impuesto sobre Erogaciones por Remuneraciones al Trabajo Personal, con </w:t>
      </w:r>
      <w:bookmarkStart w:id="1" w:name="_GoBack"/>
      <w:bookmarkEnd w:id="1"/>
      <w:r w:rsidR="006426B3" w:rsidRPr="00A102CE">
        <w:rPr>
          <w:rFonts w:ascii="Arial" w:hAnsi="Arial" w:cs="Arial"/>
          <w:bCs/>
          <w:spacing w:val="-3"/>
          <w:sz w:val="24"/>
          <w:szCs w:val="24"/>
          <w:lang w:val="es-ES_tradnl"/>
        </w:rPr>
        <w:t>número de control 07MO14ER193188, de fecha diecinueve de febrero de dos mil diecinueve, emitida por la maestra ELIZABETH MARTÍNEZ ARZOLA, Directora de Ingresos y Recaudación de la Subsecretaría de Ingresos de la Secretaría de Finanzas del Gobierno del Estado de Oaxaca. Por lo que mediante acuerdo fecha diecisiete de mayo de dos mil diecinueve (17/10/2019), se admitió a trámite la demanda, ordenándose notificar, emplazar y correr traslado a la autoridad demandada, para que produjera su contestación en los términos de ley.</w:t>
      </w:r>
    </w:p>
    <w:p w:rsidR="006426B3" w:rsidRPr="00A102CE" w:rsidRDefault="006426B3" w:rsidP="006426B3">
      <w:pPr>
        <w:spacing w:line="360" w:lineRule="auto"/>
        <w:ind w:firstLine="567"/>
        <w:jc w:val="both"/>
        <w:rPr>
          <w:rFonts w:ascii="Arial" w:hAnsi="Arial" w:cs="Arial"/>
          <w:bCs/>
          <w:spacing w:val="-3"/>
          <w:sz w:val="24"/>
          <w:szCs w:val="24"/>
          <w:lang w:val="es-ES_tradnl"/>
        </w:rPr>
      </w:pPr>
      <w:r w:rsidRPr="00A102CE">
        <w:rPr>
          <w:rFonts w:ascii="Arial" w:hAnsi="Arial" w:cs="Arial"/>
          <w:b/>
          <w:spacing w:val="-3"/>
          <w:sz w:val="24"/>
          <w:szCs w:val="24"/>
          <w:lang w:val="es-ES_tradnl"/>
        </w:rPr>
        <w:t>SEGUNDO.-</w:t>
      </w:r>
      <w:r w:rsidRPr="00A102CE">
        <w:rPr>
          <w:rFonts w:ascii="Arial" w:hAnsi="Arial" w:cs="Arial"/>
          <w:bCs/>
          <w:spacing w:val="-3"/>
          <w:sz w:val="24"/>
          <w:szCs w:val="24"/>
          <w:lang w:val="es-ES_tradnl"/>
        </w:rPr>
        <w:t xml:space="preserve"> Por acuerdo de fecha doce de julio de dos mil diecinueve (12/06/2019), se tuvo a MAIRA CORTÉS REYNA, Directora de lo Contencioso de la Procuraduría Fiscal de la Subsecretaría de Ingresos de la Secretaría de Finanzas del Poder Ejecutivo del Estado de Oaxaca, en representación jurídica y ejerciendo la defensa legal de la Secretaría de Finanzas y sus áreas, contestando la demanda entablada en contra de su representada en los términos en los que lo hizo, y se </w:t>
      </w:r>
      <w:r w:rsidRPr="00A102CE">
        <w:rPr>
          <w:rFonts w:ascii="Arial" w:hAnsi="Arial" w:cs="Arial"/>
          <w:bCs/>
          <w:spacing w:val="-3"/>
          <w:sz w:val="24"/>
          <w:szCs w:val="24"/>
          <w:lang w:val="es-ES_tradnl"/>
        </w:rPr>
        <w:lastRenderedPageBreak/>
        <w:t xml:space="preserve">tuvieron por admitidas las pruebas que ofreció, de igual forma se le concedió a la parte actora un plazo para que dentro de este ampliara su escrito inicial de demanda, apercibida que no de hacerlo, se tendría por </w:t>
      </w:r>
      <w:proofErr w:type="spellStart"/>
      <w:r w:rsidRPr="00A102CE">
        <w:rPr>
          <w:rFonts w:ascii="Arial" w:hAnsi="Arial" w:cs="Arial"/>
          <w:bCs/>
          <w:spacing w:val="-3"/>
          <w:sz w:val="24"/>
          <w:szCs w:val="24"/>
          <w:lang w:val="es-ES_tradnl"/>
        </w:rPr>
        <w:t>precluido</w:t>
      </w:r>
      <w:proofErr w:type="spellEnd"/>
      <w:r w:rsidRPr="00A102CE">
        <w:rPr>
          <w:rFonts w:ascii="Arial" w:hAnsi="Arial" w:cs="Arial"/>
          <w:bCs/>
          <w:spacing w:val="-3"/>
          <w:sz w:val="24"/>
          <w:szCs w:val="24"/>
          <w:lang w:val="es-ES_tradnl"/>
        </w:rPr>
        <w:t xml:space="preserve"> su derecho.</w:t>
      </w:r>
    </w:p>
    <w:p w:rsidR="006426B3" w:rsidRPr="00A102CE" w:rsidRDefault="006426B3" w:rsidP="006426B3">
      <w:pPr>
        <w:spacing w:line="360" w:lineRule="auto"/>
        <w:ind w:firstLine="567"/>
        <w:jc w:val="both"/>
        <w:rPr>
          <w:rFonts w:ascii="Arial" w:hAnsi="Arial" w:cs="Arial"/>
          <w:bCs/>
          <w:spacing w:val="-3"/>
          <w:sz w:val="24"/>
          <w:szCs w:val="24"/>
          <w:lang w:val="es-ES_tradnl"/>
        </w:rPr>
      </w:pPr>
      <w:r w:rsidRPr="00A102CE">
        <w:rPr>
          <w:rFonts w:ascii="Arial" w:hAnsi="Arial" w:cs="Arial"/>
          <w:b/>
          <w:spacing w:val="-3"/>
          <w:sz w:val="24"/>
          <w:szCs w:val="24"/>
          <w:lang w:val="es-ES_tradnl"/>
        </w:rPr>
        <w:t>TERCERO.-</w:t>
      </w:r>
      <w:r w:rsidRPr="00A102CE">
        <w:rPr>
          <w:rFonts w:ascii="Arial" w:hAnsi="Arial" w:cs="Arial"/>
          <w:bCs/>
          <w:spacing w:val="-3"/>
          <w:sz w:val="24"/>
          <w:szCs w:val="24"/>
          <w:lang w:val="es-ES_tradnl"/>
        </w:rPr>
        <w:t xml:space="preserve"> En auto de fecha veintiséis de noviembre de dos mil diecinueve (26/11/2019), se dio cuenta con el escrito de la parte actora, en la cual se le tuvo ampliando su escrito inicial de demanda, ordenándose correr traslado a la autoridad demandada, a efecto de que diera contestación a la ampliación efectuada, con el apercibimiento de no hacerlo se le tendría por </w:t>
      </w:r>
      <w:proofErr w:type="spellStart"/>
      <w:r w:rsidRPr="00A102CE">
        <w:rPr>
          <w:rFonts w:ascii="Arial" w:hAnsi="Arial" w:cs="Arial"/>
          <w:bCs/>
          <w:spacing w:val="-3"/>
          <w:sz w:val="24"/>
          <w:szCs w:val="24"/>
          <w:lang w:val="es-ES_tradnl"/>
        </w:rPr>
        <w:t>precluido</w:t>
      </w:r>
      <w:proofErr w:type="spellEnd"/>
      <w:r w:rsidRPr="00A102CE">
        <w:rPr>
          <w:rFonts w:ascii="Arial" w:hAnsi="Arial" w:cs="Arial"/>
          <w:bCs/>
          <w:spacing w:val="-3"/>
          <w:sz w:val="24"/>
          <w:szCs w:val="24"/>
          <w:lang w:val="es-ES_tradnl"/>
        </w:rPr>
        <w:t xml:space="preserve"> su derecho y por contestada la ampliación en sentido afirmativo salvo prueba en contrario. </w:t>
      </w:r>
    </w:p>
    <w:p w:rsidR="006426B3" w:rsidRPr="00A102CE" w:rsidRDefault="00053EAE" w:rsidP="006426B3">
      <w:pPr>
        <w:spacing w:line="360" w:lineRule="auto"/>
        <w:ind w:firstLine="567"/>
        <w:jc w:val="both"/>
        <w:rPr>
          <w:rFonts w:ascii="Arial" w:hAnsi="Arial" w:cs="Arial"/>
          <w:bCs/>
          <w:spacing w:val="-3"/>
          <w:sz w:val="24"/>
          <w:szCs w:val="24"/>
          <w:lang w:val="es-ES_tradnl"/>
        </w:rPr>
      </w:pPr>
      <w:r>
        <w:rPr>
          <w:rFonts w:ascii="Arial" w:hAnsi="Arial" w:cs="Arial"/>
          <w:bCs/>
          <w:spacing w:val="-3"/>
          <w:sz w:val="24"/>
          <w:szCs w:val="24"/>
          <w:lang w:val="es-ES_tradnl"/>
        </w:rPr>
        <w:t>Por otra parte</w:t>
      </w:r>
      <w:r w:rsidR="006426B3" w:rsidRPr="00A102CE">
        <w:rPr>
          <w:rFonts w:ascii="Arial" w:hAnsi="Arial" w:cs="Arial"/>
          <w:bCs/>
          <w:spacing w:val="-3"/>
          <w:sz w:val="24"/>
          <w:szCs w:val="24"/>
          <w:lang w:val="es-ES_tradnl"/>
        </w:rPr>
        <w:t>, se les hizo del conocimiento a las partes el oficio por el cual se designada al magistrado ENRIQUE PACHECO MARTÍNEZ, como magistrado Titular de la Sexta Sala Unitaria de Primera Instancia de este Tribunal de Justicia Administrativa del Estado de Oaxaca, otorgándosele a las partes tres días hábiles para que manifestaran lo que a su derecho conviniera</w:t>
      </w:r>
      <w:r w:rsidR="00B61C8F" w:rsidRPr="00A102CE">
        <w:rPr>
          <w:rFonts w:ascii="Arial" w:hAnsi="Arial" w:cs="Arial"/>
          <w:bCs/>
          <w:spacing w:val="-3"/>
          <w:sz w:val="24"/>
          <w:szCs w:val="24"/>
          <w:lang w:val="es-ES_tradnl"/>
        </w:rPr>
        <w:t>, sin que nada hayan manifestado al respecto.</w:t>
      </w:r>
    </w:p>
    <w:p w:rsidR="006426B3" w:rsidRPr="00A102CE" w:rsidRDefault="00BA73DA" w:rsidP="006426B3">
      <w:pPr>
        <w:spacing w:line="360" w:lineRule="auto"/>
        <w:ind w:firstLine="567"/>
        <w:jc w:val="both"/>
        <w:rPr>
          <w:rFonts w:ascii="Arial" w:hAnsi="Arial" w:cs="Arial"/>
          <w:bCs/>
          <w:spacing w:val="-3"/>
          <w:sz w:val="24"/>
          <w:szCs w:val="24"/>
          <w:lang w:val="es-ES_tradnl"/>
        </w:rPr>
      </w:pPr>
      <w:r w:rsidRPr="00BA73DA">
        <w:rPr>
          <w:noProof/>
          <w:lang w:eastAsia="es-MX"/>
        </w:rPr>
        <mc:AlternateContent>
          <mc:Choice Requires="wps">
            <w:drawing>
              <wp:anchor distT="0" distB="0" distL="114300" distR="114300" simplePos="0" relativeHeight="251661312" behindDoc="1" locked="0" layoutInCell="1" allowOverlap="1" wp14:anchorId="11189FEE" wp14:editId="78BC170B">
                <wp:simplePos x="0" y="0"/>
                <wp:positionH relativeFrom="column">
                  <wp:posOffset>5730240</wp:posOffset>
                </wp:positionH>
                <wp:positionV relativeFrom="paragraph">
                  <wp:posOffset>1158240</wp:posOffset>
                </wp:positionV>
                <wp:extent cx="1009650" cy="962025"/>
                <wp:effectExtent l="0" t="0" r="19050"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BA73DA" w:rsidRPr="00035E13" w:rsidRDefault="00BA73DA" w:rsidP="00BA73D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189FEE" id="Cuadro de texto 2" o:spid="_x0000_s1027" type="#_x0000_t202" style="position:absolute;left:0;text-align:left;margin-left:451.2pt;margin-top:91.2pt;width:79.5pt;height:75.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" fillcolor="window" strokeweight=".5pt">
                <v:path arrowok="t"/>
                <v:textbox>
                  <w:txbxContent>
                    <w:p w:rsidR="00BA73DA" w:rsidRPr="00035E13" w:rsidRDefault="00BA73DA" w:rsidP="00BA73D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6426B3" w:rsidRPr="00A102CE">
        <w:rPr>
          <w:rFonts w:ascii="Arial" w:hAnsi="Arial" w:cs="Arial"/>
          <w:b/>
          <w:spacing w:val="-3"/>
          <w:sz w:val="24"/>
          <w:szCs w:val="24"/>
          <w:lang w:val="es-ES_tradnl"/>
        </w:rPr>
        <w:t>CUARTO.-</w:t>
      </w:r>
      <w:r w:rsidR="006426B3" w:rsidRPr="00A102CE">
        <w:rPr>
          <w:rFonts w:ascii="Arial" w:hAnsi="Arial" w:cs="Arial"/>
          <w:bCs/>
          <w:spacing w:val="-3"/>
          <w:sz w:val="24"/>
          <w:szCs w:val="24"/>
          <w:lang w:val="es-ES_tradnl"/>
        </w:rPr>
        <w:t xml:space="preserve"> Mediante proveído de fecha dieciocho de marzo de dos mil veinte (18/03/2020), el Procurador Fiscal dependiente de la Subsecretaría de Ingresos de la Secretaría de Finanzas del Poder Ejecutivo del Estado de Oaxaca, dio contestación a la ampliación de demanda, ordenándose correr traslado a la parte actora para los efectos legales correspondientes, por último se señaló fecha y hora para la cel</w:t>
      </w:r>
      <w:r w:rsidR="00F9178D">
        <w:rPr>
          <w:rFonts w:ascii="Arial" w:hAnsi="Arial" w:cs="Arial"/>
          <w:bCs/>
          <w:spacing w:val="-3"/>
          <w:sz w:val="24"/>
          <w:szCs w:val="24"/>
          <w:lang w:val="es-ES_tradnl"/>
        </w:rPr>
        <w:t xml:space="preserve">ebración de la audiencia final, la cual no se </w:t>
      </w:r>
      <w:r w:rsidR="00730F18">
        <w:rPr>
          <w:rFonts w:ascii="Arial" w:hAnsi="Arial" w:cs="Arial"/>
          <w:bCs/>
          <w:spacing w:val="-3"/>
          <w:sz w:val="24"/>
          <w:szCs w:val="24"/>
          <w:lang w:val="es-ES_tradnl"/>
        </w:rPr>
        <w:t>llevó</w:t>
      </w:r>
      <w:r w:rsidR="00F9178D">
        <w:rPr>
          <w:rFonts w:ascii="Arial" w:hAnsi="Arial" w:cs="Arial"/>
          <w:bCs/>
          <w:spacing w:val="-3"/>
          <w:sz w:val="24"/>
          <w:szCs w:val="24"/>
          <w:lang w:val="es-ES_tradnl"/>
        </w:rPr>
        <w:t xml:space="preserve"> a cabo, debido a la suspensión de labores de este Tribunal debido a la pandemia que afecta el país, por ello, mediante auto de treinta y uno de agosto del año en curso, se  </w:t>
      </w:r>
      <w:r w:rsidR="00730F18">
        <w:rPr>
          <w:rFonts w:ascii="Arial" w:hAnsi="Arial" w:cs="Arial"/>
          <w:bCs/>
          <w:spacing w:val="-3"/>
          <w:sz w:val="24"/>
          <w:szCs w:val="24"/>
          <w:lang w:val="es-ES_tradnl"/>
        </w:rPr>
        <w:t>señaló</w:t>
      </w:r>
      <w:r w:rsidR="00F9178D">
        <w:rPr>
          <w:rFonts w:ascii="Arial" w:hAnsi="Arial" w:cs="Arial"/>
          <w:bCs/>
          <w:spacing w:val="-3"/>
          <w:sz w:val="24"/>
          <w:szCs w:val="24"/>
          <w:lang w:val="es-ES_tradnl"/>
        </w:rPr>
        <w:t xml:space="preserve"> nuevamente fecha y hora para el desahogo de la audiencia final, finalmente, se les hizo saber a las partes el cambio de personal de esta Sala para que en el plazo de tres días hábiles manifestaran si tenían algún impedimento, sin que nada haya manifestado al respecto.</w:t>
      </w:r>
    </w:p>
    <w:p w:rsidR="006426B3" w:rsidRPr="00A102CE" w:rsidRDefault="006426B3" w:rsidP="006426B3">
      <w:pPr>
        <w:spacing w:line="360" w:lineRule="auto"/>
        <w:ind w:firstLine="567"/>
        <w:jc w:val="both"/>
        <w:rPr>
          <w:rFonts w:ascii="Arial" w:hAnsi="Arial" w:cs="Arial"/>
          <w:bCs/>
          <w:spacing w:val="-3"/>
          <w:sz w:val="24"/>
          <w:szCs w:val="24"/>
          <w:lang w:val="es-ES_tradnl"/>
        </w:rPr>
      </w:pPr>
      <w:r w:rsidRPr="00A102CE">
        <w:rPr>
          <w:rFonts w:ascii="Arial" w:hAnsi="Arial" w:cs="Arial"/>
          <w:b/>
          <w:spacing w:val="-3"/>
          <w:sz w:val="24"/>
          <w:szCs w:val="24"/>
          <w:lang w:val="es-ES_tradnl"/>
        </w:rPr>
        <w:t>QUINTO.-</w:t>
      </w:r>
      <w:r w:rsidRPr="00A102CE">
        <w:rPr>
          <w:rFonts w:ascii="Arial" w:hAnsi="Arial" w:cs="Arial"/>
          <w:bCs/>
          <w:spacing w:val="-3"/>
          <w:sz w:val="24"/>
          <w:szCs w:val="24"/>
          <w:lang w:val="es-ES_tradnl"/>
        </w:rPr>
        <w:t xml:space="preserve"> El </w:t>
      </w:r>
      <w:r w:rsidR="00730F18">
        <w:rPr>
          <w:rFonts w:ascii="Arial" w:hAnsi="Arial" w:cs="Arial"/>
          <w:bCs/>
          <w:spacing w:val="-3"/>
          <w:sz w:val="24"/>
          <w:szCs w:val="24"/>
          <w:lang w:val="es-ES_tradnl"/>
        </w:rPr>
        <w:t>veintidós de septiembre de dos mil veinte,</w:t>
      </w:r>
      <w:r w:rsidRPr="00A102CE">
        <w:rPr>
          <w:rFonts w:ascii="Arial" w:hAnsi="Arial" w:cs="Arial"/>
          <w:bCs/>
          <w:spacing w:val="-3"/>
          <w:sz w:val="24"/>
          <w:szCs w:val="24"/>
          <w:lang w:val="es-ES_tradnl"/>
        </w:rPr>
        <w:t xml:space="preserve"> se llevó a cabo la Audiencia de Ley, en la que no se presentaron las partes, ni persona alguna que legalmente las representara, asentando el Secretario de Acuerdos, que ninguna de las partes presentó alegatos, por lo que se citó a las partes oír sentencia dentro del término de ley, y; </w:t>
      </w:r>
    </w:p>
    <w:p w:rsidR="006426B3" w:rsidRPr="00A102CE" w:rsidRDefault="006426B3" w:rsidP="006426B3">
      <w:pPr>
        <w:spacing w:line="360" w:lineRule="auto"/>
        <w:jc w:val="both"/>
        <w:rPr>
          <w:rFonts w:ascii="Arial" w:hAnsi="Arial" w:cs="Arial"/>
          <w:b/>
          <w:spacing w:val="-3"/>
          <w:sz w:val="24"/>
          <w:szCs w:val="24"/>
          <w:lang w:val="es-ES_tradnl"/>
        </w:rPr>
      </w:pPr>
      <w:r w:rsidRPr="00A102CE">
        <w:rPr>
          <w:rFonts w:ascii="Arial" w:hAnsi="Arial" w:cs="Arial"/>
          <w:b/>
          <w:spacing w:val="-3"/>
          <w:sz w:val="24"/>
          <w:szCs w:val="24"/>
          <w:lang w:val="es-ES_tradnl"/>
        </w:rPr>
        <w:tab/>
      </w:r>
      <w:r w:rsidRPr="00A102CE">
        <w:rPr>
          <w:rFonts w:ascii="Arial" w:hAnsi="Arial" w:cs="Arial"/>
          <w:b/>
          <w:spacing w:val="-3"/>
          <w:sz w:val="24"/>
          <w:szCs w:val="24"/>
          <w:lang w:val="es-ES_tradnl"/>
        </w:rPr>
        <w:tab/>
      </w:r>
      <w:r w:rsidRPr="00A102CE">
        <w:rPr>
          <w:rFonts w:ascii="Arial" w:hAnsi="Arial" w:cs="Arial"/>
          <w:b/>
          <w:spacing w:val="-3"/>
          <w:sz w:val="24"/>
          <w:szCs w:val="24"/>
          <w:lang w:val="es-ES_tradnl"/>
        </w:rPr>
        <w:tab/>
      </w:r>
      <w:r w:rsidRPr="00A102CE">
        <w:rPr>
          <w:rFonts w:ascii="Arial" w:hAnsi="Arial" w:cs="Arial"/>
          <w:b/>
          <w:spacing w:val="-3"/>
          <w:sz w:val="24"/>
          <w:szCs w:val="24"/>
          <w:lang w:val="es-ES_tradnl"/>
        </w:rPr>
        <w:tab/>
        <w:t>C O N S I D E R A N D O:</w:t>
      </w:r>
    </w:p>
    <w:p w:rsidR="006426B3" w:rsidRPr="00A102CE" w:rsidRDefault="006426B3" w:rsidP="006426B3">
      <w:pPr>
        <w:spacing w:line="360" w:lineRule="auto"/>
        <w:ind w:firstLine="567"/>
        <w:jc w:val="both"/>
        <w:rPr>
          <w:rFonts w:ascii="Arial" w:hAnsi="Arial" w:cs="Arial"/>
          <w:sz w:val="24"/>
          <w:szCs w:val="24"/>
        </w:rPr>
      </w:pPr>
      <w:r w:rsidRPr="00A102CE">
        <w:rPr>
          <w:rFonts w:ascii="Arial" w:hAnsi="Arial" w:cs="Arial"/>
          <w:b/>
          <w:sz w:val="24"/>
          <w:szCs w:val="24"/>
        </w:rPr>
        <w:t xml:space="preserve">PRIMERO. </w:t>
      </w:r>
      <w:r w:rsidRPr="00A102CE">
        <w:rPr>
          <w:rFonts w:ascii="Arial" w:hAnsi="Arial" w:cs="Arial"/>
          <w:sz w:val="24"/>
          <w:szCs w:val="24"/>
        </w:rPr>
        <w:t xml:space="preserve">Esta Sexta Sala Unitaria de Primera Instancia del Tribunal de Justicia Administrativa del Estado de Oaxaca, es competente para conocer y resolver el presente juicio, con fundamento en el artículo 116 fracción V de la Constitución Política de los Estados Unidos Mexicanos, 114 QUATER, 115 de la Constitución Política del Estado Libre y Soberano de Oaxaca, así como en términos de los artículos 119, 120 fracción I, 123, 124, 132 fracción I y II, 133, 146 y 147 de la Ley de Procedimiento y Justicia Administrativa para el Estado de Oaxaca.  </w:t>
      </w:r>
    </w:p>
    <w:p w:rsidR="006426B3" w:rsidRPr="00A102CE" w:rsidRDefault="006426B3" w:rsidP="006426B3">
      <w:pPr>
        <w:spacing w:line="360" w:lineRule="auto"/>
        <w:ind w:firstLine="567"/>
        <w:jc w:val="both"/>
        <w:rPr>
          <w:rFonts w:ascii="Arial" w:hAnsi="Arial" w:cs="Arial"/>
          <w:bCs/>
          <w:snapToGrid w:val="0"/>
          <w:sz w:val="24"/>
          <w:szCs w:val="24"/>
        </w:rPr>
      </w:pPr>
      <w:r w:rsidRPr="00A102CE">
        <w:rPr>
          <w:rFonts w:ascii="Arial" w:hAnsi="Arial" w:cs="Arial"/>
          <w:b/>
          <w:snapToGrid w:val="0"/>
          <w:sz w:val="24"/>
          <w:szCs w:val="24"/>
        </w:rPr>
        <w:t xml:space="preserve">SEGUNDO. </w:t>
      </w:r>
      <w:r w:rsidRPr="00A102CE">
        <w:rPr>
          <w:rFonts w:ascii="Arial" w:hAnsi="Arial" w:cs="Arial"/>
          <w:bCs/>
          <w:snapToGrid w:val="0"/>
          <w:sz w:val="24"/>
          <w:szCs w:val="24"/>
        </w:rPr>
        <w:t>La personalidad de las partes quedó acreditada en autos en términos del artículo 148 y 151 de la Ley de Procedimiento y Justicia Administrativa para el Estado de Oaxaca.</w:t>
      </w:r>
    </w:p>
    <w:p w:rsidR="006426B3" w:rsidRPr="00A102CE" w:rsidRDefault="006426B3" w:rsidP="006426B3">
      <w:pPr>
        <w:spacing w:line="360" w:lineRule="auto"/>
        <w:ind w:right="51" w:firstLine="567"/>
        <w:jc w:val="both"/>
        <w:rPr>
          <w:rFonts w:ascii="Arial" w:hAnsi="Arial" w:cs="Arial"/>
          <w:bCs/>
          <w:snapToGrid w:val="0"/>
          <w:sz w:val="24"/>
          <w:szCs w:val="24"/>
        </w:rPr>
      </w:pPr>
      <w:r w:rsidRPr="00A102CE">
        <w:rPr>
          <w:rFonts w:ascii="Arial" w:hAnsi="Arial" w:cs="Arial"/>
          <w:b/>
          <w:snapToGrid w:val="0"/>
          <w:sz w:val="24"/>
          <w:szCs w:val="24"/>
        </w:rPr>
        <w:t>TERCERO.</w:t>
      </w:r>
      <w:r w:rsidRPr="00A102CE">
        <w:rPr>
          <w:rFonts w:ascii="Arial" w:hAnsi="Arial" w:cs="Arial"/>
          <w:bCs/>
          <w:snapToGrid w:val="0"/>
          <w:sz w:val="24"/>
          <w:szCs w:val="24"/>
        </w:rPr>
        <w:t xml:space="preserve"> Previo estudio de fondo del asunto y por cuestión de método y técnica judicial, se procede a analizar, si en la especie se actualiza alguna causal de improcedencia del juicio de nulidad, que se advierta oficiosamente que impida la resolución del fondo del asunto y debiera declararse su sobreseimiento, en términos de los artículos 161 y 162 de la Ley de Procedimiento y Justicia Administrativa para el Estado de Oaxaca. Esta Primera Sala Unitaria de Primera Instancia del Tribunal de Justicia Administrativa para el Estado de Oaxaca, advierte que no se configura alguna causal de improcedencia o sobreseimiento por lo tanto, </w:t>
      </w:r>
      <w:r w:rsidRPr="00A102CE">
        <w:rPr>
          <w:rFonts w:ascii="Arial" w:hAnsi="Arial" w:cs="Arial"/>
          <w:b/>
          <w:snapToGrid w:val="0"/>
          <w:sz w:val="24"/>
          <w:szCs w:val="24"/>
        </w:rPr>
        <w:t>NO SE SOBRESEE EL PRESENTE JUICIO</w:t>
      </w:r>
      <w:r w:rsidRPr="00A102CE">
        <w:rPr>
          <w:rFonts w:ascii="Arial" w:hAnsi="Arial" w:cs="Arial"/>
          <w:bCs/>
          <w:snapToGrid w:val="0"/>
          <w:sz w:val="24"/>
          <w:szCs w:val="24"/>
        </w:rPr>
        <w:t xml:space="preserve">. </w:t>
      </w:r>
    </w:p>
    <w:p w:rsidR="006426B3" w:rsidRPr="00A102CE" w:rsidRDefault="00BA73DA" w:rsidP="006426B3">
      <w:pPr>
        <w:spacing w:line="360" w:lineRule="auto"/>
        <w:ind w:right="51" w:firstLine="567"/>
        <w:jc w:val="both"/>
        <w:rPr>
          <w:rFonts w:ascii="Arial" w:hAnsi="Arial" w:cs="Arial"/>
          <w:bCs/>
          <w:snapToGrid w:val="0"/>
          <w:sz w:val="24"/>
          <w:szCs w:val="24"/>
        </w:rPr>
      </w:pPr>
      <w:r w:rsidRPr="00BA73DA">
        <w:rPr>
          <w:noProof/>
          <w:lang w:eastAsia="es-MX"/>
        </w:rPr>
        <mc:AlternateContent>
          <mc:Choice Requires="wps">
            <w:drawing>
              <wp:anchor distT="0" distB="0" distL="114300" distR="114300" simplePos="0" relativeHeight="251663360" behindDoc="1" locked="0" layoutInCell="1" allowOverlap="1" wp14:anchorId="4C8ABD1A" wp14:editId="01857327">
                <wp:simplePos x="0" y="0"/>
                <wp:positionH relativeFrom="column">
                  <wp:posOffset>-1158240</wp:posOffset>
                </wp:positionH>
                <wp:positionV relativeFrom="paragraph">
                  <wp:posOffset>1081405</wp:posOffset>
                </wp:positionV>
                <wp:extent cx="1009650" cy="96202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BA73DA" w:rsidRPr="00035E13" w:rsidRDefault="00BA73DA" w:rsidP="00BA73D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8ABD1A" id="Cuadro de texto 3" o:spid="_x0000_s1028" type="#_x0000_t202" style="position:absolute;left:0;text-align:left;margin-left:-91.2pt;margin-top:85.15pt;width:79.5pt;height:75.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" fillcolor="window" strokeweight=".5pt">
                <v:path arrowok="t"/>
                <v:textbox>
                  <w:txbxContent>
                    <w:p w:rsidR="00BA73DA" w:rsidRPr="00035E13" w:rsidRDefault="00BA73DA" w:rsidP="00BA73D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6426B3" w:rsidRPr="00A102CE">
        <w:rPr>
          <w:rFonts w:ascii="Arial" w:hAnsi="Arial" w:cs="Arial"/>
          <w:b/>
          <w:snapToGrid w:val="0"/>
          <w:sz w:val="24"/>
          <w:szCs w:val="24"/>
        </w:rPr>
        <w:t xml:space="preserve">CUARTO.- </w:t>
      </w:r>
      <w:r w:rsidR="006426B3" w:rsidRPr="00A102CE">
        <w:rPr>
          <w:rFonts w:ascii="Arial" w:hAnsi="Arial" w:cs="Arial"/>
          <w:bCs/>
          <w:snapToGrid w:val="0"/>
          <w:sz w:val="24"/>
          <w:szCs w:val="24"/>
        </w:rPr>
        <w:t>El hoy actor manifiesta en sus conceptos de impugnación CUARTO, SÉPTIMO y OCTAVO, que la que la aludida multa por infracción, es violatoria a lo dispuesto por el artículo 122 fracción IV del Código Fiscal para el Estado de Oaxaca, en virtud que manifiesta que el acto hoy controvertido no fue fundamentado respecto a la competencia con la que actúa la Secretaría de Finanzas del Poder Ejecutivo del Estado de Oaxaca, respecto a su ámbito de actuación material y territorial, al respecto es de mencionarle que por lo que hace a la competencia material, la autoridad demandada cita el artículo 31 fracciones VIII y XLII del Reglamento Interno de la Secretaría de Finanzas del Poder Ejecutivo del Estado de Oaxaca, que a la letra dice:</w:t>
      </w:r>
    </w:p>
    <w:p w:rsidR="006426B3" w:rsidRPr="00A102CE" w:rsidRDefault="006426B3" w:rsidP="006426B3">
      <w:pPr>
        <w:ind w:left="567" w:right="615"/>
        <w:jc w:val="both"/>
        <w:rPr>
          <w:rFonts w:ascii="Arial" w:hAnsi="Arial" w:cs="Arial"/>
          <w:bCs/>
          <w:i/>
          <w:iCs/>
          <w:snapToGrid w:val="0"/>
          <w:sz w:val="24"/>
          <w:szCs w:val="24"/>
        </w:rPr>
      </w:pPr>
      <w:r w:rsidRPr="00A102CE">
        <w:rPr>
          <w:rFonts w:ascii="Arial" w:hAnsi="Arial" w:cs="Arial"/>
          <w:b/>
          <w:i/>
          <w:iCs/>
          <w:snapToGrid w:val="0"/>
          <w:sz w:val="24"/>
          <w:szCs w:val="24"/>
        </w:rPr>
        <w:t>Artículo 31</w:t>
      </w:r>
      <w:r w:rsidRPr="00A102CE">
        <w:rPr>
          <w:rFonts w:ascii="Arial" w:hAnsi="Arial" w:cs="Arial"/>
          <w:bCs/>
          <w:i/>
          <w:iCs/>
          <w:snapToGrid w:val="0"/>
          <w:sz w:val="24"/>
          <w:szCs w:val="24"/>
        </w:rPr>
        <w:t>. La Dirección de Ingresos y Recaudación contará con un Director que depende directamente del Subsecretario de Ingresos, quien se auxiliará de: los Coordinadores Técnica de Ingresos, y Cobro Coactivo; Jefes de departamento y demás servidores públicos que las necesidades del servicio requieran, de acuerdo con el presupuesto autorizado y cuyas funciones serán indicadas en el Manual de Organización de la Secretaría, quien tendrá las facultades siguientes:</w:t>
      </w:r>
    </w:p>
    <w:p w:rsidR="006426B3" w:rsidRPr="00A102CE" w:rsidRDefault="006426B3" w:rsidP="006426B3">
      <w:pPr>
        <w:ind w:left="567" w:right="615"/>
        <w:jc w:val="both"/>
        <w:rPr>
          <w:rFonts w:ascii="Arial" w:hAnsi="Arial" w:cs="Arial"/>
          <w:bCs/>
          <w:i/>
          <w:iCs/>
          <w:snapToGrid w:val="0"/>
          <w:sz w:val="24"/>
          <w:szCs w:val="24"/>
        </w:rPr>
      </w:pPr>
      <w:r w:rsidRPr="00A102CE">
        <w:rPr>
          <w:rFonts w:ascii="Arial" w:hAnsi="Arial" w:cs="Arial"/>
          <w:bCs/>
          <w:i/>
          <w:iCs/>
          <w:snapToGrid w:val="0"/>
          <w:sz w:val="24"/>
          <w:szCs w:val="24"/>
        </w:rPr>
        <w:t>[…]</w:t>
      </w:r>
    </w:p>
    <w:p w:rsidR="006426B3" w:rsidRPr="00A102CE" w:rsidRDefault="006426B3" w:rsidP="006426B3">
      <w:pPr>
        <w:ind w:left="567" w:right="615"/>
        <w:jc w:val="both"/>
        <w:rPr>
          <w:rFonts w:ascii="Arial" w:hAnsi="Arial" w:cs="Arial"/>
          <w:bCs/>
          <w:i/>
          <w:iCs/>
          <w:snapToGrid w:val="0"/>
          <w:sz w:val="24"/>
          <w:szCs w:val="24"/>
        </w:rPr>
      </w:pPr>
      <w:r w:rsidRPr="00A102CE">
        <w:rPr>
          <w:rFonts w:ascii="Arial" w:hAnsi="Arial" w:cs="Arial"/>
          <w:bCs/>
          <w:i/>
          <w:iCs/>
          <w:snapToGrid w:val="0"/>
          <w:sz w:val="24"/>
          <w:szCs w:val="24"/>
        </w:rPr>
        <w:t>VIII. Imponer las sanciones que correspondan por violación a las disposiciones fiscales;</w:t>
      </w:r>
    </w:p>
    <w:p w:rsidR="006426B3" w:rsidRPr="00A102CE" w:rsidRDefault="006426B3" w:rsidP="006426B3">
      <w:pPr>
        <w:ind w:left="567" w:right="615"/>
        <w:jc w:val="both"/>
        <w:rPr>
          <w:rFonts w:ascii="Arial" w:hAnsi="Arial" w:cs="Arial"/>
          <w:bCs/>
          <w:i/>
          <w:iCs/>
          <w:snapToGrid w:val="0"/>
          <w:sz w:val="24"/>
          <w:szCs w:val="24"/>
        </w:rPr>
      </w:pPr>
      <w:r w:rsidRPr="00A102CE">
        <w:rPr>
          <w:rFonts w:ascii="Arial" w:hAnsi="Arial" w:cs="Arial"/>
          <w:bCs/>
          <w:i/>
          <w:iCs/>
          <w:snapToGrid w:val="0"/>
          <w:sz w:val="24"/>
          <w:szCs w:val="24"/>
        </w:rPr>
        <w:t>[…]</w:t>
      </w:r>
    </w:p>
    <w:p w:rsidR="006426B3" w:rsidRPr="00A102CE" w:rsidRDefault="006426B3" w:rsidP="006426B3">
      <w:pPr>
        <w:ind w:left="567" w:right="615"/>
        <w:jc w:val="both"/>
        <w:rPr>
          <w:rFonts w:ascii="Arial" w:hAnsi="Arial" w:cs="Arial"/>
          <w:bCs/>
          <w:i/>
          <w:iCs/>
          <w:snapToGrid w:val="0"/>
          <w:sz w:val="24"/>
          <w:szCs w:val="24"/>
        </w:rPr>
      </w:pPr>
      <w:r w:rsidRPr="00A102CE">
        <w:rPr>
          <w:rFonts w:ascii="Arial" w:hAnsi="Arial" w:cs="Arial"/>
          <w:bCs/>
          <w:i/>
          <w:iCs/>
          <w:snapToGrid w:val="0"/>
          <w:sz w:val="24"/>
          <w:szCs w:val="24"/>
        </w:rPr>
        <w:t>XLII. Las demás que les confieran las leyes, este Reglamento y demás disposiciones normativas aplicables, así como las que expresamente les sean conferidas por el Subsecretario.</w:t>
      </w:r>
    </w:p>
    <w:p w:rsidR="006426B3" w:rsidRPr="00A102CE" w:rsidRDefault="006426B3" w:rsidP="006426B3">
      <w:pPr>
        <w:spacing w:line="360" w:lineRule="auto"/>
        <w:ind w:right="51" w:firstLine="567"/>
        <w:jc w:val="both"/>
        <w:rPr>
          <w:rFonts w:ascii="Arial" w:hAnsi="Arial" w:cs="Arial"/>
          <w:bCs/>
          <w:snapToGrid w:val="0"/>
          <w:sz w:val="24"/>
          <w:szCs w:val="24"/>
        </w:rPr>
      </w:pPr>
      <w:r w:rsidRPr="00A102CE">
        <w:rPr>
          <w:rFonts w:ascii="Arial" w:hAnsi="Arial" w:cs="Arial"/>
          <w:bCs/>
          <w:snapToGrid w:val="0"/>
          <w:sz w:val="24"/>
          <w:szCs w:val="24"/>
        </w:rPr>
        <w:t>De lo anterior, se observa que precisamente al citar dicho precepto legal, faculta a la Dirección de la Ingresos y Recaudación de la Secretaría de Finanzas, para imponer las sanciones que por violaciones a las disposiciones fiscales deriven, mismo artículo que de una interpretación armónica hecha a los demás artículos que cita la autoridad, no es restrictivo a cierto tipo de impuesto, ya que los mismos ordenamientos fiscales que cita como lo es todo las fracciones del artículo 45 de la Ley Orgánica del Poder Ejecutivo del Estado, esta tiene por objeto el despacho de todo los impuestos, contemplados en la Ley Estatal de Hacienda, entre dichos impuestos, el Impuesto sobre Erogaciones por Remuneraciones al Trabajo Personal, es por ello que en coordinación con las áreas facultadas para analizar de fondo y forma las obligaciones fiscales de todos los contribuyentes, la Dirección de Ingresos únicamente se limita a emitir las multas y requerimientos que otras áreas mediante su relación de coordinación les solicite, es por ello que mediante la cita de dichos artículos, la Dirección de Ingresos de la Secretaría de Finanzas del Poder Ejecutivo del Estado ha justificado y fundamentado correctamente su competencia material.</w:t>
      </w:r>
    </w:p>
    <w:p w:rsidR="006426B3" w:rsidRPr="00A102CE" w:rsidRDefault="00BA73DA" w:rsidP="006426B3">
      <w:pPr>
        <w:spacing w:line="360" w:lineRule="auto"/>
        <w:ind w:right="51" w:firstLine="567"/>
        <w:jc w:val="both"/>
        <w:rPr>
          <w:rFonts w:ascii="Arial" w:hAnsi="Arial" w:cs="Arial"/>
          <w:bCs/>
          <w:snapToGrid w:val="0"/>
          <w:sz w:val="24"/>
          <w:szCs w:val="24"/>
        </w:rPr>
      </w:pPr>
      <w:r w:rsidRPr="00BA73DA">
        <w:rPr>
          <w:noProof/>
          <w:lang w:eastAsia="es-MX"/>
        </w:rPr>
        <mc:AlternateContent>
          <mc:Choice Requires="wps">
            <w:drawing>
              <wp:anchor distT="0" distB="0" distL="114300" distR="114300" simplePos="0" relativeHeight="251665408" behindDoc="1" locked="0" layoutInCell="1" allowOverlap="1" wp14:anchorId="6ABADD2A" wp14:editId="1DC38B52">
                <wp:simplePos x="0" y="0"/>
                <wp:positionH relativeFrom="column">
                  <wp:posOffset>5699760</wp:posOffset>
                </wp:positionH>
                <wp:positionV relativeFrom="paragraph">
                  <wp:posOffset>1965960</wp:posOffset>
                </wp:positionV>
                <wp:extent cx="1009650" cy="962025"/>
                <wp:effectExtent l="0" t="0" r="19050"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BA73DA" w:rsidRPr="00035E13" w:rsidRDefault="00BA73DA" w:rsidP="00BA73D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BADD2A" id="Cuadro de texto 4" o:spid="_x0000_s1029" type="#_x0000_t202" style="position:absolute;left:0;text-align:left;margin-left:448.8pt;margin-top:154.8pt;width:79.5pt;height:75.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" fillcolor="window" strokeweight=".5pt">
                <v:path arrowok="t"/>
                <v:textbox>
                  <w:txbxContent>
                    <w:p w:rsidR="00BA73DA" w:rsidRPr="00035E13" w:rsidRDefault="00BA73DA" w:rsidP="00BA73D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6426B3" w:rsidRPr="00A102CE">
        <w:rPr>
          <w:rFonts w:ascii="Arial" w:hAnsi="Arial" w:cs="Arial"/>
          <w:bCs/>
          <w:snapToGrid w:val="0"/>
          <w:sz w:val="24"/>
          <w:szCs w:val="24"/>
        </w:rPr>
        <w:t>Respecto al ámbito territorial, la Secretaría de Finanzas del Poder Ejecutivo del Estado, cita primordialmente el artículo 1 del Reglamento Interno de la Secretaría de Finanzas del Poder Ejecutivo del Estado de Oaxaca, no obstante mediante una interpretación armónica de los reglamentos citados por la autoridad demandada, esta Sala advierte que se encuentra bien delimitado su competencia territorial, en virtud de que cita el precepto legal para que dicha autoridad pueda ejercer correctamente sus atribuciones en razón del territorio, por lo que para cumplir dicho requisito, cita el artículo 1 del Reglamento Interno de la Secretaría de Finanzas del Poder Ejecutivo del Estado de Oaxaca, mismo que a la letra dice:</w:t>
      </w:r>
    </w:p>
    <w:p w:rsidR="006426B3" w:rsidRPr="00A102CE" w:rsidRDefault="006426B3" w:rsidP="006426B3">
      <w:pPr>
        <w:ind w:left="567" w:right="615"/>
        <w:jc w:val="both"/>
        <w:rPr>
          <w:rFonts w:ascii="Arial" w:hAnsi="Arial" w:cs="Arial"/>
          <w:bCs/>
          <w:i/>
          <w:iCs/>
          <w:snapToGrid w:val="0"/>
          <w:sz w:val="24"/>
          <w:szCs w:val="24"/>
        </w:rPr>
      </w:pPr>
      <w:r w:rsidRPr="00A102CE">
        <w:rPr>
          <w:rFonts w:ascii="Arial" w:hAnsi="Arial" w:cs="Arial"/>
          <w:b/>
          <w:i/>
          <w:iCs/>
          <w:snapToGrid w:val="0"/>
          <w:sz w:val="24"/>
          <w:szCs w:val="24"/>
        </w:rPr>
        <w:t>Artículo 1.</w:t>
      </w:r>
      <w:r w:rsidRPr="00A102CE">
        <w:rPr>
          <w:rFonts w:ascii="Arial" w:hAnsi="Arial" w:cs="Arial"/>
          <w:bCs/>
          <w:i/>
          <w:iCs/>
          <w:snapToGrid w:val="0"/>
          <w:sz w:val="24"/>
          <w:szCs w:val="24"/>
        </w:rPr>
        <w:t xml:space="preserve"> El presente ordenamiento tiene por objeto reglamentar la organización, competencia y facultades de los servidores públicos de la Secretaría de Finanzas del Poder Ejecutivo del Estado.</w:t>
      </w:r>
    </w:p>
    <w:p w:rsidR="006426B3" w:rsidRPr="00A102CE" w:rsidRDefault="006426B3" w:rsidP="006426B3">
      <w:pPr>
        <w:ind w:left="567" w:right="615"/>
        <w:jc w:val="both"/>
        <w:rPr>
          <w:rFonts w:ascii="Arial" w:hAnsi="Arial" w:cs="Arial"/>
          <w:bCs/>
          <w:i/>
          <w:iCs/>
          <w:snapToGrid w:val="0"/>
          <w:sz w:val="24"/>
          <w:szCs w:val="24"/>
        </w:rPr>
      </w:pPr>
      <w:r w:rsidRPr="00A102CE">
        <w:rPr>
          <w:rFonts w:ascii="Arial" w:hAnsi="Arial" w:cs="Arial"/>
          <w:bCs/>
          <w:i/>
          <w:iCs/>
          <w:snapToGrid w:val="0"/>
          <w:sz w:val="24"/>
          <w:szCs w:val="24"/>
        </w:rPr>
        <w:t>Tratándose de la administración de los ingresos coordinados y el ejercicio de la competencia y facultades contenidas en el presente Reglamento, se efectuarán respecto de las personas que tengan su domicilio fiscal dentro del territorio del Estado de Oaxaca y estén obligadas al cumplimiento de las disposiciones fiscales que regulen dichos ingresos y actividades.</w:t>
      </w:r>
    </w:p>
    <w:p w:rsidR="006426B3" w:rsidRPr="00A102CE" w:rsidRDefault="006426B3" w:rsidP="006426B3">
      <w:pPr>
        <w:spacing w:line="360" w:lineRule="auto"/>
        <w:ind w:right="51" w:firstLine="567"/>
        <w:jc w:val="both"/>
        <w:rPr>
          <w:rFonts w:ascii="Arial" w:hAnsi="Arial" w:cs="Arial"/>
          <w:bCs/>
          <w:snapToGrid w:val="0"/>
          <w:sz w:val="24"/>
          <w:szCs w:val="24"/>
        </w:rPr>
      </w:pPr>
      <w:r w:rsidRPr="00A102CE">
        <w:rPr>
          <w:rFonts w:ascii="Arial" w:hAnsi="Arial" w:cs="Arial"/>
          <w:bCs/>
          <w:snapToGrid w:val="0"/>
          <w:sz w:val="24"/>
          <w:szCs w:val="24"/>
        </w:rPr>
        <w:t xml:space="preserve">Como se puede apreciar, claramente en su segundo párrafo, hace mención expresa que la Secretaría de Finanzas podrá ejercer válidamente sus atribuciones conferidas por dicho ordenamiento así como los aplicables a la materia, dentro del Estado de Oaxaca, siempre y cuando los contribuyentes tengan su domicilio dentro del Estado de Oaxaca, por lo que mediante una interpretación extensiva, todo aquel contribuyente que tenga su domicilio dentro de cualquier municipio, población, región o cual sea la denominación con el que se conozca, siempre y cuando se encuentre dentro del Estado de Oaxaca, la Secretaría de Finanzas tendrá competencia territorial para hacer valer sus determinaciones y ejercer válidamente sus funciones y atribuciones, máxime que efectivamente como lo argumenta la autoridad demandada en su escrito de contestación, dentro del orden jerárquico y como facultad a la Secretaría de Finanzas en el artículo 45 fracción XXXVII de la Ley Orgánica de Poder Ejecutivo del Estado de Oaxaca, dota a esa autoridad la facultad de imponer las multas por infracciones correspondientes a las disposiciones fiscales, relacionado con el artículo 7 fracción VI del Código Fiscal para el Estado de Oaxaca, donde expresamente manifiesta que la Dirección de Ingresos de la Secretaría de Finanzas es reconocida como autoridad fiscal, y con ello, para la imposición de las multas respectivas a las infracciones al referido código y otras disposiciones fiscales, demostrando con ello, que la multa controvertida se encuentra correctamente fundamentada respecto a la competencia material y territorial. En consecuencia, dicho concepto de impugnación resulta </w:t>
      </w:r>
      <w:r w:rsidRPr="00A102CE">
        <w:rPr>
          <w:rFonts w:ascii="Arial" w:hAnsi="Arial" w:cs="Arial"/>
          <w:b/>
          <w:snapToGrid w:val="0"/>
          <w:sz w:val="24"/>
          <w:szCs w:val="24"/>
          <w:u w:val="single"/>
        </w:rPr>
        <w:t>INFUNDADO</w:t>
      </w:r>
      <w:r w:rsidRPr="00A102CE">
        <w:rPr>
          <w:rFonts w:ascii="Arial" w:hAnsi="Arial" w:cs="Arial"/>
          <w:bCs/>
          <w:snapToGrid w:val="0"/>
          <w:sz w:val="24"/>
          <w:szCs w:val="24"/>
        </w:rPr>
        <w:t xml:space="preserve">, en virtud de que la autoridad demandada citó correctamente los preceptos legales mediante los cuales fundamenta y justifica su competencia </w:t>
      </w:r>
      <w:r w:rsidR="00BA73DA" w:rsidRPr="00BA73DA">
        <w:rPr>
          <w:noProof/>
          <w:lang w:eastAsia="es-MX"/>
        </w:rPr>
        <mc:AlternateContent>
          <mc:Choice Requires="wps">
            <w:drawing>
              <wp:anchor distT="0" distB="0" distL="114300" distR="114300" simplePos="0" relativeHeight="251667456" behindDoc="1" locked="0" layoutInCell="1" allowOverlap="1" wp14:anchorId="17131B4F" wp14:editId="530B73D9">
                <wp:simplePos x="0" y="0"/>
                <wp:positionH relativeFrom="column">
                  <wp:posOffset>-1158240</wp:posOffset>
                </wp:positionH>
                <wp:positionV relativeFrom="paragraph">
                  <wp:posOffset>4923155</wp:posOffset>
                </wp:positionV>
                <wp:extent cx="1009650" cy="962025"/>
                <wp:effectExtent l="0" t="0" r="19050"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BA73DA" w:rsidRPr="00035E13" w:rsidRDefault="00BA73DA" w:rsidP="00BA73D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131B4F" id="Cuadro de texto 6" o:spid="_x0000_s1030" type="#_x0000_t202" style="position:absolute;left:0;text-align:left;margin-left:-91.2pt;margin-top:387.65pt;width:79.5pt;height:75.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" fillcolor="window" strokeweight=".5pt">
                <v:path arrowok="t"/>
                <v:textbox>
                  <w:txbxContent>
                    <w:p w:rsidR="00BA73DA" w:rsidRPr="00035E13" w:rsidRDefault="00BA73DA" w:rsidP="00BA73D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Pr="00A102CE">
        <w:rPr>
          <w:rFonts w:ascii="Arial" w:hAnsi="Arial" w:cs="Arial"/>
          <w:bCs/>
          <w:snapToGrid w:val="0"/>
          <w:sz w:val="24"/>
          <w:szCs w:val="24"/>
        </w:rPr>
        <w:t xml:space="preserve">material y territorial. </w:t>
      </w:r>
    </w:p>
    <w:p w:rsidR="006426B3" w:rsidRPr="00A102CE" w:rsidRDefault="006426B3" w:rsidP="006426B3">
      <w:pPr>
        <w:spacing w:line="360" w:lineRule="auto"/>
        <w:ind w:right="51" w:firstLine="567"/>
        <w:jc w:val="both"/>
        <w:rPr>
          <w:rFonts w:ascii="Arial" w:hAnsi="Arial" w:cs="Arial"/>
          <w:bCs/>
          <w:snapToGrid w:val="0"/>
          <w:sz w:val="24"/>
          <w:szCs w:val="24"/>
        </w:rPr>
      </w:pPr>
      <w:r w:rsidRPr="00A102CE">
        <w:rPr>
          <w:rFonts w:ascii="Arial" w:hAnsi="Arial" w:cs="Arial"/>
          <w:b/>
          <w:snapToGrid w:val="0"/>
          <w:sz w:val="24"/>
          <w:szCs w:val="24"/>
        </w:rPr>
        <w:t>QUINTO.-</w:t>
      </w:r>
      <w:r w:rsidRPr="00A102CE">
        <w:rPr>
          <w:rFonts w:ascii="Arial" w:hAnsi="Arial" w:cs="Arial"/>
          <w:bCs/>
          <w:snapToGrid w:val="0"/>
          <w:sz w:val="24"/>
          <w:szCs w:val="24"/>
        </w:rPr>
        <w:t xml:space="preserve"> La parte actora manifiesta toralmente en su concepto de impugnación PRIMERO, que viola en su perjuicio lo establecido en los artículos 14 y 16 de la Constitución Política de los Estados Unidos Mexicanos, en virtud de que manifiesta no haber sido notificada legalmente, al respeto esta Sala reconoce que efectivamente las notificaciones que tienen el carácter de personal, deberá realizarse en el domicilio manifestado por el contribuyente, además de dejar una constancia de notificación en la que conste el acto, así como la fecha y hora de la notificación, entrega del documento, firma de quien recibe y entrega así como sus datos de identificación si los tuviese, no obstante el hoy actor niega haber sido notificado legalmente de la multa que hoy impugna, para contravenir lo anterior, la autoridad demandada manifiesta que, si bien es cierto que una notificación personal debe contener los requisitos que la ley fiscal dicta para tal efecto, también es cierto que el acto consistente en la multa por infracción adquiere la naturaleza de ser un acto susceptible de notificarse por correo certificado con acuse de recibo, tal y como lo estipula el artículo 132 del Código Fiscal para el Estado de Oaxaca, por lo que de notificarse mediante esta forma, no es obligatorio un citatorio previo para que ésta se lleve a cabo, y dicha situación no será considerada como un perjuicio a la seguridad y certeza jurídica, ya que tal y como argumenta la autoridad demanda, el Servicio Postal Mexicano es quien realiza la diligencia o acto de notificación, y al ser un organismo público descentralizado, todos los actos tendientes a la notificación o entrega de un documento que éste realice, goza de plena certidumbre jurídica, sirve de sustento a ese dicho la tesis número XVI.1º.A.T.18ª, emitida por los Tribunales Colegiados de Circuito, publicada en el Semanario Judicial de la Federación y su Gaceta, Novena Época, tomo XXVIII, Noviembre de 2017, con número de registro 168454, página 1363, bajo el rubro y texto siguiente:</w:t>
      </w:r>
    </w:p>
    <w:p w:rsidR="006426B3" w:rsidRPr="00A102CE" w:rsidRDefault="00BA73DA" w:rsidP="006426B3">
      <w:pPr>
        <w:ind w:left="567" w:right="615"/>
        <w:jc w:val="both"/>
        <w:rPr>
          <w:rFonts w:ascii="Arial" w:hAnsi="Arial" w:cs="Arial"/>
          <w:bCs/>
          <w:snapToGrid w:val="0"/>
          <w:sz w:val="24"/>
          <w:szCs w:val="24"/>
        </w:rPr>
      </w:pPr>
      <w:r w:rsidRPr="00BA73DA">
        <w:rPr>
          <w:noProof/>
          <w:lang w:eastAsia="es-MX"/>
        </w:rPr>
        <mc:AlternateContent>
          <mc:Choice Requires="wps">
            <w:drawing>
              <wp:anchor distT="0" distB="0" distL="114300" distR="114300" simplePos="0" relativeHeight="251669504" behindDoc="1" locked="0" layoutInCell="1" allowOverlap="1" wp14:anchorId="0042659E" wp14:editId="0E410DD5">
                <wp:simplePos x="0" y="0"/>
                <wp:positionH relativeFrom="column">
                  <wp:posOffset>5486400</wp:posOffset>
                </wp:positionH>
                <wp:positionV relativeFrom="paragraph">
                  <wp:posOffset>4196080</wp:posOffset>
                </wp:positionV>
                <wp:extent cx="1009650" cy="962025"/>
                <wp:effectExtent l="0" t="0" r="19050"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BA73DA" w:rsidRPr="00035E13" w:rsidRDefault="00BA73DA" w:rsidP="00BA73D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42659E" id="Cuadro de texto 7" o:spid="_x0000_s1031" type="#_x0000_t202" style="position:absolute;left:0;text-align:left;margin-left:6in;margin-top:330.4pt;width:79.5pt;height:75.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" fillcolor="window" strokeweight=".5pt">
                <v:path arrowok="t"/>
                <v:textbox>
                  <w:txbxContent>
                    <w:p w:rsidR="00BA73DA" w:rsidRPr="00035E13" w:rsidRDefault="00BA73DA" w:rsidP="00BA73D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6426B3" w:rsidRPr="00A102CE">
        <w:rPr>
          <w:rFonts w:ascii="Arial" w:hAnsi="Arial" w:cs="Arial"/>
          <w:b/>
          <w:snapToGrid w:val="0"/>
          <w:sz w:val="24"/>
          <w:szCs w:val="24"/>
        </w:rPr>
        <w:t>NOTIFICACIÓN FISCAL POR CORREO CERTIFICADO. LA FIRMA QUE CONSTA EN EL ACUSE DE RECIBO DEMUESTRA QUE SE REALIZÓ LA COMUNICACIÓN Y CORRESPONDERÁ AL IMPUGNATE DESVIRTUAR LA PRESUNCIÓN LEGAL DE QUE GOZA ESE ACTO.</w:t>
      </w:r>
      <w:r w:rsidR="006426B3" w:rsidRPr="00A102CE">
        <w:rPr>
          <w:rFonts w:ascii="Arial" w:hAnsi="Arial" w:cs="Arial"/>
          <w:bCs/>
          <w:snapToGrid w:val="0"/>
          <w:sz w:val="24"/>
          <w:szCs w:val="24"/>
        </w:rPr>
        <w:t xml:space="preserve"> De acuerdo con los artículos 42 de la Ley del Servicio Postal Mexicano y 31 del Reglamento, las notificaciones que realizan las autoridades fiscales mediante correo certificado con acuse de recibo, cumplen con un principio de certeza porque se practican a través de un organismo público descentralizado y sobre todo porque en su ejecución se prevé recabar un acuse de recibo, que representa tanto la </w:t>
      </w:r>
      <w:proofErr w:type="spellStart"/>
      <w:r w:rsidR="006426B3" w:rsidRPr="00A102CE">
        <w:rPr>
          <w:rFonts w:ascii="Arial" w:hAnsi="Arial" w:cs="Arial"/>
          <w:bCs/>
          <w:snapToGrid w:val="0"/>
          <w:sz w:val="24"/>
          <w:szCs w:val="24"/>
        </w:rPr>
        <w:t>preconstitución</w:t>
      </w:r>
      <w:proofErr w:type="spellEnd"/>
      <w:r w:rsidR="006426B3" w:rsidRPr="00A102CE">
        <w:rPr>
          <w:rFonts w:ascii="Arial" w:hAnsi="Arial" w:cs="Arial"/>
          <w:bCs/>
          <w:snapToGrid w:val="0"/>
          <w:sz w:val="24"/>
          <w:szCs w:val="24"/>
        </w:rPr>
        <w:t xml:space="preserve"> de una prueba que justifica que se llevó a cabo la comunicación y, proporciona certidumbre de la fecha de depósito del documento correspondiente, así como la recepción del documento por el destinatario, porque se recaba en un documento especial su firma de recibido para su posterior entrega al remitente. Por eso, la firma de la persona que acusó recibo de la pieza postal asentada en el acuse de recibo forma parte de un acto de autoridad, porque es una de las formalidades reguladas en la norma para la comunicación de un acto administrativo, y por ende, goza de la presunción legal que prevé el artículo 68 del Código Fiscal de la Federación, pues las normas citadas no exigen que el funcionario postal levante un acta circunstanciada en la que conste la forma en que se cercioró de que el domicilio en el que se constituyó corresponde al mencionado por el remitente y que en él vive o puede localizar al destinatario o su representante legal, ni le imponen la carga de describir y asentar la manera en que se cercioró de que la persona que suscribe la pieza es realmente a quien debió entregarla, lo que generalmente se exige tratándose de notificaciones que de manera personal efectúan los servidores públicos encomendados para tal efecto. Por tanto, si el actor en el juicio contencioso administrativo alega que no recibió la comunicación y que no firmó el acuse de recibo, a él corresponderá demostrar esa afirmación y que no se colma con la simple aseveración de que las firmas son distintas, pues la diferencia morfológica que pudiera existir entre ellas, aun de manera patente, no prueba por sí sola que no provengan de la misma persona, ya que por el hecho de ser elementos físicos apreciables por los sentidos, basta que un sujeto imprima en dos momentos signos o grafías diferentes atribuibles como firmas, para que a simple vista sean desiguales, pero no por ello puede concluirse que tengan distinto origen; de ahí que necesariamente se requiera de un estudio técnico realizado por expertos para justificar ese hecho.</w:t>
      </w:r>
    </w:p>
    <w:p w:rsidR="006426B3" w:rsidRPr="00A102CE" w:rsidRDefault="006426B3" w:rsidP="006426B3">
      <w:pPr>
        <w:spacing w:line="360" w:lineRule="auto"/>
        <w:ind w:right="51" w:firstLine="567"/>
        <w:jc w:val="both"/>
        <w:rPr>
          <w:rFonts w:ascii="Arial" w:hAnsi="Arial" w:cs="Arial"/>
          <w:bCs/>
          <w:snapToGrid w:val="0"/>
          <w:sz w:val="24"/>
          <w:szCs w:val="24"/>
        </w:rPr>
      </w:pPr>
      <w:r w:rsidRPr="00A102CE">
        <w:rPr>
          <w:rFonts w:ascii="Arial" w:hAnsi="Arial" w:cs="Arial"/>
          <w:bCs/>
          <w:snapToGrid w:val="0"/>
          <w:sz w:val="24"/>
          <w:szCs w:val="24"/>
        </w:rPr>
        <w:t>Derivado de lo anterior, manifiesta la autoridad demandada, que la notificación se hizo con apego a derecho, tomando como base lo estipulado en el último párrafo del artículo 132 del multicitado Código, es decir, mediante correo certificado con acuse de recibo</w:t>
      </w:r>
      <w:r w:rsidR="00097D92" w:rsidRPr="00A102CE">
        <w:rPr>
          <w:rFonts w:ascii="Arial" w:hAnsi="Arial" w:cs="Arial"/>
          <w:bCs/>
          <w:snapToGrid w:val="0"/>
          <w:sz w:val="24"/>
          <w:szCs w:val="24"/>
        </w:rPr>
        <w:t>.</w:t>
      </w:r>
      <w:r w:rsidRPr="00A102CE">
        <w:rPr>
          <w:rFonts w:ascii="Arial" w:hAnsi="Arial" w:cs="Arial"/>
          <w:bCs/>
          <w:snapToGrid w:val="0"/>
          <w:sz w:val="24"/>
          <w:szCs w:val="24"/>
        </w:rPr>
        <w:t xml:space="preserve"> </w:t>
      </w:r>
    </w:p>
    <w:p w:rsidR="006426B3" w:rsidRPr="00A102CE" w:rsidRDefault="006426B3" w:rsidP="006426B3">
      <w:pPr>
        <w:spacing w:line="360" w:lineRule="auto"/>
        <w:ind w:right="51" w:firstLine="567"/>
        <w:jc w:val="both"/>
        <w:rPr>
          <w:rFonts w:ascii="Arial" w:hAnsi="Arial" w:cs="Arial"/>
          <w:bCs/>
          <w:snapToGrid w:val="0"/>
          <w:sz w:val="24"/>
          <w:szCs w:val="24"/>
        </w:rPr>
      </w:pPr>
      <w:r w:rsidRPr="00A102CE">
        <w:rPr>
          <w:rFonts w:ascii="Arial" w:hAnsi="Arial" w:cs="Arial"/>
          <w:bCs/>
          <w:snapToGrid w:val="0"/>
          <w:sz w:val="24"/>
          <w:szCs w:val="24"/>
        </w:rPr>
        <w:t xml:space="preserve">Ahora bien, esta Sala advierte que la demandada acredita su dicho con el acuse de recibo en el que fue notificado el actor, visible en la foja 41 del sumario, documental que adquiere valor probatorio pleno en términos del artículo 203 fracción I de la Ley de Procedimiento y Justicia Administrativa para el Estado de Oaxaca, luego entonces, se considera que la notificación quedó debidamente realizada, siendo la fecha exacta de notificación el seis de abril de dos mil diecinueve (06/04/2019) es por ello, que dicho concepto de impugnación resulta </w:t>
      </w:r>
      <w:r w:rsidRPr="00A102CE">
        <w:rPr>
          <w:rFonts w:ascii="Arial" w:hAnsi="Arial" w:cs="Arial"/>
          <w:b/>
          <w:snapToGrid w:val="0"/>
          <w:sz w:val="24"/>
          <w:szCs w:val="24"/>
          <w:u w:val="single"/>
        </w:rPr>
        <w:t>INFUNDADO</w:t>
      </w:r>
      <w:r w:rsidRPr="00A102CE">
        <w:rPr>
          <w:rFonts w:ascii="Arial" w:hAnsi="Arial" w:cs="Arial"/>
          <w:bCs/>
          <w:snapToGrid w:val="0"/>
          <w:sz w:val="24"/>
          <w:szCs w:val="24"/>
        </w:rPr>
        <w:t xml:space="preserve">. </w:t>
      </w:r>
    </w:p>
    <w:p w:rsidR="006426B3" w:rsidRPr="00A102CE" w:rsidRDefault="006426B3" w:rsidP="006426B3">
      <w:pPr>
        <w:spacing w:line="360" w:lineRule="auto"/>
        <w:ind w:right="51" w:firstLine="567"/>
        <w:jc w:val="both"/>
        <w:rPr>
          <w:rFonts w:ascii="Arial" w:hAnsi="Arial" w:cs="Arial"/>
          <w:bCs/>
          <w:snapToGrid w:val="0"/>
          <w:sz w:val="24"/>
          <w:szCs w:val="24"/>
        </w:rPr>
      </w:pPr>
      <w:r w:rsidRPr="00A102CE">
        <w:rPr>
          <w:rFonts w:ascii="Arial" w:hAnsi="Arial" w:cs="Arial"/>
          <w:b/>
          <w:snapToGrid w:val="0"/>
          <w:sz w:val="24"/>
          <w:szCs w:val="24"/>
        </w:rPr>
        <w:t>SEXTO.-</w:t>
      </w:r>
      <w:r w:rsidRPr="00A102CE">
        <w:rPr>
          <w:rFonts w:ascii="Arial" w:hAnsi="Arial" w:cs="Arial"/>
          <w:bCs/>
          <w:snapToGrid w:val="0"/>
          <w:sz w:val="24"/>
          <w:szCs w:val="24"/>
        </w:rPr>
        <w:t xml:space="preserve"> La parte actora manifiesta en su concepto de impugnación QUINTO que la multa por infracción debe de declararse nula, toda vez que a decir se actualiza lo dispuesto en el artículo 263 del Código Fiscal para el Estado de Oaxaca, toda vez que menciona que se cumplió de forma espontánea las obligaciones requeridas, artículo que se transcribe para su mayor comprensión:</w:t>
      </w:r>
    </w:p>
    <w:p w:rsidR="006426B3" w:rsidRPr="00A102CE" w:rsidRDefault="006426B3" w:rsidP="006426B3">
      <w:pPr>
        <w:ind w:left="567" w:right="615"/>
        <w:jc w:val="both"/>
        <w:rPr>
          <w:rFonts w:ascii="Arial" w:hAnsi="Arial" w:cs="Arial"/>
          <w:bCs/>
          <w:i/>
          <w:iCs/>
          <w:snapToGrid w:val="0"/>
          <w:sz w:val="24"/>
          <w:szCs w:val="24"/>
        </w:rPr>
      </w:pPr>
      <w:r w:rsidRPr="00A102CE">
        <w:rPr>
          <w:rFonts w:ascii="Arial" w:hAnsi="Arial" w:cs="Arial"/>
          <w:b/>
          <w:i/>
          <w:iCs/>
          <w:snapToGrid w:val="0"/>
          <w:sz w:val="24"/>
          <w:szCs w:val="24"/>
        </w:rPr>
        <w:t>ARTÍCULO 263.</w:t>
      </w:r>
      <w:r w:rsidRPr="00A102CE">
        <w:rPr>
          <w:rFonts w:ascii="Arial" w:hAnsi="Arial" w:cs="Arial"/>
          <w:bCs/>
          <w:i/>
          <w:iCs/>
          <w:snapToGrid w:val="0"/>
          <w:sz w:val="24"/>
          <w:szCs w:val="24"/>
        </w:rPr>
        <w:t xml:space="preserve"> No se impondrán multas cuando se cumplan en forma espontánea las obligaciones fiscales fuera de los plazos señalados por las disposiciones fiscales, o cuando se haya incurrido en infracción a causa de fuerza mayor o de caso fortuito.</w:t>
      </w:r>
    </w:p>
    <w:p w:rsidR="006426B3" w:rsidRPr="00A102CE" w:rsidRDefault="006426B3" w:rsidP="006426B3">
      <w:pPr>
        <w:ind w:left="567" w:right="615"/>
        <w:jc w:val="both"/>
        <w:rPr>
          <w:rFonts w:ascii="Arial" w:hAnsi="Arial" w:cs="Arial"/>
          <w:bCs/>
          <w:i/>
          <w:iCs/>
          <w:snapToGrid w:val="0"/>
          <w:sz w:val="24"/>
          <w:szCs w:val="24"/>
        </w:rPr>
      </w:pPr>
      <w:r w:rsidRPr="00A102CE">
        <w:rPr>
          <w:rFonts w:ascii="Arial" w:hAnsi="Arial" w:cs="Arial"/>
          <w:bCs/>
          <w:i/>
          <w:iCs/>
          <w:snapToGrid w:val="0"/>
          <w:sz w:val="24"/>
          <w:szCs w:val="24"/>
        </w:rPr>
        <w:t>Se considerará que el cumplimiento de obligaciones fuera de los plazos establecidos en la ley no es espontáneo, en el caso que:</w:t>
      </w:r>
    </w:p>
    <w:p w:rsidR="006426B3" w:rsidRPr="00A102CE" w:rsidRDefault="00BA73DA" w:rsidP="006426B3">
      <w:pPr>
        <w:ind w:left="567" w:right="615"/>
        <w:jc w:val="both"/>
        <w:rPr>
          <w:rFonts w:ascii="Arial" w:hAnsi="Arial" w:cs="Arial"/>
          <w:bCs/>
          <w:i/>
          <w:iCs/>
          <w:snapToGrid w:val="0"/>
          <w:sz w:val="24"/>
          <w:szCs w:val="24"/>
        </w:rPr>
      </w:pPr>
      <w:r w:rsidRPr="00BA73DA">
        <w:rPr>
          <w:noProof/>
          <w:lang w:eastAsia="es-MX"/>
        </w:rPr>
        <mc:AlternateContent>
          <mc:Choice Requires="wps">
            <w:drawing>
              <wp:anchor distT="0" distB="0" distL="114300" distR="114300" simplePos="0" relativeHeight="251671552" behindDoc="1" locked="0" layoutInCell="1" allowOverlap="1" wp14:anchorId="02E390D9" wp14:editId="6F387C51">
                <wp:simplePos x="0" y="0"/>
                <wp:positionH relativeFrom="column">
                  <wp:posOffset>-914400</wp:posOffset>
                </wp:positionH>
                <wp:positionV relativeFrom="paragraph">
                  <wp:posOffset>1045845</wp:posOffset>
                </wp:positionV>
                <wp:extent cx="1009650" cy="962025"/>
                <wp:effectExtent l="0" t="0" r="19050"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BA73DA" w:rsidRPr="00035E13" w:rsidRDefault="00BA73DA" w:rsidP="00BA73D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E390D9" id="Cuadro de texto 8" o:spid="_x0000_s1032" type="#_x0000_t202" style="position:absolute;left:0;text-align:left;margin-left:-1in;margin-top:82.35pt;width:79.5pt;height:75.7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" fillcolor="window" strokeweight=".5pt">
                <v:path arrowok="t"/>
                <v:textbox>
                  <w:txbxContent>
                    <w:p w:rsidR="00BA73DA" w:rsidRPr="00035E13" w:rsidRDefault="00BA73DA" w:rsidP="00BA73D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6426B3" w:rsidRPr="00A102CE">
        <w:rPr>
          <w:rFonts w:ascii="Arial" w:hAnsi="Arial" w:cs="Arial"/>
          <w:bCs/>
          <w:i/>
          <w:iCs/>
          <w:snapToGrid w:val="0"/>
          <w:sz w:val="24"/>
          <w:szCs w:val="24"/>
        </w:rPr>
        <w:t>I. La omisión corresponda al pago de contribuciones o cualquier otro crédito fiscal, y sea corregida por el contribuyente después que las autoridades fiscales hubieren notificado una orden de visita domiciliaria, o haya sido notificado requerimiento de solicitud de información o documentación, requerimiento o cualquier otra gestión notificada por las mismas, tendientes a la comprobación del cumplimiento de disposiciones fiscales.</w:t>
      </w:r>
    </w:p>
    <w:p w:rsidR="006426B3" w:rsidRPr="00A102CE" w:rsidRDefault="006426B3" w:rsidP="006426B3">
      <w:pPr>
        <w:ind w:left="567" w:right="615"/>
        <w:jc w:val="both"/>
        <w:rPr>
          <w:rFonts w:ascii="Arial" w:hAnsi="Arial" w:cs="Arial"/>
          <w:bCs/>
          <w:i/>
          <w:iCs/>
          <w:snapToGrid w:val="0"/>
          <w:sz w:val="24"/>
          <w:szCs w:val="24"/>
        </w:rPr>
      </w:pPr>
      <w:r w:rsidRPr="00A102CE">
        <w:rPr>
          <w:rFonts w:ascii="Arial" w:hAnsi="Arial" w:cs="Arial"/>
          <w:bCs/>
          <w:i/>
          <w:iCs/>
          <w:snapToGrid w:val="0"/>
          <w:sz w:val="24"/>
          <w:szCs w:val="24"/>
        </w:rPr>
        <w:t>Para efectos de lo dispuesto en esta fracción, se considera que existe notificación en los términos establecidos en el último párrafo del artículo141 de este Código, aun cuando ésta no haya surtido sus efectos para el cómputo de plazos.</w:t>
      </w:r>
    </w:p>
    <w:p w:rsidR="006426B3" w:rsidRPr="00A102CE" w:rsidRDefault="006426B3" w:rsidP="006426B3">
      <w:pPr>
        <w:ind w:left="567" w:right="615"/>
        <w:jc w:val="both"/>
        <w:rPr>
          <w:rFonts w:ascii="Arial" w:hAnsi="Arial" w:cs="Arial"/>
          <w:bCs/>
          <w:i/>
          <w:iCs/>
          <w:snapToGrid w:val="0"/>
          <w:sz w:val="24"/>
          <w:szCs w:val="24"/>
        </w:rPr>
      </w:pPr>
      <w:r w:rsidRPr="00A102CE">
        <w:rPr>
          <w:rFonts w:ascii="Arial" w:hAnsi="Arial" w:cs="Arial"/>
          <w:bCs/>
          <w:i/>
          <w:iCs/>
          <w:snapToGrid w:val="0"/>
          <w:sz w:val="24"/>
          <w:szCs w:val="24"/>
        </w:rPr>
        <w:t>II. La omisión haya sido subsanada por el contribuyente con posterioridad a los diez días siguientes a la presentación del dictamen de los estados financieros de dicho contribuyente formulado por contador público ante la Secretaría, respecto de aquellas contribuciones omitidas que hubieren sido observadas en el dictamen.</w:t>
      </w:r>
    </w:p>
    <w:p w:rsidR="006426B3" w:rsidRPr="00A102CE" w:rsidRDefault="006426B3" w:rsidP="006426B3">
      <w:pPr>
        <w:ind w:left="567" w:right="615"/>
        <w:jc w:val="both"/>
        <w:rPr>
          <w:rFonts w:ascii="Arial" w:hAnsi="Arial" w:cs="Arial"/>
          <w:bCs/>
          <w:i/>
          <w:iCs/>
          <w:snapToGrid w:val="0"/>
          <w:sz w:val="24"/>
          <w:szCs w:val="24"/>
        </w:rPr>
      </w:pPr>
      <w:r w:rsidRPr="00A102CE">
        <w:rPr>
          <w:rFonts w:ascii="Arial" w:hAnsi="Arial" w:cs="Arial"/>
          <w:bCs/>
          <w:i/>
          <w:iCs/>
          <w:snapToGrid w:val="0"/>
          <w:sz w:val="24"/>
          <w:szCs w:val="24"/>
        </w:rPr>
        <w:t>Siempre que se omita el pago de una contribución cuya determinación corresponda a los servidores públicos o a los notarios o corredores titulados, los accesorios, incluyendo la multa que corresponda, serán a cargo exclusivamente de ellos, y los contribuyentes sólo quedarán obligados a pagar las contribuciones omitidas. Si la infracción se cometiere por inexactitud o falsedad de los datos proporcionados para efectos de su determinación a quien determinó las contribuciones, los accesorios serán a cargo de los contribuyentes.</w:t>
      </w:r>
    </w:p>
    <w:p w:rsidR="006426B3" w:rsidRPr="00A102CE" w:rsidRDefault="006426B3" w:rsidP="006426B3">
      <w:pPr>
        <w:ind w:left="567" w:right="615"/>
        <w:jc w:val="both"/>
        <w:rPr>
          <w:rFonts w:ascii="Arial" w:hAnsi="Arial" w:cs="Arial"/>
          <w:bCs/>
          <w:i/>
          <w:iCs/>
          <w:snapToGrid w:val="0"/>
          <w:sz w:val="24"/>
          <w:szCs w:val="24"/>
        </w:rPr>
      </w:pPr>
      <w:r w:rsidRPr="00A102CE">
        <w:rPr>
          <w:rFonts w:ascii="Arial" w:hAnsi="Arial" w:cs="Arial"/>
          <w:bCs/>
          <w:i/>
          <w:iCs/>
          <w:snapToGrid w:val="0"/>
          <w:sz w:val="24"/>
          <w:szCs w:val="24"/>
        </w:rPr>
        <w:t>Para efectos de este artículo, se considera que la notificación surte efectos en el momento en que se realiza.</w:t>
      </w:r>
    </w:p>
    <w:p w:rsidR="006426B3" w:rsidRPr="00A102CE" w:rsidRDefault="00BA73DA" w:rsidP="006426B3">
      <w:pPr>
        <w:spacing w:line="360" w:lineRule="auto"/>
        <w:ind w:right="51" w:firstLine="567"/>
        <w:jc w:val="both"/>
        <w:rPr>
          <w:rFonts w:ascii="Arial" w:hAnsi="Arial" w:cs="Arial"/>
          <w:bCs/>
          <w:snapToGrid w:val="0"/>
          <w:sz w:val="24"/>
          <w:szCs w:val="24"/>
        </w:rPr>
      </w:pPr>
      <w:r w:rsidRPr="00BA73DA">
        <w:rPr>
          <w:noProof/>
          <w:lang w:eastAsia="es-MX"/>
        </w:rPr>
        <mc:AlternateContent>
          <mc:Choice Requires="wps">
            <w:drawing>
              <wp:anchor distT="0" distB="0" distL="114300" distR="114300" simplePos="0" relativeHeight="251673600" behindDoc="1" locked="0" layoutInCell="1" allowOverlap="1" wp14:anchorId="59A212D3" wp14:editId="39B90484">
                <wp:simplePos x="0" y="0"/>
                <wp:positionH relativeFrom="column">
                  <wp:posOffset>5699760</wp:posOffset>
                </wp:positionH>
                <wp:positionV relativeFrom="paragraph">
                  <wp:posOffset>5923280</wp:posOffset>
                </wp:positionV>
                <wp:extent cx="1009650" cy="962025"/>
                <wp:effectExtent l="0" t="0" r="19050" b="285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BA73DA" w:rsidRPr="00035E13" w:rsidRDefault="00BA73DA" w:rsidP="00BA73D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A212D3" id="Cuadro de texto 9" o:spid="_x0000_s1033" type="#_x0000_t202" style="position:absolute;left:0;text-align:left;margin-left:448.8pt;margin-top:466.4pt;width:79.5pt;height:75.7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" fillcolor="window" strokeweight=".5pt">
                <v:path arrowok="t"/>
                <v:textbox>
                  <w:txbxContent>
                    <w:p w:rsidR="00BA73DA" w:rsidRPr="00035E13" w:rsidRDefault="00BA73DA" w:rsidP="00BA73D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6426B3" w:rsidRPr="00A102CE">
        <w:rPr>
          <w:rFonts w:ascii="Arial" w:hAnsi="Arial" w:cs="Arial"/>
          <w:bCs/>
          <w:snapToGrid w:val="0"/>
          <w:sz w:val="24"/>
          <w:szCs w:val="24"/>
        </w:rPr>
        <w:t xml:space="preserve">De lo anterior, </w:t>
      </w:r>
      <w:r w:rsidR="00AA6F42" w:rsidRPr="00A102CE">
        <w:rPr>
          <w:rFonts w:ascii="Arial" w:hAnsi="Arial" w:cs="Arial"/>
          <w:bCs/>
          <w:snapToGrid w:val="0"/>
          <w:sz w:val="24"/>
          <w:szCs w:val="24"/>
        </w:rPr>
        <w:t xml:space="preserve">tenemos que, </w:t>
      </w:r>
      <w:r w:rsidR="006426B3" w:rsidRPr="00A102CE">
        <w:rPr>
          <w:rFonts w:ascii="Arial" w:hAnsi="Arial" w:cs="Arial"/>
          <w:bCs/>
          <w:snapToGrid w:val="0"/>
          <w:sz w:val="24"/>
          <w:szCs w:val="24"/>
        </w:rPr>
        <w:t xml:space="preserve">si bien el artículo en mención señala que no se impondrán sanciones cuando la presentación se </w:t>
      </w:r>
      <w:r w:rsidR="00AA6F42" w:rsidRPr="00A102CE">
        <w:rPr>
          <w:rFonts w:ascii="Arial" w:hAnsi="Arial" w:cs="Arial"/>
          <w:bCs/>
          <w:snapToGrid w:val="0"/>
          <w:sz w:val="24"/>
          <w:szCs w:val="24"/>
        </w:rPr>
        <w:t>haya</w:t>
      </w:r>
      <w:r w:rsidR="006426B3" w:rsidRPr="00A102CE">
        <w:rPr>
          <w:rFonts w:ascii="Arial" w:hAnsi="Arial" w:cs="Arial"/>
          <w:bCs/>
          <w:snapToGrid w:val="0"/>
          <w:sz w:val="24"/>
          <w:szCs w:val="24"/>
        </w:rPr>
        <w:t xml:space="preserve"> realizado de manera espontánea, pero también se desprende que no se considerará que fue espontanea si la omisión a la misma fue advertida por las autoridades fiscales o en su defecto hubiese sido corregida por el declarante con posterioridad a su notificación de la orden de visita domiciliaria, excitativa, requerimiento o cualquier  otro  medio, en ese tenor, lo alegado por el actor resulta ser improcedente toda vez que de las copias simples de los formatos de la Declaración definitiva sobre el Impuesto sobre Erogaciones por Remuneraciones al Trabajo Personal visibles en las fojas 16 a 19, documentales que adquieren valor probatorio pleno en términos del artículo 203 fracción II de la Ley de Procedimiento y Justicia Administrativa para el Estado de Oaxaca, y que de su análisis y lectura, se observa que las declaraciones definitivas correspondientes al tercer, cuarto, quinto y sexto bimestre del ejercicio fiscal 2018, fueron todas realizadas el día veintinueve de abril de dos mil diecinueve (29/04/2019) esto es, tiempo después a la fecha de la multa por infracción de fecha diecinueve de febrero de dos mil diecinueve (19/02/2019), ya que como se estipuló en el considerando QUINTO de esta sentencia, la autoridad demandada anexó el acuse de recibo en el que fue notificado al actor el acto combatido, visible en la foja 41 del sumario, documental que adquiere valor probatorio pleno en términos del artículo 203 fracción I de la Ley de Procedimiento y Justicia Administrativa para el Estado de Oaxaca, luego entonces, se considera que la notificación quedó debidamente realizada, siendo la fecha exacta de notificación el seis de abril de dos mil diecinueve (06/04/2019), fecha que se toma como si fuese descubierta por la autoridad, por lo que no se puede considerar que realizó de forma espontánea su declaración. Derivado de lo anterior, el concepto de impugnación estudiado en el presente considerando, resulta</w:t>
      </w:r>
      <w:r w:rsidR="006426B3" w:rsidRPr="00A102CE">
        <w:rPr>
          <w:rFonts w:ascii="Arial" w:hAnsi="Arial" w:cs="Arial"/>
          <w:b/>
          <w:snapToGrid w:val="0"/>
          <w:sz w:val="24"/>
          <w:szCs w:val="24"/>
          <w:u w:val="single"/>
        </w:rPr>
        <w:t xml:space="preserve"> INFUNDADO</w:t>
      </w:r>
      <w:r w:rsidR="006426B3" w:rsidRPr="00A102CE">
        <w:rPr>
          <w:rFonts w:ascii="Arial" w:hAnsi="Arial" w:cs="Arial"/>
          <w:bCs/>
          <w:snapToGrid w:val="0"/>
          <w:sz w:val="24"/>
          <w:szCs w:val="24"/>
        </w:rPr>
        <w:t>.</w:t>
      </w:r>
    </w:p>
    <w:p w:rsidR="006426B3" w:rsidRPr="00A102CE" w:rsidRDefault="006426B3" w:rsidP="006426B3">
      <w:pPr>
        <w:spacing w:line="360" w:lineRule="auto"/>
        <w:ind w:right="51" w:firstLine="567"/>
        <w:jc w:val="both"/>
        <w:rPr>
          <w:rFonts w:ascii="Arial" w:hAnsi="Arial" w:cs="Arial"/>
          <w:bCs/>
          <w:snapToGrid w:val="0"/>
          <w:sz w:val="24"/>
          <w:szCs w:val="24"/>
        </w:rPr>
      </w:pPr>
      <w:r w:rsidRPr="00A102CE">
        <w:rPr>
          <w:rFonts w:ascii="Arial" w:hAnsi="Arial" w:cs="Arial"/>
          <w:bCs/>
          <w:snapToGrid w:val="0"/>
          <w:sz w:val="24"/>
          <w:szCs w:val="24"/>
        </w:rPr>
        <w:t>Sirve de sustento la tesis número VI.A.48 A con número de registro 191936 por los Tribunales Colegiados de Circuito en el Semanario Judicial de la Federación y su Gaceta Tomo XI, Abril de 2000, página 968, Novena Época y la tesis número III.3o.A.2 A (10a.), con número de registro 2000975 por los Tribunales Colegiados de Circuito en el Semanario Judicial de la Federación y su Gaceta Libro IX, Junio de 2012, Tomo 2, página 863, Décima Época, bajo los rubros y textos siguientes:</w:t>
      </w:r>
    </w:p>
    <w:p w:rsidR="006426B3" w:rsidRPr="00A102CE" w:rsidRDefault="006426B3" w:rsidP="006426B3">
      <w:pPr>
        <w:ind w:left="567" w:right="615"/>
        <w:jc w:val="both"/>
        <w:rPr>
          <w:rFonts w:ascii="Arial" w:hAnsi="Arial" w:cs="Arial"/>
          <w:bCs/>
          <w:snapToGrid w:val="0"/>
          <w:sz w:val="24"/>
          <w:szCs w:val="24"/>
        </w:rPr>
      </w:pPr>
      <w:r w:rsidRPr="00A102CE">
        <w:rPr>
          <w:rFonts w:ascii="Arial" w:hAnsi="Arial" w:cs="Arial"/>
          <w:b/>
          <w:snapToGrid w:val="0"/>
          <w:sz w:val="24"/>
          <w:szCs w:val="24"/>
        </w:rPr>
        <w:t>MULTAS FISCALES. PARA DETERMINAR SU IMPROCEDENCIA POR EL CUMPLIMIENTO ESPONTÁNEO DE LA OBLIGACIÓN OMITIDA, CUANDO LA AUTORIDAD HACENDARIA DICTÓ RESOLUCIÓN DETERMINANDO LA INFRACCIÓN, DEBE TOMARSE EN CONSIDERACIÓN LA FECHA DE NOTIFICACIÓN DE ÉSTA Y NO LA DE SU EMISIÓN.</w:t>
      </w:r>
      <w:r w:rsidRPr="00A102CE">
        <w:rPr>
          <w:rFonts w:ascii="Arial" w:hAnsi="Arial" w:cs="Arial"/>
          <w:bCs/>
          <w:snapToGrid w:val="0"/>
          <w:sz w:val="24"/>
          <w:szCs w:val="24"/>
        </w:rPr>
        <w:t xml:space="preserve"> El artículo 73 del Código Fiscal de la Federación prohíbe a las autoridades hacendarias imponer multas "... cuando se cumplan en forma espontánea las obligaciones fiscales fuera de los plazos señalados por las disposiciones fiscales ..."; por tanto, el momento que debe considerarse para determinar si el cumplimiento de una obligación fiscal fuera del plazo establecido en la ley es o no espontáneo, cuando la autoridad emite una resolución en la que descubrió la infracción del particular, es el de su notificación y no el de la fecha de emisión anotada en el oficio respectivo, en virtud de que la notificación es el acto mediante el cual se da publicidad a las resoluciones de la autoridad y, por ello, es a partir del instante en que ésta se efectúa en que el acto de la autoridad hacendaria surte efectos frente al particular, pues desde ese momento el contribuyente tiene pleno conocimiento de su existencia. Consecuentemente, debe concluirse que es espontáneo el cumplimiento de la obligación fiscal si se efectúa con antelación a la notificación del requerimiento correspondiente.</w:t>
      </w:r>
    </w:p>
    <w:p w:rsidR="006426B3" w:rsidRPr="00A102CE" w:rsidRDefault="00BA73DA" w:rsidP="006426B3">
      <w:pPr>
        <w:ind w:left="567" w:right="615"/>
        <w:jc w:val="both"/>
        <w:rPr>
          <w:rFonts w:ascii="Arial" w:hAnsi="Arial" w:cs="Arial"/>
          <w:bCs/>
          <w:snapToGrid w:val="0"/>
          <w:sz w:val="24"/>
          <w:szCs w:val="24"/>
        </w:rPr>
      </w:pPr>
      <w:r w:rsidRPr="00BA73DA">
        <w:rPr>
          <w:noProof/>
          <w:lang w:eastAsia="es-MX"/>
        </w:rPr>
        <mc:AlternateContent>
          <mc:Choice Requires="wps">
            <w:drawing>
              <wp:anchor distT="0" distB="0" distL="114300" distR="114300" simplePos="0" relativeHeight="251675648" behindDoc="1" locked="0" layoutInCell="1" allowOverlap="1" wp14:anchorId="2EAAF329" wp14:editId="6F3F273C">
                <wp:simplePos x="0" y="0"/>
                <wp:positionH relativeFrom="column">
                  <wp:posOffset>-1009650</wp:posOffset>
                </wp:positionH>
                <wp:positionV relativeFrom="paragraph">
                  <wp:posOffset>2374265</wp:posOffset>
                </wp:positionV>
                <wp:extent cx="1009650" cy="962025"/>
                <wp:effectExtent l="0" t="0" r="19050" b="28575"/>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BA73DA" w:rsidRPr="00035E13" w:rsidRDefault="00BA73DA" w:rsidP="00BA73D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AAF329" id="Cuadro de texto 10" o:spid="_x0000_s1034" type="#_x0000_t202" style="position:absolute;left:0;text-align:left;margin-left:-79.5pt;margin-top:186.95pt;width:79.5pt;height:75.7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" fillcolor="window" strokeweight=".5pt">
                <v:path arrowok="t"/>
                <v:textbox>
                  <w:txbxContent>
                    <w:p w:rsidR="00BA73DA" w:rsidRPr="00035E13" w:rsidRDefault="00BA73DA" w:rsidP="00BA73D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6426B3" w:rsidRPr="00A102CE">
        <w:rPr>
          <w:rFonts w:ascii="Arial" w:hAnsi="Arial" w:cs="Arial"/>
          <w:b/>
          <w:snapToGrid w:val="0"/>
          <w:sz w:val="24"/>
          <w:szCs w:val="24"/>
        </w:rPr>
        <w:t>CUMPLIMIENTO ESPONTÁNEO DE OBLIGACIONES FISCALES OMITIDAS. NO SE ACTUALIZA, PARA EFECTOS DEL BENEFICIO PREVISTO EN EL ARTÍCULO 73 DEL CÓDIGO FISCAL DE LA FEDERACIÓN, SI EL INTERESADO CUMPLE UNA VEZ PRACTICADA LA NOTIFICACIÓN DE UN REQUERIMIENTO PARA VERIFICAR QUE LO HAYA HECHO, AUN CUANDO ALEGUE QUE ÉSTA TODAVÍA NO SURTÍA EFECTOS Y NO OBSTANTE QUE LA DILIGENCIA SE ENTIENDA CON UN TERCERO.</w:t>
      </w:r>
      <w:r w:rsidR="006426B3" w:rsidRPr="00A102CE">
        <w:rPr>
          <w:rFonts w:ascii="Arial" w:hAnsi="Arial" w:cs="Arial"/>
          <w:bCs/>
          <w:snapToGrid w:val="0"/>
          <w:sz w:val="24"/>
          <w:szCs w:val="24"/>
        </w:rPr>
        <w:t xml:space="preserve"> Del artículo 73 del Código Fiscal de la Federación se advierte, entre otras cosas, la posibilidad en favor de los contribuyentes de que no les sean impuestas multas cuando cumplan espontáneamente sus obligaciones fiscales omitidas, siempre que no lo hagan después de notificada una orden de visita domiciliaria, requerimiento o cualquier otra gestión tendente a la comprobación del cumplimiento de aquéllas. En ese orden de ideas, si el interesado cumple con la obligación fiscal omitida una vez practicada la notificación de un requerimiento para verificar que lo haya hecho, aun cuando alegue que ésta todavía no surtía efectos, tal conducta no puede considerarse como un acto espontáneo que actualice el beneficio previsto en el señalado precepto, no obstante que la diligencia se entienda con un tercero, pues, por una parte, el aludido precepto no establece que deba surtir efectos la notificación para no sancionar al contribuyente omiso y, por otra, de las circunstancias descritas se concluye que el particular actuó como consecuencia del requerimiento.</w:t>
      </w:r>
    </w:p>
    <w:p w:rsidR="006426B3" w:rsidRPr="00A102CE" w:rsidRDefault="006426B3" w:rsidP="006426B3">
      <w:pPr>
        <w:spacing w:line="360" w:lineRule="auto"/>
        <w:ind w:right="51" w:firstLine="567"/>
        <w:jc w:val="both"/>
        <w:rPr>
          <w:rFonts w:ascii="Arial" w:hAnsi="Arial" w:cs="Arial"/>
          <w:bCs/>
          <w:snapToGrid w:val="0"/>
          <w:sz w:val="24"/>
          <w:szCs w:val="24"/>
        </w:rPr>
      </w:pPr>
      <w:r w:rsidRPr="00A102CE">
        <w:rPr>
          <w:rFonts w:ascii="Arial" w:hAnsi="Arial" w:cs="Arial"/>
          <w:b/>
          <w:snapToGrid w:val="0"/>
          <w:sz w:val="24"/>
          <w:szCs w:val="24"/>
        </w:rPr>
        <w:t>SÉPTIMO.-</w:t>
      </w:r>
      <w:r w:rsidRPr="00A102CE">
        <w:rPr>
          <w:rFonts w:ascii="Arial" w:hAnsi="Arial" w:cs="Arial"/>
          <w:bCs/>
          <w:snapToGrid w:val="0"/>
          <w:sz w:val="24"/>
          <w:szCs w:val="24"/>
        </w:rPr>
        <w:t xml:space="preserve"> La parte actora manifiesta esencialmente en su concepto de violación SEXTO, en términos del artículo 206 de la Ley de Procedimiento y Justicia Administrativa para el Estado de Oaxaca, que la aludida multa por infracción, viola en perjuicio de su representada el artículo 122 fracción IV del Código Fiscal para el Estado de Oaxaca, como se advierte en la multa por infracción relacionada con la presentación de declaraciones del Impuesto Sobre Erogaciones por Remuneraciones al Trabajo Personal, con número de control 07MO14ER193188, de fecha diecinueve de febrero de dos mil diecinueve, visible en la foja 15 del sumario, documental que adquiere valor probatorio pleno en términos del artículo 203 fracción I de la Ley de Procedimiento y Justicia Administrativa para el Estado de Oaxaca, por tratarse de un documento original expedido por funcionario en ejercicio de sus funciones y por contener firma y sello de quien lo emite, a lo que la autoridad demandada manifestó en su escrito de contestación (fojas 24 a 38) la obligación de presentar las declaraciones correspondientes al Impuesto Sobre Erogaciones por Remuneraciones al Trabajo Personal, nace en el momento en el que el contribuyente se ubica en el supuesto de hecho contemplado por la ley aplicable, sin embargo, debe decirse el artículo 64 de la Ley Estatal de Hacienda manifiesta lo siguiente: </w:t>
      </w:r>
    </w:p>
    <w:p w:rsidR="006426B3" w:rsidRPr="00A102CE" w:rsidRDefault="006426B3" w:rsidP="006426B3">
      <w:pPr>
        <w:ind w:left="567" w:right="615"/>
        <w:jc w:val="both"/>
        <w:rPr>
          <w:rFonts w:ascii="Arial" w:hAnsi="Arial" w:cs="Arial"/>
          <w:bCs/>
          <w:i/>
          <w:iCs/>
          <w:snapToGrid w:val="0"/>
          <w:sz w:val="24"/>
          <w:szCs w:val="24"/>
        </w:rPr>
      </w:pPr>
      <w:r w:rsidRPr="00A102CE">
        <w:rPr>
          <w:rFonts w:ascii="Arial" w:hAnsi="Arial" w:cs="Arial"/>
          <w:b/>
          <w:i/>
          <w:iCs/>
          <w:snapToGrid w:val="0"/>
          <w:sz w:val="24"/>
          <w:szCs w:val="24"/>
        </w:rPr>
        <w:t>Artículo 64</w:t>
      </w:r>
      <w:r w:rsidRPr="00A102CE">
        <w:rPr>
          <w:rFonts w:ascii="Arial" w:hAnsi="Arial" w:cs="Arial"/>
          <w:bCs/>
          <w:i/>
          <w:iCs/>
          <w:snapToGrid w:val="0"/>
          <w:sz w:val="24"/>
          <w:szCs w:val="24"/>
        </w:rPr>
        <w:t>. Son sujetos de este impuesto las personas físicas, morales o unidades económicas que realicen las erogaciones a que se refiere el artículo anterior, así como los Gobiernos Federal, Estatal y Municipal, los Poderes, Órganos Autónomos, Dependencias, Órganos Desconcentrados, Entidades: Organismos Descentralizados, Auxiliares de Colaboración, Empresas de Participación Estatal y los Fideicomisos Públicos de los tres órdenes de Gobierno.</w:t>
      </w:r>
    </w:p>
    <w:p w:rsidR="006426B3" w:rsidRPr="00A102CE" w:rsidRDefault="006426B3" w:rsidP="006426B3">
      <w:pPr>
        <w:ind w:left="567" w:right="615"/>
        <w:jc w:val="both"/>
        <w:rPr>
          <w:rFonts w:ascii="Arial" w:hAnsi="Arial" w:cs="Arial"/>
          <w:bCs/>
          <w:i/>
          <w:iCs/>
          <w:snapToGrid w:val="0"/>
          <w:sz w:val="24"/>
          <w:szCs w:val="24"/>
        </w:rPr>
      </w:pPr>
      <w:r w:rsidRPr="00A102CE">
        <w:rPr>
          <w:rFonts w:ascii="Arial" w:hAnsi="Arial" w:cs="Arial"/>
          <w:bCs/>
          <w:i/>
          <w:iCs/>
          <w:snapToGrid w:val="0"/>
          <w:sz w:val="24"/>
          <w:szCs w:val="24"/>
        </w:rPr>
        <w:t>Cuando el pago de las erogaciones por remuneraciones al trabajo personal ya sea subordinado o no, se realice a través de un intermediario laboral, cualquiera que sea la denominación que los beneficiarios del servicio e intermediarios asuman, ambos serán responsables solidarios entre sí, respecto del cumplimiento de las obligaciones contenidas en este Capítulo.</w:t>
      </w:r>
    </w:p>
    <w:p w:rsidR="006426B3" w:rsidRPr="00A102CE" w:rsidRDefault="00BA73DA" w:rsidP="006426B3">
      <w:pPr>
        <w:ind w:left="567" w:right="615"/>
        <w:jc w:val="both"/>
        <w:rPr>
          <w:rFonts w:ascii="Arial" w:hAnsi="Arial" w:cs="Arial"/>
          <w:bCs/>
          <w:i/>
          <w:iCs/>
          <w:snapToGrid w:val="0"/>
          <w:sz w:val="24"/>
          <w:szCs w:val="24"/>
        </w:rPr>
      </w:pPr>
      <w:r w:rsidRPr="00BA73DA">
        <w:rPr>
          <w:noProof/>
          <w:lang w:eastAsia="es-MX"/>
        </w:rPr>
        <mc:AlternateContent>
          <mc:Choice Requires="wps">
            <w:drawing>
              <wp:anchor distT="0" distB="0" distL="114300" distR="114300" simplePos="0" relativeHeight="251677696" behindDoc="1" locked="0" layoutInCell="1" allowOverlap="1" wp14:anchorId="095C745F" wp14:editId="3AE91BC8">
                <wp:simplePos x="0" y="0"/>
                <wp:positionH relativeFrom="column">
                  <wp:posOffset>5516880</wp:posOffset>
                </wp:positionH>
                <wp:positionV relativeFrom="paragraph">
                  <wp:posOffset>603885</wp:posOffset>
                </wp:positionV>
                <wp:extent cx="1009650" cy="962025"/>
                <wp:effectExtent l="0" t="0" r="19050" b="28575"/>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BA73DA" w:rsidRPr="00035E13" w:rsidRDefault="00BA73DA" w:rsidP="00BA73D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5C745F" id="Cuadro de texto 11" o:spid="_x0000_s1035" type="#_x0000_t202" style="position:absolute;left:0;text-align:left;margin-left:434.4pt;margin-top:47.55pt;width:79.5pt;height:75.7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" fillcolor="window" strokeweight=".5pt">
                <v:path arrowok="t"/>
                <v:textbox>
                  <w:txbxContent>
                    <w:p w:rsidR="00BA73DA" w:rsidRPr="00035E13" w:rsidRDefault="00BA73DA" w:rsidP="00BA73D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6426B3" w:rsidRPr="00A102CE">
        <w:rPr>
          <w:rFonts w:ascii="Arial" w:hAnsi="Arial" w:cs="Arial"/>
          <w:bCs/>
          <w:i/>
          <w:iCs/>
          <w:snapToGrid w:val="0"/>
          <w:sz w:val="24"/>
          <w:szCs w:val="24"/>
        </w:rPr>
        <w:t>Cuando una persona física, moral o unidad económica en virtud de un contrato cualquiera que sea su forma o denominación, como parte de las obligaciones contraídas, pongan a disposición trabajadores para que ejecuten los servicios o trabajos acordados bajo la dirección del beneficiario de los mismos, en las instalaciones que éste determine, el beneficiario de los trabajos o los servicios asumirá las obligaciones establecidas en este Capítulo respecto del pago del impuesto en relación con dichos trabajadores, en el supuesto de que la persona física, moral o la unidad económica, omita su cumplimiento.</w:t>
      </w:r>
    </w:p>
    <w:p w:rsidR="006426B3" w:rsidRPr="00A102CE" w:rsidRDefault="006426B3" w:rsidP="006426B3">
      <w:pPr>
        <w:ind w:left="567" w:right="615"/>
        <w:jc w:val="both"/>
        <w:rPr>
          <w:rFonts w:ascii="Arial" w:hAnsi="Arial" w:cs="Arial"/>
          <w:bCs/>
          <w:i/>
          <w:iCs/>
          <w:snapToGrid w:val="0"/>
          <w:sz w:val="24"/>
          <w:szCs w:val="24"/>
        </w:rPr>
      </w:pPr>
      <w:r w:rsidRPr="00A102CE">
        <w:rPr>
          <w:rFonts w:ascii="Arial" w:hAnsi="Arial" w:cs="Arial"/>
          <w:bCs/>
          <w:i/>
          <w:iCs/>
          <w:snapToGrid w:val="0"/>
          <w:sz w:val="24"/>
          <w:szCs w:val="24"/>
        </w:rPr>
        <w:t>La responsabilidad solidaria subsistirá hasta en tanto el intermediario laboral cumpla con todas las obligaciones a que se encuentra sujeto en éste Capítulo.</w:t>
      </w:r>
    </w:p>
    <w:p w:rsidR="006426B3" w:rsidRPr="00A102CE" w:rsidRDefault="006426B3" w:rsidP="006426B3">
      <w:pPr>
        <w:spacing w:line="360" w:lineRule="auto"/>
        <w:ind w:right="51" w:firstLine="567"/>
        <w:jc w:val="both"/>
        <w:rPr>
          <w:rFonts w:ascii="Arial" w:hAnsi="Arial" w:cs="Arial"/>
          <w:bCs/>
          <w:snapToGrid w:val="0"/>
          <w:sz w:val="24"/>
          <w:szCs w:val="24"/>
        </w:rPr>
      </w:pPr>
      <w:r w:rsidRPr="00A102CE">
        <w:rPr>
          <w:rFonts w:ascii="Arial" w:hAnsi="Arial" w:cs="Arial"/>
          <w:bCs/>
          <w:snapToGrid w:val="0"/>
          <w:sz w:val="24"/>
          <w:szCs w:val="24"/>
        </w:rPr>
        <w:t>Ahora bien, como lo  indica el numeral antes transcrito, los sujetos obligados al pago del impuesto ahí señalado son todos aquellas personas físicas, morales o unidades económicas que realicen erogaciones por concepto de pago al trabajo subordinado o no dentro del plazo establecido en el artículo 66 último párrafo de la Ley Estatal de Hacienda, luego entonces, en la multa que hoy se combate, la autoridad manifiesta que transcurrió en exceso dicho plazo para realizar las declaraciones respectivas, señalando en la citada multa el plazo para la presentación de las declaraciones omitidas así como la fecha en que vencían las misma, sin embargo, la autoridad es omisa al no señalar la fecha exacta en que conoció que el hoy contribuyente incurrió en el supuesto de hecho para ser sujeto de rendir declaraciones respecto al Impuesto Sobre Erogaciones por Remuneraciones al Trabajo Personal, ya que la demandada únicamente pretende justificar su determinación bajo el argumento de que fue a través una revisión llevada a cabo a los sistemas con los que cuenta dicha Secretaría de Finanzas, información que de ningún modo conoció el actor violentando con ello la garantía de seguridad jurídica y el derecho de audiencia contenidas en los artículos 14 y 16 Constitucionales que tienen todos los gobernados y colocar la hoy actora en el supuesto jurídico que tiene como consecuencia la obligación de presentar las declaraciones bimestrales definitivas por el tercer, cuarto, quinto y sexto bimestre del ejercicio fiscal 2018.</w:t>
      </w:r>
    </w:p>
    <w:p w:rsidR="006426B3" w:rsidRPr="00A102CE" w:rsidRDefault="006426B3" w:rsidP="006426B3">
      <w:pPr>
        <w:spacing w:line="360" w:lineRule="auto"/>
        <w:ind w:right="51" w:firstLine="567"/>
        <w:jc w:val="both"/>
        <w:rPr>
          <w:rFonts w:ascii="Arial" w:hAnsi="Arial" w:cs="Arial"/>
          <w:bCs/>
          <w:snapToGrid w:val="0"/>
          <w:sz w:val="24"/>
          <w:szCs w:val="24"/>
        </w:rPr>
      </w:pPr>
      <w:r w:rsidRPr="00A102CE">
        <w:rPr>
          <w:rFonts w:ascii="Arial" w:hAnsi="Arial" w:cs="Arial"/>
          <w:bCs/>
          <w:snapToGrid w:val="0"/>
          <w:sz w:val="24"/>
          <w:szCs w:val="24"/>
        </w:rPr>
        <w:t xml:space="preserve">Siguiendo en la misma tesitura, y retomando lo dicho en el párrafo que antecede, si esa autoridad fiscal advirtió el hecho de que el contribuyente era omiso en sus obligaciones fiscales posteriormente al intercambio de información y de su revisión a los sistemas a los que cuenta y tiene acceso, debió primeramente hacerle del conocimiento esta situación, dando cumplimiento a lo estipulado en el artículo 97 primer párrafo así como en el artículo 113 primer y segundo párrafo del Código Fiscal para que dentro del plazo de quince días manifestara lo que a su derecho convenga, mismo que a la letra dice: </w:t>
      </w:r>
    </w:p>
    <w:p w:rsidR="006426B3" w:rsidRPr="00A102CE" w:rsidRDefault="00BA73DA" w:rsidP="006426B3">
      <w:pPr>
        <w:ind w:left="567" w:right="615"/>
        <w:jc w:val="both"/>
        <w:rPr>
          <w:rFonts w:ascii="Arial" w:hAnsi="Arial" w:cs="Arial"/>
          <w:bCs/>
          <w:i/>
          <w:iCs/>
          <w:snapToGrid w:val="0"/>
          <w:sz w:val="24"/>
          <w:szCs w:val="24"/>
        </w:rPr>
      </w:pPr>
      <w:r w:rsidRPr="00BA73DA">
        <w:rPr>
          <w:noProof/>
          <w:lang w:eastAsia="es-MX"/>
        </w:rPr>
        <mc:AlternateContent>
          <mc:Choice Requires="wps">
            <w:drawing>
              <wp:anchor distT="0" distB="0" distL="114300" distR="114300" simplePos="0" relativeHeight="251679744" behindDoc="1" locked="0" layoutInCell="1" allowOverlap="1" wp14:anchorId="08EEDB7B" wp14:editId="4E66AF23">
                <wp:simplePos x="0" y="0"/>
                <wp:positionH relativeFrom="column">
                  <wp:posOffset>-1009650</wp:posOffset>
                </wp:positionH>
                <wp:positionV relativeFrom="paragraph">
                  <wp:posOffset>1193800</wp:posOffset>
                </wp:positionV>
                <wp:extent cx="1009650" cy="962025"/>
                <wp:effectExtent l="0" t="0" r="19050" b="28575"/>
                <wp:wrapNone/>
                <wp:docPr id="13"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BA73DA" w:rsidRPr="00035E13" w:rsidRDefault="00BA73DA" w:rsidP="00BA73D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EEDB7B" id="Cuadro de texto 13" o:spid="_x0000_s1036" type="#_x0000_t202" style="position:absolute;left:0;text-align:left;margin-left:-79.5pt;margin-top:94pt;width:79.5pt;height:75.7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" fillcolor="window" strokeweight=".5pt">
                <v:path arrowok="t"/>
                <v:textbox>
                  <w:txbxContent>
                    <w:p w:rsidR="00BA73DA" w:rsidRPr="00035E13" w:rsidRDefault="00BA73DA" w:rsidP="00BA73D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6426B3" w:rsidRPr="00A102CE">
        <w:rPr>
          <w:rFonts w:ascii="Arial" w:hAnsi="Arial" w:cs="Arial"/>
          <w:b/>
          <w:i/>
          <w:iCs/>
          <w:snapToGrid w:val="0"/>
          <w:sz w:val="24"/>
          <w:szCs w:val="24"/>
        </w:rPr>
        <w:t>ARTÍCULO 113</w:t>
      </w:r>
      <w:r w:rsidR="006426B3" w:rsidRPr="00A102CE">
        <w:rPr>
          <w:rFonts w:ascii="Arial" w:hAnsi="Arial" w:cs="Arial"/>
          <w:bCs/>
          <w:i/>
          <w:iCs/>
          <w:snapToGrid w:val="0"/>
          <w:sz w:val="24"/>
          <w:szCs w:val="24"/>
        </w:rPr>
        <w:t>. Los hechos que se conozcan con motivo del ejercicio de las facultades de comprobación previstas en este Código o en las leyes fiscales realizadas por las autoridades fiscales, o bien que consten en los expedientes, documentos o bases de datos que lleven, tengan acceso o en su poder dichas autoridades, así con aquéllos proporcionados por terceros relacionados con el contribuyente, responsables solidarios, o por otras autoridades, podrán servir para motivar los actos o resoluciones de la Secretaría y cualquier otra autoridad u organismo descentralizado o desconcentrado competente en materia de contribuciones estatales.</w:t>
      </w:r>
    </w:p>
    <w:p w:rsidR="006426B3" w:rsidRPr="00A102CE" w:rsidRDefault="006426B3" w:rsidP="006426B3">
      <w:pPr>
        <w:ind w:left="567" w:right="615"/>
        <w:jc w:val="both"/>
        <w:rPr>
          <w:rFonts w:ascii="Arial" w:hAnsi="Arial" w:cs="Arial"/>
          <w:bCs/>
          <w:i/>
          <w:iCs/>
          <w:snapToGrid w:val="0"/>
          <w:sz w:val="24"/>
          <w:szCs w:val="24"/>
        </w:rPr>
      </w:pPr>
      <w:r w:rsidRPr="00A102CE">
        <w:rPr>
          <w:rFonts w:ascii="Arial" w:hAnsi="Arial" w:cs="Arial"/>
          <w:bCs/>
          <w:i/>
          <w:iCs/>
          <w:snapToGrid w:val="0"/>
          <w:sz w:val="24"/>
          <w:szCs w:val="24"/>
        </w:rPr>
        <w:t xml:space="preserve">Cuando las autoridades fiscales emitan resoluciones con base a la información señalada en el párrafo anterior, excepto tratándose de hechos conocidos en el ejercicio directo ante el contribuyente de sus facultades de comprobación, y previamente a la emisión de la resolución que corresponda, deberán correr traslado al interesado de los elementos que integren el expediente respectivo, concediendo un plazo de quince días al contribuyente para que manifieste lo que a su derecho corresponda, lo cual deberá formar parte del expediente respectivo. </w:t>
      </w:r>
    </w:p>
    <w:p w:rsidR="006426B3" w:rsidRPr="00A102CE" w:rsidRDefault="006426B3" w:rsidP="006426B3">
      <w:pPr>
        <w:spacing w:line="360" w:lineRule="auto"/>
        <w:ind w:right="51" w:firstLine="567"/>
        <w:jc w:val="both"/>
        <w:rPr>
          <w:rFonts w:ascii="Arial" w:hAnsi="Arial" w:cs="Arial"/>
          <w:bCs/>
          <w:snapToGrid w:val="0"/>
          <w:sz w:val="24"/>
          <w:szCs w:val="24"/>
        </w:rPr>
      </w:pPr>
      <w:r w:rsidRPr="00A102CE">
        <w:rPr>
          <w:rFonts w:ascii="Arial" w:hAnsi="Arial" w:cs="Arial"/>
          <w:bCs/>
          <w:snapToGrid w:val="0"/>
          <w:sz w:val="24"/>
          <w:szCs w:val="24"/>
        </w:rPr>
        <w:t xml:space="preserve">Lo anterior es así, ya que primeramente debió hacerle del conocimiento a la parte actora de que en fecha la autoridad demandada conoció que era omisa en el cumplimiento de sus obligaciones, y si esa autoridad al tener documentación comprobatoria de que para esa fecha era omisa en el pago del impuesto de referencia, debió anexar esos documentos para colmar el requisito de fundamentación y motivación, además de generar certeza jurídica en la parte actora, otorgando el plazo correspondiente para que esta tuviera el derecho de audiencia a decir todo lo que a sus intereses conviniera, sin embargo, dicho procedimiento no fue anexado en el escrito de contestación de demanda, teniendo la carga probatoria la autoridad demandada, luego entonces al no obrar en autos documentos que efectivamente demuestren que la autoridad demandada cumplió con lo dispuesto en el artículo referido con antelación viola lo dispuesto en los artículos 14 y 16 Constitucionales al haber emitido un acto unilateralmente sin que se le haya dado oportunidad a la actora de manifestar lo que a su derecho conviniera. Sirve de sustento la jurisprudencia con número de registro 252103 por los Tribunales Colegiados de Circuito, dentro del Semanario Judicial de la Federación, volumen 121-126, Sexta Parte, Séptima Época, página 280, materia Común, bajo el rubro y texto siguiente: </w:t>
      </w:r>
    </w:p>
    <w:p w:rsidR="006426B3" w:rsidRPr="00A102CE" w:rsidRDefault="006426B3" w:rsidP="006426B3">
      <w:pPr>
        <w:ind w:left="567" w:right="615"/>
        <w:jc w:val="both"/>
        <w:rPr>
          <w:rFonts w:ascii="Arial" w:hAnsi="Arial" w:cs="Arial"/>
          <w:bCs/>
          <w:snapToGrid w:val="0"/>
          <w:sz w:val="24"/>
          <w:szCs w:val="24"/>
        </w:rPr>
      </w:pPr>
      <w:r w:rsidRPr="00A102CE">
        <w:rPr>
          <w:rFonts w:ascii="Arial" w:hAnsi="Arial" w:cs="Arial"/>
          <w:b/>
          <w:snapToGrid w:val="0"/>
          <w:sz w:val="24"/>
          <w:szCs w:val="24"/>
        </w:rPr>
        <w:t>ACTOS VICIADOS, FRUTOS DE.</w:t>
      </w:r>
      <w:r w:rsidRPr="00A102CE">
        <w:rPr>
          <w:rFonts w:ascii="Arial" w:hAnsi="Arial" w:cs="Arial"/>
          <w:bCs/>
          <w:snapToGrid w:val="0"/>
          <w:sz w:val="24"/>
          <w:szCs w:val="24"/>
        </w:rPr>
        <w:t xml:space="preserve">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6426B3" w:rsidRPr="00A102CE" w:rsidRDefault="00BA73DA" w:rsidP="006426B3">
      <w:pPr>
        <w:spacing w:line="360" w:lineRule="auto"/>
        <w:ind w:right="51" w:firstLine="567"/>
        <w:jc w:val="both"/>
        <w:rPr>
          <w:rFonts w:ascii="Arial" w:hAnsi="Arial" w:cs="Arial"/>
          <w:bCs/>
          <w:snapToGrid w:val="0"/>
          <w:sz w:val="24"/>
          <w:szCs w:val="24"/>
        </w:rPr>
      </w:pPr>
      <w:r w:rsidRPr="00BA73DA">
        <w:rPr>
          <w:noProof/>
          <w:lang w:eastAsia="es-MX"/>
        </w:rPr>
        <mc:AlternateContent>
          <mc:Choice Requires="wps">
            <w:drawing>
              <wp:anchor distT="0" distB="0" distL="114300" distR="114300" simplePos="0" relativeHeight="251681792" behindDoc="1" locked="0" layoutInCell="1" allowOverlap="1" wp14:anchorId="0AC3E2C8" wp14:editId="17DFD20C">
                <wp:simplePos x="0" y="0"/>
                <wp:positionH relativeFrom="column">
                  <wp:posOffset>5654040</wp:posOffset>
                </wp:positionH>
                <wp:positionV relativeFrom="paragraph">
                  <wp:posOffset>1218565</wp:posOffset>
                </wp:positionV>
                <wp:extent cx="1009650" cy="962025"/>
                <wp:effectExtent l="0" t="0" r="19050" b="28575"/>
                <wp:wrapNone/>
                <wp:docPr id="14" name="Cuadro de texto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BA73DA" w:rsidRPr="00035E13" w:rsidRDefault="00BA73DA" w:rsidP="00BA73D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C3E2C8" id="Cuadro de texto 14" o:spid="_x0000_s1037" type="#_x0000_t202" style="position:absolute;left:0;text-align:left;margin-left:445.2pt;margin-top:95.95pt;width:79.5pt;height:75.7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" fillcolor="window" strokeweight=".5pt">
                <v:path arrowok="t"/>
                <v:textbox>
                  <w:txbxContent>
                    <w:p w:rsidR="00BA73DA" w:rsidRPr="00035E13" w:rsidRDefault="00BA73DA" w:rsidP="00BA73D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6426B3" w:rsidRPr="00A102CE">
        <w:rPr>
          <w:rFonts w:ascii="Arial" w:hAnsi="Arial" w:cs="Arial"/>
          <w:bCs/>
          <w:snapToGrid w:val="0"/>
          <w:sz w:val="24"/>
          <w:szCs w:val="24"/>
        </w:rPr>
        <w:t xml:space="preserve">A todo lo antes expuesto, cabe hacer precisión que de los conceptos de impugnación estudiados sirve de apoyo por analogía jurídica sustancial la tesis número I 6oA. 33 A, con número de registro 187,531 por los Tribunales Colegiados de Circuito, en el Semanario Judicial de la Federación y su Gaceta, Marzo de 2002, página 1350, Novena Época, con el siguiente rubro y texto: </w:t>
      </w:r>
    </w:p>
    <w:p w:rsidR="006426B3" w:rsidRPr="00A102CE" w:rsidRDefault="006426B3" w:rsidP="006426B3">
      <w:pPr>
        <w:ind w:left="567" w:right="615"/>
        <w:jc w:val="both"/>
        <w:rPr>
          <w:rFonts w:ascii="Arial" w:hAnsi="Arial" w:cs="Arial"/>
          <w:bCs/>
          <w:snapToGrid w:val="0"/>
          <w:sz w:val="24"/>
          <w:szCs w:val="24"/>
        </w:rPr>
      </w:pPr>
      <w:r w:rsidRPr="00A102CE">
        <w:rPr>
          <w:rFonts w:ascii="Arial" w:hAnsi="Arial" w:cs="Arial"/>
          <w:b/>
          <w:snapToGrid w:val="0"/>
          <w:sz w:val="24"/>
          <w:szCs w:val="24"/>
        </w:rPr>
        <w:t>FUNDAMENTACIÓN Y MOTIVACIÓN, FALTA O INDEBIDA. EN CUANTO SON DISTINTAS, UNAS GENERAN NULIDAD LISA Y LLANA Y OTRAS PARA EFECTOS.</w:t>
      </w:r>
      <w:r w:rsidRPr="00A102CE">
        <w:rPr>
          <w:rFonts w:ascii="Arial" w:hAnsi="Arial" w:cs="Arial"/>
          <w:bCs/>
          <w:snapToGrid w:val="0"/>
          <w:sz w:val="24"/>
          <w:szCs w:val="24"/>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w:t>
      </w:r>
    </w:p>
    <w:p w:rsidR="006426B3" w:rsidRPr="00A102CE" w:rsidRDefault="00BA73DA" w:rsidP="006426B3">
      <w:pPr>
        <w:spacing w:line="360" w:lineRule="auto"/>
        <w:ind w:right="51" w:firstLine="567"/>
        <w:jc w:val="both"/>
        <w:rPr>
          <w:rFonts w:ascii="Arial" w:hAnsi="Arial" w:cs="Arial"/>
          <w:bCs/>
          <w:snapToGrid w:val="0"/>
          <w:sz w:val="24"/>
          <w:szCs w:val="24"/>
        </w:rPr>
      </w:pPr>
      <w:r w:rsidRPr="00BA73DA">
        <w:rPr>
          <w:noProof/>
          <w:lang w:eastAsia="es-MX"/>
        </w:rPr>
        <mc:AlternateContent>
          <mc:Choice Requires="wps">
            <w:drawing>
              <wp:anchor distT="0" distB="0" distL="114300" distR="114300" simplePos="0" relativeHeight="251683840" behindDoc="1" locked="0" layoutInCell="1" allowOverlap="1" wp14:anchorId="7A67AAC5" wp14:editId="760F43B8">
                <wp:simplePos x="0" y="0"/>
                <wp:positionH relativeFrom="column">
                  <wp:posOffset>-1173480</wp:posOffset>
                </wp:positionH>
                <wp:positionV relativeFrom="paragraph">
                  <wp:posOffset>2578735</wp:posOffset>
                </wp:positionV>
                <wp:extent cx="1009650" cy="962025"/>
                <wp:effectExtent l="0" t="0" r="19050" b="28575"/>
                <wp:wrapNone/>
                <wp:docPr id="15" name="Cuadro de texto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BA73DA" w:rsidRPr="00035E13" w:rsidRDefault="00BA73DA" w:rsidP="00BA73D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67AAC5" id="Cuadro de texto 15" o:spid="_x0000_s1038" type="#_x0000_t202" style="position:absolute;left:0;text-align:left;margin-left:-92.4pt;margin-top:203.05pt;width:79.5pt;height:75.7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" fillcolor="window" strokeweight=".5pt">
                <v:path arrowok="t"/>
                <v:textbox>
                  <w:txbxContent>
                    <w:p w:rsidR="00BA73DA" w:rsidRPr="00035E13" w:rsidRDefault="00BA73DA" w:rsidP="00BA73D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6426B3" w:rsidRPr="00A102CE">
        <w:rPr>
          <w:rFonts w:ascii="Arial" w:hAnsi="Arial" w:cs="Arial"/>
          <w:bCs/>
          <w:snapToGrid w:val="0"/>
          <w:sz w:val="24"/>
          <w:szCs w:val="24"/>
        </w:rPr>
        <w:t xml:space="preserve">En consecuencia, al no haber seguido el procedimiento estipulado en el artículo 113 del Código Fiscal para el Estado de Oaxaca, ni tampoco contener en la citada multa los anexos que robustecen su motivación, el concepto de impugnación SEXTO hecho valer por la parte actora, resulta </w:t>
      </w:r>
      <w:r w:rsidR="006426B3" w:rsidRPr="00A102CE">
        <w:rPr>
          <w:rFonts w:ascii="Arial" w:hAnsi="Arial" w:cs="Arial"/>
          <w:b/>
          <w:snapToGrid w:val="0"/>
          <w:sz w:val="24"/>
          <w:szCs w:val="24"/>
          <w:u w:val="single"/>
        </w:rPr>
        <w:t>FUNDADO</w:t>
      </w:r>
      <w:r w:rsidR="006426B3" w:rsidRPr="00A102CE">
        <w:rPr>
          <w:rFonts w:ascii="Arial" w:hAnsi="Arial" w:cs="Arial"/>
          <w:bCs/>
          <w:snapToGrid w:val="0"/>
          <w:sz w:val="24"/>
          <w:szCs w:val="24"/>
        </w:rPr>
        <w:t xml:space="preserve">, por ello, esta Sala estima pertinente declarar la </w:t>
      </w:r>
      <w:r w:rsidR="006426B3" w:rsidRPr="00A102CE">
        <w:rPr>
          <w:rFonts w:ascii="Arial" w:hAnsi="Arial" w:cs="Arial"/>
          <w:b/>
          <w:snapToGrid w:val="0"/>
          <w:sz w:val="24"/>
          <w:szCs w:val="24"/>
        </w:rPr>
        <w:t>NULIDAD LISA Y LLANA</w:t>
      </w:r>
      <w:r w:rsidR="006426B3" w:rsidRPr="00A102CE">
        <w:rPr>
          <w:rFonts w:ascii="Arial" w:hAnsi="Arial" w:cs="Arial"/>
          <w:bCs/>
          <w:snapToGrid w:val="0"/>
          <w:sz w:val="24"/>
          <w:szCs w:val="24"/>
        </w:rPr>
        <w:t xml:space="preserve">, de la multa por infracción relacionada con la presentación de declaraciones del Impuesto Sobre Erogaciones por Remuneraciones al Trabajo Personal, con número de control </w:t>
      </w:r>
      <w:r w:rsidR="006426B3" w:rsidRPr="00A102CE">
        <w:rPr>
          <w:rFonts w:ascii="Arial" w:hAnsi="Arial" w:cs="Arial"/>
          <w:bCs/>
          <w:spacing w:val="-3"/>
          <w:sz w:val="24"/>
          <w:szCs w:val="24"/>
          <w:lang w:val="es-ES_tradnl"/>
        </w:rPr>
        <w:t>07MO14ER193188, de fecha diecinueve de febrero de dos mil diecinueve</w:t>
      </w:r>
      <w:r w:rsidR="006426B3" w:rsidRPr="00A102CE">
        <w:rPr>
          <w:rFonts w:ascii="Arial" w:hAnsi="Arial" w:cs="Arial"/>
          <w:bCs/>
          <w:snapToGrid w:val="0"/>
          <w:sz w:val="24"/>
          <w:szCs w:val="24"/>
        </w:rPr>
        <w:t xml:space="preserve">, emitida por la maestra </w:t>
      </w:r>
      <w:r w:rsidR="006426B3" w:rsidRPr="00A102CE">
        <w:rPr>
          <w:rFonts w:ascii="Arial" w:hAnsi="Arial" w:cs="Arial"/>
          <w:bCs/>
          <w:snapToGrid w:val="0"/>
          <w:color w:val="000000" w:themeColor="text1"/>
          <w:sz w:val="24"/>
          <w:szCs w:val="24"/>
        </w:rPr>
        <w:t>ELIZABETH MARTÍNEZ ARZOLA</w:t>
      </w:r>
      <w:r w:rsidR="006426B3" w:rsidRPr="00A102CE">
        <w:rPr>
          <w:rFonts w:ascii="Arial" w:hAnsi="Arial" w:cs="Arial"/>
          <w:bCs/>
          <w:snapToGrid w:val="0"/>
          <w:sz w:val="24"/>
          <w:szCs w:val="24"/>
        </w:rPr>
        <w:t xml:space="preserve">, Directora de Ingresos y Recaudación de la Subsecretaría de Ingresos de la Secretaría de Finanzas del Gobierno del Estado de Oaxaca, mediante la cual se impone una sanción económica en cantidad de 50 UMA $4,224.50 (cuatro mil doscientos veinticuatro pesos 50/100 moneda nacional), en consecuencia, </w:t>
      </w:r>
      <w:r w:rsidR="006426B3" w:rsidRPr="00A102CE">
        <w:rPr>
          <w:rFonts w:ascii="Arial" w:hAnsi="Arial" w:cs="Arial"/>
          <w:bCs/>
          <w:snapToGrid w:val="0"/>
          <w:sz w:val="24"/>
          <w:szCs w:val="24"/>
          <w:u w:val="single"/>
        </w:rPr>
        <w:t>se ordena a esa autoridad fiscal para que por sí misma o a través de quien sea competente realice la baja de la citada multa del sistema electrónico y/o documental que para tal efecto lleve esa autoridad</w:t>
      </w:r>
      <w:r w:rsidR="006426B3" w:rsidRPr="00A102CE">
        <w:rPr>
          <w:rFonts w:ascii="Arial" w:hAnsi="Arial" w:cs="Arial"/>
          <w:bCs/>
          <w:snapToGrid w:val="0"/>
          <w:sz w:val="24"/>
          <w:szCs w:val="24"/>
        </w:rPr>
        <w:t>.</w:t>
      </w:r>
    </w:p>
    <w:p w:rsidR="006426B3" w:rsidRPr="00A102CE" w:rsidRDefault="006426B3" w:rsidP="006426B3">
      <w:pPr>
        <w:spacing w:line="360" w:lineRule="auto"/>
        <w:ind w:right="51" w:firstLine="567"/>
        <w:jc w:val="both"/>
        <w:rPr>
          <w:rFonts w:ascii="Arial" w:hAnsi="Arial" w:cs="Arial"/>
          <w:bCs/>
          <w:snapToGrid w:val="0"/>
          <w:sz w:val="24"/>
          <w:szCs w:val="24"/>
        </w:rPr>
      </w:pPr>
      <w:r w:rsidRPr="00A102CE">
        <w:rPr>
          <w:rFonts w:ascii="Arial" w:hAnsi="Arial" w:cs="Arial"/>
          <w:bCs/>
          <w:snapToGrid w:val="0"/>
          <w:sz w:val="24"/>
          <w:szCs w:val="24"/>
        </w:rPr>
        <w:t>Ahora bien, esta autoridad jurisdiccional no entra al estudio de los conceptos de impugnación restantes, ya que su estudio resulta innecesario al observar que un concepto de impugnación de los expuestos fue fundado, además que de dejar de estudiar dicho concepto de impugnación no irroga agravios al actor ni tampoco le concede un mayor beneficio, sirve de sustento por analogía jurídica sustancial la jurisprudencia número V.2º.J/7 con número de registro 223103, por los Tribunales Colegiados de Circuito en el Semanario Judicial de la Federación, Tomo VII, página 86, Abril de 1991, Octava Época, Materia Común, bajo el rubro y texto siguiente:</w:t>
      </w:r>
    </w:p>
    <w:p w:rsidR="006426B3" w:rsidRPr="00A102CE" w:rsidRDefault="006426B3" w:rsidP="006426B3">
      <w:pPr>
        <w:ind w:left="567" w:right="615"/>
        <w:jc w:val="both"/>
        <w:rPr>
          <w:rFonts w:ascii="Arial" w:hAnsi="Arial" w:cs="Arial"/>
          <w:bCs/>
          <w:snapToGrid w:val="0"/>
          <w:sz w:val="24"/>
          <w:szCs w:val="24"/>
        </w:rPr>
      </w:pPr>
      <w:r w:rsidRPr="00A102CE">
        <w:rPr>
          <w:rFonts w:ascii="Arial" w:hAnsi="Arial" w:cs="Arial"/>
          <w:b/>
          <w:snapToGrid w:val="0"/>
          <w:sz w:val="24"/>
          <w:szCs w:val="24"/>
        </w:rPr>
        <w:t>CONCEPTOS DE VIOLACION. CUANDO SU ESTUDIO ES INNECESARIO.</w:t>
      </w:r>
      <w:r w:rsidRPr="00A102CE">
        <w:rPr>
          <w:rFonts w:ascii="Arial" w:hAnsi="Arial" w:cs="Arial"/>
          <w:bCs/>
          <w:snapToGrid w:val="0"/>
          <w:sz w:val="24"/>
          <w:szCs w:val="24"/>
        </w:rPr>
        <w:t xml:space="preserve"> Si al considerarse fundado un concepto de violación ello trae como consecuencia la concesión del amparo, es innecesario analizar los restantes, ya que cualquiera que fuera el resultado de ese estudio, en nada variaría el sentido de la sentencia.</w:t>
      </w:r>
    </w:p>
    <w:p w:rsidR="006426B3" w:rsidRPr="00A102CE" w:rsidRDefault="006426B3" w:rsidP="006426B3">
      <w:pPr>
        <w:spacing w:line="360" w:lineRule="auto"/>
        <w:ind w:right="51" w:firstLine="567"/>
        <w:jc w:val="both"/>
        <w:rPr>
          <w:rFonts w:ascii="Arial" w:hAnsi="Arial" w:cs="Arial"/>
          <w:bCs/>
          <w:snapToGrid w:val="0"/>
          <w:sz w:val="24"/>
          <w:szCs w:val="24"/>
        </w:rPr>
      </w:pPr>
      <w:r w:rsidRPr="00A102CE">
        <w:rPr>
          <w:rFonts w:ascii="Arial" w:hAnsi="Arial" w:cs="Arial"/>
          <w:bCs/>
          <w:snapToGrid w:val="0"/>
          <w:sz w:val="24"/>
          <w:szCs w:val="24"/>
        </w:rPr>
        <w:t>Por lo anteriormente expuesto, fundado y motivado, en términos de los artículos 207, 208 fracciones II y VI, y 209 de la Ley de Procedimiento y Justicia Administrativ</w:t>
      </w:r>
      <w:r w:rsidR="00BE63D4" w:rsidRPr="00A102CE">
        <w:rPr>
          <w:rFonts w:ascii="Arial" w:hAnsi="Arial" w:cs="Arial"/>
          <w:bCs/>
          <w:snapToGrid w:val="0"/>
          <w:sz w:val="24"/>
          <w:szCs w:val="24"/>
        </w:rPr>
        <w:t>a para el Estado de Oaxaca, se;</w:t>
      </w:r>
    </w:p>
    <w:p w:rsidR="006426B3" w:rsidRPr="00A102CE" w:rsidRDefault="006426B3" w:rsidP="006426B3">
      <w:pPr>
        <w:spacing w:line="360" w:lineRule="auto"/>
        <w:ind w:right="51" w:firstLine="567"/>
        <w:jc w:val="center"/>
        <w:rPr>
          <w:rFonts w:ascii="Arial" w:hAnsi="Arial" w:cs="Arial"/>
          <w:b/>
          <w:sz w:val="24"/>
          <w:szCs w:val="24"/>
        </w:rPr>
      </w:pPr>
      <w:r w:rsidRPr="00A102CE">
        <w:rPr>
          <w:rFonts w:ascii="Arial" w:hAnsi="Arial" w:cs="Arial"/>
          <w:b/>
          <w:sz w:val="24"/>
          <w:szCs w:val="24"/>
        </w:rPr>
        <w:t>R E S U E L V E:</w:t>
      </w:r>
    </w:p>
    <w:p w:rsidR="006426B3" w:rsidRPr="00A102CE" w:rsidRDefault="006426B3" w:rsidP="006426B3">
      <w:pPr>
        <w:widowControl w:val="0"/>
        <w:spacing w:after="120" w:line="360" w:lineRule="auto"/>
        <w:ind w:right="51" w:firstLine="708"/>
        <w:jc w:val="both"/>
        <w:rPr>
          <w:rFonts w:ascii="Arial" w:eastAsia="Times New Roman" w:hAnsi="Arial" w:cs="Arial"/>
          <w:sz w:val="24"/>
          <w:szCs w:val="24"/>
          <w:lang w:val="es-ES" w:eastAsia="es-ES"/>
        </w:rPr>
      </w:pPr>
      <w:r w:rsidRPr="00A102CE">
        <w:rPr>
          <w:rFonts w:ascii="Arial" w:hAnsi="Arial" w:cs="Arial"/>
          <w:b/>
          <w:sz w:val="24"/>
          <w:szCs w:val="24"/>
        </w:rPr>
        <w:t>PRIMERO</w:t>
      </w:r>
      <w:r w:rsidRPr="00A102CE">
        <w:rPr>
          <w:rFonts w:cs="Arial"/>
          <w:i/>
          <w:sz w:val="24"/>
          <w:szCs w:val="24"/>
        </w:rPr>
        <w:t>.</w:t>
      </w:r>
      <w:r w:rsidRPr="00A102CE">
        <w:rPr>
          <w:rFonts w:cs="Arial"/>
          <w:sz w:val="24"/>
          <w:szCs w:val="24"/>
        </w:rPr>
        <w:t xml:space="preserve"> </w:t>
      </w:r>
      <w:r w:rsidRPr="00A102CE">
        <w:rPr>
          <w:rFonts w:ascii="Arial" w:eastAsia="Times New Roman" w:hAnsi="Arial" w:cs="Arial"/>
          <w:sz w:val="24"/>
          <w:szCs w:val="24"/>
          <w:lang w:val="es-ES" w:eastAsia="es-ES"/>
        </w:rPr>
        <w:t>Esta Sexta</w:t>
      </w:r>
      <w:r w:rsidRPr="00A102CE">
        <w:rPr>
          <w:rFonts w:ascii="Arial" w:eastAsia="Times New Roman" w:hAnsi="Arial" w:cs="Arial"/>
          <w:sz w:val="24"/>
          <w:szCs w:val="24"/>
          <w:lang w:eastAsia="es-ES"/>
        </w:rPr>
        <w:t xml:space="preserve"> </w:t>
      </w:r>
      <w:r w:rsidRPr="00A102CE">
        <w:rPr>
          <w:rFonts w:ascii="Arial" w:eastAsia="Times New Roman" w:hAnsi="Arial" w:cs="Arial"/>
          <w:sz w:val="24"/>
          <w:szCs w:val="24"/>
          <w:lang w:val="es-ES" w:eastAsia="es-ES"/>
        </w:rPr>
        <w:t>Sala</w:t>
      </w:r>
      <w:r w:rsidRPr="00A102CE">
        <w:rPr>
          <w:rFonts w:ascii="Arial" w:eastAsia="Times New Roman" w:hAnsi="Arial" w:cs="Arial"/>
          <w:sz w:val="24"/>
          <w:szCs w:val="24"/>
          <w:lang w:eastAsia="es-ES"/>
        </w:rPr>
        <w:t xml:space="preserve"> Unitaria </w:t>
      </w:r>
      <w:r w:rsidRPr="00A102CE">
        <w:rPr>
          <w:rFonts w:ascii="Arial" w:eastAsia="Times New Roman" w:hAnsi="Arial" w:cs="Arial"/>
          <w:sz w:val="24"/>
          <w:szCs w:val="24"/>
          <w:lang w:val="es-ES" w:eastAsia="es-ES"/>
        </w:rPr>
        <w:t>del Tribunal de Justicia Administrativa del Estado de Oaxaca, es competente para conocer y resolver el presente juicio.</w:t>
      </w:r>
      <w:r w:rsidRPr="00A102CE">
        <w:rPr>
          <w:rFonts w:ascii="Arial" w:hAnsi="Arial" w:cs="Arial"/>
          <w:bCs/>
          <w:snapToGrid w:val="0"/>
          <w:sz w:val="24"/>
          <w:szCs w:val="24"/>
        </w:rPr>
        <w:t xml:space="preserve">  </w:t>
      </w:r>
    </w:p>
    <w:p w:rsidR="006426B3" w:rsidRPr="00A102CE" w:rsidRDefault="006426B3" w:rsidP="006426B3">
      <w:pPr>
        <w:pStyle w:val="Sangra2detindependiente1"/>
        <w:spacing w:after="240" w:line="360" w:lineRule="auto"/>
        <w:ind w:right="51" w:firstLine="567"/>
        <w:rPr>
          <w:rFonts w:cs="Arial"/>
          <w:b w:val="0"/>
          <w:bCs/>
          <w:i w:val="0"/>
          <w:szCs w:val="24"/>
        </w:rPr>
      </w:pPr>
      <w:r w:rsidRPr="00A102CE">
        <w:rPr>
          <w:rFonts w:cs="Arial"/>
          <w:i w:val="0"/>
          <w:szCs w:val="24"/>
        </w:rPr>
        <w:t xml:space="preserve">SEGUNDO. </w:t>
      </w:r>
      <w:r w:rsidRPr="00A102CE">
        <w:rPr>
          <w:rFonts w:cs="Arial"/>
          <w:b w:val="0"/>
          <w:bCs/>
          <w:i w:val="0"/>
          <w:szCs w:val="24"/>
        </w:rPr>
        <w:t>La personalidad de las partes quedó asentada en autos, dentro del considerando SEGUNDO de la presente resolución.</w:t>
      </w:r>
    </w:p>
    <w:p w:rsidR="006426B3" w:rsidRPr="00A102CE" w:rsidRDefault="006426B3" w:rsidP="006426B3">
      <w:pPr>
        <w:pStyle w:val="Sangra2detindependiente1"/>
        <w:spacing w:after="240" w:line="360" w:lineRule="auto"/>
        <w:ind w:right="51" w:firstLine="567"/>
        <w:rPr>
          <w:rFonts w:cs="Arial"/>
          <w:b w:val="0"/>
          <w:bCs/>
          <w:i w:val="0"/>
          <w:szCs w:val="24"/>
        </w:rPr>
      </w:pPr>
      <w:r w:rsidRPr="00A102CE">
        <w:rPr>
          <w:rFonts w:cs="Arial"/>
          <w:i w:val="0"/>
          <w:szCs w:val="24"/>
        </w:rPr>
        <w:t>TERCERO.</w:t>
      </w:r>
      <w:r w:rsidRPr="00A102CE">
        <w:rPr>
          <w:rFonts w:cs="Arial"/>
          <w:b w:val="0"/>
          <w:bCs/>
          <w:i w:val="0"/>
          <w:szCs w:val="24"/>
        </w:rPr>
        <w:t xml:space="preserve"> Esta Sala advierte que, en el presente juicio no se configura alguna causal de improcedencia o sobreseimiento, por lo tanto, </w:t>
      </w:r>
      <w:r w:rsidRPr="00A102CE">
        <w:rPr>
          <w:rFonts w:cs="Arial"/>
          <w:i w:val="0"/>
          <w:szCs w:val="24"/>
        </w:rPr>
        <w:t>NO SE SOBRESEE.</w:t>
      </w:r>
      <w:r w:rsidRPr="00A102CE">
        <w:rPr>
          <w:szCs w:val="24"/>
        </w:rPr>
        <w:t xml:space="preserve"> </w:t>
      </w:r>
    </w:p>
    <w:p w:rsidR="006426B3" w:rsidRPr="00A102CE" w:rsidRDefault="00BA73DA" w:rsidP="006426B3">
      <w:pPr>
        <w:pStyle w:val="Sangra2detindependiente1"/>
        <w:spacing w:after="240" w:line="360" w:lineRule="auto"/>
        <w:ind w:right="51" w:firstLine="567"/>
        <w:rPr>
          <w:rFonts w:cs="Arial"/>
          <w:i w:val="0"/>
          <w:szCs w:val="24"/>
        </w:rPr>
      </w:pPr>
      <w:r w:rsidRPr="00BA73DA">
        <w:rPr>
          <w:rFonts w:asciiTheme="minorHAnsi" w:eastAsiaTheme="minorHAnsi" w:hAnsiTheme="minorHAnsi" w:cstheme="minorBidi"/>
          <w:b w:val="0"/>
          <w:i w:val="0"/>
          <w:noProof/>
          <w:sz w:val="22"/>
          <w:szCs w:val="22"/>
          <w:lang w:val="es-MX"/>
        </w:rPr>
        <mc:AlternateContent>
          <mc:Choice Requires="wps">
            <w:drawing>
              <wp:anchor distT="0" distB="0" distL="114300" distR="114300" simplePos="0" relativeHeight="251685888" behindDoc="1" locked="0" layoutInCell="1" allowOverlap="1" wp14:anchorId="649D9DF5" wp14:editId="0DC1A1B7">
                <wp:simplePos x="0" y="0"/>
                <wp:positionH relativeFrom="column">
                  <wp:posOffset>5699760</wp:posOffset>
                </wp:positionH>
                <wp:positionV relativeFrom="paragraph">
                  <wp:posOffset>2361565</wp:posOffset>
                </wp:positionV>
                <wp:extent cx="1009650" cy="962025"/>
                <wp:effectExtent l="0" t="0" r="19050" b="28575"/>
                <wp:wrapNone/>
                <wp:docPr id="16"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BA73DA" w:rsidRPr="00035E13" w:rsidRDefault="00BA73DA" w:rsidP="00BA73D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9D9DF5" id="Cuadro de texto 16" o:spid="_x0000_s1039" type="#_x0000_t202" style="position:absolute;left:0;text-align:left;margin-left:448.8pt;margin-top:185.95pt;width:79.5pt;height:75.7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" fillcolor="window" strokeweight=".5pt">
                <v:path arrowok="t"/>
                <v:textbox>
                  <w:txbxContent>
                    <w:p w:rsidR="00BA73DA" w:rsidRPr="00035E13" w:rsidRDefault="00BA73DA" w:rsidP="00BA73D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6426B3" w:rsidRPr="00A102CE">
        <w:rPr>
          <w:rFonts w:cs="Arial"/>
          <w:i w:val="0"/>
          <w:szCs w:val="24"/>
        </w:rPr>
        <w:t>CUARTO.</w:t>
      </w:r>
      <w:r w:rsidR="006426B3" w:rsidRPr="00A102CE">
        <w:rPr>
          <w:rFonts w:cs="Arial"/>
          <w:b w:val="0"/>
          <w:bCs/>
          <w:i w:val="0"/>
          <w:szCs w:val="24"/>
        </w:rPr>
        <w:t xml:space="preserve"> Se declara la </w:t>
      </w:r>
      <w:r w:rsidR="006426B3" w:rsidRPr="00A102CE">
        <w:rPr>
          <w:rFonts w:cs="Arial"/>
          <w:i w:val="0"/>
          <w:szCs w:val="24"/>
        </w:rPr>
        <w:t xml:space="preserve">NULIDAD LISA Y LLANA, </w:t>
      </w:r>
      <w:r w:rsidR="006426B3" w:rsidRPr="00A102CE">
        <w:rPr>
          <w:rFonts w:cs="Arial"/>
          <w:b w:val="0"/>
          <w:bCs/>
          <w:i w:val="0"/>
          <w:szCs w:val="24"/>
        </w:rPr>
        <w:t xml:space="preserve">de la multa por infracción relacionada con la presentación de declaraciones del Impuesto Sobre Erogaciones por Remuneraciones al Trabajo Personal, con número de control 07MO14ER193188, de fecha diecinueve de febrero de dos mil diecinueve, emitida por la maestra ELIZABETH MARTÍNEZ ARZOLA, Directora de Ingresos y Recaudación de la Subsecretaría de Ingresos de la Secretaría de Finanzas del Gobierno del Estado de Oaxaca, mediante la cual se impone una sanción económica en cantidad de 50 UMA $4,224.50 (cuatro mil doscientos veinticuatro pesos 50/100 moneda nacional), en consecuencia, </w:t>
      </w:r>
      <w:r w:rsidR="006426B3" w:rsidRPr="00A102CE">
        <w:rPr>
          <w:rFonts w:cs="Arial"/>
          <w:b w:val="0"/>
          <w:bCs/>
          <w:i w:val="0"/>
          <w:szCs w:val="24"/>
          <w:u w:val="single"/>
        </w:rPr>
        <w:t>se ordena a esa autoridad fiscal para que por sí misma o a través de quien sea competente realice la baja de la citada multa del sistema electrónico y/o documental que para tal efecto lleve esa autoridad</w:t>
      </w:r>
      <w:r w:rsidR="006426B3" w:rsidRPr="00A102CE">
        <w:rPr>
          <w:rFonts w:cs="Arial"/>
          <w:b w:val="0"/>
          <w:bCs/>
          <w:i w:val="0"/>
          <w:szCs w:val="24"/>
        </w:rPr>
        <w:t>, por las razones ya expuestas en el considerando SÉPTIMO de esta sentencia.</w:t>
      </w:r>
    </w:p>
    <w:p w:rsidR="006426B3" w:rsidRPr="00A102CE" w:rsidRDefault="006426B3" w:rsidP="006426B3">
      <w:pPr>
        <w:pStyle w:val="Sangra2detindependiente1"/>
        <w:spacing w:after="240" w:line="360" w:lineRule="auto"/>
        <w:ind w:right="51" w:firstLine="567"/>
        <w:rPr>
          <w:rFonts w:cs="Arial"/>
          <w:b w:val="0"/>
          <w:i w:val="0"/>
          <w:szCs w:val="24"/>
          <w:lang w:val="es-MX"/>
        </w:rPr>
      </w:pPr>
      <w:r w:rsidRPr="00A102CE">
        <w:rPr>
          <w:rFonts w:cs="Arial"/>
          <w:bCs/>
          <w:i w:val="0"/>
          <w:szCs w:val="24"/>
          <w:lang w:val="es-MX"/>
        </w:rPr>
        <w:t>QUINTO.</w:t>
      </w:r>
      <w:r w:rsidRPr="00A102CE">
        <w:rPr>
          <w:rFonts w:cs="Arial"/>
          <w:b w:val="0"/>
          <w:i w:val="0"/>
          <w:szCs w:val="24"/>
          <w:lang w:val="es-MX"/>
        </w:rPr>
        <w:t xml:space="preserve"> Conforme a lo dispuesto en los artículos 142 fracción I y 143 fracciones I y II de la Ley de Justicia Administrativa para el Estado de Oaxaca, </w:t>
      </w:r>
      <w:r w:rsidRPr="00A102CE">
        <w:rPr>
          <w:rFonts w:cs="Arial"/>
          <w:bCs/>
          <w:i w:val="0"/>
          <w:szCs w:val="24"/>
          <w:lang w:val="es-MX"/>
        </w:rPr>
        <w:t>NOTIFÍQUESE y CÚMPLASE</w:t>
      </w:r>
      <w:r w:rsidRPr="00A102CE">
        <w:rPr>
          <w:rFonts w:cs="Arial"/>
          <w:b w:val="0"/>
          <w:i w:val="0"/>
          <w:szCs w:val="24"/>
          <w:lang w:val="es-MX"/>
        </w:rPr>
        <w:t xml:space="preserve">. </w:t>
      </w:r>
    </w:p>
    <w:p w:rsidR="00D06551" w:rsidRPr="00A102CE" w:rsidRDefault="00D06551" w:rsidP="00D06551">
      <w:pPr>
        <w:spacing w:line="360" w:lineRule="auto"/>
        <w:ind w:firstLine="567"/>
        <w:jc w:val="both"/>
        <w:rPr>
          <w:rFonts w:ascii="Tahoma" w:hAnsi="Tahoma" w:cs="Tahoma"/>
          <w:sz w:val="24"/>
          <w:szCs w:val="24"/>
        </w:rPr>
      </w:pPr>
      <w:bookmarkStart w:id="2" w:name="_Hlk49196234"/>
      <w:r w:rsidRPr="00A102CE">
        <w:rPr>
          <w:rFonts w:ascii="Tahoma" w:hAnsi="Tahoma" w:cs="Tahoma"/>
          <w:sz w:val="24"/>
          <w:szCs w:val="24"/>
        </w:rPr>
        <w:t xml:space="preserve">Así lo acuerda y firma el </w:t>
      </w:r>
      <w:r w:rsidRPr="00A102CE">
        <w:rPr>
          <w:rFonts w:ascii="Tahoma" w:hAnsi="Tahoma" w:cs="Tahoma"/>
          <w:b/>
          <w:sz w:val="24"/>
          <w:szCs w:val="24"/>
        </w:rPr>
        <w:t>Lic</w:t>
      </w:r>
      <w:r w:rsidRPr="00A102CE">
        <w:rPr>
          <w:rFonts w:ascii="Tahoma" w:hAnsi="Tahoma" w:cs="Tahoma"/>
          <w:sz w:val="24"/>
          <w:szCs w:val="24"/>
        </w:rPr>
        <w:t xml:space="preserve"> </w:t>
      </w:r>
      <w:r w:rsidRPr="00A102CE">
        <w:rPr>
          <w:rFonts w:ascii="Tahoma" w:hAnsi="Tahoma" w:cs="Tahoma"/>
          <w:b/>
          <w:sz w:val="24"/>
          <w:szCs w:val="24"/>
        </w:rPr>
        <w:t xml:space="preserve">RENATO GABRIEL IBÁÑEZ CASTELLANOS, </w:t>
      </w:r>
      <w:r w:rsidRPr="00A102CE">
        <w:rPr>
          <w:rFonts w:ascii="Tahoma" w:hAnsi="Tahoma" w:cs="Tahoma"/>
          <w:sz w:val="24"/>
          <w:szCs w:val="24"/>
        </w:rPr>
        <w:t xml:space="preserve">Secretario de Acuerdos autorizado por el Pleno del Tribunal de Justicia Administrativo del Estado de Oaxaca, para tramitar y resolver los asuntos que se llevan en esta Sexta Sala Unitaria, mediante Sesión Administrativa Extraordinaria del Pleno del mismo Tribunal de doce de agosto del presente año y en términos del artículo 20, fracciones XXII, de la Ley Orgánica del Tribunal de Justicia Administrativa del Estado de Oaxaca, en relación con el numeral 13, fracción XIV de su reglamento, hasta se adscriba titular de la Sala, quien actúa con la licenciada </w:t>
      </w:r>
      <w:r w:rsidRPr="00A102CE">
        <w:rPr>
          <w:rFonts w:ascii="Tahoma" w:hAnsi="Tahoma" w:cs="Tahoma"/>
          <w:b/>
          <w:sz w:val="24"/>
          <w:szCs w:val="24"/>
        </w:rPr>
        <w:t>DULCE ELOÍSA HUERTA CONTRERAS</w:t>
      </w:r>
      <w:r w:rsidRPr="00A102CE">
        <w:rPr>
          <w:rFonts w:ascii="Tahoma" w:hAnsi="Tahoma" w:cs="Tahoma"/>
          <w:sz w:val="24"/>
          <w:szCs w:val="24"/>
        </w:rPr>
        <w:t xml:space="preserve">, Actuaria que autoriza y da fe. </w:t>
      </w:r>
    </w:p>
    <w:bookmarkEnd w:id="2"/>
    <w:p w:rsidR="006426B3" w:rsidRPr="00A102CE" w:rsidRDefault="006426B3" w:rsidP="006426B3">
      <w:pPr>
        <w:pStyle w:val="Sangra2detindependiente1"/>
        <w:spacing w:line="360" w:lineRule="auto"/>
        <w:ind w:right="51" w:firstLine="567"/>
        <w:rPr>
          <w:rFonts w:cs="Arial"/>
          <w:i w:val="0"/>
          <w:szCs w:val="24"/>
          <w:lang w:val="es-MX"/>
        </w:rPr>
      </w:pPr>
    </w:p>
    <w:p w:rsidR="00346DC8" w:rsidRPr="00A102CE" w:rsidRDefault="00346DC8">
      <w:pPr>
        <w:rPr>
          <w:sz w:val="24"/>
          <w:szCs w:val="24"/>
          <w:lang w:val="es-ES_tradnl"/>
        </w:rPr>
      </w:pPr>
    </w:p>
    <w:sectPr w:rsidR="00346DC8" w:rsidRPr="00A102CE" w:rsidSect="00A102CE">
      <w:footerReference w:type="default" r:id="rId6"/>
      <w:pgSz w:w="12240" w:h="20160" w:code="5"/>
      <w:pgMar w:top="1134" w:right="1418" w:bottom="226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3F4D" w:rsidRDefault="00453F4D" w:rsidP="00307CD8">
      <w:pPr>
        <w:spacing w:after="0" w:line="240" w:lineRule="auto"/>
      </w:pPr>
      <w:r>
        <w:separator/>
      </w:r>
    </w:p>
  </w:endnote>
  <w:endnote w:type="continuationSeparator" w:id="0">
    <w:p w:rsidR="00453F4D" w:rsidRDefault="00453F4D" w:rsidP="00307C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2176618"/>
      <w:docPartObj>
        <w:docPartGallery w:val="Page Numbers (Bottom of Page)"/>
        <w:docPartUnique/>
      </w:docPartObj>
    </w:sdtPr>
    <w:sdtEndPr>
      <w:rPr>
        <w:rFonts w:ascii="Arial" w:hAnsi="Arial" w:cs="Arial"/>
        <w:sz w:val="24"/>
        <w:szCs w:val="24"/>
      </w:rPr>
    </w:sdtEndPr>
    <w:sdtContent>
      <w:p w:rsidR="0076338B" w:rsidRPr="00604752" w:rsidRDefault="00A102CE">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BA73DA" w:rsidRPr="00BA73DA">
          <w:rPr>
            <w:rFonts w:ascii="Arial" w:hAnsi="Arial" w:cs="Arial"/>
            <w:noProof/>
            <w:sz w:val="24"/>
            <w:szCs w:val="24"/>
            <w:lang w:val="es-ES"/>
          </w:rPr>
          <w:t>2</w:t>
        </w:r>
        <w:r w:rsidRPr="00604752">
          <w:rPr>
            <w:rFonts w:ascii="Arial" w:hAnsi="Arial" w:cs="Arial"/>
            <w:sz w:val="24"/>
            <w:szCs w:val="24"/>
          </w:rPr>
          <w:fldChar w:fldCharType="end"/>
        </w:r>
      </w:p>
    </w:sdtContent>
  </w:sdt>
  <w:p w:rsidR="0076338B" w:rsidRDefault="00453F4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3F4D" w:rsidRDefault="00453F4D" w:rsidP="00307CD8">
      <w:pPr>
        <w:spacing w:after="0" w:line="240" w:lineRule="auto"/>
      </w:pPr>
      <w:r>
        <w:separator/>
      </w:r>
    </w:p>
  </w:footnote>
  <w:footnote w:type="continuationSeparator" w:id="0">
    <w:p w:rsidR="00453F4D" w:rsidRDefault="00453F4D" w:rsidP="00307CD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displayBackgroundShape/>
  <w:mirrorMargins/>
  <w:proofState w:spelling="clean" w:grammar="clean"/>
  <w:defaultTabStop w:val="708"/>
  <w:hyphenationZone w:val="425"/>
  <w:drawingGridHorizontalSpacing w:val="11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6B3"/>
    <w:rsid w:val="00053EAE"/>
    <w:rsid w:val="00092ACA"/>
    <w:rsid w:val="00097D92"/>
    <w:rsid w:val="002C1213"/>
    <w:rsid w:val="002F308D"/>
    <w:rsid w:val="00307CD8"/>
    <w:rsid w:val="00346DC8"/>
    <w:rsid w:val="00351E17"/>
    <w:rsid w:val="003A7FDD"/>
    <w:rsid w:val="00453F4D"/>
    <w:rsid w:val="004A2715"/>
    <w:rsid w:val="005649EC"/>
    <w:rsid w:val="005A16F5"/>
    <w:rsid w:val="005D3F01"/>
    <w:rsid w:val="00605068"/>
    <w:rsid w:val="00611445"/>
    <w:rsid w:val="006426B3"/>
    <w:rsid w:val="00730F18"/>
    <w:rsid w:val="007E4931"/>
    <w:rsid w:val="00A102CE"/>
    <w:rsid w:val="00A60CA8"/>
    <w:rsid w:val="00A97EF3"/>
    <w:rsid w:val="00AA6F42"/>
    <w:rsid w:val="00B00E1B"/>
    <w:rsid w:val="00B61C8F"/>
    <w:rsid w:val="00B76231"/>
    <w:rsid w:val="00B91E2C"/>
    <w:rsid w:val="00BA73DA"/>
    <w:rsid w:val="00BE63D4"/>
    <w:rsid w:val="00D02132"/>
    <w:rsid w:val="00D06551"/>
    <w:rsid w:val="00DD21D9"/>
    <w:rsid w:val="00F82028"/>
    <w:rsid w:val="00F9178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8573BB7-AB66-48F7-ABB6-99D30DD0A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26B3"/>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26B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26B3"/>
  </w:style>
  <w:style w:type="paragraph" w:styleId="Piedepgina">
    <w:name w:val="footer"/>
    <w:basedOn w:val="Normal"/>
    <w:link w:val="PiedepginaCar"/>
    <w:uiPriority w:val="99"/>
    <w:unhideWhenUsed/>
    <w:rsid w:val="006426B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26B3"/>
  </w:style>
  <w:style w:type="paragraph" w:customStyle="1" w:styleId="Sangra2detindependiente1">
    <w:name w:val="Sangría 2 de t. independiente1"/>
    <w:basedOn w:val="Normal"/>
    <w:rsid w:val="006426B3"/>
    <w:pPr>
      <w:widowControl w:val="0"/>
      <w:spacing w:after="0" w:line="240" w:lineRule="auto"/>
      <w:ind w:firstLine="708"/>
      <w:jc w:val="both"/>
    </w:pPr>
    <w:rPr>
      <w:rFonts w:ascii="Arial" w:eastAsia="Times New Roman" w:hAnsi="Arial" w:cs="Times New Roman"/>
      <w:b/>
      <w:i/>
      <w:sz w:val="24"/>
      <w:szCs w:val="20"/>
      <w:lang w:val="es-ES_tradnl" w:eastAsia="es-MX"/>
    </w:rPr>
  </w:style>
  <w:style w:type="paragraph" w:styleId="Textodeglobo">
    <w:name w:val="Balloon Text"/>
    <w:basedOn w:val="Normal"/>
    <w:link w:val="TextodegloboCar"/>
    <w:uiPriority w:val="99"/>
    <w:semiHidden/>
    <w:unhideWhenUsed/>
    <w:rsid w:val="00A102C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102C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6260</Words>
  <Characters>34430</Characters>
  <Application>Microsoft Office Word</Application>
  <DocSecurity>0</DocSecurity>
  <Lines>286</Lines>
  <Paragraphs>81</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40609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María Hernández García</dc:creator>
  <cp:keywords/>
  <dc:description/>
  <cp:lastModifiedBy>TCAC-Personal</cp:lastModifiedBy>
  <cp:revision>2</cp:revision>
  <cp:lastPrinted>2020-10-05T16:58:00Z</cp:lastPrinted>
  <dcterms:created xsi:type="dcterms:W3CDTF">2021-05-11T20:40:00Z</dcterms:created>
  <dcterms:modified xsi:type="dcterms:W3CDTF">2021-05-11T20:40:00Z</dcterms:modified>
</cp:coreProperties>
</file>