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41A3" w:rsidRDefault="00F441A3" w:rsidP="00F441A3">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F441A3" w:rsidRDefault="00F441A3" w:rsidP="00F441A3">
      <w:pPr>
        <w:spacing w:line="360" w:lineRule="auto"/>
        <w:jc w:val="both"/>
        <w:rPr>
          <w:rFonts w:ascii="Arial" w:hAnsi="Arial" w:cs="Arial"/>
          <w:b/>
          <w:sz w:val="24"/>
          <w:szCs w:val="24"/>
        </w:rPr>
      </w:pPr>
      <w:r>
        <w:rPr>
          <w:rFonts w:ascii="Arial" w:hAnsi="Arial" w:cs="Arial"/>
          <w:b/>
          <w:sz w:val="24"/>
          <w:szCs w:val="24"/>
        </w:rPr>
        <w:t xml:space="preserve">OAXACA DE JUÁREZ, OAXACA; A </w:t>
      </w:r>
      <w:r w:rsidR="00142F70">
        <w:rPr>
          <w:rFonts w:ascii="Arial" w:hAnsi="Arial" w:cs="Arial"/>
          <w:b/>
          <w:sz w:val="24"/>
          <w:szCs w:val="24"/>
        </w:rPr>
        <w:t>CATORCE</w:t>
      </w:r>
      <w:r>
        <w:rPr>
          <w:rFonts w:ascii="Arial" w:hAnsi="Arial" w:cs="Arial"/>
          <w:b/>
          <w:sz w:val="24"/>
          <w:szCs w:val="24"/>
        </w:rPr>
        <w:t xml:space="preserve"> DE FEBRERO DE DOS MIL DIECINUEVE (1</w:t>
      </w:r>
      <w:r w:rsidR="00142F70">
        <w:rPr>
          <w:rFonts w:ascii="Arial" w:hAnsi="Arial" w:cs="Arial"/>
          <w:b/>
          <w:sz w:val="24"/>
          <w:szCs w:val="24"/>
        </w:rPr>
        <w:t>4</w:t>
      </w:r>
      <w:r>
        <w:rPr>
          <w:rFonts w:ascii="Arial" w:hAnsi="Arial" w:cs="Arial"/>
          <w:b/>
          <w:sz w:val="24"/>
          <w:szCs w:val="24"/>
        </w:rPr>
        <w:t xml:space="preserve">/02/2019). - - - - - - - - - - - - - - - - - - - - - - - - - - - - </w:t>
      </w:r>
      <w:r w:rsidR="00142F70">
        <w:rPr>
          <w:rFonts w:ascii="Arial" w:hAnsi="Arial" w:cs="Arial"/>
          <w:b/>
          <w:sz w:val="24"/>
          <w:szCs w:val="24"/>
        </w:rPr>
        <w:t xml:space="preserve">- - - - </w:t>
      </w:r>
    </w:p>
    <w:p w:rsidR="00F441A3" w:rsidRDefault="00F441A3" w:rsidP="00F441A3">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de Nulidad 044/2018, promovido por el C. </w:t>
      </w:r>
      <w:r w:rsidR="00DD4D32">
        <w:rPr>
          <w:rFonts w:ascii="Arial" w:hAnsi="Arial" w:cs="Arial"/>
          <w:sz w:val="24"/>
          <w:szCs w:val="24"/>
        </w:rPr>
        <w:t>***** ***** *****</w:t>
      </w:r>
      <w:r>
        <w:rPr>
          <w:rFonts w:ascii="Arial" w:hAnsi="Arial" w:cs="Arial"/>
          <w:sz w:val="24"/>
          <w:szCs w:val="24"/>
        </w:rPr>
        <w:t xml:space="preserve">, solicitando la nulidad del acta de infracción con número de </w:t>
      </w:r>
      <w:r w:rsidR="00DD4D32">
        <w:rPr>
          <w:rFonts w:ascii="Arial" w:hAnsi="Arial" w:cs="Arial"/>
          <w:sz w:val="24"/>
          <w:szCs w:val="24"/>
        </w:rPr>
        <w:t>folio *****, de fecha ***** de ***** de dos mil ******* (**/**/****)</w:t>
      </w:r>
      <w:r>
        <w:rPr>
          <w:rFonts w:ascii="Arial" w:hAnsi="Arial" w:cs="Arial"/>
          <w:sz w:val="24"/>
          <w:szCs w:val="24"/>
        </w:rPr>
        <w:t xml:space="preserve">, emitida por el C. RICARDO SÁNCHEZ AQUINO, Policía Vial con número estadístico 124 de la Comisaría de Vialidad del Municipio de Oaxaca de Juárez; y, - - - - - - - - </w:t>
      </w:r>
    </w:p>
    <w:p w:rsidR="00F441A3" w:rsidRDefault="00F441A3" w:rsidP="00F441A3">
      <w:pPr>
        <w:spacing w:line="360" w:lineRule="auto"/>
        <w:jc w:val="center"/>
        <w:rPr>
          <w:rFonts w:ascii="Arial" w:hAnsi="Arial" w:cs="Arial"/>
          <w:b/>
          <w:sz w:val="24"/>
          <w:szCs w:val="24"/>
        </w:rPr>
      </w:pPr>
      <w:r>
        <w:rPr>
          <w:rFonts w:ascii="Arial" w:hAnsi="Arial" w:cs="Arial"/>
          <w:b/>
          <w:sz w:val="24"/>
          <w:szCs w:val="24"/>
        </w:rPr>
        <w:t>R E S U L T A N D O</w:t>
      </w:r>
    </w:p>
    <w:p w:rsidR="00F441A3" w:rsidRDefault="00F441A3" w:rsidP="00F441A3">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veinte de abril de dos mil dieciocho (20/04/2018), se recibió el escrito de </w:t>
      </w:r>
      <w:r w:rsidRPr="001131F7">
        <w:rPr>
          <w:rFonts w:ascii="Arial" w:hAnsi="Arial" w:cs="Arial"/>
          <w:sz w:val="24"/>
          <w:szCs w:val="24"/>
        </w:rPr>
        <w:t xml:space="preserve">demanda en la Oficialía de Partes de este Tribunal y con fecha </w:t>
      </w:r>
      <w:r>
        <w:rPr>
          <w:rFonts w:ascii="Arial" w:hAnsi="Arial" w:cs="Arial"/>
          <w:sz w:val="24"/>
          <w:szCs w:val="24"/>
        </w:rPr>
        <w:t>veintitrés del mismo mes y año (23/04</w:t>
      </w:r>
      <w:r w:rsidRPr="001131F7">
        <w:rPr>
          <w:rFonts w:ascii="Arial" w:hAnsi="Arial" w:cs="Arial"/>
          <w:sz w:val="24"/>
          <w:szCs w:val="24"/>
        </w:rPr>
        <w:t>/2018) se tuvo por admitida a trámite, ordenándose emplazar a Juicio a la autoridad demandada. - - - - - - - - - - - - - - - - - - -</w:t>
      </w:r>
      <w:r>
        <w:rPr>
          <w:rFonts w:ascii="Arial" w:hAnsi="Arial" w:cs="Arial"/>
          <w:sz w:val="24"/>
          <w:szCs w:val="24"/>
        </w:rPr>
        <w:t xml:space="preserve"> - - - - - - - - - - - - - - - - - - - - - - - - - - </w:t>
      </w:r>
      <w:r w:rsidR="00142F70">
        <w:rPr>
          <w:rFonts w:ascii="Arial" w:hAnsi="Arial" w:cs="Arial"/>
          <w:sz w:val="24"/>
          <w:szCs w:val="24"/>
        </w:rPr>
        <w:t>- -</w:t>
      </w:r>
    </w:p>
    <w:p w:rsidR="00F441A3" w:rsidRDefault="00F441A3" w:rsidP="00F441A3">
      <w:pPr>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sidRPr="0006170D">
        <w:rPr>
          <w:rFonts w:ascii="Arial" w:hAnsi="Arial" w:cs="Arial"/>
          <w:sz w:val="24"/>
          <w:szCs w:val="24"/>
        </w:rPr>
        <w:t xml:space="preserve">Con </w:t>
      </w:r>
      <w:r>
        <w:rPr>
          <w:rFonts w:ascii="Arial" w:hAnsi="Arial" w:cs="Arial"/>
          <w:sz w:val="24"/>
          <w:szCs w:val="24"/>
        </w:rPr>
        <w:t xml:space="preserve">fecha veintisiete de junio de dos mil dieciocho (27/06/2018), se tuvo a la demandada C. RICARDO SÁNCHEZ AQUINO, Policía Vial con número estadístico 124 de la Comisaría de Vialidad del Municipio de Oaxaca de Juárez, Oaxaca, contestando en tiempo la demanda, además se señaló fecha y hora para llevar a cabo la audiencia final. - - - - - - - - - - - - - - - - - - - - - - - - - - - - - - - - - - - - - - - - - - - - - - - - - - - </w:t>
      </w:r>
      <w:r w:rsidR="00142F70">
        <w:rPr>
          <w:rFonts w:ascii="Arial" w:hAnsi="Arial" w:cs="Arial"/>
          <w:sz w:val="24"/>
          <w:szCs w:val="24"/>
        </w:rPr>
        <w:t xml:space="preserve">- </w:t>
      </w:r>
    </w:p>
    <w:p w:rsidR="00F441A3" w:rsidRDefault="00F441A3" w:rsidP="00F441A3">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seis de septiembre de dos mil dieciocho (06/09/2018),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se recibió escrito de alegatos únicamente de la parte actora, quedando el asunto integrado y en estado de resolución; y, - - - </w:t>
      </w:r>
    </w:p>
    <w:p w:rsidR="00F441A3" w:rsidRDefault="00F441A3" w:rsidP="00F441A3">
      <w:pPr>
        <w:spacing w:line="360" w:lineRule="auto"/>
        <w:jc w:val="center"/>
        <w:rPr>
          <w:rFonts w:ascii="Arial" w:hAnsi="Arial" w:cs="Arial"/>
          <w:b/>
          <w:sz w:val="24"/>
          <w:szCs w:val="24"/>
        </w:rPr>
      </w:pPr>
      <w:r>
        <w:rPr>
          <w:rFonts w:ascii="Arial" w:hAnsi="Arial" w:cs="Arial"/>
          <w:b/>
          <w:sz w:val="24"/>
          <w:szCs w:val="24"/>
        </w:rPr>
        <w:t>C O N S I D E R A N D O</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w:t>
      </w:r>
      <w:r>
        <w:rPr>
          <w:rFonts w:ascii="Arial" w:hAnsi="Arial" w:cs="Arial"/>
          <w:sz w:val="24"/>
          <w:szCs w:val="24"/>
        </w:rPr>
        <w:lastRenderedPageBreak/>
        <w:t xml:space="preserve">Cuentas, Responsabilidad de los Servidores Públicos, Combate a la Corrupción e Impartición de Justicia Administrativa; artículos 119, 120 fracción I,132 fracción II, 133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w:t>
      </w:r>
      <w:r w:rsidR="00142F70">
        <w:rPr>
          <w:rFonts w:ascii="Arial" w:hAnsi="Arial" w:cs="Arial"/>
          <w:sz w:val="24"/>
          <w:szCs w:val="24"/>
        </w:rPr>
        <w:t xml:space="preserve">- - - - - - - - - - - - - - - - - </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F441A3" w:rsidRPr="003750C8" w:rsidRDefault="00F441A3" w:rsidP="00F441A3">
      <w:pPr>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w:t>
      </w:r>
      <w:r w:rsidRPr="00A17FFD">
        <w:rPr>
          <w:rFonts w:ascii="Arial" w:hAnsi="Arial" w:cs="Arial"/>
          <w:sz w:val="24"/>
          <w:szCs w:val="24"/>
        </w:rPr>
        <w:t xml:space="preserve"> por la parte </w:t>
      </w:r>
      <w:r w:rsidRPr="00A17FFD">
        <w:rPr>
          <w:rFonts w:ascii="Arial" w:hAnsi="Arial" w:cs="Arial"/>
          <w:sz w:val="24"/>
          <w:szCs w:val="24"/>
          <w:u w:val="single"/>
        </w:rPr>
        <w:t>actora</w:t>
      </w:r>
      <w:r w:rsidRPr="00A17FFD">
        <w:rPr>
          <w:rFonts w:ascii="Arial" w:hAnsi="Arial" w:cs="Arial"/>
          <w:sz w:val="24"/>
          <w:szCs w:val="24"/>
        </w:rPr>
        <w:t xml:space="preserve"> C. </w:t>
      </w:r>
      <w:r w:rsidR="00DD4D32">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consisten en</w:t>
      </w:r>
      <w:r w:rsidRPr="001567D3">
        <w:rPr>
          <w:rFonts w:ascii="Arial" w:hAnsi="Arial" w:cs="Arial"/>
          <w:b/>
          <w:sz w:val="24"/>
          <w:szCs w:val="24"/>
        </w:rPr>
        <w:t>: 1.-</w:t>
      </w:r>
      <w:r>
        <w:rPr>
          <w:rFonts w:ascii="Arial" w:hAnsi="Arial" w:cs="Arial"/>
          <w:sz w:val="24"/>
          <w:szCs w:val="24"/>
        </w:rPr>
        <w:t xml:space="preserve"> Original de acta de infracción con número de folio </w:t>
      </w:r>
      <w:r w:rsidR="00DD4D32">
        <w:rPr>
          <w:rFonts w:ascii="Arial" w:hAnsi="Arial" w:cs="Arial"/>
          <w:sz w:val="24"/>
          <w:szCs w:val="24"/>
        </w:rPr>
        <w:t>*****</w:t>
      </w:r>
      <w:r>
        <w:rPr>
          <w:rFonts w:ascii="Arial" w:hAnsi="Arial" w:cs="Arial"/>
          <w:sz w:val="24"/>
          <w:szCs w:val="24"/>
        </w:rPr>
        <w:t xml:space="preserve">, expedida el día </w:t>
      </w:r>
      <w:r w:rsidR="00DD4D32">
        <w:rPr>
          <w:rFonts w:ascii="Arial" w:hAnsi="Arial" w:cs="Arial"/>
          <w:sz w:val="24"/>
          <w:szCs w:val="24"/>
        </w:rPr>
        <w:t xml:space="preserve">***** </w:t>
      </w:r>
      <w:r>
        <w:rPr>
          <w:rFonts w:ascii="Arial" w:hAnsi="Arial" w:cs="Arial"/>
          <w:sz w:val="24"/>
          <w:szCs w:val="24"/>
        </w:rPr>
        <w:t xml:space="preserve">de </w:t>
      </w:r>
      <w:r w:rsidR="00DD4D32">
        <w:rPr>
          <w:rFonts w:ascii="Arial" w:hAnsi="Arial" w:cs="Arial"/>
          <w:sz w:val="24"/>
          <w:szCs w:val="24"/>
        </w:rPr>
        <w:t>*****</w:t>
      </w:r>
      <w:r>
        <w:rPr>
          <w:rFonts w:ascii="Arial" w:hAnsi="Arial" w:cs="Arial"/>
          <w:sz w:val="24"/>
          <w:szCs w:val="24"/>
        </w:rPr>
        <w:t xml:space="preserve"> de dos mil dieciocho (</w:t>
      </w:r>
      <w:r w:rsidR="00DD4D32">
        <w:rPr>
          <w:rFonts w:ascii="Arial" w:hAnsi="Arial" w:cs="Arial"/>
          <w:sz w:val="24"/>
          <w:szCs w:val="24"/>
        </w:rPr>
        <w:t>**</w:t>
      </w:r>
      <w:r>
        <w:rPr>
          <w:rFonts w:ascii="Arial" w:hAnsi="Arial" w:cs="Arial"/>
          <w:sz w:val="24"/>
          <w:szCs w:val="24"/>
        </w:rPr>
        <w:t>/</w:t>
      </w:r>
      <w:r w:rsidR="00DD4D32">
        <w:rPr>
          <w:rFonts w:ascii="Arial" w:hAnsi="Arial" w:cs="Arial"/>
          <w:sz w:val="24"/>
          <w:szCs w:val="24"/>
        </w:rPr>
        <w:t>**</w:t>
      </w:r>
      <w:r>
        <w:rPr>
          <w:rFonts w:ascii="Arial" w:hAnsi="Arial" w:cs="Arial"/>
          <w:sz w:val="24"/>
          <w:szCs w:val="24"/>
        </w:rPr>
        <w:t xml:space="preserve">/2018), por el C. RICARDO SÁNCHEZ AQUINO, Policía Vial con número estadístico 124,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(que hizo suya la autoridad demandada); </w:t>
      </w:r>
      <w:r w:rsidRPr="004F348D">
        <w:rPr>
          <w:rFonts w:ascii="Arial" w:hAnsi="Arial" w:cs="Arial"/>
          <w:b/>
          <w:sz w:val="24"/>
          <w:szCs w:val="24"/>
        </w:rPr>
        <w:t>2.-</w:t>
      </w:r>
      <w:r>
        <w:rPr>
          <w:rFonts w:ascii="Arial" w:hAnsi="Arial" w:cs="Arial"/>
          <w:sz w:val="24"/>
          <w:szCs w:val="24"/>
        </w:rPr>
        <w:t xml:space="preserve"> Copia simple de credencial para votar con fotografía, expedida a favor del actor por el Instituto Federal Electoral.    </w:t>
      </w:r>
    </w:p>
    <w:p w:rsidR="00F441A3" w:rsidRDefault="00F441A3" w:rsidP="00F441A3">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C. RICARDO SÁNCHEZ AQUINO, Policía Vial con número estadístico 124, </w:t>
      </w:r>
      <w:r>
        <w:rPr>
          <w:rFonts w:ascii="Arial" w:eastAsia="Times New Roman" w:hAnsi="Arial" w:cs="Arial"/>
          <w:sz w:val="24"/>
          <w:szCs w:val="24"/>
          <w:lang w:val="es-ES_tradnl" w:eastAsia="es-ES"/>
        </w:rPr>
        <w:t>del</w:t>
      </w:r>
      <w:r>
        <w:rPr>
          <w:rFonts w:ascii="Arial" w:hAnsi="Arial" w:cs="Arial"/>
          <w:sz w:val="24"/>
          <w:szCs w:val="24"/>
        </w:rPr>
        <w:t xml:space="preserve"> Municipio de Oaxaca de Juárez, Oaxaca, se le admitió copia certificada de nombramiento y protesta de ley.</w:t>
      </w:r>
    </w:p>
    <w:p w:rsidR="00F441A3" w:rsidRDefault="00F441A3" w:rsidP="00F441A3">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Al </w:t>
      </w:r>
      <w:r w:rsidRPr="007D1A41">
        <w:rPr>
          <w:rFonts w:ascii="Arial" w:eastAsia="Times New Roman" w:hAnsi="Arial" w:cs="Arial"/>
          <w:sz w:val="24"/>
          <w:szCs w:val="24"/>
          <w:lang w:val="es-ES_tradnl" w:eastAsia="es-ES"/>
        </w:rPr>
        <w:t xml:space="preserve">acta de infracción </w:t>
      </w:r>
      <w:r>
        <w:rPr>
          <w:rFonts w:ascii="Arial" w:eastAsia="Times New Roman" w:hAnsi="Arial" w:cs="Arial"/>
          <w:sz w:val="24"/>
          <w:szCs w:val="24"/>
          <w:lang w:val="es-ES_tradnl" w:eastAsia="es-ES"/>
        </w:rPr>
        <w:t xml:space="preserve">y al nombramiento remitido por la autoridad demandada, se le concede </w:t>
      </w:r>
      <w:r w:rsidRPr="00F466A1">
        <w:rPr>
          <w:rFonts w:ascii="Arial" w:eastAsia="Times New Roman" w:hAnsi="Arial" w:cs="Arial"/>
          <w:b/>
          <w:sz w:val="24"/>
          <w:szCs w:val="24"/>
          <w:lang w:val="es-ES_tradnl" w:eastAsia="es-ES"/>
        </w:rPr>
        <w:t>pleno valor probatorio</w:t>
      </w:r>
      <w:r>
        <w:rPr>
          <w:rFonts w:ascii="Arial" w:eastAsia="Times New Roman" w:hAnsi="Arial" w:cs="Arial"/>
          <w:sz w:val="24"/>
          <w:szCs w:val="24"/>
          <w:lang w:val="es-ES_tradnl" w:eastAsia="es-ES"/>
        </w:rPr>
        <w:t xml:space="preserve">, en atención a que el primero de los mencionados es un documento público y original, aunado al hecho de que la autoridad demandada que la emitió la hizo suya al contestar la demanda; y por lo que respecta al nombramiento, fue certificado por una persona con plenas facultades para ello como es el </w:t>
      </w:r>
      <w:r>
        <w:rPr>
          <w:rFonts w:ascii="Arial" w:hAnsi="Arial" w:cs="Arial"/>
          <w:sz w:val="24"/>
          <w:szCs w:val="24"/>
        </w:rPr>
        <w:t xml:space="preserve">Secretario del Ayuntamiento del Municipio de Oaxaca de Juárez, Oaxaca, quien actuó de </w:t>
      </w:r>
      <w:r>
        <w:rPr>
          <w:rFonts w:ascii="Arial" w:hAnsi="Arial" w:cs="Arial"/>
          <w:sz w:val="24"/>
          <w:szCs w:val="24"/>
        </w:rPr>
        <w:lastRenderedPageBreak/>
        <w:t>conformidad con lo dispuesto en los artículos 92 fracción IV de la Ley Orgánica Municipal del Estado de Oaxaca y 207 fracción VI del Bando de Policía y Buen Gobierno del Municipio de Oaxaca de Juárez, Oaxaca, por lo que dichos documentos generan convicción sobre su existencia y la veracidad de su contenido.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 xml:space="preserve">QUE CORRESPONDE A LO REPRESENTADO EN ELLAS”, CONTENIDA EN EL ARTÍCULO 217 DEL CÓDIGO FEDERAL DE PROCEDIMIENTOS CIVILES, TRATÁNDOSE DE LA </w:t>
      </w:r>
      <w:r w:rsidRPr="00974CB3">
        <w:rPr>
          <w:rFonts w:ascii="Arial" w:hAnsi="Arial" w:cs="Arial"/>
          <w:i/>
          <w:sz w:val="24"/>
          <w:szCs w:val="24"/>
        </w:rPr>
        <w:t>EMITIDA POR AUTORIDADES ADMINISTRATIVAS EN EJERCICIO DE SUS FUNCIONES.</w:t>
      </w:r>
      <w:r w:rsidRPr="00974CB3">
        <w:rPr>
          <w:rFonts w:ascii="Arial" w:hAnsi="Arial" w:cs="Arial"/>
          <w:sz w:val="24"/>
          <w:szCs w:val="24"/>
        </w:rPr>
        <w:t>”</w:t>
      </w:r>
    </w:p>
    <w:p w:rsidR="00F441A3" w:rsidRDefault="00F441A3" w:rsidP="00F441A3">
      <w:pPr>
        <w:spacing w:line="360" w:lineRule="auto"/>
        <w:ind w:firstLine="708"/>
        <w:jc w:val="both"/>
        <w:rPr>
          <w:rFonts w:ascii="Arial" w:hAnsi="Arial" w:cs="Arial"/>
          <w:sz w:val="24"/>
          <w:szCs w:val="24"/>
        </w:rPr>
      </w:pPr>
      <w:r>
        <w:rPr>
          <w:rFonts w:ascii="Arial" w:hAnsi="Arial" w:cs="Arial"/>
          <w:sz w:val="24"/>
          <w:szCs w:val="24"/>
        </w:rPr>
        <w:t xml:space="preserve">Al documento que en copia simple remitió el actor (credencial para votar con fotografía),se le otorga </w:t>
      </w:r>
      <w:r w:rsidRPr="007E4100">
        <w:rPr>
          <w:rFonts w:ascii="Arial" w:hAnsi="Arial" w:cs="Arial"/>
          <w:b/>
          <w:sz w:val="24"/>
          <w:szCs w:val="24"/>
        </w:rPr>
        <w:t>valor probatorio indiciario</w:t>
      </w:r>
      <w:r>
        <w:rPr>
          <w:rFonts w:ascii="Arial" w:hAnsi="Arial" w:cs="Arial"/>
          <w:sz w:val="24"/>
          <w:szCs w:val="24"/>
        </w:rPr>
        <w:t xml:space="preserve">, porque se encuentra adminiculada con el acta de infracción, resultando coincidentes los nombres que aparecen en ambos documentos, por lo tanto no es una probanza aislada, razón por las que se le otorga ese </w:t>
      </w:r>
      <w:r w:rsidRPr="007E4100">
        <w:rPr>
          <w:rFonts w:ascii="Arial" w:hAnsi="Arial" w:cs="Arial"/>
          <w:sz w:val="24"/>
          <w:szCs w:val="24"/>
        </w:rPr>
        <w:t>valor probatorio</w:t>
      </w:r>
      <w:r>
        <w:rPr>
          <w:rFonts w:ascii="Arial" w:hAnsi="Arial" w:cs="Arial"/>
          <w:sz w:val="24"/>
          <w:szCs w:val="24"/>
        </w:rPr>
        <w:t>, sirve de apoyo a lo anterior, la jurisprudencia  sustentada por la Suprema Corte de Justicia de la Nación con datos de identificación: Semanario Judicial de la Federación y su Gaceta, Tomo III, Mayo de 1996, Novena Época, pág. 510, registro 202550, Jurisprudencia Común, Tribunales Colegiados de Circuito y bajo el rubro: “</w:t>
      </w:r>
      <w:r w:rsidRPr="009E6B5C">
        <w:rPr>
          <w:rFonts w:ascii="Arial" w:hAnsi="Arial" w:cs="Arial"/>
          <w:i/>
          <w:sz w:val="24"/>
          <w:szCs w:val="24"/>
        </w:rPr>
        <w:t>DOCUMENTOS OFRECIDOS EN FOTOCOPIAS SIMPLES, VALOR PROBATORIO DE</w:t>
      </w:r>
      <w:r w:rsidRPr="009E6B5C">
        <w:rPr>
          <w:rFonts w:ascii="Arial" w:hAnsi="Arial" w:cs="Arial"/>
          <w:sz w:val="24"/>
          <w:szCs w:val="24"/>
        </w:rPr>
        <w:t>.</w:t>
      </w:r>
      <w:r>
        <w:rPr>
          <w:rFonts w:ascii="Arial" w:hAnsi="Arial" w:cs="Arial"/>
          <w:sz w:val="24"/>
          <w:szCs w:val="24"/>
        </w:rPr>
        <w:t>”</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Luego entonces, 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F441A3" w:rsidRDefault="00F441A3" w:rsidP="00F441A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policía vial demandado, se constituye de la totalidad de las pruebas recabadas en el presente Juicio, y con ellas se confirma el contenido del </w:t>
      </w:r>
      <w:r>
        <w:rPr>
          <w:rFonts w:ascii="Arial" w:hAnsi="Arial" w:cs="Arial"/>
          <w:sz w:val="24"/>
          <w:szCs w:val="24"/>
        </w:rPr>
        <w:lastRenderedPageBreak/>
        <w:t>enjuiciamiento, porque los hechos contenidos en las documentales son afirmaciones expresadas por ellas.</w:t>
      </w:r>
    </w:p>
    <w:p w:rsidR="00F441A3" w:rsidRDefault="00F441A3" w:rsidP="00F441A3">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antes referidos, se basa en los principios que las rigen, consistentes en determinar la consecuencia que la ley deduce de un hecho conocido, para 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conocido, obtenido de la totalidad de las pruebas para arribar al que se desconoce. - - - - - - - - - - - - - - - - - - - - - - - - - - - - - - </w:t>
      </w:r>
      <w:r w:rsidR="00142F70">
        <w:rPr>
          <w:rFonts w:ascii="Arial" w:hAnsi="Arial" w:cs="Arial"/>
          <w:sz w:val="24"/>
          <w:szCs w:val="24"/>
        </w:rPr>
        <w:t>- -</w:t>
      </w:r>
    </w:p>
    <w:p w:rsidR="00F441A3" w:rsidRDefault="00F441A3" w:rsidP="00F441A3">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Esta Juzgadora, no realiza la transcripción de los agravios vertidos por la</w:t>
      </w:r>
      <w:r>
        <w:rPr>
          <w:rFonts w:ascii="Arial" w:hAnsi="Arial" w:cs="Arial"/>
          <w:sz w:val="24"/>
        </w:rPr>
        <w:t xml:space="preserve"> parte</w:t>
      </w:r>
      <w:r w:rsidRPr="00653BD0">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w:t>
      </w:r>
      <w:r w:rsidR="00142F70">
        <w:rPr>
          <w:rFonts w:ascii="Arial" w:hAnsi="Arial" w:cs="Arial"/>
          <w:sz w:val="24"/>
        </w:rPr>
        <w:t>- - - - - - - - - - - - - - - -</w:t>
      </w:r>
    </w:p>
    <w:p w:rsidR="00F441A3" w:rsidRDefault="00F441A3" w:rsidP="00F441A3">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w:t>
      </w:r>
      <w:r w:rsidRPr="00626666">
        <w:rPr>
          <w:rFonts w:ascii="Arial" w:hAnsi="Arial" w:cs="Arial"/>
          <w:b/>
          <w:sz w:val="24"/>
          <w:szCs w:val="24"/>
        </w:rPr>
        <w:t>TO.-</w:t>
      </w:r>
      <w:proofErr w:type="gramEnd"/>
      <w:r w:rsidRPr="00626666">
        <w:rPr>
          <w:rFonts w:ascii="Arial" w:hAnsi="Arial" w:cs="Arial"/>
          <w:b/>
          <w:sz w:val="24"/>
          <w:szCs w:val="24"/>
        </w:rPr>
        <w:t xml:space="preserve"> </w:t>
      </w:r>
      <w:r w:rsidRPr="00626666">
        <w:rPr>
          <w:rFonts w:ascii="Arial" w:hAnsi="Arial" w:cs="Arial"/>
          <w:sz w:val="24"/>
          <w:szCs w:val="24"/>
        </w:rPr>
        <w:t xml:space="preserve">La personalidad del actor C. </w:t>
      </w:r>
      <w:r w:rsidR="00DD4D32">
        <w:rPr>
          <w:rFonts w:ascii="Arial" w:hAnsi="Arial" w:cs="Arial"/>
          <w:sz w:val="24"/>
          <w:szCs w:val="24"/>
        </w:rPr>
        <w:t>***** ***** *****</w:t>
      </w:r>
      <w:r w:rsidRPr="00626666">
        <w:rPr>
          <w:rFonts w:ascii="Arial" w:hAnsi="Arial" w:cs="Arial"/>
          <w:sz w:val="24"/>
          <w:szCs w:val="24"/>
        </w:rPr>
        <w:t>,</w:t>
      </w:r>
      <w:r>
        <w:rPr>
          <w:rFonts w:ascii="Arial" w:hAnsi="Arial" w:cs="Arial"/>
          <w:sz w:val="24"/>
          <w:szCs w:val="24"/>
        </w:rPr>
        <w:t xml:space="preserve"> quedó legalmente acreditada en términos de los artículos 163 fracción I, inciso a) y 164, ambos de la Ley de Procedimiento y Justicia Administrativa para el Estado, pues su nombre aparece plasmado en el acta de infracción impugnada, por lo que no se infiere que fue a él y no a persona distinta a la que fue dirigida, justificándose así su personalidad jurídica y legítima en el presente Juicio.</w:t>
      </w:r>
    </w:p>
    <w:p w:rsidR="00F441A3" w:rsidRPr="00104EF9" w:rsidRDefault="00F441A3" w:rsidP="00F441A3">
      <w:pPr>
        <w:tabs>
          <w:tab w:val="center" w:pos="4574"/>
        </w:tabs>
        <w:spacing w:line="360" w:lineRule="auto"/>
        <w:ind w:firstLine="708"/>
        <w:jc w:val="both"/>
        <w:rPr>
          <w:rFonts w:ascii="Arial" w:hAnsi="Arial" w:cs="Arial"/>
          <w:sz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w:t>
      </w:r>
      <w:r>
        <w:rPr>
          <w:rFonts w:ascii="Arial" w:hAnsi="Arial" w:cs="Arial"/>
          <w:b/>
          <w:sz w:val="24"/>
        </w:rPr>
        <w:t>ridad</w:t>
      </w:r>
      <w:r w:rsidRPr="00104EF9">
        <w:rPr>
          <w:rFonts w:ascii="Arial" w:hAnsi="Arial" w:cs="Arial"/>
          <w:b/>
          <w:sz w:val="24"/>
        </w:rPr>
        <w:t xml:space="preserve"> demandada</w:t>
      </w:r>
      <w:r w:rsidRPr="00104EF9">
        <w:rPr>
          <w:rFonts w:ascii="Arial" w:hAnsi="Arial" w:cs="Arial"/>
          <w:sz w:val="24"/>
        </w:rPr>
        <w:t xml:space="preserve"> </w:t>
      </w:r>
      <w:r>
        <w:rPr>
          <w:rFonts w:ascii="Arial" w:hAnsi="Arial" w:cs="Arial"/>
          <w:sz w:val="24"/>
          <w:szCs w:val="24"/>
        </w:rPr>
        <w:t xml:space="preserve">C. RICARDO SÁNCHEZ AQUINO, Policía Vial con número estadístico 124, </w:t>
      </w:r>
      <w:r>
        <w:rPr>
          <w:rFonts w:ascii="Arial" w:eastAsia="Times New Roman" w:hAnsi="Arial" w:cs="Arial"/>
          <w:sz w:val="24"/>
          <w:szCs w:val="24"/>
          <w:lang w:val="es-ES_tradnl" w:eastAsia="es-ES"/>
        </w:rPr>
        <w:t>de la Comisaría de Vialidad del</w:t>
      </w:r>
      <w:r>
        <w:rPr>
          <w:rFonts w:ascii="Arial" w:hAnsi="Arial" w:cs="Arial"/>
          <w:sz w:val="24"/>
          <w:szCs w:val="24"/>
        </w:rPr>
        <w:t xml:space="preserve"> Municipio de Oaxaca de Juárez, Oaxaca</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Pr>
          <w:rFonts w:ascii="Arial" w:hAnsi="Arial" w:cs="Arial"/>
          <w:sz w:val="24"/>
        </w:rPr>
        <w:t>por no haber sido</w:t>
      </w:r>
      <w:r w:rsidRPr="00104EF9">
        <w:rPr>
          <w:rFonts w:ascii="Arial" w:hAnsi="Arial" w:cs="Arial"/>
          <w:sz w:val="24"/>
        </w:rPr>
        <w:t xml:space="preserve"> impugnada por la parte actora</w:t>
      </w:r>
      <w:r>
        <w:rPr>
          <w:rFonts w:ascii="Arial" w:hAnsi="Arial" w:cs="Arial"/>
          <w:sz w:val="24"/>
        </w:rPr>
        <w:t xml:space="preserve">, máxime que remitió copia certificada de su nombramiento y protesta de ley, documento con pleno valor probatorio como se indicó e líneas que anteceden </w:t>
      </w:r>
      <w:r w:rsidRPr="00104EF9">
        <w:rPr>
          <w:rFonts w:ascii="Arial" w:hAnsi="Arial" w:cs="Arial"/>
          <w:sz w:val="24"/>
        </w:rPr>
        <w:t xml:space="preserve">.- - - - </w:t>
      </w:r>
      <w:r>
        <w:rPr>
          <w:rFonts w:ascii="Arial" w:hAnsi="Arial" w:cs="Arial"/>
          <w:sz w:val="24"/>
        </w:rPr>
        <w:t xml:space="preserve">- - </w:t>
      </w:r>
      <w:r w:rsidR="00142F70">
        <w:rPr>
          <w:rFonts w:ascii="Arial" w:hAnsi="Arial" w:cs="Arial"/>
          <w:sz w:val="24"/>
        </w:rPr>
        <w:t xml:space="preserve">- - - - - - - - - - - - - </w:t>
      </w:r>
    </w:p>
    <w:p w:rsidR="00F441A3" w:rsidRDefault="00F441A3" w:rsidP="00F441A3">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lastRenderedPageBreak/>
        <w:t>QUINTO.-</w:t>
      </w:r>
      <w:proofErr w:type="gramEnd"/>
      <w:r>
        <w:rPr>
          <w:rFonts w:ascii="Arial" w:hAnsi="Arial" w:cs="Arial"/>
          <w:b/>
          <w:sz w:val="24"/>
          <w:szCs w:val="24"/>
        </w:rPr>
        <w:t xml:space="preserve"> </w:t>
      </w:r>
      <w:r>
        <w:rPr>
          <w:rFonts w:ascii="Arial" w:hAnsi="Arial" w:cs="Arial"/>
          <w:sz w:val="24"/>
          <w:szCs w:val="24"/>
        </w:rPr>
        <w:t xml:space="preserve">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rsidR="00F441A3" w:rsidRDefault="00F441A3" w:rsidP="00F441A3">
      <w:pPr>
        <w:pStyle w:val="corte4fondoCarCarCar"/>
        <w:spacing w:before="240"/>
        <w:ind w:firstLine="708"/>
        <w:rPr>
          <w:rFonts w:cs="Arial"/>
          <w:bCs/>
          <w:sz w:val="24"/>
        </w:rPr>
      </w:pPr>
      <w:r>
        <w:rPr>
          <w:rFonts w:cs="Arial"/>
          <w:bCs/>
          <w:sz w:val="24"/>
        </w:rPr>
        <w:t xml:space="preserve">La autoridad demandada considera </w:t>
      </w:r>
      <w:proofErr w:type="gramStart"/>
      <w:r>
        <w:rPr>
          <w:rFonts w:cs="Arial"/>
          <w:bCs/>
          <w:sz w:val="24"/>
        </w:rPr>
        <w:t>que</w:t>
      </w:r>
      <w:proofErr w:type="gramEnd"/>
      <w:r>
        <w:rPr>
          <w:rFonts w:cs="Arial"/>
          <w:bCs/>
          <w:sz w:val="24"/>
        </w:rPr>
        <w:t xml:space="preserve"> en el presente caso, se actualizan las causales de improcedencia, previstas en las fracciones V, VI y X del artículo 161 de la Ley de la Materia, referentes a los actos consumados, a los </w:t>
      </w:r>
      <w:r w:rsidRPr="007A4800">
        <w:rPr>
          <w:rFonts w:cs="Arial"/>
          <w:bCs/>
          <w:sz w:val="24"/>
        </w:rPr>
        <w:t>consentidos y a los que la improcedencia resulte de alguna disposición de la ley.</w:t>
      </w:r>
    </w:p>
    <w:p w:rsidR="00F441A3" w:rsidRPr="001D6227" w:rsidRDefault="00F441A3" w:rsidP="00F441A3">
      <w:pPr>
        <w:pStyle w:val="corte4fondoCarCarCar"/>
        <w:spacing w:before="240"/>
        <w:ind w:firstLine="708"/>
        <w:rPr>
          <w:rFonts w:cs="Arial"/>
          <w:sz w:val="24"/>
        </w:rPr>
      </w:pPr>
      <w:r>
        <w:rPr>
          <w:rFonts w:cs="Arial"/>
          <w:bCs/>
          <w:sz w:val="24"/>
        </w:rPr>
        <w:t xml:space="preserve">Esta Juzgadora toma en cuenta, que </w:t>
      </w:r>
      <w:r>
        <w:rPr>
          <w:rFonts w:cs="Arial"/>
          <w:sz w:val="24"/>
        </w:rPr>
        <w:t>la</w:t>
      </w:r>
      <w:r>
        <w:rPr>
          <w:rFonts w:cs="Arial"/>
          <w:b/>
          <w:sz w:val="24"/>
        </w:rPr>
        <w:t xml:space="preserve"> fracción V,</w:t>
      </w:r>
      <w:r>
        <w:rPr>
          <w:rFonts w:cs="Arial"/>
          <w:sz w:val="24"/>
        </w:rPr>
        <w:t xml:space="preserve"> del artículo 161 de la ley en cita, </w:t>
      </w:r>
      <w:r w:rsidRPr="00127C9A">
        <w:rPr>
          <w:rFonts w:cs="Arial"/>
          <w:sz w:val="24"/>
        </w:rPr>
        <w:t>establece la improcedencia contra actos consumados de un modo irreparable</w:t>
      </w:r>
      <w:r>
        <w:rPr>
          <w:rFonts w:cs="Arial"/>
          <w:sz w:val="24"/>
        </w:rPr>
        <w:t xml:space="preserve">, dicha hipótesis </w:t>
      </w:r>
      <w:r w:rsidRPr="00FF4BAD">
        <w:rPr>
          <w:rFonts w:cs="Arial"/>
          <w:b/>
          <w:sz w:val="24"/>
        </w:rPr>
        <w:t>no se actualiza</w:t>
      </w:r>
      <w:r>
        <w:rPr>
          <w:rFonts w:cs="Arial"/>
          <w:sz w:val="24"/>
        </w:rPr>
        <w:t>, porque se debe analizar si el acta de infracción es un acto consumado y de modo irreparable, atendiendo</w:t>
      </w:r>
      <w:r>
        <w:rPr>
          <w:rFonts w:cs="Arial"/>
          <w:color w:val="000000"/>
          <w:sz w:val="24"/>
        </w:rPr>
        <w:t xml:space="preserve"> su naturaleza y efectos, y se tiene que los actos se clasifican</w:t>
      </w:r>
      <w:r w:rsidRPr="00DF4A02">
        <w:rPr>
          <w:rFonts w:cs="Arial"/>
          <w:color w:val="000000"/>
          <w:sz w:val="24"/>
        </w:rPr>
        <w:t xml:space="preserve"> en: a) actos consumados de modo reparable y b) actos </w:t>
      </w:r>
      <w:r>
        <w:rPr>
          <w:rFonts w:cs="Arial"/>
          <w:color w:val="000000"/>
          <w:sz w:val="24"/>
        </w:rPr>
        <w:t>consumados de modo irreparable; l</w:t>
      </w:r>
      <w:r w:rsidRPr="00DF4A02">
        <w:rPr>
          <w:rFonts w:cs="Arial"/>
          <w:color w:val="000000"/>
          <w:sz w:val="24"/>
        </w:rPr>
        <w:t xml:space="preserve">os primeros son aquéllos </w:t>
      </w:r>
      <w:r>
        <w:rPr>
          <w:rFonts w:cs="Arial"/>
          <w:color w:val="000000"/>
          <w:sz w:val="24"/>
        </w:rPr>
        <w:t xml:space="preserve">cuya ejecución o consumación del acto </w:t>
      </w:r>
      <w:r w:rsidRPr="00DF4A02">
        <w:rPr>
          <w:rFonts w:cs="Arial"/>
          <w:color w:val="000000"/>
          <w:sz w:val="24"/>
        </w:rPr>
        <w:t>puede ser restituida o reparable al obt</w:t>
      </w:r>
      <w:r>
        <w:rPr>
          <w:rFonts w:cs="Arial"/>
          <w:color w:val="000000"/>
          <w:sz w:val="24"/>
        </w:rPr>
        <w:t>enerse una sentencia  favorable; e</w:t>
      </w:r>
      <w:r w:rsidRPr="00DF4A02">
        <w:rPr>
          <w:rFonts w:cs="Arial"/>
          <w:color w:val="000000"/>
          <w:sz w:val="24"/>
        </w:rPr>
        <w:t>n cambio, los actos consumados de modo irreparable, son aquéllos que al realizarse en todos y cada uno de sus efectos y consecuencias, física y materialmente, ya no pueden ser restituidos al estado en que se encontraban ante</w:t>
      </w:r>
      <w:r>
        <w:rPr>
          <w:rFonts w:cs="Arial"/>
          <w:color w:val="000000"/>
          <w:sz w:val="24"/>
        </w:rPr>
        <w:t>s de las violaciones reclamadas</w:t>
      </w:r>
      <w:r w:rsidRPr="00DF4A02">
        <w:rPr>
          <w:rFonts w:cs="Arial"/>
          <w:color w:val="000000"/>
          <w:sz w:val="24"/>
        </w:rPr>
        <w:t xml:space="preserve">. </w:t>
      </w:r>
      <w:r>
        <w:rPr>
          <w:rFonts w:cs="Arial"/>
          <w:color w:val="000000"/>
          <w:sz w:val="24"/>
        </w:rPr>
        <w:t>Por lo tanto</w:t>
      </w:r>
      <w:r w:rsidRPr="00DF4A02">
        <w:rPr>
          <w:rFonts w:cs="Arial"/>
          <w:color w:val="000000"/>
          <w:sz w:val="24"/>
        </w:rPr>
        <w:t xml:space="preserve">, para determinar si se está en presencia de un acto consumado de modo reparable o irreparable, se debe atender a los efectos </w:t>
      </w:r>
      <w:r>
        <w:rPr>
          <w:rFonts w:cs="Arial"/>
          <w:color w:val="000000"/>
          <w:sz w:val="24"/>
        </w:rPr>
        <w:t>y consecuencias de su ejecución;</w:t>
      </w:r>
      <w:r w:rsidRPr="00DF4A02">
        <w:rPr>
          <w:rFonts w:cs="Arial"/>
          <w:color w:val="000000"/>
          <w:sz w:val="24"/>
        </w:rPr>
        <w:t xml:space="preserve"> </w:t>
      </w:r>
      <w:r>
        <w:rPr>
          <w:rFonts w:cs="Arial"/>
          <w:color w:val="000000"/>
          <w:sz w:val="24"/>
        </w:rPr>
        <w:t>luego entonces,</w:t>
      </w:r>
      <w:r w:rsidRPr="00DF4A02">
        <w:rPr>
          <w:rFonts w:cs="Arial"/>
          <w:color w:val="000000"/>
          <w:sz w:val="24"/>
        </w:rPr>
        <w:t xml:space="preserve"> los efectos y consecuencias del acto reclamado</w:t>
      </w:r>
      <w:r>
        <w:rPr>
          <w:rFonts w:cs="Arial"/>
          <w:color w:val="000000"/>
          <w:sz w:val="24"/>
        </w:rPr>
        <w:t>,</w:t>
      </w:r>
      <w:r w:rsidRPr="00DF4A02">
        <w:rPr>
          <w:rFonts w:cs="Arial"/>
          <w:color w:val="000000"/>
          <w:sz w:val="24"/>
        </w:rPr>
        <w:t xml:space="preserve"> ya ejecutado</w:t>
      </w:r>
      <w:r>
        <w:rPr>
          <w:rFonts w:cs="Arial"/>
          <w:color w:val="000000"/>
          <w:sz w:val="24"/>
        </w:rPr>
        <w:t>,</w:t>
      </w:r>
      <w:r w:rsidRPr="00DF4A02">
        <w:rPr>
          <w:rFonts w:cs="Arial"/>
          <w:color w:val="000000"/>
          <w:sz w:val="24"/>
        </w:rPr>
        <w:t xml:space="preserve"> no pueden circunscribirse al tiempo o momento de su ejecución</w:t>
      </w:r>
      <w:r>
        <w:rPr>
          <w:rFonts w:cs="Arial"/>
          <w:color w:val="000000"/>
          <w:sz w:val="24"/>
        </w:rPr>
        <w:t>,</w:t>
      </w:r>
      <w:r w:rsidRPr="00DF4A02">
        <w:rPr>
          <w:rFonts w:cs="Arial"/>
          <w:color w:val="000000"/>
          <w:sz w:val="24"/>
        </w:rPr>
        <w:t xml:space="preserve"> para determinar la </w:t>
      </w:r>
      <w:r>
        <w:rPr>
          <w:rFonts w:cs="Arial"/>
          <w:color w:val="000000"/>
          <w:sz w:val="24"/>
        </w:rPr>
        <w:t>procedencia del juicio</w:t>
      </w:r>
      <w:r w:rsidRPr="00DF4A02">
        <w:rPr>
          <w:rFonts w:cs="Arial"/>
          <w:color w:val="000000"/>
          <w:sz w:val="24"/>
        </w:rPr>
        <w:t>, porque llegaríamos al extremo de que cualquier acto por el solo hecho del transcurso del tiempo en su realización, por no retrotraerse éste, es un acto consumado de modo irreparable, cuando la restitución del acto ejecutado es factible</w:t>
      </w:r>
      <w:r>
        <w:rPr>
          <w:rFonts w:cs="Arial"/>
          <w:color w:val="000000"/>
          <w:sz w:val="24"/>
        </w:rPr>
        <w:t>,</w:t>
      </w:r>
      <w:r w:rsidRPr="00DF4A02">
        <w:rPr>
          <w:rFonts w:cs="Arial"/>
          <w:color w:val="000000"/>
          <w:sz w:val="24"/>
        </w:rPr>
        <w:t xml:space="preserve"> aun cuan</w:t>
      </w:r>
      <w:r>
        <w:rPr>
          <w:rFonts w:cs="Arial"/>
          <w:color w:val="000000"/>
          <w:sz w:val="24"/>
        </w:rPr>
        <w:t>do sea en otro tiempo y momento; l</w:t>
      </w:r>
      <w:r w:rsidRPr="00DF4A02">
        <w:rPr>
          <w:rFonts w:cs="Arial"/>
          <w:color w:val="000000"/>
          <w:sz w:val="24"/>
        </w:rPr>
        <w:t>o que significa que la naturaleza de los actos consumados</w:t>
      </w:r>
      <w:r>
        <w:rPr>
          <w:rFonts w:cs="Arial"/>
          <w:color w:val="000000"/>
          <w:sz w:val="24"/>
        </w:rPr>
        <w:t>,</w:t>
      </w:r>
      <w:r w:rsidRPr="00DF4A02">
        <w:rPr>
          <w:rFonts w:cs="Arial"/>
          <w:color w:val="000000"/>
          <w:sz w:val="24"/>
        </w:rPr>
        <w:t xml:space="preserve"> debe atender a la </w:t>
      </w:r>
      <w:proofErr w:type="spellStart"/>
      <w:r w:rsidRPr="00DF4A02">
        <w:rPr>
          <w:rFonts w:cs="Arial"/>
          <w:color w:val="000000"/>
          <w:sz w:val="24"/>
        </w:rPr>
        <w:t>reparabilidad</w:t>
      </w:r>
      <w:proofErr w:type="spellEnd"/>
      <w:r w:rsidRPr="00DF4A02">
        <w:rPr>
          <w:rFonts w:cs="Arial"/>
          <w:color w:val="000000"/>
          <w:sz w:val="24"/>
        </w:rPr>
        <w:t xml:space="preserve"> física y material de los mismos, es decir, al hecho </w:t>
      </w:r>
      <w:r w:rsidRPr="00DF4A02">
        <w:rPr>
          <w:rFonts w:cs="Arial"/>
          <w:color w:val="000000"/>
          <w:sz w:val="24"/>
        </w:rPr>
        <w:lastRenderedPageBreak/>
        <w:t xml:space="preserve">de que el gobernado pueda gozar jurídica y nuevamente del derecho que tiene tutelado, y que le fue transgredido, </w:t>
      </w:r>
      <w:r>
        <w:rPr>
          <w:rFonts w:cs="Arial"/>
          <w:color w:val="000000"/>
          <w:sz w:val="24"/>
        </w:rPr>
        <w:t xml:space="preserve">porque </w:t>
      </w:r>
      <w:r w:rsidRPr="00DF4A02">
        <w:rPr>
          <w:rFonts w:cs="Arial"/>
          <w:color w:val="000000"/>
          <w:sz w:val="24"/>
        </w:rPr>
        <w:t>el tiempo no rige la materialización física y restituible de los actos ejecutados (actos consumados). Criterio sustentado en la tesis jurisprudencial</w:t>
      </w:r>
      <w:r>
        <w:rPr>
          <w:rFonts w:cs="Arial"/>
          <w:color w:val="000000"/>
          <w:sz w:val="24"/>
        </w:rPr>
        <w:t>,</w:t>
      </w:r>
      <w:r w:rsidRPr="00DF4A02">
        <w:rPr>
          <w:rFonts w:cs="Arial"/>
          <w:color w:val="000000"/>
          <w:sz w:val="24"/>
        </w:rPr>
        <w:t xml:space="preserve"> con datos de identificación: Semanario Judicial de la Federación, Tomo XIV, </w:t>
      </w:r>
      <w:proofErr w:type="gramStart"/>
      <w:r w:rsidRPr="00DF4A02">
        <w:rPr>
          <w:rFonts w:cs="Arial"/>
          <w:color w:val="000000"/>
          <w:sz w:val="24"/>
        </w:rPr>
        <w:t>Diciembre</w:t>
      </w:r>
      <w:proofErr w:type="gramEnd"/>
      <w:r w:rsidRPr="00DF4A02">
        <w:rPr>
          <w:rFonts w:cs="Arial"/>
          <w:color w:val="000000"/>
          <w:sz w:val="24"/>
        </w:rPr>
        <w:t xml:space="preserve"> de 1994, Octava Época, pág. 325, número de registro 209662, Tesis Aislada (Común), Tribunales Colegiados de Circuito, cuyo rubro es “</w:t>
      </w:r>
      <w:r w:rsidRPr="00DF4A02">
        <w:rPr>
          <w:rFonts w:cs="Arial"/>
          <w:b/>
          <w:bCs/>
          <w:i/>
          <w:color w:val="000000"/>
          <w:sz w:val="24"/>
        </w:rPr>
        <w:t>ACTOS CONSUMADOS. PRO</w:t>
      </w:r>
      <w:r>
        <w:rPr>
          <w:rFonts w:cs="Arial"/>
          <w:b/>
          <w:bCs/>
          <w:i/>
          <w:color w:val="000000"/>
          <w:sz w:val="24"/>
        </w:rPr>
        <w:t xml:space="preserve">CEDENCIA DEL JUICIO DE AMPARO”. </w:t>
      </w:r>
    </w:p>
    <w:p w:rsidR="00F441A3" w:rsidRPr="00DF4A02" w:rsidRDefault="00F441A3" w:rsidP="00F441A3">
      <w:pPr>
        <w:tabs>
          <w:tab w:val="left" w:pos="284"/>
          <w:tab w:val="left" w:pos="567"/>
        </w:tabs>
        <w:spacing w:before="240" w:line="360" w:lineRule="auto"/>
        <w:jc w:val="both"/>
        <w:rPr>
          <w:rFonts w:ascii="Arial" w:hAnsi="Arial" w:cs="Arial"/>
          <w:sz w:val="24"/>
          <w:szCs w:val="24"/>
        </w:rPr>
      </w:pPr>
      <w:r w:rsidRPr="00DF4A02">
        <w:rPr>
          <w:rFonts w:ascii="Arial" w:hAnsi="Arial" w:cs="Arial"/>
          <w:sz w:val="24"/>
          <w:szCs w:val="24"/>
        </w:rPr>
        <w:tab/>
        <w:t xml:space="preserve">      Respecto a la hipótesis contenida en</w:t>
      </w:r>
      <w:r w:rsidRPr="00DF4A02">
        <w:rPr>
          <w:rFonts w:ascii="Arial" w:hAnsi="Arial" w:cs="Arial"/>
          <w:b/>
          <w:sz w:val="24"/>
          <w:szCs w:val="24"/>
        </w:rPr>
        <w:t xml:space="preserve"> la fracción VI</w:t>
      </w:r>
      <w:r w:rsidRPr="00DF4A02">
        <w:rPr>
          <w:rFonts w:ascii="Arial" w:hAnsi="Arial" w:cs="Arial"/>
          <w:sz w:val="24"/>
          <w:szCs w:val="24"/>
        </w:rPr>
        <w:t xml:space="preserve">, </w:t>
      </w:r>
      <w:r>
        <w:rPr>
          <w:rFonts w:ascii="Arial" w:hAnsi="Arial" w:cs="Arial"/>
          <w:sz w:val="24"/>
          <w:szCs w:val="24"/>
        </w:rPr>
        <w:t xml:space="preserve">del citado artículo, </w:t>
      </w:r>
      <w:r w:rsidRPr="00127C9A">
        <w:rPr>
          <w:rFonts w:ascii="Arial" w:hAnsi="Arial" w:cs="Arial"/>
          <w:sz w:val="24"/>
        </w:rPr>
        <w:t>que contempla la improcedencia contra actos consentidos expresamente o por</w:t>
      </w:r>
      <w:r>
        <w:rPr>
          <w:rFonts w:ascii="Arial" w:hAnsi="Arial" w:cs="Arial"/>
          <w:sz w:val="24"/>
        </w:rPr>
        <w:t xml:space="preserve"> manifestaciones de la voluntad, </w:t>
      </w:r>
      <w:r w:rsidRPr="00127C9A">
        <w:rPr>
          <w:rFonts w:ascii="Arial" w:hAnsi="Arial" w:cs="Arial"/>
          <w:sz w:val="24"/>
        </w:rPr>
        <w:t>que entrañen ese consentimiento, cuando no se promueva el juicio dentro del término</w:t>
      </w:r>
      <w:r>
        <w:rPr>
          <w:rFonts w:ascii="Arial" w:hAnsi="Arial" w:cs="Arial"/>
          <w:sz w:val="24"/>
          <w:szCs w:val="24"/>
        </w:rPr>
        <w:t>,</w:t>
      </w:r>
      <w:r w:rsidRPr="00DF4A02">
        <w:rPr>
          <w:rFonts w:ascii="Arial" w:hAnsi="Arial" w:cs="Arial"/>
          <w:sz w:val="24"/>
          <w:szCs w:val="24"/>
        </w:rPr>
        <w:t xml:space="preserve"> </w:t>
      </w:r>
      <w:r w:rsidRPr="004F0F2C">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 al no estar conforme con la</w:t>
      </w:r>
      <w:r>
        <w:rPr>
          <w:rFonts w:ascii="Arial" w:hAnsi="Arial" w:cs="Arial"/>
          <w:sz w:val="24"/>
          <w:szCs w:val="24"/>
        </w:rPr>
        <w:t xml:space="preserve"> infracción de tránsito</w:t>
      </w:r>
      <w:r w:rsidRPr="00DF4A02">
        <w:rPr>
          <w:rFonts w:ascii="Arial" w:hAnsi="Arial" w:cs="Arial"/>
          <w:sz w:val="24"/>
          <w:szCs w:val="24"/>
        </w:rPr>
        <w:t>, interpuso en tiempo el Juicio de Nulidad, haciendo claras manifestac</w:t>
      </w:r>
      <w:r>
        <w:rPr>
          <w:rFonts w:ascii="Arial" w:hAnsi="Arial" w:cs="Arial"/>
          <w:sz w:val="24"/>
          <w:szCs w:val="24"/>
        </w:rPr>
        <w:t xml:space="preserve">iones en su escrito de demanda, al sentir violentada su esfera jurídica, además, esta Juzgadora advierte que la parte actora, </w:t>
      </w:r>
      <w:r w:rsidRPr="00DF4A02">
        <w:rPr>
          <w:rFonts w:ascii="Arial" w:hAnsi="Arial" w:cs="Arial"/>
          <w:sz w:val="24"/>
          <w:szCs w:val="24"/>
        </w:rPr>
        <w:t>de ninguna forma ha consentido el acto de la autoridad demandada, pues como ya se ha  precisado, promovió en tiempo el juicio de nulidad sobre el acta de infracción. Además</w:t>
      </w:r>
      <w:r>
        <w:rPr>
          <w:rFonts w:ascii="Arial" w:hAnsi="Arial" w:cs="Arial"/>
          <w:sz w:val="24"/>
          <w:szCs w:val="24"/>
        </w:rPr>
        <w:t>,</w:t>
      </w:r>
      <w:r w:rsidRPr="00DF4A02">
        <w:rPr>
          <w:rFonts w:ascii="Arial" w:hAnsi="Arial" w:cs="Arial"/>
          <w:sz w:val="24"/>
          <w:szCs w:val="24"/>
        </w:rPr>
        <w:t xml:space="preserve"> de las constancias de autos</w:t>
      </w:r>
      <w:r>
        <w:rPr>
          <w:rFonts w:ascii="Arial" w:hAnsi="Arial" w:cs="Arial"/>
          <w:sz w:val="24"/>
          <w:szCs w:val="24"/>
        </w:rPr>
        <w:t>,</w:t>
      </w:r>
      <w:r w:rsidRPr="00DF4A02">
        <w:rPr>
          <w:rFonts w:ascii="Arial" w:hAnsi="Arial" w:cs="Arial"/>
          <w:sz w:val="24"/>
          <w:szCs w:val="24"/>
        </w:rPr>
        <w:t xml:space="preserve"> no se advierte la existencia de constancia,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 el escrito de demanda fue presentada dentro del término de treinta días hábiles que prevé la Ley de </w:t>
      </w:r>
      <w:r>
        <w:rPr>
          <w:rFonts w:ascii="Arial" w:hAnsi="Arial" w:cs="Arial"/>
          <w:sz w:val="24"/>
          <w:szCs w:val="24"/>
        </w:rPr>
        <w:t>la Materia</w:t>
      </w:r>
      <w:r w:rsidRPr="004F0F2C">
        <w:rPr>
          <w:rFonts w:ascii="Arial" w:hAnsi="Arial" w:cs="Arial"/>
          <w:bCs/>
          <w:sz w:val="24"/>
          <w:szCs w:val="24"/>
        </w:rPr>
        <w:t xml:space="preserve">; </w:t>
      </w:r>
      <w:r w:rsidRPr="00DF4A02">
        <w:rPr>
          <w:rFonts w:ascii="Arial" w:hAnsi="Arial" w:cs="Arial"/>
          <w:bCs/>
          <w:sz w:val="24"/>
          <w:szCs w:val="24"/>
        </w:rPr>
        <w:t>de ahí</w:t>
      </w:r>
      <w:r>
        <w:rPr>
          <w:rFonts w:ascii="Arial" w:hAnsi="Arial" w:cs="Arial"/>
          <w:bCs/>
          <w:sz w:val="24"/>
          <w:szCs w:val="24"/>
        </w:rPr>
        <w:t>,</w:t>
      </w:r>
      <w:r w:rsidRPr="00DF4A02">
        <w:rPr>
          <w:rFonts w:ascii="Arial" w:hAnsi="Arial" w:cs="Arial"/>
          <w:bCs/>
          <w:sz w:val="24"/>
          <w:szCs w:val="24"/>
        </w:rPr>
        <w:t xml:space="preserve"> que el juicio se pro</w:t>
      </w:r>
      <w:r>
        <w:rPr>
          <w:rFonts w:ascii="Arial" w:hAnsi="Arial" w:cs="Arial"/>
          <w:bCs/>
          <w:sz w:val="24"/>
          <w:szCs w:val="24"/>
        </w:rPr>
        <w:t>movió dentro del término de ley.</w:t>
      </w:r>
    </w:p>
    <w:p w:rsidR="00F441A3" w:rsidRPr="003A6B3C" w:rsidRDefault="00F441A3" w:rsidP="00F441A3">
      <w:pPr>
        <w:tabs>
          <w:tab w:val="left" w:pos="567"/>
        </w:tabs>
        <w:spacing w:line="360" w:lineRule="auto"/>
        <w:ind w:right="51"/>
        <w:jc w:val="both"/>
        <w:rPr>
          <w:rFonts w:ascii="Arial" w:hAnsi="Arial" w:cs="Arial"/>
          <w:sz w:val="24"/>
          <w:szCs w:val="24"/>
        </w:rPr>
      </w:pPr>
      <w:r w:rsidRPr="00DF4A02">
        <w:rPr>
          <w:rFonts w:ascii="Arial" w:hAnsi="Arial" w:cs="Arial"/>
          <w:sz w:val="24"/>
          <w:szCs w:val="24"/>
        </w:rPr>
        <w:tab/>
        <w:t>Finalmente</w:t>
      </w:r>
      <w:r>
        <w:rPr>
          <w:rFonts w:ascii="Arial" w:hAnsi="Arial" w:cs="Arial"/>
          <w:sz w:val="24"/>
          <w:szCs w:val="24"/>
        </w:rPr>
        <w:t>,</w:t>
      </w:r>
      <w:r w:rsidRPr="00DF4A02">
        <w:rPr>
          <w:rFonts w:ascii="Arial" w:hAnsi="Arial" w:cs="Arial"/>
          <w:sz w:val="24"/>
          <w:szCs w:val="24"/>
        </w:rPr>
        <w:t xml:space="preserve"> por lo que respecta a la hipótesis contenida en la</w:t>
      </w:r>
      <w:r w:rsidRPr="00DF4A02">
        <w:rPr>
          <w:rFonts w:ascii="Arial" w:hAnsi="Arial" w:cs="Arial"/>
          <w:b/>
          <w:sz w:val="24"/>
          <w:szCs w:val="24"/>
        </w:rPr>
        <w:t xml:space="preserve"> fracción X, </w:t>
      </w:r>
      <w:r w:rsidRPr="00741679">
        <w:rPr>
          <w:rFonts w:ascii="Arial" w:hAnsi="Arial" w:cs="Arial"/>
          <w:sz w:val="24"/>
          <w:szCs w:val="24"/>
        </w:rPr>
        <w:t>referente a</w:t>
      </w:r>
      <w:r>
        <w:rPr>
          <w:rFonts w:ascii="Arial" w:hAnsi="Arial" w:cs="Arial"/>
          <w:b/>
          <w:sz w:val="24"/>
          <w:szCs w:val="24"/>
        </w:rPr>
        <w:t xml:space="preserve"> </w:t>
      </w:r>
      <w:r w:rsidRPr="00127C9A">
        <w:rPr>
          <w:rFonts w:ascii="Arial" w:hAnsi="Arial" w:cs="Arial"/>
          <w:sz w:val="24"/>
        </w:rPr>
        <w:t>lo</w:t>
      </w:r>
      <w:r>
        <w:rPr>
          <w:rFonts w:ascii="Arial" w:hAnsi="Arial" w:cs="Arial"/>
          <w:sz w:val="24"/>
        </w:rPr>
        <w:t>s casos en que la improcedencia resulte de alguna</w:t>
      </w:r>
      <w:r w:rsidRPr="00127C9A">
        <w:rPr>
          <w:rFonts w:ascii="Arial" w:hAnsi="Arial" w:cs="Arial"/>
          <w:sz w:val="24"/>
        </w:rPr>
        <w:t xml:space="preserve"> disposición</w:t>
      </w:r>
      <w:r w:rsidRPr="00DF4A02">
        <w:rPr>
          <w:rFonts w:cs="Arial"/>
          <w:sz w:val="24"/>
        </w:rPr>
        <w:t xml:space="preserve"> </w:t>
      </w:r>
      <w:r w:rsidRPr="00F94096">
        <w:rPr>
          <w:rFonts w:ascii="Arial" w:hAnsi="Arial" w:cs="Arial"/>
          <w:sz w:val="24"/>
        </w:rPr>
        <w:t>de la ley de la materia o de cualquier otra naturaleza fiscal o administrativa</w:t>
      </w:r>
      <w:r>
        <w:rPr>
          <w:rFonts w:ascii="Arial" w:hAnsi="Arial" w:cs="Arial"/>
          <w:sz w:val="24"/>
        </w:rPr>
        <w:t>,</w:t>
      </w:r>
      <w:r w:rsidRPr="00DF4A02">
        <w:rPr>
          <w:rFonts w:cs="Arial"/>
          <w:sz w:val="24"/>
        </w:rPr>
        <w:t xml:space="preserve"> </w:t>
      </w:r>
      <w:r w:rsidRPr="00DF4A02">
        <w:rPr>
          <w:rFonts w:ascii="Arial" w:hAnsi="Arial" w:cs="Arial"/>
          <w:sz w:val="24"/>
          <w:szCs w:val="24"/>
        </w:rPr>
        <w:t>debe decirse</w:t>
      </w:r>
      <w:r>
        <w:rPr>
          <w:rFonts w:ascii="Arial" w:hAnsi="Arial" w:cs="Arial"/>
          <w:sz w:val="24"/>
          <w:szCs w:val="24"/>
        </w:rPr>
        <w:t>,</w:t>
      </w:r>
      <w:r w:rsidRPr="00DF4A02">
        <w:rPr>
          <w:rFonts w:ascii="Arial" w:hAnsi="Arial" w:cs="Arial"/>
          <w:sz w:val="24"/>
          <w:szCs w:val="24"/>
        </w:rPr>
        <w:t xml:space="preserve"> que la </w:t>
      </w:r>
      <w:r>
        <w:rPr>
          <w:rFonts w:ascii="Arial" w:hAnsi="Arial" w:cs="Arial"/>
          <w:sz w:val="24"/>
          <w:szCs w:val="24"/>
        </w:rPr>
        <w:t xml:space="preserve">autoridad </w:t>
      </w:r>
      <w:r w:rsidRPr="00DF4A02">
        <w:rPr>
          <w:rFonts w:ascii="Arial" w:hAnsi="Arial" w:cs="Arial"/>
          <w:sz w:val="24"/>
          <w:szCs w:val="24"/>
        </w:rPr>
        <w:t>demandada</w:t>
      </w:r>
      <w:r>
        <w:rPr>
          <w:rFonts w:ascii="Arial" w:hAnsi="Arial" w:cs="Arial"/>
          <w:sz w:val="24"/>
          <w:szCs w:val="24"/>
        </w:rPr>
        <w:t>,</w:t>
      </w:r>
      <w:r w:rsidRPr="00DF4A02">
        <w:rPr>
          <w:rFonts w:ascii="Arial" w:hAnsi="Arial" w:cs="Arial"/>
          <w:sz w:val="24"/>
          <w:szCs w:val="24"/>
        </w:rPr>
        <w:t xml:space="preserve"> no realiza ningún se</w:t>
      </w:r>
      <w:r>
        <w:rPr>
          <w:rFonts w:ascii="Arial" w:hAnsi="Arial" w:cs="Arial"/>
          <w:sz w:val="24"/>
          <w:szCs w:val="24"/>
        </w:rPr>
        <w:t>ñalamiento que amerite que esta juzgadora</w:t>
      </w:r>
      <w:r w:rsidRPr="00DF4A02">
        <w:rPr>
          <w:rFonts w:ascii="Arial" w:hAnsi="Arial" w:cs="Arial"/>
          <w:sz w:val="24"/>
          <w:szCs w:val="24"/>
        </w:rPr>
        <w:t xml:space="preserve"> se avoque al estudio</w:t>
      </w:r>
      <w:r>
        <w:rPr>
          <w:rFonts w:ascii="Arial" w:hAnsi="Arial" w:cs="Arial"/>
          <w:sz w:val="24"/>
          <w:szCs w:val="24"/>
        </w:rPr>
        <w:t xml:space="preserve"> de dicha causal, aunado a que esta juzgadora no advierte que se actualice ninguna disposición normativa que impida entrar al estudio de fondo de este asunto, de ahí que no se actualice dicha causal. </w:t>
      </w:r>
    </w:p>
    <w:p w:rsidR="00F441A3" w:rsidRDefault="00F441A3" w:rsidP="00F441A3">
      <w:pPr>
        <w:pStyle w:val="corte4fondoCarCarCar"/>
        <w:spacing w:before="240"/>
        <w:ind w:firstLine="708"/>
        <w:rPr>
          <w:rFonts w:cs="Arial"/>
          <w:sz w:val="24"/>
        </w:rPr>
      </w:pPr>
      <w:r>
        <w:rPr>
          <w:rFonts w:cs="Arial"/>
          <w:bCs/>
          <w:sz w:val="24"/>
        </w:rPr>
        <w:t>La autoridad vial demandada también hizo valer nueve excepciones, todas ellas relacionadas con el fondo del asunto, por lo que su estudio se realizará en líneas posteriores, y por lo que respecta a la</w:t>
      </w:r>
      <w:r>
        <w:rPr>
          <w:rFonts w:cs="Arial"/>
          <w:sz w:val="24"/>
        </w:rPr>
        <w:t xml:space="preserve"> </w:t>
      </w:r>
      <w:r w:rsidRPr="005774AE">
        <w:rPr>
          <w:rFonts w:cs="Arial"/>
          <w:b/>
          <w:sz w:val="24"/>
        </w:rPr>
        <w:t xml:space="preserve">falta de </w:t>
      </w:r>
      <w:r>
        <w:rPr>
          <w:rFonts w:cs="Arial"/>
          <w:b/>
          <w:sz w:val="24"/>
        </w:rPr>
        <w:t>derecho</w:t>
      </w:r>
      <w:r>
        <w:rPr>
          <w:rFonts w:cs="Arial"/>
          <w:sz w:val="24"/>
        </w:rPr>
        <w:t xml:space="preserve"> del actor para impugnar el acto impugnado, dicha premisa ya fue atendida en </w:t>
      </w:r>
      <w:r>
        <w:rPr>
          <w:rFonts w:cs="Arial"/>
          <w:sz w:val="24"/>
        </w:rPr>
        <w:lastRenderedPageBreak/>
        <w:t>el considerando que antecede, donde se consideró justificada la personalidad jurídica y legítima del actor para interponer el presente juicio de nulidad.</w:t>
      </w:r>
    </w:p>
    <w:p w:rsidR="00F441A3" w:rsidRDefault="00F441A3" w:rsidP="00F441A3">
      <w:pPr>
        <w:pStyle w:val="corte4fondoCarCarCar"/>
        <w:spacing w:before="240"/>
        <w:ind w:firstLine="708"/>
        <w:rPr>
          <w:rFonts w:cs="Arial"/>
          <w:sz w:val="24"/>
        </w:rPr>
      </w:pPr>
      <w:r>
        <w:rPr>
          <w:rFonts w:cs="Arial"/>
          <w:sz w:val="24"/>
        </w:rPr>
        <w:t xml:space="preserve">Luego entonces, al no actualizarse las excepciones que invocó la autoridad demandada, y al no actualizarse alguna otra causa que impida entrar al estudio de fondo, </w:t>
      </w:r>
      <w:r w:rsidRPr="00D1740B">
        <w:rPr>
          <w:rFonts w:cs="Arial"/>
          <w:b/>
          <w:sz w:val="24"/>
        </w:rPr>
        <w:t>NO SE SOBRESEE</w:t>
      </w:r>
      <w:r>
        <w:rPr>
          <w:rFonts w:cs="Arial"/>
          <w:b/>
          <w:sz w:val="24"/>
        </w:rPr>
        <w:t xml:space="preserve"> ESTE JUICIO</w:t>
      </w:r>
      <w:r>
        <w:rPr>
          <w:rFonts w:cs="Arial"/>
          <w:sz w:val="24"/>
        </w:rPr>
        <w:t xml:space="preserve">. - - - - - - - - - </w:t>
      </w:r>
      <w:r w:rsidR="00142F70">
        <w:rPr>
          <w:rFonts w:cs="Arial"/>
          <w:sz w:val="24"/>
        </w:rPr>
        <w:t xml:space="preserve">- - </w:t>
      </w:r>
    </w:p>
    <w:p w:rsidR="00F441A3" w:rsidRDefault="00F441A3" w:rsidP="00F441A3">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142F70">
        <w:rPr>
          <w:rFonts w:ascii="Arial" w:hAnsi="Arial" w:cs="Arial"/>
          <w:b/>
          <w:sz w:val="24"/>
          <w:szCs w:val="24"/>
        </w:rPr>
        <w:tab/>
        <w:t xml:space="preserve">  </w:t>
      </w:r>
      <w:proofErr w:type="gramStart"/>
      <w:r w:rsidRPr="006D7488">
        <w:rPr>
          <w:rFonts w:ascii="Arial" w:hAnsi="Arial" w:cs="Arial"/>
          <w:b/>
          <w:sz w:val="24"/>
          <w:szCs w:val="24"/>
        </w:rPr>
        <w:t>SEXTO.-</w:t>
      </w:r>
      <w:proofErr w:type="gramEnd"/>
      <w:r w:rsidR="00142F70">
        <w:rPr>
          <w:rFonts w:ascii="Arial" w:hAnsi="Arial" w:cs="Arial"/>
          <w:b/>
          <w:sz w:val="24"/>
          <w:szCs w:val="24"/>
        </w:rPr>
        <w:t xml:space="preserve"> </w:t>
      </w:r>
      <w:r w:rsidRPr="00722B62">
        <w:rPr>
          <w:rFonts w:ascii="Arial" w:hAnsi="Arial" w:cs="Arial"/>
          <w:sz w:val="24"/>
          <w:szCs w:val="24"/>
        </w:rPr>
        <w:t xml:space="preserve">Esta Juzgadora </w:t>
      </w:r>
      <w:r>
        <w:rPr>
          <w:rFonts w:ascii="Arial" w:hAnsi="Arial" w:cs="Arial"/>
          <w:sz w:val="24"/>
          <w:szCs w:val="24"/>
        </w:rPr>
        <w:t>toma en cuenta los argumentos y pruebas ofrecidas por las partes, con lo que se puede establecer,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Sin embargo, dicho acto administrativo, violenta las disposiciones contenidas en los Artículos 14 y 16 de la Carta Magna, como lo refiere la actora,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 observándose que en el apartado correspondiente a la </w:t>
      </w:r>
      <w:r w:rsidRPr="00E80CB5">
        <w:rPr>
          <w:rFonts w:ascii="Arial" w:hAnsi="Arial" w:cs="Arial"/>
          <w:b/>
          <w:sz w:val="24"/>
          <w:szCs w:val="24"/>
          <w:u w:val="single"/>
        </w:rPr>
        <w:t>fundamentación</w:t>
      </w:r>
      <w:r>
        <w:rPr>
          <w:rFonts w:ascii="Arial" w:hAnsi="Arial" w:cs="Arial"/>
          <w:sz w:val="24"/>
          <w:szCs w:val="24"/>
        </w:rPr>
        <w:t>, plasmó: “</w:t>
      </w:r>
      <w:r>
        <w:rPr>
          <w:rFonts w:ascii="Arial" w:hAnsi="Arial" w:cs="Arial"/>
          <w:i/>
          <w:sz w:val="24"/>
          <w:szCs w:val="24"/>
        </w:rPr>
        <w:t>Artículo 127 y 132, Artículo 59 fracción I</w:t>
      </w:r>
      <w:r>
        <w:rPr>
          <w:rFonts w:ascii="Arial" w:hAnsi="Arial" w:cs="Arial"/>
          <w:sz w:val="24"/>
          <w:szCs w:val="24"/>
        </w:rPr>
        <w:t xml:space="preserve">”;  y el correspondiente a la </w:t>
      </w:r>
      <w:r w:rsidRPr="009B6995">
        <w:rPr>
          <w:rFonts w:ascii="Arial" w:hAnsi="Arial" w:cs="Arial"/>
          <w:b/>
          <w:sz w:val="24"/>
          <w:szCs w:val="24"/>
          <w:u w:val="single"/>
        </w:rPr>
        <w:t>motivación</w:t>
      </w:r>
      <w:r>
        <w:rPr>
          <w:rFonts w:ascii="Arial" w:hAnsi="Arial" w:cs="Arial"/>
          <w:sz w:val="24"/>
          <w:szCs w:val="24"/>
        </w:rPr>
        <w:t xml:space="preserve"> plasmó: “</w:t>
      </w:r>
      <w:r>
        <w:rPr>
          <w:rFonts w:ascii="Arial" w:hAnsi="Arial" w:cs="Arial"/>
          <w:i/>
          <w:sz w:val="24"/>
          <w:szCs w:val="24"/>
        </w:rPr>
        <w:t>Por pasarse la luz roja del semáforo</w:t>
      </w:r>
      <w:r>
        <w:rPr>
          <w:rFonts w:ascii="Arial" w:hAnsi="Arial" w:cs="Arial"/>
          <w:sz w:val="24"/>
          <w:szCs w:val="24"/>
        </w:rPr>
        <w:t>””</w:t>
      </w:r>
      <w:r w:rsidRPr="002F1EB3">
        <w:rPr>
          <w:rFonts w:ascii="Arial" w:hAnsi="Arial" w:cs="Arial"/>
          <w:sz w:val="24"/>
          <w:szCs w:val="24"/>
        </w:rPr>
        <w:t>.</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F4415C">
        <w:rPr>
          <w:rFonts w:ascii="Arial" w:hAnsi="Arial" w:cs="Arial"/>
          <w:b/>
          <w:sz w:val="24"/>
          <w:szCs w:val="24"/>
        </w:rPr>
        <w:t>fundamentación</w:t>
      </w:r>
      <w:r>
        <w:rPr>
          <w:rFonts w:ascii="Arial" w:hAnsi="Arial" w:cs="Arial"/>
          <w:sz w:val="24"/>
          <w:szCs w:val="24"/>
        </w:rPr>
        <w:t xml:space="preserve"> del acto de autoridad, debe entenderse al precepto legal aplicable al caso concreto, debiendo precisarse el párrafo, la fracción, el inciso o </w:t>
      </w:r>
      <w:proofErr w:type="spellStart"/>
      <w:r>
        <w:rPr>
          <w:rFonts w:ascii="Arial" w:hAnsi="Arial" w:cs="Arial"/>
          <w:sz w:val="24"/>
          <w:szCs w:val="24"/>
        </w:rPr>
        <w:t>sub-inciso</w:t>
      </w:r>
      <w:proofErr w:type="spellEnd"/>
      <w:r>
        <w:rPr>
          <w:rFonts w:ascii="Arial" w:hAnsi="Arial" w:cs="Arial"/>
          <w:sz w:val="24"/>
          <w:szCs w:val="24"/>
        </w:rPr>
        <w:t xml:space="preserve">, circunstancia que permita al administrado, conocer </w:t>
      </w:r>
      <w:r w:rsidRPr="00CB32B0">
        <w:rPr>
          <w:rFonts w:ascii="Arial" w:hAnsi="Arial" w:cs="Arial"/>
          <w:sz w:val="24"/>
          <w:szCs w:val="24"/>
        </w:rPr>
        <w:t>los preceptos en que la autoridad sustentó su ac</w:t>
      </w:r>
      <w:r>
        <w:rPr>
          <w:rFonts w:ascii="Arial" w:hAnsi="Arial" w:cs="Arial"/>
          <w:sz w:val="24"/>
          <w:szCs w:val="24"/>
        </w:rPr>
        <w:t xml:space="preserve">tuar, a fin de poder combatirlos; por </w:t>
      </w:r>
      <w:r w:rsidRPr="00F4415C">
        <w:rPr>
          <w:rFonts w:ascii="Arial" w:hAnsi="Arial" w:cs="Arial"/>
          <w:b/>
          <w:sz w:val="24"/>
          <w:szCs w:val="24"/>
        </w:rPr>
        <w:t>motivación</w:t>
      </w:r>
      <w:r>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F4415C">
        <w:rPr>
          <w:rFonts w:ascii="Arial" w:hAnsi="Arial" w:cs="Arial"/>
          <w:b/>
          <w:sz w:val="24"/>
          <w:szCs w:val="24"/>
        </w:rPr>
        <w:t>configuración de las hipótesis normativas</w:t>
      </w:r>
      <w:r>
        <w:rPr>
          <w:rFonts w:ascii="Arial" w:hAnsi="Arial" w:cs="Arial"/>
          <w:sz w:val="24"/>
          <w:szCs w:val="24"/>
        </w:rPr>
        <w:t xml:space="preserve">. </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Así, tenemos que el acta de infracción impugnada, no cuenta con una </w:t>
      </w:r>
      <w:r w:rsidRPr="00F31C56">
        <w:rPr>
          <w:rFonts w:ascii="Arial" w:hAnsi="Arial" w:cs="Arial"/>
          <w:b/>
          <w:sz w:val="24"/>
          <w:szCs w:val="24"/>
        </w:rPr>
        <w:t>correcta fundamentación y motivación</w:t>
      </w:r>
      <w:r>
        <w:rPr>
          <w:rFonts w:ascii="Arial" w:hAnsi="Arial" w:cs="Arial"/>
          <w:sz w:val="24"/>
          <w:szCs w:val="24"/>
        </w:rPr>
        <w:t xml:space="preserve">, ya que la autoridad demandada fundó su actuar en los artículos 127, 132 y 59 fracción I, todos del Reglamento de Vialidad para el Municipio de Oaxaca de Juárez, Oaxaca, </w:t>
      </w:r>
      <w:r w:rsidRPr="008E7220">
        <w:rPr>
          <w:rFonts w:ascii="Arial" w:hAnsi="Arial" w:cs="Arial"/>
          <w:b/>
          <w:sz w:val="24"/>
          <w:szCs w:val="24"/>
        </w:rPr>
        <w:t>el primero</w:t>
      </w:r>
      <w:r>
        <w:rPr>
          <w:rFonts w:ascii="Arial" w:hAnsi="Arial" w:cs="Arial"/>
          <w:sz w:val="24"/>
          <w:szCs w:val="24"/>
        </w:rPr>
        <w:t xml:space="preserve"> de los mencionados, dispone:</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Pr>
          <w:rFonts w:ascii="Arial" w:hAnsi="Arial" w:cs="Arial"/>
          <w:b/>
          <w:sz w:val="24"/>
          <w:szCs w:val="24"/>
        </w:rPr>
        <w:t>“</w:t>
      </w:r>
      <w:r w:rsidRPr="00BB6B49">
        <w:rPr>
          <w:rFonts w:ascii="Arial" w:hAnsi="Arial" w:cs="Arial"/>
          <w:b/>
          <w:i/>
          <w:sz w:val="24"/>
          <w:szCs w:val="24"/>
        </w:rPr>
        <w:t>ARTÍCULO 127.-</w:t>
      </w:r>
      <w:r w:rsidRPr="00BB6B49">
        <w:rPr>
          <w:rFonts w:ascii="Arial" w:hAnsi="Arial" w:cs="Arial"/>
          <w:i/>
          <w:sz w:val="24"/>
          <w:szCs w:val="24"/>
        </w:rPr>
        <w:t xml:space="preserve"> Para llevar a cabo el programa de control de alcoholimetría a los conductores de vehículos automotores, se deberá realizar el siguiente procedimiento:</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 xml:space="preserve">Montaje del </w:t>
      </w:r>
      <w:proofErr w:type="gramStart"/>
      <w:r w:rsidRPr="00BB6B49">
        <w:rPr>
          <w:rFonts w:ascii="Arial" w:hAnsi="Arial" w:cs="Arial"/>
          <w:i/>
          <w:sz w:val="24"/>
          <w:szCs w:val="24"/>
        </w:rPr>
        <w:t>operativo.-</w:t>
      </w:r>
      <w:proofErr w:type="gramEnd"/>
      <w:r w:rsidRPr="00BB6B49">
        <w:rPr>
          <w:rFonts w:ascii="Arial" w:hAnsi="Arial" w:cs="Arial"/>
          <w:i/>
          <w:sz w:val="24"/>
          <w:szCs w:val="24"/>
        </w:rPr>
        <w:t xml:space="preserve"> Se deberán instalar aproximadamente en una distancia de 115 metros sobre la vía de circulación desde el punto de selección aleatoria hasta la zona de aplicación de la prueba.</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 xml:space="preserve">a) Zona de selección </w:t>
      </w:r>
      <w:proofErr w:type="gramStart"/>
      <w:r w:rsidRPr="00BB6B49">
        <w:rPr>
          <w:rFonts w:ascii="Arial" w:hAnsi="Arial" w:cs="Arial"/>
          <w:i/>
          <w:sz w:val="24"/>
          <w:szCs w:val="24"/>
        </w:rPr>
        <w:t>aleatoria.-</w:t>
      </w:r>
      <w:proofErr w:type="gramEnd"/>
      <w:r w:rsidRPr="00BB6B49">
        <w:rPr>
          <w:rFonts w:ascii="Arial" w:hAnsi="Arial" w:cs="Arial"/>
          <w:i/>
          <w:sz w:val="24"/>
          <w:szCs w:val="24"/>
        </w:rPr>
        <w:t xml:space="preserve"> Es el área que sirve para anunciar al conductor sobre la instalación de un punto de alcoholimetría, en esta zona también se lleva a cabo la selección aleatoria de los vehículos y conductores a los que se realiza la entrevista inicial.</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 xml:space="preserve">b) Zona de Aplicación de la </w:t>
      </w:r>
      <w:proofErr w:type="gramStart"/>
      <w:r w:rsidRPr="00BB6B49">
        <w:rPr>
          <w:rFonts w:ascii="Arial" w:hAnsi="Arial" w:cs="Arial"/>
          <w:i/>
          <w:sz w:val="24"/>
          <w:szCs w:val="24"/>
        </w:rPr>
        <w:t>prueba.-</w:t>
      </w:r>
      <w:proofErr w:type="gramEnd"/>
      <w:r w:rsidRPr="00BB6B49">
        <w:rPr>
          <w:rFonts w:ascii="Arial" w:hAnsi="Arial" w:cs="Arial"/>
          <w:i/>
          <w:sz w:val="24"/>
          <w:szCs w:val="24"/>
        </w:rPr>
        <w:t xml:space="preserve"> El objetivo principal de esta zona es llevar a cabo la prueba en sus etapas cualitativa y cuantitativa para determinar la presencia de alcohol en el conductor, y en caso de resultar positivo, determinar los grados en aire expirado.”</w:t>
      </w:r>
    </w:p>
    <w:p w:rsidR="00F441A3" w:rsidRDefault="00F441A3" w:rsidP="00F441A3">
      <w:pPr>
        <w:tabs>
          <w:tab w:val="center" w:pos="4574"/>
        </w:tabs>
        <w:spacing w:after="0" w:line="240" w:lineRule="auto"/>
        <w:ind w:firstLine="708"/>
        <w:jc w:val="both"/>
        <w:rPr>
          <w:rFonts w:ascii="Arial" w:hAnsi="Arial" w:cs="Arial"/>
          <w:sz w:val="24"/>
          <w:szCs w:val="24"/>
        </w:rPr>
      </w:pP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b/>
          <w:sz w:val="24"/>
          <w:szCs w:val="24"/>
        </w:rPr>
        <w:t>E</w:t>
      </w:r>
      <w:r w:rsidRPr="008E7220">
        <w:rPr>
          <w:rFonts w:ascii="Arial" w:hAnsi="Arial" w:cs="Arial"/>
          <w:b/>
          <w:sz w:val="24"/>
          <w:szCs w:val="24"/>
        </w:rPr>
        <w:t>l segundo</w:t>
      </w:r>
      <w:r>
        <w:rPr>
          <w:rFonts w:ascii="Arial" w:hAnsi="Arial" w:cs="Arial"/>
          <w:sz w:val="24"/>
          <w:szCs w:val="24"/>
        </w:rPr>
        <w:t>, dispone:</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Pr>
          <w:rFonts w:ascii="Arial" w:hAnsi="Arial" w:cs="Arial"/>
          <w:sz w:val="24"/>
          <w:szCs w:val="24"/>
        </w:rPr>
        <w:t>“</w:t>
      </w:r>
      <w:r w:rsidRPr="00BB6B49">
        <w:rPr>
          <w:rFonts w:ascii="Arial" w:hAnsi="Arial" w:cs="Arial"/>
          <w:b/>
          <w:i/>
          <w:sz w:val="24"/>
          <w:szCs w:val="24"/>
        </w:rPr>
        <w:t>ARTÍCULO 132.-</w:t>
      </w:r>
      <w:r w:rsidRPr="00BB6B49">
        <w:rPr>
          <w:rFonts w:ascii="Arial" w:hAnsi="Arial" w:cs="Arial"/>
          <w:i/>
          <w:sz w:val="24"/>
          <w:szCs w:val="24"/>
        </w:rPr>
        <w:t xml:space="preserve"> Los Policías Viales procederán a la detención de cualquier vehículo, remitiéndolo de inmediato a disposición de la Comisaría de Vialidad, quien deberá resguardarlo para garantizar su conservación y la guarda de los objetos que en él se encuentren y será trasladado al corralón oficial cuando:</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I. Al cometer una infracción al presente Reglamento, su conductor carezca de licencia o permiso para circular, el vehículo no tenga tarjeta de circulación o documento que justifique la omisión o cuando la licencia o el permiso estén vencidos, cancelados o suspendidos por resolución de autoridad competente;</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II. Cuando al vehículo le falten ambas placas o el documento que justifique la omisión;</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III. Cuando las placas del vehículo no coincidan con el número y letras del holograma, calcomanía o la tarjeta de circulación;</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IV. Cuando estando estacionado el vehículo en lugar prohibido, exceda el tiempo permitido en el señalamiento respectivo, o estacionado en doble o triple fila, su conductor no esté presente;</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V. Cuando estando a ello obligado, el vehículo con placas del Estado o de otra entidad federativa, que circule dentro de la circunscripción del Municipio de Oaxaca de Juárez, carezca de la constancia que acredite que la emisión de contaminantes está dentro de los límites permitidos.</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VI. Cuando estando obligado a ello, los vehículos del transporte urbano y suburbano, porten publicidad en lugares prohibidos, de conformidad con lo establecido en el presente reglamento.</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VII. Por conducir en estado de ebriedad o por el influjo de drogas prohibidas por la Ley, en los casos que establece el presente ordenamiento legal;</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VIII. Por interferir, obstaculizar o impedir deliberadamente la circulación de vehículos en la vía pública del Municipio;</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lastRenderedPageBreak/>
        <w:t>IX. Por incumplimiento o violación reiterada de las condiciones fijadas para la prestación del servicio público de transporte;</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X. En caso de requerimiento o mandamiento de autoridad judicial o administrativa competente;</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XI. Cuando el vehículo se encuentre en tan malas condiciones que pongan en peligro a sus ocupantes, o cuando carezca de una o ambas defensas o parachoques;</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XII. En los casos específicos que determinen otras disposiciones legales, y</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XIII. En los supuestos en que los conductores hagan uso indebido de lugares destinados para el estacionamiento de vehículos para personas con discapacidad.</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En todos los casos a que se refiere este artículo, el conductor tiene derecho a guiar su vehículo hasta el Corralón que la autoridad indique, lo que no generará costo alguno, excepto cuando la detención sea originada por las causas a que se refiere la fracción VII de este artículo y no exista persona que se haga cargo de la unidad.</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En caso de negarse el conductor o por tratarse de abandono de la unidad, el traslado podrá efectuarse por medio del servicio autorizado de grúas, el cual se hará a costa del propietario.</w:t>
      </w:r>
    </w:p>
    <w:p w:rsidR="00F441A3" w:rsidRPr="00BB6B49" w:rsidRDefault="00F441A3" w:rsidP="00F441A3">
      <w:pPr>
        <w:tabs>
          <w:tab w:val="center" w:pos="4574"/>
        </w:tabs>
        <w:spacing w:after="0" w:line="240" w:lineRule="auto"/>
        <w:ind w:firstLine="708"/>
        <w:jc w:val="both"/>
        <w:rPr>
          <w:rFonts w:ascii="Arial" w:hAnsi="Arial" w:cs="Arial"/>
          <w:i/>
          <w:sz w:val="24"/>
          <w:szCs w:val="24"/>
        </w:rPr>
      </w:pPr>
      <w:r w:rsidRPr="00BB6B49">
        <w:rPr>
          <w:rFonts w:ascii="Arial" w:hAnsi="Arial" w:cs="Arial"/>
          <w:i/>
          <w:sz w:val="24"/>
          <w:szCs w:val="24"/>
        </w:rPr>
        <w:t>Cuando por cualquier causa no fuere posible proceder a la detención del vehículo, el Policía Vial procederá a la retención de una de las placas de circulación.”</w:t>
      </w:r>
    </w:p>
    <w:p w:rsidR="00F441A3" w:rsidRDefault="00F441A3" w:rsidP="00F441A3">
      <w:pPr>
        <w:tabs>
          <w:tab w:val="center" w:pos="4574"/>
        </w:tabs>
        <w:spacing w:line="360" w:lineRule="auto"/>
        <w:ind w:firstLine="708"/>
        <w:jc w:val="both"/>
        <w:rPr>
          <w:rFonts w:ascii="Arial" w:hAnsi="Arial" w:cs="Arial"/>
          <w:sz w:val="24"/>
          <w:szCs w:val="24"/>
        </w:rPr>
      </w:pPr>
    </w:p>
    <w:p w:rsidR="00F441A3" w:rsidRDefault="00F441A3" w:rsidP="00F441A3">
      <w:pPr>
        <w:tabs>
          <w:tab w:val="center" w:pos="4574"/>
        </w:tabs>
        <w:spacing w:line="360" w:lineRule="auto"/>
        <w:jc w:val="both"/>
        <w:rPr>
          <w:rFonts w:ascii="Arial" w:hAnsi="Arial" w:cs="Arial"/>
          <w:sz w:val="24"/>
          <w:szCs w:val="24"/>
        </w:rPr>
      </w:pPr>
      <w:r>
        <w:rPr>
          <w:rFonts w:ascii="Arial" w:hAnsi="Arial" w:cs="Arial"/>
          <w:sz w:val="24"/>
          <w:szCs w:val="24"/>
        </w:rPr>
        <w:t xml:space="preserve">Y </w:t>
      </w:r>
      <w:r w:rsidRPr="00BB6B49">
        <w:rPr>
          <w:rFonts w:ascii="Arial" w:hAnsi="Arial" w:cs="Arial"/>
          <w:b/>
          <w:sz w:val="24"/>
          <w:szCs w:val="24"/>
        </w:rPr>
        <w:t>el tercero</w:t>
      </w:r>
      <w:r>
        <w:rPr>
          <w:rFonts w:ascii="Arial" w:hAnsi="Arial" w:cs="Arial"/>
          <w:sz w:val="24"/>
          <w:szCs w:val="24"/>
        </w:rPr>
        <w:t xml:space="preserve"> de los mencionados artículos dispone:</w:t>
      </w:r>
    </w:p>
    <w:p w:rsidR="00F441A3"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w:t>
      </w:r>
      <w:r w:rsidRPr="00347F59">
        <w:rPr>
          <w:rFonts w:ascii="Arial" w:hAnsi="Arial" w:cs="Arial"/>
          <w:b/>
          <w:i/>
          <w:sz w:val="24"/>
          <w:szCs w:val="24"/>
        </w:rPr>
        <w:t xml:space="preserve">ARTÍCULO 59.- </w:t>
      </w:r>
      <w:r w:rsidRPr="00347F59">
        <w:rPr>
          <w:rFonts w:ascii="Arial" w:hAnsi="Arial" w:cs="Arial"/>
          <w:i/>
          <w:sz w:val="24"/>
          <w:szCs w:val="24"/>
        </w:rPr>
        <w:t>Son obligaciones de los conductores de vehículos automotores para que puedan circular libremente en la jurisdicción del Municipio de Oaxaca de Juárez:</w:t>
      </w:r>
      <w:r>
        <w:rPr>
          <w:rFonts w:ascii="Arial" w:hAnsi="Arial" w:cs="Arial"/>
          <w:i/>
          <w:sz w:val="24"/>
          <w:szCs w:val="24"/>
        </w:rPr>
        <w:tab/>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ab/>
        <w:t xml:space="preserve">        </w:t>
      </w:r>
      <w:r w:rsidRPr="00347F59">
        <w:rPr>
          <w:rFonts w:ascii="Arial" w:hAnsi="Arial" w:cs="Arial"/>
          <w:i/>
          <w:sz w:val="24"/>
          <w:szCs w:val="24"/>
        </w:rPr>
        <w:t>I. Obedecer las indicaciones de los semáforos para vehículos, de la siguiente manera:</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ab/>
        <w:t xml:space="preserve">             </w:t>
      </w:r>
      <w:r w:rsidRPr="00347F59">
        <w:rPr>
          <w:rFonts w:ascii="Arial" w:hAnsi="Arial" w:cs="Arial"/>
          <w:i/>
          <w:sz w:val="24"/>
          <w:szCs w:val="24"/>
        </w:rPr>
        <w:t>a) Ante una indicación de luz verde del semáforo, los vehículos podrán avanzar en la misma dirección. De no existir semáforos especiales para peatones;</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 xml:space="preserve">             </w:t>
      </w:r>
      <w:r w:rsidRPr="00347F59">
        <w:rPr>
          <w:rFonts w:ascii="Arial" w:hAnsi="Arial" w:cs="Arial"/>
          <w:i/>
          <w:sz w:val="24"/>
          <w:szCs w:val="24"/>
        </w:rPr>
        <w:t>b) Frente a una indicación de flecha verde exhibida sola o combinada con otra señal, los vehículos podrán entrar en la intersección para efectuar el movimiento indicado por la flecha;</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 xml:space="preserve">              </w:t>
      </w:r>
      <w:r w:rsidRPr="00347F59">
        <w:rPr>
          <w:rFonts w:ascii="Arial" w:hAnsi="Arial" w:cs="Arial"/>
          <w:i/>
          <w:sz w:val="24"/>
          <w:szCs w:val="24"/>
        </w:rPr>
        <w:t>c) Ante la indicación de luz amarilla del semáforo, los peatones y conductores no deberán entrar a la intersección, excepto que el vehículo se encuentre ya en ella o el detenerlo signifique por su velocidad, peligro a terceros y obstrucción al tránsito, en estos casos el conductor completará el cruce con las precauciones debidas;</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 xml:space="preserve">             </w:t>
      </w:r>
      <w:r w:rsidRPr="00347F59">
        <w:rPr>
          <w:rFonts w:ascii="Arial" w:hAnsi="Arial" w:cs="Arial"/>
          <w:i/>
          <w:sz w:val="24"/>
          <w:szCs w:val="24"/>
        </w:rPr>
        <w:t>d) Frente a una indicación de luz roja del semáforo, los conductores deberán detener la marcha antes de la raya de alto total, respetando los señalamientos del paso peatonal o en su caso de no existir los señalamientos de alto total y cruce peatonal el conductor deberá dejar un espacio transversal entre los límites extremos de las banquetas el espacio suficiente para el cruce de peatones;</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 xml:space="preserve">            </w:t>
      </w:r>
      <w:r w:rsidRPr="00347F59">
        <w:rPr>
          <w:rFonts w:ascii="Arial" w:hAnsi="Arial" w:cs="Arial"/>
          <w:i/>
          <w:sz w:val="24"/>
          <w:szCs w:val="24"/>
        </w:rPr>
        <w:t xml:space="preserve">e) Cuando la luz roja del semáforo emita señales intermitentes, los conductores de vehículos deberán detener la marcha en la línea de alto, marcada sobre la superficie de rodamiento; en ausencia de esta, deberán detenerse antes de entrar en la zona peatonal o de cruce de peatones u </w:t>
      </w:r>
      <w:r w:rsidRPr="00347F59">
        <w:rPr>
          <w:rFonts w:ascii="Arial" w:hAnsi="Arial" w:cs="Arial"/>
          <w:i/>
          <w:sz w:val="24"/>
          <w:szCs w:val="24"/>
        </w:rPr>
        <w:lastRenderedPageBreak/>
        <w:t>otras áreas de control, y podrán reanudar su marcha una vez que se haya cerciorado que no existe riesgo alguno;</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 xml:space="preserve">            </w:t>
      </w:r>
      <w:r w:rsidRPr="00347F59">
        <w:rPr>
          <w:rFonts w:ascii="Arial" w:hAnsi="Arial" w:cs="Arial"/>
          <w:i/>
          <w:sz w:val="24"/>
          <w:szCs w:val="24"/>
        </w:rPr>
        <w:t>f) Cuando la luz amarilla emita destellos intermitentes, los conductores de vehículos deberán disminuir la velocidad y podrán avanzar a través de la intersección o pasar dichas señales después de tomar las precauciones necesarias, y</w:t>
      </w:r>
    </w:p>
    <w:p w:rsidR="00F441A3" w:rsidRPr="00347F59" w:rsidRDefault="00F441A3" w:rsidP="00F441A3">
      <w:pPr>
        <w:tabs>
          <w:tab w:val="center" w:pos="4574"/>
        </w:tabs>
        <w:spacing w:after="0" w:line="240" w:lineRule="auto"/>
        <w:jc w:val="both"/>
        <w:rPr>
          <w:rFonts w:ascii="Arial" w:hAnsi="Arial" w:cs="Arial"/>
          <w:i/>
          <w:sz w:val="24"/>
          <w:szCs w:val="24"/>
        </w:rPr>
      </w:pPr>
      <w:r>
        <w:rPr>
          <w:rFonts w:ascii="Arial" w:hAnsi="Arial" w:cs="Arial"/>
          <w:i/>
          <w:sz w:val="24"/>
          <w:szCs w:val="24"/>
        </w:rPr>
        <w:t xml:space="preserve">           </w:t>
      </w:r>
      <w:r w:rsidRPr="00347F59">
        <w:rPr>
          <w:rFonts w:ascii="Arial" w:hAnsi="Arial" w:cs="Arial"/>
          <w:i/>
          <w:sz w:val="24"/>
          <w:szCs w:val="24"/>
        </w:rPr>
        <w:t>g) Los semáforos, campanas y barreras instaladas en la intersección de ferrocarriles, deberán ser respetadas tanto por conductores como por peatones, antes de realizar el cruce…”</w:t>
      </w:r>
    </w:p>
    <w:p w:rsidR="00F441A3" w:rsidRDefault="00F441A3" w:rsidP="00F441A3">
      <w:pPr>
        <w:tabs>
          <w:tab w:val="center" w:pos="4574"/>
        </w:tabs>
        <w:spacing w:line="360" w:lineRule="auto"/>
        <w:ind w:firstLine="708"/>
        <w:jc w:val="both"/>
        <w:rPr>
          <w:rFonts w:ascii="Arial" w:hAnsi="Arial" w:cs="Arial"/>
          <w:sz w:val="24"/>
          <w:szCs w:val="24"/>
        </w:rPr>
      </w:pP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Ahora bien, para motivar el hecho el Policía Vial demandado plasmó: “</w:t>
      </w:r>
      <w:r w:rsidRPr="008E0068">
        <w:rPr>
          <w:rFonts w:ascii="Arial" w:hAnsi="Arial" w:cs="Arial"/>
          <w:i/>
          <w:sz w:val="24"/>
          <w:szCs w:val="24"/>
        </w:rPr>
        <w:t>po</w:t>
      </w:r>
      <w:r>
        <w:rPr>
          <w:rFonts w:ascii="Arial" w:hAnsi="Arial" w:cs="Arial"/>
          <w:i/>
          <w:sz w:val="24"/>
          <w:szCs w:val="24"/>
        </w:rPr>
        <w:t>r</w:t>
      </w:r>
      <w:r w:rsidRPr="008E0068">
        <w:rPr>
          <w:rFonts w:ascii="Arial" w:hAnsi="Arial" w:cs="Arial"/>
          <w:i/>
          <w:sz w:val="24"/>
          <w:szCs w:val="24"/>
        </w:rPr>
        <w:t xml:space="preserve"> pasarse la luz roja del semáforo</w:t>
      </w:r>
      <w:r>
        <w:rPr>
          <w:rFonts w:ascii="Arial" w:hAnsi="Arial" w:cs="Arial"/>
          <w:sz w:val="24"/>
          <w:szCs w:val="24"/>
        </w:rPr>
        <w:t>”; de lo transcrito se advierte, que la cita de los artículos 127 y 132 plasmados en el acta de infracción, son supuestos  que no concuerdan con el hecho plasmado por el policía vial demandado, además, el que se refiere a pasarse la luz roja del semáforo, fue citado en forma genérica, pues omitió precisar a cual inciso de la fracción I del artículo 59 se refiere, pues éste contiene siete incisos que van del a) al g), circunstancias por las que resulta improcedente que esta autoridad supla la deficiencia de la queja, pues dicha figura únicamente se encuentra prevista para el administrado en el artículo 149 de la Ley de Procedimiento y Justicia administrativa para el Estado de Oaxaca, luego entonces, el acta de infracción impugnada no se encuentra debidamente fundada y mucho menos motivada, pues ha sido criterio del más alto tribunal del país, que éstos presupuestos (fundamentación y motivación),</w:t>
      </w:r>
      <w:r w:rsidRPr="009244F7">
        <w:rPr>
          <w:rFonts w:ascii="Arial" w:hAnsi="Arial" w:cs="Arial"/>
          <w:sz w:val="24"/>
          <w:szCs w:val="24"/>
        </w:rPr>
        <w:t xml:space="preserve"> deben coexistir, pues no es posible citar disposiciones legales sin relacionarlas con los hechos de que se trate, ni exponer razones sobre hechos que carezcan de relevancia para dichas disposiciones. Esta correlación entre los fundamentos jurídicos y los motivos de hecho</w:t>
      </w:r>
      <w:r>
        <w:rPr>
          <w:rFonts w:ascii="Arial" w:hAnsi="Arial" w:cs="Arial"/>
          <w:sz w:val="24"/>
          <w:szCs w:val="24"/>
        </w:rPr>
        <w:t>,</w:t>
      </w:r>
      <w:r w:rsidRPr="009244F7">
        <w:rPr>
          <w:rFonts w:ascii="Arial" w:hAnsi="Arial" w:cs="Arial"/>
          <w:sz w:val="24"/>
          <w:szCs w:val="24"/>
        </w:rPr>
        <w:t xml:space="preserve"> supone necesariamente un razonamiento de la autoridad</w:t>
      </w:r>
      <w:r>
        <w:rPr>
          <w:rFonts w:ascii="Arial" w:hAnsi="Arial" w:cs="Arial"/>
          <w:sz w:val="24"/>
          <w:szCs w:val="24"/>
        </w:rPr>
        <w:t>,</w:t>
      </w:r>
      <w:r w:rsidRPr="009244F7">
        <w:rPr>
          <w:rFonts w:ascii="Arial" w:hAnsi="Arial" w:cs="Arial"/>
          <w:sz w:val="24"/>
          <w:szCs w:val="24"/>
        </w:rPr>
        <w:t xml:space="preserve"> para demostrar la aplicabilidad de los preceptos legales invocados a los hechos de que se trate, lo que en realidad implica la fundamentación y motivación de la causa legal del procedimiento</w:t>
      </w:r>
      <w:r>
        <w:rPr>
          <w:rFonts w:ascii="Arial" w:hAnsi="Arial" w:cs="Arial"/>
          <w:sz w:val="24"/>
          <w:szCs w:val="24"/>
        </w:rPr>
        <w:t>, lo que en el presente asunto no sucedió.</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Aunado a lo anterior, se advierte que el Policía Vial demandado, plasmó en el acta de infracción el código V-073, y que en el apartado en que lo hizo dispone: “</w:t>
      </w:r>
      <w:r w:rsidRPr="009C4BA9">
        <w:rPr>
          <w:rFonts w:ascii="Arial" w:hAnsi="Arial" w:cs="Arial"/>
          <w:i/>
          <w:sz w:val="24"/>
          <w:szCs w:val="24"/>
        </w:rPr>
        <w:t>CÓDIGO (S) ÚNICAMENTE PARA REFERENCIA DE COBRO</w:t>
      </w:r>
      <w:r>
        <w:rPr>
          <w:rFonts w:ascii="Arial" w:hAnsi="Arial" w:cs="Arial"/>
          <w:sz w:val="24"/>
          <w:szCs w:val="24"/>
        </w:rPr>
        <w:t xml:space="preserve">”; y al ser dicho código la base con la que la autoridad correlaciona la infracción cometida con el monto de la multa, obligaba al policía vial, a plasmar la norma </w:t>
      </w:r>
      <w:r w:rsidRPr="001C4EEE">
        <w:rPr>
          <w:rFonts w:ascii="Arial" w:hAnsi="Arial" w:cs="Arial"/>
          <w:sz w:val="24"/>
          <w:szCs w:val="24"/>
        </w:rPr>
        <w:t xml:space="preserve">legal que prevé el contenido de dicho Código, </w:t>
      </w:r>
      <w:r>
        <w:rPr>
          <w:rFonts w:ascii="Arial" w:hAnsi="Arial" w:cs="Arial"/>
          <w:sz w:val="24"/>
          <w:szCs w:val="24"/>
        </w:rPr>
        <w:t xml:space="preserve">para que </w:t>
      </w:r>
      <w:r w:rsidRPr="001C4EEE">
        <w:rPr>
          <w:rFonts w:ascii="Arial" w:hAnsi="Arial" w:cs="Arial"/>
          <w:sz w:val="24"/>
          <w:szCs w:val="24"/>
        </w:rPr>
        <w:t>l</w:t>
      </w:r>
      <w:r>
        <w:rPr>
          <w:rFonts w:ascii="Arial" w:hAnsi="Arial" w:cs="Arial"/>
          <w:sz w:val="24"/>
          <w:szCs w:val="24"/>
        </w:rPr>
        <w:t>a</w:t>
      </w:r>
      <w:r w:rsidRPr="001C4EEE">
        <w:rPr>
          <w:rFonts w:ascii="Arial" w:hAnsi="Arial" w:cs="Arial"/>
          <w:sz w:val="24"/>
          <w:szCs w:val="24"/>
        </w:rPr>
        <w:t xml:space="preserve"> </w:t>
      </w:r>
      <w:r>
        <w:rPr>
          <w:rFonts w:ascii="Arial" w:hAnsi="Arial" w:cs="Arial"/>
          <w:sz w:val="24"/>
          <w:szCs w:val="24"/>
        </w:rPr>
        <w:lastRenderedPageBreak/>
        <w:t xml:space="preserve">parte </w:t>
      </w:r>
      <w:r w:rsidRPr="001C4EEE">
        <w:rPr>
          <w:rFonts w:ascii="Arial" w:hAnsi="Arial" w:cs="Arial"/>
          <w:sz w:val="24"/>
          <w:szCs w:val="24"/>
        </w:rPr>
        <w:t>actor</w:t>
      </w:r>
      <w:r>
        <w:rPr>
          <w:rFonts w:ascii="Arial" w:hAnsi="Arial" w:cs="Arial"/>
          <w:sz w:val="24"/>
          <w:szCs w:val="24"/>
        </w:rPr>
        <w:t>a</w:t>
      </w:r>
      <w:r w:rsidRPr="001C4EEE">
        <w:rPr>
          <w:rFonts w:ascii="Arial" w:hAnsi="Arial" w:cs="Arial"/>
          <w:sz w:val="24"/>
          <w:szCs w:val="24"/>
        </w:rPr>
        <w:t xml:space="preserve"> tuviera la oportunidad de saber oportunamente, si el </w:t>
      </w:r>
      <w:r>
        <w:rPr>
          <w:rFonts w:ascii="Arial" w:hAnsi="Arial" w:cs="Arial"/>
          <w:sz w:val="24"/>
          <w:szCs w:val="24"/>
        </w:rPr>
        <w:t>pago</w:t>
      </w:r>
      <w:r w:rsidRPr="001C4EEE">
        <w:rPr>
          <w:rFonts w:ascii="Arial" w:hAnsi="Arial" w:cs="Arial"/>
          <w:sz w:val="24"/>
          <w:szCs w:val="24"/>
        </w:rPr>
        <w:t xml:space="preserve"> que en su momento efectuar</w:t>
      </w:r>
      <w:r>
        <w:rPr>
          <w:rFonts w:ascii="Arial" w:hAnsi="Arial" w:cs="Arial"/>
          <w:sz w:val="24"/>
          <w:szCs w:val="24"/>
        </w:rPr>
        <w:t>a</w:t>
      </w:r>
      <w:r w:rsidRPr="001C4EEE">
        <w:rPr>
          <w:rFonts w:ascii="Arial" w:hAnsi="Arial" w:cs="Arial"/>
          <w:sz w:val="24"/>
          <w:szCs w:val="24"/>
        </w:rPr>
        <w:t>,</w:t>
      </w:r>
      <w:r>
        <w:rPr>
          <w:rFonts w:ascii="Arial" w:hAnsi="Arial" w:cs="Arial"/>
          <w:sz w:val="24"/>
          <w:szCs w:val="24"/>
        </w:rPr>
        <w:t xml:space="preserve"> correspondía a las faltas cometidas, y al no hacerlo, también violentó en perjuicio de ésta, la garantía de seguridad jurídica que tiene todo gobernado, contenida en los artículos 14 y 16 de la Constitución Política de los Estados Unidos Mexicanos, no pasando desapercibido el hecho de que en el acta en 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su obligación de señalar la normatividad que contempla el código que señaló en el acta de infracción.</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Con tales omisiones, se violentó lo dispuesto en la fracción II del artículo 16 del Reglamento de Vialidad para el Municipio de Oaxaca de Juárez, el cual dispone “</w:t>
      </w:r>
      <w:r w:rsidRPr="00AB5679">
        <w:rPr>
          <w:rFonts w:ascii="Arial" w:hAnsi="Arial" w:cs="Arial"/>
          <w:b/>
          <w:i/>
          <w:sz w:val="24"/>
          <w:szCs w:val="24"/>
        </w:rPr>
        <w:t>ARTÍCULO 16.-</w:t>
      </w:r>
      <w:r w:rsidRPr="00AB5679">
        <w:rPr>
          <w:rFonts w:ascii="Arial" w:hAnsi="Arial" w:cs="Arial"/>
          <w:i/>
          <w:sz w:val="24"/>
          <w:szCs w:val="24"/>
        </w:rPr>
        <w:t xml:space="preserve"> 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Pr="00AB5679">
        <w:rPr>
          <w:rFonts w:ascii="Arial" w:hAnsi="Arial" w:cs="Arial"/>
          <w:b/>
          <w:i/>
          <w:sz w:val="24"/>
          <w:szCs w:val="24"/>
        </w:rPr>
        <w:t xml:space="preserve">fundándolas y motivándolas correctamente, evitando abreviaturas o signos que impidan la comprensión del </w:t>
      </w:r>
      <w:proofErr w:type="gramStart"/>
      <w:r w:rsidRPr="00AB5679">
        <w:rPr>
          <w:rFonts w:ascii="Arial" w:hAnsi="Arial" w:cs="Arial"/>
          <w:b/>
          <w:i/>
          <w:sz w:val="24"/>
          <w:szCs w:val="24"/>
        </w:rPr>
        <w:t>contenido</w:t>
      </w:r>
      <w:r w:rsidRPr="00AB5679">
        <w:rPr>
          <w:rFonts w:ascii="Arial" w:hAnsi="Arial" w:cs="Arial"/>
          <w:i/>
          <w:sz w:val="24"/>
          <w:szCs w:val="24"/>
        </w:rPr>
        <w:t>;…</w:t>
      </w:r>
      <w:proofErr w:type="gramEnd"/>
      <w:r>
        <w:rPr>
          <w:rFonts w:ascii="Arial" w:hAnsi="Arial" w:cs="Arial"/>
          <w:sz w:val="24"/>
          <w:szCs w:val="24"/>
        </w:rPr>
        <w:t>”.</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Además, en el artículo 129 del citado Reglamento, se establecen las circunstancias que debieron haber sido observadas por el Policía Vial, al elaborar el acta de infracción, advirtiendo esta Juzgadora que se dejó de observar lo establecido en los incisos j) y k), de dicho numeral, al carecer de debida fundame</w:t>
      </w:r>
      <w:r w:rsidRPr="00E473FA">
        <w:rPr>
          <w:rFonts w:ascii="Arial" w:hAnsi="Arial" w:cs="Arial"/>
          <w:sz w:val="24"/>
          <w:szCs w:val="24"/>
        </w:rPr>
        <w:t>ntac</w:t>
      </w:r>
      <w:r>
        <w:rPr>
          <w:rFonts w:ascii="Arial" w:hAnsi="Arial" w:cs="Arial"/>
          <w:sz w:val="24"/>
          <w:szCs w:val="24"/>
        </w:rPr>
        <w:t xml:space="preserve">ión y motivación el acta levantada con motivo de la </w:t>
      </w:r>
      <w:r w:rsidRPr="000D3A91">
        <w:rPr>
          <w:rFonts w:ascii="Arial" w:hAnsi="Arial" w:cs="Arial"/>
          <w:sz w:val="24"/>
          <w:szCs w:val="24"/>
        </w:rPr>
        <w:t>infracción, porque como ya se dijo, las circunstancias que rodearon el hecho, constituyen la base par</w:t>
      </w:r>
      <w:r>
        <w:rPr>
          <w:rFonts w:ascii="Arial" w:hAnsi="Arial" w:cs="Arial"/>
          <w:sz w:val="24"/>
          <w:szCs w:val="24"/>
        </w:rPr>
        <w:t>a determinar que efectivamente el</w:t>
      </w:r>
      <w:r w:rsidRPr="000D3A91">
        <w:rPr>
          <w:rFonts w:ascii="Arial" w:hAnsi="Arial" w:cs="Arial"/>
          <w:sz w:val="24"/>
          <w:szCs w:val="24"/>
        </w:rPr>
        <w:t xml:space="preserve"> conductor del </w:t>
      </w:r>
      <w:r w:rsidRPr="00AA2818">
        <w:rPr>
          <w:rFonts w:ascii="Arial" w:hAnsi="Arial" w:cs="Arial"/>
          <w:sz w:val="24"/>
          <w:szCs w:val="24"/>
        </w:rPr>
        <w:t xml:space="preserve">vehículo </w:t>
      </w:r>
      <w:r w:rsidRPr="00A17FFD">
        <w:rPr>
          <w:rFonts w:ascii="Arial" w:hAnsi="Arial" w:cs="Arial"/>
          <w:sz w:val="24"/>
          <w:szCs w:val="24"/>
        </w:rPr>
        <w:t xml:space="preserve">con placas de circulación </w:t>
      </w:r>
      <w:r w:rsidR="00DD4D32">
        <w:rPr>
          <w:rFonts w:ascii="Arial" w:hAnsi="Arial" w:cs="Arial"/>
          <w:sz w:val="24"/>
          <w:szCs w:val="24"/>
        </w:rPr>
        <w:t>*****</w:t>
      </w:r>
      <w:r>
        <w:rPr>
          <w:rFonts w:ascii="Arial" w:hAnsi="Arial" w:cs="Arial"/>
          <w:sz w:val="24"/>
          <w:szCs w:val="24"/>
        </w:rPr>
        <w:t>-</w:t>
      </w:r>
      <w:r w:rsidR="00DD4D32">
        <w:rPr>
          <w:rFonts w:ascii="Arial" w:hAnsi="Arial" w:cs="Arial"/>
          <w:sz w:val="24"/>
          <w:szCs w:val="24"/>
        </w:rPr>
        <w:t>**</w:t>
      </w:r>
      <w:r>
        <w:rPr>
          <w:rFonts w:ascii="Arial" w:hAnsi="Arial" w:cs="Arial"/>
          <w:sz w:val="24"/>
          <w:szCs w:val="24"/>
        </w:rPr>
        <w:t xml:space="preserve"> del Estado de México, incurrió en una falta administrativa, específicamente señalada en el Reglamento de Vialidad y con ese actuar; pues para que una multa por infracción al Reglamento de Tránsito esté debidamente fundada y motivada, se requiere que se haga la descripción clara y completa de la conducta que satisface la hipótesis normativa y que se cite con absoluta precisión el artículo y la </w:t>
      </w:r>
      <w:r>
        <w:rPr>
          <w:rFonts w:ascii="Arial" w:hAnsi="Arial" w:cs="Arial"/>
          <w:sz w:val="24"/>
          <w:szCs w:val="24"/>
        </w:rPr>
        <w:lastRenderedPageBreak/>
        <w:t xml:space="preserve">fracción e inciso, en sus casos, que tipifican la conducta sancionadora; consecuentemente, al no estar fundado y motivado el acto impugnado, este se torna inconstitucional, al infringir lo dispuesto en el artículo 16 de la Constitución Política de los Estados Unidos Mexicanos, en relación con el artículo 17 de la Ley de Procedimiento y Justicia Administrativa para el Estado de Oaxaca, que establecen lo relativo a los elementos y requisitos de validez que debe contener el acto administrativo, obligación de toda autoridad al emitir un acto administrativo, criterio establecido en la tesis jurisprudencial cuyo rubro es </w:t>
      </w:r>
      <w:r>
        <w:rPr>
          <w:rFonts w:ascii="Arial" w:hAnsi="Arial" w:cs="Arial"/>
          <w:i/>
          <w:sz w:val="24"/>
          <w:szCs w:val="24"/>
        </w:rPr>
        <w:t xml:space="preserve">FUNDAMENTACIÓN Y MOTIVACIÓN, </w:t>
      </w:r>
      <w:r>
        <w:rPr>
          <w:rFonts w:ascii="Arial" w:hAnsi="Arial" w:cs="Arial"/>
          <w:sz w:val="24"/>
          <w:szCs w:val="24"/>
        </w:rPr>
        <w:t>visible en la Jurisprudencia 204, de la Segunda Sala de la Suprema Corte de Justicia de la Nación, en el Tomo VI, Séptima Época, página 166 del apéndice al Semanario Judicial de la Federación y su Gaceta 1917-2000.</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Una vez declarado inconstitucional el acto impugnado, lo procedente es conforme a la fracción II del artículo 208 de la Ley de Procedimiento y Justicia Administrativa para el Estado de Oaxaca, declarar </w:t>
      </w:r>
      <w:r>
        <w:rPr>
          <w:rFonts w:ascii="Arial" w:hAnsi="Arial" w:cs="Arial"/>
          <w:b/>
          <w:sz w:val="24"/>
          <w:szCs w:val="24"/>
        </w:rPr>
        <w:t xml:space="preserve">la NULIDAD LISA Y LLANA del acta de infracción de tránsito con número de folio </w:t>
      </w:r>
      <w:r w:rsidR="00DD4D32">
        <w:rPr>
          <w:rFonts w:ascii="Arial" w:hAnsi="Arial" w:cs="Arial"/>
          <w:b/>
          <w:sz w:val="24"/>
          <w:szCs w:val="24"/>
        </w:rPr>
        <w:t>*****</w:t>
      </w:r>
      <w:r>
        <w:rPr>
          <w:rFonts w:ascii="Arial" w:hAnsi="Arial" w:cs="Arial"/>
          <w:b/>
          <w:sz w:val="24"/>
          <w:szCs w:val="24"/>
        </w:rPr>
        <w:t xml:space="preserve">, de </w:t>
      </w:r>
      <w:r w:rsidR="00DD4D32">
        <w:rPr>
          <w:rFonts w:ascii="Arial" w:hAnsi="Arial" w:cs="Arial"/>
          <w:b/>
          <w:sz w:val="24"/>
          <w:szCs w:val="24"/>
        </w:rPr>
        <w:t>******</w:t>
      </w:r>
      <w:r>
        <w:rPr>
          <w:rFonts w:ascii="Arial" w:hAnsi="Arial" w:cs="Arial"/>
          <w:b/>
          <w:sz w:val="24"/>
          <w:szCs w:val="24"/>
        </w:rPr>
        <w:t xml:space="preserve"> de </w:t>
      </w:r>
      <w:r w:rsidR="00DD4D32">
        <w:rPr>
          <w:rFonts w:ascii="Arial" w:hAnsi="Arial" w:cs="Arial"/>
          <w:b/>
          <w:sz w:val="24"/>
          <w:szCs w:val="24"/>
        </w:rPr>
        <w:t>*****</w:t>
      </w:r>
      <w:r>
        <w:rPr>
          <w:rFonts w:ascii="Arial" w:hAnsi="Arial" w:cs="Arial"/>
          <w:b/>
          <w:sz w:val="24"/>
          <w:szCs w:val="24"/>
        </w:rPr>
        <w:t xml:space="preserve"> de dos mil dieciocho (</w:t>
      </w:r>
      <w:r w:rsidR="00DD4D32">
        <w:rPr>
          <w:rFonts w:ascii="Arial" w:hAnsi="Arial" w:cs="Arial"/>
          <w:b/>
          <w:sz w:val="24"/>
          <w:szCs w:val="24"/>
        </w:rPr>
        <w:t>**</w:t>
      </w:r>
      <w:r>
        <w:rPr>
          <w:rFonts w:ascii="Arial" w:hAnsi="Arial" w:cs="Arial"/>
          <w:b/>
          <w:sz w:val="24"/>
          <w:szCs w:val="24"/>
        </w:rPr>
        <w:t>/</w:t>
      </w:r>
      <w:r w:rsidR="00DD4D32">
        <w:rPr>
          <w:rFonts w:ascii="Arial" w:hAnsi="Arial" w:cs="Arial"/>
          <w:b/>
          <w:sz w:val="24"/>
          <w:szCs w:val="24"/>
        </w:rPr>
        <w:t>**</w:t>
      </w:r>
      <w:r>
        <w:rPr>
          <w:rFonts w:ascii="Arial" w:hAnsi="Arial" w:cs="Arial"/>
          <w:b/>
          <w:sz w:val="24"/>
          <w:szCs w:val="24"/>
        </w:rPr>
        <w:t xml:space="preserve">/2018),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DD4D32">
        <w:rPr>
          <w:rFonts w:ascii="Arial" w:hAnsi="Arial" w:cs="Arial"/>
          <w:sz w:val="24"/>
          <w:szCs w:val="24"/>
        </w:rPr>
        <w:t>*****</w:t>
      </w:r>
      <w:r>
        <w:rPr>
          <w:rFonts w:ascii="Arial" w:hAnsi="Arial" w:cs="Arial"/>
          <w:sz w:val="24"/>
          <w:szCs w:val="24"/>
        </w:rPr>
        <w:t>-</w:t>
      </w:r>
      <w:r w:rsidR="00DD4D32">
        <w:rPr>
          <w:rFonts w:ascii="Arial" w:hAnsi="Arial" w:cs="Arial"/>
          <w:sz w:val="24"/>
          <w:szCs w:val="24"/>
        </w:rPr>
        <w:t>**</w:t>
      </w:r>
      <w:r>
        <w:rPr>
          <w:rFonts w:ascii="Arial" w:hAnsi="Arial" w:cs="Arial"/>
          <w:sz w:val="24"/>
          <w:szCs w:val="24"/>
        </w:rPr>
        <w:t xml:space="preserve"> del Estado de México, emitida </w:t>
      </w:r>
      <w:r w:rsidRPr="00DA48D3">
        <w:rPr>
          <w:rFonts w:ascii="Arial" w:hAnsi="Arial" w:cs="Arial"/>
          <w:sz w:val="24"/>
          <w:szCs w:val="24"/>
        </w:rPr>
        <w:t xml:space="preserve">por </w:t>
      </w:r>
      <w:r>
        <w:rPr>
          <w:rFonts w:ascii="Arial" w:hAnsi="Arial" w:cs="Arial"/>
          <w:sz w:val="24"/>
        </w:rPr>
        <w:t>el</w:t>
      </w:r>
      <w:r w:rsidRPr="002818DE">
        <w:rPr>
          <w:rFonts w:ascii="Arial" w:hAnsi="Arial" w:cs="Arial"/>
          <w:sz w:val="24"/>
        </w:rPr>
        <w:t xml:space="preserve"> </w:t>
      </w:r>
      <w:r>
        <w:rPr>
          <w:rFonts w:ascii="Arial" w:hAnsi="Arial" w:cs="Arial"/>
          <w:bCs/>
          <w:sz w:val="24"/>
        </w:rPr>
        <w:t>C. RICARDO SÁNCHEZ AQUINO</w:t>
      </w:r>
      <w:r>
        <w:rPr>
          <w:rFonts w:ascii="Arial" w:hAnsi="Arial" w:cs="Arial"/>
          <w:sz w:val="24"/>
          <w:szCs w:val="24"/>
        </w:rPr>
        <w:t xml:space="preserve">, Policía Vial con número estadístico 124 de la Comisaría de Vialidad del Municipio de Oaxaca de Juárez; y como consecuencia de ello, </w:t>
      </w:r>
      <w:r>
        <w:rPr>
          <w:rFonts w:ascii="Arial" w:hAnsi="Arial" w:cs="Arial"/>
          <w:b/>
          <w:sz w:val="24"/>
          <w:szCs w:val="24"/>
        </w:rPr>
        <w:t xml:space="preserve">habrán de restituirse los derechos ilegalmente violentados de la parte actora, </w:t>
      </w:r>
      <w:r>
        <w:rPr>
          <w:rFonts w:ascii="Arial" w:hAnsi="Arial" w:cs="Arial"/>
          <w:sz w:val="24"/>
          <w:szCs w:val="24"/>
        </w:rPr>
        <w:t xml:space="preserve">resultando entonces procedente, </w:t>
      </w:r>
      <w:r w:rsidRPr="00B36191">
        <w:rPr>
          <w:rFonts w:ascii="Arial" w:hAnsi="Arial" w:cs="Arial"/>
          <w:b/>
          <w:sz w:val="24"/>
          <w:szCs w:val="24"/>
        </w:rPr>
        <w:t>ordenar</w:t>
      </w:r>
      <w:r>
        <w:rPr>
          <w:rFonts w:ascii="Arial" w:hAnsi="Arial" w:cs="Arial"/>
          <w:sz w:val="24"/>
          <w:szCs w:val="24"/>
        </w:rPr>
        <w:t xml:space="preserve"> al Policía Vial demandado, realizar las gestiones necesarias para la cancelación del acta de infracción en el sistema electrónico con que cuenta la Comisaría de Vialidad Municipal; y realice la </w:t>
      </w:r>
      <w:r w:rsidRPr="004902F8">
        <w:rPr>
          <w:rFonts w:ascii="Arial" w:hAnsi="Arial" w:cs="Arial"/>
          <w:b/>
          <w:sz w:val="24"/>
          <w:szCs w:val="24"/>
        </w:rPr>
        <w:t>devolución al actor de la licencia de conducir</w:t>
      </w:r>
      <w:r>
        <w:rPr>
          <w:rFonts w:ascii="Arial" w:hAnsi="Arial" w:cs="Arial"/>
          <w:sz w:val="24"/>
          <w:szCs w:val="24"/>
        </w:rPr>
        <w:t xml:space="preserve"> que le fue retenida como garantía de pago; 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w:t>
      </w:r>
      <w:r>
        <w:rPr>
          <w:rFonts w:ascii="Arial" w:hAnsi="Arial" w:cs="Arial"/>
          <w:sz w:val="24"/>
          <w:szCs w:val="24"/>
        </w:rPr>
        <w:lastRenderedPageBreak/>
        <w:t>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w:t>
      </w:r>
      <w:proofErr w:type="gramStart"/>
      <w:r>
        <w:rPr>
          <w:rFonts w:ascii="Arial" w:hAnsi="Arial" w:cs="Arial"/>
          <w:sz w:val="24"/>
          <w:szCs w:val="24"/>
        </w:rPr>
        <w:t>AJ./</w:t>
      </w:r>
      <w:proofErr w:type="gramEnd"/>
      <w:r>
        <w:rPr>
          <w:rFonts w:ascii="Arial" w:hAnsi="Arial" w:cs="Arial"/>
          <w:sz w:val="24"/>
          <w:szCs w:val="24"/>
        </w:rPr>
        <w:t xml:space="preserve">23 del Segundo Tribunal Colegiado en materia Administrativa del Primer Circuito, publicada en el semanario Judicial de la Federación, del mes de agosto de 1999, página 647, de rubro: </w:t>
      </w:r>
      <w:r>
        <w:rPr>
          <w:rFonts w:ascii="Arial" w:hAnsi="Arial" w:cs="Arial"/>
          <w:i/>
          <w:sz w:val="24"/>
          <w:szCs w:val="24"/>
        </w:rPr>
        <w:t xml:space="preserve">“CONCEPTOS </w:t>
      </w:r>
      <w:r w:rsidRPr="005D3888">
        <w:rPr>
          <w:rFonts w:ascii="Arial" w:hAnsi="Arial" w:cs="Arial"/>
          <w:i/>
          <w:sz w:val="24"/>
          <w:szCs w:val="24"/>
        </w:rPr>
        <w:t>DE ANULACIÓN. LA EXIGENCIA DE EXAMINARLOS EXHAUSTIVAMENTE DEBE PONDERARSE A LA LUZ DE CADA CONTROVERSIA EN PARTICULAR</w:t>
      </w:r>
      <w:r>
        <w:rPr>
          <w:rFonts w:ascii="Arial" w:hAnsi="Arial" w:cs="Arial"/>
          <w:i/>
          <w:sz w:val="24"/>
          <w:szCs w:val="24"/>
        </w:rPr>
        <w:t>”</w:t>
      </w:r>
      <w:r>
        <w:rPr>
          <w:rFonts w:ascii="Arial" w:hAnsi="Arial" w:cs="Arial"/>
          <w:sz w:val="24"/>
          <w:szCs w:val="24"/>
        </w:rPr>
        <w:t>.</w:t>
      </w:r>
    </w:p>
    <w:p w:rsidR="00F441A3"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857387">
        <w:rPr>
          <w:rFonts w:ascii="Arial" w:hAnsi="Arial" w:cs="Arial"/>
          <w:sz w:val="24"/>
          <w:szCs w:val="24"/>
        </w:rPr>
        <w:t xml:space="preserve">- - - </w:t>
      </w:r>
    </w:p>
    <w:p w:rsidR="00F441A3" w:rsidRDefault="00F441A3" w:rsidP="00F441A3">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F441A3" w:rsidRDefault="00F441A3" w:rsidP="00F441A3">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857387">
        <w:rPr>
          <w:rFonts w:ascii="Arial" w:hAnsi="Arial" w:cs="Arial"/>
          <w:sz w:val="24"/>
          <w:szCs w:val="24"/>
        </w:rPr>
        <w:t xml:space="preserve">- </w:t>
      </w:r>
    </w:p>
    <w:p w:rsidR="00F441A3" w:rsidRDefault="00F441A3" w:rsidP="00F441A3">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857387">
        <w:rPr>
          <w:rFonts w:ascii="Arial" w:hAnsi="Arial" w:cs="Arial"/>
          <w:sz w:val="24"/>
          <w:szCs w:val="24"/>
        </w:rPr>
        <w:t>- - - - - - - - -</w:t>
      </w:r>
    </w:p>
    <w:p w:rsidR="00F441A3" w:rsidRDefault="00F441A3" w:rsidP="00F441A3">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Pr>
          <w:rFonts w:ascii="Arial" w:hAnsi="Arial" w:cs="Arial"/>
          <w:sz w:val="24"/>
          <w:szCs w:val="24"/>
        </w:rPr>
        <w:t xml:space="preserve"> del </w:t>
      </w:r>
      <w:r w:rsidRPr="002F09D4">
        <w:rPr>
          <w:rFonts w:ascii="Arial" w:hAnsi="Arial" w:cs="Arial"/>
          <w:sz w:val="24"/>
          <w:szCs w:val="24"/>
        </w:rPr>
        <w:t xml:space="preserve">acta de infracción de tránsito con número de folio </w:t>
      </w:r>
      <w:r w:rsidR="00DD4D32">
        <w:rPr>
          <w:rFonts w:ascii="Arial" w:hAnsi="Arial" w:cs="Arial"/>
          <w:sz w:val="24"/>
          <w:szCs w:val="24"/>
        </w:rPr>
        <w:t>*****</w:t>
      </w:r>
      <w:r w:rsidRPr="002F09D4">
        <w:rPr>
          <w:rFonts w:ascii="Arial" w:hAnsi="Arial" w:cs="Arial"/>
          <w:sz w:val="24"/>
          <w:szCs w:val="24"/>
        </w:rPr>
        <w:t xml:space="preserve">, de </w:t>
      </w:r>
      <w:r w:rsidR="00DD4D32">
        <w:rPr>
          <w:rFonts w:ascii="Arial" w:hAnsi="Arial" w:cs="Arial"/>
          <w:sz w:val="24"/>
          <w:szCs w:val="24"/>
        </w:rPr>
        <w:t>*****</w:t>
      </w:r>
      <w:r>
        <w:rPr>
          <w:rFonts w:ascii="Arial" w:hAnsi="Arial" w:cs="Arial"/>
          <w:sz w:val="24"/>
          <w:szCs w:val="24"/>
        </w:rPr>
        <w:t xml:space="preserve"> de </w:t>
      </w:r>
      <w:r w:rsidR="00DD4D32">
        <w:rPr>
          <w:rFonts w:ascii="Arial" w:hAnsi="Arial" w:cs="Arial"/>
          <w:sz w:val="24"/>
          <w:szCs w:val="24"/>
        </w:rPr>
        <w:t>*****</w:t>
      </w:r>
      <w:r>
        <w:rPr>
          <w:rFonts w:ascii="Arial" w:hAnsi="Arial" w:cs="Arial"/>
          <w:sz w:val="24"/>
          <w:szCs w:val="24"/>
        </w:rPr>
        <w:t xml:space="preserve"> de dos mil dieciocho (</w:t>
      </w:r>
      <w:r w:rsidR="00DD4D32">
        <w:rPr>
          <w:rFonts w:ascii="Arial" w:hAnsi="Arial" w:cs="Arial"/>
          <w:sz w:val="24"/>
          <w:szCs w:val="24"/>
        </w:rPr>
        <w:t>**</w:t>
      </w:r>
      <w:r>
        <w:rPr>
          <w:rFonts w:ascii="Arial" w:hAnsi="Arial" w:cs="Arial"/>
          <w:sz w:val="24"/>
          <w:szCs w:val="24"/>
        </w:rPr>
        <w:t>/</w:t>
      </w:r>
      <w:r w:rsidR="00DD4D32">
        <w:rPr>
          <w:rFonts w:ascii="Arial" w:hAnsi="Arial" w:cs="Arial"/>
          <w:sz w:val="24"/>
          <w:szCs w:val="24"/>
        </w:rPr>
        <w:t>**</w:t>
      </w:r>
      <w:r>
        <w:rPr>
          <w:rFonts w:ascii="Arial" w:hAnsi="Arial" w:cs="Arial"/>
          <w:sz w:val="24"/>
          <w:szCs w:val="24"/>
        </w:rPr>
        <w:t>/2018)</w:t>
      </w:r>
      <w:r w:rsidRPr="002F09D4">
        <w:rPr>
          <w:rFonts w:ascii="Arial" w:hAnsi="Arial" w:cs="Arial"/>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particular </w:t>
      </w:r>
      <w:r w:rsidRPr="00A17FFD">
        <w:rPr>
          <w:rFonts w:ascii="Arial" w:hAnsi="Arial" w:cs="Arial"/>
          <w:sz w:val="24"/>
          <w:szCs w:val="24"/>
        </w:rPr>
        <w:t xml:space="preserve">con placas de circulación </w:t>
      </w:r>
      <w:r w:rsidR="00DD4D32">
        <w:rPr>
          <w:rFonts w:ascii="Arial" w:hAnsi="Arial" w:cs="Arial"/>
          <w:sz w:val="24"/>
          <w:szCs w:val="24"/>
        </w:rPr>
        <w:t>*****</w:t>
      </w:r>
      <w:r>
        <w:rPr>
          <w:rFonts w:ascii="Arial" w:hAnsi="Arial" w:cs="Arial"/>
          <w:sz w:val="24"/>
          <w:szCs w:val="24"/>
        </w:rPr>
        <w:t>-</w:t>
      </w:r>
      <w:r w:rsidR="00DD4D32">
        <w:rPr>
          <w:rFonts w:ascii="Arial" w:hAnsi="Arial" w:cs="Arial"/>
          <w:sz w:val="24"/>
          <w:szCs w:val="24"/>
        </w:rPr>
        <w:t>**</w:t>
      </w:r>
      <w:r>
        <w:rPr>
          <w:rFonts w:ascii="Arial" w:hAnsi="Arial" w:cs="Arial"/>
          <w:sz w:val="24"/>
          <w:szCs w:val="24"/>
        </w:rPr>
        <w:t xml:space="preserve"> del Estado de México, emitida </w:t>
      </w:r>
      <w:r w:rsidRPr="00DA48D3">
        <w:rPr>
          <w:rFonts w:ascii="Arial" w:hAnsi="Arial" w:cs="Arial"/>
          <w:sz w:val="24"/>
          <w:szCs w:val="24"/>
        </w:rPr>
        <w:t xml:space="preserve">por </w:t>
      </w:r>
      <w:r>
        <w:rPr>
          <w:rFonts w:ascii="Arial" w:hAnsi="Arial" w:cs="Arial"/>
          <w:sz w:val="24"/>
          <w:szCs w:val="24"/>
        </w:rPr>
        <w:t>el</w:t>
      </w:r>
      <w:r w:rsidRPr="002818DE">
        <w:rPr>
          <w:rFonts w:ascii="Arial" w:hAnsi="Arial" w:cs="Arial"/>
          <w:sz w:val="24"/>
        </w:rPr>
        <w:t xml:space="preserve"> </w:t>
      </w:r>
      <w:r>
        <w:rPr>
          <w:rFonts w:ascii="Arial" w:hAnsi="Arial" w:cs="Arial"/>
          <w:bCs/>
          <w:sz w:val="24"/>
        </w:rPr>
        <w:t>C. RICARDO SÁNCHEZ AQUINO</w:t>
      </w:r>
      <w:r>
        <w:rPr>
          <w:rFonts w:ascii="Arial" w:hAnsi="Arial" w:cs="Arial"/>
          <w:sz w:val="24"/>
          <w:szCs w:val="24"/>
        </w:rPr>
        <w:t xml:space="preserve">, Policía Vial con </w:t>
      </w:r>
      <w:r>
        <w:rPr>
          <w:rFonts w:ascii="Arial" w:hAnsi="Arial" w:cs="Arial"/>
          <w:sz w:val="24"/>
          <w:szCs w:val="24"/>
        </w:rPr>
        <w:lastRenderedPageBreak/>
        <w:t xml:space="preserve">número estadístico 124 de la Comisaría de Vialidad del Municipio de Oaxaca de Juárez;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 autoridad demandada, realice las gestiones necesarias para la cancelación del acta de infracción en el sistema electrónico con que cuenta la Comisaría de Vialidad a la que pertenece, además se ordena la devolución al actor de la licencia para conducir que le fue retenida como garantía de pago; lo anterior en términos precisados en el considerando SEXTO de esta resolución. - - - - - - - </w:t>
      </w:r>
      <w:r w:rsidR="00DD4D32">
        <w:rPr>
          <w:rFonts w:ascii="Arial" w:hAnsi="Arial" w:cs="Arial"/>
          <w:sz w:val="24"/>
          <w:szCs w:val="24"/>
        </w:rPr>
        <w:t xml:space="preserve">- - - - - - - - - - - - - - - - - - - </w:t>
      </w:r>
      <w:bookmarkStart w:id="0" w:name="_GoBack"/>
      <w:bookmarkEnd w:id="0"/>
    </w:p>
    <w:p w:rsidR="00F441A3" w:rsidRDefault="00F441A3" w:rsidP="00F441A3">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rsidR="00F441A3" w:rsidRPr="00746184" w:rsidRDefault="00F441A3" w:rsidP="00F441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857387">
        <w:rPr>
          <w:rFonts w:ascii="Arial" w:hAnsi="Arial" w:cs="Arial"/>
          <w:sz w:val="24"/>
          <w:szCs w:val="24"/>
        </w:rPr>
        <w:t xml:space="preserve">- - - - - - - - - - - </w:t>
      </w:r>
    </w:p>
    <w:p w:rsidR="0001581F" w:rsidRPr="00883417" w:rsidRDefault="0001581F" w:rsidP="00883417"/>
    <w:sectPr w:rsidR="0001581F" w:rsidRPr="00883417" w:rsidSect="00DD4D32">
      <w:headerReference w:type="even" r:id="rId8"/>
      <w:headerReference w:type="default" r:id="rId9"/>
      <w:footerReference w:type="default" r:id="rId10"/>
      <w:headerReference w:type="first" r:id="rId11"/>
      <w:pgSz w:w="12240" w:h="20160" w:code="5"/>
      <w:pgMar w:top="851" w:right="1701" w:bottom="3544"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14738" w:rsidRDefault="00214738" w:rsidP="00D833EF">
      <w:pPr>
        <w:spacing w:after="0" w:line="240" w:lineRule="auto"/>
      </w:pPr>
      <w:r>
        <w:separator/>
      </w:r>
    </w:p>
  </w:endnote>
  <w:endnote w:type="continuationSeparator" w:id="0">
    <w:p w:rsidR="00214738" w:rsidRDefault="00214738"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20002A87" w:usb1="00000000" w:usb2="00000000"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214738"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857387" w:rsidRPr="00857387">
                      <w:rPr>
                        <w:noProof/>
                        <w:color w:val="000000" w:themeColor="text1"/>
                        <w:lang w:val="es-ES"/>
                      </w:rPr>
                      <w:t>14</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14738" w:rsidRDefault="00214738" w:rsidP="00D833EF">
      <w:pPr>
        <w:spacing w:after="0" w:line="240" w:lineRule="auto"/>
      </w:pPr>
      <w:r>
        <w:separator/>
      </w:r>
    </w:p>
  </w:footnote>
  <w:footnote w:type="continuationSeparator" w:id="0">
    <w:p w:rsidR="00214738" w:rsidRDefault="00214738"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D4D32">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3.3pt;margin-top:326.9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DD4D32" w:rsidRPr="003B6E97" w:rsidRDefault="00DD4D32" w:rsidP="00DD4D3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392782"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DD4D32"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392783"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sidR="00214738">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59E94F5" wp14:editId="7FC545DB">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883417">
      <w:rPr>
        <w:rFonts w:ascii="Bookman Old Style" w:hAnsi="Bookman Old Style"/>
        <w:b/>
      </w:rPr>
      <w:t>044</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BD2E9E">
      <w:rPr>
        <w:rFonts w:ascii="Bookman Old Style" w:hAnsi="Bookman Old Style"/>
        <w:b/>
        <w:sz w:val="24"/>
        <w:szCs w:val="24"/>
      </w:rPr>
      <w:t>8</w:t>
    </w:r>
  </w:p>
  <w:p w:rsidR="00743773" w:rsidRPr="00071C38" w:rsidRDefault="00DD4D32" w:rsidP="00C35811">
    <w:pPr>
      <w:pStyle w:val="Encabezado"/>
      <w:jc w:val="center"/>
      <w:rPr>
        <w:rFonts w:ascii="Arial" w:hAnsi="Arial" w:cs="Arial"/>
        <w:b/>
        <w:sz w:val="24"/>
      </w:rPr>
    </w:pPr>
    <w:r>
      <w:rPr>
        <w:rFonts w:ascii="Bookman Old Style" w:hAnsi="Bookman Old Style"/>
        <w:noProof/>
        <w:lang w:eastAsia="es-MX"/>
      </w:rPr>
      <w:pict>
        <v:shape id="_x0000_s2070" type="#_x0000_t202" style="position:absolute;left:0;text-align:left;margin-left:-95.55pt;margin-top:284.35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DD4D32" w:rsidRPr="003B6E97" w:rsidRDefault="00DD4D32" w:rsidP="00DD4D32">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059B0497" wp14:editId="270BCC14">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DD4D3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2392781"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49ED"/>
    <w:rsid w:val="00004A63"/>
    <w:rsid w:val="00004A9C"/>
    <w:rsid w:val="00007059"/>
    <w:rsid w:val="00011FFB"/>
    <w:rsid w:val="00013DA7"/>
    <w:rsid w:val="00013EF8"/>
    <w:rsid w:val="00014265"/>
    <w:rsid w:val="0001581F"/>
    <w:rsid w:val="000212E5"/>
    <w:rsid w:val="000230A8"/>
    <w:rsid w:val="000247D6"/>
    <w:rsid w:val="00027F59"/>
    <w:rsid w:val="00030DB0"/>
    <w:rsid w:val="000311E2"/>
    <w:rsid w:val="00032762"/>
    <w:rsid w:val="00032C34"/>
    <w:rsid w:val="000337AA"/>
    <w:rsid w:val="00034ED2"/>
    <w:rsid w:val="00035083"/>
    <w:rsid w:val="00035A15"/>
    <w:rsid w:val="000366C4"/>
    <w:rsid w:val="0004014C"/>
    <w:rsid w:val="00042563"/>
    <w:rsid w:val="00042570"/>
    <w:rsid w:val="00043652"/>
    <w:rsid w:val="000438A6"/>
    <w:rsid w:val="00044D5E"/>
    <w:rsid w:val="000450A0"/>
    <w:rsid w:val="0005061B"/>
    <w:rsid w:val="00050A4D"/>
    <w:rsid w:val="000513BB"/>
    <w:rsid w:val="00052F9C"/>
    <w:rsid w:val="00053AD2"/>
    <w:rsid w:val="000555DF"/>
    <w:rsid w:val="0005677A"/>
    <w:rsid w:val="00060B8C"/>
    <w:rsid w:val="0006139F"/>
    <w:rsid w:val="000615EE"/>
    <w:rsid w:val="00061B18"/>
    <w:rsid w:val="00062A2E"/>
    <w:rsid w:val="00064079"/>
    <w:rsid w:val="0006543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BD3"/>
    <w:rsid w:val="000943A2"/>
    <w:rsid w:val="00094AAA"/>
    <w:rsid w:val="000963BB"/>
    <w:rsid w:val="000A0997"/>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4882"/>
    <w:rsid w:val="001054C2"/>
    <w:rsid w:val="00105734"/>
    <w:rsid w:val="001059A6"/>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103F"/>
    <w:rsid w:val="00141E5F"/>
    <w:rsid w:val="001426A4"/>
    <w:rsid w:val="00142F70"/>
    <w:rsid w:val="00143B02"/>
    <w:rsid w:val="00145090"/>
    <w:rsid w:val="00145AF4"/>
    <w:rsid w:val="00145C46"/>
    <w:rsid w:val="00151102"/>
    <w:rsid w:val="00154C97"/>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D0503"/>
    <w:rsid w:val="001D1E27"/>
    <w:rsid w:val="001D2F32"/>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C0E"/>
    <w:rsid w:val="002069E2"/>
    <w:rsid w:val="0020725F"/>
    <w:rsid w:val="0021037E"/>
    <w:rsid w:val="00211406"/>
    <w:rsid w:val="00212F88"/>
    <w:rsid w:val="00213055"/>
    <w:rsid w:val="0021320F"/>
    <w:rsid w:val="00213977"/>
    <w:rsid w:val="00214738"/>
    <w:rsid w:val="0022023E"/>
    <w:rsid w:val="00220E31"/>
    <w:rsid w:val="002238D8"/>
    <w:rsid w:val="0022507D"/>
    <w:rsid w:val="00226A51"/>
    <w:rsid w:val="002300D8"/>
    <w:rsid w:val="00231F31"/>
    <w:rsid w:val="00233665"/>
    <w:rsid w:val="00233A6C"/>
    <w:rsid w:val="00234DFA"/>
    <w:rsid w:val="00235314"/>
    <w:rsid w:val="00237957"/>
    <w:rsid w:val="00241BD9"/>
    <w:rsid w:val="00241C5A"/>
    <w:rsid w:val="0024411B"/>
    <w:rsid w:val="0024420B"/>
    <w:rsid w:val="002451B9"/>
    <w:rsid w:val="00247A83"/>
    <w:rsid w:val="0025252D"/>
    <w:rsid w:val="00252A11"/>
    <w:rsid w:val="002538B9"/>
    <w:rsid w:val="002572B3"/>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7756"/>
    <w:rsid w:val="00351DC5"/>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7B34"/>
    <w:rsid w:val="00390725"/>
    <w:rsid w:val="00391D7A"/>
    <w:rsid w:val="00392076"/>
    <w:rsid w:val="0039421F"/>
    <w:rsid w:val="003944D5"/>
    <w:rsid w:val="003951A0"/>
    <w:rsid w:val="0039563C"/>
    <w:rsid w:val="003A213E"/>
    <w:rsid w:val="003A41AE"/>
    <w:rsid w:val="003A42AD"/>
    <w:rsid w:val="003A614D"/>
    <w:rsid w:val="003A727D"/>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1358"/>
    <w:rsid w:val="003F21FE"/>
    <w:rsid w:val="003F273A"/>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55E"/>
    <w:rsid w:val="004C0100"/>
    <w:rsid w:val="004C19E1"/>
    <w:rsid w:val="004C3AEF"/>
    <w:rsid w:val="004C4512"/>
    <w:rsid w:val="004C6630"/>
    <w:rsid w:val="004D332C"/>
    <w:rsid w:val="004D4EC9"/>
    <w:rsid w:val="004D66AF"/>
    <w:rsid w:val="004D6F23"/>
    <w:rsid w:val="004D76F4"/>
    <w:rsid w:val="004E2544"/>
    <w:rsid w:val="004E4BD1"/>
    <w:rsid w:val="004E52D5"/>
    <w:rsid w:val="004E6DA5"/>
    <w:rsid w:val="004E75C2"/>
    <w:rsid w:val="004F04C4"/>
    <w:rsid w:val="004F0799"/>
    <w:rsid w:val="004F1D48"/>
    <w:rsid w:val="004F275F"/>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905"/>
    <w:rsid w:val="00522DC3"/>
    <w:rsid w:val="005233A7"/>
    <w:rsid w:val="005235A2"/>
    <w:rsid w:val="00524E90"/>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E64"/>
    <w:rsid w:val="005C61AA"/>
    <w:rsid w:val="005C7B48"/>
    <w:rsid w:val="005C7C34"/>
    <w:rsid w:val="005D21A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AF4"/>
    <w:rsid w:val="00617CB8"/>
    <w:rsid w:val="00620EA5"/>
    <w:rsid w:val="00620FE0"/>
    <w:rsid w:val="006218CD"/>
    <w:rsid w:val="00621D06"/>
    <w:rsid w:val="00623DCB"/>
    <w:rsid w:val="00625E28"/>
    <w:rsid w:val="00625FFB"/>
    <w:rsid w:val="006262A8"/>
    <w:rsid w:val="006268C6"/>
    <w:rsid w:val="0063027A"/>
    <w:rsid w:val="00630596"/>
    <w:rsid w:val="00632AD5"/>
    <w:rsid w:val="00632E9A"/>
    <w:rsid w:val="00633F73"/>
    <w:rsid w:val="00635FCF"/>
    <w:rsid w:val="00642B88"/>
    <w:rsid w:val="00646F58"/>
    <w:rsid w:val="00652EE1"/>
    <w:rsid w:val="00652FC2"/>
    <w:rsid w:val="00653ECC"/>
    <w:rsid w:val="0065437C"/>
    <w:rsid w:val="0065549E"/>
    <w:rsid w:val="00656243"/>
    <w:rsid w:val="006570C5"/>
    <w:rsid w:val="006571CA"/>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F29"/>
    <w:rsid w:val="006E47CD"/>
    <w:rsid w:val="006E54D8"/>
    <w:rsid w:val="006E58B6"/>
    <w:rsid w:val="006E7CC9"/>
    <w:rsid w:val="006F1333"/>
    <w:rsid w:val="006F183A"/>
    <w:rsid w:val="006F3651"/>
    <w:rsid w:val="006F3F14"/>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202"/>
    <w:rsid w:val="00766BA2"/>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604F"/>
    <w:rsid w:val="0079626F"/>
    <w:rsid w:val="0079654D"/>
    <w:rsid w:val="007A1B43"/>
    <w:rsid w:val="007A33C7"/>
    <w:rsid w:val="007A44EC"/>
    <w:rsid w:val="007B21D4"/>
    <w:rsid w:val="007B3C66"/>
    <w:rsid w:val="007B61FC"/>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F0792"/>
    <w:rsid w:val="007F0862"/>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6ECD"/>
    <w:rsid w:val="00857387"/>
    <w:rsid w:val="00865319"/>
    <w:rsid w:val="008655DE"/>
    <w:rsid w:val="00866CBE"/>
    <w:rsid w:val="00867368"/>
    <w:rsid w:val="008675DF"/>
    <w:rsid w:val="00870195"/>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EE0"/>
    <w:rsid w:val="008C07FC"/>
    <w:rsid w:val="008C11C7"/>
    <w:rsid w:val="008C1336"/>
    <w:rsid w:val="008C1FED"/>
    <w:rsid w:val="008C22A8"/>
    <w:rsid w:val="008C406A"/>
    <w:rsid w:val="008C5597"/>
    <w:rsid w:val="008C6E26"/>
    <w:rsid w:val="008C77AE"/>
    <w:rsid w:val="008D0593"/>
    <w:rsid w:val="008D138F"/>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70E0"/>
    <w:rsid w:val="009F7625"/>
    <w:rsid w:val="00A00DAA"/>
    <w:rsid w:val="00A00EC9"/>
    <w:rsid w:val="00A0168B"/>
    <w:rsid w:val="00A0277F"/>
    <w:rsid w:val="00A02913"/>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30596"/>
    <w:rsid w:val="00A32740"/>
    <w:rsid w:val="00A331C5"/>
    <w:rsid w:val="00A333F9"/>
    <w:rsid w:val="00A33A02"/>
    <w:rsid w:val="00A40563"/>
    <w:rsid w:val="00A4083C"/>
    <w:rsid w:val="00A41A92"/>
    <w:rsid w:val="00A45D2C"/>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470C"/>
    <w:rsid w:val="00A9620B"/>
    <w:rsid w:val="00A9687B"/>
    <w:rsid w:val="00AA035B"/>
    <w:rsid w:val="00AA03EF"/>
    <w:rsid w:val="00AA0B70"/>
    <w:rsid w:val="00AA1783"/>
    <w:rsid w:val="00AA17A3"/>
    <w:rsid w:val="00AA2E42"/>
    <w:rsid w:val="00AA3455"/>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A9"/>
    <w:rsid w:val="00AC51ED"/>
    <w:rsid w:val="00AD194E"/>
    <w:rsid w:val="00AD1EF9"/>
    <w:rsid w:val="00AD2C54"/>
    <w:rsid w:val="00AD3B15"/>
    <w:rsid w:val="00AD449C"/>
    <w:rsid w:val="00AD523F"/>
    <w:rsid w:val="00AD7F71"/>
    <w:rsid w:val="00AE29B6"/>
    <w:rsid w:val="00AE42D3"/>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2262"/>
    <w:rsid w:val="00B23E60"/>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69B4"/>
    <w:rsid w:val="00B7031B"/>
    <w:rsid w:val="00B70664"/>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93"/>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53C1"/>
    <w:rsid w:val="00CB6D89"/>
    <w:rsid w:val="00CB7A90"/>
    <w:rsid w:val="00CC0FAC"/>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D32"/>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EF3"/>
    <w:rsid w:val="00E025A4"/>
    <w:rsid w:val="00E04EC8"/>
    <w:rsid w:val="00E05D06"/>
    <w:rsid w:val="00E074F0"/>
    <w:rsid w:val="00E111EA"/>
    <w:rsid w:val="00E112FE"/>
    <w:rsid w:val="00E118E2"/>
    <w:rsid w:val="00E15875"/>
    <w:rsid w:val="00E15C20"/>
    <w:rsid w:val="00E20031"/>
    <w:rsid w:val="00E21A77"/>
    <w:rsid w:val="00E22186"/>
    <w:rsid w:val="00E231AB"/>
    <w:rsid w:val="00E232EF"/>
    <w:rsid w:val="00E268FC"/>
    <w:rsid w:val="00E26A2D"/>
    <w:rsid w:val="00E27333"/>
    <w:rsid w:val="00E335DD"/>
    <w:rsid w:val="00E33941"/>
    <w:rsid w:val="00E34287"/>
    <w:rsid w:val="00E35F42"/>
    <w:rsid w:val="00E363BD"/>
    <w:rsid w:val="00E363F3"/>
    <w:rsid w:val="00E3713B"/>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B36"/>
    <w:rsid w:val="00EE0F10"/>
    <w:rsid w:val="00EF05A7"/>
    <w:rsid w:val="00EF2E66"/>
    <w:rsid w:val="00EF57B2"/>
    <w:rsid w:val="00EF5965"/>
    <w:rsid w:val="00EF6499"/>
    <w:rsid w:val="00F01028"/>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6480"/>
    <w:rsid w:val="00F173BC"/>
    <w:rsid w:val="00F17F6A"/>
    <w:rsid w:val="00F207E2"/>
    <w:rsid w:val="00F21E91"/>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41A3"/>
    <w:rsid w:val="00F44615"/>
    <w:rsid w:val="00F44CCA"/>
    <w:rsid w:val="00F45DC5"/>
    <w:rsid w:val="00F46D72"/>
    <w:rsid w:val="00F5035E"/>
    <w:rsid w:val="00F50E48"/>
    <w:rsid w:val="00F51975"/>
    <w:rsid w:val="00F51B2A"/>
    <w:rsid w:val="00F539B1"/>
    <w:rsid w:val="00F5610C"/>
    <w:rsid w:val="00F5646F"/>
    <w:rsid w:val="00F5712B"/>
    <w:rsid w:val="00F61AAE"/>
    <w:rsid w:val="00F620B8"/>
    <w:rsid w:val="00F62DAD"/>
    <w:rsid w:val="00F6504E"/>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72DB2F51"/>
  <w15:docId w15:val="{DFA199F4-82B0-467B-A0B9-3B72F06BB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06D9B-FC04-4799-A5AB-A58B351A6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3897</TotalTime>
  <Pages>14</Pages>
  <Words>5148</Words>
  <Characters>28314</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33396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888</cp:revision>
  <cp:lastPrinted>2019-02-19T16:16:00Z</cp:lastPrinted>
  <dcterms:created xsi:type="dcterms:W3CDTF">2016-06-06T18:19:00Z</dcterms:created>
  <dcterms:modified xsi:type="dcterms:W3CDTF">2019-04-08T20:19:00Z</dcterms:modified>
</cp:coreProperties>
</file>