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138BF" w14:textId="39A1758C" w:rsidR="00B35579" w:rsidRDefault="00B35579" w:rsidP="00B35579">
      <w:pPr>
        <w:pStyle w:val="Subttulo"/>
        <w:rPr>
          <w:rFonts w:ascii="Arial" w:hAnsi="Arial" w:cs="Arial"/>
          <w:b/>
          <w:bCs/>
          <w:sz w:val="24"/>
          <w:szCs w:val="24"/>
        </w:rPr>
      </w:pPr>
    </w:p>
    <w:p w14:paraId="02274A3D" w14:textId="77777777" w:rsidR="00961220" w:rsidRPr="00961220" w:rsidRDefault="00961220" w:rsidP="00961220">
      <w:pPr>
        <w:rPr>
          <w:lang w:eastAsia="en-US"/>
        </w:rPr>
      </w:pPr>
    </w:p>
    <w:p w14:paraId="6D3ADB0A" w14:textId="77777777" w:rsidR="00B35579" w:rsidRPr="0070669B" w:rsidRDefault="00B35579" w:rsidP="00B35579">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05F1FECE" w14:textId="77777777" w:rsidR="00B35579" w:rsidRDefault="00B35579" w:rsidP="00B35579">
      <w:pPr>
        <w:tabs>
          <w:tab w:val="left" w:pos="6480"/>
        </w:tabs>
        <w:jc w:val="right"/>
      </w:pPr>
    </w:p>
    <w:p w14:paraId="2FC8D52A" w14:textId="09CDFC96" w:rsidR="00B35579" w:rsidRPr="0070669B" w:rsidRDefault="00B35579" w:rsidP="00B35579">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9F1948">
        <w:rPr>
          <w:rFonts w:ascii="Arial" w:hAnsi="Arial" w:cs="Arial"/>
          <w:b/>
          <w:bCs/>
          <w:sz w:val="24"/>
          <w:szCs w:val="24"/>
        </w:rPr>
        <w:t>2</w:t>
      </w:r>
      <w:r w:rsidR="00B47C9E">
        <w:rPr>
          <w:rFonts w:ascii="Arial" w:hAnsi="Arial" w:cs="Arial"/>
          <w:b/>
          <w:bCs/>
          <w:sz w:val="24"/>
          <w:szCs w:val="24"/>
        </w:rPr>
        <w:t>6</w:t>
      </w:r>
      <w:r w:rsidR="00D97117">
        <w:rPr>
          <w:rFonts w:ascii="Arial" w:hAnsi="Arial" w:cs="Arial"/>
          <w:b/>
          <w:bCs/>
          <w:sz w:val="24"/>
          <w:szCs w:val="24"/>
        </w:rPr>
        <w:t xml:space="preserve"> de septiembre de</w:t>
      </w:r>
      <w:r w:rsidRPr="00D604C9">
        <w:rPr>
          <w:rFonts w:ascii="Arial" w:hAnsi="Arial" w:cs="Arial"/>
          <w:b/>
          <w:bCs/>
          <w:sz w:val="24"/>
          <w:szCs w:val="24"/>
        </w:rPr>
        <w:t xml:space="preserve"> 2022</w:t>
      </w:r>
    </w:p>
    <w:p w14:paraId="46A68C2A" w14:textId="77777777" w:rsidR="00B35579" w:rsidRDefault="00B35579" w:rsidP="00B35579">
      <w:pPr>
        <w:tabs>
          <w:tab w:val="left" w:pos="6480"/>
        </w:tabs>
      </w:pPr>
    </w:p>
    <w:p w14:paraId="2D82CCA6" w14:textId="3375EB19" w:rsidR="00B35579" w:rsidRPr="0070669B"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0EC5BCBE" w14:textId="1A163037" w:rsidR="00B35579" w:rsidRPr="00D97117" w:rsidRDefault="00B35579" w:rsidP="00B35579">
      <w:pPr>
        <w:tabs>
          <w:tab w:val="left" w:pos="6480"/>
        </w:tabs>
        <w:spacing w:line="360" w:lineRule="auto"/>
        <w:ind w:firstLine="567"/>
        <w:jc w:val="both"/>
        <w:rPr>
          <w:rFonts w:ascii="Arial" w:hAnsi="Arial" w:cs="Arial"/>
          <w:b/>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w:t>
      </w:r>
      <w:r w:rsidR="00D97117">
        <w:rPr>
          <w:rFonts w:ascii="Arial" w:hAnsi="Arial" w:cs="Arial"/>
          <w:b/>
          <w:bCs/>
          <w:sz w:val="24"/>
          <w:szCs w:val="24"/>
        </w:rPr>
        <w:t>047</w:t>
      </w:r>
      <w:r w:rsidRPr="0070669B">
        <w:rPr>
          <w:rFonts w:ascii="Arial" w:hAnsi="Arial" w:cs="Arial"/>
          <w:b/>
          <w:bCs/>
          <w:sz w:val="24"/>
          <w:szCs w:val="24"/>
        </w:rPr>
        <w:t>/202</w:t>
      </w:r>
      <w:r w:rsidR="00B9696F">
        <w:rPr>
          <w:rFonts w:ascii="Arial" w:hAnsi="Arial" w:cs="Arial"/>
          <w:b/>
          <w:bCs/>
          <w:sz w:val="24"/>
          <w:szCs w:val="24"/>
        </w:rPr>
        <w:t>0</w:t>
      </w:r>
      <w:r w:rsidRPr="0070669B">
        <w:rPr>
          <w:rFonts w:ascii="Arial" w:hAnsi="Arial" w:cs="Arial"/>
          <w:sz w:val="24"/>
          <w:szCs w:val="24"/>
        </w:rPr>
        <w:t xml:space="preserve">, con motivo de la demanda interpuesta por </w:t>
      </w:r>
      <w:r w:rsidR="00675A30">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en contra</w:t>
      </w:r>
      <w:r w:rsidR="00D97117">
        <w:rPr>
          <w:rFonts w:ascii="Arial" w:hAnsi="Arial" w:cs="Arial"/>
          <w:sz w:val="24"/>
          <w:szCs w:val="24"/>
        </w:rPr>
        <w:t xml:space="preserve"> del</w:t>
      </w:r>
      <w:r w:rsidRPr="0070669B">
        <w:rPr>
          <w:rFonts w:ascii="Arial" w:hAnsi="Arial" w:cs="Arial"/>
          <w:sz w:val="24"/>
          <w:szCs w:val="24"/>
        </w:rPr>
        <w:t xml:space="preserve"> </w:t>
      </w:r>
      <w:r w:rsidR="00D97117">
        <w:rPr>
          <w:rFonts w:ascii="Arial" w:hAnsi="Arial" w:cs="Arial"/>
          <w:sz w:val="24"/>
          <w:szCs w:val="24"/>
        </w:rPr>
        <w:t>Síndico Procurador Municipal de la Reforma, Distrito Judicial de Putla Villa de Guerrero, Oaxac</w:t>
      </w:r>
      <w:r w:rsidR="009F1948">
        <w:rPr>
          <w:rFonts w:ascii="Arial" w:hAnsi="Arial" w:cs="Arial"/>
          <w:sz w:val="24"/>
          <w:szCs w:val="24"/>
        </w:rPr>
        <w:t>a</w:t>
      </w:r>
      <w:r w:rsidR="001F4F96">
        <w:rPr>
          <w:rFonts w:ascii="Arial" w:hAnsi="Arial" w:cs="Arial"/>
          <w:sz w:val="24"/>
          <w:szCs w:val="24"/>
        </w:rPr>
        <w:t xml:space="preserve">, </w:t>
      </w:r>
      <w:r w:rsidR="000F68A8">
        <w:rPr>
          <w:rFonts w:ascii="Arial" w:hAnsi="Arial" w:cs="Arial"/>
          <w:sz w:val="24"/>
          <w:szCs w:val="24"/>
        </w:rPr>
        <w:t xml:space="preserve">y </w:t>
      </w:r>
      <w:r w:rsidR="001F4F96">
        <w:rPr>
          <w:rFonts w:ascii="Arial" w:hAnsi="Arial" w:cs="Arial"/>
          <w:sz w:val="24"/>
          <w:szCs w:val="24"/>
        </w:rPr>
        <w:t>del Municipio Libre y Soberano de la Reforma Distrito Judicial de Putla Villa de Guerrero, Oaxaca, por conducto de su representante legal</w:t>
      </w:r>
      <w:r w:rsidR="009F1948">
        <w:rPr>
          <w:rFonts w:ascii="Arial" w:hAnsi="Arial" w:cs="Arial"/>
          <w:sz w:val="24"/>
          <w:szCs w:val="24"/>
        </w:rPr>
        <w:t>.</w:t>
      </w:r>
    </w:p>
    <w:p w14:paraId="6E30DD9A" w14:textId="67B204FA"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63B249F7" w14:textId="7B639A59" w:rsidR="00B35579" w:rsidRDefault="00B35579" w:rsidP="0051525F">
      <w:pPr>
        <w:spacing w:line="360" w:lineRule="auto"/>
        <w:ind w:firstLine="567"/>
        <w:jc w:val="both"/>
        <w:rPr>
          <w:rFonts w:ascii="Arial" w:hAnsi="Arial" w:cs="Arial"/>
          <w:sz w:val="24"/>
          <w:szCs w:val="24"/>
        </w:rPr>
      </w:pPr>
      <w:r w:rsidRPr="0070669B">
        <w:rPr>
          <w:rFonts w:ascii="Arial" w:hAnsi="Arial" w:cs="Arial"/>
          <w:b/>
          <w:bCs/>
          <w:sz w:val="24"/>
          <w:szCs w:val="24"/>
        </w:rPr>
        <w:t>1°.</w:t>
      </w:r>
      <w:r w:rsidRPr="0070669B">
        <w:rPr>
          <w:rFonts w:ascii="Arial" w:hAnsi="Arial" w:cs="Arial"/>
          <w:sz w:val="24"/>
          <w:szCs w:val="24"/>
        </w:rPr>
        <w:t xml:space="preserve"> </w:t>
      </w:r>
      <w:r w:rsidR="00FE7297" w:rsidRPr="00212BF7">
        <w:rPr>
          <w:rFonts w:ascii="Arial" w:hAnsi="Arial" w:cs="Arial"/>
          <w:sz w:val="24"/>
          <w:szCs w:val="24"/>
        </w:rPr>
        <w:t xml:space="preserve">Mediante escrito presentado el </w:t>
      </w:r>
      <w:r w:rsidR="00B9615E">
        <w:rPr>
          <w:rFonts w:ascii="Arial" w:hAnsi="Arial" w:cs="Arial"/>
          <w:sz w:val="24"/>
          <w:szCs w:val="24"/>
        </w:rPr>
        <w:t>doce de agosto</w:t>
      </w:r>
      <w:r w:rsidR="00FE7297" w:rsidRPr="00212BF7">
        <w:rPr>
          <w:rFonts w:ascii="Arial" w:hAnsi="Arial" w:cs="Arial"/>
          <w:sz w:val="24"/>
          <w:szCs w:val="24"/>
        </w:rPr>
        <w:t xml:space="preserve"> de dos mil veint</w:t>
      </w:r>
      <w:r w:rsidR="00FE7297">
        <w:rPr>
          <w:rFonts w:ascii="Arial" w:hAnsi="Arial" w:cs="Arial"/>
          <w:sz w:val="24"/>
          <w:szCs w:val="24"/>
        </w:rPr>
        <w:t>e</w:t>
      </w:r>
      <w:r w:rsidR="00FE7297" w:rsidRPr="00212BF7">
        <w:rPr>
          <w:rFonts w:ascii="Arial" w:hAnsi="Arial" w:cs="Arial"/>
          <w:sz w:val="24"/>
          <w:szCs w:val="24"/>
        </w:rPr>
        <w:t xml:space="preserve">, ante la oficialía de partes común de este Tribunal, </w:t>
      </w:r>
      <w:r w:rsidR="00675A30">
        <w:rPr>
          <w:rFonts w:ascii="Arial" w:hAnsi="Arial" w:cs="Arial"/>
          <w:sz w:val="24"/>
          <w:szCs w:val="24"/>
        </w:rPr>
        <w:t>**********</w:t>
      </w:r>
      <w:r w:rsidR="008F56DB">
        <w:rPr>
          <w:rFonts w:ascii="Arial" w:hAnsi="Arial" w:cs="Arial"/>
          <w:sz w:val="24"/>
          <w:szCs w:val="24"/>
        </w:rPr>
        <w:t xml:space="preserve"> demandó </w:t>
      </w:r>
      <w:r w:rsidR="008F56DB" w:rsidRPr="00212BF7">
        <w:rPr>
          <w:rFonts w:ascii="Arial" w:hAnsi="Arial" w:cs="Arial"/>
          <w:sz w:val="24"/>
          <w:szCs w:val="24"/>
        </w:rPr>
        <w:t>al</w:t>
      </w:r>
      <w:r w:rsidR="006D2975">
        <w:rPr>
          <w:rFonts w:ascii="Arial" w:hAnsi="Arial" w:cs="Arial"/>
          <w:sz w:val="24"/>
          <w:szCs w:val="24"/>
        </w:rPr>
        <w:t xml:space="preserve"> </w:t>
      </w:r>
      <w:r w:rsidR="00B9615E">
        <w:rPr>
          <w:rFonts w:ascii="Arial" w:hAnsi="Arial" w:cs="Arial"/>
          <w:sz w:val="24"/>
          <w:szCs w:val="24"/>
        </w:rPr>
        <w:t>Síndico Procurador Municipal del Municipio de la Reforma, Distrito Judicial de Putla Villa de Guerrero, Oaxaca</w:t>
      </w:r>
      <w:r w:rsidR="00FE7297" w:rsidRPr="00212BF7">
        <w:rPr>
          <w:rFonts w:ascii="Arial" w:hAnsi="Arial" w:cs="Arial"/>
          <w:sz w:val="24"/>
          <w:szCs w:val="24"/>
        </w:rPr>
        <w:t>, la nulidad de</w:t>
      </w:r>
      <w:r w:rsidR="00E41495">
        <w:rPr>
          <w:rFonts w:ascii="Arial" w:hAnsi="Arial" w:cs="Arial"/>
          <w:sz w:val="24"/>
          <w:szCs w:val="24"/>
        </w:rPr>
        <w:t xml:space="preserve">l despido justificado de </w:t>
      </w:r>
      <w:r w:rsidR="00675A30">
        <w:rPr>
          <w:rFonts w:ascii="Arial" w:hAnsi="Arial" w:cs="Arial"/>
          <w:sz w:val="24"/>
          <w:szCs w:val="24"/>
        </w:rPr>
        <w:t>**********</w:t>
      </w:r>
      <w:r w:rsidR="00FE7297" w:rsidRPr="00212BF7">
        <w:rPr>
          <w:rFonts w:ascii="Arial" w:hAnsi="Arial" w:cs="Arial"/>
          <w:sz w:val="24"/>
          <w:szCs w:val="24"/>
        </w:rPr>
        <w:t>; demanda que por razón de turno tocó conocer a esta Primera Sala Unitaria de Primera Instancia del Tribunal de Justicia Administrativa del Estado.</w:t>
      </w:r>
    </w:p>
    <w:p w14:paraId="7EEA33B1" w14:textId="59385E4F" w:rsidR="00B35579" w:rsidRDefault="0053412B" w:rsidP="008348D8">
      <w:pPr>
        <w:spacing w:before="240" w:after="0" w:line="360" w:lineRule="auto"/>
        <w:ind w:firstLine="709"/>
        <w:jc w:val="both"/>
        <w:rPr>
          <w:rFonts w:ascii="Arial" w:hAnsi="Arial" w:cs="Arial"/>
          <w:sz w:val="24"/>
          <w:szCs w:val="24"/>
        </w:rPr>
      </w:pPr>
      <w:r>
        <w:rPr>
          <w:rFonts w:ascii="Arial" w:hAnsi="Arial" w:cs="Arial"/>
          <w:b/>
          <w:bCs/>
          <w:sz w:val="24"/>
          <w:szCs w:val="24"/>
        </w:rPr>
        <w:t>2</w:t>
      </w:r>
      <w:r w:rsidR="00B35579" w:rsidRPr="001E10A9">
        <w:rPr>
          <w:rFonts w:ascii="Arial" w:hAnsi="Arial" w:cs="Arial"/>
          <w:b/>
          <w:bCs/>
          <w:sz w:val="24"/>
          <w:szCs w:val="24"/>
        </w:rPr>
        <w:t>°.</w:t>
      </w:r>
      <w:r w:rsidR="00B35579" w:rsidRPr="001E10A9">
        <w:rPr>
          <w:rFonts w:ascii="Arial" w:hAnsi="Arial" w:cs="Arial"/>
          <w:sz w:val="24"/>
          <w:szCs w:val="24"/>
        </w:rPr>
        <w:t xml:space="preserve"> Por acuerdo de</w:t>
      </w:r>
      <w:r>
        <w:rPr>
          <w:rFonts w:ascii="Arial" w:hAnsi="Arial" w:cs="Arial"/>
          <w:sz w:val="24"/>
          <w:szCs w:val="24"/>
        </w:rPr>
        <w:t xml:space="preserve"> </w:t>
      </w:r>
      <w:r w:rsidR="00E41495">
        <w:rPr>
          <w:rFonts w:ascii="Arial" w:hAnsi="Arial" w:cs="Arial"/>
          <w:sz w:val="24"/>
          <w:szCs w:val="24"/>
        </w:rPr>
        <w:t>quince de diciembre</w:t>
      </w:r>
      <w:r>
        <w:rPr>
          <w:rFonts w:ascii="Arial" w:hAnsi="Arial" w:cs="Arial"/>
          <w:sz w:val="24"/>
          <w:szCs w:val="24"/>
        </w:rPr>
        <w:t xml:space="preserve"> </w:t>
      </w:r>
      <w:r w:rsidR="00B35579" w:rsidRPr="001E10A9">
        <w:rPr>
          <w:rFonts w:ascii="Arial" w:hAnsi="Arial" w:cs="Arial"/>
          <w:sz w:val="24"/>
          <w:szCs w:val="24"/>
        </w:rPr>
        <w:t xml:space="preserve">de dos mil </w:t>
      </w:r>
      <w:r>
        <w:rPr>
          <w:rFonts w:ascii="Arial" w:hAnsi="Arial" w:cs="Arial"/>
          <w:sz w:val="24"/>
          <w:szCs w:val="24"/>
        </w:rPr>
        <w:t>veinte</w:t>
      </w:r>
      <w:r w:rsidR="00B35579" w:rsidRPr="001E10A9">
        <w:rPr>
          <w:rFonts w:ascii="Arial" w:hAnsi="Arial" w:cs="Arial"/>
          <w:sz w:val="24"/>
          <w:szCs w:val="24"/>
        </w:rPr>
        <w:t xml:space="preserve">, </w:t>
      </w:r>
      <w:r>
        <w:rPr>
          <w:rFonts w:ascii="Arial" w:hAnsi="Arial" w:cs="Arial"/>
          <w:sz w:val="24"/>
          <w:szCs w:val="24"/>
        </w:rPr>
        <w:t xml:space="preserve">se </w:t>
      </w:r>
      <w:r w:rsidR="00B35579" w:rsidRPr="001E10A9">
        <w:rPr>
          <w:rFonts w:ascii="Arial" w:hAnsi="Arial" w:cs="Arial"/>
          <w:sz w:val="24"/>
          <w:szCs w:val="24"/>
        </w:rPr>
        <w:t xml:space="preserve">admitió a trámite la demanda de referencia, y ordenó correr traslado al </w:t>
      </w:r>
      <w:r w:rsidR="00E41495">
        <w:rPr>
          <w:rFonts w:ascii="Arial" w:hAnsi="Arial" w:cs="Arial"/>
          <w:sz w:val="24"/>
          <w:szCs w:val="24"/>
        </w:rPr>
        <w:t>Síndico Procurador Municipal del Municipio de la Reforma, Distrito Judicial de Putla Villa de Guerrero, Oaxaca; además del Municipio Libre y Soberano de la Reforma Distrito Judicial de Putla Villa de Guerrero, Oaxaca, por conducto de su representante legal</w:t>
      </w:r>
      <w:r w:rsidR="006B5795">
        <w:rPr>
          <w:rFonts w:ascii="Arial" w:hAnsi="Arial" w:cs="Arial"/>
          <w:sz w:val="24"/>
          <w:szCs w:val="24"/>
        </w:rPr>
        <w:t>,</w:t>
      </w:r>
      <w:r w:rsidR="00B35579" w:rsidRPr="001E10A9">
        <w:rPr>
          <w:rFonts w:ascii="Arial" w:hAnsi="Arial" w:cs="Arial"/>
          <w:sz w:val="24"/>
          <w:szCs w:val="24"/>
        </w:rPr>
        <w:t xml:space="preserve"> para que dieran contestación a la misma dentro del término de nueve días hábiles siguientes a aquel en que surtiera efectos la notificación correspondiente, con el apercibimiento de que en caso de no hacerlo se les tendría por contestando en sentido afirmativo,  y también en caso de no referirse a todos los hechos planteados en la demanda se les tendría por ciertos salvo prueba en contrario; en otro aspecto y de las pruebas ofrecidas se  tuvieron por admitidas las señaladas en el acuerdo mencionado.</w:t>
      </w:r>
    </w:p>
    <w:p w14:paraId="3C9FF585" w14:textId="77777777" w:rsidR="001F4F96" w:rsidRPr="001E10A9" w:rsidRDefault="001F4F96" w:rsidP="001F4F96">
      <w:pPr>
        <w:pStyle w:val="Sinespaciado"/>
      </w:pPr>
    </w:p>
    <w:p w14:paraId="1545EE75" w14:textId="0F9DA69B" w:rsidR="00513DF1" w:rsidRDefault="008348D8" w:rsidP="008B0890">
      <w:pPr>
        <w:spacing w:line="360" w:lineRule="auto"/>
        <w:ind w:firstLine="567"/>
        <w:jc w:val="both"/>
        <w:rPr>
          <w:rFonts w:ascii="Arial" w:hAnsi="Arial" w:cs="Arial"/>
          <w:sz w:val="24"/>
          <w:szCs w:val="24"/>
        </w:rPr>
      </w:pPr>
      <w:r>
        <w:rPr>
          <w:rFonts w:ascii="Arial" w:hAnsi="Arial" w:cs="Arial"/>
          <w:b/>
          <w:bCs/>
          <w:sz w:val="24"/>
          <w:szCs w:val="24"/>
        </w:rPr>
        <w:t>3</w:t>
      </w:r>
      <w:r w:rsidR="00B35579" w:rsidRPr="001E10A9">
        <w:rPr>
          <w:rFonts w:ascii="Arial" w:hAnsi="Arial" w:cs="Arial"/>
          <w:b/>
          <w:bCs/>
          <w:sz w:val="24"/>
          <w:szCs w:val="24"/>
        </w:rPr>
        <w:t>°.</w:t>
      </w:r>
      <w:r w:rsidR="008B0890">
        <w:rPr>
          <w:rFonts w:ascii="Arial" w:hAnsi="Arial" w:cs="Arial"/>
          <w:sz w:val="24"/>
          <w:szCs w:val="24"/>
        </w:rPr>
        <w:t xml:space="preserve"> Mediante</w:t>
      </w:r>
      <w:r w:rsidR="00B35579" w:rsidRPr="001E10A9">
        <w:rPr>
          <w:rFonts w:ascii="Arial" w:hAnsi="Arial" w:cs="Arial"/>
          <w:sz w:val="24"/>
          <w:szCs w:val="24"/>
        </w:rPr>
        <w:t xml:space="preserve"> acuerdo de </w:t>
      </w:r>
      <w:r w:rsidR="009B1328">
        <w:rPr>
          <w:rFonts w:ascii="Arial" w:hAnsi="Arial" w:cs="Arial"/>
          <w:sz w:val="24"/>
          <w:szCs w:val="24"/>
        </w:rPr>
        <w:t>veintidós de junio</w:t>
      </w:r>
      <w:r w:rsidR="00B35579" w:rsidRPr="001E10A9">
        <w:rPr>
          <w:rFonts w:ascii="Arial" w:hAnsi="Arial" w:cs="Arial"/>
          <w:sz w:val="24"/>
          <w:szCs w:val="24"/>
        </w:rPr>
        <w:t xml:space="preserve"> de dos mil </w:t>
      </w:r>
      <w:r w:rsidR="00513DF1">
        <w:rPr>
          <w:rFonts w:ascii="Arial" w:hAnsi="Arial" w:cs="Arial"/>
          <w:sz w:val="24"/>
          <w:szCs w:val="24"/>
        </w:rPr>
        <w:t>veintiuno</w:t>
      </w:r>
      <w:r w:rsidR="00B35579" w:rsidRPr="001E10A9">
        <w:rPr>
          <w:rFonts w:ascii="Arial" w:hAnsi="Arial" w:cs="Arial"/>
          <w:sz w:val="24"/>
          <w:szCs w:val="24"/>
        </w:rPr>
        <w:t xml:space="preserve"> se tuvo a la </w:t>
      </w:r>
      <w:r w:rsidR="00513DF1">
        <w:rPr>
          <w:rFonts w:ascii="Arial" w:hAnsi="Arial" w:cs="Arial"/>
          <w:sz w:val="24"/>
          <w:szCs w:val="24"/>
        </w:rPr>
        <w:t xml:space="preserve">autoridad demandada </w:t>
      </w:r>
      <w:r w:rsidR="009B1328">
        <w:rPr>
          <w:rFonts w:ascii="Arial" w:hAnsi="Arial" w:cs="Arial"/>
          <w:sz w:val="24"/>
          <w:szCs w:val="24"/>
        </w:rPr>
        <w:t xml:space="preserve">Síndico Procurador Municipal del Municipio de la </w:t>
      </w:r>
      <w:r w:rsidR="009B1328">
        <w:rPr>
          <w:rFonts w:ascii="Arial" w:hAnsi="Arial" w:cs="Arial"/>
          <w:sz w:val="24"/>
          <w:szCs w:val="24"/>
        </w:rPr>
        <w:lastRenderedPageBreak/>
        <w:t>Reforma, Distrito Judicial de Putla Villa de Guerrero, Oaxaca; además del Municipio Libre y Soberano de la Reforma Distrito Judicial de Putla Villa de Guerrero, Oaxaca, por con</w:t>
      </w:r>
      <w:r w:rsidR="00A92879">
        <w:rPr>
          <w:rFonts w:ascii="Arial" w:hAnsi="Arial" w:cs="Arial"/>
          <w:sz w:val="24"/>
          <w:szCs w:val="24"/>
        </w:rPr>
        <w:t>ducto de su representante legal</w:t>
      </w:r>
      <w:r w:rsidR="006B5795">
        <w:rPr>
          <w:rFonts w:ascii="Arial" w:hAnsi="Arial" w:cs="Arial"/>
          <w:sz w:val="24"/>
          <w:szCs w:val="24"/>
        </w:rPr>
        <w:t xml:space="preserve"> Presidente Municipal de Putla Villa de Guerrero, Oaxaca,</w:t>
      </w:r>
      <w:r w:rsidR="00513DF1">
        <w:rPr>
          <w:rFonts w:ascii="Arial" w:hAnsi="Arial" w:cs="Arial"/>
          <w:sz w:val="24"/>
          <w:szCs w:val="24"/>
        </w:rPr>
        <w:t xml:space="preserve"> </w:t>
      </w:r>
      <w:r w:rsidR="00B35579" w:rsidRPr="001E10A9">
        <w:rPr>
          <w:rFonts w:ascii="Arial" w:hAnsi="Arial" w:cs="Arial"/>
          <w:sz w:val="24"/>
          <w:szCs w:val="24"/>
        </w:rPr>
        <w:t>contestando en tiempo y forma la demanda entablada en su contra, así como por ofrecidas y admitidas sus pruebas</w:t>
      </w:r>
      <w:r w:rsidR="009B1328">
        <w:rPr>
          <w:rFonts w:ascii="Arial" w:hAnsi="Arial" w:cs="Arial"/>
          <w:sz w:val="24"/>
          <w:szCs w:val="24"/>
        </w:rPr>
        <w:t>.</w:t>
      </w:r>
    </w:p>
    <w:p w14:paraId="5E2E1A0A" w14:textId="7ABEF8BF" w:rsidR="0068132A" w:rsidRPr="00B35579" w:rsidRDefault="009A0C25" w:rsidP="00671DE0">
      <w:pPr>
        <w:spacing w:line="360" w:lineRule="auto"/>
        <w:ind w:firstLine="567"/>
        <w:jc w:val="both"/>
        <w:rPr>
          <w:rFonts w:ascii="Arial" w:hAnsi="Arial" w:cs="Arial"/>
          <w:sz w:val="24"/>
          <w:szCs w:val="24"/>
        </w:rPr>
      </w:pPr>
      <w:r>
        <w:rPr>
          <w:rFonts w:ascii="Arial" w:hAnsi="Arial" w:cs="Arial"/>
          <w:b/>
          <w:bCs/>
          <w:sz w:val="24"/>
          <w:szCs w:val="24"/>
        </w:rPr>
        <w:t>4</w:t>
      </w:r>
      <w:r w:rsidR="00222064" w:rsidRPr="00222064">
        <w:rPr>
          <w:rFonts w:ascii="Arial" w:hAnsi="Arial" w:cs="Arial"/>
          <w:b/>
          <w:bCs/>
          <w:sz w:val="24"/>
          <w:szCs w:val="24"/>
        </w:rPr>
        <w:t>°.</w:t>
      </w:r>
      <w:r w:rsidR="00222064">
        <w:rPr>
          <w:rFonts w:ascii="Arial" w:hAnsi="Arial" w:cs="Arial"/>
          <w:sz w:val="24"/>
          <w:szCs w:val="24"/>
        </w:rPr>
        <w:t xml:space="preserve"> </w:t>
      </w:r>
      <w:r w:rsidR="00B35579" w:rsidRPr="001E10A9">
        <w:rPr>
          <w:rFonts w:ascii="Arial" w:hAnsi="Arial" w:cs="Arial"/>
          <w:sz w:val="24"/>
          <w:szCs w:val="24"/>
        </w:rPr>
        <w:t xml:space="preserve">Con fecha </w:t>
      </w:r>
      <w:r>
        <w:rPr>
          <w:rFonts w:ascii="Arial" w:hAnsi="Arial" w:cs="Arial"/>
          <w:sz w:val="24"/>
          <w:szCs w:val="24"/>
        </w:rPr>
        <w:t>siete de diciembre de dos mil veintiuno</w:t>
      </w:r>
      <w:r w:rsidR="00B35579">
        <w:rPr>
          <w:rFonts w:ascii="Arial" w:hAnsi="Arial" w:cs="Arial"/>
          <w:sz w:val="24"/>
          <w:szCs w:val="24"/>
        </w:rPr>
        <w:t xml:space="preserve"> </w:t>
      </w:r>
      <w:r w:rsidR="00B35579" w:rsidRPr="001E10A9">
        <w:rPr>
          <w:rFonts w:ascii="Arial" w:hAnsi="Arial" w:cs="Arial"/>
          <w:sz w:val="24"/>
          <w:szCs w:val="24"/>
        </w:rPr>
        <w:t>sin la asistencia de las partes se celebró la audiencia final</w:t>
      </w:r>
      <w:r w:rsidR="0068132A">
        <w:rPr>
          <w:rFonts w:ascii="Arial" w:hAnsi="Arial" w:cs="Arial"/>
          <w:sz w:val="24"/>
          <w:szCs w:val="24"/>
        </w:rPr>
        <w:t xml:space="preserve"> </w:t>
      </w:r>
      <w:r w:rsidR="0068132A" w:rsidRPr="001E10A9">
        <w:rPr>
          <w:rFonts w:ascii="Arial" w:hAnsi="Arial" w:cs="Arial"/>
          <w:sz w:val="24"/>
          <w:szCs w:val="24"/>
        </w:rPr>
        <w:t>con fundamento en el artículo 204 de la Ley de Procedimiento y Justicia Administrativa para el Estado de Oaxaca</w:t>
      </w:r>
      <w:r w:rsidR="00B35579" w:rsidRPr="001E10A9">
        <w:rPr>
          <w:rFonts w:ascii="Arial" w:hAnsi="Arial" w:cs="Arial"/>
          <w:sz w:val="24"/>
          <w:szCs w:val="24"/>
        </w:rPr>
        <w:t>, en el periodo de pruebas se tuvieron por desahogadas por su propia y especial naturaleza las pruebas ofrecidas por las partes</w:t>
      </w:r>
      <w:r w:rsidR="00C542EB">
        <w:rPr>
          <w:rFonts w:ascii="Arial" w:hAnsi="Arial" w:cs="Arial"/>
          <w:sz w:val="24"/>
          <w:szCs w:val="24"/>
        </w:rPr>
        <w:t xml:space="preserve">, excepto la prueba </w:t>
      </w:r>
      <w:r w:rsidR="00494ED5">
        <w:rPr>
          <w:rFonts w:ascii="Arial" w:hAnsi="Arial" w:cs="Arial"/>
          <w:sz w:val="24"/>
          <w:szCs w:val="24"/>
        </w:rPr>
        <w:t>testimonial</w:t>
      </w:r>
      <w:r w:rsidR="00C542EB">
        <w:rPr>
          <w:rFonts w:ascii="Arial" w:hAnsi="Arial" w:cs="Arial"/>
          <w:sz w:val="24"/>
          <w:szCs w:val="24"/>
        </w:rPr>
        <w:t xml:space="preserve"> ofrecida por las partes en el juicio, al dec</w:t>
      </w:r>
      <w:r w:rsidR="00494ED5">
        <w:rPr>
          <w:rFonts w:ascii="Arial" w:hAnsi="Arial" w:cs="Arial"/>
          <w:sz w:val="24"/>
          <w:szCs w:val="24"/>
        </w:rPr>
        <w:t>lararse</w:t>
      </w:r>
      <w:r w:rsidR="00C542EB">
        <w:rPr>
          <w:rFonts w:ascii="Arial" w:hAnsi="Arial" w:cs="Arial"/>
          <w:sz w:val="24"/>
          <w:szCs w:val="24"/>
        </w:rPr>
        <w:t xml:space="preserve"> desierta al no haberse </w:t>
      </w:r>
      <w:r w:rsidR="00494ED5">
        <w:rPr>
          <w:rFonts w:ascii="Arial" w:hAnsi="Arial" w:cs="Arial"/>
          <w:sz w:val="24"/>
          <w:szCs w:val="24"/>
        </w:rPr>
        <w:t>presentado los testigos respectivos,</w:t>
      </w:r>
      <w:r w:rsidR="00B35579">
        <w:rPr>
          <w:rFonts w:ascii="Arial" w:hAnsi="Arial" w:cs="Arial"/>
          <w:sz w:val="24"/>
          <w:szCs w:val="24"/>
        </w:rPr>
        <w:t xml:space="preserve"> y</w:t>
      </w:r>
      <w:r w:rsidR="00B35579" w:rsidRPr="001E10A9">
        <w:rPr>
          <w:rFonts w:ascii="Arial" w:hAnsi="Arial" w:cs="Arial"/>
          <w:sz w:val="24"/>
          <w:szCs w:val="24"/>
        </w:rPr>
        <w:t xml:space="preserve"> en el periodo de alegatos se hizo constar que </w:t>
      </w:r>
      <w:r w:rsidR="008E1170">
        <w:rPr>
          <w:rFonts w:ascii="Arial" w:hAnsi="Arial" w:cs="Arial"/>
          <w:sz w:val="24"/>
          <w:szCs w:val="24"/>
        </w:rPr>
        <w:t>ninguna de las partes</w:t>
      </w:r>
      <w:r w:rsidR="00B35579" w:rsidRPr="001E10A9">
        <w:rPr>
          <w:rFonts w:ascii="Arial" w:hAnsi="Arial" w:cs="Arial"/>
          <w:sz w:val="24"/>
          <w:szCs w:val="24"/>
        </w:rPr>
        <w:t xml:space="preserve"> presentó alegatos,</w:t>
      </w:r>
      <w:r>
        <w:rPr>
          <w:rFonts w:ascii="Arial" w:hAnsi="Arial" w:cs="Arial"/>
          <w:sz w:val="24"/>
          <w:szCs w:val="24"/>
        </w:rPr>
        <w:t xml:space="preserve"> además de que </w:t>
      </w:r>
      <w:r w:rsidRPr="001E10A9">
        <w:rPr>
          <w:rFonts w:ascii="Arial" w:hAnsi="Arial" w:cs="Arial"/>
          <w:sz w:val="24"/>
          <w:szCs w:val="24"/>
        </w:rPr>
        <w:t>se dio vista a las partes en el juicio respecto del cambio de adscripción y designación del Magistrado titular de esta primera sala unitaria</w:t>
      </w:r>
      <w:r>
        <w:rPr>
          <w:rFonts w:ascii="Arial" w:hAnsi="Arial" w:cs="Arial"/>
          <w:sz w:val="24"/>
          <w:szCs w:val="24"/>
        </w:rPr>
        <w:t xml:space="preserve">. </w:t>
      </w:r>
      <w:r w:rsidR="00B35579" w:rsidRPr="001E10A9">
        <w:rPr>
          <w:rFonts w:ascii="Arial" w:hAnsi="Arial" w:cs="Arial"/>
          <w:sz w:val="24"/>
          <w:szCs w:val="24"/>
        </w:rPr>
        <w:t xml:space="preserve"> por lo que se tuvo por cerrado dicho periodo</w:t>
      </w:r>
      <w:r w:rsidR="00B35579">
        <w:rPr>
          <w:rFonts w:ascii="Arial" w:hAnsi="Arial" w:cs="Arial"/>
          <w:sz w:val="24"/>
          <w:szCs w:val="24"/>
        </w:rPr>
        <w:t>,</w:t>
      </w:r>
      <w:r w:rsidR="0068132A" w:rsidRPr="0068132A">
        <w:rPr>
          <w:rFonts w:ascii="Arial" w:hAnsi="Arial" w:cs="Arial"/>
          <w:sz w:val="24"/>
          <w:szCs w:val="24"/>
        </w:rPr>
        <w:t xml:space="preserve"> </w:t>
      </w:r>
      <w:r w:rsidR="0068132A" w:rsidRPr="001E10A9">
        <w:rPr>
          <w:rFonts w:ascii="Arial" w:hAnsi="Arial" w:cs="Arial"/>
          <w:sz w:val="24"/>
          <w:szCs w:val="24"/>
        </w:rPr>
        <w:t>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1FF7B90A"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 xml:space="preserve">carácter </w:t>
      </w:r>
      <w:r w:rsidR="00671DE0">
        <w:rPr>
          <w:rFonts w:ascii="Arial" w:hAnsi="Arial" w:cs="Arial"/>
          <w:b/>
          <w:sz w:val="24"/>
          <w:szCs w:val="24"/>
        </w:rPr>
        <w:t>municipal</w:t>
      </w:r>
      <w:r w:rsidRPr="00A9713C">
        <w:rPr>
          <w:rFonts w:ascii="Arial" w:hAnsi="Arial" w:cs="Arial"/>
          <w:sz w:val="24"/>
          <w:szCs w:val="24"/>
        </w:rPr>
        <w:t xml:space="preserve">. </w:t>
      </w:r>
    </w:p>
    <w:p w14:paraId="5E0F751F" w14:textId="77777777"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Pr="00A9713C">
        <w:rPr>
          <w:rFonts w:ascii="Arial" w:hAnsi="Arial" w:cs="Arial"/>
          <w:sz w:val="24"/>
          <w:szCs w:val="24"/>
        </w:rPr>
        <w:t xml:space="preserve"> La personalidad de las partes se tuvo acreditada de conformidad con los artículos 150</w:t>
      </w:r>
      <w:r w:rsidRPr="00A9713C">
        <w:rPr>
          <w:rStyle w:val="Refdenotaalpie"/>
          <w:rFonts w:ascii="Arial" w:hAnsi="Arial" w:cs="Arial"/>
          <w:sz w:val="24"/>
          <w:szCs w:val="24"/>
        </w:rPr>
        <w:footnoteReference w:id="1"/>
      </w:r>
      <w:r w:rsidRPr="00A9713C">
        <w:rPr>
          <w:rFonts w:ascii="Arial" w:hAnsi="Arial" w:cs="Arial"/>
          <w:sz w:val="24"/>
          <w:szCs w:val="24"/>
        </w:rPr>
        <w:t xml:space="preserve"> y 151</w:t>
      </w:r>
      <w:r w:rsidRPr="00A9713C">
        <w:rPr>
          <w:rStyle w:val="Refdenotaalpie"/>
          <w:rFonts w:ascii="Arial" w:hAnsi="Arial" w:cs="Arial"/>
          <w:sz w:val="24"/>
          <w:szCs w:val="24"/>
        </w:rPr>
        <w:footnoteReference w:id="2"/>
      </w:r>
      <w:r w:rsidRPr="00A9713C">
        <w:rPr>
          <w:rFonts w:ascii="Arial" w:hAnsi="Arial" w:cs="Arial"/>
          <w:sz w:val="24"/>
          <w:szCs w:val="24"/>
        </w:rPr>
        <w:t xml:space="preserve"> de la Ley de Procedimiento y Justicia </w:t>
      </w:r>
      <w:r w:rsidRPr="00307836">
        <w:rPr>
          <w:rFonts w:ascii="Arial" w:hAnsi="Arial" w:cs="Arial"/>
          <w:sz w:val="24"/>
          <w:szCs w:val="24"/>
        </w:rPr>
        <w:t>Administrativa.</w:t>
      </w:r>
    </w:p>
    <w:p w14:paraId="6B63A59C" w14:textId="1749B3F0" w:rsidR="00E63C7E" w:rsidRPr="003F057E" w:rsidRDefault="00B35579" w:rsidP="003F057E">
      <w:pPr>
        <w:spacing w:line="360" w:lineRule="auto"/>
        <w:ind w:firstLine="567"/>
        <w:jc w:val="both"/>
        <w:rPr>
          <w:rFonts w:ascii="Arial" w:hAnsi="Arial" w:cs="Arial"/>
          <w:sz w:val="24"/>
          <w:szCs w:val="24"/>
        </w:rPr>
      </w:pPr>
      <w:r w:rsidRPr="000F7D0B">
        <w:rPr>
          <w:rFonts w:ascii="Arial" w:hAnsi="Arial" w:cs="Arial"/>
          <w:b/>
          <w:bCs/>
          <w:sz w:val="24"/>
          <w:szCs w:val="24"/>
        </w:rPr>
        <w:lastRenderedPageBreak/>
        <w:t>TERCERO.</w:t>
      </w:r>
      <w:r w:rsidRPr="000F7D0B">
        <w:rPr>
          <w:rFonts w:ascii="Arial" w:hAnsi="Arial" w:cs="Arial"/>
          <w:sz w:val="24"/>
          <w:szCs w:val="24"/>
        </w:rPr>
        <w:t xml:space="preserve">  </w:t>
      </w:r>
      <w:r w:rsidRPr="000F7D0B">
        <w:rPr>
          <w:rFonts w:ascii="Arial" w:hAnsi="Arial" w:cs="Arial"/>
          <w:b/>
          <w:bCs/>
          <w:sz w:val="24"/>
          <w:szCs w:val="24"/>
        </w:rPr>
        <w:t>Acreditación del acto impugnado.</w:t>
      </w:r>
      <w:r w:rsidRPr="000F7D0B">
        <w:rPr>
          <w:rFonts w:ascii="Arial" w:hAnsi="Arial" w:cs="Arial"/>
          <w:sz w:val="24"/>
          <w:szCs w:val="24"/>
        </w:rPr>
        <w:t xml:space="preserve">  </w:t>
      </w:r>
      <w:r w:rsidR="00374152">
        <w:rPr>
          <w:rFonts w:ascii="Arial" w:hAnsi="Arial" w:cs="Arial"/>
          <w:sz w:val="24"/>
          <w:szCs w:val="24"/>
        </w:rPr>
        <w:t xml:space="preserve">Con el </w:t>
      </w:r>
      <w:r w:rsidR="003F057E">
        <w:rPr>
          <w:rFonts w:ascii="Arial" w:hAnsi="Arial" w:cs="Arial"/>
          <w:sz w:val="24"/>
          <w:szCs w:val="24"/>
        </w:rPr>
        <w:t>original</w:t>
      </w:r>
      <w:r w:rsidR="00374152">
        <w:rPr>
          <w:rFonts w:ascii="Arial" w:hAnsi="Arial" w:cs="Arial"/>
          <w:sz w:val="24"/>
          <w:szCs w:val="24"/>
        </w:rPr>
        <w:t xml:space="preserve"> del oficio de </w:t>
      </w:r>
      <w:r w:rsidR="00B47C9E">
        <w:rPr>
          <w:rFonts w:ascii="Arial" w:hAnsi="Arial" w:cs="Arial"/>
          <w:sz w:val="24"/>
          <w:szCs w:val="24"/>
        </w:rPr>
        <w:t xml:space="preserve">despido justificado </w:t>
      </w:r>
      <w:r w:rsidR="00374152">
        <w:rPr>
          <w:rFonts w:ascii="Arial" w:hAnsi="Arial" w:cs="Arial"/>
          <w:sz w:val="24"/>
          <w:szCs w:val="24"/>
        </w:rPr>
        <w:t xml:space="preserve">de fecha </w:t>
      </w:r>
      <w:r w:rsidR="00675A30">
        <w:rPr>
          <w:rFonts w:ascii="Arial" w:hAnsi="Arial" w:cs="Arial"/>
          <w:sz w:val="24"/>
          <w:szCs w:val="24"/>
        </w:rPr>
        <w:t>**********</w:t>
      </w:r>
      <w:r w:rsidR="00374152">
        <w:rPr>
          <w:rFonts w:ascii="Arial" w:hAnsi="Arial" w:cs="Arial"/>
          <w:sz w:val="24"/>
          <w:szCs w:val="24"/>
        </w:rPr>
        <w:t xml:space="preserve">, signado por el C. </w:t>
      </w:r>
      <w:r w:rsidR="00675A30">
        <w:rPr>
          <w:rFonts w:ascii="Arial" w:hAnsi="Arial" w:cs="Arial"/>
          <w:sz w:val="24"/>
          <w:szCs w:val="24"/>
        </w:rPr>
        <w:t>**********</w:t>
      </w:r>
      <w:r w:rsidR="00374152">
        <w:rPr>
          <w:rFonts w:ascii="Arial" w:hAnsi="Arial" w:cs="Arial"/>
          <w:sz w:val="24"/>
          <w:szCs w:val="24"/>
        </w:rPr>
        <w:t xml:space="preserve">, </w:t>
      </w:r>
      <w:r w:rsidR="003F057E">
        <w:rPr>
          <w:rFonts w:ascii="Arial" w:hAnsi="Arial" w:cs="Arial"/>
          <w:sz w:val="24"/>
          <w:szCs w:val="24"/>
        </w:rPr>
        <w:t>Síndico</w:t>
      </w:r>
      <w:r w:rsidR="00374152">
        <w:rPr>
          <w:rFonts w:ascii="Arial" w:hAnsi="Arial" w:cs="Arial"/>
          <w:sz w:val="24"/>
          <w:szCs w:val="24"/>
        </w:rPr>
        <w:t xml:space="preserve"> Municipal </w:t>
      </w:r>
      <w:r w:rsidR="003F057E">
        <w:rPr>
          <w:rFonts w:ascii="Arial" w:hAnsi="Arial" w:cs="Arial"/>
          <w:sz w:val="24"/>
          <w:szCs w:val="24"/>
        </w:rPr>
        <w:t>del Municipio de La Reforma, Distrito Judicial de Putla Villa de Guerrero, Oaxaca</w:t>
      </w:r>
      <w:r w:rsidRPr="000F7D0B">
        <w:rPr>
          <w:rFonts w:ascii="Arial" w:hAnsi="Arial" w:cs="Arial"/>
          <w:sz w:val="24"/>
          <w:szCs w:val="24"/>
        </w:rPr>
        <w:t>, por lo que esta Sala tiene por acreditado el acto impugnado, con valor probatorio pleno en términos de lo dispuesto por el artículo 203 fracción I</w:t>
      </w:r>
      <w:r w:rsidRPr="000F7D0B">
        <w:rPr>
          <w:rStyle w:val="Refdenotaalpie"/>
          <w:rFonts w:ascii="Arial" w:hAnsi="Arial" w:cs="Arial"/>
          <w:sz w:val="24"/>
          <w:szCs w:val="24"/>
        </w:rPr>
        <w:footnoteReference w:id="3"/>
      </w:r>
      <w:r w:rsidRPr="000F7D0B">
        <w:rPr>
          <w:rFonts w:ascii="Arial" w:hAnsi="Arial" w:cs="Arial"/>
          <w:sz w:val="24"/>
          <w:szCs w:val="24"/>
        </w:rPr>
        <w:t xml:space="preserve"> de la Ley de Procedimiento arriba señalada.</w:t>
      </w:r>
    </w:p>
    <w:p w14:paraId="77905E0A" w14:textId="77777777" w:rsidR="00CE4B16" w:rsidRPr="00CE4B16" w:rsidRDefault="00A45CC0" w:rsidP="00CE4B16">
      <w:pPr>
        <w:spacing w:after="0" w:line="360" w:lineRule="auto"/>
        <w:ind w:firstLine="708"/>
        <w:jc w:val="both"/>
        <w:rPr>
          <w:rFonts w:ascii="Arial" w:hAnsi="Arial" w:cs="Arial"/>
          <w:sz w:val="24"/>
          <w:szCs w:val="24"/>
        </w:rPr>
      </w:pPr>
      <w:r w:rsidRPr="00BC6E3A">
        <w:rPr>
          <w:rFonts w:ascii="Arial" w:hAnsi="Arial" w:cs="Arial"/>
          <w:b/>
          <w:bCs/>
          <w:sz w:val="24"/>
          <w:szCs w:val="24"/>
        </w:rPr>
        <w:t>QUINTO</w:t>
      </w:r>
      <w:r w:rsidR="00B35579" w:rsidRPr="00BC6E3A">
        <w:rPr>
          <w:rFonts w:ascii="Arial" w:hAnsi="Arial" w:cs="Arial"/>
          <w:b/>
          <w:bCs/>
          <w:sz w:val="24"/>
          <w:szCs w:val="24"/>
        </w:rPr>
        <w:t>.</w:t>
      </w:r>
      <w:r w:rsidR="00B35579" w:rsidRPr="00BC6E3A">
        <w:rPr>
          <w:rFonts w:ascii="Arial" w:hAnsi="Arial" w:cs="Arial"/>
          <w:sz w:val="24"/>
          <w:szCs w:val="24"/>
        </w:rPr>
        <w:t xml:space="preserve"> </w:t>
      </w:r>
      <w:r w:rsidR="00B35579" w:rsidRPr="00BC6E3A">
        <w:rPr>
          <w:rFonts w:ascii="Arial" w:hAnsi="Arial" w:cs="Arial"/>
          <w:b/>
          <w:bCs/>
          <w:sz w:val="24"/>
          <w:szCs w:val="24"/>
        </w:rPr>
        <w:t>Causales de improcedencia y sobreseimiento.</w:t>
      </w:r>
      <w:r w:rsidR="00B35579" w:rsidRPr="00BC6E3A">
        <w:rPr>
          <w:rFonts w:ascii="Arial" w:hAnsi="Arial" w:cs="Arial"/>
          <w:sz w:val="24"/>
          <w:szCs w:val="24"/>
        </w:rPr>
        <w:t xml:space="preserve"> </w:t>
      </w:r>
      <w:r w:rsidR="00CE4B16" w:rsidRPr="00CE4B16">
        <w:rPr>
          <w:rFonts w:ascii="Arial" w:hAnsi="Arial" w:cs="Arial"/>
          <w:sz w:val="24"/>
          <w:szCs w:val="24"/>
        </w:rPr>
        <w:t>Tomando en cuenta que las mismas son de orden público y de estudio preferente a cualquier otra cuestión, previo al estudio de los conceptos de impugnación, de actualizarse las hipótesis normativas, impediría la resolución del fondo del asunto debiéndose sobreseer en términos de los artículos 161 y 162 de la ley mencionada.</w:t>
      </w:r>
    </w:p>
    <w:p w14:paraId="4ED9BE72" w14:textId="324CD37D" w:rsidR="00CE4B16" w:rsidRPr="000D73EE" w:rsidRDefault="00CE4B16" w:rsidP="000D73EE">
      <w:pPr>
        <w:spacing w:after="0" w:line="360" w:lineRule="auto"/>
        <w:ind w:firstLine="708"/>
        <w:jc w:val="both"/>
        <w:rPr>
          <w:rFonts w:ascii="Arial" w:hAnsi="Arial" w:cs="Arial"/>
          <w:sz w:val="24"/>
          <w:szCs w:val="24"/>
        </w:rPr>
      </w:pPr>
      <w:r w:rsidRPr="00CE4B16">
        <w:rPr>
          <w:rFonts w:ascii="Arial" w:hAnsi="Arial" w:cs="Arial"/>
          <w:sz w:val="24"/>
          <w:szCs w:val="24"/>
        </w:rPr>
        <w:t>No se actualiza ninguna causal de improcedencia, por tanto, no se sobresee el juicio</w:t>
      </w:r>
      <w:r>
        <w:rPr>
          <w:rFonts w:ascii="Arial" w:hAnsi="Arial" w:cs="Arial"/>
          <w:sz w:val="24"/>
          <w:szCs w:val="24"/>
        </w:rPr>
        <w:t>.</w:t>
      </w:r>
    </w:p>
    <w:p w14:paraId="5FA9D76A" w14:textId="50AEA3E6" w:rsidR="00B35579" w:rsidRPr="00B43DBB" w:rsidRDefault="00E63C7E" w:rsidP="00B35579">
      <w:pPr>
        <w:spacing w:before="240" w:after="0" w:line="360" w:lineRule="auto"/>
        <w:ind w:right="-93" w:firstLine="709"/>
        <w:jc w:val="both"/>
        <w:rPr>
          <w:rFonts w:ascii="Arial" w:hAnsi="Arial" w:cs="Arial"/>
          <w:sz w:val="24"/>
          <w:szCs w:val="24"/>
        </w:rPr>
      </w:pPr>
      <w:r w:rsidRPr="00B43DBB">
        <w:rPr>
          <w:rFonts w:ascii="Arial" w:hAnsi="Arial" w:cs="Arial"/>
          <w:b/>
          <w:bCs/>
          <w:sz w:val="24"/>
          <w:szCs w:val="24"/>
        </w:rPr>
        <w:t>SEXTO</w:t>
      </w:r>
      <w:r w:rsidR="00B35579" w:rsidRPr="00B43DBB">
        <w:rPr>
          <w:rFonts w:ascii="Arial" w:hAnsi="Arial" w:cs="Arial"/>
          <w:b/>
          <w:bCs/>
          <w:sz w:val="24"/>
          <w:szCs w:val="24"/>
        </w:rPr>
        <w:t xml:space="preserve">. </w:t>
      </w:r>
      <w:r w:rsidR="00B35579" w:rsidRPr="00B43DBB">
        <w:rPr>
          <w:rFonts w:ascii="Arial" w:hAnsi="Arial" w:cs="Arial"/>
          <w:sz w:val="24"/>
          <w:szCs w:val="24"/>
        </w:rPr>
        <w:t xml:space="preserve">A continuación, se examinarán las </w:t>
      </w:r>
      <w:r w:rsidR="00B35579" w:rsidRPr="00B43DBB">
        <w:rPr>
          <w:rFonts w:ascii="Arial" w:hAnsi="Arial" w:cs="Arial"/>
          <w:b/>
          <w:bCs/>
          <w:sz w:val="24"/>
          <w:szCs w:val="24"/>
        </w:rPr>
        <w:t>excepciones</w:t>
      </w:r>
      <w:r w:rsidR="00B35579" w:rsidRPr="00B43DBB">
        <w:rPr>
          <w:rFonts w:ascii="Arial" w:hAnsi="Arial" w:cs="Arial"/>
          <w:sz w:val="24"/>
          <w:szCs w:val="24"/>
        </w:rPr>
        <w:t xml:space="preserve"> propuestas por las autoridades demandadas:</w:t>
      </w:r>
    </w:p>
    <w:p w14:paraId="22303D7A" w14:textId="56F4D8E3" w:rsidR="00BC6E3A" w:rsidRDefault="00BC6E3A" w:rsidP="00B35579">
      <w:pPr>
        <w:pStyle w:val="Prrafodelista"/>
        <w:numPr>
          <w:ilvl w:val="0"/>
          <w:numId w:val="20"/>
        </w:numPr>
        <w:spacing w:before="240" w:after="0" w:line="360" w:lineRule="auto"/>
        <w:ind w:right="-93"/>
        <w:jc w:val="both"/>
        <w:rPr>
          <w:rFonts w:ascii="Arial" w:hAnsi="Arial" w:cs="Arial"/>
          <w:sz w:val="24"/>
          <w:szCs w:val="24"/>
        </w:rPr>
      </w:pPr>
      <w:r w:rsidRPr="00331571">
        <w:rPr>
          <w:rFonts w:ascii="Arial" w:hAnsi="Arial" w:cs="Arial"/>
          <w:b/>
          <w:bCs/>
          <w:sz w:val="24"/>
          <w:szCs w:val="24"/>
        </w:rPr>
        <w:t xml:space="preserve">La </w:t>
      </w:r>
      <w:r w:rsidR="00BA4477">
        <w:rPr>
          <w:rFonts w:ascii="Arial" w:hAnsi="Arial" w:cs="Arial"/>
          <w:b/>
          <w:bCs/>
          <w:sz w:val="24"/>
          <w:szCs w:val="24"/>
        </w:rPr>
        <w:t>de incompetencia</w:t>
      </w:r>
      <w:r w:rsidR="00BD5518">
        <w:rPr>
          <w:rFonts w:ascii="Arial" w:hAnsi="Arial" w:cs="Arial"/>
          <w:sz w:val="24"/>
          <w:szCs w:val="24"/>
        </w:rPr>
        <w:t xml:space="preserve">, </w:t>
      </w:r>
      <w:r w:rsidR="00436FBA">
        <w:rPr>
          <w:rFonts w:ascii="Arial" w:hAnsi="Arial" w:cs="Arial"/>
          <w:sz w:val="24"/>
          <w:szCs w:val="24"/>
        </w:rPr>
        <w:t xml:space="preserve">habida cuenta que la ley de </w:t>
      </w:r>
      <w:r w:rsidR="00153EF9">
        <w:rPr>
          <w:rFonts w:ascii="Arial" w:hAnsi="Arial" w:cs="Arial"/>
          <w:sz w:val="24"/>
          <w:szCs w:val="24"/>
        </w:rPr>
        <w:t xml:space="preserve">Procedimiento y </w:t>
      </w:r>
      <w:r w:rsidR="00436FBA">
        <w:rPr>
          <w:rFonts w:ascii="Arial" w:hAnsi="Arial" w:cs="Arial"/>
          <w:sz w:val="24"/>
          <w:szCs w:val="24"/>
        </w:rPr>
        <w:t>Justicia Administrativa para el Estado de Oaxaca</w:t>
      </w:r>
      <w:r w:rsidR="00153EF9">
        <w:rPr>
          <w:rFonts w:ascii="Arial" w:hAnsi="Arial" w:cs="Arial"/>
          <w:sz w:val="24"/>
          <w:szCs w:val="24"/>
        </w:rPr>
        <w:t>,</w:t>
      </w:r>
      <w:r w:rsidR="00436FBA">
        <w:rPr>
          <w:rFonts w:ascii="Arial" w:hAnsi="Arial" w:cs="Arial"/>
          <w:sz w:val="24"/>
          <w:szCs w:val="24"/>
        </w:rPr>
        <w:t xml:space="preserve"> establece claramente </w:t>
      </w:r>
      <w:r w:rsidR="00153EF9">
        <w:rPr>
          <w:rFonts w:ascii="Arial" w:hAnsi="Arial" w:cs="Arial"/>
          <w:sz w:val="24"/>
          <w:szCs w:val="24"/>
        </w:rPr>
        <w:t xml:space="preserve">en su artículo 1, que </w:t>
      </w:r>
      <w:r w:rsidR="00436FBA">
        <w:rPr>
          <w:rFonts w:ascii="Arial" w:hAnsi="Arial" w:cs="Arial"/>
          <w:sz w:val="24"/>
          <w:szCs w:val="24"/>
        </w:rPr>
        <w:t xml:space="preserve">es de orden público </w:t>
      </w:r>
      <w:r w:rsidR="00AC5188">
        <w:rPr>
          <w:rFonts w:ascii="Arial" w:hAnsi="Arial" w:cs="Arial"/>
          <w:sz w:val="24"/>
          <w:szCs w:val="24"/>
        </w:rPr>
        <w:t xml:space="preserve">y de interés social, se aplicará en todo el Estado de </w:t>
      </w:r>
      <w:r w:rsidR="009348BF">
        <w:rPr>
          <w:rFonts w:ascii="Arial" w:hAnsi="Arial" w:cs="Arial"/>
          <w:sz w:val="24"/>
          <w:szCs w:val="24"/>
        </w:rPr>
        <w:t xml:space="preserve">Oaxaca en los actos </w:t>
      </w:r>
      <w:r w:rsidR="00BF441E">
        <w:rPr>
          <w:rFonts w:ascii="Arial" w:hAnsi="Arial" w:cs="Arial"/>
          <w:sz w:val="24"/>
          <w:szCs w:val="24"/>
        </w:rPr>
        <w:t xml:space="preserve">administrativos </w:t>
      </w:r>
      <w:r w:rsidR="009348BF">
        <w:rPr>
          <w:rFonts w:ascii="Arial" w:hAnsi="Arial" w:cs="Arial"/>
          <w:sz w:val="24"/>
          <w:szCs w:val="24"/>
        </w:rPr>
        <w:t xml:space="preserve">y los </w:t>
      </w:r>
      <w:r w:rsidR="00BF441E">
        <w:rPr>
          <w:rFonts w:ascii="Arial" w:hAnsi="Arial" w:cs="Arial"/>
          <w:sz w:val="24"/>
          <w:szCs w:val="24"/>
        </w:rPr>
        <w:t>procedimientos</w:t>
      </w:r>
      <w:r w:rsidR="009348BF">
        <w:rPr>
          <w:rFonts w:ascii="Arial" w:hAnsi="Arial" w:cs="Arial"/>
          <w:sz w:val="24"/>
          <w:szCs w:val="24"/>
        </w:rPr>
        <w:t xml:space="preserve"> que desarrollen las </w:t>
      </w:r>
      <w:r w:rsidR="00BF441E">
        <w:rPr>
          <w:rFonts w:ascii="Arial" w:hAnsi="Arial" w:cs="Arial"/>
          <w:sz w:val="24"/>
          <w:szCs w:val="24"/>
        </w:rPr>
        <w:t>Dependencias</w:t>
      </w:r>
      <w:r w:rsidR="009348BF">
        <w:rPr>
          <w:rFonts w:ascii="Arial" w:hAnsi="Arial" w:cs="Arial"/>
          <w:sz w:val="24"/>
          <w:szCs w:val="24"/>
        </w:rPr>
        <w:t xml:space="preserve"> del Poder </w:t>
      </w:r>
      <w:r w:rsidR="00BF441E">
        <w:rPr>
          <w:rFonts w:ascii="Arial" w:hAnsi="Arial" w:cs="Arial"/>
          <w:sz w:val="24"/>
          <w:szCs w:val="24"/>
        </w:rPr>
        <w:t>Ejecutivo</w:t>
      </w:r>
      <w:r w:rsidR="009348BF">
        <w:rPr>
          <w:rFonts w:ascii="Arial" w:hAnsi="Arial" w:cs="Arial"/>
          <w:sz w:val="24"/>
          <w:szCs w:val="24"/>
        </w:rPr>
        <w:t xml:space="preserve"> del </w:t>
      </w:r>
      <w:r w:rsidR="00BF441E">
        <w:rPr>
          <w:rFonts w:ascii="Arial" w:hAnsi="Arial" w:cs="Arial"/>
          <w:sz w:val="24"/>
          <w:szCs w:val="24"/>
        </w:rPr>
        <w:t>Gobierno</w:t>
      </w:r>
      <w:r w:rsidR="009348BF">
        <w:rPr>
          <w:rFonts w:ascii="Arial" w:hAnsi="Arial" w:cs="Arial"/>
          <w:sz w:val="24"/>
          <w:szCs w:val="24"/>
        </w:rPr>
        <w:t xml:space="preserve"> del Estado, Entidades Paraestatales y Órganos </w:t>
      </w:r>
      <w:r w:rsidR="00B57C9F">
        <w:rPr>
          <w:rFonts w:ascii="Arial" w:hAnsi="Arial" w:cs="Arial"/>
          <w:sz w:val="24"/>
          <w:szCs w:val="24"/>
        </w:rPr>
        <w:t xml:space="preserve">Desconcentrados de la </w:t>
      </w:r>
      <w:r w:rsidR="00BF441E">
        <w:rPr>
          <w:rFonts w:ascii="Arial" w:hAnsi="Arial" w:cs="Arial"/>
          <w:sz w:val="24"/>
          <w:szCs w:val="24"/>
        </w:rPr>
        <w:t>Administración</w:t>
      </w:r>
      <w:r w:rsidR="00B57C9F">
        <w:rPr>
          <w:rFonts w:ascii="Arial" w:hAnsi="Arial" w:cs="Arial"/>
          <w:sz w:val="24"/>
          <w:szCs w:val="24"/>
        </w:rPr>
        <w:t xml:space="preserve"> Pública Estatal, cuando estas </w:t>
      </w:r>
      <w:r w:rsidR="00BF441E">
        <w:rPr>
          <w:rFonts w:ascii="Arial" w:hAnsi="Arial" w:cs="Arial"/>
          <w:sz w:val="24"/>
          <w:szCs w:val="24"/>
        </w:rPr>
        <w:t>emitan</w:t>
      </w:r>
      <w:r w:rsidR="00B57C9F">
        <w:rPr>
          <w:rFonts w:ascii="Arial" w:hAnsi="Arial" w:cs="Arial"/>
          <w:sz w:val="24"/>
          <w:szCs w:val="24"/>
        </w:rPr>
        <w:t xml:space="preserve"> una resolución </w:t>
      </w:r>
      <w:r w:rsidR="00BF441E">
        <w:rPr>
          <w:rFonts w:ascii="Arial" w:hAnsi="Arial" w:cs="Arial"/>
          <w:sz w:val="24"/>
          <w:szCs w:val="24"/>
        </w:rPr>
        <w:t>administrativa</w:t>
      </w:r>
      <w:r w:rsidR="00B57C9F">
        <w:rPr>
          <w:rFonts w:ascii="Arial" w:hAnsi="Arial" w:cs="Arial"/>
          <w:sz w:val="24"/>
          <w:szCs w:val="24"/>
        </w:rPr>
        <w:t xml:space="preserve"> </w:t>
      </w:r>
      <w:r w:rsidR="003441DA">
        <w:rPr>
          <w:rFonts w:ascii="Arial" w:hAnsi="Arial" w:cs="Arial"/>
          <w:sz w:val="24"/>
          <w:szCs w:val="24"/>
        </w:rPr>
        <w:t xml:space="preserve">de cualquier naturaleza, por los Ayuntamientos de los Municipios del Estado de Oaxaca, por las </w:t>
      </w:r>
      <w:r w:rsidR="00BF441E">
        <w:rPr>
          <w:rFonts w:ascii="Arial" w:hAnsi="Arial" w:cs="Arial"/>
          <w:sz w:val="24"/>
          <w:szCs w:val="24"/>
        </w:rPr>
        <w:t>dependencias</w:t>
      </w:r>
      <w:r w:rsidR="003441DA">
        <w:rPr>
          <w:rFonts w:ascii="Arial" w:hAnsi="Arial" w:cs="Arial"/>
          <w:sz w:val="24"/>
          <w:szCs w:val="24"/>
        </w:rPr>
        <w:t xml:space="preserve"> de estos y por sus </w:t>
      </w:r>
      <w:r w:rsidR="00BF441E">
        <w:rPr>
          <w:rFonts w:ascii="Arial" w:hAnsi="Arial" w:cs="Arial"/>
          <w:sz w:val="24"/>
          <w:szCs w:val="24"/>
        </w:rPr>
        <w:t>Entidades</w:t>
      </w:r>
      <w:r w:rsidR="003441DA">
        <w:rPr>
          <w:rFonts w:ascii="Arial" w:hAnsi="Arial" w:cs="Arial"/>
          <w:sz w:val="24"/>
          <w:szCs w:val="24"/>
        </w:rPr>
        <w:t xml:space="preserve"> Paramunicipales</w:t>
      </w:r>
      <w:r w:rsidR="00BF441E">
        <w:rPr>
          <w:rFonts w:ascii="Arial" w:hAnsi="Arial" w:cs="Arial"/>
          <w:sz w:val="24"/>
          <w:szCs w:val="24"/>
        </w:rPr>
        <w:t>, ley que no será aplicable a las materias de carácter electoral, de justicia agraria y laboral.</w:t>
      </w:r>
    </w:p>
    <w:p w14:paraId="399AA0DE" w14:textId="77777777" w:rsidR="00977DFD" w:rsidRDefault="00977DFD" w:rsidP="00977DFD">
      <w:pPr>
        <w:pStyle w:val="Prrafodelista"/>
        <w:spacing w:before="240" w:after="0" w:line="360" w:lineRule="auto"/>
        <w:ind w:left="1069" w:right="-93"/>
        <w:jc w:val="both"/>
        <w:rPr>
          <w:rFonts w:ascii="Arial" w:hAnsi="Arial" w:cs="Arial"/>
          <w:sz w:val="24"/>
          <w:szCs w:val="24"/>
        </w:rPr>
      </w:pPr>
    </w:p>
    <w:p w14:paraId="48CE7E23" w14:textId="2358A226" w:rsidR="00B43DBB" w:rsidRPr="008F56DB" w:rsidRDefault="00B35579" w:rsidP="00B43DBB">
      <w:pPr>
        <w:pStyle w:val="Prrafodelista"/>
        <w:numPr>
          <w:ilvl w:val="0"/>
          <w:numId w:val="20"/>
        </w:numPr>
        <w:spacing w:before="240" w:after="0" w:line="360" w:lineRule="auto"/>
        <w:ind w:right="-93"/>
        <w:jc w:val="both"/>
        <w:rPr>
          <w:rFonts w:ascii="Arial" w:hAnsi="Arial" w:cs="Arial"/>
          <w:sz w:val="24"/>
          <w:szCs w:val="24"/>
        </w:rPr>
      </w:pPr>
      <w:r w:rsidRPr="00B43DBB">
        <w:rPr>
          <w:rFonts w:ascii="Arial" w:hAnsi="Arial" w:cs="Arial"/>
          <w:b/>
          <w:bCs/>
          <w:sz w:val="24"/>
          <w:szCs w:val="24"/>
        </w:rPr>
        <w:t xml:space="preserve">La de </w:t>
      </w:r>
      <w:r w:rsidR="00436FBA">
        <w:rPr>
          <w:rFonts w:ascii="Arial" w:hAnsi="Arial" w:cs="Arial"/>
          <w:b/>
          <w:bCs/>
          <w:sz w:val="24"/>
          <w:szCs w:val="24"/>
        </w:rPr>
        <w:t>improcedencia y sobreseimiento de la demanda</w:t>
      </w:r>
      <w:r w:rsidR="00331571" w:rsidRPr="00B43DBB">
        <w:rPr>
          <w:rFonts w:ascii="Arial" w:hAnsi="Arial" w:cs="Arial"/>
          <w:b/>
          <w:bCs/>
          <w:sz w:val="24"/>
          <w:szCs w:val="24"/>
        </w:rPr>
        <w:t xml:space="preserve"> </w:t>
      </w:r>
      <w:r w:rsidR="00436FBA">
        <w:rPr>
          <w:rFonts w:ascii="Arial" w:hAnsi="Arial" w:cs="Arial"/>
          <w:sz w:val="24"/>
          <w:szCs w:val="24"/>
        </w:rPr>
        <w:t xml:space="preserve">basado en lo establecido por el </w:t>
      </w:r>
      <w:r w:rsidR="00783542">
        <w:rPr>
          <w:rFonts w:ascii="Arial" w:hAnsi="Arial" w:cs="Arial"/>
          <w:sz w:val="24"/>
          <w:szCs w:val="24"/>
        </w:rPr>
        <w:t>artículo</w:t>
      </w:r>
      <w:r w:rsidR="00436FBA">
        <w:rPr>
          <w:rFonts w:ascii="Arial" w:hAnsi="Arial" w:cs="Arial"/>
          <w:sz w:val="24"/>
          <w:szCs w:val="24"/>
        </w:rPr>
        <w:t xml:space="preserve"> 131 fracción X y 132 fracción II de la Ley de Justicia Administrativa para el Gobierno del Estado de Oaxaca</w:t>
      </w:r>
      <w:r w:rsidR="00977DFD">
        <w:rPr>
          <w:rFonts w:ascii="Arial" w:hAnsi="Arial" w:cs="Arial"/>
          <w:sz w:val="24"/>
          <w:szCs w:val="24"/>
        </w:rPr>
        <w:t>,</w:t>
      </w:r>
      <w:r w:rsidR="00436FBA">
        <w:rPr>
          <w:rFonts w:ascii="Arial" w:hAnsi="Arial" w:cs="Arial"/>
          <w:sz w:val="24"/>
          <w:szCs w:val="24"/>
        </w:rPr>
        <w:t xml:space="preserve"> en virtud de que el reclamo de la parte actora, se constriñe </w:t>
      </w:r>
      <w:r w:rsidR="00436FBA">
        <w:rPr>
          <w:rFonts w:ascii="Arial" w:hAnsi="Arial" w:cs="Arial"/>
          <w:sz w:val="24"/>
          <w:szCs w:val="24"/>
        </w:rPr>
        <w:lastRenderedPageBreak/>
        <w:t>prácticamente a un asunto de carácter laboral y es por ello que no debe aplicarse la Ley de Justicia Administrativa en el Estado de Oaxaca, pues así lo establece la citada ley.</w:t>
      </w:r>
    </w:p>
    <w:p w14:paraId="795B2E47" w14:textId="6CBE7C10" w:rsidR="00977DFD" w:rsidRPr="0019186C" w:rsidRDefault="00B35579" w:rsidP="00B35579">
      <w:pPr>
        <w:spacing w:line="360" w:lineRule="auto"/>
        <w:jc w:val="both"/>
        <w:rPr>
          <w:rFonts w:ascii="Arial" w:hAnsi="Arial" w:cs="Arial"/>
          <w:sz w:val="24"/>
          <w:szCs w:val="24"/>
        </w:rPr>
      </w:pPr>
      <w:r w:rsidRPr="0019186C">
        <w:rPr>
          <w:rFonts w:ascii="Arial" w:hAnsi="Arial" w:cs="Arial"/>
          <w:sz w:val="24"/>
          <w:szCs w:val="24"/>
        </w:rPr>
        <w:t xml:space="preserve">     </w:t>
      </w:r>
      <w:r w:rsidRPr="000F24AC">
        <w:rPr>
          <w:rFonts w:ascii="Arial" w:hAnsi="Arial" w:cs="Arial"/>
          <w:sz w:val="24"/>
          <w:szCs w:val="24"/>
          <w:u w:val="single"/>
        </w:rPr>
        <w:t>Las excepciones que refieren las autoridades demandadas no se actualizan</w:t>
      </w:r>
      <w:r w:rsidR="00977DFD">
        <w:rPr>
          <w:rFonts w:ascii="Arial" w:hAnsi="Arial" w:cs="Arial"/>
          <w:sz w:val="24"/>
          <w:szCs w:val="24"/>
        </w:rPr>
        <w:t xml:space="preserve">, dado que la relación que existe entre los integrantes de las instituciones de seguridad </w:t>
      </w:r>
      <w:r w:rsidR="00977DFD" w:rsidRPr="008556F0">
        <w:rPr>
          <w:rFonts w:ascii="Arial" w:hAnsi="Arial" w:cs="Arial"/>
          <w:sz w:val="24"/>
          <w:szCs w:val="24"/>
        </w:rPr>
        <w:t xml:space="preserve">pública y con las dependencias a la cual se encuentren adscritos </w:t>
      </w:r>
      <w:r w:rsidR="00977DFD" w:rsidRPr="00934EA7">
        <w:rPr>
          <w:rFonts w:ascii="Arial" w:hAnsi="Arial" w:cs="Arial"/>
          <w:b/>
          <w:sz w:val="24"/>
          <w:szCs w:val="24"/>
        </w:rPr>
        <w:t>será de naturaleza administrativa</w:t>
      </w:r>
      <w:r w:rsidR="00977DFD" w:rsidRPr="008556F0">
        <w:rPr>
          <w:rFonts w:ascii="Arial" w:hAnsi="Arial" w:cs="Arial"/>
          <w:sz w:val="24"/>
          <w:szCs w:val="24"/>
        </w:rPr>
        <w:t>, regulándose bajo los lineamientos previstos en el artículo 123, Apartado B, fracción XIII, de la Constitución Federal, la Constitución Estatal, la Ley del Sistema Estatal de Seguridad Pública de Oaxaca, los reglamentos que al efecto se expidan y demás disposiciones jurídicas aplicables</w:t>
      </w:r>
      <w:r w:rsidR="00977DFD">
        <w:rPr>
          <w:rFonts w:ascii="Arial" w:hAnsi="Arial" w:cs="Arial"/>
          <w:sz w:val="24"/>
          <w:szCs w:val="24"/>
        </w:rPr>
        <w:t>; lo anterior con fundamento en los artículos 11</w:t>
      </w:r>
      <w:r w:rsidR="00977DFD">
        <w:rPr>
          <w:rStyle w:val="Refdenotaalpie"/>
          <w:rFonts w:ascii="Arial" w:hAnsi="Arial" w:cs="Arial"/>
          <w:sz w:val="24"/>
          <w:szCs w:val="24"/>
        </w:rPr>
        <w:footnoteReference w:id="4"/>
      </w:r>
      <w:r w:rsidR="00977DFD">
        <w:rPr>
          <w:rFonts w:ascii="Arial" w:hAnsi="Arial" w:cs="Arial"/>
          <w:sz w:val="24"/>
          <w:szCs w:val="24"/>
        </w:rPr>
        <w:t xml:space="preserve"> y 12</w:t>
      </w:r>
      <w:r w:rsidR="00977DFD">
        <w:rPr>
          <w:rStyle w:val="Refdenotaalpie"/>
          <w:rFonts w:ascii="Arial" w:hAnsi="Arial" w:cs="Arial"/>
          <w:sz w:val="24"/>
          <w:szCs w:val="24"/>
        </w:rPr>
        <w:footnoteReference w:id="5"/>
      </w:r>
      <w:r w:rsidR="00977DFD">
        <w:rPr>
          <w:rFonts w:ascii="Arial" w:hAnsi="Arial" w:cs="Arial"/>
          <w:sz w:val="24"/>
          <w:szCs w:val="24"/>
        </w:rPr>
        <w:t xml:space="preserve"> de la Ley del Sistema Estatal de Seguridad Pública de Oaxaca.</w:t>
      </w:r>
    </w:p>
    <w:p w14:paraId="1D2B87A7" w14:textId="75E6437A" w:rsidR="00E67C63" w:rsidRDefault="00B35579" w:rsidP="0019586A">
      <w:pPr>
        <w:spacing w:line="360" w:lineRule="auto"/>
        <w:ind w:firstLine="567"/>
        <w:jc w:val="both"/>
        <w:rPr>
          <w:rFonts w:ascii="Arial" w:hAnsi="Arial" w:cs="Arial"/>
          <w:sz w:val="24"/>
          <w:szCs w:val="24"/>
        </w:rPr>
      </w:pPr>
      <w:r w:rsidRPr="00C8198D">
        <w:rPr>
          <w:rFonts w:ascii="Arial" w:hAnsi="Arial" w:cs="Arial"/>
          <w:b/>
          <w:bCs/>
          <w:sz w:val="24"/>
          <w:szCs w:val="24"/>
        </w:rPr>
        <w:t>S</w:t>
      </w:r>
      <w:r w:rsidR="00B773A9">
        <w:rPr>
          <w:rFonts w:ascii="Arial" w:hAnsi="Arial" w:cs="Arial"/>
          <w:b/>
          <w:bCs/>
          <w:sz w:val="24"/>
          <w:szCs w:val="24"/>
        </w:rPr>
        <w:t>ÉPTIMO</w:t>
      </w:r>
      <w:r w:rsidRPr="00C8198D">
        <w:rPr>
          <w:rFonts w:ascii="Arial" w:hAnsi="Arial" w:cs="Arial"/>
          <w:b/>
          <w:bCs/>
          <w:sz w:val="24"/>
          <w:szCs w:val="24"/>
        </w:rPr>
        <w:t>. Fijación de la Litis.</w:t>
      </w:r>
      <w:r w:rsidR="002B00CF" w:rsidRPr="00C8198D">
        <w:rPr>
          <w:rFonts w:ascii="Arial" w:hAnsi="Arial" w:cs="Arial"/>
          <w:b/>
          <w:bCs/>
          <w:sz w:val="24"/>
          <w:szCs w:val="24"/>
        </w:rPr>
        <w:t xml:space="preserve"> </w:t>
      </w:r>
      <w:r w:rsidRPr="00C8198D">
        <w:rPr>
          <w:rFonts w:ascii="Arial" w:hAnsi="Arial" w:cs="Arial"/>
          <w:sz w:val="24"/>
          <w:szCs w:val="24"/>
        </w:rPr>
        <w:t xml:space="preserve">La parte actora </w:t>
      </w:r>
      <w:r w:rsidRPr="00C61E6F">
        <w:rPr>
          <w:rFonts w:ascii="Arial" w:hAnsi="Arial" w:cs="Arial"/>
          <w:sz w:val="24"/>
          <w:szCs w:val="24"/>
        </w:rPr>
        <w:t>demandó la nulidad</w:t>
      </w:r>
      <w:r w:rsidR="004177E4" w:rsidRPr="00C61E6F">
        <w:rPr>
          <w:rFonts w:ascii="Arial" w:hAnsi="Arial" w:cs="Arial"/>
          <w:sz w:val="24"/>
          <w:szCs w:val="24"/>
        </w:rPr>
        <w:t xml:space="preserve"> </w:t>
      </w:r>
      <w:r w:rsidR="0019586A">
        <w:rPr>
          <w:rFonts w:ascii="Arial" w:hAnsi="Arial" w:cs="Arial"/>
          <w:sz w:val="24"/>
          <w:szCs w:val="24"/>
        </w:rPr>
        <w:t xml:space="preserve">del acto administrativo, despido justificado realizado por parte del Síndico Procurador Municipal del Municipio la Reforma, Distrito Judicial de Putla Villa de Guerrero, Oaxaca, comunicado por escrito en fecha </w:t>
      </w:r>
      <w:r w:rsidR="00675A30">
        <w:rPr>
          <w:rFonts w:ascii="Arial" w:hAnsi="Arial" w:cs="Arial"/>
          <w:sz w:val="24"/>
          <w:szCs w:val="24"/>
        </w:rPr>
        <w:t>**********</w:t>
      </w:r>
      <w:r w:rsidR="0019586A">
        <w:rPr>
          <w:rFonts w:ascii="Arial" w:hAnsi="Arial" w:cs="Arial"/>
          <w:sz w:val="24"/>
          <w:szCs w:val="24"/>
        </w:rPr>
        <w:t xml:space="preserve">; manifestando que carece de toda legalidad pues suponiendo sin conceder que hubiera cometido alguna falta que mereciera sanción </w:t>
      </w:r>
      <w:r w:rsidR="0033107F">
        <w:rPr>
          <w:rFonts w:ascii="Arial" w:hAnsi="Arial" w:cs="Arial"/>
          <w:sz w:val="24"/>
          <w:szCs w:val="24"/>
        </w:rPr>
        <w:t xml:space="preserve">administrativa que pudiera ocasionar el despido justificado, los actos  debieron haberse ajustado a los principios de legalidad y seguridad jurídica tutelados por </w:t>
      </w:r>
      <w:r w:rsidR="00E67C63">
        <w:rPr>
          <w:rFonts w:ascii="Arial" w:hAnsi="Arial" w:cs="Arial"/>
          <w:sz w:val="24"/>
          <w:szCs w:val="24"/>
        </w:rPr>
        <w:t>en los artículos 14 y 16 de la Constitución Política de los Estados Unidos Mexicanos, para que así le pudiera otorgar el derecho de defensa, de ser oído y vencido en juicio o en su respectivo procedimiento, cumpliendo así las formalidades esenciales  del procedimiento, por medio del cual se fundar y motivara los actos administrativos que la autoridad demandada ejecuto.</w:t>
      </w:r>
    </w:p>
    <w:p w14:paraId="0CB61B16" w14:textId="6E2B13E8" w:rsidR="00F534B3" w:rsidRDefault="00E67C63" w:rsidP="0019586A">
      <w:pPr>
        <w:spacing w:line="360" w:lineRule="auto"/>
        <w:ind w:firstLine="567"/>
        <w:jc w:val="both"/>
        <w:rPr>
          <w:rFonts w:ascii="Arial" w:hAnsi="Arial" w:cs="Arial"/>
          <w:sz w:val="24"/>
          <w:szCs w:val="24"/>
        </w:rPr>
      </w:pPr>
      <w:r>
        <w:rPr>
          <w:rFonts w:ascii="Arial" w:hAnsi="Arial" w:cs="Arial"/>
          <w:sz w:val="24"/>
          <w:szCs w:val="24"/>
        </w:rPr>
        <w:t xml:space="preserve">Por otra parte la parte actora manifiesta que no fue </w:t>
      </w:r>
      <w:r w:rsidR="006E0D6E">
        <w:rPr>
          <w:rFonts w:ascii="Arial" w:hAnsi="Arial" w:cs="Arial"/>
          <w:sz w:val="24"/>
          <w:szCs w:val="24"/>
        </w:rPr>
        <w:t>oída</w:t>
      </w:r>
      <w:r>
        <w:rPr>
          <w:rFonts w:ascii="Arial" w:hAnsi="Arial" w:cs="Arial"/>
          <w:sz w:val="24"/>
          <w:szCs w:val="24"/>
        </w:rPr>
        <w:t xml:space="preserve"> y vencida en juicio ante la comisión de honor y justicia , quien </w:t>
      </w:r>
      <w:r w:rsidR="002E27D4">
        <w:rPr>
          <w:rFonts w:ascii="Arial" w:hAnsi="Arial" w:cs="Arial"/>
          <w:sz w:val="24"/>
          <w:szCs w:val="24"/>
        </w:rPr>
        <w:t>debió</w:t>
      </w:r>
      <w:r>
        <w:rPr>
          <w:rFonts w:ascii="Arial" w:hAnsi="Arial" w:cs="Arial"/>
          <w:sz w:val="24"/>
          <w:szCs w:val="24"/>
        </w:rPr>
        <w:t xml:space="preserve"> conocer su caso acerca de la falta administrativa y</w:t>
      </w:r>
      <w:r w:rsidR="002E27D4">
        <w:rPr>
          <w:rFonts w:ascii="Arial" w:hAnsi="Arial" w:cs="Arial"/>
          <w:sz w:val="24"/>
          <w:szCs w:val="24"/>
        </w:rPr>
        <w:t xml:space="preserve"> </w:t>
      </w:r>
      <w:r>
        <w:rPr>
          <w:rFonts w:ascii="Arial" w:hAnsi="Arial" w:cs="Arial"/>
          <w:sz w:val="24"/>
          <w:szCs w:val="24"/>
        </w:rPr>
        <w:t xml:space="preserve"> de </w:t>
      </w:r>
      <w:r w:rsidR="002E27D4">
        <w:rPr>
          <w:rFonts w:ascii="Arial" w:hAnsi="Arial" w:cs="Arial"/>
          <w:sz w:val="24"/>
          <w:szCs w:val="24"/>
        </w:rPr>
        <w:t xml:space="preserve">incumplimiento del reglamento que hace mención el </w:t>
      </w:r>
      <w:r w:rsidR="006E0D6E">
        <w:rPr>
          <w:rFonts w:ascii="Arial" w:hAnsi="Arial" w:cs="Arial"/>
          <w:sz w:val="24"/>
          <w:szCs w:val="24"/>
        </w:rPr>
        <w:t>Síndico</w:t>
      </w:r>
      <w:r w:rsidR="002E27D4">
        <w:rPr>
          <w:rFonts w:ascii="Arial" w:hAnsi="Arial" w:cs="Arial"/>
          <w:sz w:val="24"/>
          <w:szCs w:val="24"/>
        </w:rPr>
        <w:t xml:space="preserve"> Municipal, o por alguna infracción al régimen disciplinario como integrante de l</w:t>
      </w:r>
      <w:r w:rsidR="006E0D6E">
        <w:rPr>
          <w:rFonts w:ascii="Arial" w:hAnsi="Arial" w:cs="Arial"/>
          <w:sz w:val="24"/>
          <w:szCs w:val="24"/>
        </w:rPr>
        <w:t xml:space="preserve">as Instituciones policiales, </w:t>
      </w:r>
      <w:r w:rsidR="002E27D4">
        <w:rPr>
          <w:rFonts w:ascii="Arial" w:hAnsi="Arial" w:cs="Arial"/>
          <w:sz w:val="24"/>
          <w:szCs w:val="24"/>
        </w:rPr>
        <w:t xml:space="preserve">con </w:t>
      </w:r>
      <w:r w:rsidR="006E0D6E">
        <w:rPr>
          <w:rFonts w:ascii="Arial" w:hAnsi="Arial" w:cs="Arial"/>
          <w:sz w:val="24"/>
          <w:szCs w:val="24"/>
        </w:rPr>
        <w:t>motivo</w:t>
      </w:r>
      <w:r w:rsidR="002E27D4">
        <w:rPr>
          <w:rFonts w:ascii="Arial" w:hAnsi="Arial" w:cs="Arial"/>
          <w:sz w:val="24"/>
          <w:szCs w:val="24"/>
        </w:rPr>
        <w:t xml:space="preserve"> de las infracciones previstas en la Ley del Sistema Estatal de Seguridad </w:t>
      </w:r>
      <w:r w:rsidR="006E0D6E">
        <w:rPr>
          <w:rFonts w:ascii="Arial" w:hAnsi="Arial" w:cs="Arial"/>
          <w:sz w:val="24"/>
          <w:szCs w:val="24"/>
        </w:rPr>
        <w:t>Pública</w:t>
      </w:r>
      <w:r w:rsidR="002E27D4">
        <w:rPr>
          <w:rFonts w:ascii="Arial" w:hAnsi="Arial" w:cs="Arial"/>
          <w:sz w:val="24"/>
          <w:szCs w:val="24"/>
        </w:rPr>
        <w:t xml:space="preserve"> del Estado de Oaxaca, que es aplicable conforme al </w:t>
      </w:r>
      <w:r w:rsidR="006E0D6E">
        <w:rPr>
          <w:rFonts w:ascii="Arial" w:hAnsi="Arial" w:cs="Arial"/>
          <w:sz w:val="24"/>
          <w:szCs w:val="24"/>
        </w:rPr>
        <w:t>artículo</w:t>
      </w:r>
      <w:r w:rsidR="002E27D4">
        <w:rPr>
          <w:rFonts w:ascii="Arial" w:hAnsi="Arial" w:cs="Arial"/>
          <w:sz w:val="24"/>
          <w:szCs w:val="24"/>
        </w:rPr>
        <w:t xml:space="preserve"> 4 transitorio de la reforma de fecha 27 de mayo de dos mil diecinueve a la Ley General del Sistema Nacional de Seguridad Publica.</w:t>
      </w:r>
    </w:p>
    <w:p w14:paraId="3B0C7BC0" w14:textId="5BC2BE10" w:rsidR="002E27D4" w:rsidRPr="003134FC" w:rsidRDefault="002E27D4" w:rsidP="0019586A">
      <w:pPr>
        <w:spacing w:line="360" w:lineRule="auto"/>
        <w:ind w:firstLine="567"/>
        <w:jc w:val="both"/>
        <w:rPr>
          <w:rFonts w:ascii="Arial" w:hAnsi="Arial" w:cs="Arial"/>
          <w:sz w:val="24"/>
          <w:szCs w:val="24"/>
        </w:rPr>
      </w:pPr>
      <w:r>
        <w:rPr>
          <w:rFonts w:ascii="Arial" w:hAnsi="Arial" w:cs="Arial"/>
          <w:sz w:val="24"/>
          <w:szCs w:val="24"/>
        </w:rPr>
        <w:lastRenderedPageBreak/>
        <w:t xml:space="preserve">Expresa </w:t>
      </w:r>
      <w:r w:rsidR="006E0D6E">
        <w:rPr>
          <w:rFonts w:ascii="Arial" w:hAnsi="Arial" w:cs="Arial"/>
          <w:sz w:val="24"/>
          <w:szCs w:val="24"/>
        </w:rPr>
        <w:t>además</w:t>
      </w:r>
      <w:r>
        <w:rPr>
          <w:rFonts w:ascii="Arial" w:hAnsi="Arial" w:cs="Arial"/>
          <w:sz w:val="24"/>
          <w:szCs w:val="24"/>
        </w:rPr>
        <w:t xml:space="preserve"> que la Ley del Sistema Estatal de Seguridad </w:t>
      </w:r>
      <w:r w:rsidR="006E0D6E">
        <w:rPr>
          <w:rFonts w:ascii="Arial" w:hAnsi="Arial" w:cs="Arial"/>
          <w:sz w:val="24"/>
          <w:szCs w:val="24"/>
        </w:rPr>
        <w:t>Pública</w:t>
      </w:r>
      <w:r>
        <w:rPr>
          <w:rFonts w:ascii="Arial" w:hAnsi="Arial" w:cs="Arial"/>
          <w:sz w:val="24"/>
          <w:szCs w:val="24"/>
        </w:rPr>
        <w:t xml:space="preserve"> del Estado de Oaxaca, es la encargada de llevar el procedimiento en los casos en donde interviene la </w:t>
      </w:r>
      <w:r w:rsidR="006E0D6E">
        <w:rPr>
          <w:rFonts w:ascii="Arial" w:hAnsi="Arial" w:cs="Arial"/>
          <w:sz w:val="24"/>
          <w:szCs w:val="24"/>
        </w:rPr>
        <w:t>Comisión</w:t>
      </w:r>
      <w:r>
        <w:rPr>
          <w:rFonts w:ascii="Arial" w:hAnsi="Arial" w:cs="Arial"/>
          <w:sz w:val="24"/>
          <w:szCs w:val="24"/>
        </w:rPr>
        <w:t xml:space="preserve"> de honor y Justicia estipulados del </w:t>
      </w:r>
      <w:r w:rsidR="003A4776">
        <w:rPr>
          <w:rFonts w:ascii="Arial" w:hAnsi="Arial" w:cs="Arial"/>
          <w:sz w:val="24"/>
          <w:szCs w:val="24"/>
        </w:rPr>
        <w:t>artículo</w:t>
      </w:r>
      <w:r w:rsidR="006E0D6E">
        <w:rPr>
          <w:rFonts w:ascii="Arial" w:hAnsi="Arial" w:cs="Arial"/>
          <w:sz w:val="24"/>
          <w:szCs w:val="24"/>
        </w:rPr>
        <w:t xml:space="preserve"> 126 al 137</w:t>
      </w:r>
      <w:r>
        <w:rPr>
          <w:rFonts w:ascii="Arial" w:hAnsi="Arial" w:cs="Arial"/>
          <w:sz w:val="24"/>
          <w:szCs w:val="24"/>
        </w:rPr>
        <w:t>.</w:t>
      </w:r>
    </w:p>
    <w:p w14:paraId="13946938" w14:textId="590259F5" w:rsidR="000511E3" w:rsidRPr="00414336" w:rsidRDefault="00762263" w:rsidP="0019586A">
      <w:pPr>
        <w:spacing w:line="360" w:lineRule="auto"/>
        <w:ind w:firstLine="567"/>
        <w:jc w:val="both"/>
        <w:rPr>
          <w:rFonts w:ascii="Arial" w:hAnsi="Arial" w:cs="Arial"/>
          <w:sz w:val="24"/>
          <w:szCs w:val="24"/>
        </w:rPr>
      </w:pPr>
      <w:r w:rsidRPr="005953C5">
        <w:rPr>
          <w:rFonts w:ascii="Arial" w:hAnsi="Arial" w:cs="Arial"/>
          <w:sz w:val="24"/>
          <w:szCs w:val="24"/>
        </w:rPr>
        <w:t xml:space="preserve">Por su parte </w:t>
      </w:r>
      <w:r w:rsidR="006E0D6E">
        <w:rPr>
          <w:rFonts w:ascii="Arial" w:hAnsi="Arial" w:cs="Arial"/>
          <w:sz w:val="24"/>
          <w:szCs w:val="24"/>
        </w:rPr>
        <w:t>la autoridad demandada niega rotundamente los argumentos expuestos por la parte actora ya que se basan en la improcedencia y sobreseimiento de la demanda, basado en lo establecido en el artículo 131 fracción X y 132 fracción II de la Ley de Justicia Administrativa para el Estado de Oaxaca</w:t>
      </w:r>
      <w:r w:rsidR="003A4776">
        <w:rPr>
          <w:rFonts w:ascii="Arial" w:hAnsi="Arial" w:cs="Arial"/>
          <w:sz w:val="24"/>
          <w:szCs w:val="24"/>
        </w:rPr>
        <w:t>,</w:t>
      </w:r>
      <w:r w:rsidR="006E0D6E">
        <w:rPr>
          <w:rFonts w:ascii="Arial" w:hAnsi="Arial" w:cs="Arial"/>
          <w:sz w:val="24"/>
          <w:szCs w:val="24"/>
        </w:rPr>
        <w:t xml:space="preserve"> en virtud de que lo que reclama la parte actora se constriñe en prácticamente  a un asunto de carácter laboral y es por ello que no debe aplicarse la Ley de justicia Administrativa del Estado de Oaxaca y de hacerlo así se estarían violando las normas del procedimiento. </w:t>
      </w:r>
    </w:p>
    <w:p w14:paraId="799C8421" w14:textId="77777777" w:rsidR="008B2817" w:rsidRDefault="00B773A9" w:rsidP="00723D7F">
      <w:pPr>
        <w:spacing w:line="360" w:lineRule="auto"/>
        <w:ind w:firstLine="567"/>
        <w:jc w:val="both"/>
        <w:rPr>
          <w:rFonts w:ascii="Arial" w:hAnsi="Arial" w:cs="Arial"/>
          <w:b/>
          <w:bCs/>
          <w:sz w:val="24"/>
          <w:szCs w:val="24"/>
        </w:rPr>
      </w:pPr>
      <w:r w:rsidRPr="00BE3175">
        <w:rPr>
          <w:rFonts w:ascii="Arial" w:hAnsi="Arial" w:cs="Arial"/>
          <w:b/>
          <w:bCs/>
          <w:sz w:val="24"/>
          <w:szCs w:val="24"/>
        </w:rPr>
        <w:t>OCTAVO</w:t>
      </w:r>
      <w:r w:rsidR="00B35579" w:rsidRPr="00BE3175">
        <w:rPr>
          <w:rFonts w:ascii="Arial" w:hAnsi="Arial" w:cs="Arial"/>
          <w:b/>
          <w:bCs/>
          <w:sz w:val="24"/>
          <w:szCs w:val="24"/>
        </w:rPr>
        <w:t>. Estudio</w:t>
      </w:r>
      <w:r w:rsidR="00B35579" w:rsidRPr="00723D7F">
        <w:rPr>
          <w:rFonts w:ascii="Arial" w:hAnsi="Arial" w:cs="Arial"/>
          <w:b/>
          <w:bCs/>
          <w:sz w:val="24"/>
          <w:szCs w:val="24"/>
        </w:rPr>
        <w:t xml:space="preserve"> del Fondo del Asunto.</w:t>
      </w:r>
      <w:bookmarkStart w:id="0" w:name="_Hlk103762571"/>
      <w:r w:rsidR="001069D8" w:rsidRPr="00723D7F">
        <w:rPr>
          <w:rFonts w:ascii="Arial" w:hAnsi="Arial" w:cs="Arial"/>
          <w:b/>
          <w:bCs/>
          <w:sz w:val="24"/>
          <w:szCs w:val="24"/>
        </w:rPr>
        <w:t xml:space="preserve"> </w:t>
      </w:r>
    </w:p>
    <w:p w14:paraId="13F36D14" w14:textId="4BA44FF7" w:rsidR="001069D8" w:rsidRDefault="001069D8" w:rsidP="00723D7F">
      <w:pPr>
        <w:spacing w:line="360" w:lineRule="auto"/>
        <w:ind w:firstLine="567"/>
        <w:jc w:val="both"/>
        <w:rPr>
          <w:rFonts w:ascii="Arial" w:hAnsi="Arial" w:cs="Arial"/>
          <w:b/>
          <w:bCs/>
          <w:sz w:val="24"/>
          <w:szCs w:val="24"/>
        </w:rPr>
      </w:pPr>
      <w:r w:rsidRPr="00723D7F">
        <w:rPr>
          <w:rFonts w:ascii="Arial" w:hAnsi="Arial" w:cs="Arial"/>
          <w:b/>
          <w:bCs/>
          <w:sz w:val="24"/>
          <w:szCs w:val="24"/>
        </w:rPr>
        <w:t xml:space="preserve">De lo anteriormente expuesto, </w:t>
      </w:r>
      <w:r w:rsidRPr="00723D7F">
        <w:rPr>
          <w:rFonts w:ascii="Arial" w:hAnsi="Arial" w:cs="Arial"/>
          <w:b/>
          <w:sz w:val="24"/>
          <w:szCs w:val="24"/>
        </w:rPr>
        <w:t>resulta</w:t>
      </w:r>
      <w:r w:rsidR="00723D7F" w:rsidRPr="00723D7F">
        <w:rPr>
          <w:rFonts w:ascii="Arial" w:hAnsi="Arial" w:cs="Arial"/>
          <w:b/>
          <w:sz w:val="24"/>
          <w:szCs w:val="24"/>
        </w:rPr>
        <w:t>n</w:t>
      </w:r>
      <w:r w:rsidRPr="00723D7F">
        <w:rPr>
          <w:rFonts w:ascii="Arial" w:hAnsi="Arial" w:cs="Arial"/>
          <w:b/>
          <w:sz w:val="24"/>
          <w:szCs w:val="24"/>
        </w:rPr>
        <w:t xml:space="preserve"> fundado</w:t>
      </w:r>
      <w:r w:rsidR="00723D7F" w:rsidRPr="00723D7F">
        <w:rPr>
          <w:rFonts w:ascii="Arial" w:hAnsi="Arial" w:cs="Arial"/>
          <w:b/>
          <w:sz w:val="24"/>
          <w:szCs w:val="24"/>
        </w:rPr>
        <w:t>s los</w:t>
      </w:r>
      <w:r w:rsidRPr="00723D7F">
        <w:rPr>
          <w:rFonts w:ascii="Arial" w:hAnsi="Arial" w:cs="Arial"/>
          <w:b/>
          <w:sz w:val="24"/>
          <w:szCs w:val="24"/>
        </w:rPr>
        <w:t xml:space="preserve"> concepto</w:t>
      </w:r>
      <w:r w:rsidR="00723D7F" w:rsidRPr="00723D7F">
        <w:rPr>
          <w:rFonts w:ascii="Arial" w:hAnsi="Arial" w:cs="Arial"/>
          <w:b/>
          <w:sz w:val="24"/>
          <w:szCs w:val="24"/>
        </w:rPr>
        <w:t>s</w:t>
      </w:r>
      <w:r w:rsidRPr="00723D7F">
        <w:rPr>
          <w:rFonts w:ascii="Arial" w:hAnsi="Arial" w:cs="Arial"/>
          <w:b/>
          <w:sz w:val="24"/>
          <w:szCs w:val="24"/>
        </w:rPr>
        <w:t xml:space="preserve"> de impugnación </w:t>
      </w:r>
      <w:r w:rsidRPr="00723D7F">
        <w:rPr>
          <w:rFonts w:ascii="Arial" w:hAnsi="Arial" w:cs="Arial"/>
          <w:b/>
          <w:bCs/>
          <w:sz w:val="24"/>
          <w:szCs w:val="24"/>
        </w:rPr>
        <w:t>hecho valer por la parte actora.</w:t>
      </w:r>
    </w:p>
    <w:p w14:paraId="7D9FFC6F" w14:textId="632D99D9" w:rsidR="00BE3175" w:rsidRPr="006722B7" w:rsidRDefault="006722B7" w:rsidP="006722B7">
      <w:pPr>
        <w:spacing w:line="360" w:lineRule="auto"/>
        <w:ind w:right="-93"/>
        <w:jc w:val="both"/>
        <w:rPr>
          <w:rFonts w:ascii="Arial" w:hAnsi="Arial" w:cs="Arial"/>
          <w:bCs/>
          <w:sz w:val="24"/>
          <w:szCs w:val="24"/>
        </w:rPr>
      </w:pPr>
      <w:r>
        <w:rPr>
          <w:rFonts w:ascii="Arial" w:hAnsi="Arial" w:cs="Arial"/>
          <w:b/>
          <w:bCs/>
          <w:sz w:val="24"/>
          <w:szCs w:val="24"/>
        </w:rPr>
        <w:t xml:space="preserve">      </w:t>
      </w:r>
      <w:r w:rsidR="00BE3175" w:rsidRPr="006722B7">
        <w:rPr>
          <w:rFonts w:ascii="Arial" w:hAnsi="Arial" w:cs="Arial"/>
          <w:b/>
          <w:bCs/>
          <w:sz w:val="24"/>
          <w:szCs w:val="24"/>
        </w:rPr>
        <w:t xml:space="preserve">En primer lugar, </w:t>
      </w:r>
      <w:r w:rsidR="00BE3175" w:rsidRPr="006722B7">
        <w:rPr>
          <w:rFonts w:ascii="Arial" w:hAnsi="Arial" w:cs="Arial"/>
          <w:bCs/>
          <w:sz w:val="24"/>
          <w:szCs w:val="24"/>
        </w:rPr>
        <w:t xml:space="preserve">conforme a lo establecido en el último </w:t>
      </w:r>
      <w:r w:rsidR="00F26ABC" w:rsidRPr="006722B7">
        <w:rPr>
          <w:rFonts w:ascii="Arial" w:hAnsi="Arial" w:cs="Arial"/>
          <w:bCs/>
          <w:sz w:val="24"/>
          <w:szCs w:val="24"/>
        </w:rPr>
        <w:t>párrafo</w:t>
      </w:r>
      <w:r>
        <w:rPr>
          <w:rStyle w:val="Refdenotaalpie"/>
          <w:rFonts w:ascii="Arial" w:hAnsi="Arial" w:cs="Arial"/>
          <w:bCs/>
          <w:sz w:val="24"/>
          <w:szCs w:val="24"/>
        </w:rPr>
        <w:footnoteReference w:id="6"/>
      </w:r>
      <w:r>
        <w:rPr>
          <w:rFonts w:ascii="Arial" w:hAnsi="Arial" w:cs="Arial"/>
          <w:bCs/>
          <w:sz w:val="24"/>
          <w:szCs w:val="24"/>
        </w:rPr>
        <w:t>, del artículo</w:t>
      </w:r>
      <w:r w:rsidR="00F26ABC" w:rsidRPr="006722B7">
        <w:rPr>
          <w:rFonts w:ascii="Arial" w:hAnsi="Arial" w:cs="Arial"/>
          <w:bCs/>
          <w:sz w:val="24"/>
          <w:szCs w:val="24"/>
        </w:rPr>
        <w:t xml:space="preserve"> 208, de la Ley de Procedimiento y Justicia Administrativa para el Estado de Oaxaca,</w:t>
      </w:r>
      <w:r w:rsidR="00BE3175" w:rsidRPr="006722B7">
        <w:rPr>
          <w:rFonts w:ascii="Arial" w:hAnsi="Arial" w:cs="Arial"/>
          <w:bCs/>
          <w:sz w:val="24"/>
          <w:szCs w:val="24"/>
        </w:rPr>
        <w:t xml:space="preserve"> se analiza </w:t>
      </w:r>
      <w:r w:rsidR="00F26ABC" w:rsidRPr="006722B7">
        <w:rPr>
          <w:rFonts w:ascii="Arial" w:hAnsi="Arial" w:cs="Arial"/>
          <w:bCs/>
          <w:sz w:val="24"/>
          <w:szCs w:val="24"/>
        </w:rPr>
        <w:t xml:space="preserve">la legalidad de la </w:t>
      </w:r>
      <w:r w:rsidR="00BA6D16" w:rsidRPr="006722B7">
        <w:rPr>
          <w:rFonts w:ascii="Arial" w:hAnsi="Arial" w:cs="Arial"/>
          <w:bCs/>
          <w:sz w:val="24"/>
          <w:szCs w:val="24"/>
        </w:rPr>
        <w:t>resolución de despido justificado</w:t>
      </w:r>
      <w:r w:rsidR="00F26ABC" w:rsidRPr="006722B7">
        <w:rPr>
          <w:rFonts w:ascii="Arial" w:hAnsi="Arial" w:cs="Arial"/>
          <w:bCs/>
          <w:sz w:val="24"/>
          <w:szCs w:val="24"/>
        </w:rPr>
        <w:t xml:space="preserve"> </w:t>
      </w:r>
      <w:r w:rsidR="00BF63E7" w:rsidRPr="006722B7">
        <w:rPr>
          <w:rFonts w:ascii="Arial" w:hAnsi="Arial" w:cs="Arial"/>
          <w:bCs/>
          <w:sz w:val="24"/>
          <w:szCs w:val="24"/>
        </w:rPr>
        <w:t xml:space="preserve">de fecha veinte de julio de dos mil veinte </w:t>
      </w:r>
      <w:r w:rsidR="00F26ABC" w:rsidRPr="006722B7">
        <w:rPr>
          <w:rFonts w:ascii="Arial" w:hAnsi="Arial" w:cs="Arial"/>
          <w:bCs/>
          <w:sz w:val="24"/>
          <w:szCs w:val="24"/>
        </w:rPr>
        <w:t xml:space="preserve">emitida por </w:t>
      </w:r>
      <w:r w:rsidR="00BA6D16" w:rsidRPr="006722B7">
        <w:rPr>
          <w:rFonts w:ascii="Arial" w:hAnsi="Arial" w:cs="Arial"/>
          <w:bCs/>
          <w:sz w:val="24"/>
          <w:szCs w:val="24"/>
        </w:rPr>
        <w:t>el Síndico Municipal del Municipio de La Reforma, Distrito de Putla de Guerrero, Oaxaca,</w:t>
      </w:r>
      <w:r w:rsidR="000B745A" w:rsidRPr="006722B7">
        <w:rPr>
          <w:rFonts w:ascii="Arial" w:hAnsi="Arial" w:cs="Arial"/>
          <w:bCs/>
          <w:sz w:val="24"/>
          <w:szCs w:val="24"/>
        </w:rPr>
        <w:t xml:space="preserve"> que textualmente dice:</w:t>
      </w:r>
    </w:p>
    <w:p w14:paraId="1F12BBD9" w14:textId="3A379BDB" w:rsidR="000B745A" w:rsidRPr="009C6A06" w:rsidRDefault="000B745A" w:rsidP="009C6A06">
      <w:pPr>
        <w:ind w:left="284" w:right="333"/>
        <w:jc w:val="both"/>
        <w:rPr>
          <w:rFonts w:ascii="Calibri Light" w:hAnsi="Calibri Light" w:cs="Calibri Light"/>
          <w:bCs/>
          <w:sz w:val="23"/>
          <w:szCs w:val="23"/>
        </w:rPr>
      </w:pPr>
      <w:r w:rsidRPr="009C6A06">
        <w:rPr>
          <w:rFonts w:ascii="Calibri Light" w:hAnsi="Calibri Light" w:cs="Calibri Light"/>
          <w:bCs/>
          <w:sz w:val="23"/>
          <w:szCs w:val="23"/>
        </w:rPr>
        <w:t xml:space="preserve">“…Por medio de este </w:t>
      </w:r>
      <w:r w:rsidR="00F43BEA" w:rsidRPr="009C6A06">
        <w:rPr>
          <w:rFonts w:ascii="Calibri Light" w:hAnsi="Calibri Light" w:cs="Calibri Light"/>
          <w:bCs/>
          <w:sz w:val="23"/>
          <w:szCs w:val="23"/>
        </w:rPr>
        <w:t>documento</w:t>
      </w:r>
      <w:r w:rsidRPr="009C6A06">
        <w:rPr>
          <w:rFonts w:ascii="Calibri Light" w:hAnsi="Calibri Light" w:cs="Calibri Light"/>
          <w:bCs/>
          <w:sz w:val="23"/>
          <w:szCs w:val="23"/>
        </w:rPr>
        <w:t xml:space="preserve"> quiero expresarle que desde el </w:t>
      </w:r>
      <w:r w:rsidR="00F43BEA" w:rsidRPr="009C6A06">
        <w:rPr>
          <w:rFonts w:ascii="Calibri Light" w:hAnsi="Calibri Light" w:cs="Calibri Light"/>
          <w:bCs/>
          <w:sz w:val="23"/>
          <w:szCs w:val="23"/>
        </w:rPr>
        <w:t>día</w:t>
      </w:r>
      <w:r w:rsidRPr="009C6A06">
        <w:rPr>
          <w:rFonts w:ascii="Calibri Light" w:hAnsi="Calibri Light" w:cs="Calibri Light"/>
          <w:bCs/>
          <w:sz w:val="23"/>
          <w:szCs w:val="23"/>
        </w:rPr>
        <w:t xml:space="preserve"> sábado 18 del presente mes y a</w:t>
      </w:r>
      <w:r w:rsidR="006722B7">
        <w:rPr>
          <w:rFonts w:ascii="Calibri Light" w:hAnsi="Calibri Light" w:cs="Calibri Light"/>
          <w:bCs/>
          <w:sz w:val="23"/>
          <w:szCs w:val="23"/>
        </w:rPr>
        <w:t>ñ</w:t>
      </w:r>
      <w:r w:rsidRPr="009C6A06">
        <w:rPr>
          <w:rFonts w:ascii="Calibri Light" w:hAnsi="Calibri Light" w:cs="Calibri Light"/>
          <w:bCs/>
          <w:sz w:val="23"/>
          <w:szCs w:val="23"/>
        </w:rPr>
        <w:t xml:space="preserve">o se ha tomado la decisión de dar por terminado su </w:t>
      </w:r>
      <w:r w:rsidR="008F56DB" w:rsidRPr="009C6A06">
        <w:rPr>
          <w:rFonts w:ascii="Calibri Light" w:hAnsi="Calibri Light" w:cs="Calibri Light"/>
          <w:bCs/>
          <w:sz w:val="23"/>
          <w:szCs w:val="23"/>
        </w:rPr>
        <w:t>vínculo</w:t>
      </w:r>
      <w:r w:rsidRPr="009C6A06">
        <w:rPr>
          <w:rFonts w:ascii="Calibri Light" w:hAnsi="Calibri Light" w:cs="Calibri Light"/>
          <w:bCs/>
          <w:sz w:val="23"/>
          <w:szCs w:val="23"/>
        </w:rPr>
        <w:t xml:space="preserve"> laboral con este H. Ayuntamiento de la Reforma, Putla, Oaxaca, relacionado con el artículo 46 y 47 de la Ley Federal del </w:t>
      </w:r>
      <w:r w:rsidR="00F43BEA" w:rsidRPr="009C6A06">
        <w:rPr>
          <w:rFonts w:ascii="Calibri Light" w:hAnsi="Calibri Light" w:cs="Calibri Light"/>
          <w:bCs/>
          <w:sz w:val="23"/>
          <w:szCs w:val="23"/>
        </w:rPr>
        <w:t>Trabajo</w:t>
      </w:r>
      <w:r w:rsidRPr="009C6A06">
        <w:rPr>
          <w:rFonts w:ascii="Calibri Light" w:hAnsi="Calibri Light" w:cs="Calibri Light"/>
          <w:bCs/>
          <w:sz w:val="23"/>
          <w:szCs w:val="23"/>
        </w:rPr>
        <w:t xml:space="preserve"> te</w:t>
      </w:r>
      <w:r w:rsidR="00F43BEA" w:rsidRPr="009C6A06">
        <w:rPr>
          <w:rFonts w:ascii="Calibri Light" w:hAnsi="Calibri Light" w:cs="Calibri Light"/>
          <w:bCs/>
          <w:sz w:val="23"/>
          <w:szCs w:val="23"/>
        </w:rPr>
        <w:t>niendo</w:t>
      </w:r>
      <w:r w:rsidRPr="009C6A06">
        <w:rPr>
          <w:rFonts w:ascii="Calibri Light" w:hAnsi="Calibri Light" w:cs="Calibri Light"/>
          <w:bCs/>
          <w:sz w:val="23"/>
          <w:szCs w:val="23"/>
        </w:rPr>
        <w:t xml:space="preserve"> en cuenta los hechos que han </w:t>
      </w:r>
      <w:r w:rsidR="00F43BEA" w:rsidRPr="009C6A06">
        <w:rPr>
          <w:rFonts w:ascii="Calibri Light" w:hAnsi="Calibri Light" w:cs="Calibri Light"/>
          <w:bCs/>
          <w:sz w:val="23"/>
          <w:szCs w:val="23"/>
        </w:rPr>
        <w:t>venido</w:t>
      </w:r>
      <w:r w:rsidRPr="009C6A06">
        <w:rPr>
          <w:rFonts w:ascii="Calibri Light" w:hAnsi="Calibri Light" w:cs="Calibri Light"/>
          <w:bCs/>
          <w:sz w:val="23"/>
          <w:szCs w:val="23"/>
        </w:rPr>
        <w:t xml:space="preserve"> ocurriendo desde mucho tiempo </w:t>
      </w:r>
      <w:r w:rsidR="00BC4D8F" w:rsidRPr="009C6A06">
        <w:rPr>
          <w:rFonts w:ascii="Calibri Light" w:hAnsi="Calibri Light" w:cs="Calibri Light"/>
          <w:bCs/>
          <w:sz w:val="23"/>
          <w:szCs w:val="23"/>
        </w:rPr>
        <w:t xml:space="preserve">atrás, así mismo por </w:t>
      </w:r>
      <w:r w:rsidR="00F43BEA" w:rsidRPr="009C6A06">
        <w:rPr>
          <w:rFonts w:ascii="Calibri Light" w:hAnsi="Calibri Light" w:cs="Calibri Light"/>
          <w:bCs/>
          <w:sz w:val="23"/>
          <w:szCs w:val="23"/>
        </w:rPr>
        <w:t>faltas</w:t>
      </w:r>
      <w:r w:rsidR="00BC4D8F" w:rsidRPr="009C6A06">
        <w:rPr>
          <w:rFonts w:ascii="Calibri Light" w:hAnsi="Calibri Light" w:cs="Calibri Light"/>
          <w:bCs/>
          <w:sz w:val="23"/>
          <w:szCs w:val="23"/>
        </w:rPr>
        <w:t xml:space="preserve"> de desobediencia al </w:t>
      </w:r>
      <w:r w:rsidR="00F43BEA" w:rsidRPr="009C6A06">
        <w:rPr>
          <w:rFonts w:ascii="Calibri Light" w:hAnsi="Calibri Light" w:cs="Calibri Light"/>
          <w:bCs/>
          <w:sz w:val="23"/>
          <w:szCs w:val="23"/>
        </w:rPr>
        <w:t>personal</w:t>
      </w:r>
      <w:r w:rsidR="00BC4D8F" w:rsidRPr="009C6A06">
        <w:rPr>
          <w:rFonts w:ascii="Calibri Light" w:hAnsi="Calibri Light" w:cs="Calibri Light"/>
          <w:bCs/>
          <w:sz w:val="23"/>
          <w:szCs w:val="23"/>
        </w:rPr>
        <w:t xml:space="preserve"> del H. Ayuntamiento y no por cumplir cabalmente con el reg</w:t>
      </w:r>
      <w:r w:rsidR="00F43BEA" w:rsidRPr="009C6A06">
        <w:rPr>
          <w:rFonts w:ascii="Calibri Light" w:hAnsi="Calibri Light" w:cs="Calibri Light"/>
          <w:bCs/>
          <w:sz w:val="23"/>
          <w:szCs w:val="23"/>
        </w:rPr>
        <w:t>lamento</w:t>
      </w:r>
      <w:r w:rsidR="00BC4D8F" w:rsidRPr="009C6A06">
        <w:rPr>
          <w:rFonts w:ascii="Calibri Light" w:hAnsi="Calibri Light" w:cs="Calibri Light"/>
          <w:bCs/>
          <w:sz w:val="23"/>
          <w:szCs w:val="23"/>
        </w:rPr>
        <w:t xml:space="preserve"> interno de la policía municipal, lo cual fue evidenciado </w:t>
      </w:r>
      <w:r w:rsidR="00030DED" w:rsidRPr="009C6A06">
        <w:rPr>
          <w:rFonts w:ascii="Calibri Light" w:hAnsi="Calibri Light" w:cs="Calibri Light"/>
          <w:bCs/>
          <w:sz w:val="23"/>
          <w:szCs w:val="23"/>
        </w:rPr>
        <w:t xml:space="preserve">por el C. </w:t>
      </w:r>
      <w:r w:rsidR="00F43BEA" w:rsidRPr="009C6A06">
        <w:rPr>
          <w:rFonts w:ascii="Calibri Light" w:hAnsi="Calibri Light" w:cs="Calibri Light"/>
          <w:bCs/>
          <w:sz w:val="23"/>
          <w:szCs w:val="23"/>
        </w:rPr>
        <w:t>Síndico</w:t>
      </w:r>
      <w:r w:rsidR="00030DED" w:rsidRPr="009C6A06">
        <w:rPr>
          <w:rFonts w:ascii="Calibri Light" w:hAnsi="Calibri Light" w:cs="Calibri Light"/>
          <w:bCs/>
          <w:sz w:val="23"/>
          <w:szCs w:val="23"/>
        </w:rPr>
        <w:t xml:space="preserve"> </w:t>
      </w:r>
      <w:r w:rsidR="00F43BEA" w:rsidRPr="009C6A06">
        <w:rPr>
          <w:rFonts w:ascii="Calibri Light" w:hAnsi="Calibri Light" w:cs="Calibri Light"/>
          <w:bCs/>
          <w:sz w:val="23"/>
          <w:szCs w:val="23"/>
        </w:rPr>
        <w:t>Municipal</w:t>
      </w:r>
      <w:r w:rsidR="00030DED" w:rsidRPr="009C6A06">
        <w:rPr>
          <w:rFonts w:ascii="Calibri Light" w:hAnsi="Calibri Light" w:cs="Calibri Light"/>
          <w:bCs/>
          <w:sz w:val="23"/>
          <w:szCs w:val="23"/>
        </w:rPr>
        <w:t xml:space="preserve"> y el C. </w:t>
      </w:r>
      <w:r w:rsidR="00F43BEA" w:rsidRPr="009C6A06">
        <w:rPr>
          <w:rFonts w:ascii="Calibri Light" w:hAnsi="Calibri Light" w:cs="Calibri Light"/>
          <w:bCs/>
          <w:sz w:val="23"/>
          <w:szCs w:val="23"/>
        </w:rPr>
        <w:t>Director</w:t>
      </w:r>
      <w:r w:rsidR="00030DED" w:rsidRPr="009C6A06">
        <w:rPr>
          <w:rFonts w:ascii="Calibri Light" w:hAnsi="Calibri Light" w:cs="Calibri Light"/>
          <w:bCs/>
          <w:sz w:val="23"/>
          <w:szCs w:val="23"/>
        </w:rPr>
        <w:t xml:space="preserve"> de Seguridad, así </w:t>
      </w:r>
      <w:r w:rsidR="00F43BEA" w:rsidRPr="009C6A06">
        <w:rPr>
          <w:rFonts w:ascii="Calibri Light" w:hAnsi="Calibri Light" w:cs="Calibri Light"/>
          <w:bCs/>
          <w:sz w:val="23"/>
          <w:szCs w:val="23"/>
        </w:rPr>
        <w:t>mismo</w:t>
      </w:r>
      <w:r w:rsidR="00030DED" w:rsidRPr="009C6A06">
        <w:rPr>
          <w:rFonts w:ascii="Calibri Light" w:hAnsi="Calibri Light" w:cs="Calibri Light"/>
          <w:bCs/>
          <w:sz w:val="23"/>
          <w:szCs w:val="23"/>
        </w:rPr>
        <w:t xml:space="preserve"> por que anteriormente ya había tenido un sinfín de </w:t>
      </w:r>
      <w:r w:rsidR="00F43BEA" w:rsidRPr="009C6A06">
        <w:rPr>
          <w:rFonts w:ascii="Calibri Light" w:hAnsi="Calibri Light" w:cs="Calibri Light"/>
          <w:bCs/>
          <w:sz w:val="23"/>
          <w:szCs w:val="23"/>
        </w:rPr>
        <w:t>reportes</w:t>
      </w:r>
      <w:r w:rsidR="00030DED" w:rsidRPr="009C6A06">
        <w:rPr>
          <w:rFonts w:ascii="Calibri Light" w:hAnsi="Calibri Light" w:cs="Calibri Light"/>
          <w:bCs/>
          <w:sz w:val="23"/>
          <w:szCs w:val="23"/>
        </w:rPr>
        <w:t xml:space="preserve"> y guiándonos en por lo </w:t>
      </w:r>
      <w:r w:rsidR="00F43BEA" w:rsidRPr="009C6A06">
        <w:rPr>
          <w:rFonts w:ascii="Calibri Light" w:hAnsi="Calibri Light" w:cs="Calibri Light"/>
          <w:bCs/>
          <w:sz w:val="23"/>
          <w:szCs w:val="23"/>
        </w:rPr>
        <w:t>establecido</w:t>
      </w:r>
      <w:r w:rsidR="00030DED" w:rsidRPr="009C6A06">
        <w:rPr>
          <w:rFonts w:ascii="Calibri Light" w:hAnsi="Calibri Light" w:cs="Calibri Light"/>
          <w:bCs/>
          <w:sz w:val="23"/>
          <w:szCs w:val="23"/>
        </w:rPr>
        <w:t xml:space="preserve"> por </w:t>
      </w:r>
      <w:r w:rsidR="00F43BEA" w:rsidRPr="009C6A06">
        <w:rPr>
          <w:rFonts w:ascii="Calibri Light" w:hAnsi="Calibri Light" w:cs="Calibri Light"/>
          <w:bCs/>
          <w:sz w:val="23"/>
          <w:szCs w:val="23"/>
        </w:rPr>
        <w:t>nuestra</w:t>
      </w:r>
      <w:r w:rsidR="00030DED" w:rsidRPr="009C6A06">
        <w:rPr>
          <w:rFonts w:ascii="Calibri Light" w:hAnsi="Calibri Light" w:cs="Calibri Light"/>
          <w:bCs/>
          <w:sz w:val="23"/>
          <w:szCs w:val="23"/>
        </w:rPr>
        <w:t xml:space="preserve"> normatividad laboral </w:t>
      </w:r>
      <w:r w:rsidR="00CC2452" w:rsidRPr="009C6A06">
        <w:rPr>
          <w:rFonts w:ascii="Calibri Light" w:hAnsi="Calibri Light" w:cs="Calibri Light"/>
          <w:bCs/>
          <w:sz w:val="23"/>
          <w:szCs w:val="23"/>
        </w:rPr>
        <w:t xml:space="preserve">donde </w:t>
      </w:r>
      <w:r w:rsidR="00F43BEA" w:rsidRPr="009C6A06">
        <w:rPr>
          <w:rFonts w:ascii="Calibri Light" w:hAnsi="Calibri Light" w:cs="Calibri Light"/>
          <w:bCs/>
          <w:sz w:val="23"/>
          <w:szCs w:val="23"/>
        </w:rPr>
        <w:t>falta</w:t>
      </w:r>
      <w:r w:rsidR="00CC2452" w:rsidRPr="009C6A06">
        <w:rPr>
          <w:rFonts w:ascii="Calibri Light" w:hAnsi="Calibri Light" w:cs="Calibri Light"/>
          <w:bCs/>
          <w:sz w:val="23"/>
          <w:szCs w:val="23"/>
        </w:rPr>
        <w:t xml:space="preserve"> al artículo 6 y 28 del </w:t>
      </w:r>
      <w:r w:rsidR="00F43BEA" w:rsidRPr="009C6A06">
        <w:rPr>
          <w:rFonts w:ascii="Calibri Light" w:hAnsi="Calibri Light" w:cs="Calibri Light"/>
          <w:bCs/>
          <w:sz w:val="23"/>
          <w:szCs w:val="23"/>
        </w:rPr>
        <w:t>Reglamento</w:t>
      </w:r>
      <w:r w:rsidR="00CC2452" w:rsidRPr="009C6A06">
        <w:rPr>
          <w:rFonts w:ascii="Calibri Light" w:hAnsi="Calibri Light" w:cs="Calibri Light"/>
          <w:bCs/>
          <w:sz w:val="23"/>
          <w:szCs w:val="23"/>
        </w:rPr>
        <w:t xml:space="preserve"> Interno </w:t>
      </w:r>
      <w:r w:rsidR="00F43BEA" w:rsidRPr="009C6A06">
        <w:rPr>
          <w:rFonts w:ascii="Calibri Light" w:hAnsi="Calibri Light" w:cs="Calibri Light"/>
          <w:bCs/>
          <w:sz w:val="23"/>
          <w:szCs w:val="23"/>
        </w:rPr>
        <w:t>Municipal</w:t>
      </w:r>
      <w:r w:rsidR="00CC2452" w:rsidRPr="009C6A06">
        <w:rPr>
          <w:rFonts w:ascii="Calibri Light" w:hAnsi="Calibri Light" w:cs="Calibri Light"/>
          <w:bCs/>
          <w:sz w:val="23"/>
          <w:szCs w:val="23"/>
        </w:rPr>
        <w:t xml:space="preserve"> del Mun</w:t>
      </w:r>
      <w:r w:rsidR="00F43BEA" w:rsidRPr="009C6A06">
        <w:rPr>
          <w:rFonts w:ascii="Calibri Light" w:hAnsi="Calibri Light" w:cs="Calibri Light"/>
          <w:bCs/>
          <w:sz w:val="23"/>
          <w:szCs w:val="23"/>
        </w:rPr>
        <w:t>icipio</w:t>
      </w:r>
      <w:r w:rsidR="00CC2452" w:rsidRPr="009C6A06">
        <w:rPr>
          <w:rFonts w:ascii="Calibri Light" w:hAnsi="Calibri Light" w:cs="Calibri Light"/>
          <w:bCs/>
          <w:sz w:val="23"/>
          <w:szCs w:val="23"/>
        </w:rPr>
        <w:t xml:space="preserve">, le </w:t>
      </w:r>
      <w:r w:rsidR="00F43BEA" w:rsidRPr="009C6A06">
        <w:rPr>
          <w:rFonts w:ascii="Calibri Light" w:hAnsi="Calibri Light" w:cs="Calibri Light"/>
          <w:bCs/>
          <w:sz w:val="23"/>
          <w:szCs w:val="23"/>
        </w:rPr>
        <w:t>solicítanos</w:t>
      </w:r>
      <w:r w:rsidR="00CC2452" w:rsidRPr="009C6A06">
        <w:rPr>
          <w:rFonts w:ascii="Calibri Light" w:hAnsi="Calibri Light" w:cs="Calibri Light"/>
          <w:bCs/>
          <w:sz w:val="23"/>
          <w:szCs w:val="23"/>
        </w:rPr>
        <w:t xml:space="preserve"> de forma res</w:t>
      </w:r>
      <w:r w:rsidR="00F43BEA" w:rsidRPr="009C6A06">
        <w:rPr>
          <w:rFonts w:ascii="Calibri Light" w:hAnsi="Calibri Light" w:cs="Calibri Light"/>
          <w:bCs/>
          <w:sz w:val="23"/>
          <w:szCs w:val="23"/>
        </w:rPr>
        <w:t>petuosa</w:t>
      </w:r>
      <w:r w:rsidR="00CC2452" w:rsidRPr="009C6A06">
        <w:rPr>
          <w:rFonts w:ascii="Calibri Light" w:hAnsi="Calibri Light" w:cs="Calibri Light"/>
          <w:bCs/>
          <w:sz w:val="23"/>
          <w:szCs w:val="23"/>
        </w:rPr>
        <w:t xml:space="preserve"> que desde este momento se haga </w:t>
      </w:r>
      <w:r w:rsidR="00CC2452" w:rsidRPr="009C6A06">
        <w:rPr>
          <w:rFonts w:ascii="Calibri Light" w:hAnsi="Calibri Light" w:cs="Calibri Light"/>
          <w:bCs/>
          <w:sz w:val="23"/>
          <w:szCs w:val="23"/>
        </w:rPr>
        <w:lastRenderedPageBreak/>
        <w:t>entrega de los elementos otorgados al comienzo de sus funciones en este AH. Ayuntamiento, a quien corresponda</w:t>
      </w:r>
      <w:r w:rsidR="00AB221A" w:rsidRPr="009C6A06">
        <w:rPr>
          <w:rFonts w:ascii="Calibri Light" w:hAnsi="Calibri Light" w:cs="Calibri Light"/>
          <w:bCs/>
          <w:sz w:val="23"/>
          <w:szCs w:val="23"/>
        </w:rPr>
        <w:t>, así como de puesto de trabajo.</w:t>
      </w:r>
    </w:p>
    <w:p w14:paraId="7B9BB44D" w14:textId="75E8574A" w:rsidR="00AB221A" w:rsidRPr="00BF63E7" w:rsidRDefault="00AB221A" w:rsidP="009C6A06">
      <w:pPr>
        <w:ind w:left="284" w:right="333"/>
        <w:jc w:val="both"/>
        <w:rPr>
          <w:rFonts w:ascii="Arial" w:hAnsi="Arial" w:cs="Arial"/>
          <w:bCs/>
          <w:sz w:val="24"/>
          <w:szCs w:val="24"/>
        </w:rPr>
      </w:pPr>
      <w:r w:rsidRPr="009C6A06">
        <w:rPr>
          <w:rFonts w:ascii="Calibri Light" w:hAnsi="Calibri Light" w:cs="Calibri Light"/>
          <w:bCs/>
          <w:sz w:val="23"/>
          <w:szCs w:val="23"/>
        </w:rPr>
        <w:t xml:space="preserve">Extendemos un </w:t>
      </w:r>
      <w:r w:rsidR="009C6A06" w:rsidRPr="009C6A06">
        <w:rPr>
          <w:rFonts w:ascii="Calibri Light" w:hAnsi="Calibri Light" w:cs="Calibri Light"/>
          <w:bCs/>
          <w:sz w:val="23"/>
          <w:szCs w:val="23"/>
        </w:rPr>
        <w:t>sincero</w:t>
      </w:r>
      <w:r w:rsidRPr="009C6A06">
        <w:rPr>
          <w:rFonts w:ascii="Calibri Light" w:hAnsi="Calibri Light" w:cs="Calibri Light"/>
          <w:bCs/>
          <w:sz w:val="23"/>
          <w:szCs w:val="23"/>
        </w:rPr>
        <w:t xml:space="preserve"> agrade</w:t>
      </w:r>
      <w:r w:rsidR="009C6A06" w:rsidRPr="009C6A06">
        <w:rPr>
          <w:rFonts w:ascii="Calibri Light" w:hAnsi="Calibri Light" w:cs="Calibri Light"/>
          <w:bCs/>
          <w:sz w:val="23"/>
          <w:szCs w:val="23"/>
        </w:rPr>
        <w:t>cimiento</w:t>
      </w:r>
      <w:r w:rsidRPr="009C6A06">
        <w:rPr>
          <w:rFonts w:ascii="Calibri Light" w:hAnsi="Calibri Light" w:cs="Calibri Light"/>
          <w:bCs/>
          <w:sz w:val="23"/>
          <w:szCs w:val="23"/>
        </w:rPr>
        <w:t xml:space="preserve"> por el tiempo y trabajo realizado en </w:t>
      </w:r>
      <w:r w:rsidR="009C6A06" w:rsidRPr="009C6A06">
        <w:rPr>
          <w:rFonts w:ascii="Calibri Light" w:hAnsi="Calibri Light" w:cs="Calibri Light"/>
          <w:bCs/>
          <w:sz w:val="23"/>
          <w:szCs w:val="23"/>
        </w:rPr>
        <w:t>nuestro</w:t>
      </w:r>
      <w:r w:rsidRPr="009C6A06">
        <w:rPr>
          <w:rFonts w:ascii="Calibri Light" w:hAnsi="Calibri Light" w:cs="Calibri Light"/>
          <w:bCs/>
          <w:sz w:val="23"/>
          <w:szCs w:val="23"/>
        </w:rPr>
        <w:t xml:space="preserve"> equipo de trabajo y</w:t>
      </w:r>
      <w:r w:rsidR="009C6A06" w:rsidRPr="009C6A06">
        <w:rPr>
          <w:rFonts w:ascii="Calibri Light" w:hAnsi="Calibri Light" w:cs="Calibri Light"/>
          <w:bCs/>
          <w:sz w:val="23"/>
          <w:szCs w:val="23"/>
        </w:rPr>
        <w:t xml:space="preserve"> </w:t>
      </w:r>
      <w:r w:rsidRPr="009C6A06">
        <w:rPr>
          <w:rFonts w:ascii="Calibri Light" w:hAnsi="Calibri Light" w:cs="Calibri Light"/>
          <w:bCs/>
          <w:sz w:val="23"/>
          <w:szCs w:val="23"/>
        </w:rPr>
        <w:t xml:space="preserve">concerniente a su </w:t>
      </w:r>
      <w:r w:rsidR="009C6A06" w:rsidRPr="009C6A06">
        <w:rPr>
          <w:rFonts w:ascii="Calibri Light" w:hAnsi="Calibri Light" w:cs="Calibri Light"/>
          <w:bCs/>
          <w:sz w:val="23"/>
          <w:szCs w:val="23"/>
        </w:rPr>
        <w:t>salario</w:t>
      </w:r>
      <w:r w:rsidRPr="009C6A06">
        <w:rPr>
          <w:rFonts w:ascii="Calibri Light" w:hAnsi="Calibri Light" w:cs="Calibri Light"/>
          <w:bCs/>
          <w:sz w:val="23"/>
          <w:szCs w:val="23"/>
        </w:rPr>
        <w:t xml:space="preserve"> serán pagados </w:t>
      </w:r>
      <w:r w:rsidR="009C6A06" w:rsidRPr="009C6A06">
        <w:rPr>
          <w:rFonts w:ascii="Calibri Light" w:hAnsi="Calibri Light" w:cs="Calibri Light"/>
          <w:bCs/>
          <w:sz w:val="23"/>
          <w:szCs w:val="23"/>
        </w:rPr>
        <w:t>únicamente</w:t>
      </w:r>
      <w:r w:rsidRPr="009C6A06">
        <w:rPr>
          <w:rFonts w:ascii="Calibri Light" w:hAnsi="Calibri Light" w:cs="Calibri Light"/>
          <w:bCs/>
          <w:sz w:val="23"/>
          <w:szCs w:val="23"/>
        </w:rPr>
        <w:t xml:space="preserve"> dos días posteriores a la quincena que serán pagados a la brevedad posible…”</w:t>
      </w:r>
      <w:r>
        <w:rPr>
          <w:rFonts w:ascii="Arial" w:hAnsi="Arial" w:cs="Arial"/>
          <w:bCs/>
          <w:sz w:val="24"/>
          <w:szCs w:val="24"/>
        </w:rPr>
        <w:t>.</w:t>
      </w:r>
    </w:p>
    <w:bookmarkEnd w:id="0"/>
    <w:p w14:paraId="75B9D9C7" w14:textId="312C8483" w:rsidR="00CF4032" w:rsidRPr="00BC24D7" w:rsidRDefault="00DD471A" w:rsidP="00DD471A">
      <w:pPr>
        <w:spacing w:line="360" w:lineRule="auto"/>
        <w:jc w:val="both"/>
        <w:rPr>
          <w:rFonts w:ascii="Arial" w:hAnsi="Arial" w:cs="Arial"/>
          <w:sz w:val="24"/>
          <w:szCs w:val="24"/>
        </w:rPr>
      </w:pPr>
      <w:r>
        <w:rPr>
          <w:rFonts w:ascii="Arial" w:hAnsi="Arial" w:cs="Arial"/>
          <w:bCs/>
          <w:sz w:val="24"/>
          <w:szCs w:val="24"/>
        </w:rPr>
        <w:t xml:space="preserve">   </w:t>
      </w:r>
      <w:r w:rsidR="008F56DB">
        <w:rPr>
          <w:rFonts w:ascii="Arial" w:hAnsi="Arial" w:cs="Arial"/>
          <w:bCs/>
          <w:sz w:val="24"/>
          <w:szCs w:val="24"/>
        </w:rPr>
        <w:t xml:space="preserve">  </w:t>
      </w:r>
      <w:r>
        <w:rPr>
          <w:rFonts w:ascii="Arial" w:hAnsi="Arial" w:cs="Arial"/>
          <w:bCs/>
          <w:sz w:val="24"/>
          <w:szCs w:val="24"/>
        </w:rPr>
        <w:t xml:space="preserve">   </w:t>
      </w:r>
      <w:r w:rsidR="00CC0387" w:rsidRPr="008F56DB">
        <w:rPr>
          <w:rFonts w:ascii="Arial" w:hAnsi="Arial" w:cs="Arial"/>
          <w:b/>
          <w:sz w:val="24"/>
          <w:szCs w:val="24"/>
        </w:rPr>
        <w:t xml:space="preserve">Del </w:t>
      </w:r>
      <w:r w:rsidR="00CC0387" w:rsidRPr="00BC24D7">
        <w:rPr>
          <w:rFonts w:ascii="Arial" w:hAnsi="Arial" w:cs="Arial"/>
          <w:bCs/>
          <w:sz w:val="24"/>
          <w:szCs w:val="24"/>
        </w:rPr>
        <w:t>estudio</w:t>
      </w:r>
      <w:r w:rsidR="002E7F83" w:rsidRPr="00BC24D7">
        <w:rPr>
          <w:rFonts w:ascii="Arial" w:hAnsi="Arial" w:cs="Arial"/>
          <w:bCs/>
          <w:sz w:val="24"/>
          <w:szCs w:val="24"/>
        </w:rPr>
        <w:t xml:space="preserve"> de la resolución original que exhibe la actora -que impugna- </w:t>
      </w:r>
      <w:r w:rsidR="00CC0387" w:rsidRPr="00BC24D7">
        <w:rPr>
          <w:rFonts w:ascii="Arial" w:hAnsi="Arial" w:cs="Arial"/>
          <w:bCs/>
          <w:sz w:val="24"/>
          <w:szCs w:val="24"/>
        </w:rPr>
        <w:t xml:space="preserve"> </w:t>
      </w:r>
      <w:r>
        <w:rPr>
          <w:rFonts w:ascii="Arial" w:hAnsi="Arial" w:cs="Arial"/>
          <w:bCs/>
          <w:sz w:val="24"/>
          <w:szCs w:val="24"/>
        </w:rPr>
        <w:t xml:space="preserve">con la </w:t>
      </w:r>
      <w:r w:rsidR="00C83711" w:rsidRPr="00BC24D7">
        <w:rPr>
          <w:rFonts w:ascii="Arial" w:hAnsi="Arial" w:cs="Arial"/>
          <w:bCs/>
          <w:sz w:val="24"/>
          <w:szCs w:val="24"/>
        </w:rPr>
        <w:t>que el Síndico Municipal</w:t>
      </w:r>
      <w:r w:rsidR="00F11012" w:rsidRPr="00BC24D7">
        <w:rPr>
          <w:rFonts w:ascii="Arial" w:hAnsi="Arial" w:cs="Arial"/>
          <w:sz w:val="24"/>
          <w:szCs w:val="24"/>
        </w:rPr>
        <w:t xml:space="preserve"> dio por terminada la relación </w:t>
      </w:r>
      <w:r>
        <w:rPr>
          <w:rFonts w:ascii="Arial" w:hAnsi="Arial" w:cs="Arial"/>
          <w:sz w:val="24"/>
          <w:szCs w:val="24"/>
        </w:rPr>
        <w:t>“</w:t>
      </w:r>
      <w:r w:rsidR="00F11012" w:rsidRPr="00BC24D7">
        <w:rPr>
          <w:rFonts w:ascii="Arial" w:hAnsi="Arial" w:cs="Arial"/>
          <w:sz w:val="24"/>
          <w:szCs w:val="24"/>
        </w:rPr>
        <w:t>laboral</w:t>
      </w:r>
      <w:r>
        <w:rPr>
          <w:rFonts w:ascii="Arial" w:hAnsi="Arial" w:cs="Arial"/>
          <w:sz w:val="24"/>
          <w:szCs w:val="24"/>
        </w:rPr>
        <w:t>”</w:t>
      </w:r>
      <w:r w:rsidR="00F11012" w:rsidRPr="00BC24D7">
        <w:rPr>
          <w:rFonts w:ascii="Arial" w:hAnsi="Arial" w:cs="Arial"/>
          <w:sz w:val="24"/>
          <w:szCs w:val="24"/>
        </w:rPr>
        <w:t xml:space="preserve"> y</w:t>
      </w:r>
      <w:r>
        <w:rPr>
          <w:rFonts w:ascii="Arial" w:hAnsi="Arial" w:cs="Arial"/>
          <w:sz w:val="24"/>
          <w:szCs w:val="24"/>
        </w:rPr>
        <w:t>/o</w:t>
      </w:r>
      <w:r w:rsidR="00F11012" w:rsidRPr="00BC24D7">
        <w:rPr>
          <w:rFonts w:ascii="Arial" w:hAnsi="Arial" w:cs="Arial"/>
          <w:sz w:val="24"/>
          <w:szCs w:val="24"/>
        </w:rPr>
        <w:t xml:space="preserve"> administrativa </w:t>
      </w:r>
      <w:r w:rsidR="0043191A" w:rsidRPr="00BC24D7">
        <w:rPr>
          <w:rFonts w:ascii="Arial" w:hAnsi="Arial" w:cs="Arial"/>
          <w:sz w:val="24"/>
          <w:szCs w:val="24"/>
        </w:rPr>
        <w:t xml:space="preserve">que mantenía con </w:t>
      </w:r>
      <w:r w:rsidR="00B24753" w:rsidRPr="00BC24D7">
        <w:rPr>
          <w:rFonts w:ascii="Arial" w:hAnsi="Arial" w:cs="Arial"/>
          <w:sz w:val="24"/>
          <w:szCs w:val="24"/>
        </w:rPr>
        <w:t>Emma Herrera Lazo</w:t>
      </w:r>
      <w:r w:rsidR="0043191A" w:rsidRPr="00BC24D7">
        <w:rPr>
          <w:rFonts w:ascii="Arial" w:hAnsi="Arial" w:cs="Arial"/>
          <w:sz w:val="24"/>
          <w:szCs w:val="24"/>
        </w:rPr>
        <w:t xml:space="preserve">, </w:t>
      </w:r>
      <w:r w:rsidR="00712409" w:rsidRPr="00BC24D7">
        <w:rPr>
          <w:rFonts w:ascii="Arial" w:hAnsi="Arial" w:cs="Arial"/>
          <w:sz w:val="24"/>
          <w:szCs w:val="24"/>
        </w:rPr>
        <w:t>como se puede observar a foja</w:t>
      </w:r>
      <w:r w:rsidR="00B24753" w:rsidRPr="00BC24D7">
        <w:rPr>
          <w:rFonts w:ascii="Arial" w:hAnsi="Arial" w:cs="Arial"/>
          <w:sz w:val="24"/>
          <w:szCs w:val="24"/>
        </w:rPr>
        <w:t xml:space="preserve"> 10</w:t>
      </w:r>
      <w:r w:rsidR="00712409" w:rsidRPr="00BC24D7">
        <w:rPr>
          <w:rFonts w:ascii="Arial" w:hAnsi="Arial" w:cs="Arial"/>
          <w:sz w:val="24"/>
          <w:szCs w:val="24"/>
        </w:rPr>
        <w:t xml:space="preserve"> del presente expediente, document</w:t>
      </w:r>
      <w:r>
        <w:rPr>
          <w:rFonts w:ascii="Arial" w:hAnsi="Arial" w:cs="Arial"/>
          <w:sz w:val="24"/>
          <w:szCs w:val="24"/>
        </w:rPr>
        <w:t>al</w:t>
      </w:r>
      <w:r w:rsidR="00712409" w:rsidRPr="00BC24D7">
        <w:rPr>
          <w:rFonts w:ascii="Arial" w:hAnsi="Arial" w:cs="Arial"/>
          <w:sz w:val="24"/>
          <w:szCs w:val="24"/>
        </w:rPr>
        <w:t xml:space="preserve"> a</w:t>
      </w:r>
      <w:r>
        <w:rPr>
          <w:rFonts w:ascii="Arial" w:hAnsi="Arial" w:cs="Arial"/>
          <w:sz w:val="24"/>
          <w:szCs w:val="24"/>
        </w:rPr>
        <w:t xml:space="preserve"> la</w:t>
      </w:r>
      <w:r w:rsidR="00712409" w:rsidRPr="00BC24D7">
        <w:rPr>
          <w:rFonts w:ascii="Arial" w:hAnsi="Arial" w:cs="Arial"/>
          <w:sz w:val="24"/>
          <w:szCs w:val="24"/>
        </w:rPr>
        <w:t xml:space="preserve"> que se le otorga valor probatorio pleno conforme al artículo 203, fracción I de la Ley de Procedimiento y Justicia Administrativa para el Estado de Oaxaca</w:t>
      </w:r>
      <w:r w:rsidR="00B24753" w:rsidRPr="00BC24D7">
        <w:rPr>
          <w:rFonts w:ascii="Arial" w:hAnsi="Arial" w:cs="Arial"/>
          <w:sz w:val="24"/>
          <w:szCs w:val="24"/>
        </w:rPr>
        <w:t>; se advierte que</w:t>
      </w:r>
      <w:r w:rsidR="00CF4032" w:rsidRPr="00BC24D7">
        <w:rPr>
          <w:rFonts w:ascii="Arial" w:eastAsia="Calibri" w:hAnsi="Arial" w:cs="Arial"/>
          <w:bCs/>
          <w:sz w:val="24"/>
          <w:szCs w:val="24"/>
        </w:rPr>
        <w:t xml:space="preserve"> al momento del cese de labores, tenía el cargo de Policía Municipal </w:t>
      </w:r>
      <w:r w:rsidR="003D482E" w:rsidRPr="00BC24D7">
        <w:rPr>
          <w:rFonts w:ascii="Arial" w:eastAsia="Calibri" w:hAnsi="Arial" w:cs="Arial"/>
          <w:bCs/>
          <w:sz w:val="24"/>
          <w:szCs w:val="24"/>
        </w:rPr>
        <w:t>de la Reforma, Putla, Oaxaca</w:t>
      </w:r>
      <w:r w:rsidR="00CF4032" w:rsidRPr="00BC24D7">
        <w:rPr>
          <w:rFonts w:ascii="Arial" w:eastAsia="Calibri" w:hAnsi="Arial" w:cs="Arial"/>
          <w:bCs/>
          <w:sz w:val="24"/>
          <w:szCs w:val="24"/>
        </w:rPr>
        <w:t>, que l</w:t>
      </w:r>
      <w:r w:rsidR="003D482E" w:rsidRPr="00BC24D7">
        <w:rPr>
          <w:rFonts w:ascii="Arial" w:eastAsia="Calibri" w:hAnsi="Arial" w:cs="Arial"/>
          <w:bCs/>
          <w:sz w:val="24"/>
          <w:szCs w:val="24"/>
        </w:rPr>
        <w:t>a</w:t>
      </w:r>
      <w:r w:rsidR="00CF4032" w:rsidRPr="00BC24D7">
        <w:rPr>
          <w:rFonts w:ascii="Arial" w:eastAsia="Calibri" w:hAnsi="Arial" w:cs="Arial"/>
          <w:bCs/>
          <w:sz w:val="24"/>
          <w:szCs w:val="24"/>
        </w:rPr>
        <w:t xml:space="preserve"> ubicaba como integrante </w:t>
      </w:r>
      <w:r w:rsidR="001C3B87">
        <w:rPr>
          <w:rFonts w:ascii="Arial" w:eastAsia="Calibri" w:hAnsi="Arial" w:cs="Arial"/>
          <w:bCs/>
          <w:sz w:val="24"/>
          <w:szCs w:val="24"/>
        </w:rPr>
        <w:t>de las institucionales policiales en el Estado</w:t>
      </w:r>
      <w:r w:rsidR="00CF4032" w:rsidRPr="00BC24D7">
        <w:rPr>
          <w:rFonts w:ascii="Arial" w:eastAsia="Calibri" w:hAnsi="Arial" w:cs="Arial"/>
          <w:bCs/>
          <w:sz w:val="24"/>
          <w:szCs w:val="24"/>
        </w:rPr>
        <w:t>; por lo que al ser integrante de un cuerpo de seguridad pública municipal su función estaba regulada por la Ley del Sistema Estatal de Seguridad Pública de Oaxaca, tal y como lo dispone el artículo 1</w:t>
      </w:r>
      <w:r w:rsidR="00CF4032" w:rsidRPr="00BC24D7">
        <w:rPr>
          <w:rStyle w:val="Refdenotaalpie"/>
          <w:rFonts w:ascii="Arial" w:eastAsia="Calibri" w:hAnsi="Arial" w:cs="Arial"/>
          <w:bCs/>
          <w:sz w:val="24"/>
          <w:szCs w:val="24"/>
        </w:rPr>
        <w:footnoteReference w:id="7"/>
      </w:r>
      <w:r w:rsidR="00CF4032" w:rsidRPr="00BC24D7">
        <w:rPr>
          <w:rFonts w:ascii="Arial" w:eastAsia="Calibri" w:hAnsi="Arial" w:cs="Arial"/>
          <w:bCs/>
          <w:sz w:val="24"/>
          <w:szCs w:val="24"/>
        </w:rPr>
        <w:t xml:space="preserve">, </w:t>
      </w:r>
      <w:r w:rsidR="00B479B0">
        <w:rPr>
          <w:rFonts w:ascii="Arial" w:eastAsia="Calibri" w:hAnsi="Arial" w:cs="Arial"/>
          <w:bCs/>
          <w:sz w:val="24"/>
          <w:szCs w:val="24"/>
        </w:rPr>
        <w:t xml:space="preserve">y 7, fracción </w:t>
      </w:r>
      <w:r w:rsidR="007C7413">
        <w:rPr>
          <w:rFonts w:ascii="Arial" w:eastAsia="Calibri" w:hAnsi="Arial" w:cs="Arial"/>
          <w:bCs/>
          <w:sz w:val="24"/>
          <w:szCs w:val="24"/>
        </w:rPr>
        <w:t>XIV</w:t>
      </w:r>
      <w:r w:rsidR="00B479B0">
        <w:rPr>
          <w:rStyle w:val="Refdenotaalpie"/>
          <w:rFonts w:ascii="Arial" w:eastAsia="Calibri" w:hAnsi="Arial" w:cs="Arial"/>
          <w:bCs/>
          <w:sz w:val="24"/>
          <w:szCs w:val="24"/>
        </w:rPr>
        <w:footnoteReference w:id="8"/>
      </w:r>
      <w:r w:rsidR="00B479B0">
        <w:rPr>
          <w:rFonts w:ascii="Arial" w:eastAsia="Calibri" w:hAnsi="Arial" w:cs="Arial"/>
          <w:bCs/>
          <w:sz w:val="24"/>
          <w:szCs w:val="24"/>
        </w:rPr>
        <w:t xml:space="preserve">, </w:t>
      </w:r>
      <w:r w:rsidR="00CF4032" w:rsidRPr="00BC24D7">
        <w:rPr>
          <w:rFonts w:ascii="Arial" w:eastAsia="Calibri" w:hAnsi="Arial" w:cs="Arial"/>
          <w:bCs/>
          <w:sz w:val="24"/>
          <w:szCs w:val="24"/>
        </w:rPr>
        <w:t>de dicho ordenamiento legal.</w:t>
      </w:r>
    </w:p>
    <w:p w14:paraId="040753EB" w14:textId="0E2E9639" w:rsidR="00CF4032" w:rsidRPr="00BC24D7" w:rsidRDefault="00CF4032" w:rsidP="0067330C">
      <w:pPr>
        <w:widowControl w:val="0"/>
        <w:spacing w:before="240" w:line="360" w:lineRule="auto"/>
        <w:ind w:right="49" w:firstLine="708"/>
        <w:jc w:val="both"/>
        <w:rPr>
          <w:rFonts w:ascii="Arial" w:eastAsia="Calibri" w:hAnsi="Arial" w:cs="Arial"/>
          <w:bCs/>
          <w:sz w:val="24"/>
          <w:szCs w:val="24"/>
        </w:rPr>
      </w:pPr>
      <w:r w:rsidRPr="00BC24D7">
        <w:rPr>
          <w:rFonts w:ascii="Arial" w:eastAsia="Calibri" w:hAnsi="Arial" w:cs="Arial"/>
          <w:bCs/>
          <w:sz w:val="24"/>
          <w:szCs w:val="24"/>
        </w:rPr>
        <w:t xml:space="preserve">Luego entonces, </w:t>
      </w:r>
      <w:r w:rsidR="00FE1E00" w:rsidRPr="00BC24D7">
        <w:rPr>
          <w:rFonts w:ascii="Arial" w:eastAsia="Calibri" w:hAnsi="Arial" w:cs="Arial"/>
          <w:bCs/>
          <w:sz w:val="24"/>
          <w:szCs w:val="24"/>
        </w:rPr>
        <w:t xml:space="preserve">la </w:t>
      </w:r>
      <w:r w:rsidRPr="00BC24D7">
        <w:rPr>
          <w:rFonts w:ascii="Arial" w:eastAsia="Calibri" w:hAnsi="Arial" w:cs="Arial"/>
          <w:bCs/>
          <w:sz w:val="24"/>
          <w:szCs w:val="24"/>
        </w:rPr>
        <w:t>ciudadan</w:t>
      </w:r>
      <w:r w:rsidR="00FE1E00" w:rsidRPr="00BC24D7">
        <w:rPr>
          <w:rFonts w:ascii="Arial" w:eastAsia="Calibri" w:hAnsi="Arial" w:cs="Arial"/>
          <w:bCs/>
          <w:sz w:val="24"/>
          <w:szCs w:val="24"/>
        </w:rPr>
        <w:t>a</w:t>
      </w:r>
      <w:r w:rsidRPr="00BC24D7">
        <w:rPr>
          <w:rFonts w:ascii="Arial" w:eastAsia="Calibri" w:hAnsi="Arial" w:cs="Arial"/>
          <w:bCs/>
          <w:sz w:val="24"/>
          <w:szCs w:val="24"/>
        </w:rPr>
        <w:t xml:space="preserve"> </w:t>
      </w:r>
      <w:r w:rsidR="00FE1E00" w:rsidRPr="00BC24D7">
        <w:rPr>
          <w:rFonts w:ascii="Arial" w:eastAsia="Calibri" w:hAnsi="Arial" w:cs="Arial"/>
          <w:bCs/>
          <w:sz w:val="24"/>
          <w:szCs w:val="24"/>
        </w:rPr>
        <w:t>Emma Herrera Lazo</w:t>
      </w:r>
      <w:r w:rsidRPr="00BC24D7">
        <w:rPr>
          <w:rFonts w:ascii="Arial" w:eastAsia="Calibri" w:hAnsi="Arial" w:cs="Arial"/>
          <w:bCs/>
          <w:sz w:val="24"/>
          <w:szCs w:val="24"/>
        </w:rPr>
        <w:t xml:space="preserve">, </w:t>
      </w:r>
      <w:r w:rsidR="00DD5E98">
        <w:rPr>
          <w:rFonts w:ascii="Arial" w:eastAsia="Calibri" w:hAnsi="Arial" w:cs="Arial"/>
          <w:bCs/>
          <w:sz w:val="24"/>
          <w:szCs w:val="24"/>
        </w:rPr>
        <w:t xml:space="preserve">-como ya se precisó-, </w:t>
      </w:r>
      <w:r w:rsidRPr="00BC24D7">
        <w:rPr>
          <w:rFonts w:ascii="Arial" w:eastAsia="Calibri" w:hAnsi="Arial" w:cs="Arial"/>
          <w:bCs/>
          <w:sz w:val="24"/>
          <w:szCs w:val="24"/>
        </w:rPr>
        <w:t>al ser parte de</w:t>
      </w:r>
      <w:r w:rsidR="00DD5E98">
        <w:rPr>
          <w:rFonts w:ascii="Arial" w:eastAsia="Calibri" w:hAnsi="Arial" w:cs="Arial"/>
          <w:bCs/>
          <w:sz w:val="24"/>
          <w:szCs w:val="24"/>
        </w:rPr>
        <w:t xml:space="preserve"> las institucionales policiales en el Estado</w:t>
      </w:r>
      <w:r w:rsidRPr="00BC24D7">
        <w:rPr>
          <w:rFonts w:ascii="Arial" w:eastAsia="Calibri" w:hAnsi="Arial" w:cs="Arial"/>
          <w:bCs/>
          <w:sz w:val="24"/>
          <w:szCs w:val="24"/>
        </w:rPr>
        <w:t>, mantenía una relación de naturaleza administrativa con el Estado, la cual se rige por las normas legales y reglamentarias específicas, por así disponerlo el artículo 123, apartado B, fracción XIII</w:t>
      </w:r>
      <w:r w:rsidRPr="00BC24D7">
        <w:rPr>
          <w:rStyle w:val="Refdenotaalpie"/>
          <w:rFonts w:ascii="Arial" w:eastAsia="Calibri" w:hAnsi="Arial" w:cs="Arial"/>
          <w:bCs/>
          <w:sz w:val="24"/>
          <w:szCs w:val="24"/>
        </w:rPr>
        <w:footnoteReference w:id="9"/>
      </w:r>
      <w:r w:rsidRPr="00BC24D7">
        <w:rPr>
          <w:rFonts w:ascii="Arial" w:eastAsia="Calibri" w:hAnsi="Arial" w:cs="Arial"/>
          <w:bCs/>
          <w:sz w:val="24"/>
          <w:szCs w:val="24"/>
        </w:rPr>
        <w:t xml:space="preserve">, de la Constitución Política de los Estados Unidos Mexicanos; por consiguiente, los miembros de los cuerpos de seguridad no están sujetos al régimen laboral, porque no están considerados en la relación laboral que existe entre los trabajadores de confianza y el Estado; por lo que dicha disposición constitucional separa a los cuerpos de seguridad pública en las reglas que regulan las relaciones  del Estado con sus trabajadores, estableciendo que deben regirse por sus propias leyes, excluyéndolos así, de la aplicación de las normas de índole laboral, previstas </w:t>
      </w:r>
      <w:r w:rsidRPr="00BC24D7">
        <w:rPr>
          <w:rFonts w:ascii="Arial" w:eastAsia="Calibri" w:hAnsi="Arial" w:cs="Arial"/>
          <w:bCs/>
          <w:sz w:val="24"/>
          <w:szCs w:val="24"/>
        </w:rPr>
        <w:lastRenderedPageBreak/>
        <w:t xml:space="preserve">en este caso en concreto en los artículos </w:t>
      </w:r>
      <w:r w:rsidR="000226D9" w:rsidRPr="00BC24D7">
        <w:rPr>
          <w:rFonts w:ascii="Arial" w:eastAsia="Calibri" w:hAnsi="Arial" w:cs="Arial"/>
          <w:bCs/>
          <w:sz w:val="24"/>
          <w:szCs w:val="24"/>
        </w:rPr>
        <w:t>46</w:t>
      </w:r>
      <w:r w:rsidR="001C4311" w:rsidRPr="00BC24D7">
        <w:rPr>
          <w:rStyle w:val="Refdenotaalpie"/>
          <w:rFonts w:ascii="Arial" w:eastAsia="Calibri" w:hAnsi="Arial" w:cs="Arial"/>
          <w:bCs/>
          <w:sz w:val="24"/>
          <w:szCs w:val="24"/>
        </w:rPr>
        <w:footnoteReference w:id="10"/>
      </w:r>
      <w:r w:rsidRPr="00BC24D7">
        <w:rPr>
          <w:rFonts w:ascii="Arial" w:eastAsia="Calibri" w:hAnsi="Arial" w:cs="Arial"/>
          <w:bCs/>
          <w:sz w:val="24"/>
          <w:szCs w:val="24"/>
        </w:rPr>
        <w:t xml:space="preserve"> y  </w:t>
      </w:r>
      <w:r w:rsidR="000226D9" w:rsidRPr="00BC24D7">
        <w:rPr>
          <w:rFonts w:ascii="Arial" w:eastAsia="Calibri" w:hAnsi="Arial" w:cs="Arial"/>
          <w:bCs/>
          <w:sz w:val="24"/>
          <w:szCs w:val="24"/>
        </w:rPr>
        <w:t>47</w:t>
      </w:r>
      <w:r w:rsidR="00BC24D7" w:rsidRPr="00BC24D7">
        <w:rPr>
          <w:rStyle w:val="Refdenotaalpie"/>
          <w:rFonts w:ascii="Arial" w:eastAsia="Calibri" w:hAnsi="Arial" w:cs="Arial"/>
          <w:bCs/>
          <w:sz w:val="24"/>
          <w:szCs w:val="24"/>
        </w:rPr>
        <w:footnoteReference w:id="11"/>
      </w:r>
      <w:r w:rsidRPr="00BC24D7">
        <w:rPr>
          <w:rFonts w:ascii="Arial" w:eastAsia="Calibri" w:hAnsi="Arial" w:cs="Arial"/>
          <w:bCs/>
          <w:sz w:val="24"/>
          <w:szCs w:val="24"/>
        </w:rPr>
        <w:t xml:space="preserve"> de la Ley Federal del Trabajo</w:t>
      </w:r>
      <w:r w:rsidR="000226D9" w:rsidRPr="00BC24D7">
        <w:rPr>
          <w:rFonts w:ascii="Arial" w:eastAsia="Calibri" w:hAnsi="Arial" w:cs="Arial"/>
          <w:bCs/>
          <w:sz w:val="24"/>
          <w:szCs w:val="24"/>
        </w:rPr>
        <w:t xml:space="preserve"> con los que fund</w:t>
      </w:r>
      <w:r w:rsidR="00675A30">
        <w:rPr>
          <w:rFonts w:ascii="Arial" w:eastAsia="Calibri" w:hAnsi="Arial" w:cs="Arial"/>
          <w:bCs/>
          <w:sz w:val="24"/>
          <w:szCs w:val="24"/>
        </w:rPr>
        <w:t>o el de</w:t>
      </w:r>
      <w:r w:rsidR="00683AF5">
        <w:rPr>
          <w:rFonts w:ascii="Arial" w:eastAsia="Calibri" w:hAnsi="Arial" w:cs="Arial"/>
          <w:bCs/>
          <w:sz w:val="24"/>
          <w:szCs w:val="24"/>
        </w:rPr>
        <w:t>s</w:t>
      </w:r>
      <w:r w:rsidR="00675A30">
        <w:rPr>
          <w:rFonts w:ascii="Arial" w:eastAsia="Calibri" w:hAnsi="Arial" w:cs="Arial"/>
          <w:bCs/>
          <w:sz w:val="24"/>
          <w:szCs w:val="24"/>
        </w:rPr>
        <w:t>p</w:t>
      </w:r>
      <w:r w:rsidR="00683AF5">
        <w:rPr>
          <w:rFonts w:ascii="Arial" w:eastAsia="Calibri" w:hAnsi="Arial" w:cs="Arial"/>
          <w:bCs/>
          <w:sz w:val="24"/>
          <w:szCs w:val="24"/>
        </w:rPr>
        <w:t>ido justificado</w:t>
      </w:r>
      <w:r w:rsidR="000226D9" w:rsidRPr="00BC24D7">
        <w:rPr>
          <w:rFonts w:ascii="Arial" w:eastAsia="Calibri" w:hAnsi="Arial" w:cs="Arial"/>
          <w:bCs/>
          <w:sz w:val="24"/>
          <w:szCs w:val="24"/>
        </w:rPr>
        <w:t xml:space="preserve"> la demandada</w:t>
      </w:r>
      <w:r w:rsidR="00DA7AAA" w:rsidRPr="00BC24D7">
        <w:rPr>
          <w:rFonts w:ascii="Arial" w:eastAsia="Calibri" w:hAnsi="Arial" w:cs="Arial"/>
          <w:bCs/>
          <w:sz w:val="24"/>
          <w:szCs w:val="24"/>
        </w:rPr>
        <w:t>.</w:t>
      </w:r>
    </w:p>
    <w:p w14:paraId="40B4258B" w14:textId="31AF0C77" w:rsidR="00624244" w:rsidRPr="00BC24D7" w:rsidRDefault="00624244" w:rsidP="00CF4032">
      <w:pPr>
        <w:widowControl w:val="0"/>
        <w:spacing w:before="240" w:line="360" w:lineRule="auto"/>
        <w:ind w:right="49" w:firstLine="708"/>
        <w:jc w:val="both"/>
        <w:rPr>
          <w:rFonts w:ascii="Arial" w:eastAsia="Calibri" w:hAnsi="Arial" w:cs="Arial"/>
          <w:bCs/>
          <w:sz w:val="24"/>
          <w:szCs w:val="24"/>
        </w:rPr>
      </w:pPr>
      <w:r w:rsidRPr="00BC24D7">
        <w:rPr>
          <w:rFonts w:ascii="Arial" w:eastAsia="Calibri" w:hAnsi="Arial" w:cs="Arial"/>
          <w:bCs/>
          <w:sz w:val="24"/>
          <w:szCs w:val="24"/>
        </w:rPr>
        <w:t>Sirve de apoyo por identidad jurídica el siguiente criterio jurisprudencial.</w:t>
      </w:r>
    </w:p>
    <w:p w14:paraId="1CC0F392" w14:textId="553C04CF" w:rsidR="00CF4032" w:rsidRPr="000D75AB" w:rsidRDefault="0087630F" w:rsidP="00CF4032">
      <w:pPr>
        <w:widowControl w:val="0"/>
        <w:spacing w:before="240"/>
        <w:ind w:left="284" w:right="333"/>
        <w:jc w:val="both"/>
        <w:rPr>
          <w:rFonts w:ascii="Calibri Light" w:eastAsia="Calibri" w:hAnsi="Calibri Light" w:cs="Calibri Light"/>
          <w:bCs/>
          <w:i/>
          <w:sz w:val="23"/>
          <w:szCs w:val="23"/>
        </w:rPr>
      </w:pPr>
      <w:r w:rsidRPr="000D75AB">
        <w:rPr>
          <w:rFonts w:ascii="Calibri Light" w:eastAsia="Calibri" w:hAnsi="Calibri Light" w:cs="Calibri Light"/>
          <w:bCs/>
          <w:i/>
          <w:sz w:val="23"/>
          <w:szCs w:val="23"/>
        </w:rPr>
        <w:t xml:space="preserve"> </w:t>
      </w:r>
      <w:r w:rsidR="00E848AF" w:rsidRPr="000D75AB">
        <w:rPr>
          <w:rFonts w:ascii="Calibri Light" w:eastAsia="Calibri" w:hAnsi="Calibri Light" w:cs="Calibri Light"/>
          <w:bCs/>
          <w:i/>
          <w:sz w:val="23"/>
          <w:szCs w:val="23"/>
        </w:rPr>
        <w:t>“</w:t>
      </w:r>
      <w:r w:rsidR="00D454D6" w:rsidRPr="000D75AB">
        <w:rPr>
          <w:rFonts w:ascii="Calibri Light" w:eastAsia="Calibri" w:hAnsi="Calibri Light" w:cs="Calibri Light"/>
          <w:b/>
          <w:i/>
          <w:sz w:val="23"/>
          <w:szCs w:val="23"/>
          <w:lang w:val="es-ES"/>
        </w:rPr>
        <w:t>POLICÍA</w:t>
      </w:r>
      <w:r w:rsidR="00CF4032" w:rsidRPr="000D75AB">
        <w:rPr>
          <w:rFonts w:ascii="Calibri Light" w:eastAsia="Calibri" w:hAnsi="Calibri Light" w:cs="Calibri Light"/>
          <w:b/>
          <w:i/>
          <w:sz w:val="23"/>
          <w:szCs w:val="23"/>
          <w:lang w:val="es-ES"/>
        </w:rPr>
        <w:t xml:space="preserve"> PREVENTIVA, AGENTES DE LA. ATENDIENDO A LO DISPUESTO POR LA </w:t>
      </w:r>
      <w:r w:rsidR="00D454D6" w:rsidRPr="000D75AB">
        <w:rPr>
          <w:rFonts w:ascii="Calibri Light" w:eastAsia="Calibri" w:hAnsi="Calibri Light" w:cs="Calibri Light"/>
          <w:b/>
          <w:i/>
          <w:sz w:val="23"/>
          <w:szCs w:val="23"/>
          <w:lang w:val="es-ES"/>
        </w:rPr>
        <w:t>FRACCIÓN</w:t>
      </w:r>
      <w:r w:rsidR="00CF4032" w:rsidRPr="000D75AB">
        <w:rPr>
          <w:rFonts w:ascii="Calibri Light" w:eastAsia="Calibri" w:hAnsi="Calibri Light" w:cs="Calibri Light"/>
          <w:b/>
          <w:i/>
          <w:sz w:val="23"/>
          <w:szCs w:val="23"/>
          <w:lang w:val="es-ES"/>
        </w:rPr>
        <w:t xml:space="preserve"> XIII DEL APARTADO B DEL ARTICULO 123 CONSTITUCIONAL, LAS CONTROVERSIAS QUE SE SUSCITEN CON MOTIVO DE LA </w:t>
      </w:r>
      <w:r w:rsidR="00D454D6" w:rsidRPr="000D75AB">
        <w:rPr>
          <w:rFonts w:ascii="Calibri Light" w:eastAsia="Calibri" w:hAnsi="Calibri Light" w:cs="Calibri Light"/>
          <w:b/>
          <w:i/>
          <w:sz w:val="23"/>
          <w:szCs w:val="23"/>
          <w:lang w:val="es-ES"/>
        </w:rPr>
        <w:t>PRESTACIÓN</w:t>
      </w:r>
      <w:r w:rsidR="00CF4032" w:rsidRPr="000D75AB">
        <w:rPr>
          <w:rFonts w:ascii="Calibri Light" w:eastAsia="Calibri" w:hAnsi="Calibri Light" w:cs="Calibri Light"/>
          <w:b/>
          <w:i/>
          <w:sz w:val="23"/>
          <w:szCs w:val="23"/>
          <w:lang w:val="es-ES"/>
        </w:rPr>
        <w:t xml:space="preserve"> DE SUS SERVICIOS, DEBEN REGULARSE POR SUS PROPIAS LEYES Y NO </w:t>
      </w:r>
      <w:r w:rsidR="00D454D6" w:rsidRPr="000D75AB">
        <w:rPr>
          <w:rFonts w:ascii="Calibri Light" w:eastAsia="Calibri" w:hAnsi="Calibri Light" w:cs="Calibri Light"/>
          <w:b/>
          <w:i/>
          <w:sz w:val="23"/>
          <w:szCs w:val="23"/>
          <w:lang w:val="es-ES"/>
        </w:rPr>
        <w:t>ESTÁN</w:t>
      </w:r>
      <w:r w:rsidR="00CF4032" w:rsidRPr="000D75AB">
        <w:rPr>
          <w:rFonts w:ascii="Calibri Light" w:eastAsia="Calibri" w:hAnsi="Calibri Light" w:cs="Calibri Light"/>
          <w:b/>
          <w:i/>
          <w:sz w:val="23"/>
          <w:szCs w:val="23"/>
          <w:lang w:val="es-ES"/>
        </w:rPr>
        <w:t xml:space="preserve"> SUJETAS A LA LEY FEDERAL DE LOS TRABAJADORES AL SERVICIO DEL ESTADO.</w:t>
      </w:r>
      <w:r w:rsidR="00CF4032" w:rsidRPr="000D75AB">
        <w:rPr>
          <w:rFonts w:ascii="Calibri Light" w:eastAsia="Calibri" w:hAnsi="Calibri Light" w:cs="Calibri Light"/>
          <w:bCs/>
          <w:i/>
          <w:sz w:val="23"/>
          <w:szCs w:val="23"/>
          <w:lang w:val="es-ES"/>
        </w:rPr>
        <w:t xml:space="preserve"> Aun cuando los agentes de la Policía Preventiva son trabajadores de confianza en términos del artículo 5º, fracción II, inciso L, de la Ley Federal de los Trabajadores al Servicio del Estado, dada la actividad que desempeñan como auxiliares de la vigilancia y previsión del orden público, actividad que está encomendada por la Ley Orgánica de la Administración Pública Federal a la Secretaría General de Protección y Vialidad del Departamento del Distrito Federal, es incuestionable que estos servidores públicos son miembros de cuerpos de seguridad pública a los que se refiere la fracción XIII del artículo 123 constitucional en su apartado B (que se refiere a los militares, marinos y miembros de los cuerpos de seguridad pública), porque la actividad que realizan es de interés público y social, por lo que, la prestación de sus servicios no puede equipararse a una relación laboral, dada su propia naturaleza, que es de aquellas que están encomendadas a vigilar y proteger el orden público en favor de los gobernados, de ahí el que debe regularse este tipo de prestación de servicios por sus propias leyes y no sujetarla, en caso de controversia, al Tribunal Federal de Conciliación y Arbitraje, porque se ubica claramente dentro de las excepciones que prevé la citada fracción XIII del precepto constitucional antes invocado. En consecuencia, si la propia Constitución excluye a los miembros de los cuerpos de seguridad pública de la relación equiparable a la laboral que se especifica en el primer párrafo de las fracciones XII y XIII bis, del artículo 123, luego entonces, procede el juicio de amparo en contra del cese de este tipo de trabajadores de confianza que se constituyen en servidores públicos del Estado. Lo anterior resulta así, atendiendo a que si bien la Ley Federal de los Trabajadores al Servicio del Estado establece que los miembros de las policías preventivas son trabajadores de confianza, ello no significa que deban sujetarse necesariamente a la aplicación de este ordenamiento federal pues precisamente por integrar cuerpos de seguridad sus conflictos con el Estado deben dirimirse conforme a sus propias leyes como lo ordena la ya citada fracción XIII del precepto constitucional invocado, por tratarse de organismos o cuerpos especiales que por su propia naturaleza desempeñan una actividad especial y distinta a los trabajadores de confianza a que se refiere la fracción XII del propio artículo.</w:t>
      </w:r>
      <w:r w:rsidR="00624244" w:rsidRPr="000D75AB">
        <w:rPr>
          <w:rStyle w:val="Refdenotaalpie"/>
          <w:rFonts w:ascii="Calibri Light" w:eastAsia="Calibri" w:hAnsi="Calibri Light" w:cs="Calibri Light"/>
          <w:bCs/>
          <w:i/>
          <w:sz w:val="23"/>
          <w:szCs w:val="23"/>
          <w:lang w:val="es-ES"/>
        </w:rPr>
        <w:footnoteReference w:id="12"/>
      </w:r>
    </w:p>
    <w:p w14:paraId="2A2CB037" w14:textId="55B7DE15" w:rsidR="00CF4032" w:rsidRPr="005F4C2E" w:rsidRDefault="007F6C01" w:rsidP="005F4C2E">
      <w:pPr>
        <w:spacing w:line="360" w:lineRule="auto"/>
        <w:jc w:val="both"/>
        <w:rPr>
          <w:rFonts w:ascii="Arial" w:eastAsia="Calibri" w:hAnsi="Arial"/>
          <w:bCs/>
          <w:sz w:val="24"/>
          <w:szCs w:val="24"/>
          <w:lang w:val="es-ES"/>
        </w:rPr>
      </w:pPr>
      <w:r>
        <w:rPr>
          <w:rFonts w:ascii="Arial" w:eastAsia="Calibri" w:hAnsi="Arial"/>
          <w:bCs/>
          <w:sz w:val="24"/>
          <w:szCs w:val="24"/>
          <w:lang w:val="es-ES"/>
        </w:rPr>
        <w:t xml:space="preserve">      </w:t>
      </w:r>
      <w:r w:rsidR="000D75AB" w:rsidRPr="0021416F">
        <w:rPr>
          <w:rFonts w:ascii="Arial" w:eastAsia="Calibri" w:hAnsi="Arial"/>
          <w:bCs/>
          <w:sz w:val="24"/>
          <w:szCs w:val="24"/>
          <w:lang w:val="es-ES"/>
        </w:rPr>
        <w:t>Asimismo</w:t>
      </w:r>
      <w:r w:rsidR="0021416F" w:rsidRPr="0021416F">
        <w:rPr>
          <w:rFonts w:ascii="Arial" w:eastAsia="Calibri" w:hAnsi="Arial"/>
          <w:bCs/>
          <w:sz w:val="24"/>
          <w:szCs w:val="24"/>
          <w:lang w:val="es-ES"/>
        </w:rPr>
        <w:t xml:space="preserve">, </w:t>
      </w:r>
      <w:r w:rsidR="0021416F">
        <w:rPr>
          <w:rFonts w:ascii="Arial" w:eastAsia="Calibri" w:hAnsi="Arial"/>
          <w:bCs/>
          <w:sz w:val="24"/>
          <w:szCs w:val="24"/>
          <w:lang w:val="es-ES"/>
        </w:rPr>
        <w:t xml:space="preserve">los </w:t>
      </w:r>
      <w:r>
        <w:rPr>
          <w:rFonts w:ascii="Arial" w:eastAsia="Calibri" w:hAnsi="Arial"/>
          <w:bCs/>
          <w:sz w:val="24"/>
          <w:szCs w:val="24"/>
          <w:lang w:val="es-ES"/>
        </w:rPr>
        <w:t>artículos</w:t>
      </w:r>
      <w:r w:rsidR="0021416F">
        <w:rPr>
          <w:rFonts w:ascii="Arial" w:eastAsia="Calibri" w:hAnsi="Arial"/>
          <w:bCs/>
          <w:sz w:val="24"/>
          <w:szCs w:val="24"/>
          <w:lang w:val="es-ES"/>
        </w:rPr>
        <w:t xml:space="preserve"> 6 y 28 del Reglamento Interno </w:t>
      </w:r>
      <w:r>
        <w:rPr>
          <w:rFonts w:ascii="Arial" w:eastAsia="Calibri" w:hAnsi="Arial"/>
          <w:bCs/>
          <w:sz w:val="24"/>
          <w:szCs w:val="24"/>
          <w:lang w:val="es-ES"/>
        </w:rPr>
        <w:t>Municipal</w:t>
      </w:r>
      <w:r w:rsidR="0021416F">
        <w:rPr>
          <w:rFonts w:ascii="Arial" w:eastAsia="Calibri" w:hAnsi="Arial"/>
          <w:bCs/>
          <w:sz w:val="24"/>
          <w:szCs w:val="24"/>
          <w:lang w:val="es-ES"/>
        </w:rPr>
        <w:t xml:space="preserve"> de la Reforma, Putla, Oaxaca, que invoca la </w:t>
      </w:r>
      <w:r>
        <w:rPr>
          <w:rFonts w:ascii="Arial" w:eastAsia="Calibri" w:hAnsi="Arial"/>
          <w:bCs/>
          <w:sz w:val="24"/>
          <w:szCs w:val="24"/>
          <w:lang w:val="es-ES"/>
        </w:rPr>
        <w:t>demandada</w:t>
      </w:r>
      <w:r w:rsidR="0021416F">
        <w:rPr>
          <w:rFonts w:ascii="Arial" w:eastAsia="Calibri" w:hAnsi="Arial"/>
          <w:bCs/>
          <w:sz w:val="24"/>
          <w:szCs w:val="24"/>
          <w:lang w:val="es-ES"/>
        </w:rPr>
        <w:t xml:space="preserve"> en la </w:t>
      </w:r>
      <w:r>
        <w:rPr>
          <w:rFonts w:ascii="Arial" w:eastAsia="Calibri" w:hAnsi="Arial"/>
          <w:bCs/>
          <w:sz w:val="24"/>
          <w:szCs w:val="24"/>
          <w:lang w:val="es-ES"/>
        </w:rPr>
        <w:t>resolución</w:t>
      </w:r>
      <w:r w:rsidR="0021416F">
        <w:rPr>
          <w:rFonts w:ascii="Arial" w:eastAsia="Calibri" w:hAnsi="Arial"/>
          <w:bCs/>
          <w:sz w:val="24"/>
          <w:szCs w:val="24"/>
          <w:lang w:val="es-ES"/>
        </w:rPr>
        <w:t xml:space="preserve"> </w:t>
      </w:r>
      <w:r w:rsidR="0021416F">
        <w:rPr>
          <w:rFonts w:ascii="Arial" w:eastAsia="Calibri" w:hAnsi="Arial"/>
          <w:bCs/>
          <w:sz w:val="24"/>
          <w:szCs w:val="24"/>
          <w:lang w:val="es-ES"/>
        </w:rPr>
        <w:lastRenderedPageBreak/>
        <w:t xml:space="preserve">impugnada de </w:t>
      </w:r>
      <w:r>
        <w:rPr>
          <w:rFonts w:ascii="Arial" w:eastAsia="Calibri" w:hAnsi="Arial"/>
          <w:bCs/>
          <w:sz w:val="24"/>
          <w:szCs w:val="24"/>
          <w:lang w:val="es-ES"/>
        </w:rPr>
        <w:t>despido</w:t>
      </w:r>
      <w:r w:rsidR="0021416F">
        <w:rPr>
          <w:rFonts w:ascii="Arial" w:eastAsia="Calibri" w:hAnsi="Arial"/>
          <w:bCs/>
          <w:sz w:val="24"/>
          <w:szCs w:val="24"/>
          <w:lang w:val="es-ES"/>
        </w:rPr>
        <w:t xml:space="preserve"> </w:t>
      </w:r>
      <w:r>
        <w:rPr>
          <w:rFonts w:ascii="Arial" w:eastAsia="Calibri" w:hAnsi="Arial"/>
          <w:bCs/>
          <w:sz w:val="24"/>
          <w:szCs w:val="24"/>
          <w:lang w:val="es-ES"/>
        </w:rPr>
        <w:t>justificado</w:t>
      </w:r>
      <w:r w:rsidR="00D454D6">
        <w:rPr>
          <w:rFonts w:ascii="Arial" w:eastAsia="Calibri" w:hAnsi="Arial"/>
          <w:bCs/>
          <w:sz w:val="24"/>
          <w:szCs w:val="24"/>
          <w:lang w:val="es-ES"/>
        </w:rPr>
        <w:t xml:space="preserve">, </w:t>
      </w:r>
      <w:r w:rsidR="0059349E">
        <w:rPr>
          <w:rFonts w:ascii="Arial" w:eastAsia="Calibri" w:hAnsi="Arial"/>
          <w:bCs/>
          <w:sz w:val="24"/>
          <w:szCs w:val="24"/>
          <w:lang w:val="es-ES"/>
        </w:rPr>
        <w:t>dado que el referido reglamento</w:t>
      </w:r>
      <w:r w:rsidR="00281266">
        <w:rPr>
          <w:rFonts w:ascii="Arial" w:eastAsia="Calibri" w:hAnsi="Arial"/>
          <w:bCs/>
          <w:sz w:val="24"/>
          <w:szCs w:val="24"/>
          <w:lang w:val="es-ES"/>
        </w:rPr>
        <w:t xml:space="preserve"> </w:t>
      </w:r>
      <w:r w:rsidR="0038248B">
        <w:rPr>
          <w:rFonts w:ascii="Arial" w:eastAsia="Calibri" w:hAnsi="Arial"/>
          <w:bCs/>
          <w:sz w:val="24"/>
          <w:szCs w:val="24"/>
          <w:lang w:val="es-ES"/>
        </w:rPr>
        <w:t>no</w:t>
      </w:r>
      <w:r w:rsidR="00917EE5">
        <w:rPr>
          <w:rFonts w:ascii="Arial" w:eastAsia="Calibri" w:hAnsi="Arial"/>
          <w:bCs/>
          <w:sz w:val="24"/>
          <w:szCs w:val="24"/>
          <w:lang w:val="es-ES"/>
        </w:rPr>
        <w:t xml:space="preserve"> es suficiente para terminar con la relación administrativa existente entre </w:t>
      </w:r>
      <w:r w:rsidR="00675A30">
        <w:rPr>
          <w:rFonts w:ascii="Arial" w:eastAsia="Calibri" w:hAnsi="Arial"/>
          <w:bCs/>
          <w:sz w:val="24"/>
          <w:szCs w:val="24"/>
          <w:lang w:val="es-ES"/>
        </w:rPr>
        <w:t>**********</w:t>
      </w:r>
      <w:r w:rsidR="00917EE5">
        <w:rPr>
          <w:rFonts w:ascii="Arial" w:eastAsia="Calibri" w:hAnsi="Arial"/>
          <w:bCs/>
          <w:sz w:val="24"/>
          <w:szCs w:val="24"/>
          <w:lang w:val="es-ES"/>
        </w:rPr>
        <w:t xml:space="preserve"> y el</w:t>
      </w:r>
      <w:r w:rsidR="00281266">
        <w:rPr>
          <w:rFonts w:ascii="Arial" w:eastAsia="Calibri" w:hAnsi="Arial"/>
          <w:bCs/>
          <w:sz w:val="24"/>
          <w:szCs w:val="24"/>
          <w:lang w:val="es-ES"/>
        </w:rPr>
        <w:t xml:space="preserve"> Municipio de La Reforma, Putla, Oaxaca; en virtud de que,  </w:t>
      </w:r>
      <w:r w:rsidR="00CF4032" w:rsidRPr="005F4C2E">
        <w:rPr>
          <w:rFonts w:ascii="Arial" w:eastAsia="Calibri" w:hAnsi="Arial" w:cs="Arial"/>
          <w:bCs/>
          <w:sz w:val="26"/>
          <w:szCs w:val="26"/>
        </w:rPr>
        <w:t>el artículo 105 de la Ley del Sistema de Seguridad Pública del Estado de Oaxaca, establece en qué casos procede la conclusión del servicio de un integrante de los cuerpos de seguridad pública:</w:t>
      </w:r>
    </w:p>
    <w:p w14:paraId="0F70F949" w14:textId="77777777" w:rsidR="00CF4032" w:rsidRPr="0038248B" w:rsidRDefault="00CF4032" w:rsidP="00CF6EFD">
      <w:pPr>
        <w:widowControl w:val="0"/>
        <w:spacing w:before="240"/>
        <w:ind w:left="567" w:right="333"/>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w:t>
      </w:r>
      <w:r w:rsidRPr="0038248B">
        <w:rPr>
          <w:rFonts w:ascii="Calibri Light" w:eastAsia="Calibri" w:hAnsi="Calibri Light" w:cs="Calibri Light"/>
          <w:b/>
          <w:bCs/>
          <w:i/>
          <w:sz w:val="23"/>
          <w:szCs w:val="23"/>
        </w:rPr>
        <w:t>Artículo 105.</w:t>
      </w:r>
      <w:r w:rsidRPr="0038248B">
        <w:rPr>
          <w:rFonts w:ascii="Calibri Light" w:eastAsia="Calibri" w:hAnsi="Calibri Light" w:cs="Calibri Light"/>
          <w:bCs/>
          <w:i/>
          <w:sz w:val="23"/>
          <w:szCs w:val="23"/>
        </w:rPr>
        <w:t xml:space="preserve"> La conclusión del servicio de un integrante es la terminación de su nombramiento o la cesación de sus efectos legales por las siguientes causas:</w:t>
      </w:r>
    </w:p>
    <w:p w14:paraId="7C182E0C" w14:textId="46CA48CC" w:rsidR="00CF4032" w:rsidRPr="0038248B" w:rsidRDefault="00CF4032" w:rsidP="00CF6EFD">
      <w:pPr>
        <w:pStyle w:val="Prrafodelista"/>
        <w:widowControl w:val="0"/>
        <w:numPr>
          <w:ilvl w:val="0"/>
          <w:numId w:val="23"/>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Separación, por incumplimiento a cualquiera de los requisitos de permanencia, o cuando en los procesos de promoción concurran las siguientes constancias:</w:t>
      </w:r>
    </w:p>
    <w:p w14:paraId="7727A3F8" w14:textId="77777777" w:rsidR="00403E37" w:rsidRPr="0038248B" w:rsidRDefault="00CF4032" w:rsidP="00CF6EFD">
      <w:pPr>
        <w:pStyle w:val="Prrafodelista"/>
        <w:widowControl w:val="0"/>
        <w:numPr>
          <w:ilvl w:val="0"/>
          <w:numId w:val="24"/>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 xml:space="preserve">Si hubiere sido convocado a tres procesos consecutivos de    promoción sin que haya participado en los mismos, o que habiendo participado </w:t>
      </w:r>
    </w:p>
    <w:p w14:paraId="46AB7BF8" w14:textId="67F95FA3" w:rsidR="00CF4032" w:rsidRPr="0038248B" w:rsidRDefault="00CF4032" w:rsidP="00CF6EFD">
      <w:pPr>
        <w:pStyle w:val="Prrafodelista"/>
        <w:widowControl w:val="0"/>
        <w:numPr>
          <w:ilvl w:val="0"/>
          <w:numId w:val="24"/>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en dichos procesos, no hubiere obtenido el grado inmediato superior que le correspondería por causas imputables a él;</w:t>
      </w:r>
    </w:p>
    <w:p w14:paraId="5CF5F059" w14:textId="77777777" w:rsidR="0079140C" w:rsidRPr="0038248B" w:rsidRDefault="00CF4032" w:rsidP="00CF6EFD">
      <w:pPr>
        <w:pStyle w:val="Prrafodelista"/>
        <w:widowControl w:val="0"/>
        <w:numPr>
          <w:ilvl w:val="0"/>
          <w:numId w:val="24"/>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 xml:space="preserve">Que haya alcanzado la edad máxima correspondiente </w:t>
      </w:r>
    </w:p>
    <w:p w14:paraId="3BBFAB71" w14:textId="71489A08" w:rsidR="00CF4032" w:rsidRPr="0038248B" w:rsidRDefault="00CF4032" w:rsidP="00CF6EFD">
      <w:pPr>
        <w:pStyle w:val="Prrafodelista"/>
        <w:widowControl w:val="0"/>
        <w:numPr>
          <w:ilvl w:val="0"/>
          <w:numId w:val="24"/>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 xml:space="preserve">a su jerarquía, de acuerdo a lo establecido en las disposiciones </w:t>
      </w:r>
      <w:r w:rsidR="0053174D">
        <w:rPr>
          <w:rFonts w:ascii="Calibri Light" w:eastAsia="Calibri" w:hAnsi="Calibri Light" w:cs="Calibri Light"/>
          <w:bCs/>
          <w:i/>
          <w:sz w:val="23"/>
          <w:szCs w:val="23"/>
        </w:rPr>
        <w:t xml:space="preserve">  </w:t>
      </w:r>
      <w:r w:rsidRPr="0038248B">
        <w:rPr>
          <w:rFonts w:ascii="Calibri Light" w:eastAsia="Calibri" w:hAnsi="Calibri Light" w:cs="Calibri Light"/>
          <w:bCs/>
          <w:i/>
          <w:sz w:val="23"/>
          <w:szCs w:val="23"/>
        </w:rPr>
        <w:t>aplicables,</w:t>
      </w:r>
      <w:r w:rsidR="0053174D">
        <w:rPr>
          <w:rFonts w:ascii="Calibri Light" w:eastAsia="Calibri" w:hAnsi="Calibri Light" w:cs="Calibri Light"/>
          <w:bCs/>
          <w:i/>
          <w:sz w:val="23"/>
          <w:szCs w:val="23"/>
        </w:rPr>
        <w:t xml:space="preserve"> </w:t>
      </w:r>
      <w:r w:rsidRPr="0038248B">
        <w:rPr>
          <w:rFonts w:ascii="Calibri Light" w:eastAsia="Calibri" w:hAnsi="Calibri Light" w:cs="Calibri Light"/>
          <w:bCs/>
          <w:i/>
          <w:sz w:val="23"/>
          <w:szCs w:val="23"/>
        </w:rPr>
        <w:t>y</w:t>
      </w:r>
    </w:p>
    <w:p w14:paraId="4320D96E" w14:textId="77777777" w:rsidR="00CF4032" w:rsidRPr="0038248B" w:rsidRDefault="00CF4032" w:rsidP="00CF6EFD">
      <w:pPr>
        <w:pStyle w:val="Prrafodelista"/>
        <w:widowControl w:val="0"/>
        <w:numPr>
          <w:ilvl w:val="0"/>
          <w:numId w:val="24"/>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Que el expediente del integrante no se desprendan méritos suficientes a juicio de las Comisiones parta conservar su permanencia.</w:t>
      </w:r>
    </w:p>
    <w:p w14:paraId="78123209" w14:textId="40C3BE2C" w:rsidR="005F4C2E" w:rsidRPr="0038248B" w:rsidRDefault="00CF4032" w:rsidP="00CF6EFD">
      <w:pPr>
        <w:pStyle w:val="Prrafodelista"/>
        <w:widowControl w:val="0"/>
        <w:numPr>
          <w:ilvl w:val="0"/>
          <w:numId w:val="23"/>
        </w:numPr>
        <w:spacing w:before="240" w:after="0"/>
        <w:ind w:left="567" w:right="333" w:firstLine="480"/>
        <w:jc w:val="both"/>
        <w:rPr>
          <w:rFonts w:ascii="Calibri Light" w:eastAsia="Calibri" w:hAnsi="Calibri Light" w:cs="Calibri Light"/>
          <w:bCs/>
          <w:i/>
          <w:sz w:val="23"/>
          <w:szCs w:val="23"/>
        </w:rPr>
      </w:pPr>
      <w:r w:rsidRPr="0038248B">
        <w:rPr>
          <w:rFonts w:ascii="Calibri Light" w:eastAsia="Calibri" w:hAnsi="Calibri Light" w:cs="Calibri Light"/>
          <w:bCs/>
          <w:i/>
          <w:sz w:val="23"/>
          <w:szCs w:val="23"/>
        </w:rPr>
        <w:t>Remoción, por incurrir en responsabilidad en el desempeño de sus funciones o incumplimiento de sus deberes, de conformidad con las disposiciones relativas al régimen disciplinario</w:t>
      </w:r>
      <w:r w:rsidR="005F4C2E" w:rsidRPr="0038248B">
        <w:rPr>
          <w:rFonts w:ascii="Calibri Light" w:eastAsia="Calibri" w:hAnsi="Calibri Light" w:cs="Calibri Light"/>
          <w:bCs/>
          <w:i/>
          <w:sz w:val="23"/>
          <w:szCs w:val="23"/>
        </w:rPr>
        <w:t>.</w:t>
      </w:r>
    </w:p>
    <w:p w14:paraId="459E04A8" w14:textId="77777777" w:rsidR="00421E1E" w:rsidRPr="0038248B" w:rsidRDefault="00421E1E" w:rsidP="00CF6EFD">
      <w:pPr>
        <w:pStyle w:val="Prrafodelista"/>
        <w:widowControl w:val="0"/>
        <w:numPr>
          <w:ilvl w:val="0"/>
          <w:numId w:val="23"/>
        </w:numPr>
        <w:spacing w:before="240" w:after="0"/>
        <w:ind w:left="567" w:right="333" w:firstLine="480"/>
        <w:jc w:val="both"/>
        <w:rPr>
          <w:rFonts w:ascii="Calibri Light" w:eastAsia="Calibri" w:hAnsi="Calibri Light" w:cs="Calibri Light"/>
          <w:bCs/>
          <w:i/>
          <w:sz w:val="23"/>
          <w:szCs w:val="23"/>
        </w:rPr>
      </w:pPr>
      <w:r w:rsidRPr="0038248B">
        <w:rPr>
          <w:rFonts w:ascii="Calibri Light" w:hAnsi="Calibri Light" w:cs="Calibri Light"/>
          <w:sz w:val="23"/>
          <w:szCs w:val="23"/>
        </w:rPr>
        <w:t>Baja, por:</w:t>
      </w:r>
    </w:p>
    <w:p w14:paraId="4DF65079" w14:textId="50D782D1" w:rsidR="00421E1E" w:rsidRPr="0038248B" w:rsidRDefault="00CF6EFD" w:rsidP="00CF6EFD">
      <w:pPr>
        <w:pStyle w:val="Prrafodelista"/>
        <w:widowControl w:val="0"/>
        <w:spacing w:before="240" w:after="0"/>
        <w:ind w:left="567" w:right="333"/>
        <w:jc w:val="both"/>
        <w:rPr>
          <w:rFonts w:ascii="Calibri Light" w:hAnsi="Calibri Light" w:cs="Calibri Light"/>
          <w:sz w:val="23"/>
          <w:szCs w:val="23"/>
        </w:rPr>
      </w:pPr>
      <w:r w:rsidRPr="0038248B">
        <w:rPr>
          <w:rFonts w:ascii="Calibri Light" w:hAnsi="Calibri Light" w:cs="Calibri Light"/>
          <w:sz w:val="23"/>
          <w:szCs w:val="23"/>
        </w:rPr>
        <w:t xml:space="preserve">         </w:t>
      </w:r>
      <w:r w:rsidR="00421E1E" w:rsidRPr="0038248B">
        <w:rPr>
          <w:rFonts w:ascii="Calibri Light" w:hAnsi="Calibri Light" w:cs="Calibri Light"/>
          <w:sz w:val="23"/>
          <w:szCs w:val="23"/>
        </w:rPr>
        <w:t>a) Renuncia;</w:t>
      </w:r>
    </w:p>
    <w:p w14:paraId="5F09EB99" w14:textId="740E7FF0" w:rsidR="00421E1E" w:rsidRPr="0038248B" w:rsidRDefault="00CF6EFD" w:rsidP="00CF6EFD">
      <w:pPr>
        <w:pStyle w:val="Prrafodelista"/>
        <w:widowControl w:val="0"/>
        <w:spacing w:before="240" w:after="0"/>
        <w:ind w:left="567" w:right="333"/>
        <w:jc w:val="both"/>
        <w:rPr>
          <w:rFonts w:ascii="Calibri Light" w:hAnsi="Calibri Light" w:cs="Calibri Light"/>
          <w:sz w:val="23"/>
          <w:szCs w:val="23"/>
        </w:rPr>
      </w:pPr>
      <w:r w:rsidRPr="0038248B">
        <w:rPr>
          <w:rFonts w:ascii="Calibri Light" w:hAnsi="Calibri Light" w:cs="Calibri Light"/>
          <w:sz w:val="23"/>
          <w:szCs w:val="23"/>
        </w:rPr>
        <w:t xml:space="preserve">         </w:t>
      </w:r>
      <w:r w:rsidR="00421E1E" w:rsidRPr="0038248B">
        <w:rPr>
          <w:rFonts w:ascii="Calibri Light" w:hAnsi="Calibri Light" w:cs="Calibri Light"/>
          <w:sz w:val="23"/>
          <w:szCs w:val="23"/>
        </w:rPr>
        <w:t>b) Muerte o incapacidad permanente, o</w:t>
      </w:r>
    </w:p>
    <w:p w14:paraId="5E422075" w14:textId="73B633CD" w:rsidR="00CF4032" w:rsidRPr="0038248B" w:rsidRDefault="00CF6EFD" w:rsidP="00CF6EFD">
      <w:pPr>
        <w:pStyle w:val="Prrafodelista"/>
        <w:widowControl w:val="0"/>
        <w:spacing w:before="240" w:after="0"/>
        <w:ind w:left="567" w:right="333"/>
        <w:jc w:val="both"/>
        <w:rPr>
          <w:rFonts w:ascii="Calibri Light" w:eastAsia="Calibri" w:hAnsi="Calibri Light" w:cs="Calibri Light"/>
          <w:bCs/>
          <w:i/>
          <w:sz w:val="23"/>
          <w:szCs w:val="23"/>
        </w:rPr>
      </w:pPr>
      <w:r w:rsidRPr="0038248B">
        <w:rPr>
          <w:rFonts w:ascii="Calibri Light" w:hAnsi="Calibri Light" w:cs="Calibri Light"/>
          <w:sz w:val="23"/>
          <w:szCs w:val="23"/>
        </w:rPr>
        <w:t xml:space="preserve">          </w:t>
      </w:r>
      <w:r w:rsidR="00421E1E" w:rsidRPr="0038248B">
        <w:rPr>
          <w:rFonts w:ascii="Calibri Light" w:hAnsi="Calibri Light" w:cs="Calibri Light"/>
          <w:sz w:val="23"/>
          <w:szCs w:val="23"/>
        </w:rPr>
        <w:t>c) Jubilación o Retiro.</w:t>
      </w:r>
      <w:r w:rsidR="00CF4032" w:rsidRPr="0038248B">
        <w:rPr>
          <w:rFonts w:ascii="Calibri Light" w:eastAsia="Calibri" w:hAnsi="Calibri Light" w:cs="Calibri Light"/>
          <w:bCs/>
          <w:i/>
          <w:sz w:val="23"/>
          <w:szCs w:val="23"/>
        </w:rPr>
        <w:t xml:space="preserve"> (…)”</w:t>
      </w:r>
    </w:p>
    <w:p w14:paraId="29E41DFE" w14:textId="77777777" w:rsidR="00CF4032" w:rsidRPr="002A5217" w:rsidRDefault="00CF4032" w:rsidP="002A5217">
      <w:pPr>
        <w:pStyle w:val="Sinespaciado"/>
        <w:rPr>
          <w:highlight w:val="yellow"/>
        </w:rPr>
      </w:pPr>
    </w:p>
    <w:p w14:paraId="26C4A4E5" w14:textId="1AFA96FC" w:rsidR="006D628E" w:rsidRDefault="008A5880" w:rsidP="00DC671E">
      <w:pPr>
        <w:widowControl w:val="0"/>
        <w:spacing w:before="240" w:line="360" w:lineRule="auto"/>
        <w:ind w:right="49"/>
        <w:jc w:val="both"/>
        <w:rPr>
          <w:rFonts w:ascii="Arial" w:hAnsi="Arial" w:cs="Arial"/>
          <w:sz w:val="24"/>
          <w:szCs w:val="24"/>
        </w:rPr>
      </w:pPr>
      <w:r w:rsidRPr="0017734F">
        <w:rPr>
          <w:rFonts w:ascii="Arial" w:eastAsia="Calibri" w:hAnsi="Arial" w:cs="Arial"/>
          <w:b/>
          <w:bCs/>
          <w:color w:val="000000"/>
          <w:sz w:val="24"/>
          <w:szCs w:val="24"/>
        </w:rPr>
        <w:t xml:space="preserve">      </w:t>
      </w:r>
      <w:r w:rsidR="00DC671E" w:rsidRPr="0017734F">
        <w:rPr>
          <w:rFonts w:ascii="Arial" w:eastAsia="Calibri" w:hAnsi="Arial" w:cs="Arial"/>
          <w:b/>
          <w:bCs/>
          <w:color w:val="000000"/>
          <w:sz w:val="24"/>
          <w:szCs w:val="24"/>
        </w:rPr>
        <w:t xml:space="preserve">   </w:t>
      </w:r>
      <w:r w:rsidRPr="0017734F">
        <w:rPr>
          <w:rFonts w:ascii="Arial" w:eastAsia="Calibri" w:hAnsi="Arial" w:cs="Arial"/>
          <w:b/>
          <w:bCs/>
          <w:color w:val="000000"/>
          <w:sz w:val="24"/>
          <w:szCs w:val="24"/>
        </w:rPr>
        <w:t>Ante ello</w:t>
      </w:r>
      <w:r w:rsidRPr="0017734F">
        <w:rPr>
          <w:rFonts w:ascii="Arial" w:eastAsia="Calibri" w:hAnsi="Arial" w:cs="Arial"/>
          <w:bCs/>
          <w:color w:val="000000"/>
          <w:sz w:val="24"/>
          <w:szCs w:val="24"/>
        </w:rPr>
        <w:t xml:space="preserve">, </w:t>
      </w:r>
      <w:r w:rsidR="00DC671E" w:rsidRPr="0017734F">
        <w:rPr>
          <w:rFonts w:ascii="Arial" w:eastAsia="Calibri" w:hAnsi="Arial" w:cs="Arial"/>
          <w:bCs/>
          <w:color w:val="000000"/>
          <w:sz w:val="24"/>
          <w:szCs w:val="24"/>
        </w:rPr>
        <w:t xml:space="preserve">la resolución de despido justificado de </w:t>
      </w:r>
      <w:r w:rsidR="00675A30">
        <w:rPr>
          <w:rFonts w:ascii="Arial" w:eastAsia="Calibri" w:hAnsi="Arial" w:cs="Arial"/>
          <w:bCs/>
          <w:color w:val="000000"/>
          <w:sz w:val="24"/>
          <w:szCs w:val="24"/>
        </w:rPr>
        <w:t xml:space="preserve">********** </w:t>
      </w:r>
      <w:r w:rsidR="00FA51DC" w:rsidRPr="0017734F">
        <w:rPr>
          <w:rFonts w:ascii="Arial" w:hAnsi="Arial" w:cs="Arial"/>
          <w:sz w:val="24"/>
          <w:szCs w:val="24"/>
        </w:rPr>
        <w:t xml:space="preserve">no </w:t>
      </w:r>
      <w:r w:rsidR="00B8682B">
        <w:rPr>
          <w:rFonts w:ascii="Arial" w:hAnsi="Arial" w:cs="Arial"/>
          <w:sz w:val="24"/>
          <w:szCs w:val="24"/>
        </w:rPr>
        <w:t xml:space="preserve">se </w:t>
      </w:r>
      <w:r w:rsidR="00396E47">
        <w:rPr>
          <w:rFonts w:ascii="Arial" w:hAnsi="Arial" w:cs="Arial"/>
          <w:sz w:val="24"/>
          <w:szCs w:val="24"/>
        </w:rPr>
        <w:t>advierte</w:t>
      </w:r>
      <w:r w:rsidR="00B8682B">
        <w:rPr>
          <w:rFonts w:ascii="Arial" w:hAnsi="Arial" w:cs="Arial"/>
          <w:sz w:val="24"/>
          <w:szCs w:val="24"/>
        </w:rPr>
        <w:t xml:space="preserve"> que est</w:t>
      </w:r>
      <w:r w:rsidR="00396E47">
        <w:rPr>
          <w:rFonts w:ascii="Arial" w:hAnsi="Arial" w:cs="Arial"/>
          <w:sz w:val="24"/>
          <w:szCs w:val="24"/>
        </w:rPr>
        <w:t>á</w:t>
      </w:r>
      <w:r w:rsidR="00B8682B">
        <w:rPr>
          <w:rFonts w:ascii="Arial" w:hAnsi="Arial" w:cs="Arial"/>
          <w:sz w:val="24"/>
          <w:szCs w:val="24"/>
        </w:rPr>
        <w:t xml:space="preserve"> indebidamente fundado y motivad</w:t>
      </w:r>
      <w:r w:rsidR="00396E47">
        <w:rPr>
          <w:rFonts w:ascii="Arial" w:hAnsi="Arial" w:cs="Arial"/>
          <w:sz w:val="24"/>
          <w:szCs w:val="24"/>
        </w:rPr>
        <w:t>o</w:t>
      </w:r>
      <w:r w:rsidR="00FA51DC" w:rsidRPr="0017734F">
        <w:rPr>
          <w:rFonts w:ascii="Arial" w:hAnsi="Arial" w:cs="Arial"/>
          <w:sz w:val="24"/>
          <w:szCs w:val="24"/>
        </w:rPr>
        <w:t xml:space="preserve">, puesto que </w:t>
      </w:r>
      <w:r w:rsidR="005C064C" w:rsidRPr="005C064C">
        <w:rPr>
          <w:rFonts w:ascii="Arial" w:eastAsia="Calibri" w:hAnsi="Arial" w:cs="Arial"/>
          <w:iCs/>
          <w:color w:val="000000"/>
          <w:sz w:val="24"/>
          <w:szCs w:val="24"/>
          <w:lang w:eastAsia="en-US"/>
        </w:rPr>
        <w:t>resulta</w:t>
      </w:r>
      <w:r w:rsidR="005C064C">
        <w:rPr>
          <w:rFonts w:ascii="Arial" w:eastAsia="Calibri" w:hAnsi="Arial" w:cs="Arial"/>
          <w:iCs/>
          <w:color w:val="000000"/>
          <w:sz w:val="24"/>
          <w:szCs w:val="24"/>
          <w:lang w:eastAsia="en-US"/>
        </w:rPr>
        <w:t>n</w:t>
      </w:r>
      <w:r w:rsidR="005C064C" w:rsidRPr="005C064C">
        <w:rPr>
          <w:rFonts w:ascii="Arial" w:eastAsia="Calibri" w:hAnsi="Arial" w:cs="Arial"/>
          <w:iCs/>
          <w:color w:val="000000"/>
          <w:sz w:val="24"/>
          <w:szCs w:val="24"/>
          <w:lang w:eastAsia="en-US"/>
        </w:rPr>
        <w:t xml:space="preserve"> inaplicable</w:t>
      </w:r>
      <w:r w:rsidR="00F5350F">
        <w:rPr>
          <w:rFonts w:ascii="Arial" w:eastAsia="Calibri" w:hAnsi="Arial" w:cs="Arial"/>
          <w:iCs/>
          <w:color w:val="000000"/>
          <w:sz w:val="24"/>
          <w:szCs w:val="24"/>
          <w:lang w:eastAsia="en-US"/>
        </w:rPr>
        <w:t>s</w:t>
      </w:r>
      <w:r w:rsidR="005C064C" w:rsidRPr="005C064C">
        <w:rPr>
          <w:rFonts w:ascii="Arial" w:eastAsia="Calibri" w:hAnsi="Arial" w:cs="Arial"/>
          <w:iCs/>
          <w:color w:val="000000"/>
          <w:sz w:val="24"/>
          <w:szCs w:val="24"/>
          <w:lang w:eastAsia="en-US"/>
        </w:rPr>
        <w:t xml:space="preserve"> al asunto </w:t>
      </w:r>
      <w:r w:rsidR="005C064C">
        <w:rPr>
          <w:rFonts w:ascii="Arial" w:eastAsia="Calibri" w:hAnsi="Arial" w:cs="Arial"/>
          <w:iCs/>
          <w:color w:val="000000"/>
          <w:sz w:val="24"/>
          <w:szCs w:val="24"/>
          <w:lang w:eastAsia="en-US"/>
        </w:rPr>
        <w:t xml:space="preserve">los preceptos legales invocados por la autoridad demandada, dado que </w:t>
      </w:r>
      <w:r w:rsidR="005C064C" w:rsidRPr="005C064C">
        <w:rPr>
          <w:rFonts w:ascii="Arial" w:eastAsia="Calibri" w:hAnsi="Arial" w:cs="Arial"/>
          <w:iCs/>
          <w:color w:val="000000"/>
          <w:sz w:val="24"/>
          <w:szCs w:val="24"/>
          <w:lang w:eastAsia="en-US"/>
        </w:rPr>
        <w:t xml:space="preserve">las características específicas de éste  impiden su adecuación o encuadre en la hipótesis normativa; </w:t>
      </w:r>
      <w:r w:rsidR="00F5350F">
        <w:rPr>
          <w:rFonts w:ascii="Arial" w:eastAsia="Calibri" w:hAnsi="Arial" w:cs="Arial"/>
          <w:iCs/>
          <w:color w:val="000000"/>
          <w:sz w:val="24"/>
          <w:szCs w:val="24"/>
          <w:lang w:eastAsia="en-US"/>
        </w:rPr>
        <w:t xml:space="preserve">teniendo </w:t>
      </w:r>
      <w:r w:rsidR="005C064C" w:rsidRPr="005C064C">
        <w:rPr>
          <w:rFonts w:ascii="Arial" w:eastAsia="Calibri" w:hAnsi="Arial" w:cs="Arial"/>
          <w:iCs/>
          <w:color w:val="000000"/>
          <w:sz w:val="24"/>
          <w:szCs w:val="24"/>
          <w:lang w:eastAsia="en-US"/>
        </w:rPr>
        <w:t>una incorrecta motivación,</w:t>
      </w:r>
      <w:r w:rsidR="00DC7D2F">
        <w:rPr>
          <w:rFonts w:ascii="Arial" w:eastAsia="Calibri" w:hAnsi="Arial" w:cs="Arial"/>
          <w:iCs/>
          <w:color w:val="000000"/>
          <w:sz w:val="24"/>
          <w:szCs w:val="24"/>
          <w:lang w:eastAsia="en-US"/>
        </w:rPr>
        <w:t xml:space="preserve"> al señalar</w:t>
      </w:r>
      <w:r w:rsidR="005C064C" w:rsidRPr="005C064C">
        <w:rPr>
          <w:rFonts w:ascii="Arial" w:eastAsia="Calibri" w:hAnsi="Arial" w:cs="Arial"/>
          <w:iCs/>
          <w:color w:val="000000"/>
          <w:sz w:val="24"/>
          <w:szCs w:val="24"/>
          <w:lang w:eastAsia="en-US"/>
        </w:rPr>
        <w:t xml:space="preserve"> razones que tiene </w:t>
      </w:r>
      <w:r w:rsidR="00DC7D2F">
        <w:rPr>
          <w:rFonts w:ascii="Arial" w:eastAsia="Calibri" w:hAnsi="Arial" w:cs="Arial"/>
          <w:iCs/>
          <w:color w:val="000000"/>
          <w:sz w:val="24"/>
          <w:szCs w:val="24"/>
          <w:lang w:eastAsia="en-US"/>
        </w:rPr>
        <w:t xml:space="preserve">a su consideración la demandada </w:t>
      </w:r>
      <w:r w:rsidR="005C064C" w:rsidRPr="005C064C">
        <w:rPr>
          <w:rFonts w:ascii="Arial" w:eastAsia="Calibri" w:hAnsi="Arial" w:cs="Arial"/>
          <w:iCs/>
          <w:color w:val="000000"/>
          <w:sz w:val="24"/>
          <w:szCs w:val="24"/>
          <w:lang w:eastAsia="en-US"/>
        </w:rPr>
        <w:t>para emitir el acto, per</w:t>
      </w:r>
      <w:r w:rsidR="0019635B">
        <w:rPr>
          <w:rFonts w:ascii="Arial" w:eastAsia="Calibri" w:hAnsi="Arial" w:cs="Arial"/>
          <w:iCs/>
          <w:color w:val="000000"/>
          <w:sz w:val="24"/>
          <w:szCs w:val="24"/>
          <w:lang w:eastAsia="en-US"/>
        </w:rPr>
        <w:t>o están</w:t>
      </w:r>
      <w:r w:rsidR="005C064C" w:rsidRPr="005C064C">
        <w:rPr>
          <w:rFonts w:ascii="Arial" w:eastAsia="Calibri" w:hAnsi="Arial" w:cs="Arial"/>
          <w:iCs/>
          <w:color w:val="000000"/>
          <w:sz w:val="24"/>
          <w:szCs w:val="24"/>
          <w:lang w:eastAsia="en-US"/>
        </w:rPr>
        <w:t xml:space="preserve"> en disonancia con el contenido de la norma legal que se aplica en el caso</w:t>
      </w:r>
      <w:r w:rsidR="00A31C0F">
        <w:rPr>
          <w:rFonts w:ascii="Arial" w:hAnsi="Arial" w:cs="Arial"/>
          <w:sz w:val="24"/>
          <w:szCs w:val="24"/>
        </w:rPr>
        <w:t xml:space="preserve">, es decir, </w:t>
      </w:r>
      <w:r w:rsidR="00FA51DC" w:rsidRPr="0017734F">
        <w:rPr>
          <w:rFonts w:ascii="Arial" w:hAnsi="Arial" w:cs="Arial"/>
          <w:sz w:val="24"/>
          <w:szCs w:val="24"/>
        </w:rPr>
        <w:t xml:space="preserve"> no hace un razonamiento pormenorizado de la conducta</w:t>
      </w:r>
      <w:r w:rsidR="00364622" w:rsidRPr="0017734F">
        <w:rPr>
          <w:rFonts w:ascii="Arial" w:hAnsi="Arial" w:cs="Arial"/>
          <w:sz w:val="24"/>
          <w:szCs w:val="24"/>
        </w:rPr>
        <w:t xml:space="preserve"> que</w:t>
      </w:r>
      <w:r w:rsidR="00FA51DC" w:rsidRPr="0017734F">
        <w:rPr>
          <w:rFonts w:ascii="Arial" w:hAnsi="Arial" w:cs="Arial"/>
          <w:sz w:val="24"/>
          <w:szCs w:val="24"/>
        </w:rPr>
        <w:t xml:space="preserve"> justifica</w:t>
      </w:r>
      <w:r w:rsidR="00364622" w:rsidRPr="0017734F">
        <w:rPr>
          <w:rFonts w:ascii="Arial" w:hAnsi="Arial" w:cs="Arial"/>
          <w:sz w:val="24"/>
          <w:szCs w:val="24"/>
        </w:rPr>
        <w:t>r</w:t>
      </w:r>
      <w:r w:rsidR="00FA51DC" w:rsidRPr="0017734F">
        <w:rPr>
          <w:rFonts w:ascii="Arial" w:hAnsi="Arial" w:cs="Arial"/>
          <w:sz w:val="24"/>
          <w:szCs w:val="24"/>
        </w:rPr>
        <w:t xml:space="preserve">a </w:t>
      </w:r>
      <w:r w:rsidR="00364622" w:rsidRPr="0017734F">
        <w:rPr>
          <w:rFonts w:ascii="Arial" w:hAnsi="Arial" w:cs="Arial"/>
          <w:sz w:val="24"/>
          <w:szCs w:val="24"/>
        </w:rPr>
        <w:t xml:space="preserve">fehacientemente </w:t>
      </w:r>
      <w:r w:rsidR="00FA51DC" w:rsidRPr="0017734F">
        <w:rPr>
          <w:rFonts w:ascii="Arial" w:hAnsi="Arial" w:cs="Arial"/>
          <w:sz w:val="24"/>
          <w:szCs w:val="24"/>
        </w:rPr>
        <w:t>su remoción de la policía municipal,</w:t>
      </w:r>
      <w:r w:rsidR="00C52FC2">
        <w:rPr>
          <w:rFonts w:ascii="Arial" w:hAnsi="Arial" w:cs="Arial"/>
          <w:sz w:val="24"/>
          <w:szCs w:val="24"/>
        </w:rPr>
        <w:t xml:space="preserve"> ni </w:t>
      </w:r>
      <w:r w:rsidR="00AC1BE9">
        <w:rPr>
          <w:rFonts w:ascii="Arial" w:hAnsi="Arial" w:cs="Arial"/>
          <w:sz w:val="24"/>
          <w:szCs w:val="24"/>
        </w:rPr>
        <w:t>se especificó</w:t>
      </w:r>
      <w:r w:rsidR="00C52FC2">
        <w:rPr>
          <w:rFonts w:ascii="Arial" w:hAnsi="Arial" w:cs="Arial"/>
          <w:sz w:val="24"/>
          <w:szCs w:val="24"/>
        </w:rPr>
        <w:t xml:space="preserve"> </w:t>
      </w:r>
      <w:r w:rsidR="00AC1BE9">
        <w:rPr>
          <w:rFonts w:ascii="Arial" w:hAnsi="Arial" w:cs="Arial"/>
          <w:sz w:val="24"/>
          <w:szCs w:val="24"/>
        </w:rPr>
        <w:t>en el acto</w:t>
      </w:r>
      <w:r w:rsidR="00C52FC2">
        <w:rPr>
          <w:rFonts w:ascii="Arial" w:hAnsi="Arial" w:cs="Arial"/>
          <w:sz w:val="24"/>
          <w:szCs w:val="24"/>
        </w:rPr>
        <w:t xml:space="preserve">  aquí </w:t>
      </w:r>
      <w:r w:rsidR="00AC1BE9">
        <w:rPr>
          <w:rFonts w:ascii="Arial" w:hAnsi="Arial" w:cs="Arial"/>
          <w:sz w:val="24"/>
          <w:szCs w:val="24"/>
        </w:rPr>
        <w:t>impugnado</w:t>
      </w:r>
      <w:r w:rsidR="00C52FC2">
        <w:rPr>
          <w:rFonts w:ascii="Arial" w:hAnsi="Arial" w:cs="Arial"/>
          <w:sz w:val="24"/>
          <w:szCs w:val="24"/>
        </w:rPr>
        <w:t xml:space="preserve"> </w:t>
      </w:r>
      <w:r w:rsidR="00AC1BE9">
        <w:rPr>
          <w:rFonts w:ascii="Arial" w:hAnsi="Arial" w:cs="Arial"/>
          <w:sz w:val="24"/>
          <w:szCs w:val="24"/>
        </w:rPr>
        <w:t>que hubiere sido</w:t>
      </w:r>
      <w:r w:rsidR="00C52FC2">
        <w:rPr>
          <w:rFonts w:ascii="Arial" w:hAnsi="Arial" w:cs="Arial"/>
          <w:sz w:val="24"/>
          <w:szCs w:val="24"/>
        </w:rPr>
        <w:t xml:space="preserve"> </w:t>
      </w:r>
      <w:r w:rsidR="00AC1BE9">
        <w:rPr>
          <w:rFonts w:ascii="Arial" w:hAnsi="Arial" w:cs="Arial"/>
          <w:sz w:val="24"/>
          <w:szCs w:val="24"/>
        </w:rPr>
        <w:t>emitido</w:t>
      </w:r>
      <w:r w:rsidR="00C52FC2">
        <w:rPr>
          <w:rFonts w:ascii="Arial" w:hAnsi="Arial" w:cs="Arial"/>
          <w:sz w:val="24"/>
          <w:szCs w:val="24"/>
        </w:rPr>
        <w:t xml:space="preserve"> en cumplimiento </w:t>
      </w:r>
      <w:r w:rsidR="00AC1BE9">
        <w:rPr>
          <w:rFonts w:ascii="Arial" w:hAnsi="Arial" w:cs="Arial"/>
          <w:sz w:val="24"/>
          <w:szCs w:val="24"/>
        </w:rPr>
        <w:t xml:space="preserve">a </w:t>
      </w:r>
      <w:r w:rsidR="00497CE8">
        <w:rPr>
          <w:rFonts w:ascii="Arial" w:hAnsi="Arial" w:cs="Arial"/>
          <w:sz w:val="24"/>
          <w:szCs w:val="24"/>
        </w:rPr>
        <w:t xml:space="preserve">una </w:t>
      </w:r>
      <w:r w:rsidR="00001CED">
        <w:rPr>
          <w:rFonts w:ascii="Arial" w:hAnsi="Arial" w:cs="Arial"/>
          <w:sz w:val="24"/>
          <w:szCs w:val="24"/>
        </w:rPr>
        <w:t>s</w:t>
      </w:r>
      <w:r w:rsidR="00AC1BE9">
        <w:rPr>
          <w:rFonts w:ascii="Arial" w:hAnsi="Arial" w:cs="Arial"/>
          <w:sz w:val="24"/>
          <w:szCs w:val="24"/>
        </w:rPr>
        <w:t xml:space="preserve">esión de </w:t>
      </w:r>
      <w:r w:rsidR="00CD03DC">
        <w:rPr>
          <w:rFonts w:ascii="Arial" w:hAnsi="Arial" w:cs="Arial"/>
          <w:sz w:val="24"/>
          <w:szCs w:val="24"/>
        </w:rPr>
        <w:t>c</w:t>
      </w:r>
      <w:r w:rsidR="00AC1BE9">
        <w:rPr>
          <w:rFonts w:ascii="Arial" w:hAnsi="Arial" w:cs="Arial"/>
          <w:sz w:val="24"/>
          <w:szCs w:val="24"/>
        </w:rPr>
        <w:t xml:space="preserve">abildo </w:t>
      </w:r>
      <w:r w:rsidR="00CD03DC">
        <w:rPr>
          <w:rFonts w:ascii="Arial" w:hAnsi="Arial" w:cs="Arial"/>
          <w:sz w:val="24"/>
          <w:szCs w:val="24"/>
        </w:rPr>
        <w:t>de</w:t>
      </w:r>
      <w:r w:rsidR="00735832">
        <w:rPr>
          <w:rFonts w:ascii="Arial" w:hAnsi="Arial" w:cs="Arial"/>
          <w:sz w:val="24"/>
          <w:szCs w:val="24"/>
        </w:rPr>
        <w:t xml:space="preserve">l Ayuntamiento de la Reforma, Putla, Oaxaca, </w:t>
      </w:r>
      <w:r w:rsidR="00AC1BE9">
        <w:rPr>
          <w:rFonts w:ascii="Arial" w:hAnsi="Arial" w:cs="Arial"/>
          <w:sz w:val="24"/>
          <w:szCs w:val="24"/>
        </w:rPr>
        <w:t xml:space="preserve">que resolvió lo </w:t>
      </w:r>
      <w:r w:rsidR="00497CE8">
        <w:rPr>
          <w:rFonts w:ascii="Arial" w:hAnsi="Arial" w:cs="Arial"/>
          <w:sz w:val="24"/>
          <w:szCs w:val="24"/>
        </w:rPr>
        <w:t>conducente</w:t>
      </w:r>
      <w:r w:rsidR="00AC1BE9">
        <w:rPr>
          <w:rFonts w:ascii="Arial" w:hAnsi="Arial" w:cs="Arial"/>
          <w:sz w:val="24"/>
          <w:szCs w:val="24"/>
        </w:rPr>
        <w:t xml:space="preserve"> al </w:t>
      </w:r>
      <w:r w:rsidR="00497CE8">
        <w:rPr>
          <w:rFonts w:ascii="Arial" w:hAnsi="Arial" w:cs="Arial"/>
          <w:sz w:val="24"/>
          <w:szCs w:val="24"/>
        </w:rPr>
        <w:t>despido</w:t>
      </w:r>
      <w:r w:rsidR="00AC1BE9">
        <w:rPr>
          <w:rFonts w:ascii="Arial" w:hAnsi="Arial" w:cs="Arial"/>
          <w:sz w:val="24"/>
          <w:szCs w:val="24"/>
        </w:rPr>
        <w:t>,</w:t>
      </w:r>
      <w:r w:rsidR="00FA51DC" w:rsidRPr="0017734F">
        <w:rPr>
          <w:rFonts w:ascii="Arial" w:hAnsi="Arial" w:cs="Arial"/>
          <w:sz w:val="24"/>
          <w:szCs w:val="24"/>
        </w:rPr>
        <w:t xml:space="preserve"> </w:t>
      </w:r>
      <w:r w:rsidR="002F6A14" w:rsidRPr="002F6A14">
        <w:rPr>
          <w:rFonts w:ascii="Arial" w:hAnsi="Arial" w:cs="Arial"/>
          <w:b/>
          <w:sz w:val="24"/>
          <w:szCs w:val="24"/>
        </w:rPr>
        <w:t>resultando</w:t>
      </w:r>
      <w:r w:rsidR="00AC1BE9">
        <w:rPr>
          <w:rFonts w:ascii="Arial" w:hAnsi="Arial" w:cs="Arial"/>
          <w:b/>
          <w:sz w:val="24"/>
          <w:szCs w:val="24"/>
        </w:rPr>
        <w:t xml:space="preserve"> con ello</w:t>
      </w:r>
      <w:r w:rsidR="002F6A14" w:rsidRPr="002F6A14">
        <w:rPr>
          <w:rFonts w:ascii="Arial" w:hAnsi="Arial" w:cs="Arial"/>
          <w:b/>
          <w:sz w:val="24"/>
          <w:szCs w:val="24"/>
        </w:rPr>
        <w:t xml:space="preserve"> ilegal la citada resolución</w:t>
      </w:r>
      <w:r w:rsidR="002F6A14">
        <w:rPr>
          <w:rFonts w:ascii="Arial" w:hAnsi="Arial" w:cs="Arial"/>
          <w:sz w:val="24"/>
          <w:szCs w:val="24"/>
        </w:rPr>
        <w:t>, al</w:t>
      </w:r>
      <w:r w:rsidR="00FA51DC" w:rsidRPr="0017734F">
        <w:rPr>
          <w:rFonts w:ascii="Arial" w:hAnsi="Arial" w:cs="Arial"/>
          <w:sz w:val="24"/>
          <w:szCs w:val="24"/>
        </w:rPr>
        <w:t xml:space="preserve"> incump</w:t>
      </w:r>
      <w:r w:rsidR="002F6A14">
        <w:rPr>
          <w:rFonts w:ascii="Arial" w:hAnsi="Arial" w:cs="Arial"/>
          <w:sz w:val="24"/>
          <w:szCs w:val="24"/>
        </w:rPr>
        <w:t>lir</w:t>
      </w:r>
      <w:r w:rsidR="00FA51DC" w:rsidRPr="0017734F">
        <w:rPr>
          <w:rFonts w:ascii="Arial" w:hAnsi="Arial" w:cs="Arial"/>
          <w:sz w:val="24"/>
          <w:szCs w:val="24"/>
        </w:rPr>
        <w:t xml:space="preserve"> el imperativo de</w:t>
      </w:r>
      <w:r w:rsidR="00236EB9">
        <w:rPr>
          <w:rFonts w:ascii="Arial" w:hAnsi="Arial" w:cs="Arial"/>
          <w:sz w:val="24"/>
          <w:szCs w:val="24"/>
        </w:rPr>
        <w:t xml:space="preserve"> una debida</w:t>
      </w:r>
      <w:r w:rsidR="00FA51DC" w:rsidRPr="0017734F">
        <w:rPr>
          <w:rFonts w:ascii="Arial" w:hAnsi="Arial" w:cs="Arial"/>
          <w:sz w:val="24"/>
          <w:szCs w:val="24"/>
        </w:rPr>
        <w:t xml:space="preserve"> fundamentación y motivación a que están obligados los actos administrativos en términos del artículo </w:t>
      </w:r>
      <w:r w:rsidR="00134ED1" w:rsidRPr="0017734F">
        <w:rPr>
          <w:rFonts w:ascii="Arial" w:hAnsi="Arial" w:cs="Arial"/>
          <w:sz w:val="24"/>
          <w:szCs w:val="24"/>
        </w:rPr>
        <w:t>1</w:t>
      </w:r>
      <w:r w:rsidR="00FA51DC" w:rsidRPr="0017734F">
        <w:rPr>
          <w:rFonts w:ascii="Arial" w:hAnsi="Arial" w:cs="Arial"/>
          <w:sz w:val="24"/>
          <w:szCs w:val="24"/>
        </w:rPr>
        <w:t>7 fracción V</w:t>
      </w:r>
      <w:r w:rsidR="00134ED1" w:rsidRPr="0017734F">
        <w:rPr>
          <w:rFonts w:ascii="Arial" w:hAnsi="Arial" w:cs="Arial"/>
          <w:sz w:val="24"/>
          <w:szCs w:val="24"/>
        </w:rPr>
        <w:t>,</w:t>
      </w:r>
      <w:r w:rsidR="00FA51DC" w:rsidRPr="0017734F">
        <w:rPr>
          <w:rFonts w:ascii="Arial" w:hAnsi="Arial" w:cs="Arial"/>
          <w:sz w:val="24"/>
          <w:szCs w:val="24"/>
        </w:rPr>
        <w:t xml:space="preserve"> de la Ley de </w:t>
      </w:r>
      <w:r w:rsidR="00134ED1" w:rsidRPr="0017734F">
        <w:rPr>
          <w:rFonts w:ascii="Arial" w:hAnsi="Arial" w:cs="Arial"/>
          <w:sz w:val="24"/>
          <w:szCs w:val="24"/>
        </w:rPr>
        <w:t xml:space="preserve">Procedimiento y </w:t>
      </w:r>
      <w:r w:rsidR="00FA51DC" w:rsidRPr="0017734F">
        <w:rPr>
          <w:rFonts w:ascii="Arial" w:hAnsi="Arial" w:cs="Arial"/>
          <w:sz w:val="24"/>
          <w:szCs w:val="24"/>
        </w:rPr>
        <w:t>Justicia Administrativa del Estado de Oaxaca, en relación con l</w:t>
      </w:r>
      <w:r w:rsidR="006D628E">
        <w:rPr>
          <w:rFonts w:ascii="Arial" w:hAnsi="Arial" w:cs="Arial"/>
          <w:sz w:val="24"/>
          <w:szCs w:val="24"/>
        </w:rPr>
        <w:t>os siguientes criterio jurisprudenciales.</w:t>
      </w:r>
    </w:p>
    <w:p w14:paraId="7067AFE5" w14:textId="3D1C1D87" w:rsidR="006D628E" w:rsidRPr="006D628E" w:rsidRDefault="006D628E" w:rsidP="006D628E">
      <w:pPr>
        <w:autoSpaceDE w:val="0"/>
        <w:autoSpaceDN w:val="0"/>
        <w:adjustRightInd w:val="0"/>
        <w:spacing w:after="0"/>
        <w:ind w:left="284" w:right="333"/>
        <w:jc w:val="both"/>
        <w:rPr>
          <w:rFonts w:ascii="Calibri Light" w:eastAsia="Calibri" w:hAnsi="Calibri Light" w:cs="Calibri Light"/>
          <w:i/>
          <w:iCs/>
          <w:color w:val="000000"/>
          <w:sz w:val="23"/>
          <w:szCs w:val="23"/>
          <w:lang w:eastAsia="en-US"/>
        </w:rPr>
      </w:pPr>
      <w:r w:rsidRPr="006D628E">
        <w:rPr>
          <w:rFonts w:ascii="Calibri Light" w:eastAsia="Calibri" w:hAnsi="Calibri Light" w:cs="Calibri Light"/>
          <w:i/>
          <w:iCs/>
          <w:color w:val="000000"/>
          <w:sz w:val="23"/>
          <w:szCs w:val="23"/>
          <w:lang w:eastAsia="en-US"/>
        </w:rPr>
        <w:lastRenderedPageBreak/>
        <w:t>“</w:t>
      </w:r>
      <w:r w:rsidRPr="006D628E">
        <w:rPr>
          <w:rFonts w:ascii="Calibri Light" w:eastAsia="Calibri" w:hAnsi="Calibri Light" w:cs="Calibri Light"/>
          <w:b/>
          <w:bCs/>
          <w:i/>
          <w:iCs/>
          <w:color w:val="000000"/>
          <w:sz w:val="23"/>
          <w:szCs w:val="23"/>
          <w:lang w:eastAsia="en-US"/>
        </w:rPr>
        <w:t>FUNDAMENTACIÓN Y MOTIVACIÓN. LA DIFERENCIA ENTRE LA FALTA Y LA INDEBIDA SATISFACCIÓN DE AMBOS REQUISITOS CONSTITUCIONALES TRASCIENDE AL ORDEN EN QUE DEBEN ESTUDIARSE LOS CONCEPTOS DE VIOLACIÓN Y A LOS EFECTOS DEL FALLO PROTECTOR.</w:t>
      </w:r>
      <w:r w:rsidRPr="006D628E">
        <w:rPr>
          <w:rFonts w:ascii="Calibri Light" w:eastAsia="Calibri" w:hAnsi="Calibri Light" w:cs="Calibri Light"/>
          <w:i/>
          <w:iCs/>
          <w:color w:val="000000"/>
          <w:sz w:val="23"/>
          <w:szCs w:val="23"/>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w:t>
      </w:r>
      <w:r w:rsidRPr="006D628E">
        <w:rPr>
          <w:rFonts w:ascii="Calibri Light" w:eastAsia="Calibri" w:hAnsi="Calibri Light" w:cs="Calibri Light"/>
          <w:i/>
          <w:iCs/>
          <w:color w:val="000000"/>
          <w:sz w:val="23"/>
          <w:szCs w:val="23"/>
          <w:lang w:eastAsia="en-US"/>
        </w:rPr>
        <w:lastRenderedPageBreak/>
        <w:t>de la indebida fundamentación y motivación, esto es, de la violación material o de fondo.”</w:t>
      </w:r>
      <w:r w:rsidR="00DA75E6">
        <w:rPr>
          <w:rStyle w:val="Refdenotaalpie"/>
          <w:rFonts w:ascii="Calibri Light" w:eastAsia="Calibri" w:hAnsi="Calibri Light" w:cs="Calibri Light"/>
          <w:i/>
          <w:iCs/>
          <w:color w:val="000000"/>
          <w:sz w:val="23"/>
          <w:szCs w:val="23"/>
          <w:lang w:eastAsia="en-US"/>
        </w:rPr>
        <w:footnoteReference w:id="13"/>
      </w:r>
    </w:p>
    <w:p w14:paraId="54D3D389" w14:textId="77777777" w:rsidR="006D628E" w:rsidRPr="0051494B" w:rsidRDefault="006D628E" w:rsidP="006D628E">
      <w:pPr>
        <w:autoSpaceDE w:val="0"/>
        <w:autoSpaceDN w:val="0"/>
        <w:adjustRightInd w:val="0"/>
        <w:spacing w:after="0" w:line="240" w:lineRule="auto"/>
        <w:rPr>
          <w:rFonts w:ascii="NimbusSanL" w:eastAsia="Calibri" w:hAnsi="NimbusSanL" w:cs="NimbusSanL"/>
          <w:color w:val="000000"/>
          <w:sz w:val="24"/>
          <w:szCs w:val="24"/>
          <w:lang w:eastAsia="en-US"/>
        </w:rPr>
      </w:pPr>
    </w:p>
    <w:p w14:paraId="42749A96" w14:textId="6FCE464E" w:rsidR="006D628E" w:rsidRPr="00DA75E6" w:rsidRDefault="00DA75E6" w:rsidP="00DA75E6">
      <w:pPr>
        <w:ind w:left="284" w:right="333"/>
        <w:jc w:val="both"/>
        <w:rPr>
          <w:rFonts w:ascii="Calibri Light" w:hAnsi="Calibri Light" w:cs="Calibri Light"/>
          <w:sz w:val="23"/>
          <w:szCs w:val="23"/>
        </w:rPr>
      </w:pPr>
      <w:r w:rsidRPr="00DA75E6">
        <w:rPr>
          <w:rFonts w:ascii="Calibri Light" w:hAnsi="Calibri Light" w:cs="Calibri Light"/>
          <w:sz w:val="23"/>
          <w:szCs w:val="23"/>
        </w:rPr>
        <w:t>“</w:t>
      </w:r>
      <w:r w:rsidRPr="00DA75E6">
        <w:rPr>
          <w:rFonts w:ascii="Calibri Light" w:hAnsi="Calibri Light" w:cs="Calibri Light"/>
          <w:b/>
          <w:sz w:val="23"/>
          <w:szCs w:val="23"/>
        </w:rPr>
        <w:t>FUNDAMENTACIÓN Y MOTIVACIÓN. SU DISTINCIÓN ENTRE SU FALTA Y CUANDO ES INDEBIDA.</w:t>
      </w:r>
      <w:r w:rsidRPr="00DA75E6">
        <w:rPr>
          <w:rFonts w:ascii="Calibri Light" w:hAnsi="Calibri Light" w:cs="Calibri Light"/>
          <w:sz w:val="23"/>
          <w:szCs w:val="23"/>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585D67">
        <w:rPr>
          <w:rStyle w:val="Refdenotaalpie"/>
          <w:rFonts w:ascii="Calibri Light" w:hAnsi="Calibri Light" w:cs="Calibri Light"/>
          <w:sz w:val="23"/>
          <w:szCs w:val="23"/>
        </w:rPr>
        <w:footnoteReference w:id="14"/>
      </w:r>
    </w:p>
    <w:p w14:paraId="02C15A89" w14:textId="77777777" w:rsidR="00AD1902" w:rsidRDefault="002F6A14" w:rsidP="002C45B7">
      <w:pPr>
        <w:widowControl w:val="0"/>
        <w:spacing w:before="240" w:line="360" w:lineRule="auto"/>
        <w:ind w:right="49"/>
        <w:jc w:val="both"/>
        <w:rPr>
          <w:rFonts w:ascii="Arial" w:eastAsia="Calibri" w:hAnsi="Arial" w:cs="Arial"/>
          <w:bCs/>
          <w:color w:val="000000"/>
          <w:sz w:val="24"/>
          <w:szCs w:val="24"/>
        </w:rPr>
      </w:pPr>
      <w:r w:rsidRPr="00B608D2">
        <w:rPr>
          <w:rFonts w:ascii="Arial" w:eastAsia="Calibri" w:hAnsi="Arial" w:cs="Arial"/>
          <w:bCs/>
          <w:color w:val="000000"/>
          <w:sz w:val="24"/>
          <w:szCs w:val="24"/>
        </w:rPr>
        <w:t xml:space="preserve">    </w:t>
      </w:r>
      <w:r w:rsidR="00AD1902">
        <w:rPr>
          <w:rFonts w:ascii="Arial" w:eastAsia="Calibri" w:hAnsi="Arial" w:cs="Arial"/>
          <w:bCs/>
          <w:color w:val="000000"/>
          <w:sz w:val="24"/>
          <w:szCs w:val="24"/>
        </w:rPr>
        <w:t xml:space="preserve">     </w:t>
      </w:r>
    </w:p>
    <w:p w14:paraId="1BD82A88" w14:textId="6C1B0DE7" w:rsidR="002C45B7" w:rsidRDefault="00AD1902" w:rsidP="002C45B7">
      <w:pPr>
        <w:widowControl w:val="0"/>
        <w:spacing w:before="240" w:line="360" w:lineRule="auto"/>
        <w:ind w:right="49"/>
        <w:jc w:val="both"/>
        <w:rPr>
          <w:rFonts w:ascii="Arial" w:eastAsia="Calibri" w:hAnsi="Arial" w:cs="Arial"/>
          <w:bCs/>
          <w:sz w:val="24"/>
          <w:szCs w:val="24"/>
        </w:rPr>
      </w:pPr>
      <w:r>
        <w:rPr>
          <w:rFonts w:ascii="Arial" w:eastAsia="Calibri" w:hAnsi="Arial" w:cs="Arial"/>
          <w:bCs/>
          <w:color w:val="000000"/>
          <w:sz w:val="24"/>
          <w:szCs w:val="24"/>
        </w:rPr>
        <w:t xml:space="preserve">        </w:t>
      </w:r>
      <w:r>
        <w:rPr>
          <w:rFonts w:ascii="Arial" w:eastAsia="Calibri" w:hAnsi="Arial" w:cs="Arial"/>
          <w:b/>
          <w:bCs/>
          <w:color w:val="000000"/>
          <w:sz w:val="24"/>
          <w:szCs w:val="24"/>
        </w:rPr>
        <w:t>Aunado a</w:t>
      </w:r>
      <w:r w:rsidR="002F6A14" w:rsidRPr="00B608D2">
        <w:rPr>
          <w:rFonts w:ascii="Arial" w:eastAsia="Calibri" w:hAnsi="Arial" w:cs="Arial"/>
          <w:b/>
          <w:bCs/>
          <w:color w:val="000000"/>
          <w:sz w:val="24"/>
          <w:szCs w:val="24"/>
        </w:rPr>
        <w:t xml:space="preserve"> lo anterior</w:t>
      </w:r>
      <w:r w:rsidR="002F6A14" w:rsidRPr="00B608D2">
        <w:rPr>
          <w:rFonts w:ascii="Arial" w:eastAsia="Calibri" w:hAnsi="Arial" w:cs="Arial"/>
          <w:bCs/>
          <w:color w:val="000000"/>
          <w:sz w:val="24"/>
          <w:szCs w:val="24"/>
        </w:rPr>
        <w:t xml:space="preserve">, </w:t>
      </w:r>
      <w:r w:rsidR="006128DB" w:rsidRPr="00B608D2">
        <w:rPr>
          <w:rFonts w:ascii="Arial" w:eastAsia="Calibri" w:hAnsi="Arial" w:cs="Arial"/>
          <w:bCs/>
          <w:color w:val="000000"/>
          <w:sz w:val="24"/>
          <w:szCs w:val="24"/>
        </w:rPr>
        <w:t xml:space="preserve">y como lo argumenta la actora en sus conceptos de impugnación, la emisión de la resolución impugnada </w:t>
      </w:r>
      <w:r w:rsidR="002C45B7" w:rsidRPr="00B608D2">
        <w:rPr>
          <w:rFonts w:ascii="Arial" w:eastAsia="Calibri" w:hAnsi="Arial" w:cs="Arial"/>
          <w:bCs/>
          <w:color w:val="000000"/>
          <w:sz w:val="24"/>
          <w:szCs w:val="24"/>
        </w:rPr>
        <w:t>transgrede los derechos fundamentales de igualdad y audiencia en perjuicio del aquí recurrente</w:t>
      </w:r>
      <w:r w:rsidR="002C45B7" w:rsidRPr="00B608D2">
        <w:rPr>
          <w:rFonts w:ascii="Arial" w:eastAsia="Calibri" w:hAnsi="Arial" w:cs="Arial"/>
          <w:bCs/>
          <w:color w:val="FF0000"/>
          <w:sz w:val="24"/>
          <w:szCs w:val="24"/>
        </w:rPr>
        <w:t xml:space="preserve">, </w:t>
      </w:r>
      <w:r w:rsidR="002C45B7" w:rsidRPr="00B608D2">
        <w:rPr>
          <w:rFonts w:ascii="Arial" w:eastAsia="Calibri" w:hAnsi="Arial" w:cs="Arial"/>
          <w:bCs/>
          <w:sz w:val="24"/>
          <w:szCs w:val="24"/>
        </w:rPr>
        <w:t>previstos en el</w:t>
      </w:r>
      <w:r w:rsidR="00FB1F9F">
        <w:rPr>
          <w:rFonts w:ascii="Arial" w:eastAsia="Calibri" w:hAnsi="Arial" w:cs="Arial"/>
          <w:bCs/>
          <w:sz w:val="24"/>
          <w:szCs w:val="24"/>
        </w:rPr>
        <w:t xml:space="preserve"> </w:t>
      </w:r>
      <w:r w:rsidR="002C45B7" w:rsidRPr="00B608D2">
        <w:rPr>
          <w:rFonts w:ascii="Arial" w:eastAsia="Calibri" w:hAnsi="Arial" w:cs="Arial"/>
          <w:bCs/>
          <w:sz w:val="24"/>
          <w:szCs w:val="24"/>
        </w:rPr>
        <w:t xml:space="preserve">artículo 14 de la Constitución </w:t>
      </w:r>
      <w:r w:rsidR="00FE7965">
        <w:rPr>
          <w:rFonts w:ascii="Arial" w:eastAsia="Calibri" w:hAnsi="Arial" w:cs="Arial"/>
          <w:bCs/>
          <w:sz w:val="24"/>
          <w:szCs w:val="24"/>
        </w:rPr>
        <w:t>Política del</w:t>
      </w:r>
      <w:r w:rsidR="00AC663A">
        <w:rPr>
          <w:rFonts w:ascii="Arial" w:eastAsia="Calibri" w:hAnsi="Arial" w:cs="Arial"/>
          <w:bCs/>
          <w:sz w:val="24"/>
          <w:szCs w:val="24"/>
        </w:rPr>
        <w:t xml:space="preserve"> </w:t>
      </w:r>
      <w:r w:rsidR="00FE7965">
        <w:rPr>
          <w:rFonts w:ascii="Arial" w:eastAsia="Calibri" w:hAnsi="Arial" w:cs="Arial"/>
          <w:bCs/>
          <w:sz w:val="24"/>
          <w:szCs w:val="24"/>
        </w:rPr>
        <w:t>os Estados Unidos Mexicanos.</w:t>
      </w:r>
    </w:p>
    <w:p w14:paraId="6BD1ED60" w14:textId="0ABB5CED" w:rsidR="00AC663A" w:rsidRDefault="00FB1F9F"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Dicho </w:t>
      </w:r>
      <w:r w:rsidR="00A0794F">
        <w:rPr>
          <w:rFonts w:ascii="Arial" w:eastAsia="Calibri" w:hAnsi="Arial" w:cs="Arial"/>
          <w:bCs/>
          <w:color w:val="000000"/>
          <w:sz w:val="24"/>
          <w:szCs w:val="24"/>
        </w:rPr>
        <w:t>precepto</w:t>
      </w:r>
      <w:r>
        <w:rPr>
          <w:rFonts w:ascii="Arial" w:eastAsia="Calibri" w:hAnsi="Arial" w:cs="Arial"/>
          <w:bCs/>
          <w:color w:val="000000"/>
          <w:sz w:val="24"/>
          <w:szCs w:val="24"/>
        </w:rPr>
        <w:t xml:space="preserve"> legal, contiene una serie de derechos fundamentales que establecen </w:t>
      </w:r>
      <w:r w:rsidR="006E406F">
        <w:rPr>
          <w:rFonts w:ascii="Arial" w:eastAsia="Calibri" w:hAnsi="Arial" w:cs="Arial"/>
          <w:bCs/>
          <w:color w:val="000000"/>
          <w:sz w:val="24"/>
          <w:szCs w:val="24"/>
        </w:rPr>
        <w:t xml:space="preserve">las formas y los </w:t>
      </w:r>
      <w:r w:rsidR="00A0794F">
        <w:rPr>
          <w:rFonts w:ascii="Arial" w:eastAsia="Calibri" w:hAnsi="Arial" w:cs="Arial"/>
          <w:bCs/>
          <w:color w:val="000000"/>
          <w:sz w:val="24"/>
          <w:szCs w:val="24"/>
        </w:rPr>
        <w:t>procedimientos</w:t>
      </w:r>
      <w:r w:rsidR="006E406F">
        <w:rPr>
          <w:rFonts w:ascii="Arial" w:eastAsia="Calibri" w:hAnsi="Arial" w:cs="Arial"/>
          <w:bCs/>
          <w:color w:val="000000"/>
          <w:sz w:val="24"/>
          <w:szCs w:val="24"/>
        </w:rPr>
        <w:t xml:space="preserve"> a que deben sujetarse las autoridades para </w:t>
      </w:r>
      <w:r w:rsidR="00A0794F">
        <w:rPr>
          <w:rFonts w:ascii="Arial" w:eastAsia="Calibri" w:hAnsi="Arial" w:cs="Arial"/>
          <w:bCs/>
          <w:color w:val="000000"/>
          <w:sz w:val="24"/>
          <w:szCs w:val="24"/>
        </w:rPr>
        <w:t>lícitamente</w:t>
      </w:r>
      <w:r w:rsidR="006E406F">
        <w:rPr>
          <w:rFonts w:ascii="Arial" w:eastAsia="Calibri" w:hAnsi="Arial" w:cs="Arial"/>
          <w:bCs/>
          <w:color w:val="000000"/>
          <w:sz w:val="24"/>
          <w:szCs w:val="24"/>
        </w:rPr>
        <w:t xml:space="preserve"> invadir el </w:t>
      </w:r>
      <w:r w:rsidR="00A0794F">
        <w:rPr>
          <w:rFonts w:ascii="Arial" w:eastAsia="Calibri" w:hAnsi="Arial" w:cs="Arial"/>
          <w:bCs/>
          <w:color w:val="000000"/>
          <w:sz w:val="24"/>
          <w:szCs w:val="24"/>
        </w:rPr>
        <w:t>campo</w:t>
      </w:r>
      <w:r w:rsidR="006E406F">
        <w:rPr>
          <w:rFonts w:ascii="Arial" w:eastAsia="Calibri" w:hAnsi="Arial" w:cs="Arial"/>
          <w:bCs/>
          <w:color w:val="000000"/>
          <w:sz w:val="24"/>
          <w:szCs w:val="24"/>
        </w:rPr>
        <w:t xml:space="preserve"> de las libertades </w:t>
      </w:r>
      <w:r w:rsidR="00A0794F">
        <w:rPr>
          <w:rFonts w:ascii="Arial" w:eastAsia="Calibri" w:hAnsi="Arial" w:cs="Arial"/>
          <w:bCs/>
          <w:color w:val="000000"/>
          <w:sz w:val="24"/>
          <w:szCs w:val="24"/>
        </w:rPr>
        <w:t>individuales</w:t>
      </w:r>
      <w:r w:rsidR="006E406F">
        <w:rPr>
          <w:rFonts w:ascii="Arial" w:eastAsia="Calibri" w:hAnsi="Arial" w:cs="Arial"/>
          <w:bCs/>
          <w:color w:val="000000"/>
          <w:sz w:val="24"/>
          <w:szCs w:val="24"/>
        </w:rPr>
        <w:t xml:space="preserve">, de todo gobernado respetando el orden </w:t>
      </w:r>
      <w:r w:rsidR="00A0794F">
        <w:rPr>
          <w:rFonts w:ascii="Arial" w:eastAsia="Calibri" w:hAnsi="Arial" w:cs="Arial"/>
          <w:bCs/>
          <w:color w:val="000000"/>
          <w:sz w:val="24"/>
          <w:szCs w:val="24"/>
        </w:rPr>
        <w:t>público</w:t>
      </w:r>
      <w:r w:rsidR="006E406F">
        <w:rPr>
          <w:rFonts w:ascii="Arial" w:eastAsia="Calibri" w:hAnsi="Arial" w:cs="Arial"/>
          <w:bCs/>
          <w:color w:val="000000"/>
          <w:sz w:val="24"/>
          <w:szCs w:val="24"/>
        </w:rPr>
        <w:t xml:space="preserve"> ne</w:t>
      </w:r>
      <w:r w:rsidR="00A0794F">
        <w:rPr>
          <w:rFonts w:ascii="Arial" w:eastAsia="Calibri" w:hAnsi="Arial" w:cs="Arial"/>
          <w:bCs/>
          <w:color w:val="000000"/>
          <w:sz w:val="24"/>
          <w:szCs w:val="24"/>
        </w:rPr>
        <w:t>cesario</w:t>
      </w:r>
      <w:r w:rsidR="006E406F">
        <w:rPr>
          <w:rFonts w:ascii="Arial" w:eastAsia="Calibri" w:hAnsi="Arial" w:cs="Arial"/>
          <w:bCs/>
          <w:color w:val="000000"/>
          <w:sz w:val="24"/>
          <w:szCs w:val="24"/>
        </w:rPr>
        <w:t xml:space="preserve"> para </w:t>
      </w:r>
      <w:r w:rsidR="00DE3607">
        <w:rPr>
          <w:rFonts w:ascii="Arial" w:eastAsia="Calibri" w:hAnsi="Arial" w:cs="Arial"/>
          <w:bCs/>
          <w:color w:val="000000"/>
          <w:sz w:val="24"/>
          <w:szCs w:val="24"/>
        </w:rPr>
        <w:t>toda</w:t>
      </w:r>
      <w:r w:rsidR="006E406F">
        <w:rPr>
          <w:rFonts w:ascii="Arial" w:eastAsia="Calibri" w:hAnsi="Arial" w:cs="Arial"/>
          <w:bCs/>
          <w:color w:val="000000"/>
          <w:sz w:val="24"/>
          <w:szCs w:val="24"/>
        </w:rPr>
        <w:t xml:space="preserve"> </w:t>
      </w:r>
      <w:r w:rsidR="00DE3607">
        <w:rPr>
          <w:rFonts w:ascii="Arial" w:eastAsia="Calibri" w:hAnsi="Arial" w:cs="Arial"/>
          <w:bCs/>
          <w:color w:val="000000"/>
          <w:sz w:val="24"/>
          <w:szCs w:val="24"/>
        </w:rPr>
        <w:t>sociedad</w:t>
      </w:r>
      <w:r w:rsidR="006E406F">
        <w:rPr>
          <w:rFonts w:ascii="Arial" w:eastAsia="Calibri" w:hAnsi="Arial" w:cs="Arial"/>
          <w:bCs/>
          <w:color w:val="000000"/>
          <w:sz w:val="24"/>
          <w:szCs w:val="24"/>
        </w:rPr>
        <w:t xml:space="preserve"> </w:t>
      </w:r>
      <w:r w:rsidR="00DE3607">
        <w:rPr>
          <w:rFonts w:ascii="Arial" w:eastAsia="Calibri" w:hAnsi="Arial" w:cs="Arial"/>
          <w:bCs/>
          <w:color w:val="000000"/>
          <w:sz w:val="24"/>
          <w:szCs w:val="24"/>
        </w:rPr>
        <w:t>organizada</w:t>
      </w:r>
      <w:r w:rsidR="006E406F">
        <w:rPr>
          <w:rFonts w:ascii="Arial" w:eastAsia="Calibri" w:hAnsi="Arial" w:cs="Arial"/>
          <w:bCs/>
          <w:color w:val="000000"/>
          <w:sz w:val="24"/>
          <w:szCs w:val="24"/>
        </w:rPr>
        <w:t>.</w:t>
      </w:r>
    </w:p>
    <w:p w14:paraId="1E7720B8" w14:textId="39E13303" w:rsidR="006E406F" w:rsidRDefault="006E406F"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La serie de requisitos, condiciones o elementos a </w:t>
      </w:r>
      <w:r w:rsidR="00DE3607">
        <w:rPr>
          <w:rFonts w:ascii="Arial" w:eastAsia="Calibri" w:hAnsi="Arial" w:cs="Arial"/>
          <w:bCs/>
          <w:color w:val="000000"/>
          <w:sz w:val="24"/>
          <w:szCs w:val="24"/>
        </w:rPr>
        <w:t>cumplimentar</w:t>
      </w:r>
      <w:r>
        <w:rPr>
          <w:rFonts w:ascii="Arial" w:eastAsia="Calibri" w:hAnsi="Arial" w:cs="Arial"/>
          <w:bCs/>
          <w:color w:val="000000"/>
          <w:sz w:val="24"/>
          <w:szCs w:val="24"/>
        </w:rPr>
        <w:t xml:space="preserve"> en todo </w:t>
      </w:r>
      <w:r w:rsidR="00DE3607">
        <w:rPr>
          <w:rFonts w:ascii="Arial" w:eastAsia="Calibri" w:hAnsi="Arial" w:cs="Arial"/>
          <w:bCs/>
          <w:color w:val="000000"/>
          <w:sz w:val="24"/>
          <w:szCs w:val="24"/>
        </w:rPr>
        <w:t>procedimiento</w:t>
      </w:r>
      <w:r>
        <w:rPr>
          <w:rFonts w:ascii="Arial" w:eastAsia="Calibri" w:hAnsi="Arial" w:cs="Arial"/>
          <w:bCs/>
          <w:color w:val="000000"/>
          <w:sz w:val="24"/>
          <w:szCs w:val="24"/>
        </w:rPr>
        <w:t xml:space="preserve"> constituye la </w:t>
      </w:r>
      <w:r w:rsidR="00DE3607">
        <w:rPr>
          <w:rFonts w:ascii="Arial" w:eastAsia="Calibri" w:hAnsi="Arial" w:cs="Arial"/>
          <w:bCs/>
          <w:color w:val="000000"/>
          <w:sz w:val="24"/>
          <w:szCs w:val="24"/>
        </w:rPr>
        <w:t>garantía</w:t>
      </w:r>
      <w:r>
        <w:rPr>
          <w:rFonts w:ascii="Arial" w:eastAsia="Calibri" w:hAnsi="Arial" w:cs="Arial"/>
          <w:bCs/>
          <w:color w:val="000000"/>
          <w:sz w:val="24"/>
          <w:szCs w:val="24"/>
        </w:rPr>
        <w:t xml:space="preserve"> de seguridad jurídica.</w:t>
      </w:r>
    </w:p>
    <w:p w14:paraId="7D9C04DD" w14:textId="2DBFA6EF" w:rsidR="006E406F" w:rsidRDefault="006E406F"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La </w:t>
      </w:r>
      <w:r w:rsidR="00DE3607">
        <w:rPr>
          <w:rFonts w:ascii="Arial" w:eastAsia="Calibri" w:hAnsi="Arial" w:cs="Arial"/>
          <w:bCs/>
          <w:color w:val="000000"/>
          <w:sz w:val="24"/>
          <w:szCs w:val="24"/>
        </w:rPr>
        <w:t>seguridad</w:t>
      </w:r>
      <w:r>
        <w:rPr>
          <w:rFonts w:ascii="Arial" w:eastAsia="Calibri" w:hAnsi="Arial" w:cs="Arial"/>
          <w:bCs/>
          <w:color w:val="000000"/>
          <w:sz w:val="24"/>
          <w:szCs w:val="24"/>
        </w:rPr>
        <w:t xml:space="preserve"> jurídica, consagrada en la Ley Fundamental, se manifiesta como </w:t>
      </w:r>
      <w:r w:rsidR="00444B6A">
        <w:rPr>
          <w:rFonts w:ascii="Arial" w:eastAsia="Calibri" w:hAnsi="Arial" w:cs="Arial"/>
          <w:bCs/>
          <w:color w:val="000000"/>
          <w:sz w:val="24"/>
          <w:szCs w:val="24"/>
        </w:rPr>
        <w:t xml:space="preserve">la sustancia de diversos derechos fundamentales del gobernado </w:t>
      </w:r>
      <w:r w:rsidR="00DE3607">
        <w:rPr>
          <w:rFonts w:ascii="Arial" w:eastAsia="Calibri" w:hAnsi="Arial" w:cs="Arial"/>
          <w:bCs/>
          <w:color w:val="000000"/>
          <w:sz w:val="24"/>
          <w:szCs w:val="24"/>
        </w:rPr>
        <w:t>oponibles</w:t>
      </w:r>
      <w:r w:rsidR="00444B6A">
        <w:rPr>
          <w:rFonts w:ascii="Arial" w:eastAsia="Calibri" w:hAnsi="Arial" w:cs="Arial"/>
          <w:bCs/>
          <w:color w:val="000000"/>
          <w:sz w:val="24"/>
          <w:szCs w:val="24"/>
        </w:rPr>
        <w:t xml:space="preserve"> y </w:t>
      </w:r>
      <w:r w:rsidR="00DE3607">
        <w:rPr>
          <w:rFonts w:ascii="Arial" w:eastAsia="Calibri" w:hAnsi="Arial" w:cs="Arial"/>
          <w:bCs/>
          <w:color w:val="000000"/>
          <w:sz w:val="24"/>
          <w:szCs w:val="24"/>
        </w:rPr>
        <w:t>exigibles</w:t>
      </w:r>
      <w:r w:rsidR="00444B6A">
        <w:rPr>
          <w:rFonts w:ascii="Arial" w:eastAsia="Calibri" w:hAnsi="Arial" w:cs="Arial"/>
          <w:bCs/>
          <w:color w:val="000000"/>
          <w:sz w:val="24"/>
          <w:szCs w:val="24"/>
        </w:rPr>
        <w:t xml:space="preserve"> </w:t>
      </w:r>
      <w:r w:rsidR="00DE3607">
        <w:rPr>
          <w:rFonts w:ascii="Arial" w:eastAsia="Calibri" w:hAnsi="Arial" w:cs="Arial"/>
          <w:bCs/>
          <w:color w:val="000000"/>
          <w:sz w:val="24"/>
          <w:szCs w:val="24"/>
        </w:rPr>
        <w:t>al</w:t>
      </w:r>
      <w:r w:rsidR="00444B6A">
        <w:rPr>
          <w:rFonts w:ascii="Arial" w:eastAsia="Calibri" w:hAnsi="Arial" w:cs="Arial"/>
          <w:bCs/>
          <w:color w:val="000000"/>
          <w:sz w:val="24"/>
          <w:szCs w:val="24"/>
        </w:rPr>
        <w:t xml:space="preserve"> </w:t>
      </w:r>
      <w:r w:rsidR="00DE3607">
        <w:rPr>
          <w:rFonts w:ascii="Arial" w:eastAsia="Calibri" w:hAnsi="Arial" w:cs="Arial"/>
          <w:bCs/>
          <w:color w:val="000000"/>
          <w:sz w:val="24"/>
          <w:szCs w:val="24"/>
        </w:rPr>
        <w:t>Estado</w:t>
      </w:r>
      <w:r w:rsidR="00444B6A">
        <w:rPr>
          <w:rFonts w:ascii="Arial" w:eastAsia="Calibri" w:hAnsi="Arial" w:cs="Arial"/>
          <w:bCs/>
          <w:color w:val="000000"/>
          <w:sz w:val="24"/>
          <w:szCs w:val="24"/>
        </w:rPr>
        <w:t xml:space="preserve">, como son los de legalidad, audiencia, debido proceso y </w:t>
      </w:r>
      <w:r w:rsidR="00DE3607">
        <w:rPr>
          <w:rFonts w:ascii="Arial" w:eastAsia="Calibri" w:hAnsi="Arial" w:cs="Arial"/>
          <w:bCs/>
          <w:color w:val="000000"/>
          <w:sz w:val="24"/>
          <w:szCs w:val="24"/>
        </w:rPr>
        <w:t>exacta</w:t>
      </w:r>
      <w:r w:rsidR="00444B6A">
        <w:rPr>
          <w:rFonts w:ascii="Arial" w:eastAsia="Calibri" w:hAnsi="Arial" w:cs="Arial"/>
          <w:bCs/>
          <w:color w:val="000000"/>
          <w:sz w:val="24"/>
          <w:szCs w:val="24"/>
        </w:rPr>
        <w:t xml:space="preserve"> aplicación de la ley</w:t>
      </w:r>
      <w:r w:rsidR="005C30CD">
        <w:rPr>
          <w:rFonts w:ascii="Arial" w:eastAsia="Calibri" w:hAnsi="Arial" w:cs="Arial"/>
          <w:bCs/>
          <w:color w:val="000000"/>
          <w:sz w:val="24"/>
          <w:szCs w:val="24"/>
        </w:rPr>
        <w:t>.</w:t>
      </w:r>
    </w:p>
    <w:p w14:paraId="468ED693" w14:textId="7A2FF01E" w:rsidR="005C30CD" w:rsidRDefault="005C30CD"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Así, para que se cumpla la garantía de audiencia conforme al citado precepto constitucional</w:t>
      </w:r>
      <w:r w:rsidR="00B307F0">
        <w:rPr>
          <w:rFonts w:ascii="Arial" w:eastAsia="Calibri" w:hAnsi="Arial" w:cs="Arial"/>
          <w:bCs/>
          <w:color w:val="000000"/>
          <w:sz w:val="24"/>
          <w:szCs w:val="24"/>
        </w:rPr>
        <w:t>, es menester tener la oportunidad de defenderse en forma previa al acto privativo de los</w:t>
      </w:r>
      <w:r w:rsidR="00DE3607">
        <w:rPr>
          <w:rFonts w:ascii="Arial" w:eastAsia="Calibri" w:hAnsi="Arial" w:cs="Arial"/>
          <w:bCs/>
          <w:color w:val="000000"/>
          <w:sz w:val="24"/>
          <w:szCs w:val="24"/>
        </w:rPr>
        <w:t xml:space="preserve"> </w:t>
      </w:r>
      <w:r w:rsidR="00B307F0">
        <w:rPr>
          <w:rFonts w:ascii="Arial" w:eastAsia="Calibri" w:hAnsi="Arial" w:cs="Arial"/>
          <w:bCs/>
          <w:color w:val="000000"/>
          <w:sz w:val="24"/>
          <w:szCs w:val="24"/>
        </w:rPr>
        <w:t xml:space="preserve">bienes jurídicos tuteados por la constitución como la vida, la libertad, </w:t>
      </w:r>
      <w:r w:rsidR="00DE3607">
        <w:rPr>
          <w:rFonts w:ascii="Arial" w:eastAsia="Calibri" w:hAnsi="Arial" w:cs="Arial"/>
          <w:bCs/>
          <w:color w:val="000000"/>
          <w:sz w:val="24"/>
          <w:szCs w:val="24"/>
        </w:rPr>
        <w:t>a la propiedad</w:t>
      </w:r>
      <w:r w:rsidR="00B307F0">
        <w:rPr>
          <w:rFonts w:ascii="Arial" w:eastAsia="Calibri" w:hAnsi="Arial" w:cs="Arial"/>
          <w:bCs/>
          <w:color w:val="000000"/>
          <w:sz w:val="24"/>
          <w:szCs w:val="24"/>
        </w:rPr>
        <w:t xml:space="preserve">, los derechos, papeles y </w:t>
      </w:r>
      <w:r w:rsidR="00EE5B00">
        <w:rPr>
          <w:rFonts w:ascii="Arial" w:eastAsia="Calibri" w:hAnsi="Arial" w:cs="Arial"/>
          <w:bCs/>
          <w:color w:val="000000"/>
          <w:sz w:val="24"/>
          <w:szCs w:val="24"/>
        </w:rPr>
        <w:t xml:space="preserve">posesión, </w:t>
      </w:r>
      <w:r w:rsidR="00DE3607">
        <w:rPr>
          <w:rFonts w:ascii="Arial" w:eastAsia="Calibri" w:hAnsi="Arial" w:cs="Arial"/>
          <w:bCs/>
          <w:color w:val="000000"/>
          <w:sz w:val="24"/>
          <w:szCs w:val="24"/>
        </w:rPr>
        <w:t>garantía</w:t>
      </w:r>
      <w:r w:rsidR="00EE5B00">
        <w:rPr>
          <w:rFonts w:ascii="Arial" w:eastAsia="Calibri" w:hAnsi="Arial" w:cs="Arial"/>
          <w:bCs/>
          <w:color w:val="000000"/>
          <w:sz w:val="24"/>
          <w:szCs w:val="24"/>
        </w:rPr>
        <w:t xml:space="preserve"> que se salvaguarda cuando:</w:t>
      </w:r>
    </w:p>
    <w:p w14:paraId="7AF846D4" w14:textId="0AD54A71" w:rsidR="00EE5B00" w:rsidRDefault="00EE5B00" w:rsidP="00EE5B00">
      <w:pPr>
        <w:pStyle w:val="Prrafodelista"/>
        <w:widowControl w:val="0"/>
        <w:numPr>
          <w:ilvl w:val="0"/>
          <w:numId w:val="27"/>
        </w:numPr>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Se notifique al interesado el inicio del </w:t>
      </w:r>
      <w:r w:rsidR="00A0794F">
        <w:rPr>
          <w:rFonts w:ascii="Arial" w:eastAsia="Calibri" w:hAnsi="Arial" w:cs="Arial"/>
          <w:bCs/>
          <w:color w:val="000000"/>
          <w:sz w:val="24"/>
          <w:szCs w:val="24"/>
        </w:rPr>
        <w:t>procedimiento</w:t>
      </w:r>
      <w:r>
        <w:rPr>
          <w:rFonts w:ascii="Arial" w:eastAsia="Calibri" w:hAnsi="Arial" w:cs="Arial"/>
          <w:bCs/>
          <w:color w:val="000000"/>
          <w:sz w:val="24"/>
          <w:szCs w:val="24"/>
        </w:rPr>
        <w:t xml:space="preserve"> </w:t>
      </w:r>
      <w:r w:rsidR="00DE3607">
        <w:rPr>
          <w:rFonts w:ascii="Arial" w:eastAsia="Calibri" w:hAnsi="Arial" w:cs="Arial"/>
          <w:bCs/>
          <w:color w:val="000000"/>
          <w:sz w:val="24"/>
          <w:szCs w:val="24"/>
        </w:rPr>
        <w:t>respectivo</w:t>
      </w:r>
      <w:r>
        <w:rPr>
          <w:rFonts w:ascii="Arial" w:eastAsia="Calibri" w:hAnsi="Arial" w:cs="Arial"/>
          <w:bCs/>
          <w:color w:val="000000"/>
          <w:sz w:val="24"/>
          <w:szCs w:val="24"/>
        </w:rPr>
        <w:t xml:space="preserve">, así </w:t>
      </w:r>
      <w:r>
        <w:rPr>
          <w:rFonts w:ascii="Arial" w:eastAsia="Calibri" w:hAnsi="Arial" w:cs="Arial"/>
          <w:bCs/>
          <w:color w:val="000000"/>
          <w:sz w:val="24"/>
          <w:szCs w:val="24"/>
        </w:rPr>
        <w:lastRenderedPageBreak/>
        <w:t xml:space="preserve">como sus </w:t>
      </w:r>
      <w:r w:rsidR="00DE3607">
        <w:rPr>
          <w:rFonts w:ascii="Arial" w:eastAsia="Calibri" w:hAnsi="Arial" w:cs="Arial"/>
          <w:bCs/>
          <w:color w:val="000000"/>
          <w:sz w:val="24"/>
          <w:szCs w:val="24"/>
        </w:rPr>
        <w:t>consecuencias</w:t>
      </w:r>
      <w:r>
        <w:rPr>
          <w:rFonts w:ascii="Arial" w:eastAsia="Calibri" w:hAnsi="Arial" w:cs="Arial"/>
          <w:bCs/>
          <w:color w:val="000000"/>
          <w:sz w:val="24"/>
          <w:szCs w:val="24"/>
        </w:rPr>
        <w:t>;</w:t>
      </w:r>
    </w:p>
    <w:p w14:paraId="49E151E7" w14:textId="1BB9580C" w:rsidR="00EE5B00" w:rsidRDefault="00EE5B00" w:rsidP="00EE5B00">
      <w:pPr>
        <w:pStyle w:val="Prrafodelista"/>
        <w:widowControl w:val="0"/>
        <w:numPr>
          <w:ilvl w:val="0"/>
          <w:numId w:val="27"/>
        </w:numPr>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Se dé la oportunidad de ofrecer </w:t>
      </w:r>
      <w:r w:rsidR="00A0794F">
        <w:rPr>
          <w:rFonts w:ascii="Arial" w:eastAsia="Calibri" w:hAnsi="Arial" w:cs="Arial"/>
          <w:bCs/>
          <w:color w:val="000000"/>
          <w:sz w:val="24"/>
          <w:szCs w:val="24"/>
        </w:rPr>
        <w:t xml:space="preserve">y </w:t>
      </w:r>
      <w:r w:rsidR="00DE3607">
        <w:rPr>
          <w:rFonts w:ascii="Arial" w:eastAsia="Calibri" w:hAnsi="Arial" w:cs="Arial"/>
          <w:bCs/>
          <w:color w:val="000000"/>
          <w:sz w:val="24"/>
          <w:szCs w:val="24"/>
        </w:rPr>
        <w:t>desahogar</w:t>
      </w:r>
      <w:r w:rsidR="00A0794F">
        <w:rPr>
          <w:rFonts w:ascii="Arial" w:eastAsia="Calibri" w:hAnsi="Arial" w:cs="Arial"/>
          <w:bCs/>
          <w:color w:val="000000"/>
          <w:sz w:val="24"/>
          <w:szCs w:val="24"/>
        </w:rPr>
        <w:t xml:space="preserve"> </w:t>
      </w:r>
      <w:r w:rsidR="00DE3607">
        <w:rPr>
          <w:rFonts w:ascii="Arial" w:eastAsia="Calibri" w:hAnsi="Arial" w:cs="Arial"/>
          <w:bCs/>
          <w:color w:val="000000"/>
          <w:sz w:val="24"/>
          <w:szCs w:val="24"/>
        </w:rPr>
        <w:t>las</w:t>
      </w:r>
      <w:r w:rsidR="00A0794F">
        <w:rPr>
          <w:rFonts w:ascii="Arial" w:eastAsia="Calibri" w:hAnsi="Arial" w:cs="Arial"/>
          <w:bCs/>
          <w:color w:val="000000"/>
          <w:sz w:val="24"/>
          <w:szCs w:val="24"/>
        </w:rPr>
        <w:t xml:space="preserve"> pruebas en que finque su defensa.</w:t>
      </w:r>
    </w:p>
    <w:p w14:paraId="3638C087" w14:textId="131BA0C5" w:rsidR="00A0794F" w:rsidRDefault="00A0794F" w:rsidP="00EE5B00">
      <w:pPr>
        <w:pStyle w:val="Prrafodelista"/>
        <w:widowControl w:val="0"/>
        <w:numPr>
          <w:ilvl w:val="0"/>
          <w:numId w:val="27"/>
        </w:numPr>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Se dicte una </w:t>
      </w:r>
      <w:r w:rsidR="00DE3607">
        <w:rPr>
          <w:rFonts w:ascii="Arial" w:eastAsia="Calibri" w:hAnsi="Arial" w:cs="Arial"/>
          <w:bCs/>
          <w:color w:val="000000"/>
          <w:sz w:val="24"/>
          <w:szCs w:val="24"/>
        </w:rPr>
        <w:t>resolución</w:t>
      </w:r>
      <w:r>
        <w:rPr>
          <w:rFonts w:ascii="Arial" w:eastAsia="Calibri" w:hAnsi="Arial" w:cs="Arial"/>
          <w:bCs/>
          <w:color w:val="000000"/>
          <w:sz w:val="24"/>
          <w:szCs w:val="24"/>
        </w:rPr>
        <w:t xml:space="preserve"> que dirima las cuestiones </w:t>
      </w:r>
      <w:r w:rsidR="00DE3607">
        <w:rPr>
          <w:rFonts w:ascii="Arial" w:eastAsia="Calibri" w:hAnsi="Arial" w:cs="Arial"/>
          <w:bCs/>
          <w:color w:val="000000"/>
          <w:sz w:val="24"/>
          <w:szCs w:val="24"/>
        </w:rPr>
        <w:t>debatidas</w:t>
      </w:r>
      <w:r>
        <w:rPr>
          <w:rFonts w:ascii="Arial" w:eastAsia="Calibri" w:hAnsi="Arial" w:cs="Arial"/>
          <w:bCs/>
          <w:color w:val="000000"/>
          <w:sz w:val="24"/>
          <w:szCs w:val="24"/>
        </w:rPr>
        <w:t>.</w:t>
      </w:r>
    </w:p>
    <w:p w14:paraId="25F36735" w14:textId="55B6CE93" w:rsidR="00DC43FD" w:rsidRDefault="00DC43FD" w:rsidP="00DC43FD">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T</w:t>
      </w:r>
      <w:r w:rsidR="003812A7">
        <w:rPr>
          <w:rFonts w:ascii="Arial" w:eastAsia="Calibri" w:hAnsi="Arial" w:cs="Arial"/>
          <w:bCs/>
          <w:color w:val="000000"/>
          <w:sz w:val="24"/>
          <w:szCs w:val="24"/>
        </w:rPr>
        <w:t>i</w:t>
      </w:r>
      <w:r>
        <w:rPr>
          <w:rFonts w:ascii="Arial" w:eastAsia="Calibri" w:hAnsi="Arial" w:cs="Arial"/>
          <w:bCs/>
          <w:color w:val="000000"/>
          <w:sz w:val="24"/>
          <w:szCs w:val="24"/>
        </w:rPr>
        <w:t>ene aplicación al caso, el siguiente criterio jurisprudencial.</w:t>
      </w:r>
    </w:p>
    <w:p w14:paraId="611FB42B" w14:textId="05F9F8D9" w:rsidR="003812A7" w:rsidRPr="007971F8" w:rsidRDefault="007971F8" w:rsidP="007971F8">
      <w:pPr>
        <w:widowControl w:val="0"/>
        <w:spacing w:before="240"/>
        <w:ind w:left="284" w:right="333"/>
        <w:jc w:val="both"/>
        <w:rPr>
          <w:rFonts w:ascii="Calibri Light" w:eastAsia="Calibri" w:hAnsi="Calibri Light" w:cs="Calibri Light"/>
          <w:b/>
          <w:bCs/>
          <w:color w:val="000000"/>
          <w:sz w:val="23"/>
          <w:szCs w:val="23"/>
        </w:rPr>
      </w:pPr>
      <w:r w:rsidRPr="007971F8">
        <w:rPr>
          <w:rFonts w:ascii="Calibri Light" w:eastAsia="Calibri" w:hAnsi="Calibri Light" w:cs="Calibri Light"/>
          <w:bCs/>
          <w:color w:val="000000"/>
          <w:sz w:val="23"/>
          <w:szCs w:val="23"/>
        </w:rPr>
        <w:t>“</w:t>
      </w:r>
      <w:r w:rsidRPr="007971F8">
        <w:rPr>
          <w:rFonts w:ascii="Calibri Light" w:eastAsia="Calibri" w:hAnsi="Calibri Light" w:cs="Calibri Light"/>
          <w:b/>
          <w:bCs/>
          <w:color w:val="000000"/>
          <w:sz w:val="23"/>
          <w:szCs w:val="23"/>
        </w:rPr>
        <w:t xml:space="preserve">FORMALIDADES ESENCIALES DEL PROCEDIMIENTO. SON LAS QUE GARANTIZAN UNA ADECUADA Y OPORTUNA DEFENSA PREVIA AL ACTO PRIVATIVO. </w:t>
      </w:r>
      <w:r w:rsidRPr="007971F8">
        <w:rPr>
          <w:rFonts w:ascii="Calibri Light" w:eastAsia="Calibri" w:hAnsi="Calibri Light" w:cs="Calibri Light"/>
          <w:bCs/>
          <w:color w:val="000000"/>
          <w:sz w:val="23"/>
          <w:szCs w:val="23"/>
        </w:rPr>
        <w:t>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r w:rsidR="009241A1">
        <w:rPr>
          <w:rStyle w:val="Refdenotaalpie"/>
          <w:rFonts w:ascii="Calibri Light" w:eastAsia="Calibri" w:hAnsi="Calibri Light" w:cs="Calibri Light"/>
          <w:bCs/>
          <w:color w:val="000000"/>
          <w:sz w:val="23"/>
          <w:szCs w:val="23"/>
        </w:rPr>
        <w:footnoteReference w:id="15"/>
      </w:r>
    </w:p>
    <w:p w14:paraId="45FF3D09" w14:textId="01946D14" w:rsidR="003812A7" w:rsidRDefault="007365B8" w:rsidP="0015568A">
      <w:pPr>
        <w:widowControl w:val="0"/>
        <w:spacing w:before="240" w:line="360" w:lineRule="auto"/>
        <w:ind w:right="49" w:firstLine="567"/>
        <w:jc w:val="both"/>
        <w:rPr>
          <w:rFonts w:ascii="Arial" w:eastAsia="Calibri" w:hAnsi="Arial" w:cs="Arial"/>
          <w:bCs/>
          <w:color w:val="000000"/>
          <w:sz w:val="24"/>
          <w:szCs w:val="24"/>
        </w:rPr>
      </w:pPr>
      <w:r>
        <w:rPr>
          <w:rFonts w:ascii="Arial" w:eastAsia="Calibri" w:hAnsi="Arial" w:cs="Arial"/>
          <w:bCs/>
          <w:color w:val="000000"/>
          <w:sz w:val="24"/>
          <w:szCs w:val="24"/>
        </w:rPr>
        <w:t xml:space="preserve">La </w:t>
      </w:r>
      <w:r w:rsidR="00B2407C">
        <w:rPr>
          <w:rFonts w:ascii="Arial" w:eastAsia="Calibri" w:hAnsi="Arial" w:cs="Arial"/>
          <w:bCs/>
          <w:color w:val="000000"/>
          <w:sz w:val="24"/>
          <w:szCs w:val="24"/>
        </w:rPr>
        <w:t>Suprema</w:t>
      </w:r>
      <w:r>
        <w:rPr>
          <w:rFonts w:ascii="Arial" w:eastAsia="Calibri" w:hAnsi="Arial" w:cs="Arial"/>
          <w:bCs/>
          <w:color w:val="000000"/>
          <w:sz w:val="24"/>
          <w:szCs w:val="24"/>
        </w:rPr>
        <w:t xml:space="preserve"> Corte de Justicia de la </w:t>
      </w:r>
      <w:r w:rsidR="00B2407C">
        <w:rPr>
          <w:rFonts w:ascii="Arial" w:eastAsia="Calibri" w:hAnsi="Arial" w:cs="Arial"/>
          <w:bCs/>
          <w:color w:val="000000"/>
          <w:sz w:val="24"/>
          <w:szCs w:val="24"/>
        </w:rPr>
        <w:t>Nación</w:t>
      </w:r>
      <w:r>
        <w:rPr>
          <w:rFonts w:ascii="Arial" w:eastAsia="Calibri" w:hAnsi="Arial" w:cs="Arial"/>
          <w:bCs/>
          <w:color w:val="000000"/>
          <w:sz w:val="24"/>
          <w:szCs w:val="24"/>
        </w:rPr>
        <w:t xml:space="preserve"> ha def</w:t>
      </w:r>
      <w:r w:rsidR="00DB268E">
        <w:rPr>
          <w:rFonts w:ascii="Arial" w:eastAsia="Calibri" w:hAnsi="Arial" w:cs="Arial"/>
          <w:bCs/>
          <w:color w:val="000000"/>
          <w:sz w:val="24"/>
          <w:szCs w:val="24"/>
        </w:rPr>
        <w:t xml:space="preserve">inido este derecho fundamental como el </w:t>
      </w:r>
      <w:r w:rsidR="00B2407C">
        <w:rPr>
          <w:rFonts w:ascii="Arial" w:eastAsia="Calibri" w:hAnsi="Arial" w:cs="Arial"/>
          <w:bCs/>
          <w:color w:val="000000"/>
          <w:sz w:val="24"/>
          <w:szCs w:val="24"/>
        </w:rPr>
        <w:t>derecho</w:t>
      </w:r>
      <w:r w:rsidR="00DB268E">
        <w:rPr>
          <w:rFonts w:ascii="Arial" w:eastAsia="Calibri" w:hAnsi="Arial" w:cs="Arial"/>
          <w:bCs/>
          <w:color w:val="000000"/>
          <w:sz w:val="24"/>
          <w:szCs w:val="24"/>
        </w:rPr>
        <w:t xml:space="preserve"> que </w:t>
      </w:r>
      <w:r w:rsidR="00AB1E28">
        <w:rPr>
          <w:rFonts w:ascii="Arial" w:eastAsia="Calibri" w:hAnsi="Arial" w:cs="Arial"/>
          <w:bCs/>
          <w:color w:val="000000"/>
          <w:sz w:val="24"/>
          <w:szCs w:val="24"/>
        </w:rPr>
        <w:t xml:space="preserve">tienen los gobernados no sólo frente a las autoridades administrativas y judiciales, sino también frente al órgano </w:t>
      </w:r>
      <w:r w:rsidR="00B2407C">
        <w:rPr>
          <w:rFonts w:ascii="Arial" w:eastAsia="Calibri" w:hAnsi="Arial" w:cs="Arial"/>
          <w:bCs/>
          <w:color w:val="000000"/>
          <w:sz w:val="24"/>
          <w:szCs w:val="24"/>
        </w:rPr>
        <w:t>legislativo</w:t>
      </w:r>
      <w:r w:rsidR="00AB1E28">
        <w:rPr>
          <w:rFonts w:ascii="Arial" w:eastAsia="Calibri" w:hAnsi="Arial" w:cs="Arial"/>
          <w:bCs/>
          <w:color w:val="000000"/>
          <w:sz w:val="24"/>
          <w:szCs w:val="24"/>
        </w:rPr>
        <w:t xml:space="preserve">, de tal manera </w:t>
      </w:r>
      <w:r w:rsidR="009B0FCA">
        <w:rPr>
          <w:rFonts w:ascii="Arial" w:eastAsia="Calibri" w:hAnsi="Arial" w:cs="Arial"/>
          <w:bCs/>
          <w:color w:val="000000"/>
          <w:sz w:val="24"/>
          <w:szCs w:val="24"/>
        </w:rPr>
        <w:t xml:space="preserve">que éste quede obligado a </w:t>
      </w:r>
      <w:r w:rsidR="00AA4AFA">
        <w:rPr>
          <w:rFonts w:ascii="Arial" w:eastAsia="Calibri" w:hAnsi="Arial" w:cs="Arial"/>
          <w:bCs/>
          <w:color w:val="000000"/>
          <w:sz w:val="24"/>
          <w:szCs w:val="24"/>
        </w:rPr>
        <w:t>consignar</w:t>
      </w:r>
      <w:r w:rsidR="009B0FCA">
        <w:rPr>
          <w:rFonts w:ascii="Arial" w:eastAsia="Calibri" w:hAnsi="Arial" w:cs="Arial"/>
          <w:bCs/>
          <w:color w:val="000000"/>
          <w:sz w:val="24"/>
          <w:szCs w:val="24"/>
        </w:rPr>
        <w:t xml:space="preserve"> en sus leyes los </w:t>
      </w:r>
      <w:r w:rsidR="00AA4AFA">
        <w:rPr>
          <w:rFonts w:ascii="Arial" w:eastAsia="Calibri" w:hAnsi="Arial" w:cs="Arial"/>
          <w:bCs/>
          <w:color w:val="000000"/>
          <w:sz w:val="24"/>
          <w:szCs w:val="24"/>
        </w:rPr>
        <w:t>procedimientos</w:t>
      </w:r>
      <w:r w:rsidR="009B0FCA">
        <w:rPr>
          <w:rFonts w:ascii="Arial" w:eastAsia="Calibri" w:hAnsi="Arial" w:cs="Arial"/>
          <w:bCs/>
          <w:color w:val="000000"/>
          <w:sz w:val="24"/>
          <w:szCs w:val="24"/>
        </w:rPr>
        <w:t xml:space="preserve"> </w:t>
      </w:r>
      <w:r w:rsidR="00AA4AFA">
        <w:rPr>
          <w:rFonts w:ascii="Arial" w:eastAsia="Calibri" w:hAnsi="Arial" w:cs="Arial"/>
          <w:bCs/>
          <w:color w:val="000000"/>
          <w:sz w:val="24"/>
          <w:szCs w:val="24"/>
        </w:rPr>
        <w:t>necesarios</w:t>
      </w:r>
      <w:r w:rsidR="009B0FCA">
        <w:rPr>
          <w:rFonts w:ascii="Arial" w:eastAsia="Calibri" w:hAnsi="Arial" w:cs="Arial"/>
          <w:bCs/>
          <w:color w:val="000000"/>
          <w:sz w:val="24"/>
          <w:szCs w:val="24"/>
        </w:rPr>
        <w:t xml:space="preserve"> para que se oiga a los inter</w:t>
      </w:r>
      <w:r w:rsidR="00AA4AFA">
        <w:rPr>
          <w:rFonts w:ascii="Arial" w:eastAsia="Calibri" w:hAnsi="Arial" w:cs="Arial"/>
          <w:bCs/>
          <w:color w:val="000000"/>
          <w:sz w:val="24"/>
          <w:szCs w:val="24"/>
        </w:rPr>
        <w:t>esados</w:t>
      </w:r>
      <w:r w:rsidR="009B0FCA">
        <w:rPr>
          <w:rFonts w:ascii="Arial" w:eastAsia="Calibri" w:hAnsi="Arial" w:cs="Arial"/>
          <w:bCs/>
          <w:color w:val="000000"/>
          <w:sz w:val="24"/>
          <w:szCs w:val="24"/>
        </w:rPr>
        <w:t xml:space="preserve"> y se les dé la oportunidad de defenderse; es decir, </w:t>
      </w:r>
      <w:r w:rsidR="00174C5A">
        <w:rPr>
          <w:rFonts w:ascii="Arial" w:eastAsia="Calibri" w:hAnsi="Arial" w:cs="Arial"/>
          <w:bCs/>
          <w:color w:val="000000"/>
          <w:sz w:val="24"/>
          <w:szCs w:val="24"/>
        </w:rPr>
        <w:t xml:space="preserve">de ser notificados de </w:t>
      </w:r>
      <w:r w:rsidR="00964690">
        <w:rPr>
          <w:rFonts w:ascii="Arial" w:eastAsia="Calibri" w:hAnsi="Arial" w:cs="Arial"/>
          <w:bCs/>
          <w:color w:val="000000"/>
          <w:sz w:val="24"/>
          <w:szCs w:val="24"/>
        </w:rPr>
        <w:t>algún</w:t>
      </w:r>
      <w:r w:rsidR="00174C5A">
        <w:rPr>
          <w:rFonts w:ascii="Arial" w:eastAsia="Calibri" w:hAnsi="Arial" w:cs="Arial"/>
          <w:bCs/>
          <w:color w:val="000000"/>
          <w:sz w:val="24"/>
          <w:szCs w:val="24"/>
        </w:rPr>
        <w:t xml:space="preserve"> </w:t>
      </w:r>
      <w:r w:rsidR="00964690">
        <w:rPr>
          <w:rFonts w:ascii="Arial" w:eastAsia="Calibri" w:hAnsi="Arial" w:cs="Arial"/>
          <w:bCs/>
          <w:color w:val="000000"/>
          <w:sz w:val="24"/>
          <w:szCs w:val="24"/>
        </w:rPr>
        <w:t>procedimiento</w:t>
      </w:r>
      <w:r w:rsidR="00174C5A">
        <w:rPr>
          <w:rFonts w:ascii="Arial" w:eastAsia="Calibri" w:hAnsi="Arial" w:cs="Arial"/>
          <w:bCs/>
          <w:color w:val="000000"/>
          <w:sz w:val="24"/>
          <w:szCs w:val="24"/>
        </w:rPr>
        <w:t xml:space="preserve"> seguido en su contra, rendir pruebas y </w:t>
      </w:r>
      <w:r w:rsidR="00964690">
        <w:rPr>
          <w:rFonts w:ascii="Arial" w:eastAsia="Calibri" w:hAnsi="Arial" w:cs="Arial"/>
          <w:bCs/>
          <w:color w:val="000000"/>
          <w:sz w:val="24"/>
          <w:szCs w:val="24"/>
        </w:rPr>
        <w:t>formular</w:t>
      </w:r>
      <w:r w:rsidR="00174C5A">
        <w:rPr>
          <w:rFonts w:ascii="Arial" w:eastAsia="Calibri" w:hAnsi="Arial" w:cs="Arial"/>
          <w:bCs/>
          <w:color w:val="000000"/>
          <w:sz w:val="24"/>
          <w:szCs w:val="24"/>
        </w:rPr>
        <w:t xml:space="preserve"> alegatos en todos aquellos casos en que puedan </w:t>
      </w:r>
      <w:r w:rsidR="00964690">
        <w:rPr>
          <w:rFonts w:ascii="Arial" w:eastAsia="Calibri" w:hAnsi="Arial" w:cs="Arial"/>
          <w:bCs/>
          <w:color w:val="000000"/>
          <w:sz w:val="24"/>
          <w:szCs w:val="24"/>
        </w:rPr>
        <w:t>resultar</w:t>
      </w:r>
      <w:r w:rsidR="00174C5A">
        <w:rPr>
          <w:rFonts w:ascii="Arial" w:eastAsia="Calibri" w:hAnsi="Arial" w:cs="Arial"/>
          <w:bCs/>
          <w:color w:val="000000"/>
          <w:sz w:val="24"/>
          <w:szCs w:val="24"/>
        </w:rPr>
        <w:t xml:space="preserve"> afectados sus derechos, </w:t>
      </w:r>
      <w:r w:rsidR="00B15373">
        <w:rPr>
          <w:rFonts w:ascii="Arial" w:eastAsia="Calibri" w:hAnsi="Arial" w:cs="Arial"/>
          <w:bCs/>
          <w:color w:val="000000"/>
          <w:sz w:val="24"/>
          <w:szCs w:val="24"/>
        </w:rPr>
        <w:t xml:space="preserve">obligación constitucional que se </w:t>
      </w:r>
      <w:r w:rsidR="00964690">
        <w:rPr>
          <w:rFonts w:ascii="Arial" w:eastAsia="Calibri" w:hAnsi="Arial" w:cs="Arial"/>
          <w:bCs/>
          <w:color w:val="000000"/>
          <w:sz w:val="24"/>
          <w:szCs w:val="24"/>
        </w:rPr>
        <w:t>circunscribe</w:t>
      </w:r>
      <w:r w:rsidR="00B15373">
        <w:rPr>
          <w:rFonts w:ascii="Arial" w:eastAsia="Calibri" w:hAnsi="Arial" w:cs="Arial"/>
          <w:bCs/>
          <w:color w:val="000000"/>
          <w:sz w:val="24"/>
          <w:szCs w:val="24"/>
        </w:rPr>
        <w:t xml:space="preserve"> a señalar el </w:t>
      </w:r>
      <w:r w:rsidR="00964690">
        <w:rPr>
          <w:rFonts w:ascii="Arial" w:eastAsia="Calibri" w:hAnsi="Arial" w:cs="Arial"/>
          <w:bCs/>
          <w:color w:val="000000"/>
          <w:sz w:val="24"/>
          <w:szCs w:val="24"/>
        </w:rPr>
        <w:t>procedimiento</w:t>
      </w:r>
      <w:r w:rsidR="00B15373">
        <w:rPr>
          <w:rFonts w:ascii="Arial" w:eastAsia="Calibri" w:hAnsi="Arial" w:cs="Arial"/>
          <w:bCs/>
          <w:color w:val="000000"/>
          <w:sz w:val="24"/>
          <w:szCs w:val="24"/>
        </w:rPr>
        <w:t xml:space="preserve"> aludido.</w:t>
      </w:r>
    </w:p>
    <w:p w14:paraId="68CFDE24" w14:textId="4FE18CCC" w:rsidR="00873C7D" w:rsidRPr="00DC43FD" w:rsidRDefault="003C49B8" w:rsidP="00DC43FD">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Al respecto en el diccionario de la Real </w:t>
      </w:r>
      <w:r w:rsidR="00CD06CC">
        <w:rPr>
          <w:rFonts w:ascii="Arial" w:eastAsia="Calibri" w:hAnsi="Arial" w:cs="Arial"/>
          <w:bCs/>
          <w:color w:val="000000"/>
          <w:sz w:val="24"/>
          <w:szCs w:val="24"/>
        </w:rPr>
        <w:t>Academia</w:t>
      </w:r>
      <w:r>
        <w:rPr>
          <w:rFonts w:ascii="Arial" w:eastAsia="Calibri" w:hAnsi="Arial" w:cs="Arial"/>
          <w:bCs/>
          <w:color w:val="000000"/>
          <w:sz w:val="24"/>
          <w:szCs w:val="24"/>
        </w:rPr>
        <w:t xml:space="preserve"> Española Tomo I, en la página 247 define la palabra “audiencia”, derivada del latín audientia, </w:t>
      </w:r>
      <w:r w:rsidR="00CD06CC">
        <w:rPr>
          <w:rFonts w:ascii="Arial" w:eastAsia="Calibri" w:hAnsi="Arial" w:cs="Arial"/>
          <w:bCs/>
          <w:color w:val="000000"/>
          <w:sz w:val="24"/>
          <w:szCs w:val="24"/>
        </w:rPr>
        <w:t>significa</w:t>
      </w:r>
      <w:r>
        <w:rPr>
          <w:rFonts w:ascii="Arial" w:eastAsia="Calibri" w:hAnsi="Arial" w:cs="Arial"/>
          <w:bCs/>
          <w:color w:val="000000"/>
          <w:sz w:val="24"/>
          <w:szCs w:val="24"/>
        </w:rPr>
        <w:t xml:space="preserve"> </w:t>
      </w:r>
      <w:r w:rsidR="00401F76" w:rsidRPr="00052030">
        <w:rPr>
          <w:rFonts w:ascii="Arial" w:eastAsia="Calibri" w:hAnsi="Arial" w:cs="Arial"/>
          <w:bCs/>
          <w:i/>
          <w:color w:val="000000"/>
          <w:sz w:val="24"/>
          <w:szCs w:val="24"/>
        </w:rPr>
        <w:t xml:space="preserve">“acto de oír las personas de alta jerarquía u otras autoridades, previa </w:t>
      </w:r>
      <w:r w:rsidR="00CD06CC" w:rsidRPr="00052030">
        <w:rPr>
          <w:rFonts w:ascii="Arial" w:eastAsia="Calibri" w:hAnsi="Arial" w:cs="Arial"/>
          <w:bCs/>
          <w:i/>
          <w:color w:val="000000"/>
          <w:sz w:val="24"/>
          <w:szCs w:val="24"/>
        </w:rPr>
        <w:t>concesión, a quienes exponen, reclaman o solicitan algo”,</w:t>
      </w:r>
      <w:r w:rsidR="00CD06CC">
        <w:rPr>
          <w:rFonts w:ascii="Arial" w:eastAsia="Calibri" w:hAnsi="Arial" w:cs="Arial"/>
          <w:bCs/>
          <w:color w:val="000000"/>
          <w:sz w:val="24"/>
          <w:szCs w:val="24"/>
        </w:rPr>
        <w:t xml:space="preserve"> así como </w:t>
      </w:r>
      <w:r w:rsidR="00CD06CC" w:rsidRPr="00052030">
        <w:rPr>
          <w:rFonts w:ascii="Arial" w:eastAsia="Calibri" w:hAnsi="Arial" w:cs="Arial"/>
          <w:bCs/>
          <w:i/>
          <w:color w:val="000000"/>
          <w:sz w:val="24"/>
          <w:szCs w:val="24"/>
        </w:rPr>
        <w:t>“ocasión para aducir razones o pruebas que se ofrece a un interesado en juicio o en expediente.”</w:t>
      </w:r>
    </w:p>
    <w:p w14:paraId="40E65951" w14:textId="4CC7E267" w:rsidR="00052030" w:rsidRDefault="002C45B7" w:rsidP="002C45B7">
      <w:pPr>
        <w:widowControl w:val="0"/>
        <w:spacing w:before="240" w:line="360" w:lineRule="auto"/>
        <w:ind w:right="49"/>
        <w:jc w:val="both"/>
        <w:rPr>
          <w:rFonts w:ascii="Arial" w:eastAsia="Calibri" w:hAnsi="Arial" w:cs="Arial"/>
          <w:bCs/>
          <w:color w:val="000000"/>
          <w:sz w:val="24"/>
          <w:szCs w:val="24"/>
        </w:rPr>
      </w:pPr>
      <w:r w:rsidRPr="00052030">
        <w:rPr>
          <w:rFonts w:ascii="Arial" w:eastAsia="Calibri" w:hAnsi="Arial" w:cs="Arial"/>
          <w:bCs/>
          <w:color w:val="000000"/>
          <w:sz w:val="24"/>
          <w:szCs w:val="24"/>
        </w:rPr>
        <w:t xml:space="preserve">   </w:t>
      </w:r>
      <w:r w:rsidR="00052030" w:rsidRPr="00052030">
        <w:rPr>
          <w:rFonts w:ascii="Arial" w:eastAsia="Calibri" w:hAnsi="Arial" w:cs="Arial"/>
          <w:bCs/>
          <w:color w:val="000000"/>
          <w:sz w:val="24"/>
          <w:szCs w:val="24"/>
        </w:rPr>
        <w:t xml:space="preserve">En la garantía de audiencia lo fundamental es adecuar los derechos </w:t>
      </w:r>
      <w:r w:rsidR="00052030">
        <w:rPr>
          <w:rFonts w:ascii="Arial" w:eastAsia="Calibri" w:hAnsi="Arial" w:cs="Arial"/>
          <w:bCs/>
          <w:color w:val="000000"/>
          <w:sz w:val="24"/>
          <w:szCs w:val="24"/>
        </w:rPr>
        <w:t xml:space="preserve">de los </w:t>
      </w:r>
      <w:r w:rsidR="0061433D">
        <w:rPr>
          <w:rFonts w:ascii="Arial" w:eastAsia="Calibri" w:hAnsi="Arial" w:cs="Arial"/>
          <w:bCs/>
          <w:color w:val="000000"/>
          <w:sz w:val="24"/>
          <w:szCs w:val="24"/>
        </w:rPr>
        <w:lastRenderedPageBreak/>
        <w:t>gobernados</w:t>
      </w:r>
      <w:r w:rsidR="00052030">
        <w:rPr>
          <w:rFonts w:ascii="Arial" w:eastAsia="Calibri" w:hAnsi="Arial" w:cs="Arial"/>
          <w:bCs/>
          <w:color w:val="000000"/>
          <w:sz w:val="24"/>
          <w:szCs w:val="24"/>
        </w:rPr>
        <w:t xml:space="preserve"> </w:t>
      </w:r>
      <w:r w:rsidR="006B5852">
        <w:rPr>
          <w:rFonts w:ascii="Arial" w:eastAsia="Calibri" w:hAnsi="Arial" w:cs="Arial"/>
          <w:bCs/>
          <w:color w:val="000000"/>
          <w:sz w:val="24"/>
          <w:szCs w:val="24"/>
        </w:rPr>
        <w:t xml:space="preserve">a un </w:t>
      </w:r>
      <w:r w:rsidR="0061433D">
        <w:rPr>
          <w:rFonts w:ascii="Arial" w:eastAsia="Calibri" w:hAnsi="Arial" w:cs="Arial"/>
          <w:bCs/>
          <w:color w:val="000000"/>
          <w:sz w:val="24"/>
          <w:szCs w:val="24"/>
        </w:rPr>
        <w:t>procedimiento</w:t>
      </w:r>
      <w:r w:rsidR="006B5852">
        <w:rPr>
          <w:rFonts w:ascii="Arial" w:eastAsia="Calibri" w:hAnsi="Arial" w:cs="Arial"/>
          <w:bCs/>
          <w:color w:val="000000"/>
          <w:sz w:val="24"/>
          <w:szCs w:val="24"/>
        </w:rPr>
        <w:t xml:space="preserve"> de def</w:t>
      </w:r>
      <w:r w:rsidR="0061433D">
        <w:rPr>
          <w:rFonts w:ascii="Arial" w:eastAsia="Calibri" w:hAnsi="Arial" w:cs="Arial"/>
          <w:bCs/>
          <w:color w:val="000000"/>
          <w:sz w:val="24"/>
          <w:szCs w:val="24"/>
        </w:rPr>
        <w:t>ensa</w:t>
      </w:r>
      <w:r w:rsidR="006B5852">
        <w:rPr>
          <w:rFonts w:ascii="Arial" w:eastAsia="Calibri" w:hAnsi="Arial" w:cs="Arial"/>
          <w:bCs/>
          <w:color w:val="000000"/>
          <w:sz w:val="24"/>
          <w:szCs w:val="24"/>
        </w:rPr>
        <w:t xml:space="preserve">, frente a los actos del Poder Público previo a privarlos de esos derechos e intereses, con el </w:t>
      </w:r>
      <w:r w:rsidR="0061433D">
        <w:rPr>
          <w:rFonts w:ascii="Arial" w:eastAsia="Calibri" w:hAnsi="Arial" w:cs="Arial"/>
          <w:bCs/>
          <w:color w:val="000000"/>
          <w:sz w:val="24"/>
          <w:szCs w:val="24"/>
        </w:rPr>
        <w:t>propósito</w:t>
      </w:r>
      <w:r w:rsidR="006B5852">
        <w:rPr>
          <w:rFonts w:ascii="Arial" w:eastAsia="Calibri" w:hAnsi="Arial" w:cs="Arial"/>
          <w:bCs/>
          <w:color w:val="000000"/>
          <w:sz w:val="24"/>
          <w:szCs w:val="24"/>
        </w:rPr>
        <w:t xml:space="preserve"> de evitar que las autoridades incurran en </w:t>
      </w:r>
      <w:r w:rsidR="0061433D">
        <w:rPr>
          <w:rFonts w:ascii="Arial" w:eastAsia="Calibri" w:hAnsi="Arial" w:cs="Arial"/>
          <w:bCs/>
          <w:color w:val="000000"/>
          <w:sz w:val="24"/>
          <w:szCs w:val="24"/>
        </w:rPr>
        <w:t>arbitrariedades</w:t>
      </w:r>
      <w:r w:rsidR="006B5852">
        <w:rPr>
          <w:rFonts w:ascii="Arial" w:eastAsia="Calibri" w:hAnsi="Arial" w:cs="Arial"/>
          <w:bCs/>
          <w:color w:val="000000"/>
          <w:sz w:val="24"/>
          <w:szCs w:val="24"/>
        </w:rPr>
        <w:t>.</w:t>
      </w:r>
    </w:p>
    <w:p w14:paraId="6BBC4203" w14:textId="59937ABB" w:rsidR="006B5852" w:rsidRDefault="006B5852"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417100">
        <w:rPr>
          <w:rFonts w:ascii="Arial" w:eastAsia="Calibri" w:hAnsi="Arial" w:cs="Arial"/>
          <w:bCs/>
          <w:color w:val="000000"/>
          <w:sz w:val="24"/>
          <w:szCs w:val="24"/>
        </w:rPr>
        <w:t xml:space="preserve">  </w:t>
      </w:r>
      <w:r>
        <w:rPr>
          <w:rFonts w:ascii="Arial" w:eastAsia="Calibri" w:hAnsi="Arial" w:cs="Arial"/>
          <w:bCs/>
          <w:color w:val="000000"/>
          <w:sz w:val="24"/>
          <w:szCs w:val="24"/>
        </w:rPr>
        <w:t xml:space="preserve">El respecto a la garantía de audiencia se debe dar previo a que se emita el acto que </w:t>
      </w:r>
      <w:r w:rsidR="00A71B66">
        <w:rPr>
          <w:rFonts w:ascii="Arial" w:eastAsia="Calibri" w:hAnsi="Arial" w:cs="Arial"/>
          <w:bCs/>
          <w:color w:val="000000"/>
          <w:sz w:val="24"/>
          <w:szCs w:val="24"/>
        </w:rPr>
        <w:t xml:space="preserve">causará </w:t>
      </w:r>
      <w:r w:rsidR="0061433D">
        <w:rPr>
          <w:rFonts w:ascii="Arial" w:eastAsia="Calibri" w:hAnsi="Arial" w:cs="Arial"/>
          <w:bCs/>
          <w:color w:val="000000"/>
          <w:sz w:val="24"/>
          <w:szCs w:val="24"/>
        </w:rPr>
        <w:t xml:space="preserve">la privación al </w:t>
      </w:r>
      <w:r w:rsidR="00D36FBF">
        <w:rPr>
          <w:rFonts w:ascii="Arial" w:eastAsia="Calibri" w:hAnsi="Arial" w:cs="Arial"/>
          <w:bCs/>
          <w:color w:val="000000"/>
          <w:sz w:val="24"/>
          <w:szCs w:val="24"/>
        </w:rPr>
        <w:t>gobernado</w:t>
      </w:r>
      <w:r w:rsidR="0061433D">
        <w:rPr>
          <w:rFonts w:ascii="Arial" w:eastAsia="Calibri" w:hAnsi="Arial" w:cs="Arial"/>
          <w:bCs/>
          <w:color w:val="000000"/>
          <w:sz w:val="24"/>
          <w:szCs w:val="24"/>
        </w:rPr>
        <w:t xml:space="preserve">, salvo los casos de excepción que la propia </w:t>
      </w:r>
      <w:r w:rsidR="00D36FBF">
        <w:rPr>
          <w:rFonts w:ascii="Arial" w:eastAsia="Calibri" w:hAnsi="Arial" w:cs="Arial"/>
          <w:bCs/>
          <w:color w:val="000000"/>
          <w:sz w:val="24"/>
          <w:szCs w:val="24"/>
        </w:rPr>
        <w:t>constitución</w:t>
      </w:r>
      <w:r w:rsidR="0061433D">
        <w:rPr>
          <w:rFonts w:ascii="Arial" w:eastAsia="Calibri" w:hAnsi="Arial" w:cs="Arial"/>
          <w:bCs/>
          <w:color w:val="000000"/>
          <w:sz w:val="24"/>
          <w:szCs w:val="24"/>
        </w:rPr>
        <w:t xml:space="preserve"> federal consiga en el </w:t>
      </w:r>
      <w:r w:rsidR="00D36FBF">
        <w:rPr>
          <w:rFonts w:ascii="Arial" w:eastAsia="Calibri" w:hAnsi="Arial" w:cs="Arial"/>
          <w:bCs/>
          <w:color w:val="000000"/>
          <w:sz w:val="24"/>
          <w:szCs w:val="24"/>
        </w:rPr>
        <w:t>artículo</w:t>
      </w:r>
      <w:r w:rsidR="0061433D">
        <w:rPr>
          <w:rFonts w:ascii="Arial" w:eastAsia="Calibri" w:hAnsi="Arial" w:cs="Arial"/>
          <w:bCs/>
          <w:color w:val="000000"/>
          <w:sz w:val="24"/>
          <w:szCs w:val="24"/>
        </w:rPr>
        <w:t xml:space="preserve"> 33</w:t>
      </w:r>
      <w:r w:rsidR="00D36FBF">
        <w:rPr>
          <w:rFonts w:ascii="Arial" w:eastAsia="Calibri" w:hAnsi="Arial" w:cs="Arial"/>
          <w:bCs/>
          <w:color w:val="000000"/>
          <w:sz w:val="24"/>
          <w:szCs w:val="24"/>
        </w:rPr>
        <w:t>.</w:t>
      </w:r>
    </w:p>
    <w:p w14:paraId="09D8390B" w14:textId="14A8C271" w:rsidR="00417100" w:rsidRDefault="00417100" w:rsidP="002C45B7">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EC5A71">
        <w:rPr>
          <w:rFonts w:ascii="Arial" w:eastAsia="Calibri" w:hAnsi="Arial" w:cs="Arial"/>
          <w:bCs/>
          <w:color w:val="000000"/>
          <w:sz w:val="24"/>
          <w:szCs w:val="24"/>
        </w:rPr>
        <w:t>Sirve de orientación</w:t>
      </w:r>
      <w:r>
        <w:rPr>
          <w:rFonts w:ascii="Arial" w:eastAsia="Calibri" w:hAnsi="Arial" w:cs="Arial"/>
          <w:bCs/>
          <w:color w:val="000000"/>
          <w:sz w:val="24"/>
          <w:szCs w:val="24"/>
        </w:rPr>
        <w:t xml:space="preserve"> </w:t>
      </w:r>
      <w:r w:rsidR="00EC5A71">
        <w:rPr>
          <w:rFonts w:ascii="Arial" w:eastAsia="Calibri" w:hAnsi="Arial" w:cs="Arial"/>
          <w:bCs/>
          <w:color w:val="000000"/>
          <w:sz w:val="24"/>
          <w:szCs w:val="24"/>
        </w:rPr>
        <w:t xml:space="preserve">la </w:t>
      </w:r>
      <w:r w:rsidR="00EA7CCF">
        <w:rPr>
          <w:rFonts w:ascii="Arial" w:eastAsia="Calibri" w:hAnsi="Arial" w:cs="Arial"/>
          <w:bCs/>
          <w:color w:val="000000"/>
          <w:sz w:val="24"/>
          <w:szCs w:val="24"/>
        </w:rPr>
        <w:t xml:space="preserve">siguiente </w:t>
      </w:r>
      <w:r w:rsidR="00EC5A71">
        <w:rPr>
          <w:rFonts w:ascii="Arial" w:eastAsia="Calibri" w:hAnsi="Arial" w:cs="Arial"/>
          <w:bCs/>
          <w:color w:val="000000"/>
          <w:sz w:val="24"/>
          <w:szCs w:val="24"/>
        </w:rPr>
        <w:t>tesis.</w:t>
      </w:r>
    </w:p>
    <w:p w14:paraId="2A041832" w14:textId="608F2E19" w:rsidR="00EA7CCF" w:rsidRPr="00EA7CCF" w:rsidRDefault="00EA7CCF" w:rsidP="00EA7CCF">
      <w:pPr>
        <w:widowControl w:val="0"/>
        <w:spacing w:before="240"/>
        <w:ind w:left="284" w:right="333"/>
        <w:jc w:val="both"/>
        <w:rPr>
          <w:rFonts w:ascii="Calibri Light" w:eastAsia="Calibri" w:hAnsi="Calibri Light" w:cs="Calibri Light"/>
          <w:bCs/>
          <w:i/>
          <w:color w:val="000000"/>
          <w:sz w:val="23"/>
          <w:szCs w:val="23"/>
        </w:rPr>
      </w:pPr>
      <w:r w:rsidRPr="00EA7CCF">
        <w:rPr>
          <w:rFonts w:ascii="Calibri Light" w:eastAsia="Calibri" w:hAnsi="Calibri Light" w:cs="Calibri Light"/>
          <w:b/>
          <w:bCs/>
          <w:i/>
          <w:color w:val="000000"/>
          <w:sz w:val="23"/>
          <w:szCs w:val="23"/>
        </w:rPr>
        <w:t>“AUDIENCIA, ALCANCE DE LA GARANTÍA DE.</w:t>
      </w:r>
      <w:r w:rsidRPr="00EA7CCF">
        <w:rPr>
          <w:rFonts w:ascii="Calibri Light" w:eastAsia="Calibri" w:hAnsi="Calibri Light" w:cs="Calibri Light"/>
          <w:bCs/>
          <w:i/>
          <w:color w:val="000000"/>
          <w:sz w:val="23"/>
          <w:szCs w:val="23"/>
        </w:rPr>
        <w:t xml:space="preserve"> En los casos en que los actos reclamados impliquen privación de derechos, existe la obligación por parte de las autoridades responsables de dar oportunidad al agraviado para que exponga todo cuanto considere conveniente en defensa de sus intereses; obligación que resulta inexcusable aun cuando la ley que rige el acto reclamado no establezca tal garantía, toda vez que el artículo 14 de la Constitución Federal impone a todas las autoridades tal obligación y, consecuentemente, su inobservancia dejaría a su arbitrio decir acerca de los intereses de los particulares, con violación de la garantía establecida por el invocado precepto constitucional.”</w:t>
      </w:r>
      <w:r w:rsidR="005762B4">
        <w:rPr>
          <w:rStyle w:val="Refdenotaalpie"/>
          <w:rFonts w:ascii="Calibri Light" w:eastAsia="Calibri" w:hAnsi="Calibri Light" w:cs="Calibri Light"/>
          <w:bCs/>
          <w:i/>
          <w:color w:val="000000"/>
          <w:sz w:val="23"/>
          <w:szCs w:val="23"/>
        </w:rPr>
        <w:footnoteReference w:id="16"/>
      </w:r>
    </w:p>
    <w:p w14:paraId="7639FF4D" w14:textId="4C8B87C5" w:rsidR="00EA7CCF" w:rsidRDefault="009548E9" w:rsidP="009548E9">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CD327B">
        <w:rPr>
          <w:rFonts w:ascii="Arial" w:eastAsia="Calibri" w:hAnsi="Arial" w:cs="Arial"/>
          <w:bCs/>
          <w:color w:val="000000"/>
          <w:sz w:val="24"/>
          <w:szCs w:val="24"/>
        </w:rPr>
        <w:t xml:space="preserve">    </w:t>
      </w:r>
      <w:r>
        <w:rPr>
          <w:rFonts w:ascii="Arial" w:eastAsia="Calibri" w:hAnsi="Arial" w:cs="Arial"/>
          <w:bCs/>
          <w:color w:val="000000"/>
          <w:sz w:val="24"/>
          <w:szCs w:val="24"/>
        </w:rPr>
        <w:t>Por tanto, la garantía de audiencia establecida por el artículo 14 de la Constitución Federal busca salvaguardar</w:t>
      </w:r>
      <w:r w:rsidR="00F21C74">
        <w:rPr>
          <w:rFonts w:ascii="Arial" w:eastAsia="Calibri" w:hAnsi="Arial" w:cs="Arial"/>
          <w:bCs/>
          <w:color w:val="000000"/>
          <w:sz w:val="24"/>
          <w:szCs w:val="24"/>
        </w:rPr>
        <w:t xml:space="preserve"> el derecho de defensa del gobernado frente los actos privativos de derechos.</w:t>
      </w:r>
    </w:p>
    <w:p w14:paraId="59529DD8" w14:textId="1A1E0A71" w:rsidR="00F21C74" w:rsidRDefault="00F21C74" w:rsidP="009548E9">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En </w:t>
      </w:r>
      <w:r w:rsidR="00CD327B">
        <w:rPr>
          <w:rFonts w:ascii="Arial" w:eastAsia="Calibri" w:hAnsi="Arial" w:cs="Arial"/>
          <w:bCs/>
          <w:color w:val="000000"/>
          <w:sz w:val="24"/>
          <w:szCs w:val="24"/>
        </w:rPr>
        <w:t>concordancia</w:t>
      </w:r>
      <w:r>
        <w:rPr>
          <w:rFonts w:ascii="Arial" w:eastAsia="Calibri" w:hAnsi="Arial" w:cs="Arial"/>
          <w:bCs/>
          <w:color w:val="000000"/>
          <w:sz w:val="24"/>
          <w:szCs w:val="24"/>
        </w:rPr>
        <w:t xml:space="preserve"> con lo anterior, el </w:t>
      </w:r>
      <w:r w:rsidR="00CD327B">
        <w:rPr>
          <w:rFonts w:ascii="Arial" w:eastAsia="Calibri" w:hAnsi="Arial" w:cs="Arial"/>
          <w:bCs/>
          <w:color w:val="000000"/>
          <w:sz w:val="24"/>
          <w:szCs w:val="24"/>
        </w:rPr>
        <w:t>conocimiento</w:t>
      </w:r>
      <w:r>
        <w:rPr>
          <w:rFonts w:ascii="Arial" w:eastAsia="Calibri" w:hAnsi="Arial" w:cs="Arial"/>
          <w:bCs/>
          <w:color w:val="000000"/>
          <w:sz w:val="24"/>
          <w:szCs w:val="24"/>
        </w:rPr>
        <w:t xml:space="preserve"> del inicio del </w:t>
      </w:r>
      <w:r w:rsidR="00CD327B">
        <w:rPr>
          <w:rFonts w:ascii="Arial" w:eastAsia="Calibri" w:hAnsi="Arial" w:cs="Arial"/>
          <w:bCs/>
          <w:color w:val="000000"/>
          <w:sz w:val="24"/>
          <w:szCs w:val="24"/>
        </w:rPr>
        <w:t xml:space="preserve">procedimiento; su fundamento y sus consecuencias constituyen uno de los presupuestos de la defensa adecuada que integran la garantía de audiencia, ya que sólo a través de dicha formalidad del gobernado está en aptitud </w:t>
      </w:r>
      <w:r w:rsidR="003D38B7">
        <w:rPr>
          <w:rFonts w:ascii="Arial" w:eastAsia="Calibri" w:hAnsi="Arial" w:cs="Arial"/>
          <w:bCs/>
          <w:color w:val="000000"/>
          <w:sz w:val="24"/>
          <w:szCs w:val="24"/>
        </w:rPr>
        <w:t xml:space="preserve">de </w:t>
      </w:r>
      <w:r w:rsidR="00136807">
        <w:rPr>
          <w:rFonts w:ascii="Arial" w:eastAsia="Calibri" w:hAnsi="Arial" w:cs="Arial"/>
          <w:bCs/>
          <w:color w:val="000000"/>
          <w:sz w:val="24"/>
          <w:szCs w:val="24"/>
        </w:rPr>
        <w:t>controvertir</w:t>
      </w:r>
      <w:r w:rsidR="003D38B7">
        <w:rPr>
          <w:rFonts w:ascii="Arial" w:eastAsia="Calibri" w:hAnsi="Arial" w:cs="Arial"/>
          <w:bCs/>
          <w:color w:val="000000"/>
          <w:sz w:val="24"/>
          <w:szCs w:val="24"/>
        </w:rPr>
        <w:t xml:space="preserve"> el acto privativo y permite que pueda ser efectiva la oportunidad de ofrecer y </w:t>
      </w:r>
      <w:r w:rsidR="00136807">
        <w:rPr>
          <w:rFonts w:ascii="Arial" w:eastAsia="Calibri" w:hAnsi="Arial" w:cs="Arial"/>
          <w:bCs/>
          <w:color w:val="000000"/>
          <w:sz w:val="24"/>
          <w:szCs w:val="24"/>
        </w:rPr>
        <w:t>desahogar</w:t>
      </w:r>
      <w:r w:rsidR="003D38B7">
        <w:rPr>
          <w:rFonts w:ascii="Arial" w:eastAsia="Calibri" w:hAnsi="Arial" w:cs="Arial"/>
          <w:bCs/>
          <w:color w:val="000000"/>
          <w:sz w:val="24"/>
          <w:szCs w:val="24"/>
        </w:rPr>
        <w:t xml:space="preserve"> las pruebas en que se finque su defensa.</w:t>
      </w:r>
    </w:p>
    <w:p w14:paraId="3326EDD4" w14:textId="6976184E" w:rsidR="003D38B7" w:rsidRDefault="003D38B7" w:rsidP="009548E9">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4B0D75">
        <w:rPr>
          <w:rFonts w:ascii="Arial" w:eastAsia="Calibri" w:hAnsi="Arial" w:cs="Arial"/>
          <w:bCs/>
          <w:color w:val="000000"/>
          <w:sz w:val="24"/>
          <w:szCs w:val="24"/>
        </w:rPr>
        <w:t xml:space="preserve"> </w:t>
      </w:r>
      <w:r>
        <w:rPr>
          <w:rFonts w:ascii="Arial" w:eastAsia="Calibri" w:hAnsi="Arial" w:cs="Arial"/>
          <w:bCs/>
          <w:color w:val="000000"/>
          <w:sz w:val="24"/>
          <w:szCs w:val="24"/>
        </w:rPr>
        <w:t xml:space="preserve">Luego, el </w:t>
      </w:r>
      <w:r w:rsidR="00136807">
        <w:rPr>
          <w:rFonts w:ascii="Arial" w:eastAsia="Calibri" w:hAnsi="Arial" w:cs="Arial"/>
          <w:bCs/>
          <w:color w:val="000000"/>
          <w:sz w:val="24"/>
          <w:szCs w:val="24"/>
        </w:rPr>
        <w:t>conocimiento</w:t>
      </w:r>
      <w:r>
        <w:rPr>
          <w:rFonts w:ascii="Arial" w:eastAsia="Calibri" w:hAnsi="Arial" w:cs="Arial"/>
          <w:bCs/>
          <w:color w:val="000000"/>
          <w:sz w:val="24"/>
          <w:szCs w:val="24"/>
        </w:rPr>
        <w:t xml:space="preserve"> completo de las pruebas y hechos en que se funde el </w:t>
      </w:r>
      <w:r w:rsidR="00136807">
        <w:rPr>
          <w:rFonts w:ascii="Arial" w:eastAsia="Calibri" w:hAnsi="Arial" w:cs="Arial"/>
          <w:bCs/>
          <w:color w:val="000000"/>
          <w:sz w:val="24"/>
          <w:szCs w:val="24"/>
        </w:rPr>
        <w:t>procedimiento</w:t>
      </w:r>
      <w:r>
        <w:rPr>
          <w:rFonts w:ascii="Arial" w:eastAsia="Calibri" w:hAnsi="Arial" w:cs="Arial"/>
          <w:bCs/>
          <w:color w:val="000000"/>
          <w:sz w:val="24"/>
          <w:szCs w:val="24"/>
        </w:rPr>
        <w:t xml:space="preserve"> </w:t>
      </w:r>
      <w:r w:rsidR="00136807">
        <w:rPr>
          <w:rFonts w:ascii="Arial" w:eastAsia="Calibri" w:hAnsi="Arial" w:cs="Arial"/>
          <w:bCs/>
          <w:color w:val="000000"/>
          <w:sz w:val="24"/>
          <w:szCs w:val="24"/>
        </w:rPr>
        <w:t>presupuesto</w:t>
      </w:r>
      <w:r>
        <w:rPr>
          <w:rFonts w:ascii="Arial" w:eastAsia="Calibri" w:hAnsi="Arial" w:cs="Arial"/>
          <w:bCs/>
          <w:color w:val="000000"/>
          <w:sz w:val="24"/>
          <w:szCs w:val="24"/>
        </w:rPr>
        <w:t xml:space="preserve"> de un acto privativo es </w:t>
      </w:r>
      <w:r w:rsidR="00136807">
        <w:rPr>
          <w:rFonts w:ascii="Arial" w:eastAsia="Calibri" w:hAnsi="Arial" w:cs="Arial"/>
          <w:bCs/>
          <w:color w:val="000000"/>
          <w:sz w:val="24"/>
          <w:szCs w:val="24"/>
        </w:rPr>
        <w:t>necesario</w:t>
      </w:r>
      <w:r>
        <w:rPr>
          <w:rFonts w:ascii="Arial" w:eastAsia="Calibri" w:hAnsi="Arial" w:cs="Arial"/>
          <w:bCs/>
          <w:color w:val="000000"/>
          <w:sz w:val="24"/>
          <w:szCs w:val="24"/>
        </w:rPr>
        <w:t xml:space="preserve"> para el respeto de la </w:t>
      </w:r>
      <w:r w:rsidR="007975C7">
        <w:rPr>
          <w:rFonts w:ascii="Arial" w:eastAsia="Calibri" w:hAnsi="Arial" w:cs="Arial"/>
          <w:bCs/>
          <w:color w:val="000000"/>
          <w:sz w:val="24"/>
          <w:szCs w:val="24"/>
        </w:rPr>
        <w:t xml:space="preserve">garantía de audiencia, dado que de otra manera el gobernado no estaría en posibilidad de </w:t>
      </w:r>
      <w:r w:rsidR="004B0D75">
        <w:rPr>
          <w:rFonts w:ascii="Arial" w:eastAsia="Calibri" w:hAnsi="Arial" w:cs="Arial"/>
          <w:bCs/>
          <w:color w:val="000000"/>
          <w:sz w:val="24"/>
          <w:szCs w:val="24"/>
        </w:rPr>
        <w:t>defender</w:t>
      </w:r>
      <w:r w:rsidR="007975C7">
        <w:rPr>
          <w:rFonts w:ascii="Arial" w:eastAsia="Calibri" w:hAnsi="Arial" w:cs="Arial"/>
          <w:bCs/>
          <w:color w:val="000000"/>
          <w:sz w:val="24"/>
          <w:szCs w:val="24"/>
        </w:rPr>
        <w:t xml:space="preserve"> adecuadamente sus intereses en términos del </w:t>
      </w:r>
      <w:r w:rsidR="004B0D75">
        <w:rPr>
          <w:rFonts w:ascii="Arial" w:eastAsia="Calibri" w:hAnsi="Arial" w:cs="Arial"/>
          <w:bCs/>
          <w:color w:val="000000"/>
          <w:sz w:val="24"/>
          <w:szCs w:val="24"/>
        </w:rPr>
        <w:t>artículo</w:t>
      </w:r>
      <w:r w:rsidR="007975C7">
        <w:rPr>
          <w:rFonts w:ascii="Arial" w:eastAsia="Calibri" w:hAnsi="Arial" w:cs="Arial"/>
          <w:bCs/>
          <w:color w:val="000000"/>
          <w:sz w:val="24"/>
          <w:szCs w:val="24"/>
        </w:rPr>
        <w:t xml:space="preserve"> 14 de la constitución federal</w:t>
      </w:r>
      <w:r w:rsidR="004B0D75">
        <w:rPr>
          <w:rFonts w:ascii="Arial" w:eastAsia="Calibri" w:hAnsi="Arial" w:cs="Arial"/>
          <w:bCs/>
          <w:color w:val="000000"/>
          <w:sz w:val="24"/>
          <w:szCs w:val="24"/>
        </w:rPr>
        <w:t>, al no saber con claridad el sustento de las pretensiones en su contra.</w:t>
      </w:r>
    </w:p>
    <w:p w14:paraId="6AEEE108" w14:textId="77777777" w:rsidR="00853F72" w:rsidRDefault="00D11689" w:rsidP="00690A63">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9105EA">
        <w:rPr>
          <w:rFonts w:ascii="Arial" w:eastAsia="Calibri" w:hAnsi="Arial" w:cs="Arial"/>
          <w:bCs/>
          <w:color w:val="000000"/>
          <w:sz w:val="24"/>
          <w:szCs w:val="24"/>
        </w:rPr>
        <w:t>En ese contexto, y p</w:t>
      </w:r>
      <w:r>
        <w:rPr>
          <w:rFonts w:ascii="Arial" w:eastAsia="Calibri" w:hAnsi="Arial" w:cs="Arial"/>
          <w:bCs/>
          <w:color w:val="000000"/>
          <w:sz w:val="24"/>
          <w:szCs w:val="24"/>
        </w:rPr>
        <w:t>ara el caso concreto que no</w:t>
      </w:r>
      <w:r w:rsidR="00AD6C35">
        <w:rPr>
          <w:rFonts w:ascii="Arial" w:eastAsia="Calibri" w:hAnsi="Arial" w:cs="Arial"/>
          <w:bCs/>
          <w:color w:val="000000"/>
          <w:sz w:val="24"/>
          <w:szCs w:val="24"/>
        </w:rPr>
        <w:t>s</w:t>
      </w:r>
      <w:r>
        <w:rPr>
          <w:rFonts w:ascii="Arial" w:eastAsia="Calibri" w:hAnsi="Arial" w:cs="Arial"/>
          <w:bCs/>
          <w:color w:val="000000"/>
          <w:sz w:val="24"/>
          <w:szCs w:val="24"/>
        </w:rPr>
        <w:t xml:space="preserve"> </w:t>
      </w:r>
      <w:r w:rsidR="00834A47">
        <w:rPr>
          <w:rFonts w:ascii="Arial" w:eastAsia="Calibri" w:hAnsi="Arial" w:cs="Arial"/>
          <w:bCs/>
          <w:color w:val="000000"/>
          <w:sz w:val="24"/>
          <w:szCs w:val="24"/>
        </w:rPr>
        <w:t xml:space="preserve">ocupa, </w:t>
      </w:r>
      <w:r w:rsidR="0081035F">
        <w:rPr>
          <w:rFonts w:ascii="Arial" w:eastAsia="Calibri" w:hAnsi="Arial" w:cs="Arial"/>
          <w:bCs/>
          <w:color w:val="000000"/>
          <w:sz w:val="24"/>
          <w:szCs w:val="24"/>
        </w:rPr>
        <w:t>el artículo 159</w:t>
      </w:r>
      <w:r w:rsidR="0081035F">
        <w:rPr>
          <w:rStyle w:val="Refdenotaalpie"/>
          <w:rFonts w:ascii="Arial" w:eastAsia="Calibri" w:hAnsi="Arial" w:cs="Arial"/>
          <w:bCs/>
          <w:color w:val="000000"/>
          <w:sz w:val="24"/>
          <w:szCs w:val="24"/>
        </w:rPr>
        <w:footnoteReference w:id="17"/>
      </w:r>
      <w:r w:rsidR="0081035F">
        <w:rPr>
          <w:rFonts w:ascii="Arial" w:eastAsia="Calibri" w:hAnsi="Arial" w:cs="Arial"/>
          <w:bCs/>
          <w:color w:val="000000"/>
          <w:sz w:val="24"/>
          <w:szCs w:val="24"/>
        </w:rPr>
        <w:t xml:space="preserve"> de la Ley Orgánica Municipal del Estado de Oaxaca</w:t>
      </w:r>
      <w:r w:rsidR="009105EA">
        <w:rPr>
          <w:rFonts w:ascii="Arial" w:eastAsia="Calibri" w:hAnsi="Arial" w:cs="Arial"/>
          <w:bCs/>
          <w:color w:val="000000"/>
          <w:sz w:val="24"/>
          <w:szCs w:val="24"/>
        </w:rPr>
        <w:t>,</w:t>
      </w:r>
      <w:r w:rsidR="004D0112">
        <w:rPr>
          <w:rFonts w:ascii="Arial" w:eastAsia="Calibri" w:hAnsi="Arial" w:cs="Arial"/>
          <w:bCs/>
          <w:color w:val="000000"/>
          <w:sz w:val="24"/>
          <w:szCs w:val="24"/>
        </w:rPr>
        <w:t xml:space="preserve"> establece que la seguridad pública municipal se regirá y prestará conforme </w:t>
      </w:r>
      <w:r w:rsidR="009105EA">
        <w:rPr>
          <w:rFonts w:ascii="Arial" w:eastAsia="Calibri" w:hAnsi="Arial" w:cs="Arial"/>
          <w:bCs/>
          <w:color w:val="000000"/>
          <w:sz w:val="24"/>
          <w:szCs w:val="24"/>
        </w:rPr>
        <w:t>a la Ley del Sistema Estatal de Seguridad Pública de Oaxaca, la cual</w:t>
      </w:r>
      <w:r w:rsidR="00AD6C35">
        <w:rPr>
          <w:rFonts w:ascii="Arial" w:eastAsia="Calibri" w:hAnsi="Arial" w:cs="Arial"/>
          <w:bCs/>
          <w:color w:val="000000"/>
          <w:sz w:val="24"/>
          <w:szCs w:val="24"/>
        </w:rPr>
        <w:t xml:space="preserve"> </w:t>
      </w:r>
      <w:r w:rsidR="00E96CCE">
        <w:rPr>
          <w:rFonts w:ascii="Arial" w:eastAsia="Calibri" w:hAnsi="Arial" w:cs="Arial"/>
          <w:bCs/>
          <w:color w:val="000000"/>
          <w:sz w:val="24"/>
          <w:szCs w:val="24"/>
        </w:rPr>
        <w:t xml:space="preserve">que </w:t>
      </w:r>
      <w:r w:rsidR="00B72CA6">
        <w:rPr>
          <w:rFonts w:ascii="Arial" w:eastAsia="Calibri" w:hAnsi="Arial" w:cs="Arial"/>
          <w:bCs/>
          <w:color w:val="000000"/>
          <w:sz w:val="24"/>
          <w:szCs w:val="24"/>
        </w:rPr>
        <w:t xml:space="preserve">define en su artículo 7, fracción XIV, que los integrantes de las instituciones policiales </w:t>
      </w:r>
      <w:r w:rsidR="00B72CA6" w:rsidRPr="00C13584">
        <w:rPr>
          <w:rFonts w:ascii="Arial" w:eastAsia="Calibri" w:hAnsi="Arial" w:cs="Arial"/>
          <w:bCs/>
          <w:color w:val="000000"/>
          <w:sz w:val="24"/>
          <w:szCs w:val="24"/>
        </w:rPr>
        <w:t>son</w:t>
      </w:r>
      <w:r w:rsidR="00C13584" w:rsidRPr="00C13584">
        <w:rPr>
          <w:rFonts w:ascii="Arial" w:hAnsi="Arial" w:cs="Arial"/>
          <w:sz w:val="24"/>
          <w:szCs w:val="24"/>
        </w:rPr>
        <w:t xml:space="preserve"> la Policía </w:t>
      </w:r>
      <w:r w:rsidR="00C13584" w:rsidRPr="00C13584">
        <w:rPr>
          <w:rFonts w:ascii="Arial" w:hAnsi="Arial" w:cs="Arial"/>
          <w:sz w:val="24"/>
          <w:szCs w:val="24"/>
        </w:rPr>
        <w:lastRenderedPageBreak/>
        <w:t xml:space="preserve">Estatal, Cuerpos de Seguridad, Vigilancia y Custodia Penitenciaria, Guías Técnicos en los Centros Especializados de Internamiento; de Detención </w:t>
      </w:r>
      <w:r w:rsidR="00C13584" w:rsidRPr="00AE6862">
        <w:rPr>
          <w:rFonts w:ascii="Arial" w:hAnsi="Arial" w:cs="Arial"/>
          <w:sz w:val="24"/>
          <w:szCs w:val="24"/>
        </w:rPr>
        <w:t xml:space="preserve">Preventiva; del Órgano Desconcentrado Policía Auxiliar, Bancaria, Industrial y Comercial de la Secretaría de Seguridad Pública (PABIC); el Heroico Cuerpo de Bomberos; así como las demás corporaciones policiales de la Secretaría de Seguridad Pública; la Agencia Estatal de Investigaciones de la Fiscalía General del Estado de Oaxaca y </w:t>
      </w:r>
      <w:r w:rsidR="00C13584" w:rsidRPr="00AE6862">
        <w:rPr>
          <w:rFonts w:ascii="Arial" w:hAnsi="Arial" w:cs="Arial"/>
          <w:sz w:val="24"/>
          <w:szCs w:val="24"/>
          <w:u w:val="single"/>
        </w:rPr>
        <w:t>las policías municipales</w:t>
      </w:r>
      <w:r w:rsidR="00E96CCE">
        <w:rPr>
          <w:rFonts w:ascii="Arial" w:hAnsi="Arial" w:cs="Arial"/>
          <w:sz w:val="24"/>
          <w:szCs w:val="24"/>
        </w:rPr>
        <w:t>;</w:t>
      </w:r>
      <w:r w:rsidR="00FC598B" w:rsidRPr="00AE6862">
        <w:rPr>
          <w:rFonts w:ascii="Arial" w:hAnsi="Arial" w:cs="Arial"/>
          <w:sz w:val="24"/>
          <w:szCs w:val="24"/>
        </w:rPr>
        <w:t xml:space="preserve"> por lo que</w:t>
      </w:r>
      <w:r w:rsidR="002C45B7" w:rsidRPr="00AE6862">
        <w:rPr>
          <w:rFonts w:ascii="Arial" w:eastAsia="Calibri" w:hAnsi="Arial" w:cs="Arial"/>
          <w:bCs/>
          <w:color w:val="000000"/>
          <w:sz w:val="24"/>
          <w:szCs w:val="24"/>
        </w:rPr>
        <w:t xml:space="preserve"> el artículo 118 de la </w:t>
      </w:r>
      <w:r w:rsidR="005467DB" w:rsidRPr="00AE6862">
        <w:rPr>
          <w:rFonts w:ascii="Arial" w:eastAsia="Calibri" w:hAnsi="Arial" w:cs="Arial"/>
          <w:bCs/>
          <w:color w:val="000000"/>
          <w:sz w:val="24"/>
          <w:szCs w:val="24"/>
        </w:rPr>
        <w:t xml:space="preserve">misma </w:t>
      </w:r>
      <w:r w:rsidR="002C45B7" w:rsidRPr="00AE6862">
        <w:rPr>
          <w:rFonts w:ascii="Arial" w:eastAsia="Calibri" w:hAnsi="Arial" w:cs="Arial"/>
          <w:bCs/>
          <w:color w:val="000000"/>
          <w:sz w:val="24"/>
          <w:szCs w:val="24"/>
        </w:rPr>
        <w:t>Ley</w:t>
      </w:r>
      <w:r w:rsidR="00E96CCE">
        <w:rPr>
          <w:rFonts w:ascii="Arial" w:eastAsia="Calibri" w:hAnsi="Arial" w:cs="Arial"/>
          <w:bCs/>
          <w:color w:val="000000"/>
          <w:sz w:val="24"/>
          <w:szCs w:val="24"/>
        </w:rPr>
        <w:t>,</w:t>
      </w:r>
      <w:r w:rsidR="002C45B7" w:rsidRPr="00AE6862">
        <w:rPr>
          <w:rFonts w:ascii="Arial" w:eastAsia="Calibri" w:hAnsi="Arial" w:cs="Arial"/>
          <w:bCs/>
          <w:color w:val="000000"/>
          <w:sz w:val="24"/>
          <w:szCs w:val="24"/>
        </w:rPr>
        <w:t xml:space="preserve"> prevé los derechos de los integrantes de las instituciones policiales en el Estado, entre las cuales </w:t>
      </w:r>
      <w:r w:rsidR="00DF2BD5">
        <w:rPr>
          <w:rFonts w:ascii="Arial" w:eastAsia="Calibri" w:hAnsi="Arial" w:cs="Arial"/>
          <w:bCs/>
          <w:color w:val="000000"/>
          <w:sz w:val="24"/>
          <w:szCs w:val="24"/>
        </w:rPr>
        <w:t xml:space="preserve">resalta </w:t>
      </w:r>
      <w:r w:rsidR="002C45B7" w:rsidRPr="00AE6862">
        <w:rPr>
          <w:rFonts w:ascii="Arial" w:eastAsia="Calibri" w:hAnsi="Arial" w:cs="Arial"/>
          <w:bCs/>
          <w:color w:val="000000"/>
          <w:sz w:val="24"/>
          <w:szCs w:val="24"/>
        </w:rPr>
        <w:t>la fracción XXII</w:t>
      </w:r>
      <w:r w:rsidR="00C87F22">
        <w:rPr>
          <w:rFonts w:ascii="Arial" w:eastAsia="Calibri" w:hAnsi="Arial" w:cs="Arial"/>
          <w:bCs/>
          <w:color w:val="000000"/>
          <w:sz w:val="24"/>
          <w:szCs w:val="24"/>
        </w:rPr>
        <w:t>, que</w:t>
      </w:r>
      <w:r w:rsidR="005467DB" w:rsidRPr="00AE6862">
        <w:rPr>
          <w:rFonts w:ascii="Arial" w:eastAsia="Calibri" w:hAnsi="Arial" w:cs="Arial"/>
          <w:bCs/>
          <w:color w:val="000000"/>
          <w:sz w:val="24"/>
          <w:szCs w:val="24"/>
        </w:rPr>
        <w:t xml:space="preserve"> </w:t>
      </w:r>
      <w:r w:rsidR="005467DB" w:rsidRPr="00941843">
        <w:rPr>
          <w:rFonts w:ascii="Arial" w:eastAsia="Calibri" w:hAnsi="Arial" w:cs="Arial"/>
          <w:bCs/>
          <w:color w:val="000000"/>
          <w:sz w:val="24"/>
          <w:szCs w:val="24"/>
        </w:rPr>
        <w:t>establece que tienen que</w:t>
      </w:r>
      <w:r w:rsidR="002C45B7" w:rsidRPr="00941843">
        <w:rPr>
          <w:rFonts w:ascii="Arial" w:eastAsia="Calibri" w:hAnsi="Arial" w:cs="Arial"/>
          <w:bCs/>
          <w:color w:val="000000"/>
          <w:sz w:val="24"/>
          <w:szCs w:val="24"/>
        </w:rPr>
        <w:t xml:space="preserve"> </w:t>
      </w:r>
      <w:r w:rsidR="005467DB" w:rsidRPr="00941843">
        <w:rPr>
          <w:rFonts w:ascii="Arial" w:eastAsia="Calibri" w:hAnsi="Arial" w:cs="Arial"/>
          <w:bCs/>
          <w:color w:val="000000"/>
          <w:sz w:val="24"/>
          <w:szCs w:val="24"/>
        </w:rPr>
        <w:t>c</w:t>
      </w:r>
      <w:r w:rsidR="002C45B7" w:rsidRPr="00941843">
        <w:rPr>
          <w:rFonts w:ascii="Arial" w:eastAsia="Calibri" w:hAnsi="Arial" w:cs="Arial"/>
          <w:bCs/>
          <w:color w:val="000000"/>
          <w:sz w:val="24"/>
          <w:szCs w:val="24"/>
        </w:rPr>
        <w:t>ontar con el derecho de audiencia y defensa cuando sea sujeto de un procedimiento administrativo, correctivo o disciplinari</w:t>
      </w:r>
      <w:r w:rsidR="00AE6862" w:rsidRPr="00941843">
        <w:rPr>
          <w:rFonts w:ascii="Arial" w:eastAsia="Calibri" w:hAnsi="Arial" w:cs="Arial"/>
          <w:bCs/>
          <w:color w:val="000000"/>
          <w:sz w:val="24"/>
          <w:szCs w:val="24"/>
        </w:rPr>
        <w:t>o</w:t>
      </w:r>
      <w:r w:rsidR="00853F72">
        <w:rPr>
          <w:rFonts w:ascii="Arial" w:eastAsia="Calibri" w:hAnsi="Arial" w:cs="Arial"/>
          <w:bCs/>
          <w:color w:val="000000"/>
          <w:sz w:val="24"/>
          <w:szCs w:val="24"/>
        </w:rPr>
        <w:t>; el cual conforme a dicha normatividad</w:t>
      </w:r>
      <w:r w:rsidR="00D71F99" w:rsidRPr="00941843">
        <w:rPr>
          <w:rFonts w:ascii="Arial" w:eastAsia="Calibri" w:hAnsi="Arial" w:cs="Arial"/>
          <w:bCs/>
          <w:color w:val="000000"/>
          <w:sz w:val="24"/>
          <w:szCs w:val="24"/>
        </w:rPr>
        <w:t xml:space="preserve"> se debe desahogar</w:t>
      </w:r>
      <w:r w:rsidR="00E96CCE" w:rsidRPr="00941843">
        <w:rPr>
          <w:rFonts w:ascii="Arial" w:eastAsia="Calibri" w:hAnsi="Arial" w:cs="Arial"/>
          <w:bCs/>
          <w:color w:val="000000"/>
          <w:sz w:val="24"/>
          <w:szCs w:val="24"/>
        </w:rPr>
        <w:t xml:space="preserve"> </w:t>
      </w:r>
      <w:r w:rsidR="00941843">
        <w:rPr>
          <w:rFonts w:ascii="Arial" w:eastAsia="Calibri" w:hAnsi="Arial" w:cs="Arial"/>
          <w:bCs/>
          <w:color w:val="000000"/>
          <w:sz w:val="24"/>
          <w:szCs w:val="24"/>
        </w:rPr>
        <w:t>conforme a los artículos 127, 128, 129, 130, 131, 132, 133, 134, 135, 136 y 137</w:t>
      </w:r>
      <w:r w:rsidR="000B205A">
        <w:rPr>
          <w:rFonts w:ascii="Arial" w:eastAsia="Calibri" w:hAnsi="Arial" w:cs="Arial"/>
          <w:bCs/>
          <w:color w:val="000000"/>
          <w:sz w:val="24"/>
          <w:szCs w:val="24"/>
        </w:rPr>
        <w:t xml:space="preserve"> de la multicitada Ley del Sistema Estatal de Seguridad Pública de Oaxaca</w:t>
      </w:r>
      <w:r w:rsidR="00853F72">
        <w:rPr>
          <w:rFonts w:ascii="Arial" w:eastAsia="Calibri" w:hAnsi="Arial" w:cs="Arial"/>
          <w:bCs/>
          <w:color w:val="000000"/>
          <w:sz w:val="24"/>
          <w:szCs w:val="24"/>
        </w:rPr>
        <w:t>.</w:t>
      </w:r>
    </w:p>
    <w:p w14:paraId="1DF671EB" w14:textId="072A5B75" w:rsidR="00690A63" w:rsidRPr="00941843" w:rsidRDefault="00853F72" w:rsidP="00690A63">
      <w:pPr>
        <w:widowControl w:val="0"/>
        <w:spacing w:before="240" w:line="360" w:lineRule="auto"/>
        <w:ind w:right="49"/>
        <w:jc w:val="both"/>
        <w:rPr>
          <w:rFonts w:ascii="Arial" w:eastAsia="Calibri" w:hAnsi="Arial" w:cs="Arial"/>
          <w:bCs/>
          <w:color w:val="000000"/>
          <w:sz w:val="24"/>
          <w:szCs w:val="24"/>
        </w:rPr>
      </w:pPr>
      <w:r>
        <w:rPr>
          <w:rFonts w:ascii="Arial" w:eastAsia="Calibri" w:hAnsi="Arial" w:cs="Arial"/>
          <w:bCs/>
          <w:color w:val="000000"/>
          <w:sz w:val="24"/>
          <w:szCs w:val="24"/>
        </w:rPr>
        <w:t xml:space="preserve">    De igual forma,</w:t>
      </w:r>
      <w:r w:rsidR="00BE2A76">
        <w:rPr>
          <w:rFonts w:ascii="Arial" w:eastAsia="Calibri" w:hAnsi="Arial" w:cs="Arial"/>
          <w:bCs/>
          <w:color w:val="000000"/>
          <w:sz w:val="24"/>
          <w:szCs w:val="24"/>
        </w:rPr>
        <w:t xml:space="preserve"> los </w:t>
      </w:r>
      <w:r w:rsidR="005E0DFD">
        <w:rPr>
          <w:rFonts w:ascii="Arial" w:eastAsia="Calibri" w:hAnsi="Arial" w:cs="Arial"/>
          <w:bCs/>
          <w:color w:val="000000"/>
          <w:sz w:val="24"/>
          <w:szCs w:val="24"/>
        </w:rPr>
        <w:t>artículos</w:t>
      </w:r>
      <w:r w:rsidR="00BE2A76">
        <w:rPr>
          <w:rFonts w:ascii="Arial" w:eastAsia="Calibri" w:hAnsi="Arial" w:cs="Arial"/>
          <w:bCs/>
          <w:color w:val="000000"/>
          <w:sz w:val="24"/>
          <w:szCs w:val="24"/>
        </w:rPr>
        <w:t xml:space="preserve"> 125 y 126 de la misma normatividad,</w:t>
      </w:r>
      <w:r w:rsidR="00AB66DD" w:rsidRPr="00941843">
        <w:rPr>
          <w:rFonts w:ascii="Arial" w:eastAsia="Calibri" w:hAnsi="Arial" w:cs="Arial"/>
          <w:bCs/>
          <w:color w:val="000000"/>
          <w:sz w:val="24"/>
          <w:szCs w:val="24"/>
        </w:rPr>
        <w:t xml:space="preserve"> </w:t>
      </w:r>
      <w:r w:rsidR="005E0DFD">
        <w:rPr>
          <w:rFonts w:ascii="Arial" w:eastAsia="Calibri" w:hAnsi="Arial" w:cs="Arial"/>
          <w:bCs/>
          <w:color w:val="000000"/>
          <w:sz w:val="24"/>
          <w:szCs w:val="24"/>
        </w:rPr>
        <w:t>precisan</w:t>
      </w:r>
      <w:r w:rsidR="00A74D76" w:rsidRPr="00941843">
        <w:rPr>
          <w:rFonts w:ascii="Arial" w:eastAsia="Calibri" w:hAnsi="Arial" w:cs="Arial"/>
          <w:bCs/>
          <w:color w:val="000000"/>
          <w:sz w:val="24"/>
          <w:szCs w:val="24"/>
        </w:rPr>
        <w:t xml:space="preserve"> que </w:t>
      </w:r>
      <w:r w:rsidR="00690A63" w:rsidRPr="00941843">
        <w:rPr>
          <w:rFonts w:ascii="Arial" w:hAnsi="Arial" w:cs="Arial"/>
          <w:sz w:val="24"/>
          <w:szCs w:val="24"/>
        </w:rPr>
        <w:t>la Comisión de Honor y Justicia, es el órgano colegiado de carácter honorífico que</w:t>
      </w:r>
      <w:r w:rsidR="00941843" w:rsidRPr="00941843">
        <w:rPr>
          <w:rFonts w:ascii="Arial" w:eastAsia="Calibri" w:hAnsi="Arial" w:cs="Arial"/>
          <w:bCs/>
          <w:color w:val="000000"/>
          <w:sz w:val="24"/>
          <w:szCs w:val="24"/>
        </w:rPr>
        <w:t xml:space="preserve"> </w:t>
      </w:r>
      <w:r w:rsidR="00690A63" w:rsidRPr="00941843">
        <w:rPr>
          <w:rFonts w:ascii="Arial" w:hAnsi="Arial" w:cs="Arial"/>
          <w:sz w:val="24"/>
          <w:szCs w:val="24"/>
        </w:rPr>
        <w:t>conocerá y resolverá toda controversia que se suscite por incumplimiento a los requisitos de permanencia</w:t>
      </w:r>
      <w:r w:rsidR="00941843" w:rsidRPr="00941843">
        <w:rPr>
          <w:rFonts w:ascii="Arial" w:eastAsia="Calibri" w:hAnsi="Arial" w:cs="Arial"/>
          <w:bCs/>
          <w:color w:val="000000"/>
          <w:sz w:val="24"/>
          <w:szCs w:val="24"/>
        </w:rPr>
        <w:t xml:space="preserve"> </w:t>
      </w:r>
      <w:r w:rsidR="00690A63" w:rsidRPr="00941843">
        <w:rPr>
          <w:rFonts w:ascii="Arial" w:hAnsi="Arial" w:cs="Arial"/>
          <w:sz w:val="24"/>
          <w:szCs w:val="24"/>
        </w:rPr>
        <w:t>o por infracción al régimen disciplinario de los integrantes de las Instituciones Policiales, con motivo de</w:t>
      </w:r>
      <w:r w:rsidR="00941843" w:rsidRPr="00941843">
        <w:rPr>
          <w:rFonts w:ascii="Arial" w:eastAsia="Calibri" w:hAnsi="Arial" w:cs="Arial"/>
          <w:bCs/>
          <w:color w:val="000000"/>
          <w:sz w:val="24"/>
          <w:szCs w:val="24"/>
        </w:rPr>
        <w:t xml:space="preserve"> </w:t>
      </w:r>
      <w:r w:rsidR="00690A63" w:rsidRPr="00941843">
        <w:rPr>
          <w:rFonts w:ascii="Arial" w:hAnsi="Arial" w:cs="Arial"/>
          <w:sz w:val="24"/>
          <w:szCs w:val="24"/>
        </w:rPr>
        <w:t>las infracciones previstas en la Ley General, esta Ley y demás disposiciones normativas aplicables</w:t>
      </w:r>
    </w:p>
    <w:p w14:paraId="189B0528" w14:textId="551993E0" w:rsidR="002C45B7" w:rsidRPr="0080455A" w:rsidRDefault="002C45B7" w:rsidP="002C45B7">
      <w:pPr>
        <w:widowControl w:val="0"/>
        <w:spacing w:before="240" w:line="360" w:lineRule="auto"/>
        <w:ind w:right="49"/>
        <w:jc w:val="both"/>
        <w:rPr>
          <w:rFonts w:ascii="Arial" w:eastAsia="Calibri" w:hAnsi="Arial" w:cs="Arial"/>
          <w:bCs/>
          <w:color w:val="000000"/>
          <w:sz w:val="24"/>
          <w:szCs w:val="24"/>
        </w:rPr>
      </w:pPr>
      <w:r w:rsidRPr="0080455A">
        <w:rPr>
          <w:rFonts w:ascii="Arial" w:eastAsia="Calibri" w:hAnsi="Arial" w:cs="Arial"/>
          <w:bCs/>
          <w:color w:val="000000"/>
          <w:sz w:val="24"/>
          <w:szCs w:val="24"/>
        </w:rPr>
        <w:t xml:space="preserve">     Sirve de apoyo</w:t>
      </w:r>
      <w:r w:rsidR="0080455A" w:rsidRPr="0080455A">
        <w:rPr>
          <w:rFonts w:ascii="Arial" w:eastAsia="Calibri" w:hAnsi="Arial" w:cs="Arial"/>
          <w:bCs/>
          <w:color w:val="000000"/>
          <w:sz w:val="24"/>
          <w:szCs w:val="24"/>
        </w:rPr>
        <w:t xml:space="preserve"> por identidad jurídica</w:t>
      </w:r>
      <w:r w:rsidRPr="0080455A">
        <w:rPr>
          <w:rFonts w:ascii="Arial" w:eastAsia="Calibri" w:hAnsi="Arial" w:cs="Arial"/>
          <w:bCs/>
          <w:color w:val="000000"/>
          <w:sz w:val="24"/>
          <w:szCs w:val="24"/>
        </w:rPr>
        <w:t xml:space="preserve"> </w:t>
      </w:r>
      <w:r w:rsidR="0080455A" w:rsidRPr="0080455A">
        <w:rPr>
          <w:rFonts w:ascii="Arial" w:eastAsia="Calibri" w:hAnsi="Arial" w:cs="Arial"/>
          <w:bCs/>
          <w:color w:val="000000"/>
          <w:sz w:val="24"/>
          <w:szCs w:val="24"/>
        </w:rPr>
        <w:t>el siguiente criterio jurisprudencial.</w:t>
      </w:r>
    </w:p>
    <w:p w14:paraId="6377FB4C" w14:textId="0517F1CE" w:rsidR="00A01CA9" w:rsidRPr="004A0133" w:rsidRDefault="004A0133" w:rsidP="004A0133">
      <w:pPr>
        <w:autoSpaceDE w:val="0"/>
        <w:autoSpaceDN w:val="0"/>
        <w:adjustRightInd w:val="0"/>
        <w:spacing w:after="0"/>
        <w:ind w:left="284" w:right="333"/>
        <w:jc w:val="both"/>
        <w:rPr>
          <w:rFonts w:ascii="Calibri Light" w:hAnsi="Calibri Light" w:cs="Calibri Light"/>
          <w:b/>
          <w:sz w:val="23"/>
          <w:szCs w:val="23"/>
        </w:rPr>
      </w:pPr>
      <w:r w:rsidRPr="004A0133">
        <w:rPr>
          <w:rFonts w:ascii="Calibri Light" w:hAnsi="Calibri Light" w:cs="Calibri Light"/>
          <w:sz w:val="23"/>
          <w:szCs w:val="23"/>
        </w:rPr>
        <w:t>“</w:t>
      </w:r>
      <w:r w:rsidRPr="004A0133">
        <w:rPr>
          <w:rFonts w:ascii="Calibri Light" w:hAnsi="Calibri Light" w:cs="Calibri Light"/>
          <w:b/>
          <w:sz w:val="23"/>
          <w:szCs w:val="23"/>
        </w:rPr>
        <w:t xml:space="preserve">COMISIÓN DE HONOR Y JUSTICIA DE LOS CUERPOS DE SEGURIDAD PÚBLICA DEL MUNICIPIO DE GUADALUPE, NUEVO LEÓN. ES COMPETENTE PARA IMPONER LAS SANCIONES A LOS ELEMENTOS DE LA SECRETARÍA DE SEGURIDAD PÚBLICA MUNICIPAL, POR LA COMISIÓN DE ALGUNA FALTA GRAVE A LOS PRINCIPIOS DE ACTUACIÓN PREVISTOS EN EL RÉGIMEN DISCIPLINARIO DE LA LEY DE SEGURIDAD PÚBLICA PARA EL ESTADO, O CUANDO LA DETERMINACIÓN DE RESPONSABILIDAD DÉ LUGAR A SU DESTITUCIÓN O INHABILITACIÓN. </w:t>
      </w:r>
      <w:r w:rsidRPr="004A0133">
        <w:rPr>
          <w:rFonts w:ascii="Calibri Light" w:hAnsi="Calibri Light" w:cs="Calibri Light"/>
          <w:sz w:val="23"/>
          <w:szCs w:val="23"/>
        </w:rPr>
        <w:t xml:space="preserve">De los artículos 221 y 223 de la Ley de Seguridad Pública para el Estado de Nuevo León, 18, fracciones XIV, XXXIV y XXXV, del Reglamento Orgánico de la Administración Pública del Municipio de Guadalupe, Nuevo León, y 4, 5, 13, 20, 26 y 27 del Reglamento de la Comisión de Honor y Justicia de los Cuerpos de Seguridad Pública del Municipio de Guadalupe, Nuevo León, deriva la aplicación del régimen disciplinario para los casos en que el elemento policiaco incurra en alguna de las conductas prohibidas en el artículo 158 de dicha ley, y que cuando se trate de la imposición de sanciones a los elementos adscritos a los cuerpos de seguridad pública del Municipio referido, por responsabilidades del orden administrativo que den lugar a la destitución o inhabilitación, como la comisión de faltas graves al cumplimiento de las obligaciones descritas en la referida ley indicada, corresponderá seguir tales procedimientos a la </w:t>
      </w:r>
      <w:r w:rsidRPr="004A0133">
        <w:rPr>
          <w:rFonts w:ascii="Calibri Light" w:hAnsi="Calibri Light" w:cs="Calibri Light"/>
          <w:sz w:val="23"/>
          <w:szCs w:val="23"/>
        </w:rPr>
        <w:lastRenderedPageBreak/>
        <w:t>Comisión de Honor y Justicia aludida, conforme al procedimiento establecido en el artículo 229 de la propia ley. Lo anterior es así, porque aun cuando el artículo 95 del Reglamento Interior de Trabajo de los Elementos de la Secretaría de Seguridad Pública de Ciudad Guadalupe, Nuevo León, señala únicamente que para la aplicación de sanciones el citado secretario notificará al oficial supuestamente responsable la falta imputada, le citará a una audiencia y dictará la resolución correspondiente, es evidente que el conjunto normativo examinado permite interpretar esa disposición en relación con la aplicación de sanciones de apercibimiento, amonestaciones, arresto, cambios de adscripción y suspensiones; y en cuanto a la imposición de sanciones por responsabilidades del orden administrativo que den lugar a la destitución o inhabilitación, como la comisión de faltas graves al cumplimiento de las obligaciones aludidas, la propia ley señala en su texto expreso, que corresponde seguir tales procedimientos a un órgano diverso al superior jerárquico o titular del ramo, que es precisamente la Comisión de Honor y Justicia del Ayuntamiento.”</w:t>
      </w:r>
      <w:r w:rsidR="00BD7396">
        <w:rPr>
          <w:rStyle w:val="Refdenotaalpie"/>
          <w:rFonts w:ascii="Calibri Light" w:hAnsi="Calibri Light" w:cs="Calibri Light"/>
          <w:sz w:val="23"/>
          <w:szCs w:val="23"/>
        </w:rPr>
        <w:footnoteReference w:id="18"/>
      </w:r>
    </w:p>
    <w:p w14:paraId="7155EC47" w14:textId="77777777" w:rsidR="00A01CA9" w:rsidRPr="00A01CA9" w:rsidRDefault="00A01CA9" w:rsidP="0040460C">
      <w:pPr>
        <w:autoSpaceDE w:val="0"/>
        <w:autoSpaceDN w:val="0"/>
        <w:adjustRightInd w:val="0"/>
        <w:spacing w:after="0"/>
        <w:ind w:right="616"/>
        <w:jc w:val="both"/>
        <w:rPr>
          <w:rFonts w:ascii="Arial" w:hAnsi="Arial" w:cs="Arial"/>
          <w:highlight w:val="yellow"/>
        </w:rPr>
      </w:pPr>
    </w:p>
    <w:p w14:paraId="4D38517A" w14:textId="183707B5" w:rsidR="00B35579" w:rsidRPr="005D1B80" w:rsidRDefault="00B35579" w:rsidP="00B35579">
      <w:pPr>
        <w:spacing w:line="360" w:lineRule="auto"/>
        <w:jc w:val="both"/>
        <w:rPr>
          <w:rFonts w:ascii="Arial" w:eastAsia="Calibri" w:hAnsi="Arial" w:cs="Arial"/>
          <w:bCs/>
          <w:sz w:val="24"/>
          <w:szCs w:val="24"/>
        </w:rPr>
      </w:pPr>
      <w:r w:rsidRPr="005D1B80">
        <w:rPr>
          <w:rFonts w:ascii="Arial" w:eastAsia="Calibri" w:hAnsi="Arial" w:cs="Arial"/>
          <w:bCs/>
          <w:sz w:val="26"/>
          <w:szCs w:val="26"/>
        </w:rPr>
        <w:t xml:space="preserve">      En virtud de</w:t>
      </w:r>
      <w:r w:rsidR="001A3A42" w:rsidRPr="005D1B80">
        <w:rPr>
          <w:rFonts w:ascii="Arial" w:eastAsia="Calibri" w:hAnsi="Arial" w:cs="Arial"/>
          <w:bCs/>
          <w:sz w:val="26"/>
          <w:szCs w:val="26"/>
        </w:rPr>
        <w:t xml:space="preserve"> </w:t>
      </w:r>
      <w:r w:rsidRPr="005D1B80">
        <w:rPr>
          <w:rFonts w:ascii="Arial" w:eastAsia="Calibri" w:hAnsi="Arial" w:cs="Arial"/>
          <w:bCs/>
          <w:sz w:val="26"/>
          <w:szCs w:val="26"/>
        </w:rPr>
        <w:t>lo expuesto</w:t>
      </w:r>
      <w:r w:rsidR="001A3A42" w:rsidRPr="005D1B80">
        <w:rPr>
          <w:rFonts w:ascii="Arial" w:eastAsia="Calibri" w:hAnsi="Arial" w:cs="Arial"/>
          <w:bCs/>
          <w:sz w:val="26"/>
          <w:szCs w:val="26"/>
        </w:rPr>
        <w:t xml:space="preserve"> en el considerando octavo de la presente sentencia</w:t>
      </w:r>
      <w:r w:rsidRPr="005D1B80">
        <w:rPr>
          <w:rFonts w:ascii="Arial" w:eastAsia="Calibri" w:hAnsi="Arial" w:cs="Arial"/>
          <w:bCs/>
          <w:sz w:val="26"/>
          <w:szCs w:val="26"/>
        </w:rPr>
        <w:t xml:space="preserve">, y al </w:t>
      </w:r>
      <w:r w:rsidRPr="005D1B80">
        <w:rPr>
          <w:rFonts w:ascii="Arial" w:eastAsia="Calibri" w:hAnsi="Arial" w:cs="Arial"/>
          <w:bCs/>
          <w:sz w:val="24"/>
          <w:szCs w:val="24"/>
        </w:rPr>
        <w:t>no considerar</w:t>
      </w:r>
      <w:r w:rsidR="00831D46" w:rsidRPr="005D1B80">
        <w:rPr>
          <w:rFonts w:ascii="Arial" w:eastAsia="Calibri" w:hAnsi="Arial" w:cs="Arial"/>
          <w:bCs/>
          <w:sz w:val="24"/>
          <w:szCs w:val="24"/>
        </w:rPr>
        <w:t>se que</w:t>
      </w:r>
      <w:r w:rsidRPr="005D1B80">
        <w:rPr>
          <w:rFonts w:ascii="Arial" w:eastAsia="Calibri" w:hAnsi="Arial" w:cs="Arial"/>
          <w:bCs/>
          <w:sz w:val="24"/>
          <w:szCs w:val="24"/>
        </w:rPr>
        <w:t xml:space="preserve"> la</w:t>
      </w:r>
      <w:r w:rsidR="00670FDE" w:rsidRPr="005D1B80">
        <w:rPr>
          <w:rFonts w:ascii="Arial" w:eastAsia="Calibri" w:hAnsi="Arial" w:cs="Arial"/>
          <w:bCs/>
          <w:sz w:val="24"/>
          <w:szCs w:val="24"/>
        </w:rPr>
        <w:t>s</w:t>
      </w:r>
      <w:r w:rsidRPr="005D1B80">
        <w:rPr>
          <w:rFonts w:ascii="Arial" w:eastAsia="Calibri" w:hAnsi="Arial" w:cs="Arial"/>
          <w:bCs/>
          <w:sz w:val="24"/>
          <w:szCs w:val="24"/>
        </w:rPr>
        <w:t xml:space="preserve"> autoridad</w:t>
      </w:r>
      <w:r w:rsidR="00670FDE" w:rsidRPr="005D1B80">
        <w:rPr>
          <w:rFonts w:ascii="Arial" w:eastAsia="Calibri" w:hAnsi="Arial" w:cs="Arial"/>
          <w:bCs/>
          <w:sz w:val="24"/>
          <w:szCs w:val="24"/>
        </w:rPr>
        <w:t>es</w:t>
      </w:r>
      <w:r w:rsidRPr="005D1B80">
        <w:rPr>
          <w:rFonts w:ascii="Arial" w:eastAsia="Calibri" w:hAnsi="Arial" w:cs="Arial"/>
          <w:bCs/>
          <w:sz w:val="24"/>
          <w:szCs w:val="24"/>
        </w:rPr>
        <w:t xml:space="preserve"> demandada</w:t>
      </w:r>
      <w:r w:rsidR="00670FDE" w:rsidRPr="005D1B80">
        <w:rPr>
          <w:rFonts w:ascii="Arial" w:eastAsia="Calibri" w:hAnsi="Arial" w:cs="Arial"/>
          <w:bCs/>
          <w:sz w:val="24"/>
          <w:szCs w:val="24"/>
        </w:rPr>
        <w:t>s</w:t>
      </w:r>
      <w:r w:rsidRPr="005D1B80">
        <w:rPr>
          <w:rFonts w:ascii="Arial" w:eastAsia="Calibri" w:hAnsi="Arial" w:cs="Arial"/>
          <w:bCs/>
          <w:sz w:val="24"/>
          <w:szCs w:val="24"/>
        </w:rPr>
        <w:t xml:space="preserve">  afect</w:t>
      </w:r>
      <w:r w:rsidR="00670FDE" w:rsidRPr="005D1B80">
        <w:rPr>
          <w:rFonts w:ascii="Arial" w:eastAsia="Calibri" w:hAnsi="Arial" w:cs="Arial"/>
          <w:bCs/>
          <w:sz w:val="24"/>
          <w:szCs w:val="24"/>
        </w:rPr>
        <w:t>aron</w:t>
      </w:r>
      <w:r w:rsidRPr="005D1B80">
        <w:rPr>
          <w:rFonts w:ascii="Arial" w:eastAsia="Calibri" w:hAnsi="Arial" w:cs="Arial"/>
          <w:bCs/>
          <w:sz w:val="24"/>
          <w:szCs w:val="24"/>
        </w:rPr>
        <w:t xml:space="preserve"> los derechos humanos del actor previstos en el artículo 1° de la Constitución Política de los Estados Mexicanos, pues toda autoridad en el </w:t>
      </w:r>
      <w:r w:rsidRPr="005D1B80">
        <w:rPr>
          <w:rFonts w:ascii="Arial" w:hAnsi="Arial" w:cs="Arial"/>
          <w:sz w:val="26"/>
          <w:szCs w:val="26"/>
        </w:rPr>
        <w:t xml:space="preserve">ámbito de su competencia, está obligada a promoverlos, respetarlos, protegerlos y garantizarlos de conformidad con los principios de universalidad, interdependencia, indivisibilidad y progresividad, favoreciendo en todo tiempo a las personas la protección más amplia, en atención al </w:t>
      </w:r>
      <w:r w:rsidRPr="005D1B80">
        <w:rPr>
          <w:rFonts w:ascii="Arial" w:hAnsi="Arial" w:cs="Arial"/>
          <w:bCs/>
          <w:sz w:val="26"/>
          <w:szCs w:val="26"/>
        </w:rPr>
        <w:t>principio Pro-Persona</w:t>
      </w:r>
      <w:r w:rsidR="00670FDE" w:rsidRPr="005D1B80">
        <w:rPr>
          <w:rFonts w:ascii="Arial" w:hAnsi="Arial" w:cs="Arial"/>
          <w:bCs/>
          <w:sz w:val="26"/>
          <w:szCs w:val="26"/>
        </w:rPr>
        <w:t xml:space="preserve">, </w:t>
      </w:r>
      <w:r w:rsidRPr="005D1B80">
        <w:rPr>
          <w:rFonts w:ascii="Arial" w:eastAsia="Calibri" w:hAnsi="Arial" w:cs="Arial"/>
          <w:b/>
          <w:sz w:val="24"/>
          <w:szCs w:val="24"/>
        </w:rPr>
        <w:t>es procedente reparar los derechos afectados a</w:t>
      </w:r>
      <w:r w:rsidR="000E2482" w:rsidRPr="005D1B80">
        <w:rPr>
          <w:rFonts w:ascii="Arial" w:eastAsia="Calibri" w:hAnsi="Arial" w:cs="Arial"/>
          <w:b/>
          <w:sz w:val="24"/>
          <w:szCs w:val="24"/>
        </w:rPr>
        <w:t xml:space="preserve"> la actora Emma Herrera Lazo</w:t>
      </w:r>
      <w:r w:rsidRPr="005D1B80">
        <w:rPr>
          <w:rFonts w:ascii="Arial" w:eastAsia="Calibri" w:hAnsi="Arial" w:cs="Arial"/>
          <w:bCs/>
          <w:sz w:val="24"/>
          <w:szCs w:val="24"/>
        </w:rPr>
        <w:t>.</w:t>
      </w:r>
    </w:p>
    <w:p w14:paraId="391F0FCA" w14:textId="12AC4347" w:rsidR="00BC6B2F" w:rsidRPr="005D1B80" w:rsidRDefault="00BC6B2F" w:rsidP="003B4150">
      <w:pPr>
        <w:tabs>
          <w:tab w:val="left" w:pos="6663"/>
        </w:tabs>
        <w:spacing w:line="360" w:lineRule="auto"/>
        <w:ind w:firstLine="567"/>
        <w:jc w:val="both"/>
        <w:rPr>
          <w:rFonts w:ascii="Arial" w:hAnsi="Arial" w:cs="Arial"/>
          <w:sz w:val="24"/>
          <w:szCs w:val="24"/>
        </w:rPr>
      </w:pPr>
      <w:r w:rsidRPr="005D1B80">
        <w:rPr>
          <w:rFonts w:ascii="Arial" w:hAnsi="Arial" w:cs="Arial"/>
          <w:sz w:val="24"/>
          <w:szCs w:val="24"/>
        </w:rPr>
        <w:t xml:space="preserve">De ahí que es procedente decretar la </w:t>
      </w:r>
      <w:r w:rsidRPr="005D1B80">
        <w:rPr>
          <w:rFonts w:ascii="Arial" w:hAnsi="Arial" w:cs="Arial"/>
          <w:b/>
          <w:sz w:val="24"/>
          <w:szCs w:val="24"/>
        </w:rPr>
        <w:t>NULIDAD LISA Y LLANA</w:t>
      </w:r>
      <w:r w:rsidRPr="005D1B80">
        <w:rPr>
          <w:rFonts w:ascii="Arial" w:hAnsi="Arial" w:cs="Arial"/>
          <w:sz w:val="24"/>
          <w:szCs w:val="24"/>
        </w:rPr>
        <w:t xml:space="preserve"> </w:t>
      </w:r>
      <w:r w:rsidR="00110D29" w:rsidRPr="005D1B80">
        <w:rPr>
          <w:rFonts w:ascii="Arial" w:hAnsi="Arial" w:cs="Arial"/>
          <w:sz w:val="24"/>
          <w:szCs w:val="24"/>
        </w:rPr>
        <w:t>de</w:t>
      </w:r>
      <w:r w:rsidR="00831D46" w:rsidRPr="005D1B80">
        <w:rPr>
          <w:rFonts w:ascii="Arial" w:hAnsi="Arial" w:cs="Arial"/>
          <w:sz w:val="24"/>
          <w:szCs w:val="24"/>
        </w:rPr>
        <w:t xml:space="preserve"> la resolución </w:t>
      </w:r>
      <w:r w:rsidR="00BA3F21" w:rsidRPr="005D1B80">
        <w:rPr>
          <w:rFonts w:ascii="Arial" w:hAnsi="Arial" w:cs="Arial"/>
          <w:sz w:val="24"/>
          <w:szCs w:val="24"/>
        </w:rPr>
        <w:t xml:space="preserve">de Despido Justificado </w:t>
      </w:r>
      <w:r w:rsidR="00831D46" w:rsidRPr="005D1B80">
        <w:rPr>
          <w:rFonts w:ascii="Arial" w:hAnsi="Arial" w:cs="Arial"/>
          <w:sz w:val="24"/>
          <w:szCs w:val="24"/>
        </w:rPr>
        <w:t>de</w:t>
      </w:r>
      <w:r w:rsidR="00BA3F21" w:rsidRPr="005D1B80">
        <w:rPr>
          <w:rFonts w:ascii="Arial" w:hAnsi="Arial" w:cs="Arial"/>
          <w:sz w:val="24"/>
          <w:szCs w:val="24"/>
        </w:rPr>
        <w:t xml:space="preserve"> </w:t>
      </w:r>
      <w:r w:rsidR="00FC43E8">
        <w:rPr>
          <w:rFonts w:ascii="Arial" w:hAnsi="Arial" w:cs="Arial"/>
          <w:sz w:val="24"/>
          <w:szCs w:val="24"/>
        </w:rPr>
        <w:t>**********</w:t>
      </w:r>
      <w:r w:rsidR="00BD4FB2" w:rsidRPr="005D1B80">
        <w:rPr>
          <w:rFonts w:ascii="Arial" w:hAnsi="Arial" w:cs="Arial"/>
          <w:sz w:val="24"/>
          <w:szCs w:val="24"/>
        </w:rPr>
        <w:t>, emitida por el Síndico Municipal de La Reforma, Distrito de Putla, Oaxaca</w:t>
      </w:r>
      <w:r w:rsidRPr="005D1B80">
        <w:rPr>
          <w:rFonts w:ascii="Arial" w:hAnsi="Arial" w:cs="Arial"/>
          <w:sz w:val="24"/>
          <w:szCs w:val="24"/>
        </w:rPr>
        <w:t>,</w:t>
      </w:r>
      <w:r w:rsidR="003B4150" w:rsidRPr="005D1B80">
        <w:rPr>
          <w:rFonts w:ascii="Arial" w:hAnsi="Arial" w:cs="Arial"/>
          <w:sz w:val="24"/>
          <w:szCs w:val="24"/>
        </w:rPr>
        <w:t xml:space="preserve"> </w:t>
      </w:r>
      <w:r w:rsidRPr="005D1B80">
        <w:rPr>
          <w:rFonts w:ascii="Arial" w:hAnsi="Arial" w:cs="Arial"/>
          <w:sz w:val="24"/>
          <w:szCs w:val="24"/>
        </w:rPr>
        <w:t>en términos de lo dispuesto en el artículo 208 fracción II de la Ley de Procedimiento y Justicia Administrativa para el Estado de Oaxaca</w:t>
      </w:r>
      <w:r w:rsidRPr="005D1B80">
        <w:rPr>
          <w:rStyle w:val="Refdenotaalpie"/>
          <w:rFonts w:ascii="Arial" w:hAnsi="Arial" w:cs="Arial"/>
          <w:sz w:val="24"/>
          <w:szCs w:val="24"/>
        </w:rPr>
        <w:footnoteReference w:id="19"/>
      </w:r>
      <w:r w:rsidRPr="005D1B80">
        <w:rPr>
          <w:rFonts w:ascii="Arial" w:hAnsi="Arial" w:cs="Arial"/>
          <w:sz w:val="24"/>
          <w:szCs w:val="24"/>
        </w:rPr>
        <w:t xml:space="preserve">. </w:t>
      </w:r>
    </w:p>
    <w:p w14:paraId="3ED21D96" w14:textId="127ABF4D" w:rsidR="00AE0848" w:rsidRPr="00464E21" w:rsidRDefault="003B4150" w:rsidP="00464E21">
      <w:pPr>
        <w:spacing w:line="360" w:lineRule="auto"/>
        <w:ind w:firstLine="567"/>
        <w:jc w:val="both"/>
        <w:rPr>
          <w:rFonts w:ascii="Arial" w:hAnsi="Arial" w:cs="Arial"/>
          <w:sz w:val="24"/>
          <w:szCs w:val="24"/>
        </w:rPr>
      </w:pPr>
      <w:r w:rsidRPr="00464E21">
        <w:rPr>
          <w:rFonts w:ascii="Arial" w:hAnsi="Arial" w:cs="Arial"/>
          <w:sz w:val="24"/>
          <w:szCs w:val="24"/>
        </w:rPr>
        <w:t>Ahora bien, por tratarse de un</w:t>
      </w:r>
      <w:r w:rsidR="000A1944" w:rsidRPr="00464E21">
        <w:rPr>
          <w:rFonts w:ascii="Arial" w:hAnsi="Arial" w:cs="Arial"/>
          <w:sz w:val="24"/>
          <w:szCs w:val="24"/>
        </w:rPr>
        <w:t>a elemento</w:t>
      </w:r>
      <w:r w:rsidRPr="00464E21">
        <w:rPr>
          <w:rFonts w:ascii="Arial" w:hAnsi="Arial" w:cs="Arial"/>
          <w:sz w:val="24"/>
          <w:szCs w:val="24"/>
        </w:rPr>
        <w:t xml:space="preserve"> perteneciente a la Seguridad Pública</w:t>
      </w:r>
      <w:r w:rsidR="004F61AB" w:rsidRPr="00464E21">
        <w:rPr>
          <w:rFonts w:ascii="Arial" w:hAnsi="Arial" w:cs="Arial"/>
          <w:sz w:val="24"/>
          <w:szCs w:val="24"/>
        </w:rPr>
        <w:t xml:space="preserve">, se advierte que conforme el </w:t>
      </w:r>
      <w:r w:rsidR="00AA0B35" w:rsidRPr="00464E21">
        <w:rPr>
          <w:rFonts w:ascii="Arial" w:hAnsi="Arial" w:cs="Arial"/>
          <w:sz w:val="24"/>
          <w:szCs w:val="24"/>
        </w:rPr>
        <w:t>artículo 1</w:t>
      </w:r>
      <w:r w:rsidR="008C7738" w:rsidRPr="00464E21">
        <w:rPr>
          <w:rFonts w:ascii="Arial" w:hAnsi="Arial" w:cs="Arial"/>
          <w:sz w:val="24"/>
          <w:szCs w:val="24"/>
        </w:rPr>
        <w:t>1</w:t>
      </w:r>
      <w:r w:rsidR="00AA0B35" w:rsidRPr="00464E21">
        <w:rPr>
          <w:rFonts w:ascii="Arial" w:hAnsi="Arial" w:cs="Arial"/>
          <w:sz w:val="24"/>
          <w:szCs w:val="24"/>
        </w:rPr>
        <w:t>3</w:t>
      </w:r>
      <w:r w:rsidR="00765B20" w:rsidRPr="00464E21">
        <w:rPr>
          <w:rStyle w:val="Refdenotaalpie"/>
          <w:rFonts w:ascii="Arial" w:hAnsi="Arial" w:cs="Arial"/>
          <w:sz w:val="24"/>
          <w:szCs w:val="24"/>
        </w:rPr>
        <w:footnoteReference w:id="20"/>
      </w:r>
      <w:r w:rsidR="00AA0B35" w:rsidRPr="00464E21">
        <w:rPr>
          <w:rFonts w:ascii="Arial" w:hAnsi="Arial" w:cs="Arial"/>
          <w:sz w:val="24"/>
          <w:szCs w:val="24"/>
        </w:rPr>
        <w:t xml:space="preserve"> de la Ley </w:t>
      </w:r>
      <w:r w:rsidR="00765B20" w:rsidRPr="00464E21">
        <w:rPr>
          <w:rFonts w:ascii="Arial" w:hAnsi="Arial" w:cs="Arial"/>
          <w:sz w:val="24"/>
          <w:szCs w:val="24"/>
        </w:rPr>
        <w:t>Estatal</w:t>
      </w:r>
      <w:r w:rsidR="00AA0B35" w:rsidRPr="00464E21">
        <w:rPr>
          <w:rFonts w:ascii="Arial" w:hAnsi="Arial" w:cs="Arial"/>
          <w:sz w:val="24"/>
          <w:szCs w:val="24"/>
        </w:rPr>
        <w:t xml:space="preserve"> del </w:t>
      </w:r>
      <w:r w:rsidR="00765B20" w:rsidRPr="00464E21">
        <w:rPr>
          <w:rFonts w:ascii="Arial" w:hAnsi="Arial" w:cs="Arial"/>
          <w:sz w:val="24"/>
          <w:szCs w:val="24"/>
        </w:rPr>
        <w:t>Sistema</w:t>
      </w:r>
      <w:r w:rsidR="00AA0B35" w:rsidRPr="00464E21">
        <w:rPr>
          <w:rFonts w:ascii="Arial" w:hAnsi="Arial" w:cs="Arial"/>
          <w:sz w:val="24"/>
          <w:szCs w:val="24"/>
        </w:rPr>
        <w:t xml:space="preserve"> de Seguridad </w:t>
      </w:r>
      <w:r w:rsidR="00765B20" w:rsidRPr="00464E21">
        <w:rPr>
          <w:rFonts w:ascii="Arial" w:hAnsi="Arial" w:cs="Arial"/>
          <w:sz w:val="24"/>
          <w:szCs w:val="24"/>
        </w:rPr>
        <w:t>Pública de Oaxaca</w:t>
      </w:r>
      <w:r w:rsidRPr="00464E21">
        <w:rPr>
          <w:rFonts w:ascii="Arial" w:hAnsi="Arial" w:cs="Arial"/>
          <w:sz w:val="24"/>
          <w:szCs w:val="24"/>
        </w:rPr>
        <w:t xml:space="preserve"> se encuentra prohibida la reinstalación cuando se da de baja por causa injustificada</w:t>
      </w:r>
      <w:r w:rsidRPr="00464E21">
        <w:rPr>
          <w:rStyle w:val="Refdenotaalpie"/>
          <w:rFonts w:ascii="Arial" w:hAnsi="Arial" w:cs="Arial"/>
          <w:sz w:val="24"/>
          <w:szCs w:val="24"/>
        </w:rPr>
        <w:footnoteReference w:id="21"/>
      </w:r>
      <w:r w:rsidRPr="00464E21">
        <w:rPr>
          <w:rFonts w:ascii="Arial" w:hAnsi="Arial" w:cs="Arial"/>
          <w:sz w:val="24"/>
          <w:szCs w:val="24"/>
        </w:rPr>
        <w:t xml:space="preserve"> por lo que </w:t>
      </w:r>
      <w:r w:rsidRPr="00464E21">
        <w:rPr>
          <w:rFonts w:ascii="Arial" w:hAnsi="Arial" w:cs="Arial"/>
          <w:sz w:val="24"/>
          <w:szCs w:val="24"/>
        </w:rPr>
        <w:lastRenderedPageBreak/>
        <w:t xml:space="preserve">atendiendo a la naturaleza de la relación que es administrativa procede solamente su indemnización y el pago de otras prestaciones; de acuerdo </w:t>
      </w:r>
      <w:r w:rsidR="008C7738" w:rsidRPr="00464E21">
        <w:rPr>
          <w:rFonts w:ascii="Arial" w:hAnsi="Arial" w:cs="Arial"/>
          <w:sz w:val="24"/>
          <w:szCs w:val="24"/>
        </w:rPr>
        <w:t>también en el</w:t>
      </w:r>
      <w:r w:rsidRPr="00464E21">
        <w:rPr>
          <w:rFonts w:ascii="Arial" w:hAnsi="Arial" w:cs="Arial"/>
          <w:sz w:val="24"/>
          <w:szCs w:val="24"/>
        </w:rPr>
        <w:t xml:space="preserve">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empleo se les debe indemnizar, respetando las prestaciones a que tienen derecho como trabajadores. En ese sentido se debe tomar en consideración la siguiente </w:t>
      </w:r>
      <w:r w:rsidR="00AE0848" w:rsidRPr="00464E21">
        <w:rPr>
          <w:rFonts w:ascii="Arial" w:hAnsi="Arial" w:cs="Arial"/>
          <w:sz w:val="24"/>
          <w:szCs w:val="24"/>
        </w:rPr>
        <w:t xml:space="preserve">tesis aislada de la Décima época, con número de registro </w:t>
      </w:r>
      <w:r w:rsidR="00AE0848" w:rsidRPr="00464E21">
        <w:rPr>
          <w:rFonts w:ascii="Arial" w:hAnsi="Arial" w:cs="Arial"/>
          <w:color w:val="212529"/>
          <w:sz w:val="24"/>
          <w:szCs w:val="24"/>
          <w:shd w:val="clear" w:color="auto" w:fill="FFFFFF"/>
        </w:rPr>
        <w:t xml:space="preserve">2003104, emitida </w:t>
      </w:r>
      <w:r w:rsidR="00C41FC1" w:rsidRPr="00464E21">
        <w:rPr>
          <w:rFonts w:ascii="Arial" w:hAnsi="Arial" w:cs="Arial"/>
          <w:color w:val="212529"/>
          <w:sz w:val="24"/>
          <w:szCs w:val="24"/>
          <w:shd w:val="clear" w:color="auto" w:fill="FFFFFF"/>
        </w:rPr>
        <w:t>por los Tribunales Colegiados de Circuito, publicada en el Semanario Judicial de la Federación y su Gaceta, libro XVIII, Marzo de 2013, Tomo 3, página 2051, de rubro y texto siguiente:</w:t>
      </w:r>
    </w:p>
    <w:p w14:paraId="1521BF65" w14:textId="3B58200B" w:rsidR="004F1BC4" w:rsidRPr="0027337A" w:rsidRDefault="004F1BC4" w:rsidP="00464E21">
      <w:pPr>
        <w:ind w:left="284" w:right="333"/>
        <w:jc w:val="both"/>
        <w:rPr>
          <w:rFonts w:ascii="Calibri Light" w:hAnsi="Calibri Light" w:cs="Calibri Light"/>
          <w:i/>
          <w:sz w:val="23"/>
          <w:szCs w:val="23"/>
        </w:rPr>
      </w:pPr>
      <w:r w:rsidRPr="0027337A">
        <w:rPr>
          <w:rFonts w:ascii="Calibri Light" w:hAnsi="Calibri Light" w:cs="Calibri Light"/>
          <w:b/>
          <w:i/>
          <w:sz w:val="23"/>
          <w:szCs w:val="23"/>
        </w:rPr>
        <w:t>“POLICÍAS. PARA EL PAGO DE SU INDEMNIZACIÓN PROCEDE DESAPLICAR LAS REGLAS QUE, EN LA INTERPRETACIÓN DEL ARTÍCULO 123, APARTADO B, FRACCIÓN XIII, DE LA CONSTITUCIÓN FEDERAL, HA ESTABLECIDO LA SUPREMA CORTE DE JUSTICIA DE LA NACIÓN</w:t>
      </w:r>
      <w:r w:rsidRPr="0027337A">
        <w:rPr>
          <w:rFonts w:ascii="Calibri Light" w:hAnsi="Calibri Light" w:cs="Calibri Light"/>
          <w:i/>
          <w:sz w:val="23"/>
          <w:szCs w:val="23"/>
        </w:rPr>
        <w:t>.</w:t>
      </w:r>
    </w:p>
    <w:p w14:paraId="4AB84DD9" w14:textId="7D3090B5" w:rsidR="004F1BC4" w:rsidRPr="0027337A" w:rsidRDefault="004F1BC4" w:rsidP="00464E21">
      <w:pPr>
        <w:ind w:left="284" w:right="333"/>
        <w:jc w:val="both"/>
        <w:rPr>
          <w:rFonts w:ascii="Calibri Light" w:hAnsi="Calibri Light" w:cs="Calibri Light"/>
          <w:i/>
          <w:sz w:val="23"/>
          <w:szCs w:val="23"/>
        </w:rPr>
      </w:pPr>
      <w:r w:rsidRPr="0027337A">
        <w:rPr>
          <w:rFonts w:ascii="Calibri Light" w:hAnsi="Calibri Light" w:cs="Calibri Light"/>
          <w:i/>
          <w:sz w:val="23"/>
          <w:szCs w:val="23"/>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14:paraId="1B8F549A" w14:textId="77777777" w:rsidR="004F1BC4" w:rsidRPr="0027337A" w:rsidRDefault="004F1BC4" w:rsidP="004F1BC4">
      <w:pPr>
        <w:spacing w:line="360" w:lineRule="auto"/>
        <w:ind w:firstLine="567"/>
        <w:jc w:val="both"/>
        <w:rPr>
          <w:rFonts w:ascii="Arial" w:hAnsi="Arial" w:cs="Arial"/>
          <w:sz w:val="24"/>
          <w:szCs w:val="24"/>
        </w:rPr>
      </w:pPr>
      <w:r w:rsidRPr="0027337A">
        <w:rPr>
          <w:rFonts w:ascii="Arial" w:hAnsi="Arial" w:cs="Arial"/>
          <w:b/>
          <w:sz w:val="24"/>
          <w:szCs w:val="24"/>
        </w:rPr>
        <w:t>De igual manera</w:t>
      </w:r>
      <w:r w:rsidRPr="0027337A">
        <w:rPr>
          <w:rFonts w:ascii="Arial" w:hAnsi="Arial" w:cs="Arial"/>
          <w:sz w:val="24"/>
          <w:szCs w:val="24"/>
        </w:rPr>
        <w:t>, conforme al criterio de la Suprema Corte de Justicia de la Nación, se debe contemplar el pago de salarios vencidos cuando exista un despido injustificado para los miembros de la Seguridad Pública, de acuerdo al siguiente criterio jurisprudencial se debe contemplar el concepto de “remuneración diaria” de forma análoga.</w:t>
      </w:r>
    </w:p>
    <w:p w14:paraId="64AD5875" w14:textId="77777777" w:rsidR="004F1BC4" w:rsidRPr="0027337A" w:rsidRDefault="004F1BC4" w:rsidP="0027337A">
      <w:pPr>
        <w:tabs>
          <w:tab w:val="left" w:pos="6755"/>
        </w:tabs>
        <w:ind w:left="284" w:right="333"/>
        <w:jc w:val="both"/>
        <w:rPr>
          <w:rFonts w:ascii="Calibri Light" w:hAnsi="Calibri Light" w:cs="Calibri Light"/>
          <w:b/>
          <w:i/>
          <w:sz w:val="23"/>
          <w:szCs w:val="23"/>
        </w:rPr>
      </w:pPr>
      <w:r w:rsidRPr="0027337A">
        <w:rPr>
          <w:rFonts w:ascii="Calibri Light" w:hAnsi="Calibri Light" w:cs="Calibri Light"/>
          <w:b/>
          <w:i/>
          <w:sz w:val="23"/>
          <w:szCs w:val="23"/>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14:paraId="69276967" w14:textId="77777777" w:rsidR="004F1BC4" w:rsidRPr="0027337A" w:rsidRDefault="004F1BC4" w:rsidP="0027337A">
      <w:pPr>
        <w:tabs>
          <w:tab w:val="left" w:pos="6755"/>
        </w:tabs>
        <w:ind w:left="284" w:right="333"/>
        <w:jc w:val="both"/>
        <w:rPr>
          <w:rFonts w:ascii="Calibri Light" w:hAnsi="Calibri Light" w:cs="Calibri Light"/>
          <w:i/>
          <w:color w:val="000000"/>
          <w:sz w:val="23"/>
          <w:szCs w:val="23"/>
        </w:rPr>
      </w:pPr>
      <w:r w:rsidRPr="0027337A">
        <w:rPr>
          <w:rFonts w:ascii="Calibri Light" w:hAnsi="Calibri Light" w:cs="Calibri Light"/>
          <w:i/>
          <w:color w:val="000000"/>
          <w:sz w:val="23"/>
          <w:szCs w:val="23"/>
        </w:rPr>
        <w:lastRenderedPageBreak/>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27337A">
        <w:rPr>
          <w:rStyle w:val="Refdenotaalpie"/>
          <w:rFonts w:ascii="Calibri Light" w:hAnsi="Calibri Light" w:cs="Calibri Light"/>
          <w:i/>
          <w:color w:val="000000"/>
          <w:sz w:val="23"/>
          <w:szCs w:val="23"/>
        </w:rPr>
        <w:footnoteReference w:id="22"/>
      </w:r>
    </w:p>
    <w:p w14:paraId="285E97FE" w14:textId="46FD4A24" w:rsidR="004F1BC4" w:rsidRDefault="004F1BC4" w:rsidP="004F1BC4">
      <w:pPr>
        <w:pStyle w:val="Sinespaciado"/>
        <w:spacing w:line="360" w:lineRule="auto"/>
        <w:jc w:val="both"/>
        <w:rPr>
          <w:rFonts w:ascii="Arial" w:hAnsi="Arial" w:cs="Arial"/>
          <w:color w:val="000000"/>
          <w:sz w:val="24"/>
          <w:szCs w:val="24"/>
        </w:rPr>
      </w:pPr>
      <w:r w:rsidRPr="0027337A">
        <w:rPr>
          <w:rFonts w:ascii="Arial" w:hAnsi="Arial" w:cs="Arial"/>
          <w:bCs/>
          <w:color w:val="000000"/>
          <w:sz w:val="24"/>
          <w:szCs w:val="24"/>
          <w:lang w:val="es-MX"/>
        </w:rPr>
        <w:t xml:space="preserve">       Por lo que, el concepto “demás prestaciones” a que refiere el aludido artículo 123, apartado B fracción XIII segundo párrafo de la Constitución General, deben ser consideradas entre otras la remuneración</w:t>
      </w:r>
      <w:r w:rsidRPr="0027337A">
        <w:rPr>
          <w:rFonts w:ascii="Arial" w:hAnsi="Arial" w:cs="Arial"/>
          <w:color w:val="000000"/>
          <w:sz w:val="24"/>
          <w:szCs w:val="24"/>
        </w:rPr>
        <w:t xml:space="preserve"> diaria ordinaria y otros beneficios, recompensas, estipendios, asignaciones, gratificaciones, premios, retribuciones, subvenciones, haberes, dietas, compensaciones o cualquier otro concepto por la prestación de sus servicios.</w:t>
      </w:r>
    </w:p>
    <w:p w14:paraId="759DA3B3" w14:textId="77777777" w:rsidR="00FC43E8" w:rsidRPr="004E395C" w:rsidRDefault="00FC43E8" w:rsidP="004F1BC4">
      <w:pPr>
        <w:pStyle w:val="Sinespaciado"/>
        <w:spacing w:line="360" w:lineRule="auto"/>
        <w:jc w:val="both"/>
        <w:rPr>
          <w:rFonts w:ascii="Arial" w:hAnsi="Arial" w:cs="Arial"/>
          <w:color w:val="000000"/>
          <w:sz w:val="24"/>
          <w:szCs w:val="24"/>
        </w:rPr>
      </w:pPr>
    </w:p>
    <w:p w14:paraId="4FF9B813" w14:textId="2B7D92AA" w:rsidR="004F1BC4" w:rsidRPr="009B2DC9" w:rsidRDefault="004F1BC4" w:rsidP="004F1BC4">
      <w:pPr>
        <w:pStyle w:val="Sinespaciado"/>
        <w:spacing w:line="360" w:lineRule="auto"/>
        <w:jc w:val="both"/>
        <w:rPr>
          <w:rFonts w:ascii="Arial" w:hAnsi="Arial" w:cs="Arial"/>
          <w:bCs/>
          <w:color w:val="000000"/>
          <w:sz w:val="24"/>
          <w:szCs w:val="24"/>
          <w:lang w:val="es-MX"/>
        </w:rPr>
      </w:pPr>
      <w:r w:rsidRPr="009B2DC9">
        <w:rPr>
          <w:rFonts w:ascii="Arial" w:hAnsi="Arial" w:cs="Arial"/>
          <w:color w:val="000000"/>
          <w:sz w:val="24"/>
          <w:szCs w:val="24"/>
        </w:rPr>
        <w:t xml:space="preserve">       </w:t>
      </w:r>
      <w:r w:rsidRPr="009B2DC9">
        <w:rPr>
          <w:rFonts w:ascii="Arial" w:hAnsi="Arial" w:cs="Arial"/>
          <w:bCs/>
          <w:color w:val="000000"/>
          <w:sz w:val="24"/>
          <w:szCs w:val="24"/>
          <w:lang w:val="es-MX"/>
        </w:rPr>
        <w:t>Esto,</w:t>
      </w:r>
      <w:r w:rsidRPr="009B2DC9">
        <w:rPr>
          <w:rFonts w:ascii="Arial" w:hAnsi="Arial" w:cs="Arial"/>
          <w:b/>
          <w:bCs/>
          <w:color w:val="000000"/>
          <w:sz w:val="24"/>
          <w:szCs w:val="24"/>
          <w:lang w:val="es-MX"/>
        </w:rPr>
        <w:t xml:space="preserve"> </w:t>
      </w:r>
      <w:r w:rsidRPr="009B2DC9">
        <w:rPr>
          <w:rFonts w:ascii="Arial" w:hAnsi="Arial" w:cs="Arial"/>
          <w:bCs/>
          <w:color w:val="000000"/>
          <w:sz w:val="24"/>
          <w:szCs w:val="24"/>
          <w:lang w:val="es-MX"/>
        </w:rPr>
        <w:t>porque a partir de la reforma constitucional de 18  de junio de 2008, el Poder reformador del Estado tuvo como premisa la protección del interés social por encima del interés particular, de los integrantes de los cuerpos de seguridad pública al ser separados, removidos, cesados o dados de baja, y por ende prohibió la reinstalación en sus funciones y previó como única forma de compensación la indemnización constitucional y el pago de las “</w:t>
      </w:r>
      <w:r w:rsidRPr="009B2DC9">
        <w:rPr>
          <w:rFonts w:ascii="Arial" w:hAnsi="Arial" w:cs="Arial"/>
          <w:bCs/>
          <w:i/>
          <w:color w:val="000000"/>
          <w:sz w:val="24"/>
          <w:szCs w:val="24"/>
          <w:lang w:val="es-MX"/>
        </w:rPr>
        <w:t>demás prestaciones</w:t>
      </w:r>
      <w:r w:rsidRPr="009B2DC9">
        <w:rPr>
          <w:rFonts w:ascii="Arial" w:hAnsi="Arial" w:cs="Arial"/>
          <w:bCs/>
          <w:color w:val="000000"/>
          <w:sz w:val="24"/>
          <w:szCs w:val="24"/>
          <w:lang w:val="es-MX"/>
        </w:rPr>
        <w:t>”  para resarcir del daño originado por la prohibición expresa de seguir prestando sus servicios en la institución, como los perjuicios que se traduce en el impedimento de obtener una contraprestación a que tendría derecho si no hubiera</w:t>
      </w:r>
      <w:r w:rsidR="00593112" w:rsidRPr="009B2DC9">
        <w:rPr>
          <w:rFonts w:ascii="Arial" w:hAnsi="Arial" w:cs="Arial"/>
          <w:bCs/>
          <w:color w:val="000000"/>
          <w:sz w:val="24"/>
          <w:szCs w:val="24"/>
          <w:lang w:val="es-MX"/>
        </w:rPr>
        <w:t xml:space="preserve"> sido</w:t>
      </w:r>
      <w:r w:rsidRPr="009B2DC9">
        <w:rPr>
          <w:rFonts w:ascii="Arial" w:hAnsi="Arial" w:cs="Arial"/>
          <w:bCs/>
          <w:color w:val="000000"/>
          <w:sz w:val="24"/>
          <w:szCs w:val="24"/>
          <w:lang w:val="es-MX"/>
        </w:rPr>
        <w:t xml:space="preserve"> separado. </w:t>
      </w:r>
    </w:p>
    <w:p w14:paraId="3A1791B6" w14:textId="77777777" w:rsidR="004F1BC4" w:rsidRPr="00825104" w:rsidRDefault="004F1BC4" w:rsidP="00825104">
      <w:pPr>
        <w:pStyle w:val="Sinespaciado"/>
      </w:pPr>
    </w:p>
    <w:p w14:paraId="353DC0AB" w14:textId="77777777" w:rsidR="004F1BC4" w:rsidRPr="009B2DC9" w:rsidRDefault="004F1BC4" w:rsidP="004F1BC4">
      <w:pPr>
        <w:pStyle w:val="Sinespaciado"/>
        <w:spacing w:line="360" w:lineRule="auto"/>
        <w:jc w:val="both"/>
        <w:rPr>
          <w:rFonts w:ascii="Arial" w:hAnsi="Arial" w:cs="Arial"/>
          <w:bCs/>
          <w:color w:val="000000"/>
          <w:sz w:val="24"/>
          <w:szCs w:val="24"/>
          <w:lang w:val="es-MX"/>
        </w:rPr>
      </w:pPr>
      <w:r w:rsidRPr="009B2DC9">
        <w:rPr>
          <w:rFonts w:ascii="Arial" w:hAnsi="Arial" w:cs="Arial"/>
          <w:bCs/>
          <w:color w:val="000000"/>
          <w:sz w:val="24"/>
          <w:szCs w:val="24"/>
          <w:lang w:val="es-MX"/>
        </w:rPr>
        <w:t xml:space="preserve">      Así,</w:t>
      </w:r>
      <w:r w:rsidRPr="009B2DC9">
        <w:rPr>
          <w:rFonts w:ascii="Arial" w:hAnsi="Arial" w:cs="Arial"/>
          <w:b/>
          <w:bCs/>
          <w:color w:val="000000"/>
          <w:sz w:val="24"/>
          <w:szCs w:val="24"/>
          <w:lang w:val="es-MX"/>
        </w:rPr>
        <w:t xml:space="preserve"> </w:t>
      </w:r>
      <w:r w:rsidRPr="009B2DC9">
        <w:rPr>
          <w:rFonts w:ascii="Arial" w:hAnsi="Arial" w:cs="Arial"/>
          <w:bCs/>
          <w:color w:val="000000"/>
          <w:sz w:val="24"/>
          <w:szCs w:val="24"/>
          <w:lang w:val="es-MX"/>
        </w:rPr>
        <w:t>la separación, remoción o cese de un miembro de alguna institución policial considerado injustificado por resolución jurisdiccional, además de ser un acto que está fuera de la legalidad, también es privativo de uno de los más elementales derechos de las personas, el relativo al derecho de ocupación, como una forma de proveerse de recursos económicos para la manutención personal y familiar.</w:t>
      </w:r>
    </w:p>
    <w:p w14:paraId="1D1539E3" w14:textId="77777777" w:rsidR="004F1BC4" w:rsidRPr="00825104" w:rsidRDefault="004F1BC4" w:rsidP="00825104">
      <w:pPr>
        <w:pStyle w:val="Sinespaciado"/>
      </w:pPr>
    </w:p>
    <w:p w14:paraId="525A842B" w14:textId="77777777" w:rsidR="004F1BC4" w:rsidRPr="009B2DC9" w:rsidRDefault="004F1BC4" w:rsidP="004F1BC4">
      <w:pPr>
        <w:pStyle w:val="Sinespaciado"/>
        <w:spacing w:line="360" w:lineRule="auto"/>
        <w:jc w:val="both"/>
        <w:rPr>
          <w:rFonts w:ascii="Arial" w:hAnsi="Arial" w:cs="Arial"/>
          <w:bCs/>
          <w:color w:val="000000"/>
          <w:sz w:val="24"/>
          <w:szCs w:val="24"/>
          <w:lang w:val="es-MX"/>
        </w:rPr>
      </w:pPr>
      <w:r w:rsidRPr="009B2DC9">
        <w:rPr>
          <w:rFonts w:ascii="Arial" w:hAnsi="Arial" w:cs="Arial"/>
          <w:bCs/>
          <w:color w:val="000000"/>
          <w:sz w:val="24"/>
          <w:szCs w:val="24"/>
          <w:lang w:val="es-MX"/>
        </w:rPr>
        <w:tab/>
        <w:t xml:space="preserve">Luego, como la prohibición total de reincorporar a los miembros de las instituciones policiales, tiene como finalidad primaria el sistema de seguridad pública a nivel nacional al resolverse injustificada la separación, remoción o cese; el Estado está en la obligación de resarcir de manera integral el derecho de que se vio privado el servidor público, mediante el pago de su indemnización respectiva  y de conceptos tales como remuneraciones diarias ordinarias, beneficios, recompensas, estipendios, premios, asignaciones, gratificaciones, retribuciones, subvenciones, haberes, dietas, compensaciones </w:t>
      </w:r>
      <w:r w:rsidRPr="009B2DC9">
        <w:rPr>
          <w:rFonts w:ascii="Arial" w:hAnsi="Arial" w:cs="Arial"/>
          <w:bCs/>
          <w:color w:val="000000"/>
          <w:sz w:val="24"/>
          <w:szCs w:val="24"/>
          <w:lang w:val="es-MX"/>
        </w:rPr>
        <w:lastRenderedPageBreak/>
        <w:t>o cualquier otro concepto que en su carácter de servidor público dejo de percibir por la prestación de sus servicios. Estas consideraciones encuentran sustento a la ejecutoria que dio origen el siguiente criterio jurisprudencial: de jurisprudencia bajo el rubro y tenor literal siguientes:</w:t>
      </w:r>
    </w:p>
    <w:p w14:paraId="758D4321" w14:textId="77777777" w:rsidR="004F1BC4" w:rsidRPr="006E0D6E" w:rsidRDefault="004F1BC4" w:rsidP="004F1BC4">
      <w:pPr>
        <w:pStyle w:val="Sinespaciado"/>
        <w:spacing w:line="360" w:lineRule="auto"/>
        <w:jc w:val="both"/>
        <w:rPr>
          <w:rFonts w:ascii="Arial" w:hAnsi="Arial" w:cs="Arial"/>
          <w:bCs/>
          <w:color w:val="000000"/>
          <w:highlight w:val="yellow"/>
          <w:lang w:val="es-MX"/>
        </w:rPr>
      </w:pPr>
    </w:p>
    <w:p w14:paraId="47553D34" w14:textId="77777777" w:rsidR="004F1BC4" w:rsidRPr="009B2DC9" w:rsidRDefault="004F1BC4" w:rsidP="009B2DC9">
      <w:pPr>
        <w:pStyle w:val="Sinespaciado"/>
        <w:spacing w:line="276" w:lineRule="auto"/>
        <w:ind w:left="284" w:right="333"/>
        <w:jc w:val="both"/>
        <w:rPr>
          <w:rFonts w:ascii="Calibri Light" w:hAnsi="Calibri Light" w:cs="Calibri Light"/>
          <w:bCs/>
          <w:i/>
          <w:color w:val="000000"/>
          <w:sz w:val="23"/>
          <w:szCs w:val="23"/>
          <w:lang w:val="es-MX"/>
        </w:rPr>
      </w:pPr>
      <w:r w:rsidRPr="009B2DC9">
        <w:rPr>
          <w:rFonts w:ascii="Calibri Light" w:hAnsi="Calibri Light" w:cs="Calibri Light"/>
          <w:b/>
          <w:bCs/>
          <w:color w:val="000000"/>
          <w:sz w:val="23"/>
          <w:szCs w:val="23"/>
          <w:lang w:val="es-MX"/>
        </w:rPr>
        <w:t>“</w:t>
      </w:r>
      <w:r w:rsidRPr="009B2DC9">
        <w:rPr>
          <w:rFonts w:ascii="Calibri Light" w:hAnsi="Calibri Light" w:cs="Calibri Light"/>
          <w:b/>
          <w:bCs/>
          <w:i/>
          <w:color w:val="000000"/>
          <w:sz w:val="23"/>
          <w:szCs w:val="23"/>
          <w:lang w:val="es-MX"/>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9B2DC9">
        <w:rPr>
          <w:rFonts w:ascii="Calibri Light" w:hAnsi="Calibri Light" w:cs="Calibri Light"/>
          <w:bCs/>
          <w:i/>
          <w:color w:val="000000"/>
          <w:sz w:val="23"/>
          <w:szCs w:val="23"/>
          <w:lang w:val="es-MX"/>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9B2DC9">
        <w:rPr>
          <w:rStyle w:val="Refdenotaalpie"/>
          <w:rFonts w:ascii="Calibri Light" w:hAnsi="Calibri Light" w:cs="Calibri Light"/>
          <w:bCs/>
          <w:i/>
          <w:color w:val="000000"/>
          <w:sz w:val="23"/>
          <w:szCs w:val="23"/>
          <w:lang w:val="es-MX"/>
        </w:rPr>
        <w:footnoteReference w:id="23"/>
      </w:r>
    </w:p>
    <w:p w14:paraId="2C19C33E" w14:textId="77777777" w:rsidR="004F1BC4" w:rsidRPr="009B2DC9" w:rsidRDefault="004F1BC4" w:rsidP="004F1BC4">
      <w:pPr>
        <w:pStyle w:val="Sinespaciado"/>
        <w:spacing w:line="276" w:lineRule="auto"/>
        <w:ind w:left="567" w:right="567"/>
        <w:jc w:val="both"/>
        <w:rPr>
          <w:rFonts w:ascii="Arial" w:hAnsi="Arial" w:cs="Arial"/>
          <w:bCs/>
          <w:i/>
          <w:color w:val="000000"/>
          <w:lang w:val="es-MX"/>
        </w:rPr>
      </w:pPr>
    </w:p>
    <w:p w14:paraId="62CD7BF0" w14:textId="07DD1E94" w:rsidR="004F1BC4" w:rsidRPr="00E14ED1" w:rsidRDefault="004F1BC4" w:rsidP="007B7000">
      <w:pPr>
        <w:spacing w:line="360" w:lineRule="auto"/>
        <w:ind w:firstLine="567"/>
        <w:jc w:val="both"/>
        <w:rPr>
          <w:rFonts w:ascii="Arial" w:hAnsi="Arial" w:cs="Arial"/>
          <w:sz w:val="24"/>
          <w:szCs w:val="24"/>
        </w:rPr>
      </w:pPr>
      <w:r w:rsidRPr="00E14ED1">
        <w:rPr>
          <w:rFonts w:ascii="Arial" w:hAnsi="Arial" w:cs="Arial"/>
          <w:sz w:val="24"/>
          <w:szCs w:val="24"/>
        </w:rPr>
        <w:t>Así, como ya se indicó, la fracción XIII, apartado B, del artículo 123 de la Constitución Política de los Estados Unidos Mexicanos, se refiere al pago de la indemnización y demás prestaciones, que debe interpretarse el último concepto como el deber de pagar en caso de despido injustificado, como lo es en este caso, el importe de tres meses de salario, veinte días de salario por año laborado, pago proporcional de vacaciones y aguinaldo; por tal motivo debe</w:t>
      </w:r>
      <w:r w:rsidR="002B5631" w:rsidRPr="00E14ED1">
        <w:rPr>
          <w:rFonts w:ascii="Arial" w:hAnsi="Arial" w:cs="Arial"/>
          <w:sz w:val="24"/>
          <w:szCs w:val="24"/>
        </w:rPr>
        <w:t>n</w:t>
      </w:r>
      <w:r w:rsidRPr="00E14ED1">
        <w:rPr>
          <w:rFonts w:ascii="Arial" w:hAnsi="Arial" w:cs="Arial"/>
          <w:sz w:val="24"/>
          <w:szCs w:val="24"/>
        </w:rPr>
        <w:t xml:space="preserve"> tenerse en cuenta </w:t>
      </w:r>
      <w:r w:rsidR="002B5631" w:rsidRPr="00E14ED1">
        <w:rPr>
          <w:rFonts w:ascii="Arial" w:hAnsi="Arial" w:cs="Arial"/>
          <w:sz w:val="24"/>
          <w:szCs w:val="24"/>
        </w:rPr>
        <w:t xml:space="preserve">las constancias que obran en autos, que hacen prueba plena conforme a la fracción I del artículo 203 de la Ley de Procedimiento y Justicia Administrativa para el Estado, consistente en </w:t>
      </w:r>
      <w:r w:rsidR="00972E58" w:rsidRPr="00E14ED1">
        <w:rPr>
          <w:rFonts w:ascii="Arial" w:hAnsi="Arial" w:cs="Arial"/>
          <w:sz w:val="24"/>
          <w:szCs w:val="24"/>
        </w:rPr>
        <w:t xml:space="preserve">la </w:t>
      </w:r>
      <w:r w:rsidR="006425FB" w:rsidRPr="00E14ED1">
        <w:rPr>
          <w:rFonts w:ascii="Arial" w:hAnsi="Arial" w:cs="Arial"/>
          <w:sz w:val="24"/>
          <w:szCs w:val="24"/>
        </w:rPr>
        <w:t>contestación</w:t>
      </w:r>
      <w:r w:rsidR="008425A1" w:rsidRPr="00E14ED1">
        <w:rPr>
          <w:rFonts w:ascii="Arial" w:hAnsi="Arial" w:cs="Arial"/>
          <w:sz w:val="24"/>
          <w:szCs w:val="24"/>
        </w:rPr>
        <w:t xml:space="preserve"> de demanda</w:t>
      </w:r>
      <w:r w:rsidR="00972E58" w:rsidRPr="00E14ED1">
        <w:rPr>
          <w:rFonts w:ascii="Arial" w:hAnsi="Arial" w:cs="Arial"/>
          <w:sz w:val="24"/>
          <w:szCs w:val="24"/>
        </w:rPr>
        <w:t xml:space="preserve"> de</w:t>
      </w:r>
      <w:r w:rsidR="006425FB" w:rsidRPr="00E14ED1">
        <w:rPr>
          <w:rFonts w:ascii="Arial" w:hAnsi="Arial" w:cs="Arial"/>
          <w:sz w:val="24"/>
          <w:szCs w:val="24"/>
        </w:rPr>
        <w:t xml:space="preserve">l Síndico Municipal de La Reforma, Distrito de Putla, Oaxaca, </w:t>
      </w:r>
      <w:r w:rsidR="00972E58" w:rsidRPr="00E14ED1">
        <w:rPr>
          <w:rFonts w:ascii="Arial" w:hAnsi="Arial" w:cs="Arial"/>
          <w:sz w:val="24"/>
          <w:szCs w:val="24"/>
        </w:rPr>
        <w:t xml:space="preserve"> </w:t>
      </w:r>
      <w:r w:rsidR="006425FB" w:rsidRPr="00E14ED1">
        <w:rPr>
          <w:rFonts w:ascii="Arial" w:hAnsi="Arial" w:cs="Arial"/>
          <w:sz w:val="24"/>
          <w:szCs w:val="24"/>
        </w:rPr>
        <w:t xml:space="preserve">a la que adjuntó </w:t>
      </w:r>
      <w:r w:rsidR="00683E0C" w:rsidRPr="00E14ED1">
        <w:rPr>
          <w:rFonts w:ascii="Arial" w:hAnsi="Arial" w:cs="Arial"/>
          <w:sz w:val="24"/>
          <w:szCs w:val="24"/>
        </w:rPr>
        <w:t>tabuladores</w:t>
      </w:r>
      <w:r w:rsidR="004D4B98" w:rsidRPr="00E14ED1">
        <w:rPr>
          <w:rFonts w:ascii="Arial" w:hAnsi="Arial" w:cs="Arial"/>
          <w:sz w:val="24"/>
          <w:szCs w:val="24"/>
        </w:rPr>
        <w:t xml:space="preserve"> originales del pago de </w:t>
      </w:r>
      <w:r w:rsidR="00683E0C" w:rsidRPr="00E14ED1">
        <w:rPr>
          <w:rFonts w:ascii="Arial" w:hAnsi="Arial" w:cs="Arial"/>
          <w:sz w:val="24"/>
          <w:szCs w:val="24"/>
        </w:rPr>
        <w:t>nómina</w:t>
      </w:r>
      <w:r w:rsidR="004D4B98" w:rsidRPr="00E14ED1">
        <w:rPr>
          <w:rFonts w:ascii="Arial" w:hAnsi="Arial" w:cs="Arial"/>
          <w:sz w:val="24"/>
          <w:szCs w:val="24"/>
        </w:rPr>
        <w:t xml:space="preserve"> de los integrantes de la </w:t>
      </w:r>
      <w:r w:rsidR="00683E0C" w:rsidRPr="00E14ED1">
        <w:rPr>
          <w:rFonts w:ascii="Arial" w:hAnsi="Arial" w:cs="Arial"/>
          <w:sz w:val="24"/>
          <w:szCs w:val="24"/>
        </w:rPr>
        <w:t>policía</w:t>
      </w:r>
      <w:r w:rsidR="004D4B98" w:rsidRPr="00E14ED1">
        <w:rPr>
          <w:rFonts w:ascii="Arial" w:hAnsi="Arial" w:cs="Arial"/>
          <w:sz w:val="24"/>
          <w:szCs w:val="24"/>
        </w:rPr>
        <w:t xml:space="preserve"> municipal del </w:t>
      </w:r>
      <w:r w:rsidR="00683E0C" w:rsidRPr="00E14ED1">
        <w:rPr>
          <w:rFonts w:ascii="Arial" w:hAnsi="Arial" w:cs="Arial"/>
          <w:sz w:val="24"/>
          <w:szCs w:val="24"/>
        </w:rPr>
        <w:t>referido</w:t>
      </w:r>
      <w:r w:rsidR="004D4B98" w:rsidRPr="00E14ED1">
        <w:rPr>
          <w:rFonts w:ascii="Arial" w:hAnsi="Arial" w:cs="Arial"/>
          <w:sz w:val="24"/>
          <w:szCs w:val="24"/>
        </w:rPr>
        <w:t xml:space="preserve"> municipio</w:t>
      </w:r>
      <w:r w:rsidR="00683E0C" w:rsidRPr="00E14ED1">
        <w:rPr>
          <w:rFonts w:ascii="Arial" w:hAnsi="Arial" w:cs="Arial"/>
          <w:sz w:val="24"/>
          <w:szCs w:val="24"/>
        </w:rPr>
        <w:t xml:space="preserve"> de los meses de enero, febrero, marzo, abril, mayo y junio de dos mil veinte</w:t>
      </w:r>
      <w:r w:rsidR="002B5631" w:rsidRPr="00E14ED1">
        <w:rPr>
          <w:rFonts w:ascii="Arial" w:hAnsi="Arial" w:cs="Arial"/>
          <w:sz w:val="24"/>
          <w:szCs w:val="24"/>
        </w:rPr>
        <w:t xml:space="preserve">, donde </w:t>
      </w:r>
      <w:r w:rsidR="008425A1" w:rsidRPr="00E14ED1">
        <w:rPr>
          <w:rFonts w:ascii="Arial" w:hAnsi="Arial" w:cs="Arial"/>
          <w:sz w:val="24"/>
          <w:szCs w:val="24"/>
        </w:rPr>
        <w:t xml:space="preserve">se advierte que </w:t>
      </w:r>
      <w:r w:rsidR="002B5631" w:rsidRPr="00E14ED1">
        <w:rPr>
          <w:rFonts w:ascii="Arial" w:hAnsi="Arial" w:cs="Arial"/>
          <w:sz w:val="24"/>
          <w:szCs w:val="24"/>
        </w:rPr>
        <w:t xml:space="preserve">el monto que percibía </w:t>
      </w:r>
      <w:r w:rsidR="00683E0C" w:rsidRPr="00E14ED1">
        <w:rPr>
          <w:rFonts w:ascii="Arial" w:hAnsi="Arial" w:cs="Arial"/>
          <w:sz w:val="24"/>
          <w:szCs w:val="24"/>
        </w:rPr>
        <w:t xml:space="preserve">la </w:t>
      </w:r>
      <w:r w:rsidR="007B7000" w:rsidRPr="00E14ED1">
        <w:rPr>
          <w:rFonts w:ascii="Arial" w:hAnsi="Arial" w:cs="Arial"/>
          <w:sz w:val="24"/>
          <w:szCs w:val="24"/>
        </w:rPr>
        <w:t>actora</w:t>
      </w:r>
      <w:r w:rsidR="00683E0C" w:rsidRPr="00E14ED1">
        <w:rPr>
          <w:rFonts w:ascii="Arial" w:hAnsi="Arial" w:cs="Arial"/>
          <w:sz w:val="24"/>
          <w:szCs w:val="24"/>
        </w:rPr>
        <w:t xml:space="preserve"> </w:t>
      </w:r>
      <w:r w:rsidR="00FC43E8">
        <w:rPr>
          <w:rFonts w:ascii="Arial" w:hAnsi="Arial" w:cs="Arial"/>
          <w:sz w:val="24"/>
          <w:szCs w:val="24"/>
        </w:rPr>
        <w:t>**********</w:t>
      </w:r>
      <w:r w:rsidR="007B7000" w:rsidRPr="00E14ED1">
        <w:rPr>
          <w:rFonts w:ascii="Arial" w:hAnsi="Arial" w:cs="Arial"/>
          <w:sz w:val="24"/>
          <w:szCs w:val="24"/>
        </w:rPr>
        <w:t xml:space="preserve"> </w:t>
      </w:r>
      <w:r w:rsidR="002B5631" w:rsidRPr="00E14ED1">
        <w:rPr>
          <w:rFonts w:ascii="Arial" w:hAnsi="Arial" w:cs="Arial"/>
          <w:sz w:val="24"/>
          <w:szCs w:val="24"/>
        </w:rPr>
        <w:t>de forma mensual como Policía</w:t>
      </w:r>
      <w:r w:rsidR="008425A1" w:rsidRPr="00E14ED1">
        <w:rPr>
          <w:rFonts w:ascii="Arial" w:hAnsi="Arial" w:cs="Arial"/>
          <w:sz w:val="24"/>
          <w:szCs w:val="24"/>
        </w:rPr>
        <w:t xml:space="preserve"> </w:t>
      </w:r>
      <w:r w:rsidR="002B5631" w:rsidRPr="00E14ED1">
        <w:rPr>
          <w:rFonts w:ascii="Arial" w:hAnsi="Arial" w:cs="Arial"/>
          <w:sz w:val="24"/>
          <w:szCs w:val="24"/>
        </w:rPr>
        <w:lastRenderedPageBreak/>
        <w:t xml:space="preserve">Municipal </w:t>
      </w:r>
      <w:r w:rsidR="00FC43E8">
        <w:rPr>
          <w:rFonts w:ascii="Arial" w:hAnsi="Arial" w:cs="Arial"/>
          <w:sz w:val="24"/>
          <w:szCs w:val="24"/>
        </w:rPr>
        <w:t>era de la cantidad de **********</w:t>
      </w:r>
      <w:r w:rsidR="008425A1" w:rsidRPr="00E14ED1">
        <w:rPr>
          <w:rFonts w:ascii="Arial" w:hAnsi="Arial" w:cs="Arial"/>
          <w:sz w:val="24"/>
          <w:szCs w:val="24"/>
        </w:rPr>
        <w:t>, como lo señal</w:t>
      </w:r>
      <w:r w:rsidR="00A64870" w:rsidRPr="00E14ED1">
        <w:rPr>
          <w:rFonts w:ascii="Arial" w:hAnsi="Arial" w:cs="Arial"/>
          <w:sz w:val="24"/>
          <w:szCs w:val="24"/>
        </w:rPr>
        <w:t>ó</w:t>
      </w:r>
      <w:r w:rsidR="008425A1" w:rsidRPr="00E14ED1">
        <w:rPr>
          <w:rFonts w:ascii="Arial" w:hAnsi="Arial" w:cs="Arial"/>
          <w:sz w:val="24"/>
          <w:szCs w:val="24"/>
        </w:rPr>
        <w:t xml:space="preserve"> </w:t>
      </w:r>
      <w:r w:rsidR="007B7000" w:rsidRPr="00E14ED1">
        <w:rPr>
          <w:rFonts w:ascii="Arial" w:hAnsi="Arial" w:cs="Arial"/>
          <w:sz w:val="24"/>
          <w:szCs w:val="24"/>
        </w:rPr>
        <w:t xml:space="preserve">la misma </w:t>
      </w:r>
      <w:r w:rsidR="008425A1" w:rsidRPr="00E14ED1">
        <w:rPr>
          <w:rFonts w:ascii="Arial" w:hAnsi="Arial" w:cs="Arial"/>
          <w:sz w:val="24"/>
          <w:szCs w:val="24"/>
        </w:rPr>
        <w:t>actor</w:t>
      </w:r>
      <w:r w:rsidR="007B7000" w:rsidRPr="00E14ED1">
        <w:rPr>
          <w:rFonts w:ascii="Arial" w:hAnsi="Arial" w:cs="Arial"/>
          <w:sz w:val="24"/>
          <w:szCs w:val="24"/>
        </w:rPr>
        <w:t>a</w:t>
      </w:r>
      <w:r w:rsidR="008425A1" w:rsidRPr="00E14ED1">
        <w:rPr>
          <w:rFonts w:ascii="Arial" w:hAnsi="Arial" w:cs="Arial"/>
          <w:sz w:val="24"/>
          <w:szCs w:val="24"/>
        </w:rPr>
        <w:t xml:space="preserve"> en su demanda, y que se concatena y corrobora con lo </w:t>
      </w:r>
      <w:r w:rsidR="00A64870" w:rsidRPr="00E14ED1">
        <w:rPr>
          <w:rFonts w:ascii="Arial" w:hAnsi="Arial" w:cs="Arial"/>
          <w:sz w:val="24"/>
          <w:szCs w:val="24"/>
        </w:rPr>
        <w:t>manifestado</w:t>
      </w:r>
      <w:r w:rsidR="007B7000" w:rsidRPr="00E14ED1">
        <w:rPr>
          <w:rFonts w:ascii="Arial" w:hAnsi="Arial" w:cs="Arial"/>
          <w:sz w:val="24"/>
          <w:szCs w:val="24"/>
        </w:rPr>
        <w:t xml:space="preserve"> y probado</w:t>
      </w:r>
      <w:r w:rsidR="008567E3" w:rsidRPr="00E14ED1">
        <w:rPr>
          <w:rFonts w:ascii="Arial" w:hAnsi="Arial" w:cs="Arial"/>
          <w:sz w:val="24"/>
          <w:szCs w:val="24"/>
        </w:rPr>
        <w:t xml:space="preserve"> por la autoridad demandada</w:t>
      </w:r>
      <w:r w:rsidR="00E14ED1" w:rsidRPr="00E14ED1">
        <w:rPr>
          <w:rFonts w:ascii="Arial" w:hAnsi="Arial" w:cs="Arial"/>
          <w:sz w:val="24"/>
          <w:szCs w:val="24"/>
        </w:rPr>
        <w:t>; con lo que se</w:t>
      </w:r>
      <w:r w:rsidR="00A64870" w:rsidRPr="00E14ED1">
        <w:rPr>
          <w:rFonts w:ascii="Arial" w:hAnsi="Arial" w:cs="Arial"/>
          <w:sz w:val="24"/>
          <w:szCs w:val="24"/>
        </w:rPr>
        <w:t xml:space="preserve"> tiene por acreditado el sueldo que percibía mensualmente </w:t>
      </w:r>
      <w:r w:rsidR="00E14ED1" w:rsidRPr="00E14ED1">
        <w:rPr>
          <w:rFonts w:ascii="Arial" w:hAnsi="Arial" w:cs="Arial"/>
          <w:sz w:val="24"/>
          <w:szCs w:val="24"/>
        </w:rPr>
        <w:t>la actora.</w:t>
      </w:r>
    </w:p>
    <w:p w14:paraId="141806AF" w14:textId="62101D45" w:rsidR="004F1BC4" w:rsidRPr="00246F18" w:rsidRDefault="004F1BC4" w:rsidP="00B57CFE">
      <w:pPr>
        <w:pStyle w:val="Sinespaciado"/>
        <w:spacing w:after="100" w:afterAutospacing="1" w:line="360" w:lineRule="auto"/>
        <w:jc w:val="both"/>
        <w:rPr>
          <w:rFonts w:ascii="Arial" w:eastAsia="Times New Roman" w:hAnsi="Arial" w:cs="Arial"/>
          <w:color w:val="000000" w:themeColor="text1"/>
          <w:sz w:val="24"/>
          <w:szCs w:val="24"/>
        </w:rPr>
      </w:pPr>
      <w:r w:rsidRPr="00246F18">
        <w:rPr>
          <w:rFonts w:ascii="Arial" w:hAnsi="Arial" w:cs="Arial"/>
          <w:color w:val="000000"/>
          <w:sz w:val="24"/>
          <w:szCs w:val="24"/>
          <w:lang w:val="es-MX"/>
        </w:rPr>
        <w:t xml:space="preserve">     Asimismo, es procedente el pago de la </w:t>
      </w:r>
      <w:r w:rsidRPr="00246F18">
        <w:rPr>
          <w:rFonts w:ascii="Arial" w:hAnsi="Arial" w:cs="Arial"/>
          <w:i/>
          <w:color w:val="000000"/>
          <w:sz w:val="24"/>
          <w:szCs w:val="24"/>
          <w:lang w:val="es-MX"/>
        </w:rPr>
        <w:t xml:space="preserve">remuneración diaria ordinaria </w:t>
      </w:r>
      <w:r w:rsidRPr="00246F18">
        <w:rPr>
          <w:rFonts w:ascii="Arial" w:hAnsi="Arial" w:cs="Arial"/>
          <w:color w:val="000000"/>
          <w:sz w:val="24"/>
          <w:szCs w:val="24"/>
          <w:lang w:val="es-MX"/>
        </w:rPr>
        <w:t>dejada de percibir por el actor, prestación</w:t>
      </w:r>
      <w:r w:rsidRPr="00246F18">
        <w:rPr>
          <w:rFonts w:ascii="Arial" w:hAnsi="Arial" w:cs="Arial"/>
          <w:bCs/>
          <w:color w:val="000000"/>
          <w:sz w:val="24"/>
          <w:szCs w:val="24"/>
          <w:lang w:val="es-MX"/>
        </w:rPr>
        <w:t xml:space="preserve"> que forma parte de la obligación resarcitoria del Estado</w:t>
      </w:r>
      <w:r w:rsidRPr="00246F18">
        <w:rPr>
          <w:rFonts w:ascii="Arial" w:eastAsia="Times New Roman" w:hAnsi="Arial" w:cs="Arial"/>
          <w:color w:val="000000" w:themeColor="text1"/>
          <w:sz w:val="24"/>
          <w:szCs w:val="24"/>
        </w:rPr>
        <w:t xml:space="preserve">, como lo dispone el precepto 123, </w:t>
      </w:r>
      <w:r w:rsidRPr="00246F18">
        <w:rPr>
          <w:rFonts w:ascii="Arial" w:hAnsi="Arial" w:cs="Arial"/>
          <w:bCs/>
          <w:color w:val="000000"/>
          <w:sz w:val="24"/>
          <w:szCs w:val="24"/>
          <w:lang w:val="es-MX"/>
        </w:rPr>
        <w:t xml:space="preserve">apartado B, fracción XIII, segundo párrafo, de la Constitución Política de los Estados Unidos Mexicanos, </w:t>
      </w:r>
      <w:r w:rsidRPr="00246F18">
        <w:rPr>
          <w:rFonts w:ascii="Arial" w:eastAsia="Times New Roman" w:hAnsi="Arial" w:cs="Arial"/>
          <w:iCs/>
          <w:color w:val="000000" w:themeColor="text1"/>
          <w:sz w:val="24"/>
          <w:szCs w:val="24"/>
        </w:rPr>
        <w:t xml:space="preserve">sin que dicho precepto establezca un periodo por el que deba cubrir el referido pago, por lo que no puede comprenderse a dicha norma legal como una regulación deficiente, ni hace necesaria la aplicación de una norma que la complemente, sino que evidencia la voluntad del Constituyente de indemnizar íntegramente a los trabajadores despedidos injustificadamente, </w:t>
      </w:r>
      <w:r w:rsidRPr="00246F18">
        <w:rPr>
          <w:rFonts w:ascii="Arial" w:eastAsia="Times New Roman" w:hAnsi="Arial" w:cs="Arial"/>
          <w:color w:val="000000" w:themeColor="text1"/>
          <w:sz w:val="24"/>
          <w:szCs w:val="24"/>
        </w:rPr>
        <w:t>lo cual no debe generar una ganancia para el afectado, sino que se le otorgue un resarcimiento adecuado, como así lo dispone el siguiente criterio de jurisprudencial:</w:t>
      </w:r>
    </w:p>
    <w:p w14:paraId="78C53280" w14:textId="77777777" w:rsidR="004F1BC4" w:rsidRPr="00246F18" w:rsidRDefault="004F1BC4" w:rsidP="004F1BC4">
      <w:pPr>
        <w:pStyle w:val="Sinespaciado"/>
        <w:spacing w:after="120" w:line="276" w:lineRule="auto"/>
        <w:ind w:left="426" w:right="333"/>
        <w:jc w:val="both"/>
        <w:rPr>
          <w:rFonts w:ascii="Arial" w:eastAsia="Times New Roman" w:hAnsi="Arial" w:cs="Arial"/>
          <w:i/>
          <w:iCs/>
          <w:color w:val="000000" w:themeColor="text1"/>
          <w:sz w:val="24"/>
          <w:szCs w:val="24"/>
        </w:rPr>
      </w:pPr>
      <w:r w:rsidRPr="00C46AD5">
        <w:rPr>
          <w:rFonts w:ascii="Calibri Light" w:eastAsia="Times New Roman" w:hAnsi="Calibri Light" w:cs="Arial"/>
          <w:i/>
          <w:iCs/>
          <w:color w:val="000000" w:themeColor="text1"/>
          <w:sz w:val="23"/>
          <w:szCs w:val="23"/>
        </w:rPr>
        <w:t>“</w:t>
      </w:r>
      <w:r w:rsidRPr="00C46AD5">
        <w:rPr>
          <w:rFonts w:ascii="Calibri Light" w:eastAsia="Times New Roman" w:hAnsi="Calibri Light" w:cs="Arial"/>
          <w:b/>
          <w:bCs/>
          <w:i/>
          <w:iCs/>
          <w:color w:val="000000" w:themeColor="text1"/>
          <w:sz w:val="23"/>
          <w:szCs w:val="23"/>
        </w:rPr>
        <w:t>DERECHO FUNDAMENTAL A UNA REPARACIÓN INTEGRAL O JUSTA INDEMNIZACIÓN. CONCEPTO Y ALCANCE.</w:t>
      </w:r>
      <w:r w:rsidRPr="00C46AD5">
        <w:rPr>
          <w:rFonts w:ascii="Calibri Light" w:eastAsia="Times New Roman" w:hAnsi="Calibri Light" w:cs="Arial"/>
          <w:i/>
          <w:iCs/>
          <w:color w:val="000000" w:themeColor="text1"/>
          <w:sz w:val="23"/>
          <w:szCs w:val="23"/>
        </w:rPr>
        <w:t xml:space="preserve"> El derecho a una reparación integral o justa indemnización es un derecho sustantivo cuya extensión debe tutelarse en favor de los gobernados, y no debe restringirse en forma innecesaria. Atendiendo a los criterios que ha emitido la Corte Interamericana de Derechos Humanos, el derecho a la reparación integral permite, en la medida de lo posible, anular todas las consecuencias del acto ilícito y restablecer la situación que debió haber existido con toda probabilidad, si el acto no se hubiera cometido, y de no ser esto posible, es procedente el pago de una indemnización justa como medida resarcitoria por los daños ocasionados, lo cual de ninguna manera debe implicar generar una ganancia a la víctima, sino otorgarle un resarcimiento adecuado. El derecho moderno de daños mira a la naturaleza y extensión del daño, a las víctimas y no a los victimarios. El daño causado es el que determina la indemnización. Su naturaleza y su monto dependen del daño ocasionado, de manera que las reparaciones no pueden implicar ni enriquecimiento ni empobrecimiento para la víctima o sus sucesores. No se pretende que la responsabilidad sea excesiva, ya que debe subordinarse a requisitos cualitativos. Una indemnización será excesiva cuando exceda del monto suficiente para compensar a la víctima. Sin embargo, limitar la responsabilidad fijando un techo cuantitativo implica marginar las circunstancias concretas del caso, el valor real de la reparación o de la salud deteriorada. Una indemnización no es justa cuando se le limita con topes o tarifas, cuando en lugar de ser el juez quien la cuantifique con base en criterios de razonabilidad, es el legislador quien, arbitrariamente, fija montos indemnizatorios, al margen del caso y su realidad. Sólo el juez, que conoce las particularidades del caso, puede cuantificar la indemnización con justicia y equidad.”</w:t>
      </w:r>
      <w:r w:rsidRPr="00246F18">
        <w:rPr>
          <w:rStyle w:val="Refdenotaalpie"/>
          <w:rFonts w:ascii="Arial" w:eastAsia="Times New Roman" w:hAnsi="Arial" w:cs="Arial"/>
          <w:i/>
          <w:iCs/>
          <w:color w:val="000000" w:themeColor="text1"/>
          <w:sz w:val="24"/>
          <w:szCs w:val="24"/>
        </w:rPr>
        <w:footnoteReference w:id="24"/>
      </w:r>
    </w:p>
    <w:p w14:paraId="402F4AEA" w14:textId="64D21559" w:rsidR="004F1BC4" w:rsidRPr="00246F18" w:rsidRDefault="004F1BC4" w:rsidP="004F1BC4">
      <w:pPr>
        <w:spacing w:line="360" w:lineRule="auto"/>
        <w:ind w:firstLine="567"/>
        <w:jc w:val="both"/>
        <w:rPr>
          <w:rFonts w:ascii="Arial" w:hAnsi="Arial" w:cs="Arial"/>
          <w:sz w:val="24"/>
          <w:szCs w:val="24"/>
        </w:rPr>
      </w:pPr>
      <w:r w:rsidRPr="00C46AD5">
        <w:rPr>
          <w:rFonts w:ascii="Arial" w:hAnsi="Arial" w:cs="Arial"/>
          <w:b/>
          <w:bCs/>
          <w:sz w:val="24"/>
          <w:szCs w:val="24"/>
        </w:rPr>
        <w:lastRenderedPageBreak/>
        <w:t>De acuerdo a lo expuesto, procede la cuantificación de las prestaciones a que tiene derecho</w:t>
      </w:r>
      <w:r w:rsidR="00246F18" w:rsidRPr="00C46AD5">
        <w:rPr>
          <w:rFonts w:ascii="Arial" w:hAnsi="Arial" w:cs="Arial"/>
          <w:b/>
          <w:bCs/>
          <w:sz w:val="24"/>
          <w:szCs w:val="24"/>
        </w:rPr>
        <w:t xml:space="preserve"> la</w:t>
      </w:r>
      <w:r w:rsidRPr="00C46AD5">
        <w:rPr>
          <w:rFonts w:ascii="Arial" w:hAnsi="Arial" w:cs="Arial"/>
          <w:b/>
          <w:bCs/>
          <w:sz w:val="24"/>
          <w:szCs w:val="24"/>
        </w:rPr>
        <w:t xml:space="preserve"> actor</w:t>
      </w:r>
      <w:r w:rsidR="00246F18" w:rsidRPr="00C46AD5">
        <w:rPr>
          <w:rFonts w:ascii="Arial" w:hAnsi="Arial" w:cs="Arial"/>
          <w:b/>
          <w:bCs/>
          <w:sz w:val="24"/>
          <w:szCs w:val="24"/>
        </w:rPr>
        <w:t>a</w:t>
      </w:r>
      <w:r w:rsidRPr="00246F18">
        <w:rPr>
          <w:rFonts w:ascii="Arial" w:hAnsi="Arial" w:cs="Arial"/>
          <w:sz w:val="24"/>
          <w:szCs w:val="24"/>
        </w:rPr>
        <w:t>.</w:t>
      </w:r>
    </w:p>
    <w:p w14:paraId="7159DAEE" w14:textId="328893E6" w:rsidR="004F1BC4" w:rsidRPr="00442B81" w:rsidRDefault="004F1BC4" w:rsidP="004F1BC4">
      <w:pPr>
        <w:spacing w:line="360" w:lineRule="auto"/>
        <w:ind w:firstLine="567"/>
        <w:jc w:val="both"/>
        <w:rPr>
          <w:rFonts w:ascii="Arial" w:hAnsi="Arial" w:cs="Arial"/>
          <w:b/>
          <w:bCs/>
          <w:sz w:val="24"/>
          <w:szCs w:val="24"/>
        </w:rPr>
      </w:pPr>
      <w:r w:rsidRPr="00442B81">
        <w:rPr>
          <w:rFonts w:ascii="Arial" w:hAnsi="Arial" w:cs="Arial"/>
          <w:sz w:val="24"/>
          <w:szCs w:val="24"/>
        </w:rPr>
        <w:t xml:space="preserve">Se advierte que </w:t>
      </w:r>
      <w:r w:rsidR="007469F7">
        <w:rPr>
          <w:rFonts w:ascii="Arial" w:hAnsi="Arial" w:cs="Arial"/>
          <w:b/>
          <w:bCs/>
          <w:sz w:val="24"/>
          <w:szCs w:val="24"/>
        </w:rPr>
        <w:t>**********</w:t>
      </w:r>
      <w:r w:rsidRPr="00442B81">
        <w:rPr>
          <w:rFonts w:ascii="Arial" w:hAnsi="Arial" w:cs="Arial"/>
          <w:sz w:val="24"/>
          <w:szCs w:val="24"/>
        </w:rPr>
        <w:t xml:space="preserve"> percibía la cantidad de </w:t>
      </w:r>
      <w:r w:rsidR="007469F7">
        <w:rPr>
          <w:rFonts w:ascii="Arial" w:hAnsi="Arial" w:cs="Arial"/>
          <w:b/>
          <w:bCs/>
          <w:sz w:val="24"/>
          <w:szCs w:val="24"/>
        </w:rPr>
        <w:t>**********</w:t>
      </w:r>
      <w:r w:rsidRPr="00442B81">
        <w:rPr>
          <w:rFonts w:ascii="Arial" w:hAnsi="Arial" w:cs="Arial"/>
          <w:sz w:val="24"/>
          <w:szCs w:val="24"/>
        </w:rPr>
        <w:t xml:space="preserve"> </w:t>
      </w:r>
      <w:r w:rsidR="00EA4A73" w:rsidRPr="00442B81">
        <w:rPr>
          <w:rFonts w:ascii="Arial" w:hAnsi="Arial" w:cs="Arial"/>
          <w:sz w:val="24"/>
          <w:szCs w:val="24"/>
        </w:rPr>
        <w:t xml:space="preserve">mensuales, que se traducen en </w:t>
      </w:r>
      <w:r w:rsidR="007469F7">
        <w:rPr>
          <w:rFonts w:ascii="Arial" w:hAnsi="Arial" w:cs="Arial"/>
          <w:sz w:val="24"/>
          <w:szCs w:val="24"/>
        </w:rPr>
        <w:t>**********</w:t>
      </w:r>
      <w:r w:rsidR="00EA4A73" w:rsidRPr="00442B81">
        <w:rPr>
          <w:rFonts w:ascii="Arial" w:hAnsi="Arial" w:cs="Arial"/>
          <w:sz w:val="24"/>
          <w:szCs w:val="24"/>
        </w:rPr>
        <w:t xml:space="preserve"> </w:t>
      </w:r>
      <w:r w:rsidRPr="00442B81">
        <w:rPr>
          <w:rFonts w:ascii="Arial" w:hAnsi="Arial" w:cs="Arial"/>
          <w:sz w:val="24"/>
          <w:szCs w:val="24"/>
        </w:rPr>
        <w:t xml:space="preserve">en forma quincenal, que dividida en quince días que conforma una quincena de trabajo resulta la cantidad de </w:t>
      </w:r>
      <w:r w:rsidR="007469F7">
        <w:rPr>
          <w:rFonts w:ascii="Arial" w:hAnsi="Arial" w:cs="Arial"/>
          <w:b/>
          <w:bCs/>
          <w:sz w:val="24"/>
          <w:szCs w:val="24"/>
        </w:rPr>
        <w:t>**********</w:t>
      </w:r>
      <w:r w:rsidRPr="00442B81">
        <w:rPr>
          <w:rFonts w:ascii="Arial" w:hAnsi="Arial" w:cs="Arial"/>
          <w:b/>
          <w:bCs/>
          <w:sz w:val="24"/>
          <w:szCs w:val="24"/>
        </w:rPr>
        <w:t>por percepción diaria.</w:t>
      </w:r>
    </w:p>
    <w:p w14:paraId="1F30DA31" w14:textId="71E2AD41" w:rsidR="004F1BC4" w:rsidRPr="00442B81" w:rsidRDefault="007469F7" w:rsidP="004F1BC4">
      <w:pPr>
        <w:spacing w:line="360" w:lineRule="auto"/>
        <w:ind w:firstLine="708"/>
        <w:jc w:val="center"/>
        <w:rPr>
          <w:rFonts w:ascii="Arial" w:hAnsi="Arial" w:cs="Arial"/>
          <w:sz w:val="24"/>
          <w:szCs w:val="24"/>
        </w:rPr>
      </w:pPr>
      <w:r>
        <w:rPr>
          <w:rFonts w:ascii="Arial" w:hAnsi="Arial" w:cs="Arial"/>
          <w:sz w:val="24"/>
          <w:szCs w:val="24"/>
        </w:rPr>
        <w:t>**********</w:t>
      </w:r>
      <w:r w:rsidR="004F1BC4" w:rsidRPr="00442B81">
        <w:rPr>
          <w:rFonts w:ascii="Arial" w:hAnsi="Arial" w:cs="Arial"/>
          <w:sz w:val="24"/>
          <w:szCs w:val="24"/>
        </w:rPr>
        <w:t xml:space="preserve"> / 15 (días) = </w:t>
      </w:r>
      <w:r>
        <w:rPr>
          <w:rFonts w:ascii="Arial" w:hAnsi="Arial" w:cs="Arial"/>
          <w:sz w:val="24"/>
          <w:szCs w:val="24"/>
        </w:rPr>
        <w:t>**********</w:t>
      </w:r>
    </w:p>
    <w:p w14:paraId="302F5BD9" w14:textId="05677640" w:rsidR="004F1BC4" w:rsidRPr="00442B81" w:rsidRDefault="004F1BC4" w:rsidP="004F1BC4">
      <w:pPr>
        <w:spacing w:line="360" w:lineRule="auto"/>
        <w:ind w:firstLine="567"/>
        <w:jc w:val="both"/>
        <w:rPr>
          <w:rFonts w:ascii="Arial" w:hAnsi="Arial" w:cs="Arial"/>
          <w:sz w:val="24"/>
          <w:szCs w:val="24"/>
        </w:rPr>
      </w:pPr>
      <w:r w:rsidRPr="00442B81">
        <w:rPr>
          <w:rFonts w:ascii="Arial" w:hAnsi="Arial" w:cs="Arial"/>
          <w:b/>
          <w:sz w:val="24"/>
          <w:szCs w:val="24"/>
        </w:rPr>
        <w:t>a)</w:t>
      </w:r>
      <w:r w:rsidRPr="00442B81">
        <w:rPr>
          <w:rFonts w:ascii="Arial" w:hAnsi="Arial" w:cs="Arial"/>
          <w:sz w:val="24"/>
          <w:szCs w:val="24"/>
        </w:rPr>
        <w:t xml:space="preserve"> </w:t>
      </w:r>
      <w:r w:rsidRPr="00442B81">
        <w:rPr>
          <w:rFonts w:ascii="Arial" w:hAnsi="Arial" w:cs="Arial"/>
          <w:b/>
          <w:sz w:val="24"/>
          <w:szCs w:val="24"/>
        </w:rPr>
        <w:t>INDEMNIZACIÓN CONSTITUCIONAL</w:t>
      </w:r>
      <w:r w:rsidRPr="00442B81">
        <w:rPr>
          <w:rFonts w:ascii="Arial" w:hAnsi="Arial" w:cs="Arial"/>
          <w:sz w:val="24"/>
          <w:szCs w:val="24"/>
        </w:rPr>
        <w:t xml:space="preserve">, conforme al párrafo primero del artículo 48 de la Ley Federal del Trabajo, resulta de multiplicar 3 tres meses que equivalen a 90 noventa días, por su percepción diaria </w:t>
      </w:r>
      <w:r w:rsidR="007469F7">
        <w:rPr>
          <w:rFonts w:ascii="Arial" w:hAnsi="Arial" w:cs="Arial"/>
          <w:sz w:val="24"/>
          <w:szCs w:val="24"/>
        </w:rPr>
        <w:t>**********</w:t>
      </w:r>
      <w:r w:rsidRPr="00442B81">
        <w:rPr>
          <w:rFonts w:ascii="Arial" w:hAnsi="Arial" w:cs="Arial"/>
          <w:sz w:val="24"/>
          <w:szCs w:val="24"/>
        </w:rPr>
        <w:t xml:space="preserve">, da como resultado la cantidad de </w:t>
      </w:r>
      <w:r w:rsidR="007469F7">
        <w:rPr>
          <w:rFonts w:ascii="Arial" w:hAnsi="Arial" w:cs="Arial"/>
          <w:b/>
          <w:bCs/>
          <w:sz w:val="24"/>
          <w:szCs w:val="24"/>
        </w:rPr>
        <w:t>**********</w:t>
      </w:r>
      <w:r w:rsidRPr="00442B81">
        <w:rPr>
          <w:rFonts w:ascii="Arial" w:hAnsi="Arial" w:cs="Arial"/>
          <w:b/>
          <w:bCs/>
          <w:sz w:val="24"/>
          <w:szCs w:val="24"/>
        </w:rPr>
        <w:t>.</w:t>
      </w:r>
      <w:r w:rsidRPr="00442B81">
        <w:rPr>
          <w:rFonts w:ascii="Arial" w:hAnsi="Arial" w:cs="Arial"/>
          <w:sz w:val="24"/>
          <w:szCs w:val="24"/>
        </w:rPr>
        <w:t xml:space="preserve"> </w:t>
      </w:r>
    </w:p>
    <w:p w14:paraId="665AD802" w14:textId="6834F7C5" w:rsidR="004F1BC4" w:rsidRPr="002622F3" w:rsidRDefault="004F1BC4" w:rsidP="003E5AC7">
      <w:pPr>
        <w:spacing w:line="360" w:lineRule="auto"/>
        <w:ind w:firstLine="567"/>
        <w:jc w:val="both"/>
        <w:rPr>
          <w:rFonts w:ascii="Arial" w:hAnsi="Arial" w:cs="Arial"/>
          <w:sz w:val="24"/>
          <w:szCs w:val="24"/>
        </w:rPr>
      </w:pPr>
      <w:r w:rsidRPr="002622F3">
        <w:rPr>
          <w:rFonts w:ascii="Arial" w:hAnsi="Arial" w:cs="Arial"/>
          <w:b/>
          <w:sz w:val="24"/>
          <w:szCs w:val="24"/>
        </w:rPr>
        <w:t>b)</w:t>
      </w:r>
      <w:r w:rsidRPr="002622F3">
        <w:rPr>
          <w:rFonts w:ascii="Arial" w:hAnsi="Arial" w:cs="Arial"/>
          <w:sz w:val="24"/>
          <w:szCs w:val="24"/>
        </w:rPr>
        <w:t xml:space="preserve">  </w:t>
      </w:r>
      <w:r w:rsidRPr="002622F3">
        <w:rPr>
          <w:rFonts w:ascii="Arial" w:hAnsi="Arial" w:cs="Arial"/>
          <w:b/>
          <w:sz w:val="24"/>
          <w:szCs w:val="24"/>
        </w:rPr>
        <w:t>VEINTE DÍAS POR AÑO</w:t>
      </w:r>
      <w:r w:rsidRPr="002622F3">
        <w:rPr>
          <w:rFonts w:ascii="Arial" w:hAnsi="Arial" w:cs="Arial"/>
          <w:sz w:val="24"/>
          <w:szCs w:val="24"/>
        </w:rPr>
        <w:t xml:space="preserve">, con </w:t>
      </w:r>
      <w:r w:rsidR="0092332D">
        <w:rPr>
          <w:rFonts w:ascii="Arial" w:hAnsi="Arial" w:cs="Arial"/>
          <w:sz w:val="24"/>
          <w:szCs w:val="24"/>
        </w:rPr>
        <w:t>señala</w:t>
      </w:r>
      <w:r w:rsidRPr="002622F3">
        <w:rPr>
          <w:rFonts w:ascii="Arial" w:hAnsi="Arial" w:cs="Arial"/>
          <w:sz w:val="24"/>
          <w:szCs w:val="24"/>
        </w:rPr>
        <w:t xml:space="preserve"> </w:t>
      </w:r>
      <w:r w:rsidR="0092332D">
        <w:rPr>
          <w:rFonts w:ascii="Arial" w:hAnsi="Arial" w:cs="Arial"/>
          <w:sz w:val="24"/>
          <w:szCs w:val="24"/>
        </w:rPr>
        <w:t>e</w:t>
      </w:r>
      <w:r w:rsidRPr="002622F3">
        <w:rPr>
          <w:rFonts w:ascii="Arial" w:hAnsi="Arial" w:cs="Arial"/>
          <w:sz w:val="24"/>
          <w:szCs w:val="24"/>
        </w:rPr>
        <w:t>l criterio jurisprudencial que se invoca</w:t>
      </w:r>
      <w:r w:rsidRPr="002622F3">
        <w:rPr>
          <w:rStyle w:val="Refdenotaalpie"/>
          <w:rFonts w:ascii="Arial" w:hAnsi="Arial" w:cs="Arial"/>
          <w:sz w:val="24"/>
          <w:szCs w:val="24"/>
        </w:rPr>
        <w:footnoteReference w:id="25"/>
      </w:r>
      <w:r w:rsidRPr="002622F3">
        <w:rPr>
          <w:rFonts w:ascii="Arial" w:hAnsi="Arial" w:cs="Arial"/>
          <w:sz w:val="24"/>
          <w:szCs w:val="24"/>
        </w:rPr>
        <w:t xml:space="preserve">, </w:t>
      </w:r>
      <w:r w:rsidR="003E5AC7">
        <w:rPr>
          <w:rFonts w:ascii="Arial" w:hAnsi="Arial" w:cs="Arial"/>
          <w:sz w:val="24"/>
          <w:szCs w:val="24"/>
        </w:rPr>
        <w:t xml:space="preserve">se le aplicará de manera proporcional, esto es, </w:t>
      </w:r>
      <w:r w:rsidR="003E5AC7" w:rsidRPr="002622F3">
        <w:rPr>
          <w:rFonts w:ascii="Arial" w:hAnsi="Arial" w:cs="Arial"/>
          <w:sz w:val="24"/>
          <w:szCs w:val="24"/>
        </w:rPr>
        <w:t xml:space="preserve">dado que de las manifestaciones realizadas por la actora en su escrito de demanda y constancias exhibidas por la autoridad demandada, documento que tiene valor probatorio pleno, al estar contenido en actuaciones públicas de conformidad en el artículo 203 de la Ley de Procedimiento y Justicia Administrativa para el Estado de Oaxaca, se acredita que </w:t>
      </w:r>
      <w:r w:rsidR="007469F7">
        <w:rPr>
          <w:rFonts w:ascii="Arial" w:hAnsi="Arial" w:cs="Arial"/>
          <w:sz w:val="24"/>
          <w:szCs w:val="24"/>
        </w:rPr>
        <w:t>**********</w:t>
      </w:r>
      <w:r w:rsidR="003E5AC7">
        <w:rPr>
          <w:rFonts w:ascii="Arial" w:hAnsi="Arial" w:cs="Arial"/>
          <w:sz w:val="24"/>
          <w:szCs w:val="24"/>
        </w:rPr>
        <w:t xml:space="preserve"> </w:t>
      </w:r>
      <w:r w:rsidR="003E5AC7" w:rsidRPr="002622F3">
        <w:rPr>
          <w:rFonts w:ascii="Arial" w:hAnsi="Arial" w:cs="Arial"/>
          <w:sz w:val="24"/>
          <w:szCs w:val="24"/>
        </w:rPr>
        <w:t xml:space="preserve">laboró </w:t>
      </w:r>
      <w:r w:rsidR="003E5AC7">
        <w:rPr>
          <w:rFonts w:ascii="Arial" w:hAnsi="Arial" w:cs="Arial"/>
          <w:sz w:val="24"/>
          <w:szCs w:val="24"/>
        </w:rPr>
        <w:t xml:space="preserve">6 meses </w:t>
      </w:r>
      <w:r w:rsidR="003E5AC7" w:rsidRPr="002622F3">
        <w:rPr>
          <w:rFonts w:ascii="Arial" w:hAnsi="Arial" w:cs="Arial"/>
          <w:sz w:val="24"/>
          <w:szCs w:val="24"/>
        </w:rPr>
        <w:t xml:space="preserve">con el carácter de policía municipal del Honorable Ayuntamiento del Municipio de la Reforma, Putla, Oaxaca, del </w:t>
      </w:r>
      <w:r w:rsidR="007469F7">
        <w:rPr>
          <w:rFonts w:ascii="Arial" w:hAnsi="Arial" w:cs="Arial"/>
          <w:sz w:val="24"/>
          <w:szCs w:val="24"/>
        </w:rPr>
        <w:t>*********</w:t>
      </w:r>
      <w:r w:rsidR="003E5AC7" w:rsidRPr="002622F3">
        <w:rPr>
          <w:rFonts w:ascii="Arial" w:hAnsi="Arial" w:cs="Arial"/>
          <w:sz w:val="24"/>
          <w:szCs w:val="24"/>
        </w:rPr>
        <w:t xml:space="preserve"> al</w:t>
      </w:r>
      <w:r w:rsidR="008F5193">
        <w:rPr>
          <w:rFonts w:ascii="Arial" w:hAnsi="Arial" w:cs="Arial"/>
          <w:sz w:val="24"/>
          <w:szCs w:val="24"/>
        </w:rPr>
        <w:t xml:space="preserve"> </w:t>
      </w:r>
      <w:r w:rsidR="007469F7">
        <w:rPr>
          <w:rFonts w:ascii="Arial" w:hAnsi="Arial" w:cs="Arial"/>
          <w:sz w:val="24"/>
          <w:szCs w:val="24"/>
        </w:rPr>
        <w:t>**********</w:t>
      </w:r>
      <w:r w:rsidR="003E5AC7" w:rsidRPr="002622F3">
        <w:rPr>
          <w:rFonts w:ascii="Arial" w:hAnsi="Arial" w:cs="Arial"/>
          <w:sz w:val="24"/>
          <w:szCs w:val="24"/>
        </w:rPr>
        <w:t xml:space="preserve">, es decir 6 meses, </w:t>
      </w:r>
      <w:r w:rsidR="003E5AC7">
        <w:rPr>
          <w:rFonts w:ascii="Arial" w:hAnsi="Arial" w:cs="Arial"/>
          <w:sz w:val="24"/>
          <w:szCs w:val="24"/>
        </w:rPr>
        <w:t xml:space="preserve">le corresponde el pago de 10 días, multiplicado por </w:t>
      </w:r>
      <w:r w:rsidR="007469F7">
        <w:rPr>
          <w:rFonts w:ascii="Arial" w:hAnsi="Arial" w:cs="Arial"/>
          <w:sz w:val="24"/>
          <w:szCs w:val="24"/>
        </w:rPr>
        <w:t>**********</w:t>
      </w:r>
      <w:r w:rsidR="003E5AC7">
        <w:rPr>
          <w:rFonts w:ascii="Arial" w:hAnsi="Arial" w:cs="Arial"/>
          <w:sz w:val="24"/>
          <w:szCs w:val="24"/>
        </w:rPr>
        <w:t xml:space="preserve"> de salario diario, resulta la cantidad </w:t>
      </w:r>
      <w:r w:rsidR="003E5AC7" w:rsidRPr="000D3609">
        <w:rPr>
          <w:rFonts w:ascii="Arial" w:hAnsi="Arial" w:cs="Arial"/>
          <w:b/>
          <w:bCs/>
          <w:sz w:val="24"/>
          <w:szCs w:val="24"/>
        </w:rPr>
        <w:t xml:space="preserve">de </w:t>
      </w:r>
      <w:r w:rsidR="007469F7">
        <w:rPr>
          <w:rFonts w:ascii="Arial" w:hAnsi="Arial" w:cs="Arial"/>
          <w:b/>
          <w:bCs/>
          <w:sz w:val="24"/>
          <w:szCs w:val="24"/>
        </w:rPr>
        <w:t>**********</w:t>
      </w:r>
      <w:r w:rsidR="003E5AC7" w:rsidRPr="000D3609">
        <w:rPr>
          <w:rFonts w:ascii="Arial" w:hAnsi="Arial" w:cs="Arial"/>
          <w:b/>
          <w:bCs/>
          <w:sz w:val="24"/>
          <w:szCs w:val="24"/>
        </w:rPr>
        <w:t>.</w:t>
      </w:r>
    </w:p>
    <w:p w14:paraId="2E68A01C" w14:textId="1EC68554" w:rsidR="00BB3F8A" w:rsidRPr="00555DA6" w:rsidRDefault="004F1BC4" w:rsidP="004F1BC4">
      <w:pPr>
        <w:spacing w:line="360" w:lineRule="auto"/>
        <w:ind w:firstLine="567"/>
        <w:jc w:val="both"/>
        <w:rPr>
          <w:rFonts w:ascii="Arial" w:hAnsi="Arial" w:cs="Arial"/>
          <w:sz w:val="24"/>
          <w:szCs w:val="24"/>
        </w:rPr>
      </w:pPr>
      <w:r w:rsidRPr="00555DA6">
        <w:rPr>
          <w:rFonts w:ascii="Arial" w:hAnsi="Arial" w:cs="Arial"/>
          <w:b/>
          <w:sz w:val="24"/>
          <w:szCs w:val="24"/>
        </w:rPr>
        <w:t>c)</w:t>
      </w:r>
      <w:r w:rsidRPr="00555DA6">
        <w:rPr>
          <w:rFonts w:ascii="Arial" w:hAnsi="Arial" w:cs="Arial"/>
          <w:sz w:val="24"/>
          <w:szCs w:val="24"/>
        </w:rPr>
        <w:t xml:space="preserve"> </w:t>
      </w:r>
      <w:r w:rsidRPr="00555DA6">
        <w:rPr>
          <w:rFonts w:ascii="Arial" w:hAnsi="Arial" w:cs="Arial"/>
          <w:b/>
          <w:sz w:val="24"/>
          <w:szCs w:val="24"/>
        </w:rPr>
        <w:t>VACACIONES</w:t>
      </w:r>
      <w:r w:rsidRPr="00555DA6">
        <w:rPr>
          <w:rFonts w:ascii="Arial" w:hAnsi="Arial" w:cs="Arial"/>
          <w:sz w:val="24"/>
          <w:szCs w:val="24"/>
        </w:rPr>
        <w:t xml:space="preserve">,  la Ley Federal del Trabajo establece en su artículo 76 que </w:t>
      </w:r>
      <w:r w:rsidRPr="00555DA6">
        <w:rPr>
          <w:rFonts w:ascii="Arial" w:hAnsi="Arial" w:cs="Arial"/>
          <w:i/>
          <w:sz w:val="24"/>
          <w:szCs w:val="24"/>
        </w:rPr>
        <w:t xml:space="preserve">“Los trabajadores que tengan más de un año de servicios disfrutarán de un período anual de vacaciones pagadas, que en ningún caso podrá ser </w:t>
      </w:r>
      <w:r w:rsidRPr="00555DA6">
        <w:rPr>
          <w:rFonts w:ascii="Arial" w:hAnsi="Arial" w:cs="Arial"/>
          <w:i/>
          <w:sz w:val="24"/>
          <w:szCs w:val="24"/>
        </w:rPr>
        <w:lastRenderedPageBreak/>
        <w:t>inferior a seis días laborables, y que aumentará en dos días laborables, hasta llegar a doce, por cada año subsecuente de servicios.”</w:t>
      </w:r>
      <w:r w:rsidR="00A171E0" w:rsidRPr="00555DA6">
        <w:rPr>
          <w:rFonts w:ascii="Arial" w:hAnsi="Arial" w:cs="Arial"/>
          <w:sz w:val="24"/>
          <w:szCs w:val="24"/>
        </w:rPr>
        <w:t xml:space="preserve">, </w:t>
      </w:r>
      <w:r w:rsidR="00BB3F8A" w:rsidRPr="00555DA6">
        <w:rPr>
          <w:rFonts w:ascii="Arial" w:hAnsi="Arial" w:cs="Arial"/>
          <w:sz w:val="24"/>
          <w:szCs w:val="24"/>
        </w:rPr>
        <w:t xml:space="preserve">y el artículo 79, segundo párrafo de la misma Ley Federal del Trabajo, establece </w:t>
      </w:r>
      <w:r w:rsidR="00BB3F8A" w:rsidRPr="00555DA6">
        <w:rPr>
          <w:rFonts w:ascii="Arial" w:hAnsi="Arial" w:cs="Arial"/>
          <w:i/>
          <w:iCs/>
          <w:sz w:val="24"/>
          <w:szCs w:val="24"/>
        </w:rPr>
        <w:t xml:space="preserve">que “…Si la relación de trabajo termina antes de que se cumpla el año de servicios, el trabajador tendrá derecho a una remuneración proporcionada al tiempo de servicios prestados…”; </w:t>
      </w:r>
      <w:r w:rsidR="00BB3F8A" w:rsidRPr="00555DA6">
        <w:rPr>
          <w:rFonts w:ascii="Arial" w:hAnsi="Arial" w:cs="Arial"/>
          <w:sz w:val="24"/>
          <w:szCs w:val="24"/>
        </w:rPr>
        <w:t xml:space="preserve">consecuentemente, al acreditarse en autos del expediente en que se actúa que laboró del </w:t>
      </w:r>
      <w:r w:rsidR="007469F7">
        <w:rPr>
          <w:rFonts w:ascii="Arial" w:hAnsi="Arial" w:cs="Arial"/>
          <w:sz w:val="24"/>
          <w:szCs w:val="24"/>
        </w:rPr>
        <w:t>**********</w:t>
      </w:r>
      <w:r w:rsidR="00BB3F8A" w:rsidRPr="00555DA6">
        <w:rPr>
          <w:rFonts w:ascii="Arial" w:hAnsi="Arial" w:cs="Arial"/>
          <w:sz w:val="24"/>
          <w:szCs w:val="24"/>
        </w:rPr>
        <w:t xml:space="preserve"> al </w:t>
      </w:r>
      <w:r w:rsidR="007469F7">
        <w:rPr>
          <w:rFonts w:ascii="Arial" w:hAnsi="Arial" w:cs="Arial"/>
          <w:sz w:val="24"/>
          <w:szCs w:val="24"/>
        </w:rPr>
        <w:t>**********</w:t>
      </w:r>
      <w:r w:rsidR="00BB3F8A" w:rsidRPr="00555DA6">
        <w:rPr>
          <w:rFonts w:ascii="Arial" w:hAnsi="Arial" w:cs="Arial"/>
          <w:sz w:val="24"/>
          <w:szCs w:val="24"/>
        </w:rPr>
        <w:t xml:space="preserve">, únicamente transcurrieron 6 meses laborados, por tanto, si por el primer año </w:t>
      </w:r>
      <w:r w:rsidR="00993426" w:rsidRPr="00555DA6">
        <w:rPr>
          <w:rFonts w:ascii="Arial" w:hAnsi="Arial" w:cs="Arial"/>
          <w:sz w:val="24"/>
          <w:szCs w:val="24"/>
        </w:rPr>
        <w:t>le corresponden 6 días por el primer año, se debe dividir entre dos partes, es decir, se le debe pagar por concepto de vacaciones 3 días por haber laborado 6 meses</w:t>
      </w:r>
      <w:r w:rsidR="00555DA6" w:rsidRPr="00555DA6">
        <w:rPr>
          <w:rFonts w:ascii="Arial" w:hAnsi="Arial" w:cs="Arial"/>
          <w:sz w:val="24"/>
          <w:szCs w:val="24"/>
        </w:rPr>
        <w:t>.</w:t>
      </w:r>
    </w:p>
    <w:p w14:paraId="461DB8B7" w14:textId="12F9707B" w:rsidR="004F1BC4" w:rsidRPr="00555DA6" w:rsidRDefault="00555DA6" w:rsidP="00993426">
      <w:pPr>
        <w:spacing w:line="360" w:lineRule="auto"/>
        <w:jc w:val="both"/>
        <w:rPr>
          <w:rFonts w:ascii="Arial" w:hAnsi="Arial" w:cs="Arial"/>
          <w:b/>
          <w:bCs/>
          <w:sz w:val="24"/>
          <w:szCs w:val="24"/>
        </w:rPr>
      </w:pPr>
      <w:r w:rsidRPr="00555DA6">
        <w:rPr>
          <w:rFonts w:ascii="Arial" w:hAnsi="Arial" w:cs="Arial"/>
          <w:sz w:val="24"/>
          <w:szCs w:val="24"/>
        </w:rPr>
        <w:t xml:space="preserve">    </w:t>
      </w:r>
      <w:r w:rsidR="004F1BC4" w:rsidRPr="00555DA6">
        <w:rPr>
          <w:rFonts w:ascii="Arial" w:hAnsi="Arial" w:cs="Arial"/>
          <w:sz w:val="24"/>
          <w:szCs w:val="24"/>
        </w:rPr>
        <w:t xml:space="preserve"> Entonces multiplicando </w:t>
      </w:r>
      <w:r w:rsidRPr="00555DA6">
        <w:rPr>
          <w:rFonts w:ascii="Arial" w:hAnsi="Arial" w:cs="Arial"/>
          <w:sz w:val="24"/>
          <w:szCs w:val="24"/>
        </w:rPr>
        <w:t>3</w:t>
      </w:r>
      <w:r w:rsidR="004F1BC4" w:rsidRPr="00555DA6">
        <w:rPr>
          <w:rFonts w:ascii="Arial" w:hAnsi="Arial" w:cs="Arial"/>
          <w:sz w:val="24"/>
          <w:szCs w:val="24"/>
        </w:rPr>
        <w:t xml:space="preserve"> días por el salario diario de </w:t>
      </w:r>
      <w:r w:rsidR="007469F7">
        <w:rPr>
          <w:rFonts w:ascii="Arial" w:hAnsi="Arial" w:cs="Arial"/>
          <w:sz w:val="24"/>
          <w:szCs w:val="24"/>
        </w:rPr>
        <w:t>**********</w:t>
      </w:r>
      <w:r w:rsidR="004F1BC4" w:rsidRPr="00555DA6">
        <w:rPr>
          <w:rFonts w:ascii="Arial" w:hAnsi="Arial" w:cs="Arial"/>
          <w:sz w:val="24"/>
          <w:szCs w:val="24"/>
        </w:rPr>
        <w:t xml:space="preserve">, dan como resultado la cantidad de </w:t>
      </w:r>
      <w:r w:rsidR="007469F7">
        <w:rPr>
          <w:rFonts w:ascii="Arial" w:hAnsi="Arial" w:cs="Arial"/>
          <w:b/>
          <w:bCs/>
          <w:sz w:val="24"/>
          <w:szCs w:val="24"/>
        </w:rPr>
        <w:t>**********.</w:t>
      </w:r>
    </w:p>
    <w:p w14:paraId="7D442536" w14:textId="5E0DFABB" w:rsidR="004F1BC4" w:rsidRPr="00555DA6" w:rsidRDefault="00555DA6" w:rsidP="00555DA6">
      <w:pPr>
        <w:spacing w:line="360" w:lineRule="auto"/>
        <w:jc w:val="both"/>
        <w:rPr>
          <w:rFonts w:ascii="Arial" w:hAnsi="Arial" w:cs="Arial"/>
          <w:sz w:val="24"/>
          <w:szCs w:val="24"/>
        </w:rPr>
      </w:pPr>
      <w:r w:rsidRPr="00555DA6">
        <w:rPr>
          <w:rFonts w:ascii="Arial" w:hAnsi="Arial" w:cs="Arial"/>
          <w:b/>
          <w:sz w:val="24"/>
          <w:szCs w:val="24"/>
        </w:rPr>
        <w:t xml:space="preserve">      </w:t>
      </w:r>
      <w:r w:rsidR="004F1BC4" w:rsidRPr="00555DA6">
        <w:rPr>
          <w:rFonts w:ascii="Arial" w:hAnsi="Arial" w:cs="Arial"/>
          <w:b/>
          <w:sz w:val="24"/>
          <w:szCs w:val="24"/>
        </w:rPr>
        <w:t>d)</w:t>
      </w:r>
      <w:r w:rsidR="004F1BC4" w:rsidRPr="00555DA6">
        <w:rPr>
          <w:rFonts w:ascii="Arial" w:hAnsi="Arial" w:cs="Arial"/>
          <w:sz w:val="24"/>
          <w:szCs w:val="24"/>
        </w:rPr>
        <w:t xml:space="preserve"> </w:t>
      </w:r>
      <w:r w:rsidR="004F1BC4" w:rsidRPr="00555DA6">
        <w:rPr>
          <w:rFonts w:ascii="Arial" w:hAnsi="Arial" w:cs="Arial"/>
          <w:b/>
          <w:sz w:val="24"/>
          <w:szCs w:val="24"/>
        </w:rPr>
        <w:t>PRIMA VACACIONAL</w:t>
      </w:r>
      <w:r w:rsidR="004F1BC4" w:rsidRPr="00555DA6">
        <w:rPr>
          <w:rFonts w:ascii="Arial" w:hAnsi="Arial" w:cs="Arial"/>
          <w:sz w:val="24"/>
          <w:szCs w:val="24"/>
        </w:rPr>
        <w:t>, a que se refiere el artículo 80 de la Ley Federal del Trabajo, que establece que los trabajadores tendrán derecho a una prima no menor al 25% de los salarios que les correspondan durante el periodo de vacaciones; por lo que de la cantidad de</w:t>
      </w:r>
      <w:r w:rsidRPr="00555DA6">
        <w:rPr>
          <w:rFonts w:ascii="Arial" w:hAnsi="Arial" w:cs="Arial"/>
          <w:sz w:val="24"/>
          <w:szCs w:val="24"/>
        </w:rPr>
        <w:t xml:space="preserve"> </w:t>
      </w:r>
      <w:r w:rsidR="007469F7">
        <w:rPr>
          <w:rFonts w:ascii="Arial" w:hAnsi="Arial" w:cs="Arial"/>
          <w:sz w:val="24"/>
          <w:szCs w:val="24"/>
        </w:rPr>
        <w:t xml:space="preserve">********** </w:t>
      </w:r>
      <w:r w:rsidR="004F1BC4" w:rsidRPr="00555DA6">
        <w:rPr>
          <w:rFonts w:ascii="Arial" w:hAnsi="Arial" w:cs="Arial"/>
          <w:sz w:val="24"/>
          <w:szCs w:val="24"/>
        </w:rPr>
        <w:t xml:space="preserve">por concepto de vacaciones multiplicado por el 25% da la cantidad de </w:t>
      </w:r>
      <w:r w:rsidR="007469F7">
        <w:rPr>
          <w:rFonts w:ascii="Arial" w:hAnsi="Arial" w:cs="Arial"/>
          <w:b/>
          <w:bCs/>
          <w:sz w:val="24"/>
          <w:szCs w:val="24"/>
        </w:rPr>
        <w:t>**********</w:t>
      </w:r>
      <w:r w:rsidR="004F1BC4" w:rsidRPr="00555DA6">
        <w:rPr>
          <w:rFonts w:ascii="Arial" w:hAnsi="Arial" w:cs="Arial"/>
          <w:b/>
          <w:bCs/>
          <w:sz w:val="24"/>
          <w:szCs w:val="24"/>
        </w:rPr>
        <w:t>.</w:t>
      </w:r>
    </w:p>
    <w:p w14:paraId="05B5ED17" w14:textId="3DBF470A" w:rsidR="00EB20FA" w:rsidRDefault="004F1BC4" w:rsidP="004F1BC4">
      <w:pPr>
        <w:spacing w:line="360" w:lineRule="auto"/>
        <w:ind w:firstLine="567"/>
        <w:jc w:val="both"/>
        <w:rPr>
          <w:rFonts w:ascii="Arial" w:hAnsi="Arial" w:cs="Arial"/>
          <w:sz w:val="24"/>
          <w:szCs w:val="24"/>
        </w:rPr>
      </w:pPr>
      <w:r w:rsidRPr="00555DA6">
        <w:rPr>
          <w:rFonts w:ascii="Arial" w:hAnsi="Arial" w:cs="Arial"/>
          <w:b/>
          <w:sz w:val="24"/>
          <w:szCs w:val="24"/>
        </w:rPr>
        <w:t>e)</w:t>
      </w:r>
      <w:r w:rsidRPr="00555DA6">
        <w:rPr>
          <w:rFonts w:ascii="Arial" w:hAnsi="Arial" w:cs="Arial"/>
          <w:sz w:val="24"/>
          <w:szCs w:val="24"/>
        </w:rPr>
        <w:t xml:space="preserve"> </w:t>
      </w:r>
      <w:r w:rsidRPr="00555DA6">
        <w:rPr>
          <w:rFonts w:ascii="Arial" w:hAnsi="Arial" w:cs="Arial"/>
          <w:b/>
          <w:sz w:val="24"/>
          <w:szCs w:val="24"/>
        </w:rPr>
        <w:t>AGUINALDO</w:t>
      </w:r>
      <w:r w:rsidRPr="00555DA6">
        <w:rPr>
          <w:rFonts w:ascii="Arial" w:hAnsi="Arial" w:cs="Arial"/>
          <w:sz w:val="24"/>
          <w:szCs w:val="24"/>
        </w:rPr>
        <w:t xml:space="preserve">, conforme al artículo 87 de la Ley Federal del Trabajo, el aguinaldo anual que deberá pagarse antes del </w:t>
      </w:r>
      <w:r w:rsidR="007469F7">
        <w:rPr>
          <w:rFonts w:ascii="Arial" w:hAnsi="Arial" w:cs="Arial"/>
          <w:sz w:val="24"/>
          <w:szCs w:val="24"/>
        </w:rPr>
        <w:t>**********</w:t>
      </w:r>
      <w:r w:rsidRPr="00555DA6">
        <w:rPr>
          <w:rFonts w:ascii="Arial" w:hAnsi="Arial" w:cs="Arial"/>
          <w:sz w:val="24"/>
          <w:szCs w:val="24"/>
        </w:rPr>
        <w:t xml:space="preserve">, equivalente a 15 quince días de salario, por lo menos; </w:t>
      </w:r>
      <w:r w:rsidR="00EB20FA">
        <w:rPr>
          <w:rFonts w:ascii="Arial" w:hAnsi="Arial" w:cs="Arial"/>
          <w:sz w:val="24"/>
          <w:szCs w:val="24"/>
        </w:rPr>
        <w:t>y los que no hayan cumplido el año de servicios, independientemente de que se encuentren laborando o no en la fecha de liquidación del aguinaldo, tendrán derecho a que les pague la parte proporcional del mismo, conforme al tiempo que hubieren trabajado, cualquiera que fuere éste.</w:t>
      </w:r>
    </w:p>
    <w:p w14:paraId="199A04E6" w14:textId="00265DE3" w:rsidR="00B42799" w:rsidRDefault="00EB20FA" w:rsidP="00B42799">
      <w:pPr>
        <w:spacing w:line="360" w:lineRule="auto"/>
        <w:ind w:firstLine="567"/>
        <w:jc w:val="both"/>
        <w:rPr>
          <w:rFonts w:ascii="Arial" w:hAnsi="Arial" w:cs="Arial"/>
          <w:sz w:val="24"/>
          <w:szCs w:val="24"/>
        </w:rPr>
      </w:pPr>
      <w:r>
        <w:rPr>
          <w:rFonts w:ascii="Arial" w:hAnsi="Arial" w:cs="Arial"/>
          <w:sz w:val="24"/>
          <w:szCs w:val="24"/>
        </w:rPr>
        <w:t>En ese aspecto, al justificarse que la actora laboró 6 meses como policía municipal, se le debe pagar proporcionalmente</w:t>
      </w:r>
      <w:r w:rsidR="007E5C93">
        <w:rPr>
          <w:rFonts w:ascii="Arial" w:hAnsi="Arial" w:cs="Arial"/>
          <w:sz w:val="24"/>
          <w:szCs w:val="24"/>
        </w:rPr>
        <w:t>, entonces, la mitad de 15 días son 7 días y medio, por ello se m</w:t>
      </w:r>
      <w:r w:rsidR="004F1BC4" w:rsidRPr="00555DA6">
        <w:rPr>
          <w:rFonts w:ascii="Arial" w:hAnsi="Arial" w:cs="Arial"/>
          <w:sz w:val="24"/>
          <w:szCs w:val="24"/>
        </w:rPr>
        <w:t>ultiplic</w:t>
      </w:r>
      <w:r w:rsidR="007E5C93">
        <w:rPr>
          <w:rFonts w:ascii="Arial" w:hAnsi="Arial" w:cs="Arial"/>
          <w:sz w:val="24"/>
          <w:szCs w:val="24"/>
        </w:rPr>
        <w:t>a el salario diario de</w:t>
      </w:r>
      <w:r w:rsidR="004F1BC4" w:rsidRPr="00555DA6">
        <w:rPr>
          <w:rFonts w:ascii="Arial" w:hAnsi="Arial" w:cs="Arial"/>
          <w:sz w:val="24"/>
          <w:szCs w:val="24"/>
        </w:rPr>
        <w:t xml:space="preserve"> </w:t>
      </w:r>
      <w:r w:rsidR="007469F7">
        <w:rPr>
          <w:rFonts w:ascii="Arial" w:hAnsi="Arial" w:cs="Arial"/>
          <w:sz w:val="24"/>
          <w:szCs w:val="24"/>
        </w:rPr>
        <w:t>**********</w:t>
      </w:r>
      <w:r w:rsidR="004F1BC4" w:rsidRPr="00555DA6">
        <w:rPr>
          <w:rFonts w:ascii="Arial" w:hAnsi="Arial" w:cs="Arial"/>
          <w:sz w:val="24"/>
          <w:szCs w:val="24"/>
        </w:rPr>
        <w:t xml:space="preserve"> por</w:t>
      </w:r>
      <w:r w:rsidR="00FE61E2">
        <w:rPr>
          <w:rFonts w:ascii="Arial" w:hAnsi="Arial" w:cs="Arial"/>
          <w:sz w:val="24"/>
          <w:szCs w:val="24"/>
        </w:rPr>
        <w:t xml:space="preserve">              </w:t>
      </w:r>
      <w:r w:rsidR="004F1BC4" w:rsidRPr="00555DA6">
        <w:rPr>
          <w:rFonts w:ascii="Arial" w:hAnsi="Arial" w:cs="Arial"/>
          <w:sz w:val="24"/>
          <w:szCs w:val="24"/>
        </w:rPr>
        <w:t xml:space="preserve"> </w:t>
      </w:r>
      <w:r w:rsidR="007E5C93" w:rsidRPr="00FE61E2">
        <w:rPr>
          <w:rFonts w:ascii="Arial" w:hAnsi="Arial" w:cs="Arial"/>
          <w:b/>
          <w:bCs/>
          <w:sz w:val="24"/>
          <w:szCs w:val="24"/>
        </w:rPr>
        <w:t xml:space="preserve">7 </w:t>
      </w:r>
      <w:r w:rsidR="004F1BC4" w:rsidRPr="00FE61E2">
        <w:rPr>
          <w:rFonts w:ascii="Arial" w:hAnsi="Arial" w:cs="Arial"/>
          <w:b/>
          <w:bCs/>
          <w:sz w:val="24"/>
          <w:szCs w:val="24"/>
        </w:rPr>
        <w:t>días</w:t>
      </w:r>
      <w:r w:rsidR="007E5C93" w:rsidRPr="00FE61E2">
        <w:rPr>
          <w:rFonts w:ascii="Arial" w:hAnsi="Arial" w:cs="Arial"/>
          <w:b/>
          <w:bCs/>
          <w:sz w:val="24"/>
          <w:szCs w:val="24"/>
        </w:rPr>
        <w:t>,</w:t>
      </w:r>
      <w:r w:rsidR="007E5C93">
        <w:rPr>
          <w:rFonts w:ascii="Arial" w:hAnsi="Arial" w:cs="Arial"/>
          <w:sz w:val="24"/>
          <w:szCs w:val="24"/>
        </w:rPr>
        <w:t xml:space="preserve"> consistente en la cantidad de </w:t>
      </w:r>
      <w:r w:rsidR="007469F7">
        <w:rPr>
          <w:rFonts w:ascii="Arial" w:hAnsi="Arial" w:cs="Arial"/>
          <w:b/>
          <w:bCs/>
          <w:sz w:val="24"/>
          <w:szCs w:val="24"/>
        </w:rPr>
        <w:t>**********</w:t>
      </w:r>
      <w:r w:rsidR="00FE61E2">
        <w:rPr>
          <w:rFonts w:ascii="Arial" w:hAnsi="Arial" w:cs="Arial"/>
          <w:b/>
          <w:bCs/>
          <w:sz w:val="24"/>
          <w:szCs w:val="24"/>
        </w:rPr>
        <w:t xml:space="preserve">, </w:t>
      </w:r>
      <w:r w:rsidR="00FE61E2" w:rsidRPr="00BC217D">
        <w:rPr>
          <w:rFonts w:ascii="Arial" w:hAnsi="Arial" w:cs="Arial"/>
          <w:sz w:val="24"/>
          <w:szCs w:val="24"/>
        </w:rPr>
        <w:t>y el medio día restante se cuantifica dividendo entre 2 un día de salario diario, consistente en</w:t>
      </w:r>
      <w:r w:rsidR="00FE61E2">
        <w:rPr>
          <w:rFonts w:ascii="Arial" w:hAnsi="Arial" w:cs="Arial"/>
          <w:b/>
          <w:bCs/>
          <w:sz w:val="24"/>
          <w:szCs w:val="24"/>
        </w:rPr>
        <w:t xml:space="preserve"> </w:t>
      </w:r>
      <w:r w:rsidR="007469F7">
        <w:rPr>
          <w:rFonts w:ascii="Arial" w:hAnsi="Arial" w:cs="Arial"/>
          <w:b/>
          <w:bCs/>
          <w:sz w:val="24"/>
          <w:szCs w:val="24"/>
        </w:rPr>
        <w:t>**********</w:t>
      </w:r>
      <w:r w:rsidR="00BC217D">
        <w:rPr>
          <w:rFonts w:ascii="Arial" w:hAnsi="Arial" w:cs="Arial"/>
          <w:b/>
          <w:bCs/>
          <w:sz w:val="24"/>
          <w:szCs w:val="24"/>
        </w:rPr>
        <w:t xml:space="preserve">, resultando el total de </w:t>
      </w:r>
      <w:r w:rsidR="007469F7">
        <w:rPr>
          <w:rFonts w:ascii="Arial" w:hAnsi="Arial" w:cs="Arial"/>
          <w:b/>
          <w:bCs/>
          <w:sz w:val="24"/>
          <w:szCs w:val="24"/>
        </w:rPr>
        <w:t>**********</w:t>
      </w:r>
      <w:r w:rsidR="00BC217D">
        <w:rPr>
          <w:rFonts w:ascii="Arial" w:hAnsi="Arial" w:cs="Arial"/>
          <w:b/>
          <w:bCs/>
          <w:sz w:val="24"/>
          <w:szCs w:val="24"/>
        </w:rPr>
        <w:t>, por concepto de aguinaldo.</w:t>
      </w:r>
    </w:p>
    <w:p w14:paraId="274886D6" w14:textId="31B0B736" w:rsidR="00157556" w:rsidRPr="00B42799" w:rsidRDefault="00B42799" w:rsidP="00B42799">
      <w:pPr>
        <w:spacing w:line="360" w:lineRule="auto"/>
        <w:jc w:val="both"/>
        <w:rPr>
          <w:rFonts w:ascii="Arial" w:hAnsi="Arial" w:cs="Arial"/>
          <w:sz w:val="24"/>
          <w:szCs w:val="24"/>
        </w:rPr>
      </w:pPr>
      <w:r>
        <w:rPr>
          <w:rFonts w:ascii="Arial" w:hAnsi="Arial" w:cs="Arial"/>
          <w:b/>
          <w:bCs/>
          <w:sz w:val="24"/>
          <w:szCs w:val="24"/>
        </w:rPr>
        <w:t xml:space="preserve">      f)  </w:t>
      </w:r>
      <w:r w:rsidR="004F1BC4" w:rsidRPr="00B42799">
        <w:rPr>
          <w:rFonts w:ascii="Arial" w:hAnsi="Arial" w:cs="Arial"/>
          <w:b/>
          <w:bCs/>
          <w:sz w:val="24"/>
          <w:szCs w:val="24"/>
        </w:rPr>
        <w:t>REMUNERACIÓN</w:t>
      </w:r>
      <w:r w:rsidR="004F1BC4" w:rsidRPr="00B42799">
        <w:rPr>
          <w:rFonts w:ascii="Arial" w:hAnsi="Arial" w:cs="Arial"/>
          <w:b/>
          <w:sz w:val="24"/>
          <w:szCs w:val="24"/>
        </w:rPr>
        <w:t xml:space="preserve"> DIARIA ORDINARIA</w:t>
      </w:r>
      <w:r w:rsidR="004F1BC4" w:rsidRPr="00B42799">
        <w:rPr>
          <w:rFonts w:ascii="Arial" w:hAnsi="Arial" w:cs="Arial"/>
          <w:sz w:val="24"/>
          <w:szCs w:val="24"/>
        </w:rPr>
        <w:t>,</w:t>
      </w:r>
      <w:r w:rsidR="00C27885" w:rsidRPr="00B42799">
        <w:rPr>
          <w:rFonts w:ascii="Arial" w:hAnsi="Arial" w:cs="Arial"/>
          <w:sz w:val="24"/>
          <w:szCs w:val="24"/>
        </w:rPr>
        <w:t xml:space="preserve"> en relación a este concepto la Ley del Sistema Estatal de Seguridad Pública, no </w:t>
      </w:r>
      <w:r w:rsidR="005265D0" w:rsidRPr="00B42799">
        <w:rPr>
          <w:rFonts w:ascii="Arial" w:hAnsi="Arial" w:cs="Arial"/>
          <w:sz w:val="24"/>
          <w:szCs w:val="24"/>
        </w:rPr>
        <w:t>establece</w:t>
      </w:r>
      <w:r w:rsidR="00C27885" w:rsidRPr="00B42799">
        <w:rPr>
          <w:rFonts w:ascii="Arial" w:hAnsi="Arial" w:cs="Arial"/>
          <w:sz w:val="24"/>
          <w:szCs w:val="24"/>
        </w:rPr>
        <w:t xml:space="preserve"> un periodo por el que deba cubrirse la remuneración ordinaria </w:t>
      </w:r>
      <w:r w:rsidR="008F5193" w:rsidRPr="00B42799">
        <w:rPr>
          <w:rFonts w:ascii="Arial" w:hAnsi="Arial" w:cs="Arial"/>
          <w:sz w:val="24"/>
          <w:szCs w:val="24"/>
        </w:rPr>
        <w:t>di</w:t>
      </w:r>
      <w:r w:rsidR="008F5193">
        <w:rPr>
          <w:rFonts w:ascii="Arial" w:hAnsi="Arial" w:cs="Arial"/>
          <w:sz w:val="24"/>
          <w:szCs w:val="24"/>
        </w:rPr>
        <w:t>a</w:t>
      </w:r>
      <w:r w:rsidR="008F5193" w:rsidRPr="00B42799">
        <w:rPr>
          <w:rFonts w:ascii="Arial" w:hAnsi="Arial" w:cs="Arial"/>
          <w:sz w:val="24"/>
          <w:szCs w:val="24"/>
        </w:rPr>
        <w:t>ria</w:t>
      </w:r>
      <w:r w:rsidR="00C27885" w:rsidRPr="00B42799">
        <w:rPr>
          <w:rFonts w:ascii="Arial" w:hAnsi="Arial" w:cs="Arial"/>
          <w:sz w:val="24"/>
          <w:szCs w:val="24"/>
        </w:rPr>
        <w:t xml:space="preserve"> a los miembros de los cuerpos </w:t>
      </w:r>
      <w:r w:rsidR="005265D0" w:rsidRPr="00B42799">
        <w:rPr>
          <w:rFonts w:ascii="Arial" w:hAnsi="Arial" w:cs="Arial"/>
          <w:sz w:val="24"/>
          <w:szCs w:val="24"/>
        </w:rPr>
        <w:t>policiacos</w:t>
      </w:r>
      <w:r w:rsidR="00C27885" w:rsidRPr="00B42799">
        <w:rPr>
          <w:rFonts w:ascii="Arial" w:hAnsi="Arial" w:cs="Arial"/>
          <w:sz w:val="24"/>
          <w:szCs w:val="24"/>
        </w:rPr>
        <w:t xml:space="preserve"> </w:t>
      </w:r>
      <w:r w:rsidR="005265D0" w:rsidRPr="00B42799">
        <w:rPr>
          <w:rFonts w:ascii="Arial" w:hAnsi="Arial" w:cs="Arial"/>
          <w:sz w:val="24"/>
          <w:szCs w:val="24"/>
        </w:rPr>
        <w:t>municipales</w:t>
      </w:r>
      <w:r w:rsidR="00C27885" w:rsidRPr="00B42799">
        <w:rPr>
          <w:rFonts w:ascii="Arial" w:hAnsi="Arial" w:cs="Arial"/>
          <w:sz w:val="24"/>
          <w:szCs w:val="24"/>
        </w:rPr>
        <w:t xml:space="preserve"> que hayan sido despedidos en forma injustificada, por ello, el pago correspondiente </w:t>
      </w:r>
      <w:r w:rsidR="005265D0" w:rsidRPr="00B42799">
        <w:rPr>
          <w:rFonts w:ascii="Arial" w:hAnsi="Arial" w:cs="Arial"/>
          <w:sz w:val="24"/>
          <w:szCs w:val="24"/>
        </w:rPr>
        <w:t>se debe computar</w:t>
      </w:r>
      <w:r w:rsidR="00C27885" w:rsidRPr="00B42799">
        <w:rPr>
          <w:rFonts w:ascii="Arial" w:hAnsi="Arial" w:cs="Arial"/>
          <w:sz w:val="24"/>
          <w:szCs w:val="24"/>
        </w:rPr>
        <w:t xml:space="preserve"> por el </w:t>
      </w:r>
      <w:r w:rsidR="005265D0" w:rsidRPr="00B42799">
        <w:rPr>
          <w:rFonts w:ascii="Arial" w:hAnsi="Arial" w:cs="Arial"/>
          <w:sz w:val="24"/>
          <w:szCs w:val="24"/>
        </w:rPr>
        <w:t>plazo</w:t>
      </w:r>
      <w:r w:rsidR="00C27885" w:rsidRPr="00B42799">
        <w:rPr>
          <w:rFonts w:ascii="Arial" w:hAnsi="Arial" w:cs="Arial"/>
          <w:sz w:val="24"/>
          <w:szCs w:val="24"/>
        </w:rPr>
        <w:t xml:space="preserve"> de doce mes</w:t>
      </w:r>
      <w:r w:rsidR="005265D0" w:rsidRPr="00B42799">
        <w:rPr>
          <w:rFonts w:ascii="Arial" w:hAnsi="Arial" w:cs="Arial"/>
          <w:sz w:val="24"/>
          <w:szCs w:val="24"/>
        </w:rPr>
        <w:t>es</w:t>
      </w:r>
      <w:r w:rsidR="00C27885" w:rsidRPr="00B42799">
        <w:rPr>
          <w:rFonts w:ascii="Arial" w:hAnsi="Arial" w:cs="Arial"/>
          <w:sz w:val="24"/>
          <w:szCs w:val="24"/>
        </w:rPr>
        <w:t xml:space="preserve">, como el tiempo </w:t>
      </w:r>
      <w:r w:rsidR="005265D0" w:rsidRPr="00B42799">
        <w:rPr>
          <w:rFonts w:ascii="Arial" w:hAnsi="Arial" w:cs="Arial"/>
          <w:sz w:val="24"/>
          <w:szCs w:val="24"/>
        </w:rPr>
        <w:t>que deberá de tomar en cuenta la autoridad demandada para el pago de dicha prestación.</w:t>
      </w:r>
    </w:p>
    <w:p w14:paraId="7CE33819" w14:textId="71E57770" w:rsidR="00157556" w:rsidRPr="00B42799" w:rsidRDefault="00B42799" w:rsidP="00B42799">
      <w:pPr>
        <w:spacing w:line="360" w:lineRule="auto"/>
        <w:jc w:val="both"/>
        <w:rPr>
          <w:rFonts w:ascii="Arial" w:hAnsi="Arial" w:cs="Arial"/>
          <w:sz w:val="24"/>
          <w:szCs w:val="24"/>
        </w:rPr>
      </w:pPr>
      <w:r>
        <w:rPr>
          <w:rFonts w:ascii="Arial" w:hAnsi="Arial" w:cs="Arial"/>
          <w:sz w:val="24"/>
          <w:szCs w:val="24"/>
        </w:rPr>
        <w:lastRenderedPageBreak/>
        <w:t xml:space="preserve">       </w:t>
      </w:r>
      <w:r w:rsidR="005265D0" w:rsidRPr="00B42799">
        <w:rPr>
          <w:rFonts w:ascii="Arial" w:hAnsi="Arial" w:cs="Arial"/>
          <w:sz w:val="24"/>
          <w:szCs w:val="24"/>
        </w:rPr>
        <w:t>Lo anterior, al considerarse que ese periodo es razonable y proporcional, en virtud de que por una parte atiende a la protección de las partidas presupuestas fijadas a las Entidades Federativas para el pago de las indemnizaciones; y por otra, cumple adecuadamente un fin justificado, siendo proporcional para su obtención, en tanto que no se advierten efectos desmesurados en relación con el derecho de resarcimiento del servidor público.</w:t>
      </w:r>
    </w:p>
    <w:p w14:paraId="618648A6" w14:textId="4FA8FED6" w:rsidR="00157556" w:rsidRPr="00B42799" w:rsidRDefault="00B42799" w:rsidP="00B42799">
      <w:pPr>
        <w:spacing w:line="360" w:lineRule="auto"/>
        <w:jc w:val="both"/>
        <w:rPr>
          <w:rFonts w:ascii="Arial" w:hAnsi="Arial" w:cs="Arial"/>
          <w:sz w:val="24"/>
          <w:szCs w:val="24"/>
        </w:rPr>
      </w:pPr>
      <w:r>
        <w:rPr>
          <w:rFonts w:ascii="Arial" w:hAnsi="Arial" w:cs="Arial"/>
          <w:sz w:val="24"/>
          <w:szCs w:val="24"/>
        </w:rPr>
        <w:t xml:space="preserve">       </w:t>
      </w:r>
      <w:r w:rsidR="005265D0" w:rsidRPr="00B42799">
        <w:rPr>
          <w:rFonts w:ascii="Arial" w:hAnsi="Arial" w:cs="Arial"/>
          <w:sz w:val="24"/>
          <w:szCs w:val="24"/>
        </w:rPr>
        <w:t xml:space="preserve"> Luego, es de </w:t>
      </w:r>
      <w:r w:rsidR="00157556" w:rsidRPr="00B42799">
        <w:rPr>
          <w:rFonts w:ascii="Arial" w:hAnsi="Arial" w:cs="Arial"/>
          <w:sz w:val="24"/>
          <w:szCs w:val="24"/>
        </w:rPr>
        <w:t>considerarse</w:t>
      </w:r>
      <w:r w:rsidR="005265D0" w:rsidRPr="00B42799">
        <w:rPr>
          <w:rFonts w:ascii="Arial" w:hAnsi="Arial" w:cs="Arial"/>
          <w:sz w:val="24"/>
          <w:szCs w:val="24"/>
        </w:rPr>
        <w:t xml:space="preserve"> que dicha limitante de doce meses máximos para el pago de la remuneración diaria or</w:t>
      </w:r>
      <w:r w:rsidR="00157556" w:rsidRPr="00B42799">
        <w:rPr>
          <w:rFonts w:ascii="Arial" w:hAnsi="Arial" w:cs="Arial"/>
          <w:sz w:val="24"/>
          <w:szCs w:val="24"/>
        </w:rPr>
        <w:t>dinaria</w:t>
      </w:r>
      <w:r w:rsidR="005265D0" w:rsidRPr="00B42799">
        <w:rPr>
          <w:rFonts w:ascii="Arial" w:hAnsi="Arial" w:cs="Arial"/>
          <w:sz w:val="24"/>
          <w:szCs w:val="24"/>
        </w:rPr>
        <w:t xml:space="preserve">, no transgrede el </w:t>
      </w:r>
      <w:r w:rsidR="00157556" w:rsidRPr="00B42799">
        <w:rPr>
          <w:rFonts w:ascii="Arial" w:hAnsi="Arial" w:cs="Arial"/>
          <w:sz w:val="24"/>
          <w:szCs w:val="24"/>
        </w:rPr>
        <w:t>principio</w:t>
      </w:r>
      <w:r w:rsidR="005265D0" w:rsidRPr="00B42799">
        <w:rPr>
          <w:rFonts w:ascii="Arial" w:hAnsi="Arial" w:cs="Arial"/>
          <w:sz w:val="24"/>
          <w:szCs w:val="24"/>
        </w:rPr>
        <w:t xml:space="preserve"> de progresividad tutelado por el artículo 1° </w:t>
      </w:r>
      <w:r w:rsidR="00157556" w:rsidRPr="00B42799">
        <w:rPr>
          <w:rFonts w:ascii="Arial" w:hAnsi="Arial" w:cs="Arial"/>
          <w:sz w:val="24"/>
          <w:szCs w:val="24"/>
        </w:rPr>
        <w:t>Constitucional</w:t>
      </w:r>
      <w:r w:rsidR="005265D0" w:rsidRPr="00B42799">
        <w:rPr>
          <w:rFonts w:ascii="Arial" w:hAnsi="Arial" w:cs="Arial"/>
          <w:sz w:val="24"/>
          <w:szCs w:val="24"/>
        </w:rPr>
        <w:t>, ni es violatorio de derechos humanos</w:t>
      </w:r>
      <w:r w:rsidR="00157556" w:rsidRPr="00B42799">
        <w:rPr>
          <w:rFonts w:ascii="Arial" w:hAnsi="Arial" w:cs="Arial"/>
          <w:sz w:val="24"/>
          <w:szCs w:val="24"/>
        </w:rPr>
        <w:t>, porque no desconoce un derecho anteriormente establecido, ni suprime la sanción constitucional que impone a las instituciones policiales, la obligación de indemnizar a sus elementos separados injustificadamente de su servicio, sino que sólo regula en forma distinta como habrá de calcularse su indemnización con el objeto de evitar que los juicios se prolonguen, así como impedir otros problemas para el economía del Estado o Municipal. Sirve de apoyo el siguiente criterio jurisprudencial.</w:t>
      </w:r>
    </w:p>
    <w:p w14:paraId="6C857B70" w14:textId="5B55378A" w:rsidR="006708A0" w:rsidRDefault="00157556" w:rsidP="00B42799">
      <w:pPr>
        <w:pStyle w:val="Prrafodelista"/>
        <w:ind w:left="284" w:right="333"/>
        <w:jc w:val="both"/>
        <w:rPr>
          <w:rFonts w:ascii="Calibri Light" w:hAnsi="Calibri Light" w:cs="Arial"/>
        </w:rPr>
      </w:pPr>
      <w:r w:rsidRPr="00157556">
        <w:rPr>
          <w:rFonts w:ascii="Calibri Light" w:hAnsi="Calibri Light" w:cs="Arial"/>
        </w:rPr>
        <w:t>“</w:t>
      </w:r>
      <w:r w:rsidRPr="00157556">
        <w:rPr>
          <w:rFonts w:ascii="Calibri Light" w:hAnsi="Calibri Light" w:cs="Arial"/>
          <w:b/>
          <w:bCs/>
        </w:rPr>
        <w:t>SEGURIDAD PÚBLICA. LA LIMITANTE TEMPORAL AL PAGO DE "Y LAS DEMÁS PRESTACIONES" QUE, CONFORME AL ARTÍCULO 123, APARTADO B, FRACCIÓN XIII, DE LA CONSTITUCIÓN POLÍTICA DE LOS ESTADOS UNIDOS MEXICANOS, CORRESPONDE A LOS MIEMBROS DE LOS CUERPOS POLICIACOS CESADOS INJUSTIFICADAMENTE, ES CONSTITUCIONAL (LEGISLACIÓN DE LOS ESTADOS DE TABASCO Y ESTADO DE MÉXICO).</w:t>
      </w:r>
      <w:r w:rsidRPr="00157556">
        <w:rPr>
          <w:rFonts w:ascii="Calibri Light" w:hAnsi="Calibri Light" w:cs="Arial"/>
        </w:rPr>
        <w:t xml:space="preserve"> En términos del artículo 116, fracción VI, en relación con el diverso precepto 123, apartado B, fracción XIII, ambos de la Constitución Política de los Estados Unidos Mexicanos, las legislaturas locales están facultadas para regular la manera en que se integra la indemnización a que tengan derecho los servidores públicos mencionados, como consecuencia del cese arbitrario de su cargo, así como para establecer el monto a pagar del concepto "y las demás prestaciones a que tenga derecho", incluso el periodo por el que deban pagarse, respetando los parámetros establecidos por la Suprema Corte de Justicia de la Nación como mínimos en la indemnización correspondiente. Ahora, si bien la Segunda Sala en la jurisprudencia 2a./J. 110/2012 (10a.), de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se pronunció en cuanto al alcance del referido concepto, dicho criterio no fijó limitante alguna a la libertad configurativa del legislador local para regular los montos o la temporalidad por la que deberían cubrirse tales prestaciones. En esa tesitura, la limitante temporal al pago de las referidas prestaciones es razonable y proporcional, en virtud de que atiende a la protección de las partidas presupuestarias fijadas para el pago de las indemnizaciones; así mismo, se trata de una medida que persigue un fin justificado y que es adecuada, así como </w:t>
      </w:r>
      <w:r w:rsidRPr="00157556">
        <w:rPr>
          <w:rFonts w:ascii="Calibri Light" w:hAnsi="Calibri Light" w:cs="Arial"/>
        </w:rPr>
        <w:lastRenderedPageBreak/>
        <w:t>proporcional para su consecución, en tanto que no se advierten efectos desmesurados en relación con el derecho de resarcimiento del servidor público.”</w:t>
      </w:r>
      <w:r w:rsidR="00B55005">
        <w:rPr>
          <w:rStyle w:val="Refdenotaalpie"/>
          <w:rFonts w:ascii="Calibri Light" w:hAnsi="Calibri Light" w:cs="Arial"/>
        </w:rPr>
        <w:footnoteReference w:id="26"/>
      </w:r>
    </w:p>
    <w:p w14:paraId="6F407CE6" w14:textId="1804869B" w:rsidR="006930AB" w:rsidRDefault="006930AB" w:rsidP="00B42799">
      <w:pPr>
        <w:pStyle w:val="Prrafodelista"/>
        <w:ind w:left="284" w:right="333"/>
        <w:jc w:val="both"/>
        <w:rPr>
          <w:rFonts w:ascii="Calibri Light" w:hAnsi="Calibri Light" w:cs="Arial"/>
        </w:rPr>
      </w:pPr>
    </w:p>
    <w:p w14:paraId="65BA9E18" w14:textId="44A360C8" w:rsidR="006708A0" w:rsidRPr="006930AB" w:rsidRDefault="006930AB" w:rsidP="006930AB">
      <w:pPr>
        <w:pStyle w:val="Prrafodelista"/>
        <w:ind w:left="284" w:right="333"/>
        <w:jc w:val="both"/>
        <w:rPr>
          <w:rFonts w:ascii="Calibri Light" w:hAnsi="Calibri Light" w:cs="Arial"/>
        </w:rPr>
      </w:pPr>
      <w:r>
        <w:rPr>
          <w:rFonts w:ascii="Calibri Light" w:hAnsi="Calibri Light" w:cs="Arial"/>
        </w:rPr>
        <w:t>“</w:t>
      </w:r>
      <w:r w:rsidRPr="006930AB">
        <w:rPr>
          <w:rFonts w:ascii="Calibri Light" w:hAnsi="Calibri Light" w:cs="Arial"/>
          <w:b/>
          <w:bCs/>
        </w:rPr>
        <w:t>SALARIOS CAÍDOS. SU PAGO POR EL PERIODO DE 12 MESES NO SE LIMITA SÓLO A LOS CASOS EN QUE SE DEMANDE EL DESPIDO INJUSTIFICADO.</w:t>
      </w:r>
      <w:r>
        <w:rPr>
          <w:rFonts w:ascii="Calibri Light" w:hAnsi="Calibri Light" w:cs="Arial"/>
        </w:rPr>
        <w:t xml:space="preserve"> </w:t>
      </w:r>
      <w:r w:rsidRPr="006930AB">
        <w:rPr>
          <w:rFonts w:ascii="Calibri Light" w:hAnsi="Calibri Light" w:cs="Arial"/>
        </w:rPr>
        <w:t>El artículo 48, párrafos primero y segundo, de la Ley Federal del Trabajo, vigente a partir del 1o. de diciembre de 2012, dispone que el trabajador podrá solicitar ante la Junta de Conciliación y Arbitraje que se le reinstale en el trabajo que desempeñaba, o que se le indemnice con el importe de 3 meses de salario, a razón del que corresponda a la fecha en que se realice el pago. Ahora bien, si en el juicio el patrón no comprueba la causa de la rescisión, el trabajador tendrá derecho a que se le paguen los salarios vencidos computados desde la fecha del despido hasta por un periodo máximo de 12 meses, cualquiera que hubiese sido la acción intentada; por tanto, la aplicación del citado numeral, respecto al pago de salarios caídos por el periodo de 12 meses, no se limita sólo a los casos en que se demande el despido injustificado, sino a cualquiera que sea el motivo del rompimiento de la relación laboral, como puede ser la rescisión del contrato de trabajo por causas imputables al patrón.</w:t>
      </w:r>
      <w:r>
        <w:rPr>
          <w:rFonts w:ascii="Calibri Light" w:hAnsi="Calibri Light" w:cs="Arial"/>
        </w:rPr>
        <w:t>”</w:t>
      </w:r>
      <w:r>
        <w:rPr>
          <w:rStyle w:val="Refdenotaalpie"/>
          <w:rFonts w:ascii="Calibri Light" w:hAnsi="Calibri Light" w:cs="Arial"/>
        </w:rPr>
        <w:footnoteReference w:id="27"/>
      </w:r>
    </w:p>
    <w:p w14:paraId="31AB7C5C" w14:textId="1A256277" w:rsidR="004F1BC4" w:rsidRPr="00B42799" w:rsidRDefault="00B42799" w:rsidP="00B42799">
      <w:pPr>
        <w:spacing w:line="360" w:lineRule="auto"/>
        <w:jc w:val="both"/>
        <w:rPr>
          <w:rFonts w:ascii="Calibri Light" w:hAnsi="Calibri Light" w:cs="Arial"/>
        </w:rPr>
      </w:pPr>
      <w:r>
        <w:rPr>
          <w:rFonts w:ascii="Arial" w:hAnsi="Arial" w:cs="Arial"/>
          <w:b/>
          <w:bCs/>
          <w:sz w:val="24"/>
          <w:szCs w:val="24"/>
        </w:rPr>
        <w:t xml:space="preserve">      </w:t>
      </w:r>
      <w:r w:rsidR="006708A0" w:rsidRPr="00B42799">
        <w:rPr>
          <w:rFonts w:ascii="Arial" w:hAnsi="Arial" w:cs="Arial"/>
          <w:b/>
          <w:bCs/>
          <w:sz w:val="24"/>
          <w:szCs w:val="24"/>
        </w:rPr>
        <w:t>Por lo que</w:t>
      </w:r>
      <w:r w:rsidR="00B55005" w:rsidRPr="00B42799">
        <w:rPr>
          <w:rFonts w:ascii="Arial" w:hAnsi="Arial" w:cs="Arial"/>
          <w:sz w:val="24"/>
          <w:szCs w:val="24"/>
        </w:rPr>
        <w:t>,</w:t>
      </w:r>
      <w:r w:rsidR="004F1BC4" w:rsidRPr="00B42799">
        <w:rPr>
          <w:rFonts w:ascii="Arial" w:hAnsi="Arial" w:cs="Arial"/>
          <w:bCs/>
          <w:color w:val="000000"/>
          <w:sz w:val="24"/>
          <w:szCs w:val="24"/>
        </w:rPr>
        <w:t xml:space="preserve"> </w:t>
      </w:r>
      <w:r w:rsidR="0059317E" w:rsidRPr="00B42799">
        <w:rPr>
          <w:rFonts w:ascii="Arial" w:hAnsi="Arial" w:cs="Arial"/>
          <w:bCs/>
          <w:color w:val="000000"/>
          <w:sz w:val="24"/>
          <w:szCs w:val="24"/>
        </w:rPr>
        <w:t xml:space="preserve">la cuantificación de la remuneración ordinaria diaria se realizará </w:t>
      </w:r>
      <w:r w:rsidR="004F1BC4" w:rsidRPr="00B42799">
        <w:rPr>
          <w:rFonts w:ascii="Arial" w:hAnsi="Arial" w:cs="Arial"/>
          <w:bCs/>
          <w:color w:val="000000"/>
          <w:sz w:val="24"/>
          <w:szCs w:val="24"/>
        </w:rPr>
        <w:t xml:space="preserve">tomando en consideración </w:t>
      </w:r>
      <w:r w:rsidR="0059317E" w:rsidRPr="00B42799">
        <w:rPr>
          <w:rFonts w:ascii="Arial" w:hAnsi="Arial" w:cs="Arial"/>
          <w:bCs/>
          <w:color w:val="000000"/>
          <w:sz w:val="24"/>
          <w:szCs w:val="24"/>
        </w:rPr>
        <w:t>12 meses, que corresponde a</w:t>
      </w:r>
      <w:r w:rsidR="004F1BC4" w:rsidRPr="00B42799">
        <w:rPr>
          <w:rFonts w:ascii="Arial" w:hAnsi="Arial" w:cs="Arial"/>
          <w:bCs/>
          <w:color w:val="000000"/>
          <w:sz w:val="24"/>
          <w:szCs w:val="24"/>
        </w:rPr>
        <w:t xml:space="preserve"> </w:t>
      </w:r>
      <w:r w:rsidR="004F1BC4" w:rsidRPr="00B42799">
        <w:rPr>
          <w:rFonts w:ascii="Arial" w:hAnsi="Arial" w:cs="Arial"/>
          <w:b/>
          <w:color w:val="000000"/>
          <w:sz w:val="24"/>
          <w:szCs w:val="24"/>
        </w:rPr>
        <w:t>365</w:t>
      </w:r>
      <w:r w:rsidR="004F1BC4" w:rsidRPr="00B42799">
        <w:rPr>
          <w:rFonts w:ascii="Arial" w:hAnsi="Arial" w:cs="Arial"/>
          <w:bCs/>
          <w:color w:val="000000"/>
          <w:sz w:val="24"/>
          <w:szCs w:val="24"/>
        </w:rPr>
        <w:t xml:space="preserve"> días, multiplicados por el salario diario establecido de </w:t>
      </w:r>
      <w:r w:rsidR="007469F7">
        <w:rPr>
          <w:rFonts w:ascii="Arial" w:hAnsi="Arial" w:cs="Arial"/>
          <w:bCs/>
          <w:color w:val="000000"/>
          <w:sz w:val="24"/>
          <w:szCs w:val="24"/>
        </w:rPr>
        <w:t>**********</w:t>
      </w:r>
      <w:r w:rsidR="004F1BC4" w:rsidRPr="00B42799">
        <w:rPr>
          <w:rFonts w:ascii="Arial" w:hAnsi="Arial" w:cs="Arial"/>
          <w:bCs/>
          <w:color w:val="000000"/>
          <w:sz w:val="24"/>
          <w:szCs w:val="24"/>
        </w:rPr>
        <w:t>, resulta</w:t>
      </w:r>
      <w:r w:rsidR="006708A0" w:rsidRPr="00B42799">
        <w:rPr>
          <w:rFonts w:ascii="Arial" w:hAnsi="Arial" w:cs="Arial"/>
          <w:bCs/>
          <w:color w:val="000000"/>
          <w:sz w:val="24"/>
          <w:szCs w:val="24"/>
        </w:rPr>
        <w:t>ndo</w:t>
      </w:r>
      <w:r w:rsidR="004F1BC4" w:rsidRPr="00B42799">
        <w:rPr>
          <w:rFonts w:ascii="Arial" w:hAnsi="Arial" w:cs="Arial"/>
          <w:bCs/>
          <w:color w:val="000000"/>
          <w:sz w:val="24"/>
          <w:szCs w:val="24"/>
        </w:rPr>
        <w:t xml:space="preserve"> un total de </w:t>
      </w:r>
      <w:r w:rsidR="007469F7">
        <w:rPr>
          <w:rFonts w:ascii="Arial" w:hAnsi="Arial" w:cs="Arial"/>
          <w:b/>
          <w:bCs/>
          <w:color w:val="000000"/>
          <w:sz w:val="24"/>
          <w:szCs w:val="24"/>
        </w:rPr>
        <w:t>**********</w:t>
      </w:r>
      <w:r w:rsidR="006708A0" w:rsidRPr="00B42799">
        <w:rPr>
          <w:rFonts w:ascii="Arial" w:hAnsi="Arial" w:cs="Arial"/>
          <w:color w:val="000000"/>
          <w:sz w:val="24"/>
          <w:szCs w:val="24"/>
        </w:rPr>
        <w:t>, cantidad fija que se deberá pagar a la actora.</w:t>
      </w:r>
    </w:p>
    <w:p w14:paraId="68F6FEDB" w14:textId="11BB5949" w:rsidR="009E5DB6" w:rsidRPr="00FB4EED" w:rsidRDefault="004F1BC4" w:rsidP="00B42799">
      <w:pPr>
        <w:pStyle w:val="Sinespaciado"/>
        <w:spacing w:after="240" w:line="360" w:lineRule="auto"/>
        <w:jc w:val="both"/>
        <w:rPr>
          <w:rFonts w:ascii="Arial" w:hAnsi="Arial" w:cs="Arial"/>
          <w:bCs/>
          <w:sz w:val="24"/>
          <w:szCs w:val="24"/>
          <w:lang w:val="es-MX"/>
        </w:rPr>
      </w:pPr>
      <w:r w:rsidRPr="00BC217D">
        <w:rPr>
          <w:rFonts w:ascii="Arial" w:hAnsi="Arial" w:cs="Arial"/>
          <w:bCs/>
          <w:sz w:val="24"/>
          <w:szCs w:val="24"/>
          <w:lang w:val="es-MX"/>
        </w:rPr>
        <w:t xml:space="preserve">    </w:t>
      </w:r>
      <w:r w:rsidR="00850DF3">
        <w:rPr>
          <w:rFonts w:ascii="Arial" w:hAnsi="Arial" w:cs="Arial"/>
          <w:bCs/>
          <w:sz w:val="24"/>
          <w:szCs w:val="24"/>
          <w:lang w:val="es-MX"/>
        </w:rPr>
        <w:t xml:space="preserve">  </w:t>
      </w:r>
      <w:r w:rsidRPr="00BC217D">
        <w:rPr>
          <w:rFonts w:ascii="Arial" w:hAnsi="Arial" w:cs="Arial"/>
          <w:b/>
          <w:sz w:val="24"/>
          <w:szCs w:val="24"/>
          <w:lang w:val="es-MX"/>
        </w:rPr>
        <w:t>Consecuentemente</w:t>
      </w:r>
      <w:r w:rsidRPr="00BC217D">
        <w:rPr>
          <w:rFonts w:ascii="Arial" w:hAnsi="Arial" w:cs="Arial"/>
          <w:bCs/>
          <w:sz w:val="24"/>
          <w:szCs w:val="24"/>
          <w:lang w:val="es-MX"/>
        </w:rPr>
        <w:t>, realizándose la cuantificación de todas de las prestaciones</w:t>
      </w:r>
      <w:r w:rsidR="007F347B">
        <w:rPr>
          <w:rFonts w:ascii="Arial" w:hAnsi="Arial" w:cs="Arial"/>
          <w:bCs/>
          <w:sz w:val="24"/>
          <w:szCs w:val="24"/>
          <w:lang w:val="es-MX"/>
        </w:rPr>
        <w:t xml:space="preserve"> condenadas, </w:t>
      </w:r>
      <w:r w:rsidR="007F347B" w:rsidRPr="007F347B">
        <w:rPr>
          <w:rFonts w:ascii="Arial" w:hAnsi="Arial" w:cs="Arial"/>
          <w:b/>
          <w:sz w:val="24"/>
          <w:szCs w:val="24"/>
          <w:lang w:val="es-MX"/>
        </w:rPr>
        <w:t>el Honorable</w:t>
      </w:r>
      <w:r w:rsidR="007F347B" w:rsidRPr="007F347B">
        <w:rPr>
          <w:rFonts w:ascii="Arial" w:hAnsi="Arial" w:cs="Arial"/>
          <w:b/>
          <w:bCs/>
          <w:sz w:val="24"/>
          <w:szCs w:val="24"/>
          <w:lang w:val="es-MX"/>
        </w:rPr>
        <w:t xml:space="preserve"> Ayuntamiento Constitucional del Municipio de La Reforma, Distrito de Putla Villa de Guerrero, Oaxaca a través de su representante legal</w:t>
      </w:r>
      <w:r w:rsidRPr="00BC217D">
        <w:rPr>
          <w:rFonts w:ascii="Arial" w:hAnsi="Arial" w:cs="Arial"/>
          <w:bCs/>
          <w:sz w:val="24"/>
          <w:szCs w:val="24"/>
          <w:lang w:val="es-MX"/>
        </w:rPr>
        <w:t xml:space="preserve"> debe pagar </w:t>
      </w:r>
      <w:r w:rsidR="007F347B">
        <w:rPr>
          <w:rFonts w:ascii="Arial" w:hAnsi="Arial" w:cs="Arial"/>
          <w:bCs/>
          <w:sz w:val="24"/>
          <w:szCs w:val="24"/>
          <w:lang w:val="es-MX"/>
        </w:rPr>
        <w:t xml:space="preserve">a favor de </w:t>
      </w:r>
      <w:r w:rsidR="007469F7">
        <w:rPr>
          <w:rFonts w:ascii="Arial" w:hAnsi="Arial" w:cs="Arial"/>
          <w:b/>
          <w:sz w:val="24"/>
          <w:szCs w:val="24"/>
          <w:lang w:val="es-MX"/>
        </w:rPr>
        <w:t>**********</w:t>
      </w:r>
      <w:r w:rsidR="00FB4EED">
        <w:rPr>
          <w:rFonts w:ascii="Arial" w:hAnsi="Arial" w:cs="Arial"/>
          <w:b/>
          <w:sz w:val="24"/>
          <w:szCs w:val="24"/>
          <w:lang w:val="es-MX"/>
        </w:rPr>
        <w:t>,</w:t>
      </w:r>
      <w:r w:rsidR="007F347B">
        <w:rPr>
          <w:rFonts w:ascii="Arial" w:hAnsi="Arial" w:cs="Arial"/>
          <w:bCs/>
          <w:sz w:val="24"/>
          <w:szCs w:val="24"/>
          <w:lang w:val="es-MX"/>
        </w:rPr>
        <w:t xml:space="preserve"> </w:t>
      </w:r>
      <w:r w:rsidR="007F347B" w:rsidRPr="007F347B">
        <w:rPr>
          <w:rFonts w:ascii="Arial" w:hAnsi="Arial" w:cs="Arial"/>
          <w:b/>
          <w:sz w:val="24"/>
          <w:szCs w:val="24"/>
          <w:lang w:val="es-MX"/>
        </w:rPr>
        <w:t xml:space="preserve">la </w:t>
      </w:r>
      <w:r w:rsidR="007F347B" w:rsidRPr="00173E4B">
        <w:rPr>
          <w:rFonts w:ascii="Arial" w:hAnsi="Arial" w:cs="Arial"/>
          <w:b/>
          <w:sz w:val="24"/>
          <w:szCs w:val="24"/>
          <w:lang w:val="es-MX"/>
        </w:rPr>
        <w:t xml:space="preserve">cantidad </w:t>
      </w:r>
      <w:r w:rsidR="00DC7736">
        <w:rPr>
          <w:rFonts w:ascii="Arial" w:hAnsi="Arial" w:cs="Arial"/>
          <w:b/>
          <w:sz w:val="24"/>
          <w:szCs w:val="24"/>
          <w:lang w:val="es-MX"/>
        </w:rPr>
        <w:t xml:space="preserve">fija </w:t>
      </w:r>
      <w:r w:rsidR="007F347B" w:rsidRPr="00173E4B">
        <w:rPr>
          <w:rFonts w:ascii="Arial" w:hAnsi="Arial" w:cs="Arial"/>
          <w:b/>
          <w:sz w:val="24"/>
          <w:szCs w:val="24"/>
          <w:lang w:val="es-MX"/>
        </w:rPr>
        <w:t>total de</w:t>
      </w:r>
      <w:r w:rsidR="007F347B" w:rsidRPr="00BC217D">
        <w:rPr>
          <w:rFonts w:ascii="Arial" w:hAnsi="Arial" w:cs="Arial"/>
          <w:bCs/>
          <w:sz w:val="24"/>
          <w:szCs w:val="24"/>
          <w:lang w:val="es-MX"/>
        </w:rPr>
        <w:t xml:space="preserve"> </w:t>
      </w:r>
      <w:r w:rsidR="007469F7">
        <w:rPr>
          <w:rFonts w:ascii="Arial" w:hAnsi="Arial" w:cs="Arial"/>
          <w:b/>
          <w:bCs/>
          <w:color w:val="000000"/>
          <w:sz w:val="24"/>
          <w:szCs w:val="24"/>
          <w:lang w:val="es-MX"/>
        </w:rPr>
        <w:t>**********</w:t>
      </w:r>
      <w:r w:rsidRPr="007F347B">
        <w:rPr>
          <w:rFonts w:ascii="Arial" w:hAnsi="Arial" w:cs="Arial"/>
          <w:bCs/>
          <w:sz w:val="24"/>
          <w:szCs w:val="24"/>
          <w:lang w:val="es-MX"/>
        </w:rPr>
        <w:t xml:space="preserve">, </w:t>
      </w:r>
      <w:r w:rsidR="007F347B" w:rsidRPr="007F347B">
        <w:rPr>
          <w:rFonts w:ascii="Arial" w:hAnsi="Arial" w:cs="Arial"/>
          <w:bCs/>
          <w:sz w:val="24"/>
          <w:szCs w:val="24"/>
          <w:lang w:val="es-MX"/>
        </w:rPr>
        <w:t>al ser la máxima autoridad de un municipio como se deduce del artículo 39 de la Constitución Política de los Estados Unidos Mexicanos, que dice que la soberanía recae en el pueblo, y en este caso la representación del pueblo dentro de un municipio se lleva a cabo por el ayuntamiento, como se deduce de lo que señalan los artículos 29</w:t>
      </w:r>
      <w:r w:rsidR="007F347B" w:rsidRPr="007F347B">
        <w:rPr>
          <w:rStyle w:val="Refdenotaalpie"/>
          <w:rFonts w:ascii="Arial" w:hAnsi="Arial" w:cs="Arial"/>
          <w:bCs/>
          <w:sz w:val="24"/>
          <w:szCs w:val="24"/>
          <w:lang w:val="es-MX"/>
        </w:rPr>
        <w:footnoteReference w:id="28"/>
      </w:r>
      <w:r w:rsidR="007F347B" w:rsidRPr="007F347B">
        <w:rPr>
          <w:rFonts w:ascii="Arial" w:hAnsi="Arial" w:cs="Arial"/>
          <w:bCs/>
          <w:sz w:val="24"/>
          <w:szCs w:val="24"/>
          <w:lang w:val="es-MX"/>
        </w:rPr>
        <w:t>,30</w:t>
      </w:r>
      <w:r w:rsidR="007F347B" w:rsidRPr="007F347B">
        <w:rPr>
          <w:rStyle w:val="Refdenotaalpie"/>
          <w:rFonts w:ascii="Arial" w:hAnsi="Arial" w:cs="Arial"/>
          <w:bCs/>
          <w:sz w:val="24"/>
          <w:szCs w:val="24"/>
          <w:lang w:val="es-MX"/>
        </w:rPr>
        <w:footnoteReference w:id="29"/>
      </w:r>
      <w:r w:rsidR="007F347B" w:rsidRPr="007F347B">
        <w:rPr>
          <w:rFonts w:ascii="Arial" w:hAnsi="Arial" w:cs="Arial"/>
          <w:bCs/>
          <w:sz w:val="24"/>
          <w:szCs w:val="24"/>
          <w:lang w:val="es-MX"/>
        </w:rPr>
        <w:t xml:space="preserve"> y 45</w:t>
      </w:r>
      <w:r w:rsidR="007F347B" w:rsidRPr="007F347B">
        <w:rPr>
          <w:rStyle w:val="Refdenotaalpie"/>
          <w:rFonts w:ascii="Arial" w:hAnsi="Arial" w:cs="Arial"/>
          <w:bCs/>
          <w:sz w:val="24"/>
          <w:szCs w:val="24"/>
          <w:lang w:val="es-MX"/>
        </w:rPr>
        <w:footnoteReference w:id="30"/>
      </w:r>
      <w:r w:rsidR="007F347B" w:rsidRPr="007F347B">
        <w:rPr>
          <w:rFonts w:ascii="Arial" w:hAnsi="Arial" w:cs="Arial"/>
          <w:bCs/>
          <w:sz w:val="24"/>
          <w:szCs w:val="24"/>
          <w:lang w:val="es-MX"/>
        </w:rPr>
        <w:t xml:space="preserve"> de la Ley Orgánica Municipal del Estado de Oaxaca</w:t>
      </w:r>
      <w:r w:rsidR="00FB4EED">
        <w:rPr>
          <w:rFonts w:ascii="Arial" w:hAnsi="Arial" w:cs="Arial"/>
          <w:bCs/>
          <w:sz w:val="24"/>
          <w:szCs w:val="24"/>
          <w:lang w:val="es-MX"/>
        </w:rPr>
        <w:t>.</w:t>
      </w:r>
    </w:p>
    <w:p w14:paraId="20F0A19B" w14:textId="665F8774" w:rsidR="00325E97" w:rsidRPr="00325E97" w:rsidRDefault="00FB4EED" w:rsidP="00B42799">
      <w:pPr>
        <w:spacing w:line="360" w:lineRule="auto"/>
        <w:jc w:val="both"/>
        <w:rPr>
          <w:rFonts w:ascii="Arial" w:hAnsi="Arial" w:cs="Arial"/>
          <w:sz w:val="24"/>
          <w:szCs w:val="24"/>
        </w:rPr>
      </w:pPr>
      <w:r>
        <w:rPr>
          <w:rFonts w:ascii="Arial" w:hAnsi="Arial" w:cs="Arial"/>
          <w:sz w:val="24"/>
          <w:szCs w:val="24"/>
        </w:rPr>
        <w:t xml:space="preserve">       </w:t>
      </w:r>
      <w:r w:rsidR="00E921EC" w:rsidRPr="00325E97">
        <w:rPr>
          <w:rFonts w:ascii="Arial" w:hAnsi="Arial" w:cs="Arial"/>
          <w:sz w:val="24"/>
          <w:szCs w:val="24"/>
        </w:rPr>
        <w:t xml:space="preserve">Finalmente, respecto a la </w:t>
      </w:r>
      <w:r w:rsidR="00FF30D0" w:rsidRPr="00325E97">
        <w:rPr>
          <w:rFonts w:ascii="Arial" w:hAnsi="Arial" w:cs="Arial"/>
          <w:sz w:val="24"/>
          <w:szCs w:val="24"/>
        </w:rPr>
        <w:t>pre</w:t>
      </w:r>
      <w:r w:rsidR="00FF30D0">
        <w:rPr>
          <w:rFonts w:ascii="Arial" w:hAnsi="Arial" w:cs="Arial"/>
          <w:sz w:val="24"/>
          <w:szCs w:val="24"/>
        </w:rPr>
        <w:t>stación</w:t>
      </w:r>
      <w:r w:rsidR="00E921EC" w:rsidRPr="00325E97">
        <w:rPr>
          <w:rFonts w:ascii="Arial" w:hAnsi="Arial" w:cs="Arial"/>
          <w:sz w:val="24"/>
          <w:szCs w:val="24"/>
        </w:rPr>
        <w:t xml:space="preserve"> solicitada por </w:t>
      </w:r>
      <w:r w:rsidR="00325E97" w:rsidRPr="00325E97">
        <w:rPr>
          <w:rFonts w:ascii="Arial" w:hAnsi="Arial" w:cs="Arial"/>
          <w:sz w:val="24"/>
          <w:szCs w:val="24"/>
        </w:rPr>
        <w:t>la</w:t>
      </w:r>
      <w:r w:rsidR="00E921EC" w:rsidRPr="00325E97">
        <w:rPr>
          <w:rFonts w:ascii="Arial" w:hAnsi="Arial" w:cs="Arial"/>
          <w:sz w:val="24"/>
          <w:szCs w:val="24"/>
        </w:rPr>
        <w:t xml:space="preserve"> accionante consistente en el </w:t>
      </w:r>
      <w:r w:rsidR="00325E97" w:rsidRPr="00D620DC">
        <w:rPr>
          <w:rFonts w:ascii="Arial" w:hAnsi="Arial" w:cs="Arial"/>
          <w:b/>
          <w:sz w:val="24"/>
          <w:szCs w:val="24"/>
        </w:rPr>
        <w:t xml:space="preserve">pago de cuatro horas </w:t>
      </w:r>
      <w:r w:rsidR="00D620DC" w:rsidRPr="00D620DC">
        <w:rPr>
          <w:rFonts w:ascii="Arial" w:hAnsi="Arial" w:cs="Arial"/>
          <w:b/>
          <w:sz w:val="24"/>
          <w:szCs w:val="24"/>
        </w:rPr>
        <w:t>extra</w:t>
      </w:r>
      <w:r w:rsidR="00D620DC">
        <w:rPr>
          <w:rFonts w:ascii="Arial" w:hAnsi="Arial" w:cs="Arial"/>
          <w:b/>
          <w:sz w:val="24"/>
          <w:szCs w:val="24"/>
        </w:rPr>
        <w:t>or</w:t>
      </w:r>
      <w:r w:rsidR="00D620DC" w:rsidRPr="00D620DC">
        <w:rPr>
          <w:rFonts w:ascii="Arial" w:hAnsi="Arial" w:cs="Arial"/>
          <w:b/>
          <w:sz w:val="24"/>
          <w:szCs w:val="24"/>
        </w:rPr>
        <w:t>dinarias</w:t>
      </w:r>
      <w:r w:rsidR="00325E97" w:rsidRPr="00325E97">
        <w:rPr>
          <w:rFonts w:ascii="Arial" w:hAnsi="Arial" w:cs="Arial"/>
          <w:sz w:val="24"/>
          <w:szCs w:val="24"/>
        </w:rPr>
        <w:t xml:space="preserve"> laboradas durante todo el tiempo que dur</w:t>
      </w:r>
      <w:r>
        <w:rPr>
          <w:rFonts w:ascii="Arial" w:hAnsi="Arial" w:cs="Arial"/>
          <w:sz w:val="24"/>
          <w:szCs w:val="24"/>
        </w:rPr>
        <w:t>ó</w:t>
      </w:r>
      <w:r w:rsidR="00325E97" w:rsidRPr="00325E97">
        <w:rPr>
          <w:rFonts w:ascii="Arial" w:hAnsi="Arial" w:cs="Arial"/>
          <w:sz w:val="24"/>
          <w:szCs w:val="24"/>
        </w:rPr>
        <w:t xml:space="preserve"> la relación laboral</w:t>
      </w:r>
      <w:r w:rsidR="00966024">
        <w:rPr>
          <w:rFonts w:ascii="Arial" w:hAnsi="Arial" w:cs="Arial"/>
          <w:sz w:val="24"/>
          <w:szCs w:val="24"/>
        </w:rPr>
        <w:t xml:space="preserve">, </w:t>
      </w:r>
      <w:r w:rsidR="00966024" w:rsidRPr="00D620DC">
        <w:rPr>
          <w:rFonts w:ascii="Arial" w:hAnsi="Arial" w:cs="Arial"/>
          <w:b/>
          <w:sz w:val="24"/>
          <w:szCs w:val="24"/>
        </w:rPr>
        <w:t>no es procedente</w:t>
      </w:r>
      <w:r w:rsidR="00966024">
        <w:rPr>
          <w:rFonts w:ascii="Arial" w:hAnsi="Arial" w:cs="Arial"/>
          <w:sz w:val="24"/>
          <w:szCs w:val="24"/>
        </w:rPr>
        <w:t xml:space="preserve">, </w:t>
      </w:r>
      <w:r w:rsidR="003B71D9">
        <w:rPr>
          <w:rFonts w:ascii="Arial" w:hAnsi="Arial" w:cs="Arial"/>
          <w:sz w:val="24"/>
          <w:szCs w:val="24"/>
        </w:rPr>
        <w:t xml:space="preserve">dado que la </w:t>
      </w:r>
      <w:r w:rsidR="00190CF5">
        <w:rPr>
          <w:rFonts w:ascii="Arial" w:hAnsi="Arial" w:cs="Arial"/>
          <w:sz w:val="24"/>
          <w:szCs w:val="24"/>
        </w:rPr>
        <w:t>Suprema</w:t>
      </w:r>
      <w:r w:rsidR="003B71D9">
        <w:rPr>
          <w:rFonts w:ascii="Arial" w:hAnsi="Arial" w:cs="Arial"/>
          <w:sz w:val="24"/>
          <w:szCs w:val="24"/>
        </w:rPr>
        <w:t xml:space="preserve"> Corte de Justicia de la </w:t>
      </w:r>
      <w:r w:rsidR="00190CF5">
        <w:rPr>
          <w:rFonts w:ascii="Arial" w:hAnsi="Arial" w:cs="Arial"/>
          <w:sz w:val="24"/>
          <w:szCs w:val="24"/>
        </w:rPr>
        <w:t>Nación</w:t>
      </w:r>
      <w:r w:rsidR="003B71D9">
        <w:rPr>
          <w:rFonts w:ascii="Arial" w:hAnsi="Arial" w:cs="Arial"/>
          <w:sz w:val="24"/>
          <w:szCs w:val="24"/>
        </w:rPr>
        <w:t xml:space="preserve"> ha </w:t>
      </w:r>
      <w:r w:rsidR="00190CF5">
        <w:rPr>
          <w:rFonts w:ascii="Arial" w:hAnsi="Arial" w:cs="Arial"/>
          <w:sz w:val="24"/>
          <w:szCs w:val="24"/>
        </w:rPr>
        <w:t>sostenido</w:t>
      </w:r>
      <w:r w:rsidR="003B71D9">
        <w:rPr>
          <w:rFonts w:ascii="Arial" w:hAnsi="Arial" w:cs="Arial"/>
          <w:sz w:val="24"/>
          <w:szCs w:val="24"/>
        </w:rPr>
        <w:t xml:space="preserve"> </w:t>
      </w:r>
      <w:r w:rsidR="00190CF5">
        <w:rPr>
          <w:rFonts w:ascii="Arial" w:hAnsi="Arial" w:cs="Arial"/>
          <w:sz w:val="24"/>
          <w:szCs w:val="24"/>
        </w:rPr>
        <w:t>reiteradamente</w:t>
      </w:r>
      <w:r w:rsidR="003B71D9">
        <w:rPr>
          <w:rFonts w:ascii="Arial" w:hAnsi="Arial" w:cs="Arial"/>
          <w:sz w:val="24"/>
          <w:szCs w:val="24"/>
        </w:rPr>
        <w:t xml:space="preserve"> que </w:t>
      </w:r>
      <w:r w:rsidR="00190CF5">
        <w:rPr>
          <w:rFonts w:ascii="Arial" w:hAnsi="Arial" w:cs="Arial"/>
          <w:sz w:val="24"/>
          <w:szCs w:val="24"/>
        </w:rPr>
        <w:t>los</w:t>
      </w:r>
      <w:r w:rsidR="003B71D9">
        <w:rPr>
          <w:rFonts w:ascii="Arial" w:hAnsi="Arial" w:cs="Arial"/>
          <w:sz w:val="24"/>
          <w:szCs w:val="24"/>
        </w:rPr>
        <w:t xml:space="preserve"> grupos constituidos por militarles, marinos, </w:t>
      </w:r>
      <w:r w:rsidR="00190CF5">
        <w:rPr>
          <w:rFonts w:ascii="Arial" w:hAnsi="Arial" w:cs="Arial"/>
          <w:sz w:val="24"/>
          <w:szCs w:val="24"/>
        </w:rPr>
        <w:t>personal</w:t>
      </w:r>
      <w:r w:rsidR="003B71D9">
        <w:rPr>
          <w:rFonts w:ascii="Arial" w:hAnsi="Arial" w:cs="Arial"/>
          <w:sz w:val="24"/>
          <w:szCs w:val="24"/>
        </w:rPr>
        <w:t xml:space="preserve"> del servicio exterior, </w:t>
      </w:r>
      <w:r w:rsidR="003B71D9">
        <w:rPr>
          <w:rFonts w:ascii="Arial" w:hAnsi="Arial" w:cs="Arial"/>
          <w:sz w:val="24"/>
          <w:szCs w:val="24"/>
        </w:rPr>
        <w:lastRenderedPageBreak/>
        <w:t xml:space="preserve">agentes del Ministerio Público, peritos y miembros de las institucionales </w:t>
      </w:r>
      <w:r w:rsidR="00190CF5">
        <w:rPr>
          <w:rFonts w:ascii="Arial" w:hAnsi="Arial" w:cs="Arial"/>
          <w:sz w:val="24"/>
          <w:szCs w:val="24"/>
        </w:rPr>
        <w:t>policiales</w:t>
      </w:r>
      <w:r w:rsidR="004A7BE3">
        <w:rPr>
          <w:rFonts w:ascii="Arial" w:hAnsi="Arial" w:cs="Arial"/>
          <w:sz w:val="24"/>
          <w:szCs w:val="24"/>
        </w:rPr>
        <w:t xml:space="preserve"> a que se refiere la fracción XIII del apartado B, del artículo 123 dela </w:t>
      </w:r>
      <w:r w:rsidR="00190CF5">
        <w:rPr>
          <w:rFonts w:ascii="Arial" w:hAnsi="Arial" w:cs="Arial"/>
          <w:sz w:val="24"/>
          <w:szCs w:val="24"/>
        </w:rPr>
        <w:t>Constitución</w:t>
      </w:r>
      <w:r w:rsidR="004A7BE3">
        <w:rPr>
          <w:rFonts w:ascii="Arial" w:hAnsi="Arial" w:cs="Arial"/>
          <w:sz w:val="24"/>
          <w:szCs w:val="24"/>
        </w:rPr>
        <w:t xml:space="preserve"> </w:t>
      </w:r>
      <w:r w:rsidR="00190CF5">
        <w:rPr>
          <w:rFonts w:ascii="Arial" w:hAnsi="Arial" w:cs="Arial"/>
          <w:sz w:val="24"/>
          <w:szCs w:val="24"/>
        </w:rPr>
        <w:t>Política</w:t>
      </w:r>
      <w:r w:rsidR="004A7BE3">
        <w:rPr>
          <w:rFonts w:ascii="Arial" w:hAnsi="Arial" w:cs="Arial"/>
          <w:sz w:val="24"/>
          <w:szCs w:val="24"/>
        </w:rPr>
        <w:t xml:space="preserve"> de los Estados Unidos </w:t>
      </w:r>
      <w:r w:rsidR="00190CF5">
        <w:rPr>
          <w:rFonts w:ascii="Arial" w:hAnsi="Arial" w:cs="Arial"/>
          <w:sz w:val="24"/>
          <w:szCs w:val="24"/>
        </w:rPr>
        <w:t>Mexicanos</w:t>
      </w:r>
      <w:r w:rsidR="004A7BE3">
        <w:rPr>
          <w:rFonts w:ascii="Arial" w:hAnsi="Arial" w:cs="Arial"/>
          <w:sz w:val="24"/>
          <w:szCs w:val="24"/>
        </w:rPr>
        <w:t xml:space="preserve">, no pueden </w:t>
      </w:r>
      <w:r w:rsidR="00190CF5">
        <w:rPr>
          <w:rFonts w:ascii="Arial" w:hAnsi="Arial" w:cs="Arial"/>
          <w:sz w:val="24"/>
          <w:szCs w:val="24"/>
        </w:rPr>
        <w:t>considerarse</w:t>
      </w:r>
      <w:r w:rsidR="004A7BE3">
        <w:rPr>
          <w:rFonts w:ascii="Arial" w:hAnsi="Arial" w:cs="Arial"/>
          <w:sz w:val="24"/>
          <w:szCs w:val="24"/>
        </w:rPr>
        <w:t xml:space="preserve"> </w:t>
      </w:r>
      <w:r w:rsidR="00190CF5">
        <w:rPr>
          <w:rFonts w:ascii="Arial" w:hAnsi="Arial" w:cs="Arial"/>
          <w:sz w:val="24"/>
          <w:szCs w:val="24"/>
        </w:rPr>
        <w:t>regulados</w:t>
      </w:r>
      <w:r w:rsidR="004A7BE3">
        <w:rPr>
          <w:rFonts w:ascii="Arial" w:hAnsi="Arial" w:cs="Arial"/>
          <w:sz w:val="24"/>
          <w:szCs w:val="24"/>
        </w:rPr>
        <w:t xml:space="preserve"> por el régimen general de trabajadores al </w:t>
      </w:r>
      <w:r w:rsidR="00190CF5">
        <w:rPr>
          <w:rFonts w:ascii="Arial" w:hAnsi="Arial" w:cs="Arial"/>
          <w:sz w:val="24"/>
          <w:szCs w:val="24"/>
        </w:rPr>
        <w:t>servicio</w:t>
      </w:r>
      <w:r w:rsidR="004A7BE3">
        <w:rPr>
          <w:rFonts w:ascii="Arial" w:hAnsi="Arial" w:cs="Arial"/>
          <w:sz w:val="24"/>
          <w:szCs w:val="24"/>
        </w:rPr>
        <w:t xml:space="preserve"> del Estado, sino que su relación </w:t>
      </w:r>
      <w:r w:rsidR="00030949">
        <w:rPr>
          <w:rFonts w:ascii="Arial" w:hAnsi="Arial" w:cs="Arial"/>
          <w:sz w:val="24"/>
          <w:szCs w:val="24"/>
        </w:rPr>
        <w:t xml:space="preserve">con el poder </w:t>
      </w:r>
      <w:r w:rsidR="00190CF5">
        <w:rPr>
          <w:rFonts w:ascii="Arial" w:hAnsi="Arial" w:cs="Arial"/>
          <w:sz w:val="24"/>
          <w:szCs w:val="24"/>
        </w:rPr>
        <w:t>público</w:t>
      </w:r>
      <w:r w:rsidR="00030949">
        <w:rPr>
          <w:rFonts w:ascii="Arial" w:hAnsi="Arial" w:cs="Arial"/>
          <w:sz w:val="24"/>
          <w:szCs w:val="24"/>
        </w:rPr>
        <w:t xml:space="preserve"> es de </w:t>
      </w:r>
      <w:r w:rsidR="00190CF5">
        <w:rPr>
          <w:rFonts w:ascii="Arial" w:hAnsi="Arial" w:cs="Arial"/>
          <w:sz w:val="24"/>
          <w:szCs w:val="24"/>
        </w:rPr>
        <w:t>naturaleza</w:t>
      </w:r>
      <w:r w:rsidR="00030949">
        <w:rPr>
          <w:rFonts w:ascii="Arial" w:hAnsi="Arial" w:cs="Arial"/>
          <w:sz w:val="24"/>
          <w:szCs w:val="24"/>
        </w:rPr>
        <w:t xml:space="preserve"> administrativa; por lo que, si bien el pago de tiempo extra</w:t>
      </w:r>
      <w:r w:rsidR="00B94B9C">
        <w:rPr>
          <w:rFonts w:ascii="Arial" w:hAnsi="Arial" w:cs="Arial"/>
          <w:sz w:val="24"/>
          <w:szCs w:val="24"/>
        </w:rPr>
        <w:t>ordinario</w:t>
      </w:r>
      <w:r w:rsidR="00030949">
        <w:rPr>
          <w:rFonts w:ascii="Arial" w:hAnsi="Arial" w:cs="Arial"/>
          <w:sz w:val="24"/>
          <w:szCs w:val="24"/>
        </w:rPr>
        <w:t xml:space="preserve"> está </w:t>
      </w:r>
      <w:r w:rsidR="00B94B9C">
        <w:rPr>
          <w:rFonts w:ascii="Arial" w:hAnsi="Arial" w:cs="Arial"/>
          <w:sz w:val="24"/>
          <w:szCs w:val="24"/>
        </w:rPr>
        <w:t>previsto</w:t>
      </w:r>
      <w:r w:rsidR="00030949">
        <w:rPr>
          <w:rFonts w:ascii="Arial" w:hAnsi="Arial" w:cs="Arial"/>
          <w:sz w:val="24"/>
          <w:szCs w:val="24"/>
        </w:rPr>
        <w:t xml:space="preserve"> como </w:t>
      </w:r>
      <w:r w:rsidR="00B94B9C">
        <w:rPr>
          <w:rFonts w:ascii="Arial" w:hAnsi="Arial" w:cs="Arial"/>
          <w:sz w:val="24"/>
          <w:szCs w:val="24"/>
        </w:rPr>
        <w:t>derecho</w:t>
      </w:r>
      <w:r w:rsidR="00030949">
        <w:rPr>
          <w:rFonts w:ascii="Arial" w:hAnsi="Arial" w:cs="Arial"/>
          <w:sz w:val="24"/>
          <w:szCs w:val="24"/>
        </w:rPr>
        <w:t xml:space="preserve"> </w:t>
      </w:r>
      <w:r w:rsidR="00B94B9C">
        <w:rPr>
          <w:rFonts w:ascii="Arial" w:hAnsi="Arial" w:cs="Arial"/>
          <w:sz w:val="24"/>
          <w:szCs w:val="24"/>
        </w:rPr>
        <w:t>constitucional</w:t>
      </w:r>
      <w:r w:rsidR="00030949">
        <w:rPr>
          <w:rFonts w:ascii="Arial" w:hAnsi="Arial" w:cs="Arial"/>
          <w:sz w:val="24"/>
          <w:szCs w:val="24"/>
        </w:rPr>
        <w:t xml:space="preserve"> para el régimen general de los trabajadores al</w:t>
      </w:r>
      <w:r w:rsidR="00B94B9C">
        <w:rPr>
          <w:rFonts w:ascii="Arial" w:hAnsi="Arial" w:cs="Arial"/>
          <w:sz w:val="24"/>
          <w:szCs w:val="24"/>
        </w:rPr>
        <w:t xml:space="preserve"> servicio</w:t>
      </w:r>
      <w:r w:rsidR="00030949">
        <w:rPr>
          <w:rFonts w:ascii="Arial" w:hAnsi="Arial" w:cs="Arial"/>
          <w:sz w:val="24"/>
          <w:szCs w:val="24"/>
        </w:rPr>
        <w:t xml:space="preserve"> del Estado</w:t>
      </w:r>
      <w:r w:rsidR="00190CF5">
        <w:rPr>
          <w:rFonts w:ascii="Arial" w:hAnsi="Arial" w:cs="Arial"/>
          <w:sz w:val="24"/>
          <w:szCs w:val="24"/>
        </w:rPr>
        <w:t xml:space="preserve">, lo </w:t>
      </w:r>
      <w:r w:rsidR="00B94B9C">
        <w:rPr>
          <w:rFonts w:ascii="Arial" w:hAnsi="Arial" w:cs="Arial"/>
          <w:sz w:val="24"/>
          <w:szCs w:val="24"/>
        </w:rPr>
        <w:t>corto</w:t>
      </w:r>
      <w:r w:rsidR="00190CF5">
        <w:rPr>
          <w:rFonts w:ascii="Arial" w:hAnsi="Arial" w:cs="Arial"/>
          <w:sz w:val="24"/>
          <w:szCs w:val="24"/>
        </w:rPr>
        <w:t xml:space="preserve"> es </w:t>
      </w:r>
      <w:r w:rsidR="00B94B9C">
        <w:rPr>
          <w:rFonts w:ascii="Arial" w:hAnsi="Arial" w:cs="Arial"/>
          <w:sz w:val="24"/>
          <w:szCs w:val="24"/>
        </w:rPr>
        <w:t>que</w:t>
      </w:r>
      <w:r w:rsidR="00190CF5">
        <w:rPr>
          <w:rFonts w:ascii="Arial" w:hAnsi="Arial" w:cs="Arial"/>
          <w:sz w:val="24"/>
          <w:szCs w:val="24"/>
        </w:rPr>
        <w:t xml:space="preserve"> no rige para los miembros de las </w:t>
      </w:r>
      <w:r w:rsidR="00B94B9C">
        <w:rPr>
          <w:rFonts w:ascii="Arial" w:hAnsi="Arial" w:cs="Arial"/>
          <w:sz w:val="24"/>
          <w:szCs w:val="24"/>
        </w:rPr>
        <w:t>instituciones</w:t>
      </w:r>
      <w:r w:rsidR="00190CF5">
        <w:rPr>
          <w:rFonts w:ascii="Arial" w:hAnsi="Arial" w:cs="Arial"/>
          <w:sz w:val="24"/>
          <w:szCs w:val="24"/>
        </w:rPr>
        <w:t xml:space="preserve"> </w:t>
      </w:r>
      <w:r w:rsidR="00B94B9C">
        <w:rPr>
          <w:rFonts w:ascii="Arial" w:hAnsi="Arial" w:cs="Arial"/>
          <w:sz w:val="24"/>
          <w:szCs w:val="24"/>
        </w:rPr>
        <w:t>policiales;</w:t>
      </w:r>
      <w:r w:rsidR="00190CF5">
        <w:rPr>
          <w:rFonts w:ascii="Arial" w:hAnsi="Arial" w:cs="Arial"/>
          <w:sz w:val="24"/>
          <w:szCs w:val="24"/>
        </w:rPr>
        <w:t xml:space="preserve"> </w:t>
      </w:r>
      <w:r w:rsidR="00B94B9C">
        <w:rPr>
          <w:rFonts w:ascii="Arial" w:hAnsi="Arial" w:cs="Arial"/>
          <w:sz w:val="24"/>
          <w:szCs w:val="24"/>
        </w:rPr>
        <w:t>como</w:t>
      </w:r>
      <w:r w:rsidR="00190CF5">
        <w:rPr>
          <w:rFonts w:ascii="Arial" w:hAnsi="Arial" w:cs="Arial"/>
          <w:sz w:val="24"/>
          <w:szCs w:val="24"/>
        </w:rPr>
        <w:t xml:space="preserve"> lo </w:t>
      </w:r>
      <w:r w:rsidR="00B94B9C">
        <w:rPr>
          <w:rFonts w:ascii="Arial" w:hAnsi="Arial" w:cs="Arial"/>
          <w:sz w:val="24"/>
          <w:szCs w:val="24"/>
        </w:rPr>
        <w:t>establece</w:t>
      </w:r>
      <w:r w:rsidR="00190CF5">
        <w:rPr>
          <w:rFonts w:ascii="Arial" w:hAnsi="Arial" w:cs="Arial"/>
          <w:sz w:val="24"/>
          <w:szCs w:val="24"/>
        </w:rPr>
        <w:t xml:space="preserve"> el siguiente </w:t>
      </w:r>
      <w:r w:rsidR="00B94B9C">
        <w:rPr>
          <w:rFonts w:ascii="Arial" w:hAnsi="Arial" w:cs="Arial"/>
          <w:sz w:val="24"/>
          <w:szCs w:val="24"/>
        </w:rPr>
        <w:t>criterio</w:t>
      </w:r>
      <w:r w:rsidR="00190CF5">
        <w:rPr>
          <w:rFonts w:ascii="Arial" w:hAnsi="Arial" w:cs="Arial"/>
          <w:sz w:val="24"/>
          <w:szCs w:val="24"/>
        </w:rPr>
        <w:t xml:space="preserve"> </w:t>
      </w:r>
      <w:r w:rsidR="00B94B9C">
        <w:rPr>
          <w:rFonts w:ascii="Arial" w:hAnsi="Arial" w:cs="Arial"/>
          <w:sz w:val="24"/>
          <w:szCs w:val="24"/>
        </w:rPr>
        <w:t>jurisprudencial</w:t>
      </w:r>
      <w:r w:rsidR="00190CF5">
        <w:rPr>
          <w:rFonts w:ascii="Arial" w:hAnsi="Arial" w:cs="Arial"/>
          <w:sz w:val="24"/>
          <w:szCs w:val="24"/>
        </w:rPr>
        <w:t>.</w:t>
      </w:r>
    </w:p>
    <w:p w14:paraId="5CCCF397" w14:textId="39EDF5D0" w:rsidR="00325E97" w:rsidRPr="0017054A" w:rsidRDefault="00E033DC" w:rsidP="00B42799">
      <w:pPr>
        <w:ind w:left="284" w:right="333"/>
        <w:jc w:val="both"/>
        <w:rPr>
          <w:rFonts w:ascii="Calibri Light" w:hAnsi="Calibri Light" w:cs="Calibri Light"/>
          <w:sz w:val="23"/>
          <w:szCs w:val="23"/>
        </w:rPr>
      </w:pPr>
      <w:r w:rsidRPr="00CA4E9A">
        <w:rPr>
          <w:rFonts w:ascii="Calibri Light" w:hAnsi="Calibri Light" w:cs="Calibri Light"/>
          <w:sz w:val="23"/>
          <w:szCs w:val="23"/>
        </w:rPr>
        <w:t>“</w:t>
      </w:r>
      <w:r w:rsidRPr="00CA4E9A">
        <w:rPr>
          <w:rFonts w:ascii="Calibri Light" w:hAnsi="Calibri Light" w:cs="Calibri Light"/>
          <w:b/>
          <w:sz w:val="23"/>
          <w:szCs w:val="23"/>
        </w:rPr>
        <w:t>HORAS DE TRABAJO EXTRAORDINARIAS. NO PROCEDE SU PAGO A LOS MIEMBROS DE LAS INSTITUCIONES POLICIALES, NI SIQUIERA BAJO UNA INTERPRETACIÓN CONFORME, CUANDO LAS RESPECTIVAS LEGISLACIONES SECUNDARIAS PROSCRIBAN ESA PRESTACIÓN</w:t>
      </w:r>
      <w:r w:rsidRPr="00CA4E9A">
        <w:rPr>
          <w:rFonts w:ascii="Calibri Light" w:hAnsi="Calibri Light" w:cs="Calibri Light"/>
          <w:sz w:val="23"/>
          <w:szCs w:val="23"/>
        </w:rPr>
        <w:t>. La Suprema Corte de Justicia de la Nación ha sostenido reiteradamente que los grupos constituidos por militares, marinos, personal del servicio exterior, agentes del Ministerio Público, peritos y miembros de las instituciones policiales a que se refiere la fracción XIII del apartado B del artículo 123 de la Constitución Política de los Estados Unidos Mexicanos, no pueden considerarse regulados por el régimen general de trabajadores al servicio del Estado, sino que su relación con el poder público es de naturaleza administrativa. Ahora, si bien el pago de tiempo extraordinario está previsto como derecho constitucional para el régimen general de los trabajadores al servicio del Estado, lo cierto es que no rige para los miembros de las instituciones policiales, por lo que las legislaciones secundarias que regulan sus relaciones laborales y que prohíben el pago de "tiempo extraordinario", no contravienen el texto constitucional ni pueden someterse a una interpretación conforme para acceder a dicha prestación, porque esas legislaciones no se conducen por los principios en materia de trabajo burocrático estatal, máxime si se atiende a que los cuerpos policiales desempeñan una importante función en la protección de la sociedad y la salvaguarda de los derechos de las personas, por lo que por las necesidades que requiere esa labor preponderante, tanto la manera en la que se determine la jornada laboral como las contraprestaciones que deben otorgarse por dicho servicio, han de atender a las características propias y exigencias inherentes a esa labor de seguridad pública, conforme lo establezcan sus propias leyes.”</w:t>
      </w:r>
      <w:r w:rsidR="00E44742">
        <w:rPr>
          <w:rStyle w:val="Refdenotaalpie"/>
          <w:rFonts w:ascii="Calibri Light" w:hAnsi="Calibri Light" w:cs="Calibri Light"/>
          <w:sz w:val="23"/>
          <w:szCs w:val="23"/>
        </w:rPr>
        <w:footnoteReference w:id="31"/>
      </w:r>
    </w:p>
    <w:p w14:paraId="30FD0EA4" w14:textId="32B9123F" w:rsidR="00E0756D" w:rsidRDefault="00E0756D" w:rsidP="004F1BC4">
      <w:pPr>
        <w:spacing w:line="360" w:lineRule="auto"/>
        <w:ind w:firstLine="567"/>
        <w:jc w:val="both"/>
        <w:rPr>
          <w:rFonts w:ascii="Arial" w:hAnsi="Arial" w:cs="Arial"/>
          <w:sz w:val="24"/>
          <w:szCs w:val="24"/>
        </w:rPr>
      </w:pPr>
      <w:r w:rsidRPr="000C2A6A">
        <w:rPr>
          <w:rFonts w:ascii="Arial" w:hAnsi="Arial" w:cs="Arial"/>
          <w:sz w:val="24"/>
          <w:szCs w:val="24"/>
        </w:rPr>
        <w:t xml:space="preserve">Además, </w:t>
      </w:r>
      <w:r w:rsidRPr="00FF30D0">
        <w:rPr>
          <w:rFonts w:ascii="Arial" w:hAnsi="Arial" w:cs="Arial"/>
          <w:b/>
          <w:sz w:val="24"/>
          <w:szCs w:val="24"/>
        </w:rPr>
        <w:t xml:space="preserve">no son </w:t>
      </w:r>
      <w:r w:rsidR="000C2A6A" w:rsidRPr="00FF30D0">
        <w:rPr>
          <w:rFonts w:ascii="Arial" w:hAnsi="Arial" w:cs="Arial"/>
          <w:b/>
          <w:sz w:val="24"/>
          <w:szCs w:val="24"/>
        </w:rPr>
        <w:t>procedentes</w:t>
      </w:r>
      <w:r w:rsidRPr="000C2A6A">
        <w:rPr>
          <w:rFonts w:ascii="Arial" w:hAnsi="Arial" w:cs="Arial"/>
          <w:sz w:val="24"/>
          <w:szCs w:val="24"/>
        </w:rPr>
        <w:t xml:space="preserve"> la</w:t>
      </w:r>
      <w:r w:rsidR="000C2A6A">
        <w:rPr>
          <w:rFonts w:ascii="Arial" w:hAnsi="Arial" w:cs="Arial"/>
          <w:sz w:val="24"/>
          <w:szCs w:val="24"/>
        </w:rPr>
        <w:t>s</w:t>
      </w:r>
      <w:r w:rsidRPr="000C2A6A">
        <w:rPr>
          <w:rFonts w:ascii="Arial" w:hAnsi="Arial" w:cs="Arial"/>
          <w:sz w:val="24"/>
          <w:szCs w:val="24"/>
        </w:rPr>
        <w:t xml:space="preserve"> prestaciones de pago de días de descanso </w:t>
      </w:r>
      <w:r w:rsidR="000C2A6A" w:rsidRPr="000C2A6A">
        <w:rPr>
          <w:rFonts w:ascii="Arial" w:hAnsi="Arial" w:cs="Arial"/>
          <w:sz w:val="24"/>
          <w:szCs w:val="24"/>
        </w:rPr>
        <w:t>semanal</w:t>
      </w:r>
      <w:r w:rsidRPr="000C2A6A">
        <w:rPr>
          <w:rFonts w:ascii="Arial" w:hAnsi="Arial" w:cs="Arial"/>
          <w:sz w:val="24"/>
          <w:szCs w:val="24"/>
        </w:rPr>
        <w:t xml:space="preserve"> y obligatorio</w:t>
      </w:r>
      <w:r w:rsidR="000E3542">
        <w:rPr>
          <w:rFonts w:ascii="Arial" w:hAnsi="Arial" w:cs="Arial"/>
          <w:sz w:val="24"/>
          <w:szCs w:val="24"/>
        </w:rPr>
        <w:t>,</w:t>
      </w:r>
      <w:r w:rsidR="000C2A6A" w:rsidRPr="000C2A6A">
        <w:rPr>
          <w:rFonts w:ascii="Arial" w:hAnsi="Arial" w:cs="Arial"/>
          <w:sz w:val="24"/>
          <w:szCs w:val="24"/>
        </w:rPr>
        <w:t xml:space="preserve"> y de media hora de comida o des</w:t>
      </w:r>
      <w:r w:rsidR="000C2A6A">
        <w:rPr>
          <w:rFonts w:ascii="Arial" w:hAnsi="Arial" w:cs="Arial"/>
          <w:sz w:val="24"/>
          <w:szCs w:val="24"/>
        </w:rPr>
        <w:t>canso</w:t>
      </w:r>
      <w:r w:rsidR="000C2A6A" w:rsidRPr="000C2A6A">
        <w:rPr>
          <w:rFonts w:ascii="Arial" w:hAnsi="Arial" w:cs="Arial"/>
          <w:sz w:val="24"/>
          <w:szCs w:val="24"/>
        </w:rPr>
        <w:t xml:space="preserve"> por cada 8 horas de jornada </w:t>
      </w:r>
      <w:r w:rsidR="00FF30D0" w:rsidRPr="000C2A6A">
        <w:rPr>
          <w:rFonts w:ascii="Arial" w:hAnsi="Arial" w:cs="Arial"/>
          <w:sz w:val="24"/>
          <w:szCs w:val="24"/>
        </w:rPr>
        <w:t>continua</w:t>
      </w:r>
      <w:r w:rsidR="000C2A6A" w:rsidRPr="000C2A6A">
        <w:rPr>
          <w:rFonts w:ascii="Arial" w:hAnsi="Arial" w:cs="Arial"/>
          <w:sz w:val="24"/>
          <w:szCs w:val="24"/>
        </w:rPr>
        <w:t xml:space="preserve">; dado que </w:t>
      </w:r>
      <w:r w:rsidR="00FF30D0">
        <w:rPr>
          <w:rFonts w:ascii="Arial" w:hAnsi="Arial" w:cs="Arial"/>
          <w:sz w:val="24"/>
          <w:szCs w:val="24"/>
        </w:rPr>
        <w:t xml:space="preserve">la actora no </w:t>
      </w:r>
      <w:r w:rsidR="000E3542">
        <w:rPr>
          <w:rFonts w:ascii="Arial" w:hAnsi="Arial" w:cs="Arial"/>
          <w:sz w:val="24"/>
          <w:szCs w:val="24"/>
        </w:rPr>
        <w:t xml:space="preserve">lo </w:t>
      </w:r>
      <w:r w:rsidR="00FF30D0">
        <w:rPr>
          <w:rFonts w:ascii="Arial" w:hAnsi="Arial" w:cs="Arial"/>
          <w:sz w:val="24"/>
          <w:szCs w:val="24"/>
        </w:rPr>
        <w:t>acredit</w:t>
      </w:r>
      <w:r w:rsidR="000E3542">
        <w:rPr>
          <w:rFonts w:ascii="Arial" w:hAnsi="Arial" w:cs="Arial"/>
          <w:sz w:val="24"/>
          <w:szCs w:val="24"/>
        </w:rPr>
        <w:t>ó</w:t>
      </w:r>
      <w:r w:rsidR="00FF30D0">
        <w:rPr>
          <w:rFonts w:ascii="Arial" w:hAnsi="Arial" w:cs="Arial"/>
          <w:sz w:val="24"/>
          <w:szCs w:val="24"/>
        </w:rPr>
        <w:t xml:space="preserve"> en el juicio</w:t>
      </w:r>
      <w:r w:rsidR="007C3738">
        <w:rPr>
          <w:rFonts w:ascii="Arial" w:hAnsi="Arial" w:cs="Arial"/>
          <w:sz w:val="24"/>
          <w:szCs w:val="24"/>
        </w:rPr>
        <w:t>. Sirve de apoyo por analogía jurídica el siguiente criterio jurisprudencial.</w:t>
      </w:r>
    </w:p>
    <w:p w14:paraId="7413572E" w14:textId="79DC5FB4" w:rsidR="0017054A" w:rsidRPr="00EC5333" w:rsidRDefault="00557CEF" w:rsidP="00FB4EED">
      <w:pPr>
        <w:ind w:left="284" w:right="333"/>
        <w:jc w:val="both"/>
        <w:rPr>
          <w:rFonts w:ascii="Calibri Light" w:hAnsi="Calibri Light" w:cs="Calibri Light"/>
          <w:sz w:val="23"/>
          <w:szCs w:val="23"/>
        </w:rPr>
      </w:pPr>
      <w:r w:rsidRPr="00EC5333">
        <w:rPr>
          <w:rFonts w:ascii="Calibri Light" w:hAnsi="Calibri Light" w:cs="Calibri Light"/>
          <w:sz w:val="23"/>
          <w:szCs w:val="23"/>
        </w:rPr>
        <w:t>“</w:t>
      </w:r>
      <w:r w:rsidRPr="00EC5333">
        <w:rPr>
          <w:rFonts w:ascii="Calibri Light" w:hAnsi="Calibri Light" w:cs="Calibri Light"/>
          <w:b/>
          <w:sz w:val="23"/>
          <w:szCs w:val="23"/>
        </w:rPr>
        <w:t>DÍAS DE DESCANSO SEMANAL Y DE DESCANSO OBLIGATORIO. CARGA DE LA PRUEBA TRATÁNDOSE DE RECLAMACIONES POR AQUEL CONCEPTO.</w:t>
      </w:r>
      <w:r w:rsidRPr="00EC5333">
        <w:rPr>
          <w:rFonts w:ascii="Calibri Light" w:hAnsi="Calibri Light" w:cs="Calibri Light"/>
          <w:sz w:val="23"/>
          <w:szCs w:val="23"/>
        </w:rPr>
        <w:t xml:space="preserve"> En atención al principio general de que quien afirma se encuentra obligado a probar, la hipótesis bajo la cual el trabajador sostiene que el patrón no le cubrió la remuneración </w:t>
      </w:r>
      <w:r w:rsidRPr="00EC5333">
        <w:rPr>
          <w:rFonts w:ascii="Calibri Light" w:hAnsi="Calibri Light" w:cs="Calibri Light"/>
          <w:sz w:val="23"/>
          <w:szCs w:val="23"/>
        </w:rPr>
        <w:lastRenderedPageBreak/>
        <w:t>correspondiente a los días de descanso semanal y de descanso obligatorio, permite estimar que el reclamo en ese sentido conlleva la afirmación de que los laboró; de manera que siempre que exista controversia, se generan dos cargas procesales basadas en el referido principio: la primera, consiste en la obligación del trabajador de demostrar que efectivamente los laboró y, la segunda, una vez justificada por el obrero la carga aludida, corresponde al patrón probar que los cubrió. Lo anterior, sin perjuicio de las facultades que el artículo 784 de la Ley Federal del Trabajo confiere a la Junta de eximir de la carga de la prueba al trabajador cuando pueda llegar a la verdad por otros medios.”</w:t>
      </w:r>
      <w:r w:rsidR="00EC5333">
        <w:rPr>
          <w:rStyle w:val="Refdenotaalpie"/>
          <w:rFonts w:ascii="Calibri Light" w:hAnsi="Calibri Light" w:cs="Calibri Light"/>
          <w:sz w:val="23"/>
          <w:szCs w:val="23"/>
        </w:rPr>
        <w:footnoteReference w:id="32"/>
      </w:r>
    </w:p>
    <w:p w14:paraId="052C5A44" w14:textId="38EE81F9" w:rsidR="004F1BC4" w:rsidRPr="0017054A" w:rsidRDefault="004F1BC4" w:rsidP="004F1BC4">
      <w:pPr>
        <w:spacing w:line="360" w:lineRule="auto"/>
        <w:ind w:firstLine="567"/>
        <w:jc w:val="both"/>
        <w:rPr>
          <w:rFonts w:ascii="Arial" w:hAnsi="Arial" w:cs="Arial"/>
          <w:sz w:val="24"/>
          <w:szCs w:val="24"/>
        </w:rPr>
      </w:pPr>
      <w:r w:rsidRPr="0017054A">
        <w:rPr>
          <w:rFonts w:ascii="Arial" w:hAnsi="Arial" w:cs="Arial"/>
          <w:sz w:val="24"/>
          <w:szCs w:val="24"/>
        </w:rPr>
        <w:t xml:space="preserve">Por lo expuesto y con fundamento en los artículos 207, y 209 de la Ley de Procedimiento y Justicia Administrativa para el Estado de Oaxaca se; </w:t>
      </w:r>
    </w:p>
    <w:p w14:paraId="118FA2FF" w14:textId="77777777" w:rsidR="004F1BC4" w:rsidRPr="0017054A" w:rsidRDefault="004F1BC4" w:rsidP="004F1BC4">
      <w:pPr>
        <w:spacing w:line="360" w:lineRule="auto"/>
        <w:ind w:firstLine="708"/>
        <w:jc w:val="center"/>
        <w:rPr>
          <w:rFonts w:ascii="Arial" w:hAnsi="Arial" w:cs="Arial"/>
          <w:b/>
          <w:sz w:val="24"/>
          <w:szCs w:val="24"/>
        </w:rPr>
      </w:pPr>
      <w:r w:rsidRPr="0017054A">
        <w:rPr>
          <w:rFonts w:ascii="Arial" w:hAnsi="Arial" w:cs="Arial"/>
          <w:b/>
          <w:sz w:val="24"/>
          <w:szCs w:val="24"/>
        </w:rPr>
        <w:t>R E S U E L V E:</w:t>
      </w:r>
    </w:p>
    <w:p w14:paraId="4E6CBE44" w14:textId="77777777" w:rsidR="004F1BC4" w:rsidRPr="0017054A" w:rsidRDefault="004F1BC4" w:rsidP="004F1BC4">
      <w:pPr>
        <w:spacing w:line="360" w:lineRule="auto"/>
        <w:ind w:firstLine="567"/>
        <w:jc w:val="both"/>
        <w:rPr>
          <w:rFonts w:ascii="Arial" w:hAnsi="Arial" w:cs="Arial"/>
          <w:sz w:val="24"/>
          <w:szCs w:val="24"/>
        </w:rPr>
      </w:pPr>
      <w:r w:rsidRPr="0017054A">
        <w:rPr>
          <w:rFonts w:ascii="Arial" w:hAnsi="Arial" w:cs="Arial"/>
          <w:b/>
          <w:sz w:val="24"/>
          <w:szCs w:val="24"/>
        </w:rPr>
        <w:t>PRIMERO</w:t>
      </w:r>
      <w:r w:rsidRPr="0017054A">
        <w:rPr>
          <w:rFonts w:ascii="Arial" w:hAnsi="Arial" w:cs="Arial"/>
          <w:b/>
          <w:bCs/>
          <w:sz w:val="24"/>
          <w:szCs w:val="24"/>
        </w:rPr>
        <w:t>.</w:t>
      </w:r>
      <w:r w:rsidRPr="0017054A">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3CCC284C" w14:textId="1B6F81CA" w:rsidR="004F1BC4" w:rsidRPr="006E0D6E" w:rsidRDefault="004F1BC4" w:rsidP="004F1BC4">
      <w:pPr>
        <w:spacing w:line="360" w:lineRule="auto"/>
        <w:ind w:firstLine="567"/>
        <w:jc w:val="both"/>
        <w:rPr>
          <w:rFonts w:ascii="Arial" w:hAnsi="Arial" w:cs="Arial"/>
          <w:sz w:val="24"/>
          <w:szCs w:val="24"/>
          <w:highlight w:val="yellow"/>
        </w:rPr>
      </w:pPr>
      <w:r w:rsidRPr="00FF7D80">
        <w:rPr>
          <w:rFonts w:ascii="Arial" w:hAnsi="Arial" w:cs="Arial"/>
          <w:b/>
          <w:sz w:val="24"/>
          <w:szCs w:val="24"/>
        </w:rPr>
        <w:t>SEGUNDO</w:t>
      </w:r>
      <w:r w:rsidRPr="00FF7D80">
        <w:rPr>
          <w:rFonts w:ascii="Arial" w:hAnsi="Arial" w:cs="Arial"/>
          <w:b/>
          <w:bCs/>
          <w:sz w:val="24"/>
          <w:szCs w:val="24"/>
        </w:rPr>
        <w:t xml:space="preserve">. </w:t>
      </w:r>
      <w:r w:rsidRPr="00FF7D80">
        <w:rPr>
          <w:rFonts w:ascii="Arial" w:hAnsi="Arial" w:cs="Arial"/>
          <w:sz w:val="24"/>
          <w:szCs w:val="24"/>
        </w:rPr>
        <w:t xml:space="preserve">Por lo expuesto en el Considerando </w:t>
      </w:r>
      <w:r w:rsidR="00B773A9" w:rsidRPr="00FF7D80">
        <w:rPr>
          <w:rFonts w:ascii="Arial" w:hAnsi="Arial" w:cs="Arial"/>
          <w:sz w:val="24"/>
          <w:szCs w:val="24"/>
        </w:rPr>
        <w:t>Octavo</w:t>
      </w:r>
      <w:r w:rsidRPr="00FF7D80">
        <w:rPr>
          <w:rFonts w:ascii="Arial" w:hAnsi="Arial" w:cs="Arial"/>
          <w:sz w:val="24"/>
          <w:szCs w:val="24"/>
        </w:rPr>
        <w:t xml:space="preserve"> de la presente sentencia, </w:t>
      </w:r>
      <w:r w:rsidR="00FF7D80" w:rsidRPr="00FF7D80">
        <w:rPr>
          <w:rFonts w:ascii="Arial" w:hAnsi="Arial" w:cs="Arial"/>
          <w:sz w:val="24"/>
          <w:szCs w:val="24"/>
        </w:rPr>
        <w:t>se declara</w:t>
      </w:r>
      <w:r w:rsidR="001C0050" w:rsidRPr="005D1B80">
        <w:rPr>
          <w:rFonts w:ascii="Arial" w:hAnsi="Arial" w:cs="Arial"/>
          <w:sz w:val="24"/>
          <w:szCs w:val="24"/>
        </w:rPr>
        <w:t xml:space="preserve"> la </w:t>
      </w:r>
      <w:r w:rsidR="001C0050" w:rsidRPr="005D1B80">
        <w:rPr>
          <w:rFonts w:ascii="Arial" w:hAnsi="Arial" w:cs="Arial"/>
          <w:b/>
          <w:sz w:val="24"/>
          <w:szCs w:val="24"/>
        </w:rPr>
        <w:t>NULIDAD LISA Y LLANA</w:t>
      </w:r>
      <w:r w:rsidR="001C0050" w:rsidRPr="005D1B80">
        <w:rPr>
          <w:rFonts w:ascii="Arial" w:hAnsi="Arial" w:cs="Arial"/>
          <w:sz w:val="24"/>
          <w:szCs w:val="24"/>
        </w:rPr>
        <w:t xml:space="preserve"> de la resolución de Despido Justificado de </w:t>
      </w:r>
      <w:r w:rsidR="007469F7">
        <w:rPr>
          <w:rFonts w:ascii="Arial" w:hAnsi="Arial" w:cs="Arial"/>
          <w:sz w:val="24"/>
          <w:szCs w:val="24"/>
        </w:rPr>
        <w:t>**********</w:t>
      </w:r>
      <w:r w:rsidR="001C0050" w:rsidRPr="005D1B80">
        <w:rPr>
          <w:rFonts w:ascii="Arial" w:hAnsi="Arial" w:cs="Arial"/>
          <w:sz w:val="24"/>
          <w:szCs w:val="24"/>
        </w:rPr>
        <w:t>, emitida por el Síndico Municipal de La Reforma, Distrito de Putla, Oaxaca, en términos de lo dispuesto en el artículo 208 fracción II de la Ley de Procedimiento y Justicia Administrativa para el Estado de Oaxaca</w:t>
      </w:r>
    </w:p>
    <w:p w14:paraId="7F32AD2B" w14:textId="147F1035" w:rsidR="004F1BC4" w:rsidRPr="003832AF" w:rsidRDefault="00FB4EED" w:rsidP="001D477D">
      <w:pPr>
        <w:pStyle w:val="Sinespaciado"/>
        <w:spacing w:after="240" w:line="360" w:lineRule="auto"/>
        <w:ind w:firstLine="567"/>
        <w:jc w:val="both"/>
        <w:rPr>
          <w:rFonts w:ascii="Arial" w:hAnsi="Arial" w:cs="Arial"/>
          <w:bCs/>
          <w:color w:val="000000"/>
          <w:sz w:val="24"/>
          <w:szCs w:val="24"/>
          <w:lang w:val="es-MX"/>
        </w:rPr>
      </w:pPr>
      <w:r w:rsidRPr="00FB4EED">
        <w:rPr>
          <w:rFonts w:ascii="Arial" w:hAnsi="Arial" w:cs="Arial"/>
          <w:b/>
          <w:sz w:val="24"/>
          <w:szCs w:val="24"/>
        </w:rPr>
        <w:t xml:space="preserve">  </w:t>
      </w:r>
      <w:r w:rsidR="004F1BC4" w:rsidRPr="00FB4EED">
        <w:rPr>
          <w:rFonts w:ascii="Arial" w:hAnsi="Arial" w:cs="Arial"/>
          <w:b/>
          <w:sz w:val="24"/>
          <w:szCs w:val="24"/>
        </w:rPr>
        <w:t xml:space="preserve">TERCERO. </w:t>
      </w:r>
      <w:r w:rsidR="004F1BC4" w:rsidRPr="00FB4EED">
        <w:rPr>
          <w:rFonts w:ascii="Arial" w:hAnsi="Arial" w:cs="Arial"/>
          <w:bCs/>
          <w:sz w:val="24"/>
          <w:szCs w:val="24"/>
        </w:rPr>
        <w:t>Se condena a</w:t>
      </w:r>
      <w:r w:rsidR="00E06DD5" w:rsidRPr="00FB4EED">
        <w:rPr>
          <w:rFonts w:ascii="Arial" w:hAnsi="Arial" w:cs="Arial"/>
          <w:bCs/>
          <w:sz w:val="24"/>
          <w:szCs w:val="24"/>
        </w:rPr>
        <w:t>l Honorable Ayuntamiento Constitucional del Municipio de la Reforma, Distrito de Putla Villa de Guerreo, Oaxaca, a través de su representante legal</w:t>
      </w:r>
      <w:r w:rsidR="004F1BC4" w:rsidRPr="00FB4EED">
        <w:rPr>
          <w:rFonts w:ascii="Arial" w:hAnsi="Arial" w:cs="Arial"/>
          <w:bCs/>
          <w:sz w:val="24"/>
          <w:szCs w:val="24"/>
        </w:rPr>
        <w:t>, para que le pague</w:t>
      </w:r>
      <w:r w:rsidR="001D32FD" w:rsidRPr="00FB4EED">
        <w:rPr>
          <w:rFonts w:ascii="Arial" w:hAnsi="Arial" w:cs="Arial"/>
          <w:bCs/>
          <w:sz w:val="24"/>
          <w:szCs w:val="24"/>
        </w:rPr>
        <w:t>n</w:t>
      </w:r>
      <w:r w:rsidR="004F1BC4" w:rsidRPr="00FB4EED">
        <w:rPr>
          <w:rFonts w:ascii="Arial" w:hAnsi="Arial" w:cs="Arial"/>
          <w:bCs/>
          <w:sz w:val="24"/>
          <w:szCs w:val="24"/>
        </w:rPr>
        <w:t xml:space="preserve"> a </w:t>
      </w:r>
      <w:r w:rsidR="00C16509">
        <w:rPr>
          <w:rFonts w:ascii="Arial" w:hAnsi="Arial" w:cs="Arial"/>
          <w:bCs/>
          <w:sz w:val="24"/>
          <w:szCs w:val="24"/>
        </w:rPr>
        <w:t>**********</w:t>
      </w:r>
      <w:r w:rsidRPr="00FB4EED">
        <w:rPr>
          <w:rFonts w:ascii="Arial" w:hAnsi="Arial" w:cs="Arial"/>
          <w:bCs/>
          <w:sz w:val="24"/>
          <w:szCs w:val="24"/>
        </w:rPr>
        <w:t xml:space="preserve"> </w:t>
      </w:r>
      <w:r w:rsidRPr="00FB4EED">
        <w:rPr>
          <w:rFonts w:ascii="Arial" w:hAnsi="Arial" w:cs="Arial"/>
          <w:b/>
          <w:sz w:val="24"/>
          <w:szCs w:val="24"/>
          <w:lang w:val="es-MX"/>
        </w:rPr>
        <w:t>la cantidad total de</w:t>
      </w:r>
      <w:r w:rsidR="00C16509">
        <w:rPr>
          <w:rFonts w:ascii="Arial" w:hAnsi="Arial" w:cs="Arial"/>
          <w:b/>
          <w:bCs/>
          <w:color w:val="000000"/>
          <w:sz w:val="24"/>
          <w:szCs w:val="24"/>
          <w:lang w:val="es-MX"/>
        </w:rPr>
        <w:t xml:space="preserve"> **********</w:t>
      </w:r>
      <w:bookmarkStart w:id="1" w:name="_GoBack"/>
      <w:bookmarkEnd w:id="1"/>
      <w:r w:rsidR="004F1BC4" w:rsidRPr="00FB4EED">
        <w:rPr>
          <w:rFonts w:ascii="Arial" w:hAnsi="Arial" w:cs="Arial"/>
          <w:bCs/>
          <w:sz w:val="24"/>
          <w:szCs w:val="24"/>
        </w:rPr>
        <w:t>, por concepto</w:t>
      </w:r>
      <w:r w:rsidR="004F1BC4" w:rsidRPr="003832AF">
        <w:rPr>
          <w:rFonts w:ascii="Arial" w:hAnsi="Arial" w:cs="Arial"/>
          <w:bCs/>
          <w:sz w:val="24"/>
          <w:szCs w:val="24"/>
        </w:rPr>
        <w:t xml:space="preserve"> de prestaciones que dejó de percibir como </w:t>
      </w:r>
      <w:r w:rsidR="00F971E2" w:rsidRPr="003832AF">
        <w:rPr>
          <w:rFonts w:ascii="Arial" w:hAnsi="Arial" w:cs="Arial"/>
          <w:bCs/>
          <w:sz w:val="24"/>
          <w:szCs w:val="24"/>
        </w:rPr>
        <w:t>Policía Municipal</w:t>
      </w:r>
      <w:r w:rsidR="004F1BC4" w:rsidRPr="003832AF">
        <w:rPr>
          <w:rFonts w:ascii="Arial" w:hAnsi="Arial" w:cs="Arial"/>
          <w:sz w:val="24"/>
          <w:szCs w:val="24"/>
        </w:rPr>
        <w:t>, en la inteligencia de que el pago se hará en forma personal y no por apoderado legal alguno</w:t>
      </w:r>
      <w:r w:rsidR="008F5193">
        <w:rPr>
          <w:rFonts w:ascii="Arial" w:hAnsi="Arial" w:cs="Arial"/>
          <w:sz w:val="24"/>
          <w:szCs w:val="24"/>
        </w:rPr>
        <w:t>.</w:t>
      </w:r>
    </w:p>
    <w:p w14:paraId="562A485A" w14:textId="77777777" w:rsidR="004F1BC4" w:rsidRPr="003832AF" w:rsidRDefault="004F1BC4" w:rsidP="004F1BC4">
      <w:pPr>
        <w:spacing w:line="360" w:lineRule="auto"/>
        <w:ind w:firstLine="567"/>
        <w:jc w:val="both"/>
        <w:rPr>
          <w:rFonts w:ascii="Arial" w:hAnsi="Arial" w:cs="Arial"/>
          <w:b/>
          <w:sz w:val="24"/>
          <w:szCs w:val="24"/>
        </w:rPr>
      </w:pPr>
      <w:r w:rsidRPr="003832AF">
        <w:rPr>
          <w:rFonts w:ascii="Arial" w:hAnsi="Arial" w:cs="Arial"/>
          <w:b/>
          <w:sz w:val="24"/>
          <w:szCs w:val="24"/>
        </w:rPr>
        <w:t>CUARTO.</w:t>
      </w:r>
      <w:r w:rsidRPr="003832AF">
        <w:rPr>
          <w:rFonts w:ascii="Arial" w:hAnsi="Arial" w:cs="Arial"/>
          <w:sz w:val="24"/>
          <w:szCs w:val="24"/>
        </w:rPr>
        <w:t xml:space="preserve"> Conforme a lo dispuesto en los artículos 172, fracción I y 173 fracciones I y II, de la Ley de Procedimiento y Justicia Administrativa para el Estado de Oaxaca, </w:t>
      </w:r>
      <w:r w:rsidRPr="003832AF">
        <w:rPr>
          <w:rFonts w:ascii="Arial" w:hAnsi="Arial" w:cs="Arial"/>
          <w:b/>
          <w:sz w:val="24"/>
          <w:szCs w:val="24"/>
        </w:rPr>
        <w:t>NOTIFÍQUESE PERSONALMENTE AL ACTOR Y POR OFICIO A LAS AUTORIDADES DEMANDADAS.</w:t>
      </w:r>
      <w:r w:rsidRPr="003832AF">
        <w:rPr>
          <w:rFonts w:ascii="Arial" w:hAnsi="Arial" w:cs="Arial"/>
          <w:sz w:val="24"/>
          <w:szCs w:val="24"/>
        </w:rPr>
        <w:t xml:space="preserve"> </w:t>
      </w:r>
      <w:r w:rsidRPr="003832AF">
        <w:rPr>
          <w:rFonts w:ascii="Arial" w:hAnsi="Arial" w:cs="Arial"/>
          <w:b/>
          <w:sz w:val="24"/>
          <w:szCs w:val="24"/>
        </w:rPr>
        <w:t>CÚMPLASE</w:t>
      </w:r>
      <w:r w:rsidRPr="003832AF">
        <w:rPr>
          <w:rFonts w:ascii="Arial" w:hAnsi="Arial" w:cs="Arial"/>
          <w:sz w:val="24"/>
          <w:szCs w:val="24"/>
        </w:rPr>
        <w:t xml:space="preserve">. </w:t>
      </w:r>
    </w:p>
    <w:p w14:paraId="0FC792B6" w14:textId="650F0518" w:rsidR="006F06A1" w:rsidRPr="006F06A1" w:rsidRDefault="004F1BC4" w:rsidP="006F06A1">
      <w:pPr>
        <w:spacing w:line="360" w:lineRule="auto"/>
        <w:ind w:firstLine="708"/>
        <w:jc w:val="both"/>
        <w:rPr>
          <w:rFonts w:ascii="Arial" w:eastAsia="Times New Roman" w:hAnsi="Arial" w:cs="Arial"/>
          <w:sz w:val="24"/>
          <w:szCs w:val="24"/>
        </w:rPr>
      </w:pPr>
      <w:r w:rsidRPr="003832AF">
        <w:rPr>
          <w:rFonts w:ascii="Arial" w:hAnsi="Arial" w:cs="Arial"/>
          <w:sz w:val="24"/>
          <w:szCs w:val="24"/>
        </w:rPr>
        <w:t xml:space="preserve">Así lo resolvió y firmó el Titular de la Primera Sala Unitaria de Primera Instancia del Tribunal de Justicia Administrativa del Estado de </w:t>
      </w:r>
      <w:r w:rsidRPr="003832AF">
        <w:rPr>
          <w:rFonts w:ascii="Arial" w:eastAsia="Times New Roman" w:hAnsi="Arial" w:cs="Arial"/>
          <w:sz w:val="24"/>
          <w:szCs w:val="24"/>
        </w:rPr>
        <w:t>Oaxaca, Magistrado Abraham Santiago Soriano, quien actúa con el Licenciado Christian Mauricio Morales Morales, Secretario de Acuerdos, que autoriza y da fe.</w:t>
      </w:r>
      <w:r>
        <w:rPr>
          <w:rFonts w:ascii="Arial" w:eastAsia="Times New Roman" w:hAnsi="Arial" w:cs="Arial"/>
          <w:sz w:val="24"/>
          <w:szCs w:val="24"/>
        </w:rPr>
        <w:t xml:space="preserve"> </w:t>
      </w:r>
      <w:r w:rsidR="006F06A1">
        <w:rPr>
          <w:rFonts w:ascii="Arial" w:eastAsia="Times New Roman" w:hAnsi="Arial" w:cs="Arial"/>
          <w:sz w:val="24"/>
          <w:szCs w:val="24"/>
        </w:rPr>
        <w:t>- - - - - - - - - - - - - - - - - - - - - - - - - - - - - - - - - - - - - - - - - - - - - - - - - - - - - -</w:t>
      </w:r>
    </w:p>
    <w:p w14:paraId="71A62CE3" w14:textId="77777777" w:rsidR="004F1BC4" w:rsidRPr="00B85053" w:rsidRDefault="004F1BC4" w:rsidP="004F1BC4">
      <w:pPr>
        <w:spacing w:line="360" w:lineRule="auto"/>
        <w:ind w:firstLine="708"/>
        <w:jc w:val="both"/>
        <w:rPr>
          <w:rFonts w:ascii="Arial" w:hAnsi="Arial" w:cs="Arial"/>
          <w:b/>
          <w:sz w:val="24"/>
          <w:szCs w:val="24"/>
        </w:rPr>
      </w:pPr>
    </w:p>
    <w:p w14:paraId="41305A67" w14:textId="77777777" w:rsidR="003B4150" w:rsidRPr="003B4150" w:rsidRDefault="003B4150" w:rsidP="003B4150">
      <w:pPr>
        <w:spacing w:line="360" w:lineRule="auto"/>
        <w:ind w:left="567" w:right="616"/>
        <w:jc w:val="both"/>
        <w:rPr>
          <w:rFonts w:ascii="Arial" w:hAnsi="Arial" w:cs="Arial"/>
          <w:sz w:val="24"/>
          <w:szCs w:val="24"/>
        </w:rPr>
      </w:pPr>
    </w:p>
    <w:p w14:paraId="3641DD38" w14:textId="09A3FB02" w:rsidR="00AE0848" w:rsidRPr="00BC59CF" w:rsidRDefault="00AE0848" w:rsidP="00BC59CF"/>
    <w:sectPr w:rsidR="00AE0848" w:rsidRPr="00BC59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EE6EC" w14:textId="77777777" w:rsidR="001539D4" w:rsidRDefault="001539D4">
      <w:pPr>
        <w:spacing w:after="0" w:line="240" w:lineRule="auto"/>
      </w:pPr>
      <w:r>
        <w:separator/>
      </w:r>
    </w:p>
  </w:endnote>
  <w:endnote w:type="continuationSeparator" w:id="0">
    <w:p w14:paraId="303331FB" w14:textId="77777777" w:rsidR="001539D4" w:rsidRDefault="0015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F4143" w14:textId="77777777" w:rsidR="001539D4" w:rsidRDefault="001539D4">
      <w:pPr>
        <w:spacing w:after="0" w:line="240" w:lineRule="auto"/>
      </w:pPr>
      <w:r>
        <w:separator/>
      </w:r>
    </w:p>
  </w:footnote>
  <w:footnote w:type="continuationSeparator" w:id="0">
    <w:p w14:paraId="5837EE8A" w14:textId="77777777" w:rsidR="001539D4" w:rsidRDefault="001539D4">
      <w:pPr>
        <w:spacing w:after="0" w:line="240" w:lineRule="auto"/>
      </w:pPr>
      <w:r>
        <w:continuationSeparator/>
      </w:r>
    </w:p>
  </w:footnote>
  <w:footnote w:id="1">
    <w:p w14:paraId="7355753B"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307F4049" w14:textId="77777777" w:rsidR="00B35579" w:rsidRPr="005B4F51" w:rsidRDefault="00B35579" w:rsidP="00B35579">
      <w:pPr>
        <w:autoSpaceDE w:val="0"/>
        <w:autoSpaceDN w:val="0"/>
        <w:adjustRightInd w:val="0"/>
        <w:spacing w:after="0" w:line="240" w:lineRule="auto"/>
        <w:jc w:val="both"/>
        <w:rPr>
          <w:rFonts w:ascii="Arial" w:hAnsi="Arial" w:cs="Arial"/>
          <w:color w:val="000000"/>
        </w:rPr>
      </w:pPr>
    </w:p>
  </w:footnote>
  <w:footnote w:id="2">
    <w:p w14:paraId="1CD20112"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F7FCD21" w14:textId="77777777" w:rsidR="00B35579" w:rsidRPr="005B4F51" w:rsidRDefault="00B35579" w:rsidP="00B35579">
      <w:pPr>
        <w:autoSpaceDE w:val="0"/>
        <w:autoSpaceDN w:val="0"/>
        <w:adjustRightInd w:val="0"/>
        <w:spacing w:after="0" w:line="240" w:lineRule="auto"/>
        <w:rPr>
          <w:rFonts w:ascii="Arial" w:hAnsi="Arial" w:cs="Arial"/>
          <w:color w:val="000000"/>
          <w:sz w:val="16"/>
          <w:szCs w:val="16"/>
        </w:rPr>
      </w:pPr>
    </w:p>
  </w:footnote>
  <w:footnote w:id="3">
    <w:p w14:paraId="24ED50AB"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3F3C7641"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5D917F86" w14:textId="77777777" w:rsidR="00977DFD" w:rsidRPr="00783542" w:rsidRDefault="00977DFD" w:rsidP="00977DFD">
      <w:pPr>
        <w:pStyle w:val="Textonotapie"/>
        <w:jc w:val="both"/>
        <w:rPr>
          <w:sz w:val="16"/>
          <w:szCs w:val="16"/>
        </w:rPr>
      </w:pPr>
      <w:r>
        <w:rPr>
          <w:rStyle w:val="Refdenotaalpie"/>
        </w:rPr>
        <w:footnoteRef/>
      </w:r>
      <w:r>
        <w:t xml:space="preserve"> </w:t>
      </w:r>
      <w:r w:rsidRPr="00783542">
        <w:rPr>
          <w:sz w:val="16"/>
          <w:szCs w:val="16"/>
        </w:rPr>
        <w:t>“</w:t>
      </w:r>
      <w:r w:rsidRPr="00783542">
        <w:rPr>
          <w:b/>
          <w:sz w:val="16"/>
          <w:szCs w:val="16"/>
        </w:rPr>
        <w:t>Artículo 11.</w:t>
      </w:r>
      <w:r w:rsidRPr="00783542">
        <w:rPr>
          <w:sz w:val="16"/>
          <w:szCs w:val="16"/>
        </w:rPr>
        <w:t xml:space="preserve"> La aplicación de la Ley corresponde a las autoridades Estatales y Municipales en la esfera de su respectiva competencia; así como sus reglamentos, convenios y acuerdos que se suscriban sobre seguridad pública y demás ordenamientos aplicables.”</w:t>
      </w:r>
    </w:p>
  </w:footnote>
  <w:footnote w:id="5">
    <w:p w14:paraId="31D625D3" w14:textId="77777777" w:rsidR="00977DFD" w:rsidRPr="00ED6BA1" w:rsidRDefault="00977DFD" w:rsidP="00977DFD">
      <w:pPr>
        <w:pStyle w:val="Textonotapie"/>
        <w:jc w:val="both"/>
        <w:rPr>
          <w:sz w:val="16"/>
          <w:szCs w:val="16"/>
        </w:rPr>
      </w:pPr>
      <w:r>
        <w:rPr>
          <w:rStyle w:val="Refdenotaalpie"/>
        </w:rPr>
        <w:footnoteRef/>
      </w:r>
      <w:r>
        <w:t xml:space="preserve"> “</w:t>
      </w:r>
      <w:r w:rsidRPr="00ED6BA1">
        <w:rPr>
          <w:b/>
          <w:sz w:val="16"/>
          <w:szCs w:val="16"/>
        </w:rPr>
        <w:t>Artículo 12.</w:t>
      </w:r>
      <w:r w:rsidRPr="00ED6BA1">
        <w:rPr>
          <w:sz w:val="16"/>
          <w:szCs w:val="16"/>
        </w:rPr>
        <w:t xml:space="preserve"> La relación jurídica existente entre los Integrantes de las Instituciones de Seguridad Pública y la dependencia a la cual se encuentren adscritos será de naturaleza administrativa, regulándose ésta bajo los lineamientos previstos en el artículo 123, Apartado B, fracción XIII, de la Constitución Federal, la Constitución Particular, la presente Ley, los reglamentos que al efecto se expidan y demás disposiciones jurídicas aplicables.”</w:t>
      </w:r>
    </w:p>
  </w:footnote>
  <w:footnote w:id="6">
    <w:p w14:paraId="721B9094" w14:textId="13F85F56" w:rsidR="006722B7" w:rsidRPr="00C00894" w:rsidRDefault="006722B7" w:rsidP="00C00894">
      <w:pPr>
        <w:pStyle w:val="Textonotapie"/>
        <w:jc w:val="both"/>
        <w:rPr>
          <w:sz w:val="16"/>
          <w:szCs w:val="16"/>
        </w:rPr>
      </w:pPr>
      <w:r>
        <w:rPr>
          <w:rStyle w:val="Refdenotaalpie"/>
        </w:rPr>
        <w:footnoteRef/>
      </w:r>
      <w:r>
        <w:t xml:space="preserve"> </w:t>
      </w:r>
      <w:r w:rsidR="0087121B" w:rsidRPr="00C00894">
        <w:rPr>
          <w:sz w:val="16"/>
          <w:szCs w:val="16"/>
        </w:rPr>
        <w:t>“</w:t>
      </w:r>
      <w:r w:rsidRPr="00C00894">
        <w:rPr>
          <w:b/>
          <w:sz w:val="16"/>
          <w:szCs w:val="16"/>
        </w:rPr>
        <w:t>ARTÍCULO 208.-</w:t>
      </w:r>
      <w:r w:rsidRPr="00C00894">
        <w:rPr>
          <w:sz w:val="16"/>
          <w:szCs w:val="16"/>
        </w:rPr>
        <w:t xml:space="preserve"> Se declarará que un acto administrativo es ilegal si de esa ilegalidad nace su</w:t>
      </w:r>
      <w:r w:rsidR="00C00894">
        <w:rPr>
          <w:sz w:val="16"/>
          <w:szCs w:val="16"/>
        </w:rPr>
        <w:t xml:space="preserve"> </w:t>
      </w:r>
      <w:r w:rsidRPr="00C00894">
        <w:rPr>
          <w:sz w:val="16"/>
          <w:szCs w:val="16"/>
        </w:rPr>
        <w:t>nulidad relativa o absoluta, cuando se demuestre alguna de las siguientes causales</w:t>
      </w:r>
      <w:r w:rsidRPr="00C00894">
        <w:rPr>
          <w:b/>
          <w:sz w:val="16"/>
          <w:szCs w:val="16"/>
        </w:rPr>
        <w:t>:</w:t>
      </w:r>
      <w:r w:rsidR="00C00894" w:rsidRPr="00C00894">
        <w:rPr>
          <w:b/>
          <w:sz w:val="16"/>
          <w:szCs w:val="16"/>
        </w:rPr>
        <w:t xml:space="preserve"> </w:t>
      </w:r>
      <w:r w:rsidRPr="00C00894">
        <w:rPr>
          <w:b/>
          <w:sz w:val="16"/>
          <w:szCs w:val="16"/>
        </w:rPr>
        <w:t>I.</w:t>
      </w:r>
      <w:r w:rsidRPr="00C00894">
        <w:rPr>
          <w:sz w:val="16"/>
          <w:szCs w:val="16"/>
        </w:rPr>
        <w:t xml:space="preserve"> Incompetencia del funcionario que lo haya ordenado, o tramitado el procedimiento del</w:t>
      </w:r>
      <w:r w:rsidR="00C00894">
        <w:rPr>
          <w:sz w:val="16"/>
          <w:szCs w:val="16"/>
        </w:rPr>
        <w:t xml:space="preserve"> </w:t>
      </w:r>
      <w:r w:rsidRPr="00C00894">
        <w:rPr>
          <w:sz w:val="16"/>
          <w:szCs w:val="16"/>
        </w:rPr>
        <w:t>que deriva la resolución impugnada;</w:t>
      </w:r>
      <w:r w:rsidR="0087121B" w:rsidRPr="00C00894">
        <w:rPr>
          <w:sz w:val="16"/>
          <w:szCs w:val="16"/>
        </w:rPr>
        <w:t xml:space="preserve"> </w:t>
      </w:r>
      <w:r w:rsidRPr="00C00894">
        <w:rPr>
          <w:b/>
          <w:sz w:val="16"/>
          <w:szCs w:val="16"/>
        </w:rPr>
        <w:t>II.</w:t>
      </w:r>
      <w:r w:rsidRPr="00C00894">
        <w:rPr>
          <w:sz w:val="16"/>
          <w:szCs w:val="16"/>
        </w:rPr>
        <w:t xml:space="preserve"> Omisión de los requisitos formales exigidos por las leyes que afecten las defensas del</w:t>
      </w:r>
      <w:r w:rsidR="0087121B" w:rsidRPr="00C00894">
        <w:rPr>
          <w:sz w:val="16"/>
          <w:szCs w:val="16"/>
        </w:rPr>
        <w:t xml:space="preserve"> </w:t>
      </w:r>
      <w:r w:rsidRPr="00C00894">
        <w:rPr>
          <w:sz w:val="16"/>
          <w:szCs w:val="16"/>
        </w:rPr>
        <w:t>particular y trasciendan al sentido de la resolución impugnada, inclusive la ausencia de</w:t>
      </w:r>
      <w:r w:rsidR="0087121B" w:rsidRPr="00C00894">
        <w:rPr>
          <w:sz w:val="16"/>
          <w:szCs w:val="16"/>
        </w:rPr>
        <w:t xml:space="preserve"> </w:t>
      </w:r>
      <w:r w:rsidRPr="00C00894">
        <w:rPr>
          <w:sz w:val="16"/>
          <w:szCs w:val="16"/>
        </w:rPr>
        <w:t>fundamento o motivación, en su caso;</w:t>
      </w:r>
      <w:r w:rsidR="0087121B" w:rsidRPr="00C00894">
        <w:rPr>
          <w:sz w:val="16"/>
          <w:szCs w:val="16"/>
        </w:rPr>
        <w:t xml:space="preserve"> </w:t>
      </w:r>
      <w:r w:rsidRPr="00C00894">
        <w:rPr>
          <w:b/>
          <w:sz w:val="16"/>
          <w:szCs w:val="16"/>
        </w:rPr>
        <w:t>III.</w:t>
      </w:r>
      <w:r w:rsidRPr="00C00894">
        <w:rPr>
          <w:sz w:val="16"/>
          <w:szCs w:val="16"/>
        </w:rPr>
        <w:t xml:space="preserve"> Vicios del procedimiento que afecten las defensas del particular y trascendencia al</w:t>
      </w:r>
      <w:r w:rsidR="0087121B" w:rsidRPr="00C00894">
        <w:rPr>
          <w:sz w:val="16"/>
          <w:szCs w:val="16"/>
        </w:rPr>
        <w:t xml:space="preserve"> </w:t>
      </w:r>
      <w:r w:rsidRPr="00C00894">
        <w:rPr>
          <w:sz w:val="16"/>
          <w:szCs w:val="16"/>
        </w:rPr>
        <w:t>sentido de la resolución impugnada;</w:t>
      </w:r>
      <w:r w:rsidR="0087121B" w:rsidRPr="00C00894">
        <w:rPr>
          <w:sz w:val="16"/>
          <w:szCs w:val="16"/>
        </w:rPr>
        <w:t xml:space="preserve"> </w:t>
      </w:r>
      <w:r w:rsidRPr="00C00894">
        <w:rPr>
          <w:b/>
          <w:sz w:val="16"/>
          <w:szCs w:val="16"/>
        </w:rPr>
        <w:t>IV.</w:t>
      </w:r>
      <w:r w:rsidRPr="00C00894">
        <w:rPr>
          <w:sz w:val="16"/>
          <w:szCs w:val="16"/>
        </w:rPr>
        <w:t xml:space="preserve"> Si los hechos que lo motivaron no se realizaron, fueron distintos o se apreciaron en</w:t>
      </w:r>
      <w:r w:rsidR="0087121B" w:rsidRPr="00C00894">
        <w:rPr>
          <w:sz w:val="16"/>
          <w:szCs w:val="16"/>
        </w:rPr>
        <w:t xml:space="preserve"> </w:t>
      </w:r>
      <w:r w:rsidRPr="00C00894">
        <w:rPr>
          <w:sz w:val="16"/>
          <w:szCs w:val="16"/>
        </w:rPr>
        <w:t>forma equivocada, o bien se dictó en contravención de las disposiciones aplicables o</w:t>
      </w:r>
      <w:r w:rsidR="0087121B" w:rsidRPr="00C00894">
        <w:rPr>
          <w:sz w:val="16"/>
          <w:szCs w:val="16"/>
        </w:rPr>
        <w:t xml:space="preserve"> </w:t>
      </w:r>
      <w:r w:rsidRPr="00C00894">
        <w:rPr>
          <w:sz w:val="16"/>
          <w:szCs w:val="16"/>
        </w:rPr>
        <w:t>se dejaron de aplicar las debidas;</w:t>
      </w:r>
      <w:r w:rsidR="0087121B" w:rsidRPr="00C00894">
        <w:rPr>
          <w:sz w:val="16"/>
          <w:szCs w:val="16"/>
        </w:rPr>
        <w:t xml:space="preserve"> </w:t>
      </w:r>
      <w:r w:rsidRPr="00C00894">
        <w:rPr>
          <w:b/>
          <w:sz w:val="16"/>
          <w:szCs w:val="16"/>
        </w:rPr>
        <w:t>V.</w:t>
      </w:r>
      <w:r w:rsidRPr="00C00894">
        <w:rPr>
          <w:sz w:val="16"/>
          <w:szCs w:val="16"/>
        </w:rPr>
        <w:t xml:space="preserve"> Cuando la</w:t>
      </w:r>
      <w:r w:rsidR="0087121B" w:rsidRPr="00C00894">
        <w:rPr>
          <w:sz w:val="16"/>
          <w:szCs w:val="16"/>
        </w:rPr>
        <w:t xml:space="preserve"> </w:t>
      </w:r>
      <w:r w:rsidRPr="00C00894">
        <w:rPr>
          <w:sz w:val="16"/>
          <w:szCs w:val="16"/>
        </w:rPr>
        <w:t>resolución administrativa dictada en ejercicio de facultades discrecionales,</w:t>
      </w:r>
      <w:r w:rsidR="0087121B" w:rsidRPr="00C00894">
        <w:rPr>
          <w:sz w:val="16"/>
          <w:szCs w:val="16"/>
        </w:rPr>
        <w:t xml:space="preserve"> </w:t>
      </w:r>
      <w:r w:rsidRPr="00C00894">
        <w:rPr>
          <w:sz w:val="16"/>
          <w:szCs w:val="16"/>
        </w:rPr>
        <w:t>no corresponda a los fines para los cuales la ley confiera dichas facultades;</w:t>
      </w:r>
      <w:r w:rsidR="0087121B" w:rsidRPr="00C00894">
        <w:rPr>
          <w:sz w:val="16"/>
          <w:szCs w:val="16"/>
        </w:rPr>
        <w:t xml:space="preserve"> </w:t>
      </w:r>
      <w:r w:rsidRPr="00C00894">
        <w:rPr>
          <w:b/>
          <w:sz w:val="16"/>
          <w:szCs w:val="16"/>
        </w:rPr>
        <w:t>VI.</w:t>
      </w:r>
      <w:r w:rsidRPr="00C00894">
        <w:rPr>
          <w:sz w:val="16"/>
          <w:szCs w:val="16"/>
        </w:rPr>
        <w:t xml:space="preserve"> Si el acto administrativo no cumple con alguno de los elementos y requisitos exigidos</w:t>
      </w:r>
      <w:r w:rsidR="0087121B" w:rsidRPr="00C00894">
        <w:rPr>
          <w:sz w:val="16"/>
          <w:szCs w:val="16"/>
        </w:rPr>
        <w:t xml:space="preserve"> </w:t>
      </w:r>
      <w:r w:rsidRPr="00C00894">
        <w:rPr>
          <w:sz w:val="16"/>
          <w:szCs w:val="16"/>
        </w:rPr>
        <w:t>en esta Ley; y</w:t>
      </w:r>
      <w:r w:rsidR="0087121B" w:rsidRPr="00C00894">
        <w:rPr>
          <w:sz w:val="16"/>
          <w:szCs w:val="16"/>
        </w:rPr>
        <w:t xml:space="preserve"> </w:t>
      </w:r>
      <w:r w:rsidRPr="00A71ACC">
        <w:rPr>
          <w:b/>
          <w:sz w:val="16"/>
          <w:szCs w:val="16"/>
        </w:rPr>
        <w:t>VII.</w:t>
      </w:r>
      <w:r w:rsidRPr="00C00894">
        <w:rPr>
          <w:sz w:val="16"/>
          <w:szCs w:val="16"/>
        </w:rPr>
        <w:t xml:space="preserve"> La condena a realizar determinado acto, dejar de hacerlo o pagar al actor, en los</w:t>
      </w:r>
      <w:r w:rsidR="0087121B" w:rsidRPr="00C00894">
        <w:rPr>
          <w:sz w:val="16"/>
          <w:szCs w:val="16"/>
        </w:rPr>
        <w:t xml:space="preserve"> </w:t>
      </w:r>
      <w:r w:rsidRPr="00C00894">
        <w:rPr>
          <w:sz w:val="16"/>
          <w:szCs w:val="16"/>
        </w:rPr>
        <w:t>términos del último párrafo del artículo 109 de la Constitución Política Federal.</w:t>
      </w:r>
    </w:p>
    <w:p w14:paraId="1FDC25C7" w14:textId="7EE2F067" w:rsidR="006722B7" w:rsidRPr="00C00894" w:rsidRDefault="006722B7" w:rsidP="00C00894">
      <w:pPr>
        <w:pStyle w:val="Textonotapie"/>
        <w:jc w:val="both"/>
        <w:rPr>
          <w:sz w:val="16"/>
          <w:szCs w:val="16"/>
        </w:rPr>
      </w:pPr>
      <w:r w:rsidRPr="00C00894">
        <w:rPr>
          <w:sz w:val="16"/>
          <w:szCs w:val="16"/>
        </w:rPr>
        <w:t>El Tribunal podrá hacer valer de oficio, por ser de orden público, la incompetencia de la autoridad</w:t>
      </w:r>
      <w:r w:rsidR="00A71ACC">
        <w:rPr>
          <w:sz w:val="16"/>
          <w:szCs w:val="16"/>
        </w:rPr>
        <w:t xml:space="preserve"> </w:t>
      </w:r>
      <w:r w:rsidRPr="00C00894">
        <w:rPr>
          <w:sz w:val="16"/>
          <w:szCs w:val="16"/>
        </w:rPr>
        <w:t>para dictar la resolución impugnada y la ausencia total o parcial de fundamentación o motivación</w:t>
      </w:r>
      <w:r w:rsidR="00A71ACC">
        <w:rPr>
          <w:sz w:val="16"/>
          <w:szCs w:val="16"/>
        </w:rPr>
        <w:t xml:space="preserve"> </w:t>
      </w:r>
      <w:r w:rsidRPr="00C00894">
        <w:rPr>
          <w:sz w:val="16"/>
          <w:szCs w:val="16"/>
        </w:rPr>
        <w:t>en dicha resolución.</w:t>
      </w:r>
      <w:r w:rsidR="00C00894" w:rsidRPr="00C00894">
        <w:rPr>
          <w:sz w:val="16"/>
          <w:szCs w:val="16"/>
        </w:rPr>
        <w:t>”</w:t>
      </w:r>
    </w:p>
  </w:footnote>
  <w:footnote w:id="7">
    <w:p w14:paraId="7ABBFD9E" w14:textId="77777777" w:rsidR="00CF4032" w:rsidRPr="00BC24D7" w:rsidRDefault="00CF4032" w:rsidP="00CF4032">
      <w:pPr>
        <w:pStyle w:val="Textonotapie"/>
        <w:jc w:val="both"/>
        <w:rPr>
          <w:sz w:val="16"/>
          <w:szCs w:val="16"/>
        </w:rPr>
      </w:pPr>
      <w:r>
        <w:rPr>
          <w:rStyle w:val="Refdenotaalpie"/>
        </w:rPr>
        <w:footnoteRef/>
      </w:r>
      <w:r>
        <w:t xml:space="preserve"> “</w:t>
      </w:r>
      <w:r w:rsidRPr="00BC24D7">
        <w:rPr>
          <w:b/>
          <w:sz w:val="16"/>
          <w:szCs w:val="16"/>
        </w:rPr>
        <w:t>Artículo 1.</w:t>
      </w:r>
      <w:r w:rsidRPr="00BC24D7">
        <w:rPr>
          <w:sz w:val="16"/>
          <w:szCs w:val="16"/>
        </w:rPr>
        <w:t xml:space="preserve"> La presente Ley es de orden público e interés social, de observancia general en el Estado de Oaxaca, y tiene como objeto establecer y desarrollar las bases de aplicación del Sistema Estatal de Seguridad Pública, y de coordinación entre el Estado y los Municipios y regular la función de seguridad pública”.</w:t>
      </w:r>
    </w:p>
  </w:footnote>
  <w:footnote w:id="8">
    <w:p w14:paraId="014D5CD3" w14:textId="7FC7FFA7" w:rsidR="00B479B0" w:rsidRPr="000F17C6" w:rsidRDefault="00B479B0" w:rsidP="000F17C6">
      <w:pPr>
        <w:pStyle w:val="Textonotapie"/>
        <w:jc w:val="both"/>
        <w:rPr>
          <w:sz w:val="16"/>
          <w:szCs w:val="16"/>
        </w:rPr>
      </w:pPr>
      <w:r>
        <w:rPr>
          <w:rStyle w:val="Refdenotaalpie"/>
        </w:rPr>
        <w:footnoteRef/>
      </w:r>
      <w:r>
        <w:t xml:space="preserve"> </w:t>
      </w:r>
      <w:r w:rsidR="000F17C6">
        <w:t>“</w:t>
      </w:r>
      <w:r w:rsidR="007C7413" w:rsidRPr="000F17C6">
        <w:rPr>
          <w:b/>
          <w:sz w:val="16"/>
          <w:szCs w:val="16"/>
        </w:rPr>
        <w:t>Artículo 7.</w:t>
      </w:r>
      <w:r w:rsidR="007C7413" w:rsidRPr="000F17C6">
        <w:rPr>
          <w:sz w:val="16"/>
          <w:szCs w:val="16"/>
        </w:rPr>
        <w:t xml:space="preserve"> Para los efectos de la presente Ley, se entiende por: (…) </w:t>
      </w:r>
      <w:r w:rsidR="007C7413" w:rsidRPr="000F17C6">
        <w:rPr>
          <w:b/>
          <w:sz w:val="16"/>
          <w:szCs w:val="16"/>
        </w:rPr>
        <w:t>XIV.</w:t>
      </w:r>
      <w:r w:rsidR="007C7413" w:rsidRPr="000F17C6">
        <w:rPr>
          <w:sz w:val="16"/>
          <w:szCs w:val="16"/>
        </w:rPr>
        <w:t xml:space="preserve"> Instituciones Policiales, a la Policía Estatal, Cuerpos de Seguridad, Vigilancia y Custodia</w:t>
      </w:r>
      <w:r w:rsidR="000F17C6" w:rsidRPr="000F17C6">
        <w:rPr>
          <w:sz w:val="16"/>
          <w:szCs w:val="16"/>
        </w:rPr>
        <w:t xml:space="preserve"> </w:t>
      </w:r>
      <w:r w:rsidR="007C7413" w:rsidRPr="000F17C6">
        <w:rPr>
          <w:sz w:val="16"/>
          <w:szCs w:val="16"/>
        </w:rPr>
        <w:t>Penitenciaria, Guías Técnicos en los Centros Especializados de Internamiento; de Detención</w:t>
      </w:r>
      <w:r w:rsidR="000F17C6" w:rsidRPr="000F17C6">
        <w:rPr>
          <w:sz w:val="16"/>
          <w:szCs w:val="16"/>
        </w:rPr>
        <w:t xml:space="preserve"> </w:t>
      </w:r>
      <w:r w:rsidR="007C7413" w:rsidRPr="000F17C6">
        <w:rPr>
          <w:sz w:val="16"/>
          <w:szCs w:val="16"/>
        </w:rPr>
        <w:t>Preventiva; del Órgano Desconcentrado Policía Auxiliar, Bancaria, Industrial y Comercial de la</w:t>
      </w:r>
      <w:r w:rsidR="000F17C6" w:rsidRPr="000F17C6">
        <w:rPr>
          <w:sz w:val="16"/>
          <w:szCs w:val="16"/>
        </w:rPr>
        <w:t xml:space="preserve"> </w:t>
      </w:r>
      <w:r w:rsidR="007C7413" w:rsidRPr="000F17C6">
        <w:rPr>
          <w:sz w:val="16"/>
          <w:szCs w:val="16"/>
        </w:rPr>
        <w:t>Secretaría de Seguridad Pública (PABIC); el Heroico Cuerpo de Bomberos; así como las demás corporaciones policiales de la Secretaría de Seguridad Pública; la Agencia Estatal de</w:t>
      </w:r>
      <w:r w:rsidR="000F17C6" w:rsidRPr="000F17C6">
        <w:rPr>
          <w:sz w:val="16"/>
          <w:szCs w:val="16"/>
        </w:rPr>
        <w:t xml:space="preserve"> </w:t>
      </w:r>
      <w:r w:rsidR="007C7413" w:rsidRPr="000F17C6">
        <w:rPr>
          <w:sz w:val="16"/>
          <w:szCs w:val="16"/>
        </w:rPr>
        <w:t>Investigaciones de la Fiscalía General del Estado de Oaxaca y las policías municipales.</w:t>
      </w:r>
      <w:r w:rsidR="000F17C6" w:rsidRPr="000F17C6">
        <w:rPr>
          <w:sz w:val="16"/>
          <w:szCs w:val="16"/>
        </w:rPr>
        <w:t xml:space="preserve"> (…)”.</w:t>
      </w:r>
    </w:p>
  </w:footnote>
  <w:footnote w:id="9">
    <w:p w14:paraId="18FDA224" w14:textId="77777777" w:rsidR="00CF4032" w:rsidRPr="00BC24D7" w:rsidRDefault="00CF4032" w:rsidP="00CF4032">
      <w:pPr>
        <w:pStyle w:val="Textonotapie"/>
        <w:jc w:val="both"/>
        <w:rPr>
          <w:sz w:val="16"/>
          <w:szCs w:val="16"/>
        </w:rPr>
      </w:pPr>
      <w:r w:rsidRPr="00BC24D7">
        <w:rPr>
          <w:rStyle w:val="Refdenotaalpie"/>
          <w:sz w:val="16"/>
          <w:szCs w:val="16"/>
        </w:rPr>
        <w:footnoteRef/>
      </w:r>
      <w:r w:rsidRPr="00BC24D7">
        <w:rPr>
          <w:sz w:val="16"/>
          <w:szCs w:val="16"/>
        </w:rPr>
        <w:t xml:space="preserve"> “</w:t>
      </w:r>
      <w:r w:rsidRPr="00BC24D7">
        <w:rPr>
          <w:b/>
          <w:sz w:val="16"/>
          <w:szCs w:val="16"/>
        </w:rPr>
        <w:t>Artículo 123.</w:t>
      </w:r>
      <w:r w:rsidRPr="00BC24D7">
        <w:rPr>
          <w:sz w:val="16"/>
          <w:szCs w:val="16"/>
        </w:rPr>
        <w:t xml:space="preserve"> Toda persona tiene derecho al trabajo digno y socialmente útil; al efecto, se promoverán la creación de empleos y la organización social de trabajo, conforma a la ley. (…) </w:t>
      </w:r>
      <w:r w:rsidRPr="00BC24D7">
        <w:rPr>
          <w:b/>
          <w:sz w:val="16"/>
          <w:szCs w:val="16"/>
        </w:rPr>
        <w:t>B.</w:t>
      </w:r>
      <w:r w:rsidRPr="00BC24D7">
        <w:rPr>
          <w:sz w:val="16"/>
          <w:szCs w:val="16"/>
        </w:rPr>
        <w:t xml:space="preserve"> Entre los Poderes de la Unión y sus trabajadores: (…) </w:t>
      </w:r>
      <w:r w:rsidRPr="00BC24D7">
        <w:rPr>
          <w:b/>
          <w:sz w:val="16"/>
          <w:szCs w:val="16"/>
        </w:rPr>
        <w:t>XIII.</w:t>
      </w:r>
      <w:r w:rsidRPr="00BC24D7">
        <w:rPr>
          <w:sz w:val="16"/>
          <w:szCs w:val="16"/>
        </w:rPr>
        <w:t xml:space="preserve"> Los militares, marinos, personal del servicio exterior, agente del Ministerio Público, perito y los miembros de las instituciones policiales, se regirán por sus propias leyes. 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si reincorporación al servicio, cualquiera que sea el resultado del juicio o medio defensa que se hubiere promovido (…)”.</w:t>
      </w:r>
    </w:p>
  </w:footnote>
  <w:footnote w:id="10">
    <w:p w14:paraId="4C47F75F" w14:textId="77F0483F" w:rsidR="001C4311" w:rsidRPr="00BC24D7" w:rsidRDefault="001C4311" w:rsidP="00BC24D7">
      <w:pPr>
        <w:pStyle w:val="Textonotapie"/>
        <w:jc w:val="both"/>
        <w:rPr>
          <w:sz w:val="16"/>
          <w:szCs w:val="16"/>
        </w:rPr>
      </w:pPr>
      <w:r>
        <w:rPr>
          <w:rStyle w:val="Refdenotaalpie"/>
        </w:rPr>
        <w:footnoteRef/>
      </w:r>
      <w:r>
        <w:t xml:space="preserve"> </w:t>
      </w:r>
      <w:r w:rsidRPr="00BC24D7">
        <w:rPr>
          <w:sz w:val="16"/>
          <w:szCs w:val="16"/>
        </w:rPr>
        <w:t>“</w:t>
      </w:r>
      <w:r w:rsidRPr="00BC24D7">
        <w:rPr>
          <w:b/>
          <w:bCs/>
          <w:sz w:val="16"/>
          <w:szCs w:val="16"/>
        </w:rPr>
        <w:t xml:space="preserve">Artículo 46.- </w:t>
      </w:r>
      <w:r w:rsidRPr="00BC24D7">
        <w:rPr>
          <w:sz w:val="16"/>
          <w:szCs w:val="16"/>
        </w:rPr>
        <w:t>El trabajador o el patrón podrá rescindir en cualquier tiempo la relación de trabajo, por causa justificada, sin incurrir en responsabilidad.</w:t>
      </w:r>
      <w:r w:rsidR="00BC24D7" w:rsidRPr="00BC24D7">
        <w:rPr>
          <w:sz w:val="16"/>
          <w:szCs w:val="16"/>
        </w:rPr>
        <w:t>”</w:t>
      </w:r>
    </w:p>
  </w:footnote>
  <w:footnote w:id="11">
    <w:p w14:paraId="71C0F083" w14:textId="420E98B5" w:rsidR="00BC24D7" w:rsidRPr="00BC24D7" w:rsidRDefault="00BC24D7" w:rsidP="00BC24D7">
      <w:pPr>
        <w:pStyle w:val="Textonotapie"/>
        <w:jc w:val="both"/>
        <w:rPr>
          <w:sz w:val="16"/>
          <w:szCs w:val="16"/>
        </w:rPr>
      </w:pPr>
      <w:r>
        <w:rPr>
          <w:rStyle w:val="Refdenotaalpie"/>
        </w:rPr>
        <w:footnoteRef/>
      </w:r>
      <w:r>
        <w:t xml:space="preserve"> </w:t>
      </w:r>
      <w:r w:rsidRPr="00BC24D7">
        <w:rPr>
          <w:sz w:val="16"/>
          <w:szCs w:val="16"/>
        </w:rPr>
        <w:t>“</w:t>
      </w:r>
      <w:r w:rsidRPr="00BC24D7">
        <w:rPr>
          <w:b/>
          <w:bCs/>
          <w:sz w:val="16"/>
          <w:szCs w:val="16"/>
        </w:rPr>
        <w:t xml:space="preserve">Artículo 47.- </w:t>
      </w:r>
      <w:r w:rsidRPr="00BC24D7">
        <w:rPr>
          <w:sz w:val="16"/>
          <w:szCs w:val="16"/>
        </w:rPr>
        <w:t>Son causas de rescisión de la relación de trabajo, sin responsabilidad para el patrón: (…).”</w:t>
      </w:r>
    </w:p>
  </w:footnote>
  <w:footnote w:id="12">
    <w:p w14:paraId="3564843F" w14:textId="3E14182F" w:rsidR="00624244" w:rsidRPr="000D75AB" w:rsidRDefault="00624244" w:rsidP="000D75AB">
      <w:pPr>
        <w:pStyle w:val="Textonotapie"/>
        <w:jc w:val="both"/>
        <w:rPr>
          <w:sz w:val="16"/>
          <w:szCs w:val="16"/>
        </w:rPr>
      </w:pPr>
      <w:r>
        <w:rPr>
          <w:rStyle w:val="Refdenotaalpie"/>
        </w:rPr>
        <w:footnoteRef/>
      </w:r>
      <w:r>
        <w:t xml:space="preserve"> </w:t>
      </w:r>
      <w:r w:rsidR="0087630F" w:rsidRPr="000D75AB">
        <w:rPr>
          <w:sz w:val="16"/>
          <w:szCs w:val="16"/>
        </w:rPr>
        <w:t>I.3o.A. J/51, publicada en la Gaceta del Semanario Judicial de la Federación, Núm. 86-2, Febrero de 1995, visible a pagina 29, de los Tribunales Colegiados de Circuito, Octava Época, Materia Administrativa, con registro digital 208075.</w:t>
      </w:r>
    </w:p>
  </w:footnote>
  <w:footnote w:id="13">
    <w:p w14:paraId="7AA5884D" w14:textId="41B24A04" w:rsidR="00DA75E6" w:rsidRDefault="00DA75E6" w:rsidP="00585D67">
      <w:pPr>
        <w:pStyle w:val="Textonotapie"/>
        <w:jc w:val="both"/>
      </w:pPr>
      <w:r>
        <w:rPr>
          <w:rStyle w:val="Refdenotaalpie"/>
        </w:rPr>
        <w:footnoteRef/>
      </w:r>
      <w:r>
        <w:t xml:space="preserve"> </w:t>
      </w:r>
      <w:r w:rsidR="00585D67" w:rsidRPr="00585D67">
        <w:rPr>
          <w:sz w:val="16"/>
          <w:szCs w:val="16"/>
        </w:rPr>
        <w:t>jurisprudencia con número de registro 170307, emitida por los Tribunales Colegiados de Circuito, publicada en el Seminario Judicial de la Federación y su Gaceta, Novena Época, Tomo XXVII, febrero de 2008, página 1964</w:t>
      </w:r>
      <w:r w:rsidR="00585D67">
        <w:rPr>
          <w:sz w:val="16"/>
          <w:szCs w:val="16"/>
        </w:rPr>
        <w:t>.</w:t>
      </w:r>
    </w:p>
  </w:footnote>
  <w:footnote w:id="14">
    <w:p w14:paraId="576C09C8" w14:textId="15504172" w:rsidR="00585D67" w:rsidRPr="00585D67" w:rsidRDefault="00585D67" w:rsidP="00585D67">
      <w:pPr>
        <w:pStyle w:val="Textonotapie"/>
        <w:jc w:val="both"/>
        <w:rPr>
          <w:sz w:val="16"/>
          <w:szCs w:val="16"/>
        </w:rPr>
      </w:pPr>
      <w:r>
        <w:rPr>
          <w:rStyle w:val="Refdenotaalpie"/>
        </w:rPr>
        <w:footnoteRef/>
      </w:r>
      <w:r>
        <w:t xml:space="preserve"> </w:t>
      </w:r>
      <w:r w:rsidRPr="00585D67">
        <w:rPr>
          <w:sz w:val="16"/>
          <w:szCs w:val="16"/>
        </w:rPr>
        <w:t>Jurisprudencia de número 173565, emitida por los Tribunales Colegiados de Circuito, publicada en el Semanario Judicial de la Federación y su Gaceta, Novena Época, tomo XXV, enero de 2007, página 2127.</w:t>
      </w:r>
    </w:p>
  </w:footnote>
  <w:footnote w:id="15">
    <w:p w14:paraId="61CC4238" w14:textId="2A13E436" w:rsidR="009241A1" w:rsidRPr="008E71BA" w:rsidRDefault="009241A1" w:rsidP="008E71BA">
      <w:pPr>
        <w:pStyle w:val="Textonotapie"/>
        <w:jc w:val="both"/>
        <w:rPr>
          <w:sz w:val="16"/>
          <w:szCs w:val="16"/>
        </w:rPr>
      </w:pPr>
      <w:r w:rsidRPr="008E71BA">
        <w:rPr>
          <w:rStyle w:val="Refdenotaalpie"/>
          <w:sz w:val="16"/>
          <w:szCs w:val="16"/>
        </w:rPr>
        <w:footnoteRef/>
      </w:r>
      <w:r w:rsidRPr="008E71BA">
        <w:rPr>
          <w:sz w:val="16"/>
          <w:szCs w:val="16"/>
        </w:rPr>
        <w:t xml:space="preserve"> P./J. 47/95, sustentada por el Pleno de la SCJN, </w:t>
      </w:r>
      <w:r w:rsidR="008E71BA" w:rsidRPr="008E71BA">
        <w:rPr>
          <w:sz w:val="16"/>
          <w:szCs w:val="16"/>
        </w:rPr>
        <w:t>Novena</w:t>
      </w:r>
      <w:r w:rsidRPr="008E71BA">
        <w:rPr>
          <w:sz w:val="16"/>
          <w:szCs w:val="16"/>
        </w:rPr>
        <w:t xml:space="preserve"> Época, del Sem</w:t>
      </w:r>
      <w:r w:rsidR="008E71BA" w:rsidRPr="008E71BA">
        <w:rPr>
          <w:sz w:val="16"/>
          <w:szCs w:val="16"/>
        </w:rPr>
        <w:t>anario</w:t>
      </w:r>
      <w:r w:rsidRPr="008E71BA">
        <w:rPr>
          <w:sz w:val="16"/>
          <w:szCs w:val="16"/>
        </w:rPr>
        <w:t xml:space="preserve"> Judicial de la </w:t>
      </w:r>
      <w:r w:rsidR="008E71BA" w:rsidRPr="008E71BA">
        <w:rPr>
          <w:sz w:val="16"/>
          <w:szCs w:val="16"/>
        </w:rPr>
        <w:t>Federación</w:t>
      </w:r>
      <w:r w:rsidRPr="008E71BA">
        <w:rPr>
          <w:sz w:val="16"/>
          <w:szCs w:val="16"/>
        </w:rPr>
        <w:t xml:space="preserve"> y su Gaceta, Tomo II</w:t>
      </w:r>
      <w:r w:rsidR="008E71BA" w:rsidRPr="008E71BA">
        <w:rPr>
          <w:sz w:val="16"/>
          <w:szCs w:val="16"/>
        </w:rPr>
        <w:t>, diciembre de 1995, con registro digital 200234.</w:t>
      </w:r>
    </w:p>
  </w:footnote>
  <w:footnote w:id="16">
    <w:p w14:paraId="6FE8683F" w14:textId="569FB291" w:rsidR="005762B4" w:rsidRPr="004D0112" w:rsidRDefault="005762B4">
      <w:pPr>
        <w:pStyle w:val="Textonotapie"/>
        <w:rPr>
          <w:sz w:val="16"/>
          <w:szCs w:val="16"/>
        </w:rPr>
      </w:pPr>
      <w:r>
        <w:rPr>
          <w:rStyle w:val="Refdenotaalpie"/>
        </w:rPr>
        <w:footnoteRef/>
      </w:r>
      <w:r>
        <w:t xml:space="preserve"> </w:t>
      </w:r>
      <w:r w:rsidR="004E45CA" w:rsidRPr="004D0112">
        <w:rPr>
          <w:sz w:val="16"/>
          <w:szCs w:val="16"/>
        </w:rPr>
        <w:t xml:space="preserve">Segunda Sala de la SCJN, Séptima Época, </w:t>
      </w:r>
      <w:r w:rsidR="004D0112" w:rsidRPr="004D0112">
        <w:rPr>
          <w:sz w:val="16"/>
          <w:szCs w:val="16"/>
        </w:rPr>
        <w:t>Semanario</w:t>
      </w:r>
      <w:r w:rsidR="004E45CA" w:rsidRPr="004D0112">
        <w:rPr>
          <w:sz w:val="16"/>
          <w:szCs w:val="16"/>
        </w:rPr>
        <w:t xml:space="preserve"> Judicial de la </w:t>
      </w:r>
      <w:r w:rsidR="004D0112" w:rsidRPr="004D0112">
        <w:rPr>
          <w:sz w:val="16"/>
          <w:szCs w:val="16"/>
        </w:rPr>
        <w:t>Federación</w:t>
      </w:r>
      <w:r w:rsidR="004E45CA" w:rsidRPr="004D0112">
        <w:rPr>
          <w:sz w:val="16"/>
          <w:szCs w:val="16"/>
        </w:rPr>
        <w:t>, del Tomo 151-156</w:t>
      </w:r>
      <w:r w:rsidR="00EC5A71" w:rsidRPr="004D0112">
        <w:rPr>
          <w:sz w:val="16"/>
          <w:szCs w:val="16"/>
        </w:rPr>
        <w:t xml:space="preserve">, publicad en la </w:t>
      </w:r>
      <w:r w:rsidR="004D0112" w:rsidRPr="004D0112">
        <w:rPr>
          <w:sz w:val="16"/>
          <w:szCs w:val="16"/>
        </w:rPr>
        <w:t>página</w:t>
      </w:r>
      <w:r w:rsidR="00EC5A71" w:rsidRPr="004D0112">
        <w:rPr>
          <w:sz w:val="16"/>
          <w:szCs w:val="16"/>
        </w:rPr>
        <w:t xml:space="preserve"> 108.</w:t>
      </w:r>
    </w:p>
  </w:footnote>
  <w:footnote w:id="17">
    <w:p w14:paraId="6FBE3E80" w14:textId="3153C503" w:rsidR="0081035F" w:rsidRPr="004D0112" w:rsidRDefault="0081035F" w:rsidP="004D0112">
      <w:pPr>
        <w:pStyle w:val="Textonotapie"/>
        <w:jc w:val="both"/>
        <w:rPr>
          <w:sz w:val="16"/>
          <w:szCs w:val="16"/>
        </w:rPr>
      </w:pPr>
      <w:r>
        <w:rPr>
          <w:rStyle w:val="Refdenotaalpie"/>
        </w:rPr>
        <w:footnoteRef/>
      </w:r>
      <w:r>
        <w:t xml:space="preserve"> </w:t>
      </w:r>
      <w:r w:rsidR="004D0112" w:rsidRPr="004D0112">
        <w:rPr>
          <w:sz w:val="16"/>
          <w:szCs w:val="16"/>
        </w:rPr>
        <w:t>“</w:t>
      </w:r>
      <w:r w:rsidRPr="004D0112">
        <w:rPr>
          <w:b/>
          <w:sz w:val="16"/>
          <w:szCs w:val="16"/>
        </w:rPr>
        <w:t>ARTÍCULO 159.-</w:t>
      </w:r>
      <w:r w:rsidRPr="004D0112">
        <w:rPr>
          <w:sz w:val="16"/>
          <w:szCs w:val="16"/>
        </w:rPr>
        <w:t xml:space="preserve"> La Seguridad Pública Municipal se regirá y prestará conforme a la Ley del Sistema Estatal de Seguridad Pública de Oaxaca.</w:t>
      </w:r>
      <w:r w:rsidR="004D0112" w:rsidRPr="004D0112">
        <w:rPr>
          <w:sz w:val="16"/>
          <w:szCs w:val="16"/>
        </w:rPr>
        <w:t>”</w:t>
      </w:r>
    </w:p>
  </w:footnote>
  <w:footnote w:id="18">
    <w:p w14:paraId="02A426CF" w14:textId="6E076B15" w:rsidR="00BD7396" w:rsidRPr="00476C45" w:rsidRDefault="00BD7396" w:rsidP="00476C45">
      <w:pPr>
        <w:pStyle w:val="Textonotapie"/>
        <w:jc w:val="both"/>
        <w:rPr>
          <w:sz w:val="16"/>
          <w:szCs w:val="16"/>
        </w:rPr>
      </w:pPr>
      <w:r>
        <w:rPr>
          <w:rStyle w:val="Refdenotaalpie"/>
        </w:rPr>
        <w:footnoteRef/>
      </w:r>
      <w:r>
        <w:t xml:space="preserve"> </w:t>
      </w:r>
      <w:r w:rsidRPr="00476C45">
        <w:rPr>
          <w:sz w:val="16"/>
          <w:szCs w:val="16"/>
        </w:rPr>
        <w:t xml:space="preserve">PC.IV.A. J/12 A emitida por el Pleno </w:t>
      </w:r>
      <w:r w:rsidR="009D591F" w:rsidRPr="00476C45">
        <w:rPr>
          <w:sz w:val="16"/>
          <w:szCs w:val="16"/>
        </w:rPr>
        <w:t xml:space="preserve">en Materia Administrativa del Cuarto Circuito, </w:t>
      </w:r>
      <w:r w:rsidR="00476C45" w:rsidRPr="00476C45">
        <w:rPr>
          <w:sz w:val="16"/>
          <w:szCs w:val="16"/>
        </w:rPr>
        <w:t>publicada</w:t>
      </w:r>
      <w:r w:rsidR="009D591F" w:rsidRPr="00476C45">
        <w:rPr>
          <w:sz w:val="16"/>
          <w:szCs w:val="16"/>
        </w:rPr>
        <w:t xml:space="preserve"> en </w:t>
      </w:r>
      <w:r w:rsidR="00476C45" w:rsidRPr="00476C45">
        <w:rPr>
          <w:sz w:val="16"/>
          <w:szCs w:val="16"/>
        </w:rPr>
        <w:t>el</w:t>
      </w:r>
      <w:r w:rsidR="009D591F" w:rsidRPr="00476C45">
        <w:rPr>
          <w:sz w:val="16"/>
          <w:szCs w:val="16"/>
        </w:rPr>
        <w:t xml:space="preserve"> S</w:t>
      </w:r>
      <w:r w:rsidR="00476C45" w:rsidRPr="00476C45">
        <w:rPr>
          <w:sz w:val="16"/>
          <w:szCs w:val="16"/>
        </w:rPr>
        <w:t>emanario Judicial</w:t>
      </w:r>
      <w:r w:rsidR="009D591F" w:rsidRPr="00476C45">
        <w:rPr>
          <w:sz w:val="16"/>
          <w:szCs w:val="16"/>
        </w:rPr>
        <w:t xml:space="preserve"> de la </w:t>
      </w:r>
      <w:r w:rsidR="00476C45" w:rsidRPr="00476C45">
        <w:rPr>
          <w:sz w:val="16"/>
          <w:szCs w:val="16"/>
        </w:rPr>
        <w:t>Federación</w:t>
      </w:r>
      <w:r w:rsidR="009D591F" w:rsidRPr="00476C45">
        <w:rPr>
          <w:sz w:val="16"/>
          <w:szCs w:val="16"/>
        </w:rPr>
        <w:t xml:space="preserve">, Décima Época, con </w:t>
      </w:r>
      <w:r w:rsidR="00476C45" w:rsidRPr="00476C45">
        <w:rPr>
          <w:sz w:val="16"/>
          <w:szCs w:val="16"/>
        </w:rPr>
        <w:t>registro</w:t>
      </w:r>
      <w:r w:rsidR="009D591F" w:rsidRPr="00476C45">
        <w:rPr>
          <w:sz w:val="16"/>
          <w:szCs w:val="16"/>
        </w:rPr>
        <w:t xml:space="preserve"> digital 2008886.</w:t>
      </w:r>
    </w:p>
  </w:footnote>
  <w:footnote w:id="19">
    <w:p w14:paraId="7964B127" w14:textId="77777777" w:rsidR="00BC6B2F" w:rsidRPr="001D351D" w:rsidRDefault="00BC6B2F" w:rsidP="005D1B80">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II. Omisión de los requisitos formales exigidos por las leyes que afecten las defensas del particular y trasciendan al sentido de la resolución impugnada, inclusive la ausencia de fundamento o motivación, en su caso;</w:t>
      </w:r>
    </w:p>
  </w:footnote>
  <w:footnote w:id="20">
    <w:p w14:paraId="672B751C" w14:textId="6B12BE93" w:rsidR="00765B20" w:rsidRPr="008C7738" w:rsidRDefault="00765B20" w:rsidP="008C7738">
      <w:pPr>
        <w:pStyle w:val="Textonotapie"/>
        <w:jc w:val="both"/>
        <w:rPr>
          <w:sz w:val="16"/>
          <w:szCs w:val="16"/>
        </w:rPr>
      </w:pPr>
      <w:r>
        <w:rPr>
          <w:rStyle w:val="Refdenotaalpie"/>
        </w:rPr>
        <w:footnoteRef/>
      </w:r>
      <w:r>
        <w:t xml:space="preserve"> </w:t>
      </w:r>
      <w:r w:rsidRPr="008C7738">
        <w:rPr>
          <w:sz w:val="16"/>
          <w:szCs w:val="16"/>
        </w:rPr>
        <w:t>“</w:t>
      </w:r>
      <w:r w:rsidRPr="008C7738">
        <w:rPr>
          <w:b/>
          <w:sz w:val="16"/>
          <w:szCs w:val="16"/>
        </w:rPr>
        <w:t>Artículo 113</w:t>
      </w:r>
      <w:r w:rsidRPr="008C7738">
        <w:rPr>
          <w:sz w:val="16"/>
          <w:szCs w:val="16"/>
        </w:rPr>
        <w:t>. Si la autoridad jurisdiccional resolviere que la remoción fue injustificada, el Estado o los Municipios, sólo estarán obligados a pagar la indemnización y demás prestaciones a que tenga derecho, sin que en ningún caso proceda su reincorporación al servicio, cualquiera que sea el resultado del juicio o medio de defensa que se hubiere promovido.</w:t>
      </w:r>
      <w:r w:rsidR="008C7738" w:rsidRPr="008C7738">
        <w:rPr>
          <w:sz w:val="16"/>
          <w:szCs w:val="16"/>
        </w:rPr>
        <w:t>”</w:t>
      </w:r>
    </w:p>
  </w:footnote>
  <w:footnote w:id="21">
    <w:p w14:paraId="2FBF6783" w14:textId="77777777" w:rsidR="003B4150" w:rsidRPr="001D351D" w:rsidRDefault="003B4150" w:rsidP="005D1B80">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Rubro 164225</w:t>
      </w:r>
    </w:p>
    <w:p w14:paraId="5CF2D6B1" w14:textId="77777777" w:rsidR="003B4150" w:rsidRPr="001D351D" w:rsidRDefault="003B4150" w:rsidP="003B4150">
      <w:pPr>
        <w:pStyle w:val="Textonotapie"/>
        <w:jc w:val="both"/>
        <w:rPr>
          <w:rFonts w:ascii="Arial" w:hAnsi="Arial" w:cs="Arial"/>
          <w:b/>
          <w:sz w:val="16"/>
          <w:szCs w:val="16"/>
        </w:rPr>
      </w:pPr>
      <w:r>
        <w:rPr>
          <w:rFonts w:ascii="Arial" w:hAnsi="Arial" w:cs="Arial"/>
          <w:b/>
          <w:sz w:val="16"/>
          <w:szCs w:val="16"/>
        </w:rPr>
        <w:t>“</w:t>
      </w:r>
      <w:r w:rsidRPr="001D351D">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14:paraId="6B2336CA" w14:textId="77777777" w:rsidR="003B4150" w:rsidRDefault="003B4150" w:rsidP="003B4150">
      <w:pPr>
        <w:pStyle w:val="Textonotapie"/>
        <w:jc w:val="both"/>
      </w:pPr>
      <w:r w:rsidRPr="001D351D">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r>
        <w:rPr>
          <w:rFonts w:ascii="Arial" w:hAnsi="Arial" w:cs="Arial"/>
          <w:sz w:val="16"/>
          <w:szCs w:val="16"/>
        </w:rPr>
        <w:t>”</w:t>
      </w:r>
    </w:p>
  </w:footnote>
  <w:footnote w:id="22">
    <w:p w14:paraId="34B32744" w14:textId="77777777" w:rsidR="004F1BC4" w:rsidRPr="009B2DC9" w:rsidRDefault="004F1BC4" w:rsidP="0027337A">
      <w:pPr>
        <w:pStyle w:val="Textonotapie"/>
        <w:jc w:val="both"/>
        <w:rPr>
          <w:sz w:val="16"/>
          <w:szCs w:val="16"/>
        </w:rPr>
      </w:pPr>
      <w:r>
        <w:rPr>
          <w:rStyle w:val="Refdenotaalpie"/>
        </w:rPr>
        <w:footnoteRef/>
      </w:r>
      <w:r>
        <w:t xml:space="preserve"> </w:t>
      </w:r>
      <w:r w:rsidRPr="009B2DC9">
        <w:rPr>
          <w:sz w:val="16"/>
          <w:szCs w:val="16"/>
        </w:rPr>
        <w:t>2a./J. 109/2012 emitida por la Segunda Sala de la SCJN, publicada en la Décima Época de la Gaceta del Semanario Judicial de la Federación, Libro XII, Septiembre de 2012, Tomo 2, página 616, con registro digital 2001768.</w:t>
      </w:r>
    </w:p>
  </w:footnote>
  <w:footnote w:id="23">
    <w:p w14:paraId="57F61D0A" w14:textId="77777777" w:rsidR="004F1BC4" w:rsidRPr="00D352A6" w:rsidRDefault="004F1BC4" w:rsidP="004F1BC4">
      <w:pPr>
        <w:pStyle w:val="Textonotapie"/>
        <w:jc w:val="both"/>
        <w:rPr>
          <w:sz w:val="18"/>
          <w:szCs w:val="18"/>
        </w:rPr>
      </w:pPr>
      <w:r>
        <w:rPr>
          <w:rStyle w:val="Refdenotaalpie"/>
        </w:rPr>
        <w:footnoteRef/>
      </w:r>
      <w:r w:rsidRPr="00D352A6">
        <w:rPr>
          <w:sz w:val="18"/>
          <w:szCs w:val="18"/>
        </w:rPr>
        <w:t>109/2012 (10ª) aprobada por la Segunda Sala de la Suprema Corte de Justicia de la Nación en sesión privada de 29 veintinueve de agosto de 2012 dos mil doce, y que está publicada en el Semanario Judicial de la Federación y su Gaceta, bajo el Libro XII, de septiembre de 2012, Tomo 2 y que está visible a página 616, con registro digital 2001768.</w:t>
      </w:r>
    </w:p>
  </w:footnote>
  <w:footnote w:id="24">
    <w:p w14:paraId="56E76D02" w14:textId="77777777" w:rsidR="004F1BC4" w:rsidRPr="000E4884" w:rsidRDefault="004F1BC4" w:rsidP="004F1BC4">
      <w:pPr>
        <w:pStyle w:val="Textonotapie"/>
        <w:jc w:val="both"/>
        <w:rPr>
          <w:sz w:val="16"/>
          <w:szCs w:val="16"/>
        </w:rPr>
      </w:pPr>
      <w:r w:rsidRPr="00EB3778">
        <w:rPr>
          <w:rStyle w:val="Refdenotaalpie"/>
          <w:sz w:val="18"/>
          <w:szCs w:val="18"/>
        </w:rPr>
        <w:footnoteRef/>
      </w:r>
      <w:r w:rsidRPr="00EB3778">
        <w:rPr>
          <w:sz w:val="18"/>
          <w:szCs w:val="18"/>
        </w:rPr>
        <w:t xml:space="preserve"> </w:t>
      </w:r>
      <w:r w:rsidRPr="000E4884">
        <w:rPr>
          <w:sz w:val="16"/>
          <w:szCs w:val="16"/>
        </w:rPr>
        <w:t>1a./J. 31/2017 (10a.), de la Primera Sala de la Suprema Corte de Justicia de la Nación, Décima Época del Semanario Judicial de la Federación, Libro 41, Abril de 2017, Tomo I, visible en la página 752, de registro digital 2014098.</w:t>
      </w:r>
    </w:p>
  </w:footnote>
  <w:footnote w:id="25">
    <w:p w14:paraId="074DD898" w14:textId="77777777" w:rsidR="004F1BC4" w:rsidRPr="001E629F" w:rsidRDefault="004F1BC4" w:rsidP="004F1BC4">
      <w:pPr>
        <w:pStyle w:val="Textonotapie"/>
        <w:jc w:val="both"/>
        <w:rPr>
          <w:b/>
          <w:bCs/>
          <w:sz w:val="18"/>
          <w:szCs w:val="18"/>
        </w:rPr>
      </w:pPr>
      <w:r w:rsidRPr="001E629F">
        <w:rPr>
          <w:rStyle w:val="Refdenotaalpie"/>
          <w:sz w:val="18"/>
          <w:szCs w:val="18"/>
        </w:rPr>
        <w:footnoteRef/>
      </w:r>
      <w:r w:rsidRPr="001E629F">
        <w:rPr>
          <w:sz w:val="18"/>
          <w:szCs w:val="18"/>
        </w:rPr>
        <w:t xml:space="preserve"> </w:t>
      </w:r>
      <w:r>
        <w:rPr>
          <w:sz w:val="18"/>
          <w:szCs w:val="18"/>
        </w:rPr>
        <w:t>“</w:t>
      </w:r>
      <w:r w:rsidRPr="001E629F">
        <w:rPr>
          <w:b/>
          <w:bCs/>
          <w:sz w:val="18"/>
          <w:szCs w:val="18"/>
        </w:rPr>
        <w:t>TRABAJADORES DE CONFIANZA AL SERVICIO DEL ESTADO PERTENECIENTES AL SERVICIO PROFESIONAL DE CARRERA EN LA ADMINISTRACIÓN PÚBLICA FEDERAL. LA INDEMNIZACIÓN PREVISTA EN EL ARTÍCULO 10, FRACCIÓN X, DE LA LEY RELATIVA, COMPRENDE EL PAGO DE 3 MESES DE SUELDO Y 20 DÍAS DE SALARIO POR CADA AÑO DE SERVICIOS PRESTADOS.</w:t>
      </w:r>
      <w:r>
        <w:rPr>
          <w:b/>
          <w:bCs/>
          <w:sz w:val="18"/>
          <w:szCs w:val="18"/>
        </w:rPr>
        <w:t xml:space="preserve"> </w:t>
      </w:r>
      <w:r w:rsidRPr="001E629F">
        <w:rPr>
          <w:sz w:val="18"/>
          <w:szCs w:val="18"/>
        </w:rPr>
        <w:t xml:space="preserve">El artículo citado establece que los servidores públicos de carrera tendrán derecho a recibir una indemnización en los términos de ley, cuando sean despedidos injustificadamente; sin embargo, no se advierte claramente qué conceptos la integran, por lo que deberá configurarse en su proyección más amplia, en atención al principio de interpretación más favorable a la persona, así como a la disposición más benéfica para el trabajador, de manera que en forma efectiva sea susceptible de resarcir plenamente la afectación causada. Así, la protección al núcleo esencial del derecho a la estabilidad y permanencia en el empleo que asiste a los trabajadores de confianza pertenecientes al Sistema de Servicio Profesional de Carrera, no puede frustrarse ante la omisión del legislador de establecer los términos precisos para el pago por concepto de indemnización ante el despido injustificado. En esa medida, la prestación mínima es la indemnización más amplia prevista por el artículo 123 de la Constitución Política de los Estados Unidos Mexicanos, para el caso de despido injustificado y, por ende, la indemnización que corresponde, por asimilación, está contenida en el referido precepto 123, apartados A, fracción XXII y B, fracción IX, en relación con los numerales 49 y 50, fracción II, de la Ley Federal del Trabajo, </w:t>
      </w:r>
      <w:r w:rsidRPr="001E629F">
        <w:rPr>
          <w:sz w:val="18"/>
          <w:szCs w:val="18"/>
          <w:u w:val="single"/>
        </w:rPr>
        <w:t>y comprende el pago de 3 meses de sueldo y 20 días de salario por cada año de servicios prestados</w:t>
      </w:r>
      <w:r w:rsidRPr="001E629F">
        <w:rPr>
          <w:sz w:val="18"/>
          <w:szCs w:val="18"/>
        </w:rPr>
        <w:t>.</w:t>
      </w:r>
      <w:r>
        <w:rPr>
          <w:sz w:val="18"/>
          <w:szCs w:val="18"/>
        </w:rPr>
        <w:t>” -el subrayado es nuestro-</w:t>
      </w:r>
    </w:p>
    <w:p w14:paraId="507B0427" w14:textId="77777777" w:rsidR="004F1BC4" w:rsidRDefault="004F1BC4" w:rsidP="004F1BC4">
      <w:pPr>
        <w:pStyle w:val="Textonotapie"/>
      </w:pPr>
    </w:p>
  </w:footnote>
  <w:footnote w:id="26">
    <w:p w14:paraId="4AC1BB86" w14:textId="1D125D9B" w:rsidR="00B55005" w:rsidRPr="00B55005" w:rsidRDefault="00B55005" w:rsidP="00B55005">
      <w:pPr>
        <w:pStyle w:val="Textonotapie"/>
        <w:jc w:val="both"/>
        <w:rPr>
          <w:sz w:val="16"/>
          <w:szCs w:val="16"/>
        </w:rPr>
      </w:pPr>
      <w:r>
        <w:rPr>
          <w:rStyle w:val="Refdenotaalpie"/>
        </w:rPr>
        <w:footnoteRef/>
      </w:r>
      <w:r>
        <w:t xml:space="preserve"> </w:t>
      </w:r>
      <w:r w:rsidRPr="00B55005">
        <w:rPr>
          <w:sz w:val="16"/>
          <w:szCs w:val="16"/>
        </w:rPr>
        <w:t>2a./J.57/2019, publicada en el Semanario Judicial de la Federación, Libro 65, Abril de 2019, Tomo II, página 1277, con registro digital 2019648.</w:t>
      </w:r>
    </w:p>
  </w:footnote>
  <w:footnote w:id="27">
    <w:p w14:paraId="4AC4A010" w14:textId="04B61500" w:rsidR="006930AB" w:rsidRPr="006930AB" w:rsidRDefault="006930AB" w:rsidP="006930AB">
      <w:pPr>
        <w:pStyle w:val="Textonotapie"/>
        <w:jc w:val="both"/>
        <w:rPr>
          <w:sz w:val="16"/>
          <w:szCs w:val="16"/>
        </w:rPr>
      </w:pPr>
      <w:r>
        <w:rPr>
          <w:rStyle w:val="Refdenotaalpie"/>
        </w:rPr>
        <w:footnoteRef/>
      </w:r>
      <w:r>
        <w:t xml:space="preserve"> </w:t>
      </w:r>
      <w:r w:rsidRPr="006930AB">
        <w:rPr>
          <w:sz w:val="16"/>
          <w:szCs w:val="16"/>
        </w:rPr>
        <w:t>I.9o.T. 54l publicada en el Semanario Judicial de la Federación, Libro 24, Noviembre de 2015, Tomo IV, página 3649, 2010403.</w:t>
      </w:r>
    </w:p>
  </w:footnote>
  <w:footnote w:id="28">
    <w:p w14:paraId="0270446B" w14:textId="77777777" w:rsidR="007F347B" w:rsidRPr="005F31FB" w:rsidRDefault="007F347B" w:rsidP="007F347B">
      <w:pPr>
        <w:pStyle w:val="Textonotapie"/>
        <w:jc w:val="both"/>
        <w:rPr>
          <w:rFonts w:ascii="Arial" w:hAnsi="Arial" w:cs="Arial"/>
          <w:sz w:val="16"/>
          <w:szCs w:val="16"/>
        </w:rPr>
      </w:pPr>
      <w:r w:rsidRPr="005F31FB">
        <w:rPr>
          <w:rStyle w:val="Refdenotaalpie"/>
          <w:rFonts w:ascii="Arial" w:hAnsi="Arial" w:cs="Arial"/>
          <w:sz w:val="16"/>
          <w:szCs w:val="16"/>
        </w:rPr>
        <w:footnoteRef/>
      </w:r>
      <w:r w:rsidRPr="005F31FB">
        <w:rPr>
          <w:rFonts w:ascii="Arial" w:hAnsi="Arial" w:cs="Arial"/>
          <w:sz w:val="16"/>
          <w:szCs w:val="16"/>
        </w:rPr>
        <w:t xml:space="preserve"> </w:t>
      </w:r>
      <w:r w:rsidRPr="005F31FB">
        <w:rPr>
          <w:rFonts w:ascii="Arial" w:hAnsi="Arial" w:cs="Arial"/>
          <w:b/>
          <w:bCs/>
          <w:sz w:val="16"/>
          <w:szCs w:val="16"/>
        </w:rPr>
        <w:t>A</w:t>
      </w:r>
      <w:r>
        <w:rPr>
          <w:rFonts w:ascii="Arial" w:hAnsi="Arial" w:cs="Arial"/>
          <w:b/>
          <w:bCs/>
          <w:sz w:val="16"/>
          <w:szCs w:val="16"/>
        </w:rPr>
        <w:t>rtículo</w:t>
      </w:r>
      <w:r w:rsidRPr="005F31FB">
        <w:rPr>
          <w:rFonts w:ascii="Arial" w:hAnsi="Arial" w:cs="Arial"/>
          <w:b/>
          <w:bCs/>
          <w:sz w:val="16"/>
          <w:szCs w:val="16"/>
        </w:rPr>
        <w:t xml:space="preserve"> 29.</w:t>
      </w:r>
      <w:r w:rsidRPr="005F31FB">
        <w:rPr>
          <w:rFonts w:ascii="Arial" w:hAnsi="Arial" w:cs="Arial"/>
          <w:sz w:val="16"/>
          <w:szCs w:val="16"/>
        </w:rPr>
        <w:t xml:space="preserve"> El Ayuntamiento constituye el Órgano de Gobierno del Municipio. Se asentará en la cabecera municipal. Entre el Ayuntamiento y el Gobierno del Estado no habrá autoridad intermedia alguna. Se deberán expedir por el Ayuntamiento, en ejercicio de las atribuciones previstas en la fracción I, del artículo 43, el reglamento interior del mismo, el reglamento del Cabildo, los manuales de procedimientos, así como las demás disposiciones legales y administrativas necesarias para su buena organización y funcionamiento.</w:t>
      </w:r>
    </w:p>
  </w:footnote>
  <w:footnote w:id="29">
    <w:p w14:paraId="27FD6D34" w14:textId="77777777" w:rsidR="007F347B" w:rsidRDefault="007F347B" w:rsidP="007F347B">
      <w:pPr>
        <w:pStyle w:val="Textonotapie"/>
        <w:jc w:val="both"/>
      </w:pPr>
      <w:r>
        <w:rPr>
          <w:rStyle w:val="Refdenotaalpie"/>
        </w:rPr>
        <w:footnoteRef/>
      </w:r>
      <w:r>
        <w:t xml:space="preserve"> </w:t>
      </w:r>
      <w:r w:rsidRPr="005F31FB">
        <w:rPr>
          <w:rFonts w:ascii="Arial" w:hAnsi="Arial" w:cs="Arial"/>
          <w:b/>
          <w:bCs/>
          <w:sz w:val="16"/>
          <w:szCs w:val="16"/>
        </w:rPr>
        <w:t>Artículo 30.</w:t>
      </w:r>
      <w:r w:rsidRPr="005F31FB">
        <w:rPr>
          <w:rFonts w:ascii="Arial" w:hAnsi="Arial" w:cs="Arial"/>
          <w:sz w:val="16"/>
          <w:szCs w:val="16"/>
        </w:rPr>
        <w:t xml:space="preserve"> El Ayuntamiento estará integrado por el Presidente Municipal y el número de Síndicos y Regidores que señale la Ley de Instituciones y Procedimientos Electorales del Estado de Oaxaca.</w:t>
      </w:r>
    </w:p>
  </w:footnote>
  <w:footnote w:id="30">
    <w:p w14:paraId="40531D70" w14:textId="77777777" w:rsidR="007F347B" w:rsidRPr="0017054A" w:rsidRDefault="007F347B" w:rsidP="007F347B">
      <w:pPr>
        <w:pStyle w:val="Textonotapie"/>
        <w:jc w:val="both"/>
        <w:rPr>
          <w:rFonts w:ascii="Arial" w:hAnsi="Arial" w:cs="Arial"/>
          <w:sz w:val="16"/>
          <w:szCs w:val="16"/>
        </w:rPr>
      </w:pPr>
      <w:r>
        <w:rPr>
          <w:rStyle w:val="Refdenotaalpie"/>
        </w:rPr>
        <w:footnoteRef/>
      </w:r>
      <w:r>
        <w:t xml:space="preserve"> </w:t>
      </w:r>
      <w:r w:rsidRPr="005F31FB">
        <w:rPr>
          <w:rFonts w:ascii="Arial" w:hAnsi="Arial" w:cs="Arial"/>
          <w:b/>
          <w:bCs/>
          <w:sz w:val="16"/>
          <w:szCs w:val="16"/>
        </w:rPr>
        <w:t>Artículo 45.</w:t>
      </w:r>
      <w:r w:rsidRPr="005F31FB">
        <w:rPr>
          <w:rFonts w:ascii="Arial" w:hAnsi="Arial" w:cs="Arial"/>
          <w:sz w:val="16"/>
          <w:szCs w:val="16"/>
        </w:rPr>
        <w:t xml:space="preserve"> El Cabildo es la forma de reunión del Ayuntamiento, donde se resuelven de manera colegiada los asuntos relativos al ejercicio de sus atribuciones de gobierno, políticas y administrativas. Estas reuniones se</w:t>
      </w:r>
      <w:r>
        <w:rPr>
          <w:rFonts w:ascii="Arial" w:hAnsi="Arial" w:cs="Arial"/>
          <w:sz w:val="16"/>
          <w:szCs w:val="16"/>
        </w:rPr>
        <w:t xml:space="preserve"> </w:t>
      </w:r>
      <w:r w:rsidRPr="005F31FB">
        <w:rPr>
          <w:rFonts w:ascii="Arial" w:hAnsi="Arial" w:cs="Arial"/>
          <w:sz w:val="16"/>
          <w:szCs w:val="16"/>
        </w:rPr>
        <w:t>denominarán sesiones de Cabildo y serán públicas, salvo que exista motivo que justifique que sean privadas.</w:t>
      </w:r>
    </w:p>
  </w:footnote>
  <w:footnote w:id="31">
    <w:p w14:paraId="1702A6DE" w14:textId="50947221" w:rsidR="00E44742" w:rsidRPr="00D620DC" w:rsidRDefault="00E44742" w:rsidP="00D620DC">
      <w:pPr>
        <w:pStyle w:val="Textonotapie"/>
        <w:jc w:val="both"/>
        <w:rPr>
          <w:sz w:val="16"/>
          <w:szCs w:val="16"/>
        </w:rPr>
      </w:pPr>
      <w:r>
        <w:rPr>
          <w:rStyle w:val="Refdenotaalpie"/>
        </w:rPr>
        <w:footnoteRef/>
      </w:r>
      <w:r>
        <w:t xml:space="preserve">  </w:t>
      </w:r>
      <w:r w:rsidRPr="00D620DC">
        <w:rPr>
          <w:sz w:val="16"/>
          <w:szCs w:val="16"/>
        </w:rPr>
        <w:t>2a./J. 17/2018 (10a.)</w:t>
      </w:r>
      <w:r w:rsidR="00851C6C" w:rsidRPr="00D620DC">
        <w:rPr>
          <w:sz w:val="16"/>
          <w:szCs w:val="16"/>
        </w:rPr>
        <w:t xml:space="preserve"> emitida por la Segunda Sala de la SCJN, publicada en la</w:t>
      </w:r>
      <w:r w:rsidRPr="00D620DC">
        <w:rPr>
          <w:sz w:val="16"/>
          <w:szCs w:val="16"/>
        </w:rPr>
        <w:t xml:space="preserve"> Gaceta del Semanario Judicial de la Federación</w:t>
      </w:r>
      <w:r w:rsidR="00851C6C" w:rsidRPr="00D620DC">
        <w:rPr>
          <w:sz w:val="16"/>
          <w:szCs w:val="16"/>
        </w:rPr>
        <w:t xml:space="preserve">, </w:t>
      </w:r>
      <w:r w:rsidRPr="00D620DC">
        <w:rPr>
          <w:sz w:val="16"/>
          <w:szCs w:val="16"/>
        </w:rPr>
        <w:t>Libro 52, Marzo de 2018, Tomo II, página 1321</w:t>
      </w:r>
      <w:r w:rsidR="00851C6C" w:rsidRPr="00D620DC">
        <w:rPr>
          <w:sz w:val="16"/>
          <w:szCs w:val="16"/>
        </w:rPr>
        <w:t xml:space="preserve">, con </w:t>
      </w:r>
      <w:r w:rsidR="00D620DC" w:rsidRPr="00D620DC">
        <w:rPr>
          <w:sz w:val="16"/>
          <w:szCs w:val="16"/>
        </w:rPr>
        <w:t>registro</w:t>
      </w:r>
      <w:r w:rsidR="00851C6C" w:rsidRPr="00D620DC">
        <w:rPr>
          <w:sz w:val="16"/>
          <w:szCs w:val="16"/>
        </w:rPr>
        <w:t xml:space="preserve"> digital 2016430.</w:t>
      </w:r>
    </w:p>
  </w:footnote>
  <w:footnote w:id="32">
    <w:p w14:paraId="0F8C0990" w14:textId="37C10CF1" w:rsidR="00EC5333" w:rsidRPr="002816B1" w:rsidRDefault="00EC5333" w:rsidP="002816B1">
      <w:pPr>
        <w:pStyle w:val="Textonotapie"/>
        <w:jc w:val="both"/>
        <w:rPr>
          <w:sz w:val="16"/>
          <w:szCs w:val="16"/>
        </w:rPr>
      </w:pPr>
      <w:r>
        <w:rPr>
          <w:rStyle w:val="Refdenotaalpie"/>
        </w:rPr>
        <w:footnoteRef/>
      </w:r>
      <w:r>
        <w:t xml:space="preserve"> </w:t>
      </w:r>
      <w:r w:rsidRPr="002816B1">
        <w:rPr>
          <w:sz w:val="16"/>
          <w:szCs w:val="16"/>
        </w:rPr>
        <w:t xml:space="preserve">2a./J. 63/2017 (10a.) emitida por la Segunda Sala de la SCJN, publicada en </w:t>
      </w:r>
      <w:r w:rsidR="002816B1" w:rsidRPr="002816B1">
        <w:rPr>
          <w:sz w:val="16"/>
          <w:szCs w:val="16"/>
        </w:rPr>
        <w:t>la Gaceta</w:t>
      </w:r>
      <w:r w:rsidRPr="002816B1">
        <w:rPr>
          <w:sz w:val="16"/>
          <w:szCs w:val="16"/>
        </w:rPr>
        <w:t xml:space="preserve"> del Semanario Judicial de la Federación</w:t>
      </w:r>
      <w:r w:rsidR="002816B1" w:rsidRPr="002816B1">
        <w:rPr>
          <w:sz w:val="16"/>
          <w:szCs w:val="16"/>
        </w:rPr>
        <w:t xml:space="preserve">, </w:t>
      </w:r>
      <w:r w:rsidRPr="002816B1">
        <w:rPr>
          <w:sz w:val="16"/>
          <w:szCs w:val="16"/>
        </w:rPr>
        <w:t>Libro 43, Junio de 2017, Tomo II, página 951</w:t>
      </w:r>
      <w:r w:rsidR="002816B1" w:rsidRPr="002816B1">
        <w:rPr>
          <w:sz w:val="16"/>
          <w:szCs w:val="16"/>
        </w:rPr>
        <w:t>, con registro digital 2014582.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608A650" w:rsidR="00A360DF" w:rsidRDefault="001539D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C16509" w:rsidRPr="00C16509">
          <w:rPr>
            <w:noProof/>
            <w:lang w:val="es-ES"/>
          </w:rPr>
          <w:t>24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4BD12B8D" w14:textId="77777777" w:rsidR="00675A30" w:rsidRDefault="00B9696F" w:rsidP="00B9696F">
        <w:pPr>
          <w:pStyle w:val="Encabezado"/>
          <w:jc w:val="right"/>
          <w:rPr>
            <w:rFonts w:ascii="Century Schoolbook" w:hAnsi="Century Schoolbook" w:cs="Arial"/>
            <w:b/>
            <w:bCs/>
          </w:rPr>
        </w:pPr>
        <w:r>
          <w:fldChar w:fldCharType="begin"/>
        </w:r>
        <w:r>
          <w:instrText>PAGE   \* MERGEFORMAT</w:instrText>
        </w:r>
        <w:r>
          <w:fldChar w:fldCharType="separate"/>
        </w:r>
        <w:r w:rsidR="00C16509">
          <w:rPr>
            <w:noProof/>
          </w:rPr>
          <w:t>25</w:t>
        </w:r>
        <w:r>
          <w:fldChar w:fldCharType="end"/>
        </w:r>
        <w:r w:rsidRPr="00B61D83">
          <w:rPr>
            <w:rFonts w:ascii="Century Schoolbook" w:hAnsi="Century Schoolbook" w:cs="Arial"/>
            <w:b/>
            <w:bCs/>
          </w:rPr>
          <w:t xml:space="preserve">                        </w:t>
        </w:r>
        <w:r w:rsidRPr="00B61D83">
          <w:rPr>
            <w:rFonts w:ascii="Century Schoolbook" w:hAnsi="Century Schoolbook" w:cs="Arial"/>
          </w:rPr>
          <w:t>JUICIO DE NULIDAD</w:t>
        </w:r>
        <w:r w:rsidRPr="00B61D83">
          <w:rPr>
            <w:rFonts w:ascii="Century Schoolbook" w:hAnsi="Century Schoolbook" w:cs="Arial"/>
            <w:b/>
            <w:bCs/>
          </w:rPr>
          <w:t xml:space="preserve"> 0</w:t>
        </w:r>
        <w:r w:rsidR="00961322">
          <w:rPr>
            <w:rFonts w:ascii="Century Schoolbook" w:hAnsi="Century Schoolbook" w:cs="Arial"/>
            <w:b/>
            <w:bCs/>
          </w:rPr>
          <w:t>047</w:t>
        </w:r>
        <w:r w:rsidRPr="00B61D83">
          <w:rPr>
            <w:rFonts w:ascii="Century Schoolbook" w:hAnsi="Century Schoolbook" w:cs="Arial"/>
            <w:b/>
            <w:bCs/>
          </w:rPr>
          <w:t>/20</w:t>
        </w:r>
        <w:r>
          <w:rPr>
            <w:rFonts w:ascii="Century Schoolbook" w:hAnsi="Century Schoolbook" w:cs="Arial"/>
            <w:b/>
            <w:bCs/>
          </w:rPr>
          <w:t>20</w:t>
        </w:r>
      </w:p>
      <w:p w14:paraId="6C79F2BE" w14:textId="77777777" w:rsidR="00675A30" w:rsidRDefault="00675A30" w:rsidP="00675A30">
        <w:pPr>
          <w:pStyle w:val="Encabezado"/>
          <w:jc w:val="center"/>
          <w:rPr>
            <w:rFonts w:ascii="Arial" w:hAnsi="Arial" w:cs="Arial"/>
            <w:b/>
            <w:color w:val="0070C0"/>
          </w:rPr>
        </w:pPr>
      </w:p>
      <w:p w14:paraId="7D74E08E" w14:textId="77777777" w:rsidR="00675A30" w:rsidRDefault="00675A30" w:rsidP="00675A30">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3B2F420F" w14:textId="3280AAD9" w:rsidR="00B9696F" w:rsidRDefault="001539D4" w:rsidP="00B9696F">
        <w:pPr>
          <w:pStyle w:val="Encabezado"/>
          <w:jc w:val="right"/>
        </w:pPr>
      </w:p>
    </w:sdtContent>
  </w:sdt>
  <w:p w14:paraId="51E22156" w14:textId="6BA8106B" w:rsidR="00A360DF" w:rsidRDefault="001539D4"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1539D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26469AE"/>
    <w:multiLevelType w:val="hybridMultilevel"/>
    <w:tmpl w:val="E818A30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7003A42"/>
    <w:multiLevelType w:val="hybridMultilevel"/>
    <w:tmpl w:val="FDF42D6E"/>
    <w:lvl w:ilvl="0" w:tplc="BF1295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E651DBF"/>
    <w:multiLevelType w:val="hybridMultilevel"/>
    <w:tmpl w:val="DBA250FE"/>
    <w:lvl w:ilvl="0" w:tplc="ED86DF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nsid w:val="42934988"/>
    <w:multiLevelType w:val="hybridMultilevel"/>
    <w:tmpl w:val="0C8E2948"/>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7B9424F7"/>
    <w:multiLevelType w:val="hybridMultilevel"/>
    <w:tmpl w:val="DBA250FE"/>
    <w:lvl w:ilvl="0" w:tplc="ED86DF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5"/>
  </w:num>
  <w:num w:numId="2">
    <w:abstractNumId w:val="7"/>
  </w:num>
  <w:num w:numId="3">
    <w:abstractNumId w:val="3"/>
  </w:num>
  <w:num w:numId="4">
    <w:abstractNumId w:val="18"/>
  </w:num>
  <w:num w:numId="5">
    <w:abstractNumId w:val="23"/>
  </w:num>
  <w:num w:numId="6">
    <w:abstractNumId w:val="13"/>
  </w:num>
  <w:num w:numId="7">
    <w:abstractNumId w:val="10"/>
  </w:num>
  <w:num w:numId="8">
    <w:abstractNumId w:val="6"/>
  </w:num>
  <w:num w:numId="9">
    <w:abstractNumId w:val="9"/>
  </w:num>
  <w:num w:numId="10">
    <w:abstractNumId w:val="17"/>
  </w:num>
  <w:num w:numId="11">
    <w:abstractNumId w:val="20"/>
  </w:num>
  <w:num w:numId="12">
    <w:abstractNumId w:val="5"/>
  </w:num>
  <w:num w:numId="13">
    <w:abstractNumId w:val="8"/>
  </w:num>
  <w:num w:numId="14">
    <w:abstractNumId w:val="0"/>
  </w:num>
  <w:num w:numId="15">
    <w:abstractNumId w:val="22"/>
  </w:num>
  <w:num w:numId="16">
    <w:abstractNumId w:val="1"/>
  </w:num>
  <w:num w:numId="17">
    <w:abstractNumId w:val="19"/>
  </w:num>
  <w:num w:numId="18">
    <w:abstractNumId w:val="24"/>
  </w:num>
  <w:num w:numId="19">
    <w:abstractNumId w:val="15"/>
  </w:num>
  <w:num w:numId="20">
    <w:abstractNumId w:val="12"/>
  </w:num>
  <w:num w:numId="21">
    <w:abstractNumId w:val="21"/>
  </w:num>
  <w:num w:numId="22">
    <w:abstractNumId w:val="11"/>
  </w:num>
  <w:num w:numId="23">
    <w:abstractNumId w:val="14"/>
  </w:num>
  <w:num w:numId="24">
    <w:abstractNumId w:val="16"/>
  </w:num>
  <w:num w:numId="25">
    <w:abstractNumId w:val="4"/>
  </w:num>
  <w:num w:numId="26">
    <w:abstractNumId w:val="26"/>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946"/>
    <w:rsid w:val="00000AF2"/>
    <w:rsid w:val="00000BFF"/>
    <w:rsid w:val="00000EAB"/>
    <w:rsid w:val="000014EE"/>
    <w:rsid w:val="0000187B"/>
    <w:rsid w:val="00001CDC"/>
    <w:rsid w:val="00001CED"/>
    <w:rsid w:val="00001FA6"/>
    <w:rsid w:val="0000259B"/>
    <w:rsid w:val="00002B85"/>
    <w:rsid w:val="00003CC3"/>
    <w:rsid w:val="00004038"/>
    <w:rsid w:val="0000488B"/>
    <w:rsid w:val="0000523E"/>
    <w:rsid w:val="00005B69"/>
    <w:rsid w:val="00005BCB"/>
    <w:rsid w:val="00005EA0"/>
    <w:rsid w:val="00006A22"/>
    <w:rsid w:val="00007105"/>
    <w:rsid w:val="00007296"/>
    <w:rsid w:val="00007E09"/>
    <w:rsid w:val="00007EFD"/>
    <w:rsid w:val="00007FD5"/>
    <w:rsid w:val="000106FE"/>
    <w:rsid w:val="00011A2B"/>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6D9"/>
    <w:rsid w:val="00022BBC"/>
    <w:rsid w:val="00023043"/>
    <w:rsid w:val="00023F33"/>
    <w:rsid w:val="00024545"/>
    <w:rsid w:val="000255D9"/>
    <w:rsid w:val="00025BEB"/>
    <w:rsid w:val="000262A2"/>
    <w:rsid w:val="000264DD"/>
    <w:rsid w:val="00026C11"/>
    <w:rsid w:val="00026F3C"/>
    <w:rsid w:val="000306D4"/>
    <w:rsid w:val="00030949"/>
    <w:rsid w:val="00030BAF"/>
    <w:rsid w:val="00030DED"/>
    <w:rsid w:val="00031F8E"/>
    <w:rsid w:val="000324B9"/>
    <w:rsid w:val="000329BA"/>
    <w:rsid w:val="00032D83"/>
    <w:rsid w:val="000330FB"/>
    <w:rsid w:val="000338EE"/>
    <w:rsid w:val="00033B21"/>
    <w:rsid w:val="00033B4C"/>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7A90"/>
    <w:rsid w:val="00047AF4"/>
    <w:rsid w:val="000511E3"/>
    <w:rsid w:val="00052030"/>
    <w:rsid w:val="00052147"/>
    <w:rsid w:val="000525F8"/>
    <w:rsid w:val="0005285F"/>
    <w:rsid w:val="00053207"/>
    <w:rsid w:val="0005370C"/>
    <w:rsid w:val="000540E8"/>
    <w:rsid w:val="00054705"/>
    <w:rsid w:val="00054D3C"/>
    <w:rsid w:val="000551CC"/>
    <w:rsid w:val="00055248"/>
    <w:rsid w:val="00055F66"/>
    <w:rsid w:val="000562FB"/>
    <w:rsid w:val="000565B2"/>
    <w:rsid w:val="000575A8"/>
    <w:rsid w:val="00060DBB"/>
    <w:rsid w:val="00061268"/>
    <w:rsid w:val="000614DA"/>
    <w:rsid w:val="00061610"/>
    <w:rsid w:val="000616B5"/>
    <w:rsid w:val="00061C4C"/>
    <w:rsid w:val="0006202A"/>
    <w:rsid w:val="000620CD"/>
    <w:rsid w:val="00062802"/>
    <w:rsid w:val="00062BE3"/>
    <w:rsid w:val="00063759"/>
    <w:rsid w:val="00064906"/>
    <w:rsid w:val="00064FD9"/>
    <w:rsid w:val="000663FF"/>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41F"/>
    <w:rsid w:val="00082152"/>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0E9E"/>
    <w:rsid w:val="000A12C0"/>
    <w:rsid w:val="000A1491"/>
    <w:rsid w:val="000A17DF"/>
    <w:rsid w:val="000A1944"/>
    <w:rsid w:val="000A200A"/>
    <w:rsid w:val="000A2550"/>
    <w:rsid w:val="000A27AC"/>
    <w:rsid w:val="000A335C"/>
    <w:rsid w:val="000A33D9"/>
    <w:rsid w:val="000A33F5"/>
    <w:rsid w:val="000A3F27"/>
    <w:rsid w:val="000A5266"/>
    <w:rsid w:val="000A5540"/>
    <w:rsid w:val="000A578F"/>
    <w:rsid w:val="000A58B5"/>
    <w:rsid w:val="000A5D36"/>
    <w:rsid w:val="000A5FA8"/>
    <w:rsid w:val="000A6C87"/>
    <w:rsid w:val="000B0351"/>
    <w:rsid w:val="000B03B9"/>
    <w:rsid w:val="000B0431"/>
    <w:rsid w:val="000B1A06"/>
    <w:rsid w:val="000B1F22"/>
    <w:rsid w:val="000B205A"/>
    <w:rsid w:val="000B27C4"/>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45A"/>
    <w:rsid w:val="000B77B4"/>
    <w:rsid w:val="000B7A3A"/>
    <w:rsid w:val="000C02A9"/>
    <w:rsid w:val="000C0569"/>
    <w:rsid w:val="000C1E6B"/>
    <w:rsid w:val="000C238B"/>
    <w:rsid w:val="000C2764"/>
    <w:rsid w:val="000C2A6A"/>
    <w:rsid w:val="000C3DC9"/>
    <w:rsid w:val="000C4139"/>
    <w:rsid w:val="000C47B5"/>
    <w:rsid w:val="000C4A0F"/>
    <w:rsid w:val="000C5414"/>
    <w:rsid w:val="000C5BCE"/>
    <w:rsid w:val="000C5DC1"/>
    <w:rsid w:val="000C6670"/>
    <w:rsid w:val="000D04BF"/>
    <w:rsid w:val="000D0AC9"/>
    <w:rsid w:val="000D153E"/>
    <w:rsid w:val="000D170C"/>
    <w:rsid w:val="000D1CF0"/>
    <w:rsid w:val="000D2A1F"/>
    <w:rsid w:val="000D3609"/>
    <w:rsid w:val="000D3E85"/>
    <w:rsid w:val="000D42B5"/>
    <w:rsid w:val="000D4AFE"/>
    <w:rsid w:val="000D5397"/>
    <w:rsid w:val="000D558F"/>
    <w:rsid w:val="000D5746"/>
    <w:rsid w:val="000D6E87"/>
    <w:rsid w:val="000D7314"/>
    <w:rsid w:val="000D73EE"/>
    <w:rsid w:val="000D75AB"/>
    <w:rsid w:val="000D7B89"/>
    <w:rsid w:val="000D7C8C"/>
    <w:rsid w:val="000E1E0D"/>
    <w:rsid w:val="000E232A"/>
    <w:rsid w:val="000E2482"/>
    <w:rsid w:val="000E3216"/>
    <w:rsid w:val="000E343A"/>
    <w:rsid w:val="000E3542"/>
    <w:rsid w:val="000E368C"/>
    <w:rsid w:val="000E3FF4"/>
    <w:rsid w:val="000E40FD"/>
    <w:rsid w:val="000E4884"/>
    <w:rsid w:val="000E4A40"/>
    <w:rsid w:val="000E4AC8"/>
    <w:rsid w:val="000E4C30"/>
    <w:rsid w:val="000E5501"/>
    <w:rsid w:val="000E5766"/>
    <w:rsid w:val="000E5B3C"/>
    <w:rsid w:val="000E5B66"/>
    <w:rsid w:val="000E5F83"/>
    <w:rsid w:val="000E74F5"/>
    <w:rsid w:val="000E79AD"/>
    <w:rsid w:val="000E7DB2"/>
    <w:rsid w:val="000F0C84"/>
    <w:rsid w:val="000F0D7B"/>
    <w:rsid w:val="000F156A"/>
    <w:rsid w:val="000F17C6"/>
    <w:rsid w:val="000F2020"/>
    <w:rsid w:val="000F2949"/>
    <w:rsid w:val="000F2B5A"/>
    <w:rsid w:val="000F2D32"/>
    <w:rsid w:val="000F4347"/>
    <w:rsid w:val="000F50E8"/>
    <w:rsid w:val="000F54B0"/>
    <w:rsid w:val="000F5C41"/>
    <w:rsid w:val="000F5DE0"/>
    <w:rsid w:val="000F62C3"/>
    <w:rsid w:val="000F68A8"/>
    <w:rsid w:val="000F75AF"/>
    <w:rsid w:val="000F77DE"/>
    <w:rsid w:val="000F7D0B"/>
    <w:rsid w:val="001002F5"/>
    <w:rsid w:val="001019F2"/>
    <w:rsid w:val="001025E5"/>
    <w:rsid w:val="00102AFD"/>
    <w:rsid w:val="00103024"/>
    <w:rsid w:val="001041F6"/>
    <w:rsid w:val="0010492B"/>
    <w:rsid w:val="0010644A"/>
    <w:rsid w:val="001069D8"/>
    <w:rsid w:val="0010719A"/>
    <w:rsid w:val="001108F3"/>
    <w:rsid w:val="00110B09"/>
    <w:rsid w:val="00110C32"/>
    <w:rsid w:val="00110D29"/>
    <w:rsid w:val="00111BFC"/>
    <w:rsid w:val="00111CBB"/>
    <w:rsid w:val="0011210D"/>
    <w:rsid w:val="00112765"/>
    <w:rsid w:val="00112BF7"/>
    <w:rsid w:val="00113361"/>
    <w:rsid w:val="00113A46"/>
    <w:rsid w:val="00114AC5"/>
    <w:rsid w:val="001162E0"/>
    <w:rsid w:val="00116579"/>
    <w:rsid w:val="00116C7F"/>
    <w:rsid w:val="0011786C"/>
    <w:rsid w:val="001217A4"/>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4ED1"/>
    <w:rsid w:val="00135132"/>
    <w:rsid w:val="0013555E"/>
    <w:rsid w:val="00135B0C"/>
    <w:rsid w:val="00136807"/>
    <w:rsid w:val="00136897"/>
    <w:rsid w:val="0013695E"/>
    <w:rsid w:val="00136FB8"/>
    <w:rsid w:val="0014043C"/>
    <w:rsid w:val="00140D7E"/>
    <w:rsid w:val="00141BB2"/>
    <w:rsid w:val="00142417"/>
    <w:rsid w:val="00143682"/>
    <w:rsid w:val="001441D3"/>
    <w:rsid w:val="00144200"/>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D4"/>
    <w:rsid w:val="00153BE4"/>
    <w:rsid w:val="00153EF9"/>
    <w:rsid w:val="001542BE"/>
    <w:rsid w:val="00154490"/>
    <w:rsid w:val="0015568A"/>
    <w:rsid w:val="00156250"/>
    <w:rsid w:val="00156F22"/>
    <w:rsid w:val="001570E1"/>
    <w:rsid w:val="00157556"/>
    <w:rsid w:val="00161661"/>
    <w:rsid w:val="0016171F"/>
    <w:rsid w:val="00161D8A"/>
    <w:rsid w:val="00161F6F"/>
    <w:rsid w:val="001621EF"/>
    <w:rsid w:val="00163EBF"/>
    <w:rsid w:val="00164BCE"/>
    <w:rsid w:val="001659D0"/>
    <w:rsid w:val="0016604B"/>
    <w:rsid w:val="0016700D"/>
    <w:rsid w:val="00167ADD"/>
    <w:rsid w:val="001702C6"/>
    <w:rsid w:val="0017054A"/>
    <w:rsid w:val="001711A1"/>
    <w:rsid w:val="00172205"/>
    <w:rsid w:val="0017260E"/>
    <w:rsid w:val="001729D0"/>
    <w:rsid w:val="00172B51"/>
    <w:rsid w:val="00172C89"/>
    <w:rsid w:val="00172E9A"/>
    <w:rsid w:val="00173E4B"/>
    <w:rsid w:val="0017427B"/>
    <w:rsid w:val="00174C5A"/>
    <w:rsid w:val="0017568D"/>
    <w:rsid w:val="00175C14"/>
    <w:rsid w:val="001761CB"/>
    <w:rsid w:val="0017651E"/>
    <w:rsid w:val="0017734F"/>
    <w:rsid w:val="001778B4"/>
    <w:rsid w:val="001779CB"/>
    <w:rsid w:val="00177B53"/>
    <w:rsid w:val="00181DB0"/>
    <w:rsid w:val="001826D0"/>
    <w:rsid w:val="0018345B"/>
    <w:rsid w:val="0018356C"/>
    <w:rsid w:val="0018358B"/>
    <w:rsid w:val="0018454F"/>
    <w:rsid w:val="001846BB"/>
    <w:rsid w:val="001854BD"/>
    <w:rsid w:val="00185DC5"/>
    <w:rsid w:val="00186701"/>
    <w:rsid w:val="00186EBE"/>
    <w:rsid w:val="00186FB3"/>
    <w:rsid w:val="00186FE8"/>
    <w:rsid w:val="0018765B"/>
    <w:rsid w:val="00190CF5"/>
    <w:rsid w:val="00192287"/>
    <w:rsid w:val="001923AE"/>
    <w:rsid w:val="001924B2"/>
    <w:rsid w:val="00193379"/>
    <w:rsid w:val="00194B7B"/>
    <w:rsid w:val="001951A3"/>
    <w:rsid w:val="00195583"/>
    <w:rsid w:val="0019586A"/>
    <w:rsid w:val="0019635B"/>
    <w:rsid w:val="001A0745"/>
    <w:rsid w:val="001A1302"/>
    <w:rsid w:val="001A16CC"/>
    <w:rsid w:val="001A18E1"/>
    <w:rsid w:val="001A2144"/>
    <w:rsid w:val="001A2E1D"/>
    <w:rsid w:val="001A2FDB"/>
    <w:rsid w:val="001A3755"/>
    <w:rsid w:val="001A3A42"/>
    <w:rsid w:val="001A4127"/>
    <w:rsid w:val="001A4E1C"/>
    <w:rsid w:val="001A554E"/>
    <w:rsid w:val="001A64D1"/>
    <w:rsid w:val="001A6EBE"/>
    <w:rsid w:val="001A6F68"/>
    <w:rsid w:val="001A7459"/>
    <w:rsid w:val="001A77FB"/>
    <w:rsid w:val="001B009D"/>
    <w:rsid w:val="001B035C"/>
    <w:rsid w:val="001B046F"/>
    <w:rsid w:val="001B13DB"/>
    <w:rsid w:val="001B17F6"/>
    <w:rsid w:val="001B341D"/>
    <w:rsid w:val="001B3A10"/>
    <w:rsid w:val="001B3B5C"/>
    <w:rsid w:val="001B6E63"/>
    <w:rsid w:val="001B7158"/>
    <w:rsid w:val="001B7EF3"/>
    <w:rsid w:val="001C0050"/>
    <w:rsid w:val="001C0151"/>
    <w:rsid w:val="001C0C36"/>
    <w:rsid w:val="001C100F"/>
    <w:rsid w:val="001C1402"/>
    <w:rsid w:val="001C1FDF"/>
    <w:rsid w:val="001C2557"/>
    <w:rsid w:val="001C2644"/>
    <w:rsid w:val="001C2B0B"/>
    <w:rsid w:val="001C2B81"/>
    <w:rsid w:val="001C36D8"/>
    <w:rsid w:val="001C39B4"/>
    <w:rsid w:val="001C3A80"/>
    <w:rsid w:val="001C3B87"/>
    <w:rsid w:val="001C421F"/>
    <w:rsid w:val="001C422B"/>
    <w:rsid w:val="001C4311"/>
    <w:rsid w:val="001C502D"/>
    <w:rsid w:val="001C53B0"/>
    <w:rsid w:val="001C7EC3"/>
    <w:rsid w:val="001D07F6"/>
    <w:rsid w:val="001D0DCF"/>
    <w:rsid w:val="001D31A6"/>
    <w:rsid w:val="001D32FD"/>
    <w:rsid w:val="001D3B81"/>
    <w:rsid w:val="001D40CC"/>
    <w:rsid w:val="001D477D"/>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4F96"/>
    <w:rsid w:val="001F5050"/>
    <w:rsid w:val="001F5F15"/>
    <w:rsid w:val="001F5FCB"/>
    <w:rsid w:val="001F625A"/>
    <w:rsid w:val="001F6B28"/>
    <w:rsid w:val="001F6C56"/>
    <w:rsid w:val="001F72DF"/>
    <w:rsid w:val="001F77D0"/>
    <w:rsid w:val="002010A9"/>
    <w:rsid w:val="00201204"/>
    <w:rsid w:val="00201769"/>
    <w:rsid w:val="0020247E"/>
    <w:rsid w:val="002025FD"/>
    <w:rsid w:val="002038E9"/>
    <w:rsid w:val="00203FD3"/>
    <w:rsid w:val="00204D2F"/>
    <w:rsid w:val="00205A55"/>
    <w:rsid w:val="00206222"/>
    <w:rsid w:val="002063CC"/>
    <w:rsid w:val="0020694D"/>
    <w:rsid w:val="00206B99"/>
    <w:rsid w:val="002073D2"/>
    <w:rsid w:val="002078AA"/>
    <w:rsid w:val="002101E0"/>
    <w:rsid w:val="00210261"/>
    <w:rsid w:val="0021074F"/>
    <w:rsid w:val="002111AC"/>
    <w:rsid w:val="0021188E"/>
    <w:rsid w:val="00212E08"/>
    <w:rsid w:val="0021302A"/>
    <w:rsid w:val="00213783"/>
    <w:rsid w:val="0021416F"/>
    <w:rsid w:val="00214685"/>
    <w:rsid w:val="002147E4"/>
    <w:rsid w:val="00214CE8"/>
    <w:rsid w:val="002160EA"/>
    <w:rsid w:val="002161AD"/>
    <w:rsid w:val="00216595"/>
    <w:rsid w:val="002165D6"/>
    <w:rsid w:val="00216AB7"/>
    <w:rsid w:val="002170A5"/>
    <w:rsid w:val="00217F57"/>
    <w:rsid w:val="00221687"/>
    <w:rsid w:val="00221709"/>
    <w:rsid w:val="00221A6F"/>
    <w:rsid w:val="00222064"/>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6EB9"/>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DAC"/>
    <w:rsid w:val="00243E9B"/>
    <w:rsid w:val="0024401A"/>
    <w:rsid w:val="0024424C"/>
    <w:rsid w:val="0024497C"/>
    <w:rsid w:val="002449D8"/>
    <w:rsid w:val="002450A8"/>
    <w:rsid w:val="0024549A"/>
    <w:rsid w:val="002458C0"/>
    <w:rsid w:val="00245F41"/>
    <w:rsid w:val="002466CD"/>
    <w:rsid w:val="0024672A"/>
    <w:rsid w:val="00246915"/>
    <w:rsid w:val="00246F18"/>
    <w:rsid w:val="002476CF"/>
    <w:rsid w:val="00247875"/>
    <w:rsid w:val="00247B10"/>
    <w:rsid w:val="00247D11"/>
    <w:rsid w:val="00247E15"/>
    <w:rsid w:val="00247ECF"/>
    <w:rsid w:val="00250E2D"/>
    <w:rsid w:val="00251957"/>
    <w:rsid w:val="00252528"/>
    <w:rsid w:val="002530F3"/>
    <w:rsid w:val="00253130"/>
    <w:rsid w:val="00253A1C"/>
    <w:rsid w:val="002541B3"/>
    <w:rsid w:val="00255C0D"/>
    <w:rsid w:val="00256B3C"/>
    <w:rsid w:val="00256E7D"/>
    <w:rsid w:val="00256F27"/>
    <w:rsid w:val="00257816"/>
    <w:rsid w:val="00257C5E"/>
    <w:rsid w:val="00260433"/>
    <w:rsid w:val="002609F9"/>
    <w:rsid w:val="0026116F"/>
    <w:rsid w:val="002617F9"/>
    <w:rsid w:val="00261993"/>
    <w:rsid w:val="002622F3"/>
    <w:rsid w:val="00262666"/>
    <w:rsid w:val="00262D7C"/>
    <w:rsid w:val="00263720"/>
    <w:rsid w:val="00265161"/>
    <w:rsid w:val="00265F1B"/>
    <w:rsid w:val="002665A2"/>
    <w:rsid w:val="00267221"/>
    <w:rsid w:val="00270087"/>
    <w:rsid w:val="00270831"/>
    <w:rsid w:val="0027275E"/>
    <w:rsid w:val="00272A7D"/>
    <w:rsid w:val="00273171"/>
    <w:rsid w:val="0027337A"/>
    <w:rsid w:val="002745CD"/>
    <w:rsid w:val="002748AA"/>
    <w:rsid w:val="00275418"/>
    <w:rsid w:val="002758FD"/>
    <w:rsid w:val="002805AC"/>
    <w:rsid w:val="00280919"/>
    <w:rsid w:val="00281266"/>
    <w:rsid w:val="00281661"/>
    <w:rsid w:val="002816B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62"/>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217"/>
    <w:rsid w:val="002A5750"/>
    <w:rsid w:val="002A657D"/>
    <w:rsid w:val="002A6B3D"/>
    <w:rsid w:val="002A6E86"/>
    <w:rsid w:val="002A6EF0"/>
    <w:rsid w:val="002B00CF"/>
    <w:rsid w:val="002B0967"/>
    <w:rsid w:val="002B18DB"/>
    <w:rsid w:val="002B1C2A"/>
    <w:rsid w:val="002B1F65"/>
    <w:rsid w:val="002B23DE"/>
    <w:rsid w:val="002B2706"/>
    <w:rsid w:val="002B3AA4"/>
    <w:rsid w:val="002B3BA3"/>
    <w:rsid w:val="002B4040"/>
    <w:rsid w:val="002B4DF8"/>
    <w:rsid w:val="002B5631"/>
    <w:rsid w:val="002B5C09"/>
    <w:rsid w:val="002B5C82"/>
    <w:rsid w:val="002B5EFE"/>
    <w:rsid w:val="002B6893"/>
    <w:rsid w:val="002B6B9D"/>
    <w:rsid w:val="002B6C19"/>
    <w:rsid w:val="002B6D0D"/>
    <w:rsid w:val="002B76FB"/>
    <w:rsid w:val="002B79C4"/>
    <w:rsid w:val="002B7B40"/>
    <w:rsid w:val="002C01BF"/>
    <w:rsid w:val="002C06FE"/>
    <w:rsid w:val="002C0988"/>
    <w:rsid w:val="002C0FDA"/>
    <w:rsid w:val="002C0FE7"/>
    <w:rsid w:val="002C2259"/>
    <w:rsid w:val="002C2322"/>
    <w:rsid w:val="002C3470"/>
    <w:rsid w:val="002C348A"/>
    <w:rsid w:val="002C3FD4"/>
    <w:rsid w:val="002C41D3"/>
    <w:rsid w:val="002C4419"/>
    <w:rsid w:val="002C45B7"/>
    <w:rsid w:val="002C4824"/>
    <w:rsid w:val="002C509D"/>
    <w:rsid w:val="002C5540"/>
    <w:rsid w:val="002C5C50"/>
    <w:rsid w:val="002C62F6"/>
    <w:rsid w:val="002C6CED"/>
    <w:rsid w:val="002C6F55"/>
    <w:rsid w:val="002D0290"/>
    <w:rsid w:val="002D0A5A"/>
    <w:rsid w:val="002D0C9B"/>
    <w:rsid w:val="002D1979"/>
    <w:rsid w:val="002D268B"/>
    <w:rsid w:val="002D2CEE"/>
    <w:rsid w:val="002D3701"/>
    <w:rsid w:val="002D3CF1"/>
    <w:rsid w:val="002D3D99"/>
    <w:rsid w:val="002D3F79"/>
    <w:rsid w:val="002D413F"/>
    <w:rsid w:val="002D4B99"/>
    <w:rsid w:val="002D6E4D"/>
    <w:rsid w:val="002D724E"/>
    <w:rsid w:val="002D7BA0"/>
    <w:rsid w:val="002E1666"/>
    <w:rsid w:val="002E27D4"/>
    <w:rsid w:val="002E2D79"/>
    <w:rsid w:val="002E2E91"/>
    <w:rsid w:val="002E31F8"/>
    <w:rsid w:val="002E3358"/>
    <w:rsid w:val="002E3511"/>
    <w:rsid w:val="002E3777"/>
    <w:rsid w:val="002E3B43"/>
    <w:rsid w:val="002E3D1C"/>
    <w:rsid w:val="002E5953"/>
    <w:rsid w:val="002E5971"/>
    <w:rsid w:val="002E5EAB"/>
    <w:rsid w:val="002E6032"/>
    <w:rsid w:val="002E60D4"/>
    <w:rsid w:val="002E773F"/>
    <w:rsid w:val="002E791E"/>
    <w:rsid w:val="002E7F83"/>
    <w:rsid w:val="002F02E0"/>
    <w:rsid w:val="002F19AF"/>
    <w:rsid w:val="002F1B7B"/>
    <w:rsid w:val="002F1C6A"/>
    <w:rsid w:val="002F1FCB"/>
    <w:rsid w:val="002F2430"/>
    <w:rsid w:val="002F282F"/>
    <w:rsid w:val="002F2BC5"/>
    <w:rsid w:val="002F32F4"/>
    <w:rsid w:val="002F3B18"/>
    <w:rsid w:val="002F3DC5"/>
    <w:rsid w:val="002F4F72"/>
    <w:rsid w:val="002F511C"/>
    <w:rsid w:val="002F5E12"/>
    <w:rsid w:val="002F5F9B"/>
    <w:rsid w:val="002F64C6"/>
    <w:rsid w:val="002F67C7"/>
    <w:rsid w:val="002F6A14"/>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4FC"/>
    <w:rsid w:val="00313A44"/>
    <w:rsid w:val="00314A72"/>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2DF"/>
    <w:rsid w:val="003253CA"/>
    <w:rsid w:val="00325E97"/>
    <w:rsid w:val="00326AF6"/>
    <w:rsid w:val="00326D5E"/>
    <w:rsid w:val="003278BD"/>
    <w:rsid w:val="00327A8E"/>
    <w:rsid w:val="00327BDD"/>
    <w:rsid w:val="0033107F"/>
    <w:rsid w:val="00331571"/>
    <w:rsid w:val="00331836"/>
    <w:rsid w:val="0033190E"/>
    <w:rsid w:val="0033271F"/>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56"/>
    <w:rsid w:val="00343BE2"/>
    <w:rsid w:val="003441DA"/>
    <w:rsid w:val="003448FF"/>
    <w:rsid w:val="00344991"/>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0E4"/>
    <w:rsid w:val="0035659D"/>
    <w:rsid w:val="00357CAA"/>
    <w:rsid w:val="003600FB"/>
    <w:rsid w:val="003611E4"/>
    <w:rsid w:val="0036133D"/>
    <w:rsid w:val="0036165B"/>
    <w:rsid w:val="003617D9"/>
    <w:rsid w:val="00361938"/>
    <w:rsid w:val="003625FB"/>
    <w:rsid w:val="003633B9"/>
    <w:rsid w:val="003636DE"/>
    <w:rsid w:val="00364622"/>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152"/>
    <w:rsid w:val="003743D7"/>
    <w:rsid w:val="003749C0"/>
    <w:rsid w:val="003750D6"/>
    <w:rsid w:val="003752B5"/>
    <w:rsid w:val="00375750"/>
    <w:rsid w:val="0037599C"/>
    <w:rsid w:val="00375FDD"/>
    <w:rsid w:val="003804A7"/>
    <w:rsid w:val="003812A7"/>
    <w:rsid w:val="00381DC3"/>
    <w:rsid w:val="00381F89"/>
    <w:rsid w:val="0038228C"/>
    <w:rsid w:val="0038248B"/>
    <w:rsid w:val="00382BDE"/>
    <w:rsid w:val="003832AF"/>
    <w:rsid w:val="00384E4E"/>
    <w:rsid w:val="003859C4"/>
    <w:rsid w:val="00385EA5"/>
    <w:rsid w:val="00386F92"/>
    <w:rsid w:val="0038733D"/>
    <w:rsid w:val="003874C3"/>
    <w:rsid w:val="00387725"/>
    <w:rsid w:val="00387C65"/>
    <w:rsid w:val="0039022E"/>
    <w:rsid w:val="00390CDE"/>
    <w:rsid w:val="00392B20"/>
    <w:rsid w:val="00392BA3"/>
    <w:rsid w:val="00394516"/>
    <w:rsid w:val="003946D4"/>
    <w:rsid w:val="003961E1"/>
    <w:rsid w:val="00396E47"/>
    <w:rsid w:val="003974F9"/>
    <w:rsid w:val="003A05D6"/>
    <w:rsid w:val="003A0AA1"/>
    <w:rsid w:val="003A0FE5"/>
    <w:rsid w:val="003A24EC"/>
    <w:rsid w:val="003A3EA0"/>
    <w:rsid w:val="003A4776"/>
    <w:rsid w:val="003A6262"/>
    <w:rsid w:val="003A645D"/>
    <w:rsid w:val="003B0033"/>
    <w:rsid w:val="003B09E1"/>
    <w:rsid w:val="003B0A5E"/>
    <w:rsid w:val="003B0AA1"/>
    <w:rsid w:val="003B0AB6"/>
    <w:rsid w:val="003B0AD5"/>
    <w:rsid w:val="003B0B21"/>
    <w:rsid w:val="003B16F0"/>
    <w:rsid w:val="003B1D29"/>
    <w:rsid w:val="003B210B"/>
    <w:rsid w:val="003B2371"/>
    <w:rsid w:val="003B2F00"/>
    <w:rsid w:val="003B354A"/>
    <w:rsid w:val="003B3575"/>
    <w:rsid w:val="003B3697"/>
    <w:rsid w:val="003B373B"/>
    <w:rsid w:val="003B3A74"/>
    <w:rsid w:val="003B4150"/>
    <w:rsid w:val="003B4BAF"/>
    <w:rsid w:val="003B5111"/>
    <w:rsid w:val="003B57C3"/>
    <w:rsid w:val="003B609E"/>
    <w:rsid w:val="003B6581"/>
    <w:rsid w:val="003B6C7E"/>
    <w:rsid w:val="003B71D9"/>
    <w:rsid w:val="003B79F9"/>
    <w:rsid w:val="003C0293"/>
    <w:rsid w:val="003C0DF1"/>
    <w:rsid w:val="003C1936"/>
    <w:rsid w:val="003C268F"/>
    <w:rsid w:val="003C2E68"/>
    <w:rsid w:val="003C32DC"/>
    <w:rsid w:val="003C32FC"/>
    <w:rsid w:val="003C4256"/>
    <w:rsid w:val="003C42AD"/>
    <w:rsid w:val="003C49B8"/>
    <w:rsid w:val="003C4C9F"/>
    <w:rsid w:val="003C5D9D"/>
    <w:rsid w:val="003C7036"/>
    <w:rsid w:val="003C7781"/>
    <w:rsid w:val="003C7FA5"/>
    <w:rsid w:val="003D0C96"/>
    <w:rsid w:val="003D1CAA"/>
    <w:rsid w:val="003D38B7"/>
    <w:rsid w:val="003D4395"/>
    <w:rsid w:val="003D474C"/>
    <w:rsid w:val="003D482E"/>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AC7"/>
    <w:rsid w:val="003E5B98"/>
    <w:rsid w:val="003E62FB"/>
    <w:rsid w:val="003E6A41"/>
    <w:rsid w:val="003E7801"/>
    <w:rsid w:val="003F057E"/>
    <w:rsid w:val="003F0AF5"/>
    <w:rsid w:val="003F14E4"/>
    <w:rsid w:val="003F1FC5"/>
    <w:rsid w:val="003F3B5B"/>
    <w:rsid w:val="003F3E65"/>
    <w:rsid w:val="003F42FC"/>
    <w:rsid w:val="003F4833"/>
    <w:rsid w:val="003F4B68"/>
    <w:rsid w:val="003F532D"/>
    <w:rsid w:val="003F7A40"/>
    <w:rsid w:val="004003E7"/>
    <w:rsid w:val="00400CE8"/>
    <w:rsid w:val="0040130D"/>
    <w:rsid w:val="00401B8F"/>
    <w:rsid w:val="00401F76"/>
    <w:rsid w:val="00401FEB"/>
    <w:rsid w:val="004022FC"/>
    <w:rsid w:val="00402763"/>
    <w:rsid w:val="004027A1"/>
    <w:rsid w:val="00403E37"/>
    <w:rsid w:val="0040460C"/>
    <w:rsid w:val="00404E59"/>
    <w:rsid w:val="004051E8"/>
    <w:rsid w:val="00405B6B"/>
    <w:rsid w:val="00405E13"/>
    <w:rsid w:val="00406284"/>
    <w:rsid w:val="00406A7E"/>
    <w:rsid w:val="00406B2A"/>
    <w:rsid w:val="00406B80"/>
    <w:rsid w:val="00406C21"/>
    <w:rsid w:val="00406FC8"/>
    <w:rsid w:val="0040758D"/>
    <w:rsid w:val="00407734"/>
    <w:rsid w:val="00407A5C"/>
    <w:rsid w:val="00411707"/>
    <w:rsid w:val="0041258E"/>
    <w:rsid w:val="00412C2F"/>
    <w:rsid w:val="00413FF7"/>
    <w:rsid w:val="00414336"/>
    <w:rsid w:val="0041486D"/>
    <w:rsid w:val="0041584F"/>
    <w:rsid w:val="00415924"/>
    <w:rsid w:val="004165A7"/>
    <w:rsid w:val="00416F89"/>
    <w:rsid w:val="00417100"/>
    <w:rsid w:val="004177E4"/>
    <w:rsid w:val="00417B7B"/>
    <w:rsid w:val="004203A9"/>
    <w:rsid w:val="004211BE"/>
    <w:rsid w:val="00421E1E"/>
    <w:rsid w:val="0042205F"/>
    <w:rsid w:val="00423395"/>
    <w:rsid w:val="0042357A"/>
    <w:rsid w:val="00423C26"/>
    <w:rsid w:val="00423E43"/>
    <w:rsid w:val="00424839"/>
    <w:rsid w:val="00424A72"/>
    <w:rsid w:val="00424D35"/>
    <w:rsid w:val="0042523D"/>
    <w:rsid w:val="004256FF"/>
    <w:rsid w:val="004258D6"/>
    <w:rsid w:val="004264F9"/>
    <w:rsid w:val="00426777"/>
    <w:rsid w:val="00426A5D"/>
    <w:rsid w:val="00427031"/>
    <w:rsid w:val="00427142"/>
    <w:rsid w:val="00427899"/>
    <w:rsid w:val="00427DBB"/>
    <w:rsid w:val="00427FBB"/>
    <w:rsid w:val="00430399"/>
    <w:rsid w:val="00430E42"/>
    <w:rsid w:val="0043191A"/>
    <w:rsid w:val="0043209C"/>
    <w:rsid w:val="004322A6"/>
    <w:rsid w:val="00433351"/>
    <w:rsid w:val="004340BA"/>
    <w:rsid w:val="004348C5"/>
    <w:rsid w:val="00436B6F"/>
    <w:rsid w:val="00436FBA"/>
    <w:rsid w:val="00437D5A"/>
    <w:rsid w:val="0044044F"/>
    <w:rsid w:val="00441DE8"/>
    <w:rsid w:val="004421AC"/>
    <w:rsid w:val="004421BB"/>
    <w:rsid w:val="00442830"/>
    <w:rsid w:val="00442B81"/>
    <w:rsid w:val="00442F67"/>
    <w:rsid w:val="00442FBB"/>
    <w:rsid w:val="00443487"/>
    <w:rsid w:val="0044467E"/>
    <w:rsid w:val="0044496C"/>
    <w:rsid w:val="00444B6A"/>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BA"/>
    <w:rsid w:val="004572E7"/>
    <w:rsid w:val="00457778"/>
    <w:rsid w:val="00457FE0"/>
    <w:rsid w:val="004606DA"/>
    <w:rsid w:val="00461033"/>
    <w:rsid w:val="00461308"/>
    <w:rsid w:val="00461FB3"/>
    <w:rsid w:val="0046279F"/>
    <w:rsid w:val="00463325"/>
    <w:rsid w:val="00463D48"/>
    <w:rsid w:val="00464148"/>
    <w:rsid w:val="00464488"/>
    <w:rsid w:val="004647B9"/>
    <w:rsid w:val="00464E21"/>
    <w:rsid w:val="00464F06"/>
    <w:rsid w:val="004652D5"/>
    <w:rsid w:val="00465B25"/>
    <w:rsid w:val="00465BF5"/>
    <w:rsid w:val="004668E6"/>
    <w:rsid w:val="004673D5"/>
    <w:rsid w:val="0047274B"/>
    <w:rsid w:val="00472B3D"/>
    <w:rsid w:val="00472D90"/>
    <w:rsid w:val="00473EB5"/>
    <w:rsid w:val="00475BFD"/>
    <w:rsid w:val="0047647A"/>
    <w:rsid w:val="00476C45"/>
    <w:rsid w:val="004771E5"/>
    <w:rsid w:val="00477357"/>
    <w:rsid w:val="0047738D"/>
    <w:rsid w:val="00477E07"/>
    <w:rsid w:val="004804CF"/>
    <w:rsid w:val="00480A69"/>
    <w:rsid w:val="004813E0"/>
    <w:rsid w:val="00483B0E"/>
    <w:rsid w:val="0048413A"/>
    <w:rsid w:val="00484AE9"/>
    <w:rsid w:val="00485508"/>
    <w:rsid w:val="0048659E"/>
    <w:rsid w:val="00486775"/>
    <w:rsid w:val="004872BC"/>
    <w:rsid w:val="004874A4"/>
    <w:rsid w:val="004914AA"/>
    <w:rsid w:val="00491E99"/>
    <w:rsid w:val="004929E7"/>
    <w:rsid w:val="0049318A"/>
    <w:rsid w:val="00493A5B"/>
    <w:rsid w:val="00494ED5"/>
    <w:rsid w:val="00494F0A"/>
    <w:rsid w:val="00495547"/>
    <w:rsid w:val="004961AD"/>
    <w:rsid w:val="00496339"/>
    <w:rsid w:val="004967A0"/>
    <w:rsid w:val="00496C40"/>
    <w:rsid w:val="00497059"/>
    <w:rsid w:val="00497082"/>
    <w:rsid w:val="004973EC"/>
    <w:rsid w:val="00497B15"/>
    <w:rsid w:val="00497CE8"/>
    <w:rsid w:val="00497F6A"/>
    <w:rsid w:val="004A0133"/>
    <w:rsid w:val="004A0292"/>
    <w:rsid w:val="004A054C"/>
    <w:rsid w:val="004A0617"/>
    <w:rsid w:val="004A1573"/>
    <w:rsid w:val="004A1A63"/>
    <w:rsid w:val="004A2326"/>
    <w:rsid w:val="004A2A39"/>
    <w:rsid w:val="004A319F"/>
    <w:rsid w:val="004A32F1"/>
    <w:rsid w:val="004A363B"/>
    <w:rsid w:val="004A36A8"/>
    <w:rsid w:val="004A6251"/>
    <w:rsid w:val="004A6CA2"/>
    <w:rsid w:val="004A770C"/>
    <w:rsid w:val="004A781C"/>
    <w:rsid w:val="004A7BE3"/>
    <w:rsid w:val="004A7ECD"/>
    <w:rsid w:val="004B05CE"/>
    <w:rsid w:val="004B0D75"/>
    <w:rsid w:val="004B0EF8"/>
    <w:rsid w:val="004B117E"/>
    <w:rsid w:val="004B17F7"/>
    <w:rsid w:val="004B1E33"/>
    <w:rsid w:val="004B4654"/>
    <w:rsid w:val="004B5540"/>
    <w:rsid w:val="004B5F62"/>
    <w:rsid w:val="004B6800"/>
    <w:rsid w:val="004B69CB"/>
    <w:rsid w:val="004B6B98"/>
    <w:rsid w:val="004B748E"/>
    <w:rsid w:val="004B7C5E"/>
    <w:rsid w:val="004C05E4"/>
    <w:rsid w:val="004C130D"/>
    <w:rsid w:val="004C1578"/>
    <w:rsid w:val="004C1927"/>
    <w:rsid w:val="004C2276"/>
    <w:rsid w:val="004C2836"/>
    <w:rsid w:val="004C3A42"/>
    <w:rsid w:val="004C4721"/>
    <w:rsid w:val="004C4B13"/>
    <w:rsid w:val="004C4B5E"/>
    <w:rsid w:val="004C5064"/>
    <w:rsid w:val="004C513B"/>
    <w:rsid w:val="004C537F"/>
    <w:rsid w:val="004C54F2"/>
    <w:rsid w:val="004C5B4E"/>
    <w:rsid w:val="004C62A2"/>
    <w:rsid w:val="004C643F"/>
    <w:rsid w:val="004C6683"/>
    <w:rsid w:val="004C715A"/>
    <w:rsid w:val="004D0112"/>
    <w:rsid w:val="004D0927"/>
    <w:rsid w:val="004D12E1"/>
    <w:rsid w:val="004D1337"/>
    <w:rsid w:val="004D19B6"/>
    <w:rsid w:val="004D2332"/>
    <w:rsid w:val="004D2CC5"/>
    <w:rsid w:val="004D3065"/>
    <w:rsid w:val="004D320B"/>
    <w:rsid w:val="004D3ADD"/>
    <w:rsid w:val="004D3AFC"/>
    <w:rsid w:val="004D3EE4"/>
    <w:rsid w:val="004D431C"/>
    <w:rsid w:val="004D48D7"/>
    <w:rsid w:val="004D4B98"/>
    <w:rsid w:val="004D500B"/>
    <w:rsid w:val="004D5713"/>
    <w:rsid w:val="004D5934"/>
    <w:rsid w:val="004D5E04"/>
    <w:rsid w:val="004D6148"/>
    <w:rsid w:val="004D66F7"/>
    <w:rsid w:val="004D79AB"/>
    <w:rsid w:val="004E0362"/>
    <w:rsid w:val="004E0C13"/>
    <w:rsid w:val="004E0DB7"/>
    <w:rsid w:val="004E1029"/>
    <w:rsid w:val="004E13BA"/>
    <w:rsid w:val="004E1A6E"/>
    <w:rsid w:val="004E1B12"/>
    <w:rsid w:val="004E32FC"/>
    <w:rsid w:val="004E395C"/>
    <w:rsid w:val="004E3E15"/>
    <w:rsid w:val="004E45CA"/>
    <w:rsid w:val="004E4A63"/>
    <w:rsid w:val="004E531A"/>
    <w:rsid w:val="004E6061"/>
    <w:rsid w:val="004E6502"/>
    <w:rsid w:val="004E6A8C"/>
    <w:rsid w:val="004E744E"/>
    <w:rsid w:val="004F026D"/>
    <w:rsid w:val="004F0402"/>
    <w:rsid w:val="004F07B7"/>
    <w:rsid w:val="004F12C9"/>
    <w:rsid w:val="004F1B13"/>
    <w:rsid w:val="004F1BC4"/>
    <w:rsid w:val="004F28AC"/>
    <w:rsid w:val="004F2A92"/>
    <w:rsid w:val="004F2E5D"/>
    <w:rsid w:val="004F2E7C"/>
    <w:rsid w:val="004F421C"/>
    <w:rsid w:val="004F4289"/>
    <w:rsid w:val="004F48BF"/>
    <w:rsid w:val="004F5821"/>
    <w:rsid w:val="004F5F16"/>
    <w:rsid w:val="004F61AB"/>
    <w:rsid w:val="004F674E"/>
    <w:rsid w:val="004F6C74"/>
    <w:rsid w:val="005001E5"/>
    <w:rsid w:val="00500A0B"/>
    <w:rsid w:val="00500C4C"/>
    <w:rsid w:val="005016CA"/>
    <w:rsid w:val="00502093"/>
    <w:rsid w:val="00502177"/>
    <w:rsid w:val="00502F08"/>
    <w:rsid w:val="0050345B"/>
    <w:rsid w:val="00504E19"/>
    <w:rsid w:val="005063B6"/>
    <w:rsid w:val="00506A1C"/>
    <w:rsid w:val="0050734D"/>
    <w:rsid w:val="00507AB3"/>
    <w:rsid w:val="00510956"/>
    <w:rsid w:val="00510F23"/>
    <w:rsid w:val="0051133B"/>
    <w:rsid w:val="005115C3"/>
    <w:rsid w:val="00513DF1"/>
    <w:rsid w:val="0051525F"/>
    <w:rsid w:val="00515288"/>
    <w:rsid w:val="00515B21"/>
    <w:rsid w:val="00515CF2"/>
    <w:rsid w:val="00516174"/>
    <w:rsid w:val="00516EBF"/>
    <w:rsid w:val="00517079"/>
    <w:rsid w:val="00520023"/>
    <w:rsid w:val="005201C4"/>
    <w:rsid w:val="00520569"/>
    <w:rsid w:val="005212AE"/>
    <w:rsid w:val="005229B8"/>
    <w:rsid w:val="00522C1A"/>
    <w:rsid w:val="00523091"/>
    <w:rsid w:val="00523826"/>
    <w:rsid w:val="0052406A"/>
    <w:rsid w:val="005242CB"/>
    <w:rsid w:val="00524D42"/>
    <w:rsid w:val="0052608B"/>
    <w:rsid w:val="005265D0"/>
    <w:rsid w:val="00526D7B"/>
    <w:rsid w:val="00526DC4"/>
    <w:rsid w:val="00527324"/>
    <w:rsid w:val="005274E0"/>
    <w:rsid w:val="00527F7B"/>
    <w:rsid w:val="005300DF"/>
    <w:rsid w:val="0053174D"/>
    <w:rsid w:val="00531B2A"/>
    <w:rsid w:val="00531B72"/>
    <w:rsid w:val="00531C8C"/>
    <w:rsid w:val="00531DC6"/>
    <w:rsid w:val="005322AF"/>
    <w:rsid w:val="005324A4"/>
    <w:rsid w:val="00532D69"/>
    <w:rsid w:val="00532E56"/>
    <w:rsid w:val="00533B21"/>
    <w:rsid w:val="00533D34"/>
    <w:rsid w:val="00533EE1"/>
    <w:rsid w:val="0053412B"/>
    <w:rsid w:val="00534D86"/>
    <w:rsid w:val="0053514B"/>
    <w:rsid w:val="0053715D"/>
    <w:rsid w:val="00537700"/>
    <w:rsid w:val="00537BB3"/>
    <w:rsid w:val="00537DB4"/>
    <w:rsid w:val="00540317"/>
    <w:rsid w:val="0054049A"/>
    <w:rsid w:val="0054184C"/>
    <w:rsid w:val="00541B18"/>
    <w:rsid w:val="00541D68"/>
    <w:rsid w:val="00542646"/>
    <w:rsid w:val="00542A83"/>
    <w:rsid w:val="00543994"/>
    <w:rsid w:val="00543C2D"/>
    <w:rsid w:val="00543DE7"/>
    <w:rsid w:val="0054479C"/>
    <w:rsid w:val="00544E43"/>
    <w:rsid w:val="005467DB"/>
    <w:rsid w:val="00546E22"/>
    <w:rsid w:val="00547361"/>
    <w:rsid w:val="00547737"/>
    <w:rsid w:val="00547A16"/>
    <w:rsid w:val="00551154"/>
    <w:rsid w:val="00551AFF"/>
    <w:rsid w:val="005522CE"/>
    <w:rsid w:val="00552ACC"/>
    <w:rsid w:val="00553082"/>
    <w:rsid w:val="00553578"/>
    <w:rsid w:val="00553FFF"/>
    <w:rsid w:val="00554C70"/>
    <w:rsid w:val="00555261"/>
    <w:rsid w:val="0055538E"/>
    <w:rsid w:val="0055560D"/>
    <w:rsid w:val="0055566D"/>
    <w:rsid w:val="005558DD"/>
    <w:rsid w:val="00555A41"/>
    <w:rsid w:val="00555DA6"/>
    <w:rsid w:val="0055695F"/>
    <w:rsid w:val="00556D72"/>
    <w:rsid w:val="00557727"/>
    <w:rsid w:val="00557C7D"/>
    <w:rsid w:val="00557CEF"/>
    <w:rsid w:val="00557EEB"/>
    <w:rsid w:val="00560145"/>
    <w:rsid w:val="0056061C"/>
    <w:rsid w:val="005609AA"/>
    <w:rsid w:val="00561A88"/>
    <w:rsid w:val="00561AFE"/>
    <w:rsid w:val="00561B8F"/>
    <w:rsid w:val="0056210B"/>
    <w:rsid w:val="00562D03"/>
    <w:rsid w:val="005632DA"/>
    <w:rsid w:val="00563692"/>
    <w:rsid w:val="0056377D"/>
    <w:rsid w:val="00563B9C"/>
    <w:rsid w:val="00564488"/>
    <w:rsid w:val="0056508D"/>
    <w:rsid w:val="00567CCF"/>
    <w:rsid w:val="00570608"/>
    <w:rsid w:val="005707BD"/>
    <w:rsid w:val="00570A3B"/>
    <w:rsid w:val="0057187A"/>
    <w:rsid w:val="005720EB"/>
    <w:rsid w:val="0057240E"/>
    <w:rsid w:val="0057273D"/>
    <w:rsid w:val="00572C4A"/>
    <w:rsid w:val="005731B2"/>
    <w:rsid w:val="00573350"/>
    <w:rsid w:val="00573D28"/>
    <w:rsid w:val="00573E34"/>
    <w:rsid w:val="005740D5"/>
    <w:rsid w:val="005740DA"/>
    <w:rsid w:val="00576025"/>
    <w:rsid w:val="005762B4"/>
    <w:rsid w:val="00577656"/>
    <w:rsid w:val="0057772B"/>
    <w:rsid w:val="00580176"/>
    <w:rsid w:val="005802AF"/>
    <w:rsid w:val="00581327"/>
    <w:rsid w:val="005817AB"/>
    <w:rsid w:val="00582C57"/>
    <w:rsid w:val="00584BAB"/>
    <w:rsid w:val="00584EFB"/>
    <w:rsid w:val="00585D67"/>
    <w:rsid w:val="0058621D"/>
    <w:rsid w:val="00586D72"/>
    <w:rsid w:val="00586E4F"/>
    <w:rsid w:val="00587330"/>
    <w:rsid w:val="00587984"/>
    <w:rsid w:val="00587A84"/>
    <w:rsid w:val="00587B46"/>
    <w:rsid w:val="00590AF7"/>
    <w:rsid w:val="00592360"/>
    <w:rsid w:val="00593112"/>
    <w:rsid w:val="0059317E"/>
    <w:rsid w:val="00593333"/>
    <w:rsid w:val="0059349E"/>
    <w:rsid w:val="005953C5"/>
    <w:rsid w:val="005960D3"/>
    <w:rsid w:val="005973A7"/>
    <w:rsid w:val="005A0825"/>
    <w:rsid w:val="005A09A3"/>
    <w:rsid w:val="005A1FEE"/>
    <w:rsid w:val="005A2081"/>
    <w:rsid w:val="005A273F"/>
    <w:rsid w:val="005A3583"/>
    <w:rsid w:val="005A3808"/>
    <w:rsid w:val="005A4118"/>
    <w:rsid w:val="005A453F"/>
    <w:rsid w:val="005A493F"/>
    <w:rsid w:val="005A4F5C"/>
    <w:rsid w:val="005A6A9E"/>
    <w:rsid w:val="005A752F"/>
    <w:rsid w:val="005B1E67"/>
    <w:rsid w:val="005B2365"/>
    <w:rsid w:val="005B296A"/>
    <w:rsid w:val="005B3184"/>
    <w:rsid w:val="005B36F5"/>
    <w:rsid w:val="005B3BB9"/>
    <w:rsid w:val="005B3F3B"/>
    <w:rsid w:val="005B5E4D"/>
    <w:rsid w:val="005B5FC8"/>
    <w:rsid w:val="005B6E2C"/>
    <w:rsid w:val="005B7761"/>
    <w:rsid w:val="005C064C"/>
    <w:rsid w:val="005C08BA"/>
    <w:rsid w:val="005C0DC0"/>
    <w:rsid w:val="005C194D"/>
    <w:rsid w:val="005C1A28"/>
    <w:rsid w:val="005C21B5"/>
    <w:rsid w:val="005C30CD"/>
    <w:rsid w:val="005C3179"/>
    <w:rsid w:val="005C464F"/>
    <w:rsid w:val="005C565F"/>
    <w:rsid w:val="005C5B71"/>
    <w:rsid w:val="005C633F"/>
    <w:rsid w:val="005C639C"/>
    <w:rsid w:val="005C7062"/>
    <w:rsid w:val="005C714B"/>
    <w:rsid w:val="005C795A"/>
    <w:rsid w:val="005D1B80"/>
    <w:rsid w:val="005D2CDE"/>
    <w:rsid w:val="005D2DDC"/>
    <w:rsid w:val="005D341C"/>
    <w:rsid w:val="005D3A26"/>
    <w:rsid w:val="005D3C96"/>
    <w:rsid w:val="005D4EDA"/>
    <w:rsid w:val="005D58F0"/>
    <w:rsid w:val="005D60DE"/>
    <w:rsid w:val="005D65FC"/>
    <w:rsid w:val="005D6747"/>
    <w:rsid w:val="005D6918"/>
    <w:rsid w:val="005D7B4D"/>
    <w:rsid w:val="005E08EE"/>
    <w:rsid w:val="005E0DFD"/>
    <w:rsid w:val="005E3A57"/>
    <w:rsid w:val="005E3BA2"/>
    <w:rsid w:val="005E40A8"/>
    <w:rsid w:val="005E4335"/>
    <w:rsid w:val="005E534E"/>
    <w:rsid w:val="005E5F15"/>
    <w:rsid w:val="005E65D5"/>
    <w:rsid w:val="005E6759"/>
    <w:rsid w:val="005E7811"/>
    <w:rsid w:val="005E7897"/>
    <w:rsid w:val="005F0996"/>
    <w:rsid w:val="005F0DEC"/>
    <w:rsid w:val="005F1394"/>
    <w:rsid w:val="005F156F"/>
    <w:rsid w:val="005F1A9B"/>
    <w:rsid w:val="005F1C5A"/>
    <w:rsid w:val="005F1D9F"/>
    <w:rsid w:val="005F2179"/>
    <w:rsid w:val="005F2E7D"/>
    <w:rsid w:val="005F2F7D"/>
    <w:rsid w:val="005F31FB"/>
    <w:rsid w:val="005F366A"/>
    <w:rsid w:val="005F45C2"/>
    <w:rsid w:val="005F4C2E"/>
    <w:rsid w:val="005F4C7D"/>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2DA1"/>
    <w:rsid w:val="006031E8"/>
    <w:rsid w:val="00603EE5"/>
    <w:rsid w:val="00605582"/>
    <w:rsid w:val="00605720"/>
    <w:rsid w:val="00605C0C"/>
    <w:rsid w:val="00605C57"/>
    <w:rsid w:val="00605C73"/>
    <w:rsid w:val="0060626C"/>
    <w:rsid w:val="006065FF"/>
    <w:rsid w:val="00607309"/>
    <w:rsid w:val="00607F3D"/>
    <w:rsid w:val="00610C46"/>
    <w:rsid w:val="006128DB"/>
    <w:rsid w:val="00614079"/>
    <w:rsid w:val="00614188"/>
    <w:rsid w:val="0061433D"/>
    <w:rsid w:val="00614691"/>
    <w:rsid w:val="00615362"/>
    <w:rsid w:val="006157B6"/>
    <w:rsid w:val="006158B2"/>
    <w:rsid w:val="00615A62"/>
    <w:rsid w:val="00615EBC"/>
    <w:rsid w:val="00616F1D"/>
    <w:rsid w:val="00616FA1"/>
    <w:rsid w:val="00617C77"/>
    <w:rsid w:val="00620031"/>
    <w:rsid w:val="0062006E"/>
    <w:rsid w:val="00620357"/>
    <w:rsid w:val="00620FB8"/>
    <w:rsid w:val="006214D7"/>
    <w:rsid w:val="006214FA"/>
    <w:rsid w:val="00621B71"/>
    <w:rsid w:val="00622BEF"/>
    <w:rsid w:val="0062386E"/>
    <w:rsid w:val="00624244"/>
    <w:rsid w:val="00624802"/>
    <w:rsid w:val="00624F20"/>
    <w:rsid w:val="00625F4E"/>
    <w:rsid w:val="006277C3"/>
    <w:rsid w:val="006279BE"/>
    <w:rsid w:val="00627FBA"/>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469"/>
    <w:rsid w:val="006425FB"/>
    <w:rsid w:val="006427D9"/>
    <w:rsid w:val="0064288A"/>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67E"/>
    <w:rsid w:val="00653271"/>
    <w:rsid w:val="00654244"/>
    <w:rsid w:val="006546B6"/>
    <w:rsid w:val="006547BB"/>
    <w:rsid w:val="006555CA"/>
    <w:rsid w:val="00655BA3"/>
    <w:rsid w:val="006560E3"/>
    <w:rsid w:val="006564ED"/>
    <w:rsid w:val="00656C6E"/>
    <w:rsid w:val="0066116D"/>
    <w:rsid w:val="00663F47"/>
    <w:rsid w:val="00664AC4"/>
    <w:rsid w:val="00664B75"/>
    <w:rsid w:val="00664FB0"/>
    <w:rsid w:val="0066505B"/>
    <w:rsid w:val="006651E2"/>
    <w:rsid w:val="00665ACE"/>
    <w:rsid w:val="0066701C"/>
    <w:rsid w:val="006671D4"/>
    <w:rsid w:val="0066750D"/>
    <w:rsid w:val="00667F2F"/>
    <w:rsid w:val="006708A0"/>
    <w:rsid w:val="00670FDE"/>
    <w:rsid w:val="00671338"/>
    <w:rsid w:val="00671D6E"/>
    <w:rsid w:val="00671DE0"/>
    <w:rsid w:val="006722B7"/>
    <w:rsid w:val="00672CE0"/>
    <w:rsid w:val="00672F8D"/>
    <w:rsid w:val="006730DE"/>
    <w:rsid w:val="006730F3"/>
    <w:rsid w:val="0067330C"/>
    <w:rsid w:val="00673B33"/>
    <w:rsid w:val="006747AB"/>
    <w:rsid w:val="00675466"/>
    <w:rsid w:val="006758AF"/>
    <w:rsid w:val="00675A30"/>
    <w:rsid w:val="00675A61"/>
    <w:rsid w:val="00676465"/>
    <w:rsid w:val="006775C4"/>
    <w:rsid w:val="0068056E"/>
    <w:rsid w:val="0068132A"/>
    <w:rsid w:val="00681AC1"/>
    <w:rsid w:val="00681EE7"/>
    <w:rsid w:val="00682165"/>
    <w:rsid w:val="00683178"/>
    <w:rsid w:val="0068325D"/>
    <w:rsid w:val="00683AF5"/>
    <w:rsid w:val="00683E0C"/>
    <w:rsid w:val="00684F50"/>
    <w:rsid w:val="00685785"/>
    <w:rsid w:val="00685E24"/>
    <w:rsid w:val="00686F6A"/>
    <w:rsid w:val="00687828"/>
    <w:rsid w:val="00687BEB"/>
    <w:rsid w:val="00690738"/>
    <w:rsid w:val="00690A63"/>
    <w:rsid w:val="00691515"/>
    <w:rsid w:val="00692778"/>
    <w:rsid w:val="00692B2A"/>
    <w:rsid w:val="006930AB"/>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263"/>
    <w:rsid w:val="006B1B86"/>
    <w:rsid w:val="006B1E3C"/>
    <w:rsid w:val="006B208B"/>
    <w:rsid w:val="006B3C7A"/>
    <w:rsid w:val="006B454E"/>
    <w:rsid w:val="006B462B"/>
    <w:rsid w:val="006B46C9"/>
    <w:rsid w:val="006B4FD6"/>
    <w:rsid w:val="006B511B"/>
    <w:rsid w:val="006B5508"/>
    <w:rsid w:val="006B5795"/>
    <w:rsid w:val="006B5852"/>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2975"/>
    <w:rsid w:val="006D3FF8"/>
    <w:rsid w:val="006D428F"/>
    <w:rsid w:val="006D54E1"/>
    <w:rsid w:val="006D5A11"/>
    <w:rsid w:val="006D628E"/>
    <w:rsid w:val="006D668F"/>
    <w:rsid w:val="006D67DE"/>
    <w:rsid w:val="006E0406"/>
    <w:rsid w:val="006E09D6"/>
    <w:rsid w:val="006E0D6E"/>
    <w:rsid w:val="006E1695"/>
    <w:rsid w:val="006E197B"/>
    <w:rsid w:val="006E1AC8"/>
    <w:rsid w:val="006E22C9"/>
    <w:rsid w:val="006E2B27"/>
    <w:rsid w:val="006E406F"/>
    <w:rsid w:val="006E5742"/>
    <w:rsid w:val="006E58AF"/>
    <w:rsid w:val="006E698C"/>
    <w:rsid w:val="006E6A36"/>
    <w:rsid w:val="006E7F21"/>
    <w:rsid w:val="006F0329"/>
    <w:rsid w:val="006F0642"/>
    <w:rsid w:val="006F06A1"/>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409"/>
    <w:rsid w:val="0071287D"/>
    <w:rsid w:val="00712D50"/>
    <w:rsid w:val="00713419"/>
    <w:rsid w:val="007135A0"/>
    <w:rsid w:val="00713957"/>
    <w:rsid w:val="00714402"/>
    <w:rsid w:val="00714488"/>
    <w:rsid w:val="00714E6C"/>
    <w:rsid w:val="00715319"/>
    <w:rsid w:val="00715DC7"/>
    <w:rsid w:val="00715EBB"/>
    <w:rsid w:val="007165DD"/>
    <w:rsid w:val="00717898"/>
    <w:rsid w:val="0072215B"/>
    <w:rsid w:val="00722B88"/>
    <w:rsid w:val="0072304C"/>
    <w:rsid w:val="0072368F"/>
    <w:rsid w:val="00723D7F"/>
    <w:rsid w:val="00723EC1"/>
    <w:rsid w:val="00724552"/>
    <w:rsid w:val="00724C1C"/>
    <w:rsid w:val="00727C09"/>
    <w:rsid w:val="00727D9C"/>
    <w:rsid w:val="00727F60"/>
    <w:rsid w:val="00730089"/>
    <w:rsid w:val="00730250"/>
    <w:rsid w:val="00730453"/>
    <w:rsid w:val="0073182F"/>
    <w:rsid w:val="0073212F"/>
    <w:rsid w:val="007321EA"/>
    <w:rsid w:val="007324A9"/>
    <w:rsid w:val="00732939"/>
    <w:rsid w:val="007332CB"/>
    <w:rsid w:val="00734300"/>
    <w:rsid w:val="0073439D"/>
    <w:rsid w:val="00734795"/>
    <w:rsid w:val="00735832"/>
    <w:rsid w:val="007365B8"/>
    <w:rsid w:val="00736F71"/>
    <w:rsid w:val="00737BC7"/>
    <w:rsid w:val="00740D93"/>
    <w:rsid w:val="007426D1"/>
    <w:rsid w:val="00743E50"/>
    <w:rsid w:val="00743F9C"/>
    <w:rsid w:val="00744085"/>
    <w:rsid w:val="00744DC2"/>
    <w:rsid w:val="00744E48"/>
    <w:rsid w:val="00744EED"/>
    <w:rsid w:val="00746015"/>
    <w:rsid w:val="00746730"/>
    <w:rsid w:val="007469F7"/>
    <w:rsid w:val="0075000B"/>
    <w:rsid w:val="00751760"/>
    <w:rsid w:val="00752C85"/>
    <w:rsid w:val="00752CFC"/>
    <w:rsid w:val="007537D6"/>
    <w:rsid w:val="007562AF"/>
    <w:rsid w:val="00756771"/>
    <w:rsid w:val="00756A0B"/>
    <w:rsid w:val="00757070"/>
    <w:rsid w:val="0075716B"/>
    <w:rsid w:val="00757251"/>
    <w:rsid w:val="007573A2"/>
    <w:rsid w:val="00757BFC"/>
    <w:rsid w:val="00757FD7"/>
    <w:rsid w:val="00760108"/>
    <w:rsid w:val="00760AB6"/>
    <w:rsid w:val="00760DD6"/>
    <w:rsid w:val="007610AF"/>
    <w:rsid w:val="00761447"/>
    <w:rsid w:val="00761706"/>
    <w:rsid w:val="00762263"/>
    <w:rsid w:val="00762460"/>
    <w:rsid w:val="00762B99"/>
    <w:rsid w:val="007656A2"/>
    <w:rsid w:val="00765B20"/>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4D"/>
    <w:rsid w:val="007779BF"/>
    <w:rsid w:val="00777B9A"/>
    <w:rsid w:val="00777CFA"/>
    <w:rsid w:val="00777F6C"/>
    <w:rsid w:val="007806D4"/>
    <w:rsid w:val="00781E84"/>
    <w:rsid w:val="00781EFF"/>
    <w:rsid w:val="00781F05"/>
    <w:rsid w:val="00782019"/>
    <w:rsid w:val="00783199"/>
    <w:rsid w:val="00783542"/>
    <w:rsid w:val="007841D1"/>
    <w:rsid w:val="00784D49"/>
    <w:rsid w:val="00786663"/>
    <w:rsid w:val="00786A0E"/>
    <w:rsid w:val="00787328"/>
    <w:rsid w:val="00787403"/>
    <w:rsid w:val="00787FF8"/>
    <w:rsid w:val="007904C9"/>
    <w:rsid w:val="00790CF4"/>
    <w:rsid w:val="00790DA7"/>
    <w:rsid w:val="0079140C"/>
    <w:rsid w:val="00791F5C"/>
    <w:rsid w:val="007927EC"/>
    <w:rsid w:val="00792B4F"/>
    <w:rsid w:val="00792E46"/>
    <w:rsid w:val="00792E5F"/>
    <w:rsid w:val="00793C07"/>
    <w:rsid w:val="00795A12"/>
    <w:rsid w:val="00796315"/>
    <w:rsid w:val="00796538"/>
    <w:rsid w:val="00796AB8"/>
    <w:rsid w:val="00796CE5"/>
    <w:rsid w:val="007971F8"/>
    <w:rsid w:val="007975C7"/>
    <w:rsid w:val="007A0C87"/>
    <w:rsid w:val="007A0DD5"/>
    <w:rsid w:val="007A1643"/>
    <w:rsid w:val="007A1877"/>
    <w:rsid w:val="007A1A79"/>
    <w:rsid w:val="007A367E"/>
    <w:rsid w:val="007A3AF8"/>
    <w:rsid w:val="007A43A0"/>
    <w:rsid w:val="007A47F2"/>
    <w:rsid w:val="007A490A"/>
    <w:rsid w:val="007A530A"/>
    <w:rsid w:val="007A65AF"/>
    <w:rsid w:val="007A7079"/>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B7000"/>
    <w:rsid w:val="007C04A2"/>
    <w:rsid w:val="007C1271"/>
    <w:rsid w:val="007C1273"/>
    <w:rsid w:val="007C313D"/>
    <w:rsid w:val="007C3738"/>
    <w:rsid w:val="007C3B2E"/>
    <w:rsid w:val="007C4059"/>
    <w:rsid w:val="007C405D"/>
    <w:rsid w:val="007C4D7C"/>
    <w:rsid w:val="007C5545"/>
    <w:rsid w:val="007C587A"/>
    <w:rsid w:val="007C5FD2"/>
    <w:rsid w:val="007C7413"/>
    <w:rsid w:val="007C79F5"/>
    <w:rsid w:val="007C7A6B"/>
    <w:rsid w:val="007D0A0F"/>
    <w:rsid w:val="007D131D"/>
    <w:rsid w:val="007D1719"/>
    <w:rsid w:val="007D303D"/>
    <w:rsid w:val="007D3939"/>
    <w:rsid w:val="007D3BCC"/>
    <w:rsid w:val="007D3CE0"/>
    <w:rsid w:val="007D404D"/>
    <w:rsid w:val="007D43FF"/>
    <w:rsid w:val="007D45CB"/>
    <w:rsid w:val="007D4645"/>
    <w:rsid w:val="007D5692"/>
    <w:rsid w:val="007D6461"/>
    <w:rsid w:val="007E3210"/>
    <w:rsid w:val="007E32FC"/>
    <w:rsid w:val="007E3634"/>
    <w:rsid w:val="007E4266"/>
    <w:rsid w:val="007E4EA5"/>
    <w:rsid w:val="007E5A5C"/>
    <w:rsid w:val="007E5C93"/>
    <w:rsid w:val="007E5F2D"/>
    <w:rsid w:val="007E7A9C"/>
    <w:rsid w:val="007F0BA9"/>
    <w:rsid w:val="007F14CC"/>
    <w:rsid w:val="007F17A3"/>
    <w:rsid w:val="007F1A1A"/>
    <w:rsid w:val="007F1ECE"/>
    <w:rsid w:val="007F2DD4"/>
    <w:rsid w:val="007F347B"/>
    <w:rsid w:val="007F35C6"/>
    <w:rsid w:val="007F3BF0"/>
    <w:rsid w:val="007F4049"/>
    <w:rsid w:val="007F4946"/>
    <w:rsid w:val="007F4B42"/>
    <w:rsid w:val="007F5B11"/>
    <w:rsid w:val="007F6C01"/>
    <w:rsid w:val="007F7CB7"/>
    <w:rsid w:val="007F7F91"/>
    <w:rsid w:val="00801A10"/>
    <w:rsid w:val="00801F35"/>
    <w:rsid w:val="00803391"/>
    <w:rsid w:val="00803D63"/>
    <w:rsid w:val="0080455A"/>
    <w:rsid w:val="00805B95"/>
    <w:rsid w:val="008061D6"/>
    <w:rsid w:val="008068C9"/>
    <w:rsid w:val="00806D14"/>
    <w:rsid w:val="0080728A"/>
    <w:rsid w:val="00807D76"/>
    <w:rsid w:val="0081035F"/>
    <w:rsid w:val="00811182"/>
    <w:rsid w:val="00811407"/>
    <w:rsid w:val="00811B44"/>
    <w:rsid w:val="008122E4"/>
    <w:rsid w:val="00812B26"/>
    <w:rsid w:val="00812D5A"/>
    <w:rsid w:val="00813494"/>
    <w:rsid w:val="00813755"/>
    <w:rsid w:val="008161D5"/>
    <w:rsid w:val="0081662C"/>
    <w:rsid w:val="00817A06"/>
    <w:rsid w:val="0082001A"/>
    <w:rsid w:val="008205D0"/>
    <w:rsid w:val="0082070E"/>
    <w:rsid w:val="00820D99"/>
    <w:rsid w:val="00820E06"/>
    <w:rsid w:val="008211F5"/>
    <w:rsid w:val="00823863"/>
    <w:rsid w:val="008240AB"/>
    <w:rsid w:val="008241FC"/>
    <w:rsid w:val="00824B51"/>
    <w:rsid w:val="00825104"/>
    <w:rsid w:val="00825DF2"/>
    <w:rsid w:val="00826459"/>
    <w:rsid w:val="008264A3"/>
    <w:rsid w:val="00826F27"/>
    <w:rsid w:val="008270BC"/>
    <w:rsid w:val="008306EC"/>
    <w:rsid w:val="008309C8"/>
    <w:rsid w:val="008309F3"/>
    <w:rsid w:val="008312B3"/>
    <w:rsid w:val="00831D46"/>
    <w:rsid w:val="0083287B"/>
    <w:rsid w:val="00832A83"/>
    <w:rsid w:val="00832D2B"/>
    <w:rsid w:val="00833114"/>
    <w:rsid w:val="008348D8"/>
    <w:rsid w:val="00834A47"/>
    <w:rsid w:val="00835083"/>
    <w:rsid w:val="00835199"/>
    <w:rsid w:val="00835668"/>
    <w:rsid w:val="008357D2"/>
    <w:rsid w:val="008370CF"/>
    <w:rsid w:val="00837CEF"/>
    <w:rsid w:val="00840C89"/>
    <w:rsid w:val="0084114B"/>
    <w:rsid w:val="00841D66"/>
    <w:rsid w:val="008425A1"/>
    <w:rsid w:val="00842608"/>
    <w:rsid w:val="00842756"/>
    <w:rsid w:val="008430AD"/>
    <w:rsid w:val="008433AE"/>
    <w:rsid w:val="0084355F"/>
    <w:rsid w:val="00843804"/>
    <w:rsid w:val="00843D17"/>
    <w:rsid w:val="00843EF4"/>
    <w:rsid w:val="00844F27"/>
    <w:rsid w:val="00846DD0"/>
    <w:rsid w:val="0084703C"/>
    <w:rsid w:val="008473A8"/>
    <w:rsid w:val="00847424"/>
    <w:rsid w:val="00847B25"/>
    <w:rsid w:val="00850061"/>
    <w:rsid w:val="00850259"/>
    <w:rsid w:val="008504C8"/>
    <w:rsid w:val="00850DF3"/>
    <w:rsid w:val="00851000"/>
    <w:rsid w:val="00851789"/>
    <w:rsid w:val="00851C6C"/>
    <w:rsid w:val="0085212A"/>
    <w:rsid w:val="00853F72"/>
    <w:rsid w:val="00854886"/>
    <w:rsid w:val="00855029"/>
    <w:rsid w:val="0085507C"/>
    <w:rsid w:val="0085563E"/>
    <w:rsid w:val="008556F0"/>
    <w:rsid w:val="00855D39"/>
    <w:rsid w:val="008567E3"/>
    <w:rsid w:val="00857CA9"/>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21B"/>
    <w:rsid w:val="0087135B"/>
    <w:rsid w:val="00871CF9"/>
    <w:rsid w:val="008721B7"/>
    <w:rsid w:val="008728A9"/>
    <w:rsid w:val="00872D12"/>
    <w:rsid w:val="00873C7D"/>
    <w:rsid w:val="00873D60"/>
    <w:rsid w:val="008740F9"/>
    <w:rsid w:val="00875679"/>
    <w:rsid w:val="008757CB"/>
    <w:rsid w:val="0087630F"/>
    <w:rsid w:val="0087759D"/>
    <w:rsid w:val="00877D5E"/>
    <w:rsid w:val="00880169"/>
    <w:rsid w:val="00880384"/>
    <w:rsid w:val="008804B7"/>
    <w:rsid w:val="0088052E"/>
    <w:rsid w:val="00880860"/>
    <w:rsid w:val="00880A15"/>
    <w:rsid w:val="00880AD0"/>
    <w:rsid w:val="00881102"/>
    <w:rsid w:val="0088142E"/>
    <w:rsid w:val="0088144E"/>
    <w:rsid w:val="00881527"/>
    <w:rsid w:val="00881587"/>
    <w:rsid w:val="00881759"/>
    <w:rsid w:val="00883058"/>
    <w:rsid w:val="0088412E"/>
    <w:rsid w:val="00884613"/>
    <w:rsid w:val="00884F71"/>
    <w:rsid w:val="0088509D"/>
    <w:rsid w:val="00885A50"/>
    <w:rsid w:val="00886212"/>
    <w:rsid w:val="008866BD"/>
    <w:rsid w:val="00886A84"/>
    <w:rsid w:val="00887311"/>
    <w:rsid w:val="00887B04"/>
    <w:rsid w:val="00890833"/>
    <w:rsid w:val="00890BC5"/>
    <w:rsid w:val="00890E9C"/>
    <w:rsid w:val="00891864"/>
    <w:rsid w:val="00892424"/>
    <w:rsid w:val="008927FE"/>
    <w:rsid w:val="00892AAE"/>
    <w:rsid w:val="00893B24"/>
    <w:rsid w:val="00894002"/>
    <w:rsid w:val="008946EA"/>
    <w:rsid w:val="00894A6C"/>
    <w:rsid w:val="00894D4A"/>
    <w:rsid w:val="0089545F"/>
    <w:rsid w:val="0089557F"/>
    <w:rsid w:val="008959BA"/>
    <w:rsid w:val="00896821"/>
    <w:rsid w:val="00896F48"/>
    <w:rsid w:val="008970CC"/>
    <w:rsid w:val="008A0A21"/>
    <w:rsid w:val="008A0BA3"/>
    <w:rsid w:val="008A12C7"/>
    <w:rsid w:val="008A23DD"/>
    <w:rsid w:val="008A249E"/>
    <w:rsid w:val="008A4EE6"/>
    <w:rsid w:val="008A5880"/>
    <w:rsid w:val="008A6544"/>
    <w:rsid w:val="008A65C4"/>
    <w:rsid w:val="008A7EC3"/>
    <w:rsid w:val="008A7F72"/>
    <w:rsid w:val="008B0838"/>
    <w:rsid w:val="008B0890"/>
    <w:rsid w:val="008B0AD8"/>
    <w:rsid w:val="008B1D4F"/>
    <w:rsid w:val="008B2817"/>
    <w:rsid w:val="008B299F"/>
    <w:rsid w:val="008B2A33"/>
    <w:rsid w:val="008B3030"/>
    <w:rsid w:val="008B32AC"/>
    <w:rsid w:val="008B33CF"/>
    <w:rsid w:val="008B413E"/>
    <w:rsid w:val="008B43C8"/>
    <w:rsid w:val="008B458E"/>
    <w:rsid w:val="008B4EBC"/>
    <w:rsid w:val="008B5073"/>
    <w:rsid w:val="008B5200"/>
    <w:rsid w:val="008B5DFE"/>
    <w:rsid w:val="008B604B"/>
    <w:rsid w:val="008B688A"/>
    <w:rsid w:val="008B68E8"/>
    <w:rsid w:val="008C02B6"/>
    <w:rsid w:val="008C0623"/>
    <w:rsid w:val="008C12B1"/>
    <w:rsid w:val="008C2171"/>
    <w:rsid w:val="008C2664"/>
    <w:rsid w:val="008C2A42"/>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38"/>
    <w:rsid w:val="008C7C52"/>
    <w:rsid w:val="008D1236"/>
    <w:rsid w:val="008D1EDE"/>
    <w:rsid w:val="008D32AD"/>
    <w:rsid w:val="008D3620"/>
    <w:rsid w:val="008D458F"/>
    <w:rsid w:val="008D4DCB"/>
    <w:rsid w:val="008D52D9"/>
    <w:rsid w:val="008D6772"/>
    <w:rsid w:val="008D72E4"/>
    <w:rsid w:val="008D7AC6"/>
    <w:rsid w:val="008E02E6"/>
    <w:rsid w:val="008E08A8"/>
    <w:rsid w:val="008E0B04"/>
    <w:rsid w:val="008E1170"/>
    <w:rsid w:val="008E15B5"/>
    <w:rsid w:val="008E1B7B"/>
    <w:rsid w:val="008E20E6"/>
    <w:rsid w:val="008E2B42"/>
    <w:rsid w:val="008E350D"/>
    <w:rsid w:val="008E3B36"/>
    <w:rsid w:val="008E3CEC"/>
    <w:rsid w:val="008E480F"/>
    <w:rsid w:val="008E4A67"/>
    <w:rsid w:val="008E71BA"/>
    <w:rsid w:val="008F00BD"/>
    <w:rsid w:val="008F0205"/>
    <w:rsid w:val="008F0DCC"/>
    <w:rsid w:val="008F188C"/>
    <w:rsid w:val="008F1EB2"/>
    <w:rsid w:val="008F284E"/>
    <w:rsid w:val="008F2BAD"/>
    <w:rsid w:val="008F2CAE"/>
    <w:rsid w:val="008F3635"/>
    <w:rsid w:val="008F39F2"/>
    <w:rsid w:val="008F45EB"/>
    <w:rsid w:val="008F4E1B"/>
    <w:rsid w:val="008F5193"/>
    <w:rsid w:val="008F52F4"/>
    <w:rsid w:val="008F56DB"/>
    <w:rsid w:val="008F6318"/>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05EA"/>
    <w:rsid w:val="0091170B"/>
    <w:rsid w:val="00911817"/>
    <w:rsid w:val="00912F68"/>
    <w:rsid w:val="009133A9"/>
    <w:rsid w:val="00913418"/>
    <w:rsid w:val="009137F9"/>
    <w:rsid w:val="00913C08"/>
    <w:rsid w:val="00914859"/>
    <w:rsid w:val="00915144"/>
    <w:rsid w:val="00915282"/>
    <w:rsid w:val="0091567A"/>
    <w:rsid w:val="00917EE5"/>
    <w:rsid w:val="00920287"/>
    <w:rsid w:val="00920453"/>
    <w:rsid w:val="00920947"/>
    <w:rsid w:val="0092099A"/>
    <w:rsid w:val="00920C90"/>
    <w:rsid w:val="00921428"/>
    <w:rsid w:val="00921E9D"/>
    <w:rsid w:val="009220E0"/>
    <w:rsid w:val="0092244D"/>
    <w:rsid w:val="00922FD0"/>
    <w:rsid w:val="0092332D"/>
    <w:rsid w:val="00923572"/>
    <w:rsid w:val="0092383C"/>
    <w:rsid w:val="009239A1"/>
    <w:rsid w:val="00923E83"/>
    <w:rsid w:val="00923FD8"/>
    <w:rsid w:val="009241A1"/>
    <w:rsid w:val="009250CB"/>
    <w:rsid w:val="00925FF0"/>
    <w:rsid w:val="00926AC7"/>
    <w:rsid w:val="00926FCD"/>
    <w:rsid w:val="00927607"/>
    <w:rsid w:val="00931D14"/>
    <w:rsid w:val="009322BE"/>
    <w:rsid w:val="00933060"/>
    <w:rsid w:val="00933673"/>
    <w:rsid w:val="00934282"/>
    <w:rsid w:val="00934719"/>
    <w:rsid w:val="009348BF"/>
    <w:rsid w:val="00934B4F"/>
    <w:rsid w:val="00934EA7"/>
    <w:rsid w:val="00935C0C"/>
    <w:rsid w:val="00936747"/>
    <w:rsid w:val="00937A05"/>
    <w:rsid w:val="00937A28"/>
    <w:rsid w:val="00937B14"/>
    <w:rsid w:val="00937D05"/>
    <w:rsid w:val="009401E4"/>
    <w:rsid w:val="0094044A"/>
    <w:rsid w:val="00940C5D"/>
    <w:rsid w:val="00940F0D"/>
    <w:rsid w:val="00941603"/>
    <w:rsid w:val="00941839"/>
    <w:rsid w:val="00941843"/>
    <w:rsid w:val="00942CAB"/>
    <w:rsid w:val="00942E61"/>
    <w:rsid w:val="009433A0"/>
    <w:rsid w:val="00944106"/>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8E9"/>
    <w:rsid w:val="00954F7D"/>
    <w:rsid w:val="00955D30"/>
    <w:rsid w:val="00956727"/>
    <w:rsid w:val="00957E51"/>
    <w:rsid w:val="009608E8"/>
    <w:rsid w:val="00960E04"/>
    <w:rsid w:val="0096112B"/>
    <w:rsid w:val="00961220"/>
    <w:rsid w:val="00961322"/>
    <w:rsid w:val="009629EE"/>
    <w:rsid w:val="0096309B"/>
    <w:rsid w:val="009635F5"/>
    <w:rsid w:val="009638BB"/>
    <w:rsid w:val="00964690"/>
    <w:rsid w:val="00964A87"/>
    <w:rsid w:val="00964CE3"/>
    <w:rsid w:val="00965204"/>
    <w:rsid w:val="00965931"/>
    <w:rsid w:val="00965AED"/>
    <w:rsid w:val="00965DB7"/>
    <w:rsid w:val="00966024"/>
    <w:rsid w:val="009663A9"/>
    <w:rsid w:val="00966C28"/>
    <w:rsid w:val="009700BB"/>
    <w:rsid w:val="00971321"/>
    <w:rsid w:val="009715BF"/>
    <w:rsid w:val="00971F75"/>
    <w:rsid w:val="00972B61"/>
    <w:rsid w:val="00972E58"/>
    <w:rsid w:val="009730F2"/>
    <w:rsid w:val="009733C3"/>
    <w:rsid w:val="00974250"/>
    <w:rsid w:val="00974315"/>
    <w:rsid w:val="00974F50"/>
    <w:rsid w:val="0097546E"/>
    <w:rsid w:val="009756EC"/>
    <w:rsid w:val="009757EE"/>
    <w:rsid w:val="0097584C"/>
    <w:rsid w:val="00976FCC"/>
    <w:rsid w:val="0097768E"/>
    <w:rsid w:val="00977DFD"/>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426"/>
    <w:rsid w:val="00993E78"/>
    <w:rsid w:val="00993E7E"/>
    <w:rsid w:val="0099690A"/>
    <w:rsid w:val="00997136"/>
    <w:rsid w:val="009971A7"/>
    <w:rsid w:val="00997965"/>
    <w:rsid w:val="00997BBE"/>
    <w:rsid w:val="009A0C25"/>
    <w:rsid w:val="009A143B"/>
    <w:rsid w:val="009A1DD7"/>
    <w:rsid w:val="009A33BE"/>
    <w:rsid w:val="009A3F67"/>
    <w:rsid w:val="009A43FB"/>
    <w:rsid w:val="009B080D"/>
    <w:rsid w:val="009B0C38"/>
    <w:rsid w:val="009B0FCA"/>
    <w:rsid w:val="009B1120"/>
    <w:rsid w:val="009B127F"/>
    <w:rsid w:val="009B1328"/>
    <w:rsid w:val="009B15EE"/>
    <w:rsid w:val="009B19C2"/>
    <w:rsid w:val="009B1EAF"/>
    <w:rsid w:val="009B229F"/>
    <w:rsid w:val="009B2AE4"/>
    <w:rsid w:val="009B2DC9"/>
    <w:rsid w:val="009B30D4"/>
    <w:rsid w:val="009B38A3"/>
    <w:rsid w:val="009B38C8"/>
    <w:rsid w:val="009B4E0E"/>
    <w:rsid w:val="009B5202"/>
    <w:rsid w:val="009B537A"/>
    <w:rsid w:val="009B6107"/>
    <w:rsid w:val="009B622A"/>
    <w:rsid w:val="009B6D2C"/>
    <w:rsid w:val="009C0461"/>
    <w:rsid w:val="009C07C6"/>
    <w:rsid w:val="009C1468"/>
    <w:rsid w:val="009C16E5"/>
    <w:rsid w:val="009C24D1"/>
    <w:rsid w:val="009C3841"/>
    <w:rsid w:val="009C3A28"/>
    <w:rsid w:val="009C607A"/>
    <w:rsid w:val="009C6929"/>
    <w:rsid w:val="009C6A06"/>
    <w:rsid w:val="009C6A52"/>
    <w:rsid w:val="009C7236"/>
    <w:rsid w:val="009C72C2"/>
    <w:rsid w:val="009D183B"/>
    <w:rsid w:val="009D20C4"/>
    <w:rsid w:val="009D2378"/>
    <w:rsid w:val="009D267D"/>
    <w:rsid w:val="009D30C1"/>
    <w:rsid w:val="009D3356"/>
    <w:rsid w:val="009D3CB7"/>
    <w:rsid w:val="009D3DBF"/>
    <w:rsid w:val="009D4901"/>
    <w:rsid w:val="009D4C43"/>
    <w:rsid w:val="009D4CDE"/>
    <w:rsid w:val="009D5068"/>
    <w:rsid w:val="009D5281"/>
    <w:rsid w:val="009D5354"/>
    <w:rsid w:val="009D591F"/>
    <w:rsid w:val="009D5AC5"/>
    <w:rsid w:val="009D5D6A"/>
    <w:rsid w:val="009D6566"/>
    <w:rsid w:val="009D6EC6"/>
    <w:rsid w:val="009D7058"/>
    <w:rsid w:val="009D76EB"/>
    <w:rsid w:val="009E01AF"/>
    <w:rsid w:val="009E0336"/>
    <w:rsid w:val="009E058B"/>
    <w:rsid w:val="009E08CA"/>
    <w:rsid w:val="009E10EC"/>
    <w:rsid w:val="009E10F6"/>
    <w:rsid w:val="009E1628"/>
    <w:rsid w:val="009E2B95"/>
    <w:rsid w:val="009E2F5D"/>
    <w:rsid w:val="009E34FA"/>
    <w:rsid w:val="009E3D69"/>
    <w:rsid w:val="009E3DB9"/>
    <w:rsid w:val="009E4B0C"/>
    <w:rsid w:val="009E4B72"/>
    <w:rsid w:val="009E5DB6"/>
    <w:rsid w:val="009E646B"/>
    <w:rsid w:val="009E6E5B"/>
    <w:rsid w:val="009E7B07"/>
    <w:rsid w:val="009F050C"/>
    <w:rsid w:val="009F1587"/>
    <w:rsid w:val="009F1948"/>
    <w:rsid w:val="009F344F"/>
    <w:rsid w:val="009F3537"/>
    <w:rsid w:val="009F3962"/>
    <w:rsid w:val="009F3A8E"/>
    <w:rsid w:val="009F3B12"/>
    <w:rsid w:val="009F4300"/>
    <w:rsid w:val="009F46F3"/>
    <w:rsid w:val="009F4AEB"/>
    <w:rsid w:val="009F4CDD"/>
    <w:rsid w:val="009F52DB"/>
    <w:rsid w:val="009F5F75"/>
    <w:rsid w:val="009F6D03"/>
    <w:rsid w:val="009F74A6"/>
    <w:rsid w:val="009F75C0"/>
    <w:rsid w:val="009F7671"/>
    <w:rsid w:val="00A00067"/>
    <w:rsid w:val="00A00501"/>
    <w:rsid w:val="00A01117"/>
    <w:rsid w:val="00A01CA9"/>
    <w:rsid w:val="00A022D9"/>
    <w:rsid w:val="00A023EE"/>
    <w:rsid w:val="00A0357E"/>
    <w:rsid w:val="00A037CA"/>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94F"/>
    <w:rsid w:val="00A07A56"/>
    <w:rsid w:val="00A1031F"/>
    <w:rsid w:val="00A10D42"/>
    <w:rsid w:val="00A1186C"/>
    <w:rsid w:val="00A12661"/>
    <w:rsid w:val="00A12D31"/>
    <w:rsid w:val="00A12F8B"/>
    <w:rsid w:val="00A13C0F"/>
    <w:rsid w:val="00A164A6"/>
    <w:rsid w:val="00A165FE"/>
    <w:rsid w:val="00A16EFC"/>
    <w:rsid w:val="00A171E0"/>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C0F"/>
    <w:rsid w:val="00A3215A"/>
    <w:rsid w:val="00A32881"/>
    <w:rsid w:val="00A32D6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1F3"/>
    <w:rsid w:val="00A448E0"/>
    <w:rsid w:val="00A456F5"/>
    <w:rsid w:val="00A45C71"/>
    <w:rsid w:val="00A45CC0"/>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6EB9"/>
    <w:rsid w:val="00A575B4"/>
    <w:rsid w:val="00A608CD"/>
    <w:rsid w:val="00A60A4A"/>
    <w:rsid w:val="00A64280"/>
    <w:rsid w:val="00A64870"/>
    <w:rsid w:val="00A64C7D"/>
    <w:rsid w:val="00A64E0F"/>
    <w:rsid w:val="00A654A2"/>
    <w:rsid w:val="00A654DF"/>
    <w:rsid w:val="00A655E9"/>
    <w:rsid w:val="00A66CB2"/>
    <w:rsid w:val="00A67461"/>
    <w:rsid w:val="00A703F5"/>
    <w:rsid w:val="00A71119"/>
    <w:rsid w:val="00A71ACC"/>
    <w:rsid w:val="00A71B66"/>
    <w:rsid w:val="00A72E3D"/>
    <w:rsid w:val="00A72EE1"/>
    <w:rsid w:val="00A73B00"/>
    <w:rsid w:val="00A746E4"/>
    <w:rsid w:val="00A74D76"/>
    <w:rsid w:val="00A75B1E"/>
    <w:rsid w:val="00A761F4"/>
    <w:rsid w:val="00A77448"/>
    <w:rsid w:val="00A77B65"/>
    <w:rsid w:val="00A77EC2"/>
    <w:rsid w:val="00A8007D"/>
    <w:rsid w:val="00A80761"/>
    <w:rsid w:val="00A80DC8"/>
    <w:rsid w:val="00A812F5"/>
    <w:rsid w:val="00A814C5"/>
    <w:rsid w:val="00A81C21"/>
    <w:rsid w:val="00A81ECD"/>
    <w:rsid w:val="00A82415"/>
    <w:rsid w:val="00A82953"/>
    <w:rsid w:val="00A82B2C"/>
    <w:rsid w:val="00A833A8"/>
    <w:rsid w:val="00A83A7A"/>
    <w:rsid w:val="00A83D36"/>
    <w:rsid w:val="00A8427B"/>
    <w:rsid w:val="00A84B23"/>
    <w:rsid w:val="00A84B4C"/>
    <w:rsid w:val="00A85897"/>
    <w:rsid w:val="00A86E22"/>
    <w:rsid w:val="00A87174"/>
    <w:rsid w:val="00A87279"/>
    <w:rsid w:val="00A87E95"/>
    <w:rsid w:val="00A900FE"/>
    <w:rsid w:val="00A92879"/>
    <w:rsid w:val="00A92C9A"/>
    <w:rsid w:val="00A92D21"/>
    <w:rsid w:val="00A9370A"/>
    <w:rsid w:val="00A94E2C"/>
    <w:rsid w:val="00A94F2D"/>
    <w:rsid w:val="00A95DD5"/>
    <w:rsid w:val="00A96022"/>
    <w:rsid w:val="00A966F4"/>
    <w:rsid w:val="00A96770"/>
    <w:rsid w:val="00A97932"/>
    <w:rsid w:val="00AA0197"/>
    <w:rsid w:val="00AA029D"/>
    <w:rsid w:val="00AA0B35"/>
    <w:rsid w:val="00AA0D66"/>
    <w:rsid w:val="00AA11A2"/>
    <w:rsid w:val="00AA20E4"/>
    <w:rsid w:val="00AA221F"/>
    <w:rsid w:val="00AA2502"/>
    <w:rsid w:val="00AA2C0B"/>
    <w:rsid w:val="00AA2CA6"/>
    <w:rsid w:val="00AA3786"/>
    <w:rsid w:val="00AA38B9"/>
    <w:rsid w:val="00AA438D"/>
    <w:rsid w:val="00AA4953"/>
    <w:rsid w:val="00AA4AFA"/>
    <w:rsid w:val="00AA4C6F"/>
    <w:rsid w:val="00AA55E0"/>
    <w:rsid w:val="00AA5BC8"/>
    <w:rsid w:val="00AA61B7"/>
    <w:rsid w:val="00AA689B"/>
    <w:rsid w:val="00AA7023"/>
    <w:rsid w:val="00AA7F37"/>
    <w:rsid w:val="00AB00F1"/>
    <w:rsid w:val="00AB0CE7"/>
    <w:rsid w:val="00AB11B8"/>
    <w:rsid w:val="00AB1E28"/>
    <w:rsid w:val="00AB221A"/>
    <w:rsid w:val="00AB3569"/>
    <w:rsid w:val="00AB511E"/>
    <w:rsid w:val="00AB5C16"/>
    <w:rsid w:val="00AB5C8E"/>
    <w:rsid w:val="00AB628D"/>
    <w:rsid w:val="00AB66DD"/>
    <w:rsid w:val="00AB73B7"/>
    <w:rsid w:val="00AC00B1"/>
    <w:rsid w:val="00AC0229"/>
    <w:rsid w:val="00AC12CF"/>
    <w:rsid w:val="00AC154D"/>
    <w:rsid w:val="00AC1BE9"/>
    <w:rsid w:val="00AC2548"/>
    <w:rsid w:val="00AC3C32"/>
    <w:rsid w:val="00AC3DB8"/>
    <w:rsid w:val="00AC5188"/>
    <w:rsid w:val="00AC663A"/>
    <w:rsid w:val="00AC7C70"/>
    <w:rsid w:val="00AD100C"/>
    <w:rsid w:val="00AD1902"/>
    <w:rsid w:val="00AD1954"/>
    <w:rsid w:val="00AD2540"/>
    <w:rsid w:val="00AD38ED"/>
    <w:rsid w:val="00AD39D6"/>
    <w:rsid w:val="00AD3C37"/>
    <w:rsid w:val="00AD3C97"/>
    <w:rsid w:val="00AD40FF"/>
    <w:rsid w:val="00AD4282"/>
    <w:rsid w:val="00AD5A42"/>
    <w:rsid w:val="00AD6C35"/>
    <w:rsid w:val="00AD6EF0"/>
    <w:rsid w:val="00AD7073"/>
    <w:rsid w:val="00AD77FD"/>
    <w:rsid w:val="00AD79E2"/>
    <w:rsid w:val="00AD7FFB"/>
    <w:rsid w:val="00AE0848"/>
    <w:rsid w:val="00AE1C5C"/>
    <w:rsid w:val="00AE271F"/>
    <w:rsid w:val="00AE30D7"/>
    <w:rsid w:val="00AE3DF5"/>
    <w:rsid w:val="00AE4CFF"/>
    <w:rsid w:val="00AE4E46"/>
    <w:rsid w:val="00AE52B0"/>
    <w:rsid w:val="00AE54F8"/>
    <w:rsid w:val="00AE5C7F"/>
    <w:rsid w:val="00AE6862"/>
    <w:rsid w:val="00AE7F9A"/>
    <w:rsid w:val="00AF1629"/>
    <w:rsid w:val="00AF1B42"/>
    <w:rsid w:val="00AF2172"/>
    <w:rsid w:val="00AF3B8C"/>
    <w:rsid w:val="00AF3E80"/>
    <w:rsid w:val="00AF4CB2"/>
    <w:rsid w:val="00AF4E0C"/>
    <w:rsid w:val="00AF4E17"/>
    <w:rsid w:val="00AF5B71"/>
    <w:rsid w:val="00AF5C8E"/>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227"/>
    <w:rsid w:val="00B0768C"/>
    <w:rsid w:val="00B10264"/>
    <w:rsid w:val="00B1212B"/>
    <w:rsid w:val="00B125A0"/>
    <w:rsid w:val="00B13177"/>
    <w:rsid w:val="00B13E8D"/>
    <w:rsid w:val="00B15165"/>
    <w:rsid w:val="00B15373"/>
    <w:rsid w:val="00B15852"/>
    <w:rsid w:val="00B161B4"/>
    <w:rsid w:val="00B16887"/>
    <w:rsid w:val="00B16FC1"/>
    <w:rsid w:val="00B176C8"/>
    <w:rsid w:val="00B20379"/>
    <w:rsid w:val="00B2074B"/>
    <w:rsid w:val="00B211BD"/>
    <w:rsid w:val="00B21544"/>
    <w:rsid w:val="00B21AB1"/>
    <w:rsid w:val="00B21BE3"/>
    <w:rsid w:val="00B228FA"/>
    <w:rsid w:val="00B2361C"/>
    <w:rsid w:val="00B23719"/>
    <w:rsid w:val="00B23A27"/>
    <w:rsid w:val="00B2407C"/>
    <w:rsid w:val="00B2459C"/>
    <w:rsid w:val="00B24753"/>
    <w:rsid w:val="00B25FA6"/>
    <w:rsid w:val="00B26009"/>
    <w:rsid w:val="00B26215"/>
    <w:rsid w:val="00B26918"/>
    <w:rsid w:val="00B26C44"/>
    <w:rsid w:val="00B30025"/>
    <w:rsid w:val="00B307F0"/>
    <w:rsid w:val="00B31114"/>
    <w:rsid w:val="00B311B6"/>
    <w:rsid w:val="00B313D0"/>
    <w:rsid w:val="00B3156A"/>
    <w:rsid w:val="00B315E1"/>
    <w:rsid w:val="00B315F4"/>
    <w:rsid w:val="00B317DD"/>
    <w:rsid w:val="00B33EBC"/>
    <w:rsid w:val="00B33FC4"/>
    <w:rsid w:val="00B34AAA"/>
    <w:rsid w:val="00B34E8B"/>
    <w:rsid w:val="00B35579"/>
    <w:rsid w:val="00B3557E"/>
    <w:rsid w:val="00B372E3"/>
    <w:rsid w:val="00B37C1A"/>
    <w:rsid w:val="00B37D09"/>
    <w:rsid w:val="00B40212"/>
    <w:rsid w:val="00B40B0C"/>
    <w:rsid w:val="00B40B73"/>
    <w:rsid w:val="00B41312"/>
    <w:rsid w:val="00B417BF"/>
    <w:rsid w:val="00B42215"/>
    <w:rsid w:val="00B42799"/>
    <w:rsid w:val="00B438BE"/>
    <w:rsid w:val="00B43DBB"/>
    <w:rsid w:val="00B453AD"/>
    <w:rsid w:val="00B45776"/>
    <w:rsid w:val="00B462D1"/>
    <w:rsid w:val="00B479B0"/>
    <w:rsid w:val="00B47C9E"/>
    <w:rsid w:val="00B50446"/>
    <w:rsid w:val="00B514A0"/>
    <w:rsid w:val="00B51B10"/>
    <w:rsid w:val="00B523E5"/>
    <w:rsid w:val="00B528A3"/>
    <w:rsid w:val="00B52E31"/>
    <w:rsid w:val="00B5349D"/>
    <w:rsid w:val="00B534E9"/>
    <w:rsid w:val="00B54BDD"/>
    <w:rsid w:val="00B55005"/>
    <w:rsid w:val="00B5501D"/>
    <w:rsid w:val="00B558B6"/>
    <w:rsid w:val="00B55AEC"/>
    <w:rsid w:val="00B55C20"/>
    <w:rsid w:val="00B56166"/>
    <w:rsid w:val="00B565A9"/>
    <w:rsid w:val="00B5681F"/>
    <w:rsid w:val="00B56F11"/>
    <w:rsid w:val="00B57C9F"/>
    <w:rsid w:val="00B57CFE"/>
    <w:rsid w:val="00B608D2"/>
    <w:rsid w:val="00B60E54"/>
    <w:rsid w:val="00B611D9"/>
    <w:rsid w:val="00B6152A"/>
    <w:rsid w:val="00B61543"/>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60C"/>
    <w:rsid w:val="00B72CA6"/>
    <w:rsid w:val="00B72FDD"/>
    <w:rsid w:val="00B735DA"/>
    <w:rsid w:val="00B7372C"/>
    <w:rsid w:val="00B73AD3"/>
    <w:rsid w:val="00B759C6"/>
    <w:rsid w:val="00B766B9"/>
    <w:rsid w:val="00B76E0C"/>
    <w:rsid w:val="00B773A9"/>
    <w:rsid w:val="00B7789B"/>
    <w:rsid w:val="00B77DF2"/>
    <w:rsid w:val="00B8020F"/>
    <w:rsid w:val="00B8071F"/>
    <w:rsid w:val="00B80E81"/>
    <w:rsid w:val="00B814A1"/>
    <w:rsid w:val="00B82205"/>
    <w:rsid w:val="00B8238D"/>
    <w:rsid w:val="00B82642"/>
    <w:rsid w:val="00B82DE2"/>
    <w:rsid w:val="00B832CE"/>
    <w:rsid w:val="00B83758"/>
    <w:rsid w:val="00B83A0B"/>
    <w:rsid w:val="00B8477B"/>
    <w:rsid w:val="00B84DE7"/>
    <w:rsid w:val="00B854B7"/>
    <w:rsid w:val="00B8650B"/>
    <w:rsid w:val="00B8682B"/>
    <w:rsid w:val="00B868FA"/>
    <w:rsid w:val="00B86B3C"/>
    <w:rsid w:val="00B876BF"/>
    <w:rsid w:val="00B87BE7"/>
    <w:rsid w:val="00B87E94"/>
    <w:rsid w:val="00B90116"/>
    <w:rsid w:val="00B90ED9"/>
    <w:rsid w:val="00B91714"/>
    <w:rsid w:val="00B91F60"/>
    <w:rsid w:val="00B923B6"/>
    <w:rsid w:val="00B9293A"/>
    <w:rsid w:val="00B93021"/>
    <w:rsid w:val="00B93BE3"/>
    <w:rsid w:val="00B94B9C"/>
    <w:rsid w:val="00B95FE2"/>
    <w:rsid w:val="00B9615E"/>
    <w:rsid w:val="00B962EE"/>
    <w:rsid w:val="00B9696F"/>
    <w:rsid w:val="00B97246"/>
    <w:rsid w:val="00B9725F"/>
    <w:rsid w:val="00B972B2"/>
    <w:rsid w:val="00B97390"/>
    <w:rsid w:val="00BA03EE"/>
    <w:rsid w:val="00BA1836"/>
    <w:rsid w:val="00BA18D4"/>
    <w:rsid w:val="00BA224E"/>
    <w:rsid w:val="00BA258A"/>
    <w:rsid w:val="00BA29ED"/>
    <w:rsid w:val="00BA2A3D"/>
    <w:rsid w:val="00BA31EF"/>
    <w:rsid w:val="00BA3677"/>
    <w:rsid w:val="00BA3973"/>
    <w:rsid w:val="00BA3F21"/>
    <w:rsid w:val="00BA42E0"/>
    <w:rsid w:val="00BA4477"/>
    <w:rsid w:val="00BA4BB8"/>
    <w:rsid w:val="00BA5246"/>
    <w:rsid w:val="00BA59AD"/>
    <w:rsid w:val="00BA63BB"/>
    <w:rsid w:val="00BA644F"/>
    <w:rsid w:val="00BA65C8"/>
    <w:rsid w:val="00BA6A89"/>
    <w:rsid w:val="00BA6D16"/>
    <w:rsid w:val="00BA6F7A"/>
    <w:rsid w:val="00BA79B7"/>
    <w:rsid w:val="00BB0782"/>
    <w:rsid w:val="00BB0D35"/>
    <w:rsid w:val="00BB13C5"/>
    <w:rsid w:val="00BB1812"/>
    <w:rsid w:val="00BB23CB"/>
    <w:rsid w:val="00BB2532"/>
    <w:rsid w:val="00BB2686"/>
    <w:rsid w:val="00BB37EA"/>
    <w:rsid w:val="00BB3A96"/>
    <w:rsid w:val="00BB3D8C"/>
    <w:rsid w:val="00BB3F8A"/>
    <w:rsid w:val="00BB4D08"/>
    <w:rsid w:val="00BB6A68"/>
    <w:rsid w:val="00BB739C"/>
    <w:rsid w:val="00BB7905"/>
    <w:rsid w:val="00BC0108"/>
    <w:rsid w:val="00BC088B"/>
    <w:rsid w:val="00BC1305"/>
    <w:rsid w:val="00BC15C0"/>
    <w:rsid w:val="00BC217D"/>
    <w:rsid w:val="00BC24D7"/>
    <w:rsid w:val="00BC2587"/>
    <w:rsid w:val="00BC26C1"/>
    <w:rsid w:val="00BC342A"/>
    <w:rsid w:val="00BC40F2"/>
    <w:rsid w:val="00BC45CE"/>
    <w:rsid w:val="00BC4D8F"/>
    <w:rsid w:val="00BC4F3D"/>
    <w:rsid w:val="00BC59CF"/>
    <w:rsid w:val="00BC64CE"/>
    <w:rsid w:val="00BC68AD"/>
    <w:rsid w:val="00BC6B2F"/>
    <w:rsid w:val="00BC6E3A"/>
    <w:rsid w:val="00BC7112"/>
    <w:rsid w:val="00BD0C00"/>
    <w:rsid w:val="00BD0DA0"/>
    <w:rsid w:val="00BD0DD3"/>
    <w:rsid w:val="00BD3693"/>
    <w:rsid w:val="00BD438C"/>
    <w:rsid w:val="00BD4843"/>
    <w:rsid w:val="00BD492B"/>
    <w:rsid w:val="00BD4F9A"/>
    <w:rsid w:val="00BD4FB2"/>
    <w:rsid w:val="00BD5489"/>
    <w:rsid w:val="00BD5518"/>
    <w:rsid w:val="00BD5E19"/>
    <w:rsid w:val="00BD699E"/>
    <w:rsid w:val="00BD6D4E"/>
    <w:rsid w:val="00BD71F1"/>
    <w:rsid w:val="00BD7396"/>
    <w:rsid w:val="00BD74CF"/>
    <w:rsid w:val="00BE0BA7"/>
    <w:rsid w:val="00BE1BBE"/>
    <w:rsid w:val="00BE2A76"/>
    <w:rsid w:val="00BE2C9F"/>
    <w:rsid w:val="00BE3175"/>
    <w:rsid w:val="00BE36D5"/>
    <w:rsid w:val="00BE38E1"/>
    <w:rsid w:val="00BE447E"/>
    <w:rsid w:val="00BE4FDC"/>
    <w:rsid w:val="00BE6056"/>
    <w:rsid w:val="00BE6217"/>
    <w:rsid w:val="00BE7199"/>
    <w:rsid w:val="00BE7C10"/>
    <w:rsid w:val="00BF01B9"/>
    <w:rsid w:val="00BF0D7C"/>
    <w:rsid w:val="00BF1235"/>
    <w:rsid w:val="00BF1675"/>
    <w:rsid w:val="00BF1F39"/>
    <w:rsid w:val="00BF2AD9"/>
    <w:rsid w:val="00BF2FDA"/>
    <w:rsid w:val="00BF441E"/>
    <w:rsid w:val="00BF5877"/>
    <w:rsid w:val="00BF63E7"/>
    <w:rsid w:val="00BF68A1"/>
    <w:rsid w:val="00C006E1"/>
    <w:rsid w:val="00C00894"/>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DC"/>
    <w:rsid w:val="00C11D9D"/>
    <w:rsid w:val="00C128B0"/>
    <w:rsid w:val="00C1296A"/>
    <w:rsid w:val="00C13584"/>
    <w:rsid w:val="00C13E95"/>
    <w:rsid w:val="00C14A18"/>
    <w:rsid w:val="00C14B07"/>
    <w:rsid w:val="00C14BF5"/>
    <w:rsid w:val="00C15877"/>
    <w:rsid w:val="00C15ADE"/>
    <w:rsid w:val="00C15B7A"/>
    <w:rsid w:val="00C162BB"/>
    <w:rsid w:val="00C16509"/>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65B"/>
    <w:rsid w:val="00C24B6B"/>
    <w:rsid w:val="00C25A02"/>
    <w:rsid w:val="00C26147"/>
    <w:rsid w:val="00C268F6"/>
    <w:rsid w:val="00C27885"/>
    <w:rsid w:val="00C27D1A"/>
    <w:rsid w:val="00C31200"/>
    <w:rsid w:val="00C31A08"/>
    <w:rsid w:val="00C31BE7"/>
    <w:rsid w:val="00C32229"/>
    <w:rsid w:val="00C32DE7"/>
    <w:rsid w:val="00C32F73"/>
    <w:rsid w:val="00C32FD3"/>
    <w:rsid w:val="00C341CB"/>
    <w:rsid w:val="00C3542E"/>
    <w:rsid w:val="00C35B5E"/>
    <w:rsid w:val="00C35EA6"/>
    <w:rsid w:val="00C370A0"/>
    <w:rsid w:val="00C4017A"/>
    <w:rsid w:val="00C404FF"/>
    <w:rsid w:val="00C40770"/>
    <w:rsid w:val="00C41357"/>
    <w:rsid w:val="00C41799"/>
    <w:rsid w:val="00C41B56"/>
    <w:rsid w:val="00C41FC1"/>
    <w:rsid w:val="00C4244D"/>
    <w:rsid w:val="00C428AF"/>
    <w:rsid w:val="00C42C2F"/>
    <w:rsid w:val="00C43B8F"/>
    <w:rsid w:val="00C44980"/>
    <w:rsid w:val="00C45268"/>
    <w:rsid w:val="00C455CD"/>
    <w:rsid w:val="00C45BBF"/>
    <w:rsid w:val="00C46708"/>
    <w:rsid w:val="00C46AD5"/>
    <w:rsid w:val="00C474EF"/>
    <w:rsid w:val="00C500D2"/>
    <w:rsid w:val="00C50922"/>
    <w:rsid w:val="00C51440"/>
    <w:rsid w:val="00C52089"/>
    <w:rsid w:val="00C52D36"/>
    <w:rsid w:val="00C52FC2"/>
    <w:rsid w:val="00C53E87"/>
    <w:rsid w:val="00C542EB"/>
    <w:rsid w:val="00C55CDE"/>
    <w:rsid w:val="00C56607"/>
    <w:rsid w:val="00C56885"/>
    <w:rsid w:val="00C56AE3"/>
    <w:rsid w:val="00C56D20"/>
    <w:rsid w:val="00C57069"/>
    <w:rsid w:val="00C57680"/>
    <w:rsid w:val="00C57997"/>
    <w:rsid w:val="00C6124E"/>
    <w:rsid w:val="00C613CF"/>
    <w:rsid w:val="00C61E6F"/>
    <w:rsid w:val="00C6230B"/>
    <w:rsid w:val="00C6257D"/>
    <w:rsid w:val="00C632FA"/>
    <w:rsid w:val="00C635D0"/>
    <w:rsid w:val="00C64273"/>
    <w:rsid w:val="00C647F8"/>
    <w:rsid w:val="00C65B9B"/>
    <w:rsid w:val="00C67249"/>
    <w:rsid w:val="00C67698"/>
    <w:rsid w:val="00C70952"/>
    <w:rsid w:val="00C70B81"/>
    <w:rsid w:val="00C710B6"/>
    <w:rsid w:val="00C724E4"/>
    <w:rsid w:val="00C72AAA"/>
    <w:rsid w:val="00C732D8"/>
    <w:rsid w:val="00C735A3"/>
    <w:rsid w:val="00C7377B"/>
    <w:rsid w:val="00C737D7"/>
    <w:rsid w:val="00C73886"/>
    <w:rsid w:val="00C73DC4"/>
    <w:rsid w:val="00C74D41"/>
    <w:rsid w:val="00C756FD"/>
    <w:rsid w:val="00C75775"/>
    <w:rsid w:val="00C75C57"/>
    <w:rsid w:val="00C75FC2"/>
    <w:rsid w:val="00C76261"/>
    <w:rsid w:val="00C76E4E"/>
    <w:rsid w:val="00C77025"/>
    <w:rsid w:val="00C80261"/>
    <w:rsid w:val="00C808D5"/>
    <w:rsid w:val="00C80C38"/>
    <w:rsid w:val="00C810FC"/>
    <w:rsid w:val="00C8198D"/>
    <w:rsid w:val="00C83543"/>
    <w:rsid w:val="00C83651"/>
    <w:rsid w:val="00C83711"/>
    <w:rsid w:val="00C83754"/>
    <w:rsid w:val="00C83F2B"/>
    <w:rsid w:val="00C84998"/>
    <w:rsid w:val="00C855DB"/>
    <w:rsid w:val="00C85611"/>
    <w:rsid w:val="00C87F22"/>
    <w:rsid w:val="00C9094F"/>
    <w:rsid w:val="00C9111E"/>
    <w:rsid w:val="00C91446"/>
    <w:rsid w:val="00C919AB"/>
    <w:rsid w:val="00C92681"/>
    <w:rsid w:val="00C94994"/>
    <w:rsid w:val="00C94C04"/>
    <w:rsid w:val="00C951C1"/>
    <w:rsid w:val="00C95FEF"/>
    <w:rsid w:val="00C9600B"/>
    <w:rsid w:val="00C962CF"/>
    <w:rsid w:val="00C96BE2"/>
    <w:rsid w:val="00C96E1B"/>
    <w:rsid w:val="00C96F6C"/>
    <w:rsid w:val="00C97806"/>
    <w:rsid w:val="00C978B4"/>
    <w:rsid w:val="00CA069E"/>
    <w:rsid w:val="00CA1A5E"/>
    <w:rsid w:val="00CA1BD1"/>
    <w:rsid w:val="00CA1D49"/>
    <w:rsid w:val="00CA2377"/>
    <w:rsid w:val="00CA265A"/>
    <w:rsid w:val="00CA2D94"/>
    <w:rsid w:val="00CA3725"/>
    <w:rsid w:val="00CA403B"/>
    <w:rsid w:val="00CA476E"/>
    <w:rsid w:val="00CA4B98"/>
    <w:rsid w:val="00CA4BFA"/>
    <w:rsid w:val="00CA4E9A"/>
    <w:rsid w:val="00CA5463"/>
    <w:rsid w:val="00CA5A6D"/>
    <w:rsid w:val="00CA5E32"/>
    <w:rsid w:val="00CA5FC1"/>
    <w:rsid w:val="00CB1AC1"/>
    <w:rsid w:val="00CB26F2"/>
    <w:rsid w:val="00CB2BAE"/>
    <w:rsid w:val="00CB3166"/>
    <w:rsid w:val="00CB40D4"/>
    <w:rsid w:val="00CB4885"/>
    <w:rsid w:val="00CB638D"/>
    <w:rsid w:val="00CB6900"/>
    <w:rsid w:val="00CB6EB4"/>
    <w:rsid w:val="00CB7439"/>
    <w:rsid w:val="00CB748E"/>
    <w:rsid w:val="00CB7C3A"/>
    <w:rsid w:val="00CC0387"/>
    <w:rsid w:val="00CC0FC3"/>
    <w:rsid w:val="00CC1406"/>
    <w:rsid w:val="00CC154C"/>
    <w:rsid w:val="00CC1DB2"/>
    <w:rsid w:val="00CC2452"/>
    <w:rsid w:val="00CC367C"/>
    <w:rsid w:val="00CC3FEE"/>
    <w:rsid w:val="00CC416D"/>
    <w:rsid w:val="00CC45E5"/>
    <w:rsid w:val="00CC466F"/>
    <w:rsid w:val="00CC55E8"/>
    <w:rsid w:val="00CC5DF0"/>
    <w:rsid w:val="00CC71C6"/>
    <w:rsid w:val="00CC7E7D"/>
    <w:rsid w:val="00CD03DC"/>
    <w:rsid w:val="00CD06CC"/>
    <w:rsid w:val="00CD0968"/>
    <w:rsid w:val="00CD1491"/>
    <w:rsid w:val="00CD2580"/>
    <w:rsid w:val="00CD327B"/>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16"/>
    <w:rsid w:val="00CE4BF2"/>
    <w:rsid w:val="00CE55D2"/>
    <w:rsid w:val="00CE5E91"/>
    <w:rsid w:val="00CF01EA"/>
    <w:rsid w:val="00CF021C"/>
    <w:rsid w:val="00CF10EF"/>
    <w:rsid w:val="00CF1F53"/>
    <w:rsid w:val="00CF1FAE"/>
    <w:rsid w:val="00CF3BED"/>
    <w:rsid w:val="00CF4032"/>
    <w:rsid w:val="00CF4A6D"/>
    <w:rsid w:val="00CF50FD"/>
    <w:rsid w:val="00CF593F"/>
    <w:rsid w:val="00CF5B89"/>
    <w:rsid w:val="00CF6510"/>
    <w:rsid w:val="00CF65E5"/>
    <w:rsid w:val="00CF66B8"/>
    <w:rsid w:val="00CF6971"/>
    <w:rsid w:val="00CF6D04"/>
    <w:rsid w:val="00CF6DEE"/>
    <w:rsid w:val="00CF6EFD"/>
    <w:rsid w:val="00CF72C6"/>
    <w:rsid w:val="00CF7327"/>
    <w:rsid w:val="00CF779F"/>
    <w:rsid w:val="00CF7C57"/>
    <w:rsid w:val="00D000D1"/>
    <w:rsid w:val="00D0041D"/>
    <w:rsid w:val="00D0074A"/>
    <w:rsid w:val="00D00AC1"/>
    <w:rsid w:val="00D00E2B"/>
    <w:rsid w:val="00D0124D"/>
    <w:rsid w:val="00D0267B"/>
    <w:rsid w:val="00D032B4"/>
    <w:rsid w:val="00D03AC3"/>
    <w:rsid w:val="00D040A2"/>
    <w:rsid w:val="00D055E6"/>
    <w:rsid w:val="00D05CAF"/>
    <w:rsid w:val="00D065AD"/>
    <w:rsid w:val="00D06BB8"/>
    <w:rsid w:val="00D072EF"/>
    <w:rsid w:val="00D07394"/>
    <w:rsid w:val="00D07A9C"/>
    <w:rsid w:val="00D10A14"/>
    <w:rsid w:val="00D10FE2"/>
    <w:rsid w:val="00D113FF"/>
    <w:rsid w:val="00D11689"/>
    <w:rsid w:val="00D11E7B"/>
    <w:rsid w:val="00D11F9A"/>
    <w:rsid w:val="00D12C52"/>
    <w:rsid w:val="00D12D84"/>
    <w:rsid w:val="00D14E13"/>
    <w:rsid w:val="00D1650D"/>
    <w:rsid w:val="00D16547"/>
    <w:rsid w:val="00D20368"/>
    <w:rsid w:val="00D209D8"/>
    <w:rsid w:val="00D20B6C"/>
    <w:rsid w:val="00D20DAB"/>
    <w:rsid w:val="00D2186C"/>
    <w:rsid w:val="00D22A87"/>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BF"/>
    <w:rsid w:val="00D35BC6"/>
    <w:rsid w:val="00D35C01"/>
    <w:rsid w:val="00D3635F"/>
    <w:rsid w:val="00D36532"/>
    <w:rsid w:val="00D367F9"/>
    <w:rsid w:val="00D36FBF"/>
    <w:rsid w:val="00D3760F"/>
    <w:rsid w:val="00D37FBA"/>
    <w:rsid w:val="00D40A87"/>
    <w:rsid w:val="00D4166E"/>
    <w:rsid w:val="00D418AA"/>
    <w:rsid w:val="00D41CA2"/>
    <w:rsid w:val="00D42026"/>
    <w:rsid w:val="00D424A2"/>
    <w:rsid w:val="00D4251B"/>
    <w:rsid w:val="00D42ECA"/>
    <w:rsid w:val="00D43649"/>
    <w:rsid w:val="00D44BD1"/>
    <w:rsid w:val="00D45359"/>
    <w:rsid w:val="00D454D6"/>
    <w:rsid w:val="00D464B6"/>
    <w:rsid w:val="00D47AB6"/>
    <w:rsid w:val="00D507D9"/>
    <w:rsid w:val="00D50BC3"/>
    <w:rsid w:val="00D52E63"/>
    <w:rsid w:val="00D53E86"/>
    <w:rsid w:val="00D545A8"/>
    <w:rsid w:val="00D548A5"/>
    <w:rsid w:val="00D548E5"/>
    <w:rsid w:val="00D55B0D"/>
    <w:rsid w:val="00D55BD9"/>
    <w:rsid w:val="00D56163"/>
    <w:rsid w:val="00D566F5"/>
    <w:rsid w:val="00D56BF3"/>
    <w:rsid w:val="00D60503"/>
    <w:rsid w:val="00D620DC"/>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1F99"/>
    <w:rsid w:val="00D72097"/>
    <w:rsid w:val="00D72510"/>
    <w:rsid w:val="00D73167"/>
    <w:rsid w:val="00D7322F"/>
    <w:rsid w:val="00D73481"/>
    <w:rsid w:val="00D73C07"/>
    <w:rsid w:val="00D743AB"/>
    <w:rsid w:val="00D74799"/>
    <w:rsid w:val="00D74FDC"/>
    <w:rsid w:val="00D7536B"/>
    <w:rsid w:val="00D75AD5"/>
    <w:rsid w:val="00D761C8"/>
    <w:rsid w:val="00D77FD0"/>
    <w:rsid w:val="00D81033"/>
    <w:rsid w:val="00D81136"/>
    <w:rsid w:val="00D81178"/>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7117"/>
    <w:rsid w:val="00DA020A"/>
    <w:rsid w:val="00DA07B6"/>
    <w:rsid w:val="00DA0CA2"/>
    <w:rsid w:val="00DA126B"/>
    <w:rsid w:val="00DA158D"/>
    <w:rsid w:val="00DA1D14"/>
    <w:rsid w:val="00DA3B52"/>
    <w:rsid w:val="00DA4151"/>
    <w:rsid w:val="00DA4B58"/>
    <w:rsid w:val="00DA4B87"/>
    <w:rsid w:val="00DA5129"/>
    <w:rsid w:val="00DA54E7"/>
    <w:rsid w:val="00DA5795"/>
    <w:rsid w:val="00DA5945"/>
    <w:rsid w:val="00DA63A9"/>
    <w:rsid w:val="00DA6678"/>
    <w:rsid w:val="00DA717D"/>
    <w:rsid w:val="00DA75E6"/>
    <w:rsid w:val="00DA7986"/>
    <w:rsid w:val="00DA7A5F"/>
    <w:rsid w:val="00DA7AAA"/>
    <w:rsid w:val="00DB0226"/>
    <w:rsid w:val="00DB05C4"/>
    <w:rsid w:val="00DB0766"/>
    <w:rsid w:val="00DB07C2"/>
    <w:rsid w:val="00DB0E2F"/>
    <w:rsid w:val="00DB0F5D"/>
    <w:rsid w:val="00DB1351"/>
    <w:rsid w:val="00DB16DB"/>
    <w:rsid w:val="00DB268E"/>
    <w:rsid w:val="00DB2AE9"/>
    <w:rsid w:val="00DB2C6D"/>
    <w:rsid w:val="00DB3037"/>
    <w:rsid w:val="00DB45FD"/>
    <w:rsid w:val="00DB48F6"/>
    <w:rsid w:val="00DB4D86"/>
    <w:rsid w:val="00DB516F"/>
    <w:rsid w:val="00DB6A81"/>
    <w:rsid w:val="00DB77AF"/>
    <w:rsid w:val="00DB7F38"/>
    <w:rsid w:val="00DC09F8"/>
    <w:rsid w:val="00DC0AFD"/>
    <w:rsid w:val="00DC0D1A"/>
    <w:rsid w:val="00DC1C5C"/>
    <w:rsid w:val="00DC1E6D"/>
    <w:rsid w:val="00DC2465"/>
    <w:rsid w:val="00DC252B"/>
    <w:rsid w:val="00DC2811"/>
    <w:rsid w:val="00DC43FD"/>
    <w:rsid w:val="00DC458D"/>
    <w:rsid w:val="00DC4BE1"/>
    <w:rsid w:val="00DC5054"/>
    <w:rsid w:val="00DC596B"/>
    <w:rsid w:val="00DC671E"/>
    <w:rsid w:val="00DC7736"/>
    <w:rsid w:val="00DC78C5"/>
    <w:rsid w:val="00DC7910"/>
    <w:rsid w:val="00DC7CCB"/>
    <w:rsid w:val="00DC7D2F"/>
    <w:rsid w:val="00DD00FF"/>
    <w:rsid w:val="00DD016C"/>
    <w:rsid w:val="00DD054C"/>
    <w:rsid w:val="00DD0B1B"/>
    <w:rsid w:val="00DD1994"/>
    <w:rsid w:val="00DD1BAF"/>
    <w:rsid w:val="00DD2585"/>
    <w:rsid w:val="00DD2BE9"/>
    <w:rsid w:val="00DD2D97"/>
    <w:rsid w:val="00DD32BB"/>
    <w:rsid w:val="00DD3AC7"/>
    <w:rsid w:val="00DD3C71"/>
    <w:rsid w:val="00DD3CB3"/>
    <w:rsid w:val="00DD3D23"/>
    <w:rsid w:val="00DD471A"/>
    <w:rsid w:val="00DD476F"/>
    <w:rsid w:val="00DD4E98"/>
    <w:rsid w:val="00DD5490"/>
    <w:rsid w:val="00DD58B8"/>
    <w:rsid w:val="00DD5E98"/>
    <w:rsid w:val="00DD5EFB"/>
    <w:rsid w:val="00DD618F"/>
    <w:rsid w:val="00DD6784"/>
    <w:rsid w:val="00DD7A5E"/>
    <w:rsid w:val="00DD7A78"/>
    <w:rsid w:val="00DE00F6"/>
    <w:rsid w:val="00DE1132"/>
    <w:rsid w:val="00DE1E31"/>
    <w:rsid w:val="00DE22AD"/>
    <w:rsid w:val="00DE2C26"/>
    <w:rsid w:val="00DE2CFB"/>
    <w:rsid w:val="00DE3607"/>
    <w:rsid w:val="00DE3C66"/>
    <w:rsid w:val="00DE414D"/>
    <w:rsid w:val="00DE5048"/>
    <w:rsid w:val="00DE68DD"/>
    <w:rsid w:val="00DE6919"/>
    <w:rsid w:val="00DE77DC"/>
    <w:rsid w:val="00DF0391"/>
    <w:rsid w:val="00DF0FAE"/>
    <w:rsid w:val="00DF1506"/>
    <w:rsid w:val="00DF1F74"/>
    <w:rsid w:val="00DF2BD5"/>
    <w:rsid w:val="00DF2FA1"/>
    <w:rsid w:val="00DF5862"/>
    <w:rsid w:val="00DF5E93"/>
    <w:rsid w:val="00DF66BB"/>
    <w:rsid w:val="00DF72F4"/>
    <w:rsid w:val="00DF7D55"/>
    <w:rsid w:val="00E003C0"/>
    <w:rsid w:val="00E00E3A"/>
    <w:rsid w:val="00E013E9"/>
    <w:rsid w:val="00E013EF"/>
    <w:rsid w:val="00E017F2"/>
    <w:rsid w:val="00E01B2C"/>
    <w:rsid w:val="00E0267C"/>
    <w:rsid w:val="00E02932"/>
    <w:rsid w:val="00E02CE1"/>
    <w:rsid w:val="00E033DC"/>
    <w:rsid w:val="00E03B4B"/>
    <w:rsid w:val="00E043FA"/>
    <w:rsid w:val="00E04ACE"/>
    <w:rsid w:val="00E069C1"/>
    <w:rsid w:val="00E06DD5"/>
    <w:rsid w:val="00E0725D"/>
    <w:rsid w:val="00E0756D"/>
    <w:rsid w:val="00E1063D"/>
    <w:rsid w:val="00E10676"/>
    <w:rsid w:val="00E10E12"/>
    <w:rsid w:val="00E119EA"/>
    <w:rsid w:val="00E11DFA"/>
    <w:rsid w:val="00E123BB"/>
    <w:rsid w:val="00E12B19"/>
    <w:rsid w:val="00E12DB1"/>
    <w:rsid w:val="00E12EF3"/>
    <w:rsid w:val="00E13856"/>
    <w:rsid w:val="00E13E2F"/>
    <w:rsid w:val="00E14C82"/>
    <w:rsid w:val="00E14ED1"/>
    <w:rsid w:val="00E15278"/>
    <w:rsid w:val="00E1582A"/>
    <w:rsid w:val="00E158E9"/>
    <w:rsid w:val="00E15B98"/>
    <w:rsid w:val="00E16411"/>
    <w:rsid w:val="00E16654"/>
    <w:rsid w:val="00E17056"/>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66"/>
    <w:rsid w:val="00E3028E"/>
    <w:rsid w:val="00E311CE"/>
    <w:rsid w:val="00E31D2B"/>
    <w:rsid w:val="00E31E30"/>
    <w:rsid w:val="00E31E40"/>
    <w:rsid w:val="00E31FE5"/>
    <w:rsid w:val="00E33520"/>
    <w:rsid w:val="00E33741"/>
    <w:rsid w:val="00E33D3D"/>
    <w:rsid w:val="00E34817"/>
    <w:rsid w:val="00E351B8"/>
    <w:rsid w:val="00E35EC1"/>
    <w:rsid w:val="00E35F95"/>
    <w:rsid w:val="00E3623E"/>
    <w:rsid w:val="00E36893"/>
    <w:rsid w:val="00E369E0"/>
    <w:rsid w:val="00E36F87"/>
    <w:rsid w:val="00E36FAF"/>
    <w:rsid w:val="00E37775"/>
    <w:rsid w:val="00E37879"/>
    <w:rsid w:val="00E4029A"/>
    <w:rsid w:val="00E4107C"/>
    <w:rsid w:val="00E410B5"/>
    <w:rsid w:val="00E41495"/>
    <w:rsid w:val="00E41D4A"/>
    <w:rsid w:val="00E41DFA"/>
    <w:rsid w:val="00E41F14"/>
    <w:rsid w:val="00E4205C"/>
    <w:rsid w:val="00E42264"/>
    <w:rsid w:val="00E42D1E"/>
    <w:rsid w:val="00E43435"/>
    <w:rsid w:val="00E44742"/>
    <w:rsid w:val="00E447FF"/>
    <w:rsid w:val="00E44850"/>
    <w:rsid w:val="00E455A1"/>
    <w:rsid w:val="00E45DF0"/>
    <w:rsid w:val="00E45F05"/>
    <w:rsid w:val="00E47A30"/>
    <w:rsid w:val="00E50E09"/>
    <w:rsid w:val="00E51F55"/>
    <w:rsid w:val="00E531FE"/>
    <w:rsid w:val="00E540BC"/>
    <w:rsid w:val="00E540CA"/>
    <w:rsid w:val="00E54462"/>
    <w:rsid w:val="00E54583"/>
    <w:rsid w:val="00E550C9"/>
    <w:rsid w:val="00E55F46"/>
    <w:rsid w:val="00E5633C"/>
    <w:rsid w:val="00E56E97"/>
    <w:rsid w:val="00E56EE4"/>
    <w:rsid w:val="00E57504"/>
    <w:rsid w:val="00E60A17"/>
    <w:rsid w:val="00E621FE"/>
    <w:rsid w:val="00E62CBA"/>
    <w:rsid w:val="00E63C7E"/>
    <w:rsid w:val="00E63E08"/>
    <w:rsid w:val="00E648F7"/>
    <w:rsid w:val="00E64936"/>
    <w:rsid w:val="00E64CC9"/>
    <w:rsid w:val="00E652A6"/>
    <w:rsid w:val="00E65D50"/>
    <w:rsid w:val="00E65E40"/>
    <w:rsid w:val="00E67861"/>
    <w:rsid w:val="00E67C63"/>
    <w:rsid w:val="00E67D3C"/>
    <w:rsid w:val="00E702B9"/>
    <w:rsid w:val="00E71269"/>
    <w:rsid w:val="00E71EAE"/>
    <w:rsid w:val="00E75146"/>
    <w:rsid w:val="00E755AB"/>
    <w:rsid w:val="00E759AE"/>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8AF"/>
    <w:rsid w:val="00E86047"/>
    <w:rsid w:val="00E86711"/>
    <w:rsid w:val="00E86798"/>
    <w:rsid w:val="00E90BD7"/>
    <w:rsid w:val="00E90CAB"/>
    <w:rsid w:val="00E90E54"/>
    <w:rsid w:val="00E9118C"/>
    <w:rsid w:val="00E911AC"/>
    <w:rsid w:val="00E914A9"/>
    <w:rsid w:val="00E921EC"/>
    <w:rsid w:val="00E92595"/>
    <w:rsid w:val="00E92FE6"/>
    <w:rsid w:val="00E93342"/>
    <w:rsid w:val="00E94929"/>
    <w:rsid w:val="00E94E07"/>
    <w:rsid w:val="00E9535A"/>
    <w:rsid w:val="00E9569C"/>
    <w:rsid w:val="00E968B6"/>
    <w:rsid w:val="00E96CCE"/>
    <w:rsid w:val="00E96D3C"/>
    <w:rsid w:val="00E97839"/>
    <w:rsid w:val="00E97BE5"/>
    <w:rsid w:val="00EA2148"/>
    <w:rsid w:val="00EA2C19"/>
    <w:rsid w:val="00EA3031"/>
    <w:rsid w:val="00EA3072"/>
    <w:rsid w:val="00EA3B39"/>
    <w:rsid w:val="00EA3B87"/>
    <w:rsid w:val="00EA3BBF"/>
    <w:rsid w:val="00EA3EA7"/>
    <w:rsid w:val="00EA4A73"/>
    <w:rsid w:val="00EA4F63"/>
    <w:rsid w:val="00EA5703"/>
    <w:rsid w:val="00EA63F5"/>
    <w:rsid w:val="00EA689E"/>
    <w:rsid w:val="00EA7C5F"/>
    <w:rsid w:val="00EA7CCF"/>
    <w:rsid w:val="00EA7FAC"/>
    <w:rsid w:val="00EB0480"/>
    <w:rsid w:val="00EB0E25"/>
    <w:rsid w:val="00EB1BF9"/>
    <w:rsid w:val="00EB1D2C"/>
    <w:rsid w:val="00EB20FA"/>
    <w:rsid w:val="00EB2116"/>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333"/>
    <w:rsid w:val="00EC53AC"/>
    <w:rsid w:val="00EC5A01"/>
    <w:rsid w:val="00EC5A71"/>
    <w:rsid w:val="00EC5CC8"/>
    <w:rsid w:val="00EC6864"/>
    <w:rsid w:val="00EC6A8E"/>
    <w:rsid w:val="00EC6B14"/>
    <w:rsid w:val="00EC6BCB"/>
    <w:rsid w:val="00EC729C"/>
    <w:rsid w:val="00EC7AAA"/>
    <w:rsid w:val="00EC7D71"/>
    <w:rsid w:val="00ED0365"/>
    <w:rsid w:val="00ED073E"/>
    <w:rsid w:val="00ED0BF4"/>
    <w:rsid w:val="00ED0E71"/>
    <w:rsid w:val="00ED18EC"/>
    <w:rsid w:val="00ED2378"/>
    <w:rsid w:val="00ED29A6"/>
    <w:rsid w:val="00ED35F3"/>
    <w:rsid w:val="00ED525B"/>
    <w:rsid w:val="00ED5337"/>
    <w:rsid w:val="00ED59E7"/>
    <w:rsid w:val="00ED6BA1"/>
    <w:rsid w:val="00ED7403"/>
    <w:rsid w:val="00ED7AA8"/>
    <w:rsid w:val="00EE057C"/>
    <w:rsid w:val="00EE0858"/>
    <w:rsid w:val="00EE112E"/>
    <w:rsid w:val="00EE21CF"/>
    <w:rsid w:val="00EE236A"/>
    <w:rsid w:val="00EE2649"/>
    <w:rsid w:val="00EE3015"/>
    <w:rsid w:val="00EE31AF"/>
    <w:rsid w:val="00EE34A1"/>
    <w:rsid w:val="00EE41A1"/>
    <w:rsid w:val="00EE50C5"/>
    <w:rsid w:val="00EE536C"/>
    <w:rsid w:val="00EE53E7"/>
    <w:rsid w:val="00EE5B00"/>
    <w:rsid w:val="00EE70D9"/>
    <w:rsid w:val="00EE71BF"/>
    <w:rsid w:val="00EE73E5"/>
    <w:rsid w:val="00EE7B44"/>
    <w:rsid w:val="00EE7D04"/>
    <w:rsid w:val="00EE7FB9"/>
    <w:rsid w:val="00EF09AC"/>
    <w:rsid w:val="00EF14D1"/>
    <w:rsid w:val="00EF1DD2"/>
    <w:rsid w:val="00EF4703"/>
    <w:rsid w:val="00EF58F2"/>
    <w:rsid w:val="00EF60C8"/>
    <w:rsid w:val="00EF6733"/>
    <w:rsid w:val="00EF6974"/>
    <w:rsid w:val="00EF6AD7"/>
    <w:rsid w:val="00F006A9"/>
    <w:rsid w:val="00F009EB"/>
    <w:rsid w:val="00F017FB"/>
    <w:rsid w:val="00F01F7A"/>
    <w:rsid w:val="00F02736"/>
    <w:rsid w:val="00F02A35"/>
    <w:rsid w:val="00F02DE0"/>
    <w:rsid w:val="00F030A2"/>
    <w:rsid w:val="00F0344E"/>
    <w:rsid w:val="00F03930"/>
    <w:rsid w:val="00F0467D"/>
    <w:rsid w:val="00F04DD4"/>
    <w:rsid w:val="00F053FC"/>
    <w:rsid w:val="00F05564"/>
    <w:rsid w:val="00F06302"/>
    <w:rsid w:val="00F079CC"/>
    <w:rsid w:val="00F11012"/>
    <w:rsid w:val="00F11DF7"/>
    <w:rsid w:val="00F13509"/>
    <w:rsid w:val="00F1360C"/>
    <w:rsid w:val="00F1390D"/>
    <w:rsid w:val="00F151EA"/>
    <w:rsid w:val="00F15595"/>
    <w:rsid w:val="00F156A1"/>
    <w:rsid w:val="00F208B7"/>
    <w:rsid w:val="00F20B24"/>
    <w:rsid w:val="00F21368"/>
    <w:rsid w:val="00F21A7E"/>
    <w:rsid w:val="00F21C74"/>
    <w:rsid w:val="00F224D7"/>
    <w:rsid w:val="00F226DE"/>
    <w:rsid w:val="00F227F6"/>
    <w:rsid w:val="00F22851"/>
    <w:rsid w:val="00F24940"/>
    <w:rsid w:val="00F24944"/>
    <w:rsid w:val="00F2516C"/>
    <w:rsid w:val="00F2560A"/>
    <w:rsid w:val="00F25B7F"/>
    <w:rsid w:val="00F25D74"/>
    <w:rsid w:val="00F2644C"/>
    <w:rsid w:val="00F26992"/>
    <w:rsid w:val="00F26ABC"/>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F9A"/>
    <w:rsid w:val="00F40094"/>
    <w:rsid w:val="00F40646"/>
    <w:rsid w:val="00F41579"/>
    <w:rsid w:val="00F41DAE"/>
    <w:rsid w:val="00F42591"/>
    <w:rsid w:val="00F426C8"/>
    <w:rsid w:val="00F4377C"/>
    <w:rsid w:val="00F43BEA"/>
    <w:rsid w:val="00F44809"/>
    <w:rsid w:val="00F448A1"/>
    <w:rsid w:val="00F45459"/>
    <w:rsid w:val="00F46D5A"/>
    <w:rsid w:val="00F47305"/>
    <w:rsid w:val="00F5036E"/>
    <w:rsid w:val="00F519A9"/>
    <w:rsid w:val="00F52AF5"/>
    <w:rsid w:val="00F53204"/>
    <w:rsid w:val="00F534B3"/>
    <w:rsid w:val="00F5350F"/>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1BB6"/>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924"/>
    <w:rsid w:val="00F902E3"/>
    <w:rsid w:val="00F921D2"/>
    <w:rsid w:val="00F92334"/>
    <w:rsid w:val="00F93183"/>
    <w:rsid w:val="00F937E1"/>
    <w:rsid w:val="00F93EFB"/>
    <w:rsid w:val="00F94647"/>
    <w:rsid w:val="00F9524E"/>
    <w:rsid w:val="00F958CB"/>
    <w:rsid w:val="00F95BEE"/>
    <w:rsid w:val="00F95E95"/>
    <w:rsid w:val="00F966D6"/>
    <w:rsid w:val="00F96B6E"/>
    <w:rsid w:val="00F971CA"/>
    <w:rsid w:val="00F971E2"/>
    <w:rsid w:val="00F97B8D"/>
    <w:rsid w:val="00FA001C"/>
    <w:rsid w:val="00FA0211"/>
    <w:rsid w:val="00FA197C"/>
    <w:rsid w:val="00FA1B8A"/>
    <w:rsid w:val="00FA34F4"/>
    <w:rsid w:val="00FA391C"/>
    <w:rsid w:val="00FA39AD"/>
    <w:rsid w:val="00FA3C84"/>
    <w:rsid w:val="00FA46ED"/>
    <w:rsid w:val="00FA4A5E"/>
    <w:rsid w:val="00FA4B22"/>
    <w:rsid w:val="00FA51DC"/>
    <w:rsid w:val="00FA5829"/>
    <w:rsid w:val="00FA746C"/>
    <w:rsid w:val="00FA7B8D"/>
    <w:rsid w:val="00FB0C83"/>
    <w:rsid w:val="00FB1043"/>
    <w:rsid w:val="00FB1F9F"/>
    <w:rsid w:val="00FB20F3"/>
    <w:rsid w:val="00FB43AC"/>
    <w:rsid w:val="00FB47EA"/>
    <w:rsid w:val="00FB4A8C"/>
    <w:rsid w:val="00FB4EED"/>
    <w:rsid w:val="00FB567E"/>
    <w:rsid w:val="00FB7C38"/>
    <w:rsid w:val="00FB7F1F"/>
    <w:rsid w:val="00FC054A"/>
    <w:rsid w:val="00FC0790"/>
    <w:rsid w:val="00FC0A0D"/>
    <w:rsid w:val="00FC0F4A"/>
    <w:rsid w:val="00FC1289"/>
    <w:rsid w:val="00FC16C4"/>
    <w:rsid w:val="00FC2C91"/>
    <w:rsid w:val="00FC3459"/>
    <w:rsid w:val="00FC387F"/>
    <w:rsid w:val="00FC43E8"/>
    <w:rsid w:val="00FC4C6D"/>
    <w:rsid w:val="00FC4DC2"/>
    <w:rsid w:val="00FC5311"/>
    <w:rsid w:val="00FC598B"/>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307"/>
    <w:rsid w:val="00FE05FC"/>
    <w:rsid w:val="00FE0693"/>
    <w:rsid w:val="00FE086E"/>
    <w:rsid w:val="00FE0AF4"/>
    <w:rsid w:val="00FE0B7C"/>
    <w:rsid w:val="00FE0C34"/>
    <w:rsid w:val="00FE127F"/>
    <w:rsid w:val="00FE1E00"/>
    <w:rsid w:val="00FE27EE"/>
    <w:rsid w:val="00FE30E1"/>
    <w:rsid w:val="00FE43F9"/>
    <w:rsid w:val="00FE520C"/>
    <w:rsid w:val="00FE61E2"/>
    <w:rsid w:val="00FE65C5"/>
    <w:rsid w:val="00FE6AFF"/>
    <w:rsid w:val="00FE6DA0"/>
    <w:rsid w:val="00FE7297"/>
    <w:rsid w:val="00FE7965"/>
    <w:rsid w:val="00FF0C49"/>
    <w:rsid w:val="00FF0FDB"/>
    <w:rsid w:val="00FF1282"/>
    <w:rsid w:val="00FF1339"/>
    <w:rsid w:val="00FF1340"/>
    <w:rsid w:val="00FF1682"/>
    <w:rsid w:val="00FF2F90"/>
    <w:rsid w:val="00FF30D0"/>
    <w:rsid w:val="00FF33D3"/>
    <w:rsid w:val="00FF479B"/>
    <w:rsid w:val="00FF5100"/>
    <w:rsid w:val="00FF5C53"/>
    <w:rsid w:val="00FF63AC"/>
    <w:rsid w:val="00FF6AA1"/>
    <w:rsid w:val="00FF7B95"/>
    <w:rsid w:val="00FF7D80"/>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99AA574D-D354-437A-8561-9E697C890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04582">
      <w:bodyDiv w:val="1"/>
      <w:marLeft w:val="0"/>
      <w:marRight w:val="0"/>
      <w:marTop w:val="0"/>
      <w:marBottom w:val="0"/>
      <w:divBdr>
        <w:top w:val="none" w:sz="0" w:space="0" w:color="auto"/>
        <w:left w:val="none" w:sz="0" w:space="0" w:color="auto"/>
        <w:bottom w:val="none" w:sz="0" w:space="0" w:color="auto"/>
        <w:right w:val="none" w:sz="0" w:space="0" w:color="auto"/>
      </w:divBdr>
      <w:divsChild>
        <w:div w:id="1835610156">
          <w:marLeft w:val="0"/>
          <w:marRight w:val="0"/>
          <w:marTop w:val="0"/>
          <w:marBottom w:val="0"/>
          <w:divBdr>
            <w:top w:val="none" w:sz="0" w:space="0" w:color="auto"/>
            <w:left w:val="none" w:sz="0" w:space="0" w:color="auto"/>
            <w:bottom w:val="none" w:sz="0" w:space="0" w:color="auto"/>
            <w:right w:val="none" w:sz="0" w:space="0" w:color="auto"/>
          </w:divBdr>
        </w:div>
        <w:div w:id="540291492">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53128844">
      <w:bodyDiv w:val="1"/>
      <w:marLeft w:val="0"/>
      <w:marRight w:val="0"/>
      <w:marTop w:val="0"/>
      <w:marBottom w:val="0"/>
      <w:divBdr>
        <w:top w:val="none" w:sz="0" w:space="0" w:color="auto"/>
        <w:left w:val="none" w:sz="0" w:space="0" w:color="auto"/>
        <w:bottom w:val="none" w:sz="0" w:space="0" w:color="auto"/>
        <w:right w:val="none" w:sz="0" w:space="0" w:color="auto"/>
      </w:divBdr>
      <w:divsChild>
        <w:div w:id="744767054">
          <w:marLeft w:val="0"/>
          <w:marRight w:val="0"/>
          <w:marTop w:val="0"/>
          <w:marBottom w:val="0"/>
          <w:divBdr>
            <w:top w:val="none" w:sz="0" w:space="0" w:color="auto"/>
            <w:left w:val="none" w:sz="0" w:space="0" w:color="auto"/>
            <w:bottom w:val="none" w:sz="0" w:space="0" w:color="auto"/>
            <w:right w:val="none" w:sz="0" w:space="0" w:color="auto"/>
          </w:divBdr>
        </w:div>
        <w:div w:id="1074088593">
          <w:marLeft w:val="0"/>
          <w:marRight w:val="0"/>
          <w:marTop w:val="0"/>
          <w:marBottom w:val="0"/>
          <w:divBdr>
            <w:top w:val="none" w:sz="0" w:space="0" w:color="auto"/>
            <w:left w:val="none" w:sz="0" w:space="0" w:color="auto"/>
            <w:bottom w:val="none" w:sz="0" w:space="0" w:color="auto"/>
            <w:right w:val="none" w:sz="0" w:space="0" w:color="auto"/>
          </w:divBdr>
        </w:div>
        <w:div w:id="1217428158">
          <w:marLeft w:val="0"/>
          <w:marRight w:val="0"/>
          <w:marTop w:val="0"/>
          <w:marBottom w:val="0"/>
          <w:divBdr>
            <w:top w:val="none" w:sz="0" w:space="0" w:color="auto"/>
            <w:left w:val="none" w:sz="0" w:space="0" w:color="auto"/>
            <w:bottom w:val="none" w:sz="0" w:space="0" w:color="auto"/>
            <w:right w:val="none" w:sz="0" w:space="0" w:color="auto"/>
          </w:divBdr>
        </w:div>
        <w:div w:id="1498686800">
          <w:marLeft w:val="0"/>
          <w:marRight w:val="0"/>
          <w:marTop w:val="0"/>
          <w:marBottom w:val="0"/>
          <w:divBdr>
            <w:top w:val="none" w:sz="0" w:space="0" w:color="auto"/>
            <w:left w:val="none" w:sz="0" w:space="0" w:color="auto"/>
            <w:bottom w:val="none" w:sz="0" w:space="0" w:color="auto"/>
            <w:right w:val="none" w:sz="0" w:space="0" w:color="auto"/>
          </w:divBdr>
        </w:div>
        <w:div w:id="1741168184">
          <w:marLeft w:val="0"/>
          <w:marRight w:val="0"/>
          <w:marTop w:val="0"/>
          <w:marBottom w:val="0"/>
          <w:divBdr>
            <w:top w:val="none" w:sz="0" w:space="0" w:color="auto"/>
            <w:left w:val="none" w:sz="0" w:space="0" w:color="auto"/>
            <w:bottom w:val="none" w:sz="0" w:space="0" w:color="auto"/>
            <w:right w:val="none" w:sz="0" w:space="0" w:color="auto"/>
          </w:divBdr>
        </w:div>
        <w:div w:id="2109889569">
          <w:marLeft w:val="0"/>
          <w:marRight w:val="0"/>
          <w:marTop w:val="0"/>
          <w:marBottom w:val="0"/>
          <w:divBdr>
            <w:top w:val="none" w:sz="0" w:space="0" w:color="auto"/>
            <w:left w:val="none" w:sz="0" w:space="0" w:color="auto"/>
            <w:bottom w:val="none" w:sz="0" w:space="0" w:color="auto"/>
            <w:right w:val="none" w:sz="0" w:space="0" w:color="auto"/>
          </w:divBdr>
        </w:div>
      </w:divsChild>
    </w:div>
    <w:div w:id="359858613">
      <w:bodyDiv w:val="1"/>
      <w:marLeft w:val="0"/>
      <w:marRight w:val="0"/>
      <w:marTop w:val="0"/>
      <w:marBottom w:val="0"/>
      <w:divBdr>
        <w:top w:val="none" w:sz="0" w:space="0" w:color="auto"/>
        <w:left w:val="none" w:sz="0" w:space="0" w:color="auto"/>
        <w:bottom w:val="none" w:sz="0" w:space="0" w:color="auto"/>
        <w:right w:val="none" w:sz="0" w:space="0" w:color="auto"/>
      </w:divBdr>
    </w:div>
    <w:div w:id="545872650">
      <w:bodyDiv w:val="1"/>
      <w:marLeft w:val="0"/>
      <w:marRight w:val="0"/>
      <w:marTop w:val="0"/>
      <w:marBottom w:val="0"/>
      <w:divBdr>
        <w:top w:val="none" w:sz="0" w:space="0" w:color="auto"/>
        <w:left w:val="none" w:sz="0" w:space="0" w:color="auto"/>
        <w:bottom w:val="none" w:sz="0" w:space="0" w:color="auto"/>
        <w:right w:val="none" w:sz="0" w:space="0" w:color="auto"/>
      </w:divBdr>
    </w:div>
    <w:div w:id="754015021">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94796842">
      <w:bodyDiv w:val="1"/>
      <w:marLeft w:val="0"/>
      <w:marRight w:val="0"/>
      <w:marTop w:val="0"/>
      <w:marBottom w:val="0"/>
      <w:divBdr>
        <w:top w:val="none" w:sz="0" w:space="0" w:color="auto"/>
        <w:left w:val="none" w:sz="0" w:space="0" w:color="auto"/>
        <w:bottom w:val="none" w:sz="0" w:space="0" w:color="auto"/>
        <w:right w:val="none" w:sz="0" w:space="0" w:color="auto"/>
      </w:divBdr>
      <w:divsChild>
        <w:div w:id="2103408558">
          <w:marLeft w:val="0"/>
          <w:marRight w:val="0"/>
          <w:marTop w:val="0"/>
          <w:marBottom w:val="0"/>
          <w:divBdr>
            <w:top w:val="none" w:sz="0" w:space="0" w:color="auto"/>
            <w:left w:val="none" w:sz="0" w:space="0" w:color="auto"/>
            <w:bottom w:val="none" w:sz="0" w:space="0" w:color="auto"/>
            <w:right w:val="none" w:sz="0" w:space="0" w:color="auto"/>
          </w:divBdr>
        </w:div>
        <w:div w:id="1919435382">
          <w:marLeft w:val="0"/>
          <w:marRight w:val="0"/>
          <w:marTop w:val="0"/>
          <w:marBottom w:val="0"/>
          <w:divBdr>
            <w:top w:val="none" w:sz="0" w:space="0" w:color="auto"/>
            <w:left w:val="none" w:sz="0" w:space="0" w:color="auto"/>
            <w:bottom w:val="none" w:sz="0" w:space="0" w:color="auto"/>
            <w:right w:val="none" w:sz="0" w:space="0" w:color="auto"/>
          </w:divBdr>
        </w:div>
      </w:divsChild>
    </w:div>
    <w:div w:id="1005597463">
      <w:bodyDiv w:val="1"/>
      <w:marLeft w:val="0"/>
      <w:marRight w:val="0"/>
      <w:marTop w:val="0"/>
      <w:marBottom w:val="0"/>
      <w:divBdr>
        <w:top w:val="none" w:sz="0" w:space="0" w:color="auto"/>
        <w:left w:val="none" w:sz="0" w:space="0" w:color="auto"/>
        <w:bottom w:val="none" w:sz="0" w:space="0" w:color="auto"/>
        <w:right w:val="none" w:sz="0" w:space="0" w:color="auto"/>
      </w:divBdr>
      <w:divsChild>
        <w:div w:id="418714910">
          <w:marLeft w:val="0"/>
          <w:marRight w:val="0"/>
          <w:marTop w:val="0"/>
          <w:marBottom w:val="0"/>
          <w:divBdr>
            <w:top w:val="none" w:sz="0" w:space="0" w:color="auto"/>
            <w:left w:val="none" w:sz="0" w:space="0" w:color="auto"/>
            <w:bottom w:val="none" w:sz="0" w:space="0" w:color="auto"/>
            <w:right w:val="none" w:sz="0" w:space="0" w:color="auto"/>
          </w:divBdr>
        </w:div>
        <w:div w:id="1645085557">
          <w:marLeft w:val="0"/>
          <w:marRight w:val="0"/>
          <w:marTop w:val="0"/>
          <w:marBottom w:val="0"/>
          <w:divBdr>
            <w:top w:val="none" w:sz="0" w:space="0" w:color="auto"/>
            <w:left w:val="none" w:sz="0" w:space="0" w:color="auto"/>
            <w:bottom w:val="none" w:sz="0" w:space="0" w:color="auto"/>
            <w:right w:val="none" w:sz="0" w:space="0" w:color="auto"/>
          </w:divBdr>
        </w:div>
      </w:divsChild>
    </w:div>
    <w:div w:id="1020544839">
      <w:bodyDiv w:val="1"/>
      <w:marLeft w:val="0"/>
      <w:marRight w:val="0"/>
      <w:marTop w:val="0"/>
      <w:marBottom w:val="0"/>
      <w:divBdr>
        <w:top w:val="none" w:sz="0" w:space="0" w:color="auto"/>
        <w:left w:val="none" w:sz="0" w:space="0" w:color="auto"/>
        <w:bottom w:val="none" w:sz="0" w:space="0" w:color="auto"/>
        <w:right w:val="none" w:sz="0" w:space="0" w:color="auto"/>
      </w:divBdr>
      <w:divsChild>
        <w:div w:id="1934238281">
          <w:marLeft w:val="0"/>
          <w:marRight w:val="0"/>
          <w:marTop w:val="0"/>
          <w:marBottom w:val="0"/>
          <w:divBdr>
            <w:top w:val="none" w:sz="0" w:space="0" w:color="auto"/>
            <w:left w:val="none" w:sz="0" w:space="0" w:color="auto"/>
            <w:bottom w:val="none" w:sz="0" w:space="0" w:color="auto"/>
            <w:right w:val="none" w:sz="0" w:space="0" w:color="auto"/>
          </w:divBdr>
        </w:div>
        <w:div w:id="1677339726">
          <w:marLeft w:val="0"/>
          <w:marRight w:val="0"/>
          <w:marTop w:val="0"/>
          <w:marBottom w:val="0"/>
          <w:divBdr>
            <w:top w:val="none" w:sz="0" w:space="0" w:color="auto"/>
            <w:left w:val="none" w:sz="0" w:space="0" w:color="auto"/>
            <w:bottom w:val="none" w:sz="0" w:space="0" w:color="auto"/>
            <w:right w:val="none" w:sz="0" w:space="0" w:color="auto"/>
          </w:divBdr>
        </w:div>
      </w:divsChild>
    </w:div>
    <w:div w:id="1348369702">
      <w:bodyDiv w:val="1"/>
      <w:marLeft w:val="0"/>
      <w:marRight w:val="0"/>
      <w:marTop w:val="0"/>
      <w:marBottom w:val="0"/>
      <w:divBdr>
        <w:top w:val="none" w:sz="0" w:space="0" w:color="auto"/>
        <w:left w:val="none" w:sz="0" w:space="0" w:color="auto"/>
        <w:bottom w:val="none" w:sz="0" w:space="0" w:color="auto"/>
        <w:right w:val="none" w:sz="0" w:space="0" w:color="auto"/>
      </w:divBdr>
      <w:divsChild>
        <w:div w:id="224688539">
          <w:marLeft w:val="0"/>
          <w:marRight w:val="0"/>
          <w:marTop w:val="0"/>
          <w:marBottom w:val="0"/>
          <w:divBdr>
            <w:top w:val="none" w:sz="0" w:space="0" w:color="auto"/>
            <w:left w:val="none" w:sz="0" w:space="0" w:color="auto"/>
            <w:bottom w:val="none" w:sz="0" w:space="0" w:color="auto"/>
            <w:right w:val="none" w:sz="0" w:space="0" w:color="auto"/>
          </w:divBdr>
        </w:div>
        <w:div w:id="354691208">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4130774">
      <w:bodyDiv w:val="1"/>
      <w:marLeft w:val="0"/>
      <w:marRight w:val="0"/>
      <w:marTop w:val="0"/>
      <w:marBottom w:val="0"/>
      <w:divBdr>
        <w:top w:val="none" w:sz="0" w:space="0" w:color="auto"/>
        <w:left w:val="none" w:sz="0" w:space="0" w:color="auto"/>
        <w:bottom w:val="none" w:sz="0" w:space="0" w:color="auto"/>
        <w:right w:val="none" w:sz="0" w:space="0" w:color="auto"/>
      </w:divBdr>
      <w:divsChild>
        <w:div w:id="296763732">
          <w:marLeft w:val="0"/>
          <w:marRight w:val="0"/>
          <w:marTop w:val="0"/>
          <w:marBottom w:val="0"/>
          <w:divBdr>
            <w:top w:val="none" w:sz="0" w:space="0" w:color="auto"/>
            <w:left w:val="none" w:sz="0" w:space="0" w:color="auto"/>
            <w:bottom w:val="none" w:sz="0" w:space="0" w:color="auto"/>
            <w:right w:val="none" w:sz="0" w:space="0" w:color="auto"/>
          </w:divBdr>
        </w:div>
        <w:div w:id="432406895">
          <w:marLeft w:val="0"/>
          <w:marRight w:val="0"/>
          <w:marTop w:val="0"/>
          <w:marBottom w:val="0"/>
          <w:divBdr>
            <w:top w:val="none" w:sz="0" w:space="0" w:color="auto"/>
            <w:left w:val="none" w:sz="0" w:space="0" w:color="auto"/>
            <w:bottom w:val="none" w:sz="0" w:space="0" w:color="auto"/>
            <w:right w:val="none" w:sz="0" w:space="0" w:color="auto"/>
          </w:divBdr>
        </w:div>
      </w:divsChild>
    </w:div>
    <w:div w:id="1801459746">
      <w:bodyDiv w:val="1"/>
      <w:marLeft w:val="0"/>
      <w:marRight w:val="0"/>
      <w:marTop w:val="0"/>
      <w:marBottom w:val="0"/>
      <w:divBdr>
        <w:top w:val="none" w:sz="0" w:space="0" w:color="auto"/>
        <w:left w:val="none" w:sz="0" w:space="0" w:color="auto"/>
        <w:bottom w:val="none" w:sz="0" w:space="0" w:color="auto"/>
        <w:right w:val="none" w:sz="0" w:space="0" w:color="auto"/>
      </w:divBdr>
      <w:divsChild>
        <w:div w:id="1939170985">
          <w:marLeft w:val="0"/>
          <w:marRight w:val="0"/>
          <w:marTop w:val="0"/>
          <w:marBottom w:val="0"/>
          <w:divBdr>
            <w:top w:val="none" w:sz="0" w:space="0" w:color="auto"/>
            <w:left w:val="none" w:sz="0" w:space="0" w:color="auto"/>
            <w:bottom w:val="none" w:sz="0" w:space="0" w:color="auto"/>
            <w:right w:val="none" w:sz="0" w:space="0" w:color="auto"/>
          </w:divBdr>
        </w:div>
        <w:div w:id="194122929">
          <w:marLeft w:val="0"/>
          <w:marRight w:val="0"/>
          <w:marTop w:val="0"/>
          <w:marBottom w:val="0"/>
          <w:divBdr>
            <w:top w:val="none" w:sz="0" w:space="0" w:color="auto"/>
            <w:left w:val="none" w:sz="0" w:space="0" w:color="auto"/>
            <w:bottom w:val="none" w:sz="0" w:space="0" w:color="auto"/>
            <w:right w:val="none" w:sz="0" w:space="0" w:color="auto"/>
          </w:divBdr>
        </w:div>
      </w:divsChild>
    </w:div>
    <w:div w:id="207758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5A2"/>
    <w:rsid w:val="006A45A2"/>
    <w:rsid w:val="00C74B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61F94F5DDA94DEEA1DA22CFB1123BD2">
    <w:name w:val="161F94F5DDA94DEEA1DA22CFB1123BD2"/>
    <w:rsid w:val="006A45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F057A-043D-4700-A5D9-9381F6BCE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25</Pages>
  <Words>9598</Words>
  <Characters>52794</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13</cp:revision>
  <cp:lastPrinted>2022-09-27T18:36:00Z</cp:lastPrinted>
  <dcterms:created xsi:type="dcterms:W3CDTF">2022-09-27T17:48:00Z</dcterms:created>
  <dcterms:modified xsi:type="dcterms:W3CDTF">2023-01-09T18:30:00Z</dcterms:modified>
</cp:coreProperties>
</file>