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DF4F7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FF77080" w:rsidR="003B6CF0" w:rsidRPr="00CB6405" w:rsidRDefault="003B6CF0" w:rsidP="00DF4F71">
      <w:pPr>
        <w:spacing w:line="240" w:lineRule="auto"/>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14333">
        <w:rPr>
          <w:rFonts w:ascii="Arial" w:hAnsi="Arial" w:cs="Arial"/>
          <w:b/>
          <w:sz w:val="26"/>
          <w:szCs w:val="26"/>
        </w:rPr>
        <w:t>049</w:t>
      </w:r>
      <w:r>
        <w:rPr>
          <w:rFonts w:ascii="Arial" w:hAnsi="Arial" w:cs="Arial"/>
          <w:b/>
          <w:sz w:val="26"/>
          <w:szCs w:val="26"/>
        </w:rPr>
        <w:t>/20</w:t>
      </w:r>
      <w:r w:rsidR="00D32C8F">
        <w:rPr>
          <w:rFonts w:ascii="Arial" w:hAnsi="Arial" w:cs="Arial"/>
          <w:b/>
          <w:sz w:val="26"/>
          <w:szCs w:val="26"/>
        </w:rPr>
        <w:t>2</w:t>
      </w:r>
      <w:r w:rsidR="00814333">
        <w:rPr>
          <w:rFonts w:ascii="Arial" w:hAnsi="Arial" w:cs="Arial"/>
          <w:b/>
          <w:sz w:val="26"/>
          <w:szCs w:val="26"/>
        </w:rPr>
        <w:t>2</w:t>
      </w:r>
      <w:r>
        <w:rPr>
          <w:rFonts w:ascii="Arial" w:hAnsi="Arial" w:cs="Arial"/>
          <w:b/>
          <w:sz w:val="26"/>
          <w:szCs w:val="26"/>
        </w:rPr>
        <w:t>.</w:t>
      </w:r>
    </w:p>
    <w:p w14:paraId="4DFA70CD" w14:textId="262780A8" w:rsidR="003B6CF0" w:rsidRDefault="003B6CF0" w:rsidP="00DF4F71">
      <w:pPr>
        <w:spacing w:line="240" w:lineRule="auto"/>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814333">
        <w:rPr>
          <w:rFonts w:ascii="Arial" w:hAnsi="Arial" w:cs="Arial"/>
          <w:b/>
          <w:sz w:val="26"/>
          <w:szCs w:val="26"/>
        </w:rPr>
        <w:t>003</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00814333">
        <w:rPr>
          <w:rFonts w:ascii="Arial" w:hAnsi="Arial" w:cs="Arial"/>
          <w:b/>
          <w:sz w:val="26"/>
          <w:szCs w:val="26"/>
        </w:rPr>
        <w:t>2</w:t>
      </w:r>
      <w:r w:rsidRPr="00CB6405">
        <w:rPr>
          <w:rFonts w:ascii="Arial" w:hAnsi="Arial" w:cs="Arial"/>
          <w:b/>
          <w:sz w:val="26"/>
          <w:szCs w:val="26"/>
        </w:rPr>
        <w:t xml:space="preserve"> </w:t>
      </w:r>
      <w:r w:rsidR="00D32C8F">
        <w:rPr>
          <w:rFonts w:ascii="Arial" w:hAnsi="Arial" w:cs="Arial"/>
          <w:b/>
          <w:sz w:val="26"/>
          <w:szCs w:val="26"/>
        </w:rPr>
        <w:t xml:space="preserve">DE LA </w:t>
      </w:r>
      <w:r w:rsidR="006E1CF7">
        <w:rPr>
          <w:rFonts w:ascii="Arial" w:hAnsi="Arial" w:cs="Arial"/>
          <w:b/>
          <w:sz w:val="26"/>
          <w:szCs w:val="26"/>
        </w:rPr>
        <w:t>QUIN</w:t>
      </w:r>
      <w:r w:rsidR="00D733BC">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DF4F71">
      <w:pPr>
        <w:spacing w:line="240" w:lineRule="auto"/>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30EBB38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DF4F71">
        <w:rPr>
          <w:rFonts w:ascii="Arial" w:hAnsi="Arial" w:cs="Arial"/>
          <w:b/>
          <w:sz w:val="26"/>
          <w:szCs w:val="26"/>
        </w:rPr>
        <w:t>VEINTIDÓS</w:t>
      </w:r>
      <w:r w:rsidR="00D32C8F">
        <w:rPr>
          <w:rFonts w:ascii="Arial" w:hAnsi="Arial" w:cs="Arial"/>
          <w:b/>
          <w:sz w:val="26"/>
          <w:szCs w:val="26"/>
        </w:rPr>
        <w:t xml:space="preserve"> DE </w:t>
      </w:r>
      <w:r w:rsidR="00DF4F71">
        <w:rPr>
          <w:rFonts w:ascii="Arial" w:hAnsi="Arial" w:cs="Arial"/>
          <w:b/>
          <w:sz w:val="26"/>
          <w:szCs w:val="26"/>
        </w:rPr>
        <w:t xml:space="preserve">SEPTIEMBRE </w:t>
      </w:r>
      <w:r w:rsidR="00D32C8F">
        <w:rPr>
          <w:rFonts w:ascii="Arial" w:hAnsi="Arial" w:cs="Arial"/>
          <w:b/>
          <w:sz w:val="26"/>
          <w:szCs w:val="26"/>
        </w:rPr>
        <w:t>DE DOS MIL VEINTIDÓS</w:t>
      </w:r>
      <w:r>
        <w:rPr>
          <w:rFonts w:ascii="Arial" w:hAnsi="Arial" w:cs="Arial"/>
          <w:b/>
          <w:sz w:val="26"/>
          <w:szCs w:val="26"/>
        </w:rPr>
        <w:t xml:space="preserve">. - - - - - - - - - - - - - - - - - - - - - - - - - - - - - - - - - - - </w:t>
      </w:r>
    </w:p>
    <w:p w14:paraId="7CF0F441" w14:textId="643CF335" w:rsidR="003B6CF0" w:rsidRPr="00D32C8F" w:rsidRDefault="003B6CF0" w:rsidP="00DF4F71">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814333">
        <w:rPr>
          <w:rFonts w:ascii="Arial" w:hAnsi="Arial" w:cs="Arial"/>
          <w:b/>
          <w:sz w:val="26"/>
          <w:szCs w:val="26"/>
        </w:rPr>
        <w:t>04</w:t>
      </w:r>
      <w:r w:rsidR="006E1CF7">
        <w:rPr>
          <w:rFonts w:ascii="Arial" w:hAnsi="Arial" w:cs="Arial"/>
          <w:b/>
          <w:sz w:val="26"/>
          <w:szCs w:val="26"/>
        </w:rPr>
        <w:t>9</w:t>
      </w:r>
      <w:r w:rsidRPr="00CB6405">
        <w:rPr>
          <w:rFonts w:ascii="Arial" w:hAnsi="Arial" w:cs="Arial"/>
          <w:b/>
          <w:sz w:val="26"/>
          <w:szCs w:val="26"/>
        </w:rPr>
        <w:t>/20</w:t>
      </w:r>
      <w:r w:rsidR="00D32C8F">
        <w:rPr>
          <w:rFonts w:ascii="Arial" w:hAnsi="Arial" w:cs="Arial"/>
          <w:b/>
          <w:sz w:val="26"/>
          <w:szCs w:val="26"/>
        </w:rPr>
        <w:t>2</w:t>
      </w:r>
      <w:r w:rsidR="00814333">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2C4B8A">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814333">
        <w:rPr>
          <w:rFonts w:ascii="Arial" w:hAnsi="Arial" w:cs="Arial"/>
          <w:sz w:val="26"/>
          <w:szCs w:val="26"/>
        </w:rPr>
        <w:t>veintitrés</w:t>
      </w:r>
      <w:r>
        <w:rPr>
          <w:rFonts w:ascii="Arial" w:hAnsi="Arial" w:cs="Arial"/>
          <w:sz w:val="26"/>
          <w:szCs w:val="26"/>
        </w:rPr>
        <w:t xml:space="preserve"> de </w:t>
      </w:r>
      <w:r w:rsidR="00814333">
        <w:rPr>
          <w:rFonts w:ascii="Arial" w:hAnsi="Arial" w:cs="Arial"/>
          <w:sz w:val="26"/>
          <w:szCs w:val="26"/>
        </w:rPr>
        <w:t>febrero</w:t>
      </w:r>
      <w:r w:rsidR="005C6806">
        <w:rPr>
          <w:rFonts w:ascii="Arial" w:hAnsi="Arial" w:cs="Arial"/>
          <w:sz w:val="26"/>
          <w:szCs w:val="26"/>
        </w:rPr>
        <w:t xml:space="preserve"> </w:t>
      </w:r>
      <w:r>
        <w:rPr>
          <w:rFonts w:ascii="Arial" w:hAnsi="Arial" w:cs="Arial"/>
          <w:sz w:val="26"/>
          <w:szCs w:val="26"/>
        </w:rPr>
        <w:t xml:space="preserve">de dos mil </w:t>
      </w:r>
      <w:r w:rsidR="00814333">
        <w:rPr>
          <w:rFonts w:ascii="Arial" w:hAnsi="Arial" w:cs="Arial"/>
          <w:sz w:val="26"/>
          <w:szCs w:val="26"/>
        </w:rPr>
        <w:t>veintidós</w:t>
      </w:r>
      <w:r>
        <w:rPr>
          <w:rFonts w:ascii="Arial" w:hAnsi="Arial" w:cs="Arial"/>
          <w:sz w:val="26"/>
          <w:szCs w:val="26"/>
        </w:rPr>
        <w:t>, dictad</w:t>
      </w:r>
      <w:r w:rsidR="008234F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814333">
        <w:rPr>
          <w:rFonts w:ascii="Arial" w:hAnsi="Arial" w:cs="Arial"/>
          <w:b/>
          <w:sz w:val="26"/>
          <w:szCs w:val="26"/>
        </w:rPr>
        <w:t>003</w:t>
      </w:r>
      <w:r w:rsidR="007007A1">
        <w:rPr>
          <w:rFonts w:ascii="Arial" w:hAnsi="Arial" w:cs="Arial"/>
          <w:b/>
          <w:sz w:val="26"/>
          <w:szCs w:val="26"/>
        </w:rPr>
        <w:t>/20</w:t>
      </w:r>
      <w:r w:rsidR="005C6806">
        <w:rPr>
          <w:rFonts w:ascii="Arial" w:hAnsi="Arial" w:cs="Arial"/>
          <w:b/>
          <w:sz w:val="26"/>
          <w:szCs w:val="26"/>
        </w:rPr>
        <w:t>2</w:t>
      </w:r>
      <w:r w:rsidR="00814333">
        <w:rPr>
          <w:rFonts w:ascii="Arial" w:hAnsi="Arial" w:cs="Arial"/>
          <w:b/>
          <w:sz w:val="26"/>
          <w:szCs w:val="26"/>
        </w:rPr>
        <w:t>2</w:t>
      </w:r>
      <w:r>
        <w:rPr>
          <w:rFonts w:ascii="Arial" w:hAnsi="Arial" w:cs="Arial"/>
          <w:b/>
          <w:sz w:val="26"/>
          <w:szCs w:val="26"/>
        </w:rPr>
        <w:t xml:space="preserve"> </w:t>
      </w:r>
      <w:r w:rsidR="007007A1">
        <w:rPr>
          <w:rFonts w:ascii="Arial" w:hAnsi="Arial" w:cs="Arial"/>
          <w:sz w:val="26"/>
          <w:szCs w:val="26"/>
        </w:rPr>
        <w:t xml:space="preserve">del índice de la </w:t>
      </w:r>
      <w:r w:rsidR="006E1CF7">
        <w:rPr>
          <w:rFonts w:ascii="Arial" w:hAnsi="Arial" w:cs="Arial"/>
          <w:sz w:val="26"/>
          <w:szCs w:val="26"/>
        </w:rPr>
        <w:t>Quin</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2C4B8A">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814333">
        <w:rPr>
          <w:rFonts w:ascii="Arial" w:hAnsi="Arial" w:cs="Arial"/>
          <w:sz w:val="26"/>
          <w:szCs w:val="26"/>
        </w:rPr>
        <w:t xml:space="preserve"> </w:t>
      </w:r>
      <w:r w:rsidR="00D4315A">
        <w:rPr>
          <w:rFonts w:ascii="Arial" w:hAnsi="Arial" w:cs="Arial"/>
          <w:sz w:val="26"/>
          <w:szCs w:val="26"/>
        </w:rPr>
        <w:t>l</w:t>
      </w:r>
      <w:r w:rsidR="00814333">
        <w:rPr>
          <w:rFonts w:ascii="Arial" w:hAnsi="Arial" w:cs="Arial"/>
          <w:sz w:val="26"/>
          <w:szCs w:val="26"/>
        </w:rPr>
        <w:t>a</w:t>
      </w:r>
      <w:r w:rsidR="00814333">
        <w:rPr>
          <w:rFonts w:ascii="Arial" w:hAnsi="Arial" w:cs="Arial"/>
          <w:b/>
          <w:sz w:val="26"/>
          <w:szCs w:val="26"/>
        </w:rPr>
        <w:t xml:space="preserve"> COORDINADORA DE COBRO COACTIVO DE </w:t>
      </w:r>
      <w:r w:rsidR="00C977C1">
        <w:rPr>
          <w:rFonts w:ascii="Arial" w:hAnsi="Arial" w:cs="Arial"/>
          <w:b/>
          <w:sz w:val="26"/>
          <w:szCs w:val="26"/>
        </w:rPr>
        <w:t>L</w:t>
      </w:r>
      <w:r w:rsidR="00814333">
        <w:rPr>
          <w:rFonts w:ascii="Arial" w:hAnsi="Arial" w:cs="Arial"/>
          <w:b/>
          <w:sz w:val="26"/>
          <w:szCs w:val="26"/>
        </w:rPr>
        <w:t>A SEC</w:t>
      </w:r>
      <w:r w:rsidR="00C977C1">
        <w:rPr>
          <w:rFonts w:ascii="Arial" w:hAnsi="Arial" w:cs="Arial"/>
          <w:b/>
          <w:sz w:val="26"/>
          <w:szCs w:val="26"/>
        </w:rPr>
        <w:t>R</w:t>
      </w:r>
      <w:r w:rsidR="00814333">
        <w:rPr>
          <w:rFonts w:ascii="Arial" w:hAnsi="Arial" w:cs="Arial"/>
          <w:b/>
          <w:sz w:val="26"/>
          <w:szCs w:val="26"/>
        </w:rPr>
        <w:t>ETARÍA DE FINANZAS DEL GOBIERNO DEL ESTADO</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 xml:space="preserve">, </w:t>
      </w:r>
      <w:r w:rsidR="00DF4F71">
        <w:rPr>
          <w:rFonts w:ascii="Arial" w:hAnsi="Arial" w:cs="Arial"/>
          <w:bCs/>
          <w:iCs/>
          <w:sz w:val="26"/>
          <w:szCs w:val="26"/>
        </w:rPr>
        <w:t xml:space="preserve">se da tramite. Por consiguiente,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DF4F71">
        <w:rPr>
          <w:rFonts w:ascii="Arial" w:hAnsi="Arial" w:cs="Arial"/>
          <w:sz w:val="26"/>
          <w:szCs w:val="26"/>
        </w:rPr>
        <w:t xml:space="preserve">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3256A6C"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814333">
        <w:rPr>
          <w:rFonts w:ascii="Arial" w:hAnsi="Arial" w:cs="Arial"/>
          <w:sz w:val="26"/>
          <w:szCs w:val="26"/>
        </w:rPr>
        <w:t>veintitrés</w:t>
      </w:r>
      <w:r w:rsidR="00B736E2">
        <w:rPr>
          <w:rFonts w:ascii="Arial" w:hAnsi="Arial" w:cs="Arial"/>
          <w:sz w:val="26"/>
          <w:szCs w:val="26"/>
        </w:rPr>
        <w:t xml:space="preserve"> </w:t>
      </w:r>
      <w:r w:rsidR="00D3539A">
        <w:rPr>
          <w:rFonts w:ascii="Arial" w:hAnsi="Arial" w:cs="Arial"/>
          <w:sz w:val="26"/>
          <w:szCs w:val="26"/>
        </w:rPr>
        <w:t xml:space="preserve">de </w:t>
      </w:r>
      <w:r w:rsidR="00814333">
        <w:rPr>
          <w:rFonts w:ascii="Arial" w:hAnsi="Arial" w:cs="Arial"/>
          <w:sz w:val="26"/>
          <w:szCs w:val="26"/>
        </w:rPr>
        <w:t>febrero</w:t>
      </w:r>
      <w:r w:rsidR="00D3539A">
        <w:rPr>
          <w:rFonts w:ascii="Arial" w:hAnsi="Arial" w:cs="Arial"/>
          <w:sz w:val="26"/>
          <w:szCs w:val="26"/>
        </w:rPr>
        <w:t xml:space="preserve"> de dos mil </w:t>
      </w:r>
      <w:r w:rsidR="00814333">
        <w:rPr>
          <w:rFonts w:ascii="Arial" w:hAnsi="Arial" w:cs="Arial"/>
          <w:sz w:val="26"/>
          <w:szCs w:val="26"/>
        </w:rPr>
        <w:t>veintidós</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D4315A">
        <w:rPr>
          <w:rFonts w:ascii="Arial" w:hAnsi="Arial" w:cs="Arial"/>
          <w:sz w:val="26"/>
          <w:szCs w:val="26"/>
        </w:rPr>
        <w:t>Quin</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2C4B8A">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DF4F71">
        <w:rPr>
          <w:rFonts w:ascii="Arial" w:hAnsi="Arial" w:cs="Arial"/>
          <w:sz w:val="26"/>
          <w:szCs w:val="26"/>
        </w:rPr>
        <w:t xml:space="preserve"> - - - - - - - - </w:t>
      </w:r>
    </w:p>
    <w:p w14:paraId="002DF9C7" w14:textId="285158D4" w:rsidR="008234FD" w:rsidRDefault="003B6CF0" w:rsidP="00DF4F71">
      <w:pPr>
        <w:spacing w:line="360" w:lineRule="auto"/>
        <w:ind w:firstLine="851"/>
        <w:jc w:val="both"/>
        <w:rPr>
          <w:rFonts w:ascii="Arial" w:hAnsi="Arial" w:cs="Arial"/>
          <w:bCs/>
          <w:iCs/>
          <w:sz w:val="26"/>
          <w:szCs w:val="26"/>
        </w:rPr>
      </w:pPr>
      <w:r w:rsidRPr="003B084B">
        <w:rPr>
          <w:rFonts w:ascii="Arial" w:hAnsi="Arial" w:cs="Arial"/>
          <w:b/>
          <w:bCs/>
          <w:iCs/>
          <w:sz w:val="26"/>
          <w:szCs w:val="26"/>
        </w:rPr>
        <w:t xml:space="preserve">SEGUNDO. </w:t>
      </w:r>
      <w:r w:rsidR="008234FD">
        <w:rPr>
          <w:rFonts w:ascii="Arial" w:hAnsi="Arial" w:cs="Arial"/>
          <w:bCs/>
          <w:iCs/>
          <w:sz w:val="26"/>
          <w:szCs w:val="26"/>
        </w:rPr>
        <w:t>El texto del acuerdo recurrido es el siguiente</w:t>
      </w:r>
      <w:r w:rsidR="008234FD" w:rsidRPr="003B084B">
        <w:rPr>
          <w:rFonts w:ascii="Arial" w:hAnsi="Arial" w:cs="Arial"/>
          <w:bCs/>
          <w:iCs/>
          <w:sz w:val="26"/>
          <w:szCs w:val="26"/>
        </w:rPr>
        <w:t>:</w:t>
      </w:r>
      <w:r w:rsidR="00DF4F71">
        <w:rPr>
          <w:rFonts w:ascii="Arial" w:hAnsi="Arial" w:cs="Arial"/>
          <w:bCs/>
          <w:iCs/>
          <w:sz w:val="26"/>
          <w:szCs w:val="26"/>
        </w:rPr>
        <w:t xml:space="preserve"> - - - - </w:t>
      </w:r>
    </w:p>
    <w:p w14:paraId="31407C94" w14:textId="39B17BEB" w:rsidR="008234FD" w:rsidRDefault="008234FD" w:rsidP="00DF4F71">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Pr>
          <w:rFonts w:ascii="Arial" w:eastAsia="Times New Roman" w:hAnsi="Arial" w:cs="Arial"/>
          <w:b/>
          <w:bCs/>
          <w:i/>
          <w:iCs/>
          <w:lang w:eastAsia="es-ES"/>
        </w:rPr>
        <w:t>O</w:t>
      </w:r>
      <w:r w:rsidR="00E37733">
        <w:rPr>
          <w:rFonts w:ascii="Arial" w:eastAsia="Times New Roman" w:hAnsi="Arial" w:cs="Arial"/>
          <w:b/>
          <w:bCs/>
          <w:i/>
          <w:iCs/>
          <w:lang w:eastAsia="es-ES"/>
        </w:rPr>
        <w:t>AXACA DE JUÁREZ, OAXACA, DISTRITO CENTRO, A VEINITRÉS DE FEBRERO DEL AÑO DOS MIL VEINTDÓS. (23/02/2022)</w:t>
      </w:r>
      <w:r w:rsidR="001A38BD">
        <w:rPr>
          <w:rFonts w:ascii="Arial" w:eastAsia="Times New Roman" w:hAnsi="Arial" w:cs="Arial"/>
          <w:b/>
          <w:bCs/>
          <w:i/>
          <w:iCs/>
          <w:lang w:eastAsia="es-ES"/>
        </w:rPr>
        <w:t>.</w:t>
      </w:r>
    </w:p>
    <w:p w14:paraId="1EA95181" w14:textId="17F27CA8" w:rsidR="001D6BC3" w:rsidRDefault="001A38BD" w:rsidP="00DF4F71">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Por recibido en Oficialía d</w:t>
      </w:r>
      <w:r w:rsidR="00E37733">
        <w:rPr>
          <w:rFonts w:ascii="Arial" w:eastAsia="Times New Roman" w:hAnsi="Arial" w:cs="Arial"/>
          <w:bCs/>
          <w:i/>
          <w:iCs/>
          <w:lang w:eastAsia="es-ES"/>
        </w:rPr>
        <w:t xml:space="preserve">e Partes Común de este Tribunal, el veintidós de febrero del año en que se actúa, turnado a esta Quinta Sala Unitaria de Primera Instancia en esta data, escrito signado por </w:t>
      </w:r>
      <w:r w:rsidR="002C4B8A">
        <w:rPr>
          <w:rFonts w:ascii="Arial" w:eastAsia="Times New Roman" w:hAnsi="Arial" w:cs="Arial"/>
          <w:b/>
          <w:bCs/>
          <w:i/>
          <w:iCs/>
          <w:lang w:eastAsia="es-ES"/>
        </w:rPr>
        <w:t>*******</w:t>
      </w:r>
      <w:r w:rsidR="00E37733">
        <w:rPr>
          <w:rFonts w:ascii="Arial" w:eastAsia="Times New Roman" w:hAnsi="Arial" w:cs="Arial"/>
          <w:b/>
          <w:bCs/>
          <w:i/>
          <w:iCs/>
          <w:lang w:eastAsia="es-ES"/>
        </w:rPr>
        <w:t xml:space="preserve"> </w:t>
      </w:r>
      <w:r w:rsidR="00E37733">
        <w:rPr>
          <w:rFonts w:ascii="Arial" w:eastAsia="Times New Roman" w:hAnsi="Arial" w:cs="Arial"/>
          <w:bCs/>
          <w:i/>
          <w:iCs/>
          <w:lang w:eastAsia="es-ES"/>
        </w:rPr>
        <w:t xml:space="preserve">quien promueve por su propio derecho </w:t>
      </w:r>
      <w:r w:rsidR="00E37733">
        <w:rPr>
          <w:rFonts w:ascii="Arial" w:eastAsia="Times New Roman" w:hAnsi="Arial" w:cs="Arial"/>
          <w:b/>
          <w:bCs/>
          <w:i/>
          <w:iCs/>
          <w:lang w:eastAsia="es-ES"/>
        </w:rPr>
        <w:t xml:space="preserve">Juicio de Nulidad </w:t>
      </w:r>
      <w:r w:rsidR="00E37733">
        <w:rPr>
          <w:rFonts w:ascii="Arial" w:eastAsia="Times New Roman" w:hAnsi="Arial" w:cs="Arial"/>
          <w:bCs/>
          <w:i/>
          <w:iCs/>
          <w:lang w:eastAsia="es-ES"/>
        </w:rPr>
        <w:t xml:space="preserve">en contra de la resolución determinante </w:t>
      </w:r>
      <w:r w:rsidR="002C4B8A">
        <w:rPr>
          <w:rFonts w:ascii="Arial" w:eastAsia="Times New Roman" w:hAnsi="Arial" w:cs="Arial"/>
          <w:bCs/>
          <w:i/>
          <w:iCs/>
          <w:lang w:eastAsia="es-ES"/>
        </w:rPr>
        <w:t>*******</w:t>
      </w:r>
      <w:r w:rsidR="00E37733">
        <w:rPr>
          <w:rFonts w:ascii="Arial" w:eastAsia="Times New Roman" w:hAnsi="Arial" w:cs="Arial"/>
          <w:bCs/>
          <w:i/>
          <w:iCs/>
          <w:lang w:eastAsia="es-ES"/>
        </w:rPr>
        <w:t xml:space="preserve"> de veintisiete de febrero de dos mil diecinueve, así como en contra del Mandamiento de Ejecución número </w:t>
      </w:r>
      <w:r w:rsidR="002C4B8A">
        <w:rPr>
          <w:rFonts w:ascii="Arial" w:eastAsia="Times New Roman" w:hAnsi="Arial" w:cs="Arial"/>
          <w:bCs/>
          <w:i/>
          <w:iCs/>
          <w:lang w:eastAsia="es-ES"/>
        </w:rPr>
        <w:t>*******</w:t>
      </w:r>
      <w:r w:rsidR="00E37733">
        <w:rPr>
          <w:rFonts w:ascii="Arial" w:eastAsia="Times New Roman" w:hAnsi="Arial" w:cs="Arial"/>
          <w:bCs/>
          <w:i/>
          <w:iCs/>
          <w:lang w:eastAsia="es-ES"/>
        </w:rPr>
        <w:t xml:space="preserve"> de veintidós de junio de dos mil veintiuno emitido por  la </w:t>
      </w:r>
      <w:r w:rsidR="00E37733">
        <w:rPr>
          <w:rFonts w:ascii="Arial" w:eastAsia="Times New Roman" w:hAnsi="Arial" w:cs="Arial"/>
          <w:b/>
          <w:bCs/>
          <w:i/>
          <w:iCs/>
          <w:lang w:eastAsia="es-ES"/>
        </w:rPr>
        <w:t xml:space="preserve">COORDINADORA DE COBRO COACTIVO DE LA SECRETARÍA DE </w:t>
      </w:r>
      <w:r w:rsidR="00E37733">
        <w:rPr>
          <w:rFonts w:ascii="Arial" w:eastAsia="Times New Roman" w:hAnsi="Arial" w:cs="Arial"/>
          <w:b/>
          <w:bCs/>
          <w:i/>
          <w:iCs/>
          <w:lang w:eastAsia="es-ES"/>
        </w:rPr>
        <w:lastRenderedPageBreak/>
        <w:t xml:space="preserve">FINANZAS DEL GOBIERNO DEL ESTDO, </w:t>
      </w:r>
      <w:r w:rsidR="00E37733">
        <w:rPr>
          <w:rFonts w:ascii="Arial" w:eastAsia="Times New Roman" w:hAnsi="Arial" w:cs="Arial"/>
          <w:bCs/>
          <w:i/>
          <w:iCs/>
          <w:lang w:eastAsia="es-ES"/>
        </w:rPr>
        <w:t>en consecuencia, fórmese expediente y regístrese en el lib</w:t>
      </w:r>
      <w:r w:rsidR="00DC0E42">
        <w:rPr>
          <w:rFonts w:ascii="Arial" w:eastAsia="Times New Roman" w:hAnsi="Arial" w:cs="Arial"/>
          <w:bCs/>
          <w:i/>
          <w:iCs/>
          <w:lang w:eastAsia="es-ES"/>
        </w:rPr>
        <w:t>r</w:t>
      </w:r>
      <w:r w:rsidR="00E37733">
        <w:rPr>
          <w:rFonts w:ascii="Arial" w:eastAsia="Times New Roman" w:hAnsi="Arial" w:cs="Arial"/>
          <w:bCs/>
          <w:i/>
          <w:iCs/>
          <w:lang w:eastAsia="es-ES"/>
        </w:rPr>
        <w:t>o que para tal efecto se lleva en esta Quinta Sal</w:t>
      </w:r>
      <w:r w:rsidR="00D17D62">
        <w:rPr>
          <w:rFonts w:ascii="Arial" w:eastAsia="Times New Roman" w:hAnsi="Arial" w:cs="Arial"/>
          <w:bCs/>
          <w:i/>
          <w:iCs/>
          <w:lang w:eastAsia="es-ES"/>
        </w:rPr>
        <w:t>a Unitaria de Primera Instancia.</w:t>
      </w:r>
    </w:p>
    <w:p w14:paraId="59233022" w14:textId="55E57031" w:rsidR="005A55D0" w:rsidRDefault="00D17D62" w:rsidP="00DF4F71">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Ahora bien, esta juzgado</w:t>
      </w:r>
      <w:r w:rsidR="00944D79">
        <w:rPr>
          <w:rFonts w:ascii="Arial" w:eastAsia="Times New Roman" w:hAnsi="Arial" w:cs="Arial"/>
          <w:bCs/>
          <w:i/>
          <w:iCs/>
          <w:lang w:eastAsia="es-ES"/>
        </w:rPr>
        <w:t xml:space="preserve">ra advierte que el actor señaló como acto impugnado: 1.- El mandamiento de ejecución </w:t>
      </w:r>
      <w:r w:rsidR="002C4B8A">
        <w:rPr>
          <w:rFonts w:ascii="Arial" w:eastAsia="Times New Roman" w:hAnsi="Arial" w:cs="Arial"/>
          <w:bCs/>
          <w:i/>
          <w:iCs/>
          <w:lang w:eastAsia="es-ES"/>
        </w:rPr>
        <w:t>*******</w:t>
      </w:r>
      <w:r w:rsidR="00944D79">
        <w:rPr>
          <w:rFonts w:ascii="Arial" w:eastAsia="Times New Roman" w:hAnsi="Arial" w:cs="Arial"/>
          <w:bCs/>
          <w:i/>
          <w:iCs/>
          <w:lang w:eastAsia="es-ES"/>
        </w:rPr>
        <w:t xml:space="preserve"> de veintidós de junio de dos mil veintiuno emitido por la Coordinadora de Cobro Coactivo de la Secretaria de Finanzas del Poder Ejecutivo del Gobierno del Estado de Oaxaca, documen</w:t>
      </w:r>
      <w:r w:rsidR="00B60F57">
        <w:rPr>
          <w:rFonts w:ascii="Arial" w:eastAsia="Times New Roman" w:hAnsi="Arial" w:cs="Arial"/>
          <w:bCs/>
          <w:i/>
          <w:iCs/>
          <w:lang w:eastAsia="es-ES"/>
        </w:rPr>
        <w:t>tal de cuya lectura se advierte</w:t>
      </w:r>
      <w:r w:rsidR="00184F76">
        <w:rPr>
          <w:rFonts w:ascii="Arial" w:eastAsia="Times New Roman" w:hAnsi="Arial" w:cs="Arial"/>
          <w:bCs/>
          <w:i/>
          <w:iCs/>
          <w:lang w:eastAsia="es-ES"/>
        </w:rPr>
        <w:t xml:space="preserve"> </w:t>
      </w:r>
      <w:r w:rsidR="00944D79">
        <w:rPr>
          <w:rFonts w:ascii="Arial" w:eastAsia="Times New Roman" w:hAnsi="Arial" w:cs="Arial"/>
          <w:bCs/>
          <w:i/>
          <w:iCs/>
          <w:lang w:eastAsia="es-ES"/>
        </w:rPr>
        <w:t xml:space="preserve">que el acto combatido deviene de la resolución determinante </w:t>
      </w:r>
      <w:r w:rsidR="002C4B8A">
        <w:rPr>
          <w:rFonts w:ascii="Arial" w:eastAsia="Times New Roman" w:hAnsi="Arial" w:cs="Arial"/>
          <w:bCs/>
          <w:i/>
          <w:iCs/>
          <w:lang w:eastAsia="es-ES"/>
        </w:rPr>
        <w:t>*******</w:t>
      </w:r>
      <w:r w:rsidR="00944D79">
        <w:rPr>
          <w:rFonts w:ascii="Arial" w:eastAsia="Times New Roman" w:hAnsi="Arial" w:cs="Arial"/>
          <w:bCs/>
          <w:i/>
          <w:iCs/>
          <w:lang w:eastAsia="es-ES"/>
        </w:rPr>
        <w:t xml:space="preserve"> de veintisiete de febrero de dos mil diecinueve emitida por el Órgano Superior de Fiscalización del Estado de Oaxaca, en la que se le impuso sanción por resarcimiento de daños causados a la Hacienda Pública Municipal de </w:t>
      </w:r>
      <w:r w:rsidR="002C4B8A">
        <w:rPr>
          <w:rFonts w:ascii="Arial" w:eastAsia="Times New Roman" w:hAnsi="Arial" w:cs="Arial"/>
          <w:bCs/>
          <w:i/>
          <w:iCs/>
          <w:lang w:eastAsia="es-ES"/>
        </w:rPr>
        <w:t>*******</w:t>
      </w:r>
      <w:r w:rsidR="00944D79">
        <w:rPr>
          <w:rFonts w:ascii="Arial" w:eastAsia="Times New Roman" w:hAnsi="Arial" w:cs="Arial"/>
          <w:bCs/>
          <w:i/>
          <w:iCs/>
          <w:lang w:eastAsia="es-ES"/>
        </w:rPr>
        <w:t xml:space="preserve">, durante el ejercicio fiscal de dos mil trece, resolución última de la cual refiere desconocer; concluyéndose que la génesis del Mandamiento de Ejecución, se encuentra en un procedimiento para el fincamiento de responsabilidad resarcitoria con motivo de </w:t>
      </w:r>
      <w:r w:rsidR="00944D79">
        <w:rPr>
          <w:rFonts w:ascii="Arial" w:eastAsia="Times New Roman" w:hAnsi="Arial" w:cs="Arial"/>
          <w:bCs/>
          <w:i/>
          <w:iCs/>
          <w:u w:val="single"/>
          <w:lang w:eastAsia="es-ES"/>
        </w:rPr>
        <w:t>rendición de cuentas,</w:t>
      </w:r>
      <w:r w:rsidR="00944D79">
        <w:rPr>
          <w:rFonts w:ascii="Arial" w:eastAsia="Times New Roman" w:hAnsi="Arial" w:cs="Arial"/>
          <w:bCs/>
          <w:i/>
          <w:iCs/>
          <w:lang w:eastAsia="es-ES"/>
        </w:rPr>
        <w:t xml:space="preserve"> existiendo una estrecha vinculación entre ambos actos, los cuales no es factible disociar, puesto que ello implicaría dividir la continencia de la causa, creando el riesgo de generar sentencias contradictorias sobre actos que tienen el mismo origen.</w:t>
      </w:r>
    </w:p>
    <w:p w14:paraId="409B2B02" w14:textId="77777777" w:rsidR="005B3FFB" w:rsidRDefault="005A55D0" w:rsidP="00DF4F71">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lo que, al estar ambos fuertemente ligados entre sí, esta juzgadora carece </w:t>
      </w:r>
      <w:r w:rsidR="00E44E11">
        <w:rPr>
          <w:rFonts w:ascii="Arial" w:eastAsia="Times New Roman" w:hAnsi="Arial" w:cs="Arial"/>
          <w:bCs/>
          <w:i/>
          <w:iCs/>
          <w:lang w:eastAsia="es-ES"/>
        </w:rPr>
        <w:t xml:space="preserve">de competencia para conocer de la misma, de conformidad con lo establecido en el artículo 130, fracción VI, de la Ley de Procedimiento y Justicia Administrativa para el Estado de Oaxaca, mismo que dispone: </w:t>
      </w:r>
      <w:r w:rsidR="005B3FFB">
        <w:rPr>
          <w:rFonts w:ascii="Arial" w:eastAsia="Times New Roman" w:hAnsi="Arial" w:cs="Arial"/>
          <w:bCs/>
          <w:i/>
          <w:iCs/>
          <w:lang w:eastAsia="es-ES"/>
        </w:rPr>
        <w:t>“</w:t>
      </w:r>
      <w:r w:rsidR="005B3FFB">
        <w:rPr>
          <w:rFonts w:ascii="Arial" w:eastAsia="Times New Roman" w:hAnsi="Arial" w:cs="Arial"/>
          <w:b/>
          <w:bCs/>
          <w:i/>
          <w:iCs/>
          <w:lang w:eastAsia="es-ES"/>
        </w:rPr>
        <w:t xml:space="preserve">Artículo 130.- </w:t>
      </w:r>
      <w:r w:rsidR="005B3FFB">
        <w:rPr>
          <w:rFonts w:ascii="Arial" w:eastAsia="Times New Roman" w:hAnsi="Arial" w:cs="Arial"/>
          <w:bCs/>
          <w:i/>
          <w:iCs/>
          <w:lang w:eastAsia="es-ES"/>
        </w:rPr>
        <w:t>La Sala Superior tendrá las siguientes atribuciones:</w:t>
      </w:r>
    </w:p>
    <w:p w14:paraId="2F29AF67" w14:textId="0C4FE74C" w:rsidR="005B3FFB" w:rsidRDefault="005B3FFB" w:rsidP="00DF4F71">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w:t>
      </w:r>
    </w:p>
    <w:p w14:paraId="765D28EA" w14:textId="03E35C6F" w:rsidR="005407B0" w:rsidRDefault="00B60F57" w:rsidP="00DF4F71">
      <w:pPr>
        <w:spacing w:after="0"/>
        <w:ind w:left="567" w:right="616" w:firstLine="141"/>
        <w:jc w:val="both"/>
        <w:rPr>
          <w:rFonts w:ascii="Arial" w:eastAsia="Times New Roman" w:hAnsi="Arial" w:cs="Arial"/>
          <w:bCs/>
          <w:i/>
          <w:iCs/>
          <w:lang w:eastAsia="es-ES"/>
        </w:rPr>
      </w:pPr>
      <w:r>
        <w:rPr>
          <w:rFonts w:ascii="Arial" w:eastAsia="Times New Roman" w:hAnsi="Arial" w:cs="Arial"/>
          <w:b/>
          <w:bCs/>
          <w:i/>
          <w:iCs/>
          <w:lang w:eastAsia="es-ES"/>
        </w:rPr>
        <w:t>VI.- Conocer, substanciar y resolver m</w:t>
      </w:r>
      <w:r w:rsidR="005407B0">
        <w:rPr>
          <w:rFonts w:ascii="Arial" w:eastAsia="Times New Roman" w:hAnsi="Arial" w:cs="Arial"/>
          <w:b/>
          <w:bCs/>
          <w:i/>
          <w:iCs/>
          <w:lang w:eastAsia="es-ES"/>
        </w:rPr>
        <w:t>ediante juicio las resoluciones</w:t>
      </w:r>
      <w:r w:rsidR="00DC0E42">
        <w:rPr>
          <w:rFonts w:ascii="Arial" w:eastAsia="Times New Roman" w:hAnsi="Arial" w:cs="Arial"/>
          <w:b/>
          <w:bCs/>
          <w:i/>
          <w:iCs/>
          <w:lang w:eastAsia="es-ES"/>
        </w:rPr>
        <w:t xml:space="preserve"> </w:t>
      </w:r>
      <w:r>
        <w:rPr>
          <w:rFonts w:ascii="Arial" w:eastAsia="Times New Roman" w:hAnsi="Arial" w:cs="Arial"/>
          <w:b/>
          <w:bCs/>
          <w:i/>
          <w:iCs/>
          <w:lang w:eastAsia="es-ES"/>
        </w:rPr>
        <w:t>en</w:t>
      </w:r>
      <w:r w:rsidR="00DC0E42">
        <w:rPr>
          <w:rFonts w:ascii="Arial" w:eastAsia="Times New Roman" w:hAnsi="Arial" w:cs="Arial"/>
          <w:b/>
          <w:bCs/>
          <w:i/>
          <w:iCs/>
          <w:lang w:eastAsia="es-ES"/>
        </w:rPr>
        <w:t xml:space="preserve"> m</w:t>
      </w:r>
      <w:r>
        <w:rPr>
          <w:rFonts w:ascii="Arial" w:eastAsia="Times New Roman" w:hAnsi="Arial" w:cs="Arial"/>
          <w:b/>
          <w:bCs/>
          <w:i/>
          <w:iCs/>
          <w:lang w:eastAsia="es-ES"/>
        </w:rPr>
        <w:t xml:space="preserve">ateria de responsabilidad administrativa que emitan el </w:t>
      </w:r>
      <w:r w:rsidR="005407B0">
        <w:rPr>
          <w:rFonts w:ascii="Arial" w:eastAsia="Times New Roman" w:hAnsi="Arial" w:cs="Arial"/>
          <w:b/>
          <w:bCs/>
          <w:i/>
          <w:iCs/>
          <w:lang w:eastAsia="es-ES"/>
        </w:rPr>
        <w:t xml:space="preserve">Órgano Superior de Fiscalización del Estado de Oaxaca, </w:t>
      </w:r>
      <w:r w:rsidR="005407B0">
        <w:rPr>
          <w:rFonts w:ascii="Arial" w:eastAsia="Times New Roman" w:hAnsi="Arial" w:cs="Arial"/>
          <w:bCs/>
          <w:i/>
          <w:iCs/>
          <w:lang w:eastAsia="es-ES"/>
        </w:rPr>
        <w:t>la Secretaría de la Contraloría y Transparencia Gubernamental o los Órganos de Control Interno de la Administración Pública Estatal o Municipal”</w:t>
      </w:r>
    </w:p>
    <w:p w14:paraId="78357E1E" w14:textId="03197083" w:rsidR="00E37733" w:rsidRPr="005F0ECD" w:rsidRDefault="005407B0" w:rsidP="00DF4F71">
      <w:pPr>
        <w:spacing w:after="0"/>
        <w:ind w:left="567" w:right="616" w:firstLine="141"/>
        <w:jc w:val="both"/>
        <w:rPr>
          <w:rFonts w:ascii="Arial" w:eastAsia="Times New Roman" w:hAnsi="Arial" w:cs="Arial"/>
          <w:bCs/>
          <w:i/>
          <w:iCs/>
          <w:lang w:eastAsia="es-ES"/>
        </w:rPr>
      </w:pPr>
      <w:r>
        <w:rPr>
          <w:rFonts w:ascii="Arial" w:eastAsia="Times New Roman" w:hAnsi="Arial" w:cs="Arial"/>
          <w:bCs/>
          <w:i/>
          <w:iCs/>
          <w:lang w:eastAsia="es-ES"/>
        </w:rPr>
        <w:t xml:space="preserve">Es importante enfatizar que el actor aduce en su demanda que no fue citado, ni emplazado n el procedimiento que dio origen a la resolución determinante </w:t>
      </w:r>
      <w:r w:rsidR="002C4B8A">
        <w:rPr>
          <w:rFonts w:ascii="Arial" w:eastAsia="Times New Roman" w:hAnsi="Arial" w:cs="Arial"/>
          <w:bCs/>
          <w:i/>
          <w:iCs/>
          <w:lang w:eastAsia="es-ES"/>
        </w:rPr>
        <w:t>*******</w:t>
      </w:r>
      <w:r w:rsidR="004E425E">
        <w:rPr>
          <w:rFonts w:ascii="Arial" w:eastAsia="Times New Roman" w:hAnsi="Arial" w:cs="Arial"/>
          <w:bCs/>
          <w:i/>
          <w:iCs/>
          <w:lang w:eastAsia="es-ES"/>
        </w:rPr>
        <w:t xml:space="preserve"> de veintisiete de febrero de dos mil diecinueve emitida por el Órgano Superior de Fiscalización del Estado de Oaxaca, y por ello desconoce el crédito fiscal que se le pretende cobrar a través del Procedimiento Administrativo de Ejecución, siendo factible que la Sala Superior de este órgano jurisdiccional, a través del Juicio de Inconformidad, conozca del presente asunto, ya que el Mandamiento de Ejecución es vinculante con la resolución dictada por la otrora Auditoría Superior del Estado, pues como ya se apuntó en líneas anteriores, el resolverlas por separado podría originar resoluciones diferentes, contraviniendo con ello el Principio de Continencia de la Causa. Sirve de Apoyo a lo antes vertido la Jurisprudencia en Materia Común, Décima Época, registro electrónico </w:t>
      </w:r>
      <w:r w:rsidR="005F0ECD">
        <w:rPr>
          <w:rFonts w:ascii="Arial" w:eastAsia="Times New Roman" w:hAnsi="Arial" w:cs="Arial"/>
          <w:bCs/>
          <w:i/>
          <w:iCs/>
          <w:lang w:eastAsia="es-ES"/>
        </w:rPr>
        <w:t>160967 de rubro: “ACTO RECLAMADO EN EL JUICIO DE AMPARO INDIRECTO. EL PRINCIPIO DE CONTINENCIA DE LA CAUSA OBLIGA AL JUZGADOR A ESTUDIAR TODOS LOS COMPONENTES, AUNQUE ALGUNOS NO SEAN DE EJECUCIÓN IRREPARABLE.”, así como la Jurisprudencia en materia Común, Décima Época, Registro electrónico 2008443, de rubro: “SENTENCIA QUE DECIDE DOS O MÁS ACCIONES O CUESTIONES JURÍDICAS EN EL MISMO DOCUMENTO. FORMA DE IMPUGNARLA, TANTO EN EL SUPUESTO DE QUE AQUÉLLAS ESTÉN ESTRECHAMENTE VINCULADAS O QUE UNA ACCIÓN DEPENDA DE OTRA, COMO CUANDO DICHAS ACCIONES SEAN AUTONÓMAS O DEPENDIENTES ENTRE SÍ.</w:t>
      </w:r>
      <w:r w:rsidR="004E425E">
        <w:rPr>
          <w:rFonts w:ascii="Arial" w:eastAsia="Times New Roman" w:hAnsi="Arial" w:cs="Arial"/>
          <w:bCs/>
          <w:i/>
          <w:iCs/>
          <w:lang w:eastAsia="es-ES"/>
        </w:rPr>
        <w:t xml:space="preserve"> </w:t>
      </w:r>
    </w:p>
    <w:p w14:paraId="4290D035" w14:textId="676E0FD7" w:rsidR="00FC6D4D" w:rsidRDefault="00FC6D4D" w:rsidP="00DF4F71">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lastRenderedPageBreak/>
        <w:t>En esas consideraciones, y para evitar mayores dilaciones, que trasgredan los derechos del administrado, esta Quinta Sala Unitaria, se declara</w:t>
      </w:r>
      <w:r w:rsidRPr="005F0ECD">
        <w:rPr>
          <w:rFonts w:ascii="Arial" w:eastAsia="Times New Roman" w:hAnsi="Arial" w:cs="Arial"/>
          <w:bCs/>
          <w:i/>
          <w:iCs/>
          <w:u w:val="single"/>
          <w:lang w:eastAsia="es-ES"/>
        </w:rPr>
        <w:t xml:space="preserve"> incompetente</w:t>
      </w:r>
      <w:r>
        <w:rPr>
          <w:rFonts w:ascii="Arial" w:eastAsia="Times New Roman" w:hAnsi="Arial" w:cs="Arial"/>
          <w:bCs/>
          <w:i/>
          <w:iCs/>
          <w:lang w:eastAsia="es-ES"/>
        </w:rPr>
        <w:t xml:space="preserve"> para conocer </w:t>
      </w:r>
      <w:r w:rsidR="005F0ECD">
        <w:rPr>
          <w:rFonts w:ascii="Arial" w:eastAsia="Times New Roman" w:hAnsi="Arial" w:cs="Arial"/>
          <w:bCs/>
          <w:i/>
          <w:iCs/>
          <w:lang w:eastAsia="es-ES"/>
        </w:rPr>
        <w:t>actos referentes a la rendición de cuentas, porque</w:t>
      </w:r>
      <w:r>
        <w:rPr>
          <w:rFonts w:ascii="Arial" w:eastAsia="Times New Roman" w:hAnsi="Arial" w:cs="Arial"/>
          <w:bCs/>
          <w:i/>
          <w:iCs/>
          <w:lang w:eastAsia="es-ES"/>
        </w:rPr>
        <w:t xml:space="preserve"> al hacerlo, invadiría la esfera de competencia de la Sala </w:t>
      </w:r>
      <w:r w:rsidR="009C6103">
        <w:rPr>
          <w:rFonts w:ascii="Arial" w:eastAsia="Times New Roman" w:hAnsi="Arial" w:cs="Arial"/>
          <w:bCs/>
          <w:i/>
          <w:iCs/>
          <w:lang w:eastAsia="es-ES"/>
        </w:rPr>
        <w:t xml:space="preserve">Superior de este Tribunal, violentando el Principio de Legalidad previsto en el artículo 119 de la Ley de Procedimiento y Justicia Administrativa para el Estado de Oaxaca; así como el Principio de Seguridad Jurídica, contenido en el artículo 16 de la Constitución Política de los Estados Unidos Mexicanos, en cuanto a que las autoridades solo pueden </w:t>
      </w:r>
      <w:r w:rsidR="008B494D">
        <w:rPr>
          <w:rFonts w:ascii="Arial" w:eastAsia="Times New Roman" w:hAnsi="Arial" w:cs="Arial"/>
          <w:bCs/>
          <w:i/>
          <w:iCs/>
          <w:lang w:eastAsia="es-ES"/>
        </w:rPr>
        <w:t xml:space="preserve">hacer lo que la ley les permite; criterio del más alto Tribunal de este país, plasmado en la Jurisprudencia, visible en el Apéndice de 2011, Tomo I, Constitucional 3. Derechos Fundamentales Primera Parte, -SCJN Décima Tercera Sección- Fundamentación y Motivación, Quinta Época, pág. 1228, registro 1011549, Jurisprudencia Común, Pleno, y de rubro: “AUTORIDADES”, y en la contenida en la Gaceta del Semanario Judicial de la Federación, Núm. 77 Mayo de 1994, Octava Época, Pág. 12, registro 205463, Jurisprudencia Común, pleno, y de rubro: “COMPETENCIA. SU FUNDAMENTACIÓN ES REQUISITO ESENCIAL DEL ACTO DE AUTORIDAD. </w:t>
      </w:r>
      <w:r w:rsidR="009C6103">
        <w:rPr>
          <w:rFonts w:ascii="Arial" w:eastAsia="Times New Roman" w:hAnsi="Arial" w:cs="Arial"/>
          <w:bCs/>
          <w:i/>
          <w:iCs/>
          <w:lang w:eastAsia="es-ES"/>
        </w:rPr>
        <w:t xml:space="preserve"> - - - - - - - - - - - - - - - - - - - - - - - - - - - - - - - </w:t>
      </w:r>
    </w:p>
    <w:p w14:paraId="6BD32F0B" w14:textId="78399FE6" w:rsidR="009C6103" w:rsidRDefault="009C6103" w:rsidP="00DF4F71">
      <w:pPr>
        <w:spacing w:after="0"/>
        <w:ind w:left="567" w:right="616" w:firstLine="567"/>
        <w:jc w:val="both"/>
        <w:rPr>
          <w:rFonts w:ascii="Arial" w:eastAsia="Times New Roman" w:hAnsi="Arial" w:cs="Arial"/>
          <w:bCs/>
          <w:i/>
          <w:iCs/>
          <w:lang w:eastAsia="es-ES"/>
        </w:rPr>
      </w:pPr>
      <w:bookmarkStart w:id="0" w:name="_Hlk109391862"/>
      <w:r>
        <w:rPr>
          <w:rFonts w:ascii="Arial" w:eastAsia="Times New Roman" w:hAnsi="Arial" w:cs="Arial"/>
          <w:bCs/>
          <w:i/>
          <w:iCs/>
          <w:lang w:eastAsia="es-ES"/>
        </w:rPr>
        <w:t xml:space="preserve">En razón de lo antes vertido, al considerarse actualizada la causal de improcedencia prevista en la fracción X, del artículo 161 de la Ley de Procedimiento (sic) Justicia Administrativa para el Estado de Oaxaca, respecto del acto impugnado, se </w:t>
      </w:r>
      <w:r>
        <w:rPr>
          <w:rFonts w:ascii="Arial" w:eastAsia="Times New Roman" w:hAnsi="Arial" w:cs="Arial"/>
          <w:b/>
          <w:bCs/>
          <w:i/>
          <w:iCs/>
          <w:lang w:eastAsia="es-ES"/>
        </w:rPr>
        <w:t xml:space="preserve">DESECHA </w:t>
      </w:r>
      <w:r>
        <w:rPr>
          <w:rFonts w:ascii="Arial" w:eastAsia="Times New Roman" w:hAnsi="Arial" w:cs="Arial"/>
          <w:bCs/>
          <w:i/>
          <w:iCs/>
          <w:lang w:eastAsia="es-ES"/>
        </w:rPr>
        <w:t xml:space="preserve">la presente demanda por notoriamente </w:t>
      </w:r>
      <w:r>
        <w:rPr>
          <w:rFonts w:ascii="Arial" w:eastAsia="Times New Roman" w:hAnsi="Arial" w:cs="Arial"/>
          <w:b/>
          <w:bCs/>
          <w:i/>
          <w:iCs/>
          <w:lang w:eastAsia="es-ES"/>
        </w:rPr>
        <w:t xml:space="preserve">IMPROCEDENTE, </w:t>
      </w:r>
      <w:r>
        <w:rPr>
          <w:rFonts w:ascii="Arial" w:eastAsia="Times New Roman" w:hAnsi="Arial" w:cs="Arial"/>
          <w:bCs/>
          <w:i/>
          <w:iCs/>
          <w:lang w:eastAsia="es-ES"/>
        </w:rPr>
        <w:t xml:space="preserve">de conformidad con lo establecido en la fracción I del artículo 182 de la ley antes invocada ordenándose dejar copia certificada de la demanda original y remitir ésta, así como copia certificada del presente proveído, a la Sala Superior de este Tribunal para que determine lo conducente. </w:t>
      </w:r>
      <w:bookmarkEnd w:id="0"/>
      <w:r>
        <w:rPr>
          <w:rFonts w:ascii="Arial" w:eastAsia="Times New Roman" w:hAnsi="Arial" w:cs="Arial"/>
          <w:bCs/>
          <w:i/>
          <w:iCs/>
          <w:lang w:eastAsia="es-ES"/>
        </w:rPr>
        <w:t xml:space="preserve">  </w:t>
      </w:r>
    </w:p>
    <w:p w14:paraId="2510B0F1" w14:textId="14A7F933" w:rsidR="009C6103" w:rsidRDefault="009C6103" w:rsidP="00DF4F71">
      <w:pPr>
        <w:spacing w:after="0"/>
        <w:ind w:left="567" w:right="616" w:firstLine="567"/>
        <w:jc w:val="both"/>
        <w:rPr>
          <w:rFonts w:ascii="Arial" w:eastAsia="Times New Roman" w:hAnsi="Arial" w:cs="Arial"/>
          <w:b/>
          <w:bCs/>
          <w:i/>
          <w:iCs/>
          <w:lang w:eastAsia="es-ES"/>
        </w:rPr>
      </w:pPr>
      <w:r>
        <w:rPr>
          <w:rFonts w:ascii="Arial" w:eastAsia="Times New Roman" w:hAnsi="Arial" w:cs="Arial"/>
          <w:b/>
          <w:bCs/>
          <w:i/>
          <w:iCs/>
          <w:lang w:eastAsia="es-ES"/>
        </w:rPr>
        <w:t xml:space="preserve">Notifíquese </w:t>
      </w:r>
      <w:r w:rsidR="00F70127">
        <w:rPr>
          <w:rFonts w:ascii="Arial" w:eastAsia="Times New Roman" w:hAnsi="Arial" w:cs="Arial"/>
          <w:bCs/>
          <w:i/>
          <w:iCs/>
          <w:lang w:eastAsia="es-ES"/>
        </w:rPr>
        <w:t>personalmente al actor, tal</w:t>
      </w:r>
      <w:r>
        <w:rPr>
          <w:rFonts w:ascii="Arial" w:eastAsia="Times New Roman" w:hAnsi="Arial" w:cs="Arial"/>
          <w:bCs/>
          <w:i/>
          <w:iCs/>
          <w:lang w:eastAsia="es-ES"/>
        </w:rPr>
        <w:t xml:space="preserve"> como lo disponen los </w:t>
      </w:r>
      <w:r w:rsidR="00F70127">
        <w:rPr>
          <w:rFonts w:ascii="Arial" w:eastAsia="Times New Roman" w:hAnsi="Arial" w:cs="Arial"/>
          <w:bCs/>
          <w:i/>
          <w:iCs/>
          <w:lang w:eastAsia="es-ES"/>
        </w:rPr>
        <w:t xml:space="preserve">artículos 170, 172 </w:t>
      </w:r>
      <w:r w:rsidR="000F41E9">
        <w:rPr>
          <w:rFonts w:ascii="Arial" w:eastAsia="Times New Roman" w:hAnsi="Arial" w:cs="Arial"/>
          <w:bCs/>
          <w:i/>
          <w:iCs/>
          <w:lang w:eastAsia="es-ES"/>
        </w:rPr>
        <w:t>y</w:t>
      </w:r>
      <w:r w:rsidR="00F70127">
        <w:rPr>
          <w:rFonts w:ascii="Arial" w:eastAsia="Times New Roman" w:hAnsi="Arial" w:cs="Arial"/>
          <w:bCs/>
          <w:i/>
          <w:iCs/>
          <w:lang w:eastAsia="es-ES"/>
        </w:rPr>
        <w:t xml:space="preserve"> 173 </w:t>
      </w:r>
      <w:r w:rsidR="00252AF0">
        <w:rPr>
          <w:rFonts w:ascii="Arial" w:eastAsia="Times New Roman" w:hAnsi="Arial" w:cs="Arial"/>
          <w:bCs/>
          <w:i/>
          <w:iCs/>
          <w:lang w:eastAsia="es-ES"/>
        </w:rPr>
        <w:t>de la Ley de Procedimiento y Justicia Administrativa para el Estado de Oaxaca</w:t>
      </w:r>
      <w:r w:rsidR="00F70127">
        <w:rPr>
          <w:rFonts w:ascii="Arial" w:eastAsia="Times New Roman" w:hAnsi="Arial" w:cs="Arial"/>
          <w:bCs/>
          <w:i/>
          <w:iCs/>
          <w:lang w:eastAsia="es-ES"/>
        </w:rPr>
        <w:t>, en el domicilio señalado en su escrito inicial de demanda</w:t>
      </w:r>
      <w:r w:rsidR="00252AF0">
        <w:rPr>
          <w:rFonts w:ascii="Arial" w:eastAsia="Times New Roman" w:hAnsi="Arial" w:cs="Arial"/>
          <w:bCs/>
          <w:i/>
          <w:iCs/>
          <w:lang w:eastAsia="es-ES"/>
        </w:rPr>
        <w:t xml:space="preserve">. </w:t>
      </w:r>
      <w:r w:rsidR="00252AF0">
        <w:rPr>
          <w:rFonts w:ascii="Arial" w:eastAsia="Times New Roman" w:hAnsi="Arial" w:cs="Arial"/>
          <w:b/>
          <w:bCs/>
          <w:i/>
          <w:iCs/>
          <w:lang w:eastAsia="es-ES"/>
        </w:rPr>
        <w:t>Cúmplase.</w:t>
      </w:r>
    </w:p>
    <w:p w14:paraId="7EC3B663" w14:textId="68453598" w:rsidR="00997198" w:rsidRPr="00895E36" w:rsidRDefault="00252AF0" w:rsidP="00DF4F71">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acordó y firma la Magistrada Virginia Hernández </w:t>
      </w:r>
      <w:proofErr w:type="spellStart"/>
      <w:r>
        <w:rPr>
          <w:rFonts w:ascii="Arial" w:eastAsia="Times New Roman" w:hAnsi="Arial" w:cs="Arial"/>
          <w:bCs/>
          <w:i/>
          <w:iCs/>
          <w:lang w:eastAsia="es-ES"/>
        </w:rPr>
        <w:t>Hernández</w:t>
      </w:r>
      <w:proofErr w:type="spellEnd"/>
      <w:r>
        <w:rPr>
          <w:rFonts w:ascii="Arial" w:eastAsia="Times New Roman" w:hAnsi="Arial" w:cs="Arial"/>
          <w:bCs/>
          <w:i/>
          <w:iCs/>
          <w:lang w:eastAsia="es-ES"/>
        </w:rPr>
        <w:t>, Titular de la Quinta Sala Unitaria de Primera Instancia del Tribunal de Justicia Administrativa del Estado de Oaxaca, quien actúa legalmente con la Licenciada Marissa Ignacio Valencia, que auto</w:t>
      </w:r>
      <w:r w:rsidR="00895E36">
        <w:rPr>
          <w:rFonts w:ascii="Arial" w:eastAsia="Times New Roman" w:hAnsi="Arial" w:cs="Arial"/>
          <w:bCs/>
          <w:i/>
          <w:iCs/>
          <w:lang w:eastAsia="es-ES"/>
        </w:rPr>
        <w:t>riza y da fe.”</w:t>
      </w:r>
      <w:r w:rsidR="00E84264">
        <w:rPr>
          <w:rFonts w:ascii="Arial" w:hAnsi="Arial" w:cs="Arial"/>
          <w:i/>
        </w:rPr>
        <w:t>.</w:t>
      </w:r>
      <w:r w:rsidR="003B6CF0" w:rsidRPr="00001C39">
        <w:rPr>
          <w:rFonts w:ascii="Arial" w:eastAsia="Times New Roman" w:hAnsi="Arial" w:cs="Arial"/>
          <w:b/>
          <w:bCs/>
          <w:i/>
          <w:iCs/>
          <w:lang w:eastAsia="es-ES"/>
        </w:rPr>
        <w:t xml:space="preserve"> </w:t>
      </w:r>
    </w:p>
    <w:p w14:paraId="78CB0A70" w14:textId="77777777" w:rsidR="000F41E9" w:rsidRDefault="000F41E9" w:rsidP="00DF4F71">
      <w:pPr>
        <w:spacing w:before="240"/>
        <w:ind w:left="851" w:right="616"/>
        <w:jc w:val="center"/>
        <w:rPr>
          <w:rFonts w:ascii="Arial" w:eastAsia="Calibri" w:hAnsi="Arial" w:cs="Arial"/>
          <w:b/>
          <w:bCs/>
          <w:sz w:val="26"/>
          <w:szCs w:val="26"/>
        </w:rPr>
      </w:pPr>
    </w:p>
    <w:p w14:paraId="36EF0AC2" w14:textId="0B0FD0D4"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15D24743"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603996">
        <w:rPr>
          <w:rFonts w:ascii="Arial" w:hAnsi="Arial" w:cs="Arial"/>
          <w:bCs/>
          <w:iCs/>
          <w:sz w:val="26"/>
          <w:szCs w:val="26"/>
        </w:rPr>
        <w:t>o</w:t>
      </w:r>
      <w:r>
        <w:rPr>
          <w:rFonts w:ascii="Arial" w:hAnsi="Arial" w:cs="Arial"/>
          <w:bCs/>
          <w:iCs/>
          <w:sz w:val="26"/>
          <w:szCs w:val="26"/>
        </w:rPr>
        <w:t>n</w:t>
      </w:r>
      <w:r w:rsidR="00603996">
        <w:rPr>
          <w:rFonts w:ascii="Arial" w:hAnsi="Arial" w:cs="Arial"/>
          <w:bCs/>
          <w:iCs/>
          <w:sz w:val="26"/>
          <w:szCs w:val="26"/>
        </w:rPr>
        <w:t>es</w:t>
      </w:r>
      <w:r>
        <w:rPr>
          <w:rFonts w:ascii="Arial" w:hAnsi="Arial" w:cs="Arial"/>
          <w:bCs/>
          <w:iCs/>
          <w:sz w:val="26"/>
          <w:szCs w:val="26"/>
        </w:rPr>
        <w:t xml:space="preserve"> I</w:t>
      </w:r>
      <w:r w:rsidR="00603996">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0A601D">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0A601D">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de </w:t>
      </w:r>
      <w:r w:rsidR="00F70127">
        <w:rPr>
          <w:rFonts w:ascii="Arial" w:hAnsi="Arial" w:cs="Arial"/>
          <w:sz w:val="26"/>
          <w:szCs w:val="26"/>
        </w:rPr>
        <w:t>veintitrés</w:t>
      </w:r>
      <w:r w:rsidR="00D35524">
        <w:rPr>
          <w:rFonts w:ascii="Arial" w:hAnsi="Arial" w:cs="Arial"/>
          <w:sz w:val="26"/>
          <w:szCs w:val="26"/>
        </w:rPr>
        <w:t xml:space="preserve"> </w:t>
      </w:r>
      <w:r w:rsidR="006F7407">
        <w:rPr>
          <w:rFonts w:ascii="Arial" w:hAnsi="Arial" w:cs="Arial"/>
          <w:sz w:val="26"/>
          <w:szCs w:val="26"/>
        </w:rPr>
        <w:t xml:space="preserve">de </w:t>
      </w:r>
      <w:r w:rsidR="00F70127">
        <w:rPr>
          <w:rFonts w:ascii="Arial" w:hAnsi="Arial" w:cs="Arial"/>
          <w:sz w:val="26"/>
          <w:szCs w:val="26"/>
        </w:rPr>
        <w:t>febrero</w:t>
      </w:r>
      <w:r w:rsidR="006F7407">
        <w:rPr>
          <w:rFonts w:ascii="Arial" w:hAnsi="Arial" w:cs="Arial"/>
          <w:sz w:val="26"/>
          <w:szCs w:val="26"/>
        </w:rPr>
        <w:t xml:space="preserve"> de dos mil </w:t>
      </w:r>
      <w:r w:rsidR="00F70127">
        <w:rPr>
          <w:rFonts w:ascii="Arial" w:hAnsi="Arial" w:cs="Arial"/>
          <w:sz w:val="26"/>
          <w:szCs w:val="26"/>
        </w:rPr>
        <w:t>veintidós</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895E36">
        <w:rPr>
          <w:rFonts w:ascii="Arial" w:hAnsi="Arial" w:cs="Arial"/>
          <w:bCs/>
          <w:iCs/>
          <w:sz w:val="26"/>
          <w:szCs w:val="26"/>
        </w:rPr>
        <w:t>Quin</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F70127">
        <w:rPr>
          <w:rFonts w:ascii="Arial" w:hAnsi="Arial" w:cs="Arial"/>
          <w:b/>
          <w:bCs/>
          <w:iCs/>
          <w:sz w:val="26"/>
          <w:szCs w:val="26"/>
        </w:rPr>
        <w:t>003</w:t>
      </w:r>
      <w:r w:rsidRPr="00AE78C3">
        <w:rPr>
          <w:rFonts w:ascii="Arial" w:hAnsi="Arial" w:cs="Arial"/>
          <w:b/>
          <w:bCs/>
          <w:iCs/>
          <w:sz w:val="26"/>
          <w:szCs w:val="26"/>
        </w:rPr>
        <w:t>/20</w:t>
      </w:r>
      <w:r w:rsidR="00314087">
        <w:rPr>
          <w:rFonts w:ascii="Arial" w:hAnsi="Arial" w:cs="Arial"/>
          <w:b/>
          <w:bCs/>
          <w:iCs/>
          <w:sz w:val="26"/>
          <w:szCs w:val="26"/>
        </w:rPr>
        <w:t>2</w:t>
      </w:r>
      <w:r w:rsidR="00F70127">
        <w:rPr>
          <w:rFonts w:ascii="Arial" w:hAnsi="Arial" w:cs="Arial"/>
          <w:b/>
          <w:bCs/>
          <w:iCs/>
          <w:sz w:val="26"/>
          <w:szCs w:val="26"/>
        </w:rPr>
        <w:t>2</w:t>
      </w:r>
      <w:r w:rsidRPr="00AE78C3">
        <w:rPr>
          <w:rFonts w:ascii="Arial" w:hAnsi="Arial" w:cs="Arial"/>
          <w:b/>
          <w:bCs/>
          <w:iCs/>
          <w:sz w:val="26"/>
          <w:szCs w:val="26"/>
        </w:rPr>
        <w:t>.</w:t>
      </w:r>
      <w:r w:rsidR="00DF4F71">
        <w:rPr>
          <w:rFonts w:ascii="Arial" w:hAnsi="Arial" w:cs="Arial"/>
          <w:b/>
          <w:bCs/>
          <w:iCs/>
          <w:sz w:val="26"/>
          <w:szCs w:val="26"/>
        </w:rPr>
        <w:t xml:space="preserve"> </w:t>
      </w:r>
      <w:r w:rsidR="00DF4F71" w:rsidRPr="00DF4F71">
        <w:rPr>
          <w:rFonts w:ascii="Arial" w:hAnsi="Arial" w:cs="Arial"/>
          <w:iCs/>
          <w:sz w:val="26"/>
          <w:szCs w:val="26"/>
        </w:rPr>
        <w:t>- -</w:t>
      </w:r>
      <w:r w:rsidR="00DF4F71">
        <w:rPr>
          <w:rFonts w:ascii="Arial" w:hAnsi="Arial" w:cs="Arial"/>
          <w:b/>
          <w:bCs/>
          <w:iCs/>
          <w:sz w:val="26"/>
          <w:szCs w:val="26"/>
        </w:rPr>
        <w:t xml:space="preserve">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lastRenderedPageBreak/>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DF4F71">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0AA0081" w14:textId="4ED9B3F2" w:rsidR="00FB50FA" w:rsidRPr="00FB50FA" w:rsidRDefault="006640AE" w:rsidP="00FB50FA">
      <w:pPr>
        <w:spacing w:before="240" w:line="360" w:lineRule="auto"/>
        <w:ind w:firstLine="708"/>
        <w:jc w:val="both"/>
        <w:rPr>
          <w:rFonts w:ascii="Arial" w:hAnsi="Arial" w:cs="Arial"/>
          <w:b/>
          <w:sz w:val="26"/>
          <w:szCs w:val="26"/>
        </w:rPr>
      </w:pPr>
      <w:r w:rsidRPr="00626352">
        <w:rPr>
          <w:rFonts w:ascii="Arial" w:hAnsi="Arial" w:cs="Arial"/>
          <w:b/>
          <w:sz w:val="26"/>
          <w:szCs w:val="26"/>
        </w:rPr>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C80018">
        <w:rPr>
          <w:rFonts w:ascii="Arial" w:hAnsi="Arial" w:cs="Arial"/>
          <w:sz w:val="26"/>
          <w:szCs w:val="26"/>
        </w:rPr>
        <w:t xml:space="preserve">Señala el recurrente le causa agravio </w:t>
      </w:r>
      <w:r w:rsidR="004462B7">
        <w:rPr>
          <w:rFonts w:ascii="Arial" w:hAnsi="Arial" w:cs="Arial"/>
          <w:sz w:val="26"/>
          <w:szCs w:val="26"/>
        </w:rPr>
        <w:t xml:space="preserve">el acuerdo de </w:t>
      </w:r>
      <w:r w:rsidR="00F70127">
        <w:rPr>
          <w:rFonts w:ascii="Arial" w:hAnsi="Arial" w:cs="Arial"/>
          <w:sz w:val="26"/>
          <w:szCs w:val="26"/>
        </w:rPr>
        <w:t xml:space="preserve">veintitrés de febrero de dos mil veintidós, toda vez que si bien es cierto que en su escrito de demanda reclamó la nulidad de la resolución determinante </w:t>
      </w:r>
      <w:r w:rsidR="002C4B8A">
        <w:rPr>
          <w:rFonts w:ascii="Arial" w:hAnsi="Arial" w:cs="Arial"/>
          <w:b/>
          <w:bCs/>
          <w:sz w:val="26"/>
          <w:szCs w:val="26"/>
        </w:rPr>
        <w:t>*******</w:t>
      </w:r>
      <w:r w:rsidR="00F70127" w:rsidRPr="00A61A5D">
        <w:rPr>
          <w:rFonts w:ascii="Arial" w:hAnsi="Arial" w:cs="Arial"/>
          <w:b/>
          <w:bCs/>
          <w:sz w:val="26"/>
          <w:szCs w:val="26"/>
        </w:rPr>
        <w:t>,</w:t>
      </w:r>
      <w:r w:rsidR="00F70127">
        <w:rPr>
          <w:rFonts w:ascii="Arial" w:hAnsi="Arial" w:cs="Arial"/>
          <w:sz w:val="26"/>
          <w:szCs w:val="26"/>
        </w:rPr>
        <w:t xml:space="preserve"> de veintisiete de febrero de dos mil diecinueve, a que se hace referencia en el mandamiento de ejecución número </w:t>
      </w:r>
      <w:r w:rsidR="002C4B8A">
        <w:rPr>
          <w:rFonts w:ascii="Arial" w:hAnsi="Arial" w:cs="Arial"/>
          <w:b/>
          <w:bCs/>
          <w:sz w:val="26"/>
          <w:szCs w:val="26"/>
        </w:rPr>
        <w:t>*******</w:t>
      </w:r>
      <w:r w:rsidR="00F70127" w:rsidRPr="00A61A5D">
        <w:rPr>
          <w:rFonts w:ascii="Arial" w:hAnsi="Arial" w:cs="Arial"/>
          <w:b/>
          <w:bCs/>
          <w:sz w:val="26"/>
          <w:szCs w:val="26"/>
        </w:rPr>
        <w:t>,</w:t>
      </w:r>
      <w:r w:rsidR="00F70127">
        <w:rPr>
          <w:rFonts w:ascii="Arial" w:hAnsi="Arial" w:cs="Arial"/>
          <w:sz w:val="26"/>
          <w:szCs w:val="26"/>
        </w:rPr>
        <w:t xml:space="preserve"> de veintidós de junio de dos mil veintiuno, crédito número </w:t>
      </w:r>
      <w:r w:rsidR="002C4B8A">
        <w:rPr>
          <w:rFonts w:ascii="Arial" w:hAnsi="Arial" w:cs="Arial"/>
          <w:b/>
          <w:bCs/>
          <w:sz w:val="26"/>
          <w:szCs w:val="26"/>
        </w:rPr>
        <w:t>*******</w:t>
      </w:r>
      <w:r w:rsidR="008D6236" w:rsidRPr="00A61A5D">
        <w:rPr>
          <w:rFonts w:ascii="Arial" w:hAnsi="Arial" w:cs="Arial"/>
          <w:b/>
          <w:bCs/>
          <w:sz w:val="26"/>
          <w:szCs w:val="26"/>
        </w:rPr>
        <w:t>,</w:t>
      </w:r>
      <w:r w:rsidR="008D6236">
        <w:rPr>
          <w:rFonts w:ascii="Arial" w:hAnsi="Arial" w:cs="Arial"/>
          <w:sz w:val="26"/>
          <w:szCs w:val="26"/>
        </w:rPr>
        <w:t xml:space="preserve"> por concepto de resarcimiento de daños causados a la Hacienda Pública Municipal de </w:t>
      </w:r>
      <w:r w:rsidR="002C4B8A">
        <w:rPr>
          <w:rFonts w:ascii="Arial" w:hAnsi="Arial" w:cs="Arial"/>
          <w:sz w:val="26"/>
          <w:szCs w:val="26"/>
        </w:rPr>
        <w:t>*******</w:t>
      </w:r>
      <w:r w:rsidR="008D6236">
        <w:rPr>
          <w:rFonts w:ascii="Arial" w:hAnsi="Arial" w:cs="Arial"/>
          <w:sz w:val="26"/>
          <w:szCs w:val="26"/>
        </w:rPr>
        <w:t>, durante el ejercicio fiscal dos mil trece, supuestamente notificado el veintisiete de febrero de dos mil diecinueve, con importe determinado de $</w:t>
      </w:r>
      <w:r w:rsidR="002C4B8A">
        <w:rPr>
          <w:rFonts w:ascii="Arial" w:hAnsi="Arial" w:cs="Arial"/>
          <w:sz w:val="26"/>
          <w:szCs w:val="26"/>
        </w:rPr>
        <w:t>*******</w:t>
      </w:r>
      <w:r w:rsidR="00171FD7">
        <w:rPr>
          <w:rFonts w:ascii="Arial" w:hAnsi="Arial" w:cs="Arial"/>
          <w:sz w:val="26"/>
          <w:szCs w:val="26"/>
        </w:rPr>
        <w:t xml:space="preserve">,  resolución determinante cuyo contenido íntegro desconoce, en razón de que no se le ha notificado por las demandadas, también menciona que es cierto que, negó conocer dicha resolución impugnada, en virtud de que a la fecha </w:t>
      </w:r>
      <w:r w:rsidR="009806E4">
        <w:rPr>
          <w:rFonts w:ascii="Arial" w:hAnsi="Arial" w:cs="Arial"/>
          <w:sz w:val="26"/>
          <w:szCs w:val="26"/>
        </w:rPr>
        <w:t>no se le ha notificado, no obstante, formuló</w:t>
      </w:r>
      <w:r w:rsidR="00510DBD">
        <w:rPr>
          <w:rFonts w:ascii="Arial" w:hAnsi="Arial" w:cs="Arial"/>
          <w:sz w:val="26"/>
          <w:szCs w:val="26"/>
        </w:rPr>
        <w:t xml:space="preserve"> conceptos de anulación genéricos en su </w:t>
      </w:r>
      <w:r w:rsidR="00510DBD">
        <w:rPr>
          <w:rFonts w:ascii="Arial" w:hAnsi="Arial" w:cs="Arial"/>
          <w:sz w:val="26"/>
          <w:szCs w:val="26"/>
        </w:rPr>
        <w:lastRenderedPageBreak/>
        <w:t>contra, sin que resulte v</w:t>
      </w:r>
      <w:r w:rsidR="00623DBE">
        <w:rPr>
          <w:rFonts w:ascii="Arial" w:hAnsi="Arial" w:cs="Arial"/>
          <w:sz w:val="26"/>
          <w:szCs w:val="26"/>
        </w:rPr>
        <w:t>á</w:t>
      </w:r>
      <w:r w:rsidR="00510DBD">
        <w:rPr>
          <w:rFonts w:ascii="Arial" w:hAnsi="Arial" w:cs="Arial"/>
          <w:sz w:val="26"/>
          <w:szCs w:val="26"/>
        </w:rPr>
        <w:t xml:space="preserve">lido que la Primera Instancia analice los conceptos de impugnación desde el libelo inicial, ya que al ser un hecho incontrovertido desconoce el contenido de esa resolución, por tanto, no se encontraba en aptitud lógica ni jurídica para objetar con precisión su legalidad, pues en su caso, es al momento en que las demandadas viertan su contestación, cuando se esté en aptitud lógica y jurídica de determinar su omisión, en el sentido de no haberse notificado legalmente al actor dicha resolución, y en que el actor esté en aptitud de ampliar su demanda o de ejercitar la acción correspondiente ante la instancia competente en términos de Ley. Por tanto alega, con lo determinado en el acuerdo que se combate, se le deja en estado de indefensión, con lo que se hacen nugatorios sus derechos fundamentales de acceso a la justicia, de tutela judicial efectiva, previstos en los artículos 17 de la Constitución Política de los Estados Unidos Mexicanos, 8, numeral 1 y 25 de la Convención Americana sobre Derechos Humanos, que comprenden el de obtener una resolución fundada en derecho, por lo que solicita se revoque el acuerdo recurrido y en su lugar se ordene dictar otro en el que </w:t>
      </w:r>
      <w:r w:rsidR="00FB50FA">
        <w:rPr>
          <w:rFonts w:ascii="Arial" w:hAnsi="Arial" w:cs="Arial"/>
          <w:sz w:val="26"/>
          <w:szCs w:val="26"/>
        </w:rPr>
        <w:t xml:space="preserve">determine que no se actualiza causal alguna de improcedencia y por consecuencia, se pronuncie sobre la admisión de su demanda y sobre la medida cautelar solicitada, ordenando dar el trámite conducente en términos de Ley e invoca la tesis de rubro siguiente: </w:t>
      </w:r>
      <w:r w:rsidR="00FB50FA" w:rsidRPr="00DB5DC3">
        <w:rPr>
          <w:rFonts w:ascii="Arial" w:hAnsi="Arial" w:cs="Arial"/>
          <w:b/>
          <w:i/>
          <w:iCs/>
          <w:sz w:val="26"/>
          <w:szCs w:val="26"/>
        </w:rPr>
        <w:t xml:space="preserve">“RESOLUCIÓN IMPUGNADA EN EL JUICIO CONTENCIOSO ADMINISTRATIVO FEDERAL. LA SALA NO DEBE ANALIZAR LOS CONCEPTOS DE ANULACIÓN GENÉRICOS FORMULADOS EN LA DEMANDA INICIAL, SI AL CONTESTAR LA AUTORIDAD SE CORROBORA QUE EL ACTOR LA DESCONOCÍA Y ÉSTE OMITE SU AMPLIACIÓN O SE LE </w:t>
      </w:r>
      <w:r w:rsidR="00184F76" w:rsidRPr="00DB5DC3">
        <w:rPr>
          <w:rFonts w:ascii="Arial" w:hAnsi="Arial" w:cs="Arial"/>
          <w:b/>
          <w:i/>
          <w:iCs/>
          <w:sz w:val="26"/>
          <w:szCs w:val="26"/>
        </w:rPr>
        <w:t>DESECHA</w:t>
      </w:r>
      <w:r w:rsidR="001F3D00">
        <w:rPr>
          <w:rFonts w:ascii="Arial" w:hAnsi="Arial" w:cs="Arial"/>
          <w:b/>
          <w:i/>
          <w:iCs/>
          <w:sz w:val="26"/>
          <w:szCs w:val="26"/>
        </w:rPr>
        <w:t>”.</w:t>
      </w:r>
      <w:r w:rsidR="00DF4F71">
        <w:rPr>
          <w:rFonts w:ascii="Arial" w:hAnsi="Arial" w:cs="Arial"/>
          <w:b/>
          <w:i/>
          <w:iCs/>
          <w:sz w:val="26"/>
          <w:szCs w:val="26"/>
        </w:rPr>
        <w:t xml:space="preserve"> </w:t>
      </w:r>
      <w:r w:rsidR="00DF4F71">
        <w:rPr>
          <w:rFonts w:ascii="Arial" w:hAnsi="Arial" w:cs="Arial"/>
          <w:sz w:val="26"/>
          <w:szCs w:val="26"/>
        </w:rPr>
        <w:t xml:space="preserve">- - - - - - - - - - - - </w:t>
      </w:r>
    </w:p>
    <w:p w14:paraId="3B7E275D" w14:textId="43FE7711" w:rsidR="00C91F07" w:rsidRPr="00C91F07" w:rsidRDefault="00C91F07" w:rsidP="00C91F07">
      <w:pPr>
        <w:spacing w:line="360" w:lineRule="auto"/>
        <w:ind w:firstLine="708"/>
        <w:jc w:val="both"/>
        <w:rPr>
          <w:rFonts w:ascii="Arial" w:eastAsia="Calibri" w:hAnsi="Arial" w:cs="Arial"/>
          <w:sz w:val="26"/>
          <w:szCs w:val="26"/>
          <w:lang w:eastAsia="es-ES"/>
        </w:rPr>
      </w:pPr>
      <w:r w:rsidRPr="00C91F07">
        <w:rPr>
          <w:rFonts w:ascii="Arial" w:eastAsia="Calibri" w:hAnsi="Arial" w:cs="Arial"/>
          <w:sz w:val="26"/>
          <w:szCs w:val="26"/>
          <w:lang w:eastAsia="es-ES"/>
        </w:rPr>
        <w:t xml:space="preserve">Esta Sala Superior estima que son </w:t>
      </w:r>
      <w:r w:rsidRPr="00C91F07">
        <w:rPr>
          <w:rFonts w:ascii="Arial" w:eastAsia="Calibri" w:hAnsi="Arial" w:cs="Arial"/>
          <w:b/>
          <w:sz w:val="26"/>
          <w:szCs w:val="26"/>
          <w:lang w:eastAsia="es-ES"/>
        </w:rPr>
        <w:t>fundados</w:t>
      </w:r>
      <w:r w:rsidRPr="00C91F07">
        <w:rPr>
          <w:rFonts w:ascii="Arial" w:eastAsia="Calibri" w:hAnsi="Arial" w:cs="Arial"/>
          <w:sz w:val="26"/>
          <w:szCs w:val="26"/>
          <w:lang w:eastAsia="es-ES"/>
        </w:rPr>
        <w:t xml:space="preserve"> los agravios del recurrente.</w:t>
      </w:r>
      <w:r w:rsidR="00DF4F71">
        <w:rPr>
          <w:rFonts w:ascii="Arial" w:eastAsia="Calibri" w:hAnsi="Arial" w:cs="Arial"/>
          <w:sz w:val="26"/>
          <w:szCs w:val="26"/>
          <w:lang w:eastAsia="es-ES"/>
        </w:rPr>
        <w:t xml:space="preserve"> </w:t>
      </w:r>
      <w:r w:rsidR="00DF4F71">
        <w:rPr>
          <w:rFonts w:ascii="Arial" w:hAnsi="Arial" w:cs="Arial"/>
          <w:sz w:val="26"/>
          <w:szCs w:val="26"/>
        </w:rPr>
        <w:t xml:space="preserve">- - - - - - - - - - - - - - - - - - - - - - - - - - - - - - - - - - - - - - - - - - - - </w:t>
      </w:r>
    </w:p>
    <w:p w14:paraId="71B8F333" w14:textId="6202B77B" w:rsidR="00C91F07" w:rsidRPr="00C91F07" w:rsidRDefault="00C91F07" w:rsidP="00C91F07">
      <w:pPr>
        <w:spacing w:line="360" w:lineRule="auto"/>
        <w:ind w:firstLine="708"/>
        <w:jc w:val="both"/>
        <w:rPr>
          <w:rFonts w:ascii="Arial" w:eastAsia="Calibri" w:hAnsi="Arial" w:cs="Arial"/>
          <w:bCs/>
          <w:sz w:val="26"/>
          <w:szCs w:val="26"/>
          <w:lang w:eastAsia="es-ES"/>
        </w:rPr>
      </w:pPr>
      <w:r w:rsidRPr="00C91F07">
        <w:rPr>
          <w:rFonts w:ascii="Arial" w:eastAsia="Calibri" w:hAnsi="Arial" w:cs="Arial"/>
          <w:bCs/>
          <w:sz w:val="26"/>
          <w:szCs w:val="26"/>
          <w:lang w:eastAsia="es-ES"/>
        </w:rPr>
        <w:t>En principio es necesario indicar, que de las constancias procesales que integran el expediente de primera instancia, las que tienen pleno valor probatorio por tratarse de actuaciones judiciales, conforme a lo dispuesto por el artículo 203 fracción I</w:t>
      </w:r>
      <w:r w:rsidRPr="00C91F07">
        <w:rPr>
          <w:rFonts w:ascii="Arial" w:eastAsia="Calibri" w:hAnsi="Arial" w:cs="Arial"/>
          <w:bCs/>
          <w:sz w:val="26"/>
          <w:szCs w:val="26"/>
          <w:vertAlign w:val="superscript"/>
          <w:lang w:eastAsia="es-ES"/>
        </w:rPr>
        <w:footnoteReference w:id="1"/>
      </w:r>
      <w:r w:rsidRPr="00C91F07">
        <w:rPr>
          <w:rFonts w:ascii="Arial" w:eastAsia="Calibri" w:hAnsi="Arial" w:cs="Arial"/>
          <w:bCs/>
          <w:sz w:val="26"/>
          <w:szCs w:val="26"/>
          <w:lang w:eastAsia="es-ES"/>
        </w:rPr>
        <w:t xml:space="preserve"> de la Ley de </w:t>
      </w:r>
      <w:r w:rsidRPr="00C91F07">
        <w:rPr>
          <w:rFonts w:ascii="Arial" w:eastAsia="Calibri" w:hAnsi="Arial" w:cs="Arial"/>
          <w:bCs/>
          <w:sz w:val="26"/>
          <w:szCs w:val="26"/>
          <w:lang w:eastAsia="es-ES"/>
        </w:rPr>
        <w:lastRenderedPageBreak/>
        <w:t>Procedimiento y Justicia Administrativa para el Estado de Oaxaca, se observa que</w:t>
      </w:r>
      <w:r w:rsidR="006D51EF">
        <w:rPr>
          <w:rFonts w:ascii="Arial" w:eastAsia="Calibri" w:hAnsi="Arial" w:cs="Arial"/>
          <w:bCs/>
          <w:sz w:val="26"/>
          <w:szCs w:val="26"/>
          <w:lang w:eastAsia="es-ES"/>
        </w:rPr>
        <w:t>,</w:t>
      </w:r>
      <w:r w:rsidRPr="00C91F07">
        <w:rPr>
          <w:rFonts w:ascii="Arial" w:eastAsia="Calibri" w:hAnsi="Arial" w:cs="Arial"/>
          <w:bCs/>
          <w:sz w:val="26"/>
          <w:szCs w:val="26"/>
          <w:lang w:eastAsia="es-ES"/>
        </w:rPr>
        <w:t xml:space="preserve"> en la demanda</w:t>
      </w:r>
      <w:r w:rsidR="006D51EF">
        <w:rPr>
          <w:rStyle w:val="Refdenotaalpie"/>
          <w:rFonts w:ascii="Arial" w:eastAsia="Calibri" w:hAnsi="Arial" w:cs="Arial"/>
          <w:bCs/>
          <w:sz w:val="26"/>
          <w:szCs w:val="26"/>
          <w:lang w:eastAsia="es-ES"/>
        </w:rPr>
        <w:footnoteReference w:id="2"/>
      </w:r>
      <w:r w:rsidRPr="00C91F07">
        <w:rPr>
          <w:rFonts w:ascii="Arial" w:eastAsia="Calibri" w:hAnsi="Arial" w:cs="Arial"/>
          <w:bCs/>
          <w:sz w:val="26"/>
          <w:szCs w:val="26"/>
          <w:lang w:eastAsia="es-ES"/>
        </w:rPr>
        <w:t xml:space="preserve"> el actor expresó:</w:t>
      </w:r>
      <w:r w:rsidR="00DF4F71">
        <w:rPr>
          <w:rFonts w:ascii="Arial" w:eastAsia="Calibri" w:hAnsi="Arial" w:cs="Arial"/>
          <w:bCs/>
          <w:sz w:val="26"/>
          <w:szCs w:val="26"/>
          <w:lang w:eastAsia="es-ES"/>
        </w:rPr>
        <w:t xml:space="preserve"> </w:t>
      </w:r>
      <w:r w:rsidR="00DF4F71">
        <w:rPr>
          <w:rFonts w:ascii="Arial" w:hAnsi="Arial" w:cs="Arial"/>
          <w:sz w:val="26"/>
          <w:szCs w:val="26"/>
        </w:rPr>
        <w:t xml:space="preserve">- - - - - - - - - - - - - - - - - - </w:t>
      </w:r>
    </w:p>
    <w:p w14:paraId="74CD9EC3" w14:textId="19FACE32" w:rsidR="006D51EF" w:rsidRPr="0076242B" w:rsidRDefault="00B74E64" w:rsidP="00DF4F71">
      <w:pPr>
        <w:ind w:left="567" w:right="616"/>
        <w:jc w:val="both"/>
        <w:rPr>
          <w:rFonts w:ascii="Arial" w:eastAsia="Calibri" w:hAnsi="Arial" w:cs="Arial"/>
          <w:b/>
          <w:i/>
          <w:lang w:eastAsia="es-ES"/>
        </w:rPr>
      </w:pPr>
      <w:r w:rsidRPr="0076242B">
        <w:rPr>
          <w:rFonts w:ascii="Arial" w:eastAsia="Calibri" w:hAnsi="Arial" w:cs="Arial"/>
          <w:b/>
          <w:i/>
          <w:lang w:eastAsia="es-ES"/>
        </w:rPr>
        <w:t>“</w:t>
      </w:r>
      <w:r w:rsidR="006E063E" w:rsidRPr="0076242B">
        <w:rPr>
          <w:rFonts w:ascii="Arial" w:eastAsia="Calibri" w:hAnsi="Arial" w:cs="Arial"/>
          <w:b/>
          <w:i/>
          <w:lang w:eastAsia="es-ES"/>
        </w:rPr>
        <w:t>IV.- RESOLUCIÓN O ACTO QUE SE IMPUGNA.-</w:t>
      </w:r>
    </w:p>
    <w:p w14:paraId="35487885" w14:textId="7854EFE6" w:rsidR="006E063E" w:rsidRDefault="006E063E" w:rsidP="00DF4F71">
      <w:pPr>
        <w:ind w:left="567" w:right="616"/>
        <w:jc w:val="both"/>
        <w:rPr>
          <w:rFonts w:ascii="Arial" w:eastAsia="Calibri" w:hAnsi="Arial" w:cs="Arial"/>
          <w:bCs/>
          <w:i/>
          <w:lang w:eastAsia="es-ES"/>
        </w:rPr>
      </w:pPr>
      <w:r>
        <w:rPr>
          <w:rFonts w:ascii="Arial" w:eastAsia="Calibri" w:hAnsi="Arial" w:cs="Arial"/>
          <w:bCs/>
          <w:i/>
          <w:lang w:eastAsia="es-ES"/>
        </w:rPr>
        <w:t xml:space="preserve">… reclamo la nulidad de la resolución determinante </w:t>
      </w:r>
      <w:r w:rsidR="002C4B8A">
        <w:rPr>
          <w:rFonts w:ascii="Arial" w:eastAsia="Calibri" w:hAnsi="Arial" w:cs="Arial"/>
          <w:bCs/>
          <w:i/>
          <w:lang w:eastAsia="es-ES"/>
        </w:rPr>
        <w:t>*******</w:t>
      </w:r>
      <w:r>
        <w:rPr>
          <w:rFonts w:ascii="Arial" w:eastAsia="Calibri" w:hAnsi="Arial" w:cs="Arial"/>
          <w:bCs/>
          <w:i/>
          <w:lang w:eastAsia="es-ES"/>
        </w:rPr>
        <w:t xml:space="preserve"> de fecha 27 de febrero de 2019, a que se hace referencia en el mandamiento de ejecución número </w:t>
      </w:r>
      <w:r w:rsidR="002C4B8A">
        <w:rPr>
          <w:rFonts w:ascii="Arial" w:eastAsia="Calibri" w:hAnsi="Arial" w:cs="Arial"/>
          <w:bCs/>
          <w:i/>
          <w:lang w:eastAsia="es-ES"/>
        </w:rPr>
        <w:t>*******</w:t>
      </w:r>
      <w:r w:rsidR="00B74E64">
        <w:rPr>
          <w:rFonts w:ascii="Arial" w:eastAsia="Calibri" w:hAnsi="Arial" w:cs="Arial"/>
          <w:bCs/>
          <w:i/>
          <w:lang w:eastAsia="es-ES"/>
        </w:rPr>
        <w:t xml:space="preserve">, de 22 de junio de 2021, crédito número </w:t>
      </w:r>
      <w:r w:rsidR="002C4B8A">
        <w:rPr>
          <w:rFonts w:ascii="Arial" w:eastAsia="Calibri" w:hAnsi="Arial" w:cs="Arial"/>
          <w:bCs/>
          <w:i/>
          <w:lang w:eastAsia="es-ES"/>
        </w:rPr>
        <w:t>*******</w:t>
      </w:r>
      <w:r w:rsidR="00B74E64">
        <w:rPr>
          <w:rFonts w:ascii="Arial" w:eastAsia="Calibri" w:hAnsi="Arial" w:cs="Arial"/>
          <w:bCs/>
          <w:i/>
          <w:lang w:eastAsia="es-ES"/>
        </w:rPr>
        <w:t xml:space="preserve">, por concepto de resarcimiento de daños causados a la Hacienda Pública Municipal de </w:t>
      </w:r>
      <w:r w:rsidR="002C4B8A">
        <w:rPr>
          <w:rFonts w:ascii="Arial" w:eastAsia="Calibri" w:hAnsi="Arial" w:cs="Arial"/>
          <w:bCs/>
          <w:i/>
          <w:lang w:eastAsia="es-ES"/>
        </w:rPr>
        <w:t>*******</w:t>
      </w:r>
      <w:r w:rsidR="00B74E64">
        <w:rPr>
          <w:rFonts w:ascii="Arial" w:eastAsia="Calibri" w:hAnsi="Arial" w:cs="Arial"/>
          <w:bCs/>
          <w:i/>
          <w:lang w:eastAsia="es-ES"/>
        </w:rPr>
        <w:t>, durante el ejercicio fiscal 2013, supuestamente notificado el 27 de febrero de 2019, con importe determinado de $</w:t>
      </w:r>
      <w:r w:rsidR="002C4B8A">
        <w:rPr>
          <w:rFonts w:ascii="Arial" w:eastAsia="Calibri" w:hAnsi="Arial" w:cs="Arial"/>
          <w:bCs/>
          <w:i/>
          <w:lang w:eastAsia="es-ES"/>
        </w:rPr>
        <w:t>*******</w:t>
      </w:r>
      <w:r w:rsidR="00B74E64">
        <w:rPr>
          <w:rFonts w:ascii="Arial" w:eastAsia="Calibri" w:hAnsi="Arial" w:cs="Arial"/>
          <w:bCs/>
          <w:i/>
          <w:lang w:eastAsia="es-ES"/>
        </w:rPr>
        <w:t xml:space="preserve">. Resolución determinante cuyo contenido íntegro desconozco, en razón de que hasta la fecha no me ha sido notificada por las demandadas. </w:t>
      </w:r>
    </w:p>
    <w:p w14:paraId="302ACEC5" w14:textId="38994542" w:rsidR="00B74E64" w:rsidRDefault="00BA36B7" w:rsidP="00DF4F71">
      <w:pPr>
        <w:ind w:left="567" w:right="616"/>
        <w:jc w:val="both"/>
        <w:rPr>
          <w:rFonts w:ascii="Arial" w:eastAsia="Calibri" w:hAnsi="Arial" w:cs="Arial"/>
          <w:bCs/>
          <w:i/>
          <w:lang w:eastAsia="es-ES"/>
        </w:rPr>
      </w:pPr>
      <w:r>
        <w:rPr>
          <w:rFonts w:ascii="Arial" w:eastAsia="Calibri" w:hAnsi="Arial" w:cs="Arial"/>
          <w:bCs/>
          <w:i/>
          <w:lang w:eastAsia="es-ES"/>
        </w:rPr>
        <w:t xml:space="preserve">… reclamo la ejecución material que pretenden hacer de la resolución determinante </w:t>
      </w:r>
      <w:bookmarkStart w:id="2" w:name="_Hlk109387845"/>
      <w:r w:rsidR="002C4B8A">
        <w:rPr>
          <w:rFonts w:ascii="Arial" w:eastAsia="Calibri" w:hAnsi="Arial" w:cs="Arial"/>
          <w:bCs/>
          <w:i/>
          <w:lang w:eastAsia="es-ES"/>
        </w:rPr>
        <w:t>*******</w:t>
      </w:r>
      <w:r>
        <w:rPr>
          <w:rFonts w:ascii="Arial" w:eastAsia="Calibri" w:hAnsi="Arial" w:cs="Arial"/>
          <w:bCs/>
          <w:i/>
          <w:lang w:eastAsia="es-ES"/>
        </w:rPr>
        <w:t xml:space="preserve"> </w:t>
      </w:r>
      <w:bookmarkEnd w:id="2"/>
      <w:r>
        <w:rPr>
          <w:rFonts w:ascii="Arial" w:eastAsia="Calibri" w:hAnsi="Arial" w:cs="Arial"/>
          <w:bCs/>
          <w:i/>
          <w:lang w:eastAsia="es-ES"/>
        </w:rPr>
        <w:t>de fecha 27 de febrero de 2019, emitida por el Órgano Superior de Fiscalización del Estado de Oaxaca.</w:t>
      </w:r>
    </w:p>
    <w:p w14:paraId="15C209CA" w14:textId="77A33CE6" w:rsidR="00BA36B7" w:rsidRDefault="00BA36B7" w:rsidP="00DF4F71">
      <w:pPr>
        <w:ind w:left="567" w:right="616"/>
        <w:jc w:val="both"/>
        <w:rPr>
          <w:rFonts w:ascii="Arial" w:eastAsia="Calibri" w:hAnsi="Arial" w:cs="Arial"/>
          <w:bCs/>
          <w:i/>
          <w:lang w:eastAsia="es-ES"/>
        </w:rPr>
      </w:pPr>
      <w:r>
        <w:rPr>
          <w:rFonts w:ascii="Arial" w:eastAsia="Calibri" w:hAnsi="Arial" w:cs="Arial"/>
          <w:bCs/>
          <w:i/>
          <w:lang w:eastAsia="es-ES"/>
        </w:rPr>
        <w:t xml:space="preserve">… reclamo … la nulidad del mandamiento de ejecución número </w:t>
      </w:r>
      <w:bookmarkStart w:id="3" w:name="_Hlk109387664"/>
      <w:r w:rsidR="002C4B8A">
        <w:rPr>
          <w:rFonts w:ascii="Arial" w:eastAsia="Calibri" w:hAnsi="Arial" w:cs="Arial"/>
          <w:bCs/>
          <w:i/>
          <w:lang w:eastAsia="es-ES"/>
        </w:rPr>
        <w:t>*******</w:t>
      </w:r>
      <w:r>
        <w:rPr>
          <w:rFonts w:ascii="Arial" w:eastAsia="Calibri" w:hAnsi="Arial" w:cs="Arial"/>
          <w:bCs/>
          <w:i/>
          <w:lang w:eastAsia="es-ES"/>
        </w:rPr>
        <w:t>, de fecha 22 de junio de 2021</w:t>
      </w:r>
      <w:bookmarkEnd w:id="3"/>
      <w:r>
        <w:rPr>
          <w:rFonts w:ascii="Arial" w:eastAsia="Calibri" w:hAnsi="Arial" w:cs="Arial"/>
          <w:bCs/>
          <w:i/>
          <w:lang w:eastAsia="es-ES"/>
        </w:rPr>
        <w:t xml:space="preserve">, crédito número </w:t>
      </w:r>
      <w:r w:rsidR="002C4B8A">
        <w:rPr>
          <w:rFonts w:ascii="Arial" w:eastAsia="Calibri" w:hAnsi="Arial" w:cs="Arial"/>
          <w:bCs/>
          <w:i/>
          <w:lang w:eastAsia="es-ES"/>
        </w:rPr>
        <w:t>*******</w:t>
      </w:r>
      <w:r>
        <w:rPr>
          <w:rFonts w:ascii="Arial" w:eastAsia="Calibri" w:hAnsi="Arial" w:cs="Arial"/>
          <w:bCs/>
          <w:i/>
          <w:lang w:eastAsia="es-ES"/>
        </w:rPr>
        <w:t xml:space="preserve">, por concepto de resarcimiento de daños causados a la Hacienda Pública </w:t>
      </w:r>
      <w:bookmarkStart w:id="4" w:name="_Hlk109388695"/>
      <w:r>
        <w:rPr>
          <w:rFonts w:ascii="Arial" w:eastAsia="Calibri" w:hAnsi="Arial" w:cs="Arial"/>
          <w:bCs/>
          <w:i/>
          <w:lang w:eastAsia="es-ES"/>
        </w:rPr>
        <w:t xml:space="preserve">Municipal de </w:t>
      </w:r>
      <w:r w:rsidR="002C4B8A">
        <w:rPr>
          <w:rFonts w:ascii="Arial" w:eastAsia="Calibri" w:hAnsi="Arial" w:cs="Arial"/>
          <w:bCs/>
          <w:i/>
          <w:lang w:eastAsia="es-ES"/>
        </w:rPr>
        <w:t>*******</w:t>
      </w:r>
      <w:r>
        <w:rPr>
          <w:rFonts w:ascii="Arial" w:eastAsia="Calibri" w:hAnsi="Arial" w:cs="Arial"/>
          <w:bCs/>
          <w:i/>
          <w:lang w:eastAsia="es-ES"/>
        </w:rPr>
        <w:t>, durante el ejercicio fiscal 2013</w:t>
      </w:r>
      <w:bookmarkEnd w:id="4"/>
      <w:r>
        <w:rPr>
          <w:rFonts w:ascii="Arial" w:eastAsia="Calibri" w:hAnsi="Arial" w:cs="Arial"/>
          <w:bCs/>
          <w:i/>
          <w:lang w:eastAsia="es-ES"/>
        </w:rPr>
        <w:t>; así como las indebidas e injustificadas actualizaciones del crédito que realizan dichas demandadas, por los siguientes conceptos: Importe determinado Resarcimiento de daños ejercicio 2013: $</w:t>
      </w:r>
      <w:r w:rsidR="002C4B8A">
        <w:rPr>
          <w:rFonts w:ascii="Arial" w:eastAsia="Calibri" w:hAnsi="Arial" w:cs="Arial"/>
          <w:bCs/>
          <w:i/>
          <w:lang w:eastAsia="es-ES"/>
        </w:rPr>
        <w:t>*******</w:t>
      </w:r>
      <w:r>
        <w:rPr>
          <w:rFonts w:ascii="Arial" w:eastAsia="Calibri" w:hAnsi="Arial" w:cs="Arial"/>
          <w:bCs/>
          <w:i/>
          <w:lang w:eastAsia="es-ES"/>
        </w:rPr>
        <w:t>, recargos del resarcimiento: $</w:t>
      </w:r>
      <w:r w:rsidR="008B4BFA">
        <w:rPr>
          <w:rFonts w:ascii="Arial" w:eastAsia="Calibri" w:hAnsi="Arial" w:cs="Arial"/>
          <w:bCs/>
          <w:i/>
          <w:lang w:eastAsia="es-ES"/>
        </w:rPr>
        <w:t>*******</w:t>
      </w:r>
      <w:r>
        <w:rPr>
          <w:rFonts w:ascii="Arial" w:eastAsia="Calibri" w:hAnsi="Arial" w:cs="Arial"/>
          <w:bCs/>
          <w:i/>
          <w:lang w:eastAsia="es-ES"/>
        </w:rPr>
        <w:t>, actualización: $</w:t>
      </w:r>
      <w:r w:rsidR="008B4BFA">
        <w:rPr>
          <w:rFonts w:ascii="Arial" w:eastAsia="Calibri" w:hAnsi="Arial" w:cs="Arial"/>
          <w:bCs/>
          <w:i/>
          <w:lang w:eastAsia="es-ES"/>
        </w:rPr>
        <w:t>*******</w:t>
      </w:r>
      <w:r>
        <w:rPr>
          <w:rFonts w:ascii="Arial" w:eastAsia="Calibri" w:hAnsi="Arial" w:cs="Arial"/>
          <w:bCs/>
          <w:i/>
          <w:lang w:eastAsia="es-ES"/>
        </w:rPr>
        <w:t>, gastos de ejecución: $</w:t>
      </w:r>
      <w:r w:rsidR="008B4BFA">
        <w:rPr>
          <w:rFonts w:ascii="Arial" w:eastAsia="Calibri" w:hAnsi="Arial" w:cs="Arial"/>
          <w:bCs/>
          <w:i/>
          <w:lang w:eastAsia="es-ES"/>
        </w:rPr>
        <w:t>*******</w:t>
      </w:r>
      <w:r>
        <w:rPr>
          <w:rFonts w:ascii="Arial" w:eastAsia="Calibri" w:hAnsi="Arial" w:cs="Arial"/>
          <w:bCs/>
          <w:i/>
          <w:lang w:eastAsia="es-ES"/>
        </w:rPr>
        <w:t>, importe total del crédito</w:t>
      </w:r>
      <w:r w:rsidR="0076242B">
        <w:rPr>
          <w:rFonts w:ascii="Arial" w:eastAsia="Calibri" w:hAnsi="Arial" w:cs="Arial"/>
          <w:bCs/>
          <w:i/>
          <w:lang w:eastAsia="es-ES"/>
        </w:rPr>
        <w:t>: $</w:t>
      </w:r>
      <w:r w:rsidR="008B4BFA">
        <w:rPr>
          <w:rFonts w:ascii="Arial" w:eastAsia="Calibri" w:hAnsi="Arial" w:cs="Arial"/>
          <w:bCs/>
          <w:i/>
          <w:lang w:eastAsia="es-ES"/>
        </w:rPr>
        <w:t>*******</w:t>
      </w:r>
      <w:r w:rsidR="0076242B">
        <w:rPr>
          <w:rFonts w:ascii="Arial" w:eastAsia="Calibri" w:hAnsi="Arial" w:cs="Arial"/>
          <w:bCs/>
          <w:i/>
          <w:lang w:eastAsia="es-ES"/>
        </w:rPr>
        <w:t xml:space="preserve">, importe total a requerir de pago redondeado: </w:t>
      </w:r>
      <w:bookmarkStart w:id="5" w:name="_Hlk109388824"/>
      <w:r w:rsidR="0076242B">
        <w:rPr>
          <w:rFonts w:ascii="Arial" w:eastAsia="Calibri" w:hAnsi="Arial" w:cs="Arial"/>
          <w:bCs/>
          <w:i/>
          <w:lang w:eastAsia="es-ES"/>
        </w:rPr>
        <w:t>$</w:t>
      </w:r>
      <w:bookmarkEnd w:id="5"/>
      <w:r w:rsidR="008B4BFA">
        <w:rPr>
          <w:rFonts w:ascii="Arial" w:eastAsia="Calibri" w:hAnsi="Arial" w:cs="Arial"/>
          <w:bCs/>
          <w:i/>
          <w:lang w:eastAsia="es-ES"/>
        </w:rPr>
        <w:t>*******</w:t>
      </w:r>
      <w:r w:rsidR="0076242B">
        <w:rPr>
          <w:rFonts w:ascii="Arial" w:eastAsia="Calibri" w:hAnsi="Arial" w:cs="Arial"/>
          <w:bCs/>
          <w:i/>
          <w:lang w:eastAsia="es-ES"/>
        </w:rPr>
        <w:t>”.</w:t>
      </w:r>
    </w:p>
    <w:p w14:paraId="01B14630" w14:textId="4C642BDB" w:rsidR="00C91F07" w:rsidRPr="00DF4F71" w:rsidRDefault="00C91F07" w:rsidP="00DF4F71">
      <w:pPr>
        <w:spacing w:line="360" w:lineRule="auto"/>
        <w:ind w:firstLine="708"/>
        <w:jc w:val="both"/>
        <w:rPr>
          <w:rFonts w:ascii="Arial" w:eastAsia="Calibri" w:hAnsi="Arial" w:cs="Arial"/>
          <w:b/>
          <w:bCs/>
          <w:sz w:val="26"/>
          <w:szCs w:val="26"/>
          <w:lang w:eastAsia="es-ES"/>
        </w:rPr>
      </w:pPr>
      <w:r w:rsidRPr="00C91F07">
        <w:rPr>
          <w:rFonts w:ascii="Arial" w:eastAsia="Calibri" w:hAnsi="Arial" w:cs="Arial"/>
          <w:bCs/>
          <w:sz w:val="26"/>
          <w:szCs w:val="26"/>
          <w:lang w:eastAsia="es-ES"/>
        </w:rPr>
        <w:t xml:space="preserve">De la transcripción anterior, se advierte que el demandante impugnó los actos consistentes en el crédito número </w:t>
      </w:r>
      <w:r w:rsidR="002C4B8A">
        <w:rPr>
          <w:rFonts w:ascii="Arial" w:eastAsia="Calibri" w:hAnsi="Arial" w:cs="Arial"/>
          <w:bCs/>
          <w:sz w:val="26"/>
          <w:szCs w:val="26"/>
          <w:lang w:eastAsia="es-ES"/>
        </w:rPr>
        <w:t>*******</w:t>
      </w:r>
      <w:r w:rsidR="0076242B">
        <w:rPr>
          <w:rFonts w:ascii="Arial" w:eastAsia="Calibri" w:hAnsi="Arial" w:cs="Arial"/>
          <w:bCs/>
          <w:sz w:val="26"/>
          <w:szCs w:val="26"/>
          <w:lang w:eastAsia="es-ES"/>
        </w:rPr>
        <w:t xml:space="preserve"> </w:t>
      </w:r>
      <w:r w:rsidRPr="00C91F07">
        <w:rPr>
          <w:rFonts w:ascii="Arial" w:eastAsia="Calibri" w:hAnsi="Arial" w:cs="Arial"/>
          <w:bCs/>
          <w:sz w:val="26"/>
          <w:szCs w:val="26"/>
          <w:lang w:eastAsia="es-ES"/>
        </w:rPr>
        <w:t xml:space="preserve">y el mandamiento de ejecución </w:t>
      </w:r>
      <w:bookmarkStart w:id="6" w:name="_Hlk109389054"/>
      <w:bookmarkStart w:id="7" w:name="_Hlk109388245"/>
      <w:r w:rsidRPr="00C91F07">
        <w:rPr>
          <w:rFonts w:ascii="Arial" w:eastAsia="Calibri" w:hAnsi="Arial" w:cs="Arial"/>
          <w:bCs/>
          <w:sz w:val="26"/>
          <w:szCs w:val="26"/>
          <w:lang w:eastAsia="es-ES"/>
        </w:rPr>
        <w:t>número</w:t>
      </w:r>
      <w:r w:rsidR="0076242B">
        <w:rPr>
          <w:rFonts w:ascii="Arial" w:eastAsia="Calibri" w:hAnsi="Arial" w:cs="Arial"/>
          <w:bCs/>
          <w:sz w:val="26"/>
          <w:szCs w:val="26"/>
          <w:lang w:eastAsia="es-ES"/>
        </w:rPr>
        <w:t xml:space="preserve"> </w:t>
      </w:r>
      <w:r w:rsidR="002C4B8A">
        <w:rPr>
          <w:rFonts w:ascii="Arial" w:eastAsia="Calibri" w:hAnsi="Arial" w:cs="Arial"/>
          <w:bCs/>
          <w:sz w:val="26"/>
          <w:szCs w:val="26"/>
          <w:lang w:eastAsia="es-ES"/>
        </w:rPr>
        <w:t>*******</w:t>
      </w:r>
      <w:r w:rsidR="0076242B" w:rsidRPr="0076242B">
        <w:rPr>
          <w:rFonts w:ascii="Arial" w:eastAsia="Calibri" w:hAnsi="Arial" w:cs="Arial"/>
          <w:bCs/>
          <w:sz w:val="26"/>
          <w:szCs w:val="26"/>
          <w:lang w:eastAsia="es-ES"/>
        </w:rPr>
        <w:t xml:space="preserve"> </w:t>
      </w:r>
      <w:bookmarkEnd w:id="6"/>
      <w:r w:rsidR="0076242B" w:rsidRPr="0076242B">
        <w:rPr>
          <w:rFonts w:ascii="Arial" w:eastAsia="Calibri" w:hAnsi="Arial" w:cs="Arial"/>
          <w:bCs/>
          <w:sz w:val="26"/>
          <w:szCs w:val="26"/>
          <w:lang w:eastAsia="es-ES"/>
        </w:rPr>
        <w:t xml:space="preserve">de </w:t>
      </w:r>
      <w:r w:rsidR="0076242B" w:rsidRPr="009F42B7">
        <w:rPr>
          <w:rFonts w:ascii="Arial" w:eastAsia="Calibri" w:hAnsi="Arial" w:cs="Arial"/>
          <w:bCs/>
          <w:sz w:val="26"/>
          <w:szCs w:val="26"/>
          <w:lang w:eastAsia="es-ES"/>
        </w:rPr>
        <w:t>veintidós de junio de dos mil veinti</w:t>
      </w:r>
      <w:r w:rsidR="0035430B" w:rsidRPr="009F42B7">
        <w:rPr>
          <w:rFonts w:ascii="Arial" w:eastAsia="Calibri" w:hAnsi="Arial" w:cs="Arial"/>
          <w:bCs/>
          <w:sz w:val="26"/>
          <w:szCs w:val="26"/>
          <w:lang w:eastAsia="es-ES"/>
        </w:rPr>
        <w:t>uno</w:t>
      </w:r>
      <w:bookmarkEnd w:id="7"/>
      <w:r w:rsidR="0076242B" w:rsidRPr="009F42B7">
        <w:rPr>
          <w:rFonts w:ascii="Arial" w:eastAsia="Calibri" w:hAnsi="Arial" w:cs="Arial"/>
          <w:bCs/>
          <w:sz w:val="26"/>
          <w:szCs w:val="26"/>
          <w:lang w:eastAsia="es-ES"/>
        </w:rPr>
        <w:t>,</w:t>
      </w:r>
      <w:r w:rsidR="0076242B">
        <w:rPr>
          <w:rFonts w:ascii="Arial" w:eastAsia="Calibri" w:hAnsi="Arial" w:cs="Arial"/>
          <w:bCs/>
          <w:sz w:val="26"/>
          <w:szCs w:val="26"/>
          <w:lang w:eastAsia="es-ES"/>
        </w:rPr>
        <w:t xml:space="preserve"> </w:t>
      </w:r>
      <w:r w:rsidRPr="00C91F07">
        <w:rPr>
          <w:rFonts w:ascii="Arial" w:eastAsia="Calibri" w:hAnsi="Arial" w:cs="Arial"/>
          <w:bCs/>
          <w:sz w:val="26"/>
          <w:szCs w:val="26"/>
          <w:lang w:eastAsia="es-ES"/>
        </w:rPr>
        <w:t>y se observa que</w:t>
      </w:r>
      <w:r w:rsidR="00F341D1">
        <w:rPr>
          <w:rFonts w:ascii="Arial" w:eastAsia="Calibri" w:hAnsi="Arial" w:cs="Arial"/>
          <w:bCs/>
          <w:sz w:val="26"/>
          <w:szCs w:val="26"/>
          <w:lang w:eastAsia="es-ES"/>
        </w:rPr>
        <w:t>,</w:t>
      </w:r>
      <w:r w:rsidRPr="00C91F07">
        <w:rPr>
          <w:rFonts w:ascii="Arial" w:eastAsia="Calibri" w:hAnsi="Arial" w:cs="Arial"/>
          <w:bCs/>
          <w:sz w:val="26"/>
          <w:szCs w:val="26"/>
          <w:lang w:eastAsia="es-ES"/>
        </w:rPr>
        <w:t xml:space="preserve"> en sus pretensiones, señaló que el crédito número </w:t>
      </w:r>
      <w:r w:rsidR="002C4B8A">
        <w:rPr>
          <w:rFonts w:ascii="Arial" w:eastAsia="Calibri" w:hAnsi="Arial" w:cs="Arial"/>
          <w:bCs/>
          <w:sz w:val="26"/>
          <w:szCs w:val="26"/>
          <w:lang w:eastAsia="es-ES"/>
        </w:rPr>
        <w:t>*******</w:t>
      </w:r>
      <w:r w:rsidR="0076242B">
        <w:rPr>
          <w:rFonts w:ascii="Arial" w:eastAsia="Calibri" w:hAnsi="Arial" w:cs="Arial"/>
          <w:bCs/>
          <w:sz w:val="26"/>
          <w:szCs w:val="26"/>
          <w:lang w:eastAsia="es-ES"/>
        </w:rPr>
        <w:t xml:space="preserve"> </w:t>
      </w:r>
      <w:r w:rsidRPr="00C91F07">
        <w:rPr>
          <w:rFonts w:ascii="Arial" w:eastAsia="Calibri" w:hAnsi="Arial" w:cs="Arial"/>
          <w:bCs/>
          <w:sz w:val="26"/>
          <w:szCs w:val="26"/>
          <w:lang w:eastAsia="es-ES"/>
        </w:rPr>
        <w:t xml:space="preserve">fue emitido por </w:t>
      </w:r>
      <w:bookmarkStart w:id="8" w:name="_Hlk109388561"/>
      <w:r w:rsidR="0076242B">
        <w:rPr>
          <w:rFonts w:ascii="Arial" w:eastAsia="Calibri" w:hAnsi="Arial" w:cs="Arial"/>
          <w:bCs/>
          <w:sz w:val="26"/>
          <w:szCs w:val="26"/>
          <w:lang w:eastAsia="es-ES"/>
        </w:rPr>
        <w:t xml:space="preserve">el Órgano </w:t>
      </w:r>
      <w:r w:rsidRPr="00C91F07">
        <w:rPr>
          <w:rFonts w:ascii="Arial" w:eastAsia="Calibri" w:hAnsi="Arial" w:cs="Arial"/>
          <w:bCs/>
          <w:sz w:val="26"/>
          <w:szCs w:val="26"/>
          <w:lang w:eastAsia="es-ES"/>
        </w:rPr>
        <w:t xml:space="preserve">Superior </w:t>
      </w:r>
      <w:r w:rsidR="0076242B">
        <w:rPr>
          <w:rFonts w:ascii="Arial" w:eastAsia="Calibri" w:hAnsi="Arial" w:cs="Arial"/>
          <w:bCs/>
          <w:sz w:val="26"/>
          <w:szCs w:val="26"/>
          <w:lang w:eastAsia="es-ES"/>
        </w:rPr>
        <w:t xml:space="preserve">de Fiscalización </w:t>
      </w:r>
      <w:r w:rsidRPr="00C91F07">
        <w:rPr>
          <w:rFonts w:ascii="Arial" w:eastAsia="Calibri" w:hAnsi="Arial" w:cs="Arial"/>
          <w:bCs/>
          <w:sz w:val="26"/>
          <w:szCs w:val="26"/>
          <w:lang w:eastAsia="es-ES"/>
        </w:rPr>
        <w:t xml:space="preserve">de Estado </w:t>
      </w:r>
      <w:r w:rsidR="0076242B">
        <w:rPr>
          <w:rFonts w:ascii="Arial" w:eastAsia="Calibri" w:hAnsi="Arial" w:cs="Arial"/>
          <w:bCs/>
          <w:sz w:val="26"/>
          <w:szCs w:val="26"/>
          <w:lang w:eastAsia="es-ES"/>
        </w:rPr>
        <w:t xml:space="preserve">de Oaxaca </w:t>
      </w:r>
      <w:r w:rsidR="00F341D1">
        <w:rPr>
          <w:rFonts w:ascii="Arial" w:eastAsia="Calibri" w:hAnsi="Arial" w:cs="Arial"/>
          <w:bCs/>
          <w:sz w:val="26"/>
          <w:szCs w:val="26"/>
          <w:lang w:eastAsia="es-ES"/>
        </w:rPr>
        <w:t>el veintisiete de febrero de dos mil diecinueve</w:t>
      </w:r>
      <w:bookmarkEnd w:id="8"/>
      <w:r w:rsidR="00F341D1">
        <w:rPr>
          <w:rFonts w:ascii="Arial" w:eastAsia="Calibri" w:hAnsi="Arial" w:cs="Arial"/>
          <w:bCs/>
          <w:sz w:val="26"/>
          <w:szCs w:val="26"/>
          <w:lang w:eastAsia="es-ES"/>
        </w:rPr>
        <w:t xml:space="preserve"> derivado de la </w:t>
      </w:r>
      <w:r w:rsidRPr="00C91F07">
        <w:rPr>
          <w:rFonts w:ascii="Arial" w:eastAsia="Calibri" w:hAnsi="Arial" w:cs="Arial"/>
          <w:bCs/>
          <w:sz w:val="26"/>
          <w:szCs w:val="26"/>
          <w:lang w:eastAsia="es-ES"/>
        </w:rPr>
        <w:t xml:space="preserve">resolución determinante </w:t>
      </w:r>
      <w:r w:rsidR="002C4B8A">
        <w:rPr>
          <w:rFonts w:ascii="Arial" w:eastAsia="Calibri" w:hAnsi="Arial" w:cs="Arial"/>
          <w:b/>
          <w:sz w:val="26"/>
          <w:szCs w:val="26"/>
          <w:lang w:eastAsia="es-ES"/>
        </w:rPr>
        <w:t>*******</w:t>
      </w:r>
      <w:r w:rsidR="00704FBF" w:rsidRPr="00704FBF">
        <w:rPr>
          <w:rFonts w:ascii="Arial" w:eastAsia="Calibri" w:hAnsi="Arial" w:cs="Arial"/>
          <w:b/>
          <w:sz w:val="26"/>
          <w:szCs w:val="26"/>
          <w:lang w:eastAsia="es-ES"/>
        </w:rPr>
        <w:t>.</w:t>
      </w:r>
      <w:r w:rsidR="00DF4F71">
        <w:rPr>
          <w:rFonts w:ascii="Arial" w:eastAsia="Calibri" w:hAnsi="Arial" w:cs="Arial"/>
          <w:b/>
          <w:sz w:val="26"/>
          <w:szCs w:val="26"/>
          <w:lang w:eastAsia="es-ES"/>
        </w:rPr>
        <w:t xml:space="preserve"> </w:t>
      </w:r>
      <w:r w:rsidR="00DF4F71">
        <w:rPr>
          <w:rFonts w:ascii="Arial" w:hAnsi="Arial" w:cs="Arial"/>
          <w:sz w:val="26"/>
          <w:szCs w:val="26"/>
        </w:rPr>
        <w:t xml:space="preserve">- - - - - - - - - - </w:t>
      </w:r>
      <w:r w:rsidRPr="00C91F07">
        <w:rPr>
          <w:rFonts w:ascii="Arial" w:eastAsia="Calibri" w:hAnsi="Arial" w:cs="Arial"/>
          <w:bCs/>
          <w:sz w:val="26"/>
          <w:szCs w:val="26"/>
          <w:lang w:eastAsia="es-ES"/>
        </w:rPr>
        <w:t xml:space="preserve">En ese orden de ideas, del análisis efectuado a las constancias del mandamiento de ejecución </w:t>
      </w:r>
      <w:r w:rsidR="0035430B" w:rsidRPr="00C91F07">
        <w:rPr>
          <w:rFonts w:ascii="Arial" w:eastAsia="Calibri" w:hAnsi="Arial" w:cs="Arial"/>
          <w:bCs/>
          <w:sz w:val="26"/>
          <w:szCs w:val="26"/>
          <w:lang w:eastAsia="es-ES"/>
        </w:rPr>
        <w:t>número</w:t>
      </w:r>
      <w:r w:rsidR="0035430B">
        <w:rPr>
          <w:rFonts w:ascii="Arial" w:eastAsia="Calibri" w:hAnsi="Arial" w:cs="Arial"/>
          <w:bCs/>
          <w:sz w:val="26"/>
          <w:szCs w:val="26"/>
          <w:lang w:eastAsia="es-ES"/>
        </w:rPr>
        <w:t xml:space="preserve"> </w:t>
      </w:r>
      <w:r w:rsidR="002C4B8A">
        <w:rPr>
          <w:rFonts w:ascii="Arial" w:eastAsia="Calibri" w:hAnsi="Arial" w:cs="Arial"/>
          <w:bCs/>
          <w:sz w:val="26"/>
          <w:szCs w:val="26"/>
          <w:lang w:eastAsia="es-ES"/>
        </w:rPr>
        <w:t>*******</w:t>
      </w:r>
      <w:r w:rsidR="0035430B">
        <w:rPr>
          <w:rStyle w:val="Refdenotaalpie"/>
          <w:rFonts w:ascii="Arial" w:eastAsia="Calibri" w:hAnsi="Arial" w:cs="Arial"/>
          <w:bCs/>
          <w:sz w:val="26"/>
          <w:szCs w:val="26"/>
          <w:lang w:eastAsia="es-ES"/>
        </w:rPr>
        <w:footnoteReference w:id="3"/>
      </w:r>
      <w:r w:rsidR="0035430B" w:rsidRPr="0076242B">
        <w:rPr>
          <w:rFonts w:ascii="Arial" w:eastAsia="Calibri" w:hAnsi="Arial" w:cs="Arial"/>
          <w:bCs/>
          <w:sz w:val="26"/>
          <w:szCs w:val="26"/>
          <w:lang w:eastAsia="es-ES"/>
        </w:rPr>
        <w:t xml:space="preserve"> de </w:t>
      </w:r>
      <w:r w:rsidR="0035430B" w:rsidRPr="0035430B">
        <w:rPr>
          <w:rFonts w:ascii="Arial" w:eastAsia="Calibri" w:hAnsi="Arial" w:cs="Arial"/>
          <w:bCs/>
          <w:sz w:val="26"/>
          <w:szCs w:val="26"/>
          <w:lang w:eastAsia="es-ES"/>
        </w:rPr>
        <w:t>veintidós de junio de dos mil veintiuno</w:t>
      </w:r>
      <w:r w:rsidRPr="00C91F07">
        <w:rPr>
          <w:rFonts w:ascii="Arial" w:eastAsia="Calibri" w:hAnsi="Arial" w:cs="Arial"/>
          <w:bCs/>
          <w:sz w:val="26"/>
          <w:szCs w:val="26"/>
          <w:lang w:eastAsia="es-ES"/>
        </w:rPr>
        <w:t>, se observa lo siguiente:</w:t>
      </w:r>
      <w:r w:rsidR="00DF4F71">
        <w:rPr>
          <w:rFonts w:ascii="Arial" w:eastAsia="Calibri" w:hAnsi="Arial" w:cs="Arial"/>
          <w:bCs/>
          <w:sz w:val="26"/>
          <w:szCs w:val="26"/>
          <w:lang w:eastAsia="es-ES"/>
        </w:rPr>
        <w:t xml:space="preserve"> </w:t>
      </w:r>
    </w:p>
    <w:p w14:paraId="08DE602E" w14:textId="3CAD4582" w:rsidR="00C91F07" w:rsidRPr="00C91F07" w:rsidRDefault="00C91F07" w:rsidP="00C91F07">
      <w:pPr>
        <w:numPr>
          <w:ilvl w:val="0"/>
          <w:numId w:val="13"/>
        </w:numPr>
        <w:spacing w:line="360" w:lineRule="auto"/>
        <w:jc w:val="both"/>
        <w:rPr>
          <w:rFonts w:ascii="Arial" w:eastAsia="Calibri" w:hAnsi="Arial" w:cs="Arial"/>
          <w:bCs/>
          <w:sz w:val="26"/>
          <w:szCs w:val="26"/>
          <w:lang w:eastAsia="es-ES"/>
        </w:rPr>
      </w:pPr>
      <w:r w:rsidRPr="00C91F07">
        <w:rPr>
          <w:rFonts w:ascii="Arial" w:eastAsia="Calibri" w:hAnsi="Arial" w:cs="Arial"/>
          <w:bCs/>
          <w:sz w:val="26"/>
          <w:szCs w:val="26"/>
          <w:lang w:eastAsia="es-ES"/>
        </w:rPr>
        <w:t xml:space="preserve">Que la resolución determinante del crédito número </w:t>
      </w:r>
      <w:r w:rsidR="002C4B8A">
        <w:rPr>
          <w:rFonts w:ascii="Arial" w:eastAsia="Calibri" w:hAnsi="Arial" w:cs="Arial"/>
          <w:bCs/>
          <w:sz w:val="26"/>
          <w:szCs w:val="26"/>
          <w:lang w:eastAsia="es-ES"/>
        </w:rPr>
        <w:t>*******</w:t>
      </w:r>
      <w:r w:rsidRPr="00C91F07">
        <w:rPr>
          <w:rFonts w:ascii="Arial" w:eastAsia="Calibri" w:hAnsi="Arial" w:cs="Arial"/>
          <w:bCs/>
          <w:sz w:val="26"/>
          <w:szCs w:val="26"/>
          <w:lang w:eastAsia="es-ES"/>
        </w:rPr>
        <w:t xml:space="preserve"> fue la identificada con el </w:t>
      </w:r>
      <w:bookmarkStart w:id="9" w:name="_Hlk109391320"/>
      <w:r w:rsidRPr="00C91F07">
        <w:rPr>
          <w:rFonts w:ascii="Arial" w:eastAsia="Calibri" w:hAnsi="Arial" w:cs="Arial"/>
          <w:bCs/>
          <w:sz w:val="26"/>
          <w:szCs w:val="26"/>
          <w:lang w:eastAsia="es-ES"/>
        </w:rPr>
        <w:t xml:space="preserve">número </w:t>
      </w:r>
      <w:r w:rsidR="002C4B8A">
        <w:rPr>
          <w:rFonts w:ascii="Arial" w:eastAsia="Calibri" w:hAnsi="Arial" w:cs="Arial"/>
          <w:b/>
          <w:sz w:val="26"/>
          <w:szCs w:val="26"/>
          <w:lang w:eastAsia="es-ES"/>
        </w:rPr>
        <w:t>*******</w:t>
      </w:r>
      <w:r w:rsidR="0023541F">
        <w:rPr>
          <w:rFonts w:ascii="Arial" w:eastAsia="Calibri" w:hAnsi="Arial" w:cs="Arial"/>
          <w:b/>
          <w:sz w:val="26"/>
          <w:szCs w:val="26"/>
          <w:lang w:eastAsia="es-ES"/>
        </w:rPr>
        <w:t xml:space="preserve">, </w:t>
      </w:r>
      <w:r w:rsidR="0023541F" w:rsidRPr="0023541F">
        <w:rPr>
          <w:rFonts w:ascii="Arial" w:eastAsia="Calibri" w:hAnsi="Arial" w:cs="Arial"/>
          <w:bCs/>
          <w:sz w:val="26"/>
          <w:szCs w:val="26"/>
          <w:lang w:eastAsia="es-ES"/>
        </w:rPr>
        <w:t>dictada por</w:t>
      </w:r>
      <w:r w:rsidR="0023541F">
        <w:rPr>
          <w:rFonts w:ascii="Arial" w:eastAsia="Calibri" w:hAnsi="Arial" w:cs="Arial"/>
          <w:b/>
          <w:sz w:val="26"/>
          <w:szCs w:val="26"/>
          <w:lang w:eastAsia="es-ES"/>
        </w:rPr>
        <w:t xml:space="preserve"> </w:t>
      </w:r>
      <w:r w:rsidR="0023541F">
        <w:rPr>
          <w:rFonts w:ascii="Arial" w:eastAsia="Calibri" w:hAnsi="Arial" w:cs="Arial"/>
          <w:bCs/>
          <w:sz w:val="26"/>
          <w:szCs w:val="26"/>
          <w:lang w:eastAsia="es-ES"/>
        </w:rPr>
        <w:t xml:space="preserve">el Órgano </w:t>
      </w:r>
      <w:r w:rsidR="0023541F" w:rsidRPr="00C91F07">
        <w:rPr>
          <w:rFonts w:ascii="Arial" w:eastAsia="Calibri" w:hAnsi="Arial" w:cs="Arial"/>
          <w:bCs/>
          <w:sz w:val="26"/>
          <w:szCs w:val="26"/>
          <w:lang w:eastAsia="es-ES"/>
        </w:rPr>
        <w:t xml:space="preserve">Superior </w:t>
      </w:r>
      <w:r w:rsidR="0023541F">
        <w:rPr>
          <w:rFonts w:ascii="Arial" w:eastAsia="Calibri" w:hAnsi="Arial" w:cs="Arial"/>
          <w:bCs/>
          <w:sz w:val="26"/>
          <w:szCs w:val="26"/>
          <w:lang w:eastAsia="es-ES"/>
        </w:rPr>
        <w:t xml:space="preserve">de Fiscalización </w:t>
      </w:r>
      <w:r w:rsidR="0023541F" w:rsidRPr="00C91F07">
        <w:rPr>
          <w:rFonts w:ascii="Arial" w:eastAsia="Calibri" w:hAnsi="Arial" w:cs="Arial"/>
          <w:bCs/>
          <w:sz w:val="26"/>
          <w:szCs w:val="26"/>
          <w:lang w:eastAsia="es-ES"/>
        </w:rPr>
        <w:t xml:space="preserve">de Estado </w:t>
      </w:r>
      <w:r w:rsidR="0023541F">
        <w:rPr>
          <w:rFonts w:ascii="Arial" w:eastAsia="Calibri" w:hAnsi="Arial" w:cs="Arial"/>
          <w:bCs/>
          <w:sz w:val="26"/>
          <w:szCs w:val="26"/>
          <w:lang w:eastAsia="es-ES"/>
        </w:rPr>
        <w:t>de Oaxaca el veintisiete de febrero de dos mil diecinueve</w:t>
      </w:r>
      <w:r w:rsidR="009F42B7">
        <w:rPr>
          <w:rFonts w:ascii="Arial" w:eastAsia="Calibri" w:hAnsi="Arial" w:cs="Arial"/>
          <w:bCs/>
          <w:sz w:val="26"/>
          <w:szCs w:val="26"/>
          <w:lang w:eastAsia="es-ES"/>
        </w:rPr>
        <w:t>.</w:t>
      </w:r>
    </w:p>
    <w:bookmarkEnd w:id="9"/>
    <w:p w14:paraId="4064F91C" w14:textId="4C50BF0A" w:rsidR="009F42B7" w:rsidRDefault="00C91F07" w:rsidP="009F42B7">
      <w:pPr>
        <w:numPr>
          <w:ilvl w:val="0"/>
          <w:numId w:val="13"/>
        </w:numPr>
        <w:spacing w:line="360" w:lineRule="auto"/>
        <w:jc w:val="both"/>
        <w:rPr>
          <w:rFonts w:ascii="Arial" w:eastAsia="Calibri" w:hAnsi="Arial" w:cs="Arial"/>
          <w:bCs/>
          <w:sz w:val="26"/>
          <w:szCs w:val="26"/>
          <w:lang w:eastAsia="es-ES"/>
        </w:rPr>
      </w:pPr>
      <w:r w:rsidRPr="00C91F07">
        <w:rPr>
          <w:rFonts w:ascii="Arial" w:eastAsia="Calibri" w:hAnsi="Arial" w:cs="Arial"/>
          <w:bCs/>
          <w:sz w:val="26"/>
          <w:szCs w:val="26"/>
          <w:lang w:eastAsia="es-ES"/>
        </w:rPr>
        <w:lastRenderedPageBreak/>
        <w:t xml:space="preserve">Que el concepto de pago requerido, es </w:t>
      </w:r>
      <w:r w:rsidR="009F42B7">
        <w:rPr>
          <w:rFonts w:ascii="Arial" w:eastAsia="Calibri" w:hAnsi="Arial" w:cs="Arial"/>
          <w:bCs/>
          <w:sz w:val="26"/>
          <w:szCs w:val="26"/>
          <w:lang w:eastAsia="es-ES"/>
        </w:rPr>
        <w:t xml:space="preserve">“por resarcimiento de daños causados a la Hacienda Pública de </w:t>
      </w:r>
      <w:r w:rsidR="009F42B7" w:rsidRPr="009F42B7">
        <w:rPr>
          <w:rFonts w:ascii="Arial" w:eastAsia="Calibri" w:hAnsi="Arial" w:cs="Arial"/>
          <w:bCs/>
          <w:sz w:val="26"/>
          <w:szCs w:val="26"/>
          <w:lang w:eastAsia="es-ES"/>
        </w:rPr>
        <w:t xml:space="preserve">Municipal de </w:t>
      </w:r>
      <w:r w:rsidR="002C4B8A">
        <w:rPr>
          <w:rFonts w:ascii="Arial" w:eastAsia="Calibri" w:hAnsi="Arial" w:cs="Arial"/>
          <w:bCs/>
          <w:sz w:val="26"/>
          <w:szCs w:val="26"/>
          <w:lang w:eastAsia="es-ES"/>
        </w:rPr>
        <w:t>*******</w:t>
      </w:r>
      <w:r w:rsidR="009F42B7" w:rsidRPr="009F42B7">
        <w:rPr>
          <w:rFonts w:ascii="Arial" w:eastAsia="Calibri" w:hAnsi="Arial" w:cs="Arial"/>
          <w:bCs/>
          <w:sz w:val="26"/>
          <w:szCs w:val="26"/>
          <w:lang w:eastAsia="es-ES"/>
        </w:rPr>
        <w:t>, durante el ejercicio fiscal 2013</w:t>
      </w:r>
      <w:r w:rsidR="009F42B7">
        <w:rPr>
          <w:rFonts w:ascii="Arial" w:eastAsia="Calibri" w:hAnsi="Arial" w:cs="Arial"/>
          <w:bCs/>
          <w:sz w:val="26"/>
          <w:szCs w:val="26"/>
          <w:lang w:eastAsia="es-ES"/>
        </w:rPr>
        <w:t>”.</w:t>
      </w:r>
    </w:p>
    <w:p w14:paraId="16E58B31" w14:textId="7DE02DB4" w:rsidR="009F42B7" w:rsidRPr="00BF7071" w:rsidRDefault="00C91F07" w:rsidP="009F42B7">
      <w:pPr>
        <w:numPr>
          <w:ilvl w:val="0"/>
          <w:numId w:val="13"/>
        </w:numPr>
        <w:spacing w:line="360" w:lineRule="auto"/>
        <w:jc w:val="both"/>
        <w:rPr>
          <w:rFonts w:ascii="Arial" w:eastAsia="Calibri" w:hAnsi="Arial" w:cs="Arial"/>
          <w:b/>
          <w:sz w:val="26"/>
          <w:szCs w:val="26"/>
          <w:lang w:eastAsia="es-ES"/>
        </w:rPr>
      </w:pPr>
      <w:r w:rsidRPr="00C91F07">
        <w:rPr>
          <w:rFonts w:ascii="Arial" w:eastAsia="Calibri" w:hAnsi="Arial" w:cs="Arial"/>
          <w:bCs/>
          <w:sz w:val="26"/>
          <w:szCs w:val="26"/>
          <w:lang w:eastAsia="es-ES"/>
        </w:rPr>
        <w:t>Que se trata de un</w:t>
      </w:r>
      <w:r w:rsidR="009F42B7" w:rsidRPr="009F42B7">
        <w:rPr>
          <w:rFonts w:ascii="Arial" w:eastAsia="Calibri" w:hAnsi="Arial" w:cs="Arial"/>
          <w:bCs/>
          <w:sz w:val="26"/>
          <w:szCs w:val="26"/>
          <w:lang w:eastAsia="es-ES"/>
        </w:rPr>
        <w:t>a sanción resarcitoria no</w:t>
      </w:r>
      <w:r w:rsidRPr="00C91F07">
        <w:rPr>
          <w:rFonts w:ascii="Arial" w:eastAsia="Calibri" w:hAnsi="Arial" w:cs="Arial"/>
          <w:bCs/>
          <w:sz w:val="26"/>
          <w:szCs w:val="26"/>
          <w:lang w:eastAsia="es-ES"/>
        </w:rPr>
        <w:t xml:space="preserve"> fiscal, por un importe determinado en cantidad de </w:t>
      </w:r>
      <w:bookmarkStart w:id="10" w:name="_Hlk109391281"/>
      <w:r w:rsidR="00302D94" w:rsidRPr="00BF7071">
        <w:rPr>
          <w:rFonts w:ascii="Arial" w:eastAsia="Calibri" w:hAnsi="Arial" w:cs="Arial"/>
          <w:b/>
          <w:sz w:val="26"/>
          <w:szCs w:val="26"/>
          <w:lang w:eastAsia="es-ES"/>
        </w:rPr>
        <w:t>$</w:t>
      </w:r>
      <w:r w:rsidR="008B4BFA">
        <w:rPr>
          <w:rFonts w:ascii="Arial" w:eastAsia="Calibri" w:hAnsi="Arial" w:cs="Arial"/>
          <w:bCs/>
          <w:i/>
          <w:lang w:eastAsia="es-ES"/>
        </w:rPr>
        <w:t>*******</w:t>
      </w:r>
      <w:r w:rsidR="008B4BFA">
        <w:rPr>
          <w:rFonts w:ascii="Arial" w:eastAsia="Calibri" w:hAnsi="Arial" w:cs="Arial"/>
          <w:bCs/>
          <w:i/>
          <w:lang w:eastAsia="es-ES"/>
        </w:rPr>
        <w:t>.</w:t>
      </w:r>
    </w:p>
    <w:bookmarkEnd w:id="10"/>
    <w:p w14:paraId="4D5F3A58" w14:textId="72D580B2" w:rsidR="00C91F07" w:rsidRPr="00C91F07" w:rsidRDefault="00C91F07" w:rsidP="00302D94">
      <w:pPr>
        <w:spacing w:line="360" w:lineRule="auto"/>
        <w:ind w:firstLine="708"/>
        <w:jc w:val="both"/>
        <w:rPr>
          <w:rFonts w:ascii="Arial" w:eastAsia="Calibri" w:hAnsi="Arial" w:cs="Arial"/>
          <w:bCs/>
          <w:sz w:val="26"/>
          <w:szCs w:val="26"/>
          <w:lang w:eastAsia="es-ES"/>
        </w:rPr>
      </w:pPr>
      <w:r w:rsidRPr="00C91F07">
        <w:rPr>
          <w:rFonts w:ascii="Arial" w:eastAsia="Calibri" w:hAnsi="Arial" w:cs="Arial"/>
          <w:bCs/>
          <w:sz w:val="26"/>
          <w:szCs w:val="26"/>
          <w:lang w:eastAsia="es-ES"/>
        </w:rPr>
        <w:t xml:space="preserve">Como se ve, el mandamiento de ejecución impugnado se deriva de </w:t>
      </w:r>
      <w:r w:rsidR="007C5368">
        <w:rPr>
          <w:rFonts w:ascii="Arial" w:eastAsia="Calibri" w:hAnsi="Arial" w:cs="Arial"/>
          <w:bCs/>
          <w:sz w:val="26"/>
          <w:szCs w:val="26"/>
          <w:lang w:eastAsia="es-ES"/>
        </w:rPr>
        <w:t xml:space="preserve">una resolución </w:t>
      </w:r>
      <w:r w:rsidRPr="00C91F07">
        <w:rPr>
          <w:rFonts w:ascii="Arial" w:eastAsia="Calibri" w:hAnsi="Arial" w:cs="Arial"/>
          <w:bCs/>
          <w:sz w:val="26"/>
          <w:szCs w:val="26"/>
          <w:lang w:eastAsia="es-ES"/>
        </w:rPr>
        <w:t xml:space="preserve">que no es de naturaleza tributaria, si no que proviene de un procedimiento de fiscalización instaurado en contra del ahora recurrente por la Auditoría Superior del Estado en aquél tiempo, ahora Órgano Superior de Fiscalización del Estado, aunque dicho </w:t>
      </w:r>
      <w:r w:rsidR="00302D94">
        <w:rPr>
          <w:rFonts w:ascii="Arial" w:eastAsia="Calibri" w:hAnsi="Arial" w:cs="Arial"/>
          <w:bCs/>
          <w:sz w:val="26"/>
          <w:szCs w:val="26"/>
          <w:lang w:eastAsia="es-ES"/>
        </w:rPr>
        <w:t>mandamiento</w:t>
      </w:r>
      <w:r w:rsidRPr="00C91F07">
        <w:rPr>
          <w:rFonts w:ascii="Arial" w:eastAsia="Calibri" w:hAnsi="Arial" w:cs="Arial"/>
          <w:bCs/>
          <w:sz w:val="26"/>
          <w:szCs w:val="26"/>
          <w:lang w:eastAsia="es-ES"/>
        </w:rPr>
        <w:t xml:space="preserve"> haya sido emitido por la Coordinadora de Cobro Coactivo de la Secretaría de Finanzas del Estado de Oaxaca y se haya diligenciado conforme al procedimiento administrativo de ejecución establecido en el Código Fiscal para el Estado de Oaxaca vigente.</w:t>
      </w:r>
      <w:r w:rsidR="00DF4F71">
        <w:rPr>
          <w:rFonts w:ascii="Arial" w:eastAsia="Calibri" w:hAnsi="Arial" w:cs="Arial"/>
          <w:bCs/>
          <w:sz w:val="26"/>
          <w:szCs w:val="26"/>
          <w:lang w:eastAsia="es-ES"/>
        </w:rPr>
        <w:t xml:space="preserve"> - - - - </w:t>
      </w:r>
    </w:p>
    <w:p w14:paraId="00205082" w14:textId="1C464F60" w:rsidR="00E05FDB" w:rsidRDefault="00C91F07" w:rsidP="00C91F07">
      <w:pPr>
        <w:spacing w:line="360" w:lineRule="auto"/>
        <w:ind w:firstLine="708"/>
        <w:jc w:val="both"/>
        <w:rPr>
          <w:rFonts w:ascii="Arial" w:eastAsia="Calibri" w:hAnsi="Arial" w:cs="Arial"/>
          <w:bCs/>
          <w:sz w:val="26"/>
          <w:szCs w:val="26"/>
          <w:lang w:eastAsia="es-ES"/>
        </w:rPr>
      </w:pPr>
      <w:r w:rsidRPr="00C91F07">
        <w:rPr>
          <w:rFonts w:ascii="Arial" w:eastAsia="Calibri" w:hAnsi="Arial" w:cs="Arial"/>
          <w:bCs/>
          <w:sz w:val="26"/>
          <w:szCs w:val="26"/>
          <w:lang w:eastAsia="es-ES"/>
        </w:rPr>
        <w:t xml:space="preserve">Sin embargo, en el acuerdo de </w:t>
      </w:r>
      <w:r w:rsidR="00302D94">
        <w:rPr>
          <w:rFonts w:ascii="Arial" w:eastAsia="Calibri" w:hAnsi="Arial" w:cs="Arial"/>
          <w:bCs/>
          <w:sz w:val="26"/>
          <w:szCs w:val="26"/>
          <w:lang w:eastAsia="es-ES"/>
        </w:rPr>
        <w:t>veintitrés</w:t>
      </w:r>
      <w:r w:rsidRPr="00C91F07">
        <w:rPr>
          <w:rFonts w:ascii="Arial" w:eastAsia="Calibri" w:hAnsi="Arial" w:cs="Arial"/>
          <w:bCs/>
          <w:sz w:val="26"/>
          <w:szCs w:val="26"/>
          <w:lang w:eastAsia="es-ES"/>
        </w:rPr>
        <w:t xml:space="preserve"> de </w:t>
      </w:r>
      <w:r w:rsidR="00302D94">
        <w:rPr>
          <w:rFonts w:ascii="Arial" w:eastAsia="Calibri" w:hAnsi="Arial" w:cs="Arial"/>
          <w:bCs/>
          <w:sz w:val="26"/>
          <w:szCs w:val="26"/>
          <w:lang w:eastAsia="es-ES"/>
        </w:rPr>
        <w:t>febrero</w:t>
      </w:r>
      <w:r w:rsidRPr="00C91F07">
        <w:rPr>
          <w:rFonts w:ascii="Arial" w:eastAsia="Calibri" w:hAnsi="Arial" w:cs="Arial"/>
          <w:bCs/>
          <w:sz w:val="26"/>
          <w:szCs w:val="26"/>
          <w:lang w:eastAsia="es-ES"/>
        </w:rPr>
        <w:t xml:space="preserve"> de dos mil veint</w:t>
      </w:r>
      <w:r w:rsidR="00302D94">
        <w:rPr>
          <w:rFonts w:ascii="Arial" w:eastAsia="Calibri" w:hAnsi="Arial" w:cs="Arial"/>
          <w:bCs/>
          <w:sz w:val="26"/>
          <w:szCs w:val="26"/>
          <w:lang w:eastAsia="es-ES"/>
        </w:rPr>
        <w:t>idós</w:t>
      </w:r>
      <w:r w:rsidRPr="00C91F07">
        <w:rPr>
          <w:rFonts w:ascii="Arial" w:eastAsia="Calibri" w:hAnsi="Arial" w:cs="Arial"/>
          <w:bCs/>
          <w:sz w:val="26"/>
          <w:szCs w:val="26"/>
          <w:lang w:eastAsia="es-ES"/>
        </w:rPr>
        <w:t>, la Quinta Sala Unitaria de Primera Instancia, sin haber realizado el análisis integral de los actos impugnados por</w:t>
      </w:r>
      <w:r w:rsidR="00302D94">
        <w:rPr>
          <w:rFonts w:ascii="Arial" w:eastAsia="Calibri" w:hAnsi="Arial" w:cs="Arial"/>
          <w:bCs/>
          <w:sz w:val="26"/>
          <w:szCs w:val="26"/>
          <w:lang w:eastAsia="es-ES"/>
        </w:rPr>
        <w:t xml:space="preserve"> </w:t>
      </w:r>
      <w:r w:rsidR="002C4B8A">
        <w:rPr>
          <w:rFonts w:ascii="Arial" w:eastAsia="Calibri" w:hAnsi="Arial" w:cs="Arial"/>
          <w:b/>
          <w:sz w:val="26"/>
          <w:szCs w:val="26"/>
          <w:lang w:eastAsia="es-ES"/>
        </w:rPr>
        <w:t>*******</w:t>
      </w:r>
      <w:r w:rsidR="00281756" w:rsidRPr="00281756">
        <w:rPr>
          <w:rFonts w:ascii="Arial" w:eastAsia="Calibri" w:hAnsi="Arial" w:cs="Arial"/>
          <w:b/>
          <w:sz w:val="26"/>
          <w:szCs w:val="26"/>
          <w:lang w:eastAsia="es-ES"/>
        </w:rPr>
        <w:t>,</w:t>
      </w:r>
      <w:r w:rsidR="00302D94" w:rsidRPr="00281756">
        <w:rPr>
          <w:rFonts w:ascii="Arial" w:eastAsia="Calibri" w:hAnsi="Arial" w:cs="Arial"/>
          <w:b/>
          <w:sz w:val="26"/>
          <w:szCs w:val="26"/>
          <w:lang w:eastAsia="es-ES"/>
        </w:rPr>
        <w:t xml:space="preserve"> </w:t>
      </w:r>
      <w:r w:rsidRPr="00C91F07">
        <w:rPr>
          <w:rFonts w:ascii="Arial" w:eastAsia="Calibri" w:hAnsi="Arial" w:cs="Arial"/>
          <w:bCs/>
          <w:sz w:val="26"/>
          <w:szCs w:val="26"/>
          <w:lang w:eastAsia="es-ES"/>
        </w:rPr>
        <w:t>determinó desechar por improcedente la demanda promovida en contra del mandamiento de ejecución</w:t>
      </w:r>
      <w:r w:rsidR="00E05FDB">
        <w:rPr>
          <w:rFonts w:ascii="Arial" w:eastAsia="Calibri" w:hAnsi="Arial" w:cs="Arial"/>
          <w:bCs/>
          <w:sz w:val="26"/>
          <w:szCs w:val="26"/>
          <w:lang w:eastAsia="es-ES"/>
        </w:rPr>
        <w:t xml:space="preserve"> </w:t>
      </w:r>
      <w:r w:rsidR="00E05FDB" w:rsidRPr="00C91F07">
        <w:rPr>
          <w:rFonts w:ascii="Arial" w:eastAsia="Calibri" w:hAnsi="Arial" w:cs="Arial"/>
          <w:bCs/>
          <w:sz w:val="26"/>
          <w:szCs w:val="26"/>
          <w:lang w:eastAsia="es-ES"/>
        </w:rPr>
        <w:t>número</w:t>
      </w:r>
      <w:r w:rsidR="00E05FDB">
        <w:rPr>
          <w:rFonts w:ascii="Arial" w:eastAsia="Calibri" w:hAnsi="Arial" w:cs="Arial"/>
          <w:bCs/>
          <w:sz w:val="26"/>
          <w:szCs w:val="26"/>
          <w:lang w:eastAsia="es-ES"/>
        </w:rPr>
        <w:t xml:space="preserve"> </w:t>
      </w:r>
      <w:r w:rsidR="002C4B8A">
        <w:rPr>
          <w:rFonts w:ascii="Arial" w:eastAsia="Calibri" w:hAnsi="Arial" w:cs="Arial"/>
          <w:bCs/>
          <w:sz w:val="26"/>
          <w:szCs w:val="26"/>
          <w:lang w:eastAsia="es-ES"/>
        </w:rPr>
        <w:t>*******</w:t>
      </w:r>
      <w:r w:rsidR="00E05FDB">
        <w:rPr>
          <w:rFonts w:ascii="Arial" w:eastAsia="Calibri" w:hAnsi="Arial" w:cs="Arial"/>
          <w:bCs/>
          <w:sz w:val="26"/>
          <w:szCs w:val="26"/>
          <w:lang w:eastAsia="es-ES"/>
        </w:rPr>
        <w:t xml:space="preserve">, con fundamento en los artículos 161 fracción X y 182 fracción I de la Ley de </w:t>
      </w:r>
      <w:r w:rsidR="00E05FDB" w:rsidRPr="00C91F07">
        <w:rPr>
          <w:rFonts w:ascii="Arial" w:eastAsia="Calibri" w:hAnsi="Arial" w:cs="Arial"/>
          <w:bCs/>
          <w:sz w:val="26"/>
          <w:szCs w:val="26"/>
          <w:lang w:eastAsia="es-ES"/>
        </w:rPr>
        <w:t>Procedimiento y Justicia Administrativa para el Estado de Oaxaca</w:t>
      </w:r>
      <w:r w:rsidR="00E05FDB">
        <w:rPr>
          <w:rFonts w:ascii="Arial" w:eastAsia="Calibri" w:hAnsi="Arial" w:cs="Arial"/>
          <w:bCs/>
          <w:sz w:val="26"/>
          <w:szCs w:val="26"/>
          <w:lang w:eastAsia="es-ES"/>
        </w:rPr>
        <w:t xml:space="preserve">, </w:t>
      </w:r>
      <w:r w:rsidR="00FF4B75">
        <w:rPr>
          <w:rFonts w:ascii="Arial" w:eastAsia="Calibri" w:hAnsi="Arial" w:cs="Arial"/>
          <w:bCs/>
          <w:sz w:val="26"/>
          <w:szCs w:val="26"/>
          <w:lang w:eastAsia="es-ES"/>
        </w:rPr>
        <w:t xml:space="preserve">porque se declaró incompetente para conocer actos referentes a la rendición de cuentas, </w:t>
      </w:r>
      <w:r w:rsidR="00281756">
        <w:rPr>
          <w:rFonts w:ascii="Arial" w:eastAsia="Calibri" w:hAnsi="Arial" w:cs="Arial"/>
          <w:bCs/>
          <w:sz w:val="26"/>
          <w:szCs w:val="26"/>
          <w:lang w:eastAsia="es-ES"/>
        </w:rPr>
        <w:t xml:space="preserve">lo </w:t>
      </w:r>
      <w:r w:rsidR="00FF4B75">
        <w:rPr>
          <w:rFonts w:ascii="Arial" w:eastAsia="Calibri" w:hAnsi="Arial" w:cs="Arial"/>
          <w:bCs/>
          <w:sz w:val="26"/>
          <w:szCs w:val="26"/>
          <w:lang w:eastAsia="es-ES"/>
        </w:rPr>
        <w:t xml:space="preserve">que le corresponde a la Sala Superior de este Tribunal, </w:t>
      </w:r>
      <w:r w:rsidR="00281756">
        <w:rPr>
          <w:rFonts w:ascii="Arial" w:eastAsia="Calibri" w:hAnsi="Arial" w:cs="Arial"/>
          <w:bCs/>
          <w:sz w:val="26"/>
          <w:szCs w:val="26"/>
          <w:lang w:eastAsia="es-ES"/>
        </w:rPr>
        <w:t>siendo esto último</w:t>
      </w:r>
      <w:r w:rsidR="00FF4B75">
        <w:rPr>
          <w:rFonts w:ascii="Arial" w:eastAsia="Calibri" w:hAnsi="Arial" w:cs="Arial"/>
          <w:bCs/>
          <w:sz w:val="26"/>
          <w:szCs w:val="26"/>
          <w:lang w:eastAsia="es-ES"/>
        </w:rPr>
        <w:t xml:space="preserve"> acertado, </w:t>
      </w:r>
      <w:r w:rsidR="00172100">
        <w:rPr>
          <w:rFonts w:ascii="Arial" w:eastAsia="Calibri" w:hAnsi="Arial" w:cs="Arial"/>
          <w:bCs/>
          <w:sz w:val="26"/>
          <w:szCs w:val="26"/>
          <w:lang w:eastAsia="es-ES"/>
        </w:rPr>
        <w:t xml:space="preserve">conforme a lo dispuesto por los </w:t>
      </w:r>
      <w:bookmarkStart w:id="11" w:name="_Hlk109391577"/>
      <w:r w:rsidR="00FF4B75">
        <w:rPr>
          <w:rFonts w:ascii="Arial" w:eastAsia="Calibri" w:hAnsi="Arial" w:cs="Arial"/>
          <w:bCs/>
          <w:sz w:val="26"/>
          <w:szCs w:val="26"/>
          <w:lang w:eastAsia="es-ES"/>
        </w:rPr>
        <w:t xml:space="preserve">artículos </w:t>
      </w:r>
      <w:r w:rsidR="00172100">
        <w:rPr>
          <w:rFonts w:ascii="Arial" w:eastAsia="Calibri" w:hAnsi="Arial" w:cs="Arial"/>
          <w:bCs/>
          <w:sz w:val="26"/>
          <w:szCs w:val="26"/>
          <w:lang w:eastAsia="es-ES"/>
        </w:rPr>
        <w:t>130 fracción V</w:t>
      </w:r>
      <w:r w:rsidR="00281756">
        <w:rPr>
          <w:rFonts w:ascii="Arial" w:eastAsia="Calibri" w:hAnsi="Arial" w:cs="Arial"/>
          <w:bCs/>
          <w:sz w:val="26"/>
          <w:szCs w:val="26"/>
          <w:lang w:eastAsia="es-ES"/>
        </w:rPr>
        <w:t>I</w:t>
      </w:r>
      <w:r w:rsidR="00281756">
        <w:rPr>
          <w:rStyle w:val="Refdenotaalpie"/>
          <w:rFonts w:ascii="Arial" w:eastAsia="Calibri" w:hAnsi="Arial" w:cs="Arial"/>
          <w:bCs/>
          <w:sz w:val="26"/>
          <w:szCs w:val="26"/>
          <w:lang w:eastAsia="es-ES"/>
        </w:rPr>
        <w:footnoteReference w:id="4"/>
      </w:r>
      <w:r w:rsidR="00172100">
        <w:rPr>
          <w:rFonts w:ascii="Arial" w:eastAsia="Calibri" w:hAnsi="Arial" w:cs="Arial"/>
          <w:bCs/>
          <w:sz w:val="26"/>
          <w:szCs w:val="26"/>
          <w:lang w:eastAsia="es-ES"/>
        </w:rPr>
        <w:t xml:space="preserve"> de la </w:t>
      </w:r>
      <w:r w:rsidR="00281756">
        <w:rPr>
          <w:rFonts w:ascii="Arial" w:eastAsia="Calibri" w:hAnsi="Arial" w:cs="Arial"/>
          <w:bCs/>
          <w:sz w:val="26"/>
          <w:szCs w:val="26"/>
          <w:lang w:eastAsia="es-ES"/>
        </w:rPr>
        <w:t xml:space="preserve">Ley de </w:t>
      </w:r>
      <w:r w:rsidR="00281756" w:rsidRPr="00C91F07">
        <w:rPr>
          <w:rFonts w:ascii="Arial" w:eastAsia="Calibri" w:hAnsi="Arial" w:cs="Arial"/>
          <w:bCs/>
          <w:sz w:val="26"/>
          <w:szCs w:val="26"/>
          <w:lang w:eastAsia="es-ES"/>
        </w:rPr>
        <w:t>Procedimiento y Justicia Administrativa para el Estado de Oaxaca</w:t>
      </w:r>
      <w:r w:rsidR="00281756">
        <w:rPr>
          <w:rFonts w:ascii="Arial" w:eastAsia="Calibri" w:hAnsi="Arial" w:cs="Arial"/>
          <w:bCs/>
          <w:sz w:val="26"/>
          <w:szCs w:val="26"/>
          <w:lang w:eastAsia="es-ES"/>
        </w:rPr>
        <w:t xml:space="preserve"> y 24 fracción I</w:t>
      </w:r>
      <w:r w:rsidR="00281756">
        <w:rPr>
          <w:rStyle w:val="Refdenotaalpie"/>
          <w:rFonts w:ascii="Arial" w:eastAsia="Calibri" w:hAnsi="Arial" w:cs="Arial"/>
          <w:bCs/>
          <w:sz w:val="26"/>
          <w:szCs w:val="26"/>
          <w:lang w:eastAsia="es-ES"/>
        </w:rPr>
        <w:footnoteReference w:id="5"/>
      </w:r>
      <w:r w:rsidR="00281756">
        <w:rPr>
          <w:rFonts w:ascii="Arial" w:eastAsia="Calibri" w:hAnsi="Arial" w:cs="Arial"/>
          <w:bCs/>
          <w:sz w:val="26"/>
          <w:szCs w:val="26"/>
          <w:lang w:eastAsia="es-ES"/>
        </w:rPr>
        <w:t xml:space="preserve"> de la Ley Orgánica del Tribunal de Justicia Administrativa del Estado de Oaxaca. </w:t>
      </w:r>
      <w:bookmarkEnd w:id="11"/>
      <w:r w:rsidR="00DF4F71">
        <w:rPr>
          <w:rFonts w:ascii="Arial" w:hAnsi="Arial" w:cs="Arial"/>
          <w:sz w:val="26"/>
          <w:szCs w:val="26"/>
        </w:rPr>
        <w:t xml:space="preserve">- - - - - - - - - - - - - - - - - - - - - - - - - </w:t>
      </w:r>
    </w:p>
    <w:p w14:paraId="04759654" w14:textId="392CF57A" w:rsidR="00C91F07" w:rsidRPr="00C91F07" w:rsidRDefault="00281756" w:rsidP="00C91F07">
      <w:pPr>
        <w:spacing w:after="120" w:line="360" w:lineRule="auto"/>
        <w:ind w:right="49" w:firstLine="567"/>
        <w:jc w:val="both"/>
        <w:rPr>
          <w:rFonts w:ascii="Arial" w:eastAsia="Calibri" w:hAnsi="Arial" w:cs="Arial"/>
          <w:bCs/>
          <w:sz w:val="26"/>
          <w:szCs w:val="26"/>
          <w:lang w:eastAsia="es-ES"/>
        </w:rPr>
      </w:pPr>
      <w:r>
        <w:rPr>
          <w:rFonts w:ascii="Arial" w:eastAsia="Calibri" w:hAnsi="Arial" w:cs="Arial"/>
          <w:bCs/>
          <w:sz w:val="26"/>
          <w:szCs w:val="26"/>
          <w:lang w:eastAsia="es-ES"/>
        </w:rPr>
        <w:t xml:space="preserve">Además, </w:t>
      </w:r>
      <w:r w:rsidR="00C91F07" w:rsidRPr="00C91F07">
        <w:rPr>
          <w:rFonts w:ascii="Arial" w:eastAsia="Calibri" w:hAnsi="Arial" w:cs="Arial"/>
          <w:bCs/>
          <w:sz w:val="26"/>
          <w:szCs w:val="26"/>
          <w:lang w:eastAsia="es-ES"/>
        </w:rPr>
        <w:t xml:space="preserve">se debe tener en cuenta que </w:t>
      </w:r>
      <w:bookmarkStart w:id="12" w:name="_Hlk109391957"/>
      <w:r w:rsidR="00C91F07" w:rsidRPr="00C91F07">
        <w:rPr>
          <w:rFonts w:ascii="Arial" w:eastAsia="Calibri" w:hAnsi="Arial" w:cs="Arial"/>
          <w:bCs/>
          <w:sz w:val="26"/>
          <w:szCs w:val="26"/>
          <w:lang w:eastAsia="es-ES"/>
        </w:rPr>
        <w:t xml:space="preserve">el artículo 1 de la Ley de Justicia de Fiscalización y Rendición de Cuentas para el Estado de Oaxaca establece que a través del juicio de inconformidad debe garantizarse que los actos y resoluciones de la Auditoría Superior del </w:t>
      </w:r>
      <w:r w:rsidR="00C91F07" w:rsidRPr="00C91F07">
        <w:rPr>
          <w:rFonts w:ascii="Arial" w:eastAsia="Calibri" w:hAnsi="Arial" w:cs="Arial"/>
          <w:bCs/>
          <w:sz w:val="26"/>
          <w:szCs w:val="26"/>
          <w:lang w:eastAsia="es-ES"/>
        </w:rPr>
        <w:lastRenderedPageBreak/>
        <w:t>Estado, ahora Órgano Superior de Fiscalización del Estado de Oaxaca, se sujeten a los principios de legalidad, definitividad y demás principios constitucionales</w:t>
      </w:r>
      <w:bookmarkEnd w:id="12"/>
      <w:r w:rsidR="00C91F07" w:rsidRPr="00C91F07">
        <w:rPr>
          <w:rFonts w:ascii="Arial" w:eastAsia="Calibri" w:hAnsi="Arial" w:cs="Arial"/>
          <w:bCs/>
          <w:sz w:val="26"/>
          <w:szCs w:val="26"/>
          <w:lang w:eastAsia="es-ES"/>
        </w:rPr>
        <w:t>.</w:t>
      </w:r>
      <w:r w:rsidR="00DF4F71">
        <w:rPr>
          <w:rFonts w:ascii="Arial" w:eastAsia="Calibri" w:hAnsi="Arial" w:cs="Arial"/>
          <w:bCs/>
          <w:sz w:val="26"/>
          <w:szCs w:val="26"/>
          <w:lang w:eastAsia="es-ES"/>
        </w:rPr>
        <w:t xml:space="preserve"> </w:t>
      </w:r>
      <w:r w:rsidR="00DF4F71">
        <w:rPr>
          <w:rFonts w:ascii="Arial" w:hAnsi="Arial" w:cs="Arial"/>
          <w:sz w:val="26"/>
          <w:szCs w:val="26"/>
        </w:rPr>
        <w:t xml:space="preserve">- - - - - - - - - - - - - - - - - - - - - - - - - - - - - - - - - - - - - - - - </w:t>
      </w:r>
    </w:p>
    <w:p w14:paraId="089058C2" w14:textId="798A1FD9" w:rsidR="00BF7071" w:rsidRDefault="00C91F07" w:rsidP="00C91F07">
      <w:pPr>
        <w:spacing w:after="120" w:line="360" w:lineRule="auto"/>
        <w:ind w:right="49" w:firstLine="567"/>
        <w:jc w:val="both"/>
        <w:rPr>
          <w:rFonts w:ascii="Arial" w:eastAsia="Calibri" w:hAnsi="Arial" w:cs="Arial"/>
          <w:bCs/>
          <w:sz w:val="26"/>
          <w:szCs w:val="26"/>
          <w:lang w:eastAsia="es-ES"/>
        </w:rPr>
      </w:pPr>
      <w:r w:rsidRPr="00C91F07">
        <w:rPr>
          <w:rFonts w:ascii="Arial" w:eastAsia="Calibri" w:hAnsi="Arial" w:cs="Arial"/>
          <w:bCs/>
          <w:sz w:val="26"/>
          <w:szCs w:val="26"/>
          <w:lang w:eastAsia="es-ES"/>
        </w:rPr>
        <w:t xml:space="preserve">Bajo esa consideración, se tiene que la vía adecuada para impugnar el mandamiento de ejecución </w:t>
      </w:r>
      <w:r w:rsidR="002C4B8A">
        <w:rPr>
          <w:rFonts w:ascii="Arial" w:eastAsia="Calibri" w:hAnsi="Arial" w:cs="Arial"/>
          <w:b/>
          <w:sz w:val="26"/>
          <w:szCs w:val="26"/>
          <w:lang w:eastAsia="es-ES"/>
        </w:rPr>
        <w:t>*******</w:t>
      </w:r>
      <w:r w:rsidR="00281756" w:rsidRPr="00BF7071">
        <w:rPr>
          <w:rFonts w:ascii="Arial" w:eastAsia="Calibri" w:hAnsi="Arial" w:cs="Arial"/>
          <w:b/>
          <w:sz w:val="26"/>
          <w:szCs w:val="26"/>
          <w:lang w:eastAsia="es-ES"/>
        </w:rPr>
        <w:t xml:space="preserve"> </w:t>
      </w:r>
      <w:r w:rsidRPr="00C91F07">
        <w:rPr>
          <w:rFonts w:ascii="Arial" w:eastAsia="Calibri" w:hAnsi="Arial" w:cs="Arial"/>
          <w:bCs/>
          <w:sz w:val="26"/>
          <w:szCs w:val="26"/>
          <w:lang w:eastAsia="es-ES"/>
        </w:rPr>
        <w:t>dirigido</w:t>
      </w:r>
      <w:r w:rsidRPr="00C91F07">
        <w:rPr>
          <w:rFonts w:ascii="Arial" w:eastAsia="Calibri" w:hAnsi="Arial" w:cs="Arial"/>
          <w:b/>
          <w:bCs/>
          <w:sz w:val="26"/>
          <w:szCs w:val="26"/>
          <w:lang w:eastAsia="es-ES"/>
        </w:rPr>
        <w:t xml:space="preserve"> </w:t>
      </w:r>
      <w:r w:rsidRPr="00C91F07">
        <w:rPr>
          <w:rFonts w:ascii="Arial" w:eastAsia="Calibri" w:hAnsi="Arial" w:cs="Arial"/>
          <w:bCs/>
          <w:sz w:val="26"/>
          <w:szCs w:val="26"/>
          <w:lang w:eastAsia="es-ES"/>
        </w:rPr>
        <w:t>a</w:t>
      </w:r>
      <w:r w:rsidR="00281756">
        <w:rPr>
          <w:rFonts w:ascii="Arial" w:eastAsia="Calibri" w:hAnsi="Arial" w:cs="Arial"/>
          <w:bCs/>
          <w:sz w:val="26"/>
          <w:szCs w:val="26"/>
          <w:lang w:eastAsia="es-ES"/>
        </w:rPr>
        <w:t xml:space="preserve"> </w:t>
      </w:r>
      <w:r w:rsidR="002C4B8A">
        <w:rPr>
          <w:rFonts w:ascii="Arial" w:eastAsia="Calibri" w:hAnsi="Arial" w:cs="Arial"/>
          <w:b/>
          <w:sz w:val="26"/>
          <w:szCs w:val="26"/>
          <w:lang w:eastAsia="es-ES"/>
        </w:rPr>
        <w:t>*******</w:t>
      </w:r>
      <w:r w:rsidR="00281756">
        <w:rPr>
          <w:rFonts w:ascii="Arial" w:eastAsia="Calibri" w:hAnsi="Arial" w:cs="Arial"/>
          <w:b/>
          <w:sz w:val="26"/>
          <w:szCs w:val="26"/>
          <w:lang w:eastAsia="es-ES"/>
        </w:rPr>
        <w:t xml:space="preserve">, </w:t>
      </w:r>
      <w:r w:rsidRPr="00C91F07">
        <w:rPr>
          <w:rFonts w:ascii="Arial" w:eastAsia="Calibri" w:hAnsi="Arial" w:cs="Arial"/>
          <w:bCs/>
          <w:sz w:val="26"/>
          <w:szCs w:val="26"/>
          <w:lang w:eastAsia="es-ES"/>
        </w:rPr>
        <w:t xml:space="preserve">es a través del </w:t>
      </w:r>
      <w:r w:rsidRPr="00C91F07">
        <w:rPr>
          <w:rFonts w:ascii="Arial" w:eastAsia="Calibri" w:hAnsi="Arial" w:cs="Arial"/>
          <w:b/>
          <w:bCs/>
          <w:sz w:val="26"/>
          <w:szCs w:val="26"/>
          <w:lang w:eastAsia="es-ES"/>
        </w:rPr>
        <w:t xml:space="preserve">juicio de inconformidad, </w:t>
      </w:r>
      <w:r w:rsidRPr="00C91F07">
        <w:rPr>
          <w:rFonts w:ascii="Arial" w:eastAsia="Calibri" w:hAnsi="Arial" w:cs="Arial"/>
          <w:bCs/>
          <w:sz w:val="26"/>
          <w:szCs w:val="26"/>
          <w:lang w:eastAsia="es-ES"/>
        </w:rPr>
        <w:t xml:space="preserve">porque </w:t>
      </w:r>
      <w:r w:rsidR="00BF7071">
        <w:rPr>
          <w:rFonts w:ascii="Arial" w:eastAsia="Calibri" w:hAnsi="Arial" w:cs="Arial"/>
          <w:bCs/>
          <w:sz w:val="26"/>
          <w:szCs w:val="26"/>
          <w:lang w:eastAsia="es-ES"/>
        </w:rPr>
        <w:t>el requerimiento de pago e</w:t>
      </w:r>
      <w:r w:rsidRPr="00C91F07">
        <w:rPr>
          <w:rFonts w:ascii="Arial" w:eastAsia="Calibri" w:hAnsi="Arial" w:cs="Arial"/>
          <w:bCs/>
          <w:sz w:val="26"/>
          <w:szCs w:val="26"/>
          <w:lang w:eastAsia="es-ES"/>
        </w:rPr>
        <w:t>n cantidad de</w:t>
      </w:r>
      <w:r w:rsidR="00BF7071">
        <w:rPr>
          <w:rFonts w:ascii="Arial" w:eastAsia="Calibri" w:hAnsi="Arial" w:cs="Arial"/>
          <w:bCs/>
          <w:sz w:val="26"/>
          <w:szCs w:val="26"/>
          <w:lang w:eastAsia="es-ES"/>
        </w:rPr>
        <w:t xml:space="preserve"> </w:t>
      </w:r>
      <w:r w:rsidR="00BF7071" w:rsidRPr="00BF7071">
        <w:rPr>
          <w:rFonts w:ascii="Arial" w:eastAsia="Calibri" w:hAnsi="Arial" w:cs="Arial"/>
          <w:b/>
          <w:sz w:val="26"/>
          <w:szCs w:val="26"/>
          <w:lang w:eastAsia="es-ES"/>
        </w:rPr>
        <w:t>$</w:t>
      </w:r>
      <w:r w:rsidR="008B4BFA">
        <w:rPr>
          <w:rFonts w:ascii="Arial" w:eastAsia="Calibri" w:hAnsi="Arial" w:cs="Arial"/>
          <w:bCs/>
          <w:i/>
          <w:lang w:eastAsia="es-ES"/>
        </w:rPr>
        <w:t>*******</w:t>
      </w:r>
      <w:r w:rsidR="00BF7071">
        <w:rPr>
          <w:rFonts w:ascii="Arial" w:eastAsia="Calibri" w:hAnsi="Arial" w:cs="Arial"/>
          <w:b/>
          <w:sz w:val="26"/>
          <w:szCs w:val="26"/>
          <w:lang w:eastAsia="es-ES"/>
        </w:rPr>
        <w:t xml:space="preserve">, </w:t>
      </w:r>
      <w:r w:rsidRPr="00C91F07">
        <w:rPr>
          <w:rFonts w:ascii="Arial" w:eastAsia="Calibri" w:hAnsi="Arial" w:cs="Arial"/>
          <w:bCs/>
          <w:sz w:val="26"/>
          <w:szCs w:val="26"/>
          <w:lang w:eastAsia="es-ES"/>
        </w:rPr>
        <w:t xml:space="preserve">tiene su origen en una determinación </w:t>
      </w:r>
      <w:r w:rsidRPr="00C91F07">
        <w:rPr>
          <w:rFonts w:ascii="Arial" w:eastAsia="Calibri" w:hAnsi="Arial" w:cs="Arial"/>
          <w:b/>
          <w:bCs/>
          <w:sz w:val="26"/>
          <w:szCs w:val="26"/>
          <w:lang w:eastAsia="es-ES"/>
        </w:rPr>
        <w:t>no fiscal</w:t>
      </w:r>
      <w:r w:rsidRPr="00C91F07">
        <w:rPr>
          <w:rFonts w:ascii="Arial" w:eastAsia="Calibri" w:hAnsi="Arial" w:cs="Arial"/>
          <w:bCs/>
          <w:sz w:val="26"/>
          <w:szCs w:val="26"/>
          <w:lang w:eastAsia="es-ES"/>
        </w:rPr>
        <w:t>, que es la resolución número</w:t>
      </w:r>
      <w:r w:rsidR="00BF7071">
        <w:rPr>
          <w:rFonts w:ascii="Arial" w:eastAsia="Calibri" w:hAnsi="Arial" w:cs="Arial"/>
          <w:bCs/>
          <w:sz w:val="26"/>
          <w:szCs w:val="26"/>
          <w:lang w:eastAsia="es-ES"/>
        </w:rPr>
        <w:t xml:space="preserve"> </w:t>
      </w:r>
      <w:proofErr w:type="spellStart"/>
      <w:r w:rsidR="00BF7071" w:rsidRPr="00BF7071">
        <w:rPr>
          <w:rFonts w:ascii="Arial" w:eastAsia="Calibri" w:hAnsi="Arial" w:cs="Arial"/>
          <w:bCs/>
          <w:sz w:val="26"/>
          <w:szCs w:val="26"/>
          <w:lang w:eastAsia="es-ES"/>
        </w:rPr>
        <w:t>número</w:t>
      </w:r>
      <w:proofErr w:type="spellEnd"/>
      <w:r w:rsidR="00BF7071" w:rsidRPr="00BF7071">
        <w:rPr>
          <w:rFonts w:ascii="Arial" w:eastAsia="Calibri" w:hAnsi="Arial" w:cs="Arial"/>
          <w:bCs/>
          <w:sz w:val="26"/>
          <w:szCs w:val="26"/>
          <w:lang w:eastAsia="es-ES"/>
        </w:rPr>
        <w:t xml:space="preserve"> </w:t>
      </w:r>
      <w:r w:rsidR="002C4B8A">
        <w:rPr>
          <w:rFonts w:ascii="Arial" w:eastAsia="Calibri" w:hAnsi="Arial" w:cs="Arial"/>
          <w:b/>
          <w:sz w:val="26"/>
          <w:szCs w:val="26"/>
          <w:lang w:eastAsia="es-ES"/>
        </w:rPr>
        <w:t>*******</w:t>
      </w:r>
      <w:r w:rsidR="00BF7071" w:rsidRPr="00BF7071">
        <w:rPr>
          <w:rFonts w:ascii="Arial" w:eastAsia="Calibri" w:hAnsi="Arial" w:cs="Arial"/>
          <w:b/>
          <w:sz w:val="26"/>
          <w:szCs w:val="26"/>
          <w:lang w:eastAsia="es-ES"/>
        </w:rPr>
        <w:t>,</w:t>
      </w:r>
      <w:r w:rsidR="00BF7071" w:rsidRPr="00BF7071">
        <w:rPr>
          <w:rFonts w:ascii="Arial" w:eastAsia="Calibri" w:hAnsi="Arial" w:cs="Arial"/>
          <w:bCs/>
          <w:sz w:val="26"/>
          <w:szCs w:val="26"/>
          <w:lang w:eastAsia="es-ES"/>
        </w:rPr>
        <w:t xml:space="preserve"> dictada por el Órgano Superior de Fiscalización de Estado de Oaxaca el </w:t>
      </w:r>
      <w:bookmarkStart w:id="13" w:name="_Hlk109391422"/>
      <w:r w:rsidR="00BF7071" w:rsidRPr="00BF7071">
        <w:rPr>
          <w:rFonts w:ascii="Arial" w:eastAsia="Calibri" w:hAnsi="Arial" w:cs="Arial"/>
          <w:bCs/>
          <w:sz w:val="26"/>
          <w:szCs w:val="26"/>
          <w:lang w:eastAsia="es-ES"/>
        </w:rPr>
        <w:t>veintisiete de febrero de dos mil diecinueve.</w:t>
      </w:r>
      <w:r w:rsidR="00DF4F71">
        <w:rPr>
          <w:rFonts w:ascii="Arial" w:eastAsia="Calibri" w:hAnsi="Arial" w:cs="Arial"/>
          <w:bCs/>
          <w:sz w:val="26"/>
          <w:szCs w:val="26"/>
          <w:lang w:eastAsia="es-ES"/>
        </w:rPr>
        <w:t xml:space="preserve"> </w:t>
      </w:r>
      <w:r w:rsidR="00DF4F71">
        <w:rPr>
          <w:rFonts w:ascii="Arial" w:hAnsi="Arial" w:cs="Arial"/>
          <w:sz w:val="26"/>
          <w:szCs w:val="26"/>
        </w:rPr>
        <w:t xml:space="preserve">- - - - - - - - - - - - - - - - - - - - - - - - - - - - - - - - - - - </w:t>
      </w:r>
    </w:p>
    <w:bookmarkEnd w:id="13"/>
    <w:p w14:paraId="6DD07260" w14:textId="42F4B7ED" w:rsidR="00C91F07" w:rsidRPr="00C91F07" w:rsidRDefault="00C91F07" w:rsidP="00C91F07">
      <w:pPr>
        <w:spacing w:after="120" w:line="360" w:lineRule="auto"/>
        <w:ind w:right="49" w:firstLine="567"/>
        <w:jc w:val="both"/>
        <w:rPr>
          <w:rFonts w:ascii="Arial" w:eastAsia="Calibri" w:hAnsi="Arial" w:cs="Arial"/>
          <w:bCs/>
          <w:sz w:val="26"/>
          <w:szCs w:val="26"/>
          <w:lang w:eastAsia="es-ES"/>
        </w:rPr>
      </w:pPr>
      <w:r w:rsidRPr="00C91F07">
        <w:rPr>
          <w:rFonts w:ascii="Arial" w:eastAsia="Calibri" w:hAnsi="Arial" w:cs="Arial"/>
          <w:bCs/>
          <w:sz w:val="26"/>
          <w:szCs w:val="26"/>
          <w:lang w:eastAsia="es-ES"/>
        </w:rPr>
        <w:t>Es importante señalar, que el recurrente manifestó que una de las principales razones que lo llevaron a interponer el juicio de nulidad es que no fue emplazado en el procedimiento administrativo número</w:t>
      </w:r>
      <w:r w:rsidR="00BF7071">
        <w:rPr>
          <w:rFonts w:ascii="Arial" w:eastAsia="Calibri" w:hAnsi="Arial" w:cs="Arial"/>
          <w:b/>
          <w:bCs/>
          <w:sz w:val="26"/>
          <w:szCs w:val="26"/>
          <w:lang w:eastAsia="es-ES"/>
        </w:rPr>
        <w:t xml:space="preserve"> </w:t>
      </w:r>
      <w:r w:rsidR="002C4B8A">
        <w:rPr>
          <w:rFonts w:ascii="Arial" w:eastAsia="Calibri" w:hAnsi="Arial" w:cs="Arial"/>
          <w:b/>
          <w:sz w:val="26"/>
          <w:szCs w:val="26"/>
          <w:lang w:eastAsia="es-ES"/>
        </w:rPr>
        <w:t>*******</w:t>
      </w:r>
      <w:r w:rsidRPr="00C91F07">
        <w:rPr>
          <w:rFonts w:ascii="Arial" w:eastAsia="Calibri" w:hAnsi="Arial" w:cs="Arial"/>
          <w:bCs/>
          <w:sz w:val="26"/>
          <w:szCs w:val="26"/>
          <w:lang w:eastAsia="es-ES"/>
        </w:rPr>
        <w:t xml:space="preserve"> y que</w:t>
      </w:r>
      <w:r w:rsidR="00BF7071">
        <w:rPr>
          <w:rFonts w:ascii="Arial" w:eastAsia="Calibri" w:hAnsi="Arial" w:cs="Arial"/>
          <w:bCs/>
          <w:sz w:val="26"/>
          <w:szCs w:val="26"/>
          <w:lang w:eastAsia="es-ES"/>
        </w:rPr>
        <w:t>,</w:t>
      </w:r>
      <w:r w:rsidRPr="00C91F07">
        <w:rPr>
          <w:rFonts w:ascii="Arial" w:eastAsia="Calibri" w:hAnsi="Arial" w:cs="Arial"/>
          <w:bCs/>
          <w:sz w:val="26"/>
          <w:szCs w:val="26"/>
          <w:lang w:eastAsia="es-ES"/>
        </w:rPr>
        <w:t xml:space="preserve"> por ello desconoce el crédito fiscal que se le pretende cobrar a través del procedimiento administrativo de ejecución.</w:t>
      </w:r>
      <w:r w:rsidR="00DF4F71">
        <w:rPr>
          <w:rFonts w:ascii="Arial" w:eastAsia="Calibri" w:hAnsi="Arial" w:cs="Arial"/>
          <w:bCs/>
          <w:sz w:val="26"/>
          <w:szCs w:val="26"/>
          <w:lang w:eastAsia="es-ES"/>
        </w:rPr>
        <w:t xml:space="preserve"> </w:t>
      </w:r>
      <w:r w:rsidR="00DF4F71">
        <w:rPr>
          <w:rFonts w:ascii="Arial" w:hAnsi="Arial" w:cs="Arial"/>
          <w:sz w:val="26"/>
          <w:szCs w:val="26"/>
        </w:rPr>
        <w:t xml:space="preserve">- - - - - - - - - - - - - </w:t>
      </w:r>
    </w:p>
    <w:p w14:paraId="70C0B9E5" w14:textId="4140CEBF" w:rsidR="00C91F07" w:rsidRPr="00C91F07" w:rsidRDefault="00C91F07" w:rsidP="00BF7071">
      <w:pPr>
        <w:spacing w:after="120" w:line="360" w:lineRule="auto"/>
        <w:ind w:right="49" w:firstLine="567"/>
        <w:jc w:val="both"/>
        <w:rPr>
          <w:rFonts w:ascii="Arial" w:eastAsia="Calibri" w:hAnsi="Arial" w:cs="Arial"/>
          <w:bCs/>
          <w:sz w:val="26"/>
          <w:szCs w:val="26"/>
          <w:lang w:eastAsia="es-ES"/>
        </w:rPr>
      </w:pPr>
      <w:r w:rsidRPr="00C91F07">
        <w:rPr>
          <w:rFonts w:ascii="Arial" w:eastAsia="Calibri" w:hAnsi="Arial" w:cs="Arial"/>
          <w:bCs/>
          <w:sz w:val="26"/>
          <w:szCs w:val="26"/>
          <w:lang w:eastAsia="es-ES"/>
        </w:rPr>
        <w:t xml:space="preserve">Por lo tanto, no es dable permitir que por un lado se instaure el juicio contencioso administrativo </w:t>
      </w:r>
      <w:bookmarkStart w:id="14" w:name="_Hlk109392182"/>
      <w:r w:rsidRPr="00C91F07">
        <w:rPr>
          <w:rFonts w:ascii="Arial" w:eastAsia="Calibri" w:hAnsi="Arial" w:cs="Arial"/>
          <w:bCs/>
          <w:sz w:val="26"/>
          <w:szCs w:val="26"/>
          <w:lang w:eastAsia="es-ES"/>
        </w:rPr>
        <w:t xml:space="preserve">para pretender la anulación del mandamiento de ejecución </w:t>
      </w:r>
      <w:r w:rsidR="002C4B8A">
        <w:rPr>
          <w:rFonts w:ascii="Arial" w:eastAsia="Calibri" w:hAnsi="Arial" w:cs="Arial"/>
          <w:b/>
          <w:sz w:val="26"/>
          <w:szCs w:val="26"/>
          <w:lang w:eastAsia="es-ES"/>
        </w:rPr>
        <w:t>*******</w:t>
      </w:r>
      <w:r w:rsidRPr="00C91F07">
        <w:rPr>
          <w:rFonts w:ascii="Arial" w:eastAsia="Calibri" w:hAnsi="Arial" w:cs="Arial"/>
          <w:b/>
          <w:bCs/>
          <w:sz w:val="26"/>
          <w:szCs w:val="26"/>
          <w:lang w:eastAsia="es-ES"/>
        </w:rPr>
        <w:t xml:space="preserve"> </w:t>
      </w:r>
      <w:bookmarkEnd w:id="14"/>
      <w:r w:rsidRPr="00C91F07">
        <w:rPr>
          <w:rFonts w:ascii="Arial" w:eastAsia="Calibri" w:hAnsi="Arial" w:cs="Arial"/>
          <w:b/>
          <w:bCs/>
          <w:sz w:val="26"/>
          <w:szCs w:val="26"/>
          <w:lang w:eastAsia="es-ES"/>
        </w:rPr>
        <w:t>y que</w:t>
      </w:r>
      <w:r w:rsidR="00BF7071">
        <w:rPr>
          <w:rFonts w:ascii="Arial" w:eastAsia="Calibri" w:hAnsi="Arial" w:cs="Arial"/>
          <w:b/>
          <w:bCs/>
          <w:sz w:val="26"/>
          <w:szCs w:val="26"/>
          <w:lang w:eastAsia="es-ES"/>
        </w:rPr>
        <w:t>,</w:t>
      </w:r>
      <w:r w:rsidRPr="00C91F07">
        <w:rPr>
          <w:rFonts w:ascii="Arial" w:eastAsia="Calibri" w:hAnsi="Arial" w:cs="Arial"/>
          <w:b/>
          <w:bCs/>
          <w:sz w:val="26"/>
          <w:szCs w:val="26"/>
          <w:lang w:eastAsia="es-ES"/>
        </w:rPr>
        <w:t xml:space="preserve"> por otra parte, a través del juicio de inconformidad, </w:t>
      </w:r>
      <w:r w:rsidRPr="00C91F07">
        <w:rPr>
          <w:rFonts w:ascii="Arial" w:eastAsia="Calibri" w:hAnsi="Arial" w:cs="Arial"/>
          <w:sz w:val="26"/>
          <w:szCs w:val="26"/>
          <w:lang w:eastAsia="es-ES"/>
        </w:rPr>
        <w:t>se combata la resolución</w:t>
      </w:r>
      <w:r w:rsidRPr="00C91F07">
        <w:rPr>
          <w:rFonts w:ascii="Arial" w:eastAsia="Calibri" w:hAnsi="Arial" w:cs="Arial"/>
          <w:b/>
          <w:bCs/>
          <w:sz w:val="26"/>
          <w:szCs w:val="26"/>
          <w:lang w:eastAsia="es-ES"/>
        </w:rPr>
        <w:t xml:space="preserve"> </w:t>
      </w:r>
      <w:r w:rsidRPr="00C91F07">
        <w:rPr>
          <w:rFonts w:ascii="Arial" w:eastAsia="Calibri" w:hAnsi="Arial" w:cs="Arial"/>
          <w:bCs/>
          <w:sz w:val="26"/>
          <w:szCs w:val="26"/>
          <w:lang w:eastAsia="es-ES"/>
        </w:rPr>
        <w:t xml:space="preserve">número </w:t>
      </w:r>
      <w:r w:rsidR="002C4B8A">
        <w:rPr>
          <w:rFonts w:ascii="Arial" w:eastAsia="Calibri" w:hAnsi="Arial" w:cs="Arial"/>
          <w:b/>
          <w:sz w:val="26"/>
          <w:szCs w:val="26"/>
          <w:lang w:eastAsia="es-ES"/>
        </w:rPr>
        <w:t>*******</w:t>
      </w:r>
      <w:r w:rsidR="00BF7071">
        <w:rPr>
          <w:rFonts w:ascii="Arial" w:eastAsia="Calibri" w:hAnsi="Arial" w:cs="Arial"/>
          <w:b/>
          <w:sz w:val="26"/>
          <w:szCs w:val="26"/>
          <w:lang w:eastAsia="es-ES"/>
        </w:rPr>
        <w:t xml:space="preserve"> </w:t>
      </w:r>
      <w:r w:rsidR="00BF7071" w:rsidRPr="00BF7071">
        <w:rPr>
          <w:rFonts w:ascii="Arial" w:eastAsia="Calibri" w:hAnsi="Arial" w:cs="Arial"/>
          <w:bCs/>
          <w:sz w:val="26"/>
          <w:szCs w:val="26"/>
          <w:lang w:eastAsia="es-ES"/>
        </w:rPr>
        <w:t>de veintisiete de febrero de dos mil diecinueve</w:t>
      </w:r>
      <w:r w:rsidR="00BF7071">
        <w:rPr>
          <w:rFonts w:ascii="Arial" w:eastAsia="Calibri" w:hAnsi="Arial" w:cs="Arial"/>
          <w:bCs/>
          <w:sz w:val="26"/>
          <w:szCs w:val="26"/>
          <w:lang w:eastAsia="es-ES"/>
        </w:rPr>
        <w:t xml:space="preserve">, </w:t>
      </w:r>
      <w:r w:rsidRPr="00C91F07">
        <w:rPr>
          <w:rFonts w:ascii="Arial" w:eastAsia="Calibri" w:hAnsi="Arial" w:cs="Arial"/>
          <w:bCs/>
          <w:sz w:val="26"/>
          <w:szCs w:val="26"/>
          <w:lang w:eastAsia="es-ES"/>
        </w:rPr>
        <w:t xml:space="preserve">porque la pretensión contenida en la demanda es indivisible y tiene que analizarse de manera integral, considerando ambos actos se encuentran firmemente vinculados entre sí, siendo imposible segmentar su análisis a través de diferentes juicios, aunque estos se tramiten ante el mismo órgano jurisdiccional. </w:t>
      </w:r>
      <w:r w:rsidR="00DF4F71">
        <w:rPr>
          <w:rFonts w:ascii="Arial" w:hAnsi="Arial" w:cs="Arial"/>
          <w:sz w:val="26"/>
          <w:szCs w:val="26"/>
        </w:rPr>
        <w:t xml:space="preserve">- - - - - - - - - - - - - - - - - - - - - - - - - - - - - </w:t>
      </w:r>
      <w:r w:rsidR="008B4BFA">
        <w:rPr>
          <w:rFonts w:ascii="Arial" w:hAnsi="Arial" w:cs="Arial"/>
          <w:sz w:val="26"/>
          <w:szCs w:val="26"/>
        </w:rPr>
        <w:t>- - - - - - - - - - - -</w:t>
      </w:r>
    </w:p>
    <w:p w14:paraId="2CA86B1F" w14:textId="77777777" w:rsidR="00C91F07" w:rsidRPr="00C91F07" w:rsidRDefault="00C91F07" w:rsidP="00C91F07">
      <w:pPr>
        <w:spacing w:after="120" w:line="360" w:lineRule="auto"/>
        <w:ind w:right="49" w:firstLine="567"/>
        <w:jc w:val="both"/>
        <w:rPr>
          <w:rFonts w:ascii="Arial" w:eastAsia="Calibri" w:hAnsi="Arial" w:cs="Arial"/>
          <w:bCs/>
          <w:sz w:val="26"/>
          <w:szCs w:val="26"/>
          <w:lang w:eastAsia="es-ES"/>
        </w:rPr>
      </w:pPr>
      <w:r w:rsidRPr="00C91F07">
        <w:rPr>
          <w:rFonts w:ascii="Arial" w:eastAsia="Calibri" w:hAnsi="Arial" w:cs="Arial"/>
          <w:bCs/>
          <w:sz w:val="26"/>
          <w:szCs w:val="26"/>
          <w:lang w:eastAsia="es-ES"/>
        </w:rPr>
        <w:t>En apoyo a lo anterior se invoca la tesis I.8o.C.4 K con número de registro digital 213106, emitida por los Tribunales Colegiados de Circuito, visible en el Semanario Judicial de la Federación, Tomo XIII, Marzo de 1994, página 353, de rubro y texto siguientes:</w:t>
      </w:r>
    </w:p>
    <w:p w14:paraId="54225183" w14:textId="77777777" w:rsidR="00C91F07" w:rsidRPr="00C91F07" w:rsidRDefault="00C91F07" w:rsidP="00DF4F71">
      <w:pPr>
        <w:spacing w:after="120"/>
        <w:ind w:left="567" w:right="616"/>
        <w:jc w:val="both"/>
        <w:rPr>
          <w:rFonts w:ascii="Arial" w:eastAsia="Calibri" w:hAnsi="Arial" w:cs="Arial"/>
          <w:b/>
          <w:bCs/>
          <w:i/>
          <w:lang w:eastAsia="es-ES"/>
        </w:rPr>
      </w:pPr>
      <w:r w:rsidRPr="00C91F07">
        <w:rPr>
          <w:rFonts w:ascii="Arial" w:eastAsia="Calibri" w:hAnsi="Arial" w:cs="Arial"/>
          <w:b/>
          <w:bCs/>
          <w:i/>
          <w:lang w:eastAsia="es-ES"/>
        </w:rPr>
        <w:t>“INTERPRETACION RIGIDA QUE PUEDA TOMARSE COMO REGLA GENERAL.</w:t>
      </w:r>
    </w:p>
    <w:p w14:paraId="439DF2D8" w14:textId="77777777" w:rsidR="00C91F07" w:rsidRPr="00C91F07" w:rsidRDefault="00C91F07" w:rsidP="00DF4F71">
      <w:pPr>
        <w:spacing w:after="120"/>
        <w:ind w:left="567" w:right="616"/>
        <w:jc w:val="both"/>
        <w:rPr>
          <w:rFonts w:ascii="Arial" w:eastAsia="Calibri" w:hAnsi="Arial" w:cs="Arial"/>
          <w:bCs/>
          <w:i/>
          <w:lang w:eastAsia="es-ES"/>
        </w:rPr>
      </w:pPr>
      <w:r w:rsidRPr="00C91F07">
        <w:rPr>
          <w:rFonts w:ascii="Arial" w:eastAsia="Calibri" w:hAnsi="Arial" w:cs="Arial"/>
          <w:bCs/>
          <w:i/>
          <w:lang w:eastAsia="es-ES"/>
        </w:rPr>
        <w:t xml:space="preserve">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w:t>
      </w:r>
      <w:r w:rsidRPr="00C91F07">
        <w:rPr>
          <w:rFonts w:ascii="Arial" w:eastAsia="Calibri" w:hAnsi="Arial" w:cs="Arial"/>
          <w:bCs/>
          <w:i/>
          <w:lang w:eastAsia="es-ES"/>
        </w:rPr>
        <w:lastRenderedPageBreak/>
        <w:t>estudiar si procede aplicar las reglas anteriores, tomando en cuenta el caso concreto.</w:t>
      </w:r>
    </w:p>
    <w:p w14:paraId="1D7A23A9" w14:textId="77777777" w:rsidR="00C91F07" w:rsidRPr="00C91F07" w:rsidRDefault="00C91F07" w:rsidP="00DF4F71">
      <w:pPr>
        <w:spacing w:after="120"/>
        <w:ind w:left="567" w:right="616"/>
        <w:jc w:val="both"/>
        <w:rPr>
          <w:rFonts w:ascii="Arial" w:eastAsia="Calibri" w:hAnsi="Arial" w:cs="Arial"/>
          <w:bCs/>
          <w:i/>
          <w:lang w:eastAsia="es-ES"/>
        </w:rPr>
      </w:pPr>
      <w:r w:rsidRPr="00C91F07">
        <w:rPr>
          <w:rFonts w:ascii="Arial" w:eastAsia="Calibri" w:hAnsi="Arial" w:cs="Arial"/>
          <w:bCs/>
          <w:i/>
          <w:lang w:eastAsia="es-ES"/>
        </w:rPr>
        <w:t>OCTAVO TRIBUNAL COLEGIADO EN MATERIA CIVIL DEL PRIMER CIRCUITO.”</w:t>
      </w:r>
    </w:p>
    <w:p w14:paraId="646CA2B0" w14:textId="77777777" w:rsidR="007C5368" w:rsidRDefault="007C5368" w:rsidP="00DF4F71">
      <w:pPr>
        <w:spacing w:after="0" w:line="360" w:lineRule="auto"/>
        <w:ind w:right="49" w:firstLine="567"/>
        <w:jc w:val="both"/>
        <w:rPr>
          <w:rFonts w:ascii="Arial" w:eastAsia="Calibri" w:hAnsi="Arial" w:cs="Arial"/>
          <w:bCs/>
          <w:sz w:val="26"/>
          <w:szCs w:val="26"/>
          <w:lang w:eastAsia="es-ES"/>
        </w:rPr>
      </w:pPr>
    </w:p>
    <w:p w14:paraId="71B6C00A" w14:textId="787C05AC" w:rsidR="00C91F07" w:rsidRPr="00C91F07" w:rsidRDefault="00C91F07" w:rsidP="002A0AE0">
      <w:pPr>
        <w:spacing w:after="120" w:line="360" w:lineRule="auto"/>
        <w:ind w:right="49" w:firstLine="567"/>
        <w:jc w:val="both"/>
        <w:rPr>
          <w:rFonts w:ascii="Arial" w:eastAsia="Calibri" w:hAnsi="Arial" w:cs="Arial"/>
          <w:bCs/>
          <w:sz w:val="26"/>
          <w:szCs w:val="26"/>
          <w:lang w:eastAsia="es-ES"/>
        </w:rPr>
      </w:pPr>
      <w:r w:rsidRPr="00C91F07">
        <w:rPr>
          <w:rFonts w:ascii="Arial" w:eastAsia="Calibri" w:hAnsi="Arial" w:cs="Arial"/>
          <w:bCs/>
          <w:sz w:val="26"/>
          <w:szCs w:val="26"/>
          <w:lang w:eastAsia="es-ES"/>
        </w:rPr>
        <w:t>Por ello, se colige que es el juicio de inconformidad, el medio para garantizar al recurrente el derecho al debido proceso y el acceso a la tutela judicial efectiva previstos respectivamente, en los artículos 14 y 17 de la Constitución Política de los Estados Unidos Mexicanos, por lo tanto, la Quinta Sala Unitaria, en vez de desechar por improcedente la demanda en el acuerdo recurrido</w:t>
      </w:r>
      <w:r w:rsidR="00652472">
        <w:rPr>
          <w:rFonts w:ascii="Arial" w:eastAsia="Calibri" w:hAnsi="Arial" w:cs="Arial"/>
          <w:bCs/>
          <w:sz w:val="26"/>
          <w:szCs w:val="26"/>
          <w:lang w:eastAsia="es-ES"/>
        </w:rPr>
        <w:t xml:space="preserve"> al haberse declarado incompetente</w:t>
      </w:r>
      <w:r w:rsidRPr="00C91F07">
        <w:rPr>
          <w:rFonts w:ascii="Arial" w:eastAsia="Calibri" w:hAnsi="Arial" w:cs="Arial"/>
          <w:bCs/>
          <w:sz w:val="26"/>
          <w:szCs w:val="26"/>
          <w:lang w:eastAsia="es-ES"/>
        </w:rPr>
        <w:t>, debió analizar de manera integral su contenido y</w:t>
      </w:r>
      <w:r w:rsidR="00652472">
        <w:rPr>
          <w:rFonts w:ascii="Arial" w:eastAsia="Calibri" w:hAnsi="Arial" w:cs="Arial"/>
          <w:bCs/>
          <w:sz w:val="26"/>
          <w:szCs w:val="26"/>
          <w:lang w:eastAsia="es-ES"/>
        </w:rPr>
        <w:t xml:space="preserve"> </w:t>
      </w:r>
      <w:r w:rsidRPr="00C91F07">
        <w:rPr>
          <w:rFonts w:ascii="Arial" w:eastAsia="Calibri" w:hAnsi="Arial" w:cs="Arial"/>
          <w:bCs/>
          <w:sz w:val="26"/>
          <w:szCs w:val="26"/>
          <w:lang w:eastAsia="es-ES"/>
        </w:rPr>
        <w:t>declinar su competencia a favor de la Sala Superior de este Tribunal, que es la instancia competente para resolver el juicio de inconformidad, en términos de</w:t>
      </w:r>
      <w:r w:rsidR="002A0AE0">
        <w:rPr>
          <w:rFonts w:ascii="Arial" w:eastAsia="Calibri" w:hAnsi="Arial" w:cs="Arial"/>
          <w:bCs/>
          <w:sz w:val="26"/>
          <w:szCs w:val="26"/>
          <w:lang w:eastAsia="es-ES"/>
        </w:rPr>
        <w:t xml:space="preserve"> los numerales 130 fracción VI de la Ley de </w:t>
      </w:r>
      <w:r w:rsidR="002A0AE0" w:rsidRPr="00C91F07">
        <w:rPr>
          <w:rFonts w:ascii="Arial" w:eastAsia="Calibri" w:hAnsi="Arial" w:cs="Arial"/>
          <w:bCs/>
          <w:sz w:val="26"/>
          <w:szCs w:val="26"/>
          <w:lang w:eastAsia="es-ES"/>
        </w:rPr>
        <w:t>Procedimiento y Justicia Administrativa para el Estado de Oaxaca</w:t>
      </w:r>
      <w:r w:rsidR="002A0AE0">
        <w:rPr>
          <w:rFonts w:ascii="Arial" w:eastAsia="Calibri" w:hAnsi="Arial" w:cs="Arial"/>
          <w:bCs/>
          <w:sz w:val="26"/>
          <w:szCs w:val="26"/>
          <w:lang w:eastAsia="es-ES"/>
        </w:rPr>
        <w:t xml:space="preserve"> y 24 fracción I de la Ley Orgánica del Tribunal de Justicia Administrativa del Estado de Oaxaca, previamente señalados, </w:t>
      </w:r>
      <w:r w:rsidRPr="00C91F07">
        <w:rPr>
          <w:rFonts w:ascii="Arial" w:eastAsia="Calibri" w:hAnsi="Arial" w:cs="Arial"/>
          <w:bCs/>
          <w:sz w:val="26"/>
          <w:szCs w:val="26"/>
          <w:lang w:eastAsia="es-ES"/>
        </w:rPr>
        <w:t>para salvaguardar el derecho de acceso a la justicia del demandante. De ahí lo</w:t>
      </w:r>
      <w:r w:rsidRPr="00C91F07">
        <w:rPr>
          <w:rFonts w:ascii="Arial" w:eastAsia="Calibri" w:hAnsi="Arial" w:cs="Arial"/>
          <w:b/>
          <w:bCs/>
          <w:sz w:val="26"/>
          <w:szCs w:val="26"/>
          <w:lang w:eastAsia="es-ES"/>
        </w:rPr>
        <w:t xml:space="preserve"> fundado</w:t>
      </w:r>
      <w:r w:rsidRPr="00C91F07">
        <w:rPr>
          <w:rFonts w:ascii="Arial" w:eastAsia="Calibri" w:hAnsi="Arial" w:cs="Arial"/>
          <w:bCs/>
          <w:sz w:val="26"/>
          <w:szCs w:val="26"/>
          <w:lang w:eastAsia="es-ES"/>
        </w:rPr>
        <w:t xml:space="preserve"> del agravio. </w:t>
      </w:r>
      <w:r w:rsidR="00DF4F71">
        <w:rPr>
          <w:rFonts w:ascii="Arial" w:eastAsia="Calibri" w:hAnsi="Arial" w:cs="Arial"/>
          <w:bCs/>
          <w:sz w:val="26"/>
          <w:szCs w:val="26"/>
          <w:lang w:eastAsia="es-ES"/>
        </w:rPr>
        <w:t xml:space="preserve">- - </w:t>
      </w:r>
    </w:p>
    <w:p w14:paraId="0AF241F0" w14:textId="744AB0AD" w:rsidR="00C91F07" w:rsidRPr="00C91F07" w:rsidRDefault="00C91F07" w:rsidP="00C91F07">
      <w:pPr>
        <w:widowControl w:val="0"/>
        <w:tabs>
          <w:tab w:val="left" w:pos="0"/>
        </w:tabs>
        <w:spacing w:before="240" w:after="0" w:line="360" w:lineRule="auto"/>
        <w:ind w:right="18"/>
        <w:jc w:val="both"/>
        <w:rPr>
          <w:rFonts w:ascii="Calibri" w:hAnsi="Calibri" w:cs="Calibri"/>
          <w:color w:val="212529"/>
          <w:sz w:val="26"/>
          <w:szCs w:val="26"/>
        </w:rPr>
      </w:pPr>
      <w:r w:rsidRPr="00C91F07">
        <w:rPr>
          <w:rFonts w:ascii="Arial" w:hAnsi="Arial" w:cs="Arial"/>
          <w:sz w:val="26"/>
          <w:szCs w:val="26"/>
        </w:rPr>
        <w:tab/>
        <w:t xml:space="preserve">Es aplicable al caso la jurisprudencia de la Décima Época, número I. 14o.T.J./3 (10a.), con número de registro digital 2019394, emitida por los Tribunales Colegiados de Circuito, publicado en la Gaceta del Semanario Judicial de la Federación, Libro 63, </w:t>
      </w:r>
      <w:r w:rsidR="002A0AE0" w:rsidRPr="00C91F07">
        <w:rPr>
          <w:rFonts w:ascii="Arial" w:hAnsi="Arial" w:cs="Arial"/>
          <w:sz w:val="26"/>
          <w:szCs w:val="26"/>
        </w:rPr>
        <w:t>febrero</w:t>
      </w:r>
      <w:r w:rsidRPr="00C91F07">
        <w:rPr>
          <w:rFonts w:ascii="Arial" w:hAnsi="Arial" w:cs="Arial"/>
          <w:sz w:val="26"/>
          <w:szCs w:val="26"/>
        </w:rPr>
        <w:t xml:space="preserve"> de 2019, Tomo II, visible a página 2478, cuyo rubro y texto mencionan: </w:t>
      </w:r>
    </w:p>
    <w:p w14:paraId="0AD842DF" w14:textId="77777777" w:rsidR="00C91F07" w:rsidRPr="00C91F07" w:rsidRDefault="00C91F07" w:rsidP="00DF4F71">
      <w:pPr>
        <w:shd w:val="clear" w:color="auto" w:fill="FFFFFF"/>
        <w:spacing w:before="100" w:beforeAutospacing="1" w:after="100" w:afterAutospacing="1"/>
        <w:ind w:left="567" w:right="616"/>
        <w:jc w:val="both"/>
        <w:rPr>
          <w:rFonts w:ascii="Arial" w:eastAsia="Times New Roman" w:hAnsi="Arial" w:cs="Arial"/>
          <w:i/>
        </w:rPr>
      </w:pPr>
      <w:r w:rsidRPr="00C91F07">
        <w:rPr>
          <w:rFonts w:ascii="Arial" w:eastAsia="Times New Roman" w:hAnsi="Arial" w:cs="Arial"/>
          <w:b/>
          <w:bCs/>
          <w:i/>
        </w:rPr>
        <w:t>“TUTELA JUDICIAL EFECTIVA. SU RELACIÓN CON LOS FORMALISMOS PROCESALES</w:t>
      </w:r>
      <w:r w:rsidRPr="00C91F07">
        <w:rPr>
          <w:rFonts w:ascii="Arial" w:eastAsia="Times New Roman" w:hAnsi="Arial" w:cs="Arial"/>
          <w:bCs/>
          <w:i/>
        </w:rPr>
        <w:t xml:space="preserve">. </w:t>
      </w:r>
      <w:r w:rsidRPr="00C91F07">
        <w:rPr>
          <w:rFonts w:ascii="Arial" w:eastAsia="Times New Roman" w:hAnsi="Arial" w:cs="Arial"/>
          <w:i/>
        </w:rPr>
        <w:t>El artículo </w:t>
      </w:r>
      <w:hyperlink r:id="rId8" w:history="1">
        <w:r w:rsidRPr="00C91F07">
          <w:rPr>
            <w:rFonts w:ascii="Arial" w:eastAsiaTheme="majorEastAsia" w:hAnsi="Arial" w:cs="Arial"/>
            <w:i/>
            <w:color w:val="0000FF"/>
            <w:u w:val="single"/>
          </w:rPr>
          <w:t>17, párrafo tercero, de la Constitución Política de los Estados Unidos Mexicanos</w:t>
        </w:r>
      </w:hyperlink>
      <w:r w:rsidRPr="00C91F07">
        <w:rPr>
          <w:rFonts w:ascii="Arial" w:eastAsia="Times New Roman" w:hAnsi="Arial" w:cs="Arial"/>
          <w:i/>
        </w:rPr>
        <w:t xml:space="preserve">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w:t>
      </w:r>
      <w:r w:rsidRPr="00C91F07">
        <w:rPr>
          <w:rFonts w:ascii="Arial" w:eastAsia="Times New Roman" w:hAnsi="Arial" w:cs="Arial"/>
          <w:i/>
        </w:rPr>
        <w:lastRenderedPageBreak/>
        <w:t>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C91F07">
        <w:rPr>
          <w:rFonts w:ascii="Arial" w:eastAsia="Times New Roman" w:hAnsi="Arial" w:cs="Arial"/>
          <w:b/>
          <w:i/>
        </w:rPr>
        <w:t>”</w:t>
      </w:r>
    </w:p>
    <w:p w14:paraId="258A1EB5" w14:textId="4A3B908F" w:rsidR="00C91F07" w:rsidRPr="00C91F07" w:rsidRDefault="00C91F07" w:rsidP="00C91F07">
      <w:pPr>
        <w:spacing w:line="360" w:lineRule="auto"/>
        <w:ind w:firstLine="567"/>
        <w:jc w:val="both"/>
        <w:rPr>
          <w:rFonts w:ascii="Arial" w:eastAsia="Times New Roman" w:hAnsi="Arial" w:cs="Arial"/>
          <w:bCs/>
          <w:color w:val="000000"/>
          <w:sz w:val="26"/>
          <w:szCs w:val="26"/>
        </w:rPr>
      </w:pPr>
      <w:r w:rsidRPr="00C91F07">
        <w:rPr>
          <w:rFonts w:ascii="Arial" w:eastAsia="Times New Roman" w:hAnsi="Arial" w:cs="Arial"/>
          <w:iCs/>
          <w:sz w:val="26"/>
          <w:szCs w:val="26"/>
        </w:rPr>
        <w:t xml:space="preserve">Ahora, </w:t>
      </w:r>
      <w:r w:rsidR="002A0AE0">
        <w:rPr>
          <w:rFonts w:ascii="Arial" w:eastAsia="Times New Roman" w:hAnsi="Arial" w:cs="Arial"/>
          <w:iCs/>
          <w:sz w:val="26"/>
          <w:szCs w:val="26"/>
        </w:rPr>
        <w:t>a fin de reparar el agravio ocasionado por</w:t>
      </w:r>
      <w:r w:rsidRPr="00C91F07">
        <w:rPr>
          <w:rFonts w:ascii="Arial" w:eastAsia="Times New Roman" w:hAnsi="Arial" w:cs="Arial"/>
          <w:iCs/>
          <w:sz w:val="26"/>
          <w:szCs w:val="26"/>
        </w:rPr>
        <w:t xml:space="preserve"> la Quinta Sala Unitaria de Primera Instancia</w:t>
      </w:r>
      <w:r w:rsidR="002A0AE0">
        <w:rPr>
          <w:rFonts w:ascii="Arial" w:eastAsia="Times New Roman" w:hAnsi="Arial" w:cs="Arial"/>
          <w:iCs/>
          <w:sz w:val="26"/>
          <w:szCs w:val="26"/>
        </w:rPr>
        <w:t xml:space="preserve"> al recurrente</w:t>
      </w:r>
      <w:r w:rsidRPr="00C91F07">
        <w:rPr>
          <w:rFonts w:ascii="Arial" w:eastAsia="Times New Roman" w:hAnsi="Arial" w:cs="Arial"/>
          <w:sz w:val="26"/>
          <w:szCs w:val="26"/>
        </w:rPr>
        <w:t xml:space="preserve">, a fin de repararlos, es procedente </w:t>
      </w:r>
      <w:bookmarkStart w:id="15" w:name="_Hlk109392282"/>
      <w:r w:rsidR="002A0AE0">
        <w:rPr>
          <w:rFonts w:ascii="Arial" w:eastAsia="Times New Roman" w:hAnsi="Arial" w:cs="Arial"/>
          <w:b/>
          <w:sz w:val="26"/>
          <w:szCs w:val="26"/>
        </w:rPr>
        <w:t xml:space="preserve">MODIFICAR </w:t>
      </w:r>
      <w:r w:rsidRPr="00C91F07">
        <w:rPr>
          <w:rFonts w:ascii="Arial" w:eastAsia="Times New Roman" w:hAnsi="Arial" w:cs="Arial"/>
          <w:sz w:val="26"/>
          <w:szCs w:val="26"/>
        </w:rPr>
        <w:t>el</w:t>
      </w:r>
      <w:r w:rsidR="009469C2">
        <w:rPr>
          <w:rFonts w:ascii="Arial" w:eastAsia="Times New Roman" w:hAnsi="Arial" w:cs="Arial"/>
          <w:sz w:val="26"/>
          <w:szCs w:val="26"/>
        </w:rPr>
        <w:t xml:space="preserve"> </w:t>
      </w:r>
      <w:r w:rsidR="002A0AE0">
        <w:rPr>
          <w:rFonts w:ascii="Arial" w:eastAsia="Times New Roman" w:hAnsi="Arial" w:cs="Arial"/>
          <w:sz w:val="26"/>
          <w:szCs w:val="26"/>
        </w:rPr>
        <w:t xml:space="preserve">acuerdo de veintitrés de febrero de dos mil </w:t>
      </w:r>
      <w:r w:rsidR="002A0AE0" w:rsidRPr="009469C2">
        <w:rPr>
          <w:rFonts w:ascii="Arial" w:eastAsia="Times New Roman" w:hAnsi="Arial" w:cs="Arial"/>
          <w:sz w:val="26"/>
          <w:szCs w:val="26"/>
        </w:rPr>
        <w:t>veintidós</w:t>
      </w:r>
      <w:bookmarkEnd w:id="15"/>
      <w:r w:rsidRPr="00C91F07">
        <w:rPr>
          <w:rFonts w:ascii="Arial" w:eastAsia="Times New Roman" w:hAnsi="Arial" w:cs="Arial"/>
          <w:sz w:val="26"/>
          <w:szCs w:val="26"/>
        </w:rPr>
        <w:t xml:space="preserve">, </w:t>
      </w:r>
      <w:r w:rsidRPr="00C91F07">
        <w:rPr>
          <w:rFonts w:ascii="Arial" w:eastAsia="Calibri" w:hAnsi="Arial" w:cs="Arial"/>
          <w:bCs/>
          <w:sz w:val="26"/>
          <w:szCs w:val="26"/>
        </w:rPr>
        <w:t xml:space="preserve">en los siguientes términos: </w:t>
      </w:r>
      <w:r w:rsidR="00DF4F71">
        <w:rPr>
          <w:rFonts w:ascii="Arial" w:hAnsi="Arial" w:cs="Arial"/>
          <w:sz w:val="26"/>
          <w:szCs w:val="26"/>
        </w:rPr>
        <w:t xml:space="preserve">- - - - - - - - - - - - - - - - - - - - - - - - - </w:t>
      </w:r>
    </w:p>
    <w:p w14:paraId="3EC8DA59" w14:textId="382C53CE" w:rsidR="00C91F07" w:rsidRPr="00C91F07" w:rsidRDefault="002A0AE0" w:rsidP="00DF4F71">
      <w:pPr>
        <w:spacing w:after="0"/>
        <w:ind w:left="567" w:right="616"/>
        <w:jc w:val="both"/>
        <w:rPr>
          <w:rFonts w:ascii="Arial" w:eastAsia="Times New Roman" w:hAnsi="Arial" w:cs="Arial"/>
          <w:b/>
          <w:bCs/>
          <w:i/>
          <w:iCs/>
          <w:lang w:eastAsia="es-ES"/>
        </w:rPr>
      </w:pPr>
      <w:r>
        <w:rPr>
          <w:rFonts w:ascii="Arial" w:eastAsia="Times New Roman" w:hAnsi="Arial" w:cs="Arial"/>
          <w:bCs/>
          <w:i/>
          <w:iCs/>
          <w:lang w:eastAsia="es-ES"/>
        </w:rPr>
        <w:t xml:space="preserve">“En razón de lo antes vertido, </w:t>
      </w:r>
      <w:r w:rsidR="009469C2">
        <w:rPr>
          <w:rFonts w:ascii="Arial" w:eastAsia="Times New Roman" w:hAnsi="Arial" w:cs="Arial"/>
          <w:bCs/>
          <w:i/>
          <w:iCs/>
          <w:lang w:eastAsia="es-ES"/>
        </w:rPr>
        <w:t xml:space="preserve">y toda vez que </w:t>
      </w:r>
      <w:r w:rsidR="009469C2" w:rsidRPr="009469C2">
        <w:rPr>
          <w:rFonts w:ascii="Arial" w:eastAsia="Times New Roman" w:hAnsi="Arial" w:cs="Arial"/>
          <w:bCs/>
          <w:i/>
          <w:iCs/>
          <w:lang w:eastAsia="es-ES"/>
        </w:rPr>
        <w:t>el artículo 1 de la Ley de Justicia de Fiscalización y Rendición de Cuentas para el Estado de Oaxaca establece que a través del juicio de inconformidad debe garantizarse que los actos y resoluciones de la Auditoría Superior del Estado, ahora Órgano Superior de Fiscalización del Estado de Oaxaca, se sujeten a los principios de legalidad, definitividad y demás principios constitucionales</w:t>
      </w:r>
      <w:r w:rsidR="009469C2">
        <w:rPr>
          <w:rFonts w:ascii="Arial" w:eastAsia="Times New Roman" w:hAnsi="Arial" w:cs="Arial"/>
          <w:bCs/>
          <w:i/>
          <w:iCs/>
          <w:lang w:eastAsia="es-ES"/>
        </w:rPr>
        <w:t xml:space="preserve">, con fundamento en los </w:t>
      </w:r>
      <w:r w:rsidR="009469C2" w:rsidRPr="00C91F07">
        <w:rPr>
          <w:rFonts w:ascii="Arial" w:hAnsi="Arial" w:cs="Arial"/>
          <w:i/>
          <w:iCs/>
        </w:rPr>
        <w:t xml:space="preserve">artículos 114 QUÁTER de la Constitución Política del Estado Libre y Soberano de Oaxaca, así como los artículos 1, 2, 5 y 28, de la Ley de Justicia de Fiscalización y Rendición de Cuentas para el Estado de Oaxaca; en relación con los artículos 1, 3, 118, </w:t>
      </w:r>
      <w:r w:rsidR="00A248F6">
        <w:rPr>
          <w:rFonts w:ascii="Arial" w:hAnsi="Arial" w:cs="Arial"/>
          <w:i/>
          <w:iCs/>
        </w:rPr>
        <w:t>13</w:t>
      </w:r>
      <w:r w:rsidR="009469C2" w:rsidRPr="00C91F07">
        <w:rPr>
          <w:rFonts w:ascii="Arial" w:hAnsi="Arial" w:cs="Arial"/>
          <w:i/>
          <w:iCs/>
        </w:rPr>
        <w:t xml:space="preserve">0, fracción VI, de la Ley de Procedimiento y Justicia Administrativa para el Estado de Oaxaca; 4, fracción II y 24 fracción I de la Ley Orgánica del Tribunal de Justicia Administrativa del Estado de Oaxaca y 3, fracción XLII, del Reglamento Interno del Tribunal de Justicia Administrativa del Estado de Oaxaca, y con la finalidad de garantizar los derechos de seguridad jurídica, tutela judicial efectiva y debido proceso del promovente, </w:t>
      </w:r>
      <w:r w:rsidR="009469C2">
        <w:rPr>
          <w:rFonts w:ascii="Arial" w:hAnsi="Arial" w:cs="Arial"/>
          <w:i/>
          <w:iCs/>
        </w:rPr>
        <w:t xml:space="preserve">contenidos en los artículos 14, 16 y 17 de la Constitución Federal, </w:t>
      </w:r>
      <w:r w:rsidR="009469C2" w:rsidRPr="00C91F07">
        <w:rPr>
          <w:rFonts w:ascii="Arial" w:hAnsi="Arial" w:cs="Arial"/>
          <w:i/>
          <w:iCs/>
        </w:rPr>
        <w:t>esta Quinta Sala Unitaria de Primera Instancia</w:t>
      </w:r>
      <w:r w:rsidR="009469C2">
        <w:rPr>
          <w:rFonts w:ascii="Arial" w:hAnsi="Arial" w:cs="Arial"/>
          <w:i/>
          <w:iCs/>
        </w:rPr>
        <w:t xml:space="preserve"> reitera que </w:t>
      </w:r>
      <w:r w:rsidR="009469C2" w:rsidRPr="00C91F07">
        <w:rPr>
          <w:rFonts w:ascii="Arial" w:hAnsi="Arial" w:cs="Arial"/>
          <w:b/>
          <w:i/>
          <w:iCs/>
        </w:rPr>
        <w:t>SE DECLARA INCOMPETENTE</w:t>
      </w:r>
      <w:r w:rsidR="009469C2" w:rsidRPr="00C91F07">
        <w:rPr>
          <w:rFonts w:ascii="Arial" w:hAnsi="Arial" w:cs="Arial"/>
          <w:i/>
          <w:iCs/>
        </w:rPr>
        <w:t xml:space="preserve"> para tramitar la demanda de </w:t>
      </w:r>
      <w:r w:rsidR="002C4B8A">
        <w:rPr>
          <w:rFonts w:ascii="Arial" w:hAnsi="Arial" w:cs="Arial"/>
          <w:b/>
          <w:bCs/>
          <w:i/>
          <w:iCs/>
        </w:rPr>
        <w:t>*******</w:t>
      </w:r>
      <w:r w:rsidR="009469C2">
        <w:rPr>
          <w:rFonts w:ascii="Arial" w:hAnsi="Arial" w:cs="Arial"/>
          <w:b/>
          <w:bCs/>
          <w:i/>
          <w:iCs/>
        </w:rPr>
        <w:t xml:space="preserve"> </w:t>
      </w:r>
      <w:r w:rsidR="009469C2" w:rsidRPr="009469C2">
        <w:rPr>
          <w:rFonts w:ascii="Arial" w:hAnsi="Arial" w:cs="Arial"/>
          <w:b/>
          <w:bCs/>
          <w:i/>
          <w:iCs/>
        </w:rPr>
        <w:t xml:space="preserve">para pretender la anulación del mandamiento de ejecución </w:t>
      </w:r>
      <w:r w:rsidR="002C4B8A">
        <w:rPr>
          <w:rFonts w:ascii="Arial" w:hAnsi="Arial" w:cs="Arial"/>
          <w:b/>
          <w:bCs/>
          <w:i/>
          <w:iCs/>
        </w:rPr>
        <w:t>*******</w:t>
      </w:r>
      <w:r w:rsidR="009469C2">
        <w:rPr>
          <w:rFonts w:ascii="Arial" w:hAnsi="Arial" w:cs="Arial"/>
          <w:b/>
          <w:bCs/>
          <w:i/>
          <w:iCs/>
        </w:rPr>
        <w:t xml:space="preserve"> </w:t>
      </w:r>
      <w:r w:rsidR="009469C2" w:rsidRPr="00C91F07">
        <w:rPr>
          <w:rFonts w:ascii="Arial" w:hAnsi="Arial" w:cs="Arial"/>
          <w:bCs/>
          <w:i/>
          <w:iCs/>
        </w:rPr>
        <w:t xml:space="preserve">a través del juicio de nulidad, y se ordena remitir a la Secretaría General de Acuerdos de este Tribunal los autos del presente expediente, </w:t>
      </w:r>
      <w:r w:rsidR="009469C2" w:rsidRPr="00C91F07">
        <w:rPr>
          <w:rFonts w:ascii="Arial" w:hAnsi="Arial" w:cs="Arial"/>
          <w:i/>
          <w:iCs/>
        </w:rPr>
        <w:t>para que desahogue el trámite del juicio de inconformidad ante la Sala Superior, que es la instancia competente para sustanciar y dirimir los asuntos planteados contra la autoridad en materia de fiscalización y rendición de cuentas.</w:t>
      </w:r>
      <w:r w:rsidR="00F20E59">
        <w:rPr>
          <w:rFonts w:ascii="Arial" w:eastAsia="Times New Roman" w:hAnsi="Arial" w:cs="Arial"/>
          <w:b/>
          <w:bCs/>
          <w:i/>
          <w:iCs/>
          <w:lang w:eastAsia="es-ES"/>
        </w:rPr>
        <w:t xml:space="preserve"> (…)</w:t>
      </w:r>
      <w:r w:rsidR="00C91F07" w:rsidRPr="00C91F07">
        <w:rPr>
          <w:rFonts w:ascii="Arial" w:hAnsi="Arial" w:cs="Arial"/>
          <w:i/>
        </w:rPr>
        <w:t>”</w:t>
      </w:r>
      <w:r w:rsidR="00C91F07" w:rsidRPr="00C91F07">
        <w:rPr>
          <w:rFonts w:ascii="Arial" w:eastAsia="Times New Roman" w:hAnsi="Arial" w:cs="Arial"/>
          <w:b/>
          <w:bCs/>
          <w:i/>
          <w:iCs/>
          <w:lang w:eastAsia="es-ES"/>
        </w:rPr>
        <w:t xml:space="preserve"> </w:t>
      </w:r>
    </w:p>
    <w:p w14:paraId="3A6D64F2" w14:textId="77777777" w:rsidR="00C91F07" w:rsidRPr="00C91F07" w:rsidRDefault="00C91F07" w:rsidP="00DF4F71"/>
    <w:p w14:paraId="11C65EE0" w14:textId="59AED8ED" w:rsidR="00C91F07" w:rsidRPr="00C91F07" w:rsidRDefault="00C91F07" w:rsidP="00C91F07">
      <w:pPr>
        <w:spacing w:line="360" w:lineRule="auto"/>
        <w:ind w:firstLine="708"/>
        <w:jc w:val="both"/>
        <w:rPr>
          <w:rFonts w:ascii="Arial" w:eastAsia="Times New Roman" w:hAnsi="Arial" w:cs="Arial"/>
          <w:sz w:val="26"/>
          <w:szCs w:val="26"/>
          <w:lang w:eastAsia="es-ES"/>
        </w:rPr>
      </w:pPr>
      <w:r w:rsidRPr="00C91F07">
        <w:rPr>
          <w:rFonts w:ascii="Arial" w:eastAsia="Times New Roman" w:hAnsi="Arial" w:cs="Arial"/>
          <w:sz w:val="26"/>
          <w:szCs w:val="26"/>
          <w:lang w:eastAsia="es-ES"/>
        </w:rPr>
        <w:t>En mérito de lo anterior, con fundamento en los artículos 23</w:t>
      </w:r>
      <w:r w:rsidR="00F20E59">
        <w:rPr>
          <w:rFonts w:ascii="Arial" w:eastAsia="Times New Roman" w:hAnsi="Arial" w:cs="Arial"/>
          <w:sz w:val="26"/>
          <w:szCs w:val="26"/>
          <w:lang w:eastAsia="es-ES"/>
        </w:rPr>
        <w:t>6</w:t>
      </w:r>
      <w:r w:rsidRPr="00C91F07">
        <w:rPr>
          <w:rFonts w:ascii="Arial" w:eastAsia="Times New Roman" w:hAnsi="Arial" w:cs="Arial"/>
          <w:sz w:val="26"/>
          <w:szCs w:val="26"/>
          <w:lang w:eastAsia="es-ES"/>
        </w:rPr>
        <w:t xml:space="preserve"> y 238 de la Ley de Procedimiento y Justicia Administrativa para el Estado de Oaxaca, se:</w:t>
      </w:r>
      <w:r w:rsidR="00DF4F71">
        <w:rPr>
          <w:rFonts w:ascii="Arial" w:eastAsia="Times New Roman" w:hAnsi="Arial" w:cs="Arial"/>
          <w:sz w:val="26"/>
          <w:szCs w:val="26"/>
          <w:lang w:eastAsia="es-ES"/>
        </w:rPr>
        <w:t xml:space="preserve"> </w:t>
      </w:r>
      <w:r w:rsidR="00DF4F71">
        <w:rPr>
          <w:rFonts w:ascii="Arial" w:hAnsi="Arial" w:cs="Arial"/>
          <w:sz w:val="26"/>
          <w:szCs w:val="26"/>
        </w:rPr>
        <w:t xml:space="preserve">- - - - - - - - - - - - - - - - - - - - - - - - - - - - - - - - - - - - - - - - - </w:t>
      </w:r>
    </w:p>
    <w:p w14:paraId="02326B61" w14:textId="77777777" w:rsidR="00C91F07" w:rsidRPr="00DF4F71" w:rsidRDefault="00C91F07" w:rsidP="00C91F07">
      <w:pPr>
        <w:spacing w:before="240" w:after="0" w:line="360" w:lineRule="auto"/>
        <w:jc w:val="center"/>
        <w:rPr>
          <w:rFonts w:ascii="Arial" w:hAnsi="Arial" w:cs="Arial"/>
          <w:b/>
          <w:sz w:val="26"/>
          <w:szCs w:val="26"/>
          <w:lang w:val="es-ES"/>
        </w:rPr>
      </w:pPr>
      <w:r w:rsidRPr="00DF4F71">
        <w:rPr>
          <w:rFonts w:ascii="Arial" w:hAnsi="Arial" w:cs="Arial"/>
          <w:b/>
          <w:sz w:val="26"/>
          <w:szCs w:val="26"/>
          <w:lang w:val="es-ES"/>
        </w:rPr>
        <w:t>R E S U E L V E</w:t>
      </w:r>
    </w:p>
    <w:p w14:paraId="634E1DF6" w14:textId="47ECCEAE" w:rsidR="00C91F07" w:rsidRPr="00C91F07" w:rsidRDefault="00C91F07" w:rsidP="00C91F07">
      <w:pPr>
        <w:spacing w:before="240" w:after="0" w:line="360" w:lineRule="auto"/>
        <w:ind w:firstLine="708"/>
        <w:jc w:val="both"/>
        <w:rPr>
          <w:rFonts w:ascii="Arial" w:hAnsi="Arial" w:cs="Arial"/>
          <w:color w:val="000000"/>
          <w:sz w:val="26"/>
          <w:szCs w:val="26"/>
        </w:rPr>
      </w:pPr>
      <w:r w:rsidRPr="00C91F07">
        <w:rPr>
          <w:rFonts w:ascii="Arial" w:hAnsi="Arial" w:cs="Arial"/>
          <w:b/>
          <w:color w:val="000000"/>
          <w:sz w:val="26"/>
          <w:szCs w:val="26"/>
          <w:lang w:val="es-ES"/>
        </w:rPr>
        <w:t>PRIMERO</w:t>
      </w:r>
      <w:r w:rsidRPr="00C91F07">
        <w:rPr>
          <w:rFonts w:ascii="Arial" w:hAnsi="Arial" w:cs="Arial"/>
          <w:color w:val="000000"/>
          <w:sz w:val="26"/>
          <w:szCs w:val="26"/>
          <w:lang w:val="es-ES"/>
        </w:rPr>
        <w:t xml:space="preserve">. </w:t>
      </w:r>
      <w:r w:rsidRPr="00C91F07">
        <w:rPr>
          <w:rFonts w:ascii="Arial" w:hAnsi="Arial" w:cs="Arial"/>
          <w:color w:val="000000"/>
          <w:sz w:val="26"/>
          <w:szCs w:val="26"/>
        </w:rPr>
        <w:t>Se</w:t>
      </w:r>
      <w:r w:rsidRPr="00C91F07">
        <w:rPr>
          <w:rFonts w:ascii="Arial" w:hAnsi="Arial" w:cs="Arial"/>
          <w:b/>
          <w:color w:val="000000"/>
          <w:sz w:val="26"/>
          <w:szCs w:val="26"/>
        </w:rPr>
        <w:t xml:space="preserve"> </w:t>
      </w:r>
      <w:r w:rsidR="00F20E59">
        <w:rPr>
          <w:rFonts w:ascii="Arial" w:hAnsi="Arial" w:cs="Arial"/>
          <w:b/>
          <w:color w:val="000000"/>
          <w:sz w:val="26"/>
          <w:szCs w:val="26"/>
        </w:rPr>
        <w:t xml:space="preserve">MODIFICA </w:t>
      </w:r>
      <w:r w:rsidR="00F20E59" w:rsidRPr="00F20E59">
        <w:rPr>
          <w:rFonts w:ascii="Arial" w:hAnsi="Arial" w:cs="Arial"/>
          <w:bCs/>
          <w:color w:val="000000"/>
          <w:sz w:val="26"/>
          <w:szCs w:val="26"/>
        </w:rPr>
        <w:t>el acuerdo de veintitrés de febrero de dos mil veintidós</w:t>
      </w:r>
      <w:r w:rsidR="00F20E59">
        <w:rPr>
          <w:rFonts w:ascii="Arial" w:hAnsi="Arial" w:cs="Arial"/>
          <w:bCs/>
          <w:color w:val="000000"/>
          <w:sz w:val="26"/>
          <w:szCs w:val="26"/>
        </w:rPr>
        <w:t xml:space="preserve">, </w:t>
      </w:r>
      <w:r w:rsidRPr="00C91F07">
        <w:rPr>
          <w:rFonts w:ascii="Arial" w:hAnsi="Arial" w:cs="Arial"/>
          <w:color w:val="000000"/>
          <w:sz w:val="26"/>
          <w:szCs w:val="26"/>
        </w:rPr>
        <w:t xml:space="preserve">por las razones expuestas por esta Sala Superior en el considerando que antecede. </w:t>
      </w:r>
      <w:r w:rsidR="00DF4F71">
        <w:rPr>
          <w:rFonts w:ascii="Arial" w:hAnsi="Arial" w:cs="Arial"/>
          <w:sz w:val="26"/>
          <w:szCs w:val="26"/>
        </w:rPr>
        <w:t xml:space="preserve">- - - - - - - - - - - - - - - - - - - - - - - - - - - - - - </w:t>
      </w:r>
    </w:p>
    <w:p w14:paraId="46E04946" w14:textId="4886568A" w:rsidR="00C91F07" w:rsidRPr="00C91F07" w:rsidRDefault="00C91F07" w:rsidP="00C91F07">
      <w:pPr>
        <w:widowControl w:val="0"/>
        <w:tabs>
          <w:tab w:val="left" w:pos="0"/>
        </w:tabs>
        <w:spacing w:before="240" w:line="360" w:lineRule="auto"/>
        <w:ind w:right="18"/>
        <w:jc w:val="both"/>
        <w:rPr>
          <w:rFonts w:ascii="Arial" w:hAnsi="Arial" w:cs="Arial"/>
          <w:sz w:val="26"/>
          <w:szCs w:val="26"/>
        </w:rPr>
      </w:pPr>
      <w:r w:rsidRPr="00C91F07">
        <w:rPr>
          <w:rFonts w:ascii="Arial" w:hAnsi="Arial" w:cs="Arial"/>
          <w:b/>
          <w:sz w:val="26"/>
          <w:szCs w:val="26"/>
        </w:rPr>
        <w:lastRenderedPageBreak/>
        <w:tab/>
        <w:t xml:space="preserve">SEGUNDO. </w:t>
      </w:r>
      <w:r w:rsidRPr="00C91F07">
        <w:rPr>
          <w:rFonts w:ascii="Arial" w:hAnsi="Arial" w:cs="Arial"/>
          <w:sz w:val="26"/>
          <w:szCs w:val="26"/>
        </w:rPr>
        <w:t>En cumplimiento</w:t>
      </w:r>
      <w:bookmarkStart w:id="16" w:name="_GoBack"/>
      <w:bookmarkEnd w:id="16"/>
      <w:r w:rsidRPr="00C91F07">
        <w:rPr>
          <w:rFonts w:ascii="Arial" w:hAnsi="Arial" w:cs="Arial"/>
          <w:sz w:val="26"/>
          <w:szCs w:val="26"/>
        </w:rPr>
        <w:t xml:space="preserve"> a la presente resolución, se ordena a la Quinta Sala Unitaria de Primera Instancia, que remita a la Secretaría General de Acuerdos de este Tribunal, las constancias del expediente </w:t>
      </w:r>
      <w:r w:rsidRPr="00C91F07">
        <w:rPr>
          <w:rFonts w:ascii="Arial" w:hAnsi="Arial" w:cs="Arial"/>
          <w:b/>
          <w:sz w:val="26"/>
          <w:szCs w:val="26"/>
        </w:rPr>
        <w:t>0</w:t>
      </w:r>
      <w:r w:rsidR="00F20E59">
        <w:rPr>
          <w:rFonts w:ascii="Arial" w:hAnsi="Arial" w:cs="Arial"/>
          <w:b/>
          <w:sz w:val="26"/>
          <w:szCs w:val="26"/>
        </w:rPr>
        <w:t>003/</w:t>
      </w:r>
      <w:r w:rsidRPr="00C91F07">
        <w:rPr>
          <w:rFonts w:ascii="Arial" w:hAnsi="Arial" w:cs="Arial"/>
          <w:b/>
          <w:sz w:val="26"/>
          <w:szCs w:val="26"/>
        </w:rPr>
        <w:t>202</w:t>
      </w:r>
      <w:r w:rsidR="00F20E59">
        <w:rPr>
          <w:rFonts w:ascii="Arial" w:hAnsi="Arial" w:cs="Arial"/>
          <w:b/>
          <w:sz w:val="26"/>
          <w:szCs w:val="26"/>
        </w:rPr>
        <w:t>2</w:t>
      </w:r>
      <w:r w:rsidRPr="00C91F07">
        <w:rPr>
          <w:rFonts w:ascii="Arial" w:hAnsi="Arial" w:cs="Arial"/>
          <w:sz w:val="26"/>
          <w:szCs w:val="26"/>
        </w:rPr>
        <w:t xml:space="preserve"> de su índice, para la tramitación del juicio de inconformidad correspondiente. </w:t>
      </w:r>
      <w:r w:rsidR="00DF4F71">
        <w:rPr>
          <w:rFonts w:ascii="Arial" w:hAnsi="Arial" w:cs="Arial"/>
          <w:sz w:val="26"/>
          <w:szCs w:val="26"/>
        </w:rPr>
        <w:t xml:space="preserve">- - - - - - - - - - - - - - - - - - - - - - - - - - - - - - - - - - - - - - - - </w:t>
      </w:r>
    </w:p>
    <w:p w14:paraId="2567EA48" w14:textId="0F3EBFB4" w:rsidR="00C91F07" w:rsidRPr="00C91F07" w:rsidRDefault="00C91F07" w:rsidP="00C91F07">
      <w:pPr>
        <w:widowControl w:val="0"/>
        <w:tabs>
          <w:tab w:val="left" w:pos="0"/>
        </w:tabs>
        <w:spacing w:before="240" w:line="360" w:lineRule="auto"/>
        <w:ind w:right="18"/>
        <w:jc w:val="both"/>
        <w:rPr>
          <w:rFonts w:ascii="Arial" w:hAnsi="Arial" w:cs="Arial"/>
          <w:sz w:val="26"/>
          <w:szCs w:val="26"/>
        </w:rPr>
      </w:pPr>
      <w:r w:rsidRPr="00C91F07">
        <w:rPr>
          <w:rFonts w:ascii="Arial" w:hAnsi="Arial" w:cs="Arial"/>
          <w:b/>
          <w:sz w:val="26"/>
          <w:szCs w:val="26"/>
        </w:rPr>
        <w:tab/>
        <w:t>TERCERO.- NOTIFÍQUESE Y CÚMPLASE,</w:t>
      </w:r>
      <w:r w:rsidRPr="00C91F07">
        <w:rPr>
          <w:rFonts w:ascii="Arial" w:hAnsi="Arial" w:cs="Arial"/>
          <w:sz w:val="26"/>
          <w:szCs w:val="26"/>
        </w:rPr>
        <w:t xml:space="preserve"> remítase copia certificada de la presente resolución a la Quinta Sala Unitaria de Primera Instancia de este Tribunal y en su oportunidad archívese el presente cuaderno de revisión como asunto concluido.</w:t>
      </w:r>
      <w:r w:rsidR="00DF4F71">
        <w:rPr>
          <w:rFonts w:ascii="Arial" w:hAnsi="Arial" w:cs="Arial"/>
          <w:sz w:val="26"/>
          <w:szCs w:val="26"/>
        </w:rPr>
        <w:t xml:space="preserve"> - - - - - - - - - - - - - - - - - - - </w:t>
      </w:r>
    </w:p>
    <w:p w14:paraId="1E939C8F" w14:textId="29F5DDC6" w:rsidR="00C91F07" w:rsidRPr="00C91F07" w:rsidRDefault="00C91F07" w:rsidP="00C91F07">
      <w:pPr>
        <w:tabs>
          <w:tab w:val="left" w:pos="1680"/>
          <w:tab w:val="center" w:pos="4277"/>
        </w:tabs>
        <w:spacing w:line="360" w:lineRule="auto"/>
        <w:jc w:val="both"/>
        <w:rPr>
          <w:rFonts w:ascii="Arial" w:hAnsi="Arial" w:cs="Arial"/>
          <w:sz w:val="26"/>
          <w:szCs w:val="26"/>
        </w:rPr>
      </w:pPr>
      <w:r w:rsidRPr="00C91F07">
        <w:t xml:space="preserve"> </w:t>
      </w:r>
      <w:r w:rsidRPr="00C91F07">
        <w:rPr>
          <w:rFonts w:ascii="Arial" w:hAnsi="Arial" w:cs="Arial"/>
          <w:sz w:val="26"/>
          <w:szCs w:val="26"/>
        </w:rPr>
        <w:t xml:space="preserve">       Por unanimidad de votos, lo resolvieron y firmaron los magistrados integrantes de la Sala Superior, Manuel Velasco Alcántara, Raúl Palomares Palomino </w:t>
      </w:r>
      <w:r w:rsidRPr="00C91F07">
        <w:rPr>
          <w:rFonts w:ascii="Arial" w:hAnsi="Arial" w:cs="Arial"/>
          <w:b/>
          <w:bCs/>
          <w:sz w:val="26"/>
          <w:szCs w:val="26"/>
        </w:rPr>
        <w:t>(ponente)</w:t>
      </w:r>
      <w:r w:rsidRPr="00C91F07">
        <w:rPr>
          <w:rFonts w:ascii="Arial" w:hAnsi="Arial" w:cs="Arial"/>
          <w:sz w:val="26"/>
          <w:szCs w:val="26"/>
        </w:rPr>
        <w:t>, Gloria del Carmen Camacho Meza, Paulo José Luis Tapia Palacios, Elías Cortés López, quienes actúan con el Licenciado Juan Edy García Coronado, secretario General de Acuerdos de este Tribunal, que autoriza y da fe.</w:t>
      </w:r>
      <w:r w:rsidR="00DF4F71">
        <w:rPr>
          <w:rFonts w:ascii="Arial" w:hAnsi="Arial" w:cs="Arial"/>
          <w:sz w:val="26"/>
          <w:szCs w:val="26"/>
        </w:rPr>
        <w:t xml:space="preserve"> - - - - - - - - - - - - - - - - - </w:t>
      </w:r>
    </w:p>
    <w:p w14:paraId="1FE9C99B" w14:textId="2B0E569B" w:rsidR="00C91F07" w:rsidRDefault="00C91F07" w:rsidP="00C91F07">
      <w:pPr>
        <w:tabs>
          <w:tab w:val="left" w:pos="1680"/>
          <w:tab w:val="center" w:pos="4277"/>
        </w:tabs>
        <w:jc w:val="center"/>
        <w:rPr>
          <w:rFonts w:ascii="Arial" w:hAnsi="Arial" w:cs="Arial"/>
          <w:sz w:val="26"/>
          <w:szCs w:val="26"/>
        </w:rPr>
      </w:pPr>
    </w:p>
    <w:p w14:paraId="601D30BA" w14:textId="5AE34728" w:rsidR="00DF4F71" w:rsidRDefault="00DF4F71" w:rsidP="00C91F07">
      <w:pPr>
        <w:tabs>
          <w:tab w:val="left" w:pos="1680"/>
          <w:tab w:val="center" w:pos="4277"/>
        </w:tabs>
        <w:jc w:val="center"/>
        <w:rPr>
          <w:rFonts w:ascii="Arial" w:hAnsi="Arial" w:cs="Arial"/>
          <w:sz w:val="26"/>
          <w:szCs w:val="26"/>
        </w:rPr>
      </w:pPr>
    </w:p>
    <w:p w14:paraId="5C2D9F79" w14:textId="7068657B" w:rsidR="00DF4F71" w:rsidRDefault="00DF4F71" w:rsidP="00C91F07">
      <w:pPr>
        <w:tabs>
          <w:tab w:val="left" w:pos="1680"/>
          <w:tab w:val="center" w:pos="4277"/>
        </w:tabs>
        <w:jc w:val="center"/>
        <w:rPr>
          <w:rFonts w:ascii="Arial" w:hAnsi="Arial" w:cs="Arial"/>
          <w:sz w:val="26"/>
          <w:szCs w:val="26"/>
        </w:rPr>
      </w:pPr>
    </w:p>
    <w:p w14:paraId="3FDA7326" w14:textId="77777777" w:rsidR="00DF4F71" w:rsidRPr="00C91F07" w:rsidRDefault="00DF4F71" w:rsidP="008B4BFA">
      <w:pPr>
        <w:tabs>
          <w:tab w:val="left" w:pos="1680"/>
          <w:tab w:val="center" w:pos="4277"/>
        </w:tabs>
        <w:rPr>
          <w:rFonts w:ascii="Arial" w:hAnsi="Arial" w:cs="Arial"/>
          <w:sz w:val="26"/>
          <w:szCs w:val="26"/>
        </w:rPr>
      </w:pPr>
    </w:p>
    <w:p w14:paraId="17F15C7D" w14:textId="77777777" w:rsidR="00DF4F71" w:rsidRPr="007E36E2" w:rsidRDefault="00DF4F71" w:rsidP="00DF4F71">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44604559" w14:textId="4BF8215B" w:rsidR="00DF4F71" w:rsidRPr="007E36E2" w:rsidRDefault="00DF4F71" w:rsidP="00DF4F71">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3C5144B1"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p>
    <w:p w14:paraId="15F468FF" w14:textId="77777777" w:rsidR="00DF4F71" w:rsidRDefault="00DF4F71" w:rsidP="008B4BFA">
      <w:pPr>
        <w:tabs>
          <w:tab w:val="center" w:pos="4135"/>
          <w:tab w:val="left" w:pos="7515"/>
        </w:tabs>
        <w:spacing w:line="360" w:lineRule="auto"/>
        <w:rPr>
          <w:rFonts w:ascii="Arial" w:eastAsia="Times New Roman" w:hAnsi="Arial" w:cs="Arial"/>
          <w:sz w:val="26"/>
          <w:szCs w:val="26"/>
        </w:rPr>
      </w:pPr>
    </w:p>
    <w:p w14:paraId="13325CCA" w14:textId="77777777" w:rsidR="008B4BFA" w:rsidRDefault="008B4BFA" w:rsidP="008B4BFA">
      <w:pPr>
        <w:tabs>
          <w:tab w:val="center" w:pos="4135"/>
          <w:tab w:val="left" w:pos="7515"/>
        </w:tabs>
        <w:spacing w:line="360" w:lineRule="auto"/>
        <w:rPr>
          <w:rFonts w:ascii="Arial" w:eastAsia="Times New Roman" w:hAnsi="Arial" w:cs="Arial"/>
          <w:sz w:val="26"/>
          <w:szCs w:val="26"/>
        </w:rPr>
      </w:pPr>
    </w:p>
    <w:p w14:paraId="59AFA3D8"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p>
    <w:p w14:paraId="22EAC1F7"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3416F958" w14:textId="6474EF37" w:rsidR="00DF4F71" w:rsidRDefault="00DF4F71" w:rsidP="00DF4F71">
      <w:pPr>
        <w:tabs>
          <w:tab w:val="center" w:pos="4135"/>
          <w:tab w:val="left" w:pos="7515"/>
        </w:tabs>
        <w:spacing w:line="360" w:lineRule="auto"/>
        <w:jc w:val="center"/>
        <w:rPr>
          <w:rFonts w:ascii="Arial" w:eastAsia="Times New Roman" w:hAnsi="Arial" w:cs="Arial"/>
          <w:sz w:val="26"/>
          <w:szCs w:val="26"/>
        </w:rPr>
      </w:pPr>
    </w:p>
    <w:p w14:paraId="7509F395" w14:textId="06C175AE" w:rsidR="00DF4F71" w:rsidRDefault="00DF4F71" w:rsidP="00DF4F71">
      <w:pPr>
        <w:tabs>
          <w:tab w:val="center" w:pos="4135"/>
          <w:tab w:val="left" w:pos="7515"/>
        </w:tabs>
        <w:spacing w:line="360" w:lineRule="auto"/>
        <w:jc w:val="center"/>
        <w:rPr>
          <w:rFonts w:ascii="Arial" w:eastAsia="Times New Roman" w:hAnsi="Arial" w:cs="Arial"/>
          <w:sz w:val="26"/>
          <w:szCs w:val="26"/>
        </w:rPr>
      </w:pPr>
    </w:p>
    <w:p w14:paraId="46CC4032"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p>
    <w:p w14:paraId="6FBBD180"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p>
    <w:p w14:paraId="1361212D"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104270A0" w14:textId="4C12FCBF" w:rsidR="00DF4F71" w:rsidRDefault="00DF4F71" w:rsidP="00DF4F71">
      <w:pPr>
        <w:tabs>
          <w:tab w:val="center" w:pos="4135"/>
          <w:tab w:val="left" w:pos="7515"/>
        </w:tabs>
        <w:spacing w:line="360" w:lineRule="auto"/>
        <w:jc w:val="center"/>
        <w:rPr>
          <w:rFonts w:ascii="Arial" w:eastAsia="Times New Roman" w:hAnsi="Arial" w:cs="Arial"/>
          <w:sz w:val="26"/>
          <w:szCs w:val="26"/>
        </w:rPr>
      </w:pPr>
    </w:p>
    <w:p w14:paraId="458102EC" w14:textId="77777777" w:rsidR="008B4BFA" w:rsidRDefault="008B4BFA" w:rsidP="008B4BFA">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0049/</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0F7707DA"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p>
    <w:p w14:paraId="13F05A36" w14:textId="77777777" w:rsidR="00DF4F71" w:rsidRDefault="00DF4F71" w:rsidP="008B4BFA">
      <w:pPr>
        <w:tabs>
          <w:tab w:val="center" w:pos="4135"/>
          <w:tab w:val="left" w:pos="7515"/>
        </w:tabs>
        <w:spacing w:line="360" w:lineRule="auto"/>
        <w:rPr>
          <w:rFonts w:ascii="Arial" w:eastAsia="Times New Roman" w:hAnsi="Arial" w:cs="Arial"/>
          <w:sz w:val="26"/>
          <w:szCs w:val="26"/>
        </w:rPr>
      </w:pPr>
    </w:p>
    <w:p w14:paraId="7036E15C" w14:textId="77777777" w:rsidR="008B4BFA" w:rsidRDefault="008B4BFA" w:rsidP="008B4BFA">
      <w:pPr>
        <w:tabs>
          <w:tab w:val="center" w:pos="4135"/>
          <w:tab w:val="left" w:pos="7515"/>
        </w:tabs>
        <w:spacing w:line="360" w:lineRule="auto"/>
        <w:rPr>
          <w:rFonts w:ascii="Arial" w:eastAsia="Times New Roman" w:hAnsi="Arial" w:cs="Arial"/>
          <w:b/>
          <w:bCs/>
          <w:sz w:val="16"/>
          <w:szCs w:val="16"/>
        </w:rPr>
      </w:pPr>
    </w:p>
    <w:p w14:paraId="7DEC4E8E"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p>
    <w:p w14:paraId="6D8E97DE"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64813674" w14:textId="0470795E" w:rsidR="00DF4F71" w:rsidRPr="008B4BFA" w:rsidRDefault="00DF4F71" w:rsidP="008B4BFA">
      <w:pPr>
        <w:tabs>
          <w:tab w:val="center" w:pos="4135"/>
          <w:tab w:val="left" w:pos="7515"/>
        </w:tabs>
        <w:spacing w:line="360" w:lineRule="auto"/>
        <w:rPr>
          <w:rFonts w:ascii="Arial" w:eastAsia="Times New Roman" w:hAnsi="Arial" w:cs="Arial"/>
          <w:b/>
          <w:bCs/>
          <w:sz w:val="16"/>
          <w:szCs w:val="16"/>
        </w:rPr>
      </w:pPr>
    </w:p>
    <w:p w14:paraId="3B4E0B9B" w14:textId="6029244A" w:rsidR="00DF4F71" w:rsidRDefault="00DF4F71" w:rsidP="00DF4F71">
      <w:pPr>
        <w:tabs>
          <w:tab w:val="center" w:pos="4135"/>
          <w:tab w:val="left" w:pos="7515"/>
        </w:tabs>
        <w:spacing w:line="360" w:lineRule="auto"/>
        <w:jc w:val="center"/>
        <w:rPr>
          <w:rFonts w:ascii="Arial" w:eastAsia="Times New Roman" w:hAnsi="Arial" w:cs="Arial"/>
          <w:sz w:val="26"/>
          <w:szCs w:val="26"/>
        </w:rPr>
      </w:pPr>
    </w:p>
    <w:p w14:paraId="256225B1" w14:textId="77777777" w:rsidR="00DF4F71" w:rsidRDefault="00DF4F71" w:rsidP="00DF4F71">
      <w:pPr>
        <w:tabs>
          <w:tab w:val="center" w:pos="4135"/>
          <w:tab w:val="left" w:pos="7515"/>
        </w:tabs>
        <w:spacing w:line="360" w:lineRule="auto"/>
        <w:jc w:val="center"/>
        <w:rPr>
          <w:rFonts w:ascii="Arial" w:eastAsia="Times New Roman" w:hAnsi="Arial" w:cs="Arial"/>
          <w:sz w:val="26"/>
          <w:szCs w:val="26"/>
        </w:rPr>
      </w:pPr>
    </w:p>
    <w:p w14:paraId="3C201C24" w14:textId="77777777" w:rsidR="00DF4F71" w:rsidRPr="007E36E2" w:rsidRDefault="00DF4F71" w:rsidP="00DF4F71">
      <w:pPr>
        <w:tabs>
          <w:tab w:val="center" w:pos="4135"/>
          <w:tab w:val="left" w:pos="7515"/>
        </w:tabs>
        <w:spacing w:line="360" w:lineRule="auto"/>
        <w:rPr>
          <w:rFonts w:ascii="Arial" w:eastAsia="Times New Roman" w:hAnsi="Arial" w:cs="Arial"/>
          <w:sz w:val="26"/>
          <w:szCs w:val="26"/>
        </w:rPr>
      </w:pPr>
    </w:p>
    <w:p w14:paraId="36E45AF5" w14:textId="77777777" w:rsidR="00DF4F71" w:rsidRPr="007E36E2" w:rsidRDefault="00DF4F71" w:rsidP="00DF4F71">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1824696" w14:textId="77777777" w:rsidR="00DF4F71" w:rsidRPr="007E36E2" w:rsidRDefault="00DF4F71" w:rsidP="00DF4F71">
      <w:pPr>
        <w:spacing w:after="0" w:line="240" w:lineRule="auto"/>
        <w:jc w:val="center"/>
        <w:rPr>
          <w:rFonts w:ascii="Arial" w:eastAsia="Times New Roman" w:hAnsi="Arial" w:cs="Arial"/>
          <w:sz w:val="26"/>
          <w:szCs w:val="26"/>
        </w:rPr>
      </w:pPr>
    </w:p>
    <w:p w14:paraId="2DDAE3AD" w14:textId="77777777" w:rsidR="00DF4F71" w:rsidRPr="007E36E2" w:rsidRDefault="00DF4F71" w:rsidP="00DF4F71">
      <w:pPr>
        <w:spacing w:after="0" w:line="240" w:lineRule="auto"/>
        <w:jc w:val="center"/>
        <w:rPr>
          <w:rFonts w:ascii="Arial" w:eastAsia="Times New Roman" w:hAnsi="Arial" w:cs="Arial"/>
          <w:sz w:val="26"/>
          <w:szCs w:val="26"/>
        </w:rPr>
      </w:pPr>
    </w:p>
    <w:p w14:paraId="415D2F00" w14:textId="77777777" w:rsidR="00DF4F71" w:rsidRDefault="00DF4F71" w:rsidP="00DF4F71">
      <w:pPr>
        <w:spacing w:after="0" w:line="240" w:lineRule="auto"/>
        <w:jc w:val="center"/>
        <w:rPr>
          <w:rFonts w:ascii="Arial" w:eastAsia="Times New Roman" w:hAnsi="Arial" w:cs="Arial"/>
          <w:sz w:val="26"/>
          <w:szCs w:val="26"/>
        </w:rPr>
      </w:pPr>
    </w:p>
    <w:p w14:paraId="2EE0F3F5" w14:textId="77777777" w:rsidR="00DF4F71" w:rsidRPr="007E36E2" w:rsidRDefault="00DF4F71" w:rsidP="00DF4F71">
      <w:pPr>
        <w:spacing w:after="0" w:line="240" w:lineRule="auto"/>
        <w:jc w:val="center"/>
        <w:rPr>
          <w:rFonts w:ascii="Arial" w:eastAsia="Times New Roman" w:hAnsi="Arial" w:cs="Arial"/>
          <w:sz w:val="26"/>
          <w:szCs w:val="26"/>
        </w:rPr>
      </w:pPr>
    </w:p>
    <w:p w14:paraId="06FBD97F" w14:textId="77777777" w:rsidR="00DF4F71" w:rsidRPr="007E36E2" w:rsidRDefault="00DF4F71" w:rsidP="00DF4F71">
      <w:pPr>
        <w:spacing w:after="0" w:line="240" w:lineRule="auto"/>
        <w:jc w:val="center"/>
        <w:rPr>
          <w:rFonts w:ascii="Arial" w:eastAsia="Times New Roman" w:hAnsi="Arial" w:cs="Arial"/>
          <w:sz w:val="26"/>
          <w:szCs w:val="26"/>
        </w:rPr>
      </w:pPr>
    </w:p>
    <w:p w14:paraId="06D3884D" w14:textId="77777777" w:rsidR="00DF4F71" w:rsidRPr="007E36E2" w:rsidRDefault="00DF4F71" w:rsidP="00DF4F71">
      <w:pPr>
        <w:spacing w:after="0" w:line="240" w:lineRule="auto"/>
        <w:jc w:val="center"/>
        <w:rPr>
          <w:rFonts w:ascii="Arial" w:eastAsia="Times New Roman" w:hAnsi="Arial" w:cs="Arial"/>
          <w:sz w:val="26"/>
          <w:szCs w:val="26"/>
        </w:rPr>
      </w:pPr>
    </w:p>
    <w:p w14:paraId="7C20970F" w14:textId="77777777" w:rsidR="00DF4F71" w:rsidRPr="007E36E2" w:rsidRDefault="00DF4F71" w:rsidP="00DF4F71">
      <w:pPr>
        <w:spacing w:after="0" w:line="240" w:lineRule="auto"/>
        <w:jc w:val="center"/>
        <w:rPr>
          <w:rFonts w:ascii="Arial" w:eastAsia="Times New Roman" w:hAnsi="Arial" w:cs="Arial"/>
          <w:sz w:val="26"/>
          <w:szCs w:val="26"/>
        </w:rPr>
      </w:pPr>
    </w:p>
    <w:p w14:paraId="09501749" w14:textId="77777777" w:rsidR="00DF4F71" w:rsidRPr="007E36E2" w:rsidRDefault="00DF4F71" w:rsidP="00DF4F71">
      <w:pPr>
        <w:spacing w:after="0" w:line="240" w:lineRule="auto"/>
        <w:jc w:val="center"/>
        <w:rPr>
          <w:rFonts w:ascii="Arial" w:eastAsia="Times New Roman" w:hAnsi="Arial" w:cs="Arial"/>
          <w:sz w:val="26"/>
          <w:szCs w:val="26"/>
        </w:rPr>
      </w:pPr>
    </w:p>
    <w:p w14:paraId="6099F04F" w14:textId="77777777" w:rsidR="00DF4F71" w:rsidRPr="007E36E2" w:rsidRDefault="00DF4F71" w:rsidP="00DF4F71">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0CA4E7A9" w14:textId="77777777" w:rsidR="00DF4F71" w:rsidRPr="007E36E2" w:rsidRDefault="00DF4F71" w:rsidP="00DF4F71">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0453FE0" w14:textId="096C39C8" w:rsidR="00BA258A" w:rsidRPr="003B6CF0" w:rsidRDefault="00BA258A" w:rsidP="00DF4F71">
      <w:pPr>
        <w:tabs>
          <w:tab w:val="left" w:pos="1680"/>
          <w:tab w:val="center" w:pos="4277"/>
        </w:tabs>
        <w:spacing w:after="0" w:line="240" w:lineRule="auto"/>
        <w:jc w:val="center"/>
      </w:pPr>
    </w:p>
    <w:sectPr w:rsidR="00BA258A" w:rsidRPr="003B6CF0"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EF114" w14:textId="77777777" w:rsidR="00F83953" w:rsidRDefault="00F83953">
      <w:pPr>
        <w:spacing w:after="0" w:line="240" w:lineRule="auto"/>
      </w:pPr>
      <w:r>
        <w:separator/>
      </w:r>
    </w:p>
  </w:endnote>
  <w:endnote w:type="continuationSeparator" w:id="0">
    <w:p w14:paraId="1CD85646" w14:textId="77777777" w:rsidR="00F83953" w:rsidRDefault="00F83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8B494D" w:rsidRDefault="008B494D">
    <w:pPr>
      <w:pStyle w:val="Piedepgina"/>
      <w:jc w:val="center"/>
    </w:pPr>
  </w:p>
  <w:p w14:paraId="195FF414" w14:textId="77777777" w:rsidR="008B494D" w:rsidRDefault="008B494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9FAF2" w14:textId="77777777" w:rsidR="00F83953" w:rsidRDefault="00F83953">
      <w:pPr>
        <w:spacing w:after="0" w:line="240" w:lineRule="auto"/>
      </w:pPr>
      <w:r>
        <w:separator/>
      </w:r>
    </w:p>
  </w:footnote>
  <w:footnote w:type="continuationSeparator" w:id="0">
    <w:p w14:paraId="349E92E9" w14:textId="77777777" w:rsidR="00F83953" w:rsidRDefault="00F83953">
      <w:pPr>
        <w:spacing w:after="0" w:line="240" w:lineRule="auto"/>
      </w:pPr>
      <w:r>
        <w:continuationSeparator/>
      </w:r>
    </w:p>
  </w:footnote>
  <w:footnote w:id="1">
    <w:p w14:paraId="74655896" w14:textId="77777777" w:rsidR="00C91F07" w:rsidRPr="00FE676C" w:rsidRDefault="00C91F07" w:rsidP="00C91F07">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14:paraId="6F045C37" w14:textId="77777777" w:rsidR="00C91F07" w:rsidRPr="00FE676C" w:rsidRDefault="00C91F07" w:rsidP="00C91F07">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14:paraId="25910690" w14:textId="5318AC0E" w:rsidR="006D51EF" w:rsidRPr="006D51EF" w:rsidRDefault="006D51EF" w:rsidP="006D51EF">
      <w:pPr>
        <w:pStyle w:val="Textonotapie"/>
        <w:jc w:val="both"/>
        <w:rPr>
          <w:rFonts w:ascii="Arial" w:hAnsi="Arial" w:cs="Arial"/>
        </w:rPr>
      </w:pPr>
      <w:r w:rsidRPr="006D51EF">
        <w:rPr>
          <w:rStyle w:val="Refdenotaalpie"/>
          <w:rFonts w:ascii="Arial" w:hAnsi="Arial" w:cs="Arial"/>
        </w:rPr>
        <w:footnoteRef/>
      </w:r>
      <w:r w:rsidRPr="006D51EF">
        <w:rPr>
          <w:rFonts w:ascii="Arial" w:hAnsi="Arial" w:cs="Arial"/>
        </w:rPr>
        <w:t xml:space="preserve"> Visible de la foja 3 (tres) a la 8 (ocho) </w:t>
      </w:r>
      <w:bookmarkStart w:id="1" w:name="_Hlk109388308"/>
      <w:r w:rsidRPr="006D51EF">
        <w:rPr>
          <w:rFonts w:ascii="Arial" w:hAnsi="Arial" w:cs="Arial"/>
        </w:rPr>
        <w:t xml:space="preserve">del cuadernillo de copias certificadas del expediente </w:t>
      </w:r>
      <w:r w:rsidRPr="006D51EF">
        <w:rPr>
          <w:rFonts w:ascii="Arial" w:hAnsi="Arial" w:cs="Arial"/>
          <w:b/>
          <w:bCs/>
        </w:rPr>
        <w:t>0003/2022</w:t>
      </w:r>
      <w:r w:rsidRPr="006D51EF">
        <w:rPr>
          <w:rFonts w:ascii="Arial" w:hAnsi="Arial" w:cs="Arial"/>
        </w:rPr>
        <w:t xml:space="preserve"> del índice de la Quinta Sala Unitaria de Primera Instancia.</w:t>
      </w:r>
    </w:p>
    <w:bookmarkEnd w:id="1"/>
  </w:footnote>
  <w:footnote w:id="3">
    <w:p w14:paraId="6BF160C2" w14:textId="796F08A4" w:rsidR="0035430B" w:rsidRPr="0035430B" w:rsidRDefault="0035430B" w:rsidP="0035430B">
      <w:pPr>
        <w:pStyle w:val="Textonotapie"/>
        <w:jc w:val="both"/>
        <w:rPr>
          <w:rFonts w:ascii="Arial" w:hAnsi="Arial" w:cs="Arial"/>
        </w:rPr>
      </w:pPr>
      <w:r w:rsidRPr="0035430B">
        <w:rPr>
          <w:rStyle w:val="Refdenotaalpie"/>
          <w:rFonts w:ascii="Arial" w:hAnsi="Arial" w:cs="Arial"/>
        </w:rPr>
        <w:footnoteRef/>
      </w:r>
      <w:r w:rsidRPr="0035430B">
        <w:rPr>
          <w:rFonts w:ascii="Arial" w:hAnsi="Arial" w:cs="Arial"/>
        </w:rPr>
        <w:t xml:space="preserve"> </w:t>
      </w:r>
      <w:r>
        <w:rPr>
          <w:rFonts w:ascii="Arial" w:hAnsi="Arial" w:cs="Arial"/>
        </w:rPr>
        <w:t>A</w:t>
      </w:r>
      <w:r w:rsidRPr="0035430B">
        <w:rPr>
          <w:rFonts w:ascii="Arial" w:hAnsi="Arial" w:cs="Arial"/>
        </w:rPr>
        <w:t xml:space="preserve">gregado de la foja 9 (nueve) a la 13 (trece) del del cuadernillo de copias certificadas del expediente </w:t>
      </w:r>
      <w:r w:rsidRPr="0035430B">
        <w:rPr>
          <w:rFonts w:ascii="Arial" w:hAnsi="Arial" w:cs="Arial"/>
          <w:b/>
          <w:bCs/>
        </w:rPr>
        <w:t>0003/2022</w:t>
      </w:r>
      <w:r w:rsidRPr="0035430B">
        <w:rPr>
          <w:rFonts w:ascii="Arial" w:hAnsi="Arial" w:cs="Arial"/>
        </w:rPr>
        <w:t xml:space="preserve"> del índice de la Quinta Sala Unitaria de Primera Instancia.</w:t>
      </w:r>
    </w:p>
    <w:p w14:paraId="754F4447" w14:textId="2619E14C" w:rsidR="0035430B" w:rsidRPr="0035430B" w:rsidRDefault="0035430B">
      <w:pPr>
        <w:pStyle w:val="Textonotapie"/>
        <w:rPr>
          <w:rFonts w:ascii="Arial" w:hAnsi="Arial" w:cs="Arial"/>
        </w:rPr>
      </w:pPr>
    </w:p>
  </w:footnote>
  <w:footnote w:id="4">
    <w:p w14:paraId="1C1DB18C" w14:textId="3AA5F4BD" w:rsidR="00281756" w:rsidRPr="00281756" w:rsidRDefault="00281756" w:rsidP="00281756">
      <w:pPr>
        <w:pStyle w:val="Textonotapie"/>
        <w:jc w:val="both"/>
        <w:rPr>
          <w:rFonts w:ascii="Arial" w:hAnsi="Arial" w:cs="Arial"/>
          <w:i/>
          <w:iCs/>
        </w:rPr>
      </w:pPr>
      <w:r w:rsidRPr="00281756">
        <w:rPr>
          <w:rStyle w:val="Refdenotaalpie"/>
          <w:rFonts w:ascii="Arial" w:hAnsi="Arial" w:cs="Arial"/>
          <w:i/>
          <w:iCs/>
        </w:rPr>
        <w:footnoteRef/>
      </w:r>
      <w:r w:rsidRPr="00281756">
        <w:rPr>
          <w:rFonts w:ascii="Arial" w:hAnsi="Arial" w:cs="Arial"/>
          <w:i/>
          <w:iCs/>
        </w:rPr>
        <w:t xml:space="preserve"> </w:t>
      </w:r>
      <w:r w:rsidRPr="00281756">
        <w:rPr>
          <w:rFonts w:ascii="Arial" w:hAnsi="Arial" w:cs="Arial"/>
          <w:b/>
          <w:bCs/>
          <w:i/>
          <w:iCs/>
        </w:rPr>
        <w:t xml:space="preserve">ARTÍCULO 130.- </w:t>
      </w:r>
      <w:r w:rsidRPr="00281756">
        <w:rPr>
          <w:rFonts w:ascii="Arial" w:hAnsi="Arial" w:cs="Arial"/>
          <w:i/>
          <w:iCs/>
        </w:rPr>
        <w:t>La Sala Superior tendrá las siguientes atribuciones:</w:t>
      </w:r>
    </w:p>
    <w:p w14:paraId="0BAACF87" w14:textId="0EA8A03A" w:rsidR="00281756" w:rsidRPr="00281756" w:rsidRDefault="00281756" w:rsidP="00281756">
      <w:pPr>
        <w:pStyle w:val="Textonotapie"/>
        <w:jc w:val="both"/>
        <w:rPr>
          <w:rFonts w:ascii="Arial" w:hAnsi="Arial" w:cs="Arial"/>
          <w:i/>
          <w:iCs/>
        </w:rPr>
      </w:pPr>
      <w:r w:rsidRPr="00281756">
        <w:rPr>
          <w:rFonts w:ascii="Arial" w:hAnsi="Arial" w:cs="Arial"/>
          <w:i/>
          <w:iCs/>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p>
  </w:footnote>
  <w:footnote w:id="5">
    <w:p w14:paraId="0879AA0F" w14:textId="6E92613A" w:rsidR="00281756" w:rsidRPr="00281756" w:rsidRDefault="00281756">
      <w:pPr>
        <w:pStyle w:val="Textonotapie"/>
        <w:rPr>
          <w:rFonts w:ascii="Arial" w:hAnsi="Arial" w:cs="Arial"/>
          <w:i/>
          <w:iCs/>
        </w:rPr>
      </w:pPr>
      <w:r w:rsidRPr="00281756">
        <w:rPr>
          <w:rStyle w:val="Refdenotaalpie"/>
          <w:rFonts w:ascii="Arial" w:hAnsi="Arial" w:cs="Arial"/>
          <w:b/>
          <w:bCs/>
          <w:i/>
          <w:iCs/>
        </w:rPr>
        <w:footnoteRef/>
      </w:r>
      <w:r w:rsidRPr="00281756">
        <w:rPr>
          <w:rFonts w:ascii="Arial" w:hAnsi="Arial" w:cs="Arial"/>
          <w:b/>
          <w:bCs/>
          <w:i/>
          <w:iCs/>
        </w:rPr>
        <w:t xml:space="preserve"> ARTÍCULO 24.- </w:t>
      </w:r>
      <w:r w:rsidRPr="00281756">
        <w:rPr>
          <w:rFonts w:ascii="Arial" w:hAnsi="Arial" w:cs="Arial"/>
          <w:i/>
          <w:iCs/>
        </w:rPr>
        <w:t>Son atribuciones de la Sala Superior:</w:t>
      </w:r>
    </w:p>
    <w:p w14:paraId="0B7F38B2" w14:textId="0CBB44AA" w:rsidR="00281756" w:rsidRPr="00281756" w:rsidRDefault="00281756">
      <w:pPr>
        <w:pStyle w:val="Textonotapie"/>
        <w:rPr>
          <w:rFonts w:ascii="Arial" w:hAnsi="Arial" w:cs="Arial"/>
          <w:i/>
          <w:iCs/>
        </w:rPr>
      </w:pPr>
      <w:r w:rsidRPr="00281756">
        <w:rPr>
          <w:rFonts w:ascii="Arial" w:hAnsi="Arial" w:cs="Arial"/>
          <w:i/>
          <w:iCs/>
        </w:rPr>
        <w:t>I. Resolver el recurso de revisión y Juicio de Inconformidad previstos en la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B6575F8" w:rsidR="008B494D" w:rsidRDefault="008B4BF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8B494D">
          <w:fldChar w:fldCharType="begin"/>
        </w:r>
        <w:r w:rsidR="008B494D">
          <w:instrText>PAGE   \* MERGEFORMAT</w:instrText>
        </w:r>
        <w:r w:rsidR="008B494D">
          <w:fldChar w:fldCharType="separate"/>
        </w:r>
        <w:r w:rsidRPr="008B4BFA">
          <w:rPr>
            <w:noProof/>
            <w:lang w:val="es-ES"/>
          </w:rPr>
          <w:t>10</w:t>
        </w:r>
        <w:r w:rsidR="008B494D">
          <w:fldChar w:fldCharType="end"/>
        </w:r>
      </w:p>
    </w:sdtContent>
  </w:sdt>
  <w:p w14:paraId="0E68208C" w14:textId="77777777" w:rsidR="008B494D" w:rsidRDefault="008B49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060B1CD" w:rsidR="008B494D" w:rsidRDefault="008B4BF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B494D">
          <w:fldChar w:fldCharType="begin"/>
        </w:r>
        <w:r w:rsidR="008B494D">
          <w:instrText>PAGE   \* MERGEFORMAT</w:instrText>
        </w:r>
        <w:r w:rsidR="008B494D">
          <w:fldChar w:fldCharType="separate"/>
        </w:r>
        <w:r w:rsidRPr="008B4BFA">
          <w:rPr>
            <w:noProof/>
            <w:lang w:val="es-ES"/>
          </w:rPr>
          <w:t>11</w:t>
        </w:r>
        <w:r w:rsidR="008B494D">
          <w:fldChar w:fldCharType="end"/>
        </w:r>
      </w:sdtContent>
    </w:sdt>
  </w:p>
  <w:p w14:paraId="51E22156" w14:textId="1B8B3BF2" w:rsidR="008B494D" w:rsidRDefault="002C4B8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F043A91" wp14:editId="618A8E8A">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0478A6B" w14:textId="77777777" w:rsidR="002C4B8A" w:rsidRDefault="002C4B8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43A91"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0478A6B" w14:textId="77777777" w:rsidR="002C4B8A" w:rsidRDefault="002C4B8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B494D"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3897BB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BE16603"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8B494D" w:rsidRDefault="008B4BF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01D"/>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69D"/>
    <w:rsid w:val="000C1E6B"/>
    <w:rsid w:val="000C238B"/>
    <w:rsid w:val="000C2764"/>
    <w:rsid w:val="000C3DC9"/>
    <w:rsid w:val="000C4139"/>
    <w:rsid w:val="000C47B5"/>
    <w:rsid w:val="000C506E"/>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1E9"/>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CDF"/>
    <w:rsid w:val="00171FD7"/>
    <w:rsid w:val="00172100"/>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F76"/>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6BC3"/>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3D00"/>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41F"/>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1756"/>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0AE0"/>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4B8A"/>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2D94"/>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30B"/>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06F4"/>
    <w:rsid w:val="00381DC3"/>
    <w:rsid w:val="0038228C"/>
    <w:rsid w:val="00382BDE"/>
    <w:rsid w:val="003859C4"/>
    <w:rsid w:val="00385B11"/>
    <w:rsid w:val="00385EA5"/>
    <w:rsid w:val="00386F92"/>
    <w:rsid w:val="003874C3"/>
    <w:rsid w:val="00387725"/>
    <w:rsid w:val="00387C65"/>
    <w:rsid w:val="00387DAC"/>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2B7"/>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ACF"/>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6AB9"/>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B7"/>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2762"/>
    <w:rsid w:val="004E32FC"/>
    <w:rsid w:val="004E3E15"/>
    <w:rsid w:val="004E425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DBD"/>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7B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55D0"/>
    <w:rsid w:val="005A69C8"/>
    <w:rsid w:val="005A6A9E"/>
    <w:rsid w:val="005A752F"/>
    <w:rsid w:val="005B1E67"/>
    <w:rsid w:val="005B223E"/>
    <w:rsid w:val="005B2365"/>
    <w:rsid w:val="005B296A"/>
    <w:rsid w:val="005B3184"/>
    <w:rsid w:val="005B36F5"/>
    <w:rsid w:val="005B3BB9"/>
    <w:rsid w:val="005B3F3B"/>
    <w:rsid w:val="005B3FFB"/>
    <w:rsid w:val="005B5FC8"/>
    <w:rsid w:val="005B6E2C"/>
    <w:rsid w:val="005B7761"/>
    <w:rsid w:val="005C08BA"/>
    <w:rsid w:val="005C0DC0"/>
    <w:rsid w:val="005C194D"/>
    <w:rsid w:val="005C21B5"/>
    <w:rsid w:val="005C3179"/>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0ECD"/>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996"/>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3DBE"/>
    <w:rsid w:val="00624802"/>
    <w:rsid w:val="00624F20"/>
    <w:rsid w:val="00625F4E"/>
    <w:rsid w:val="00626352"/>
    <w:rsid w:val="006279BE"/>
    <w:rsid w:val="00627D62"/>
    <w:rsid w:val="006304BB"/>
    <w:rsid w:val="0063071F"/>
    <w:rsid w:val="00630C62"/>
    <w:rsid w:val="00631207"/>
    <w:rsid w:val="0063273E"/>
    <w:rsid w:val="00632BA4"/>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472"/>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42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45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1EF"/>
    <w:rsid w:val="006D54E1"/>
    <w:rsid w:val="006D5A11"/>
    <w:rsid w:val="006D668F"/>
    <w:rsid w:val="006E0406"/>
    <w:rsid w:val="006E063E"/>
    <w:rsid w:val="006E09D6"/>
    <w:rsid w:val="006E1695"/>
    <w:rsid w:val="006E197B"/>
    <w:rsid w:val="006E1AC8"/>
    <w:rsid w:val="006E1CF7"/>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4FBF"/>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2B"/>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368"/>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4333"/>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2A1D"/>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94D"/>
    <w:rsid w:val="008B4BFA"/>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236"/>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CAA"/>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4D79"/>
    <w:rsid w:val="00945295"/>
    <w:rsid w:val="0094562D"/>
    <w:rsid w:val="009466F3"/>
    <w:rsid w:val="009469C2"/>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06E4"/>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103"/>
    <w:rsid w:val="009C6929"/>
    <w:rsid w:val="009C6A52"/>
    <w:rsid w:val="009C72C2"/>
    <w:rsid w:val="009D032C"/>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2B7"/>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8F6"/>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A5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4B9"/>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0F57"/>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4E64"/>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B7"/>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BF707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36DD"/>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F2B"/>
    <w:rsid w:val="00C84998"/>
    <w:rsid w:val="00C855DB"/>
    <w:rsid w:val="00C9111E"/>
    <w:rsid w:val="00C91446"/>
    <w:rsid w:val="00C919AB"/>
    <w:rsid w:val="00C91F07"/>
    <w:rsid w:val="00C92681"/>
    <w:rsid w:val="00C94994"/>
    <w:rsid w:val="00C94C04"/>
    <w:rsid w:val="00C951C1"/>
    <w:rsid w:val="00C95FEF"/>
    <w:rsid w:val="00C9600B"/>
    <w:rsid w:val="00C962CF"/>
    <w:rsid w:val="00C96BE2"/>
    <w:rsid w:val="00C96C1A"/>
    <w:rsid w:val="00C96F6C"/>
    <w:rsid w:val="00C977C1"/>
    <w:rsid w:val="00C97806"/>
    <w:rsid w:val="00C978B4"/>
    <w:rsid w:val="00CA069E"/>
    <w:rsid w:val="00CA1A5E"/>
    <w:rsid w:val="00CA1BD1"/>
    <w:rsid w:val="00CA1D49"/>
    <w:rsid w:val="00CA2377"/>
    <w:rsid w:val="00CA265A"/>
    <w:rsid w:val="00CA26C0"/>
    <w:rsid w:val="00CA2D94"/>
    <w:rsid w:val="00CA3C53"/>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D6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DC3"/>
    <w:rsid w:val="00DB6A81"/>
    <w:rsid w:val="00DB77AF"/>
    <w:rsid w:val="00DB7F38"/>
    <w:rsid w:val="00DC09F8"/>
    <w:rsid w:val="00DC0D1A"/>
    <w:rsid w:val="00DC0E42"/>
    <w:rsid w:val="00DC1C5C"/>
    <w:rsid w:val="00DC2465"/>
    <w:rsid w:val="00DC252B"/>
    <w:rsid w:val="00DC2811"/>
    <w:rsid w:val="00DC458D"/>
    <w:rsid w:val="00DC4BE1"/>
    <w:rsid w:val="00DC5054"/>
    <w:rsid w:val="00DC596B"/>
    <w:rsid w:val="00DC5CB1"/>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FE"/>
    <w:rsid w:val="00DF1F74"/>
    <w:rsid w:val="00DF2FA1"/>
    <w:rsid w:val="00DF4F7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5FDB"/>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5DEB"/>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33"/>
    <w:rsid w:val="00E37775"/>
    <w:rsid w:val="00E37879"/>
    <w:rsid w:val="00E40220"/>
    <w:rsid w:val="00E4029A"/>
    <w:rsid w:val="00E410B5"/>
    <w:rsid w:val="00E41DFA"/>
    <w:rsid w:val="00E4205C"/>
    <w:rsid w:val="00E42264"/>
    <w:rsid w:val="00E42D1E"/>
    <w:rsid w:val="00E433EA"/>
    <w:rsid w:val="00E43435"/>
    <w:rsid w:val="00E44850"/>
    <w:rsid w:val="00E44E11"/>
    <w:rsid w:val="00E455A1"/>
    <w:rsid w:val="00E45DF0"/>
    <w:rsid w:val="00E45F05"/>
    <w:rsid w:val="00E47A30"/>
    <w:rsid w:val="00E50E0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574"/>
    <w:rsid w:val="00F006A9"/>
    <w:rsid w:val="00F009EB"/>
    <w:rsid w:val="00F017FB"/>
    <w:rsid w:val="00F01F7A"/>
    <w:rsid w:val="00F01FDC"/>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0E59"/>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1D1"/>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127"/>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953"/>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0FA"/>
    <w:rsid w:val="00FB567E"/>
    <w:rsid w:val="00FB5DB2"/>
    <w:rsid w:val="00FB7C38"/>
    <w:rsid w:val="00FB7F1F"/>
    <w:rsid w:val="00FC054A"/>
    <w:rsid w:val="00FC0790"/>
    <w:rsid w:val="00FC0A0D"/>
    <w:rsid w:val="00FC0F4A"/>
    <w:rsid w:val="00FC1289"/>
    <w:rsid w:val="00FC16C4"/>
    <w:rsid w:val="00FC1758"/>
    <w:rsid w:val="00FC2C91"/>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4B75"/>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280687-6452-460D-8B60-C38C0079A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12</Pages>
  <Words>4428</Words>
  <Characters>24356</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32</cp:revision>
  <cp:lastPrinted>2022-10-13T20:32:00Z</cp:lastPrinted>
  <dcterms:created xsi:type="dcterms:W3CDTF">2022-07-22T01:52:00Z</dcterms:created>
  <dcterms:modified xsi:type="dcterms:W3CDTF">2023-02-23T17:09:00Z</dcterms:modified>
</cp:coreProperties>
</file>