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11185E08"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07587">
        <w:rPr>
          <w:rFonts w:ascii="Arial" w:hAnsi="Arial" w:cs="Arial"/>
          <w:b/>
          <w:sz w:val="24"/>
          <w:szCs w:val="24"/>
        </w:rPr>
        <w:t>VEINTIOCHO</w:t>
      </w:r>
      <w:r w:rsidR="002C53F6">
        <w:rPr>
          <w:rFonts w:ascii="Arial" w:hAnsi="Arial" w:cs="Arial"/>
          <w:b/>
          <w:sz w:val="24"/>
          <w:szCs w:val="24"/>
        </w:rPr>
        <w:t xml:space="preserve"> DE </w:t>
      </w:r>
      <w:r w:rsidR="00C912C9">
        <w:rPr>
          <w:rFonts w:ascii="Arial" w:hAnsi="Arial" w:cs="Arial"/>
          <w:b/>
          <w:sz w:val="24"/>
          <w:szCs w:val="24"/>
        </w:rPr>
        <w:t>MAYO</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307587">
        <w:rPr>
          <w:rFonts w:ascii="Arial" w:hAnsi="Arial" w:cs="Arial"/>
          <w:b/>
          <w:sz w:val="24"/>
          <w:szCs w:val="24"/>
        </w:rPr>
        <w:t>28</w:t>
      </w:r>
      <w:r w:rsidR="005F0498">
        <w:rPr>
          <w:rFonts w:ascii="Arial" w:hAnsi="Arial" w:cs="Arial"/>
          <w:b/>
          <w:sz w:val="24"/>
          <w:szCs w:val="24"/>
        </w:rPr>
        <w:t>/</w:t>
      </w:r>
      <w:r w:rsidR="00C912C9">
        <w:rPr>
          <w:rFonts w:ascii="Arial" w:hAnsi="Arial" w:cs="Arial"/>
          <w:b/>
          <w:sz w:val="24"/>
          <w:szCs w:val="24"/>
        </w:rPr>
        <w:t>05</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FEE02F7" w14:textId="667A795E"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VISTOS</w:t>
      </w:r>
      <w:r w:rsidR="00654961">
        <w:rPr>
          <w:rFonts w:ascii="Arial" w:hAnsi="Arial" w:cs="Arial"/>
          <w:b/>
          <w:sz w:val="24"/>
          <w:szCs w:val="24"/>
        </w:rPr>
        <w:t>,</w:t>
      </w:r>
      <w:r w:rsidR="00610A68" w:rsidRPr="001042B6">
        <w:rPr>
          <w:rFonts w:ascii="Arial" w:hAnsi="Arial" w:cs="Arial"/>
          <w:b/>
          <w:sz w:val="24"/>
          <w:szCs w:val="24"/>
        </w:rPr>
        <w:t xml:space="preserve"> </w:t>
      </w:r>
      <w:r w:rsidR="00610A68" w:rsidRPr="001042B6">
        <w:rPr>
          <w:rFonts w:ascii="Arial" w:hAnsi="Arial" w:cs="Arial"/>
          <w:sz w:val="24"/>
          <w:szCs w:val="24"/>
        </w:rPr>
        <w:t xml:space="preserve">los autos del Juicio de Nulidad </w:t>
      </w:r>
      <w:r w:rsidR="00924B8A">
        <w:rPr>
          <w:rFonts w:ascii="Arial" w:hAnsi="Arial" w:cs="Arial"/>
          <w:sz w:val="24"/>
          <w:szCs w:val="24"/>
        </w:rPr>
        <w:t>0</w:t>
      </w:r>
      <w:r w:rsidR="00564A26">
        <w:rPr>
          <w:rFonts w:ascii="Arial" w:hAnsi="Arial" w:cs="Arial"/>
          <w:sz w:val="24"/>
          <w:szCs w:val="24"/>
        </w:rPr>
        <w:t>0</w:t>
      </w:r>
      <w:r w:rsidR="005F70E4">
        <w:rPr>
          <w:rFonts w:ascii="Arial" w:hAnsi="Arial" w:cs="Arial"/>
          <w:sz w:val="24"/>
          <w:szCs w:val="24"/>
        </w:rPr>
        <w:t>51</w:t>
      </w:r>
      <w:r w:rsidR="00610A68" w:rsidRPr="001042B6">
        <w:rPr>
          <w:rFonts w:ascii="Arial" w:hAnsi="Arial" w:cs="Arial"/>
          <w:sz w:val="24"/>
          <w:szCs w:val="24"/>
        </w:rPr>
        <w:t>/20</w:t>
      </w:r>
      <w:r w:rsidR="00564A26">
        <w:rPr>
          <w:rFonts w:ascii="Arial" w:hAnsi="Arial" w:cs="Arial"/>
          <w:sz w:val="24"/>
          <w:szCs w:val="24"/>
        </w:rPr>
        <w:t>20</w:t>
      </w:r>
      <w:r w:rsidR="00610A68" w:rsidRPr="001042B6">
        <w:rPr>
          <w:rFonts w:ascii="Arial" w:hAnsi="Arial" w:cs="Arial"/>
          <w:sz w:val="24"/>
          <w:szCs w:val="24"/>
        </w:rPr>
        <w:t xml:space="preserve">, promovido por </w:t>
      </w:r>
      <w:r w:rsidR="00ED17E3">
        <w:rPr>
          <w:rFonts w:ascii="Arial" w:hAnsi="Arial" w:cs="Arial"/>
          <w:sz w:val="24"/>
          <w:szCs w:val="24"/>
        </w:rPr>
        <w:t>***** ***** ***** *****</w:t>
      </w:r>
      <w:r w:rsidR="00610A68" w:rsidRPr="001042B6">
        <w:rPr>
          <w:rFonts w:ascii="Arial" w:hAnsi="Arial" w:cs="Arial"/>
          <w:sz w:val="24"/>
          <w:szCs w:val="24"/>
        </w:rPr>
        <w:t xml:space="preserve">, solicitando la nulidad </w:t>
      </w:r>
      <w:r w:rsidR="00F515E4">
        <w:rPr>
          <w:rFonts w:ascii="Arial" w:hAnsi="Arial" w:cs="Arial"/>
          <w:sz w:val="24"/>
          <w:szCs w:val="24"/>
        </w:rPr>
        <w:t xml:space="preserve">de la resolución contenida en </w:t>
      </w:r>
      <w:r w:rsidR="00610A68" w:rsidRPr="001042B6">
        <w:rPr>
          <w:rFonts w:ascii="Arial" w:hAnsi="Arial" w:cs="Arial"/>
          <w:sz w:val="24"/>
          <w:szCs w:val="24"/>
        </w:rPr>
        <w:t>e</w:t>
      </w:r>
      <w:r w:rsidR="009658A2">
        <w:rPr>
          <w:rFonts w:ascii="Arial" w:hAnsi="Arial" w:cs="Arial"/>
          <w:sz w:val="24"/>
          <w:szCs w:val="24"/>
        </w:rPr>
        <w:t xml:space="preserve">l </w:t>
      </w:r>
      <w:r w:rsidR="00564A26">
        <w:rPr>
          <w:rFonts w:ascii="Arial" w:hAnsi="Arial" w:cs="Arial"/>
          <w:sz w:val="24"/>
          <w:szCs w:val="24"/>
        </w:rPr>
        <w:t xml:space="preserve">oficio </w:t>
      </w:r>
      <w:r w:rsidR="00ED17E3">
        <w:rPr>
          <w:rFonts w:ascii="Arial" w:hAnsi="Arial" w:cs="Arial"/>
          <w:sz w:val="24"/>
          <w:szCs w:val="24"/>
        </w:rPr>
        <w:t>SF/SI/PF/DC/JR/****/2020</w:t>
      </w:r>
      <w:r w:rsidR="00610A68" w:rsidRPr="001042B6">
        <w:rPr>
          <w:rFonts w:ascii="Arial" w:hAnsi="Arial" w:cs="Arial"/>
          <w:sz w:val="24"/>
          <w:szCs w:val="24"/>
        </w:rPr>
        <w:t xml:space="preserve">, de fecha </w:t>
      </w:r>
      <w:r w:rsidR="00ED17E3">
        <w:rPr>
          <w:rFonts w:ascii="Arial" w:hAnsi="Arial" w:cs="Arial"/>
          <w:sz w:val="24"/>
          <w:szCs w:val="24"/>
        </w:rPr>
        <w:t>***** de ***** de dos mil veinte (**/**/2020)</w:t>
      </w:r>
      <w:r w:rsidR="00610A68" w:rsidRPr="001042B6">
        <w:rPr>
          <w:rFonts w:ascii="Arial" w:hAnsi="Arial" w:cs="Arial"/>
          <w:sz w:val="24"/>
          <w:szCs w:val="24"/>
        </w:rPr>
        <w:t>, emitid</w:t>
      </w:r>
      <w:r w:rsidR="009658A2">
        <w:rPr>
          <w:rFonts w:ascii="Arial" w:hAnsi="Arial" w:cs="Arial"/>
          <w:sz w:val="24"/>
          <w:szCs w:val="24"/>
        </w:rPr>
        <w:t>o</w:t>
      </w:r>
      <w:r w:rsidR="00610A68" w:rsidRPr="001042B6">
        <w:rPr>
          <w:rFonts w:ascii="Arial" w:hAnsi="Arial" w:cs="Arial"/>
          <w:sz w:val="24"/>
          <w:szCs w:val="24"/>
        </w:rPr>
        <w:t xml:space="preserve"> </w:t>
      </w:r>
      <w:r w:rsidR="00564A26">
        <w:rPr>
          <w:rFonts w:ascii="Arial" w:hAnsi="Arial" w:cs="Arial"/>
          <w:sz w:val="24"/>
          <w:szCs w:val="24"/>
        </w:rPr>
        <w:t xml:space="preserve">por el </w:t>
      </w:r>
      <w:proofErr w:type="gramStart"/>
      <w:r w:rsidR="00564A26">
        <w:rPr>
          <w:rFonts w:ascii="Arial" w:hAnsi="Arial" w:cs="Arial"/>
          <w:sz w:val="24"/>
          <w:szCs w:val="24"/>
        </w:rPr>
        <w:t>Director</w:t>
      </w:r>
      <w:proofErr w:type="gramEnd"/>
      <w:r w:rsidR="00564A26">
        <w:rPr>
          <w:rFonts w:ascii="Arial" w:hAnsi="Arial" w:cs="Arial"/>
          <w:sz w:val="24"/>
          <w:szCs w:val="24"/>
        </w:rPr>
        <w:t xml:space="preserve"> de lo Contencioso de la Procuraduría Fiscal de la </w:t>
      </w:r>
      <w:r w:rsidR="00F515E4">
        <w:rPr>
          <w:rFonts w:ascii="Arial" w:hAnsi="Arial" w:cs="Arial"/>
          <w:sz w:val="24"/>
          <w:szCs w:val="24"/>
        </w:rPr>
        <w:t>Subs</w:t>
      </w:r>
      <w:r w:rsidR="00564A26">
        <w:rPr>
          <w:rFonts w:ascii="Arial" w:hAnsi="Arial" w:cs="Arial"/>
          <w:sz w:val="24"/>
          <w:szCs w:val="24"/>
        </w:rPr>
        <w:t xml:space="preserve">ecretaría de </w:t>
      </w:r>
      <w:r w:rsidR="00F515E4">
        <w:rPr>
          <w:rFonts w:ascii="Arial" w:hAnsi="Arial" w:cs="Arial"/>
          <w:sz w:val="24"/>
          <w:szCs w:val="24"/>
        </w:rPr>
        <w:t xml:space="preserve">Ingresos de la Secretaría de </w:t>
      </w:r>
      <w:r w:rsidR="00564A26">
        <w:rPr>
          <w:rFonts w:ascii="Arial" w:hAnsi="Arial" w:cs="Arial"/>
          <w:sz w:val="24"/>
          <w:szCs w:val="24"/>
        </w:rPr>
        <w:t>Finanzas del Poder Ejecutivo del Estado de Oaxaca</w:t>
      </w:r>
      <w:r w:rsidR="009658A2">
        <w:rPr>
          <w:rFonts w:ascii="Arial" w:hAnsi="Arial" w:cs="Arial"/>
          <w:sz w:val="24"/>
          <w:szCs w:val="24"/>
        </w:rPr>
        <w:t>,</w:t>
      </w:r>
      <w:r w:rsidR="00610A68" w:rsidRPr="001042B6">
        <w:rPr>
          <w:rFonts w:ascii="Arial" w:hAnsi="Arial" w:cs="Arial"/>
          <w:sz w:val="24"/>
          <w:szCs w:val="24"/>
        </w:rPr>
        <w:t xml:space="preserve"> y, - - - - - - </w:t>
      </w:r>
      <w:r w:rsidR="00ED17E3">
        <w:rPr>
          <w:rFonts w:ascii="Arial" w:hAnsi="Arial" w:cs="Arial"/>
          <w:sz w:val="24"/>
          <w:szCs w:val="24"/>
        </w:rPr>
        <w:t>- - - - - - - - - - - - - - - - - - - -</w:t>
      </w:r>
      <w:r w:rsidR="00ED17E3">
        <w:rPr>
          <w:rFonts w:ascii="Arial" w:hAnsi="Arial" w:cs="Arial"/>
          <w:sz w:val="24"/>
          <w:szCs w:val="24"/>
        </w:rPr>
        <w:t xml:space="preserve">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4D663E95"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F515E4">
        <w:rPr>
          <w:rFonts w:ascii="Arial" w:hAnsi="Arial" w:cs="Arial"/>
          <w:sz w:val="24"/>
          <w:szCs w:val="24"/>
        </w:rPr>
        <w:t>diez</w:t>
      </w:r>
      <w:r w:rsidRPr="001042B6">
        <w:rPr>
          <w:rFonts w:ascii="Arial" w:hAnsi="Arial" w:cs="Arial"/>
          <w:sz w:val="24"/>
          <w:szCs w:val="24"/>
        </w:rPr>
        <w:t xml:space="preserve"> de </w:t>
      </w:r>
      <w:r w:rsidR="00F515E4">
        <w:rPr>
          <w:rFonts w:ascii="Arial" w:hAnsi="Arial" w:cs="Arial"/>
          <w:sz w:val="24"/>
          <w:szCs w:val="24"/>
        </w:rPr>
        <w:t>agosto</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F515E4">
        <w:rPr>
          <w:rFonts w:ascii="Arial" w:hAnsi="Arial" w:cs="Arial"/>
          <w:sz w:val="24"/>
          <w:szCs w:val="24"/>
        </w:rPr>
        <w:t>10</w:t>
      </w:r>
      <w:r w:rsidR="009658A2">
        <w:rPr>
          <w:rFonts w:ascii="Arial" w:hAnsi="Arial" w:cs="Arial"/>
          <w:sz w:val="24"/>
          <w:szCs w:val="24"/>
        </w:rPr>
        <w:t>/</w:t>
      </w:r>
      <w:r w:rsidR="00B961DA">
        <w:rPr>
          <w:rFonts w:ascii="Arial" w:hAnsi="Arial" w:cs="Arial"/>
          <w:sz w:val="24"/>
          <w:szCs w:val="24"/>
        </w:rPr>
        <w:t>0</w:t>
      </w:r>
      <w:r w:rsidR="00F515E4">
        <w:rPr>
          <w:rFonts w:ascii="Arial" w:hAnsi="Arial" w:cs="Arial"/>
          <w:sz w:val="24"/>
          <w:szCs w:val="24"/>
        </w:rPr>
        <w:t>8</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F515E4">
        <w:rPr>
          <w:rFonts w:ascii="Arial" w:hAnsi="Arial" w:cs="Arial"/>
          <w:sz w:val="24"/>
          <w:szCs w:val="24"/>
        </w:rPr>
        <w:t>veinticinco</w:t>
      </w:r>
      <w:r w:rsidRPr="001042B6">
        <w:rPr>
          <w:rFonts w:ascii="Arial" w:hAnsi="Arial" w:cs="Arial"/>
          <w:sz w:val="24"/>
          <w:szCs w:val="24"/>
        </w:rPr>
        <w:t xml:space="preserve"> del mismo</w:t>
      </w:r>
      <w:r w:rsidR="00B961DA">
        <w:rPr>
          <w:rFonts w:ascii="Arial" w:hAnsi="Arial" w:cs="Arial"/>
          <w:sz w:val="24"/>
          <w:szCs w:val="24"/>
        </w:rPr>
        <w:t xml:space="preserve"> mes y año (</w:t>
      </w:r>
      <w:r w:rsidR="00F515E4">
        <w:rPr>
          <w:rFonts w:ascii="Arial" w:hAnsi="Arial" w:cs="Arial"/>
          <w:sz w:val="24"/>
          <w:szCs w:val="24"/>
        </w:rPr>
        <w:t>25</w:t>
      </w:r>
      <w:r w:rsidR="00B961DA">
        <w:rPr>
          <w:rFonts w:ascii="Arial" w:hAnsi="Arial" w:cs="Arial"/>
          <w:sz w:val="24"/>
          <w:szCs w:val="24"/>
        </w:rPr>
        <w:t>/0</w:t>
      </w:r>
      <w:r w:rsidR="00F515E4">
        <w:rPr>
          <w:rFonts w:ascii="Arial" w:hAnsi="Arial" w:cs="Arial"/>
          <w:sz w:val="24"/>
          <w:szCs w:val="24"/>
        </w:rPr>
        <w:t>8</w:t>
      </w:r>
      <w:r w:rsidR="00B961DA">
        <w:rPr>
          <w:rFonts w:ascii="Arial" w:hAnsi="Arial" w:cs="Arial"/>
          <w:sz w:val="24"/>
          <w:szCs w:val="24"/>
        </w:rPr>
        <w:t>/2020)</w:t>
      </w:r>
      <w:r w:rsidRPr="001042B6">
        <w:rPr>
          <w:rFonts w:ascii="Arial" w:hAnsi="Arial" w:cs="Arial"/>
          <w:sz w:val="24"/>
          <w:szCs w:val="24"/>
        </w:rPr>
        <w:t>,</w:t>
      </w:r>
      <w:r w:rsidR="00654961">
        <w:rPr>
          <w:rFonts w:ascii="Arial" w:hAnsi="Arial" w:cs="Arial"/>
          <w:sz w:val="24"/>
          <w:szCs w:val="24"/>
        </w:rPr>
        <w:t xml:space="preserve"> interpuesta por </w:t>
      </w:r>
      <w:r w:rsidR="00ED17E3">
        <w:rPr>
          <w:rFonts w:ascii="Arial" w:hAnsi="Arial" w:cs="Arial"/>
          <w:sz w:val="24"/>
          <w:szCs w:val="24"/>
        </w:rPr>
        <w:t>***** ***** ***** *****</w:t>
      </w:r>
      <w:r w:rsidR="00654961">
        <w:rPr>
          <w:rFonts w:ascii="Arial" w:hAnsi="Arial" w:cs="Arial"/>
          <w:sz w:val="24"/>
          <w:szCs w:val="24"/>
        </w:rPr>
        <w:t xml:space="preserve">, quien demando la nulidad </w:t>
      </w:r>
      <w:r w:rsidR="00F515E4">
        <w:rPr>
          <w:rFonts w:ascii="Arial" w:hAnsi="Arial" w:cs="Arial"/>
          <w:sz w:val="24"/>
          <w:szCs w:val="24"/>
        </w:rPr>
        <w:t xml:space="preserve">de la resolución contenida en </w:t>
      </w:r>
      <w:r w:rsidR="00654961">
        <w:rPr>
          <w:rFonts w:ascii="Arial" w:hAnsi="Arial" w:cs="Arial"/>
          <w:sz w:val="24"/>
          <w:szCs w:val="24"/>
        </w:rPr>
        <w:t xml:space="preserve">el oficio </w:t>
      </w:r>
      <w:r w:rsidR="00ED17E3">
        <w:rPr>
          <w:rFonts w:ascii="Arial" w:hAnsi="Arial" w:cs="Arial"/>
          <w:sz w:val="24"/>
          <w:szCs w:val="24"/>
        </w:rPr>
        <w:t>SF/SI/PF/DC/JR/****/2020</w:t>
      </w:r>
      <w:r w:rsidR="00654961" w:rsidRPr="001042B6">
        <w:rPr>
          <w:rFonts w:ascii="Arial" w:hAnsi="Arial" w:cs="Arial"/>
          <w:sz w:val="24"/>
          <w:szCs w:val="24"/>
        </w:rPr>
        <w:t xml:space="preserve">, de fecha </w:t>
      </w:r>
      <w:r w:rsidR="00ED17E3">
        <w:rPr>
          <w:rFonts w:ascii="Arial" w:hAnsi="Arial" w:cs="Arial"/>
          <w:sz w:val="24"/>
          <w:szCs w:val="24"/>
        </w:rPr>
        <w:t>***** de ***** de dos mil veinte (**/**/2020)</w:t>
      </w:r>
      <w:r w:rsidR="00654961">
        <w:rPr>
          <w:rFonts w:ascii="Arial" w:hAnsi="Arial" w:cs="Arial"/>
          <w:sz w:val="24"/>
          <w:szCs w:val="24"/>
        </w:rPr>
        <w:t xml:space="preserve">, se admitieron las pruebas que ofreció y con copia de la demanda y anexos, se ordenó correr traslado y </w:t>
      </w:r>
      <w:r w:rsidRPr="001042B6">
        <w:rPr>
          <w:rFonts w:ascii="Arial" w:hAnsi="Arial" w:cs="Arial"/>
          <w:sz w:val="24"/>
          <w:szCs w:val="24"/>
        </w:rPr>
        <w:t>emplazar a Juicio a la autoridad demandada</w:t>
      </w:r>
      <w:r w:rsidR="00654961">
        <w:rPr>
          <w:rFonts w:ascii="Arial" w:hAnsi="Arial" w:cs="Arial"/>
          <w:sz w:val="24"/>
          <w:szCs w:val="24"/>
        </w:rPr>
        <w:t xml:space="preserve">, </w:t>
      </w:r>
      <w:r w:rsidR="00F515E4">
        <w:rPr>
          <w:rFonts w:ascii="Arial" w:hAnsi="Arial" w:cs="Arial"/>
          <w:sz w:val="24"/>
          <w:szCs w:val="24"/>
        </w:rPr>
        <w:t>Director de lo Contencioso de la Procuraduría Fiscal de la Subsecretaría de Ingresos de la Secretaría de Finanzas del Poder Ejecutivo del Estado de Oaxaca</w:t>
      </w:r>
      <w:r w:rsidR="006C4675">
        <w:rPr>
          <w:rFonts w:ascii="Arial" w:hAnsi="Arial" w:cs="Arial"/>
          <w:sz w:val="24"/>
          <w:szCs w:val="24"/>
        </w:rPr>
        <w:t>, para que produjera su contestación en el término de Ley, apercibido que de no hacerlo se declararía precluido su derecho y se le tendría por contestada la demanda en sentido afirmativo, salvo prueba en contrario</w:t>
      </w:r>
      <w:r w:rsidRPr="001042B6">
        <w:rPr>
          <w:rFonts w:ascii="Arial" w:hAnsi="Arial" w:cs="Arial"/>
          <w:sz w:val="24"/>
          <w:szCs w:val="24"/>
        </w:rPr>
        <w:t xml:space="preserve">. </w:t>
      </w:r>
      <w:r w:rsidR="00C912C9">
        <w:rPr>
          <w:rFonts w:ascii="Arial" w:hAnsi="Arial" w:cs="Arial"/>
          <w:sz w:val="24"/>
          <w:szCs w:val="24"/>
        </w:rPr>
        <w:t xml:space="preserve">- - - - - - - - - - - - - - - - - - - - - - - - - - - - - </w:t>
      </w:r>
    </w:p>
    <w:p w14:paraId="5321838E" w14:textId="01FD6FFD"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0C2C5C">
        <w:rPr>
          <w:rFonts w:ascii="Arial" w:hAnsi="Arial" w:cs="Arial"/>
          <w:sz w:val="24"/>
          <w:szCs w:val="24"/>
        </w:rPr>
        <w:t>uno</w:t>
      </w:r>
      <w:r w:rsidRPr="001042B6">
        <w:rPr>
          <w:rFonts w:ascii="Arial" w:hAnsi="Arial" w:cs="Arial"/>
          <w:sz w:val="24"/>
          <w:szCs w:val="24"/>
        </w:rPr>
        <w:t xml:space="preserve"> de </w:t>
      </w:r>
      <w:r w:rsidR="000C2C5C">
        <w:rPr>
          <w:rFonts w:ascii="Arial" w:hAnsi="Arial" w:cs="Arial"/>
          <w:sz w:val="24"/>
          <w:szCs w:val="24"/>
        </w:rPr>
        <w:t>diciembre</w:t>
      </w:r>
      <w:r w:rsidRPr="001042B6">
        <w:rPr>
          <w:rFonts w:ascii="Arial" w:hAnsi="Arial" w:cs="Arial"/>
          <w:sz w:val="24"/>
          <w:szCs w:val="24"/>
        </w:rPr>
        <w:t xml:space="preserve"> de dos mil </w:t>
      </w:r>
      <w:r w:rsidR="00B961DA">
        <w:rPr>
          <w:rFonts w:ascii="Arial" w:hAnsi="Arial" w:cs="Arial"/>
          <w:sz w:val="24"/>
          <w:szCs w:val="24"/>
        </w:rPr>
        <w:t>veinte</w:t>
      </w:r>
      <w:r w:rsidRPr="001042B6">
        <w:rPr>
          <w:rFonts w:ascii="Arial" w:hAnsi="Arial" w:cs="Arial"/>
          <w:sz w:val="24"/>
          <w:szCs w:val="24"/>
        </w:rPr>
        <w:t xml:space="preserve"> (</w:t>
      </w:r>
      <w:r w:rsidR="000C2C5C">
        <w:rPr>
          <w:rFonts w:ascii="Arial" w:hAnsi="Arial" w:cs="Arial"/>
          <w:sz w:val="24"/>
          <w:szCs w:val="24"/>
        </w:rPr>
        <w:t>01</w:t>
      </w:r>
      <w:r w:rsidR="009658A2">
        <w:rPr>
          <w:rFonts w:ascii="Arial" w:hAnsi="Arial" w:cs="Arial"/>
          <w:sz w:val="24"/>
          <w:szCs w:val="24"/>
        </w:rPr>
        <w:t>/</w:t>
      </w:r>
      <w:r w:rsidR="000C2C5C">
        <w:rPr>
          <w:rFonts w:ascii="Arial" w:hAnsi="Arial" w:cs="Arial"/>
          <w:sz w:val="24"/>
          <w:szCs w:val="24"/>
        </w:rPr>
        <w:t>12</w:t>
      </w:r>
      <w:r w:rsidRPr="001042B6">
        <w:rPr>
          <w:rFonts w:ascii="Arial" w:hAnsi="Arial" w:cs="Arial"/>
          <w:sz w:val="24"/>
          <w:szCs w:val="24"/>
        </w:rPr>
        <w:t>/20</w:t>
      </w:r>
      <w:r w:rsidR="00B961DA">
        <w:rPr>
          <w:rFonts w:ascii="Arial" w:hAnsi="Arial" w:cs="Arial"/>
          <w:sz w:val="24"/>
          <w:szCs w:val="24"/>
        </w:rPr>
        <w:t>20</w:t>
      </w:r>
      <w:r w:rsidRPr="001042B6">
        <w:rPr>
          <w:rFonts w:ascii="Arial" w:hAnsi="Arial" w:cs="Arial"/>
          <w:sz w:val="24"/>
          <w:szCs w:val="24"/>
        </w:rPr>
        <w:t xml:space="preserve">), se tuvo a la autoridad demandada </w:t>
      </w:r>
      <w:r w:rsidR="000C2C5C">
        <w:rPr>
          <w:rFonts w:ascii="Arial" w:hAnsi="Arial" w:cs="Arial"/>
          <w:sz w:val="24"/>
          <w:szCs w:val="24"/>
        </w:rPr>
        <w:t>Director de lo Contencioso de la Procuraduría Fiscal de la Subsecretaría de Ingresos de la Secretaría de Finanzas del Poder Ejecutivo del Estado de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E412E0">
        <w:rPr>
          <w:rFonts w:ascii="Arial" w:hAnsi="Arial" w:cs="Arial"/>
          <w:sz w:val="24"/>
          <w:szCs w:val="24"/>
        </w:rPr>
        <w:t xml:space="preserve"> a efecto de que si a sus derechos convenía ampliara la demanda, lo cual no realizó como se advierte del acuerdo dictado con fecha doce de abril de dos mil veintiuno</w:t>
      </w:r>
      <w:r w:rsidR="004B77DC">
        <w:rPr>
          <w:rFonts w:ascii="Arial" w:hAnsi="Arial" w:cs="Arial"/>
          <w:sz w:val="24"/>
          <w:szCs w:val="24"/>
        </w:rPr>
        <w:t>.</w:t>
      </w:r>
      <w:r w:rsidR="008779A6">
        <w:rPr>
          <w:rFonts w:ascii="Arial" w:hAnsi="Arial" w:cs="Arial"/>
          <w:sz w:val="24"/>
          <w:szCs w:val="24"/>
        </w:rPr>
        <w:t>- - - - - - - - - - - - - - -</w:t>
      </w:r>
      <w:r w:rsidR="000C2C5C">
        <w:rPr>
          <w:rFonts w:ascii="Arial" w:hAnsi="Arial" w:cs="Arial"/>
          <w:sz w:val="24"/>
          <w:szCs w:val="24"/>
        </w:rPr>
        <w:t xml:space="preserve"> - - - - </w:t>
      </w:r>
    </w:p>
    <w:p w14:paraId="47C0B6ED" w14:textId="023490E7"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4B0CAA">
        <w:rPr>
          <w:rFonts w:ascii="Arial" w:hAnsi="Arial" w:cs="Arial"/>
          <w:bCs/>
          <w:sz w:val="24"/>
          <w:szCs w:val="24"/>
        </w:rPr>
        <w:t>La Audiencia Final</w:t>
      </w:r>
      <w:r w:rsidR="008779A6">
        <w:rPr>
          <w:rFonts w:ascii="Arial" w:hAnsi="Arial" w:cs="Arial"/>
          <w:bCs/>
          <w:sz w:val="24"/>
          <w:szCs w:val="24"/>
        </w:rPr>
        <w:t xml:space="preserve"> se celebró el </w:t>
      </w:r>
      <w:r w:rsidR="000C2C5C">
        <w:rPr>
          <w:rFonts w:ascii="Arial" w:hAnsi="Arial" w:cs="Arial"/>
          <w:bCs/>
          <w:sz w:val="24"/>
          <w:szCs w:val="24"/>
        </w:rPr>
        <w:t>dieciocho</w:t>
      </w:r>
      <w:r w:rsidRPr="001042B6">
        <w:rPr>
          <w:rFonts w:ascii="Arial" w:hAnsi="Arial" w:cs="Arial"/>
          <w:sz w:val="24"/>
          <w:szCs w:val="24"/>
        </w:rPr>
        <w:t xml:space="preserve"> de </w:t>
      </w:r>
      <w:r w:rsidR="008779A6">
        <w:rPr>
          <w:rFonts w:ascii="Arial" w:hAnsi="Arial" w:cs="Arial"/>
          <w:sz w:val="24"/>
          <w:szCs w:val="24"/>
        </w:rPr>
        <w:t>ma</w:t>
      </w:r>
      <w:r w:rsidR="000C2C5C">
        <w:rPr>
          <w:rFonts w:ascii="Arial" w:hAnsi="Arial" w:cs="Arial"/>
          <w:sz w:val="24"/>
          <w:szCs w:val="24"/>
        </w:rPr>
        <w:t>yo</w:t>
      </w:r>
      <w:r w:rsidRPr="001042B6">
        <w:rPr>
          <w:rFonts w:ascii="Arial" w:hAnsi="Arial" w:cs="Arial"/>
          <w:sz w:val="24"/>
          <w:szCs w:val="24"/>
        </w:rPr>
        <w:t xml:space="preserve"> de dos mil </w:t>
      </w:r>
      <w:r w:rsidR="008779A6">
        <w:rPr>
          <w:rFonts w:ascii="Arial" w:hAnsi="Arial" w:cs="Arial"/>
          <w:sz w:val="24"/>
          <w:szCs w:val="24"/>
        </w:rPr>
        <w:t>veintiuno</w:t>
      </w:r>
      <w:r w:rsidRPr="001042B6">
        <w:rPr>
          <w:rFonts w:ascii="Arial" w:hAnsi="Arial" w:cs="Arial"/>
          <w:sz w:val="24"/>
          <w:szCs w:val="24"/>
        </w:rPr>
        <w:t xml:space="preserve"> (1</w:t>
      </w:r>
      <w:r w:rsidR="000C2C5C">
        <w:rPr>
          <w:rFonts w:ascii="Arial" w:hAnsi="Arial" w:cs="Arial"/>
          <w:sz w:val="24"/>
          <w:szCs w:val="24"/>
        </w:rPr>
        <w:t>8</w:t>
      </w:r>
      <w:r w:rsidRPr="001042B6">
        <w:rPr>
          <w:rFonts w:ascii="Arial" w:hAnsi="Arial" w:cs="Arial"/>
          <w:sz w:val="24"/>
          <w:szCs w:val="24"/>
        </w:rPr>
        <w:t>/</w:t>
      </w:r>
      <w:r w:rsidR="008779A6">
        <w:rPr>
          <w:rFonts w:ascii="Arial" w:hAnsi="Arial" w:cs="Arial"/>
          <w:sz w:val="24"/>
          <w:szCs w:val="24"/>
        </w:rPr>
        <w:t>0</w:t>
      </w:r>
      <w:r w:rsidR="000C2C5C">
        <w:rPr>
          <w:rFonts w:ascii="Arial" w:hAnsi="Arial" w:cs="Arial"/>
          <w:sz w:val="24"/>
          <w:szCs w:val="24"/>
        </w:rPr>
        <w:t>5</w:t>
      </w:r>
      <w:r w:rsidRPr="001042B6">
        <w:rPr>
          <w:rFonts w:ascii="Arial" w:hAnsi="Arial" w:cs="Arial"/>
          <w:sz w:val="24"/>
          <w:szCs w:val="24"/>
        </w:rPr>
        <w:t>/20</w:t>
      </w:r>
      <w:r w:rsidR="008779A6">
        <w:rPr>
          <w:rFonts w:ascii="Arial" w:hAnsi="Arial" w:cs="Arial"/>
          <w:sz w:val="24"/>
          <w:szCs w:val="24"/>
        </w:rPr>
        <w:t>21</w:t>
      </w:r>
      <w:r w:rsidRPr="001042B6">
        <w:rPr>
          <w:rFonts w:ascii="Arial" w:hAnsi="Arial" w:cs="Arial"/>
          <w:sz w:val="24"/>
          <w:szCs w:val="24"/>
        </w:rPr>
        <w:t xml:space="preserve">), sin que comparecieran las partes, se desahogaron </w:t>
      </w:r>
      <w:r w:rsidRPr="001042B6">
        <w:rPr>
          <w:rFonts w:ascii="Arial" w:hAnsi="Arial" w:cs="Arial"/>
          <w:sz w:val="24"/>
          <w:szCs w:val="24"/>
        </w:rPr>
        <w:lastRenderedPageBreak/>
        <w:t>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 xml:space="preserve">se </w:t>
      </w:r>
      <w:r w:rsidR="004B0CAA">
        <w:rPr>
          <w:rFonts w:ascii="Arial" w:hAnsi="Arial" w:cs="Arial"/>
          <w:sz w:val="24"/>
          <w:szCs w:val="24"/>
        </w:rPr>
        <w:t xml:space="preserve">hizo constar </w:t>
      </w:r>
      <w:r w:rsidR="000C2C5C">
        <w:rPr>
          <w:rFonts w:ascii="Arial" w:hAnsi="Arial" w:cs="Arial"/>
          <w:sz w:val="24"/>
          <w:szCs w:val="24"/>
        </w:rPr>
        <w:t xml:space="preserve">que ninguna de las partes presentó escrito de </w:t>
      </w:r>
      <w:r w:rsidR="000C2C5C" w:rsidRPr="007D3DB6">
        <w:rPr>
          <w:rFonts w:ascii="Arial" w:hAnsi="Arial" w:cs="Arial"/>
          <w:sz w:val="24"/>
          <w:szCs w:val="24"/>
        </w:rPr>
        <w:t>alegatos</w:t>
      </w:r>
      <w:r w:rsidR="008779A6" w:rsidRPr="007D3DB6">
        <w:rPr>
          <w:rFonts w:ascii="Arial" w:hAnsi="Arial" w:cs="Arial"/>
          <w:sz w:val="24"/>
          <w:szCs w:val="24"/>
        </w:rPr>
        <w:t>, cit</w:t>
      </w:r>
      <w:r w:rsidR="004B0CAA" w:rsidRPr="007D3DB6">
        <w:rPr>
          <w:rFonts w:ascii="Arial" w:hAnsi="Arial" w:cs="Arial"/>
          <w:sz w:val="24"/>
          <w:szCs w:val="24"/>
        </w:rPr>
        <w:t>ándose p</w:t>
      </w:r>
      <w:r w:rsidR="008779A6" w:rsidRPr="007D3DB6">
        <w:rPr>
          <w:rFonts w:ascii="Arial" w:hAnsi="Arial" w:cs="Arial"/>
          <w:sz w:val="24"/>
          <w:szCs w:val="24"/>
        </w:rPr>
        <w:t>ara oír sentencia, la</w:t>
      </w:r>
      <w:r w:rsidR="008779A6">
        <w:rPr>
          <w:rFonts w:ascii="Arial" w:hAnsi="Arial" w:cs="Arial"/>
          <w:sz w:val="24"/>
          <w:szCs w:val="24"/>
        </w:rPr>
        <w:t xml:space="preserve">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 - - - - - - - - - - - - -</w:t>
      </w:r>
      <w:r w:rsidR="004B0CAA">
        <w:rPr>
          <w:rFonts w:ascii="Arial" w:hAnsi="Arial" w:cs="Arial"/>
          <w:sz w:val="24"/>
          <w:szCs w:val="24"/>
        </w:rPr>
        <w:t xml:space="preserve"> - - -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1C0C684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E5DC9">
        <w:rPr>
          <w:rFonts w:ascii="Arial" w:hAnsi="Arial" w:cs="Arial"/>
          <w:sz w:val="24"/>
          <w:szCs w:val="24"/>
        </w:rPr>
        <w:t>el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7EF624CE" w14:textId="73AE9B56" w:rsidR="004C3DD5"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La personalidad de</w:t>
      </w:r>
      <w:r w:rsidR="00614DC0">
        <w:rPr>
          <w:rFonts w:ascii="Arial" w:hAnsi="Arial" w:cs="Arial"/>
          <w:bCs/>
          <w:sz w:val="24"/>
          <w:szCs w:val="24"/>
        </w:rPr>
        <w:t xml:space="preserve"> las partes</w:t>
      </w:r>
      <w:r w:rsidR="003F23C1">
        <w:rPr>
          <w:rFonts w:ascii="Arial" w:hAnsi="Arial" w:cs="Arial"/>
          <w:bCs/>
          <w:sz w:val="24"/>
          <w:szCs w:val="24"/>
        </w:rPr>
        <w:t xml:space="preserve">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 xml:space="preserve">de la Ley de Procedimiento y Justicia Administrativa para el Estado, ya que la </w:t>
      </w:r>
      <w:r w:rsidR="00B76810">
        <w:rPr>
          <w:rFonts w:ascii="Arial" w:hAnsi="Arial" w:cs="Arial"/>
          <w:bCs/>
          <w:sz w:val="24"/>
          <w:szCs w:val="24"/>
        </w:rPr>
        <w:t xml:space="preserve">parte actora </w:t>
      </w:r>
      <w:r w:rsidR="00ED17E3">
        <w:rPr>
          <w:rFonts w:ascii="Arial" w:hAnsi="Arial" w:cs="Arial"/>
          <w:bCs/>
          <w:sz w:val="24"/>
          <w:szCs w:val="24"/>
        </w:rPr>
        <w:t>***** ***** ***** *****</w:t>
      </w:r>
      <w:r w:rsidR="003F23C1">
        <w:rPr>
          <w:rFonts w:ascii="Arial" w:hAnsi="Arial" w:cs="Arial"/>
          <w:bCs/>
          <w:sz w:val="24"/>
          <w:szCs w:val="24"/>
        </w:rPr>
        <w:t>, promueve por su propio derecho</w:t>
      </w:r>
      <w:r w:rsidR="00B76810">
        <w:rPr>
          <w:rFonts w:ascii="Arial" w:hAnsi="Arial" w:cs="Arial"/>
          <w:bCs/>
          <w:sz w:val="24"/>
          <w:szCs w:val="24"/>
        </w:rPr>
        <w:t xml:space="preserve"> y </w:t>
      </w:r>
      <w:r w:rsidR="00617B5F">
        <w:rPr>
          <w:rFonts w:ascii="Arial" w:hAnsi="Arial" w:cs="Arial"/>
          <w:bCs/>
          <w:sz w:val="24"/>
          <w:szCs w:val="24"/>
        </w:rPr>
        <w:t xml:space="preserve">la autoridad demandada </w:t>
      </w:r>
      <w:r w:rsidR="000C2C5C">
        <w:rPr>
          <w:rFonts w:ascii="Arial" w:hAnsi="Arial" w:cs="Arial"/>
          <w:sz w:val="24"/>
          <w:szCs w:val="24"/>
        </w:rPr>
        <w:t>Director de lo Contencioso de la Procuraduría Fiscal de la Subsecretaría de Ingresos de la Secretaría de Finanzas del Poder Ejecutivo del Estado de Oaxaca</w:t>
      </w:r>
      <w:r w:rsidR="00B76810">
        <w:rPr>
          <w:rFonts w:ascii="Arial" w:hAnsi="Arial" w:cs="Arial"/>
          <w:sz w:val="24"/>
          <w:szCs w:val="24"/>
        </w:rPr>
        <w:t xml:space="preserve">, </w:t>
      </w:r>
      <w:r w:rsidR="003F23C1">
        <w:rPr>
          <w:rFonts w:ascii="Arial" w:hAnsi="Arial" w:cs="Arial"/>
          <w:bCs/>
          <w:sz w:val="24"/>
          <w:szCs w:val="24"/>
        </w:rPr>
        <w:t>exhibió copia certificada del nombramiento y protesta de le</w:t>
      </w:r>
      <w:r w:rsidR="00B92624">
        <w:rPr>
          <w:rFonts w:ascii="Arial" w:hAnsi="Arial" w:cs="Arial"/>
          <w:bCs/>
          <w:sz w:val="24"/>
          <w:szCs w:val="24"/>
        </w:rPr>
        <w:t xml:space="preserve">y; documentos que al ser cotejados con su original por un servidor, en ejercicio de sus funciones, se le concede pleno valor probatorio, conforme a lo dispuesto </w:t>
      </w:r>
      <w:r w:rsidR="0093318D">
        <w:rPr>
          <w:rFonts w:ascii="Arial" w:hAnsi="Arial" w:cs="Arial"/>
          <w:bCs/>
          <w:sz w:val="24"/>
          <w:szCs w:val="24"/>
        </w:rPr>
        <w:t>por el artículo 203, fracción I de la Ley citada.</w:t>
      </w:r>
    </w:p>
    <w:p w14:paraId="6F0EF0A8" w14:textId="38FFFC27" w:rsidR="000E5DC9" w:rsidRPr="003F23C1" w:rsidRDefault="004C3DD5" w:rsidP="00610A68">
      <w:pPr>
        <w:tabs>
          <w:tab w:val="center" w:pos="4574"/>
        </w:tabs>
        <w:spacing w:line="360" w:lineRule="auto"/>
        <w:ind w:firstLine="708"/>
        <w:jc w:val="both"/>
        <w:rPr>
          <w:rFonts w:ascii="Arial" w:hAnsi="Arial" w:cs="Arial"/>
          <w:bCs/>
          <w:sz w:val="24"/>
          <w:szCs w:val="24"/>
        </w:rPr>
      </w:pPr>
      <w:r>
        <w:rPr>
          <w:rFonts w:ascii="Arial" w:hAnsi="Arial" w:cs="Arial"/>
          <w:bCs/>
          <w:sz w:val="24"/>
          <w:szCs w:val="24"/>
        </w:rPr>
        <w:t xml:space="preserve">Por lo que respecta a la autoridad demandada se tiene por acreditada su personalidad </w:t>
      </w:r>
      <w:r w:rsidR="005338F9">
        <w:rPr>
          <w:rFonts w:ascii="Arial" w:hAnsi="Arial" w:cs="Arial"/>
          <w:bCs/>
          <w:sz w:val="24"/>
          <w:szCs w:val="24"/>
        </w:rPr>
        <w:t xml:space="preserve">en ese Juicio, </w:t>
      </w:r>
      <w:r>
        <w:rPr>
          <w:rFonts w:ascii="Arial" w:hAnsi="Arial" w:cs="Arial"/>
          <w:bCs/>
          <w:sz w:val="24"/>
          <w:szCs w:val="24"/>
        </w:rPr>
        <w:t>por disposición expresa del numeral 151 de la Ley de Procedimiento y justicia Administrativa para el Estado de Oaxaca, toda vez que esta no fue impugnada por la parte actora.</w:t>
      </w:r>
      <w:r w:rsidR="0093318D">
        <w:rPr>
          <w:rFonts w:ascii="Arial" w:hAnsi="Arial" w:cs="Arial"/>
          <w:bCs/>
          <w:sz w:val="24"/>
          <w:szCs w:val="24"/>
        </w:rPr>
        <w:t xml:space="preserve"> - - - - - </w:t>
      </w:r>
      <w:r w:rsidR="00617B5F">
        <w:rPr>
          <w:rFonts w:ascii="Arial" w:hAnsi="Arial" w:cs="Arial"/>
          <w:bCs/>
          <w:sz w:val="24"/>
          <w:szCs w:val="24"/>
        </w:rPr>
        <w:t xml:space="preserve">- - - - - - - - - - </w:t>
      </w:r>
      <w:r w:rsidR="000C2C5C">
        <w:rPr>
          <w:rFonts w:ascii="Arial" w:hAnsi="Arial" w:cs="Arial"/>
          <w:bCs/>
          <w:sz w:val="24"/>
          <w:szCs w:val="24"/>
        </w:rPr>
        <w:t xml:space="preserve">- - - - </w:t>
      </w:r>
    </w:p>
    <w:p w14:paraId="1573726C" w14:textId="0A4F201D" w:rsidR="00610A68" w:rsidRPr="001042B6" w:rsidRDefault="00A712C4" w:rsidP="00610A68">
      <w:pPr>
        <w:tabs>
          <w:tab w:val="center" w:pos="4574"/>
        </w:tabs>
        <w:spacing w:line="360" w:lineRule="auto"/>
        <w:ind w:firstLine="708"/>
        <w:jc w:val="both"/>
        <w:rPr>
          <w:rFonts w:cs="Arial"/>
          <w:sz w:val="24"/>
        </w:rPr>
      </w:pPr>
      <w:r>
        <w:rPr>
          <w:rFonts w:ascii="Arial" w:hAnsi="Arial" w:cs="Arial"/>
          <w:b/>
          <w:bCs/>
          <w:sz w:val="24"/>
          <w:szCs w:val="24"/>
        </w:rPr>
        <w:t>TERCERO.-</w:t>
      </w:r>
      <w:r w:rsidR="00404794">
        <w:rPr>
          <w:rFonts w:ascii="Arial" w:hAnsi="Arial" w:cs="Arial"/>
          <w:b/>
          <w:bCs/>
          <w:sz w:val="24"/>
          <w:szCs w:val="24"/>
        </w:rPr>
        <w:t xml:space="preserve"> </w:t>
      </w:r>
      <w:r w:rsidR="00592477">
        <w:rPr>
          <w:rFonts w:ascii="Arial" w:hAnsi="Arial" w:cs="Arial"/>
          <w:b/>
          <w:bCs/>
          <w:sz w:val="24"/>
          <w:szCs w:val="24"/>
        </w:rPr>
        <w:t xml:space="preserve">AGRAVIOS.- </w:t>
      </w:r>
      <w:r w:rsidR="00610A68" w:rsidRPr="00CB6160">
        <w:rPr>
          <w:rFonts w:ascii="Arial" w:hAnsi="Arial" w:cs="Arial"/>
          <w:sz w:val="24"/>
        </w:rPr>
        <w:t>Esta Juzgadora, no realiza la transcripción de los agravios vertidos por la</w:t>
      </w:r>
      <w:r w:rsidR="00614DC0">
        <w:rPr>
          <w:rFonts w:ascii="Arial" w:hAnsi="Arial" w:cs="Arial"/>
          <w:sz w:val="24"/>
        </w:rPr>
        <w:t xml:space="preserve"> parte</w:t>
      </w:r>
      <w:r w:rsidR="00610A68" w:rsidRPr="00CB6160">
        <w:rPr>
          <w:rFonts w:ascii="Arial" w:hAnsi="Arial" w:cs="Arial"/>
          <w:sz w:val="24"/>
        </w:rPr>
        <w:t xml:space="preserve"> actora, toda vez que no existe disposición legal que obligue a ello; lo anterior con el fin de facilitar y agilizar el estudio de </w:t>
      </w:r>
      <w:r w:rsidR="00610A68" w:rsidRPr="00CB6160">
        <w:rPr>
          <w:rFonts w:ascii="Arial" w:hAnsi="Arial" w:cs="Arial"/>
          <w:sz w:val="24"/>
        </w:rPr>
        <w:lastRenderedPageBreak/>
        <w:t xml:space="preserve">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3E7ADE0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592477">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F99045B" w14:textId="4578E2F8" w:rsidR="00610A68" w:rsidRPr="001042B6" w:rsidRDefault="00610A68" w:rsidP="00610A68">
      <w:pPr>
        <w:pStyle w:val="corte4fondoCarCarCar"/>
        <w:spacing w:before="240"/>
        <w:ind w:firstLine="708"/>
        <w:rPr>
          <w:rFonts w:cs="Arial"/>
          <w:bCs/>
          <w:sz w:val="24"/>
        </w:rPr>
      </w:pPr>
      <w:r w:rsidRPr="00091151">
        <w:rPr>
          <w:rFonts w:cs="Arial"/>
          <w:bCs/>
          <w:sz w:val="24"/>
        </w:rPr>
        <w:t xml:space="preserve">La autoridad demanda </w:t>
      </w:r>
      <w:r w:rsidR="00091151" w:rsidRPr="00091151">
        <w:rPr>
          <w:rFonts w:cs="Arial"/>
          <w:bCs/>
          <w:sz w:val="24"/>
        </w:rPr>
        <w:t xml:space="preserve">no </w:t>
      </w:r>
      <w:r w:rsidRPr="00091151">
        <w:rPr>
          <w:rFonts w:cs="Arial"/>
          <w:bCs/>
          <w:sz w:val="24"/>
        </w:rPr>
        <w:t xml:space="preserve">hizo valer </w:t>
      </w:r>
      <w:r w:rsidR="00091151" w:rsidRPr="00091151">
        <w:rPr>
          <w:rFonts w:cs="Arial"/>
          <w:bCs/>
          <w:sz w:val="24"/>
        </w:rPr>
        <w:t xml:space="preserve">causales de improcedencia del juicio, y toda vez que esta Juzgadora tampoco advierte que se actualice alguna causa que impida conocer el fondo de este asunto, en consecuencia, este Juicio de Nulidad NO SE </w:t>
      </w:r>
      <w:r w:rsidRPr="00091151">
        <w:rPr>
          <w:rFonts w:cs="Arial"/>
          <w:bCs/>
          <w:sz w:val="24"/>
        </w:rPr>
        <w:t>SOBRESEE.-</w:t>
      </w:r>
      <w:r w:rsidRPr="001042B6">
        <w:rPr>
          <w:rFonts w:cs="Arial"/>
          <w:bCs/>
          <w:sz w:val="24"/>
        </w:rPr>
        <w:t xml:space="preserve"> - - </w:t>
      </w:r>
      <w:r>
        <w:rPr>
          <w:rFonts w:cs="Arial"/>
          <w:bCs/>
          <w:sz w:val="24"/>
        </w:rPr>
        <w:t>- - - - - - -</w:t>
      </w:r>
      <w:r w:rsidR="00617B5F">
        <w:rPr>
          <w:rFonts w:cs="Arial"/>
          <w:bCs/>
          <w:sz w:val="24"/>
        </w:rPr>
        <w:t xml:space="preserve"> - - - - - - - - - - - - - - - - - -</w:t>
      </w:r>
    </w:p>
    <w:p w14:paraId="1F12B2DF" w14:textId="317F9BD8" w:rsidR="000C2C5C" w:rsidRDefault="00610A68" w:rsidP="004C3D2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B7BC5">
        <w:rPr>
          <w:rFonts w:ascii="Arial" w:hAnsi="Arial" w:cs="Arial"/>
          <w:b/>
          <w:sz w:val="24"/>
          <w:szCs w:val="24"/>
        </w:rPr>
        <w:t>QUINTO</w:t>
      </w:r>
      <w:r w:rsidRPr="001042B6">
        <w:rPr>
          <w:rFonts w:ascii="Arial" w:hAnsi="Arial" w:cs="Arial"/>
          <w:b/>
          <w:sz w:val="24"/>
          <w:szCs w:val="24"/>
        </w:rPr>
        <w:t>.-</w:t>
      </w:r>
      <w:r w:rsidRPr="001042B6">
        <w:rPr>
          <w:rFonts w:ascii="Arial" w:hAnsi="Arial" w:cs="Arial"/>
          <w:sz w:val="24"/>
          <w:szCs w:val="24"/>
        </w:rPr>
        <w:tab/>
      </w:r>
      <w:r w:rsidR="00091151">
        <w:rPr>
          <w:rFonts w:ascii="Arial" w:hAnsi="Arial" w:cs="Arial"/>
          <w:b/>
          <w:bCs/>
          <w:sz w:val="24"/>
          <w:szCs w:val="24"/>
        </w:rPr>
        <w:t xml:space="preserve">ESTUDIO DE FONDO.- </w:t>
      </w:r>
      <w:r w:rsidR="000C2C5C">
        <w:rPr>
          <w:rFonts w:ascii="Arial" w:hAnsi="Arial" w:cs="Arial"/>
          <w:sz w:val="24"/>
          <w:szCs w:val="24"/>
        </w:rPr>
        <w:t>El</w:t>
      </w:r>
      <w:r w:rsidR="00091151">
        <w:rPr>
          <w:rFonts w:ascii="Arial" w:hAnsi="Arial" w:cs="Arial"/>
          <w:sz w:val="24"/>
          <w:szCs w:val="24"/>
        </w:rPr>
        <w:t xml:space="preserve"> Ciudadan</w:t>
      </w:r>
      <w:r w:rsidR="000C2C5C">
        <w:rPr>
          <w:rFonts w:ascii="Arial" w:hAnsi="Arial" w:cs="Arial"/>
          <w:sz w:val="24"/>
          <w:szCs w:val="24"/>
        </w:rPr>
        <w:t>o</w:t>
      </w:r>
      <w:r w:rsidR="00091151">
        <w:rPr>
          <w:rFonts w:ascii="Arial" w:hAnsi="Arial" w:cs="Arial"/>
          <w:sz w:val="24"/>
          <w:szCs w:val="24"/>
        </w:rPr>
        <w:t xml:space="preserve"> </w:t>
      </w:r>
      <w:r w:rsidR="00ED17E3">
        <w:rPr>
          <w:rFonts w:ascii="Arial" w:hAnsi="Arial" w:cs="Arial"/>
          <w:sz w:val="24"/>
          <w:szCs w:val="24"/>
        </w:rPr>
        <w:t>***** ***** ***** *****</w:t>
      </w:r>
      <w:r w:rsidR="004C3D2B">
        <w:rPr>
          <w:rFonts w:ascii="Arial" w:hAnsi="Arial" w:cs="Arial"/>
          <w:b/>
          <w:bCs/>
          <w:sz w:val="24"/>
          <w:szCs w:val="24"/>
        </w:rPr>
        <w:t xml:space="preserve">, </w:t>
      </w:r>
      <w:r w:rsidR="004C3D2B">
        <w:rPr>
          <w:rFonts w:ascii="Arial" w:hAnsi="Arial" w:cs="Arial"/>
          <w:sz w:val="24"/>
          <w:szCs w:val="24"/>
        </w:rPr>
        <w:t>demando la nulidad de la resolución</w:t>
      </w:r>
      <w:r w:rsidR="00091151">
        <w:rPr>
          <w:rFonts w:ascii="Arial" w:hAnsi="Arial" w:cs="Arial"/>
          <w:sz w:val="24"/>
          <w:szCs w:val="24"/>
        </w:rPr>
        <w:t xml:space="preserve"> </w:t>
      </w:r>
      <w:r w:rsidR="004C3D2B">
        <w:rPr>
          <w:rFonts w:ascii="Arial" w:hAnsi="Arial" w:cs="Arial"/>
          <w:sz w:val="24"/>
          <w:szCs w:val="24"/>
        </w:rPr>
        <w:t xml:space="preserve">contenida en el oficio </w:t>
      </w:r>
      <w:r w:rsidR="00ED17E3">
        <w:rPr>
          <w:rFonts w:ascii="Arial" w:hAnsi="Arial" w:cs="Arial"/>
          <w:sz w:val="24"/>
          <w:szCs w:val="24"/>
        </w:rPr>
        <w:t>SF/SI/PF/DC/JR/****/2020</w:t>
      </w:r>
      <w:r w:rsidR="007C3F31" w:rsidRPr="001042B6">
        <w:rPr>
          <w:rFonts w:ascii="Arial" w:hAnsi="Arial" w:cs="Arial"/>
          <w:sz w:val="24"/>
          <w:szCs w:val="24"/>
        </w:rPr>
        <w:t xml:space="preserve">, de fecha </w:t>
      </w:r>
      <w:r w:rsidR="00ED17E3">
        <w:rPr>
          <w:rFonts w:ascii="Arial" w:hAnsi="Arial" w:cs="Arial"/>
          <w:sz w:val="24"/>
          <w:szCs w:val="24"/>
        </w:rPr>
        <w:t>***** de ***** de dos mil veinte (**/**/2020)</w:t>
      </w:r>
      <w:r w:rsidR="007C3F31">
        <w:rPr>
          <w:rFonts w:ascii="Arial" w:hAnsi="Arial" w:cs="Arial"/>
          <w:sz w:val="24"/>
          <w:szCs w:val="24"/>
        </w:rPr>
        <w:t xml:space="preserve">, </w:t>
      </w:r>
      <w:r w:rsidR="00091151">
        <w:rPr>
          <w:rFonts w:ascii="Arial" w:hAnsi="Arial" w:cs="Arial"/>
          <w:sz w:val="24"/>
          <w:szCs w:val="24"/>
        </w:rPr>
        <w:t xml:space="preserve">dictada en el </w:t>
      </w:r>
      <w:r w:rsidR="007C3F31">
        <w:rPr>
          <w:rFonts w:ascii="Arial" w:hAnsi="Arial" w:cs="Arial"/>
          <w:sz w:val="24"/>
          <w:szCs w:val="24"/>
        </w:rPr>
        <w:t xml:space="preserve">expediente </w:t>
      </w:r>
      <w:r w:rsidR="00ED17E3">
        <w:rPr>
          <w:rFonts w:ascii="Arial" w:hAnsi="Arial" w:cs="Arial"/>
          <w:sz w:val="24"/>
          <w:szCs w:val="24"/>
        </w:rPr>
        <w:t>***/2019</w:t>
      </w:r>
      <w:r w:rsidR="007C3F31" w:rsidRPr="00091151">
        <w:rPr>
          <w:rFonts w:ascii="Arial" w:hAnsi="Arial" w:cs="Arial"/>
          <w:sz w:val="24"/>
          <w:szCs w:val="24"/>
        </w:rPr>
        <w:t>,</w:t>
      </w:r>
      <w:r w:rsidR="007C3F31">
        <w:rPr>
          <w:rFonts w:ascii="Arial" w:hAnsi="Arial" w:cs="Arial"/>
          <w:sz w:val="24"/>
          <w:szCs w:val="24"/>
        </w:rPr>
        <w:t xml:space="preserve"> por </w:t>
      </w:r>
      <w:r w:rsidR="000C2C5C">
        <w:rPr>
          <w:rFonts w:ascii="Arial" w:hAnsi="Arial" w:cs="Arial"/>
          <w:sz w:val="24"/>
          <w:szCs w:val="24"/>
        </w:rPr>
        <w:t>el Director de lo Contencioso de la Procuraduría Fiscal de la Subsecretaría de Ingresos de la Secretaría de Finanzas del Poder Ejecutivo del Estado de Oaxaca</w:t>
      </w:r>
      <w:r w:rsidR="006468DD">
        <w:rPr>
          <w:rFonts w:ascii="Arial" w:hAnsi="Arial" w:cs="Arial"/>
          <w:sz w:val="24"/>
          <w:szCs w:val="24"/>
        </w:rPr>
        <w:t xml:space="preserve">, por lo que una vez analizadas las pruebas aportadas al juicio a las cuales se les otorga pleno valor probatorio de conformidad con lo dispuesto en el artículo 203 fracción I y II de la Ley de Procedimiento y Justicia Administrativa para el Estado de Oaxaca, esta Juzgadora </w:t>
      </w:r>
      <w:r w:rsidR="008555F5">
        <w:rPr>
          <w:rFonts w:ascii="Arial" w:hAnsi="Arial" w:cs="Arial"/>
          <w:sz w:val="24"/>
          <w:szCs w:val="24"/>
        </w:rPr>
        <w:t>arriba</w:t>
      </w:r>
      <w:r w:rsidR="006468DD">
        <w:rPr>
          <w:rFonts w:ascii="Arial" w:hAnsi="Arial" w:cs="Arial"/>
          <w:sz w:val="24"/>
          <w:szCs w:val="24"/>
        </w:rPr>
        <w:t xml:space="preserve"> a las siguientes conclusiones:</w:t>
      </w:r>
    </w:p>
    <w:p w14:paraId="02F28EDB" w14:textId="7C90966A" w:rsidR="00A74AF7" w:rsidRDefault="00764CAC"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su </w:t>
      </w:r>
      <w:r w:rsidRPr="003B6BBC">
        <w:rPr>
          <w:rFonts w:ascii="Arial" w:hAnsi="Arial" w:cs="Arial"/>
          <w:b/>
          <w:sz w:val="24"/>
          <w:szCs w:val="24"/>
        </w:rPr>
        <w:t>primer concepto de impugnación</w:t>
      </w:r>
      <w:r>
        <w:rPr>
          <w:rFonts w:ascii="Arial" w:hAnsi="Arial" w:cs="Arial"/>
          <w:sz w:val="24"/>
          <w:szCs w:val="24"/>
        </w:rPr>
        <w:t xml:space="preserve"> el actor refiere</w:t>
      </w:r>
      <w:r w:rsidR="004878A4">
        <w:rPr>
          <w:rFonts w:ascii="Arial" w:hAnsi="Arial" w:cs="Arial"/>
          <w:sz w:val="24"/>
          <w:szCs w:val="24"/>
        </w:rPr>
        <w:t>,</w:t>
      </w:r>
      <w:r>
        <w:rPr>
          <w:rFonts w:ascii="Arial" w:hAnsi="Arial" w:cs="Arial"/>
          <w:sz w:val="24"/>
          <w:szCs w:val="24"/>
        </w:rPr>
        <w:t xml:space="preserve"> que el artículo 269 del Código Fiscal para el Estado de Oaxaca, contempla dos supuestos, uno en su fracción I y otro en la fracción II, </w:t>
      </w:r>
      <w:r w:rsidR="007C3F31">
        <w:rPr>
          <w:rFonts w:ascii="Arial" w:hAnsi="Arial" w:cs="Arial"/>
          <w:sz w:val="24"/>
          <w:szCs w:val="24"/>
        </w:rPr>
        <w:tab/>
      </w:r>
      <w:r w:rsidR="00CC44F3">
        <w:rPr>
          <w:rFonts w:ascii="Arial" w:hAnsi="Arial" w:cs="Arial"/>
          <w:sz w:val="24"/>
          <w:szCs w:val="24"/>
        </w:rPr>
        <w:t xml:space="preserve">y considera que la autoridad demandada yerra al considerar que la multa </w:t>
      </w:r>
      <w:r w:rsidR="0012793E">
        <w:rPr>
          <w:rFonts w:ascii="Arial" w:hAnsi="Arial" w:cs="Arial"/>
          <w:sz w:val="24"/>
          <w:szCs w:val="24"/>
        </w:rPr>
        <w:t>po</w:t>
      </w:r>
      <w:r w:rsidR="00CC44F3">
        <w:rPr>
          <w:rFonts w:ascii="Arial" w:hAnsi="Arial" w:cs="Arial"/>
          <w:sz w:val="24"/>
          <w:szCs w:val="24"/>
        </w:rPr>
        <w:t>r infracción esta fundad</w:t>
      </w:r>
      <w:r w:rsidR="004878A4">
        <w:rPr>
          <w:rFonts w:ascii="Arial" w:hAnsi="Arial" w:cs="Arial"/>
          <w:sz w:val="24"/>
          <w:szCs w:val="24"/>
        </w:rPr>
        <w:t>a</w:t>
      </w:r>
      <w:r w:rsidR="00CC44F3">
        <w:rPr>
          <w:rFonts w:ascii="Arial" w:hAnsi="Arial" w:cs="Arial"/>
          <w:sz w:val="24"/>
          <w:szCs w:val="24"/>
        </w:rPr>
        <w:t xml:space="preserve"> y motivada, pues contrario a ello</w:t>
      </w:r>
      <w:r w:rsidR="004878A4">
        <w:rPr>
          <w:rFonts w:ascii="Arial" w:hAnsi="Arial" w:cs="Arial"/>
          <w:sz w:val="24"/>
          <w:szCs w:val="24"/>
        </w:rPr>
        <w:t>,</w:t>
      </w:r>
      <w:r w:rsidR="00CC44F3">
        <w:rPr>
          <w:rFonts w:ascii="Arial" w:hAnsi="Arial" w:cs="Arial"/>
          <w:sz w:val="24"/>
          <w:szCs w:val="24"/>
        </w:rPr>
        <w:t xml:space="preserve"> no se individualizó la fracci</w:t>
      </w:r>
      <w:r w:rsidR="0012793E">
        <w:rPr>
          <w:rFonts w:ascii="Arial" w:hAnsi="Arial" w:cs="Arial"/>
          <w:sz w:val="24"/>
          <w:szCs w:val="24"/>
        </w:rPr>
        <w:t xml:space="preserve">ón I o II; </w:t>
      </w:r>
      <w:r w:rsidR="004878A4">
        <w:rPr>
          <w:rFonts w:ascii="Arial" w:hAnsi="Arial" w:cs="Arial"/>
          <w:sz w:val="24"/>
          <w:szCs w:val="24"/>
        </w:rPr>
        <w:t xml:space="preserve">al respecto debe decirse que </w:t>
      </w:r>
      <w:r w:rsidR="0012793E" w:rsidRPr="004878A4">
        <w:rPr>
          <w:rFonts w:ascii="Arial" w:hAnsi="Arial" w:cs="Arial"/>
          <w:b/>
          <w:sz w:val="24"/>
          <w:szCs w:val="24"/>
        </w:rPr>
        <w:t>resulta infundado este agravio</w:t>
      </w:r>
      <w:r w:rsidR="0012793E">
        <w:rPr>
          <w:rFonts w:ascii="Arial" w:hAnsi="Arial" w:cs="Arial"/>
          <w:sz w:val="24"/>
          <w:szCs w:val="24"/>
        </w:rPr>
        <w:t xml:space="preserve">, pues como </w:t>
      </w:r>
      <w:r w:rsidR="00EE32FC">
        <w:rPr>
          <w:rFonts w:ascii="Arial" w:hAnsi="Arial" w:cs="Arial"/>
          <w:sz w:val="24"/>
          <w:szCs w:val="24"/>
        </w:rPr>
        <w:t xml:space="preserve">se advierte de la resolución con número de control </w:t>
      </w:r>
      <w:r w:rsidR="00ED17E3">
        <w:rPr>
          <w:rFonts w:ascii="Arial" w:hAnsi="Arial" w:cs="Arial"/>
          <w:sz w:val="24"/>
          <w:szCs w:val="24"/>
        </w:rPr>
        <w:t>**********</w:t>
      </w:r>
      <w:r w:rsidR="00EE32FC">
        <w:rPr>
          <w:rFonts w:ascii="Arial" w:hAnsi="Arial" w:cs="Arial"/>
          <w:sz w:val="24"/>
          <w:szCs w:val="24"/>
        </w:rPr>
        <w:t xml:space="preserve">, de fecha </w:t>
      </w:r>
      <w:r w:rsidR="007E7607">
        <w:rPr>
          <w:rFonts w:ascii="Arial" w:hAnsi="Arial" w:cs="Arial"/>
          <w:sz w:val="24"/>
          <w:szCs w:val="24"/>
        </w:rPr>
        <w:t>***** de ***** de dos mil diecinueve (**/**/2019)</w:t>
      </w:r>
      <w:r w:rsidR="003E1EEB">
        <w:rPr>
          <w:rFonts w:ascii="Arial" w:hAnsi="Arial" w:cs="Arial"/>
          <w:sz w:val="24"/>
          <w:szCs w:val="24"/>
        </w:rPr>
        <w:t xml:space="preserve">, la autoridad demandada si individualizó </w:t>
      </w:r>
      <w:r w:rsidR="0076152C">
        <w:rPr>
          <w:rFonts w:ascii="Arial" w:hAnsi="Arial" w:cs="Arial"/>
          <w:sz w:val="24"/>
          <w:szCs w:val="24"/>
        </w:rPr>
        <w:t xml:space="preserve">la sanción </w:t>
      </w:r>
      <w:r w:rsidR="0076152C">
        <w:rPr>
          <w:rFonts w:ascii="Arial" w:hAnsi="Arial" w:cs="Arial"/>
          <w:sz w:val="24"/>
          <w:szCs w:val="24"/>
        </w:rPr>
        <w:lastRenderedPageBreak/>
        <w:t>que impuso, pues la encuadró en el artículo 261 fracción I del Código Fiscal para el Estado de Oaxaca, y si bien es cierto</w:t>
      </w:r>
      <w:r w:rsidR="003C5B79">
        <w:rPr>
          <w:rFonts w:ascii="Arial" w:hAnsi="Arial" w:cs="Arial"/>
          <w:sz w:val="24"/>
          <w:szCs w:val="24"/>
        </w:rPr>
        <w:t>,</w:t>
      </w:r>
      <w:r w:rsidR="0076152C">
        <w:rPr>
          <w:rFonts w:ascii="Arial" w:hAnsi="Arial" w:cs="Arial"/>
          <w:sz w:val="24"/>
          <w:szCs w:val="24"/>
        </w:rPr>
        <w:t xml:space="preserve"> </w:t>
      </w:r>
      <w:r w:rsidR="003C5B79">
        <w:rPr>
          <w:rFonts w:ascii="Arial" w:hAnsi="Arial" w:cs="Arial"/>
          <w:sz w:val="24"/>
          <w:szCs w:val="24"/>
        </w:rPr>
        <w:t xml:space="preserve">del análisis de </w:t>
      </w:r>
      <w:r w:rsidR="0076152C">
        <w:rPr>
          <w:rFonts w:ascii="Arial" w:hAnsi="Arial" w:cs="Arial"/>
          <w:sz w:val="24"/>
          <w:szCs w:val="24"/>
        </w:rPr>
        <w:t>la fracción I del numeral invocado</w:t>
      </w:r>
      <w:r w:rsidR="00646DA0">
        <w:rPr>
          <w:rFonts w:ascii="Arial" w:hAnsi="Arial" w:cs="Arial"/>
          <w:sz w:val="24"/>
          <w:szCs w:val="24"/>
        </w:rPr>
        <w:t>,</w:t>
      </w:r>
      <w:r w:rsidR="0076152C">
        <w:rPr>
          <w:rFonts w:ascii="Arial" w:hAnsi="Arial" w:cs="Arial"/>
          <w:sz w:val="24"/>
          <w:szCs w:val="24"/>
        </w:rPr>
        <w:t xml:space="preserve"> establece tres hipótesis</w:t>
      </w:r>
      <w:r w:rsidR="00AB797D">
        <w:rPr>
          <w:rFonts w:ascii="Arial" w:hAnsi="Arial" w:cs="Arial"/>
          <w:sz w:val="24"/>
          <w:szCs w:val="24"/>
        </w:rPr>
        <w:t xml:space="preserve"> en su primer parte</w:t>
      </w:r>
      <w:r w:rsidR="0076152C">
        <w:rPr>
          <w:rFonts w:ascii="Arial" w:hAnsi="Arial" w:cs="Arial"/>
          <w:sz w:val="24"/>
          <w:szCs w:val="24"/>
        </w:rPr>
        <w:t xml:space="preserve">, como son: 1.- No presentar las declaraciones, las solicitudes, los avisos o las </w:t>
      </w:r>
      <w:r w:rsidR="00B11C1C">
        <w:rPr>
          <w:rFonts w:ascii="Arial" w:hAnsi="Arial" w:cs="Arial"/>
          <w:sz w:val="24"/>
          <w:szCs w:val="24"/>
        </w:rPr>
        <w:t>constancias</w:t>
      </w:r>
      <w:r w:rsidR="0076152C">
        <w:rPr>
          <w:rFonts w:ascii="Arial" w:hAnsi="Arial" w:cs="Arial"/>
          <w:sz w:val="24"/>
          <w:szCs w:val="24"/>
        </w:rPr>
        <w:t xml:space="preserve"> que exijan las disposiciones fiscales; 2.- No hacerlo a través de los medios electrónicos que señale la Secretaría; y, 3.- Presentarlos a requerimiento de las autoridades fiscales; lo cierto es, </w:t>
      </w:r>
      <w:r w:rsidR="00B86185">
        <w:rPr>
          <w:rFonts w:ascii="Arial" w:hAnsi="Arial" w:cs="Arial"/>
          <w:sz w:val="24"/>
          <w:szCs w:val="24"/>
        </w:rPr>
        <w:t xml:space="preserve">que en la resolución en estudio la autoridad demandada plasmó: </w:t>
      </w:r>
    </w:p>
    <w:p w14:paraId="3F94E5FF" w14:textId="29CBA3FB" w:rsidR="0076152C" w:rsidRDefault="00B86185"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w:t>
      </w:r>
      <w:r w:rsidRPr="00A74AF7">
        <w:rPr>
          <w:rFonts w:ascii="Arial" w:hAnsi="Arial" w:cs="Arial"/>
          <w:i/>
          <w:sz w:val="24"/>
          <w:szCs w:val="24"/>
        </w:rPr>
        <w:t xml:space="preserve">Considerando que con fecha 14 de marzo de 2019, usted presentó ante la Delegación o </w:t>
      </w:r>
      <w:r w:rsidR="00A74AF7" w:rsidRPr="00A74AF7">
        <w:rPr>
          <w:rFonts w:ascii="Arial" w:hAnsi="Arial" w:cs="Arial"/>
          <w:i/>
          <w:sz w:val="24"/>
          <w:szCs w:val="24"/>
        </w:rPr>
        <w:t>Subdelegación</w:t>
      </w:r>
      <w:r w:rsidRPr="00A74AF7">
        <w:rPr>
          <w:rFonts w:ascii="Arial" w:hAnsi="Arial" w:cs="Arial"/>
          <w:i/>
          <w:sz w:val="24"/>
          <w:szCs w:val="24"/>
        </w:rPr>
        <w:t xml:space="preserve"> Fiscal actualmente Centros Integrales de Atención a Contribuyentes correspondiente a su domicilio fiscal, formulario múltiple de Registro Estatal de Contribuyente, a fin de quedar inscrito (a) con la obligación del Impuesto Sobre Erogaciones por Remuneraciones al Trabajo Personal; y a la fecha esta Secretaría no cuenta con documentales que acrediten el cumplimiento de la (s)</w:t>
      </w:r>
      <w:r w:rsidR="00A74AF7" w:rsidRPr="00A74AF7">
        <w:rPr>
          <w:rFonts w:ascii="Arial" w:hAnsi="Arial" w:cs="Arial"/>
          <w:i/>
          <w:sz w:val="24"/>
          <w:szCs w:val="24"/>
        </w:rPr>
        <w:t xml:space="preserve"> obligación (es) por el (los) periodo (s) citados. Su conducta actualiza la hipótesis normativa prevista en el artículo 269 fracción I del Código Fiscal para el Estado de Oaxaca vigente, motivo por el cual se hace acreedor a la sanción establecida en el mismo artículo,…”</w:t>
      </w:r>
    </w:p>
    <w:p w14:paraId="2CF3D10C" w14:textId="314E3C48" w:rsidR="00646DA0" w:rsidRDefault="00A74AF7"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w:t>
      </w:r>
      <w:r w:rsidR="00ED5E05">
        <w:rPr>
          <w:rFonts w:ascii="Arial" w:hAnsi="Arial" w:cs="Arial"/>
          <w:sz w:val="24"/>
          <w:szCs w:val="24"/>
        </w:rPr>
        <w:t>,</w:t>
      </w:r>
      <w:r>
        <w:rPr>
          <w:rFonts w:ascii="Arial" w:hAnsi="Arial" w:cs="Arial"/>
          <w:sz w:val="24"/>
          <w:szCs w:val="24"/>
        </w:rPr>
        <w:t xml:space="preserve"> que </w:t>
      </w:r>
      <w:r w:rsidR="00AB797D">
        <w:rPr>
          <w:rFonts w:ascii="Arial" w:hAnsi="Arial" w:cs="Arial"/>
          <w:sz w:val="24"/>
          <w:szCs w:val="24"/>
        </w:rPr>
        <w:t xml:space="preserve">resulta clara </w:t>
      </w:r>
      <w:r>
        <w:rPr>
          <w:rFonts w:ascii="Arial" w:hAnsi="Arial" w:cs="Arial"/>
          <w:sz w:val="24"/>
          <w:szCs w:val="24"/>
        </w:rPr>
        <w:t>la omisión en que incurrió el actor</w:t>
      </w:r>
      <w:r w:rsidR="00ED5E05">
        <w:rPr>
          <w:rFonts w:ascii="Arial" w:hAnsi="Arial" w:cs="Arial"/>
          <w:sz w:val="24"/>
          <w:szCs w:val="24"/>
        </w:rPr>
        <w:t>,</w:t>
      </w:r>
      <w:r>
        <w:rPr>
          <w:rFonts w:ascii="Arial" w:hAnsi="Arial" w:cs="Arial"/>
          <w:sz w:val="24"/>
          <w:szCs w:val="24"/>
        </w:rPr>
        <w:t xml:space="preserve"> </w:t>
      </w:r>
      <w:r w:rsidR="00AB797D">
        <w:rPr>
          <w:rFonts w:ascii="Arial" w:hAnsi="Arial" w:cs="Arial"/>
          <w:sz w:val="24"/>
          <w:szCs w:val="24"/>
        </w:rPr>
        <w:t xml:space="preserve">es decir, la omisión </w:t>
      </w:r>
      <w:r>
        <w:rPr>
          <w:rFonts w:ascii="Arial" w:hAnsi="Arial" w:cs="Arial"/>
          <w:sz w:val="24"/>
          <w:szCs w:val="24"/>
        </w:rPr>
        <w:t xml:space="preserve">en la presentación </w:t>
      </w:r>
      <w:r w:rsidR="00F03F81">
        <w:rPr>
          <w:rFonts w:ascii="Arial" w:hAnsi="Arial" w:cs="Arial"/>
          <w:sz w:val="24"/>
          <w:szCs w:val="24"/>
        </w:rPr>
        <w:t xml:space="preserve">espontanea </w:t>
      </w:r>
      <w:r w:rsidR="00ED5E05">
        <w:rPr>
          <w:rFonts w:ascii="Arial" w:hAnsi="Arial" w:cs="Arial"/>
          <w:sz w:val="24"/>
          <w:szCs w:val="24"/>
        </w:rPr>
        <w:t>de los documentos correspondientes a las declaraciones que exijan las disposiciones fiscales</w:t>
      </w:r>
      <w:r w:rsidR="00AB797D">
        <w:rPr>
          <w:rFonts w:ascii="Arial" w:hAnsi="Arial" w:cs="Arial"/>
          <w:sz w:val="24"/>
          <w:szCs w:val="24"/>
        </w:rPr>
        <w:t xml:space="preserve"> (</w:t>
      </w:r>
      <w:r w:rsidR="00E82717">
        <w:rPr>
          <w:rFonts w:ascii="Arial" w:hAnsi="Arial" w:cs="Arial"/>
          <w:sz w:val="24"/>
          <w:szCs w:val="24"/>
        </w:rPr>
        <w:t xml:space="preserve">artículo 66 de la Ley Estatal de Hacienda, numeral también plasmado en la resolución con número de control </w:t>
      </w:r>
      <w:r w:rsidR="00ED17E3">
        <w:rPr>
          <w:rFonts w:ascii="Arial" w:hAnsi="Arial" w:cs="Arial"/>
          <w:sz w:val="24"/>
          <w:szCs w:val="24"/>
        </w:rPr>
        <w:t>**********</w:t>
      </w:r>
      <w:r w:rsidR="00E82717">
        <w:rPr>
          <w:rFonts w:ascii="Arial" w:hAnsi="Arial" w:cs="Arial"/>
          <w:sz w:val="24"/>
          <w:szCs w:val="24"/>
        </w:rPr>
        <w:t>)</w:t>
      </w:r>
      <w:r w:rsidR="00ED5E05">
        <w:rPr>
          <w:rFonts w:ascii="Arial" w:hAnsi="Arial" w:cs="Arial"/>
          <w:sz w:val="24"/>
          <w:szCs w:val="24"/>
        </w:rPr>
        <w:t xml:space="preserve">, </w:t>
      </w:r>
      <w:r w:rsidR="000B11AD">
        <w:rPr>
          <w:rFonts w:ascii="Arial" w:hAnsi="Arial" w:cs="Arial"/>
          <w:sz w:val="24"/>
          <w:szCs w:val="24"/>
        </w:rPr>
        <w:t xml:space="preserve">es decir, </w:t>
      </w:r>
      <w:r w:rsidR="00ED5E05">
        <w:rPr>
          <w:rFonts w:ascii="Arial" w:hAnsi="Arial" w:cs="Arial"/>
          <w:sz w:val="24"/>
          <w:szCs w:val="24"/>
        </w:rPr>
        <w:t>la descrita en la primer hipótesis contenida en l</w:t>
      </w:r>
      <w:r w:rsidR="006E7FC5">
        <w:rPr>
          <w:rFonts w:ascii="Arial" w:hAnsi="Arial" w:cs="Arial"/>
          <w:sz w:val="24"/>
          <w:szCs w:val="24"/>
        </w:rPr>
        <w:t>a</w:t>
      </w:r>
      <w:r w:rsidR="00E82717">
        <w:rPr>
          <w:rFonts w:ascii="Arial" w:hAnsi="Arial" w:cs="Arial"/>
          <w:sz w:val="24"/>
          <w:szCs w:val="24"/>
        </w:rPr>
        <w:t xml:space="preserve"> primera parte de la</w:t>
      </w:r>
      <w:r w:rsidR="00ED5E05">
        <w:rPr>
          <w:rFonts w:ascii="Arial" w:hAnsi="Arial" w:cs="Arial"/>
          <w:sz w:val="24"/>
          <w:szCs w:val="24"/>
        </w:rPr>
        <w:t xml:space="preserve"> fracción I</w:t>
      </w:r>
      <w:r w:rsidR="00E82717">
        <w:rPr>
          <w:rFonts w:ascii="Arial" w:hAnsi="Arial" w:cs="Arial"/>
          <w:sz w:val="24"/>
          <w:szCs w:val="24"/>
        </w:rPr>
        <w:t>,</w:t>
      </w:r>
      <w:r w:rsidR="00ED5E05">
        <w:rPr>
          <w:rFonts w:ascii="Arial" w:hAnsi="Arial" w:cs="Arial"/>
          <w:sz w:val="24"/>
          <w:szCs w:val="24"/>
        </w:rPr>
        <w:t xml:space="preserve"> del artículo 269 del Código Fiscal para el Estado de Oaxaca, de ahí que </w:t>
      </w:r>
      <w:r w:rsidR="00646DA0">
        <w:rPr>
          <w:rFonts w:ascii="Arial" w:hAnsi="Arial" w:cs="Arial"/>
          <w:sz w:val="24"/>
          <w:szCs w:val="24"/>
        </w:rPr>
        <w:t xml:space="preserve">contrario a lo expuesto por el actor, </w:t>
      </w:r>
      <w:r w:rsidR="00903032">
        <w:rPr>
          <w:rFonts w:ascii="Arial" w:hAnsi="Arial" w:cs="Arial"/>
          <w:sz w:val="24"/>
          <w:szCs w:val="24"/>
        </w:rPr>
        <w:t>como acertadamente l</w:t>
      </w:r>
      <w:r w:rsidR="00646DA0">
        <w:rPr>
          <w:rFonts w:ascii="Arial" w:hAnsi="Arial" w:cs="Arial"/>
          <w:sz w:val="24"/>
          <w:szCs w:val="24"/>
        </w:rPr>
        <w:t xml:space="preserve">o refirió la autoridad demandada, la sanción contenida en la resolución con número de control </w:t>
      </w:r>
      <w:r w:rsidR="00ED17E3">
        <w:rPr>
          <w:rFonts w:ascii="Arial" w:hAnsi="Arial" w:cs="Arial"/>
          <w:sz w:val="24"/>
          <w:szCs w:val="24"/>
        </w:rPr>
        <w:t>**********</w:t>
      </w:r>
      <w:r w:rsidR="00646DA0">
        <w:rPr>
          <w:rFonts w:ascii="Arial" w:hAnsi="Arial" w:cs="Arial"/>
          <w:sz w:val="24"/>
          <w:szCs w:val="24"/>
        </w:rPr>
        <w:t xml:space="preserve">, de fecha </w:t>
      </w:r>
      <w:r w:rsidR="007E7607">
        <w:rPr>
          <w:rFonts w:ascii="Arial" w:hAnsi="Arial" w:cs="Arial"/>
          <w:sz w:val="24"/>
          <w:szCs w:val="24"/>
        </w:rPr>
        <w:t>***** de ***** de dos mil diecinueve (**/**/2019)</w:t>
      </w:r>
      <w:r w:rsidR="00646DA0">
        <w:rPr>
          <w:rFonts w:ascii="Arial" w:hAnsi="Arial" w:cs="Arial"/>
          <w:sz w:val="24"/>
          <w:szCs w:val="24"/>
        </w:rPr>
        <w:t>, se encuentra fundad</w:t>
      </w:r>
      <w:r w:rsidR="00E82717">
        <w:rPr>
          <w:rFonts w:ascii="Arial" w:hAnsi="Arial" w:cs="Arial"/>
          <w:sz w:val="24"/>
          <w:szCs w:val="24"/>
        </w:rPr>
        <w:t>a</w:t>
      </w:r>
      <w:r w:rsidR="00646DA0">
        <w:rPr>
          <w:rFonts w:ascii="Arial" w:hAnsi="Arial" w:cs="Arial"/>
          <w:sz w:val="24"/>
          <w:szCs w:val="24"/>
        </w:rPr>
        <w:t xml:space="preserve"> y motivada.</w:t>
      </w:r>
    </w:p>
    <w:p w14:paraId="00150CB5" w14:textId="15F68936" w:rsidR="00646DA0" w:rsidRDefault="00903032"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w:t>
      </w:r>
      <w:r w:rsidRPr="00D66919">
        <w:rPr>
          <w:rFonts w:ascii="Arial" w:hAnsi="Arial" w:cs="Arial"/>
          <w:b/>
          <w:sz w:val="24"/>
          <w:szCs w:val="24"/>
        </w:rPr>
        <w:t>segundo agravio</w:t>
      </w:r>
      <w:r>
        <w:rPr>
          <w:rFonts w:ascii="Arial" w:hAnsi="Arial" w:cs="Arial"/>
          <w:sz w:val="24"/>
          <w:szCs w:val="24"/>
        </w:rPr>
        <w:t xml:space="preserve"> </w:t>
      </w:r>
      <w:r w:rsidR="00D66919">
        <w:rPr>
          <w:rFonts w:ascii="Arial" w:hAnsi="Arial" w:cs="Arial"/>
          <w:sz w:val="24"/>
          <w:szCs w:val="24"/>
        </w:rPr>
        <w:t xml:space="preserve">expuesto por el actor, </w:t>
      </w:r>
      <w:r w:rsidR="00D66919" w:rsidRPr="00D66919">
        <w:rPr>
          <w:rFonts w:ascii="Arial" w:hAnsi="Arial" w:cs="Arial"/>
          <w:b/>
          <w:sz w:val="24"/>
          <w:szCs w:val="24"/>
        </w:rPr>
        <w:t>también</w:t>
      </w:r>
      <w:r w:rsidRPr="00D66919">
        <w:rPr>
          <w:rFonts w:ascii="Arial" w:hAnsi="Arial" w:cs="Arial"/>
          <w:b/>
          <w:sz w:val="24"/>
          <w:szCs w:val="24"/>
        </w:rPr>
        <w:t xml:space="preserve"> resulta infundado</w:t>
      </w:r>
      <w:r>
        <w:rPr>
          <w:rFonts w:ascii="Arial" w:hAnsi="Arial" w:cs="Arial"/>
          <w:sz w:val="24"/>
          <w:szCs w:val="24"/>
        </w:rPr>
        <w:t>, esto es así</w:t>
      </w:r>
      <w:r w:rsidR="00D66919">
        <w:rPr>
          <w:rFonts w:ascii="Arial" w:hAnsi="Arial" w:cs="Arial"/>
          <w:sz w:val="24"/>
          <w:szCs w:val="24"/>
        </w:rPr>
        <w:t>,</w:t>
      </w:r>
      <w:r>
        <w:rPr>
          <w:rFonts w:ascii="Arial" w:hAnsi="Arial" w:cs="Arial"/>
          <w:sz w:val="24"/>
          <w:szCs w:val="24"/>
        </w:rPr>
        <w:t xml:space="preserve"> pues el actor refirió que la autoridad demandada no tomó en cuenta que en la fracción I del artículo 269 del Código Fiscal para el Estado de Oaxaca, no es clara y que por ello no se puede conocer su alcance y significado, pues refiere que la </w:t>
      </w:r>
      <w:r w:rsidR="00F56D5B">
        <w:rPr>
          <w:rFonts w:ascii="Arial" w:hAnsi="Arial" w:cs="Arial"/>
          <w:sz w:val="24"/>
          <w:szCs w:val="24"/>
        </w:rPr>
        <w:t>fracción</w:t>
      </w:r>
      <w:r>
        <w:rPr>
          <w:rFonts w:ascii="Arial" w:hAnsi="Arial" w:cs="Arial"/>
          <w:sz w:val="24"/>
          <w:szCs w:val="24"/>
        </w:rPr>
        <w:t xml:space="preserve"> II del </w:t>
      </w:r>
      <w:r w:rsidR="00F56D5B">
        <w:rPr>
          <w:rFonts w:ascii="Arial" w:hAnsi="Arial" w:cs="Arial"/>
          <w:sz w:val="24"/>
          <w:szCs w:val="24"/>
        </w:rPr>
        <w:t>numeral</w:t>
      </w:r>
      <w:r>
        <w:rPr>
          <w:rFonts w:ascii="Arial" w:hAnsi="Arial" w:cs="Arial"/>
          <w:sz w:val="24"/>
          <w:szCs w:val="24"/>
        </w:rPr>
        <w:t xml:space="preserve"> en cita</w:t>
      </w:r>
      <w:r w:rsidR="00D66919">
        <w:rPr>
          <w:rFonts w:ascii="Arial" w:hAnsi="Arial" w:cs="Arial"/>
          <w:sz w:val="24"/>
          <w:szCs w:val="24"/>
        </w:rPr>
        <w:t>,</w:t>
      </w:r>
      <w:r>
        <w:rPr>
          <w:rFonts w:ascii="Arial" w:hAnsi="Arial" w:cs="Arial"/>
          <w:sz w:val="24"/>
          <w:szCs w:val="24"/>
        </w:rPr>
        <w:t xml:space="preserve"> contempla un molde idéntico a la conducta infractora prevista en la fracción I d</w:t>
      </w:r>
      <w:r w:rsidR="008A6B60">
        <w:rPr>
          <w:rFonts w:ascii="Arial" w:hAnsi="Arial" w:cs="Arial"/>
          <w:sz w:val="24"/>
          <w:szCs w:val="24"/>
        </w:rPr>
        <w:t>el multicitado numeral 269; contrario a lo expuesto por el actor, como se indicó en líneas que anteceden,</w:t>
      </w:r>
      <w:r w:rsidR="00E82717">
        <w:rPr>
          <w:rFonts w:ascii="Arial" w:hAnsi="Arial" w:cs="Arial"/>
          <w:sz w:val="24"/>
          <w:szCs w:val="24"/>
        </w:rPr>
        <w:t xml:space="preserve"> la autoridad demandada encuadró</w:t>
      </w:r>
      <w:r w:rsidR="008A6B60">
        <w:rPr>
          <w:rFonts w:ascii="Arial" w:hAnsi="Arial" w:cs="Arial"/>
          <w:sz w:val="24"/>
          <w:szCs w:val="24"/>
        </w:rPr>
        <w:t xml:space="preserve"> la conducta omisa en que incurrió</w:t>
      </w:r>
      <w:r w:rsidR="00E82717">
        <w:rPr>
          <w:rFonts w:ascii="Arial" w:hAnsi="Arial" w:cs="Arial"/>
          <w:sz w:val="24"/>
          <w:szCs w:val="24"/>
        </w:rPr>
        <w:t>,</w:t>
      </w:r>
      <w:r w:rsidR="008A6B60">
        <w:rPr>
          <w:rFonts w:ascii="Arial" w:hAnsi="Arial" w:cs="Arial"/>
          <w:sz w:val="24"/>
          <w:szCs w:val="24"/>
        </w:rPr>
        <w:t xml:space="preserve"> en la fracción I del artículo 269 del Código Fiscal para el Estado de </w:t>
      </w:r>
      <w:r w:rsidR="008A6B60">
        <w:rPr>
          <w:rFonts w:ascii="Arial" w:hAnsi="Arial" w:cs="Arial"/>
          <w:sz w:val="24"/>
          <w:szCs w:val="24"/>
        </w:rPr>
        <w:lastRenderedPageBreak/>
        <w:t>Oaxaca, por lo que no existe motivo por el cual</w:t>
      </w:r>
      <w:r w:rsidR="00E17DDC">
        <w:rPr>
          <w:rFonts w:ascii="Arial" w:hAnsi="Arial" w:cs="Arial"/>
          <w:sz w:val="24"/>
          <w:szCs w:val="24"/>
        </w:rPr>
        <w:t>,</w:t>
      </w:r>
      <w:r w:rsidR="008A6B60">
        <w:rPr>
          <w:rFonts w:ascii="Arial" w:hAnsi="Arial" w:cs="Arial"/>
          <w:sz w:val="24"/>
          <w:szCs w:val="24"/>
        </w:rPr>
        <w:t xml:space="preserve"> la autoridad demandada debió hacer un análisis de lo previsto en la fracción II del citado dispositivo legal, </w:t>
      </w:r>
      <w:r w:rsidR="00A61A9F">
        <w:rPr>
          <w:rFonts w:ascii="Arial" w:hAnsi="Arial" w:cs="Arial"/>
          <w:sz w:val="24"/>
          <w:szCs w:val="24"/>
        </w:rPr>
        <w:t>pues se insiste, la conducta en que incurrió el actor</w:t>
      </w:r>
      <w:r w:rsidR="00D66919">
        <w:rPr>
          <w:rFonts w:ascii="Arial" w:hAnsi="Arial" w:cs="Arial"/>
          <w:sz w:val="24"/>
          <w:szCs w:val="24"/>
        </w:rPr>
        <w:t>,</w:t>
      </w:r>
      <w:r w:rsidR="00F03F81">
        <w:rPr>
          <w:rFonts w:ascii="Arial" w:hAnsi="Arial" w:cs="Arial"/>
          <w:sz w:val="24"/>
          <w:szCs w:val="24"/>
        </w:rPr>
        <w:t xml:space="preserve"> encuadra</w:t>
      </w:r>
      <w:r w:rsidR="00A61A9F">
        <w:rPr>
          <w:rFonts w:ascii="Arial" w:hAnsi="Arial" w:cs="Arial"/>
          <w:sz w:val="24"/>
          <w:szCs w:val="24"/>
        </w:rPr>
        <w:t xml:space="preserve"> en la primer hipótesis prevista en la fracción I del artículo 269 en estudio, de ahí que exigir a la autoridad </w:t>
      </w:r>
      <w:r w:rsidR="00F03F81">
        <w:rPr>
          <w:rFonts w:ascii="Arial" w:hAnsi="Arial" w:cs="Arial"/>
          <w:sz w:val="24"/>
          <w:szCs w:val="24"/>
        </w:rPr>
        <w:t xml:space="preserve">demandada </w:t>
      </w:r>
      <w:r w:rsidR="00A61A9F">
        <w:rPr>
          <w:rFonts w:ascii="Arial" w:hAnsi="Arial" w:cs="Arial"/>
          <w:sz w:val="24"/>
          <w:szCs w:val="24"/>
        </w:rPr>
        <w:t>un análisis de las restantes fracciones que contempla dicho numeral</w:t>
      </w:r>
      <w:r w:rsidR="00D66919">
        <w:rPr>
          <w:rFonts w:ascii="Arial" w:hAnsi="Arial" w:cs="Arial"/>
          <w:sz w:val="24"/>
          <w:szCs w:val="24"/>
        </w:rPr>
        <w:t>,</w:t>
      </w:r>
      <w:r w:rsidR="00A61A9F">
        <w:rPr>
          <w:rFonts w:ascii="Arial" w:hAnsi="Arial" w:cs="Arial"/>
          <w:sz w:val="24"/>
          <w:szCs w:val="24"/>
        </w:rPr>
        <w:t xml:space="preserve"> </w:t>
      </w:r>
      <w:r w:rsidR="00F03F81">
        <w:rPr>
          <w:rFonts w:ascii="Arial" w:hAnsi="Arial" w:cs="Arial"/>
          <w:sz w:val="24"/>
          <w:szCs w:val="24"/>
        </w:rPr>
        <w:t>resulta</w:t>
      </w:r>
      <w:r w:rsidR="00A61A9F">
        <w:rPr>
          <w:rFonts w:ascii="Arial" w:hAnsi="Arial" w:cs="Arial"/>
          <w:sz w:val="24"/>
          <w:szCs w:val="24"/>
        </w:rPr>
        <w:t xml:space="preserve"> ocioso, pues la conducta había sido establecida y la adecuación a la normatividad en que se dispone su sanción</w:t>
      </w:r>
      <w:r w:rsidR="00D66919">
        <w:rPr>
          <w:rFonts w:ascii="Arial" w:hAnsi="Arial" w:cs="Arial"/>
          <w:sz w:val="24"/>
          <w:szCs w:val="24"/>
        </w:rPr>
        <w:t>,</w:t>
      </w:r>
      <w:r w:rsidR="00A61A9F">
        <w:rPr>
          <w:rFonts w:ascii="Arial" w:hAnsi="Arial" w:cs="Arial"/>
          <w:sz w:val="24"/>
          <w:szCs w:val="24"/>
        </w:rPr>
        <w:t xml:space="preserve"> había sido determinada, </w:t>
      </w:r>
      <w:r w:rsidR="005719F9">
        <w:rPr>
          <w:rFonts w:ascii="Arial" w:hAnsi="Arial" w:cs="Arial"/>
          <w:sz w:val="24"/>
          <w:szCs w:val="24"/>
        </w:rPr>
        <w:t xml:space="preserve">sin que se advierta una violación al principio de tipicidad que refiere, </w:t>
      </w:r>
      <w:r w:rsidR="00A61A9F">
        <w:rPr>
          <w:rFonts w:ascii="Arial" w:hAnsi="Arial" w:cs="Arial"/>
          <w:sz w:val="24"/>
          <w:szCs w:val="24"/>
        </w:rPr>
        <w:t>de ahí que resulte infundado el agravio expuesto por el actor.</w:t>
      </w:r>
    </w:p>
    <w:p w14:paraId="55BAD5DA" w14:textId="3F8A35E0" w:rsidR="005719F9" w:rsidRDefault="005719F9" w:rsidP="004C3D2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 bien es cierto el actor refiere que la sanción prevista en la fracción II del artículo 269 del Código Fiscal para el Estado de Oaxaca, le resultaría </w:t>
      </w:r>
      <w:r w:rsidR="008F5326">
        <w:rPr>
          <w:rFonts w:ascii="Arial" w:hAnsi="Arial" w:cs="Arial"/>
          <w:sz w:val="24"/>
          <w:szCs w:val="24"/>
        </w:rPr>
        <w:t>más</w:t>
      </w:r>
      <w:r>
        <w:rPr>
          <w:rFonts w:ascii="Arial" w:hAnsi="Arial" w:cs="Arial"/>
          <w:sz w:val="24"/>
          <w:szCs w:val="24"/>
        </w:rPr>
        <w:t xml:space="preserve"> benéfica,</w:t>
      </w:r>
      <w:r w:rsidR="008F5326">
        <w:rPr>
          <w:rFonts w:ascii="Arial" w:hAnsi="Arial" w:cs="Arial"/>
          <w:sz w:val="24"/>
          <w:szCs w:val="24"/>
        </w:rPr>
        <w:t xml:space="preserve"> lo cierto es</w:t>
      </w:r>
      <w:r w:rsidR="000B11AD">
        <w:rPr>
          <w:rFonts w:ascii="Arial" w:hAnsi="Arial" w:cs="Arial"/>
          <w:sz w:val="24"/>
          <w:szCs w:val="24"/>
        </w:rPr>
        <w:t>,</w:t>
      </w:r>
      <w:r w:rsidR="008F5326">
        <w:rPr>
          <w:rFonts w:ascii="Arial" w:hAnsi="Arial" w:cs="Arial"/>
          <w:sz w:val="24"/>
          <w:szCs w:val="24"/>
        </w:rPr>
        <w:t xml:space="preserve"> que la hipótesis prevista en la citada fracción II</w:t>
      </w:r>
      <w:r w:rsidR="004B54CE">
        <w:rPr>
          <w:rFonts w:ascii="Arial" w:hAnsi="Arial" w:cs="Arial"/>
          <w:sz w:val="24"/>
          <w:szCs w:val="24"/>
        </w:rPr>
        <w:t xml:space="preserve"> del numeral 269 en estudio</w:t>
      </w:r>
      <w:r w:rsidR="008F5326">
        <w:rPr>
          <w:rFonts w:ascii="Arial" w:hAnsi="Arial" w:cs="Arial"/>
          <w:sz w:val="24"/>
          <w:szCs w:val="24"/>
        </w:rPr>
        <w:t xml:space="preserve">, se refiere a la </w:t>
      </w:r>
      <w:r w:rsidR="000B11AD">
        <w:rPr>
          <w:rFonts w:ascii="Arial" w:hAnsi="Arial" w:cs="Arial"/>
          <w:sz w:val="24"/>
          <w:szCs w:val="24"/>
        </w:rPr>
        <w:t>infracción relacionada con la presentación de declaraciones</w:t>
      </w:r>
      <w:r w:rsidR="00F03F81">
        <w:rPr>
          <w:rFonts w:ascii="Arial" w:hAnsi="Arial" w:cs="Arial"/>
          <w:sz w:val="24"/>
          <w:szCs w:val="24"/>
        </w:rPr>
        <w:t>,</w:t>
      </w:r>
      <w:r w:rsidR="000B11AD">
        <w:rPr>
          <w:rFonts w:ascii="Arial" w:hAnsi="Arial" w:cs="Arial"/>
          <w:sz w:val="24"/>
          <w:szCs w:val="24"/>
        </w:rPr>
        <w:t xml:space="preserve"> </w:t>
      </w:r>
      <w:r w:rsidR="00CE1FBE" w:rsidRPr="00F03F81">
        <w:rPr>
          <w:rFonts w:ascii="Arial" w:hAnsi="Arial" w:cs="Arial"/>
          <w:b/>
          <w:sz w:val="24"/>
          <w:szCs w:val="24"/>
        </w:rPr>
        <w:t xml:space="preserve">previo </w:t>
      </w:r>
      <w:r w:rsidR="008F5326" w:rsidRPr="00F03F81">
        <w:rPr>
          <w:rFonts w:ascii="Arial" w:hAnsi="Arial" w:cs="Arial"/>
          <w:b/>
          <w:sz w:val="24"/>
          <w:szCs w:val="24"/>
        </w:rPr>
        <w:t>requerimiento</w:t>
      </w:r>
      <w:r w:rsidR="004B54CE" w:rsidRPr="00F03F81">
        <w:rPr>
          <w:rFonts w:ascii="Arial" w:hAnsi="Arial" w:cs="Arial"/>
          <w:b/>
          <w:sz w:val="24"/>
          <w:szCs w:val="24"/>
        </w:rPr>
        <w:t xml:space="preserve"> de la autoridad fiscal</w:t>
      </w:r>
      <w:r w:rsidR="004B54CE">
        <w:rPr>
          <w:rFonts w:ascii="Arial" w:hAnsi="Arial" w:cs="Arial"/>
          <w:sz w:val="24"/>
          <w:szCs w:val="24"/>
        </w:rPr>
        <w:t xml:space="preserve">, supuesto en el cual no se encontraba </w:t>
      </w:r>
      <w:r w:rsidR="00F03F81">
        <w:rPr>
          <w:rFonts w:ascii="Arial" w:hAnsi="Arial" w:cs="Arial"/>
          <w:sz w:val="24"/>
          <w:szCs w:val="24"/>
        </w:rPr>
        <w:t xml:space="preserve">la conducta </w:t>
      </w:r>
      <w:r w:rsidR="001451C2">
        <w:rPr>
          <w:rFonts w:ascii="Arial" w:hAnsi="Arial" w:cs="Arial"/>
          <w:sz w:val="24"/>
          <w:szCs w:val="24"/>
        </w:rPr>
        <w:t xml:space="preserve">en la que incurrió </w:t>
      </w:r>
      <w:r w:rsidR="00F03F81">
        <w:rPr>
          <w:rFonts w:ascii="Arial" w:hAnsi="Arial" w:cs="Arial"/>
          <w:sz w:val="24"/>
          <w:szCs w:val="24"/>
        </w:rPr>
        <w:t xml:space="preserve">el </w:t>
      </w:r>
      <w:r w:rsidR="004B54CE">
        <w:rPr>
          <w:rFonts w:ascii="Arial" w:hAnsi="Arial" w:cs="Arial"/>
          <w:sz w:val="24"/>
          <w:szCs w:val="24"/>
        </w:rPr>
        <w:t xml:space="preserve">actor, </w:t>
      </w:r>
      <w:r w:rsidR="00CE1FBE">
        <w:rPr>
          <w:rFonts w:ascii="Arial" w:hAnsi="Arial" w:cs="Arial"/>
          <w:sz w:val="24"/>
          <w:szCs w:val="24"/>
        </w:rPr>
        <w:t>pues é</w:t>
      </w:r>
      <w:r w:rsidR="004B54CE">
        <w:rPr>
          <w:rFonts w:ascii="Arial" w:hAnsi="Arial" w:cs="Arial"/>
          <w:sz w:val="24"/>
          <w:szCs w:val="24"/>
        </w:rPr>
        <w:t>l mismo refiri</w:t>
      </w:r>
      <w:r w:rsidR="00BC6D76">
        <w:rPr>
          <w:rFonts w:ascii="Arial" w:hAnsi="Arial" w:cs="Arial"/>
          <w:sz w:val="24"/>
          <w:szCs w:val="24"/>
        </w:rPr>
        <w:t>ó en su</w:t>
      </w:r>
      <w:r w:rsidR="004B54CE">
        <w:rPr>
          <w:rFonts w:ascii="Arial" w:hAnsi="Arial" w:cs="Arial"/>
          <w:sz w:val="24"/>
          <w:szCs w:val="24"/>
        </w:rPr>
        <w:t xml:space="preserve"> escrito de demanda, que no existió tal requerimiento, por tanto</w:t>
      </w:r>
      <w:r w:rsidR="00BC6D76">
        <w:rPr>
          <w:rFonts w:ascii="Arial" w:hAnsi="Arial" w:cs="Arial"/>
          <w:sz w:val="24"/>
          <w:szCs w:val="24"/>
        </w:rPr>
        <w:t>,</w:t>
      </w:r>
      <w:r w:rsidR="004B54CE">
        <w:rPr>
          <w:rFonts w:ascii="Arial" w:hAnsi="Arial" w:cs="Arial"/>
          <w:sz w:val="24"/>
          <w:szCs w:val="24"/>
        </w:rPr>
        <w:t xml:space="preserve"> la hipótesis prevista en la primera parte de la fracción I del artículo 269 del Código Fiscal para el Estado de Oaxaca, le resultaba aplicable</w:t>
      </w:r>
      <w:r w:rsidR="004F43AF">
        <w:rPr>
          <w:rFonts w:ascii="Arial" w:hAnsi="Arial" w:cs="Arial"/>
          <w:sz w:val="24"/>
          <w:szCs w:val="24"/>
        </w:rPr>
        <w:t>,</w:t>
      </w:r>
      <w:r w:rsidR="004B54CE">
        <w:rPr>
          <w:rFonts w:ascii="Arial" w:hAnsi="Arial" w:cs="Arial"/>
          <w:sz w:val="24"/>
          <w:szCs w:val="24"/>
        </w:rPr>
        <w:t xml:space="preserve"> pues se deduce que esta se refiere a una presentación espontánea </w:t>
      </w:r>
      <w:r w:rsidR="004F43AF">
        <w:rPr>
          <w:rFonts w:ascii="Arial" w:hAnsi="Arial" w:cs="Arial"/>
          <w:sz w:val="24"/>
          <w:szCs w:val="24"/>
        </w:rPr>
        <w:t xml:space="preserve">de las declaraciones que exijan las disposiciones fiscales, sin que exista requerimiento previo, de ahí que resulte infundada la premisa expuesta por el actor. </w:t>
      </w:r>
    </w:p>
    <w:p w14:paraId="2890C519" w14:textId="2F0B19F6" w:rsidR="002376ED" w:rsidRDefault="002376ED" w:rsidP="005229C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Ante lo infundado de los agravios expuestos por el actor, se declara la </w:t>
      </w:r>
      <w:r w:rsidRPr="00D17470">
        <w:rPr>
          <w:rFonts w:ascii="Arial" w:hAnsi="Arial" w:cs="Arial"/>
          <w:b/>
          <w:sz w:val="24"/>
          <w:szCs w:val="24"/>
        </w:rPr>
        <w:t>VALIDEZ</w:t>
      </w:r>
      <w:r>
        <w:rPr>
          <w:rFonts w:ascii="Arial" w:hAnsi="Arial" w:cs="Arial"/>
          <w:sz w:val="24"/>
          <w:szCs w:val="24"/>
        </w:rPr>
        <w:t xml:space="preserve"> de la resolución dictada con fecha </w:t>
      </w:r>
      <w:r w:rsidR="00ED17E3">
        <w:rPr>
          <w:rFonts w:ascii="Arial" w:hAnsi="Arial" w:cs="Arial"/>
          <w:sz w:val="24"/>
          <w:szCs w:val="24"/>
        </w:rPr>
        <w:t>***** de ***** de dos mil veinte (**/**/2020)</w:t>
      </w:r>
      <w:r>
        <w:rPr>
          <w:rFonts w:ascii="Arial" w:hAnsi="Arial" w:cs="Arial"/>
          <w:sz w:val="24"/>
          <w:szCs w:val="24"/>
        </w:rPr>
        <w:t xml:space="preserve">, </w:t>
      </w:r>
      <w:r w:rsidR="00D17470">
        <w:rPr>
          <w:rFonts w:ascii="Arial" w:hAnsi="Arial" w:cs="Arial"/>
          <w:sz w:val="24"/>
          <w:szCs w:val="24"/>
        </w:rPr>
        <w:t xml:space="preserve">por el Director de lo Contencioso de la Procuraduría Fiscal de la Subsecretaría de Ingresos de la Secretaría de Finanzas del Poder Ejecutivo del Estado de Oaxaca, en el Recurso de Revocación interpuesto por el actor contra la resolución con número de control </w:t>
      </w:r>
      <w:r w:rsidR="00ED17E3">
        <w:rPr>
          <w:rFonts w:ascii="Arial" w:hAnsi="Arial" w:cs="Arial"/>
          <w:sz w:val="24"/>
          <w:szCs w:val="24"/>
        </w:rPr>
        <w:t>**********</w:t>
      </w:r>
      <w:r w:rsidR="00D17470">
        <w:rPr>
          <w:rFonts w:ascii="Arial" w:hAnsi="Arial" w:cs="Arial"/>
          <w:sz w:val="24"/>
          <w:szCs w:val="24"/>
        </w:rPr>
        <w:t xml:space="preserve">, de fecha </w:t>
      </w:r>
      <w:r w:rsidR="007E7607">
        <w:rPr>
          <w:rFonts w:ascii="Arial" w:hAnsi="Arial" w:cs="Arial"/>
          <w:sz w:val="24"/>
          <w:szCs w:val="24"/>
        </w:rPr>
        <w:t>***** de ***** de dos mil diecinueve (**/**/2019)</w:t>
      </w:r>
      <w:r w:rsidR="00D17470">
        <w:rPr>
          <w:rFonts w:ascii="Arial" w:hAnsi="Arial" w:cs="Arial"/>
          <w:sz w:val="24"/>
          <w:szCs w:val="24"/>
        </w:rPr>
        <w:t xml:space="preserve">, emitida por la Directora de Ingresos y Recaudación de la Secretaría de Finanzas del Gobierno del Estado de Oaxaca, lo anterior de conformidad con lo dispuesto en el artículo </w:t>
      </w:r>
      <w:r w:rsidR="00D0640C">
        <w:rPr>
          <w:rFonts w:ascii="Arial" w:hAnsi="Arial" w:cs="Arial"/>
          <w:sz w:val="24"/>
          <w:szCs w:val="24"/>
        </w:rPr>
        <w:t>209 de la Ley de Procedimiento y Justicia Administrativa para el Estado de Oaxaca.</w:t>
      </w:r>
      <w:r w:rsidR="00D17470">
        <w:rPr>
          <w:rFonts w:ascii="Arial" w:hAnsi="Arial" w:cs="Arial"/>
          <w:sz w:val="24"/>
          <w:szCs w:val="24"/>
        </w:rPr>
        <w:t xml:space="preserve"> </w:t>
      </w:r>
    </w:p>
    <w:p w14:paraId="72268F5D" w14:textId="376CD0FB" w:rsidR="00610A68" w:rsidRDefault="00D535FD"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610A68" w:rsidRPr="001042B6">
        <w:rPr>
          <w:rFonts w:ascii="Arial" w:hAnsi="Arial" w:cs="Arial"/>
          <w:sz w:val="24"/>
          <w:szCs w:val="24"/>
        </w:rPr>
        <w:t>Por lo expuesto</w:t>
      </w:r>
      <w:r w:rsidR="00610A68">
        <w:rPr>
          <w:rFonts w:ascii="Arial" w:hAnsi="Arial" w:cs="Arial"/>
          <w:sz w:val="24"/>
          <w:szCs w:val="24"/>
        </w:rPr>
        <w:t xml:space="preserve"> y fundado y con apoyo además en </w:t>
      </w:r>
      <w:r w:rsidR="00D0640C">
        <w:rPr>
          <w:rFonts w:ascii="Arial" w:hAnsi="Arial" w:cs="Arial"/>
          <w:sz w:val="24"/>
          <w:szCs w:val="24"/>
        </w:rPr>
        <w:t>los</w:t>
      </w:r>
      <w:r w:rsidR="00610A68">
        <w:rPr>
          <w:rFonts w:ascii="Arial" w:hAnsi="Arial" w:cs="Arial"/>
          <w:sz w:val="24"/>
          <w:szCs w:val="24"/>
        </w:rPr>
        <w:t xml:space="preserve"> artículos 207, </w:t>
      </w:r>
      <w:r w:rsidR="00D0640C">
        <w:rPr>
          <w:rFonts w:ascii="Arial" w:hAnsi="Arial" w:cs="Arial"/>
          <w:sz w:val="24"/>
          <w:szCs w:val="24"/>
        </w:rPr>
        <w:t>y 209 ambos</w:t>
      </w:r>
      <w:r w:rsidR="00610A68">
        <w:rPr>
          <w:rFonts w:ascii="Arial" w:hAnsi="Arial" w:cs="Arial"/>
          <w:sz w:val="24"/>
          <w:szCs w:val="24"/>
        </w:rPr>
        <w:t xml:space="preserve"> de la Ley de Procedimiento y Justicia Administrativa para el Estado de Oaxaca, se: - - - - - - - - - - - - - - - - - - - - - - - - - - - - - - - - - - </w:t>
      </w:r>
      <w:r w:rsidR="00D0640C">
        <w:rPr>
          <w:rFonts w:ascii="Arial" w:hAnsi="Arial" w:cs="Arial"/>
          <w:sz w:val="24"/>
          <w:szCs w:val="24"/>
        </w:rPr>
        <w:t>-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184CF78D" w:rsidR="0033299E" w:rsidRPr="0033299E" w:rsidRDefault="00610A68" w:rsidP="00610A6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sidR="0033299E">
        <w:rPr>
          <w:rFonts w:ascii="Arial" w:hAnsi="Arial" w:cs="Arial"/>
          <w:bCs/>
          <w:sz w:val="24"/>
          <w:szCs w:val="24"/>
        </w:rPr>
        <w:t xml:space="preserve">Se declara la </w:t>
      </w:r>
      <w:r w:rsidR="00DF378B" w:rsidRPr="00D17470">
        <w:rPr>
          <w:rFonts w:ascii="Arial" w:hAnsi="Arial" w:cs="Arial"/>
          <w:b/>
          <w:sz w:val="24"/>
          <w:szCs w:val="24"/>
        </w:rPr>
        <w:t>VALIDEZ</w:t>
      </w:r>
      <w:r w:rsidR="00DF378B">
        <w:rPr>
          <w:rFonts w:ascii="Arial" w:hAnsi="Arial" w:cs="Arial"/>
          <w:sz w:val="24"/>
          <w:szCs w:val="24"/>
        </w:rPr>
        <w:t xml:space="preserve"> de la resolución dictada con fecha </w:t>
      </w:r>
      <w:r w:rsidR="00ED17E3">
        <w:rPr>
          <w:rFonts w:ascii="Arial" w:hAnsi="Arial" w:cs="Arial"/>
          <w:sz w:val="24"/>
          <w:szCs w:val="24"/>
        </w:rPr>
        <w:t>***** de ***** de dos mil veinte (**/**/2020)</w:t>
      </w:r>
      <w:r w:rsidR="00DF378B">
        <w:rPr>
          <w:rFonts w:ascii="Arial" w:hAnsi="Arial" w:cs="Arial"/>
          <w:sz w:val="24"/>
          <w:szCs w:val="24"/>
        </w:rPr>
        <w:t xml:space="preserve">, por el Director de lo Contencioso de la Procuraduría Fiscal de la Subsecretaría de Ingresos de la Secretaría de Finanzas del Poder Ejecutivo del Estado de Oaxaca, en el Recurso de Revocación interpuesto por el actor contra la resolución con número de control </w:t>
      </w:r>
      <w:r w:rsidR="00ED17E3">
        <w:rPr>
          <w:rFonts w:ascii="Arial" w:hAnsi="Arial" w:cs="Arial"/>
          <w:sz w:val="24"/>
          <w:szCs w:val="24"/>
        </w:rPr>
        <w:t>**********</w:t>
      </w:r>
      <w:r w:rsidR="00DF378B">
        <w:rPr>
          <w:rFonts w:ascii="Arial" w:hAnsi="Arial" w:cs="Arial"/>
          <w:sz w:val="24"/>
          <w:szCs w:val="24"/>
        </w:rPr>
        <w:t xml:space="preserve">, de fecha </w:t>
      </w:r>
      <w:r w:rsidR="007E7607">
        <w:rPr>
          <w:rFonts w:ascii="Arial" w:hAnsi="Arial" w:cs="Arial"/>
          <w:sz w:val="24"/>
          <w:szCs w:val="24"/>
        </w:rPr>
        <w:t>***** de ***** de dos mil diecinueve (**/**/2019)</w:t>
      </w:r>
      <w:r w:rsidR="00DF378B">
        <w:rPr>
          <w:rFonts w:ascii="Arial" w:hAnsi="Arial" w:cs="Arial"/>
          <w:sz w:val="24"/>
          <w:szCs w:val="24"/>
        </w:rPr>
        <w:t>, emitida por la Directora de Ingresos y Recaudación de la Secretaría de Finanzas del Gobierno del Estado de Oaxaca, lo anterior de conformidad con el considerando QUINTO de esta resolución</w:t>
      </w:r>
      <w:r w:rsidR="0033299E">
        <w:rPr>
          <w:rFonts w:ascii="Arial" w:hAnsi="Arial" w:cs="Arial"/>
          <w:sz w:val="24"/>
          <w:szCs w:val="24"/>
        </w:rPr>
        <w:t xml:space="preserve">. - - - - - - - - - </w:t>
      </w:r>
      <w:r w:rsidR="007E7607">
        <w:rPr>
          <w:rFonts w:ascii="Arial" w:hAnsi="Arial" w:cs="Arial"/>
          <w:sz w:val="24"/>
          <w:szCs w:val="24"/>
        </w:rPr>
        <w:t xml:space="preserve">- - - - - - - - - - - - - - -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proofErr w:type="gramStart"/>
      <w:r>
        <w:rPr>
          <w:rFonts w:ascii="Arial" w:hAnsi="Arial" w:cs="Arial"/>
          <w:b/>
          <w:bCs/>
          <w:sz w:val="24"/>
          <w:szCs w:val="24"/>
        </w:rPr>
        <w:t>CUARTO.-</w:t>
      </w:r>
      <w:proofErr w:type="gramEnd"/>
      <w:r>
        <w:rPr>
          <w:rFonts w:ascii="Arial" w:hAnsi="Arial" w:cs="Arial"/>
          <w:b/>
          <w:bCs/>
          <w:sz w:val="24"/>
          <w:szCs w:val="24"/>
        </w:rPr>
        <w:t xml:space="preserve">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352E" w14:textId="77777777" w:rsidR="008F7D80" w:rsidRDefault="008F7D80" w:rsidP="007A5B5E">
      <w:pPr>
        <w:spacing w:after="0" w:line="240" w:lineRule="auto"/>
      </w:pPr>
      <w:r>
        <w:separator/>
      </w:r>
    </w:p>
  </w:endnote>
  <w:endnote w:type="continuationSeparator" w:id="0">
    <w:p w14:paraId="65786B4E" w14:textId="77777777" w:rsidR="008F7D80" w:rsidRDefault="008F7D8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C6C9E" w:rsidRPr="00FC6C9E">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C6C9E" w:rsidRPr="00FC6C9E">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E9D73" w14:textId="77777777" w:rsidR="008F7D80" w:rsidRDefault="008F7D80" w:rsidP="007A5B5E">
      <w:pPr>
        <w:spacing w:after="0" w:line="240" w:lineRule="auto"/>
      </w:pPr>
      <w:r>
        <w:separator/>
      </w:r>
    </w:p>
  </w:footnote>
  <w:footnote w:type="continuationSeparator" w:id="0">
    <w:p w14:paraId="3980E3B5" w14:textId="77777777" w:rsidR="008F7D80" w:rsidRDefault="008F7D8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7E7607">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37955A4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5B400D4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00</w:t>
    </w:r>
    <w:r w:rsidR="00CD079F">
      <w:rPr>
        <w:rFonts w:ascii="Bookman Old Style" w:hAnsi="Bookman Old Style"/>
        <w:b/>
        <w:sz w:val="24"/>
        <w:szCs w:val="24"/>
      </w:rPr>
      <w:t>51</w:t>
    </w:r>
    <w:r w:rsidRPr="00391F24">
      <w:rPr>
        <w:rFonts w:ascii="Bookman Old Style" w:hAnsi="Bookman Old Style"/>
        <w:b/>
        <w:sz w:val="24"/>
        <w:szCs w:val="24"/>
      </w:rPr>
      <w:t>/</w:t>
    </w:r>
    <w:r w:rsidR="00B544E2">
      <w:rPr>
        <w:rFonts w:ascii="Bookman Old Style" w:hAnsi="Bookman Old Style"/>
        <w:b/>
        <w:sz w:val="24"/>
        <w:szCs w:val="24"/>
      </w:rPr>
      <w:t>20</w:t>
    </w:r>
    <w:r w:rsidR="00564A26">
      <w:rPr>
        <w:rFonts w:ascii="Bookman Old Style" w:hAnsi="Bookman Old Style"/>
        <w:b/>
        <w:sz w:val="24"/>
        <w:szCs w:val="24"/>
      </w:rPr>
      <w:t>20</w:t>
    </w:r>
  </w:p>
  <w:p w14:paraId="00DACB68" w14:textId="77B5948F" w:rsidR="00BD2E39" w:rsidRPr="00071C38" w:rsidRDefault="00ED17E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F910BA2" wp14:editId="3ECFA405">
              <wp:simplePos x="0" y="0"/>
              <wp:positionH relativeFrom="leftMargin">
                <wp:posOffset>163830</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2A0285D" w14:textId="77777777" w:rsidR="00ED17E3" w:rsidRPr="003B6E97" w:rsidRDefault="00ED17E3" w:rsidP="00ED17E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539548D" w14:textId="77777777" w:rsidR="00ED17E3" w:rsidRPr="003B6E97" w:rsidRDefault="00ED17E3" w:rsidP="00ED17E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910BA2" id="Cuadro de texto 5" o:spid="_x0000_s1027" type="#_x0000_t202" style="position:absolute;left:0;text-align:left;margin-left:12.9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5EcAkOEAAAAKAQAADwAAAAAAAAAAAAAAAAB0BAAAZHJzL2Rvd25yZXYueG1s&#10;UEsFBgAAAAAEAAQA8wAAAIIFAAAAAA==&#10;">
              <v:textbox>
                <w:txbxContent>
                  <w:p w14:paraId="42A0285D" w14:textId="77777777" w:rsidR="00ED17E3" w:rsidRPr="003B6E97" w:rsidRDefault="00ED17E3" w:rsidP="00ED17E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539548D" w14:textId="77777777" w:rsidR="00ED17E3" w:rsidRPr="003B6E97" w:rsidRDefault="00ED17E3" w:rsidP="00ED17E3">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7E7607">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52857651">
    <w:abstractNumId w:val="5"/>
  </w:num>
  <w:num w:numId="2" w16cid:durableId="348335794">
    <w:abstractNumId w:val="2"/>
  </w:num>
  <w:num w:numId="3" w16cid:durableId="716852569">
    <w:abstractNumId w:val="6"/>
  </w:num>
  <w:num w:numId="4" w16cid:durableId="1056048785">
    <w:abstractNumId w:val="1"/>
  </w:num>
  <w:num w:numId="5" w16cid:durableId="2086410984">
    <w:abstractNumId w:val="7"/>
  </w:num>
  <w:num w:numId="6" w16cid:durableId="1918981164">
    <w:abstractNumId w:val="8"/>
  </w:num>
  <w:num w:numId="7" w16cid:durableId="588007251">
    <w:abstractNumId w:val="10"/>
  </w:num>
  <w:num w:numId="8" w16cid:durableId="189803364">
    <w:abstractNumId w:val="4"/>
  </w:num>
  <w:num w:numId="9" w16cid:durableId="779842046">
    <w:abstractNumId w:val="0"/>
  </w:num>
  <w:num w:numId="10" w16cid:durableId="335116708">
    <w:abstractNumId w:val="9"/>
  </w:num>
  <w:num w:numId="11" w16cid:durableId="917708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6E2A"/>
    <w:rsid w:val="00006EF3"/>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6EEE"/>
    <w:rsid w:val="000575BB"/>
    <w:rsid w:val="000606E5"/>
    <w:rsid w:val="00060A65"/>
    <w:rsid w:val="0006273F"/>
    <w:rsid w:val="00062DC6"/>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11AD"/>
    <w:rsid w:val="000B2F85"/>
    <w:rsid w:val="000B38F2"/>
    <w:rsid w:val="000B41EC"/>
    <w:rsid w:val="000B51EE"/>
    <w:rsid w:val="000B5202"/>
    <w:rsid w:val="000C1072"/>
    <w:rsid w:val="000C2C5C"/>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2793E"/>
    <w:rsid w:val="00131AD2"/>
    <w:rsid w:val="00131D15"/>
    <w:rsid w:val="001323F3"/>
    <w:rsid w:val="00132D25"/>
    <w:rsid w:val="0013537E"/>
    <w:rsid w:val="00136797"/>
    <w:rsid w:val="00143151"/>
    <w:rsid w:val="001441D2"/>
    <w:rsid w:val="001451C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6ED"/>
    <w:rsid w:val="00237BFA"/>
    <w:rsid w:val="00242030"/>
    <w:rsid w:val="00243840"/>
    <w:rsid w:val="00244832"/>
    <w:rsid w:val="0024563C"/>
    <w:rsid w:val="00245911"/>
    <w:rsid w:val="00245B7F"/>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37DE"/>
    <w:rsid w:val="002E4128"/>
    <w:rsid w:val="002E4589"/>
    <w:rsid w:val="002E45CD"/>
    <w:rsid w:val="002E7960"/>
    <w:rsid w:val="002F02CC"/>
    <w:rsid w:val="002F0653"/>
    <w:rsid w:val="002F0DE0"/>
    <w:rsid w:val="002F173D"/>
    <w:rsid w:val="002F4152"/>
    <w:rsid w:val="002F510D"/>
    <w:rsid w:val="002F7E67"/>
    <w:rsid w:val="002F7E96"/>
    <w:rsid w:val="00300D5A"/>
    <w:rsid w:val="00307587"/>
    <w:rsid w:val="00310B88"/>
    <w:rsid w:val="00314069"/>
    <w:rsid w:val="00315E00"/>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F1F"/>
    <w:rsid w:val="003525C9"/>
    <w:rsid w:val="003528A6"/>
    <w:rsid w:val="00354AAF"/>
    <w:rsid w:val="0035595B"/>
    <w:rsid w:val="0035713D"/>
    <w:rsid w:val="003605D0"/>
    <w:rsid w:val="0036088A"/>
    <w:rsid w:val="00362621"/>
    <w:rsid w:val="00362B10"/>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3C3C"/>
    <w:rsid w:val="003B4F0A"/>
    <w:rsid w:val="003B6BBC"/>
    <w:rsid w:val="003B7E4D"/>
    <w:rsid w:val="003C07A2"/>
    <w:rsid w:val="003C2345"/>
    <w:rsid w:val="003C38DB"/>
    <w:rsid w:val="003C5391"/>
    <w:rsid w:val="003C5B79"/>
    <w:rsid w:val="003C5C1B"/>
    <w:rsid w:val="003D1756"/>
    <w:rsid w:val="003D231C"/>
    <w:rsid w:val="003D6F67"/>
    <w:rsid w:val="003E0290"/>
    <w:rsid w:val="003E088F"/>
    <w:rsid w:val="003E104E"/>
    <w:rsid w:val="003E1EEB"/>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878A4"/>
    <w:rsid w:val="00491ADF"/>
    <w:rsid w:val="00493F4D"/>
    <w:rsid w:val="004943A0"/>
    <w:rsid w:val="004953DE"/>
    <w:rsid w:val="004A0636"/>
    <w:rsid w:val="004A0969"/>
    <w:rsid w:val="004A0ACE"/>
    <w:rsid w:val="004A3624"/>
    <w:rsid w:val="004B074C"/>
    <w:rsid w:val="004B0CAA"/>
    <w:rsid w:val="004B21D3"/>
    <w:rsid w:val="004B3184"/>
    <w:rsid w:val="004B38DE"/>
    <w:rsid w:val="004B4229"/>
    <w:rsid w:val="004B524C"/>
    <w:rsid w:val="004B54CE"/>
    <w:rsid w:val="004B55EA"/>
    <w:rsid w:val="004B5DC4"/>
    <w:rsid w:val="004B768F"/>
    <w:rsid w:val="004B77DC"/>
    <w:rsid w:val="004C0A0A"/>
    <w:rsid w:val="004C0E52"/>
    <w:rsid w:val="004C1605"/>
    <w:rsid w:val="004C287A"/>
    <w:rsid w:val="004C3D2B"/>
    <w:rsid w:val="004C3DD5"/>
    <w:rsid w:val="004C4AE3"/>
    <w:rsid w:val="004C5180"/>
    <w:rsid w:val="004C53EB"/>
    <w:rsid w:val="004C7B48"/>
    <w:rsid w:val="004C7C3E"/>
    <w:rsid w:val="004D0C16"/>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43A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4F"/>
    <w:rsid w:val="00522C05"/>
    <w:rsid w:val="00523223"/>
    <w:rsid w:val="0052369A"/>
    <w:rsid w:val="00523A3B"/>
    <w:rsid w:val="005247FF"/>
    <w:rsid w:val="00524EF5"/>
    <w:rsid w:val="00525109"/>
    <w:rsid w:val="005277AB"/>
    <w:rsid w:val="00527A5C"/>
    <w:rsid w:val="005319C3"/>
    <w:rsid w:val="005338F9"/>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4A26"/>
    <w:rsid w:val="005650AD"/>
    <w:rsid w:val="0056582A"/>
    <w:rsid w:val="0056625C"/>
    <w:rsid w:val="00566511"/>
    <w:rsid w:val="0056783C"/>
    <w:rsid w:val="00571121"/>
    <w:rsid w:val="005719F9"/>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0E4"/>
    <w:rsid w:val="005F76E9"/>
    <w:rsid w:val="00602BEA"/>
    <w:rsid w:val="00604785"/>
    <w:rsid w:val="006050EC"/>
    <w:rsid w:val="00605FD1"/>
    <w:rsid w:val="0060689E"/>
    <w:rsid w:val="00606A66"/>
    <w:rsid w:val="006077DB"/>
    <w:rsid w:val="00607F2F"/>
    <w:rsid w:val="00610311"/>
    <w:rsid w:val="00610A68"/>
    <w:rsid w:val="00613139"/>
    <w:rsid w:val="00614DC0"/>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468DD"/>
    <w:rsid w:val="00646DA0"/>
    <w:rsid w:val="006532EB"/>
    <w:rsid w:val="00653A69"/>
    <w:rsid w:val="0065458C"/>
    <w:rsid w:val="00654961"/>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E7FC5"/>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152C"/>
    <w:rsid w:val="007624B6"/>
    <w:rsid w:val="00763AC0"/>
    <w:rsid w:val="00764CAC"/>
    <w:rsid w:val="00766AB5"/>
    <w:rsid w:val="0076701A"/>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3DB6"/>
    <w:rsid w:val="007D51B8"/>
    <w:rsid w:val="007D55B0"/>
    <w:rsid w:val="007D55ED"/>
    <w:rsid w:val="007D6515"/>
    <w:rsid w:val="007E1317"/>
    <w:rsid w:val="007E15ED"/>
    <w:rsid w:val="007E2943"/>
    <w:rsid w:val="007E41A0"/>
    <w:rsid w:val="007E51B4"/>
    <w:rsid w:val="007E6387"/>
    <w:rsid w:val="007E66DC"/>
    <w:rsid w:val="007E7276"/>
    <w:rsid w:val="007E7607"/>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55F5"/>
    <w:rsid w:val="00856A4E"/>
    <w:rsid w:val="00857943"/>
    <w:rsid w:val="00860369"/>
    <w:rsid w:val="00860BE0"/>
    <w:rsid w:val="0086137F"/>
    <w:rsid w:val="008615A1"/>
    <w:rsid w:val="008626C1"/>
    <w:rsid w:val="00862D54"/>
    <w:rsid w:val="00863FE3"/>
    <w:rsid w:val="00875789"/>
    <w:rsid w:val="008779A6"/>
    <w:rsid w:val="008846DD"/>
    <w:rsid w:val="008848C8"/>
    <w:rsid w:val="00885691"/>
    <w:rsid w:val="00886378"/>
    <w:rsid w:val="00890C8B"/>
    <w:rsid w:val="008911C8"/>
    <w:rsid w:val="00896F1B"/>
    <w:rsid w:val="008973C3"/>
    <w:rsid w:val="008A027B"/>
    <w:rsid w:val="008A0B67"/>
    <w:rsid w:val="008A0DB8"/>
    <w:rsid w:val="008A27E3"/>
    <w:rsid w:val="008A3F34"/>
    <w:rsid w:val="008A4EBD"/>
    <w:rsid w:val="008A5038"/>
    <w:rsid w:val="008A6B60"/>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326"/>
    <w:rsid w:val="008F5460"/>
    <w:rsid w:val="008F7D80"/>
    <w:rsid w:val="00900102"/>
    <w:rsid w:val="009001D8"/>
    <w:rsid w:val="00900837"/>
    <w:rsid w:val="00900CAE"/>
    <w:rsid w:val="0090118B"/>
    <w:rsid w:val="009015F9"/>
    <w:rsid w:val="00901822"/>
    <w:rsid w:val="00901ED2"/>
    <w:rsid w:val="00902C09"/>
    <w:rsid w:val="00903032"/>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4835"/>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0B4C"/>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7EA"/>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C5B"/>
    <w:rsid w:val="00A41D9F"/>
    <w:rsid w:val="00A43406"/>
    <w:rsid w:val="00A44239"/>
    <w:rsid w:val="00A4544A"/>
    <w:rsid w:val="00A465BE"/>
    <w:rsid w:val="00A47699"/>
    <w:rsid w:val="00A478B9"/>
    <w:rsid w:val="00A51258"/>
    <w:rsid w:val="00A521C9"/>
    <w:rsid w:val="00A52A8B"/>
    <w:rsid w:val="00A54C1E"/>
    <w:rsid w:val="00A56A2F"/>
    <w:rsid w:val="00A57E36"/>
    <w:rsid w:val="00A61A9F"/>
    <w:rsid w:val="00A62BB9"/>
    <w:rsid w:val="00A640B9"/>
    <w:rsid w:val="00A659DE"/>
    <w:rsid w:val="00A712C4"/>
    <w:rsid w:val="00A74AF7"/>
    <w:rsid w:val="00A75971"/>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BC6"/>
    <w:rsid w:val="00AA0710"/>
    <w:rsid w:val="00AA20C4"/>
    <w:rsid w:val="00AA3699"/>
    <w:rsid w:val="00AA4103"/>
    <w:rsid w:val="00AA51ED"/>
    <w:rsid w:val="00AA62AE"/>
    <w:rsid w:val="00AA7145"/>
    <w:rsid w:val="00AA796F"/>
    <w:rsid w:val="00AA7BAB"/>
    <w:rsid w:val="00AB0997"/>
    <w:rsid w:val="00AB12C6"/>
    <w:rsid w:val="00AB1630"/>
    <w:rsid w:val="00AB5C18"/>
    <w:rsid w:val="00AB797D"/>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086F"/>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1C1C"/>
    <w:rsid w:val="00B124E3"/>
    <w:rsid w:val="00B12AAE"/>
    <w:rsid w:val="00B147BA"/>
    <w:rsid w:val="00B14A22"/>
    <w:rsid w:val="00B14C4C"/>
    <w:rsid w:val="00B155D4"/>
    <w:rsid w:val="00B160B2"/>
    <w:rsid w:val="00B171D1"/>
    <w:rsid w:val="00B17D2D"/>
    <w:rsid w:val="00B20A79"/>
    <w:rsid w:val="00B20D75"/>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86185"/>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6D76"/>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A59"/>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BC5"/>
    <w:rsid w:val="00CC0343"/>
    <w:rsid w:val="00CC1556"/>
    <w:rsid w:val="00CC44F3"/>
    <w:rsid w:val="00CC500A"/>
    <w:rsid w:val="00CC7806"/>
    <w:rsid w:val="00CD079F"/>
    <w:rsid w:val="00CD140A"/>
    <w:rsid w:val="00CD219A"/>
    <w:rsid w:val="00CD3746"/>
    <w:rsid w:val="00CD43CA"/>
    <w:rsid w:val="00CD6397"/>
    <w:rsid w:val="00CD658F"/>
    <w:rsid w:val="00CD707F"/>
    <w:rsid w:val="00CE1FBE"/>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5055"/>
    <w:rsid w:val="00D0640C"/>
    <w:rsid w:val="00D06A86"/>
    <w:rsid w:val="00D06B91"/>
    <w:rsid w:val="00D079B1"/>
    <w:rsid w:val="00D11FEF"/>
    <w:rsid w:val="00D12DC7"/>
    <w:rsid w:val="00D14D1C"/>
    <w:rsid w:val="00D14FD7"/>
    <w:rsid w:val="00D17470"/>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6919"/>
    <w:rsid w:val="00D67F35"/>
    <w:rsid w:val="00D714AE"/>
    <w:rsid w:val="00D758C3"/>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378B"/>
    <w:rsid w:val="00DF4249"/>
    <w:rsid w:val="00DF431D"/>
    <w:rsid w:val="00DF4A65"/>
    <w:rsid w:val="00DF5113"/>
    <w:rsid w:val="00DF596A"/>
    <w:rsid w:val="00DF5F35"/>
    <w:rsid w:val="00DF61BB"/>
    <w:rsid w:val="00DF7C84"/>
    <w:rsid w:val="00E05E49"/>
    <w:rsid w:val="00E07258"/>
    <w:rsid w:val="00E13318"/>
    <w:rsid w:val="00E16656"/>
    <w:rsid w:val="00E16FB5"/>
    <w:rsid w:val="00E17DDC"/>
    <w:rsid w:val="00E202EB"/>
    <w:rsid w:val="00E21065"/>
    <w:rsid w:val="00E21766"/>
    <w:rsid w:val="00E21E6C"/>
    <w:rsid w:val="00E21FBE"/>
    <w:rsid w:val="00E2480A"/>
    <w:rsid w:val="00E24926"/>
    <w:rsid w:val="00E265B8"/>
    <w:rsid w:val="00E2667C"/>
    <w:rsid w:val="00E27318"/>
    <w:rsid w:val="00E278E3"/>
    <w:rsid w:val="00E3025F"/>
    <w:rsid w:val="00E32524"/>
    <w:rsid w:val="00E334AA"/>
    <w:rsid w:val="00E355F4"/>
    <w:rsid w:val="00E36FBF"/>
    <w:rsid w:val="00E4005F"/>
    <w:rsid w:val="00E412E0"/>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2717"/>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17E3"/>
    <w:rsid w:val="00ED20A6"/>
    <w:rsid w:val="00ED2A23"/>
    <w:rsid w:val="00ED48CB"/>
    <w:rsid w:val="00ED5611"/>
    <w:rsid w:val="00ED5E05"/>
    <w:rsid w:val="00ED5F8D"/>
    <w:rsid w:val="00EE1573"/>
    <w:rsid w:val="00EE1893"/>
    <w:rsid w:val="00EE190C"/>
    <w:rsid w:val="00EE3204"/>
    <w:rsid w:val="00EE32FC"/>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3F81"/>
    <w:rsid w:val="00F05A92"/>
    <w:rsid w:val="00F1204A"/>
    <w:rsid w:val="00F1260F"/>
    <w:rsid w:val="00F13121"/>
    <w:rsid w:val="00F133A3"/>
    <w:rsid w:val="00F13EC9"/>
    <w:rsid w:val="00F14EC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368DA"/>
    <w:rsid w:val="00F410FB"/>
    <w:rsid w:val="00F41968"/>
    <w:rsid w:val="00F43C89"/>
    <w:rsid w:val="00F4521C"/>
    <w:rsid w:val="00F458FB"/>
    <w:rsid w:val="00F515E4"/>
    <w:rsid w:val="00F56D5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6458"/>
    <w:rsid w:val="00FC6C9E"/>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3A357-B0BD-42C4-9879-C283615AD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Pages>
  <Words>2285</Words>
  <Characters>12568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51</cp:revision>
  <cp:lastPrinted>2023-06-26T18:00:00Z</cp:lastPrinted>
  <dcterms:created xsi:type="dcterms:W3CDTF">2021-05-28T16:41:00Z</dcterms:created>
  <dcterms:modified xsi:type="dcterms:W3CDTF">2023-06-26T18:01:00Z</dcterms:modified>
</cp:coreProperties>
</file>