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4D273E" w14:textId="77777777" w:rsidR="004E5DF4" w:rsidRDefault="004E5DF4"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p>
    <w:p w14:paraId="770829EC" w14:textId="77777777" w:rsidR="007C7A1C" w:rsidRPr="00512412" w:rsidRDefault="007C7A1C" w:rsidP="007C7A1C">
      <w:pPr>
        <w:numPr>
          <w:ilvl w:val="1"/>
          <w:numId w:val="0"/>
        </w:numPr>
        <w:spacing w:after="160" w:line="360" w:lineRule="auto"/>
        <w:jc w:val="center"/>
        <w:rPr>
          <w:rFonts w:ascii="Arial" w:eastAsia="Times New Roman" w:hAnsi="Arial" w:cs="Arial"/>
          <w:b/>
          <w:bCs/>
          <w:color w:val="000000"/>
          <w:spacing w:val="15"/>
          <w:sz w:val="24"/>
          <w:szCs w:val="24"/>
          <w:lang w:eastAsia="en-US"/>
        </w:rPr>
      </w:pPr>
      <w:r w:rsidRPr="00512412">
        <w:rPr>
          <w:rFonts w:ascii="Arial" w:eastAsia="Times New Roman" w:hAnsi="Arial" w:cs="Arial"/>
          <w:b/>
          <w:bCs/>
          <w:color w:val="000000"/>
          <w:spacing w:val="15"/>
          <w:sz w:val="24"/>
          <w:szCs w:val="24"/>
          <w:lang w:eastAsia="en-US"/>
        </w:rPr>
        <w:t>PRIMERA SALA UNITARIA DE PRIMERA INSTANCIA DEL TRIBUNAL DE JUSTICIA ADMINISTRATIVA DEL ESTADO DE OAXACA.</w:t>
      </w:r>
    </w:p>
    <w:p w14:paraId="0F3D2D5C" w14:textId="77777777" w:rsidR="007C7A1C" w:rsidRPr="00512412" w:rsidRDefault="007C7A1C" w:rsidP="007C7A1C">
      <w:pPr>
        <w:tabs>
          <w:tab w:val="left" w:pos="6480"/>
        </w:tabs>
        <w:spacing w:after="160" w:line="360" w:lineRule="auto"/>
        <w:jc w:val="right"/>
        <w:rPr>
          <w:rFonts w:ascii="Calibri" w:eastAsia="Calibri" w:hAnsi="Calibri" w:cs="Times New Roman"/>
          <w:sz w:val="24"/>
          <w:szCs w:val="24"/>
          <w:lang w:eastAsia="en-US"/>
        </w:rPr>
      </w:pPr>
    </w:p>
    <w:p w14:paraId="3901E82E" w14:textId="76A6086B" w:rsidR="007C7A1C" w:rsidRPr="00512412" w:rsidRDefault="007C7A1C" w:rsidP="007C7A1C">
      <w:pPr>
        <w:spacing w:after="160" w:line="360" w:lineRule="auto"/>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Oaxaca de Juárez, Oaxaca, </w:t>
      </w:r>
      <w:r w:rsidR="00A61973">
        <w:rPr>
          <w:rFonts w:ascii="Arial" w:eastAsia="Calibri" w:hAnsi="Arial" w:cs="Arial"/>
          <w:b/>
          <w:bCs/>
          <w:sz w:val="24"/>
          <w:szCs w:val="24"/>
          <w:lang w:eastAsia="en-US"/>
        </w:rPr>
        <w:t>28</w:t>
      </w:r>
      <w:r w:rsidR="00AC24D4">
        <w:rPr>
          <w:rFonts w:ascii="Arial" w:eastAsia="Calibri" w:hAnsi="Arial" w:cs="Arial"/>
          <w:b/>
          <w:bCs/>
          <w:sz w:val="24"/>
          <w:szCs w:val="24"/>
          <w:lang w:eastAsia="en-US"/>
        </w:rPr>
        <w:t xml:space="preserve"> de noviembre de 2022</w:t>
      </w:r>
      <w:r w:rsidRPr="00512412">
        <w:rPr>
          <w:rFonts w:ascii="Arial" w:eastAsia="Calibri" w:hAnsi="Arial" w:cs="Arial"/>
          <w:b/>
          <w:bCs/>
          <w:sz w:val="24"/>
          <w:szCs w:val="24"/>
          <w:lang w:eastAsia="en-US"/>
        </w:rPr>
        <w:t>.</w:t>
      </w:r>
    </w:p>
    <w:p w14:paraId="19350AAC" w14:textId="77777777" w:rsidR="007C7A1C" w:rsidRPr="00512412" w:rsidRDefault="007C7A1C" w:rsidP="007C7A1C">
      <w:pPr>
        <w:tabs>
          <w:tab w:val="left" w:pos="6480"/>
        </w:tabs>
        <w:spacing w:after="160" w:line="360" w:lineRule="auto"/>
        <w:rPr>
          <w:rFonts w:ascii="Calibri" w:eastAsia="Calibri" w:hAnsi="Calibri" w:cs="Times New Roman"/>
          <w:sz w:val="24"/>
          <w:szCs w:val="24"/>
          <w:lang w:eastAsia="en-US"/>
        </w:rPr>
      </w:pPr>
    </w:p>
    <w:p w14:paraId="22E739C9" w14:textId="77777777" w:rsidR="007C7A1C" w:rsidRPr="00512412" w:rsidRDefault="007C7A1C" w:rsidP="007C7A1C">
      <w:pPr>
        <w:tabs>
          <w:tab w:val="left" w:pos="6480"/>
        </w:tabs>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A S U N T O</w:t>
      </w:r>
    </w:p>
    <w:p w14:paraId="1BA08A92" w14:textId="4830533D" w:rsidR="007C7A1C" w:rsidRDefault="007C7A1C" w:rsidP="007C7A1C">
      <w:pPr>
        <w:tabs>
          <w:tab w:val="left" w:pos="284"/>
          <w:tab w:val="left" w:pos="426"/>
          <w:tab w:val="right" w:pos="9072"/>
        </w:tabs>
        <w:spacing w:after="0" w:line="360" w:lineRule="auto"/>
        <w:ind w:right="-234" w:firstLine="567"/>
        <w:jc w:val="both"/>
        <w:rPr>
          <w:rFonts w:ascii="Arial" w:hAnsi="Arial" w:cs="Arial"/>
          <w:b/>
          <w:sz w:val="24"/>
          <w:szCs w:val="24"/>
        </w:rPr>
      </w:pPr>
      <w:r w:rsidRPr="00512412">
        <w:rPr>
          <w:rFonts w:ascii="Arial" w:hAnsi="Arial" w:cs="Arial"/>
          <w:sz w:val="24"/>
          <w:szCs w:val="24"/>
        </w:rPr>
        <w:t xml:space="preserve">Se emite sentencia en el juicio de nulidad de número </w:t>
      </w:r>
      <w:r w:rsidR="00A61973">
        <w:rPr>
          <w:rFonts w:ascii="Arial" w:hAnsi="Arial" w:cs="Arial"/>
          <w:b/>
          <w:sz w:val="24"/>
          <w:szCs w:val="24"/>
        </w:rPr>
        <w:t>0053</w:t>
      </w:r>
      <w:r w:rsidRPr="00512412">
        <w:rPr>
          <w:rFonts w:ascii="Arial" w:hAnsi="Arial" w:cs="Arial"/>
          <w:b/>
          <w:sz w:val="24"/>
          <w:szCs w:val="24"/>
        </w:rPr>
        <w:t>/20</w:t>
      </w:r>
      <w:r w:rsidR="007751BD">
        <w:rPr>
          <w:rFonts w:ascii="Arial" w:hAnsi="Arial" w:cs="Arial"/>
          <w:b/>
          <w:sz w:val="24"/>
          <w:szCs w:val="24"/>
        </w:rPr>
        <w:t>2</w:t>
      </w:r>
      <w:r w:rsidR="00AC24D4">
        <w:rPr>
          <w:rFonts w:ascii="Arial" w:hAnsi="Arial" w:cs="Arial"/>
          <w:b/>
          <w:sz w:val="24"/>
          <w:szCs w:val="24"/>
        </w:rPr>
        <w:t>2</w:t>
      </w:r>
      <w:r w:rsidRPr="00512412">
        <w:rPr>
          <w:rFonts w:ascii="Arial" w:hAnsi="Arial" w:cs="Arial"/>
          <w:sz w:val="24"/>
          <w:szCs w:val="24"/>
        </w:rPr>
        <w:t>, promovido por</w:t>
      </w:r>
      <w:r w:rsidRPr="00512412">
        <w:rPr>
          <w:rFonts w:ascii="Arial" w:hAnsi="Arial" w:cs="Arial"/>
          <w:b/>
          <w:sz w:val="24"/>
          <w:szCs w:val="24"/>
        </w:rPr>
        <w:t xml:space="preserve"> </w:t>
      </w:r>
      <w:r w:rsidR="004E5DF4">
        <w:rPr>
          <w:rFonts w:ascii="Arial" w:hAnsi="Arial" w:cs="Arial"/>
          <w:b/>
          <w:sz w:val="24"/>
          <w:szCs w:val="24"/>
        </w:rPr>
        <w:t>**********</w:t>
      </w:r>
      <w:r w:rsidR="007751BD">
        <w:rPr>
          <w:rFonts w:ascii="Arial" w:hAnsi="Arial" w:cs="Arial"/>
          <w:b/>
          <w:sz w:val="24"/>
          <w:szCs w:val="24"/>
        </w:rPr>
        <w:t xml:space="preserve"> </w:t>
      </w:r>
      <w:r w:rsidRPr="00512412">
        <w:rPr>
          <w:rFonts w:ascii="Arial" w:hAnsi="Arial" w:cs="Arial"/>
          <w:sz w:val="24"/>
          <w:szCs w:val="24"/>
        </w:rPr>
        <w:t>en contra de</w:t>
      </w:r>
      <w:r w:rsidR="007751BD">
        <w:rPr>
          <w:rFonts w:ascii="Arial" w:hAnsi="Arial" w:cs="Arial"/>
          <w:sz w:val="24"/>
          <w:szCs w:val="24"/>
        </w:rPr>
        <w:t xml:space="preserve"> </w:t>
      </w:r>
      <w:r w:rsidRPr="00512412">
        <w:rPr>
          <w:rFonts w:ascii="Arial" w:hAnsi="Arial" w:cs="Arial"/>
          <w:sz w:val="24"/>
          <w:szCs w:val="24"/>
        </w:rPr>
        <w:t>l</w:t>
      </w:r>
      <w:r w:rsidR="007751BD">
        <w:rPr>
          <w:rFonts w:ascii="Arial" w:hAnsi="Arial" w:cs="Arial"/>
          <w:sz w:val="24"/>
          <w:szCs w:val="24"/>
        </w:rPr>
        <w:t>a</w:t>
      </w:r>
      <w:r w:rsidRPr="00512412">
        <w:rPr>
          <w:rFonts w:ascii="Arial" w:hAnsi="Arial" w:cs="Arial"/>
          <w:sz w:val="24"/>
          <w:szCs w:val="24"/>
        </w:rPr>
        <w:t xml:space="preserve"> </w:t>
      </w:r>
      <w:r w:rsidR="00A61973">
        <w:rPr>
          <w:rFonts w:ascii="Arial" w:hAnsi="Arial" w:cs="Arial"/>
          <w:b/>
          <w:bCs/>
          <w:sz w:val="24"/>
          <w:szCs w:val="24"/>
        </w:rPr>
        <w:t xml:space="preserve">SECRETARIA DE OBRAS PÚBLICAS Y DESARROLLO URBANO DEL MUNICIPIO DE OAXACA DE JUÁREZ OAXACA </w:t>
      </w:r>
      <w:r w:rsidR="00A61973">
        <w:rPr>
          <w:rFonts w:ascii="Arial" w:hAnsi="Arial" w:cs="Arial"/>
          <w:sz w:val="24"/>
          <w:szCs w:val="24"/>
        </w:rPr>
        <w:t xml:space="preserve">y </w:t>
      </w:r>
      <w:r w:rsidR="00A61973">
        <w:rPr>
          <w:rFonts w:ascii="Arial" w:hAnsi="Arial" w:cs="Arial"/>
          <w:b/>
          <w:bCs/>
          <w:sz w:val="24"/>
          <w:szCs w:val="24"/>
        </w:rPr>
        <w:t>DIRECTOR DE PLANEACIÓN URBANA Y LICENCIAS DE LA SECRETARÍA DE OBRAS PÚBLICAS Y DESARROLLO URBANO DEL MUNICIPIO DE OAXACA DE JUÁREZ OAXACA</w:t>
      </w:r>
      <w:r w:rsidR="007751BD">
        <w:rPr>
          <w:rFonts w:ascii="Arial" w:hAnsi="Arial" w:cs="Arial"/>
          <w:b/>
          <w:bCs/>
          <w:sz w:val="24"/>
          <w:szCs w:val="24"/>
        </w:rPr>
        <w:t xml:space="preserve">. </w:t>
      </w:r>
      <w:r w:rsidRPr="00512412">
        <w:rPr>
          <w:rFonts w:ascii="Arial" w:hAnsi="Arial" w:cs="Arial"/>
          <w:b/>
          <w:sz w:val="24"/>
          <w:szCs w:val="24"/>
        </w:rPr>
        <w:t xml:space="preserve"> </w:t>
      </w:r>
    </w:p>
    <w:p w14:paraId="475056CC" w14:textId="77777777" w:rsidR="003A730F" w:rsidRDefault="003A730F" w:rsidP="007C7A1C">
      <w:pPr>
        <w:tabs>
          <w:tab w:val="left" w:pos="284"/>
          <w:tab w:val="left" w:pos="426"/>
          <w:tab w:val="right" w:pos="9072"/>
        </w:tabs>
        <w:spacing w:after="0" w:line="360" w:lineRule="auto"/>
        <w:ind w:right="-234" w:firstLine="567"/>
        <w:jc w:val="both"/>
        <w:rPr>
          <w:rFonts w:ascii="Arial" w:hAnsi="Arial" w:cs="Arial"/>
          <w:b/>
          <w:sz w:val="24"/>
          <w:szCs w:val="24"/>
        </w:rPr>
      </w:pPr>
    </w:p>
    <w:p w14:paraId="752A6775" w14:textId="77777777" w:rsidR="003A730F" w:rsidRPr="00512412" w:rsidRDefault="003A730F" w:rsidP="003A730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R E S U L T A N D O </w:t>
      </w:r>
    </w:p>
    <w:p w14:paraId="76CFF56D" w14:textId="36EC91FC" w:rsidR="003A730F" w:rsidRPr="00512412"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1°.</w:t>
      </w:r>
      <w:r w:rsidRPr="00512412">
        <w:rPr>
          <w:rFonts w:ascii="Arial" w:eastAsia="Calibri" w:hAnsi="Arial" w:cs="Arial"/>
          <w:sz w:val="24"/>
          <w:szCs w:val="24"/>
          <w:lang w:eastAsia="en-US"/>
        </w:rPr>
        <w:t xml:space="preserve"> Mediante escrito presentado </w:t>
      </w:r>
      <w:r>
        <w:rPr>
          <w:rFonts w:ascii="Arial" w:eastAsia="Calibri" w:hAnsi="Arial" w:cs="Arial"/>
          <w:sz w:val="24"/>
          <w:szCs w:val="24"/>
          <w:lang w:eastAsia="en-US"/>
        </w:rPr>
        <w:t xml:space="preserve">el día </w:t>
      </w:r>
      <w:r w:rsidR="00A61973">
        <w:rPr>
          <w:rFonts w:ascii="Arial" w:eastAsia="Calibri" w:hAnsi="Arial" w:cs="Arial"/>
          <w:sz w:val="24"/>
          <w:szCs w:val="24"/>
          <w:lang w:eastAsia="en-US"/>
        </w:rPr>
        <w:t>veintisiete de junio</w:t>
      </w:r>
      <w:r w:rsidR="00AC24D4">
        <w:rPr>
          <w:rFonts w:ascii="Arial" w:eastAsia="Calibri" w:hAnsi="Arial" w:cs="Arial"/>
          <w:sz w:val="24"/>
          <w:szCs w:val="24"/>
          <w:lang w:eastAsia="en-US"/>
        </w:rPr>
        <w:t xml:space="preserve"> de dos mil veintidós</w:t>
      </w:r>
      <w:r w:rsidR="00513C70">
        <w:rPr>
          <w:rFonts w:ascii="Arial" w:eastAsia="Calibri" w:hAnsi="Arial" w:cs="Arial"/>
          <w:sz w:val="24"/>
          <w:szCs w:val="24"/>
          <w:lang w:eastAsia="en-US"/>
        </w:rPr>
        <w:t xml:space="preserve">, </w:t>
      </w:r>
      <w:r w:rsidR="004E5DF4">
        <w:rPr>
          <w:rFonts w:ascii="Arial" w:hAnsi="Arial" w:cs="Arial"/>
          <w:bCs/>
          <w:sz w:val="24"/>
          <w:szCs w:val="24"/>
        </w:rPr>
        <w:t>***********</w:t>
      </w:r>
      <w:r w:rsidR="00AC24D4">
        <w:rPr>
          <w:rFonts w:ascii="Arial" w:hAnsi="Arial" w:cs="Arial"/>
          <w:bCs/>
          <w:sz w:val="24"/>
          <w:szCs w:val="24"/>
        </w:rPr>
        <w:t xml:space="preserve"> </w:t>
      </w:r>
      <w:r>
        <w:rPr>
          <w:rFonts w:ascii="Arial" w:eastAsia="Calibri" w:hAnsi="Arial" w:cs="Arial"/>
          <w:sz w:val="24"/>
          <w:szCs w:val="24"/>
          <w:lang w:eastAsia="en-US"/>
        </w:rPr>
        <w:t xml:space="preserve">demandó </w:t>
      </w:r>
      <w:r w:rsidRPr="006E6EB1">
        <w:rPr>
          <w:rFonts w:ascii="Arial" w:eastAsia="Calibri" w:hAnsi="Arial" w:cs="Arial"/>
          <w:sz w:val="24"/>
          <w:szCs w:val="24"/>
          <w:lang w:eastAsia="en-US"/>
        </w:rPr>
        <w:t>la nulidad d</w:t>
      </w:r>
      <w:r w:rsidR="007751BD">
        <w:rPr>
          <w:rFonts w:ascii="Arial" w:eastAsia="Calibri" w:hAnsi="Arial" w:cs="Arial"/>
          <w:sz w:val="24"/>
          <w:szCs w:val="24"/>
          <w:lang w:eastAsia="en-US"/>
        </w:rPr>
        <w:t xml:space="preserve">el </w:t>
      </w:r>
      <w:r w:rsidR="00A61973">
        <w:rPr>
          <w:rFonts w:ascii="Arial" w:eastAsia="Calibri" w:hAnsi="Arial" w:cs="Arial"/>
          <w:sz w:val="24"/>
          <w:szCs w:val="24"/>
          <w:lang w:eastAsia="en-US"/>
        </w:rPr>
        <w:t xml:space="preserve">oficio </w:t>
      </w:r>
      <w:r w:rsidR="004E5DF4">
        <w:rPr>
          <w:rFonts w:ascii="Arial" w:eastAsia="Calibri" w:hAnsi="Arial" w:cs="Arial"/>
          <w:sz w:val="24"/>
          <w:szCs w:val="24"/>
          <w:lang w:eastAsia="en-US"/>
        </w:rPr>
        <w:t>**********</w:t>
      </w:r>
      <w:r w:rsidR="00A61973">
        <w:rPr>
          <w:rFonts w:ascii="Arial" w:eastAsia="Calibri" w:hAnsi="Arial" w:cs="Arial"/>
          <w:sz w:val="24"/>
          <w:szCs w:val="24"/>
          <w:lang w:eastAsia="en-US"/>
        </w:rPr>
        <w:t xml:space="preserve"> de fecha veinticinco de abril de dos mil veintidós y emitido por el Director de Planeación Urbana y Licencias dependiente de la Secretaría de Obra Públicas y Desarrollo Urbano del Municipio de Oaxaca de Juárez, Oaxaca</w:t>
      </w:r>
      <w:r w:rsidRPr="00512412">
        <w:rPr>
          <w:rFonts w:ascii="Arial" w:eastAsia="Calibri" w:hAnsi="Arial" w:cs="Arial"/>
          <w:sz w:val="24"/>
          <w:szCs w:val="24"/>
          <w:lang w:eastAsia="en-US"/>
        </w:rPr>
        <w:t>, demanda que por razón de turno tocó conocer a esta Primera Sala Unitaria de Primera Instancia del Tribunal de Justicia Administrativa del Estado.</w:t>
      </w:r>
    </w:p>
    <w:p w14:paraId="2307559A" w14:textId="6502BF47"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2°.</w:t>
      </w:r>
      <w:r w:rsidRPr="00512412">
        <w:rPr>
          <w:rFonts w:ascii="Arial" w:eastAsia="Calibri" w:hAnsi="Arial" w:cs="Arial"/>
          <w:sz w:val="24"/>
          <w:szCs w:val="24"/>
          <w:lang w:eastAsia="en-US"/>
        </w:rPr>
        <w:t xml:space="preserve"> Por acuerdo del</w:t>
      </w:r>
      <w:r>
        <w:rPr>
          <w:rFonts w:ascii="Arial" w:eastAsia="Calibri" w:hAnsi="Arial" w:cs="Arial"/>
          <w:sz w:val="24"/>
          <w:szCs w:val="24"/>
          <w:lang w:eastAsia="en-US"/>
        </w:rPr>
        <w:t xml:space="preserve"> </w:t>
      </w:r>
      <w:r w:rsidR="00A61973">
        <w:rPr>
          <w:rFonts w:ascii="Arial" w:eastAsia="Calibri" w:hAnsi="Arial" w:cs="Arial"/>
          <w:sz w:val="24"/>
          <w:szCs w:val="24"/>
          <w:lang w:eastAsia="en-US"/>
        </w:rPr>
        <w:t>treinta de junio</w:t>
      </w:r>
      <w:r w:rsidR="006E632E">
        <w:rPr>
          <w:rFonts w:ascii="Arial" w:eastAsia="Calibri" w:hAnsi="Arial" w:cs="Arial"/>
          <w:sz w:val="24"/>
          <w:szCs w:val="24"/>
          <w:lang w:eastAsia="en-US"/>
        </w:rPr>
        <w:t xml:space="preserve"> de dos mil veintidós</w:t>
      </w:r>
      <w:r w:rsidRPr="00512412">
        <w:rPr>
          <w:rFonts w:ascii="Arial" w:eastAsia="Calibri" w:hAnsi="Arial" w:cs="Arial"/>
          <w:sz w:val="24"/>
          <w:szCs w:val="24"/>
          <w:lang w:eastAsia="en-US"/>
        </w:rPr>
        <w:t xml:space="preserve">, se admitió </w:t>
      </w:r>
      <w:r w:rsidR="00590883">
        <w:rPr>
          <w:rFonts w:ascii="Arial" w:eastAsia="Calibri" w:hAnsi="Arial" w:cs="Arial"/>
          <w:sz w:val="24"/>
          <w:szCs w:val="24"/>
          <w:lang w:eastAsia="en-US"/>
        </w:rPr>
        <w:t>a trámite  la demanda en comento</w:t>
      </w:r>
      <w:r w:rsidRPr="00512412">
        <w:rPr>
          <w:rFonts w:ascii="Arial" w:eastAsia="Calibri" w:hAnsi="Arial" w:cs="Arial"/>
          <w:sz w:val="24"/>
          <w:szCs w:val="24"/>
          <w:lang w:eastAsia="en-US"/>
        </w:rPr>
        <w:t>, ordenándose  correr traslado a la</w:t>
      </w:r>
      <w:r w:rsidR="00A61973">
        <w:rPr>
          <w:rFonts w:ascii="Arial" w:eastAsia="Calibri" w:hAnsi="Arial" w:cs="Arial"/>
          <w:sz w:val="24"/>
          <w:szCs w:val="24"/>
          <w:lang w:eastAsia="en-US"/>
        </w:rPr>
        <w:t>s</w:t>
      </w:r>
      <w:r w:rsidRPr="00512412">
        <w:rPr>
          <w:rFonts w:ascii="Arial" w:eastAsia="Calibri" w:hAnsi="Arial" w:cs="Arial"/>
          <w:sz w:val="24"/>
          <w:szCs w:val="24"/>
          <w:lang w:eastAsia="en-US"/>
        </w:rPr>
        <w:t xml:space="preserve"> autorida</w:t>
      </w:r>
      <w:r w:rsidR="00513C70">
        <w:rPr>
          <w:rFonts w:ascii="Arial" w:eastAsia="Calibri" w:hAnsi="Arial" w:cs="Arial"/>
          <w:sz w:val="24"/>
          <w:szCs w:val="24"/>
          <w:lang w:eastAsia="en-US"/>
        </w:rPr>
        <w:t>d</w:t>
      </w:r>
      <w:r w:rsidR="00A61973">
        <w:rPr>
          <w:rFonts w:ascii="Arial" w:eastAsia="Calibri" w:hAnsi="Arial" w:cs="Arial"/>
          <w:sz w:val="24"/>
          <w:szCs w:val="24"/>
          <w:lang w:eastAsia="en-US"/>
        </w:rPr>
        <w:t>es</w:t>
      </w:r>
      <w:r w:rsidRPr="00512412">
        <w:rPr>
          <w:rFonts w:ascii="Arial" w:eastAsia="Calibri" w:hAnsi="Arial" w:cs="Arial"/>
          <w:sz w:val="24"/>
          <w:szCs w:val="24"/>
          <w:lang w:eastAsia="en-US"/>
        </w:rPr>
        <w:t xml:space="preserve"> enjuiciada</w:t>
      </w:r>
      <w:r w:rsidR="00A61973">
        <w:rPr>
          <w:rFonts w:ascii="Arial" w:eastAsia="Calibri" w:hAnsi="Arial" w:cs="Arial"/>
          <w:sz w:val="24"/>
          <w:szCs w:val="24"/>
          <w:lang w:eastAsia="en-US"/>
        </w:rPr>
        <w:t>s</w:t>
      </w:r>
      <w:r w:rsidRPr="00512412">
        <w:rPr>
          <w:rFonts w:ascii="Arial" w:eastAsia="Calibri" w:hAnsi="Arial" w:cs="Arial"/>
          <w:sz w:val="24"/>
          <w:szCs w:val="24"/>
          <w:lang w:eastAsia="en-US"/>
        </w:rPr>
        <w:t xml:space="preserve"> para que diera</w:t>
      </w:r>
      <w:r w:rsidR="00A61973">
        <w:rPr>
          <w:rFonts w:ascii="Arial" w:eastAsia="Calibri" w:hAnsi="Arial" w:cs="Arial"/>
          <w:sz w:val="24"/>
          <w:szCs w:val="24"/>
          <w:lang w:eastAsia="en-US"/>
        </w:rPr>
        <w:t>n</w:t>
      </w:r>
      <w:r w:rsidRPr="00512412">
        <w:rPr>
          <w:rFonts w:ascii="Arial" w:eastAsia="Calibri" w:hAnsi="Arial" w:cs="Arial"/>
          <w:sz w:val="24"/>
          <w:szCs w:val="24"/>
          <w:lang w:eastAsia="en-US"/>
        </w:rPr>
        <w:t xml:space="preserve"> contestación  a la misma dentro del término de nueve días hábiles siguientes a aquel en que surtiera efectos la notificación correspondiente, con el apercibimiento de que en caso de no hacerlo este Tribunal l</w:t>
      </w:r>
      <w:r w:rsidR="00513C70">
        <w:rPr>
          <w:rFonts w:ascii="Arial" w:eastAsia="Calibri" w:hAnsi="Arial" w:cs="Arial"/>
          <w:sz w:val="24"/>
          <w:szCs w:val="24"/>
          <w:lang w:eastAsia="en-US"/>
        </w:rPr>
        <w:t>a</w:t>
      </w:r>
      <w:r w:rsidR="00A61973">
        <w:rPr>
          <w:rFonts w:ascii="Arial" w:eastAsia="Calibri" w:hAnsi="Arial" w:cs="Arial"/>
          <w:sz w:val="24"/>
          <w:szCs w:val="24"/>
          <w:lang w:eastAsia="en-US"/>
        </w:rPr>
        <w:t>s</w:t>
      </w:r>
      <w:r w:rsidRPr="00512412">
        <w:rPr>
          <w:rFonts w:ascii="Arial" w:eastAsia="Calibri" w:hAnsi="Arial" w:cs="Arial"/>
          <w:sz w:val="24"/>
          <w:szCs w:val="24"/>
          <w:lang w:eastAsia="en-US"/>
        </w:rPr>
        <w:t xml:space="preserve"> tendría por contestando en sentido afirmativo  y también que en  caso de no referirse a todos los hechos planteados en la demanda se le tendrían por ciertos, salvo prueba en contrario; en otro aspecto y de las pruebas ofrecidas se  tuvieron por admitidas las señaladas en el acuerdo mencionado.</w:t>
      </w:r>
    </w:p>
    <w:p w14:paraId="6B6BCA49" w14:textId="509C3E84"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3°.</w:t>
      </w:r>
      <w:r w:rsidRPr="00512412">
        <w:rPr>
          <w:rFonts w:ascii="Arial" w:eastAsia="Calibri" w:hAnsi="Arial" w:cs="Arial"/>
          <w:sz w:val="24"/>
          <w:szCs w:val="24"/>
          <w:lang w:eastAsia="en-US"/>
        </w:rPr>
        <w:t xml:space="preserve"> Por acuerdo de </w:t>
      </w:r>
      <w:r w:rsidR="00A61973">
        <w:rPr>
          <w:rFonts w:ascii="Arial" w:eastAsia="Calibri" w:hAnsi="Arial" w:cs="Arial"/>
          <w:sz w:val="24"/>
          <w:szCs w:val="24"/>
          <w:lang w:eastAsia="en-US"/>
        </w:rPr>
        <w:t>veintiocho de octubre de dos mil veintidós</w:t>
      </w:r>
      <w:r w:rsidR="006B1484">
        <w:rPr>
          <w:rFonts w:ascii="Arial" w:eastAsia="Calibri" w:hAnsi="Arial" w:cs="Arial"/>
          <w:sz w:val="24"/>
          <w:szCs w:val="24"/>
          <w:lang w:eastAsia="en-US"/>
        </w:rPr>
        <w:t xml:space="preserve"> de dos mil veintidós</w:t>
      </w:r>
      <w:r w:rsidRPr="00512412">
        <w:rPr>
          <w:rFonts w:ascii="Arial" w:eastAsia="Calibri" w:hAnsi="Arial" w:cs="Arial"/>
          <w:sz w:val="24"/>
          <w:szCs w:val="24"/>
          <w:lang w:eastAsia="en-US"/>
        </w:rPr>
        <w:t xml:space="preserve"> se tuvo </w:t>
      </w:r>
      <w:r w:rsidRPr="00171708">
        <w:rPr>
          <w:rFonts w:ascii="Arial" w:eastAsia="Calibri" w:hAnsi="Arial" w:cs="Arial"/>
          <w:sz w:val="24"/>
          <w:szCs w:val="24"/>
          <w:lang w:eastAsia="en-US"/>
        </w:rPr>
        <w:t>a</w:t>
      </w:r>
      <w:r w:rsidR="00A61973">
        <w:rPr>
          <w:rFonts w:ascii="Arial" w:eastAsia="Calibri" w:hAnsi="Arial" w:cs="Arial"/>
          <w:sz w:val="24"/>
          <w:szCs w:val="24"/>
          <w:lang w:eastAsia="en-US"/>
        </w:rPr>
        <w:t xml:space="preserve"> la Secretaria de Obras Públicas y Desarrollo Urbano del Municipio de Oaxaca de Juárez, y al Director de Planeación Urbana y </w:t>
      </w:r>
      <w:r w:rsidR="00A61973">
        <w:rPr>
          <w:rFonts w:ascii="Arial" w:eastAsia="Calibri" w:hAnsi="Arial" w:cs="Arial"/>
          <w:sz w:val="24"/>
          <w:szCs w:val="24"/>
          <w:lang w:eastAsia="en-US"/>
        </w:rPr>
        <w:lastRenderedPageBreak/>
        <w:t>Licencias de la Secretaría de Obras Públicas y Desarrollo Urbano del Municipio de Oaxaca de Juárez</w:t>
      </w:r>
      <w:r w:rsidRPr="00171708">
        <w:rPr>
          <w:rFonts w:ascii="Arial" w:eastAsia="Calibri" w:hAnsi="Arial" w:cs="Arial"/>
          <w:sz w:val="24"/>
          <w:szCs w:val="24"/>
          <w:lang w:eastAsia="en-US"/>
        </w:rPr>
        <w:t>, contestando la demanda de nulidad y se tuvieron por admitidas las pruebas ofrecidas por la</w:t>
      </w:r>
      <w:r w:rsidR="00A61973">
        <w:rPr>
          <w:rFonts w:ascii="Arial" w:eastAsia="Calibri" w:hAnsi="Arial" w:cs="Arial"/>
          <w:sz w:val="24"/>
          <w:szCs w:val="24"/>
          <w:lang w:eastAsia="en-US"/>
        </w:rPr>
        <w:t>s</w:t>
      </w:r>
      <w:r w:rsidRPr="00171708">
        <w:rPr>
          <w:rFonts w:ascii="Arial" w:eastAsia="Calibri" w:hAnsi="Arial" w:cs="Arial"/>
          <w:sz w:val="24"/>
          <w:szCs w:val="24"/>
          <w:lang w:eastAsia="en-US"/>
        </w:rPr>
        <w:t xml:space="preserve"> autoridad</w:t>
      </w:r>
      <w:r w:rsidR="00A61973">
        <w:rPr>
          <w:rFonts w:ascii="Arial" w:eastAsia="Calibri" w:hAnsi="Arial" w:cs="Arial"/>
          <w:sz w:val="24"/>
          <w:szCs w:val="24"/>
          <w:lang w:eastAsia="en-US"/>
        </w:rPr>
        <w:t>es</w:t>
      </w:r>
      <w:r w:rsidRPr="00171708">
        <w:rPr>
          <w:rFonts w:ascii="Arial" w:eastAsia="Calibri" w:hAnsi="Arial" w:cs="Arial"/>
          <w:sz w:val="24"/>
          <w:szCs w:val="24"/>
          <w:lang w:eastAsia="en-US"/>
        </w:rPr>
        <w:t xml:space="preserve"> demandada</w:t>
      </w:r>
      <w:r w:rsidR="00A61973">
        <w:rPr>
          <w:rFonts w:ascii="Arial" w:eastAsia="Calibri" w:hAnsi="Arial" w:cs="Arial"/>
          <w:sz w:val="24"/>
          <w:szCs w:val="24"/>
          <w:lang w:eastAsia="en-US"/>
        </w:rPr>
        <w:t>s y se fijaron las once horas del dieciséis de noviembre del dos mil veintidós</w:t>
      </w:r>
      <w:r w:rsidRPr="00171708">
        <w:rPr>
          <w:rFonts w:ascii="Arial" w:eastAsia="Calibri" w:hAnsi="Arial" w:cs="Arial"/>
          <w:sz w:val="24"/>
          <w:szCs w:val="24"/>
          <w:lang w:eastAsia="en-US"/>
        </w:rPr>
        <w:t>.</w:t>
      </w:r>
      <w:r w:rsidR="00FB303C">
        <w:rPr>
          <w:rFonts w:ascii="Arial" w:eastAsia="Calibri" w:hAnsi="Arial" w:cs="Arial"/>
          <w:sz w:val="24"/>
          <w:szCs w:val="24"/>
          <w:lang w:eastAsia="en-US"/>
        </w:rPr>
        <w:t xml:space="preserve"> </w:t>
      </w:r>
    </w:p>
    <w:p w14:paraId="219A7C67" w14:textId="2BEBC439" w:rsidR="003A730F" w:rsidRDefault="003A730F" w:rsidP="003A730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4°.</w:t>
      </w:r>
      <w:r w:rsidRPr="00512412">
        <w:rPr>
          <w:rFonts w:ascii="Arial" w:eastAsia="Calibri" w:hAnsi="Arial" w:cs="Arial"/>
          <w:sz w:val="24"/>
          <w:szCs w:val="24"/>
          <w:lang w:eastAsia="en-US"/>
        </w:rPr>
        <w:t xml:space="preserve"> </w:t>
      </w:r>
      <w:r w:rsidR="00750412">
        <w:rPr>
          <w:rFonts w:ascii="Arial" w:eastAsia="Calibri" w:hAnsi="Arial" w:cs="Arial"/>
          <w:sz w:val="24"/>
          <w:szCs w:val="24"/>
          <w:lang w:eastAsia="en-US"/>
        </w:rPr>
        <w:t>E</w:t>
      </w:r>
      <w:r w:rsidR="003C1EC7">
        <w:rPr>
          <w:rFonts w:ascii="Arial" w:eastAsia="Calibri" w:hAnsi="Arial" w:cs="Arial"/>
          <w:sz w:val="24"/>
          <w:szCs w:val="24"/>
          <w:lang w:eastAsia="en-US"/>
        </w:rPr>
        <w:t>l día señalado se celebró</w:t>
      </w:r>
      <w:r>
        <w:rPr>
          <w:rFonts w:ascii="Arial" w:eastAsia="Calibri" w:hAnsi="Arial" w:cs="Arial"/>
          <w:sz w:val="24"/>
          <w:szCs w:val="24"/>
          <w:lang w:eastAsia="en-US"/>
        </w:rPr>
        <w:t xml:space="preserve"> la Audiencia Final, </w:t>
      </w:r>
      <w:r w:rsidR="0085386F">
        <w:rPr>
          <w:rFonts w:ascii="Arial" w:eastAsia="Calibri" w:hAnsi="Arial" w:cs="Arial"/>
          <w:sz w:val="24"/>
          <w:szCs w:val="24"/>
          <w:lang w:eastAsia="en-US"/>
        </w:rPr>
        <w:t xml:space="preserve">donde </w:t>
      </w:r>
      <w:r>
        <w:rPr>
          <w:rFonts w:ascii="Arial" w:eastAsia="Calibri" w:hAnsi="Arial" w:cs="Arial"/>
          <w:sz w:val="24"/>
          <w:szCs w:val="24"/>
          <w:lang w:eastAsia="en-US"/>
        </w:rPr>
        <w:t>se hizo constar</w:t>
      </w:r>
      <w:r w:rsidR="0085386F">
        <w:rPr>
          <w:rFonts w:ascii="Arial" w:eastAsia="Calibri" w:hAnsi="Arial" w:cs="Arial"/>
          <w:sz w:val="24"/>
          <w:szCs w:val="24"/>
          <w:lang w:eastAsia="en-US"/>
        </w:rPr>
        <w:t xml:space="preserve"> que no se encontraron presentes las partes ni persona alguna que legalmente las representara</w:t>
      </w:r>
      <w:r w:rsidRPr="00512412">
        <w:rPr>
          <w:rFonts w:ascii="Arial" w:eastAsia="Calibri" w:hAnsi="Arial" w:cs="Arial"/>
          <w:sz w:val="24"/>
          <w:szCs w:val="24"/>
          <w:lang w:eastAsia="en-US"/>
        </w:rPr>
        <w:t xml:space="preserve">; en el periodo de pruebas se tuvieron por desahogadas por su propia y especial naturaleza las pruebas ofrecidas por las partes; en el periodo de alegatos se hizo constar </w:t>
      </w:r>
      <w:r w:rsidR="00750412">
        <w:rPr>
          <w:rFonts w:ascii="Arial" w:eastAsia="Calibri" w:hAnsi="Arial" w:cs="Arial"/>
          <w:sz w:val="24"/>
          <w:szCs w:val="24"/>
          <w:lang w:eastAsia="en-US"/>
        </w:rPr>
        <w:t>con el escrito ofrecido por la parte actora y se tuvo por perdido el derecho de las autoridades a formular alegatos</w:t>
      </w:r>
      <w:r>
        <w:rPr>
          <w:rFonts w:ascii="Arial" w:eastAsia="Calibri" w:hAnsi="Arial" w:cs="Arial"/>
          <w:sz w:val="24"/>
          <w:szCs w:val="24"/>
          <w:lang w:eastAsia="en-US"/>
        </w:rPr>
        <w:t xml:space="preserve"> </w:t>
      </w:r>
      <w:r w:rsidRPr="00512412">
        <w:rPr>
          <w:rFonts w:ascii="Arial" w:eastAsia="Calibri" w:hAnsi="Arial" w:cs="Arial"/>
          <w:sz w:val="24"/>
          <w:szCs w:val="24"/>
          <w:lang w:eastAsia="en-US"/>
        </w:rPr>
        <w:t>y se cerró dicho periodo quedando el asunto integrado y en estado de resolución, finalmente se emite sentencia en los siguientes términos:</w:t>
      </w:r>
    </w:p>
    <w:p w14:paraId="3D48B7CA" w14:textId="77777777" w:rsidR="0085386F" w:rsidRPr="00512412" w:rsidRDefault="0085386F" w:rsidP="0085386F">
      <w:pPr>
        <w:spacing w:after="160" w:line="360" w:lineRule="auto"/>
        <w:jc w:val="center"/>
        <w:rPr>
          <w:rFonts w:ascii="Arial" w:eastAsia="Calibri" w:hAnsi="Arial" w:cs="Arial"/>
          <w:b/>
          <w:bCs/>
          <w:sz w:val="24"/>
          <w:szCs w:val="24"/>
          <w:lang w:eastAsia="en-US"/>
        </w:rPr>
      </w:pPr>
      <w:r w:rsidRPr="00512412">
        <w:rPr>
          <w:rFonts w:ascii="Arial" w:eastAsia="Calibri" w:hAnsi="Arial" w:cs="Arial"/>
          <w:b/>
          <w:bCs/>
          <w:sz w:val="24"/>
          <w:szCs w:val="24"/>
          <w:lang w:eastAsia="en-US"/>
        </w:rPr>
        <w:t xml:space="preserve">C O N S I D E R A N D O </w:t>
      </w:r>
    </w:p>
    <w:p w14:paraId="29BF9846" w14:textId="77777777" w:rsidR="0085386F" w:rsidRPr="00512412" w:rsidRDefault="0085386F" w:rsidP="0085386F">
      <w:pPr>
        <w:spacing w:after="160" w:line="360" w:lineRule="auto"/>
        <w:jc w:val="center"/>
        <w:rPr>
          <w:rFonts w:ascii="Arial" w:eastAsia="Calibri" w:hAnsi="Arial" w:cs="Arial"/>
          <w:sz w:val="24"/>
          <w:szCs w:val="24"/>
          <w:lang w:eastAsia="en-US"/>
        </w:rPr>
      </w:pPr>
    </w:p>
    <w:p w14:paraId="364191BE" w14:textId="48B3BE03" w:rsidR="0085386F" w:rsidRPr="00512412" w:rsidRDefault="0085386F" w:rsidP="0085386F">
      <w:pPr>
        <w:spacing w:after="160" w:line="360" w:lineRule="auto"/>
        <w:ind w:firstLine="709"/>
        <w:jc w:val="both"/>
        <w:rPr>
          <w:rFonts w:ascii="Arial" w:eastAsia="Calibri" w:hAnsi="Arial" w:cs="Arial"/>
          <w:sz w:val="24"/>
          <w:szCs w:val="24"/>
          <w:lang w:eastAsia="en-US"/>
        </w:rPr>
      </w:pPr>
      <w:r w:rsidRPr="00512412">
        <w:rPr>
          <w:rFonts w:ascii="Arial" w:eastAsia="Calibri" w:hAnsi="Arial" w:cs="Arial"/>
          <w:b/>
          <w:bCs/>
          <w:sz w:val="24"/>
          <w:szCs w:val="24"/>
          <w:lang w:eastAsia="en-US"/>
        </w:rPr>
        <w:t>PRIMERO.</w:t>
      </w:r>
      <w:r w:rsidRPr="00512412">
        <w:rPr>
          <w:rFonts w:ascii="Arial" w:eastAsia="Calibri" w:hAnsi="Arial" w:cs="Arial"/>
          <w:sz w:val="24"/>
          <w:szCs w:val="24"/>
          <w:lang w:eastAsia="en-US"/>
        </w:rPr>
        <w:t xml:space="preserve">  Esta Primera Sala Unitaria de Primera Instancia del Tribunal de Justicia Administrativa del Estado de Oaxaca, es </w:t>
      </w:r>
      <w:r w:rsidRPr="00512412">
        <w:rPr>
          <w:rFonts w:ascii="Arial" w:eastAsia="Calibri" w:hAnsi="Arial" w:cs="Arial"/>
          <w:b/>
          <w:bCs/>
          <w:sz w:val="24"/>
          <w:szCs w:val="24"/>
          <w:lang w:eastAsia="en-US"/>
        </w:rPr>
        <w:t>competente</w:t>
      </w:r>
      <w:r w:rsidRPr="00512412">
        <w:rPr>
          <w:rFonts w:ascii="Arial" w:eastAsia="Calibri" w:hAnsi="Arial" w:cs="Arial"/>
          <w:sz w:val="24"/>
          <w:szCs w:val="24"/>
          <w:lang w:eastAsia="en-US"/>
        </w:rPr>
        <w:t xml:space="preserve"> para conocer y resolver del presente juicio de nulidad, de conformidad a lo establecido en el artículo 114 </w:t>
      </w:r>
      <w:proofErr w:type="spellStart"/>
      <w:r w:rsidRPr="00512412">
        <w:rPr>
          <w:rFonts w:ascii="Arial" w:eastAsia="Calibri" w:hAnsi="Arial" w:cs="Arial"/>
          <w:sz w:val="24"/>
          <w:szCs w:val="24"/>
          <w:lang w:eastAsia="en-US"/>
        </w:rPr>
        <w:t>Quáter</w:t>
      </w:r>
      <w:proofErr w:type="spellEnd"/>
      <w:r w:rsidRPr="00512412">
        <w:rPr>
          <w:rFonts w:ascii="Arial" w:eastAsia="Calibri" w:hAnsi="Arial" w:cs="Arial"/>
          <w:sz w:val="24"/>
          <w:szCs w:val="24"/>
          <w:lang w:eastAsia="en-US"/>
        </w:rPr>
        <w:t xml:space="preserve"> de la Constitución Política del Estado Libre y Soberano de Oaxaca; artículos 2, 4 fracción VIII, 33, 35 fracción I y 36 fracción I de la Ley Orgánica del Tribunal de Justicia Administrativa del Estado de Oaxaca, publicada en el Periódico Oficial del Estado de Oaxaca, el siete de noviembre de dos mil diecinueve; artículos 118, 119, 120 fracción I, 121, 132 fracción II, 133 fracción I, 146 y 147, de la Ley de Procedimiento y Justicia Administrativa para el Estado de Oaxaca por tratarse de un juicio de nulidad promovido en contra de una autoridad administrativa de </w:t>
      </w:r>
      <w:r w:rsidRPr="00512412">
        <w:rPr>
          <w:rFonts w:ascii="Arial" w:eastAsia="Calibri" w:hAnsi="Arial" w:cs="Arial"/>
          <w:b/>
          <w:sz w:val="24"/>
          <w:szCs w:val="24"/>
          <w:lang w:eastAsia="en-US"/>
        </w:rPr>
        <w:t xml:space="preserve">carácter </w:t>
      </w:r>
      <w:r w:rsidR="00590883">
        <w:rPr>
          <w:rFonts w:ascii="Arial" w:eastAsia="Calibri" w:hAnsi="Arial" w:cs="Arial"/>
          <w:b/>
          <w:sz w:val="24"/>
          <w:szCs w:val="24"/>
          <w:lang w:eastAsia="en-US"/>
        </w:rPr>
        <w:t>municipal</w:t>
      </w:r>
      <w:r w:rsidRPr="00512412">
        <w:rPr>
          <w:rFonts w:ascii="Arial" w:eastAsia="Calibri" w:hAnsi="Arial" w:cs="Arial"/>
          <w:sz w:val="24"/>
          <w:szCs w:val="24"/>
          <w:lang w:eastAsia="en-US"/>
        </w:rPr>
        <w:t xml:space="preserve">. </w:t>
      </w:r>
    </w:p>
    <w:p w14:paraId="0C80F779" w14:textId="77777777" w:rsidR="0085386F" w:rsidRPr="00512412" w:rsidRDefault="0085386F" w:rsidP="0085386F">
      <w:pPr>
        <w:spacing w:after="160" w:line="360" w:lineRule="auto"/>
        <w:ind w:firstLine="567"/>
        <w:jc w:val="both"/>
        <w:rPr>
          <w:rFonts w:ascii="Arial" w:eastAsia="Calibri" w:hAnsi="Arial" w:cs="Arial"/>
          <w:sz w:val="24"/>
          <w:szCs w:val="24"/>
          <w:lang w:eastAsia="en-US"/>
        </w:rPr>
      </w:pPr>
      <w:r w:rsidRPr="00512412">
        <w:rPr>
          <w:rFonts w:ascii="Arial" w:eastAsia="Calibri" w:hAnsi="Arial" w:cs="Arial"/>
          <w:b/>
          <w:bCs/>
          <w:sz w:val="24"/>
          <w:szCs w:val="24"/>
          <w:lang w:eastAsia="en-US"/>
        </w:rPr>
        <w:t>SEGUNDO.</w:t>
      </w:r>
      <w:r w:rsidRPr="00512412">
        <w:rPr>
          <w:rFonts w:ascii="Arial" w:eastAsia="Calibri" w:hAnsi="Arial" w:cs="Arial"/>
          <w:sz w:val="24"/>
          <w:szCs w:val="24"/>
          <w:lang w:eastAsia="en-US"/>
        </w:rPr>
        <w:t xml:space="preserve"> </w:t>
      </w:r>
      <w:r w:rsidRPr="00512412">
        <w:rPr>
          <w:rFonts w:ascii="Arial" w:eastAsia="Calibri" w:hAnsi="Arial" w:cs="Arial"/>
          <w:b/>
          <w:bCs/>
          <w:sz w:val="24"/>
          <w:szCs w:val="24"/>
          <w:lang w:eastAsia="en-US"/>
        </w:rPr>
        <w:t xml:space="preserve">Personalidad. </w:t>
      </w:r>
      <w:r w:rsidRPr="00512412">
        <w:rPr>
          <w:rFonts w:ascii="Arial" w:eastAsia="Calibri" w:hAnsi="Arial" w:cs="Arial"/>
          <w:sz w:val="24"/>
          <w:szCs w:val="24"/>
          <w:lang w:eastAsia="en-US"/>
        </w:rPr>
        <w:t xml:space="preserve"> La personalidad de las partes se tuvo acreditada de conformidad con los artículos 150</w:t>
      </w:r>
      <w:r w:rsidRPr="00512412">
        <w:rPr>
          <w:rFonts w:ascii="Arial" w:eastAsia="Calibri" w:hAnsi="Arial" w:cs="Arial"/>
          <w:sz w:val="24"/>
          <w:szCs w:val="24"/>
          <w:vertAlign w:val="superscript"/>
          <w:lang w:eastAsia="en-US"/>
        </w:rPr>
        <w:footnoteReference w:id="1"/>
      </w:r>
      <w:r w:rsidRPr="00512412">
        <w:rPr>
          <w:rFonts w:ascii="Arial" w:eastAsia="Calibri" w:hAnsi="Arial" w:cs="Arial"/>
          <w:sz w:val="24"/>
          <w:szCs w:val="24"/>
          <w:lang w:eastAsia="en-US"/>
        </w:rPr>
        <w:t xml:space="preserve"> y 151</w:t>
      </w:r>
      <w:r w:rsidRPr="00512412">
        <w:rPr>
          <w:rFonts w:ascii="Arial" w:eastAsia="Calibri" w:hAnsi="Arial" w:cs="Arial"/>
          <w:sz w:val="24"/>
          <w:szCs w:val="24"/>
          <w:vertAlign w:val="superscript"/>
          <w:lang w:eastAsia="en-US"/>
        </w:rPr>
        <w:footnoteReference w:id="2"/>
      </w:r>
      <w:r w:rsidRPr="00512412">
        <w:rPr>
          <w:rFonts w:ascii="Arial" w:eastAsia="Calibri" w:hAnsi="Arial" w:cs="Arial"/>
          <w:sz w:val="24"/>
          <w:szCs w:val="24"/>
          <w:lang w:eastAsia="en-US"/>
        </w:rPr>
        <w:t xml:space="preserve"> de la Ley de Procedimiento y Justicia Administrativa.</w:t>
      </w:r>
    </w:p>
    <w:p w14:paraId="1D9EEE29" w14:textId="73F6BC63" w:rsidR="00D83CC1" w:rsidRDefault="00D83CC1" w:rsidP="00D83CC1">
      <w:pPr>
        <w:spacing w:after="160" w:line="360" w:lineRule="auto"/>
        <w:ind w:firstLine="567"/>
        <w:jc w:val="both"/>
        <w:rPr>
          <w:rFonts w:ascii="Arial" w:hAnsi="Arial" w:cs="Arial"/>
          <w:sz w:val="24"/>
          <w:szCs w:val="24"/>
        </w:rPr>
      </w:pPr>
      <w:r w:rsidRPr="006D319D">
        <w:rPr>
          <w:rFonts w:ascii="Arial" w:eastAsia="Calibri" w:hAnsi="Arial" w:cs="Arial"/>
          <w:b/>
          <w:bCs/>
          <w:sz w:val="24"/>
          <w:szCs w:val="24"/>
          <w:lang w:eastAsia="en-US"/>
        </w:rPr>
        <w:t>TERCERO.</w:t>
      </w:r>
      <w:r w:rsidRPr="006D319D">
        <w:rPr>
          <w:rFonts w:ascii="Arial" w:eastAsia="Calibri" w:hAnsi="Arial" w:cs="Arial"/>
          <w:sz w:val="24"/>
          <w:szCs w:val="24"/>
          <w:lang w:eastAsia="en-US"/>
        </w:rPr>
        <w:t xml:space="preserve">  </w:t>
      </w:r>
      <w:r w:rsidRPr="006D319D">
        <w:rPr>
          <w:rFonts w:ascii="Arial" w:eastAsia="Calibri" w:hAnsi="Arial" w:cs="Arial"/>
          <w:b/>
          <w:bCs/>
          <w:sz w:val="24"/>
          <w:szCs w:val="24"/>
          <w:lang w:eastAsia="en-US"/>
        </w:rPr>
        <w:t>Acreditación del acto impugnado.</w:t>
      </w:r>
      <w:r w:rsidRPr="006D319D">
        <w:rPr>
          <w:rFonts w:ascii="Arial" w:eastAsia="Calibri" w:hAnsi="Arial" w:cs="Arial"/>
          <w:sz w:val="24"/>
          <w:szCs w:val="24"/>
          <w:lang w:eastAsia="en-US"/>
        </w:rPr>
        <w:t xml:space="preserve"> </w:t>
      </w:r>
      <w:r w:rsidRPr="006D319D">
        <w:rPr>
          <w:rFonts w:ascii="Arial" w:hAnsi="Arial" w:cs="Arial"/>
          <w:sz w:val="24"/>
          <w:szCs w:val="24"/>
        </w:rPr>
        <w:t xml:space="preserve"> El acto impugnado lo es</w:t>
      </w:r>
      <w:r w:rsidR="003C1EC7">
        <w:rPr>
          <w:rFonts w:ascii="Arial" w:hAnsi="Arial" w:cs="Arial"/>
          <w:sz w:val="24"/>
          <w:szCs w:val="24"/>
        </w:rPr>
        <w:t xml:space="preserve"> el </w:t>
      </w:r>
      <w:r w:rsidR="00750412">
        <w:rPr>
          <w:rFonts w:ascii="Arial" w:eastAsia="Calibri" w:hAnsi="Arial" w:cs="Arial"/>
          <w:sz w:val="24"/>
          <w:szCs w:val="24"/>
          <w:lang w:eastAsia="en-US"/>
        </w:rPr>
        <w:t xml:space="preserve">oficio </w:t>
      </w:r>
      <w:r w:rsidR="004E5DF4">
        <w:rPr>
          <w:rFonts w:ascii="Arial" w:eastAsia="Calibri" w:hAnsi="Arial" w:cs="Arial"/>
          <w:sz w:val="24"/>
          <w:szCs w:val="24"/>
          <w:lang w:eastAsia="en-US"/>
        </w:rPr>
        <w:t>**********</w:t>
      </w:r>
      <w:r w:rsidR="00750412">
        <w:rPr>
          <w:rFonts w:ascii="Arial" w:eastAsia="Calibri" w:hAnsi="Arial" w:cs="Arial"/>
          <w:sz w:val="24"/>
          <w:szCs w:val="24"/>
          <w:lang w:eastAsia="en-US"/>
        </w:rPr>
        <w:t xml:space="preserve"> de fecha veinticinco de abril de dos mil veintidós y emitido por el Director de Planeación Urbana y Licencias dependiente de la Secretaría de Obra Públicas y Desarrollo Urbano del Municipio de Oaxaca de Juárez, Oaxaca</w:t>
      </w:r>
      <w:r w:rsidRPr="00163663">
        <w:rPr>
          <w:rFonts w:ascii="Arial" w:hAnsi="Arial" w:cs="Arial"/>
          <w:sz w:val="24"/>
          <w:szCs w:val="24"/>
        </w:rPr>
        <w:t xml:space="preserve">, que obra </w:t>
      </w:r>
      <w:r>
        <w:rPr>
          <w:rFonts w:ascii="Arial" w:hAnsi="Arial" w:cs="Arial"/>
          <w:sz w:val="24"/>
          <w:szCs w:val="24"/>
        </w:rPr>
        <w:t xml:space="preserve">de </w:t>
      </w:r>
      <w:r w:rsidR="00BA14C6">
        <w:rPr>
          <w:rFonts w:ascii="Arial" w:hAnsi="Arial" w:cs="Arial"/>
          <w:sz w:val="24"/>
          <w:szCs w:val="24"/>
        </w:rPr>
        <w:t xml:space="preserve">foja </w:t>
      </w:r>
      <w:r w:rsidR="00750412">
        <w:rPr>
          <w:rFonts w:ascii="Arial" w:hAnsi="Arial" w:cs="Arial"/>
          <w:sz w:val="24"/>
          <w:szCs w:val="24"/>
        </w:rPr>
        <w:t>diez</w:t>
      </w:r>
      <w:r w:rsidRPr="00163663">
        <w:rPr>
          <w:rFonts w:ascii="Arial" w:hAnsi="Arial" w:cs="Arial"/>
          <w:sz w:val="24"/>
          <w:szCs w:val="24"/>
        </w:rPr>
        <w:t xml:space="preserve"> del expediente en que</w:t>
      </w:r>
      <w:r w:rsidRPr="006D319D">
        <w:rPr>
          <w:rFonts w:ascii="Arial" w:hAnsi="Arial" w:cs="Arial"/>
          <w:sz w:val="24"/>
          <w:szCs w:val="24"/>
        </w:rPr>
        <w:t xml:space="preserve"> se actúa, aportada por la parte actora, a la cual se le concede valor probatorio pleno de conformidad con </w:t>
      </w:r>
      <w:r w:rsidRPr="006D319D">
        <w:rPr>
          <w:rFonts w:ascii="Arial" w:hAnsi="Arial" w:cs="Arial"/>
          <w:sz w:val="24"/>
          <w:szCs w:val="24"/>
        </w:rPr>
        <w:lastRenderedPageBreak/>
        <w:t>el artículo 203 fracción I</w:t>
      </w:r>
      <w:r w:rsidRPr="006D319D">
        <w:rPr>
          <w:rStyle w:val="Refdenotaalpie"/>
          <w:rFonts w:ascii="Arial" w:hAnsi="Arial" w:cs="Arial"/>
          <w:sz w:val="24"/>
          <w:szCs w:val="24"/>
        </w:rPr>
        <w:footnoteReference w:id="3"/>
      </w:r>
      <w:r w:rsidRPr="006D319D">
        <w:rPr>
          <w:rFonts w:ascii="Arial" w:hAnsi="Arial" w:cs="Arial"/>
          <w:sz w:val="24"/>
          <w:szCs w:val="24"/>
        </w:rPr>
        <w:t xml:space="preserve"> de la Ley de </w:t>
      </w:r>
      <w:r>
        <w:rPr>
          <w:rFonts w:ascii="Arial" w:hAnsi="Arial" w:cs="Arial"/>
          <w:sz w:val="24"/>
          <w:szCs w:val="24"/>
        </w:rPr>
        <w:t xml:space="preserve">Procedimiento y </w:t>
      </w:r>
      <w:r w:rsidRPr="006D319D">
        <w:rPr>
          <w:rFonts w:ascii="Arial" w:hAnsi="Arial" w:cs="Arial"/>
          <w:sz w:val="24"/>
          <w:szCs w:val="24"/>
        </w:rPr>
        <w:t xml:space="preserve">Justicia Administrativa para el Estado de Oaxaca, al ser expedida por una autoridad, en la que constan manifestaciones expresas de haberla emitido al contestar la demanda, en el expediente natural y relacionándola con la totalidad de sus </w:t>
      </w:r>
      <w:r>
        <w:rPr>
          <w:rFonts w:ascii="Arial" w:hAnsi="Arial" w:cs="Arial"/>
          <w:sz w:val="24"/>
          <w:szCs w:val="24"/>
        </w:rPr>
        <w:t>expresiones. De manera que dicha</w:t>
      </w:r>
      <w:r w:rsidRPr="006D319D">
        <w:rPr>
          <w:rFonts w:ascii="Arial" w:hAnsi="Arial" w:cs="Arial"/>
          <w:sz w:val="24"/>
          <w:szCs w:val="24"/>
        </w:rPr>
        <w:t xml:space="preserve"> documental pública es el medio de convicción, que se tiene por acreditada la existencia del acto impugnado. </w:t>
      </w:r>
    </w:p>
    <w:p w14:paraId="007D2651" w14:textId="49258A8C" w:rsidR="00750412" w:rsidRDefault="00D83CC1" w:rsidP="003A730F">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 xml:space="preserve">CUARTO. </w:t>
      </w:r>
      <w:r w:rsidR="0085386F" w:rsidRPr="00512412">
        <w:rPr>
          <w:rFonts w:ascii="Arial" w:eastAsia="Calibri" w:hAnsi="Arial" w:cs="Arial"/>
          <w:b/>
          <w:bCs/>
          <w:sz w:val="24"/>
          <w:szCs w:val="24"/>
          <w:lang w:eastAsia="en-US"/>
        </w:rPr>
        <w:t>Fijación de la Litis.</w:t>
      </w:r>
      <w:r w:rsidR="0085386F" w:rsidRPr="00512412">
        <w:rPr>
          <w:rFonts w:ascii="Arial" w:eastAsia="Calibri" w:hAnsi="Arial" w:cs="Arial"/>
          <w:sz w:val="24"/>
          <w:szCs w:val="24"/>
          <w:lang w:eastAsia="en-US"/>
        </w:rPr>
        <w:t xml:space="preserve"> </w:t>
      </w:r>
      <w:r w:rsidR="0085386F" w:rsidRPr="00577F18">
        <w:rPr>
          <w:rFonts w:ascii="Arial" w:hAnsi="Arial" w:cs="Arial"/>
          <w:sz w:val="24"/>
          <w:szCs w:val="24"/>
        </w:rPr>
        <w:t xml:space="preserve">El litigio surge </w:t>
      </w:r>
      <w:r w:rsidR="0085386F">
        <w:rPr>
          <w:rFonts w:ascii="Arial" w:hAnsi="Arial" w:cs="Arial"/>
          <w:sz w:val="24"/>
          <w:szCs w:val="24"/>
        </w:rPr>
        <w:t xml:space="preserve">derivado del planteamiento de ilegalidad que hace la parte actora </w:t>
      </w:r>
      <w:r w:rsidR="003C1EC7">
        <w:rPr>
          <w:rFonts w:ascii="Arial" w:hAnsi="Arial" w:cs="Arial"/>
          <w:sz w:val="24"/>
          <w:szCs w:val="24"/>
        </w:rPr>
        <w:t>respecto a</w:t>
      </w:r>
      <w:r w:rsidR="00750412">
        <w:rPr>
          <w:rFonts w:ascii="Arial" w:hAnsi="Arial" w:cs="Arial"/>
          <w:sz w:val="24"/>
          <w:szCs w:val="24"/>
        </w:rPr>
        <w:t xml:space="preserve"> la negativa a subdividir el predio de su propiedad con base en que la determinación del Servicio de Agua Potable y Alcantarillado de Oaxaca determinó improcedente dicha subdivisión toda vez que se encuentra fuera de la cobertura del servicio. Aduce que lo anterior es ilegal pues no existe fundamento legal que establezca ese como un requisito para la procedencia de la subdivisión. </w:t>
      </w:r>
    </w:p>
    <w:p w14:paraId="753B0B7A" w14:textId="0CF89A23" w:rsidR="007C49D1" w:rsidRDefault="00750412" w:rsidP="003A730F">
      <w:pPr>
        <w:spacing w:after="160" w:line="360" w:lineRule="auto"/>
        <w:ind w:firstLine="567"/>
        <w:jc w:val="both"/>
        <w:rPr>
          <w:rFonts w:ascii="Arial" w:eastAsia="Calibri" w:hAnsi="Arial" w:cs="Arial"/>
          <w:sz w:val="24"/>
          <w:szCs w:val="24"/>
          <w:lang w:eastAsia="en-US"/>
        </w:rPr>
      </w:pPr>
      <w:r>
        <w:rPr>
          <w:rFonts w:ascii="Arial" w:hAnsi="Arial" w:cs="Arial"/>
          <w:sz w:val="24"/>
          <w:szCs w:val="24"/>
        </w:rPr>
        <w:t xml:space="preserve">Por cuanto hace al </w:t>
      </w:r>
      <w:r w:rsidR="0065593D">
        <w:rPr>
          <w:rFonts w:ascii="Arial" w:hAnsi="Arial" w:cs="Arial"/>
          <w:sz w:val="24"/>
          <w:szCs w:val="24"/>
        </w:rPr>
        <w:t xml:space="preserve">Director de Planeación Urbana y Licencias de la </w:t>
      </w:r>
      <w:r w:rsidR="0065593D">
        <w:rPr>
          <w:rFonts w:ascii="Arial" w:eastAsia="Calibri" w:hAnsi="Arial" w:cs="Arial"/>
          <w:sz w:val="24"/>
          <w:szCs w:val="24"/>
          <w:lang w:eastAsia="en-US"/>
        </w:rPr>
        <w:t xml:space="preserve">de la Secretaría de Obras Públicas y Desarrollo Urbano del Municipio de Oaxaca de Juárez manifestó que el acto impugnado se encuentra debidamente fundado y motivado máxime que de conformidad con el oficio </w:t>
      </w:r>
      <w:r w:rsidR="004E5DF4">
        <w:rPr>
          <w:rFonts w:ascii="Arial" w:eastAsia="Calibri" w:hAnsi="Arial" w:cs="Arial"/>
          <w:sz w:val="24"/>
          <w:szCs w:val="24"/>
          <w:lang w:eastAsia="en-US"/>
        </w:rPr>
        <w:t>**********</w:t>
      </w:r>
      <w:r w:rsidR="0065593D">
        <w:rPr>
          <w:rFonts w:ascii="Arial" w:eastAsia="Calibri" w:hAnsi="Arial" w:cs="Arial"/>
          <w:sz w:val="24"/>
          <w:szCs w:val="24"/>
          <w:lang w:eastAsia="en-US"/>
        </w:rPr>
        <w:t xml:space="preserve"> de fecha quince de marzo de dos mil veintidós emitido por los Servicios de Agua y Alcantarillado de Oaxaca se determinó que faltaba el requisito de agua y drenaje sanitario para poder determinar procedente la solicitud de subdivisión.</w:t>
      </w:r>
    </w:p>
    <w:p w14:paraId="26215C00" w14:textId="28C4324B" w:rsidR="0065593D" w:rsidRDefault="0065593D" w:rsidP="003A730F">
      <w:pPr>
        <w:spacing w:after="160" w:line="360" w:lineRule="auto"/>
        <w:ind w:firstLine="567"/>
        <w:jc w:val="both"/>
        <w:rPr>
          <w:rFonts w:ascii="Arial" w:hAnsi="Arial" w:cs="Arial"/>
          <w:sz w:val="24"/>
          <w:szCs w:val="24"/>
        </w:rPr>
      </w:pPr>
      <w:r>
        <w:rPr>
          <w:rFonts w:ascii="Arial" w:eastAsia="Calibri" w:hAnsi="Arial" w:cs="Arial"/>
          <w:sz w:val="24"/>
          <w:szCs w:val="24"/>
          <w:lang w:eastAsia="en-US"/>
        </w:rPr>
        <w:t>Por cuanto hace a la Secretaria de Obras Públicas y Desarrollo Urbano del Municipio de Oaxaca de Juárez</w:t>
      </w:r>
      <w:r w:rsidR="00575E07">
        <w:rPr>
          <w:rFonts w:ascii="Arial" w:eastAsia="Calibri" w:hAnsi="Arial" w:cs="Arial"/>
          <w:sz w:val="24"/>
          <w:szCs w:val="24"/>
          <w:lang w:eastAsia="en-US"/>
        </w:rPr>
        <w:t xml:space="preserve"> manifestó que su representada no emitió el acto impugnado.</w:t>
      </w:r>
    </w:p>
    <w:p w14:paraId="1D668CDD" w14:textId="78E504AB" w:rsidR="00BA14C6" w:rsidRDefault="00BA14C6" w:rsidP="00BA14C6">
      <w:pPr>
        <w:spacing w:after="160" w:line="360" w:lineRule="auto"/>
        <w:ind w:firstLine="567"/>
        <w:jc w:val="both"/>
        <w:rPr>
          <w:rFonts w:ascii="Arial" w:hAnsi="Arial" w:cs="Arial"/>
          <w:sz w:val="24"/>
          <w:szCs w:val="24"/>
        </w:rPr>
      </w:pPr>
      <w:r>
        <w:rPr>
          <w:rFonts w:ascii="Arial" w:eastAsia="Calibri" w:hAnsi="Arial" w:cs="Arial"/>
          <w:b/>
          <w:bCs/>
          <w:sz w:val="24"/>
          <w:szCs w:val="24"/>
          <w:lang w:eastAsia="en-US"/>
        </w:rPr>
        <w:t>QUINTO</w:t>
      </w:r>
      <w:r w:rsidRPr="00512412">
        <w:rPr>
          <w:rFonts w:ascii="Arial" w:eastAsia="Calibri" w:hAnsi="Arial" w:cs="Arial"/>
          <w:b/>
          <w:bCs/>
          <w:sz w:val="24"/>
          <w:szCs w:val="24"/>
          <w:lang w:eastAsia="en-US"/>
        </w:rPr>
        <w:t>. Causales de improcedencia y sobreseimiento.</w:t>
      </w:r>
      <w:r w:rsidRPr="00512412">
        <w:rPr>
          <w:rFonts w:ascii="Arial" w:eastAsia="Calibri" w:hAnsi="Arial" w:cs="Arial"/>
          <w:sz w:val="24"/>
          <w:szCs w:val="24"/>
          <w:lang w:eastAsia="en-US"/>
        </w:rPr>
        <w:t xml:space="preserve"> </w:t>
      </w:r>
      <w:r w:rsidRPr="00937F4C">
        <w:rPr>
          <w:rFonts w:ascii="Arial" w:hAnsi="Arial" w:cs="Arial"/>
          <w:sz w:val="24"/>
          <w:szCs w:val="24"/>
        </w:rPr>
        <w:t>De un estudio oficioso de las causales de improcedencia y sobreseimiento del juicio,  que estipula el artículo 161 in fine de la Ley de la materia, se advierte que no existe una causal de improcedencia ni sobreseimiento para conocer el fondo del presente juicio.</w:t>
      </w:r>
    </w:p>
    <w:p w14:paraId="4DBB8F1B" w14:textId="3914A139" w:rsidR="00575E07" w:rsidRDefault="003F5A16" w:rsidP="007C7A1C">
      <w:pPr>
        <w:tabs>
          <w:tab w:val="left" w:pos="284"/>
          <w:tab w:val="left" w:pos="426"/>
          <w:tab w:val="right" w:pos="9072"/>
        </w:tabs>
        <w:spacing w:after="0" w:line="360" w:lineRule="auto"/>
        <w:ind w:right="-234" w:firstLine="567"/>
        <w:jc w:val="both"/>
        <w:rPr>
          <w:rFonts w:ascii="Arial" w:hAnsi="Arial" w:cs="Arial"/>
          <w:sz w:val="24"/>
          <w:szCs w:val="24"/>
        </w:rPr>
      </w:pPr>
      <w:r>
        <w:rPr>
          <w:rFonts w:ascii="Arial" w:hAnsi="Arial" w:cs="Arial"/>
          <w:b/>
          <w:sz w:val="24"/>
          <w:szCs w:val="24"/>
        </w:rPr>
        <w:t xml:space="preserve">SEXTO. </w:t>
      </w:r>
      <w:r w:rsidRPr="00512412">
        <w:rPr>
          <w:rFonts w:ascii="Arial" w:eastAsia="Calibri" w:hAnsi="Arial" w:cs="Arial"/>
          <w:b/>
          <w:bCs/>
          <w:sz w:val="24"/>
          <w:szCs w:val="24"/>
          <w:lang w:eastAsia="en-US"/>
        </w:rPr>
        <w:t xml:space="preserve">Estudio del Fondo del Asunto. </w:t>
      </w:r>
      <w:r w:rsidRPr="00AE3452">
        <w:rPr>
          <w:rFonts w:ascii="Arial" w:hAnsi="Arial" w:cs="Arial"/>
          <w:sz w:val="24"/>
          <w:szCs w:val="24"/>
        </w:rPr>
        <w:t xml:space="preserve">Son </w:t>
      </w:r>
      <w:r w:rsidRPr="00AE3452">
        <w:rPr>
          <w:rFonts w:ascii="Arial" w:hAnsi="Arial" w:cs="Arial"/>
          <w:b/>
          <w:bCs/>
          <w:sz w:val="24"/>
          <w:szCs w:val="24"/>
        </w:rPr>
        <w:t>fundados</w:t>
      </w:r>
      <w:r w:rsidRPr="00AE3452">
        <w:rPr>
          <w:rFonts w:ascii="Arial" w:hAnsi="Arial" w:cs="Arial"/>
          <w:sz w:val="24"/>
          <w:szCs w:val="24"/>
        </w:rPr>
        <w:t xml:space="preserve"> los conceptos de impugnación esgrimidos por la parte actora, </w:t>
      </w:r>
      <w:r>
        <w:rPr>
          <w:rFonts w:ascii="Arial" w:hAnsi="Arial" w:cs="Arial"/>
          <w:sz w:val="24"/>
          <w:szCs w:val="24"/>
        </w:rPr>
        <w:t>respecto a la ilegalidad de</w:t>
      </w:r>
      <w:r w:rsidR="00575E07">
        <w:rPr>
          <w:rFonts w:ascii="Arial" w:hAnsi="Arial" w:cs="Arial"/>
          <w:sz w:val="24"/>
          <w:szCs w:val="24"/>
        </w:rPr>
        <w:t xml:space="preserve">l </w:t>
      </w:r>
      <w:r w:rsidR="00575E07">
        <w:rPr>
          <w:rFonts w:ascii="Arial" w:eastAsia="Calibri" w:hAnsi="Arial" w:cs="Arial"/>
          <w:sz w:val="24"/>
          <w:szCs w:val="24"/>
          <w:lang w:eastAsia="en-US"/>
        </w:rPr>
        <w:t xml:space="preserve">oficio </w:t>
      </w:r>
      <w:r w:rsidR="004E5DF4">
        <w:rPr>
          <w:rFonts w:ascii="Arial" w:eastAsia="Calibri" w:hAnsi="Arial" w:cs="Arial"/>
          <w:sz w:val="24"/>
          <w:szCs w:val="24"/>
          <w:lang w:eastAsia="en-US"/>
        </w:rPr>
        <w:t>**********</w:t>
      </w:r>
      <w:r w:rsidR="00575E07">
        <w:rPr>
          <w:rFonts w:ascii="Arial" w:eastAsia="Calibri" w:hAnsi="Arial" w:cs="Arial"/>
          <w:sz w:val="24"/>
          <w:szCs w:val="24"/>
          <w:lang w:eastAsia="en-US"/>
        </w:rPr>
        <w:t xml:space="preserve"> de fecha veinticinco de abril de dos mil veintidós y emitido por el Director de Planeación Urbana y Licencias dependiente de la Secretaría de Obra Públicas y Desarrollo Urbano del Municipio de Oaxaca de Juárez, Oaxaca. </w:t>
      </w:r>
    </w:p>
    <w:p w14:paraId="243CC88E" w14:textId="5A49B223" w:rsidR="00575E07" w:rsidRDefault="00575E07"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hAnsi="Arial" w:cs="Arial"/>
          <w:sz w:val="24"/>
          <w:szCs w:val="24"/>
        </w:rPr>
        <w:lastRenderedPageBreak/>
        <w:t xml:space="preserve">En efecto, se determinó la negativa a subdividir el predio propiedad de la parte actora toda vez </w:t>
      </w:r>
      <w:r>
        <w:rPr>
          <w:rFonts w:ascii="Arial" w:eastAsia="Calibri" w:hAnsi="Arial" w:cs="Arial"/>
          <w:sz w:val="24"/>
          <w:szCs w:val="24"/>
          <w:lang w:eastAsia="en-US"/>
        </w:rPr>
        <w:t xml:space="preserve">que faltaba el requisito de agua y drenaje sanitario emitido por los Servicios de Agua y Alcantarillado de Oaxaca. </w:t>
      </w:r>
    </w:p>
    <w:p w14:paraId="6779E584" w14:textId="77777777" w:rsidR="004E5DF4" w:rsidRDefault="004E5DF4"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5843D62F" w14:textId="58AEFF92" w:rsidR="00575E07" w:rsidRDefault="00575E07"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La parte actora manifiesta que dicho requisito resulta excesivo y no se encuentra sustentado en ninguna disposición normativa. Por su parte la autoridad demandada sostuvo la legalidad de su resolución alegando el cumplimiento de los requisitos establecidos en el artículo 17 de la Ley de Procedimiento y Justicia Administrativa para el Estado de Oaxaca. </w:t>
      </w:r>
    </w:p>
    <w:p w14:paraId="4A66E2AD" w14:textId="77777777" w:rsidR="004E5DF4" w:rsidRDefault="004E5DF4"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4C8F71F5" w14:textId="53DAAE99" w:rsidR="00575E07" w:rsidRDefault="00575E07" w:rsidP="007C7A1C">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Ahora, el acto impugnado se encuentra fundado y motivado de la siguiente manera: </w:t>
      </w:r>
    </w:p>
    <w:p w14:paraId="4D6EE453" w14:textId="3FECC949" w:rsidR="00575E07" w:rsidRPr="00575E07" w:rsidRDefault="00575E07" w:rsidP="00575E07">
      <w:pPr>
        <w:tabs>
          <w:tab w:val="left" w:pos="284"/>
          <w:tab w:val="left" w:pos="851"/>
          <w:tab w:val="right" w:pos="9072"/>
        </w:tabs>
        <w:spacing w:after="0" w:line="360" w:lineRule="auto"/>
        <w:ind w:left="1134" w:right="-234"/>
        <w:jc w:val="both"/>
        <w:rPr>
          <w:rFonts w:ascii="Arial Narrow" w:hAnsi="Arial Narrow" w:cs="Arial"/>
          <w:sz w:val="24"/>
          <w:szCs w:val="24"/>
        </w:rPr>
      </w:pPr>
      <w:r>
        <w:rPr>
          <w:rFonts w:ascii="Arial Narrow" w:eastAsia="Calibri" w:hAnsi="Arial Narrow" w:cs="Arial"/>
          <w:sz w:val="24"/>
          <w:szCs w:val="24"/>
          <w:lang w:eastAsia="en-US"/>
        </w:rPr>
        <w:t xml:space="preserve">… una vez analizada su solicitud de referencia tomando en consideración los datos aportados, la documentación presentada, los planos que contienen la propuesta de subdivisión del predio en comento, el dictamen emitido en la Factibilidad de Uso de Suelo, alineamiento y Número Oficial con trámite </w:t>
      </w:r>
      <w:proofErr w:type="spellStart"/>
      <w:r>
        <w:rPr>
          <w:rFonts w:ascii="Arial Narrow" w:eastAsia="Calibri" w:hAnsi="Arial Narrow" w:cs="Arial"/>
          <w:sz w:val="24"/>
          <w:szCs w:val="24"/>
          <w:lang w:eastAsia="en-US"/>
        </w:rPr>
        <w:t>núm</w:t>
      </w:r>
      <w:proofErr w:type="spellEnd"/>
      <w:r>
        <w:rPr>
          <w:rFonts w:ascii="Arial Narrow" w:eastAsia="Calibri" w:hAnsi="Arial Narrow" w:cs="Arial"/>
          <w:sz w:val="24"/>
          <w:szCs w:val="24"/>
          <w:lang w:eastAsia="en-US"/>
        </w:rPr>
        <w:t xml:space="preserve"> 82478 de fecha de dictamen 15 de octubre de 2021</w:t>
      </w:r>
      <w:r w:rsidR="002F09A8">
        <w:rPr>
          <w:rFonts w:ascii="Arial Narrow" w:eastAsia="Calibri" w:hAnsi="Arial Narrow" w:cs="Arial"/>
          <w:sz w:val="24"/>
          <w:szCs w:val="24"/>
          <w:lang w:eastAsia="en-US"/>
        </w:rPr>
        <w:t xml:space="preserve">, las disposiciones normativas contenidas en el Instrumento en Materia de Desarrollo Urbano con Actualización de Vialidades, Usos del Suelo, Densidades, Estacionamiento y Rescate de Espacios Púbicos para el Municipio de Oaxaca de Juárez, aprobado en sesión ordinaria por el H. Ayuntamiento de fecha 29 de mayo de 2014 y publicado en la Gaceta Municipal correspondiente a Mayo de 2014, la cartografía derivada del Plan Parcial de Desarrollo Urbano de las Agencias de Trinidad de </w:t>
      </w:r>
      <w:proofErr w:type="spellStart"/>
      <w:r w:rsidR="002F09A8">
        <w:rPr>
          <w:rFonts w:ascii="Arial Narrow" w:eastAsia="Calibri" w:hAnsi="Arial Narrow" w:cs="Arial"/>
          <w:sz w:val="24"/>
          <w:szCs w:val="24"/>
          <w:lang w:eastAsia="en-US"/>
        </w:rPr>
        <w:t>Viguera</w:t>
      </w:r>
      <w:proofErr w:type="spellEnd"/>
      <w:r w:rsidR="002F09A8">
        <w:rPr>
          <w:rFonts w:ascii="Arial Narrow" w:eastAsia="Calibri" w:hAnsi="Arial Narrow" w:cs="Arial"/>
          <w:sz w:val="24"/>
          <w:szCs w:val="24"/>
          <w:lang w:eastAsia="en-US"/>
        </w:rPr>
        <w:t xml:space="preserve"> y Pueblo Nuevo, del Municipio de Oaxaca de Juárez, Oaxaca, aprobado y expedido en Sesión Ordinaria de Cabildo de fecha 24 de septiembre de 1998 y de acuerdo al contenido de la constancia de factibilidad con oficio núm. SAPOA/DG/0149/2022 de fecha 15 de marzo de 2022 emitida por los Servicios de Agua Potable y Alcantarillado de Oaxaca (SAPAO) mediante la cual determinan que el Agua Potable y Drenaje Sanitario NO PROCEDE, por estar fuera de la cobertura de ese organismo, por lo anterior esta normativa considera que no es factible acceder a su petición en los términos solicitados. </w:t>
      </w:r>
    </w:p>
    <w:p w14:paraId="74B494C9" w14:textId="4EBCE266" w:rsidR="00610349" w:rsidRDefault="00610349"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3F4634CD" w14:textId="222E2949" w:rsidR="00610349" w:rsidRDefault="002F09A8"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De su contenido se advierte la </w:t>
      </w:r>
      <w:r>
        <w:rPr>
          <w:rFonts w:ascii="Arial" w:eastAsia="Calibri" w:hAnsi="Arial" w:cs="Arial"/>
          <w:b/>
          <w:bCs/>
          <w:sz w:val="24"/>
          <w:szCs w:val="24"/>
          <w:lang w:eastAsia="en-US"/>
        </w:rPr>
        <w:t>indebida motivación</w:t>
      </w:r>
      <w:r>
        <w:rPr>
          <w:rFonts w:ascii="Arial" w:eastAsia="Calibri" w:hAnsi="Arial" w:cs="Arial"/>
          <w:sz w:val="24"/>
          <w:szCs w:val="24"/>
          <w:lang w:eastAsia="en-US"/>
        </w:rPr>
        <w:t xml:space="preserve"> del acto impugnado, pues se limita a negar el trámite de subdivisión atendiendo a que el predio está fuera de la cobertura de los </w:t>
      </w:r>
      <w:r w:rsidRPr="002F09A8">
        <w:rPr>
          <w:rFonts w:ascii="Arial" w:eastAsia="Calibri" w:hAnsi="Arial" w:cs="Arial"/>
          <w:sz w:val="24"/>
          <w:szCs w:val="24"/>
          <w:lang w:eastAsia="en-US"/>
        </w:rPr>
        <w:t>Servicios de Agua Potable y Alcantarillado de Oaxaca (SAPAO)</w:t>
      </w:r>
      <w:r w:rsidR="00FE45D0">
        <w:rPr>
          <w:rFonts w:ascii="Arial" w:eastAsia="Calibri" w:hAnsi="Arial" w:cs="Arial"/>
          <w:sz w:val="24"/>
          <w:szCs w:val="24"/>
          <w:lang w:eastAsia="en-US"/>
        </w:rPr>
        <w:t xml:space="preserve">. </w:t>
      </w:r>
    </w:p>
    <w:p w14:paraId="5FF2A278" w14:textId="4081A69D" w:rsidR="00FE45D0" w:rsidRDefault="00FE45D0"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Sin embargo, dicha situación no resulta vinculante para la subdivisión del predio en los términos que solicita la parte actora. Ello es así, toda vez que la Ley de Desarrollo Urbano para el Estado de Oaxaca establece que para efectos de las subdivisiones se estará a lo siguiente: </w:t>
      </w:r>
    </w:p>
    <w:p w14:paraId="48E1ADE6" w14:textId="77777777" w:rsidR="00FE45D0" w:rsidRDefault="00FE45D0"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71F0EBC8" w14:textId="44542A38"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b/>
          <w:bCs/>
          <w:sz w:val="24"/>
          <w:szCs w:val="24"/>
        </w:rPr>
        <w:lastRenderedPageBreak/>
        <w:t>ARTICULO 113.-</w:t>
      </w:r>
      <w:r w:rsidRPr="00FE45D0">
        <w:rPr>
          <w:rFonts w:ascii="Arial Narrow" w:hAnsi="Arial Narrow"/>
          <w:sz w:val="24"/>
          <w:szCs w:val="24"/>
        </w:rPr>
        <w:t xml:space="preserve"> Para autorizar las fusiones, subdivisiones, </w:t>
      </w:r>
      <w:proofErr w:type="spellStart"/>
      <w:r w:rsidRPr="00FE45D0">
        <w:rPr>
          <w:rFonts w:ascii="Arial Narrow" w:hAnsi="Arial Narrow"/>
          <w:sz w:val="24"/>
          <w:szCs w:val="24"/>
        </w:rPr>
        <w:t>relotificaciones</w:t>
      </w:r>
      <w:proofErr w:type="spellEnd"/>
      <w:r w:rsidRPr="00FE45D0">
        <w:rPr>
          <w:rFonts w:ascii="Arial Narrow" w:hAnsi="Arial Narrow"/>
          <w:sz w:val="24"/>
          <w:szCs w:val="24"/>
        </w:rPr>
        <w:t xml:space="preserve"> o fraccionamientos, se tomarán en cuenta los siguientes aspectos:</w:t>
      </w:r>
    </w:p>
    <w:p w14:paraId="20B55962"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I.- Las zonas en que se permitan; </w:t>
      </w:r>
    </w:p>
    <w:p w14:paraId="7D50EE7D"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II.- Las diferentes clases de fraccionamientos en función de su uso; </w:t>
      </w:r>
    </w:p>
    <w:p w14:paraId="5E63EBBF"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III.- Los índices aproximados de densidad de población; </w:t>
      </w:r>
    </w:p>
    <w:p w14:paraId="5BCEE409"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IV.- La organización de las estructuras viales y del sistema de transporte; </w:t>
      </w:r>
    </w:p>
    <w:p w14:paraId="7DB84A80"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V.- La proporción y aplicación de las inversiones en diversas etapas; </w:t>
      </w:r>
    </w:p>
    <w:p w14:paraId="35DE4846"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VI.- Las proporciones relativas a las áreas de servicios sanitarios y el equipamiento e infraestructura urbana; </w:t>
      </w:r>
    </w:p>
    <w:p w14:paraId="09525E6C" w14:textId="77777777" w:rsidR="00FE45D0" w:rsidRPr="00FE45D0" w:rsidRDefault="00FE45D0" w:rsidP="00FE45D0">
      <w:pPr>
        <w:tabs>
          <w:tab w:val="left" w:pos="284"/>
          <w:tab w:val="right" w:pos="9072"/>
        </w:tabs>
        <w:spacing w:after="0" w:line="360" w:lineRule="auto"/>
        <w:ind w:left="1134" w:right="-234"/>
        <w:jc w:val="both"/>
        <w:rPr>
          <w:rFonts w:ascii="Arial Narrow" w:hAnsi="Arial Narrow"/>
          <w:sz w:val="24"/>
          <w:szCs w:val="24"/>
        </w:rPr>
      </w:pPr>
      <w:r w:rsidRPr="00FE45D0">
        <w:rPr>
          <w:rFonts w:ascii="Arial Narrow" w:hAnsi="Arial Narrow"/>
          <w:sz w:val="24"/>
          <w:szCs w:val="24"/>
        </w:rPr>
        <w:t xml:space="preserve">VII.- Las especificaciones relativa (sic) a las características y dimensiones de los lote (sic), la densidad de construcción de los lotes, densidad de construcción de lotes considerados individualmente, así como las densidades totales, las formas de urbanización y las áreas que quedarán a cargo del municipio respectivo; </w:t>
      </w:r>
    </w:p>
    <w:p w14:paraId="6BE485E0" w14:textId="2B8786FD" w:rsidR="00FE45D0" w:rsidRPr="00FE45D0" w:rsidRDefault="00FE45D0" w:rsidP="00FE45D0">
      <w:pPr>
        <w:tabs>
          <w:tab w:val="left" w:pos="284"/>
          <w:tab w:val="right" w:pos="9072"/>
        </w:tabs>
        <w:spacing w:after="0" w:line="360" w:lineRule="auto"/>
        <w:ind w:left="1134" w:right="-234"/>
        <w:jc w:val="both"/>
        <w:rPr>
          <w:rFonts w:ascii="Arial Narrow" w:eastAsia="Calibri" w:hAnsi="Arial Narrow" w:cs="Arial"/>
          <w:sz w:val="28"/>
          <w:szCs w:val="28"/>
          <w:lang w:eastAsia="en-US"/>
        </w:rPr>
      </w:pPr>
      <w:r w:rsidRPr="00FE45D0">
        <w:rPr>
          <w:rFonts w:ascii="Arial Narrow" w:hAnsi="Arial Narrow"/>
          <w:sz w:val="24"/>
          <w:szCs w:val="24"/>
        </w:rPr>
        <w:t>VIII.- Las demás normas técnicas, que se consideren necesarias para el racional funcionamiento urbano del proyecto.</w:t>
      </w:r>
    </w:p>
    <w:p w14:paraId="44D188C4" w14:textId="35789534" w:rsidR="002F09A8" w:rsidRDefault="002F09A8"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p>
    <w:p w14:paraId="6E00C919" w14:textId="004041A1" w:rsidR="002F09A8" w:rsidRPr="00FE45D0" w:rsidRDefault="00FE45D0" w:rsidP="00CF04E4">
      <w:pPr>
        <w:tabs>
          <w:tab w:val="left" w:pos="284"/>
          <w:tab w:val="left" w:pos="426"/>
          <w:tab w:val="right" w:pos="9072"/>
        </w:tabs>
        <w:spacing w:after="0" w:line="360" w:lineRule="auto"/>
        <w:ind w:right="-234" w:firstLine="567"/>
        <w:jc w:val="both"/>
        <w:rPr>
          <w:rFonts w:ascii="Arial" w:eastAsia="Calibri" w:hAnsi="Arial" w:cs="Arial"/>
          <w:b/>
          <w:bCs/>
          <w:sz w:val="24"/>
          <w:szCs w:val="24"/>
          <w:lang w:eastAsia="en-US"/>
        </w:rPr>
      </w:pPr>
      <w:r>
        <w:rPr>
          <w:rFonts w:ascii="Arial" w:eastAsia="Calibri" w:hAnsi="Arial" w:cs="Arial"/>
          <w:sz w:val="24"/>
          <w:szCs w:val="24"/>
          <w:lang w:eastAsia="en-US"/>
        </w:rPr>
        <w:t xml:space="preserve">De su lectura se advierte que no existe de forma expresa una limitante a que el predio que se pretenda subdividir deba existir </w:t>
      </w:r>
      <w:r>
        <w:rPr>
          <w:rFonts w:ascii="Arial" w:eastAsia="Calibri" w:hAnsi="Arial" w:cs="Arial"/>
          <w:b/>
          <w:bCs/>
          <w:sz w:val="24"/>
          <w:szCs w:val="24"/>
          <w:lang w:eastAsia="en-US"/>
        </w:rPr>
        <w:t xml:space="preserve">necesariamente en el área de cobertura </w:t>
      </w:r>
      <w:r>
        <w:rPr>
          <w:rFonts w:ascii="Arial" w:eastAsia="Calibri" w:hAnsi="Arial" w:cs="Arial"/>
          <w:sz w:val="24"/>
          <w:szCs w:val="24"/>
          <w:lang w:eastAsia="en-US"/>
        </w:rPr>
        <w:t xml:space="preserve">de los </w:t>
      </w:r>
      <w:r w:rsidRPr="002F09A8">
        <w:rPr>
          <w:rFonts w:ascii="Arial" w:eastAsia="Calibri" w:hAnsi="Arial" w:cs="Arial"/>
          <w:sz w:val="24"/>
          <w:szCs w:val="24"/>
          <w:lang w:eastAsia="en-US"/>
        </w:rPr>
        <w:t>Servicios de Agua Potable y Alcantarillado de Oaxaca (SAPAO)</w:t>
      </w:r>
      <w:r>
        <w:rPr>
          <w:rFonts w:ascii="Arial" w:eastAsia="Calibri" w:hAnsi="Arial" w:cs="Arial"/>
          <w:sz w:val="24"/>
          <w:szCs w:val="24"/>
          <w:lang w:eastAsia="en-US"/>
        </w:rPr>
        <w:t>.</w:t>
      </w:r>
    </w:p>
    <w:p w14:paraId="565078DA" w14:textId="761AFFD1" w:rsidR="002F09A8" w:rsidRDefault="00E653E6"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Por el contrario, únicamente hace referencia a “las proporciones relativas a las áreas de servicios sanitarios y el equipamiento de infraestructura urbana”. </w:t>
      </w:r>
    </w:p>
    <w:p w14:paraId="73F03EDC" w14:textId="2B3DC22C" w:rsidR="002F09A8" w:rsidRDefault="00E653E6" w:rsidP="00CF04E4">
      <w:pPr>
        <w:tabs>
          <w:tab w:val="left" w:pos="284"/>
          <w:tab w:val="left" w:pos="426"/>
          <w:tab w:val="right" w:pos="9072"/>
        </w:tabs>
        <w:spacing w:after="0" w:line="360" w:lineRule="auto"/>
        <w:ind w:right="-234" w:firstLine="567"/>
        <w:jc w:val="both"/>
        <w:rPr>
          <w:rFonts w:ascii="Arial" w:eastAsia="Calibri" w:hAnsi="Arial" w:cs="Arial"/>
          <w:sz w:val="24"/>
          <w:szCs w:val="24"/>
          <w:lang w:eastAsia="en-US"/>
        </w:rPr>
      </w:pPr>
      <w:r>
        <w:rPr>
          <w:rFonts w:ascii="Arial" w:eastAsia="Calibri" w:hAnsi="Arial" w:cs="Arial"/>
          <w:sz w:val="24"/>
          <w:szCs w:val="24"/>
          <w:lang w:eastAsia="en-US"/>
        </w:rPr>
        <w:t xml:space="preserve">Luego entonces, si la autoridad demandada expuso que no procedía la subdivisión atendiendo únicamente a que se trataba de un área que se encontraba fuera de la cobertura de los </w:t>
      </w:r>
      <w:r w:rsidRPr="002F09A8">
        <w:rPr>
          <w:rFonts w:ascii="Arial" w:eastAsia="Calibri" w:hAnsi="Arial" w:cs="Arial"/>
          <w:sz w:val="24"/>
          <w:szCs w:val="24"/>
          <w:lang w:eastAsia="en-US"/>
        </w:rPr>
        <w:t>Servicios de Agua Potable y Alcantarillado de Oaxaca (SAPAO)</w:t>
      </w:r>
      <w:r>
        <w:rPr>
          <w:rFonts w:ascii="Arial" w:eastAsia="Calibri" w:hAnsi="Arial" w:cs="Arial"/>
          <w:sz w:val="24"/>
          <w:szCs w:val="24"/>
          <w:lang w:eastAsia="en-US"/>
        </w:rPr>
        <w:t xml:space="preserve">, y tal supuesto no se encuentra expresamente manifiesto en la Ley, es evidente que existe una indebida motivación cuyo resultado implica la determinación de una nulidad lisa y llana del acto impugnado. </w:t>
      </w:r>
    </w:p>
    <w:p w14:paraId="7C8D8B87" w14:textId="2730AD0B" w:rsidR="000012E5" w:rsidRPr="000012E5" w:rsidRDefault="000012E5" w:rsidP="000012E5">
      <w:pPr>
        <w:spacing w:line="360" w:lineRule="auto"/>
        <w:ind w:right="49" w:firstLine="708"/>
        <w:jc w:val="both"/>
        <w:rPr>
          <w:rFonts w:ascii="Arial" w:eastAsiaTheme="minorHAnsi" w:hAnsi="Arial" w:cs="Arial"/>
          <w:sz w:val="24"/>
          <w:szCs w:val="24"/>
        </w:rPr>
      </w:pPr>
      <w:r>
        <w:rPr>
          <w:rFonts w:ascii="Arial" w:eastAsia="Calibri" w:hAnsi="Arial" w:cs="Arial"/>
          <w:sz w:val="24"/>
          <w:szCs w:val="24"/>
          <w:lang w:eastAsia="en-US"/>
        </w:rPr>
        <w:t>Tal razonamiento</w:t>
      </w:r>
      <w:r w:rsidRPr="000012E5">
        <w:rPr>
          <w:rFonts w:ascii="Arial" w:eastAsia="Calibri" w:hAnsi="Arial" w:cs="Arial"/>
          <w:sz w:val="24"/>
          <w:szCs w:val="24"/>
          <w:lang w:eastAsia="en-US"/>
        </w:rPr>
        <w:t xml:space="preserve"> se sustenta a la luz de la </w:t>
      </w:r>
      <w:r w:rsidRPr="000012E5">
        <w:rPr>
          <w:rFonts w:ascii="Arial" w:hAnsi="Arial" w:cs="Arial"/>
          <w:sz w:val="24"/>
          <w:szCs w:val="24"/>
        </w:rPr>
        <w:t xml:space="preserve">Tesis I.6o.A.33 A, emitida por el Sexto Tribunal Colegiado en Materia Administrativa del Primer Circuito, publicada en el Semanario Judicial de la Federación y su Gaceta, Tomo XV, Marzo de 2002, visible a página 1350, Novena Época, de rubro y texto siguiente: </w:t>
      </w:r>
    </w:p>
    <w:p w14:paraId="5D2EC09D" w14:textId="02AB258C" w:rsidR="000012E5" w:rsidRPr="000012E5" w:rsidRDefault="00206838" w:rsidP="000012E5">
      <w:pPr>
        <w:spacing w:line="360" w:lineRule="auto"/>
        <w:ind w:left="709" w:right="616" w:hanging="1"/>
        <w:jc w:val="both"/>
        <w:rPr>
          <w:rFonts w:ascii="Times New Roman" w:hAnsi="Times New Roman" w:cs="Times New Roman"/>
          <w:b/>
          <w:sz w:val="24"/>
          <w:szCs w:val="24"/>
        </w:rPr>
      </w:pPr>
      <w:r>
        <w:rPr>
          <w:rFonts w:ascii="Times New Roman" w:hAnsi="Times New Roman" w:cs="Times New Roman"/>
          <w:b/>
          <w:sz w:val="24"/>
          <w:szCs w:val="24"/>
        </w:rPr>
        <w:t>“</w:t>
      </w:r>
      <w:r w:rsidR="000012E5" w:rsidRPr="000012E5">
        <w:rPr>
          <w:rFonts w:ascii="Times New Roman" w:hAnsi="Times New Roman" w:cs="Times New Roman"/>
          <w:b/>
          <w:sz w:val="24"/>
          <w:szCs w:val="24"/>
        </w:rPr>
        <w:t>FUNDAMENTACIÓN Y MOTIVACIÓN, FALTA O INDEBIDA. EN CUANTO SON DISTINTAS, UNAS GENERAN NULIDAD LISA Y LLANA Y OTRAS PARA EFECTOS.</w:t>
      </w:r>
    </w:p>
    <w:p w14:paraId="65A02990" w14:textId="43784B8A" w:rsidR="000012E5" w:rsidRPr="000012E5" w:rsidRDefault="000012E5" w:rsidP="000012E5">
      <w:pPr>
        <w:spacing w:line="360" w:lineRule="auto"/>
        <w:ind w:left="709" w:right="616" w:hanging="1"/>
        <w:jc w:val="both"/>
        <w:rPr>
          <w:rFonts w:ascii="Times New Roman" w:hAnsi="Times New Roman" w:cs="Times New Roman"/>
          <w:bCs/>
          <w:sz w:val="24"/>
          <w:szCs w:val="24"/>
        </w:rPr>
      </w:pPr>
      <w:r w:rsidRPr="000012E5">
        <w:rPr>
          <w:rFonts w:ascii="Times New Roman" w:hAnsi="Times New Roman" w:cs="Times New Roman"/>
          <w:sz w:val="24"/>
          <w:szCs w:val="24"/>
        </w:rPr>
        <w:lastRenderedPageBreak/>
        <w:t>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w:t>
      </w:r>
      <w:r w:rsidRPr="000012E5">
        <w:rPr>
          <w:rFonts w:ascii="Times New Roman" w:hAnsi="Times New Roman" w:cs="Times New Roman"/>
          <w:b/>
          <w:bCs/>
          <w:sz w:val="24"/>
          <w:szCs w:val="24"/>
          <w:u w:val="single"/>
        </w:rPr>
        <w:t>.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w:t>
      </w:r>
      <w:r w:rsidRPr="000012E5">
        <w:rPr>
          <w:rFonts w:ascii="Times New Roman" w:hAnsi="Times New Roman" w:cs="Times New Roman"/>
          <w:sz w:val="24"/>
          <w:szCs w:val="24"/>
        </w:rPr>
        <w:t xml:space="preserve">.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w:t>
      </w:r>
      <w:r w:rsidRPr="000012E5">
        <w:rPr>
          <w:rFonts w:ascii="Times New Roman" w:hAnsi="Times New Roman" w:cs="Times New Roman"/>
          <w:bCs/>
          <w:sz w:val="24"/>
          <w:szCs w:val="24"/>
        </w:rPr>
        <w:t>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r w:rsidR="00206838">
        <w:rPr>
          <w:rFonts w:ascii="Times New Roman" w:hAnsi="Times New Roman" w:cs="Times New Roman"/>
          <w:bCs/>
          <w:sz w:val="24"/>
          <w:szCs w:val="24"/>
        </w:rPr>
        <w:t>”</w:t>
      </w:r>
    </w:p>
    <w:p w14:paraId="45E6DDA1" w14:textId="38F49E15"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r>
        <w:rPr>
          <w:rFonts w:ascii="Arial" w:eastAsia="Calibri" w:hAnsi="Arial" w:cs="Arial"/>
          <w:sz w:val="24"/>
          <w:szCs w:val="24"/>
          <w:lang w:eastAsia="en-US"/>
        </w:rPr>
        <w:t xml:space="preserve">En tales términos </w:t>
      </w:r>
      <w:r w:rsidR="00C3197C">
        <w:rPr>
          <w:rFonts w:ascii="Arial" w:eastAsia="Calibri" w:hAnsi="Arial" w:cs="Arial"/>
          <w:sz w:val="24"/>
          <w:szCs w:val="24"/>
          <w:lang w:eastAsia="en-US"/>
        </w:rPr>
        <w:t>es</w:t>
      </w:r>
      <w:r>
        <w:rPr>
          <w:rFonts w:ascii="Arial" w:eastAsia="Calibri" w:hAnsi="Arial" w:cs="Arial"/>
          <w:sz w:val="24"/>
          <w:szCs w:val="24"/>
          <w:lang w:eastAsia="en-US"/>
        </w:rPr>
        <w:t xml:space="preserve"> procede</w:t>
      </w:r>
      <w:r w:rsidR="00C3197C">
        <w:rPr>
          <w:rFonts w:ascii="Arial" w:eastAsia="Calibri" w:hAnsi="Arial" w:cs="Arial"/>
          <w:sz w:val="24"/>
          <w:szCs w:val="24"/>
          <w:lang w:eastAsia="en-US"/>
        </w:rPr>
        <w:t>nte</w:t>
      </w:r>
      <w:r>
        <w:rPr>
          <w:rFonts w:ascii="Arial" w:eastAsia="Calibri" w:hAnsi="Arial" w:cs="Arial"/>
          <w:sz w:val="24"/>
          <w:szCs w:val="24"/>
          <w:lang w:eastAsia="en-US"/>
        </w:rPr>
        <w:t xml:space="preserve"> declarar la </w:t>
      </w:r>
      <w:r>
        <w:rPr>
          <w:rFonts w:ascii="Arial" w:eastAsia="Calibri" w:hAnsi="Arial" w:cs="Arial"/>
          <w:b/>
          <w:bCs/>
          <w:sz w:val="24"/>
          <w:szCs w:val="24"/>
          <w:lang w:eastAsia="en-US"/>
        </w:rPr>
        <w:t xml:space="preserve">NULIDAD LISA Y LLANA </w:t>
      </w:r>
      <w:r>
        <w:rPr>
          <w:rFonts w:ascii="Arial" w:eastAsia="Calibri" w:hAnsi="Arial" w:cs="Arial"/>
          <w:sz w:val="24"/>
          <w:szCs w:val="24"/>
          <w:lang w:eastAsia="en-US"/>
        </w:rPr>
        <w:t xml:space="preserve">del </w:t>
      </w:r>
      <w:r w:rsidR="00575E07">
        <w:rPr>
          <w:rFonts w:ascii="Arial" w:eastAsia="Calibri" w:hAnsi="Arial" w:cs="Arial"/>
          <w:sz w:val="24"/>
          <w:szCs w:val="24"/>
          <w:lang w:eastAsia="en-US"/>
        </w:rPr>
        <w:t xml:space="preserve">oficio </w:t>
      </w:r>
      <w:r w:rsidR="004E5DF4">
        <w:rPr>
          <w:rFonts w:ascii="Arial" w:eastAsia="Calibri" w:hAnsi="Arial" w:cs="Arial"/>
          <w:sz w:val="24"/>
          <w:szCs w:val="24"/>
          <w:lang w:eastAsia="en-US"/>
        </w:rPr>
        <w:t>**********</w:t>
      </w:r>
      <w:r w:rsidR="00575E07">
        <w:rPr>
          <w:rFonts w:ascii="Arial" w:eastAsia="Calibri" w:hAnsi="Arial" w:cs="Arial"/>
          <w:sz w:val="24"/>
          <w:szCs w:val="24"/>
          <w:lang w:eastAsia="en-US"/>
        </w:rPr>
        <w:t xml:space="preserve"> de fecha veinticinco de abril de dos mil veintidós y emitido por el Director de Planeación Urbana y Licencias dependiente de la Secretaría de Obra </w:t>
      </w:r>
      <w:r w:rsidR="00575E07">
        <w:rPr>
          <w:rFonts w:ascii="Arial" w:eastAsia="Calibri" w:hAnsi="Arial" w:cs="Arial"/>
          <w:sz w:val="24"/>
          <w:szCs w:val="24"/>
          <w:lang w:eastAsia="en-US"/>
        </w:rPr>
        <w:lastRenderedPageBreak/>
        <w:t>Públicas y Desarrollo Urbano del Municipio de Oaxaca de Juárez, Oaxaca</w:t>
      </w:r>
      <w:r>
        <w:rPr>
          <w:rFonts w:ascii="Arial" w:hAnsi="Arial" w:cs="Arial"/>
          <w:sz w:val="24"/>
          <w:szCs w:val="24"/>
        </w:rPr>
        <w:t>, en términos de la siguiente Jurisprudencia</w:t>
      </w:r>
      <w:r>
        <w:rPr>
          <w:rStyle w:val="Refdenotaalpie"/>
          <w:rFonts w:ascii="Arial" w:hAnsi="Arial" w:cs="Arial"/>
          <w:sz w:val="24"/>
          <w:szCs w:val="24"/>
        </w:rPr>
        <w:footnoteReference w:id="4"/>
      </w:r>
      <w:r>
        <w:rPr>
          <w:rFonts w:ascii="Arial" w:hAnsi="Arial" w:cs="Arial"/>
          <w:sz w:val="24"/>
          <w:szCs w:val="24"/>
        </w:rPr>
        <w:t xml:space="preserve">: </w:t>
      </w:r>
    </w:p>
    <w:p w14:paraId="51B284B6" w14:textId="6EDB32CC" w:rsidR="00EC3B62" w:rsidRPr="00EC3B62" w:rsidRDefault="00EC3B62" w:rsidP="00CF04E4">
      <w:pPr>
        <w:tabs>
          <w:tab w:val="left" w:pos="284"/>
          <w:tab w:val="left" w:pos="426"/>
          <w:tab w:val="right" w:pos="9072"/>
        </w:tabs>
        <w:spacing w:after="0" w:line="360" w:lineRule="auto"/>
        <w:ind w:right="-234" w:firstLine="567"/>
        <w:jc w:val="both"/>
        <w:rPr>
          <w:rFonts w:ascii="Arial" w:hAnsi="Arial" w:cs="Arial"/>
          <w:b/>
          <w:bCs/>
          <w:sz w:val="24"/>
          <w:szCs w:val="24"/>
        </w:rPr>
      </w:pPr>
    </w:p>
    <w:p w14:paraId="0B7D2D05" w14:textId="42FC7DB7" w:rsidR="00EC3B62" w:rsidRPr="00EC3B62" w:rsidRDefault="00206838" w:rsidP="00EC3B62">
      <w:pPr>
        <w:tabs>
          <w:tab w:val="left" w:pos="284"/>
          <w:tab w:val="left" w:pos="851"/>
          <w:tab w:val="right" w:pos="9072"/>
        </w:tabs>
        <w:spacing w:after="0" w:line="360" w:lineRule="auto"/>
        <w:ind w:left="1134" w:right="-234"/>
        <w:jc w:val="both"/>
        <w:rPr>
          <w:rFonts w:ascii="Arial Narrow" w:hAnsi="Arial Narrow" w:cs="Arial"/>
          <w:b/>
          <w:bCs/>
          <w:sz w:val="24"/>
          <w:szCs w:val="24"/>
        </w:rPr>
      </w:pPr>
      <w:r>
        <w:rPr>
          <w:rFonts w:ascii="Arial Narrow" w:hAnsi="Arial Narrow" w:cs="Arial"/>
          <w:b/>
          <w:bCs/>
          <w:sz w:val="24"/>
          <w:szCs w:val="24"/>
        </w:rPr>
        <w:t>“</w:t>
      </w:r>
      <w:r w:rsidR="00EC3B62" w:rsidRPr="00EC3B62">
        <w:rPr>
          <w:rFonts w:ascii="Arial Narrow" w:hAnsi="Arial Narrow" w:cs="Arial"/>
          <w:b/>
          <w:bCs/>
          <w:sz w:val="24"/>
          <w:szCs w:val="24"/>
        </w:rPr>
        <w:t>NULIDAD DE LAS RESOLUCIONES ADMINISTRATIVAS. SENTIDO AMPLIO DEL CONCEPTO Y EFECTOS DE LA DECRETADA EN EL JUICIO CONTENCIOSO ADMINISTRATIVO FEDERAL.</w:t>
      </w:r>
    </w:p>
    <w:p w14:paraId="70D8E78E"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p>
    <w:p w14:paraId="4C3813EB" w14:textId="77777777" w:rsidR="00EC3B62" w:rsidRPr="00EC3B62" w:rsidRDefault="00EC3B62" w:rsidP="00EC3B62">
      <w:pPr>
        <w:tabs>
          <w:tab w:val="left" w:pos="284"/>
          <w:tab w:val="left" w:pos="851"/>
          <w:tab w:val="right" w:pos="9072"/>
        </w:tabs>
        <w:spacing w:after="0" w:line="360" w:lineRule="auto"/>
        <w:ind w:left="1134" w:right="-234"/>
        <w:jc w:val="both"/>
        <w:rPr>
          <w:rFonts w:ascii="Arial Narrow" w:hAnsi="Arial Narrow" w:cs="Arial"/>
          <w:sz w:val="24"/>
          <w:szCs w:val="24"/>
        </w:rPr>
      </w:pPr>
      <w:r w:rsidRPr="00EC3B62">
        <w:rPr>
          <w:rFonts w:ascii="Arial Narrow" w:hAnsi="Arial Narrow" w:cs="Arial"/>
          <w:sz w:val="24"/>
          <w:szCs w:val="24"/>
        </w:rPr>
        <w:t xml:space="preserve">La nulidad de las resoluciones administrativas debe entenderse en sentido amplio, esto es, como la consecuencia de una declaración jurisdiccional que priva de valor y eficacia a las decisiones afectadas por alguna causa de ilegalidad. Así, la nulidad implica, tanto una declaración, como una sanción jurídica múltiple y consecuente; de ahí que estos efectos se adjudican a la resolución ilícita, pero también a sus consecuencias (conducta, resultado de acción u omisión y restauración del orden jurídico, entre otras). Además, el concepto genérico de dicha nulidad, en razón de sus variantes o modalidades, debe apreciarse en un contexto sistémico, complejo y comprensivo de múltiples factores y repercusiones pertinentes y conformes a casos concretos. En estas condiciones, la declaratoria y su trascendencia son el resultado de las etapas del control judicial respectivo, a saber: I) determinación de alguna causa de ilegalidad prevista en el artículo 51 de la Ley Federal de Procedimiento Contencioso Administrativo; II) declaración de invalidez o nulidad de la resolución, acorde con la trascendencia del vicio identificado, conforme al artículo 52 del ordenamiento citado; III) precisión de las ineficacias atribuibles a la resolución y sus consecuencias, en razón de los excesos o deficiencias que conlleven, tanto en el ámbito jurídico como en el fáctico, lo cual abarca a la propia decisión y a las secuelas que resulten incididas; y, IV) restauración plena de la legalidad y modalidades de cumplimiento, en términos del precepto 57 de la misma ley. Ahora, la declaratoria aludida puede implicar: A) la emisión de un nuevo acto en el que se subsanen los vicios de ilegalidad detectados (ya sean formales, procedimentales o de fondo, que deriven del ejercicio de facultades regladas o en respuesta a una instancia promovida por un particular); B) libertad para ejercer facultades, ya sea que confiera cierto arbitrio (con libertad para apreciar o adjudicar consecuencias) o de naturaleza netamente discrecional de la autoridad, actualizándose un supuesto de nulidad (lisa y llana), con la alternativa para dictar otro acto, purgando infracciones o consecuencias, aunque sujeto al plazo legalmente establecido (cuatro meses o un mes para la vía sumaria); C) la nulidad lisa y llana o absoluta, que imposibilita a la autoridad demandada para reiterar aspectos cuando, efectiva y puntualmente, sean </w:t>
      </w:r>
      <w:r w:rsidRPr="00EC3B62">
        <w:rPr>
          <w:rFonts w:ascii="Arial Narrow" w:hAnsi="Arial Narrow" w:cs="Arial"/>
          <w:sz w:val="24"/>
          <w:szCs w:val="24"/>
        </w:rPr>
        <w:lastRenderedPageBreak/>
        <w:t>cosa juzgada o temas decididos definitivamente; o, D) precisar medidas de reparación, indemnización o restitución acordes con la lesión o agravio causado a derechos específicos. De lo anterior se advierte que el concepto alusivo a la declaratoria de invalidez –nulidad– puede ser ambiguo y hasta confuso, por coincidir en la supresión de un acto de autoridad; sin embargo, los efectos de esa declaratoria dependerán del grado de ilegalidad detectado, el contexto en el que se originaron y las consecuencias o alternativas asignadas por la ley, y no únicamente de la denominación adoptada por el órgano jurisdiccional que la declare, como incluso lo prevé el numeral 57 indicado, al señalar que los efectos ahí previstos se producirán "aun en el caso de que la sentencia declare la nulidad en forma lisa y llana".</w:t>
      </w:r>
    </w:p>
    <w:p w14:paraId="6A38B830" w14:textId="77777777" w:rsidR="00EC3B62" w:rsidRDefault="00EC3B62" w:rsidP="00CF04E4">
      <w:pPr>
        <w:tabs>
          <w:tab w:val="left" w:pos="284"/>
          <w:tab w:val="left" w:pos="426"/>
          <w:tab w:val="right" w:pos="9072"/>
        </w:tabs>
        <w:spacing w:after="0" w:line="360" w:lineRule="auto"/>
        <w:ind w:right="-234" w:firstLine="567"/>
        <w:jc w:val="both"/>
        <w:rPr>
          <w:rFonts w:ascii="Arial" w:hAnsi="Arial" w:cs="Arial"/>
          <w:sz w:val="24"/>
          <w:szCs w:val="24"/>
        </w:rPr>
      </w:pPr>
    </w:p>
    <w:p w14:paraId="5B75DB5B" w14:textId="1A2C4CDB" w:rsidR="000012E5" w:rsidRDefault="000012E5" w:rsidP="002B375F">
      <w:pPr>
        <w:spacing w:line="360" w:lineRule="auto"/>
        <w:ind w:firstLine="567"/>
        <w:jc w:val="both"/>
        <w:rPr>
          <w:rFonts w:ascii="Arial" w:hAnsi="Arial" w:cs="Arial"/>
          <w:sz w:val="24"/>
          <w:szCs w:val="24"/>
        </w:rPr>
      </w:pPr>
      <w:r>
        <w:rPr>
          <w:rFonts w:ascii="Arial" w:hAnsi="Arial" w:cs="Arial"/>
          <w:sz w:val="24"/>
          <w:szCs w:val="24"/>
        </w:rPr>
        <w:t xml:space="preserve">Como efecto reflejo de la presente sentencia, se determina que las autoridades demandadas deberán continuar con el trámite de subdivisión presentado por la parte actora, </w:t>
      </w:r>
      <w:r w:rsidR="00AF3804">
        <w:rPr>
          <w:rFonts w:ascii="Arial" w:hAnsi="Arial" w:cs="Arial"/>
          <w:sz w:val="24"/>
          <w:szCs w:val="24"/>
        </w:rPr>
        <w:t xml:space="preserve">en los términos en que fue presentado. </w:t>
      </w:r>
    </w:p>
    <w:p w14:paraId="1830672D" w14:textId="116B4655" w:rsidR="002B375F" w:rsidRPr="00512412" w:rsidRDefault="002B375F" w:rsidP="002B375F">
      <w:pPr>
        <w:spacing w:line="360" w:lineRule="auto"/>
        <w:ind w:firstLine="567"/>
        <w:jc w:val="both"/>
        <w:rPr>
          <w:rFonts w:ascii="Arial" w:hAnsi="Arial" w:cs="Arial"/>
          <w:sz w:val="24"/>
          <w:szCs w:val="24"/>
        </w:rPr>
      </w:pPr>
      <w:r w:rsidRPr="00512412">
        <w:rPr>
          <w:rFonts w:ascii="Arial" w:hAnsi="Arial" w:cs="Arial"/>
          <w:sz w:val="24"/>
          <w:szCs w:val="24"/>
        </w:rPr>
        <w:t xml:space="preserve">Por lo expuesto y con fundamento en los artículos 207, y 209 de la Ley de Procedimiento y Justicia Administrativa para el Estado de Oaxaca se; </w:t>
      </w:r>
    </w:p>
    <w:p w14:paraId="13F2DF4D" w14:textId="77777777" w:rsidR="002B375F" w:rsidRPr="00512412" w:rsidRDefault="002B375F" w:rsidP="002B375F">
      <w:pPr>
        <w:tabs>
          <w:tab w:val="right" w:pos="9072"/>
        </w:tabs>
        <w:spacing w:after="0" w:line="360" w:lineRule="auto"/>
        <w:ind w:right="-234"/>
        <w:rPr>
          <w:rFonts w:ascii="Arial" w:hAnsi="Arial" w:cs="Arial"/>
          <w:b/>
          <w:sz w:val="24"/>
          <w:szCs w:val="24"/>
        </w:rPr>
      </w:pPr>
    </w:p>
    <w:p w14:paraId="676D380E" w14:textId="77777777" w:rsidR="002B375F" w:rsidRPr="00512412" w:rsidRDefault="002B375F" w:rsidP="002B375F">
      <w:pPr>
        <w:tabs>
          <w:tab w:val="right" w:pos="9072"/>
        </w:tabs>
        <w:spacing w:after="0" w:line="360" w:lineRule="auto"/>
        <w:ind w:right="-234" w:firstLine="708"/>
        <w:jc w:val="center"/>
        <w:rPr>
          <w:rFonts w:ascii="Arial" w:hAnsi="Arial" w:cs="Arial"/>
          <w:b/>
          <w:sz w:val="24"/>
          <w:szCs w:val="24"/>
        </w:rPr>
      </w:pPr>
      <w:r w:rsidRPr="00512412">
        <w:rPr>
          <w:rFonts w:ascii="Arial" w:hAnsi="Arial" w:cs="Arial"/>
          <w:b/>
          <w:sz w:val="24"/>
          <w:szCs w:val="24"/>
        </w:rPr>
        <w:t>R E S U E L V E:</w:t>
      </w:r>
    </w:p>
    <w:p w14:paraId="640C5BEF" w14:textId="77777777" w:rsidR="002B375F" w:rsidRPr="00512412" w:rsidRDefault="002B375F" w:rsidP="002B375F">
      <w:pPr>
        <w:tabs>
          <w:tab w:val="right" w:pos="9072"/>
        </w:tabs>
        <w:spacing w:after="0" w:line="360" w:lineRule="auto"/>
        <w:ind w:right="-234" w:firstLine="708"/>
        <w:rPr>
          <w:rFonts w:ascii="Arial" w:hAnsi="Arial" w:cs="Arial"/>
          <w:b/>
          <w:sz w:val="24"/>
          <w:szCs w:val="24"/>
        </w:rPr>
      </w:pPr>
    </w:p>
    <w:p w14:paraId="492FBA6A"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r w:rsidRPr="00512412">
        <w:rPr>
          <w:rFonts w:ascii="Arial" w:hAnsi="Arial" w:cs="Arial"/>
          <w:b/>
          <w:sz w:val="24"/>
          <w:szCs w:val="24"/>
        </w:rPr>
        <w:t>PRIMERO.</w:t>
      </w:r>
      <w:r w:rsidRPr="00512412">
        <w:rPr>
          <w:rFonts w:ascii="Arial" w:hAnsi="Arial" w:cs="Arial"/>
          <w:sz w:val="24"/>
          <w:szCs w:val="24"/>
        </w:rPr>
        <w:t xml:space="preserve"> Esta Primera Sala Unitaria fue competente para conocer y resolver del presente asunto. </w:t>
      </w:r>
    </w:p>
    <w:p w14:paraId="470F3F23" w14:textId="77777777" w:rsidR="002B375F" w:rsidRPr="00512412" w:rsidRDefault="002B375F" w:rsidP="002B375F">
      <w:pPr>
        <w:tabs>
          <w:tab w:val="right" w:pos="9072"/>
        </w:tabs>
        <w:spacing w:after="0" w:line="360" w:lineRule="auto"/>
        <w:ind w:right="-234" w:firstLine="567"/>
        <w:jc w:val="both"/>
        <w:rPr>
          <w:rFonts w:ascii="Arial" w:hAnsi="Arial" w:cs="Arial"/>
          <w:sz w:val="24"/>
          <w:szCs w:val="24"/>
        </w:rPr>
      </w:pPr>
    </w:p>
    <w:p w14:paraId="2EF5F842"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r w:rsidRPr="00512412">
        <w:rPr>
          <w:rFonts w:ascii="Arial" w:hAnsi="Arial" w:cs="Arial"/>
          <w:b/>
          <w:sz w:val="24"/>
          <w:szCs w:val="24"/>
        </w:rPr>
        <w:t xml:space="preserve">SEGUNDO. </w:t>
      </w:r>
      <w:r w:rsidRPr="00512412">
        <w:rPr>
          <w:rFonts w:ascii="Arial" w:hAnsi="Arial" w:cs="Arial"/>
          <w:sz w:val="24"/>
          <w:szCs w:val="24"/>
        </w:rPr>
        <w:t xml:space="preserve">La personería de las partes quedó acreditada. </w:t>
      </w:r>
    </w:p>
    <w:p w14:paraId="2D41CDF3" w14:textId="77777777" w:rsidR="002B375F" w:rsidRPr="00512412" w:rsidRDefault="002B375F" w:rsidP="002B375F">
      <w:pPr>
        <w:tabs>
          <w:tab w:val="right" w:pos="9072"/>
        </w:tabs>
        <w:spacing w:after="0" w:line="360" w:lineRule="auto"/>
        <w:ind w:right="-234" w:firstLine="567"/>
        <w:jc w:val="both"/>
        <w:rPr>
          <w:rFonts w:ascii="Arial" w:hAnsi="Arial" w:cs="Arial"/>
          <w:b/>
          <w:sz w:val="24"/>
          <w:szCs w:val="24"/>
        </w:rPr>
      </w:pPr>
    </w:p>
    <w:p w14:paraId="5A6E4C73" w14:textId="01286DA9" w:rsidR="002B375F" w:rsidRDefault="002B375F" w:rsidP="002B375F">
      <w:pPr>
        <w:spacing w:after="0" w:line="360" w:lineRule="auto"/>
        <w:ind w:firstLine="567"/>
        <w:jc w:val="both"/>
        <w:rPr>
          <w:rFonts w:ascii="Arial" w:hAnsi="Arial" w:cs="Arial"/>
          <w:bCs/>
          <w:sz w:val="24"/>
          <w:szCs w:val="24"/>
        </w:rPr>
      </w:pPr>
      <w:r w:rsidRPr="00512412">
        <w:rPr>
          <w:rFonts w:ascii="Arial" w:hAnsi="Arial" w:cs="Arial"/>
          <w:b/>
          <w:sz w:val="24"/>
          <w:szCs w:val="24"/>
        </w:rPr>
        <w:t xml:space="preserve">TERCERO. </w:t>
      </w:r>
      <w:r w:rsidRPr="00512412">
        <w:rPr>
          <w:rFonts w:ascii="Arial" w:hAnsi="Arial" w:cs="Arial"/>
          <w:sz w:val="24"/>
          <w:szCs w:val="24"/>
        </w:rPr>
        <w:t xml:space="preserve">Se </w:t>
      </w:r>
      <w:r>
        <w:rPr>
          <w:rFonts w:ascii="Arial" w:hAnsi="Arial" w:cs="Arial"/>
          <w:sz w:val="24"/>
          <w:szCs w:val="24"/>
        </w:rPr>
        <w:t xml:space="preserve">declara la </w:t>
      </w:r>
      <w:r w:rsidR="00590883">
        <w:rPr>
          <w:rFonts w:ascii="Arial" w:hAnsi="Arial" w:cs="Arial"/>
          <w:b/>
          <w:bCs/>
          <w:sz w:val="24"/>
          <w:szCs w:val="24"/>
        </w:rPr>
        <w:t>nulidad lisa y llana</w:t>
      </w:r>
      <w:r w:rsidRPr="00512412">
        <w:rPr>
          <w:rFonts w:ascii="Arial" w:hAnsi="Arial" w:cs="Arial"/>
          <w:b/>
          <w:bCs/>
          <w:sz w:val="24"/>
          <w:szCs w:val="24"/>
        </w:rPr>
        <w:t xml:space="preserve"> </w:t>
      </w:r>
      <w:r w:rsidR="00EC3B62">
        <w:rPr>
          <w:rFonts w:ascii="Arial" w:eastAsia="Calibri" w:hAnsi="Arial" w:cs="Arial"/>
          <w:sz w:val="24"/>
          <w:szCs w:val="24"/>
          <w:lang w:eastAsia="en-US"/>
        </w:rPr>
        <w:t xml:space="preserve">del </w:t>
      </w:r>
      <w:r w:rsidR="00AF3804">
        <w:rPr>
          <w:rFonts w:ascii="Arial" w:eastAsia="Calibri" w:hAnsi="Arial" w:cs="Arial"/>
          <w:sz w:val="24"/>
          <w:szCs w:val="24"/>
          <w:lang w:eastAsia="en-US"/>
        </w:rPr>
        <w:t xml:space="preserve">oficio </w:t>
      </w:r>
      <w:r w:rsidR="004E5DF4">
        <w:rPr>
          <w:rFonts w:ascii="Arial" w:eastAsia="Calibri" w:hAnsi="Arial" w:cs="Arial"/>
          <w:sz w:val="24"/>
          <w:szCs w:val="24"/>
          <w:lang w:eastAsia="en-US"/>
        </w:rPr>
        <w:t>**********</w:t>
      </w:r>
      <w:bookmarkStart w:id="0" w:name="_GoBack"/>
      <w:bookmarkEnd w:id="0"/>
      <w:r w:rsidR="00AF3804">
        <w:rPr>
          <w:rFonts w:ascii="Arial" w:eastAsia="Calibri" w:hAnsi="Arial" w:cs="Arial"/>
          <w:sz w:val="24"/>
          <w:szCs w:val="24"/>
          <w:lang w:eastAsia="en-US"/>
        </w:rPr>
        <w:t xml:space="preserve"> de fecha veinticinco de abril de dos mil veintidós y emitido por el Director de Planeación Urbana y Licencias dependiente de la Secretaría de Obra Públicas y Desarrollo Urbano del Municipio de Oaxaca de Juárez, Oaxaca </w:t>
      </w:r>
      <w:r w:rsidR="00EC3B62">
        <w:rPr>
          <w:rFonts w:ascii="Arial" w:hAnsi="Arial" w:cs="Arial"/>
          <w:sz w:val="24"/>
          <w:szCs w:val="24"/>
        </w:rPr>
        <w:t>por las razones expuestas</w:t>
      </w:r>
      <w:r>
        <w:rPr>
          <w:rFonts w:ascii="Arial" w:hAnsi="Arial" w:cs="Arial"/>
          <w:bCs/>
          <w:sz w:val="24"/>
          <w:szCs w:val="24"/>
        </w:rPr>
        <w:t xml:space="preserve"> en el considerando SEXTO de la presente resolución.</w:t>
      </w:r>
    </w:p>
    <w:p w14:paraId="7C1BBEAB" w14:textId="77777777" w:rsidR="002B375F" w:rsidRPr="00512412" w:rsidRDefault="002B375F" w:rsidP="002B375F">
      <w:pPr>
        <w:spacing w:after="0" w:line="360" w:lineRule="auto"/>
        <w:ind w:firstLine="567"/>
        <w:jc w:val="both"/>
        <w:rPr>
          <w:rFonts w:ascii="Arial" w:hAnsi="Arial" w:cs="Arial"/>
          <w:sz w:val="24"/>
          <w:szCs w:val="24"/>
        </w:rPr>
      </w:pPr>
    </w:p>
    <w:p w14:paraId="4F70F251" w14:textId="762477BA" w:rsidR="002B375F" w:rsidRPr="00512412" w:rsidRDefault="002B375F" w:rsidP="002B375F">
      <w:pPr>
        <w:spacing w:after="0" w:line="360" w:lineRule="auto"/>
        <w:ind w:right="49" w:firstLine="567"/>
        <w:jc w:val="both"/>
        <w:rPr>
          <w:rFonts w:ascii="Arial" w:eastAsia="Times New Roman" w:hAnsi="Arial" w:cs="Arial"/>
          <w:sz w:val="24"/>
          <w:szCs w:val="24"/>
        </w:rPr>
      </w:pPr>
      <w:r w:rsidRPr="00512412">
        <w:rPr>
          <w:rFonts w:ascii="Arial" w:eastAsia="Times New Roman" w:hAnsi="Arial" w:cs="Arial"/>
          <w:b/>
          <w:sz w:val="24"/>
          <w:szCs w:val="24"/>
        </w:rPr>
        <w:t>CUARTO. Notifíquese personalmente a la parte actora y por oficio a la</w:t>
      </w:r>
      <w:r w:rsidR="00590883">
        <w:rPr>
          <w:rFonts w:ascii="Arial" w:eastAsia="Times New Roman" w:hAnsi="Arial" w:cs="Arial"/>
          <w:b/>
          <w:sz w:val="24"/>
          <w:szCs w:val="24"/>
        </w:rPr>
        <w:t>s</w:t>
      </w:r>
      <w:r w:rsidRPr="00512412">
        <w:rPr>
          <w:rFonts w:ascii="Arial" w:eastAsia="Times New Roman" w:hAnsi="Arial" w:cs="Arial"/>
          <w:b/>
          <w:sz w:val="24"/>
          <w:szCs w:val="24"/>
        </w:rPr>
        <w:t xml:space="preserve"> autoridad</w:t>
      </w:r>
      <w:r w:rsidR="00590883">
        <w:rPr>
          <w:rFonts w:ascii="Arial" w:eastAsia="Times New Roman" w:hAnsi="Arial" w:cs="Arial"/>
          <w:b/>
          <w:sz w:val="24"/>
          <w:szCs w:val="24"/>
        </w:rPr>
        <w:t>es</w:t>
      </w:r>
      <w:r w:rsidRPr="00512412">
        <w:rPr>
          <w:rFonts w:ascii="Arial" w:eastAsia="Times New Roman" w:hAnsi="Arial" w:cs="Arial"/>
          <w:b/>
          <w:sz w:val="24"/>
          <w:szCs w:val="24"/>
        </w:rPr>
        <w:t xml:space="preserve"> demandada</w:t>
      </w:r>
      <w:r w:rsidR="00590883">
        <w:rPr>
          <w:rFonts w:ascii="Arial" w:eastAsia="Times New Roman" w:hAnsi="Arial" w:cs="Arial"/>
          <w:b/>
          <w:sz w:val="24"/>
          <w:szCs w:val="24"/>
        </w:rPr>
        <w:t>s</w:t>
      </w:r>
      <w:r w:rsidRPr="00512412">
        <w:rPr>
          <w:rFonts w:ascii="Arial" w:eastAsia="Times New Roman" w:hAnsi="Arial" w:cs="Arial"/>
          <w:sz w:val="24"/>
          <w:szCs w:val="24"/>
        </w:rPr>
        <w:t>, con fundamento en los artículos 172 fracción I y 173 fracciones I y II, de la Ley de Procedimiento y Justicia Administrativa para el Estado de Oaxaca,</w:t>
      </w:r>
      <w:r w:rsidRPr="00512412">
        <w:rPr>
          <w:rFonts w:ascii="Arial" w:eastAsia="Times New Roman" w:hAnsi="Arial" w:cs="Arial"/>
          <w:b/>
          <w:iCs/>
          <w:sz w:val="24"/>
          <w:szCs w:val="24"/>
        </w:rPr>
        <w:t xml:space="preserve"> - CÚMPLASE</w:t>
      </w:r>
      <w:r w:rsidRPr="00512412">
        <w:rPr>
          <w:rFonts w:ascii="Arial" w:eastAsia="Times New Roman" w:hAnsi="Arial" w:cs="Arial"/>
          <w:sz w:val="24"/>
          <w:szCs w:val="24"/>
        </w:rPr>
        <w:t xml:space="preserve">. </w:t>
      </w:r>
    </w:p>
    <w:p w14:paraId="3B0CE970" w14:textId="77777777" w:rsidR="002B375F" w:rsidRPr="00512412" w:rsidRDefault="002B375F" w:rsidP="002B375F">
      <w:pPr>
        <w:spacing w:after="0" w:line="360" w:lineRule="auto"/>
        <w:ind w:right="49" w:firstLine="567"/>
        <w:jc w:val="both"/>
        <w:rPr>
          <w:rFonts w:ascii="Arial" w:eastAsia="Times New Roman" w:hAnsi="Arial" w:cs="Arial"/>
          <w:b/>
          <w:sz w:val="24"/>
          <w:szCs w:val="24"/>
        </w:rPr>
      </w:pPr>
    </w:p>
    <w:p w14:paraId="7964499F" w14:textId="77777777" w:rsidR="002B375F" w:rsidRPr="00512412" w:rsidRDefault="002B375F" w:rsidP="002B375F">
      <w:pPr>
        <w:spacing w:after="0" w:line="360" w:lineRule="auto"/>
        <w:ind w:right="49" w:firstLine="567"/>
        <w:jc w:val="both"/>
        <w:rPr>
          <w:rFonts w:ascii="Arial" w:eastAsia="Times New Roman" w:hAnsi="Arial" w:cs="Arial"/>
          <w:b/>
          <w:sz w:val="24"/>
          <w:szCs w:val="24"/>
          <w:lang w:val="es-ES"/>
        </w:rPr>
      </w:pPr>
      <w:r w:rsidRPr="00512412">
        <w:rPr>
          <w:rFonts w:ascii="Arial" w:eastAsia="Times New Roman" w:hAnsi="Arial" w:cs="Arial"/>
          <w:sz w:val="24"/>
          <w:szCs w:val="24"/>
        </w:rPr>
        <w:t xml:space="preserve">Así lo resolvió y firmó el Titular de la Primera Sala Unitaria de Primera Instancia del Tribunal de Justicia Administrativa del Estado de Oaxaca, Magistrado Abraham Santiago Soriano, quien actúa con el Licenciado Christian Mauricio Morales </w:t>
      </w:r>
      <w:proofErr w:type="spellStart"/>
      <w:r w:rsidRPr="00512412">
        <w:rPr>
          <w:rFonts w:ascii="Arial" w:eastAsia="Times New Roman" w:hAnsi="Arial" w:cs="Arial"/>
          <w:sz w:val="24"/>
          <w:szCs w:val="24"/>
        </w:rPr>
        <w:t>Morales</w:t>
      </w:r>
      <w:proofErr w:type="spellEnd"/>
      <w:r w:rsidRPr="00512412">
        <w:rPr>
          <w:rFonts w:ascii="Arial" w:eastAsia="Times New Roman" w:hAnsi="Arial" w:cs="Arial"/>
          <w:sz w:val="24"/>
          <w:szCs w:val="24"/>
        </w:rPr>
        <w:t>, Secretario de Acuerdos, que autoriza y da fe.</w:t>
      </w:r>
    </w:p>
    <w:sectPr w:rsidR="002B375F" w:rsidRPr="00512412" w:rsidSect="0024672A">
      <w:headerReference w:type="even" r:id="rId8"/>
      <w:headerReference w:type="default" r:id="rId9"/>
      <w:footerReference w:type="default" r:id="rId10"/>
      <w:headerReference w:type="first" r:id="rId11"/>
      <w:pgSz w:w="12240" w:h="20160" w:code="5"/>
      <w:pgMar w:top="567" w:right="1134" w:bottom="1985"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38771" w14:textId="77777777" w:rsidR="00B27136" w:rsidRDefault="00B27136">
      <w:pPr>
        <w:spacing w:after="0" w:line="240" w:lineRule="auto"/>
      </w:pPr>
      <w:r>
        <w:separator/>
      </w:r>
    </w:p>
  </w:endnote>
  <w:endnote w:type="continuationSeparator" w:id="0">
    <w:p w14:paraId="7EF6D977" w14:textId="77777777" w:rsidR="00B27136" w:rsidRDefault="00B271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entury Schoolbook">
    <w:altName w:val="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5C3EF4E" w:rsidR="00A360DF" w:rsidRDefault="00A360DF">
    <w:pPr>
      <w:pStyle w:val="Piedepgina"/>
      <w:jc w:val="center"/>
    </w:pPr>
  </w:p>
  <w:p w14:paraId="195FF414" w14:textId="77777777" w:rsidR="00A360DF" w:rsidRDefault="00A360D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0065B0B" w14:textId="77777777" w:rsidR="00B27136" w:rsidRDefault="00B27136">
      <w:pPr>
        <w:spacing w:after="0" w:line="240" w:lineRule="auto"/>
      </w:pPr>
      <w:r>
        <w:separator/>
      </w:r>
    </w:p>
  </w:footnote>
  <w:footnote w:type="continuationSeparator" w:id="0">
    <w:p w14:paraId="298FD476" w14:textId="77777777" w:rsidR="00B27136" w:rsidRDefault="00B27136">
      <w:pPr>
        <w:spacing w:after="0" w:line="240" w:lineRule="auto"/>
      </w:pPr>
      <w:r>
        <w:continuationSeparator/>
      </w:r>
    </w:p>
  </w:footnote>
  <w:footnote w:id="1">
    <w:p w14:paraId="4AA2A171"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Pr>
          <w:rStyle w:val="Refdenotaalpie"/>
        </w:rPr>
        <w:footnoteRef/>
      </w:r>
      <w:r>
        <w:t xml:space="preserve"> </w:t>
      </w:r>
      <w:r w:rsidRPr="00B66772">
        <w:rPr>
          <w:sz w:val="16"/>
          <w:szCs w:val="16"/>
        </w:rPr>
        <w:t>“</w:t>
      </w:r>
      <w:r w:rsidRPr="005B4F51">
        <w:rPr>
          <w:rFonts w:ascii="Arial" w:hAnsi="Arial" w:cs="Arial"/>
          <w:b/>
          <w:bCs/>
          <w:color w:val="000000"/>
          <w:sz w:val="16"/>
          <w:szCs w:val="16"/>
        </w:rPr>
        <w:t xml:space="preserve">ARTÍCULO 150.- </w:t>
      </w:r>
      <w:r w:rsidRPr="005B4F51">
        <w:rPr>
          <w:rFonts w:ascii="Arial" w:hAnsi="Arial" w:cs="Arial"/>
          <w:color w:val="000000"/>
          <w:sz w:val="16"/>
          <w:szCs w:val="16"/>
        </w:rPr>
        <w:t>La personalidad o legitimación de las partes, deberá ser analizada de oficio por las Salas.</w:t>
      </w:r>
      <w:r>
        <w:rPr>
          <w:rFonts w:ascii="Arial" w:hAnsi="Arial" w:cs="Arial"/>
          <w:color w:val="000000"/>
          <w:sz w:val="16"/>
          <w:szCs w:val="16"/>
        </w:rPr>
        <w:t>”</w:t>
      </w:r>
    </w:p>
    <w:p w14:paraId="5C1846A3" w14:textId="77777777" w:rsidR="0085386F" w:rsidRPr="005B4F51" w:rsidRDefault="0085386F" w:rsidP="0085386F">
      <w:pPr>
        <w:autoSpaceDE w:val="0"/>
        <w:autoSpaceDN w:val="0"/>
        <w:adjustRightInd w:val="0"/>
        <w:spacing w:after="0" w:line="240" w:lineRule="auto"/>
        <w:jc w:val="both"/>
        <w:rPr>
          <w:rFonts w:ascii="Arial" w:hAnsi="Arial" w:cs="Arial"/>
          <w:color w:val="000000"/>
        </w:rPr>
      </w:pPr>
    </w:p>
  </w:footnote>
  <w:footnote w:id="2">
    <w:p w14:paraId="2A5ACC35" w14:textId="77777777" w:rsidR="0085386F" w:rsidRDefault="0085386F" w:rsidP="0085386F">
      <w:pPr>
        <w:autoSpaceDE w:val="0"/>
        <w:autoSpaceDN w:val="0"/>
        <w:adjustRightInd w:val="0"/>
        <w:spacing w:after="0" w:line="240" w:lineRule="auto"/>
        <w:jc w:val="both"/>
        <w:rPr>
          <w:rFonts w:ascii="Arial" w:hAnsi="Arial" w:cs="Arial"/>
          <w:color w:val="000000"/>
          <w:sz w:val="16"/>
          <w:szCs w:val="16"/>
        </w:rPr>
      </w:pPr>
      <w:r w:rsidRPr="005B4F51">
        <w:rPr>
          <w:rStyle w:val="Refdenotaalpie"/>
          <w:rFonts w:ascii="Arial" w:hAnsi="Arial" w:cs="Arial"/>
          <w:sz w:val="16"/>
          <w:szCs w:val="16"/>
        </w:rPr>
        <w:footnoteRef/>
      </w:r>
      <w:r w:rsidRPr="005B4F51">
        <w:rPr>
          <w:rFonts w:ascii="Arial" w:hAnsi="Arial" w:cs="Arial"/>
          <w:sz w:val="16"/>
          <w:szCs w:val="16"/>
        </w:rPr>
        <w:t xml:space="preserve"> </w:t>
      </w:r>
      <w:r>
        <w:rPr>
          <w:rFonts w:ascii="Arial" w:hAnsi="Arial" w:cs="Arial"/>
          <w:sz w:val="16"/>
          <w:szCs w:val="16"/>
        </w:rPr>
        <w:t>“</w:t>
      </w:r>
      <w:r w:rsidRPr="005B4F51">
        <w:rPr>
          <w:rFonts w:ascii="Arial" w:hAnsi="Arial" w:cs="Arial"/>
          <w:b/>
          <w:bCs/>
          <w:color w:val="000000"/>
          <w:sz w:val="16"/>
          <w:szCs w:val="16"/>
        </w:rPr>
        <w:t xml:space="preserve">ARTÍCULO 151.- </w:t>
      </w:r>
      <w:r w:rsidRPr="005B4F51">
        <w:rPr>
          <w:rFonts w:ascii="Arial" w:hAnsi="Arial" w:cs="Arial"/>
          <w:color w:val="000000"/>
          <w:sz w:val="16"/>
          <w:szCs w:val="16"/>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r>
        <w:rPr>
          <w:rFonts w:ascii="Arial" w:hAnsi="Arial" w:cs="Arial"/>
          <w:color w:val="000000"/>
          <w:sz w:val="16"/>
          <w:szCs w:val="16"/>
        </w:rPr>
        <w:t>”</w:t>
      </w:r>
    </w:p>
    <w:p w14:paraId="7858E3CB" w14:textId="77777777" w:rsidR="0085386F" w:rsidRPr="005B4F51" w:rsidRDefault="0085386F" w:rsidP="0085386F">
      <w:pPr>
        <w:autoSpaceDE w:val="0"/>
        <w:autoSpaceDN w:val="0"/>
        <w:adjustRightInd w:val="0"/>
        <w:spacing w:after="0" w:line="240" w:lineRule="auto"/>
        <w:rPr>
          <w:rFonts w:ascii="Arial" w:hAnsi="Arial" w:cs="Arial"/>
          <w:color w:val="000000"/>
          <w:sz w:val="16"/>
          <w:szCs w:val="16"/>
        </w:rPr>
      </w:pPr>
    </w:p>
  </w:footnote>
  <w:footnote w:id="3">
    <w:p w14:paraId="67FAF33D" w14:textId="77777777" w:rsidR="00D83CC1" w:rsidRDefault="00D83CC1" w:rsidP="00D83CC1">
      <w:pPr>
        <w:widowControl w:val="0"/>
        <w:autoSpaceDE w:val="0"/>
        <w:autoSpaceDN w:val="0"/>
        <w:adjustRightInd w:val="0"/>
        <w:spacing w:line="360" w:lineRule="auto"/>
        <w:ind w:right="-234"/>
        <w:jc w:val="both"/>
        <w:rPr>
          <w:rFonts w:ascii="Arial" w:hAnsi="Arial" w:cs="Arial"/>
          <w:sz w:val="16"/>
          <w:szCs w:val="16"/>
        </w:rPr>
      </w:pPr>
      <w:r w:rsidRPr="000F129A">
        <w:rPr>
          <w:rStyle w:val="Refdenotaalpie"/>
          <w:rFonts w:ascii="Arial" w:hAnsi="Arial" w:cs="Arial"/>
          <w:sz w:val="16"/>
          <w:szCs w:val="16"/>
        </w:rPr>
        <w:footnoteRef/>
      </w:r>
      <w:r w:rsidRPr="000F129A">
        <w:rPr>
          <w:rFonts w:ascii="Arial" w:hAnsi="Arial" w:cs="Arial"/>
          <w:sz w:val="16"/>
          <w:szCs w:val="16"/>
        </w:rPr>
        <w:t xml:space="preserve"> </w:t>
      </w:r>
      <w:r>
        <w:rPr>
          <w:rFonts w:ascii="Arial" w:hAnsi="Arial" w:cs="Arial"/>
          <w:sz w:val="16"/>
          <w:szCs w:val="16"/>
        </w:rPr>
        <w:t>“</w:t>
      </w:r>
      <w:r w:rsidRPr="000F129A">
        <w:rPr>
          <w:rFonts w:ascii="Arial" w:hAnsi="Arial" w:cs="Arial"/>
          <w:b/>
          <w:bCs/>
          <w:color w:val="000000"/>
          <w:spacing w:val="-6"/>
          <w:sz w:val="16"/>
          <w:szCs w:val="16"/>
        </w:rPr>
        <w:t>A</w:t>
      </w:r>
      <w:r w:rsidRPr="000F129A">
        <w:rPr>
          <w:rFonts w:ascii="Arial" w:hAnsi="Arial" w:cs="Arial"/>
          <w:b/>
          <w:bCs/>
          <w:color w:val="000000"/>
          <w:spacing w:val="1"/>
          <w:sz w:val="16"/>
          <w:szCs w:val="16"/>
        </w:rPr>
        <w:t>R</w:t>
      </w:r>
      <w:r w:rsidRPr="000F129A">
        <w:rPr>
          <w:rFonts w:ascii="Arial" w:hAnsi="Arial" w:cs="Arial"/>
          <w:b/>
          <w:bCs/>
          <w:color w:val="000000"/>
          <w:sz w:val="16"/>
          <w:szCs w:val="16"/>
        </w:rPr>
        <w:t>TÍCULO</w:t>
      </w:r>
      <w:r w:rsidRPr="000F129A">
        <w:rPr>
          <w:rFonts w:ascii="Arial" w:hAnsi="Arial" w:cs="Arial"/>
          <w:b/>
          <w:bCs/>
          <w:color w:val="000000"/>
          <w:spacing w:val="2"/>
          <w:sz w:val="16"/>
          <w:szCs w:val="16"/>
        </w:rPr>
        <w:t xml:space="preserve"> </w:t>
      </w:r>
      <w:r>
        <w:rPr>
          <w:rFonts w:ascii="Arial" w:hAnsi="Arial" w:cs="Arial"/>
          <w:b/>
          <w:bCs/>
          <w:color w:val="000000"/>
          <w:sz w:val="16"/>
          <w:szCs w:val="16"/>
        </w:rPr>
        <w:t>203</w:t>
      </w:r>
      <w:r w:rsidRPr="000F129A">
        <w:rPr>
          <w:rFonts w:ascii="Arial" w:hAnsi="Arial" w:cs="Arial"/>
          <w:b/>
          <w:bCs/>
          <w:color w:val="000000"/>
          <w:spacing w:val="1"/>
          <w:sz w:val="16"/>
          <w:szCs w:val="16"/>
        </w:rPr>
        <w:t>.</w:t>
      </w:r>
      <w:r w:rsidRPr="000F129A">
        <w:rPr>
          <w:rFonts w:ascii="Arial" w:hAnsi="Arial" w:cs="Arial"/>
          <w:b/>
          <w:bCs/>
          <w:color w:val="000000"/>
          <w:sz w:val="16"/>
          <w:szCs w:val="16"/>
        </w:rPr>
        <w:t xml:space="preserve">- </w:t>
      </w:r>
      <w:r w:rsidRPr="000F129A">
        <w:rPr>
          <w:rFonts w:ascii="Arial" w:hAnsi="Arial" w:cs="Arial"/>
          <w:color w:val="000000"/>
          <w:sz w:val="16"/>
          <w:szCs w:val="16"/>
        </w:rPr>
        <w:t>La</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a</w:t>
      </w:r>
      <w:r w:rsidRPr="000F129A">
        <w:rPr>
          <w:rFonts w:ascii="Arial" w:hAnsi="Arial" w:cs="Arial"/>
          <w:color w:val="000000"/>
          <w:spacing w:val="-1"/>
          <w:sz w:val="16"/>
          <w:szCs w:val="16"/>
        </w:rPr>
        <w:t>l</w:t>
      </w:r>
      <w:r w:rsidRPr="000F129A">
        <w:rPr>
          <w:rFonts w:ascii="Arial" w:hAnsi="Arial" w:cs="Arial"/>
          <w:color w:val="000000"/>
          <w:sz w:val="16"/>
          <w:szCs w:val="16"/>
        </w:rPr>
        <w:t>orac</w:t>
      </w:r>
      <w:r w:rsidRPr="000F129A">
        <w:rPr>
          <w:rFonts w:ascii="Arial" w:hAnsi="Arial" w:cs="Arial"/>
          <w:color w:val="000000"/>
          <w:spacing w:val="-1"/>
          <w:sz w:val="16"/>
          <w:szCs w:val="16"/>
        </w:rPr>
        <w:t>i</w:t>
      </w:r>
      <w:r w:rsidRPr="000F129A">
        <w:rPr>
          <w:rFonts w:ascii="Arial" w:hAnsi="Arial" w:cs="Arial"/>
          <w:color w:val="000000"/>
          <w:sz w:val="16"/>
          <w:szCs w:val="16"/>
        </w:rPr>
        <w:t>ón</w:t>
      </w:r>
      <w:r w:rsidRPr="000F129A">
        <w:rPr>
          <w:rFonts w:ascii="Arial" w:hAnsi="Arial" w:cs="Arial"/>
          <w:color w:val="000000"/>
          <w:spacing w:val="1"/>
          <w:sz w:val="16"/>
          <w:szCs w:val="16"/>
        </w:rPr>
        <w:t xml:space="preserve"> </w:t>
      </w:r>
      <w:r w:rsidRPr="000F129A">
        <w:rPr>
          <w:rFonts w:ascii="Arial" w:hAnsi="Arial" w:cs="Arial"/>
          <w:color w:val="000000"/>
          <w:sz w:val="16"/>
          <w:szCs w:val="16"/>
        </w:rPr>
        <w:t>de</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color w:val="000000"/>
          <w:spacing w:val="-2"/>
          <w:sz w:val="16"/>
          <w:szCs w:val="16"/>
        </w:rPr>
        <w:t xml:space="preserve"> </w:t>
      </w:r>
      <w:r w:rsidRPr="000F129A">
        <w:rPr>
          <w:rFonts w:ascii="Arial" w:hAnsi="Arial" w:cs="Arial"/>
          <w:color w:val="000000"/>
          <w:sz w:val="16"/>
          <w:szCs w:val="16"/>
        </w:rPr>
        <w:t>prueb</w:t>
      </w:r>
      <w:r w:rsidRPr="000F129A">
        <w:rPr>
          <w:rFonts w:ascii="Arial" w:hAnsi="Arial" w:cs="Arial"/>
          <w:color w:val="000000"/>
          <w:spacing w:val="-1"/>
          <w:sz w:val="16"/>
          <w:szCs w:val="16"/>
        </w:rPr>
        <w:t>a</w:t>
      </w:r>
      <w:r w:rsidRPr="000F129A">
        <w:rPr>
          <w:rFonts w:ascii="Arial" w:hAnsi="Arial" w:cs="Arial"/>
          <w:color w:val="000000"/>
          <w:sz w:val="16"/>
          <w:szCs w:val="16"/>
        </w:rPr>
        <w:t>s</w:t>
      </w:r>
      <w:r w:rsidRPr="000F129A">
        <w:rPr>
          <w:rFonts w:ascii="Arial" w:hAnsi="Arial" w:cs="Arial"/>
          <w:color w:val="000000"/>
          <w:spacing w:val="-1"/>
          <w:sz w:val="16"/>
          <w:szCs w:val="16"/>
        </w:rPr>
        <w:t xml:space="preserve"> </w:t>
      </w:r>
      <w:r w:rsidRPr="000F129A">
        <w:rPr>
          <w:rFonts w:ascii="Arial" w:hAnsi="Arial" w:cs="Arial"/>
          <w:color w:val="000000"/>
          <w:spacing w:val="-2"/>
          <w:sz w:val="16"/>
          <w:szCs w:val="16"/>
        </w:rPr>
        <w:t>s</w:t>
      </w:r>
      <w:r w:rsidRPr="000F129A">
        <w:rPr>
          <w:rFonts w:ascii="Arial" w:hAnsi="Arial" w:cs="Arial"/>
          <w:color w:val="000000"/>
          <w:sz w:val="16"/>
          <w:szCs w:val="16"/>
        </w:rPr>
        <w:t>e ha</w:t>
      </w:r>
      <w:r w:rsidRPr="000F129A">
        <w:rPr>
          <w:rFonts w:ascii="Arial" w:hAnsi="Arial" w:cs="Arial"/>
          <w:color w:val="000000"/>
          <w:spacing w:val="1"/>
          <w:sz w:val="16"/>
          <w:szCs w:val="16"/>
        </w:rPr>
        <w:t>r</w:t>
      </w:r>
      <w:r w:rsidRPr="000F129A">
        <w:rPr>
          <w:rFonts w:ascii="Arial" w:hAnsi="Arial" w:cs="Arial"/>
          <w:color w:val="000000"/>
          <w:sz w:val="16"/>
          <w:szCs w:val="16"/>
        </w:rPr>
        <w:t>á  de</w:t>
      </w:r>
      <w:r w:rsidRPr="000F129A">
        <w:rPr>
          <w:rFonts w:ascii="Arial" w:hAnsi="Arial" w:cs="Arial"/>
          <w:color w:val="000000"/>
          <w:spacing w:val="-2"/>
          <w:sz w:val="16"/>
          <w:szCs w:val="16"/>
        </w:rPr>
        <w:t xml:space="preserve"> </w:t>
      </w:r>
      <w:r w:rsidRPr="000F129A">
        <w:rPr>
          <w:rFonts w:ascii="Arial" w:hAnsi="Arial" w:cs="Arial"/>
          <w:color w:val="000000"/>
          <w:sz w:val="16"/>
          <w:szCs w:val="16"/>
        </w:rPr>
        <w:t>ac</w:t>
      </w:r>
      <w:r w:rsidRPr="000F129A">
        <w:rPr>
          <w:rFonts w:ascii="Arial" w:hAnsi="Arial" w:cs="Arial"/>
          <w:color w:val="000000"/>
          <w:spacing w:val="-1"/>
          <w:sz w:val="16"/>
          <w:szCs w:val="16"/>
        </w:rPr>
        <w:t>u</w:t>
      </w:r>
      <w:r w:rsidRPr="000F129A">
        <w:rPr>
          <w:rFonts w:ascii="Arial" w:hAnsi="Arial" w:cs="Arial"/>
          <w:color w:val="000000"/>
          <w:sz w:val="16"/>
          <w:szCs w:val="16"/>
        </w:rPr>
        <w:t>erdo</w:t>
      </w:r>
      <w:r w:rsidRPr="000F129A">
        <w:rPr>
          <w:rFonts w:ascii="Arial" w:hAnsi="Arial" w:cs="Arial"/>
          <w:color w:val="000000"/>
          <w:spacing w:val="-1"/>
          <w:sz w:val="16"/>
          <w:szCs w:val="16"/>
        </w:rPr>
        <w:t xml:space="preserve"> </w:t>
      </w:r>
      <w:r w:rsidRPr="000F129A">
        <w:rPr>
          <w:rFonts w:ascii="Arial" w:hAnsi="Arial" w:cs="Arial"/>
          <w:color w:val="000000"/>
          <w:sz w:val="16"/>
          <w:szCs w:val="16"/>
        </w:rPr>
        <w:t>con</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as s</w:t>
      </w:r>
      <w:r w:rsidRPr="000F129A">
        <w:rPr>
          <w:rFonts w:ascii="Arial" w:hAnsi="Arial" w:cs="Arial"/>
          <w:color w:val="000000"/>
          <w:spacing w:val="-3"/>
          <w:sz w:val="16"/>
          <w:szCs w:val="16"/>
        </w:rPr>
        <w:t>i</w:t>
      </w:r>
      <w:r w:rsidRPr="000F129A">
        <w:rPr>
          <w:rFonts w:ascii="Arial" w:hAnsi="Arial" w:cs="Arial"/>
          <w:color w:val="000000"/>
          <w:spacing w:val="2"/>
          <w:sz w:val="16"/>
          <w:szCs w:val="16"/>
        </w:rPr>
        <w:t>g</w:t>
      </w:r>
      <w:r w:rsidRPr="000F129A">
        <w:rPr>
          <w:rFonts w:ascii="Arial" w:hAnsi="Arial" w:cs="Arial"/>
          <w:color w:val="000000"/>
          <w:sz w:val="16"/>
          <w:szCs w:val="16"/>
        </w:rPr>
        <w:t>u</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es</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r</w:t>
      </w:r>
      <w:r w:rsidRPr="000F129A">
        <w:rPr>
          <w:rFonts w:ascii="Arial" w:hAnsi="Arial" w:cs="Arial"/>
          <w:color w:val="000000"/>
          <w:spacing w:val="-3"/>
          <w:sz w:val="16"/>
          <w:szCs w:val="16"/>
        </w:rPr>
        <w:t>e</w:t>
      </w:r>
      <w:r w:rsidRPr="000F129A">
        <w:rPr>
          <w:rFonts w:ascii="Arial" w:hAnsi="Arial" w:cs="Arial"/>
          <w:color w:val="000000"/>
          <w:spacing w:val="2"/>
          <w:sz w:val="16"/>
          <w:szCs w:val="16"/>
        </w:rPr>
        <w:t>g</w:t>
      </w:r>
      <w:r w:rsidRPr="000F129A">
        <w:rPr>
          <w:rFonts w:ascii="Arial" w:hAnsi="Arial" w:cs="Arial"/>
          <w:color w:val="000000"/>
          <w:spacing w:val="-1"/>
          <w:sz w:val="16"/>
          <w:szCs w:val="16"/>
        </w:rPr>
        <w:t>l</w:t>
      </w:r>
      <w:r w:rsidRPr="000F129A">
        <w:rPr>
          <w:rFonts w:ascii="Arial" w:hAnsi="Arial" w:cs="Arial"/>
          <w:color w:val="000000"/>
          <w:sz w:val="16"/>
          <w:szCs w:val="16"/>
        </w:rPr>
        <w:t>as</w:t>
      </w:r>
      <w:r w:rsidRPr="000F129A">
        <w:rPr>
          <w:rFonts w:ascii="Arial" w:hAnsi="Arial" w:cs="Arial"/>
          <w:sz w:val="16"/>
          <w:szCs w:val="16"/>
        </w:rPr>
        <w:t xml:space="preserve">  :  </w:t>
      </w:r>
    </w:p>
    <w:p w14:paraId="21526838" w14:textId="77777777" w:rsidR="00D83CC1" w:rsidRPr="000F129A" w:rsidRDefault="00D83CC1" w:rsidP="00D83CC1">
      <w:pPr>
        <w:widowControl w:val="0"/>
        <w:autoSpaceDE w:val="0"/>
        <w:autoSpaceDN w:val="0"/>
        <w:adjustRightInd w:val="0"/>
        <w:spacing w:line="360" w:lineRule="auto"/>
        <w:ind w:right="-234"/>
        <w:jc w:val="both"/>
        <w:rPr>
          <w:rFonts w:ascii="Arial" w:hAnsi="Arial" w:cs="Arial"/>
          <w:color w:val="000000"/>
          <w:sz w:val="16"/>
          <w:szCs w:val="16"/>
        </w:rPr>
      </w:pPr>
      <w:r w:rsidRPr="000F129A">
        <w:rPr>
          <w:rFonts w:ascii="Arial" w:hAnsi="Arial" w:cs="Arial"/>
          <w:color w:val="000000"/>
          <w:spacing w:val="1"/>
          <w:sz w:val="16"/>
          <w:szCs w:val="16"/>
        </w:rPr>
        <w:t>I</w:t>
      </w:r>
      <w:r w:rsidRPr="000F129A">
        <w:rPr>
          <w:rFonts w:ascii="Arial" w:hAnsi="Arial" w:cs="Arial"/>
          <w:color w:val="000000"/>
          <w:sz w:val="16"/>
          <w:szCs w:val="16"/>
        </w:rPr>
        <w:t xml:space="preserve">.     </w:t>
      </w:r>
      <w:r w:rsidRPr="000F129A">
        <w:rPr>
          <w:rFonts w:ascii="Arial" w:hAnsi="Arial" w:cs="Arial"/>
          <w:color w:val="000000"/>
          <w:spacing w:val="9"/>
          <w:sz w:val="16"/>
          <w:szCs w:val="16"/>
        </w:rPr>
        <w:t xml:space="preserve"> </w:t>
      </w:r>
      <w:r w:rsidRPr="000F129A">
        <w:rPr>
          <w:rFonts w:ascii="Arial" w:hAnsi="Arial" w:cs="Arial"/>
          <w:color w:val="000000"/>
          <w:spacing w:val="-1"/>
          <w:sz w:val="16"/>
          <w:szCs w:val="16"/>
        </w:rPr>
        <w:t>H</w:t>
      </w:r>
      <w:r w:rsidRPr="000F129A">
        <w:rPr>
          <w:rFonts w:ascii="Arial" w:hAnsi="Arial" w:cs="Arial"/>
          <w:color w:val="000000"/>
          <w:sz w:val="16"/>
          <w:szCs w:val="16"/>
        </w:rPr>
        <w:t xml:space="preserve">arán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prueba </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l</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3"/>
          <w:sz w:val="16"/>
          <w:szCs w:val="16"/>
        </w:rPr>
        <w:t>n</w:t>
      </w:r>
      <w:r w:rsidRPr="000F129A">
        <w:rPr>
          <w:rFonts w:ascii="Arial" w:hAnsi="Arial" w:cs="Arial"/>
          <w:color w:val="000000"/>
          <w:spacing w:val="3"/>
          <w:sz w:val="16"/>
          <w:szCs w:val="16"/>
        </w:rPr>
        <w:t>f</w:t>
      </w:r>
      <w:r w:rsidRPr="000F129A">
        <w:rPr>
          <w:rFonts w:ascii="Arial" w:hAnsi="Arial" w:cs="Arial"/>
          <w:color w:val="000000"/>
          <w:sz w:val="16"/>
          <w:szCs w:val="16"/>
        </w:rPr>
        <w:t>es</w:t>
      </w:r>
      <w:r w:rsidRPr="000F129A">
        <w:rPr>
          <w:rFonts w:ascii="Arial" w:hAnsi="Arial" w:cs="Arial"/>
          <w:color w:val="000000"/>
          <w:spacing w:val="-1"/>
          <w:sz w:val="16"/>
          <w:szCs w:val="16"/>
        </w:rPr>
        <w:t>i</w:t>
      </w:r>
      <w:r w:rsidRPr="000F129A">
        <w:rPr>
          <w:rFonts w:ascii="Arial" w:hAnsi="Arial" w:cs="Arial"/>
          <w:color w:val="000000"/>
          <w:sz w:val="16"/>
          <w:szCs w:val="16"/>
        </w:rPr>
        <w:t xml:space="preserve">ón </w:t>
      </w:r>
      <w:r w:rsidRPr="000F129A">
        <w:rPr>
          <w:rFonts w:ascii="Arial" w:hAnsi="Arial" w:cs="Arial"/>
          <w:color w:val="000000"/>
          <w:spacing w:val="1"/>
          <w:sz w:val="16"/>
          <w:szCs w:val="16"/>
        </w:rPr>
        <w:t xml:space="preserve"> </w:t>
      </w:r>
      <w:r w:rsidRPr="000F129A">
        <w:rPr>
          <w:rFonts w:ascii="Arial" w:hAnsi="Arial" w:cs="Arial"/>
          <w:color w:val="000000"/>
          <w:sz w:val="16"/>
          <w:szCs w:val="16"/>
        </w:rPr>
        <w:t>e</w:t>
      </w:r>
      <w:r w:rsidRPr="000F129A">
        <w:rPr>
          <w:rFonts w:ascii="Arial" w:hAnsi="Arial" w:cs="Arial"/>
          <w:color w:val="000000"/>
          <w:spacing w:val="-3"/>
          <w:sz w:val="16"/>
          <w:szCs w:val="16"/>
        </w:rPr>
        <w:t>x</w:t>
      </w:r>
      <w:r w:rsidRPr="000F129A">
        <w:rPr>
          <w:rFonts w:ascii="Arial" w:hAnsi="Arial" w:cs="Arial"/>
          <w:color w:val="000000"/>
          <w:sz w:val="16"/>
          <w:szCs w:val="16"/>
        </w:rPr>
        <w:t xml:space="preserve">presa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de </w:t>
      </w:r>
      <w:r w:rsidRPr="000F129A">
        <w:rPr>
          <w:rFonts w:ascii="Arial" w:hAnsi="Arial" w:cs="Arial"/>
          <w:color w:val="000000"/>
          <w:spacing w:val="1"/>
          <w:sz w:val="16"/>
          <w:szCs w:val="16"/>
        </w:rPr>
        <w:t xml:space="preserve"> </w:t>
      </w:r>
      <w:r w:rsidRPr="000F129A">
        <w:rPr>
          <w:rFonts w:ascii="Arial" w:hAnsi="Arial" w:cs="Arial"/>
          <w:color w:val="000000"/>
          <w:spacing w:val="-1"/>
          <w:sz w:val="16"/>
          <w:szCs w:val="16"/>
        </w:rPr>
        <w:t>l</w:t>
      </w:r>
      <w:r w:rsidRPr="000F129A">
        <w:rPr>
          <w:rFonts w:ascii="Arial" w:hAnsi="Arial" w:cs="Arial"/>
          <w:color w:val="000000"/>
          <w:sz w:val="16"/>
          <w:szCs w:val="16"/>
        </w:rPr>
        <w:t xml:space="preserve">as </w:t>
      </w:r>
      <w:r w:rsidRPr="000F129A">
        <w:rPr>
          <w:rFonts w:ascii="Arial" w:hAnsi="Arial" w:cs="Arial"/>
          <w:color w:val="000000"/>
          <w:spacing w:val="2"/>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a</w:t>
      </w:r>
      <w:r w:rsidRPr="000F129A">
        <w:rPr>
          <w:rFonts w:ascii="Arial" w:hAnsi="Arial" w:cs="Arial"/>
          <w:color w:val="000000"/>
          <w:spacing w:val="1"/>
          <w:sz w:val="16"/>
          <w:szCs w:val="16"/>
        </w:rPr>
        <w:t>rt</w:t>
      </w:r>
      <w:r w:rsidRPr="000F129A">
        <w:rPr>
          <w:rFonts w:ascii="Arial" w:hAnsi="Arial" w:cs="Arial"/>
          <w:color w:val="000000"/>
          <w:sz w:val="16"/>
          <w:szCs w:val="16"/>
        </w:rPr>
        <w:t xml:space="preserve">es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y  </w:t>
      </w:r>
      <w:r w:rsidRPr="000F129A">
        <w:rPr>
          <w:rFonts w:ascii="Arial" w:hAnsi="Arial" w:cs="Arial"/>
          <w:color w:val="000000"/>
          <w:spacing w:val="-1"/>
          <w:sz w:val="16"/>
          <w:szCs w:val="16"/>
        </w:rPr>
        <w:t>l</w:t>
      </w:r>
      <w:r w:rsidRPr="000F129A">
        <w:rPr>
          <w:rFonts w:ascii="Arial" w:hAnsi="Arial" w:cs="Arial"/>
          <w:color w:val="000000"/>
          <w:sz w:val="16"/>
          <w:szCs w:val="16"/>
        </w:rPr>
        <w:t xml:space="preserve">os </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actos </w:t>
      </w:r>
      <w:r w:rsidRPr="000F129A">
        <w:rPr>
          <w:rFonts w:ascii="Arial" w:hAnsi="Arial" w:cs="Arial"/>
          <w:color w:val="000000"/>
          <w:spacing w:val="2"/>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z w:val="16"/>
          <w:szCs w:val="16"/>
        </w:rPr>
        <w:t>e</w:t>
      </w:r>
      <w:r w:rsidRPr="000F129A">
        <w:rPr>
          <w:rFonts w:ascii="Arial" w:hAnsi="Arial" w:cs="Arial"/>
          <w:color w:val="000000"/>
          <w:spacing w:val="-1"/>
          <w:sz w:val="16"/>
          <w:szCs w:val="16"/>
        </w:rPr>
        <w:t>ni</w:t>
      </w:r>
      <w:r w:rsidRPr="000F129A">
        <w:rPr>
          <w:rFonts w:ascii="Arial" w:hAnsi="Arial" w:cs="Arial"/>
          <w:color w:val="000000"/>
          <w:sz w:val="16"/>
          <w:szCs w:val="16"/>
        </w:rPr>
        <w:t>d</w:t>
      </w:r>
      <w:r w:rsidRPr="000F129A">
        <w:rPr>
          <w:rFonts w:ascii="Arial" w:hAnsi="Arial" w:cs="Arial"/>
          <w:color w:val="000000"/>
          <w:spacing w:val="-1"/>
          <w:sz w:val="16"/>
          <w:szCs w:val="16"/>
        </w:rPr>
        <w:t>o</w:t>
      </w:r>
      <w:r w:rsidRPr="000F129A">
        <w:rPr>
          <w:rFonts w:ascii="Arial" w:hAnsi="Arial" w:cs="Arial"/>
          <w:color w:val="000000"/>
          <w:sz w:val="16"/>
          <w:szCs w:val="16"/>
        </w:rPr>
        <w:t xml:space="preserve">s </w:t>
      </w:r>
      <w:r w:rsidRPr="000F129A">
        <w:rPr>
          <w:rFonts w:ascii="Arial" w:hAnsi="Arial" w:cs="Arial"/>
          <w:color w:val="000000"/>
          <w:spacing w:val="2"/>
          <w:sz w:val="16"/>
          <w:szCs w:val="16"/>
        </w:rPr>
        <w:t xml:space="preserve"> </w:t>
      </w:r>
      <w:r w:rsidRPr="000F129A">
        <w:rPr>
          <w:rFonts w:ascii="Arial" w:hAnsi="Arial" w:cs="Arial"/>
          <w:color w:val="000000"/>
          <w:spacing w:val="-3"/>
          <w:sz w:val="16"/>
          <w:szCs w:val="16"/>
        </w:rPr>
        <w:t>e</w:t>
      </w:r>
      <w:r w:rsidRPr="000F129A">
        <w:rPr>
          <w:rFonts w:ascii="Arial" w:hAnsi="Arial" w:cs="Arial"/>
          <w:color w:val="000000"/>
          <w:sz w:val="16"/>
          <w:szCs w:val="16"/>
        </w:rPr>
        <w:t>n d</w:t>
      </w:r>
      <w:r w:rsidRPr="000F129A">
        <w:rPr>
          <w:rFonts w:ascii="Arial" w:hAnsi="Arial" w:cs="Arial"/>
          <w:color w:val="000000"/>
          <w:spacing w:val="-1"/>
          <w:sz w:val="16"/>
          <w:szCs w:val="16"/>
        </w:rPr>
        <w:t>o</w:t>
      </w:r>
      <w:r w:rsidRPr="000F129A">
        <w:rPr>
          <w:rFonts w:ascii="Arial" w:hAnsi="Arial" w:cs="Arial"/>
          <w:color w:val="000000"/>
          <w:sz w:val="16"/>
          <w:szCs w:val="16"/>
        </w:rPr>
        <w:t>cumen</w:t>
      </w:r>
      <w:r w:rsidRPr="000F129A">
        <w:rPr>
          <w:rFonts w:ascii="Arial" w:hAnsi="Arial" w:cs="Arial"/>
          <w:color w:val="000000"/>
          <w:spacing w:val="1"/>
          <w:sz w:val="16"/>
          <w:szCs w:val="16"/>
        </w:rPr>
        <w:t>t</w:t>
      </w:r>
      <w:r w:rsidRPr="000F129A">
        <w:rPr>
          <w:rFonts w:ascii="Arial" w:hAnsi="Arial" w:cs="Arial"/>
          <w:color w:val="000000"/>
          <w:spacing w:val="-3"/>
          <w:sz w:val="16"/>
          <w:szCs w:val="16"/>
        </w:rPr>
        <w:t>o</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p</w:t>
      </w:r>
      <w:r w:rsidRPr="000F129A">
        <w:rPr>
          <w:rFonts w:ascii="Arial" w:hAnsi="Arial" w:cs="Arial"/>
          <w:color w:val="000000"/>
          <w:spacing w:val="-1"/>
          <w:sz w:val="16"/>
          <w:szCs w:val="16"/>
        </w:rPr>
        <w:t>ú</w:t>
      </w:r>
      <w:r w:rsidRPr="000F129A">
        <w:rPr>
          <w:rFonts w:ascii="Arial" w:hAnsi="Arial" w:cs="Arial"/>
          <w:color w:val="000000"/>
          <w:sz w:val="16"/>
          <w:szCs w:val="16"/>
        </w:rPr>
        <w:t>b</w:t>
      </w:r>
      <w:r w:rsidRPr="000F129A">
        <w:rPr>
          <w:rFonts w:ascii="Arial" w:hAnsi="Arial" w:cs="Arial"/>
          <w:color w:val="000000"/>
          <w:spacing w:val="-1"/>
          <w:sz w:val="16"/>
          <w:szCs w:val="16"/>
        </w:rPr>
        <w:t>li</w:t>
      </w:r>
      <w:r w:rsidRPr="000F129A">
        <w:rPr>
          <w:rFonts w:ascii="Arial" w:hAnsi="Arial" w:cs="Arial"/>
          <w:color w:val="000000"/>
          <w:sz w:val="16"/>
          <w:szCs w:val="16"/>
        </w:rPr>
        <w:t>cos,</w:t>
      </w:r>
      <w:r w:rsidRPr="000F129A">
        <w:rPr>
          <w:rFonts w:ascii="Arial" w:hAnsi="Arial" w:cs="Arial"/>
          <w:color w:val="000000"/>
          <w:spacing w:val="4"/>
          <w:sz w:val="16"/>
          <w:szCs w:val="16"/>
        </w:rPr>
        <w:t xml:space="preserve"> </w:t>
      </w:r>
      <w:r w:rsidRPr="000F129A">
        <w:rPr>
          <w:rFonts w:ascii="Arial" w:hAnsi="Arial" w:cs="Arial"/>
          <w:color w:val="000000"/>
          <w:sz w:val="16"/>
          <w:szCs w:val="16"/>
        </w:rPr>
        <w:t>si</w:t>
      </w:r>
      <w:r w:rsidRPr="000F129A">
        <w:rPr>
          <w:rFonts w:ascii="Arial" w:hAnsi="Arial" w:cs="Arial"/>
          <w:color w:val="000000"/>
          <w:spacing w:val="4"/>
          <w:sz w:val="16"/>
          <w:szCs w:val="16"/>
        </w:rPr>
        <w:t xml:space="preserve"> </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éstos</w:t>
      </w:r>
      <w:r w:rsidRPr="000F129A">
        <w:rPr>
          <w:rFonts w:ascii="Arial" w:hAnsi="Arial" w:cs="Arial"/>
          <w:color w:val="000000"/>
          <w:spacing w:val="3"/>
          <w:sz w:val="16"/>
          <w:szCs w:val="16"/>
        </w:rPr>
        <w:t xml:space="preserve"> </w:t>
      </w:r>
      <w:r w:rsidRPr="000F129A">
        <w:rPr>
          <w:rFonts w:ascii="Arial" w:hAnsi="Arial" w:cs="Arial"/>
          <w:color w:val="000000"/>
          <w:sz w:val="16"/>
          <w:szCs w:val="16"/>
        </w:rPr>
        <w:t>ú</w:t>
      </w:r>
      <w:r w:rsidRPr="000F129A">
        <w:rPr>
          <w:rFonts w:ascii="Arial" w:hAnsi="Arial" w:cs="Arial"/>
          <w:color w:val="000000"/>
          <w:spacing w:val="-1"/>
          <w:sz w:val="16"/>
          <w:szCs w:val="16"/>
        </w:rPr>
        <w:t>l</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pacing w:val="1"/>
          <w:sz w:val="16"/>
          <w:szCs w:val="16"/>
        </w:rPr>
        <w:t>m</w:t>
      </w:r>
      <w:r w:rsidRPr="000F129A">
        <w:rPr>
          <w:rFonts w:ascii="Arial" w:hAnsi="Arial" w:cs="Arial"/>
          <w:color w:val="000000"/>
          <w:sz w:val="16"/>
          <w:szCs w:val="16"/>
        </w:rPr>
        <w:t>os se</w:t>
      </w:r>
      <w:r w:rsidRPr="000F129A">
        <w:rPr>
          <w:rFonts w:ascii="Arial" w:hAnsi="Arial" w:cs="Arial"/>
          <w:color w:val="000000"/>
          <w:spacing w:val="5"/>
          <w:sz w:val="16"/>
          <w:szCs w:val="16"/>
        </w:rPr>
        <w:t xml:space="preserve"> </w:t>
      </w:r>
      <w:r w:rsidRPr="000F129A">
        <w:rPr>
          <w:rFonts w:ascii="Arial" w:hAnsi="Arial" w:cs="Arial"/>
          <w:color w:val="000000"/>
          <w:sz w:val="16"/>
          <w:szCs w:val="16"/>
        </w:rPr>
        <w:t>co</w:t>
      </w:r>
      <w:r w:rsidRPr="000F129A">
        <w:rPr>
          <w:rFonts w:ascii="Arial" w:hAnsi="Arial" w:cs="Arial"/>
          <w:color w:val="000000"/>
          <w:spacing w:val="-1"/>
          <w:sz w:val="16"/>
          <w:szCs w:val="16"/>
        </w:rPr>
        <w:t>n</w:t>
      </w:r>
      <w:r w:rsidRPr="000F129A">
        <w:rPr>
          <w:rFonts w:ascii="Arial" w:hAnsi="Arial" w:cs="Arial"/>
          <w:color w:val="000000"/>
          <w:spacing w:val="1"/>
          <w:sz w:val="16"/>
          <w:szCs w:val="16"/>
        </w:rPr>
        <w:t>t</w:t>
      </w:r>
      <w:r w:rsidRPr="000F129A">
        <w:rPr>
          <w:rFonts w:ascii="Arial" w:hAnsi="Arial" w:cs="Arial"/>
          <w:color w:val="000000"/>
          <w:spacing w:val="-1"/>
          <w:sz w:val="16"/>
          <w:szCs w:val="16"/>
        </w:rPr>
        <w:t>i</w:t>
      </w:r>
      <w:r w:rsidRPr="000F129A">
        <w:rPr>
          <w:rFonts w:ascii="Arial" w:hAnsi="Arial" w:cs="Arial"/>
          <w:color w:val="000000"/>
          <w:sz w:val="16"/>
          <w:szCs w:val="16"/>
        </w:rPr>
        <w:t>e</w:t>
      </w:r>
      <w:r w:rsidRPr="000F129A">
        <w:rPr>
          <w:rFonts w:ascii="Arial" w:hAnsi="Arial" w:cs="Arial"/>
          <w:color w:val="000000"/>
          <w:spacing w:val="-1"/>
          <w:sz w:val="16"/>
          <w:szCs w:val="16"/>
        </w:rPr>
        <w:t>n</w:t>
      </w:r>
      <w:r w:rsidRPr="000F129A">
        <w:rPr>
          <w:rFonts w:ascii="Arial" w:hAnsi="Arial" w:cs="Arial"/>
          <w:color w:val="000000"/>
          <w:sz w:val="16"/>
          <w:szCs w:val="16"/>
        </w:rPr>
        <w:t>en</w:t>
      </w:r>
      <w:r w:rsidRPr="000F129A">
        <w:rPr>
          <w:rFonts w:ascii="Arial" w:hAnsi="Arial" w:cs="Arial"/>
          <w:color w:val="000000"/>
          <w:spacing w:val="5"/>
          <w:sz w:val="16"/>
          <w:szCs w:val="16"/>
        </w:rPr>
        <w:t xml:space="preserve"> </w:t>
      </w:r>
      <w:r w:rsidRPr="000F129A">
        <w:rPr>
          <w:rFonts w:ascii="Arial" w:hAnsi="Arial" w:cs="Arial"/>
          <w:color w:val="000000"/>
          <w:sz w:val="16"/>
          <w:szCs w:val="16"/>
        </w:rPr>
        <w:t>d</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1"/>
          <w:sz w:val="16"/>
          <w:szCs w:val="16"/>
        </w:rPr>
        <w:t>l</w:t>
      </w:r>
      <w:r w:rsidRPr="000F129A">
        <w:rPr>
          <w:rFonts w:ascii="Arial" w:hAnsi="Arial" w:cs="Arial"/>
          <w:color w:val="000000"/>
          <w:spacing w:val="-3"/>
          <w:sz w:val="16"/>
          <w:szCs w:val="16"/>
        </w:rPr>
        <w:t>a</w:t>
      </w:r>
      <w:r w:rsidRPr="000F129A">
        <w:rPr>
          <w:rFonts w:ascii="Arial" w:hAnsi="Arial" w:cs="Arial"/>
          <w:color w:val="000000"/>
          <w:spacing w:val="1"/>
          <w:sz w:val="16"/>
          <w:szCs w:val="16"/>
        </w:rPr>
        <w:t>r</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pacing w:val="4"/>
          <w:sz w:val="16"/>
          <w:szCs w:val="16"/>
        </w:rPr>
        <w:t>o</w:t>
      </w:r>
      <w:r w:rsidRPr="000F129A">
        <w:rPr>
          <w:rFonts w:ascii="Arial" w:hAnsi="Arial" w:cs="Arial"/>
          <w:color w:val="000000"/>
          <w:sz w:val="16"/>
          <w:szCs w:val="16"/>
        </w:rPr>
        <w:t>n</w:t>
      </w:r>
      <w:r w:rsidRPr="000F129A">
        <w:rPr>
          <w:rFonts w:ascii="Arial" w:hAnsi="Arial" w:cs="Arial"/>
          <w:color w:val="000000"/>
          <w:spacing w:val="-1"/>
          <w:sz w:val="16"/>
          <w:szCs w:val="16"/>
        </w:rPr>
        <w:t>e</w:t>
      </w:r>
      <w:r w:rsidRPr="000F129A">
        <w:rPr>
          <w:rFonts w:ascii="Arial" w:hAnsi="Arial" w:cs="Arial"/>
          <w:color w:val="000000"/>
          <w:sz w:val="16"/>
          <w:szCs w:val="16"/>
        </w:rPr>
        <w:t>s</w:t>
      </w:r>
      <w:r w:rsidRPr="000F129A">
        <w:rPr>
          <w:rFonts w:ascii="Arial" w:hAnsi="Arial" w:cs="Arial"/>
          <w:color w:val="000000"/>
          <w:spacing w:val="5"/>
          <w:sz w:val="16"/>
          <w:szCs w:val="16"/>
        </w:rPr>
        <w:t xml:space="preserve"> </w:t>
      </w:r>
      <w:r w:rsidRPr="000F129A">
        <w:rPr>
          <w:rFonts w:ascii="Arial" w:hAnsi="Arial" w:cs="Arial"/>
          <w:color w:val="000000"/>
          <w:sz w:val="16"/>
          <w:szCs w:val="16"/>
        </w:rPr>
        <w:t>de</w:t>
      </w:r>
      <w:r w:rsidRPr="000F129A">
        <w:rPr>
          <w:rFonts w:ascii="Arial" w:hAnsi="Arial" w:cs="Arial"/>
          <w:color w:val="000000"/>
          <w:spacing w:val="5"/>
          <w:sz w:val="16"/>
          <w:szCs w:val="16"/>
        </w:rPr>
        <w:t xml:space="preserve"> </w:t>
      </w:r>
      <w:r w:rsidRPr="000F129A">
        <w:rPr>
          <w:rFonts w:ascii="Arial" w:hAnsi="Arial" w:cs="Arial"/>
          <w:color w:val="000000"/>
          <w:spacing w:val="-2"/>
          <w:sz w:val="16"/>
          <w:szCs w:val="16"/>
        </w:rPr>
        <w:t>v</w:t>
      </w:r>
      <w:r w:rsidRPr="000F129A">
        <w:rPr>
          <w:rFonts w:ascii="Arial" w:hAnsi="Arial" w:cs="Arial"/>
          <w:color w:val="000000"/>
          <w:sz w:val="16"/>
          <w:szCs w:val="16"/>
        </w:rPr>
        <w:t>erdad</w:t>
      </w:r>
      <w:r w:rsidRPr="000F129A">
        <w:rPr>
          <w:rFonts w:ascii="Arial" w:hAnsi="Arial" w:cs="Arial"/>
          <w:color w:val="000000"/>
          <w:spacing w:val="2"/>
          <w:sz w:val="16"/>
          <w:szCs w:val="16"/>
        </w:rPr>
        <w:t xml:space="preserve"> </w:t>
      </w:r>
      <w:r w:rsidRPr="000F129A">
        <w:rPr>
          <w:rFonts w:ascii="Arial" w:hAnsi="Arial" w:cs="Arial"/>
          <w:color w:val="000000"/>
          <w:sz w:val="16"/>
          <w:szCs w:val="16"/>
        </w:rPr>
        <w:t xml:space="preserve">o </w:t>
      </w:r>
      <w:r w:rsidRPr="000F129A">
        <w:rPr>
          <w:rFonts w:ascii="Arial" w:hAnsi="Arial" w:cs="Arial"/>
          <w:color w:val="000000"/>
          <w:spacing w:val="1"/>
          <w:sz w:val="16"/>
          <w:szCs w:val="16"/>
        </w:rPr>
        <w:t>m</w:t>
      </w:r>
      <w:r w:rsidRPr="000F129A">
        <w:rPr>
          <w:rFonts w:ascii="Arial" w:hAnsi="Arial" w:cs="Arial"/>
          <w:color w:val="000000"/>
          <w:sz w:val="16"/>
          <w:szCs w:val="16"/>
        </w:rPr>
        <w:t>a</w:t>
      </w:r>
      <w:r w:rsidRPr="000F129A">
        <w:rPr>
          <w:rFonts w:ascii="Arial" w:hAnsi="Arial" w:cs="Arial"/>
          <w:color w:val="000000"/>
          <w:spacing w:val="-1"/>
          <w:sz w:val="16"/>
          <w:szCs w:val="16"/>
        </w:rPr>
        <w:t>n</w:t>
      </w:r>
      <w:r w:rsidRPr="000F129A">
        <w:rPr>
          <w:rFonts w:ascii="Arial" w:hAnsi="Arial" w:cs="Arial"/>
          <w:color w:val="000000"/>
          <w:spacing w:val="-3"/>
          <w:sz w:val="16"/>
          <w:szCs w:val="16"/>
        </w:rPr>
        <w:t>i</w:t>
      </w:r>
      <w:r w:rsidRPr="000F129A">
        <w:rPr>
          <w:rFonts w:ascii="Arial" w:hAnsi="Arial" w:cs="Arial"/>
          <w:color w:val="000000"/>
          <w:spacing w:val="3"/>
          <w:sz w:val="16"/>
          <w:szCs w:val="16"/>
        </w:rPr>
        <w:t>f</w:t>
      </w:r>
      <w:r w:rsidRPr="000F129A">
        <w:rPr>
          <w:rFonts w:ascii="Arial" w:hAnsi="Arial" w:cs="Arial"/>
          <w:color w:val="000000"/>
          <w:sz w:val="16"/>
          <w:szCs w:val="16"/>
        </w:rPr>
        <w:t>e</w:t>
      </w:r>
      <w:r w:rsidRPr="000F129A">
        <w:rPr>
          <w:rFonts w:ascii="Arial" w:hAnsi="Arial" w:cs="Arial"/>
          <w:color w:val="000000"/>
          <w:spacing w:val="-3"/>
          <w:sz w:val="16"/>
          <w:szCs w:val="16"/>
        </w:rPr>
        <w:t>s</w:t>
      </w:r>
      <w:r w:rsidRPr="000F129A">
        <w:rPr>
          <w:rFonts w:ascii="Arial" w:hAnsi="Arial" w:cs="Arial"/>
          <w:color w:val="000000"/>
          <w:spacing w:val="1"/>
          <w:sz w:val="16"/>
          <w:szCs w:val="16"/>
        </w:rPr>
        <w:t>t</w:t>
      </w:r>
      <w:r w:rsidRPr="000F129A">
        <w:rPr>
          <w:rFonts w:ascii="Arial" w:hAnsi="Arial" w:cs="Arial"/>
          <w:color w:val="000000"/>
          <w:sz w:val="16"/>
          <w:szCs w:val="16"/>
        </w:rPr>
        <w:t>ac</w:t>
      </w:r>
      <w:r w:rsidRPr="000F129A">
        <w:rPr>
          <w:rFonts w:ascii="Arial" w:hAnsi="Arial" w:cs="Arial"/>
          <w:color w:val="000000"/>
          <w:spacing w:val="-1"/>
          <w:sz w:val="16"/>
          <w:szCs w:val="16"/>
        </w:rPr>
        <w:t>i</w:t>
      </w:r>
      <w:r w:rsidRPr="000F129A">
        <w:rPr>
          <w:rFonts w:ascii="Arial" w:hAnsi="Arial" w:cs="Arial"/>
          <w:color w:val="000000"/>
          <w:sz w:val="16"/>
          <w:szCs w:val="16"/>
        </w:rPr>
        <w:t>o</w:t>
      </w:r>
      <w:r w:rsidRPr="000F129A">
        <w:rPr>
          <w:rFonts w:ascii="Arial" w:hAnsi="Arial" w:cs="Arial"/>
          <w:color w:val="000000"/>
          <w:spacing w:val="-1"/>
          <w:sz w:val="16"/>
          <w:szCs w:val="16"/>
        </w:rPr>
        <w:t>n</w:t>
      </w:r>
      <w:r w:rsidRPr="000F129A">
        <w:rPr>
          <w:rFonts w:ascii="Arial" w:hAnsi="Arial" w:cs="Arial"/>
          <w:color w:val="000000"/>
          <w:sz w:val="16"/>
          <w:szCs w:val="16"/>
        </w:rPr>
        <w:t>es de</w:t>
      </w:r>
      <w:r w:rsidRPr="000F129A">
        <w:rPr>
          <w:rFonts w:ascii="Arial" w:hAnsi="Arial" w:cs="Arial"/>
          <w:color w:val="000000"/>
          <w:spacing w:val="-1"/>
          <w:sz w:val="16"/>
          <w:szCs w:val="16"/>
        </w:rPr>
        <w:t xml:space="preserve"> </w:t>
      </w:r>
      <w:r w:rsidRPr="000F129A">
        <w:rPr>
          <w:rFonts w:ascii="Arial" w:hAnsi="Arial" w:cs="Arial"/>
          <w:color w:val="000000"/>
          <w:sz w:val="16"/>
          <w:szCs w:val="16"/>
        </w:rPr>
        <w:t>h</w:t>
      </w:r>
      <w:r w:rsidRPr="000F129A">
        <w:rPr>
          <w:rFonts w:ascii="Arial" w:hAnsi="Arial" w:cs="Arial"/>
          <w:color w:val="000000"/>
          <w:spacing w:val="-1"/>
          <w:sz w:val="16"/>
          <w:szCs w:val="16"/>
        </w:rPr>
        <w:t>e</w:t>
      </w:r>
      <w:r w:rsidRPr="000F129A">
        <w:rPr>
          <w:rFonts w:ascii="Arial" w:hAnsi="Arial" w:cs="Arial"/>
          <w:color w:val="000000"/>
          <w:sz w:val="16"/>
          <w:szCs w:val="16"/>
        </w:rPr>
        <w:t>c</w:t>
      </w:r>
      <w:r w:rsidRPr="000F129A">
        <w:rPr>
          <w:rFonts w:ascii="Arial" w:hAnsi="Arial" w:cs="Arial"/>
          <w:color w:val="000000"/>
          <w:spacing w:val="-3"/>
          <w:sz w:val="16"/>
          <w:szCs w:val="16"/>
        </w:rPr>
        <w:t>h</w:t>
      </w:r>
      <w:r w:rsidRPr="000F129A">
        <w:rPr>
          <w:rFonts w:ascii="Arial" w:hAnsi="Arial" w:cs="Arial"/>
          <w:color w:val="000000"/>
          <w:sz w:val="16"/>
          <w:szCs w:val="16"/>
        </w:rPr>
        <w:t>os de</w:t>
      </w:r>
      <w:r w:rsidRPr="000F129A">
        <w:rPr>
          <w:rFonts w:ascii="Arial" w:hAnsi="Arial" w:cs="Arial"/>
          <w:color w:val="000000"/>
          <w:spacing w:val="1"/>
          <w:sz w:val="16"/>
          <w:szCs w:val="16"/>
        </w:rPr>
        <w:t xml:space="preserve"> </w:t>
      </w:r>
      <w:r w:rsidRPr="000F129A">
        <w:rPr>
          <w:rFonts w:ascii="Arial" w:hAnsi="Arial" w:cs="Arial"/>
          <w:color w:val="000000"/>
          <w:sz w:val="16"/>
          <w:szCs w:val="16"/>
        </w:rPr>
        <w:t>p</w:t>
      </w:r>
      <w:r w:rsidRPr="000F129A">
        <w:rPr>
          <w:rFonts w:ascii="Arial" w:hAnsi="Arial" w:cs="Arial"/>
          <w:color w:val="000000"/>
          <w:spacing w:val="-3"/>
          <w:sz w:val="16"/>
          <w:szCs w:val="16"/>
        </w:rPr>
        <w:t>a</w:t>
      </w:r>
      <w:r w:rsidRPr="000F129A">
        <w:rPr>
          <w:rFonts w:ascii="Arial" w:hAnsi="Arial" w:cs="Arial"/>
          <w:color w:val="000000"/>
          <w:spacing w:val="1"/>
          <w:sz w:val="16"/>
          <w:szCs w:val="16"/>
        </w:rPr>
        <w:t>rt</w:t>
      </w:r>
      <w:r w:rsidRPr="000F129A">
        <w:rPr>
          <w:rFonts w:ascii="Arial" w:hAnsi="Arial" w:cs="Arial"/>
          <w:color w:val="000000"/>
          <w:spacing w:val="-1"/>
          <w:sz w:val="16"/>
          <w:szCs w:val="16"/>
        </w:rPr>
        <w:t>i</w:t>
      </w:r>
      <w:r w:rsidRPr="000F129A">
        <w:rPr>
          <w:rFonts w:ascii="Arial" w:hAnsi="Arial" w:cs="Arial"/>
          <w:color w:val="000000"/>
          <w:sz w:val="16"/>
          <w:szCs w:val="16"/>
        </w:rPr>
        <w:t>cu</w:t>
      </w:r>
      <w:r w:rsidRPr="000F129A">
        <w:rPr>
          <w:rFonts w:ascii="Arial" w:hAnsi="Arial" w:cs="Arial"/>
          <w:color w:val="000000"/>
          <w:spacing w:val="-1"/>
          <w:sz w:val="16"/>
          <w:szCs w:val="16"/>
        </w:rPr>
        <w:t>l</w:t>
      </w:r>
      <w:r w:rsidRPr="000F129A">
        <w:rPr>
          <w:rFonts w:ascii="Arial" w:hAnsi="Arial" w:cs="Arial"/>
          <w:color w:val="000000"/>
          <w:sz w:val="16"/>
          <w:szCs w:val="16"/>
        </w:rPr>
        <w:t>are</w:t>
      </w:r>
      <w:r w:rsidRPr="000F129A">
        <w:rPr>
          <w:rFonts w:ascii="Arial" w:hAnsi="Arial" w:cs="Arial"/>
          <w:color w:val="000000"/>
          <w:spacing w:val="-2"/>
          <w:sz w:val="16"/>
          <w:szCs w:val="16"/>
        </w:rPr>
        <w:t>s</w:t>
      </w:r>
      <w:r w:rsidRPr="000F129A">
        <w:rPr>
          <w:rFonts w:ascii="Arial" w:hAnsi="Arial" w:cs="Arial"/>
          <w:color w:val="000000"/>
          <w:sz w:val="16"/>
          <w:szCs w:val="16"/>
        </w:rPr>
        <w:t>,</w:t>
      </w:r>
      <w:r w:rsidRPr="000F129A">
        <w:rPr>
          <w:rFonts w:ascii="Arial" w:hAnsi="Arial" w:cs="Arial"/>
          <w:color w:val="000000"/>
          <w:spacing w:val="2"/>
          <w:sz w:val="16"/>
          <w:szCs w:val="16"/>
        </w:rPr>
        <w:t xml:space="preserve"> </w:t>
      </w:r>
      <w:r w:rsidRPr="000F129A">
        <w:rPr>
          <w:rFonts w:ascii="Arial" w:hAnsi="Arial" w:cs="Arial"/>
          <w:color w:val="000000"/>
          <w:sz w:val="16"/>
          <w:szCs w:val="16"/>
        </w:rPr>
        <w:t>y</w:t>
      </w:r>
      <w:r>
        <w:rPr>
          <w:rFonts w:ascii="Arial" w:hAnsi="Arial" w:cs="Arial"/>
          <w:color w:val="000000"/>
          <w:sz w:val="16"/>
          <w:szCs w:val="16"/>
        </w:rPr>
        <w:t xml:space="preserve"> (…)”</w:t>
      </w:r>
    </w:p>
    <w:p w14:paraId="7174E5E3" w14:textId="77777777" w:rsidR="00D83CC1" w:rsidRDefault="00D83CC1" w:rsidP="00D83CC1">
      <w:pPr>
        <w:pStyle w:val="Textonotapie"/>
      </w:pPr>
    </w:p>
  </w:footnote>
  <w:footnote w:id="4">
    <w:p w14:paraId="3DBF711D" w14:textId="56F78420" w:rsidR="00EC3B62" w:rsidRDefault="00EC3B62" w:rsidP="00EC3B62">
      <w:pPr>
        <w:pStyle w:val="temp"/>
        <w:shd w:val="clear" w:color="auto" w:fill="FFFFFF"/>
        <w:spacing w:before="0" w:beforeAutospacing="0" w:after="0" w:afterAutospacing="0"/>
        <w:jc w:val="both"/>
        <w:rPr>
          <w:rFonts w:ascii="Calibri" w:hAnsi="Calibri" w:cs="Calibri"/>
          <w:color w:val="212529"/>
          <w:sz w:val="26"/>
          <w:szCs w:val="26"/>
        </w:rPr>
      </w:pPr>
      <w:r>
        <w:rPr>
          <w:rStyle w:val="Refdenotaalpie"/>
        </w:rPr>
        <w:footnoteRef/>
      </w:r>
      <w:r>
        <w:t xml:space="preserve"> </w:t>
      </w:r>
      <w:r w:rsidRPr="00EC3B62">
        <w:rPr>
          <w:rStyle w:val="bold"/>
          <w:rFonts w:ascii="Arial" w:eastAsia="PMingLiU" w:hAnsi="Arial" w:cs="Arial"/>
          <w:color w:val="212529"/>
          <w:sz w:val="20"/>
          <w:szCs w:val="20"/>
        </w:rPr>
        <w:t>Registro digital: </w:t>
      </w:r>
      <w:r w:rsidRPr="00EC3B62">
        <w:rPr>
          <w:rFonts w:ascii="Arial" w:hAnsi="Arial" w:cs="Arial"/>
          <w:color w:val="212529"/>
          <w:sz w:val="20"/>
          <w:szCs w:val="20"/>
        </w:rPr>
        <w:t xml:space="preserve">2020803, </w:t>
      </w:r>
      <w:r w:rsidRPr="00EC3B62">
        <w:rPr>
          <w:rStyle w:val="bold"/>
          <w:rFonts w:ascii="Arial" w:eastAsia="PMingLiU" w:hAnsi="Arial" w:cs="Arial"/>
          <w:color w:val="212529"/>
          <w:sz w:val="20"/>
          <w:szCs w:val="20"/>
        </w:rPr>
        <w:t>Instancia: </w:t>
      </w:r>
      <w:r w:rsidRPr="00EC3B62">
        <w:rPr>
          <w:rFonts w:ascii="Arial" w:hAnsi="Arial" w:cs="Arial"/>
          <w:color w:val="212529"/>
          <w:sz w:val="20"/>
          <w:szCs w:val="20"/>
        </w:rPr>
        <w:t xml:space="preserve">Tribunales Colegiados de Circuito, </w:t>
      </w:r>
      <w:r w:rsidRPr="00EC3B62">
        <w:rPr>
          <w:rStyle w:val="bold"/>
          <w:rFonts w:ascii="Arial" w:eastAsia="PMingLiU" w:hAnsi="Arial" w:cs="Arial"/>
          <w:color w:val="212529"/>
          <w:sz w:val="20"/>
          <w:szCs w:val="20"/>
        </w:rPr>
        <w:t>Décima Época, Materia(s): </w:t>
      </w:r>
      <w:r w:rsidRPr="00EC3B62">
        <w:rPr>
          <w:rFonts w:ascii="Arial" w:hAnsi="Arial" w:cs="Arial"/>
          <w:color w:val="212529"/>
          <w:sz w:val="20"/>
          <w:szCs w:val="20"/>
        </w:rPr>
        <w:t xml:space="preserve">Administrativa, </w:t>
      </w:r>
      <w:r w:rsidRPr="00EC3B62">
        <w:rPr>
          <w:rStyle w:val="bold"/>
          <w:rFonts w:ascii="Arial" w:eastAsia="PMingLiU" w:hAnsi="Arial" w:cs="Arial"/>
          <w:color w:val="212529"/>
          <w:sz w:val="20"/>
          <w:szCs w:val="20"/>
        </w:rPr>
        <w:t>Tesis: </w:t>
      </w:r>
      <w:r w:rsidRPr="00EC3B62">
        <w:rPr>
          <w:rFonts w:ascii="Arial" w:hAnsi="Arial" w:cs="Arial"/>
          <w:color w:val="212529"/>
          <w:sz w:val="20"/>
          <w:szCs w:val="20"/>
        </w:rPr>
        <w:t xml:space="preserve">I.4o.A. J/4 (10a.), </w:t>
      </w:r>
      <w:r w:rsidRPr="00EC3B62">
        <w:rPr>
          <w:rStyle w:val="bold"/>
          <w:rFonts w:ascii="Arial" w:eastAsia="PMingLiU" w:hAnsi="Arial" w:cs="Arial"/>
          <w:color w:val="212529"/>
          <w:sz w:val="20"/>
          <w:szCs w:val="20"/>
        </w:rPr>
        <w:t>Fuente: </w:t>
      </w:r>
      <w:r w:rsidRPr="00EC3B62">
        <w:rPr>
          <w:rFonts w:ascii="Arial" w:hAnsi="Arial" w:cs="Arial"/>
          <w:color w:val="212529"/>
          <w:sz w:val="20"/>
          <w:szCs w:val="20"/>
        </w:rPr>
        <w:t xml:space="preserve">Gaceta del Semanario Judicial de la Federación, </w:t>
      </w:r>
      <w:r w:rsidRPr="00EC3B62">
        <w:rPr>
          <w:rStyle w:val="ng-star-inserted"/>
          <w:rFonts w:ascii="Arial" w:hAnsi="Arial" w:cs="Arial"/>
          <w:color w:val="212529"/>
          <w:sz w:val="20"/>
          <w:szCs w:val="20"/>
        </w:rPr>
        <w:t xml:space="preserve">Libro 71, Octubre de 2019, Tomo IV, página 3350, </w:t>
      </w:r>
      <w:r w:rsidRPr="00EC3B62">
        <w:rPr>
          <w:rStyle w:val="bold"/>
          <w:rFonts w:ascii="Arial" w:eastAsia="PMingLiU" w:hAnsi="Arial" w:cs="Arial"/>
          <w:color w:val="212529"/>
          <w:sz w:val="20"/>
          <w:szCs w:val="20"/>
        </w:rPr>
        <w:t>Tipo: </w:t>
      </w:r>
      <w:r w:rsidRPr="00EC3B62">
        <w:rPr>
          <w:rFonts w:ascii="Arial" w:hAnsi="Arial" w:cs="Arial"/>
          <w:color w:val="212529"/>
          <w:sz w:val="20"/>
          <w:szCs w:val="20"/>
        </w:rPr>
        <w:t>Jurisprudencia</w:t>
      </w:r>
    </w:p>
    <w:p w14:paraId="7BC0ED81" w14:textId="7463431E" w:rsidR="00EC3B62" w:rsidRDefault="00EC3B62">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A360DF" w:rsidRDefault="00B27136">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A360DF">
          <w:fldChar w:fldCharType="begin"/>
        </w:r>
        <w:r w:rsidR="00A360DF">
          <w:instrText>PAGE   \* MERGEFORMAT</w:instrText>
        </w:r>
        <w:r w:rsidR="00A360DF">
          <w:fldChar w:fldCharType="separate"/>
        </w:r>
        <w:r w:rsidR="004E5DF4" w:rsidRPr="004E5DF4">
          <w:rPr>
            <w:noProof/>
            <w:lang w:val="es-ES"/>
          </w:rPr>
          <w:t>8</w:t>
        </w:r>
        <w:r w:rsidR="00A360DF">
          <w:fldChar w:fldCharType="end"/>
        </w:r>
      </w:p>
    </w:sdtContent>
  </w:sdt>
  <w:p w14:paraId="0E68208C" w14:textId="77777777" w:rsidR="00A360DF" w:rsidRDefault="00A360DF">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73CE1918" w:rsidR="00A360DF" w:rsidRDefault="00B27136">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A360DF">
          <w:fldChar w:fldCharType="begin"/>
        </w:r>
        <w:r w:rsidR="00A360DF">
          <w:instrText>PAGE   \* MERGEFORMAT</w:instrText>
        </w:r>
        <w:r w:rsidR="00A360DF">
          <w:fldChar w:fldCharType="separate"/>
        </w:r>
        <w:r w:rsidR="004E5DF4" w:rsidRPr="004E5DF4">
          <w:rPr>
            <w:noProof/>
            <w:lang w:val="es-ES"/>
          </w:rPr>
          <w:t>7</w:t>
        </w:r>
        <w:r w:rsidR="00A360DF">
          <w:fldChar w:fldCharType="end"/>
        </w:r>
        <w:r w:rsidR="007C7A1C">
          <w:t xml:space="preserve">                                                                       </w:t>
        </w:r>
        <w:r w:rsidR="007C7A1C" w:rsidRPr="007C7A1C">
          <w:rPr>
            <w:rFonts w:ascii="Century Schoolbook" w:hAnsi="Century Schoolbook" w:cs="Arial"/>
          </w:rPr>
          <w:t xml:space="preserve"> </w:t>
        </w:r>
        <w:r w:rsidR="007C7A1C" w:rsidRPr="00B61D83">
          <w:rPr>
            <w:rFonts w:ascii="Century Schoolbook" w:hAnsi="Century Schoolbook" w:cs="Arial"/>
          </w:rPr>
          <w:t>JUICIO DE NULIDAD</w:t>
        </w:r>
        <w:r w:rsidR="007C7A1C" w:rsidRPr="00B61D83">
          <w:rPr>
            <w:rFonts w:ascii="Century Schoolbook" w:hAnsi="Century Schoolbook" w:cs="Arial"/>
            <w:b/>
            <w:bCs/>
          </w:rPr>
          <w:t xml:space="preserve"> </w:t>
        </w:r>
        <w:r w:rsidR="00A61973">
          <w:rPr>
            <w:rFonts w:ascii="Century Schoolbook" w:hAnsi="Century Schoolbook" w:cs="Arial"/>
            <w:b/>
            <w:bCs/>
          </w:rPr>
          <w:t>0053</w:t>
        </w:r>
        <w:r w:rsidR="007C7A1C">
          <w:rPr>
            <w:rFonts w:ascii="Century Schoolbook" w:hAnsi="Century Schoolbook" w:cs="Arial"/>
            <w:b/>
            <w:bCs/>
          </w:rPr>
          <w:t>/20</w:t>
        </w:r>
        <w:r w:rsidR="007751BD">
          <w:rPr>
            <w:rFonts w:ascii="Century Schoolbook" w:hAnsi="Century Schoolbook" w:cs="Arial"/>
            <w:b/>
            <w:bCs/>
          </w:rPr>
          <w:t>2</w:t>
        </w:r>
        <w:r w:rsidR="00AC24D4">
          <w:rPr>
            <w:rFonts w:ascii="Century Schoolbook" w:hAnsi="Century Schoolbook" w:cs="Arial"/>
            <w:b/>
            <w:bCs/>
          </w:rPr>
          <w:t>2</w:t>
        </w:r>
      </w:sdtContent>
    </w:sdt>
  </w:p>
  <w:p w14:paraId="2C1AD61C" w14:textId="77777777" w:rsidR="004E5DF4" w:rsidRDefault="004E5DF4" w:rsidP="00927607">
    <w:pPr>
      <w:pStyle w:val="Encabezado"/>
      <w:tabs>
        <w:tab w:val="left" w:pos="142"/>
      </w:tabs>
      <w:ind w:left="284"/>
      <w:rPr>
        <w:rFonts w:ascii="Arial" w:hAnsi="Arial" w:cs="Arial"/>
        <w:b/>
        <w:color w:val="0070C0"/>
      </w:rPr>
    </w:pPr>
  </w:p>
  <w:p w14:paraId="51E22156" w14:textId="5E3BDCF5" w:rsidR="00A360DF" w:rsidRDefault="004E5DF4" w:rsidP="00927607">
    <w:pPr>
      <w:pStyle w:val="Encabezado"/>
      <w:tabs>
        <w:tab w:val="left" w:pos="142"/>
      </w:tabs>
      <w:ind w:left="284"/>
    </w:pPr>
    <w:r>
      <w:rPr>
        <w:rFonts w:ascii="Arial" w:hAnsi="Arial" w:cs="Arial"/>
        <w:b/>
        <w:color w:val="0070C0"/>
      </w:rPr>
      <w:t xml:space="preserve">DATOS PERSONALES PROTEGIDOS POR EL ARTÍCULO 116 DE LA LGTAIP Y ARTÍCULO 61 DE LA LTAIPBGEO </w:t>
    </w:r>
    <w:r w:rsidR="00A360DF"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A360DF" w:rsidRDefault="00B27136">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D832B6F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16D59F7"/>
    <w:multiLevelType w:val="hybridMultilevel"/>
    <w:tmpl w:val="A5088FD0"/>
    <w:lvl w:ilvl="0" w:tplc="01EC06AE">
      <w:numFmt w:val="bullet"/>
      <w:lvlText w:val="-"/>
      <w:lvlJc w:val="left"/>
      <w:pPr>
        <w:ind w:left="720" w:hanging="360"/>
      </w:pPr>
      <w:rPr>
        <w:rFonts w:ascii="Arial" w:eastAsia="Times New Roman" w:hAnsi="Arial" w:cs="Arial" w:hint="default"/>
        <w:i/>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0E61563F"/>
    <w:multiLevelType w:val="hybridMultilevel"/>
    <w:tmpl w:val="34620DD0"/>
    <w:lvl w:ilvl="0" w:tplc="3AEE072A">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abstractNum w:abstractNumId="4">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5">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172105D6"/>
    <w:multiLevelType w:val="hybridMultilevel"/>
    <w:tmpl w:val="7084EF56"/>
    <w:lvl w:ilvl="0" w:tplc="544A1058">
      <w:start w:val="1"/>
      <w:numFmt w:val="decimal"/>
      <w:lvlText w:val="%1)"/>
      <w:lvlJc w:val="left"/>
      <w:pPr>
        <w:ind w:left="1188" w:hanging="405"/>
      </w:pPr>
      <w:rPr>
        <w:rFonts w:hint="default"/>
      </w:rPr>
    </w:lvl>
    <w:lvl w:ilvl="1" w:tplc="080A0019" w:tentative="1">
      <w:start w:val="1"/>
      <w:numFmt w:val="lowerLetter"/>
      <w:lvlText w:val="%2."/>
      <w:lvlJc w:val="left"/>
      <w:pPr>
        <w:ind w:left="1863" w:hanging="360"/>
      </w:pPr>
    </w:lvl>
    <w:lvl w:ilvl="2" w:tplc="080A001B" w:tentative="1">
      <w:start w:val="1"/>
      <w:numFmt w:val="lowerRoman"/>
      <w:lvlText w:val="%3."/>
      <w:lvlJc w:val="right"/>
      <w:pPr>
        <w:ind w:left="2583" w:hanging="180"/>
      </w:pPr>
    </w:lvl>
    <w:lvl w:ilvl="3" w:tplc="080A000F" w:tentative="1">
      <w:start w:val="1"/>
      <w:numFmt w:val="decimal"/>
      <w:lvlText w:val="%4."/>
      <w:lvlJc w:val="left"/>
      <w:pPr>
        <w:ind w:left="3303" w:hanging="360"/>
      </w:pPr>
    </w:lvl>
    <w:lvl w:ilvl="4" w:tplc="080A0019" w:tentative="1">
      <w:start w:val="1"/>
      <w:numFmt w:val="lowerLetter"/>
      <w:lvlText w:val="%5."/>
      <w:lvlJc w:val="left"/>
      <w:pPr>
        <w:ind w:left="4023" w:hanging="360"/>
      </w:pPr>
    </w:lvl>
    <w:lvl w:ilvl="5" w:tplc="080A001B" w:tentative="1">
      <w:start w:val="1"/>
      <w:numFmt w:val="lowerRoman"/>
      <w:lvlText w:val="%6."/>
      <w:lvlJc w:val="right"/>
      <w:pPr>
        <w:ind w:left="4743" w:hanging="180"/>
      </w:pPr>
    </w:lvl>
    <w:lvl w:ilvl="6" w:tplc="080A000F" w:tentative="1">
      <w:start w:val="1"/>
      <w:numFmt w:val="decimal"/>
      <w:lvlText w:val="%7."/>
      <w:lvlJc w:val="left"/>
      <w:pPr>
        <w:ind w:left="5463" w:hanging="360"/>
      </w:pPr>
    </w:lvl>
    <w:lvl w:ilvl="7" w:tplc="080A0019" w:tentative="1">
      <w:start w:val="1"/>
      <w:numFmt w:val="lowerLetter"/>
      <w:lvlText w:val="%8."/>
      <w:lvlJc w:val="left"/>
      <w:pPr>
        <w:ind w:left="6183" w:hanging="360"/>
      </w:pPr>
    </w:lvl>
    <w:lvl w:ilvl="8" w:tplc="080A001B" w:tentative="1">
      <w:start w:val="1"/>
      <w:numFmt w:val="lowerRoman"/>
      <w:lvlText w:val="%9."/>
      <w:lvlJc w:val="right"/>
      <w:pPr>
        <w:ind w:left="6903" w:hanging="180"/>
      </w:pPr>
    </w:lvl>
  </w:abstractNum>
  <w:abstractNum w:abstractNumId="7">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9">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1">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5A56582A"/>
    <w:multiLevelType w:val="hybridMultilevel"/>
    <w:tmpl w:val="86BEA442"/>
    <w:lvl w:ilvl="0" w:tplc="D85A9C8E">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6">
    <w:nsid w:val="79DD6A9E"/>
    <w:multiLevelType w:val="hybridMultilevel"/>
    <w:tmpl w:val="12662930"/>
    <w:lvl w:ilvl="0" w:tplc="080A000B">
      <w:start w:val="1"/>
      <w:numFmt w:val="bullet"/>
      <w:lvlText w:val=""/>
      <w:lvlJc w:val="left"/>
      <w:pPr>
        <w:ind w:left="1287" w:hanging="360"/>
      </w:pPr>
      <w:rPr>
        <w:rFonts w:ascii="Wingdings" w:hAnsi="Wingding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abstractNumId w:val="15"/>
  </w:num>
  <w:num w:numId="2">
    <w:abstractNumId w:val="5"/>
  </w:num>
  <w:num w:numId="3">
    <w:abstractNumId w:val="2"/>
  </w:num>
  <w:num w:numId="4">
    <w:abstractNumId w:val="11"/>
  </w:num>
  <w:num w:numId="5">
    <w:abstractNumId w:val="14"/>
  </w:num>
  <w:num w:numId="6">
    <w:abstractNumId w:val="9"/>
  </w:num>
  <w:num w:numId="7">
    <w:abstractNumId w:val="8"/>
  </w:num>
  <w:num w:numId="8">
    <w:abstractNumId w:val="4"/>
  </w:num>
  <w:num w:numId="9">
    <w:abstractNumId w:val="7"/>
  </w:num>
  <w:num w:numId="10">
    <w:abstractNumId w:val="10"/>
  </w:num>
  <w:num w:numId="11">
    <w:abstractNumId w:val="12"/>
  </w:num>
  <w:num w:numId="12">
    <w:abstractNumId w:val="3"/>
  </w:num>
  <w:num w:numId="13">
    <w:abstractNumId w:val="6"/>
  </w:num>
  <w:num w:numId="14">
    <w:abstractNumId w:val="0"/>
  </w:num>
  <w:num w:numId="15">
    <w:abstractNumId w:val="13"/>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2E5"/>
    <w:rsid w:val="0000187B"/>
    <w:rsid w:val="00001CDC"/>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2AD"/>
    <w:rsid w:val="000174F5"/>
    <w:rsid w:val="00020680"/>
    <w:rsid w:val="00020D86"/>
    <w:rsid w:val="00021989"/>
    <w:rsid w:val="00021B04"/>
    <w:rsid w:val="00021C5F"/>
    <w:rsid w:val="00022BBC"/>
    <w:rsid w:val="00023F33"/>
    <w:rsid w:val="00024545"/>
    <w:rsid w:val="000255D9"/>
    <w:rsid w:val="00025BEB"/>
    <w:rsid w:val="000262A2"/>
    <w:rsid w:val="000264DD"/>
    <w:rsid w:val="00026C11"/>
    <w:rsid w:val="000306D4"/>
    <w:rsid w:val="00030BAF"/>
    <w:rsid w:val="00031F8E"/>
    <w:rsid w:val="000324B9"/>
    <w:rsid w:val="000329BA"/>
    <w:rsid w:val="00032D83"/>
    <w:rsid w:val="000330FB"/>
    <w:rsid w:val="000338EE"/>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577C"/>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3759"/>
    <w:rsid w:val="00064906"/>
    <w:rsid w:val="00064FD9"/>
    <w:rsid w:val="00067246"/>
    <w:rsid w:val="00067B5A"/>
    <w:rsid w:val="00070777"/>
    <w:rsid w:val="00070AA4"/>
    <w:rsid w:val="00071BE4"/>
    <w:rsid w:val="00071C6F"/>
    <w:rsid w:val="00071E8C"/>
    <w:rsid w:val="00071F15"/>
    <w:rsid w:val="000728B9"/>
    <w:rsid w:val="000737BF"/>
    <w:rsid w:val="00074790"/>
    <w:rsid w:val="00074A23"/>
    <w:rsid w:val="00074C62"/>
    <w:rsid w:val="000755A5"/>
    <w:rsid w:val="000756DE"/>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1C9F"/>
    <w:rsid w:val="000939DB"/>
    <w:rsid w:val="00093C95"/>
    <w:rsid w:val="00094EB2"/>
    <w:rsid w:val="00095419"/>
    <w:rsid w:val="000964DE"/>
    <w:rsid w:val="00096B18"/>
    <w:rsid w:val="00096C5C"/>
    <w:rsid w:val="00096CE1"/>
    <w:rsid w:val="00097A65"/>
    <w:rsid w:val="000A084D"/>
    <w:rsid w:val="000A0E5E"/>
    <w:rsid w:val="000A12C0"/>
    <w:rsid w:val="000A1491"/>
    <w:rsid w:val="000A17DF"/>
    <w:rsid w:val="000A200A"/>
    <w:rsid w:val="000A2550"/>
    <w:rsid w:val="000A27AC"/>
    <w:rsid w:val="000A335C"/>
    <w:rsid w:val="000A33D9"/>
    <w:rsid w:val="000A33F5"/>
    <w:rsid w:val="000A5266"/>
    <w:rsid w:val="000A5540"/>
    <w:rsid w:val="000A578F"/>
    <w:rsid w:val="000A58B5"/>
    <w:rsid w:val="000A5D36"/>
    <w:rsid w:val="000A5FA8"/>
    <w:rsid w:val="000A65DB"/>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0AC9"/>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40"/>
    <w:rsid w:val="000E4AC8"/>
    <w:rsid w:val="000E4C30"/>
    <w:rsid w:val="000E5501"/>
    <w:rsid w:val="000E5766"/>
    <w:rsid w:val="000E5B3C"/>
    <w:rsid w:val="000E5B66"/>
    <w:rsid w:val="000E5F83"/>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0F4E"/>
    <w:rsid w:val="00111BFC"/>
    <w:rsid w:val="00111CBB"/>
    <w:rsid w:val="0011210D"/>
    <w:rsid w:val="00112765"/>
    <w:rsid w:val="00112BF7"/>
    <w:rsid w:val="00113361"/>
    <w:rsid w:val="00113A46"/>
    <w:rsid w:val="00114AC5"/>
    <w:rsid w:val="001162E0"/>
    <w:rsid w:val="00116579"/>
    <w:rsid w:val="00116C7F"/>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892"/>
    <w:rsid w:val="00134A68"/>
    <w:rsid w:val="00134AB5"/>
    <w:rsid w:val="00135132"/>
    <w:rsid w:val="0013555E"/>
    <w:rsid w:val="00135B0C"/>
    <w:rsid w:val="00136897"/>
    <w:rsid w:val="0013695E"/>
    <w:rsid w:val="00136FB8"/>
    <w:rsid w:val="0014043C"/>
    <w:rsid w:val="00140D7E"/>
    <w:rsid w:val="00141BB2"/>
    <w:rsid w:val="00142417"/>
    <w:rsid w:val="00143682"/>
    <w:rsid w:val="001441D3"/>
    <w:rsid w:val="001450E2"/>
    <w:rsid w:val="001460CF"/>
    <w:rsid w:val="00146509"/>
    <w:rsid w:val="0014671A"/>
    <w:rsid w:val="00146991"/>
    <w:rsid w:val="00146DCF"/>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661"/>
    <w:rsid w:val="0016171F"/>
    <w:rsid w:val="00161D8A"/>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2E9A"/>
    <w:rsid w:val="0017568D"/>
    <w:rsid w:val="00175C14"/>
    <w:rsid w:val="001761CB"/>
    <w:rsid w:val="0017651E"/>
    <w:rsid w:val="001778B4"/>
    <w:rsid w:val="001779CB"/>
    <w:rsid w:val="00177B53"/>
    <w:rsid w:val="00181DB0"/>
    <w:rsid w:val="001826D0"/>
    <w:rsid w:val="0018345B"/>
    <w:rsid w:val="0018356C"/>
    <w:rsid w:val="0018358B"/>
    <w:rsid w:val="0018454F"/>
    <w:rsid w:val="001846BB"/>
    <w:rsid w:val="001854BD"/>
    <w:rsid w:val="00185DC5"/>
    <w:rsid w:val="00186701"/>
    <w:rsid w:val="00186FB3"/>
    <w:rsid w:val="00186FE8"/>
    <w:rsid w:val="0018765B"/>
    <w:rsid w:val="00192287"/>
    <w:rsid w:val="001923AE"/>
    <w:rsid w:val="001924B2"/>
    <w:rsid w:val="00193379"/>
    <w:rsid w:val="00194B7B"/>
    <w:rsid w:val="001951A3"/>
    <w:rsid w:val="00195583"/>
    <w:rsid w:val="001A0745"/>
    <w:rsid w:val="001A1302"/>
    <w:rsid w:val="001A16CC"/>
    <w:rsid w:val="001A18E1"/>
    <w:rsid w:val="001A2144"/>
    <w:rsid w:val="001A2E1D"/>
    <w:rsid w:val="001A2FDB"/>
    <w:rsid w:val="001A3755"/>
    <w:rsid w:val="001A4127"/>
    <w:rsid w:val="001A4E1C"/>
    <w:rsid w:val="001A554E"/>
    <w:rsid w:val="001A6EBE"/>
    <w:rsid w:val="001A6F68"/>
    <w:rsid w:val="001A77FB"/>
    <w:rsid w:val="001B009D"/>
    <w:rsid w:val="001B035C"/>
    <w:rsid w:val="001B046F"/>
    <w:rsid w:val="001B13DB"/>
    <w:rsid w:val="001B17F6"/>
    <w:rsid w:val="001B341D"/>
    <w:rsid w:val="001B3A10"/>
    <w:rsid w:val="001B3B5C"/>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93"/>
    <w:rsid w:val="001E4C02"/>
    <w:rsid w:val="001E593B"/>
    <w:rsid w:val="001E65E8"/>
    <w:rsid w:val="001E6AE5"/>
    <w:rsid w:val="001E7020"/>
    <w:rsid w:val="001E71FD"/>
    <w:rsid w:val="001E77A9"/>
    <w:rsid w:val="001E7BD1"/>
    <w:rsid w:val="001F0FBC"/>
    <w:rsid w:val="001F2154"/>
    <w:rsid w:val="001F287C"/>
    <w:rsid w:val="001F2D73"/>
    <w:rsid w:val="001F4C86"/>
    <w:rsid w:val="001F5050"/>
    <w:rsid w:val="001F5F15"/>
    <w:rsid w:val="001F625A"/>
    <w:rsid w:val="001F6B28"/>
    <w:rsid w:val="001F6C56"/>
    <w:rsid w:val="001F72DF"/>
    <w:rsid w:val="001F77D0"/>
    <w:rsid w:val="002010A9"/>
    <w:rsid w:val="00201769"/>
    <w:rsid w:val="0020247E"/>
    <w:rsid w:val="002025FD"/>
    <w:rsid w:val="002038E9"/>
    <w:rsid w:val="00203FD3"/>
    <w:rsid w:val="00205A55"/>
    <w:rsid w:val="00206222"/>
    <w:rsid w:val="00206838"/>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0EA"/>
    <w:rsid w:val="002161AD"/>
    <w:rsid w:val="00216595"/>
    <w:rsid w:val="002165D6"/>
    <w:rsid w:val="00216AB7"/>
    <w:rsid w:val="002170A5"/>
    <w:rsid w:val="00217F57"/>
    <w:rsid w:val="00221687"/>
    <w:rsid w:val="00221709"/>
    <w:rsid w:val="00222A05"/>
    <w:rsid w:val="00222E1E"/>
    <w:rsid w:val="0022341D"/>
    <w:rsid w:val="0022360E"/>
    <w:rsid w:val="00223F75"/>
    <w:rsid w:val="002241C3"/>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A4A"/>
    <w:rsid w:val="00240C99"/>
    <w:rsid w:val="0024189D"/>
    <w:rsid w:val="00241BC3"/>
    <w:rsid w:val="00241C7D"/>
    <w:rsid w:val="00241F55"/>
    <w:rsid w:val="00242699"/>
    <w:rsid w:val="00242A6C"/>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1957"/>
    <w:rsid w:val="00252528"/>
    <w:rsid w:val="002530F3"/>
    <w:rsid w:val="00253130"/>
    <w:rsid w:val="00253A1C"/>
    <w:rsid w:val="002541B3"/>
    <w:rsid w:val="00256B3C"/>
    <w:rsid w:val="00256E7D"/>
    <w:rsid w:val="00256F27"/>
    <w:rsid w:val="00257816"/>
    <w:rsid w:val="00257C5E"/>
    <w:rsid w:val="00260433"/>
    <w:rsid w:val="0026116F"/>
    <w:rsid w:val="002617F9"/>
    <w:rsid w:val="00261993"/>
    <w:rsid w:val="00262666"/>
    <w:rsid w:val="00262D7C"/>
    <w:rsid w:val="00263720"/>
    <w:rsid w:val="00265161"/>
    <w:rsid w:val="00265F1B"/>
    <w:rsid w:val="002665A2"/>
    <w:rsid w:val="00267221"/>
    <w:rsid w:val="00270087"/>
    <w:rsid w:val="00270831"/>
    <w:rsid w:val="0027275E"/>
    <w:rsid w:val="00272A7D"/>
    <w:rsid w:val="00273171"/>
    <w:rsid w:val="002745CD"/>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3E41"/>
    <w:rsid w:val="00296748"/>
    <w:rsid w:val="0029713B"/>
    <w:rsid w:val="00297709"/>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8DB"/>
    <w:rsid w:val="002B1C2A"/>
    <w:rsid w:val="002B1F65"/>
    <w:rsid w:val="002B2706"/>
    <w:rsid w:val="002B375F"/>
    <w:rsid w:val="002B3BA3"/>
    <w:rsid w:val="002B4040"/>
    <w:rsid w:val="002B5C09"/>
    <w:rsid w:val="002B5C82"/>
    <w:rsid w:val="002B6893"/>
    <w:rsid w:val="002B6B9D"/>
    <w:rsid w:val="002B6C19"/>
    <w:rsid w:val="002B6D0D"/>
    <w:rsid w:val="002B76FB"/>
    <w:rsid w:val="002B79C4"/>
    <w:rsid w:val="002C01BF"/>
    <w:rsid w:val="002C06FE"/>
    <w:rsid w:val="002C0988"/>
    <w:rsid w:val="002C0FDA"/>
    <w:rsid w:val="002C2259"/>
    <w:rsid w:val="002C3470"/>
    <w:rsid w:val="002C348A"/>
    <w:rsid w:val="002C3FD4"/>
    <w:rsid w:val="002C41D3"/>
    <w:rsid w:val="002C4419"/>
    <w:rsid w:val="002C4824"/>
    <w:rsid w:val="002C509D"/>
    <w:rsid w:val="002C5540"/>
    <w:rsid w:val="002C5C5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2D79"/>
    <w:rsid w:val="002E3358"/>
    <w:rsid w:val="002E3511"/>
    <w:rsid w:val="002E3777"/>
    <w:rsid w:val="002E3B43"/>
    <w:rsid w:val="002E3D1C"/>
    <w:rsid w:val="002E5953"/>
    <w:rsid w:val="002E5971"/>
    <w:rsid w:val="002E5EAB"/>
    <w:rsid w:val="002E6032"/>
    <w:rsid w:val="002E60D4"/>
    <w:rsid w:val="002E773F"/>
    <w:rsid w:val="002E791E"/>
    <w:rsid w:val="002F02E0"/>
    <w:rsid w:val="002F09A8"/>
    <w:rsid w:val="002F19AF"/>
    <w:rsid w:val="002F1B7B"/>
    <w:rsid w:val="002F1C6A"/>
    <w:rsid w:val="002F1FCB"/>
    <w:rsid w:val="002F282F"/>
    <w:rsid w:val="002F2BC5"/>
    <w:rsid w:val="002F32F4"/>
    <w:rsid w:val="002F3B18"/>
    <w:rsid w:val="002F3DC5"/>
    <w:rsid w:val="002F4F72"/>
    <w:rsid w:val="002F511C"/>
    <w:rsid w:val="002F5E12"/>
    <w:rsid w:val="002F5F9B"/>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588"/>
    <w:rsid w:val="0031096E"/>
    <w:rsid w:val="00311560"/>
    <w:rsid w:val="00311708"/>
    <w:rsid w:val="00311BB1"/>
    <w:rsid w:val="00312470"/>
    <w:rsid w:val="0031285C"/>
    <w:rsid w:val="00313A44"/>
    <w:rsid w:val="003150CD"/>
    <w:rsid w:val="003154AB"/>
    <w:rsid w:val="003155CF"/>
    <w:rsid w:val="00315BA3"/>
    <w:rsid w:val="00316707"/>
    <w:rsid w:val="00317A31"/>
    <w:rsid w:val="00317B07"/>
    <w:rsid w:val="00317BDE"/>
    <w:rsid w:val="00317DC3"/>
    <w:rsid w:val="0032088F"/>
    <w:rsid w:val="00321643"/>
    <w:rsid w:val="00321A91"/>
    <w:rsid w:val="00322486"/>
    <w:rsid w:val="00323295"/>
    <w:rsid w:val="00323848"/>
    <w:rsid w:val="00323FF5"/>
    <w:rsid w:val="0032464C"/>
    <w:rsid w:val="00324B78"/>
    <w:rsid w:val="003253CA"/>
    <w:rsid w:val="003255CF"/>
    <w:rsid w:val="00326AF6"/>
    <w:rsid w:val="00326D5E"/>
    <w:rsid w:val="00327A8E"/>
    <w:rsid w:val="00327BDD"/>
    <w:rsid w:val="00331836"/>
    <w:rsid w:val="0033190E"/>
    <w:rsid w:val="00333962"/>
    <w:rsid w:val="00333B62"/>
    <w:rsid w:val="00333E45"/>
    <w:rsid w:val="0033404E"/>
    <w:rsid w:val="00334A65"/>
    <w:rsid w:val="003364DB"/>
    <w:rsid w:val="00336A8D"/>
    <w:rsid w:val="00337583"/>
    <w:rsid w:val="003379FB"/>
    <w:rsid w:val="00337DF6"/>
    <w:rsid w:val="0034068D"/>
    <w:rsid w:val="0034180B"/>
    <w:rsid w:val="00341A52"/>
    <w:rsid w:val="00341C4A"/>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38E6"/>
    <w:rsid w:val="003549F9"/>
    <w:rsid w:val="00354CF7"/>
    <w:rsid w:val="00355E72"/>
    <w:rsid w:val="0035659D"/>
    <w:rsid w:val="003611E4"/>
    <w:rsid w:val="0036133D"/>
    <w:rsid w:val="003617D9"/>
    <w:rsid w:val="00361938"/>
    <w:rsid w:val="003625FB"/>
    <w:rsid w:val="003633B9"/>
    <w:rsid w:val="003636DE"/>
    <w:rsid w:val="003646B9"/>
    <w:rsid w:val="003646E5"/>
    <w:rsid w:val="003652C6"/>
    <w:rsid w:val="003654A6"/>
    <w:rsid w:val="00365D74"/>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1F89"/>
    <w:rsid w:val="0038228C"/>
    <w:rsid w:val="00382BDE"/>
    <w:rsid w:val="003859C4"/>
    <w:rsid w:val="00385EA5"/>
    <w:rsid w:val="00386F92"/>
    <w:rsid w:val="003874C3"/>
    <w:rsid w:val="00387725"/>
    <w:rsid w:val="00387C65"/>
    <w:rsid w:val="0039022E"/>
    <w:rsid w:val="00390CDE"/>
    <w:rsid w:val="003919A3"/>
    <w:rsid w:val="00392B20"/>
    <w:rsid w:val="00392BA3"/>
    <w:rsid w:val="00394516"/>
    <w:rsid w:val="003961E1"/>
    <w:rsid w:val="003974F9"/>
    <w:rsid w:val="003A0AA1"/>
    <w:rsid w:val="003A0FE5"/>
    <w:rsid w:val="003A24EC"/>
    <w:rsid w:val="003A3EA0"/>
    <w:rsid w:val="003A6262"/>
    <w:rsid w:val="003A645D"/>
    <w:rsid w:val="003A730F"/>
    <w:rsid w:val="003B0033"/>
    <w:rsid w:val="003B0A5E"/>
    <w:rsid w:val="003B0AA1"/>
    <w:rsid w:val="003B0AB6"/>
    <w:rsid w:val="003B0AD5"/>
    <w:rsid w:val="003B0B21"/>
    <w:rsid w:val="003B16F0"/>
    <w:rsid w:val="003B1D29"/>
    <w:rsid w:val="003B210B"/>
    <w:rsid w:val="003B2F00"/>
    <w:rsid w:val="003B354A"/>
    <w:rsid w:val="003B3575"/>
    <w:rsid w:val="003B3697"/>
    <w:rsid w:val="003B373B"/>
    <w:rsid w:val="003B3A74"/>
    <w:rsid w:val="003B46A3"/>
    <w:rsid w:val="003B4BAF"/>
    <w:rsid w:val="003B5111"/>
    <w:rsid w:val="003B57C3"/>
    <w:rsid w:val="003B609E"/>
    <w:rsid w:val="003B6581"/>
    <w:rsid w:val="003B6C7E"/>
    <w:rsid w:val="003B79F9"/>
    <w:rsid w:val="003C0293"/>
    <w:rsid w:val="003C0DF1"/>
    <w:rsid w:val="003C1936"/>
    <w:rsid w:val="003C1EC7"/>
    <w:rsid w:val="003C268F"/>
    <w:rsid w:val="003C2E68"/>
    <w:rsid w:val="003C32DC"/>
    <w:rsid w:val="003C32FC"/>
    <w:rsid w:val="003C42AD"/>
    <w:rsid w:val="003C4C9F"/>
    <w:rsid w:val="003C5D9D"/>
    <w:rsid w:val="003C7036"/>
    <w:rsid w:val="003C7781"/>
    <w:rsid w:val="003C7FA5"/>
    <w:rsid w:val="003D0C96"/>
    <w:rsid w:val="003D1CAA"/>
    <w:rsid w:val="003D4395"/>
    <w:rsid w:val="003D474C"/>
    <w:rsid w:val="003D5393"/>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5A16"/>
    <w:rsid w:val="003F7A40"/>
    <w:rsid w:val="004003E7"/>
    <w:rsid w:val="00400CE8"/>
    <w:rsid w:val="0040130D"/>
    <w:rsid w:val="00401B8F"/>
    <w:rsid w:val="00401FEB"/>
    <w:rsid w:val="004022FC"/>
    <w:rsid w:val="00402763"/>
    <w:rsid w:val="004027A1"/>
    <w:rsid w:val="00404E59"/>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002"/>
    <w:rsid w:val="00417B7B"/>
    <w:rsid w:val="004211BE"/>
    <w:rsid w:val="0042205F"/>
    <w:rsid w:val="00423C26"/>
    <w:rsid w:val="00423E43"/>
    <w:rsid w:val="00424839"/>
    <w:rsid w:val="00424A72"/>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1DE8"/>
    <w:rsid w:val="00442830"/>
    <w:rsid w:val="00442F67"/>
    <w:rsid w:val="00442FBB"/>
    <w:rsid w:val="00443487"/>
    <w:rsid w:val="0044467E"/>
    <w:rsid w:val="0044496C"/>
    <w:rsid w:val="00444F46"/>
    <w:rsid w:val="0044520F"/>
    <w:rsid w:val="00445F77"/>
    <w:rsid w:val="004468EC"/>
    <w:rsid w:val="00446A05"/>
    <w:rsid w:val="00446B69"/>
    <w:rsid w:val="004502C5"/>
    <w:rsid w:val="004509CE"/>
    <w:rsid w:val="00451498"/>
    <w:rsid w:val="004515BE"/>
    <w:rsid w:val="00452B43"/>
    <w:rsid w:val="00454957"/>
    <w:rsid w:val="004557F7"/>
    <w:rsid w:val="00455A62"/>
    <w:rsid w:val="00456294"/>
    <w:rsid w:val="004572E7"/>
    <w:rsid w:val="00457778"/>
    <w:rsid w:val="00457FE0"/>
    <w:rsid w:val="004606DA"/>
    <w:rsid w:val="00461033"/>
    <w:rsid w:val="00461308"/>
    <w:rsid w:val="00461FB3"/>
    <w:rsid w:val="0046279F"/>
    <w:rsid w:val="00463325"/>
    <w:rsid w:val="004639C1"/>
    <w:rsid w:val="00463D48"/>
    <w:rsid w:val="00464148"/>
    <w:rsid w:val="004647B9"/>
    <w:rsid w:val="00464F06"/>
    <w:rsid w:val="004652D5"/>
    <w:rsid w:val="00465B25"/>
    <w:rsid w:val="00465BF5"/>
    <w:rsid w:val="004668E6"/>
    <w:rsid w:val="004673D5"/>
    <w:rsid w:val="0047274B"/>
    <w:rsid w:val="00472B3D"/>
    <w:rsid w:val="00472D90"/>
    <w:rsid w:val="00473EB5"/>
    <w:rsid w:val="0047647A"/>
    <w:rsid w:val="004771E5"/>
    <w:rsid w:val="00477357"/>
    <w:rsid w:val="00477E07"/>
    <w:rsid w:val="004804CF"/>
    <w:rsid w:val="00480A69"/>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54C"/>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37F"/>
    <w:rsid w:val="004C54F2"/>
    <w:rsid w:val="004C5B4E"/>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362"/>
    <w:rsid w:val="004E0C13"/>
    <w:rsid w:val="004E0DB7"/>
    <w:rsid w:val="004E13BA"/>
    <w:rsid w:val="004E1A6E"/>
    <w:rsid w:val="004E1B12"/>
    <w:rsid w:val="004E32FC"/>
    <w:rsid w:val="004E3E15"/>
    <w:rsid w:val="004E4A63"/>
    <w:rsid w:val="004E531A"/>
    <w:rsid w:val="004E5DF4"/>
    <w:rsid w:val="004E6061"/>
    <w:rsid w:val="004E6502"/>
    <w:rsid w:val="004E6A8C"/>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5F16"/>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3C70"/>
    <w:rsid w:val="00515288"/>
    <w:rsid w:val="00515B21"/>
    <w:rsid w:val="00515CF2"/>
    <w:rsid w:val="00517079"/>
    <w:rsid w:val="00520023"/>
    <w:rsid w:val="005201C4"/>
    <w:rsid w:val="00520569"/>
    <w:rsid w:val="005212AE"/>
    <w:rsid w:val="005229B8"/>
    <w:rsid w:val="00522C1A"/>
    <w:rsid w:val="00523091"/>
    <w:rsid w:val="00523826"/>
    <w:rsid w:val="005242CB"/>
    <w:rsid w:val="00524D42"/>
    <w:rsid w:val="00526D7B"/>
    <w:rsid w:val="00526DC4"/>
    <w:rsid w:val="00527324"/>
    <w:rsid w:val="005274E0"/>
    <w:rsid w:val="00527F7B"/>
    <w:rsid w:val="005300DF"/>
    <w:rsid w:val="00531B2A"/>
    <w:rsid w:val="00531B72"/>
    <w:rsid w:val="00531C8C"/>
    <w:rsid w:val="00531DC6"/>
    <w:rsid w:val="005324A4"/>
    <w:rsid w:val="00532D69"/>
    <w:rsid w:val="00532E56"/>
    <w:rsid w:val="00533B21"/>
    <w:rsid w:val="00533D34"/>
    <w:rsid w:val="00533EE1"/>
    <w:rsid w:val="00534D86"/>
    <w:rsid w:val="0053514B"/>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1AFF"/>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88"/>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5E07"/>
    <w:rsid w:val="00576025"/>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87B46"/>
    <w:rsid w:val="00590883"/>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E4D"/>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0DE"/>
    <w:rsid w:val="005D65FC"/>
    <w:rsid w:val="005D6747"/>
    <w:rsid w:val="005D6918"/>
    <w:rsid w:val="005E08EE"/>
    <w:rsid w:val="005E3A57"/>
    <w:rsid w:val="005E3BA2"/>
    <w:rsid w:val="005E40A8"/>
    <w:rsid w:val="005E4335"/>
    <w:rsid w:val="005E534E"/>
    <w:rsid w:val="005E5F15"/>
    <w:rsid w:val="005E65D5"/>
    <w:rsid w:val="005E7897"/>
    <w:rsid w:val="005F0996"/>
    <w:rsid w:val="005F1394"/>
    <w:rsid w:val="005F156F"/>
    <w:rsid w:val="005F1C5A"/>
    <w:rsid w:val="005F1D9F"/>
    <w:rsid w:val="005F2179"/>
    <w:rsid w:val="005F2E7D"/>
    <w:rsid w:val="005F2F7D"/>
    <w:rsid w:val="005F366A"/>
    <w:rsid w:val="005F45C2"/>
    <w:rsid w:val="005F4ECF"/>
    <w:rsid w:val="005F52FF"/>
    <w:rsid w:val="005F569A"/>
    <w:rsid w:val="005F6073"/>
    <w:rsid w:val="005F6196"/>
    <w:rsid w:val="005F61B4"/>
    <w:rsid w:val="005F6454"/>
    <w:rsid w:val="005F7759"/>
    <w:rsid w:val="005F7852"/>
    <w:rsid w:val="0060041C"/>
    <w:rsid w:val="0060055A"/>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349"/>
    <w:rsid w:val="00610C46"/>
    <w:rsid w:val="00614079"/>
    <w:rsid w:val="00614188"/>
    <w:rsid w:val="00614691"/>
    <w:rsid w:val="00615362"/>
    <w:rsid w:val="006157B6"/>
    <w:rsid w:val="00615A62"/>
    <w:rsid w:val="00615EBC"/>
    <w:rsid w:val="00616F1D"/>
    <w:rsid w:val="00616FA1"/>
    <w:rsid w:val="00617C77"/>
    <w:rsid w:val="00620031"/>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1467"/>
    <w:rsid w:val="0063273E"/>
    <w:rsid w:val="00633242"/>
    <w:rsid w:val="00633FA0"/>
    <w:rsid w:val="00634534"/>
    <w:rsid w:val="00634EF5"/>
    <w:rsid w:val="00636401"/>
    <w:rsid w:val="00636905"/>
    <w:rsid w:val="00636A93"/>
    <w:rsid w:val="00637474"/>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B16"/>
    <w:rsid w:val="00651275"/>
    <w:rsid w:val="00652231"/>
    <w:rsid w:val="0065228A"/>
    <w:rsid w:val="00654244"/>
    <w:rsid w:val="006546B6"/>
    <w:rsid w:val="006547BB"/>
    <w:rsid w:val="006555CA"/>
    <w:rsid w:val="0065593D"/>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1D6E"/>
    <w:rsid w:val="00672CE0"/>
    <w:rsid w:val="00672F8D"/>
    <w:rsid w:val="006730DE"/>
    <w:rsid w:val="006730F3"/>
    <w:rsid w:val="00673B33"/>
    <w:rsid w:val="006747AB"/>
    <w:rsid w:val="00675466"/>
    <w:rsid w:val="00676465"/>
    <w:rsid w:val="006775C4"/>
    <w:rsid w:val="0068056E"/>
    <w:rsid w:val="00681AC1"/>
    <w:rsid w:val="00681EE7"/>
    <w:rsid w:val="00682165"/>
    <w:rsid w:val="00683178"/>
    <w:rsid w:val="0068325D"/>
    <w:rsid w:val="00684F50"/>
    <w:rsid w:val="00685785"/>
    <w:rsid w:val="00685E24"/>
    <w:rsid w:val="00686F6A"/>
    <w:rsid w:val="00687828"/>
    <w:rsid w:val="00687BEB"/>
    <w:rsid w:val="00690738"/>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3BD"/>
    <w:rsid w:val="006A07C1"/>
    <w:rsid w:val="006A0D09"/>
    <w:rsid w:val="006A136B"/>
    <w:rsid w:val="006A19D5"/>
    <w:rsid w:val="006A28FD"/>
    <w:rsid w:val="006A326C"/>
    <w:rsid w:val="006A52BF"/>
    <w:rsid w:val="006A5821"/>
    <w:rsid w:val="006A5A6C"/>
    <w:rsid w:val="006A61E5"/>
    <w:rsid w:val="006A654C"/>
    <w:rsid w:val="006A6B9A"/>
    <w:rsid w:val="006A7061"/>
    <w:rsid w:val="006B03F7"/>
    <w:rsid w:val="006B0A9C"/>
    <w:rsid w:val="006B0B08"/>
    <w:rsid w:val="006B10A8"/>
    <w:rsid w:val="006B10B6"/>
    <w:rsid w:val="006B1484"/>
    <w:rsid w:val="006B1B86"/>
    <w:rsid w:val="006B208B"/>
    <w:rsid w:val="006B3C7A"/>
    <w:rsid w:val="006B454E"/>
    <w:rsid w:val="006B462B"/>
    <w:rsid w:val="006B46C9"/>
    <w:rsid w:val="006B4FD6"/>
    <w:rsid w:val="006B511B"/>
    <w:rsid w:val="006B5508"/>
    <w:rsid w:val="006B5F34"/>
    <w:rsid w:val="006B7267"/>
    <w:rsid w:val="006C1371"/>
    <w:rsid w:val="006C1F9E"/>
    <w:rsid w:val="006C2F23"/>
    <w:rsid w:val="006C408C"/>
    <w:rsid w:val="006C44AE"/>
    <w:rsid w:val="006C456A"/>
    <w:rsid w:val="006C564D"/>
    <w:rsid w:val="006C671F"/>
    <w:rsid w:val="006C6F3C"/>
    <w:rsid w:val="006C6FB7"/>
    <w:rsid w:val="006D007C"/>
    <w:rsid w:val="006D06F5"/>
    <w:rsid w:val="006D120B"/>
    <w:rsid w:val="006D264E"/>
    <w:rsid w:val="006D3FF8"/>
    <w:rsid w:val="006D428F"/>
    <w:rsid w:val="006D54E1"/>
    <w:rsid w:val="006D5A11"/>
    <w:rsid w:val="006D668F"/>
    <w:rsid w:val="006E0406"/>
    <w:rsid w:val="006E09D6"/>
    <w:rsid w:val="006E1695"/>
    <w:rsid w:val="006E197B"/>
    <w:rsid w:val="006E1AC8"/>
    <w:rsid w:val="006E22C9"/>
    <w:rsid w:val="006E2B27"/>
    <w:rsid w:val="006E5742"/>
    <w:rsid w:val="006E58AF"/>
    <w:rsid w:val="006E632E"/>
    <w:rsid w:val="006E698C"/>
    <w:rsid w:val="006E6A36"/>
    <w:rsid w:val="006E7F21"/>
    <w:rsid w:val="006F0329"/>
    <w:rsid w:val="006F0642"/>
    <w:rsid w:val="006F0771"/>
    <w:rsid w:val="006F0913"/>
    <w:rsid w:val="006F2412"/>
    <w:rsid w:val="006F2A57"/>
    <w:rsid w:val="006F3230"/>
    <w:rsid w:val="006F3FE0"/>
    <w:rsid w:val="006F462B"/>
    <w:rsid w:val="006F4D52"/>
    <w:rsid w:val="006F6131"/>
    <w:rsid w:val="006F650D"/>
    <w:rsid w:val="006F68C0"/>
    <w:rsid w:val="006F68E5"/>
    <w:rsid w:val="00700013"/>
    <w:rsid w:val="007007EB"/>
    <w:rsid w:val="00701329"/>
    <w:rsid w:val="007017F0"/>
    <w:rsid w:val="00702862"/>
    <w:rsid w:val="00702A54"/>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BC1"/>
    <w:rsid w:val="00712D50"/>
    <w:rsid w:val="00713419"/>
    <w:rsid w:val="007135A0"/>
    <w:rsid w:val="00713957"/>
    <w:rsid w:val="00714402"/>
    <w:rsid w:val="00714488"/>
    <w:rsid w:val="00714E6C"/>
    <w:rsid w:val="00715319"/>
    <w:rsid w:val="00715DC7"/>
    <w:rsid w:val="00715EBB"/>
    <w:rsid w:val="00717898"/>
    <w:rsid w:val="0072215B"/>
    <w:rsid w:val="00722B88"/>
    <w:rsid w:val="0072304C"/>
    <w:rsid w:val="0072368F"/>
    <w:rsid w:val="00723EC1"/>
    <w:rsid w:val="00724552"/>
    <w:rsid w:val="00724C1C"/>
    <w:rsid w:val="00727C09"/>
    <w:rsid w:val="00727D9C"/>
    <w:rsid w:val="00727F60"/>
    <w:rsid w:val="00730089"/>
    <w:rsid w:val="00730250"/>
    <w:rsid w:val="00730453"/>
    <w:rsid w:val="0073182F"/>
    <w:rsid w:val="0073212F"/>
    <w:rsid w:val="007324A9"/>
    <w:rsid w:val="0073293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000B"/>
    <w:rsid w:val="00750412"/>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1706"/>
    <w:rsid w:val="00762460"/>
    <w:rsid w:val="00762B99"/>
    <w:rsid w:val="00765137"/>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1BD"/>
    <w:rsid w:val="007758EE"/>
    <w:rsid w:val="00775BD0"/>
    <w:rsid w:val="007779BF"/>
    <w:rsid w:val="00777B9A"/>
    <w:rsid w:val="00777CFA"/>
    <w:rsid w:val="00777F6C"/>
    <w:rsid w:val="007806D4"/>
    <w:rsid w:val="00781E84"/>
    <w:rsid w:val="00781EFF"/>
    <w:rsid w:val="00782019"/>
    <w:rsid w:val="007841D1"/>
    <w:rsid w:val="00786A0E"/>
    <w:rsid w:val="00787328"/>
    <w:rsid w:val="00787403"/>
    <w:rsid w:val="00787FF8"/>
    <w:rsid w:val="007904C9"/>
    <w:rsid w:val="00790CF4"/>
    <w:rsid w:val="00790DA7"/>
    <w:rsid w:val="00791F5C"/>
    <w:rsid w:val="007927EC"/>
    <w:rsid w:val="00792B4F"/>
    <w:rsid w:val="00792E46"/>
    <w:rsid w:val="00792E5F"/>
    <w:rsid w:val="00793C07"/>
    <w:rsid w:val="00795A12"/>
    <w:rsid w:val="00796315"/>
    <w:rsid w:val="00796538"/>
    <w:rsid w:val="00796AB8"/>
    <w:rsid w:val="00796CE5"/>
    <w:rsid w:val="007A0C87"/>
    <w:rsid w:val="007A0DD5"/>
    <w:rsid w:val="007A1877"/>
    <w:rsid w:val="007A1A79"/>
    <w:rsid w:val="007A367E"/>
    <w:rsid w:val="007A3AF8"/>
    <w:rsid w:val="007A43A0"/>
    <w:rsid w:val="007A47F2"/>
    <w:rsid w:val="007A490A"/>
    <w:rsid w:val="007A530A"/>
    <w:rsid w:val="007A65AF"/>
    <w:rsid w:val="007A719C"/>
    <w:rsid w:val="007A726F"/>
    <w:rsid w:val="007A757A"/>
    <w:rsid w:val="007B08F4"/>
    <w:rsid w:val="007B0A40"/>
    <w:rsid w:val="007B14D2"/>
    <w:rsid w:val="007B34BC"/>
    <w:rsid w:val="007B38A6"/>
    <w:rsid w:val="007B452B"/>
    <w:rsid w:val="007B4EEE"/>
    <w:rsid w:val="007B5EBB"/>
    <w:rsid w:val="007B65D2"/>
    <w:rsid w:val="007B6AD5"/>
    <w:rsid w:val="007B6B01"/>
    <w:rsid w:val="007C04A2"/>
    <w:rsid w:val="007C1271"/>
    <w:rsid w:val="007C1273"/>
    <w:rsid w:val="007C313D"/>
    <w:rsid w:val="007C3B2E"/>
    <w:rsid w:val="007C405D"/>
    <w:rsid w:val="007C49D1"/>
    <w:rsid w:val="007C4D7C"/>
    <w:rsid w:val="007C5545"/>
    <w:rsid w:val="007C587A"/>
    <w:rsid w:val="007C5FD2"/>
    <w:rsid w:val="007C79F5"/>
    <w:rsid w:val="007C7A1C"/>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049"/>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B26"/>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88E"/>
    <w:rsid w:val="00824B51"/>
    <w:rsid w:val="00825DF2"/>
    <w:rsid w:val="00826459"/>
    <w:rsid w:val="008264A3"/>
    <w:rsid w:val="00826F27"/>
    <w:rsid w:val="008270BC"/>
    <w:rsid w:val="008309C8"/>
    <w:rsid w:val="008309F3"/>
    <w:rsid w:val="008312B3"/>
    <w:rsid w:val="0083287B"/>
    <w:rsid w:val="00832A83"/>
    <w:rsid w:val="00832D2B"/>
    <w:rsid w:val="00833114"/>
    <w:rsid w:val="00835668"/>
    <w:rsid w:val="008357D2"/>
    <w:rsid w:val="008370CF"/>
    <w:rsid w:val="00837CEF"/>
    <w:rsid w:val="00840C89"/>
    <w:rsid w:val="0084114B"/>
    <w:rsid w:val="00841D66"/>
    <w:rsid w:val="00842756"/>
    <w:rsid w:val="008430AD"/>
    <w:rsid w:val="008433AE"/>
    <w:rsid w:val="0084355F"/>
    <w:rsid w:val="00843D17"/>
    <w:rsid w:val="00846DD0"/>
    <w:rsid w:val="0084703C"/>
    <w:rsid w:val="008473A8"/>
    <w:rsid w:val="00847424"/>
    <w:rsid w:val="00847B25"/>
    <w:rsid w:val="00850061"/>
    <w:rsid w:val="00850259"/>
    <w:rsid w:val="008504C8"/>
    <w:rsid w:val="00851000"/>
    <w:rsid w:val="00851789"/>
    <w:rsid w:val="0085386F"/>
    <w:rsid w:val="00854886"/>
    <w:rsid w:val="00855029"/>
    <w:rsid w:val="0085507C"/>
    <w:rsid w:val="0085563E"/>
    <w:rsid w:val="00860053"/>
    <w:rsid w:val="008601DA"/>
    <w:rsid w:val="00861653"/>
    <w:rsid w:val="00861978"/>
    <w:rsid w:val="00861C16"/>
    <w:rsid w:val="008625C0"/>
    <w:rsid w:val="00863418"/>
    <w:rsid w:val="008634C5"/>
    <w:rsid w:val="00863FB1"/>
    <w:rsid w:val="00864F72"/>
    <w:rsid w:val="00865B42"/>
    <w:rsid w:val="00866DED"/>
    <w:rsid w:val="00866DF0"/>
    <w:rsid w:val="008672F5"/>
    <w:rsid w:val="00867EA3"/>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67F9"/>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2E4"/>
    <w:rsid w:val="008D7AC6"/>
    <w:rsid w:val="008E02E6"/>
    <w:rsid w:val="008E08A8"/>
    <w:rsid w:val="008E0B04"/>
    <w:rsid w:val="008E15B5"/>
    <w:rsid w:val="008E1B7B"/>
    <w:rsid w:val="008E20E6"/>
    <w:rsid w:val="008E2B42"/>
    <w:rsid w:val="008E350D"/>
    <w:rsid w:val="008E3B36"/>
    <w:rsid w:val="008E3CEC"/>
    <w:rsid w:val="008E480F"/>
    <w:rsid w:val="008E4A67"/>
    <w:rsid w:val="008F0205"/>
    <w:rsid w:val="008F0DCC"/>
    <w:rsid w:val="008F188C"/>
    <w:rsid w:val="008F1EB2"/>
    <w:rsid w:val="008F284E"/>
    <w:rsid w:val="008F2BAD"/>
    <w:rsid w:val="008F2CAE"/>
    <w:rsid w:val="008F39F2"/>
    <w:rsid w:val="008F45EB"/>
    <w:rsid w:val="008F4E1B"/>
    <w:rsid w:val="008F52F4"/>
    <w:rsid w:val="008F743B"/>
    <w:rsid w:val="009011B4"/>
    <w:rsid w:val="0090168E"/>
    <w:rsid w:val="00901AE0"/>
    <w:rsid w:val="00901FFB"/>
    <w:rsid w:val="009020E0"/>
    <w:rsid w:val="00902FFF"/>
    <w:rsid w:val="00903765"/>
    <w:rsid w:val="00903E8E"/>
    <w:rsid w:val="00904997"/>
    <w:rsid w:val="00905D8A"/>
    <w:rsid w:val="009064B4"/>
    <w:rsid w:val="0090696C"/>
    <w:rsid w:val="00907C15"/>
    <w:rsid w:val="0091170B"/>
    <w:rsid w:val="00911817"/>
    <w:rsid w:val="00912F68"/>
    <w:rsid w:val="009133A9"/>
    <w:rsid w:val="00913418"/>
    <w:rsid w:val="009137F9"/>
    <w:rsid w:val="009138DA"/>
    <w:rsid w:val="00913C08"/>
    <w:rsid w:val="00915282"/>
    <w:rsid w:val="0091567A"/>
    <w:rsid w:val="00920287"/>
    <w:rsid w:val="00920947"/>
    <w:rsid w:val="0092099A"/>
    <w:rsid w:val="00920C90"/>
    <w:rsid w:val="00921428"/>
    <w:rsid w:val="00921E9D"/>
    <w:rsid w:val="009220E0"/>
    <w:rsid w:val="0092244D"/>
    <w:rsid w:val="00922FD0"/>
    <w:rsid w:val="00923572"/>
    <w:rsid w:val="0092383C"/>
    <w:rsid w:val="009239A1"/>
    <w:rsid w:val="00923E83"/>
    <w:rsid w:val="00923FD8"/>
    <w:rsid w:val="009250CB"/>
    <w:rsid w:val="00925FF0"/>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35F5"/>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231"/>
    <w:rsid w:val="009829E2"/>
    <w:rsid w:val="00983525"/>
    <w:rsid w:val="009844CE"/>
    <w:rsid w:val="00984590"/>
    <w:rsid w:val="00984F92"/>
    <w:rsid w:val="00984FB7"/>
    <w:rsid w:val="009855CB"/>
    <w:rsid w:val="00985932"/>
    <w:rsid w:val="009868FC"/>
    <w:rsid w:val="00986D58"/>
    <w:rsid w:val="00986D6A"/>
    <w:rsid w:val="00990013"/>
    <w:rsid w:val="00990D44"/>
    <w:rsid w:val="00991E94"/>
    <w:rsid w:val="00992712"/>
    <w:rsid w:val="00993E7E"/>
    <w:rsid w:val="0099690A"/>
    <w:rsid w:val="00997136"/>
    <w:rsid w:val="009971A7"/>
    <w:rsid w:val="00997965"/>
    <w:rsid w:val="00997BBE"/>
    <w:rsid w:val="009A143B"/>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468"/>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1AF"/>
    <w:rsid w:val="009E0336"/>
    <w:rsid w:val="009E08CA"/>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881"/>
    <w:rsid w:val="00A32E73"/>
    <w:rsid w:val="00A3359F"/>
    <w:rsid w:val="00A33F3B"/>
    <w:rsid w:val="00A352E3"/>
    <w:rsid w:val="00A35446"/>
    <w:rsid w:val="00A35615"/>
    <w:rsid w:val="00A3583F"/>
    <w:rsid w:val="00A36029"/>
    <w:rsid w:val="00A360DF"/>
    <w:rsid w:val="00A36936"/>
    <w:rsid w:val="00A37129"/>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2CC"/>
    <w:rsid w:val="00A537AD"/>
    <w:rsid w:val="00A54A2D"/>
    <w:rsid w:val="00A54AAC"/>
    <w:rsid w:val="00A55915"/>
    <w:rsid w:val="00A55A68"/>
    <w:rsid w:val="00A56094"/>
    <w:rsid w:val="00A5698E"/>
    <w:rsid w:val="00A56B70"/>
    <w:rsid w:val="00A575B4"/>
    <w:rsid w:val="00A608CD"/>
    <w:rsid w:val="00A60A4A"/>
    <w:rsid w:val="00A61973"/>
    <w:rsid w:val="00A64280"/>
    <w:rsid w:val="00A64C7D"/>
    <w:rsid w:val="00A64E0F"/>
    <w:rsid w:val="00A654A2"/>
    <w:rsid w:val="00A654DF"/>
    <w:rsid w:val="00A655E9"/>
    <w:rsid w:val="00A66CB2"/>
    <w:rsid w:val="00A67461"/>
    <w:rsid w:val="00A703F5"/>
    <w:rsid w:val="00A71119"/>
    <w:rsid w:val="00A72E3D"/>
    <w:rsid w:val="00A72EE1"/>
    <w:rsid w:val="00A7300D"/>
    <w:rsid w:val="00A73B00"/>
    <w:rsid w:val="00A746E4"/>
    <w:rsid w:val="00A761F4"/>
    <w:rsid w:val="00A77448"/>
    <w:rsid w:val="00A77B65"/>
    <w:rsid w:val="00A77EC2"/>
    <w:rsid w:val="00A8007D"/>
    <w:rsid w:val="00A80761"/>
    <w:rsid w:val="00A80DC8"/>
    <w:rsid w:val="00A812F5"/>
    <w:rsid w:val="00A814C5"/>
    <w:rsid w:val="00A81C21"/>
    <w:rsid w:val="00A82415"/>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0D66"/>
    <w:rsid w:val="00AA11A2"/>
    <w:rsid w:val="00AA20E4"/>
    <w:rsid w:val="00AA221F"/>
    <w:rsid w:val="00AA2502"/>
    <w:rsid w:val="00AA2C0B"/>
    <w:rsid w:val="00AA2CA6"/>
    <w:rsid w:val="00AA3786"/>
    <w:rsid w:val="00AA38B9"/>
    <w:rsid w:val="00AA438D"/>
    <w:rsid w:val="00AA55E0"/>
    <w:rsid w:val="00AA5BC8"/>
    <w:rsid w:val="00AA61B7"/>
    <w:rsid w:val="00AA689B"/>
    <w:rsid w:val="00AA7023"/>
    <w:rsid w:val="00AA7F37"/>
    <w:rsid w:val="00AB00F1"/>
    <w:rsid w:val="00AB0CE7"/>
    <w:rsid w:val="00AB11B8"/>
    <w:rsid w:val="00AB3569"/>
    <w:rsid w:val="00AB511E"/>
    <w:rsid w:val="00AB5C16"/>
    <w:rsid w:val="00AB5C8E"/>
    <w:rsid w:val="00AB628D"/>
    <w:rsid w:val="00AB73B7"/>
    <w:rsid w:val="00AC00B1"/>
    <w:rsid w:val="00AC0229"/>
    <w:rsid w:val="00AC12CF"/>
    <w:rsid w:val="00AC154D"/>
    <w:rsid w:val="00AC24D4"/>
    <w:rsid w:val="00AC2548"/>
    <w:rsid w:val="00AC3C32"/>
    <w:rsid w:val="00AC3DB8"/>
    <w:rsid w:val="00AD100C"/>
    <w:rsid w:val="00AD2540"/>
    <w:rsid w:val="00AD38ED"/>
    <w:rsid w:val="00AD39D6"/>
    <w:rsid w:val="00AD3C97"/>
    <w:rsid w:val="00AD40FF"/>
    <w:rsid w:val="00AD4282"/>
    <w:rsid w:val="00AD5A42"/>
    <w:rsid w:val="00AD6EF0"/>
    <w:rsid w:val="00AD7073"/>
    <w:rsid w:val="00AD77FD"/>
    <w:rsid w:val="00AD79E2"/>
    <w:rsid w:val="00AD7FFB"/>
    <w:rsid w:val="00AE1C5C"/>
    <w:rsid w:val="00AE271F"/>
    <w:rsid w:val="00AE3DF5"/>
    <w:rsid w:val="00AE4CFF"/>
    <w:rsid w:val="00AE4E46"/>
    <w:rsid w:val="00AE52B0"/>
    <w:rsid w:val="00AE54F8"/>
    <w:rsid w:val="00AE5C7F"/>
    <w:rsid w:val="00AF1629"/>
    <w:rsid w:val="00AF1B42"/>
    <w:rsid w:val="00AF2172"/>
    <w:rsid w:val="00AF3804"/>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EC"/>
    <w:rsid w:val="00B04DD6"/>
    <w:rsid w:val="00B050D6"/>
    <w:rsid w:val="00B0768C"/>
    <w:rsid w:val="00B10264"/>
    <w:rsid w:val="00B1212B"/>
    <w:rsid w:val="00B125A0"/>
    <w:rsid w:val="00B13177"/>
    <w:rsid w:val="00B13E8D"/>
    <w:rsid w:val="00B15165"/>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27136"/>
    <w:rsid w:val="00B30025"/>
    <w:rsid w:val="00B31114"/>
    <w:rsid w:val="00B313D0"/>
    <w:rsid w:val="00B3156A"/>
    <w:rsid w:val="00B315E1"/>
    <w:rsid w:val="00B315F4"/>
    <w:rsid w:val="00B317DD"/>
    <w:rsid w:val="00B33EBC"/>
    <w:rsid w:val="00B33FC4"/>
    <w:rsid w:val="00B34AAA"/>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4A0"/>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1E5C"/>
    <w:rsid w:val="00B6208F"/>
    <w:rsid w:val="00B6219D"/>
    <w:rsid w:val="00B62B0D"/>
    <w:rsid w:val="00B62E87"/>
    <w:rsid w:val="00B635E2"/>
    <w:rsid w:val="00B636E6"/>
    <w:rsid w:val="00B646C8"/>
    <w:rsid w:val="00B64DB8"/>
    <w:rsid w:val="00B65654"/>
    <w:rsid w:val="00B6596E"/>
    <w:rsid w:val="00B65D72"/>
    <w:rsid w:val="00B661AF"/>
    <w:rsid w:val="00B66F67"/>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0E81"/>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4C6"/>
    <w:rsid w:val="00BA1836"/>
    <w:rsid w:val="00BA18D4"/>
    <w:rsid w:val="00BA224E"/>
    <w:rsid w:val="00BA258A"/>
    <w:rsid w:val="00BA2A3D"/>
    <w:rsid w:val="00BA31EF"/>
    <w:rsid w:val="00BA3677"/>
    <w:rsid w:val="00BA3973"/>
    <w:rsid w:val="00BA42E0"/>
    <w:rsid w:val="00BA5246"/>
    <w:rsid w:val="00BA59AD"/>
    <w:rsid w:val="00BA6343"/>
    <w:rsid w:val="00BA63BB"/>
    <w:rsid w:val="00BA65C8"/>
    <w:rsid w:val="00BA6A89"/>
    <w:rsid w:val="00BA6F7A"/>
    <w:rsid w:val="00BA79B7"/>
    <w:rsid w:val="00BB0D35"/>
    <w:rsid w:val="00BB13C5"/>
    <w:rsid w:val="00BB1812"/>
    <w:rsid w:val="00BB23CB"/>
    <w:rsid w:val="00BB2532"/>
    <w:rsid w:val="00BB2686"/>
    <w:rsid w:val="00BB37EA"/>
    <w:rsid w:val="00BB3A96"/>
    <w:rsid w:val="00BB3D8C"/>
    <w:rsid w:val="00BB4D08"/>
    <w:rsid w:val="00BB6A68"/>
    <w:rsid w:val="00BB739C"/>
    <w:rsid w:val="00BB7905"/>
    <w:rsid w:val="00BC0108"/>
    <w:rsid w:val="00BC088B"/>
    <w:rsid w:val="00BC1305"/>
    <w:rsid w:val="00BC15C0"/>
    <w:rsid w:val="00BC2587"/>
    <w:rsid w:val="00BC26C1"/>
    <w:rsid w:val="00BC342A"/>
    <w:rsid w:val="00BC40F2"/>
    <w:rsid w:val="00BC45CE"/>
    <w:rsid w:val="00BC4F3D"/>
    <w:rsid w:val="00BC59CF"/>
    <w:rsid w:val="00BC64CE"/>
    <w:rsid w:val="00BC68AD"/>
    <w:rsid w:val="00BC7112"/>
    <w:rsid w:val="00BD0C00"/>
    <w:rsid w:val="00BD0DA0"/>
    <w:rsid w:val="00BD0DD3"/>
    <w:rsid w:val="00BD3693"/>
    <w:rsid w:val="00BD438C"/>
    <w:rsid w:val="00BD4433"/>
    <w:rsid w:val="00BD4843"/>
    <w:rsid w:val="00BD492B"/>
    <w:rsid w:val="00BD4F9A"/>
    <w:rsid w:val="00BD5489"/>
    <w:rsid w:val="00BD5E19"/>
    <w:rsid w:val="00BD6D4E"/>
    <w:rsid w:val="00BD71F1"/>
    <w:rsid w:val="00BD74CF"/>
    <w:rsid w:val="00BE1BBE"/>
    <w:rsid w:val="00BE2C9F"/>
    <w:rsid w:val="00BE36D5"/>
    <w:rsid w:val="00BE38E1"/>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000"/>
    <w:rsid w:val="00C22D5B"/>
    <w:rsid w:val="00C22D64"/>
    <w:rsid w:val="00C22F22"/>
    <w:rsid w:val="00C2365F"/>
    <w:rsid w:val="00C23BF3"/>
    <w:rsid w:val="00C23FDB"/>
    <w:rsid w:val="00C24B6B"/>
    <w:rsid w:val="00C25A02"/>
    <w:rsid w:val="00C26147"/>
    <w:rsid w:val="00C268F6"/>
    <w:rsid w:val="00C27D1A"/>
    <w:rsid w:val="00C31200"/>
    <w:rsid w:val="00C3197C"/>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1B56"/>
    <w:rsid w:val="00C4244D"/>
    <w:rsid w:val="00C42C2F"/>
    <w:rsid w:val="00C43B8F"/>
    <w:rsid w:val="00C44980"/>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7F8"/>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77025"/>
    <w:rsid w:val="00C80261"/>
    <w:rsid w:val="00C808D5"/>
    <w:rsid w:val="00C810FC"/>
    <w:rsid w:val="00C83543"/>
    <w:rsid w:val="00C83651"/>
    <w:rsid w:val="00C83754"/>
    <w:rsid w:val="00C83F2B"/>
    <w:rsid w:val="00C84998"/>
    <w:rsid w:val="00C855DB"/>
    <w:rsid w:val="00C85611"/>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E32"/>
    <w:rsid w:val="00CB1AC1"/>
    <w:rsid w:val="00CB26F2"/>
    <w:rsid w:val="00CB2BAE"/>
    <w:rsid w:val="00CB3166"/>
    <w:rsid w:val="00CB40D4"/>
    <w:rsid w:val="00CB4885"/>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6ED4"/>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021C"/>
    <w:rsid w:val="00CF04E4"/>
    <w:rsid w:val="00CF10EF"/>
    <w:rsid w:val="00CF1F53"/>
    <w:rsid w:val="00CF1FAE"/>
    <w:rsid w:val="00CF3BED"/>
    <w:rsid w:val="00CF4A6D"/>
    <w:rsid w:val="00CF50FD"/>
    <w:rsid w:val="00CF593F"/>
    <w:rsid w:val="00CF5B89"/>
    <w:rsid w:val="00CF6510"/>
    <w:rsid w:val="00CF65E5"/>
    <w:rsid w:val="00CF66B8"/>
    <w:rsid w:val="00CF6971"/>
    <w:rsid w:val="00CF6D04"/>
    <w:rsid w:val="00CF6DEE"/>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1F9A"/>
    <w:rsid w:val="00D12C52"/>
    <w:rsid w:val="00D12D84"/>
    <w:rsid w:val="00D14E13"/>
    <w:rsid w:val="00D1650D"/>
    <w:rsid w:val="00D16547"/>
    <w:rsid w:val="00D20368"/>
    <w:rsid w:val="00D209D8"/>
    <w:rsid w:val="00D20B6C"/>
    <w:rsid w:val="00D20DAB"/>
    <w:rsid w:val="00D2186C"/>
    <w:rsid w:val="00D239A5"/>
    <w:rsid w:val="00D24260"/>
    <w:rsid w:val="00D2457A"/>
    <w:rsid w:val="00D25024"/>
    <w:rsid w:val="00D25A36"/>
    <w:rsid w:val="00D26250"/>
    <w:rsid w:val="00D26F20"/>
    <w:rsid w:val="00D2737B"/>
    <w:rsid w:val="00D3007F"/>
    <w:rsid w:val="00D30447"/>
    <w:rsid w:val="00D30DBA"/>
    <w:rsid w:val="00D30EC7"/>
    <w:rsid w:val="00D33362"/>
    <w:rsid w:val="00D33C0D"/>
    <w:rsid w:val="00D34C41"/>
    <w:rsid w:val="00D35BC6"/>
    <w:rsid w:val="00D3635F"/>
    <w:rsid w:val="00D36532"/>
    <w:rsid w:val="00D367F9"/>
    <w:rsid w:val="00D3760F"/>
    <w:rsid w:val="00D37FBA"/>
    <w:rsid w:val="00D40A87"/>
    <w:rsid w:val="00D4166E"/>
    <w:rsid w:val="00D418AA"/>
    <w:rsid w:val="00D41CA2"/>
    <w:rsid w:val="00D42026"/>
    <w:rsid w:val="00D424A2"/>
    <w:rsid w:val="00D4251B"/>
    <w:rsid w:val="00D42ECA"/>
    <w:rsid w:val="00D43649"/>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404"/>
    <w:rsid w:val="00D64B3A"/>
    <w:rsid w:val="00D64D09"/>
    <w:rsid w:val="00D6587E"/>
    <w:rsid w:val="00D65C48"/>
    <w:rsid w:val="00D67C48"/>
    <w:rsid w:val="00D70CA3"/>
    <w:rsid w:val="00D718E2"/>
    <w:rsid w:val="00D719E5"/>
    <w:rsid w:val="00D72097"/>
    <w:rsid w:val="00D72510"/>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32F2"/>
    <w:rsid w:val="00D83CC1"/>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C2F"/>
    <w:rsid w:val="00DA1D14"/>
    <w:rsid w:val="00DA3B52"/>
    <w:rsid w:val="00DA4151"/>
    <w:rsid w:val="00DA4B58"/>
    <w:rsid w:val="00DA4B87"/>
    <w:rsid w:val="00DA5129"/>
    <w:rsid w:val="00DA54E7"/>
    <w:rsid w:val="00DA5795"/>
    <w:rsid w:val="00DA5945"/>
    <w:rsid w:val="00DA63A9"/>
    <w:rsid w:val="00DA717D"/>
    <w:rsid w:val="00DA7986"/>
    <w:rsid w:val="00DA7A5F"/>
    <w:rsid w:val="00DB0226"/>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1E6D"/>
    <w:rsid w:val="00DC2465"/>
    <w:rsid w:val="00DC252B"/>
    <w:rsid w:val="00DC2811"/>
    <w:rsid w:val="00DC458D"/>
    <w:rsid w:val="00DC4BE1"/>
    <w:rsid w:val="00DC5054"/>
    <w:rsid w:val="00DC596B"/>
    <w:rsid w:val="00DC78C5"/>
    <w:rsid w:val="00DC7910"/>
    <w:rsid w:val="00DC7CCB"/>
    <w:rsid w:val="00DD016C"/>
    <w:rsid w:val="00DD054C"/>
    <w:rsid w:val="00DD0B1B"/>
    <w:rsid w:val="00DD0E44"/>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2AD"/>
    <w:rsid w:val="00DE2C26"/>
    <w:rsid w:val="00DE2CFB"/>
    <w:rsid w:val="00DE414D"/>
    <w:rsid w:val="00DE5048"/>
    <w:rsid w:val="00DE68DD"/>
    <w:rsid w:val="00DE77DC"/>
    <w:rsid w:val="00DF0391"/>
    <w:rsid w:val="00DF0FAE"/>
    <w:rsid w:val="00DF1506"/>
    <w:rsid w:val="00DF1F74"/>
    <w:rsid w:val="00DF2FA1"/>
    <w:rsid w:val="00DF5862"/>
    <w:rsid w:val="00DF5E93"/>
    <w:rsid w:val="00DF66BB"/>
    <w:rsid w:val="00DF7D55"/>
    <w:rsid w:val="00DF7F94"/>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2EF3"/>
    <w:rsid w:val="00E13856"/>
    <w:rsid w:val="00E13E2F"/>
    <w:rsid w:val="00E14C82"/>
    <w:rsid w:val="00E15278"/>
    <w:rsid w:val="00E1582A"/>
    <w:rsid w:val="00E158E9"/>
    <w:rsid w:val="00E15B98"/>
    <w:rsid w:val="00E16411"/>
    <w:rsid w:val="00E16654"/>
    <w:rsid w:val="00E17B49"/>
    <w:rsid w:val="00E17DE3"/>
    <w:rsid w:val="00E17F03"/>
    <w:rsid w:val="00E2102F"/>
    <w:rsid w:val="00E21104"/>
    <w:rsid w:val="00E21CDD"/>
    <w:rsid w:val="00E21E11"/>
    <w:rsid w:val="00E233C9"/>
    <w:rsid w:val="00E23438"/>
    <w:rsid w:val="00E239BA"/>
    <w:rsid w:val="00E24415"/>
    <w:rsid w:val="00E24D01"/>
    <w:rsid w:val="00E25521"/>
    <w:rsid w:val="00E25917"/>
    <w:rsid w:val="00E261E0"/>
    <w:rsid w:val="00E26580"/>
    <w:rsid w:val="00E2721C"/>
    <w:rsid w:val="00E27B4B"/>
    <w:rsid w:val="00E3028E"/>
    <w:rsid w:val="00E311CE"/>
    <w:rsid w:val="00E31D2B"/>
    <w:rsid w:val="00E31E30"/>
    <w:rsid w:val="00E31E40"/>
    <w:rsid w:val="00E33520"/>
    <w:rsid w:val="00E33741"/>
    <w:rsid w:val="00E33D3D"/>
    <w:rsid w:val="00E351B8"/>
    <w:rsid w:val="00E35EC1"/>
    <w:rsid w:val="00E35F95"/>
    <w:rsid w:val="00E3623E"/>
    <w:rsid w:val="00E36893"/>
    <w:rsid w:val="00E369E0"/>
    <w:rsid w:val="00E36F87"/>
    <w:rsid w:val="00E36FAF"/>
    <w:rsid w:val="00E37775"/>
    <w:rsid w:val="00E37879"/>
    <w:rsid w:val="00E4029A"/>
    <w:rsid w:val="00E410B5"/>
    <w:rsid w:val="00E41D4A"/>
    <w:rsid w:val="00E41DFA"/>
    <w:rsid w:val="00E4205C"/>
    <w:rsid w:val="00E42264"/>
    <w:rsid w:val="00E42D1E"/>
    <w:rsid w:val="00E43435"/>
    <w:rsid w:val="00E447FF"/>
    <w:rsid w:val="00E44850"/>
    <w:rsid w:val="00E455A1"/>
    <w:rsid w:val="00E45DF0"/>
    <w:rsid w:val="00E45F05"/>
    <w:rsid w:val="00E47A30"/>
    <w:rsid w:val="00E50E09"/>
    <w:rsid w:val="00E51F55"/>
    <w:rsid w:val="00E531FE"/>
    <w:rsid w:val="00E540CA"/>
    <w:rsid w:val="00E54462"/>
    <w:rsid w:val="00E54583"/>
    <w:rsid w:val="00E55F46"/>
    <w:rsid w:val="00E5633C"/>
    <w:rsid w:val="00E56E97"/>
    <w:rsid w:val="00E56EE4"/>
    <w:rsid w:val="00E57504"/>
    <w:rsid w:val="00E60A17"/>
    <w:rsid w:val="00E621FE"/>
    <w:rsid w:val="00E62CBA"/>
    <w:rsid w:val="00E63E08"/>
    <w:rsid w:val="00E648F7"/>
    <w:rsid w:val="00E64CC9"/>
    <w:rsid w:val="00E653E6"/>
    <w:rsid w:val="00E65D50"/>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3EE2"/>
    <w:rsid w:val="00E86047"/>
    <w:rsid w:val="00E86711"/>
    <w:rsid w:val="00E86798"/>
    <w:rsid w:val="00E90BD7"/>
    <w:rsid w:val="00E90CAB"/>
    <w:rsid w:val="00E90E54"/>
    <w:rsid w:val="00E9118C"/>
    <w:rsid w:val="00E911A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87"/>
    <w:rsid w:val="00EA3BBF"/>
    <w:rsid w:val="00EA3EA7"/>
    <w:rsid w:val="00EA4F63"/>
    <w:rsid w:val="00EA5703"/>
    <w:rsid w:val="00EA63F5"/>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3B62"/>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1DF7"/>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5D74"/>
    <w:rsid w:val="00F2644C"/>
    <w:rsid w:val="00F26992"/>
    <w:rsid w:val="00F26F0E"/>
    <w:rsid w:val="00F276E4"/>
    <w:rsid w:val="00F2789C"/>
    <w:rsid w:val="00F310A3"/>
    <w:rsid w:val="00F31B8A"/>
    <w:rsid w:val="00F31FDD"/>
    <w:rsid w:val="00F323A8"/>
    <w:rsid w:val="00F3251D"/>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5F33"/>
    <w:rsid w:val="00F56A49"/>
    <w:rsid w:val="00F56C72"/>
    <w:rsid w:val="00F60D33"/>
    <w:rsid w:val="00F60D74"/>
    <w:rsid w:val="00F61136"/>
    <w:rsid w:val="00F615F1"/>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1D2"/>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303C"/>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6C27"/>
    <w:rsid w:val="00FE05FC"/>
    <w:rsid w:val="00FE0693"/>
    <w:rsid w:val="00FE086E"/>
    <w:rsid w:val="00FE0AF4"/>
    <w:rsid w:val="00FE127F"/>
    <w:rsid w:val="00FE27EE"/>
    <w:rsid w:val="00FE30E1"/>
    <w:rsid w:val="00FE45D0"/>
    <w:rsid w:val="00FE520C"/>
    <w:rsid w:val="00FE65C5"/>
    <w:rsid w:val="00FE6DA0"/>
    <w:rsid w:val="00FF0C49"/>
    <w:rsid w:val="00FF0FDB"/>
    <w:rsid w:val="00FF1282"/>
    <w:rsid w:val="00FF1339"/>
    <w:rsid w:val="00FF1682"/>
    <w:rsid w:val="00FF33D3"/>
    <w:rsid w:val="00FF424C"/>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aconvietas">
    <w:name w:val="List Bullet"/>
    <w:basedOn w:val="Normal"/>
    <w:uiPriority w:val="99"/>
    <w:unhideWhenUsed/>
    <w:rsid w:val="00326AF6"/>
    <w:pPr>
      <w:numPr>
        <w:numId w:val="14"/>
      </w:numPr>
      <w:contextualSpacing/>
    </w:pPr>
  </w:style>
  <w:style w:type="paragraph" w:styleId="NormalWeb">
    <w:name w:val="Normal (Web)"/>
    <w:basedOn w:val="Normal"/>
    <w:uiPriority w:val="99"/>
    <w:semiHidden/>
    <w:unhideWhenUsed/>
    <w:rsid w:val="0075000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mp">
    <w:name w:val="temp"/>
    <w:basedOn w:val="Normal"/>
    <w:rsid w:val="00EC3B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EC3B62"/>
  </w:style>
  <w:style w:type="character" w:customStyle="1" w:styleId="ng-star-inserted">
    <w:name w:val="ng-star-inserted"/>
    <w:basedOn w:val="Fuentedeprrafopredeter"/>
    <w:rsid w:val="00EC3B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56328">
      <w:bodyDiv w:val="1"/>
      <w:marLeft w:val="0"/>
      <w:marRight w:val="0"/>
      <w:marTop w:val="0"/>
      <w:marBottom w:val="0"/>
      <w:divBdr>
        <w:top w:val="none" w:sz="0" w:space="0" w:color="auto"/>
        <w:left w:val="none" w:sz="0" w:space="0" w:color="auto"/>
        <w:bottom w:val="none" w:sz="0" w:space="0" w:color="auto"/>
        <w:right w:val="none" w:sz="0" w:space="0" w:color="auto"/>
      </w:divBdr>
      <w:divsChild>
        <w:div w:id="1502044577">
          <w:marLeft w:val="0"/>
          <w:marRight w:val="0"/>
          <w:marTop w:val="0"/>
          <w:marBottom w:val="0"/>
          <w:divBdr>
            <w:top w:val="none" w:sz="0" w:space="0" w:color="auto"/>
            <w:left w:val="none" w:sz="0" w:space="0" w:color="auto"/>
            <w:bottom w:val="none" w:sz="0" w:space="0" w:color="auto"/>
            <w:right w:val="none" w:sz="0" w:space="0" w:color="auto"/>
          </w:divBdr>
        </w:div>
        <w:div w:id="2070687117">
          <w:marLeft w:val="0"/>
          <w:marRight w:val="0"/>
          <w:marTop w:val="0"/>
          <w:marBottom w:val="0"/>
          <w:divBdr>
            <w:top w:val="none" w:sz="0" w:space="0" w:color="auto"/>
            <w:left w:val="none" w:sz="0" w:space="0" w:color="auto"/>
            <w:bottom w:val="none" w:sz="0" w:space="0" w:color="auto"/>
            <w:right w:val="none" w:sz="0" w:space="0" w:color="auto"/>
          </w:divBdr>
        </w:div>
        <w:div w:id="100689194">
          <w:marLeft w:val="0"/>
          <w:marRight w:val="0"/>
          <w:marTop w:val="0"/>
          <w:marBottom w:val="0"/>
          <w:divBdr>
            <w:top w:val="none" w:sz="0" w:space="0" w:color="auto"/>
            <w:left w:val="none" w:sz="0" w:space="0" w:color="auto"/>
            <w:bottom w:val="none" w:sz="0" w:space="0" w:color="auto"/>
            <w:right w:val="none" w:sz="0" w:space="0" w:color="auto"/>
          </w:divBdr>
        </w:div>
        <w:div w:id="867062016">
          <w:marLeft w:val="0"/>
          <w:marRight w:val="0"/>
          <w:marTop w:val="0"/>
          <w:marBottom w:val="0"/>
          <w:divBdr>
            <w:top w:val="none" w:sz="0" w:space="0" w:color="auto"/>
            <w:left w:val="none" w:sz="0" w:space="0" w:color="auto"/>
            <w:bottom w:val="none" w:sz="0" w:space="0" w:color="auto"/>
            <w:right w:val="none" w:sz="0" w:space="0" w:color="auto"/>
          </w:divBdr>
        </w:div>
        <w:div w:id="109936111">
          <w:marLeft w:val="0"/>
          <w:marRight w:val="0"/>
          <w:marTop w:val="0"/>
          <w:marBottom w:val="0"/>
          <w:divBdr>
            <w:top w:val="none" w:sz="0" w:space="0" w:color="auto"/>
            <w:left w:val="none" w:sz="0" w:space="0" w:color="auto"/>
            <w:bottom w:val="none" w:sz="0" w:space="0" w:color="auto"/>
            <w:right w:val="none" w:sz="0" w:space="0" w:color="auto"/>
          </w:divBdr>
        </w:div>
        <w:div w:id="1913346727">
          <w:marLeft w:val="0"/>
          <w:marRight w:val="0"/>
          <w:marTop w:val="0"/>
          <w:marBottom w:val="0"/>
          <w:divBdr>
            <w:top w:val="none" w:sz="0" w:space="0" w:color="auto"/>
            <w:left w:val="none" w:sz="0" w:space="0" w:color="auto"/>
            <w:bottom w:val="none" w:sz="0" w:space="0" w:color="auto"/>
            <w:right w:val="none" w:sz="0" w:space="0" w:color="auto"/>
          </w:divBdr>
        </w:div>
        <w:div w:id="1703288417">
          <w:marLeft w:val="0"/>
          <w:marRight w:val="0"/>
          <w:marTop w:val="0"/>
          <w:marBottom w:val="0"/>
          <w:divBdr>
            <w:top w:val="none" w:sz="0" w:space="0" w:color="auto"/>
            <w:left w:val="none" w:sz="0" w:space="0" w:color="auto"/>
            <w:bottom w:val="none" w:sz="0" w:space="0" w:color="auto"/>
            <w:right w:val="none" w:sz="0" w:space="0" w:color="auto"/>
          </w:divBdr>
        </w:div>
      </w:divsChild>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315383763">
      <w:bodyDiv w:val="1"/>
      <w:marLeft w:val="0"/>
      <w:marRight w:val="0"/>
      <w:marTop w:val="0"/>
      <w:marBottom w:val="0"/>
      <w:divBdr>
        <w:top w:val="none" w:sz="0" w:space="0" w:color="auto"/>
        <w:left w:val="none" w:sz="0" w:space="0" w:color="auto"/>
        <w:bottom w:val="none" w:sz="0" w:space="0" w:color="auto"/>
        <w:right w:val="none" w:sz="0" w:space="0" w:color="auto"/>
      </w:divBdr>
    </w:div>
    <w:div w:id="397214877">
      <w:bodyDiv w:val="1"/>
      <w:marLeft w:val="0"/>
      <w:marRight w:val="0"/>
      <w:marTop w:val="0"/>
      <w:marBottom w:val="0"/>
      <w:divBdr>
        <w:top w:val="none" w:sz="0" w:space="0" w:color="auto"/>
        <w:left w:val="none" w:sz="0" w:space="0" w:color="auto"/>
        <w:bottom w:val="none" w:sz="0" w:space="0" w:color="auto"/>
        <w:right w:val="none" w:sz="0" w:space="0" w:color="auto"/>
      </w:divBdr>
    </w:div>
    <w:div w:id="844511588">
      <w:bodyDiv w:val="1"/>
      <w:marLeft w:val="0"/>
      <w:marRight w:val="0"/>
      <w:marTop w:val="0"/>
      <w:marBottom w:val="0"/>
      <w:divBdr>
        <w:top w:val="none" w:sz="0" w:space="0" w:color="auto"/>
        <w:left w:val="none" w:sz="0" w:space="0" w:color="auto"/>
        <w:bottom w:val="none" w:sz="0" w:space="0" w:color="auto"/>
        <w:right w:val="none" w:sz="0" w:space="0" w:color="auto"/>
      </w:divBdr>
    </w:div>
    <w:div w:id="952639311">
      <w:bodyDiv w:val="1"/>
      <w:marLeft w:val="0"/>
      <w:marRight w:val="0"/>
      <w:marTop w:val="0"/>
      <w:marBottom w:val="0"/>
      <w:divBdr>
        <w:top w:val="none" w:sz="0" w:space="0" w:color="auto"/>
        <w:left w:val="none" w:sz="0" w:space="0" w:color="auto"/>
        <w:bottom w:val="none" w:sz="0" w:space="0" w:color="auto"/>
        <w:right w:val="none" w:sz="0" w:space="0" w:color="auto"/>
      </w:divBdr>
    </w:div>
    <w:div w:id="1056390180">
      <w:bodyDiv w:val="1"/>
      <w:marLeft w:val="0"/>
      <w:marRight w:val="0"/>
      <w:marTop w:val="0"/>
      <w:marBottom w:val="0"/>
      <w:divBdr>
        <w:top w:val="none" w:sz="0" w:space="0" w:color="auto"/>
        <w:left w:val="none" w:sz="0" w:space="0" w:color="auto"/>
        <w:bottom w:val="none" w:sz="0" w:space="0" w:color="auto"/>
        <w:right w:val="none" w:sz="0" w:space="0" w:color="auto"/>
      </w:divBdr>
      <w:divsChild>
        <w:div w:id="2007661744">
          <w:marLeft w:val="0"/>
          <w:marRight w:val="0"/>
          <w:marTop w:val="0"/>
          <w:marBottom w:val="0"/>
          <w:divBdr>
            <w:top w:val="none" w:sz="0" w:space="0" w:color="auto"/>
            <w:left w:val="none" w:sz="0" w:space="0" w:color="auto"/>
            <w:bottom w:val="none" w:sz="0" w:space="0" w:color="auto"/>
            <w:right w:val="none" w:sz="0" w:space="0" w:color="auto"/>
          </w:divBdr>
        </w:div>
        <w:div w:id="630980832">
          <w:marLeft w:val="0"/>
          <w:marRight w:val="0"/>
          <w:marTop w:val="0"/>
          <w:marBottom w:val="0"/>
          <w:divBdr>
            <w:top w:val="none" w:sz="0" w:space="0" w:color="auto"/>
            <w:left w:val="none" w:sz="0" w:space="0" w:color="auto"/>
            <w:bottom w:val="none" w:sz="0" w:space="0" w:color="auto"/>
            <w:right w:val="none" w:sz="0" w:space="0" w:color="auto"/>
          </w:divBdr>
        </w:div>
        <w:div w:id="345864755">
          <w:marLeft w:val="0"/>
          <w:marRight w:val="0"/>
          <w:marTop w:val="0"/>
          <w:marBottom w:val="0"/>
          <w:divBdr>
            <w:top w:val="none" w:sz="0" w:space="0" w:color="auto"/>
            <w:left w:val="none" w:sz="0" w:space="0" w:color="auto"/>
            <w:bottom w:val="none" w:sz="0" w:space="0" w:color="auto"/>
            <w:right w:val="none" w:sz="0" w:space="0" w:color="auto"/>
          </w:divBdr>
        </w:div>
        <w:div w:id="456030216">
          <w:marLeft w:val="0"/>
          <w:marRight w:val="0"/>
          <w:marTop w:val="0"/>
          <w:marBottom w:val="0"/>
          <w:divBdr>
            <w:top w:val="none" w:sz="0" w:space="0" w:color="auto"/>
            <w:left w:val="none" w:sz="0" w:space="0" w:color="auto"/>
            <w:bottom w:val="none" w:sz="0" w:space="0" w:color="auto"/>
            <w:right w:val="none" w:sz="0" w:space="0" w:color="auto"/>
          </w:divBdr>
        </w:div>
        <w:div w:id="1837455201">
          <w:marLeft w:val="0"/>
          <w:marRight w:val="0"/>
          <w:marTop w:val="0"/>
          <w:marBottom w:val="0"/>
          <w:divBdr>
            <w:top w:val="none" w:sz="0" w:space="0" w:color="auto"/>
            <w:left w:val="none" w:sz="0" w:space="0" w:color="auto"/>
            <w:bottom w:val="none" w:sz="0" w:space="0" w:color="auto"/>
            <w:right w:val="none" w:sz="0" w:space="0" w:color="auto"/>
          </w:divBdr>
        </w:div>
        <w:div w:id="1432357515">
          <w:marLeft w:val="0"/>
          <w:marRight w:val="0"/>
          <w:marTop w:val="0"/>
          <w:marBottom w:val="0"/>
          <w:divBdr>
            <w:top w:val="none" w:sz="0" w:space="0" w:color="auto"/>
            <w:left w:val="none" w:sz="0" w:space="0" w:color="auto"/>
            <w:bottom w:val="none" w:sz="0" w:space="0" w:color="auto"/>
            <w:right w:val="none" w:sz="0" w:space="0" w:color="auto"/>
          </w:divBdr>
        </w:div>
        <w:div w:id="2038310362">
          <w:marLeft w:val="0"/>
          <w:marRight w:val="0"/>
          <w:marTop w:val="0"/>
          <w:marBottom w:val="0"/>
          <w:divBdr>
            <w:top w:val="none" w:sz="0" w:space="0" w:color="auto"/>
            <w:left w:val="none" w:sz="0" w:space="0" w:color="auto"/>
            <w:bottom w:val="none" w:sz="0" w:space="0" w:color="auto"/>
            <w:right w:val="none" w:sz="0" w:space="0" w:color="auto"/>
          </w:divBdr>
        </w:div>
      </w:divsChild>
    </w:div>
    <w:div w:id="1275551869">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06143360">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58641926">
      <w:bodyDiv w:val="1"/>
      <w:marLeft w:val="0"/>
      <w:marRight w:val="0"/>
      <w:marTop w:val="0"/>
      <w:marBottom w:val="0"/>
      <w:divBdr>
        <w:top w:val="none" w:sz="0" w:space="0" w:color="auto"/>
        <w:left w:val="none" w:sz="0" w:space="0" w:color="auto"/>
        <w:bottom w:val="none" w:sz="0" w:space="0" w:color="auto"/>
        <w:right w:val="none" w:sz="0" w:space="0" w:color="auto"/>
      </w:divBdr>
    </w:div>
    <w:div w:id="1653556248">
      <w:bodyDiv w:val="1"/>
      <w:marLeft w:val="0"/>
      <w:marRight w:val="0"/>
      <w:marTop w:val="0"/>
      <w:marBottom w:val="0"/>
      <w:divBdr>
        <w:top w:val="none" w:sz="0" w:space="0" w:color="auto"/>
        <w:left w:val="none" w:sz="0" w:space="0" w:color="auto"/>
        <w:bottom w:val="none" w:sz="0" w:space="0" w:color="auto"/>
        <w:right w:val="none" w:sz="0" w:space="0" w:color="auto"/>
      </w:divBdr>
    </w:div>
    <w:div w:id="2096198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463DF-5E2D-4EFF-BF47-53044AD3F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1</Pages>
  <Words>2953</Words>
  <Characters>16246</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cp:revision>
  <cp:lastPrinted>2023-04-11T16:17:00Z</cp:lastPrinted>
  <dcterms:created xsi:type="dcterms:W3CDTF">2022-11-29T21:48:00Z</dcterms:created>
  <dcterms:modified xsi:type="dcterms:W3CDTF">2023-04-11T16:18:00Z</dcterms:modified>
</cp:coreProperties>
</file>