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6BE89" w14:textId="6177B76B" w:rsidR="00247E5E" w:rsidRPr="00247E5E" w:rsidRDefault="00247E5E" w:rsidP="00247E5E">
      <w:pPr>
        <w:spacing w:line="360" w:lineRule="auto"/>
        <w:jc w:val="both"/>
        <w:rPr>
          <w:rFonts w:ascii="Arial" w:hAnsi="Arial" w:cs="Arial"/>
          <w:b/>
          <w:sz w:val="27"/>
          <w:szCs w:val="27"/>
        </w:rPr>
      </w:pPr>
      <w:r w:rsidRPr="00247E5E">
        <w:rPr>
          <w:rFonts w:ascii="Arial" w:hAnsi="Arial" w:cs="Arial"/>
          <w:b/>
          <w:sz w:val="27"/>
          <w:szCs w:val="27"/>
        </w:rPr>
        <w:t xml:space="preserve">TRIBUNAL DE JUSTICIA ADMINISTRATIVA DEL ESTADO DE </w:t>
      </w:r>
      <w:proofErr w:type="gramStart"/>
      <w:r w:rsidRPr="00247E5E">
        <w:rPr>
          <w:rFonts w:ascii="Arial" w:hAnsi="Arial" w:cs="Arial"/>
          <w:b/>
          <w:sz w:val="27"/>
          <w:szCs w:val="27"/>
        </w:rPr>
        <w:t>OAXACA.-</w:t>
      </w:r>
      <w:proofErr w:type="gramEnd"/>
      <w:r w:rsidRPr="00247E5E">
        <w:rPr>
          <w:rFonts w:ascii="Arial" w:hAnsi="Arial" w:cs="Arial"/>
          <w:b/>
          <w:sz w:val="27"/>
          <w:szCs w:val="27"/>
        </w:rPr>
        <w:t xml:space="preserve"> </w:t>
      </w:r>
      <w:r w:rsidRPr="00247E5E">
        <w:rPr>
          <w:rFonts w:ascii="Arial" w:hAnsi="Arial" w:cs="Arial"/>
          <w:b/>
          <w:bCs/>
          <w:sz w:val="27"/>
          <w:szCs w:val="27"/>
          <w:lang w:val="es-MX"/>
        </w:rPr>
        <w:t>PRIMERA SALA UNITARIA DE PRIMERA INSTANCIA.- MAGISTRADA LICENCIADA.- FRIDA JIMÉNEZ VALENCIA.- LICENCIADO.- RENATO GABRIEL IBÁÑEZ CASTELLANOS.- SECRETARIO DE ACUERDOS.- OAXACA DE JUÁREZ</w:t>
      </w:r>
      <w:r w:rsidRPr="00247E5E">
        <w:rPr>
          <w:rFonts w:ascii="Arial" w:hAnsi="Arial" w:cs="Arial"/>
          <w:b/>
          <w:sz w:val="27"/>
          <w:szCs w:val="27"/>
        </w:rPr>
        <w:t xml:space="preserve">, OAXACA, A VEINTIOCHO DE NOVIEMBRE DE DOS MIL DIECINUEVE (28/11/2019).- - - - - - - - - - - - - - - - - - - - - - - - - - - - - - - - - - - - - - - - - - </w:t>
      </w:r>
    </w:p>
    <w:p w14:paraId="14784272" w14:textId="108E37BD" w:rsidR="00247E5E" w:rsidRPr="00247E5E" w:rsidRDefault="00247E5E" w:rsidP="00247E5E">
      <w:pPr>
        <w:spacing w:line="360" w:lineRule="auto"/>
        <w:ind w:firstLine="567"/>
        <w:jc w:val="both"/>
        <w:rPr>
          <w:rFonts w:ascii="Arial" w:hAnsi="Arial" w:cs="Arial"/>
          <w:sz w:val="27"/>
          <w:szCs w:val="27"/>
        </w:rPr>
      </w:pPr>
      <w:r w:rsidRPr="00247E5E">
        <w:rPr>
          <w:rFonts w:ascii="Arial" w:hAnsi="Arial" w:cs="Arial"/>
          <w:b/>
          <w:sz w:val="27"/>
          <w:szCs w:val="27"/>
        </w:rPr>
        <w:t>VISTOS</w:t>
      </w:r>
      <w:r w:rsidRPr="00247E5E">
        <w:rPr>
          <w:rFonts w:ascii="Arial" w:hAnsi="Arial" w:cs="Arial"/>
          <w:sz w:val="27"/>
          <w:szCs w:val="27"/>
        </w:rPr>
        <w:t xml:space="preserve"> para resolver los autos del juicio número </w:t>
      </w:r>
      <w:r w:rsidRPr="00247E5E">
        <w:rPr>
          <w:rFonts w:ascii="Arial" w:hAnsi="Arial" w:cs="Arial"/>
          <w:b/>
          <w:sz w:val="27"/>
          <w:szCs w:val="27"/>
        </w:rPr>
        <w:t>55/2019</w:t>
      </w:r>
      <w:r w:rsidRPr="00247E5E">
        <w:rPr>
          <w:rFonts w:ascii="Arial" w:hAnsi="Arial" w:cs="Arial"/>
          <w:sz w:val="27"/>
          <w:szCs w:val="27"/>
        </w:rPr>
        <w:t xml:space="preserve">,  promovido por **********, en su carácter de apoderado legal de la persona moral denominada “**********” (denominación comercial **********), en contra de la resolución de fecha dieciséis de abril de dos mil diecinueve (16/04/2019), en la cual resuelve desechar el recurso de revocación en contra del oficio número **********, de fecha veinticuatro de octubre de dos mil dieciocho, emitido por el Jefe de la Unidad de Recaudación Municipal de Oaxaca de Juárez, Oaxaca, y;- - - - - - - - - - </w:t>
      </w:r>
    </w:p>
    <w:p w14:paraId="6499DD7D" w14:textId="77777777" w:rsidR="00247E5E" w:rsidRPr="00247E5E" w:rsidRDefault="00247E5E" w:rsidP="00247E5E">
      <w:pPr>
        <w:spacing w:line="360" w:lineRule="auto"/>
        <w:jc w:val="center"/>
        <w:rPr>
          <w:rFonts w:ascii="Arial" w:hAnsi="Arial" w:cs="Arial"/>
          <w:sz w:val="27"/>
          <w:szCs w:val="27"/>
        </w:rPr>
      </w:pPr>
      <w:r w:rsidRPr="00247E5E">
        <w:rPr>
          <w:rFonts w:ascii="Arial" w:hAnsi="Arial" w:cs="Arial"/>
          <w:b/>
          <w:sz w:val="27"/>
          <w:szCs w:val="27"/>
        </w:rPr>
        <w:t>R E</w:t>
      </w:r>
      <w:r w:rsidRPr="00247E5E">
        <w:rPr>
          <w:rFonts w:ascii="Arial" w:hAnsi="Arial" w:cs="Arial"/>
          <w:b/>
          <w:spacing w:val="-3"/>
          <w:sz w:val="27"/>
          <w:szCs w:val="27"/>
          <w:lang w:val="es-ES_tradnl"/>
        </w:rPr>
        <w:t xml:space="preserve"> S U L T A N D O:</w:t>
      </w:r>
    </w:p>
    <w:p w14:paraId="7DD2E896" w14:textId="1D495B9E" w:rsidR="00247E5E" w:rsidRPr="00247E5E" w:rsidRDefault="00247E5E" w:rsidP="00247E5E">
      <w:pPr>
        <w:spacing w:line="360" w:lineRule="auto"/>
        <w:ind w:firstLine="567"/>
        <w:jc w:val="both"/>
        <w:rPr>
          <w:rFonts w:ascii="Arial" w:hAnsi="Arial" w:cs="Arial"/>
          <w:sz w:val="27"/>
          <w:szCs w:val="27"/>
        </w:rPr>
      </w:pPr>
      <w:r w:rsidRPr="00247E5E">
        <w:rPr>
          <w:rFonts w:ascii="Arial" w:hAnsi="Arial" w:cs="Arial"/>
          <w:b/>
          <w:spacing w:val="-3"/>
          <w:sz w:val="27"/>
          <w:szCs w:val="27"/>
          <w:lang w:val="es-ES_tradnl"/>
        </w:rPr>
        <w:t xml:space="preserve">PRIMERO.- </w:t>
      </w:r>
      <w:r w:rsidRPr="00247E5E">
        <w:rPr>
          <w:rFonts w:ascii="Arial" w:hAnsi="Arial" w:cs="Arial"/>
          <w:spacing w:val="-3"/>
          <w:sz w:val="27"/>
          <w:szCs w:val="27"/>
          <w:lang w:val="es-ES_tradnl"/>
        </w:rPr>
        <w:t xml:space="preserve">Con fecha siete de junio de dos mil diecinueve (07/06/2019), se tuvo por recibido un escrito de </w:t>
      </w:r>
      <w:r w:rsidRPr="00247E5E">
        <w:rPr>
          <w:rFonts w:ascii="Arial" w:hAnsi="Arial" w:cs="Arial"/>
          <w:sz w:val="27"/>
          <w:szCs w:val="27"/>
        </w:rPr>
        <w:t xml:space="preserve">***********, en su carácter de apoderado legal de la persona moral denominada “**********” (denominación comercial **********), sin embargo previo a su admisión, mediante acuerdo de esa misma fecha, se requirió al promovente para que dentro del plazo conferido, precisara la fecha en que tuvo conocimiento el acto que señala y que relacionara las pruebas que ofrece, de igual forma para que precisara la autoridad demandada, apercibido que no hacerlo, se desecharía su demanda.- - - - - - - - - - - - </w:t>
      </w:r>
    </w:p>
    <w:p w14:paraId="1F31BD14" w14:textId="2BDF47F0" w:rsidR="00247E5E" w:rsidRPr="00247E5E" w:rsidRDefault="00247E5E" w:rsidP="00247E5E">
      <w:pPr>
        <w:spacing w:line="360" w:lineRule="auto"/>
        <w:ind w:firstLine="567"/>
        <w:jc w:val="both"/>
        <w:rPr>
          <w:rFonts w:ascii="Arial" w:hAnsi="Arial" w:cs="Arial"/>
          <w:sz w:val="27"/>
          <w:szCs w:val="27"/>
        </w:rPr>
      </w:pPr>
      <w:r w:rsidRPr="00247E5E">
        <w:rPr>
          <w:rFonts w:ascii="Arial" w:hAnsi="Arial" w:cs="Arial"/>
          <w:b/>
          <w:bCs/>
          <w:sz w:val="27"/>
          <w:szCs w:val="27"/>
        </w:rPr>
        <w:t>SEGUNDO.-</w:t>
      </w:r>
      <w:r w:rsidRPr="00247E5E">
        <w:rPr>
          <w:rFonts w:ascii="Arial" w:hAnsi="Arial" w:cs="Arial"/>
          <w:sz w:val="27"/>
          <w:szCs w:val="27"/>
        </w:rPr>
        <w:t xml:space="preserve"> Mediante proveído de fecha veintiocho de junio de dos mil diecinueve (28/06/2019), se tuvo a **********, en su carácter de apoderado legal de la persona moral denominada “**********” (denominación comercial **********) dando cumplimiento al requerimiento efectuado, no obstante de la lectura a su ocurso, se </w:t>
      </w:r>
      <w:r w:rsidRPr="00247E5E">
        <w:rPr>
          <w:rFonts w:ascii="Arial" w:hAnsi="Arial" w:cs="Arial"/>
          <w:sz w:val="27"/>
          <w:szCs w:val="27"/>
        </w:rPr>
        <w:lastRenderedPageBreak/>
        <w:t>advirtió que señalaba dos actos diversos, por lo que por última ocasión, se requirió nuevamente al accionante para que precisara con claridad si era su intención demandar los dos actos que precisaba, adecuando su demanda para tal efecto o bien, únicamente alguno de esos actos, apercibido que de no hacerlo, se pronunciaría y se acordaría lo conducente.- - - - - - - - - - - - - - - - - - - - - - -</w:t>
      </w:r>
      <w:r>
        <w:rPr>
          <w:rFonts w:ascii="Arial" w:hAnsi="Arial" w:cs="Arial"/>
          <w:sz w:val="27"/>
          <w:szCs w:val="27"/>
        </w:rPr>
        <w:t xml:space="preserve"> - - - - - - - - - - - - - - - - - - - </w:t>
      </w:r>
    </w:p>
    <w:p w14:paraId="522F6209" w14:textId="2FD79AAE" w:rsidR="00247E5E" w:rsidRPr="00247E5E" w:rsidRDefault="00247E5E" w:rsidP="00247E5E">
      <w:pPr>
        <w:spacing w:line="360" w:lineRule="auto"/>
        <w:ind w:firstLine="567"/>
        <w:jc w:val="both"/>
        <w:rPr>
          <w:rFonts w:ascii="Arial" w:hAnsi="Arial" w:cs="Arial"/>
          <w:spacing w:val="-3"/>
          <w:sz w:val="27"/>
          <w:szCs w:val="27"/>
          <w:lang w:val="es-ES_tradnl"/>
        </w:rPr>
      </w:pPr>
      <w:r w:rsidRPr="00247E5E">
        <w:rPr>
          <w:rFonts w:ascii="Arial" w:hAnsi="Arial" w:cs="Arial"/>
          <w:b/>
          <w:bCs/>
          <w:sz w:val="27"/>
          <w:szCs w:val="27"/>
        </w:rPr>
        <w:t>TERCERO.-</w:t>
      </w:r>
      <w:r w:rsidRPr="00247E5E">
        <w:rPr>
          <w:rFonts w:ascii="Arial" w:hAnsi="Arial" w:cs="Arial"/>
          <w:sz w:val="27"/>
          <w:szCs w:val="27"/>
        </w:rPr>
        <w:t xml:space="preserve"> Mediante proveído de fecha siete de agosto de dos mil diecinueve (07/08/2019), se tuvo a **********, en su carácter de apoderado legal de la persona moral denominada “**********” (denominación comercial **********) dando cumplimiento al requerimiento efectuado, por lo que se le tuvo demandando</w:t>
      </w:r>
      <w:r w:rsidRPr="00247E5E">
        <w:rPr>
          <w:rFonts w:ascii="Arial" w:hAnsi="Arial" w:cs="Arial"/>
          <w:spacing w:val="-3"/>
          <w:sz w:val="27"/>
          <w:szCs w:val="27"/>
          <w:lang w:val="es-ES_tradnl"/>
        </w:rPr>
        <w:t xml:space="preserve"> </w:t>
      </w:r>
      <w:r w:rsidRPr="00247E5E">
        <w:rPr>
          <w:rFonts w:ascii="Arial" w:hAnsi="Arial" w:cs="Arial"/>
          <w:sz w:val="27"/>
          <w:szCs w:val="27"/>
        </w:rPr>
        <w:t xml:space="preserve">la nulidad de la resolución de fecha dieciséis de abril de dos mil diecinueve (16/04/2019), en la cual resuelve desechar el recurso de revocación en contra del oficio número **********, de fecha veinticuatro de octubre de dos mil dieciocho, emitido por el Jefe de la Unidad de Recaudación Municipal de Oaxaca de Juárez, Oaxaca, por lo que mediante acuerdo de esa misma fecha se admitió a trámite la demanda, ordenándose notificar, emplazar y correr traslado a la autoridad demandada, para que produjera su contestación en los términos de ley.- - - - - - - - - - - - - - - - </w:t>
      </w:r>
    </w:p>
    <w:p w14:paraId="7ED0CED4" w14:textId="12D17943" w:rsidR="00247E5E" w:rsidRPr="00247E5E" w:rsidRDefault="00247E5E" w:rsidP="00247E5E">
      <w:pPr>
        <w:spacing w:line="360" w:lineRule="auto"/>
        <w:ind w:firstLine="567"/>
        <w:jc w:val="both"/>
        <w:rPr>
          <w:rFonts w:ascii="Arial" w:hAnsi="Arial" w:cs="Arial"/>
          <w:sz w:val="27"/>
          <w:szCs w:val="27"/>
        </w:rPr>
      </w:pPr>
      <w:proofErr w:type="gramStart"/>
      <w:r w:rsidRPr="00247E5E">
        <w:rPr>
          <w:rFonts w:ascii="Arial" w:hAnsi="Arial" w:cs="Arial"/>
          <w:b/>
          <w:sz w:val="27"/>
          <w:szCs w:val="27"/>
        </w:rPr>
        <w:t>CUARTO.-</w:t>
      </w:r>
      <w:proofErr w:type="gramEnd"/>
      <w:r w:rsidRPr="00247E5E">
        <w:rPr>
          <w:rFonts w:ascii="Arial" w:hAnsi="Arial" w:cs="Arial"/>
          <w:sz w:val="27"/>
          <w:szCs w:val="27"/>
        </w:rPr>
        <w:t xml:space="preserve"> Por acuerdo de fecha doce de septiembre de dos mil diecinueve (12/09/2019), se tuvo a **********, Tesorera Municipal del Municipio de Oaxaca de Juárez, contestando la demanda entablada en contra de su representada en los términos en los que lo hizo, y se tuvieron por admitidas las pruebas que ofreció, ordenándose correr traslado a la parte actora en términos de ley, por último, se señaló fecha y hora para la celebración de la audiencia final.- - </w:t>
      </w:r>
      <w:r>
        <w:rPr>
          <w:rFonts w:ascii="Arial" w:hAnsi="Arial" w:cs="Arial"/>
          <w:sz w:val="27"/>
          <w:szCs w:val="27"/>
        </w:rPr>
        <w:t xml:space="preserve">- - - - - - - - - - - - - - - </w:t>
      </w:r>
    </w:p>
    <w:p w14:paraId="2B9B99DF" w14:textId="791F4752" w:rsidR="00247E5E" w:rsidRPr="00247E5E" w:rsidRDefault="00247E5E" w:rsidP="00247E5E">
      <w:pPr>
        <w:spacing w:line="360" w:lineRule="auto"/>
        <w:ind w:firstLine="567"/>
        <w:jc w:val="both"/>
        <w:rPr>
          <w:rFonts w:ascii="Arial" w:hAnsi="Arial" w:cs="Arial"/>
          <w:sz w:val="27"/>
          <w:szCs w:val="27"/>
        </w:rPr>
      </w:pPr>
      <w:proofErr w:type="gramStart"/>
      <w:r w:rsidRPr="00247E5E">
        <w:rPr>
          <w:rFonts w:ascii="Arial" w:hAnsi="Arial" w:cs="Arial"/>
          <w:b/>
          <w:sz w:val="27"/>
          <w:szCs w:val="27"/>
        </w:rPr>
        <w:t>QUINTO.-</w:t>
      </w:r>
      <w:proofErr w:type="gramEnd"/>
      <w:r w:rsidRPr="00247E5E">
        <w:rPr>
          <w:rFonts w:ascii="Arial" w:hAnsi="Arial" w:cs="Arial"/>
          <w:b/>
          <w:sz w:val="27"/>
          <w:szCs w:val="27"/>
        </w:rPr>
        <w:t xml:space="preserve"> </w:t>
      </w:r>
      <w:r w:rsidRPr="00247E5E">
        <w:rPr>
          <w:rFonts w:ascii="Arial" w:hAnsi="Arial" w:cs="Arial"/>
          <w:sz w:val="27"/>
          <w:szCs w:val="27"/>
        </w:rPr>
        <w:t xml:space="preserve">El nueve de octubre de dos mil diecinueve (09/10/2019), se llevó a cabo la audiencia final en todas sus etapas, sin la asistencia de las partes, ni persona que legalmente las representara, asentando </w:t>
      </w:r>
      <w:r w:rsidRPr="00247E5E">
        <w:rPr>
          <w:rFonts w:ascii="Arial" w:hAnsi="Arial" w:cs="Arial"/>
          <w:sz w:val="27"/>
          <w:szCs w:val="27"/>
        </w:rPr>
        <w:lastRenderedPageBreak/>
        <w:t xml:space="preserve">el Secretario de Acuerdos que ninguna de las partes formuló alegatos, citándose así para oír sentencia, dentro del término de ley, y; - - - - - - - </w:t>
      </w:r>
    </w:p>
    <w:p w14:paraId="0B6AC76C" w14:textId="77777777" w:rsidR="00247E5E" w:rsidRPr="00247E5E" w:rsidRDefault="00247E5E" w:rsidP="00247E5E">
      <w:pPr>
        <w:pStyle w:val="corte4fondo"/>
        <w:ind w:right="51" w:firstLine="0"/>
        <w:jc w:val="center"/>
        <w:rPr>
          <w:sz w:val="27"/>
          <w:szCs w:val="27"/>
        </w:rPr>
      </w:pPr>
      <w:r w:rsidRPr="00247E5E">
        <w:rPr>
          <w:b/>
          <w:spacing w:val="-3"/>
          <w:sz w:val="27"/>
          <w:szCs w:val="27"/>
        </w:rPr>
        <w:t>C O N S I D E R A N D O:</w:t>
      </w:r>
    </w:p>
    <w:p w14:paraId="1A7131AF" w14:textId="6E06F16F" w:rsidR="00247E5E" w:rsidRPr="00247E5E" w:rsidRDefault="00247E5E" w:rsidP="00247E5E">
      <w:pPr>
        <w:spacing w:line="360" w:lineRule="auto"/>
        <w:ind w:firstLine="567"/>
        <w:jc w:val="both"/>
        <w:rPr>
          <w:rFonts w:ascii="Arial" w:hAnsi="Arial" w:cs="Arial"/>
          <w:sz w:val="27"/>
          <w:szCs w:val="27"/>
        </w:rPr>
      </w:pPr>
      <w:r w:rsidRPr="00247E5E">
        <w:rPr>
          <w:rFonts w:ascii="Arial" w:hAnsi="Arial" w:cs="Arial"/>
          <w:b/>
          <w:sz w:val="27"/>
          <w:szCs w:val="27"/>
        </w:rPr>
        <w:t xml:space="preserve">PRIMERO.- </w:t>
      </w:r>
      <w:r w:rsidRPr="00247E5E">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w:t>
      </w:r>
    </w:p>
    <w:p w14:paraId="038BC9F0" w14:textId="5946D568" w:rsidR="00247E5E" w:rsidRPr="00247E5E" w:rsidRDefault="00247E5E" w:rsidP="00247E5E">
      <w:pPr>
        <w:spacing w:line="360" w:lineRule="auto"/>
        <w:ind w:firstLine="567"/>
        <w:jc w:val="both"/>
        <w:rPr>
          <w:rFonts w:ascii="Arial" w:hAnsi="Arial" w:cs="Arial"/>
          <w:sz w:val="27"/>
          <w:szCs w:val="27"/>
        </w:rPr>
      </w:pPr>
      <w:proofErr w:type="gramStart"/>
      <w:r w:rsidRPr="00247E5E">
        <w:rPr>
          <w:rFonts w:ascii="Arial" w:hAnsi="Arial" w:cs="Arial"/>
          <w:b/>
          <w:snapToGrid w:val="0"/>
          <w:sz w:val="27"/>
          <w:szCs w:val="27"/>
        </w:rPr>
        <w:t>SEGUNDO.-</w:t>
      </w:r>
      <w:proofErr w:type="gramEnd"/>
      <w:r w:rsidRPr="00247E5E">
        <w:rPr>
          <w:rFonts w:ascii="Arial" w:hAnsi="Arial" w:cs="Arial"/>
          <w:b/>
          <w:snapToGrid w:val="0"/>
          <w:sz w:val="27"/>
          <w:szCs w:val="27"/>
        </w:rPr>
        <w:t xml:space="preserve"> </w:t>
      </w:r>
      <w:r w:rsidRPr="00247E5E">
        <w:rPr>
          <w:rFonts w:ascii="Arial" w:hAnsi="Arial" w:cs="Arial"/>
          <w:snapToGrid w:val="0"/>
          <w:sz w:val="27"/>
          <w:szCs w:val="27"/>
        </w:rPr>
        <w:t>La personalidad de las partes quedó acreditada en autos en términos del artículo 148 y 151 de la Ley de Procedimiento y Justicia Administrativa para el Estado de Oaxaca</w:t>
      </w:r>
      <w:r w:rsidRPr="00247E5E">
        <w:rPr>
          <w:rFonts w:ascii="Arial" w:hAnsi="Arial" w:cs="Arial"/>
          <w:sz w:val="27"/>
          <w:szCs w:val="27"/>
        </w:rPr>
        <w:t xml:space="preserve">.- - - - - - - - - - - - - - - - </w:t>
      </w:r>
    </w:p>
    <w:p w14:paraId="24CEBAFB" w14:textId="0D75E741" w:rsidR="00247E5E" w:rsidRPr="00247E5E" w:rsidRDefault="00247E5E" w:rsidP="00247E5E">
      <w:pPr>
        <w:spacing w:line="360" w:lineRule="auto"/>
        <w:ind w:firstLine="567"/>
        <w:jc w:val="both"/>
        <w:rPr>
          <w:rFonts w:ascii="Arial" w:hAnsi="Arial" w:cs="Arial"/>
          <w:sz w:val="27"/>
          <w:szCs w:val="27"/>
        </w:rPr>
      </w:pPr>
      <w:proofErr w:type="gramStart"/>
      <w:r w:rsidRPr="00247E5E">
        <w:rPr>
          <w:rFonts w:ascii="Arial" w:hAnsi="Arial" w:cs="Arial"/>
          <w:b/>
          <w:sz w:val="27"/>
          <w:szCs w:val="27"/>
          <w:lang w:val="es-ES_tradnl"/>
        </w:rPr>
        <w:t>TERCERO.-</w:t>
      </w:r>
      <w:proofErr w:type="gramEnd"/>
      <w:r w:rsidRPr="00247E5E">
        <w:rPr>
          <w:rFonts w:ascii="Arial" w:hAnsi="Arial" w:cs="Arial"/>
          <w:b/>
          <w:sz w:val="27"/>
          <w:szCs w:val="27"/>
          <w:lang w:val="es-ES_tradnl"/>
        </w:rPr>
        <w:t xml:space="preserve"> </w:t>
      </w:r>
      <w:r w:rsidRPr="00247E5E">
        <w:rPr>
          <w:rFonts w:ascii="Arial" w:hAnsi="Arial" w:cs="Arial"/>
          <w:sz w:val="27"/>
          <w:szCs w:val="27"/>
          <w:lang w:val="es-ES_tradnl"/>
        </w:rPr>
        <w:t>Ahora bien, en cuanto a las causales de improcedencia o sobreseimiento,</w:t>
      </w:r>
      <w:r w:rsidRPr="00247E5E">
        <w:rPr>
          <w:rFonts w:ascii="Arial" w:hAnsi="Arial" w:cs="Arial"/>
          <w:b/>
          <w:sz w:val="27"/>
          <w:szCs w:val="27"/>
          <w:lang w:val="es-ES_tradnl"/>
        </w:rPr>
        <w:t xml:space="preserve"> </w:t>
      </w:r>
      <w:r w:rsidRPr="00247E5E">
        <w:rPr>
          <w:rFonts w:ascii="Arial" w:hAnsi="Arial" w:cs="Arial"/>
          <w:sz w:val="27"/>
          <w:szCs w:val="27"/>
        </w:rPr>
        <w:t xml:space="preserve">posterior al estudio de cada una de las causales de </w:t>
      </w:r>
      <w:r w:rsidRPr="00247E5E">
        <w:rPr>
          <w:rFonts w:ascii="Arial" w:hAnsi="Arial" w:cs="Arial"/>
          <w:sz w:val="27"/>
          <w:szCs w:val="27"/>
          <w:lang w:val="es-ES_tradnl"/>
        </w:rPr>
        <w:t xml:space="preserve">improcedencia o sobreseimiento a que hacen referencia los artículos 161 y 162 de la Ley de Procedimiento y Justicia Administrativa para el Estado de Oaxaca, </w:t>
      </w:r>
      <w:r w:rsidRPr="00247E5E">
        <w:rPr>
          <w:rFonts w:ascii="Arial" w:hAnsi="Arial" w:cs="Arial"/>
          <w:sz w:val="27"/>
          <w:szCs w:val="27"/>
          <w:u w:val="single"/>
          <w:lang w:val="es-ES_tradnl"/>
        </w:rPr>
        <w:t>se advierte que en el presente asunto no se actualizan</w:t>
      </w:r>
      <w:r w:rsidRPr="00247E5E">
        <w:rPr>
          <w:rFonts w:ascii="Arial" w:hAnsi="Arial" w:cs="Arial"/>
          <w:sz w:val="27"/>
          <w:szCs w:val="27"/>
          <w:lang w:val="es-ES_tradnl"/>
        </w:rPr>
        <w:t xml:space="preserve">, </w:t>
      </w:r>
      <w:r w:rsidRPr="00247E5E">
        <w:rPr>
          <w:rFonts w:ascii="Arial" w:hAnsi="Arial" w:cs="Arial"/>
          <w:sz w:val="27"/>
          <w:szCs w:val="27"/>
        </w:rPr>
        <w:t xml:space="preserve">por ende, </w:t>
      </w:r>
      <w:r w:rsidRPr="00247E5E">
        <w:rPr>
          <w:rFonts w:ascii="Arial" w:hAnsi="Arial" w:cs="Arial"/>
          <w:sz w:val="27"/>
          <w:szCs w:val="27"/>
          <w:u w:val="single"/>
        </w:rPr>
        <w:t>NO SE SOBRESEE EL JUICIO</w:t>
      </w:r>
      <w:r w:rsidRPr="00247E5E">
        <w:rPr>
          <w:rFonts w:ascii="Arial" w:hAnsi="Arial" w:cs="Arial"/>
          <w:sz w:val="27"/>
          <w:szCs w:val="27"/>
        </w:rPr>
        <w:t xml:space="preserve">.- - - </w:t>
      </w:r>
    </w:p>
    <w:p w14:paraId="29E7EAE7" w14:textId="5A9E33FD" w:rsidR="00247E5E" w:rsidRPr="00247E5E" w:rsidRDefault="00247E5E" w:rsidP="00247E5E">
      <w:pPr>
        <w:spacing w:after="240" w:line="360" w:lineRule="auto"/>
        <w:ind w:firstLine="567"/>
        <w:jc w:val="both"/>
        <w:rPr>
          <w:rFonts w:ascii="Arial" w:hAnsi="Arial" w:cs="Arial"/>
          <w:bCs/>
          <w:sz w:val="27"/>
          <w:szCs w:val="27"/>
          <w:lang w:val="es-MX"/>
        </w:rPr>
      </w:pPr>
      <w:r w:rsidRPr="00247E5E">
        <w:rPr>
          <w:rFonts w:ascii="Arial" w:hAnsi="Arial" w:cs="Arial"/>
          <w:b/>
          <w:bCs/>
          <w:sz w:val="27"/>
          <w:szCs w:val="27"/>
          <w:lang w:val="es-MX"/>
        </w:rPr>
        <w:t>CUARTO</w:t>
      </w:r>
      <w:r w:rsidRPr="00247E5E">
        <w:rPr>
          <w:rFonts w:ascii="Arial" w:hAnsi="Arial" w:cs="Arial"/>
          <w:bCs/>
          <w:sz w:val="27"/>
          <w:szCs w:val="27"/>
          <w:lang w:val="es-MX"/>
        </w:rPr>
        <w:t xml:space="preserve">.- La parte actora manifiesta toralmente en su concepto de impugnación PRIMERO, que la resolución controvertida a su juicio resulta ser una resolución definitiva, ya que se le determina como sujeto obligado respecto del impuesto Sobre Diversiones y Espectáculos Públicos calculado a la tasa del 6% sobre el total del boletaje vendido, por lo tanto, constituye una resolución impugnable en vía de recurso de revocación conforme a lo estipulado en el artículo 162 fracción I, inciso b) del Código Fiscal Municipal del Estado de Oaxaca, toda vez que el impuesto de referencia se encuentra tipificado en los artículos 78 y 79 </w:t>
      </w:r>
      <w:r w:rsidRPr="00247E5E">
        <w:rPr>
          <w:rFonts w:ascii="Arial" w:hAnsi="Arial" w:cs="Arial"/>
          <w:bCs/>
          <w:sz w:val="27"/>
          <w:szCs w:val="27"/>
          <w:lang w:val="es-MX"/>
        </w:rPr>
        <w:lastRenderedPageBreak/>
        <w:t xml:space="preserve">de la Ley de Ingresos Municipal para el ejercicio fiscal 2018, mismo que a la letra dice:- - - - - </w:t>
      </w:r>
      <w:r w:rsidRPr="00247E5E">
        <w:rPr>
          <w:rFonts w:ascii="Arial" w:hAnsi="Arial" w:cs="Arial"/>
          <w:sz w:val="27"/>
          <w:szCs w:val="27"/>
        </w:rPr>
        <w:t xml:space="preserve">- - - - - - - - - - - - - - - - - - - - - - - - - - - - - - - - - - - - </w:t>
      </w:r>
    </w:p>
    <w:p w14:paraId="412B70D7"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
          <w:i/>
          <w:iCs/>
          <w:sz w:val="27"/>
          <w:szCs w:val="27"/>
          <w:lang w:val="es-MX"/>
        </w:rPr>
        <w:t>Artículo 78.</w:t>
      </w:r>
      <w:r w:rsidRPr="00247E5E">
        <w:rPr>
          <w:rFonts w:ascii="Arial" w:hAnsi="Arial" w:cs="Arial"/>
          <w:bCs/>
          <w:i/>
          <w:iCs/>
          <w:sz w:val="27"/>
          <w:szCs w:val="27"/>
          <w:lang w:val="es-MX"/>
        </w:rPr>
        <w:t xml:space="preserve"> Los sujetos de este impuesto tendrán las siguientes obligaciones:</w:t>
      </w:r>
    </w:p>
    <w:p w14:paraId="3A94C88A"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 Para la tramitación de los permisos para la realización del espectáculo público deberá utilizar los formatos autorizados por las Autoridades Fiscales. Las Autoridades responsables del otorgamiento de los permisos correspondientes serán solidariamente responsables de verificar que los sujetos de este impuesto cubran los derechos por concepto del permiso para la venta de bebidas alcohólicas en envase abierto, dentro del establecimientos en donde se lleven a cabo espectáculos públicos, conforme a lo establecido en la fracción XXXI del artículo 155 de la Ley de Ingresos, siempre y cuando el sujeto del impuesto se sitúe en la hipótesis normativa;</w:t>
      </w:r>
    </w:p>
    <w:p w14:paraId="78DE2734"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II. Solicitar ante la Autoridad Fiscal constancia de no adeudo, mediante el cual conste que el solicitante del permiso para la realización del espectáculo público no presenta adeudos de este impuesto con el Municipio, constancia que será presentada ante las Autoridades responsables del otorgamiento de los permisos correspondientes;</w:t>
      </w:r>
    </w:p>
    <w:p w14:paraId="7D92E442"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III. Presentar ante la Autoridad Fiscal autorización otorgada por Comisión de Espectáculos para la presentación del espectáculo público, a más tardar 10 días antes del inicio de sus actividades o de la presentación del mismo;</w:t>
      </w:r>
    </w:p>
    <w:p w14:paraId="074BA740"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IV. Manifestar ante la Autoridad Fiscal, dentro del mismo plazo a que se refiere la fracción anterior, al aforo, clase, precio de las localidades, las fechas y los horarios en que se realizarán los espectáculos, así como la información y documentación que se requiera en forma oficial;</w:t>
      </w:r>
    </w:p>
    <w:p w14:paraId="7C5BEBAF"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V. Permitir en todo momento que, en caso de no señalar el aforo con relación al boletaje autorizado, el interventor verifique y proceda a determinar en función a dicho aforo;</w:t>
      </w:r>
    </w:p>
    <w:p w14:paraId="6D6D8392"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lastRenderedPageBreak/>
        <w:t>VI. Presentar el boletaje a utilizar en la diversión, espectáculo o juego permitido ante la Unidad de Recaudación Municipal para ser autorizado y sellado antes de ser puesto a la venta del público, los cuales serán devueltos siempre y cuando el promotor haya garantizado mediante efectivo o cheque de caja el impuesto a que se refiere el presente apartado, mismo que se determinará multiplicando el costo del número de boletos emitidos para su venta por la tasa del impuesto que le corresponda. La unidad de Recaudación Municipal entregará en un plazo máximo de 72 horas a partir de su recepción, la totalidad de boletos sellados al promotor siempre y cuando haya depositado las fianzas correspondientes.</w:t>
      </w:r>
    </w:p>
    <w:p w14:paraId="1D5D6091"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VII. A más tardar 5 días antes de la celebración del espectáculo público, manifestar los cambios que se hayan realizado al programa con posterioridad al cumplimiento de las obligaciones previstas en este apartado;</w:t>
      </w:r>
    </w:p>
    <w:p w14:paraId="224E5D24"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IX. Los contribuyentes deberán presentar los boletos que no fueron vendidos los cuales tendrán que tener todas sus secciones y estar adheridos a los talonarios respectivos, de no ser así se considerarán como vendidos;</w:t>
      </w:r>
    </w:p>
    <w:p w14:paraId="3357E5FA"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X. A no instalar anuncios publicitarios o realizar publicidad del espectáculo, por cualquier medio de comunicación, hasta en tanto no cuente con la autorización del mismo por parte de la Comisión de Espectáculos;</w:t>
      </w:r>
    </w:p>
    <w:p w14:paraId="4E1E6EA1"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XI. Realizar el pago de 5 UMA por concepto de gastos de intervención para cada uno de los interventores asignados a la diversión, espectáculo o juego permitido, para lo cual se tomará en cuenta las características específicas de los mismos; y</w:t>
      </w:r>
    </w:p>
    <w:p w14:paraId="0086E2EB"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 xml:space="preserve">XII. Presentar las garantías en efectivo ante la Caja General de la Unidad de Recaudación Municipal, referentes al impuesto, la seguridad e higiene del </w:t>
      </w:r>
      <w:proofErr w:type="gramStart"/>
      <w:r w:rsidRPr="00247E5E">
        <w:rPr>
          <w:rFonts w:ascii="Arial" w:hAnsi="Arial" w:cs="Arial"/>
          <w:bCs/>
          <w:i/>
          <w:iCs/>
          <w:sz w:val="27"/>
          <w:szCs w:val="27"/>
          <w:lang w:val="es-MX"/>
        </w:rPr>
        <w:t>evento</w:t>
      </w:r>
      <w:proofErr w:type="gramEnd"/>
      <w:r w:rsidRPr="00247E5E">
        <w:rPr>
          <w:rFonts w:ascii="Arial" w:hAnsi="Arial" w:cs="Arial"/>
          <w:bCs/>
          <w:i/>
          <w:iCs/>
          <w:sz w:val="27"/>
          <w:szCs w:val="27"/>
          <w:lang w:val="es-MX"/>
        </w:rPr>
        <w:t xml:space="preserve"> así como la de anuncios a que se refiere el antepenúltimo párrafo del artículo 144 de la Ley de Ingresos.</w:t>
      </w:r>
    </w:p>
    <w:p w14:paraId="51BC0F56"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lastRenderedPageBreak/>
        <w:t>La garantía del impuesto será devuelta al día hábil siguiente a la finalización del evento una vez que la Autoridad Fiscal se cerciore que se ha cumplido con la obligación fiscal; las referentes a la seguridad e higiene del evento y, la garantía de anuncios será devuelta cuando las respectivas dependencias responsables emitan el oficio de liberación correspondiente. En caso de que los Contribuyentes no realicen el trámite correspondiente para la devolución de las garantías en un plazo de dos meses, esas cantidades pasarán a formar parte de los Ingresos del Municipio.</w:t>
      </w:r>
    </w:p>
    <w:p w14:paraId="36A53866"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
          <w:i/>
          <w:iCs/>
          <w:sz w:val="27"/>
          <w:szCs w:val="27"/>
          <w:lang w:val="es-MX"/>
        </w:rPr>
        <w:t>Artículo 79.</w:t>
      </w:r>
      <w:r w:rsidRPr="00247E5E">
        <w:rPr>
          <w:rFonts w:ascii="Arial" w:hAnsi="Arial" w:cs="Arial"/>
          <w:bCs/>
          <w:i/>
          <w:iCs/>
          <w:sz w:val="27"/>
          <w:szCs w:val="27"/>
          <w:lang w:val="es-MX"/>
        </w:rPr>
        <w:t xml:space="preserve"> La determinación del impuesto a cargo del contribuyente se llevará a cabo mediante la intervención del evento por el personal autorizado por las Autoridades Fiscales Municipales, sujetándose a las siguientes reglas:</w:t>
      </w:r>
    </w:p>
    <w:p w14:paraId="7B718468"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 La orden de intervención se notificará al sujeto de la contribución en el domicilio en donde se realice el espectáculo, especificándose el número de funciones en que se llevará a cabo la intervención y sujetándose a las formalidades previstas para las visitas en el Código Fiscal Municipal.</w:t>
      </w:r>
    </w:p>
    <w:p w14:paraId="4CF18470"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II. El contribuyente estará presente durante la celebración del evento o designará persona que le represente, y, en caso de no hacerlo el interventor o interventores practicarán la diligencia con quien se encuentre, levantando acta circunstanciada en la que se asentarán los hechos u omisiones conocidos por el interventor en presencia de dos testigos designados por el ocupante del lugar visitado, o en su ausencia o negativa se nombrarán por el interventor o interventores mencionados.</w:t>
      </w:r>
    </w:p>
    <w:p w14:paraId="6872A3DD"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III. El interventor procederá a contabilizar los ingresos que por boletos vendidos obtenga el sujeto de la contribución, procediendo a emitir la liquidación del impuesto correspondiente cuyo importe deberá ser cubierto al finalizar el corte de caja efectuado por el interventor quien expedirá el comprobante de pago.</w:t>
      </w:r>
    </w:p>
    <w:p w14:paraId="110533B3"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lastRenderedPageBreak/>
        <w:t>IV. En caso de que no se cubra el impuesto que se haya determinado en términos del inciso anterior, el interventor estará facultado para proceder y embargar precautoriamente bienes suficientes del sujeto de la contribución que garantice el crédito, sujetándose para tal efecto a las formalidades que establece el Código Fiscal Municipal o en su defecto las fianzas que el promotor haya dejado como garantía del evento.</w:t>
      </w:r>
    </w:p>
    <w:p w14:paraId="0F9D0869" w14:textId="77777777" w:rsidR="00247E5E" w:rsidRPr="00247E5E" w:rsidRDefault="00247E5E" w:rsidP="00247E5E">
      <w:pPr>
        <w:spacing w:after="240" w:line="276" w:lineRule="auto"/>
        <w:ind w:left="567" w:right="618"/>
        <w:jc w:val="both"/>
        <w:rPr>
          <w:rFonts w:ascii="Arial" w:hAnsi="Arial" w:cs="Arial"/>
          <w:bCs/>
          <w:i/>
          <w:iCs/>
          <w:sz w:val="27"/>
          <w:szCs w:val="27"/>
          <w:lang w:val="es-MX"/>
        </w:rPr>
      </w:pPr>
      <w:r w:rsidRPr="00247E5E">
        <w:rPr>
          <w:rFonts w:ascii="Arial" w:hAnsi="Arial" w:cs="Arial"/>
          <w:bCs/>
          <w:i/>
          <w:iCs/>
          <w:sz w:val="27"/>
          <w:szCs w:val="27"/>
          <w:lang w:val="es-MX"/>
        </w:rPr>
        <w:t>V. En caso de obstaculizar la actividad del interventor, los contribuyentes se harán acreedores a las medidas de apremio que prevé el Código Fiscal Municipal.</w:t>
      </w:r>
    </w:p>
    <w:p w14:paraId="16586855" w14:textId="1459E888" w:rsidR="00247E5E" w:rsidRPr="00247E5E" w:rsidRDefault="00247E5E" w:rsidP="00247E5E">
      <w:pPr>
        <w:spacing w:line="360" w:lineRule="auto"/>
        <w:ind w:firstLine="567"/>
        <w:jc w:val="both"/>
        <w:rPr>
          <w:rFonts w:ascii="Arial" w:hAnsi="Arial" w:cs="Arial"/>
          <w:bCs/>
          <w:sz w:val="27"/>
          <w:szCs w:val="27"/>
          <w:lang w:val="es-MX"/>
        </w:rPr>
      </w:pPr>
      <w:r w:rsidRPr="00247E5E">
        <w:rPr>
          <w:rFonts w:ascii="Arial" w:hAnsi="Arial" w:cs="Arial"/>
          <w:bCs/>
          <w:sz w:val="27"/>
          <w:szCs w:val="27"/>
          <w:lang w:val="es-MX"/>
        </w:rPr>
        <w:t xml:space="preserve">De la lectura a los artículos anteriormente transcritos, se advierte que enuncian el procedimiento de intervención para determinar el monto del impuesto Sobre Diversiones y Espectáculos Públicos, dichos artículos fueron invocados dentro del cuerpo del oficio número </w:t>
      </w:r>
      <w:r w:rsidRPr="00247E5E">
        <w:rPr>
          <w:rFonts w:ascii="Arial" w:hAnsi="Arial" w:cs="Arial"/>
          <w:sz w:val="27"/>
          <w:szCs w:val="27"/>
        </w:rPr>
        <w:t>**********</w:t>
      </w:r>
      <w:r w:rsidRPr="00247E5E">
        <w:rPr>
          <w:rFonts w:ascii="Arial" w:hAnsi="Arial" w:cs="Arial"/>
          <w:bCs/>
          <w:sz w:val="27"/>
          <w:szCs w:val="27"/>
          <w:lang w:val="es-MX"/>
        </w:rPr>
        <w:t xml:space="preserve">de fecha veinticuatro de octubre de dos mil dieciocho, visible en la foja 36 del sumario, documental que adquiere valor probatorio pleno en términos del artículo 203 fracción II de la Ley de Procedimiento y Justicia Administrativa para el Estado de Oaxaca, por lo que de una interpretación armónica, se advierte que efectivamente se le encuadra al hoy accionante como sujeto obligado del impuesto Sobre Diversiones y Espectáculos Públicos, ya que dichos artículos regulan las obligaciones que tienen todos aquellos sujetos obligados a tal impuesto, y, en el presente caso, para generar la orden de intervención, previamente se tuvo que haber encuadrado al accionante en dicho impuesto, en ese tenor, resulta lógico concluir que dicha orden de intervención, ya tiene implícita la determinación de obligar al hoy accionante como sujeto obligado respecto al impuesto Sobre Diversiones y Espectáculos Públicos. - - - - - - - - - - - - - - - - - - - - - - - - </w:t>
      </w:r>
    </w:p>
    <w:p w14:paraId="58A74398" w14:textId="4DFC635A" w:rsidR="00247E5E" w:rsidRPr="00247E5E" w:rsidRDefault="00247E5E" w:rsidP="00247E5E">
      <w:pPr>
        <w:spacing w:line="360" w:lineRule="auto"/>
        <w:ind w:firstLine="567"/>
        <w:jc w:val="both"/>
        <w:rPr>
          <w:rFonts w:ascii="Arial" w:hAnsi="Arial" w:cs="Arial"/>
          <w:bCs/>
          <w:sz w:val="27"/>
          <w:szCs w:val="27"/>
          <w:lang w:val="es-MX"/>
        </w:rPr>
      </w:pPr>
      <w:r w:rsidRPr="00247E5E">
        <w:rPr>
          <w:rFonts w:ascii="Arial" w:hAnsi="Arial" w:cs="Arial"/>
          <w:bCs/>
          <w:sz w:val="27"/>
          <w:szCs w:val="27"/>
          <w:lang w:val="es-MX"/>
        </w:rPr>
        <w:t xml:space="preserve">Ahora bien, adminiculando dicha orden con el acta circunstanciada de intervención de fecha veintisiete de octubre de dos mil dieciocho </w:t>
      </w:r>
      <w:r w:rsidRPr="00247E5E">
        <w:rPr>
          <w:rFonts w:ascii="Arial" w:hAnsi="Arial" w:cs="Arial"/>
          <w:bCs/>
          <w:sz w:val="27"/>
          <w:szCs w:val="27"/>
          <w:lang w:val="es-MX"/>
        </w:rPr>
        <w:lastRenderedPageBreak/>
        <w:t xml:space="preserve">visible en las fojas 80 y 81  de la lectura, se  advierte un apercibimiento implícito, ya que del resultado que arroje esa intervención, se impondría una carga fiscal derivada del cumplimiento o incumplimiento de las obligaciones del citado impuesto, encuadrando al actor  en lo estipulado en el artículo 162 fracción I del Código Fiscal Municipal del Estado de Oaxaca,  al determinarlo sujeto obligado y  fijarle en cantidad líquida un impuesto a favor del fisco municipal, acción que sin duda modificó la situación jurídica del contribuyente,  y quien, al interponer el recurso de revocación, la autoridad demandada soslayo y omitió resolver en forma adminiculada al tratarse de un acto que dio origen a otro y que afectaron la esfera jurídica actor.- - </w:t>
      </w:r>
      <w:r w:rsidRPr="00247E5E">
        <w:rPr>
          <w:rFonts w:ascii="Arial" w:hAnsi="Arial" w:cs="Arial"/>
          <w:sz w:val="27"/>
          <w:szCs w:val="27"/>
        </w:rPr>
        <w:t xml:space="preserve">- - - - - - - - - - - - - - - - - - - - - - - - - - - - - - - - - </w:t>
      </w:r>
    </w:p>
    <w:p w14:paraId="23D8F955" w14:textId="30AE2C10" w:rsidR="00247E5E" w:rsidRPr="00247E5E" w:rsidRDefault="00247E5E" w:rsidP="00247E5E">
      <w:pPr>
        <w:spacing w:after="240" w:line="360" w:lineRule="auto"/>
        <w:ind w:firstLine="567"/>
        <w:jc w:val="both"/>
        <w:rPr>
          <w:rFonts w:ascii="Arial" w:hAnsi="Arial" w:cs="Arial"/>
          <w:bCs/>
          <w:sz w:val="27"/>
          <w:szCs w:val="27"/>
          <w:lang w:val="es-MX"/>
        </w:rPr>
      </w:pPr>
      <w:r w:rsidRPr="00247E5E">
        <w:rPr>
          <w:rFonts w:ascii="Arial" w:hAnsi="Arial" w:cs="Arial"/>
          <w:bCs/>
          <w:sz w:val="27"/>
          <w:szCs w:val="27"/>
          <w:lang w:val="es-MX"/>
        </w:rPr>
        <w:t xml:space="preserve">Sirve de sustento la tesis número I. 4o. A. 776 A, con número de registro 210028 por los Tribunales Colegiados de Circuito en el Semanario Judicial de la Federación. Tomo XIV, </w:t>
      </w:r>
      <w:proofErr w:type="gramStart"/>
      <w:r w:rsidRPr="00247E5E">
        <w:rPr>
          <w:rFonts w:ascii="Arial" w:hAnsi="Arial" w:cs="Arial"/>
          <w:bCs/>
          <w:sz w:val="27"/>
          <w:szCs w:val="27"/>
          <w:lang w:val="es-MX"/>
        </w:rPr>
        <w:t>Noviembre</w:t>
      </w:r>
      <w:proofErr w:type="gramEnd"/>
      <w:r w:rsidRPr="00247E5E">
        <w:rPr>
          <w:rFonts w:ascii="Arial" w:hAnsi="Arial" w:cs="Arial"/>
          <w:bCs/>
          <w:sz w:val="27"/>
          <w:szCs w:val="27"/>
          <w:lang w:val="es-MX"/>
        </w:rPr>
        <w:t xml:space="preserve"> de 1994, Página 492, Octava Época, bajo el rubro y texto siguiente: - - - - - - - - - </w:t>
      </w:r>
    </w:p>
    <w:p w14:paraId="55E206EC" w14:textId="77777777" w:rsidR="00247E5E" w:rsidRPr="00247E5E" w:rsidRDefault="00247E5E" w:rsidP="00247E5E">
      <w:pPr>
        <w:spacing w:after="240" w:line="276" w:lineRule="auto"/>
        <w:ind w:left="567" w:right="618"/>
        <w:jc w:val="both"/>
        <w:rPr>
          <w:rFonts w:ascii="Arial" w:hAnsi="Arial" w:cs="Arial"/>
          <w:bCs/>
          <w:sz w:val="27"/>
          <w:szCs w:val="27"/>
          <w:lang w:val="es-MX"/>
        </w:rPr>
      </w:pPr>
      <w:r w:rsidRPr="00247E5E">
        <w:rPr>
          <w:rFonts w:ascii="Arial" w:hAnsi="Arial" w:cs="Arial"/>
          <w:b/>
          <w:sz w:val="27"/>
          <w:szCs w:val="27"/>
          <w:lang w:val="es-MX"/>
        </w:rPr>
        <w:t>ORDEN DE VISITA DOMICILIARIA PUEDE SER IMPUGNADA DENTRO DEL TERMINO DE QUINCE DIAS A PARTIR DE SU INICIO, POSTERIORMENTE DURANTE SU DESARROLLO O POR SUS CONSECUENCIAS CUANDO CONCLUYA LA VISITA.</w:t>
      </w:r>
      <w:r w:rsidRPr="00247E5E">
        <w:rPr>
          <w:rFonts w:ascii="Arial" w:hAnsi="Arial" w:cs="Arial"/>
          <w:bCs/>
          <w:sz w:val="27"/>
          <w:szCs w:val="27"/>
          <w:lang w:val="es-MX"/>
        </w:rPr>
        <w:t xml:space="preserve"> La orden de visita constituye sin duda alguna un acto de autoridad, ya que entraña una manifestación unilateral y externa de voluntad, emitida por un servidor público en ejercicio de funciones públicas, en ella se expresa la decisión de la autoridad para introducirse, a través de sus agentes, al domicilio particular, social o fiscal del sujeto pasivo designado en la orden de visita; ésta es un acto jurídico permitido por la Constitución Federal, cuando tenga como finalidad cerciorarse de que se han cumplido los reglamentos sanitarios y de policía, así como exigir se exhiban los libros y papeles indispensables para comprobar que se han acatado las disposiciones fiscales (párrafo segundo, primera parte del artículo 16 constitucional); sin embargo, la constitucionalidad de la orden como de la visita </w:t>
      </w:r>
      <w:r w:rsidRPr="00247E5E">
        <w:rPr>
          <w:rFonts w:ascii="Arial" w:hAnsi="Arial" w:cs="Arial"/>
          <w:bCs/>
          <w:sz w:val="27"/>
          <w:szCs w:val="27"/>
          <w:lang w:val="es-MX"/>
        </w:rPr>
        <w:lastRenderedPageBreak/>
        <w:t xml:space="preserve">misma, se encuentran sujetas a reglas que establecen tanto la propia Constitución como las leyes secundarias; así, la Carta Magna dispone en la parte final del párrafo citado, que las visitas domiciliarias deberán acatar lo que al respecto establezcan las leyes respectivas y satisfacer, además, las formalidades prescritas para los cateos. Como acto de autoridad que implica imponer una molestia en perjuicio de un particular, debe cumplir con los requisitos formales a que alude la primera parte de aquel precepto constitucional; esto es, debe ser emitida por autoridad competente, por escrito, en el que conste el fundamento </w:t>
      </w:r>
      <w:proofErr w:type="gramStart"/>
      <w:r w:rsidRPr="00247E5E">
        <w:rPr>
          <w:rFonts w:ascii="Arial" w:hAnsi="Arial" w:cs="Arial"/>
          <w:bCs/>
          <w:sz w:val="27"/>
          <w:szCs w:val="27"/>
          <w:lang w:val="es-MX"/>
        </w:rPr>
        <w:t>legal</w:t>
      </w:r>
      <w:proofErr w:type="gramEnd"/>
      <w:r w:rsidRPr="00247E5E">
        <w:rPr>
          <w:rFonts w:ascii="Arial" w:hAnsi="Arial" w:cs="Arial"/>
          <w:bCs/>
          <w:sz w:val="27"/>
          <w:szCs w:val="27"/>
          <w:lang w:val="es-MX"/>
        </w:rPr>
        <w:t xml:space="preserve"> así como el motivo por el cual se expide. La naturaleza jurídica del acto de molestia implica la posibilidad de ser impugnado de inmediato a través de los recursos, juicios o medios de defensa establecidos en las leyes, bien que se le considere como un acto mediante el cual se inicia el procedimiento de verificación o se le considere como un acto autónomo; impugnación que debe realizarse dentro de los plazos que al efecto establezcan dichas leyes. No es factible admitir que ese acto autoritario, como cualquier otro que pudiera tener como consecuencia la alteración del status jurídico del gobernado, tuviera que ser soportado por éste hasta la conclusión de la visita no obstante su manifestada inconstitucionalidad. Lo anterior no implica el desconocimiento de lo que establece la fracción II del artículo 114 de la Ley de Amparo, porque este dispositivo limita la procedencia del juicio constitucional contra actos que emanen de un procedimiento que se siga en forma de juicio, para hacerlos proceder sólo contra la resolución que en definitiva se dicte, momento en el que podrán reclamarse tanto las violaciones cometidas durante el procedimiento como en la resolución misma. No se desconoce el presupuesto de esa fracción y artículo porque en ella se estatuye la improcedencia cuando el procedimiento se ha seguido en forma de juicio, característica que no satisface el procedimiento de verificación fiscal; ya que aquél, el que se sigue en forma de juicio, como sucede, verbigracia en los procedimientos que se siguen ante la Comisión Nacional Bancaria o en la de Seguros y Fianzas, ante la Procuraduría Federal del Consumidor o los que se siguen para dirimir las </w:t>
      </w:r>
      <w:r w:rsidRPr="00247E5E">
        <w:rPr>
          <w:rFonts w:ascii="Arial" w:hAnsi="Arial" w:cs="Arial"/>
          <w:bCs/>
          <w:sz w:val="27"/>
          <w:szCs w:val="27"/>
          <w:lang w:val="es-MX"/>
        </w:rPr>
        <w:lastRenderedPageBreak/>
        <w:t xml:space="preserve">controversias sobre propiedad industrial, la sujeción a los términos, ofrecimiento y desahogo de pruebas es más rigurosa, más formal; en tanto que en el procedimiento administrativo se trata de una secuencia de actos con una finalidad común, en el que sólo deben satisfacerse las formalidades esenciales del procedimiento para dar así cumplimiento a la garantía de audiencia. No </w:t>
      </w:r>
      <w:proofErr w:type="gramStart"/>
      <w:r w:rsidRPr="00247E5E">
        <w:rPr>
          <w:rFonts w:ascii="Arial" w:hAnsi="Arial" w:cs="Arial"/>
          <w:bCs/>
          <w:sz w:val="27"/>
          <w:szCs w:val="27"/>
          <w:lang w:val="es-MX"/>
        </w:rPr>
        <w:t>obstante</w:t>
      </w:r>
      <w:proofErr w:type="gramEnd"/>
      <w:r w:rsidRPr="00247E5E">
        <w:rPr>
          <w:rFonts w:ascii="Arial" w:hAnsi="Arial" w:cs="Arial"/>
          <w:bCs/>
          <w:sz w:val="27"/>
          <w:szCs w:val="27"/>
          <w:lang w:val="es-MX"/>
        </w:rPr>
        <w:t xml:space="preserve"> lo señalado, por razones muy particulares el afectado puede consentir la visita porque le resulte conveniente el que la autoridad constate que ha cumplido cabalmente con las disposiciones legales aplicables, o para que se le determine la existencia de algún error u omisión en que hubiere incurrido, o porque considere que la orden de visita satisface todos los requisitos constitucionales y legales, y que por lo mismo debe llevarse a cabo. Sin embargo, tal hecho no puede, no debe implicar que admita las consecuencias de ella y que todos los actos autoritarios que pudieran darse durante su desarrollo y que afectaran de manera grave sus derechos sustantivos, se deben reputar como derivados de la visita consentida, queda por tanto a opción del particular afectado impugnar de inmediato la práctica de la visita a partir de la orden misma, o esperar al resultado de ella, si estima que es contraria a sus derechos.</w:t>
      </w:r>
    </w:p>
    <w:p w14:paraId="5B306BCB" w14:textId="61E98AA3" w:rsidR="00247E5E" w:rsidRPr="00247E5E" w:rsidRDefault="00247E5E" w:rsidP="00247E5E">
      <w:pPr>
        <w:spacing w:line="360" w:lineRule="auto"/>
        <w:ind w:firstLine="567"/>
        <w:jc w:val="both"/>
        <w:rPr>
          <w:rFonts w:ascii="Arial" w:hAnsi="Arial" w:cs="Arial"/>
          <w:bCs/>
          <w:sz w:val="27"/>
          <w:szCs w:val="27"/>
          <w:lang w:val="es-MX"/>
        </w:rPr>
      </w:pPr>
      <w:r w:rsidRPr="00247E5E">
        <w:rPr>
          <w:rFonts w:ascii="Arial" w:hAnsi="Arial" w:cs="Arial"/>
          <w:bCs/>
          <w:sz w:val="27"/>
          <w:szCs w:val="27"/>
          <w:lang w:val="es-MX"/>
        </w:rPr>
        <w:t xml:space="preserve">En consecuencia, al haber quedado comprobado que la autoridad demandada no realizó una debida apreciación del acto impugnado a través del recurso de revocación, al hacer, como ya se dijo una incorrecta apreciación de los hechos que lo motivaron, es por ello que el concepto de impugnación PRIMERO vertido por el actor resulta </w:t>
      </w:r>
      <w:r w:rsidRPr="00247E5E">
        <w:rPr>
          <w:rFonts w:ascii="Arial" w:hAnsi="Arial" w:cs="Arial"/>
          <w:bCs/>
          <w:sz w:val="27"/>
          <w:szCs w:val="27"/>
          <w:u w:val="single"/>
          <w:lang w:val="es-MX"/>
        </w:rPr>
        <w:t>FUNDADO</w:t>
      </w:r>
      <w:r w:rsidRPr="00247E5E">
        <w:rPr>
          <w:rFonts w:ascii="Arial" w:hAnsi="Arial" w:cs="Arial"/>
          <w:bCs/>
          <w:sz w:val="27"/>
          <w:szCs w:val="27"/>
          <w:lang w:val="es-MX"/>
        </w:rPr>
        <w:t xml:space="preserve">, por lo que resulta procedente declarar la </w:t>
      </w:r>
      <w:r w:rsidRPr="00247E5E">
        <w:rPr>
          <w:rFonts w:ascii="Arial" w:hAnsi="Arial" w:cs="Arial"/>
          <w:b/>
          <w:sz w:val="27"/>
          <w:szCs w:val="27"/>
          <w:lang w:val="es-MX"/>
        </w:rPr>
        <w:t>NULIDAD</w:t>
      </w:r>
      <w:r w:rsidRPr="00247E5E">
        <w:rPr>
          <w:rFonts w:ascii="Arial" w:hAnsi="Arial" w:cs="Arial"/>
          <w:bCs/>
          <w:sz w:val="27"/>
          <w:szCs w:val="27"/>
          <w:lang w:val="es-MX"/>
        </w:rPr>
        <w:t xml:space="preserve"> </w:t>
      </w:r>
      <w:r w:rsidRPr="00247E5E">
        <w:rPr>
          <w:rFonts w:ascii="Arial" w:hAnsi="Arial" w:cs="Arial"/>
          <w:sz w:val="27"/>
          <w:szCs w:val="27"/>
        </w:rPr>
        <w:t xml:space="preserve">de la resolución de fecha dieciséis de abril de dos mil diecinueve (16/04/2019), en la cual resuelve desechar el recurso de revocación en contra del oficio número **********, de fecha veinticuatro de octubre de dos mil dieciocho, emitido por el Jefe de la Unidad de Recaudación Municipal de Oaxaca de Juárez, Oaxaca, </w:t>
      </w:r>
      <w:r w:rsidRPr="00247E5E">
        <w:rPr>
          <w:rFonts w:ascii="Arial" w:hAnsi="Arial" w:cs="Arial"/>
          <w:b/>
          <w:bCs/>
          <w:sz w:val="27"/>
          <w:szCs w:val="27"/>
        </w:rPr>
        <w:t>PARA EL EFECTO</w:t>
      </w:r>
      <w:r w:rsidRPr="00247E5E">
        <w:rPr>
          <w:rFonts w:ascii="Arial" w:hAnsi="Arial" w:cs="Arial"/>
          <w:sz w:val="27"/>
          <w:szCs w:val="27"/>
        </w:rPr>
        <w:t xml:space="preserve"> de que la Tesorera Municipal de Oaxaca de Juárez a través de sí misma o de </w:t>
      </w:r>
      <w:r w:rsidRPr="00247E5E">
        <w:rPr>
          <w:rFonts w:ascii="Arial" w:hAnsi="Arial" w:cs="Arial"/>
          <w:sz w:val="27"/>
          <w:szCs w:val="27"/>
        </w:rPr>
        <w:lastRenderedPageBreak/>
        <w:t xml:space="preserve">quien sea legalmente competente, </w:t>
      </w:r>
      <w:r w:rsidRPr="00247E5E">
        <w:rPr>
          <w:rFonts w:ascii="Arial" w:hAnsi="Arial" w:cs="Arial"/>
          <w:sz w:val="27"/>
          <w:szCs w:val="27"/>
          <w:u w:val="single"/>
        </w:rPr>
        <w:t xml:space="preserve">deje insubsistente la resolución controvertida y emita uno nuevo en el que admita el recurso de revocación planteado, debiendo entrar al estudio y análisis integral del oficio número </w:t>
      </w:r>
      <w:r w:rsidRPr="00247E5E">
        <w:rPr>
          <w:rFonts w:ascii="Arial" w:hAnsi="Arial" w:cs="Arial"/>
          <w:sz w:val="27"/>
          <w:szCs w:val="27"/>
        </w:rPr>
        <w:t>**********</w:t>
      </w:r>
      <w:r w:rsidRPr="00247E5E">
        <w:rPr>
          <w:rFonts w:ascii="Arial" w:hAnsi="Arial" w:cs="Arial"/>
          <w:sz w:val="27"/>
          <w:szCs w:val="27"/>
          <w:u w:val="single"/>
        </w:rPr>
        <w:t xml:space="preserve">, de fecha veinticuatro de octubre de dos mil dieciocho, emitido por el Jefe de la Unidad de Recaudación Municipal de Oaxaca de Juárez, Oaxaca en relación con el acta </w:t>
      </w:r>
      <w:r w:rsidRPr="00247E5E">
        <w:rPr>
          <w:rFonts w:ascii="Arial" w:hAnsi="Arial" w:cs="Arial"/>
          <w:bCs/>
          <w:sz w:val="27"/>
          <w:szCs w:val="27"/>
          <w:u w:val="single"/>
          <w:lang w:val="es-MX"/>
        </w:rPr>
        <w:t>acta circunstanciada de intervención de fecha veintisiete de octubre de dos mil dieciocho</w:t>
      </w:r>
      <w:r w:rsidRPr="00247E5E">
        <w:rPr>
          <w:rFonts w:ascii="Arial" w:hAnsi="Arial" w:cs="Arial"/>
          <w:bCs/>
          <w:sz w:val="27"/>
          <w:szCs w:val="27"/>
          <w:lang w:val="es-MX"/>
        </w:rPr>
        <w:t xml:space="preserve">.- - - - - - - - - - - - - - - - - - - - - - - - - - - - - - - - - - - - - - - - - - </w:t>
      </w:r>
    </w:p>
    <w:p w14:paraId="6BA41F56" w14:textId="68D0DA4E" w:rsidR="00247E5E" w:rsidRPr="00247E5E" w:rsidRDefault="00247E5E" w:rsidP="00247E5E">
      <w:pPr>
        <w:spacing w:line="360" w:lineRule="auto"/>
        <w:ind w:firstLine="567"/>
        <w:jc w:val="both"/>
        <w:rPr>
          <w:rFonts w:ascii="Arial" w:hAnsi="Arial" w:cs="Arial"/>
          <w:sz w:val="27"/>
          <w:szCs w:val="27"/>
        </w:rPr>
      </w:pPr>
      <w:r w:rsidRPr="00247E5E">
        <w:rPr>
          <w:rFonts w:ascii="Arial" w:hAnsi="Arial" w:cs="Arial"/>
          <w:sz w:val="27"/>
          <w:szCs w:val="27"/>
        </w:rPr>
        <w:t xml:space="preserve">Por todo lo anteriormente expuesto, con fundamento en los artículos 207, 208 fracción III, y 209 de la Ley de Procedimiento y Justicia Administrativa para el Estado de Oaxaca, </w:t>
      </w:r>
      <w:proofErr w:type="gramStart"/>
      <w:r w:rsidRPr="00247E5E">
        <w:rPr>
          <w:rFonts w:ascii="Arial" w:hAnsi="Arial" w:cs="Arial"/>
          <w:sz w:val="27"/>
          <w:szCs w:val="27"/>
        </w:rPr>
        <w:t>se;-</w:t>
      </w:r>
      <w:proofErr w:type="gramEnd"/>
      <w:r w:rsidRPr="00247E5E">
        <w:rPr>
          <w:rFonts w:ascii="Arial" w:hAnsi="Arial" w:cs="Arial"/>
          <w:sz w:val="27"/>
          <w:szCs w:val="27"/>
        </w:rPr>
        <w:t xml:space="preserve"> - - - - - - - - - - - - </w:t>
      </w:r>
    </w:p>
    <w:p w14:paraId="12532938" w14:textId="77777777" w:rsidR="00247E5E" w:rsidRPr="00247E5E" w:rsidRDefault="00247E5E" w:rsidP="00247E5E">
      <w:pPr>
        <w:spacing w:line="360" w:lineRule="auto"/>
        <w:jc w:val="center"/>
        <w:rPr>
          <w:rFonts w:ascii="Arial" w:hAnsi="Arial" w:cs="Arial"/>
          <w:sz w:val="27"/>
          <w:szCs w:val="27"/>
        </w:rPr>
      </w:pPr>
      <w:r w:rsidRPr="00247E5E">
        <w:rPr>
          <w:rFonts w:ascii="Arial" w:hAnsi="Arial" w:cs="Arial"/>
          <w:b/>
          <w:bCs/>
          <w:sz w:val="27"/>
          <w:szCs w:val="27"/>
        </w:rPr>
        <w:t>R E S U E L V E:</w:t>
      </w:r>
    </w:p>
    <w:p w14:paraId="1B61104E" w14:textId="2F53DC78" w:rsidR="00247E5E" w:rsidRPr="00247E5E" w:rsidRDefault="00247E5E" w:rsidP="00247E5E">
      <w:pPr>
        <w:pStyle w:val="Textoindependienteprimerasangra"/>
        <w:spacing w:after="0" w:line="360" w:lineRule="auto"/>
        <w:ind w:firstLine="567"/>
        <w:jc w:val="both"/>
        <w:rPr>
          <w:rFonts w:ascii="Arial" w:hAnsi="Arial" w:cs="Arial"/>
          <w:sz w:val="27"/>
          <w:szCs w:val="27"/>
        </w:rPr>
      </w:pPr>
      <w:proofErr w:type="gramStart"/>
      <w:r w:rsidRPr="00247E5E">
        <w:rPr>
          <w:rFonts w:ascii="Arial" w:hAnsi="Arial" w:cs="Arial"/>
          <w:b/>
          <w:bCs/>
          <w:sz w:val="27"/>
          <w:szCs w:val="27"/>
        </w:rPr>
        <w:t>PRIMERO</w:t>
      </w:r>
      <w:r w:rsidRPr="00247E5E">
        <w:rPr>
          <w:rFonts w:ascii="Arial" w:hAnsi="Arial" w:cs="Arial"/>
          <w:bCs/>
          <w:sz w:val="27"/>
          <w:szCs w:val="27"/>
        </w:rPr>
        <w:t>.-</w:t>
      </w:r>
      <w:proofErr w:type="gramEnd"/>
      <w:r w:rsidRPr="00247E5E">
        <w:rPr>
          <w:rFonts w:ascii="Arial" w:hAnsi="Arial" w:cs="Arial"/>
          <w:sz w:val="27"/>
          <w:szCs w:val="27"/>
        </w:rPr>
        <w:t xml:space="preserve"> Esta Primera Sala de Primera Instancia es competente para conocer y resolver del presente asunto.- - - - - - - - - - </w:t>
      </w:r>
    </w:p>
    <w:p w14:paraId="75BB3455" w14:textId="3F3DC448" w:rsidR="00247E5E" w:rsidRPr="00247E5E" w:rsidRDefault="00247E5E" w:rsidP="00247E5E">
      <w:pPr>
        <w:pStyle w:val="Textoindependienteprimerasangra"/>
        <w:spacing w:after="0" w:line="360" w:lineRule="auto"/>
        <w:ind w:firstLine="567"/>
        <w:jc w:val="both"/>
        <w:rPr>
          <w:rFonts w:ascii="Arial" w:hAnsi="Arial" w:cs="Arial"/>
          <w:sz w:val="27"/>
          <w:szCs w:val="27"/>
        </w:rPr>
      </w:pPr>
      <w:proofErr w:type="gramStart"/>
      <w:r w:rsidRPr="00247E5E">
        <w:rPr>
          <w:rFonts w:ascii="Arial" w:hAnsi="Arial" w:cs="Arial"/>
          <w:b/>
          <w:sz w:val="27"/>
          <w:szCs w:val="27"/>
        </w:rPr>
        <w:t>SEGUNDO.-</w:t>
      </w:r>
      <w:proofErr w:type="gramEnd"/>
      <w:r w:rsidRPr="00247E5E">
        <w:rPr>
          <w:rFonts w:ascii="Arial" w:hAnsi="Arial" w:cs="Arial"/>
          <w:b/>
          <w:sz w:val="27"/>
          <w:szCs w:val="27"/>
        </w:rPr>
        <w:t xml:space="preserve"> </w:t>
      </w:r>
      <w:r w:rsidRPr="00247E5E">
        <w:rPr>
          <w:rFonts w:ascii="Arial" w:hAnsi="Arial" w:cs="Arial"/>
          <w:sz w:val="27"/>
          <w:szCs w:val="27"/>
        </w:rPr>
        <w:t xml:space="preserve">La personalidad de la partes quedó establecida en el considerando SEGUNDO de esta sentencia.- - - - - - - - - - - - - - - - - - - </w:t>
      </w:r>
    </w:p>
    <w:p w14:paraId="29D3A355" w14:textId="3F9FCC15" w:rsidR="00247E5E" w:rsidRPr="00247E5E" w:rsidRDefault="00247E5E" w:rsidP="00247E5E">
      <w:pPr>
        <w:pStyle w:val="Textoindependienteprimerasangra"/>
        <w:spacing w:after="0" w:line="360" w:lineRule="auto"/>
        <w:ind w:firstLine="567"/>
        <w:jc w:val="both"/>
        <w:rPr>
          <w:rFonts w:ascii="Arial" w:hAnsi="Arial" w:cs="Arial"/>
          <w:sz w:val="27"/>
          <w:szCs w:val="27"/>
        </w:rPr>
      </w:pPr>
      <w:proofErr w:type="gramStart"/>
      <w:r w:rsidRPr="00247E5E">
        <w:rPr>
          <w:rFonts w:ascii="Arial" w:hAnsi="Arial" w:cs="Arial"/>
          <w:b/>
          <w:sz w:val="27"/>
          <w:szCs w:val="27"/>
        </w:rPr>
        <w:t>TERCERO.-</w:t>
      </w:r>
      <w:proofErr w:type="gramEnd"/>
      <w:r w:rsidRPr="00247E5E">
        <w:rPr>
          <w:rFonts w:ascii="Arial" w:hAnsi="Arial" w:cs="Arial"/>
          <w:b/>
          <w:sz w:val="27"/>
          <w:szCs w:val="27"/>
        </w:rPr>
        <w:t xml:space="preserve"> </w:t>
      </w:r>
      <w:r w:rsidRPr="00247E5E">
        <w:rPr>
          <w:rFonts w:ascii="Arial" w:hAnsi="Arial" w:cs="Arial"/>
          <w:sz w:val="27"/>
          <w:szCs w:val="27"/>
        </w:rPr>
        <w:t xml:space="preserve">No se actualizó ninguna de las causales contenida en los artículos 161 y 162 de la Ley de Procedimiento y Justicia Administrativa para el Estado de Oaxaca, expuestas en el considerando TERCERO por lo que </w:t>
      </w:r>
      <w:r w:rsidRPr="00247E5E">
        <w:rPr>
          <w:rFonts w:ascii="Arial" w:hAnsi="Arial" w:cs="Arial"/>
          <w:sz w:val="27"/>
          <w:szCs w:val="27"/>
          <w:u w:val="single"/>
        </w:rPr>
        <w:t>no se sobresee el presente juicio</w:t>
      </w:r>
      <w:r w:rsidRPr="00247E5E">
        <w:rPr>
          <w:rFonts w:ascii="Arial" w:hAnsi="Arial" w:cs="Arial"/>
          <w:sz w:val="27"/>
          <w:szCs w:val="27"/>
        </w:rPr>
        <w:t xml:space="preserve">.- - - - - - - - - - - </w:t>
      </w:r>
    </w:p>
    <w:p w14:paraId="372DB07F" w14:textId="7151A278" w:rsidR="00247E5E" w:rsidRPr="00247E5E" w:rsidRDefault="00247E5E" w:rsidP="00247E5E">
      <w:pPr>
        <w:pStyle w:val="Textoindependienteprimerasangra"/>
        <w:spacing w:after="0" w:line="360" w:lineRule="auto"/>
        <w:ind w:firstLine="567"/>
        <w:jc w:val="both"/>
        <w:rPr>
          <w:rFonts w:ascii="Arial" w:hAnsi="Arial" w:cs="Arial"/>
          <w:sz w:val="27"/>
          <w:szCs w:val="27"/>
        </w:rPr>
      </w:pPr>
      <w:r w:rsidRPr="00247E5E">
        <w:rPr>
          <w:rFonts w:ascii="Arial" w:hAnsi="Arial" w:cs="Arial"/>
          <w:b/>
          <w:sz w:val="27"/>
          <w:szCs w:val="27"/>
        </w:rPr>
        <w:t>CUARTO.-</w:t>
      </w:r>
      <w:r w:rsidRPr="00247E5E">
        <w:rPr>
          <w:rFonts w:ascii="Arial" w:hAnsi="Arial" w:cs="Arial"/>
          <w:sz w:val="27"/>
          <w:szCs w:val="27"/>
        </w:rPr>
        <w:t xml:space="preserve"> Se declara la </w:t>
      </w:r>
      <w:r w:rsidRPr="00247E5E">
        <w:rPr>
          <w:rFonts w:ascii="Arial" w:hAnsi="Arial" w:cs="Arial"/>
          <w:b/>
          <w:sz w:val="27"/>
          <w:szCs w:val="27"/>
          <w:lang w:val="es-MX"/>
        </w:rPr>
        <w:t>NULIDAD</w:t>
      </w:r>
      <w:r w:rsidRPr="00247E5E">
        <w:rPr>
          <w:rFonts w:ascii="Arial" w:hAnsi="Arial" w:cs="Arial"/>
          <w:bCs/>
          <w:sz w:val="27"/>
          <w:szCs w:val="27"/>
          <w:lang w:val="es-MX"/>
        </w:rPr>
        <w:t xml:space="preserve"> </w:t>
      </w:r>
      <w:r w:rsidRPr="00247E5E">
        <w:rPr>
          <w:rFonts w:ascii="Arial" w:hAnsi="Arial" w:cs="Arial"/>
          <w:sz w:val="27"/>
          <w:szCs w:val="27"/>
        </w:rPr>
        <w:t xml:space="preserve">de la resolución de fecha dieciséis de abril de dos mil diecinueve (16/04/2019), en la cual resuelve desechar el recurso de revocación en contra del oficio número **********, de fecha veinticuatro de octubre de dos mil dieciocho, emitido por el Jefe de la Unidad de Recaudación Municipal de Oaxaca de Juárez, Oaxaca, </w:t>
      </w:r>
      <w:r w:rsidRPr="00247E5E">
        <w:rPr>
          <w:rFonts w:ascii="Arial" w:hAnsi="Arial" w:cs="Arial"/>
          <w:b/>
          <w:bCs/>
          <w:sz w:val="27"/>
          <w:szCs w:val="27"/>
        </w:rPr>
        <w:t>PARA EL EFECTO</w:t>
      </w:r>
      <w:r w:rsidRPr="00247E5E">
        <w:rPr>
          <w:rFonts w:ascii="Arial" w:hAnsi="Arial" w:cs="Arial"/>
          <w:sz w:val="27"/>
          <w:szCs w:val="27"/>
        </w:rPr>
        <w:t xml:space="preserve"> de que de que la Tesorera Municipal de Oaxaca de Juárez a través de sí misma o de quien sea legalmente competente </w:t>
      </w:r>
      <w:r w:rsidRPr="00247E5E">
        <w:rPr>
          <w:rFonts w:ascii="Arial" w:hAnsi="Arial" w:cs="Arial"/>
          <w:sz w:val="27"/>
          <w:szCs w:val="27"/>
          <w:u w:val="single"/>
        </w:rPr>
        <w:t xml:space="preserve">deje insubsistente la resolución controvertida y emita uno nuevo en el que admita el recurso de revocación planteado, debiendo entrar al estudio y análisis integral del oficio número </w:t>
      </w:r>
      <w:r w:rsidRPr="00247E5E">
        <w:rPr>
          <w:rFonts w:ascii="Arial" w:hAnsi="Arial" w:cs="Arial"/>
          <w:sz w:val="27"/>
          <w:szCs w:val="27"/>
        </w:rPr>
        <w:t>**********</w:t>
      </w:r>
      <w:r w:rsidRPr="00247E5E">
        <w:rPr>
          <w:rFonts w:ascii="Arial" w:hAnsi="Arial" w:cs="Arial"/>
          <w:sz w:val="27"/>
          <w:szCs w:val="27"/>
          <w:u w:val="single"/>
        </w:rPr>
        <w:t xml:space="preserve">, de fecha </w:t>
      </w:r>
      <w:r w:rsidRPr="00247E5E">
        <w:rPr>
          <w:rFonts w:ascii="Arial" w:hAnsi="Arial" w:cs="Arial"/>
          <w:sz w:val="27"/>
          <w:szCs w:val="27"/>
          <w:u w:val="single"/>
        </w:rPr>
        <w:lastRenderedPageBreak/>
        <w:t xml:space="preserve">veinticuatro de octubre de dos mil dieciocho, emitido por el Jefe de la Unidad de Recaudación Municipal de Oaxaca de Juárez, Oaxaca en relación con el acta </w:t>
      </w:r>
      <w:r w:rsidRPr="00247E5E">
        <w:rPr>
          <w:rFonts w:ascii="Arial" w:hAnsi="Arial" w:cs="Arial"/>
          <w:bCs/>
          <w:sz w:val="27"/>
          <w:szCs w:val="27"/>
          <w:u w:val="single"/>
          <w:lang w:val="es-MX"/>
        </w:rPr>
        <w:t>acta circunstanciada de intervención de fecha veintisiete de octubre de dos mil dieciocho</w:t>
      </w:r>
      <w:r w:rsidRPr="00247E5E">
        <w:rPr>
          <w:rFonts w:ascii="Arial" w:hAnsi="Arial" w:cs="Arial"/>
          <w:sz w:val="27"/>
          <w:szCs w:val="27"/>
        </w:rPr>
        <w:t xml:space="preserve">, en términos del considerando CUARTO de la presente resolución.- - - - - - - - - - - - - - -  </w:t>
      </w:r>
    </w:p>
    <w:p w14:paraId="6ED8CFF3" w14:textId="63D2DB7D" w:rsidR="00247E5E" w:rsidRPr="00247E5E" w:rsidRDefault="00247E5E" w:rsidP="00247E5E">
      <w:pPr>
        <w:pStyle w:val="Textoindependienteprimerasangra"/>
        <w:spacing w:after="0" w:line="360" w:lineRule="auto"/>
        <w:ind w:firstLine="567"/>
        <w:jc w:val="both"/>
        <w:rPr>
          <w:rFonts w:ascii="Arial" w:hAnsi="Arial" w:cs="Arial"/>
          <w:sz w:val="27"/>
          <w:szCs w:val="27"/>
        </w:rPr>
      </w:pPr>
      <w:proofErr w:type="gramStart"/>
      <w:r w:rsidRPr="00247E5E">
        <w:rPr>
          <w:rFonts w:ascii="Arial" w:hAnsi="Arial" w:cs="Arial"/>
          <w:b/>
          <w:bCs/>
          <w:sz w:val="27"/>
          <w:szCs w:val="27"/>
        </w:rPr>
        <w:t>QUINTO.-</w:t>
      </w:r>
      <w:proofErr w:type="gramEnd"/>
      <w:r w:rsidRPr="00247E5E">
        <w:rPr>
          <w:rFonts w:ascii="Arial" w:hAnsi="Arial" w:cs="Arial"/>
          <w:sz w:val="27"/>
          <w:szCs w:val="27"/>
        </w:rPr>
        <w:t xml:space="preserve"> Conforme a lo dispuesto en los artículos 172 y 173 de la Ley de Procedimiento y Justicia Administrativa para el Estado de Oaxaca,</w:t>
      </w:r>
      <w:r w:rsidRPr="00247E5E">
        <w:rPr>
          <w:rFonts w:ascii="Arial" w:hAnsi="Arial" w:cs="Arial"/>
          <w:b/>
          <w:bCs/>
          <w:sz w:val="27"/>
          <w:szCs w:val="27"/>
        </w:rPr>
        <w:t xml:space="preserve"> NOTIFÍQUESE</w:t>
      </w:r>
      <w:r w:rsidRPr="00247E5E">
        <w:rPr>
          <w:rFonts w:ascii="Arial" w:hAnsi="Arial" w:cs="Arial"/>
          <w:b/>
          <w:sz w:val="27"/>
          <w:szCs w:val="27"/>
        </w:rPr>
        <w:t xml:space="preserve"> </w:t>
      </w:r>
      <w:r w:rsidRPr="00247E5E">
        <w:rPr>
          <w:rFonts w:ascii="Arial" w:hAnsi="Arial" w:cs="Arial"/>
          <w:sz w:val="27"/>
          <w:szCs w:val="27"/>
        </w:rPr>
        <w:t xml:space="preserve">y </w:t>
      </w:r>
      <w:r w:rsidRPr="00247E5E">
        <w:rPr>
          <w:rFonts w:ascii="Arial" w:hAnsi="Arial" w:cs="Arial"/>
          <w:b/>
          <w:sz w:val="27"/>
          <w:szCs w:val="27"/>
        </w:rPr>
        <w:t>CÚMPLASE.</w:t>
      </w:r>
      <w:r w:rsidRPr="00247E5E">
        <w:rPr>
          <w:rFonts w:ascii="Arial" w:hAnsi="Arial" w:cs="Arial"/>
          <w:sz w:val="27"/>
          <w:szCs w:val="27"/>
        </w:rPr>
        <w:t xml:space="preserve">- - - - - - - - - - - - - - - - - - - - - - - </w:t>
      </w:r>
    </w:p>
    <w:p w14:paraId="0EAE98FD" w14:textId="2B3B3B07" w:rsidR="00247E5E" w:rsidRPr="00247E5E" w:rsidRDefault="00247E5E" w:rsidP="00247E5E">
      <w:pPr>
        <w:spacing w:line="360" w:lineRule="auto"/>
        <w:ind w:firstLine="567"/>
        <w:jc w:val="both"/>
        <w:rPr>
          <w:rFonts w:ascii="Arial" w:hAnsi="Arial" w:cs="Arial"/>
          <w:sz w:val="27"/>
          <w:szCs w:val="27"/>
        </w:rPr>
      </w:pPr>
      <w:r w:rsidRPr="00247E5E">
        <w:rPr>
          <w:rFonts w:ascii="Arial" w:hAnsi="Arial" w:cs="Arial"/>
          <w:sz w:val="27"/>
          <w:szCs w:val="27"/>
        </w:rPr>
        <w:t xml:space="preserve">Así lo resolvió y firma la </w:t>
      </w:r>
      <w:r w:rsidRPr="00247E5E">
        <w:rPr>
          <w:rFonts w:ascii="Arial" w:hAnsi="Arial" w:cs="Arial"/>
          <w:b/>
          <w:i/>
          <w:sz w:val="27"/>
          <w:szCs w:val="27"/>
        </w:rPr>
        <w:t>licenciada Frida Jiménez Valencia</w:t>
      </w:r>
      <w:r w:rsidRPr="00247E5E">
        <w:rPr>
          <w:rFonts w:ascii="Arial" w:hAnsi="Arial" w:cs="Arial"/>
          <w:sz w:val="27"/>
          <w:szCs w:val="27"/>
        </w:rPr>
        <w:t xml:space="preserve">, Magistrada de la Primera Sala Unitaria de Primera Instancia del Tribunal de Justicia Administrativa del Estado de Oaxaca, ante el Secretario de Acuerdos, </w:t>
      </w:r>
      <w:r w:rsidRPr="00247E5E">
        <w:rPr>
          <w:rFonts w:ascii="Arial" w:hAnsi="Arial" w:cs="Arial"/>
          <w:i/>
          <w:sz w:val="27"/>
          <w:szCs w:val="27"/>
        </w:rPr>
        <w:t>licenciado Renato Gabriel Ibáñez Castellanos</w:t>
      </w:r>
      <w:r w:rsidRPr="00247E5E">
        <w:rPr>
          <w:rFonts w:ascii="Arial" w:hAnsi="Arial" w:cs="Arial"/>
          <w:sz w:val="27"/>
          <w:szCs w:val="27"/>
        </w:rPr>
        <w:t xml:space="preserve">, quien autoriza y da fe. - - - - - - - - - - - - - - - - - - - - - - - - - - - - - - - - - - - </w:t>
      </w:r>
    </w:p>
    <w:p w14:paraId="2FC0E3BE" w14:textId="7E7C6D36" w:rsidR="00673227" w:rsidRPr="00247E5E" w:rsidRDefault="00673227" w:rsidP="00247E5E"/>
    <w:sectPr w:rsidR="00673227" w:rsidRPr="00247E5E"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3C1CC" w14:textId="77777777" w:rsidR="00C80B99" w:rsidRDefault="00C80B99" w:rsidP="00694411">
      <w:r>
        <w:separator/>
      </w:r>
    </w:p>
  </w:endnote>
  <w:endnote w:type="continuationSeparator" w:id="0">
    <w:p w14:paraId="70B91C13" w14:textId="77777777" w:rsidR="00C80B99" w:rsidRDefault="00C80B99" w:rsidP="0069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CD3CD" w14:textId="77777777" w:rsidR="00C80B99" w:rsidRDefault="00C80B99" w:rsidP="00694411">
      <w:r>
        <w:separator/>
      </w:r>
    </w:p>
  </w:footnote>
  <w:footnote w:type="continuationSeparator" w:id="0">
    <w:p w14:paraId="35E267B0" w14:textId="77777777" w:rsidR="00C80B99" w:rsidRDefault="00C80B99" w:rsidP="0069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245D27"/>
    <w:rsid w:val="00247E5E"/>
    <w:rsid w:val="002A2E4C"/>
    <w:rsid w:val="00673227"/>
    <w:rsid w:val="00694411"/>
    <w:rsid w:val="006A6229"/>
    <w:rsid w:val="009B5EB8"/>
    <w:rsid w:val="00C80B99"/>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5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 w:type="paragraph" w:styleId="Textoindependiente">
    <w:name w:val="Body Text"/>
    <w:basedOn w:val="Normal"/>
    <w:link w:val="TextoindependienteCar"/>
    <w:uiPriority w:val="99"/>
    <w:semiHidden/>
    <w:unhideWhenUsed/>
    <w:rsid w:val="00247E5E"/>
    <w:pPr>
      <w:spacing w:after="120"/>
    </w:pPr>
  </w:style>
  <w:style w:type="character" w:customStyle="1" w:styleId="TextoindependienteCar">
    <w:name w:val="Texto independiente Car"/>
    <w:basedOn w:val="Fuentedeprrafopredeter"/>
    <w:link w:val="Textoindependiente"/>
    <w:uiPriority w:val="99"/>
    <w:semiHidden/>
    <w:rsid w:val="00247E5E"/>
    <w:rPr>
      <w:rFonts w:ascii="Times New Roman" w:eastAsia="Times New Roman" w:hAnsi="Times New Roman" w:cs="Times New Roman"/>
      <w:sz w:val="20"/>
      <w:szCs w:val="20"/>
      <w:lang w:val="es-ES" w:eastAsia="es-MX"/>
    </w:rPr>
  </w:style>
  <w:style w:type="paragraph" w:styleId="Textoindependienteprimerasangra">
    <w:name w:val="Body Text First Indent"/>
    <w:basedOn w:val="Textoindependiente"/>
    <w:link w:val="TextoindependienteprimerasangraCar"/>
    <w:semiHidden/>
    <w:unhideWhenUsed/>
    <w:rsid w:val="00247E5E"/>
    <w:pPr>
      <w:ind w:firstLine="210"/>
    </w:pPr>
  </w:style>
  <w:style w:type="character" w:customStyle="1" w:styleId="TextoindependienteprimerasangraCar">
    <w:name w:val="Texto independiente primera sangría Car"/>
    <w:basedOn w:val="TextoindependienteCar"/>
    <w:link w:val="Textoindependienteprimerasangra"/>
    <w:semiHidden/>
    <w:rsid w:val="00247E5E"/>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247E5E"/>
    <w:rPr>
      <w:rFonts w:ascii="Arial" w:eastAsia="Times New Roman" w:hAnsi="Arial" w:cs="Arial"/>
      <w:sz w:val="30"/>
      <w:lang w:val="es-ES_tradnl" w:eastAsia="es-ES"/>
    </w:rPr>
  </w:style>
  <w:style w:type="paragraph" w:customStyle="1" w:styleId="corte4fondo">
    <w:name w:val="corte4 fondo"/>
    <w:basedOn w:val="Normal"/>
    <w:link w:val="corte4fondoCar"/>
    <w:rsid w:val="00247E5E"/>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6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3526</Words>
  <Characters>19397</Characters>
  <Application>Microsoft Office Word</Application>
  <DocSecurity>0</DocSecurity>
  <Lines>161</Lines>
  <Paragraphs>45</Paragraphs>
  <ScaleCrop>false</ScaleCrop>
  <Company/>
  <LinksUpToDate>false</LinksUpToDate>
  <CharactersWithSpaces>22878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2021-04-14T04:29:00Z</dcterms:created>
  <dcterms:modified xsi:type="dcterms:W3CDTF">2021-04-14T04:29:00Z</dcterms:modified>
</cp:coreProperties>
</file>