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F1E91" w14:textId="77777777" w:rsidR="004A41DB" w:rsidRPr="0061691B" w:rsidRDefault="004A41DB" w:rsidP="004A41DB">
      <w:pPr>
        <w:pStyle w:val="corte4fondo"/>
        <w:spacing w:line="240" w:lineRule="auto"/>
        <w:ind w:left="3544" w:right="-496" w:firstLine="0"/>
        <w:rPr>
          <w:rFonts w:cs="Arial"/>
          <w:b/>
          <w:sz w:val="20"/>
        </w:rPr>
      </w:pPr>
      <w:r w:rsidRPr="0061691B">
        <w:rPr>
          <w:rFonts w:cs="Arial"/>
          <w:b/>
          <w:sz w:val="20"/>
        </w:rPr>
        <w:t>TERCERA SALA UNITARIA DE PRIMERA INSTANCIA DEL TRIBUNAL DE</w:t>
      </w:r>
      <w:r w:rsidR="00703439" w:rsidRPr="0061691B">
        <w:rPr>
          <w:rFonts w:cs="Arial"/>
          <w:b/>
          <w:sz w:val="20"/>
        </w:rPr>
        <w:t xml:space="preserve"> JUSTICIA ADMINISTRATIVA</w:t>
      </w:r>
      <w:r w:rsidRPr="0061691B">
        <w:rPr>
          <w:rFonts w:cs="Arial"/>
          <w:b/>
          <w:sz w:val="20"/>
        </w:rPr>
        <w:t xml:space="preserve"> DEL ESTADO DE OAXACA.</w:t>
      </w:r>
    </w:p>
    <w:p w14:paraId="3E347485" w14:textId="77777777" w:rsidR="004A41DB" w:rsidRPr="0061691B" w:rsidRDefault="004A41DB" w:rsidP="004A41DB">
      <w:pPr>
        <w:pStyle w:val="corte4fondo"/>
        <w:spacing w:line="240" w:lineRule="auto"/>
        <w:ind w:left="3544" w:right="-496" w:firstLine="0"/>
        <w:rPr>
          <w:rFonts w:cs="Arial"/>
          <w:b/>
          <w:sz w:val="20"/>
        </w:rPr>
      </w:pPr>
    </w:p>
    <w:p w14:paraId="7D66F5F8" w14:textId="77777777" w:rsidR="004A41DB" w:rsidRPr="0061691B" w:rsidRDefault="004A41DB" w:rsidP="004A41DB">
      <w:pPr>
        <w:pStyle w:val="corte4fondo"/>
        <w:spacing w:line="240" w:lineRule="auto"/>
        <w:ind w:left="3544" w:right="-496" w:firstLine="0"/>
        <w:rPr>
          <w:rFonts w:cs="Arial"/>
          <w:sz w:val="20"/>
        </w:rPr>
      </w:pPr>
      <w:r w:rsidRPr="0061691B">
        <w:rPr>
          <w:rFonts w:cs="Arial"/>
          <w:b/>
          <w:sz w:val="20"/>
        </w:rPr>
        <w:t xml:space="preserve">JUICIO DE NULIDAD </w:t>
      </w:r>
      <w:r w:rsidR="00A81EAF">
        <w:rPr>
          <w:rFonts w:cs="Arial"/>
          <w:b/>
          <w:sz w:val="20"/>
        </w:rPr>
        <w:t>56/2019</w:t>
      </w:r>
    </w:p>
    <w:p w14:paraId="71F71B42" w14:textId="77777777" w:rsidR="004A41DB" w:rsidRPr="0061691B" w:rsidRDefault="004A41DB" w:rsidP="004A41DB">
      <w:pPr>
        <w:pStyle w:val="corte4fondo"/>
        <w:spacing w:line="240" w:lineRule="auto"/>
        <w:ind w:left="3544" w:right="-496" w:firstLine="0"/>
        <w:rPr>
          <w:rFonts w:cs="Arial"/>
          <w:b/>
          <w:sz w:val="20"/>
        </w:rPr>
      </w:pPr>
    </w:p>
    <w:p w14:paraId="2FDDB008" w14:textId="7EEF03B7" w:rsidR="00D74453" w:rsidRDefault="004A41DB" w:rsidP="004A41DB">
      <w:pPr>
        <w:pStyle w:val="corte4fondo"/>
        <w:spacing w:line="240" w:lineRule="auto"/>
        <w:ind w:left="3544" w:right="-496" w:firstLine="0"/>
        <w:rPr>
          <w:rFonts w:cs="Arial"/>
          <w:b/>
          <w:sz w:val="20"/>
        </w:rPr>
      </w:pPr>
      <w:r w:rsidRPr="0061691B">
        <w:rPr>
          <w:rFonts w:cs="Arial"/>
          <w:b/>
          <w:sz w:val="20"/>
        </w:rPr>
        <w:t>ACTOR:</w:t>
      </w:r>
      <w:r w:rsidR="001E48A7" w:rsidRPr="0061691B">
        <w:rPr>
          <w:rFonts w:cs="Arial"/>
          <w:b/>
          <w:sz w:val="20"/>
        </w:rPr>
        <w:t xml:space="preserve"> </w:t>
      </w:r>
      <w:r w:rsidR="00C247DA">
        <w:rPr>
          <w:rFonts w:cs="Arial"/>
          <w:b/>
          <w:sz w:val="20"/>
        </w:rPr>
        <w:t>***** ***** ***** *****</w:t>
      </w:r>
      <w:r w:rsidR="00A81EAF">
        <w:rPr>
          <w:rFonts w:cs="Arial"/>
          <w:b/>
          <w:sz w:val="20"/>
        </w:rPr>
        <w:t>.</w:t>
      </w:r>
    </w:p>
    <w:p w14:paraId="66B702E3" w14:textId="77777777" w:rsidR="004F4D9E" w:rsidRPr="0061691B" w:rsidRDefault="004F4D9E" w:rsidP="004A41DB">
      <w:pPr>
        <w:pStyle w:val="corte4fondo"/>
        <w:spacing w:line="240" w:lineRule="auto"/>
        <w:ind w:left="3544" w:right="-496" w:firstLine="0"/>
        <w:rPr>
          <w:rFonts w:cs="Arial"/>
          <w:b/>
          <w:sz w:val="20"/>
        </w:rPr>
      </w:pPr>
    </w:p>
    <w:p w14:paraId="15F6B275" w14:textId="77777777" w:rsidR="00E163C7" w:rsidRPr="0061691B" w:rsidRDefault="004A41DB" w:rsidP="00F6047C">
      <w:pPr>
        <w:pStyle w:val="corte4fondo"/>
        <w:spacing w:line="240" w:lineRule="auto"/>
        <w:ind w:left="3544" w:right="-496" w:firstLine="0"/>
        <w:rPr>
          <w:rFonts w:cs="Arial"/>
          <w:b/>
          <w:color w:val="000000"/>
          <w:sz w:val="20"/>
        </w:rPr>
      </w:pPr>
      <w:r w:rsidRPr="0061691B">
        <w:rPr>
          <w:rFonts w:cs="Arial"/>
          <w:b/>
          <w:color w:val="000000"/>
          <w:sz w:val="20"/>
        </w:rPr>
        <w:t>AUTORIDAD DEMANDADA:</w:t>
      </w:r>
      <w:r w:rsidR="001E48A7" w:rsidRPr="0061691B">
        <w:rPr>
          <w:rFonts w:cs="Arial"/>
          <w:b/>
          <w:color w:val="000000"/>
          <w:sz w:val="20"/>
        </w:rPr>
        <w:t xml:space="preserve"> </w:t>
      </w:r>
      <w:r w:rsidR="004F4D9E">
        <w:rPr>
          <w:rFonts w:cs="Arial"/>
          <w:b/>
          <w:color w:val="000000"/>
          <w:sz w:val="20"/>
        </w:rPr>
        <w:t>JEFE DE LA UNIDAD JURÍDICA DEL INSTITUTO CATASTRO DEL ESTADO DE OAXACA</w:t>
      </w:r>
      <w:r w:rsidR="001E48A7" w:rsidRPr="0061691B">
        <w:rPr>
          <w:rFonts w:cs="Arial"/>
          <w:b/>
          <w:color w:val="000000"/>
          <w:sz w:val="20"/>
        </w:rPr>
        <w:t>.</w:t>
      </w:r>
      <w:r w:rsidR="00F6047C" w:rsidRPr="0061691B">
        <w:rPr>
          <w:rFonts w:cs="Arial"/>
          <w:b/>
          <w:color w:val="000000"/>
          <w:sz w:val="20"/>
        </w:rPr>
        <w:t xml:space="preserve"> </w:t>
      </w:r>
    </w:p>
    <w:p w14:paraId="3428ECE0" w14:textId="77777777" w:rsidR="00E163C7" w:rsidRDefault="00E163C7" w:rsidP="00663BE2">
      <w:pPr>
        <w:pStyle w:val="corte4fondo"/>
        <w:spacing w:line="240" w:lineRule="auto"/>
        <w:ind w:left="3544" w:right="-496" w:firstLine="708"/>
        <w:rPr>
          <w:rFonts w:cs="Arial"/>
          <w:b/>
          <w:color w:val="000000"/>
          <w:sz w:val="24"/>
          <w:szCs w:val="24"/>
        </w:rPr>
      </w:pPr>
    </w:p>
    <w:p w14:paraId="211413F6" w14:textId="77777777" w:rsidR="003C226E" w:rsidRDefault="00E163C7" w:rsidP="00F6047C">
      <w:pPr>
        <w:pStyle w:val="corte4fondo"/>
        <w:spacing w:line="240" w:lineRule="auto"/>
        <w:ind w:left="3544" w:right="-496" w:firstLine="0"/>
        <w:rPr>
          <w:rFonts w:cs="Arial"/>
          <w:sz w:val="24"/>
          <w:szCs w:val="24"/>
        </w:rPr>
      </w:pPr>
      <w:r>
        <w:rPr>
          <w:rFonts w:cs="Arial"/>
          <w:b/>
          <w:color w:val="000000"/>
          <w:sz w:val="24"/>
          <w:szCs w:val="24"/>
        </w:rPr>
        <w:t xml:space="preserve"> </w:t>
      </w:r>
    </w:p>
    <w:p w14:paraId="1A4E7BE4" w14:textId="77777777" w:rsidR="00832A5C" w:rsidRPr="00354B8E" w:rsidRDefault="00F35840" w:rsidP="00832A5C">
      <w:pPr>
        <w:spacing w:line="360" w:lineRule="auto"/>
        <w:ind w:right="-518"/>
        <w:jc w:val="both"/>
        <w:rPr>
          <w:rFonts w:ascii="Arial" w:hAnsi="Arial" w:cs="Arial"/>
          <w:b/>
          <w:sz w:val="23"/>
          <w:szCs w:val="23"/>
        </w:rPr>
      </w:pPr>
      <w:r w:rsidRPr="00354B8E">
        <w:rPr>
          <w:rFonts w:ascii="Arial" w:hAnsi="Arial" w:cs="Arial"/>
          <w:b/>
          <w:sz w:val="23"/>
          <w:szCs w:val="23"/>
        </w:rPr>
        <w:t>OAXACA DE JUÁREZ, OAXACA A</w:t>
      </w:r>
      <w:r w:rsidR="00703439" w:rsidRPr="00354B8E">
        <w:rPr>
          <w:rFonts w:ascii="Arial" w:hAnsi="Arial" w:cs="Arial"/>
          <w:b/>
          <w:sz w:val="23"/>
          <w:szCs w:val="23"/>
        </w:rPr>
        <w:t xml:space="preserve"> </w:t>
      </w:r>
      <w:r w:rsidR="003C6CE0">
        <w:rPr>
          <w:rFonts w:ascii="Arial" w:hAnsi="Arial" w:cs="Arial"/>
          <w:b/>
          <w:sz w:val="23"/>
          <w:szCs w:val="23"/>
        </w:rPr>
        <w:t>DOCE DE MARZO</w:t>
      </w:r>
      <w:r w:rsidR="00A81EAF" w:rsidRPr="00354B8E">
        <w:rPr>
          <w:rFonts w:ascii="Arial" w:hAnsi="Arial" w:cs="Arial"/>
          <w:b/>
          <w:sz w:val="23"/>
          <w:szCs w:val="23"/>
        </w:rPr>
        <w:t xml:space="preserve"> </w:t>
      </w:r>
      <w:r w:rsidR="00703439" w:rsidRPr="00354B8E">
        <w:rPr>
          <w:rFonts w:ascii="Arial" w:hAnsi="Arial" w:cs="Arial"/>
          <w:b/>
          <w:sz w:val="23"/>
          <w:szCs w:val="23"/>
        </w:rPr>
        <w:t xml:space="preserve">DE 2020 DOS MIL VEINTE. - - </w:t>
      </w:r>
    </w:p>
    <w:p w14:paraId="4FF3A428" w14:textId="2F67F433" w:rsidR="004F4D9E" w:rsidRDefault="003C226E" w:rsidP="00A81EAF">
      <w:pPr>
        <w:spacing w:line="360" w:lineRule="auto"/>
        <w:ind w:right="-518" w:firstLine="708"/>
        <w:jc w:val="both"/>
        <w:rPr>
          <w:rFonts w:ascii="Arial" w:hAnsi="Arial" w:cs="Arial"/>
          <w:b/>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A81EAF" w:rsidRPr="00A81EAF">
        <w:rPr>
          <w:rFonts w:ascii="Arial" w:hAnsi="Arial" w:cs="Arial"/>
          <w:b/>
          <w:sz w:val="24"/>
          <w:szCs w:val="24"/>
          <w:lang w:val="es-MX"/>
        </w:rPr>
        <w:t>56/2019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C247DA">
        <w:rPr>
          <w:rFonts w:ascii="Arial" w:hAnsi="Arial" w:cs="Arial"/>
          <w:b/>
          <w:sz w:val="24"/>
          <w:szCs w:val="24"/>
          <w:lang w:val="es-MX"/>
        </w:rPr>
        <w:t>***** ***** ***** *****</w:t>
      </w:r>
      <w:r w:rsidR="004F4D9E">
        <w:rPr>
          <w:rFonts w:ascii="Arial" w:hAnsi="Arial" w:cs="Arial"/>
          <w:b/>
          <w:sz w:val="24"/>
          <w:szCs w:val="24"/>
          <w:lang w:val="es-MX"/>
        </w:rPr>
        <w:t xml:space="preserve">, </w:t>
      </w:r>
      <w:r w:rsidR="004F4D9E" w:rsidRPr="004F4D9E">
        <w:rPr>
          <w:rFonts w:ascii="Arial" w:hAnsi="Arial" w:cs="Arial"/>
          <w:sz w:val="24"/>
          <w:szCs w:val="24"/>
          <w:lang w:val="es-MX"/>
        </w:rPr>
        <w:t xml:space="preserve">por su propio derecho </w:t>
      </w:r>
      <w:r w:rsidR="00EA282E" w:rsidRPr="00EA282E">
        <w:rPr>
          <w:rFonts w:ascii="Arial" w:hAnsi="Arial" w:cs="Arial"/>
          <w:sz w:val="24"/>
          <w:szCs w:val="24"/>
          <w:lang w:val="es-MX"/>
        </w:rPr>
        <w:t>en contra de</w:t>
      </w:r>
      <w:r w:rsidR="00A81EAF">
        <w:rPr>
          <w:rFonts w:ascii="Arial" w:hAnsi="Arial" w:cs="Arial"/>
          <w:b/>
          <w:sz w:val="24"/>
          <w:szCs w:val="24"/>
          <w:lang w:val="es-MX"/>
        </w:rPr>
        <w:t>l</w:t>
      </w:r>
      <w:r w:rsidR="004F4D9E">
        <w:rPr>
          <w:rFonts w:ascii="Arial" w:hAnsi="Arial" w:cs="Arial"/>
          <w:b/>
          <w:sz w:val="24"/>
          <w:szCs w:val="24"/>
          <w:lang w:val="es-MX"/>
        </w:rPr>
        <w:t xml:space="preserve"> JEF</w:t>
      </w:r>
      <w:r w:rsidR="00A81EAF">
        <w:rPr>
          <w:rFonts w:ascii="Arial" w:hAnsi="Arial" w:cs="Arial"/>
          <w:b/>
          <w:sz w:val="24"/>
          <w:szCs w:val="24"/>
          <w:lang w:val="es-MX"/>
        </w:rPr>
        <w:t>E</w:t>
      </w:r>
      <w:r w:rsidR="004F4D9E">
        <w:rPr>
          <w:rFonts w:ascii="Arial" w:hAnsi="Arial" w:cs="Arial"/>
          <w:b/>
          <w:sz w:val="24"/>
          <w:szCs w:val="24"/>
          <w:lang w:val="es-MX"/>
        </w:rPr>
        <w:t xml:space="preserve"> DE LA UNIDAD JURÍDICA DEL INSTITUTO CATASTRAL DEL ESTADO DE OAXACA</w:t>
      </w:r>
      <w:r w:rsidR="001B4232">
        <w:rPr>
          <w:rFonts w:ascii="Arial" w:hAnsi="Arial" w:cs="Arial"/>
          <w:b/>
          <w:sz w:val="24"/>
          <w:szCs w:val="24"/>
          <w:lang w:val="es-MX"/>
        </w:rPr>
        <w:t>,</w:t>
      </w:r>
      <w:r w:rsidR="00964805" w:rsidRPr="00EA282E">
        <w:rPr>
          <w:rFonts w:ascii="Arial" w:hAnsi="Arial" w:cs="Arial"/>
          <w:b/>
          <w:bCs/>
          <w:color w:val="000000"/>
          <w:sz w:val="24"/>
          <w:szCs w:val="24"/>
        </w:rPr>
        <w:t xml:space="preserve"> </w:t>
      </w:r>
      <w:r w:rsidRPr="00EA282E">
        <w:rPr>
          <w:rFonts w:ascii="Arial" w:hAnsi="Arial" w:cs="Arial"/>
          <w:b/>
          <w:bCs/>
          <w:sz w:val="24"/>
          <w:szCs w:val="24"/>
          <w:lang w:val="es-MX"/>
        </w:rPr>
        <w:t>Y</w:t>
      </w:r>
      <w:r w:rsidR="00B237AA" w:rsidRPr="00EA282E">
        <w:rPr>
          <w:rFonts w:ascii="Arial" w:hAnsi="Arial" w:cs="Arial"/>
          <w:b/>
          <w:bCs/>
          <w:sz w:val="24"/>
          <w:szCs w:val="24"/>
          <w:lang w:val="es-MX"/>
        </w:rPr>
        <w:t>:</w:t>
      </w:r>
    </w:p>
    <w:p w14:paraId="50ED7390"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40773DC5" w14:textId="77777777" w:rsidR="003C226E" w:rsidRPr="003C226E" w:rsidRDefault="003C226E" w:rsidP="003C226E">
      <w:pPr>
        <w:spacing w:line="360" w:lineRule="auto"/>
        <w:jc w:val="both"/>
        <w:rPr>
          <w:rFonts w:ascii="Arial" w:hAnsi="Arial" w:cs="Arial"/>
          <w:b/>
          <w:sz w:val="24"/>
          <w:szCs w:val="24"/>
        </w:rPr>
      </w:pPr>
    </w:p>
    <w:p w14:paraId="39897BF8" w14:textId="1D501F75" w:rsidR="00E876C9" w:rsidRDefault="003C226E" w:rsidP="00E876C9">
      <w:pPr>
        <w:spacing w:line="360" w:lineRule="auto"/>
        <w:ind w:right="-518" w:firstLine="567"/>
        <w:jc w:val="both"/>
        <w:rPr>
          <w:rFonts w:ascii="Arial" w:hAnsi="Arial" w:cs="Arial"/>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A81EAF">
        <w:rPr>
          <w:rFonts w:ascii="Arial" w:hAnsi="Arial" w:cs="Arial"/>
          <w:color w:val="000000"/>
          <w:sz w:val="24"/>
          <w:szCs w:val="24"/>
        </w:rPr>
        <w:t>diez de junio de dos mil diecinueve</w:t>
      </w:r>
      <w:r w:rsidRPr="001C6624">
        <w:rPr>
          <w:rFonts w:ascii="Arial" w:hAnsi="Arial" w:cs="Arial"/>
          <w:color w:val="000000"/>
          <w:sz w:val="24"/>
          <w:szCs w:val="24"/>
        </w:rPr>
        <w:t xml:space="preserve">, se </w:t>
      </w:r>
      <w:r w:rsidR="007326A6">
        <w:rPr>
          <w:rFonts w:ascii="Arial" w:hAnsi="Arial" w:cs="Arial"/>
          <w:color w:val="000000"/>
          <w:sz w:val="24"/>
          <w:szCs w:val="24"/>
        </w:rPr>
        <w:t xml:space="preserve">admitió la demanda interpuesta por </w:t>
      </w:r>
      <w:r w:rsidR="00C247DA">
        <w:rPr>
          <w:rFonts w:ascii="Arial" w:hAnsi="Arial" w:cs="Arial"/>
          <w:color w:val="000000"/>
          <w:sz w:val="24"/>
          <w:szCs w:val="24"/>
        </w:rPr>
        <w:t>***** ***** ***** *****</w:t>
      </w:r>
      <w:r w:rsidR="006C4EFA">
        <w:rPr>
          <w:rFonts w:ascii="Arial" w:hAnsi="Arial" w:cs="Arial"/>
          <w:b/>
          <w:sz w:val="24"/>
          <w:szCs w:val="24"/>
          <w:lang w:val="es-MX"/>
        </w:rPr>
        <w:t xml:space="preserve"> </w:t>
      </w:r>
      <w:r w:rsidR="006C4EFA">
        <w:rPr>
          <w:rFonts w:ascii="Arial" w:hAnsi="Arial" w:cs="Arial"/>
          <w:sz w:val="24"/>
          <w:szCs w:val="24"/>
          <w:lang w:val="es-MX"/>
        </w:rPr>
        <w:t>quien promueve</w:t>
      </w:r>
      <w:r w:rsidR="004F4D9E" w:rsidRPr="004F4D9E">
        <w:rPr>
          <w:rFonts w:ascii="Arial" w:hAnsi="Arial" w:cs="Arial"/>
          <w:sz w:val="24"/>
          <w:szCs w:val="24"/>
          <w:lang w:val="es-MX"/>
        </w:rPr>
        <w:t xml:space="preserve"> por su propio derecho</w:t>
      </w:r>
      <w:r w:rsidR="007326A6">
        <w:rPr>
          <w:rFonts w:ascii="Arial" w:hAnsi="Arial" w:cs="Arial"/>
          <w:b/>
          <w:color w:val="000000"/>
          <w:sz w:val="24"/>
          <w:szCs w:val="24"/>
        </w:rPr>
        <w:t xml:space="preserve">, </w:t>
      </w:r>
      <w:r w:rsidR="004F4D9E">
        <w:rPr>
          <w:rFonts w:ascii="Arial" w:hAnsi="Arial" w:cs="Arial"/>
          <w:bCs/>
          <w:color w:val="000000"/>
          <w:sz w:val="24"/>
          <w:szCs w:val="24"/>
          <w:lang w:val="es-MX"/>
        </w:rPr>
        <w:t>demand</w:t>
      </w:r>
      <w:r w:rsidR="00A81EAF">
        <w:rPr>
          <w:rFonts w:ascii="Arial" w:hAnsi="Arial" w:cs="Arial"/>
          <w:bCs/>
          <w:color w:val="000000"/>
          <w:sz w:val="24"/>
          <w:szCs w:val="24"/>
          <w:lang w:val="es-MX"/>
        </w:rPr>
        <w:t>ó</w:t>
      </w:r>
      <w:r w:rsidR="007326A6">
        <w:rPr>
          <w:rFonts w:ascii="Arial" w:hAnsi="Arial" w:cs="Arial"/>
          <w:bCs/>
          <w:color w:val="000000"/>
          <w:sz w:val="24"/>
          <w:szCs w:val="24"/>
          <w:lang w:val="es-MX"/>
        </w:rPr>
        <w:t xml:space="preserve"> </w:t>
      </w:r>
      <w:r w:rsidR="006F4AD8">
        <w:rPr>
          <w:rFonts w:ascii="Arial" w:hAnsi="Arial" w:cs="Arial"/>
          <w:color w:val="000000"/>
          <w:sz w:val="24"/>
          <w:szCs w:val="24"/>
          <w:lang w:val="es-ES"/>
        </w:rPr>
        <w:t xml:space="preserve">la nulidad del </w:t>
      </w:r>
      <w:r w:rsidR="004F4D9E">
        <w:rPr>
          <w:rFonts w:ascii="Arial" w:hAnsi="Arial" w:cs="Arial"/>
          <w:color w:val="000000"/>
          <w:sz w:val="24"/>
          <w:szCs w:val="24"/>
          <w:lang w:val="es-ES"/>
        </w:rPr>
        <w:t xml:space="preserve">oficio </w:t>
      </w:r>
      <w:r w:rsidR="00C247DA">
        <w:rPr>
          <w:rFonts w:ascii="Arial" w:hAnsi="Arial" w:cs="Arial"/>
          <w:color w:val="000000"/>
          <w:sz w:val="24"/>
          <w:szCs w:val="24"/>
          <w:lang w:val="es-ES"/>
        </w:rPr>
        <w:t>ICEO/UJ/****/2019</w:t>
      </w:r>
      <w:r w:rsidR="004F4D9E">
        <w:rPr>
          <w:rFonts w:ascii="Arial" w:hAnsi="Arial" w:cs="Arial"/>
          <w:color w:val="000000"/>
          <w:sz w:val="24"/>
          <w:szCs w:val="24"/>
          <w:lang w:val="es-ES"/>
        </w:rPr>
        <w:t xml:space="preserve"> de</w:t>
      </w:r>
      <w:r w:rsidR="00A81EAF">
        <w:rPr>
          <w:rFonts w:ascii="Arial" w:hAnsi="Arial" w:cs="Arial"/>
          <w:color w:val="000000"/>
          <w:sz w:val="24"/>
          <w:szCs w:val="24"/>
          <w:lang w:val="es-ES"/>
        </w:rPr>
        <w:t xml:space="preserve"> </w:t>
      </w:r>
      <w:r w:rsidR="00C247DA">
        <w:rPr>
          <w:rFonts w:ascii="Arial" w:hAnsi="Arial" w:cs="Arial"/>
          <w:color w:val="000000"/>
          <w:sz w:val="24"/>
          <w:szCs w:val="24"/>
          <w:lang w:val="es-ES"/>
        </w:rPr>
        <w:t>***** de ***** de dos mil diecinueve</w:t>
      </w:r>
      <w:r w:rsidR="008633E5">
        <w:rPr>
          <w:rFonts w:ascii="Arial" w:hAnsi="Arial" w:cs="Arial"/>
          <w:color w:val="000000"/>
          <w:sz w:val="24"/>
          <w:szCs w:val="24"/>
          <w:lang w:val="es-ES"/>
        </w:rPr>
        <w:t xml:space="preserve">; se tuvo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w:t>
      </w:r>
      <w:r w:rsidR="0061691B">
        <w:rPr>
          <w:rFonts w:ascii="Arial" w:hAnsi="Arial" w:cs="Arial"/>
          <w:color w:val="000000"/>
          <w:sz w:val="24"/>
          <w:szCs w:val="24"/>
        </w:rPr>
        <w:t xml:space="preserve"> </w:t>
      </w:r>
      <w:r w:rsidR="004F4D9E">
        <w:rPr>
          <w:rFonts w:ascii="Arial" w:hAnsi="Arial" w:cs="Arial"/>
          <w:b/>
          <w:sz w:val="24"/>
          <w:szCs w:val="24"/>
          <w:lang w:val="es-MX"/>
        </w:rPr>
        <w:t>JEFA DE LA UNIDAD JURÍDICA DEL INSTITUTO CATASTRAL DEL ESTADO DE OAXACA</w:t>
      </w:r>
      <w:r w:rsidR="0061691B">
        <w:rPr>
          <w:rFonts w:ascii="Arial" w:hAnsi="Arial" w:cs="Arial"/>
          <w:color w:val="000000"/>
          <w:sz w:val="24"/>
          <w:szCs w:val="24"/>
        </w:rPr>
        <w:t>,</w:t>
      </w:r>
      <w:r w:rsidR="00F603AA">
        <w:rPr>
          <w:rFonts w:ascii="Arial" w:hAnsi="Arial" w:cs="Arial"/>
          <w:color w:val="000000"/>
          <w:sz w:val="24"/>
          <w:szCs w:val="24"/>
        </w:rPr>
        <w:t xml:space="preserve"> </w:t>
      </w:r>
      <w:r w:rsidR="00814B03">
        <w:rPr>
          <w:rFonts w:ascii="Arial" w:hAnsi="Arial" w:cs="Arial"/>
          <w:color w:val="000000"/>
          <w:sz w:val="24"/>
          <w:szCs w:val="24"/>
        </w:rPr>
        <w:t>apercibida la autoridad que d</w:t>
      </w:r>
      <w:r w:rsidR="00961E71">
        <w:rPr>
          <w:rFonts w:ascii="Arial" w:hAnsi="Arial" w:cs="Arial"/>
          <w:color w:val="000000"/>
          <w:sz w:val="24"/>
          <w:szCs w:val="24"/>
        </w:rPr>
        <w:t xml:space="preserve">e no contestar la demanda, esta sala de oficio, declararía la preclusión de su derecho, y en caso de </w:t>
      </w:r>
      <w:r w:rsidR="00F603AA">
        <w:rPr>
          <w:rFonts w:ascii="Arial" w:hAnsi="Arial" w:cs="Arial"/>
          <w:color w:val="000000"/>
          <w:sz w:val="24"/>
          <w:szCs w:val="24"/>
        </w:rPr>
        <w:t>no exhibir traslado de ley o de no acreditar su personalidad,</w:t>
      </w:r>
      <w:r w:rsidRPr="003C226E">
        <w:rPr>
          <w:rFonts w:ascii="Arial" w:hAnsi="Arial" w:cs="Arial"/>
          <w:color w:val="000000"/>
          <w:sz w:val="24"/>
          <w:szCs w:val="24"/>
        </w:rPr>
        <w:t xml:space="preserve"> </w:t>
      </w:r>
      <w:r w:rsidR="00961E71">
        <w:rPr>
          <w:rFonts w:ascii="Arial" w:hAnsi="Arial" w:cs="Arial"/>
          <w:color w:val="000000"/>
          <w:sz w:val="24"/>
          <w:szCs w:val="24"/>
        </w:rPr>
        <w:t xml:space="preserve">se le tendría por confeso respecto de los hechos que la actora le imputa de manera precisa, </w:t>
      </w:r>
      <w:r w:rsidRPr="003C226E">
        <w:rPr>
          <w:rFonts w:ascii="Arial" w:hAnsi="Arial" w:cs="Arial"/>
          <w:color w:val="000000"/>
          <w:sz w:val="24"/>
          <w:szCs w:val="24"/>
        </w:rPr>
        <w:t>salvo prueba en contrario</w:t>
      </w:r>
      <w:r w:rsidR="00DE5594" w:rsidRPr="00E876C9">
        <w:rPr>
          <w:rFonts w:ascii="Arial" w:hAnsi="Arial" w:cs="Arial"/>
          <w:sz w:val="24"/>
          <w:szCs w:val="24"/>
        </w:rPr>
        <w:t>.</w:t>
      </w:r>
      <w:r w:rsidR="00D52234">
        <w:rPr>
          <w:rFonts w:ascii="Arial" w:hAnsi="Arial" w:cs="Arial"/>
          <w:sz w:val="24"/>
          <w:szCs w:val="24"/>
        </w:rPr>
        <w:t xml:space="preserve"> </w:t>
      </w:r>
      <w:r w:rsidR="0061691B">
        <w:rPr>
          <w:rFonts w:ascii="Arial" w:hAnsi="Arial" w:cs="Arial"/>
          <w:sz w:val="24"/>
          <w:szCs w:val="24"/>
        </w:rPr>
        <w:t xml:space="preserve">- - - - - - - - - - - - - - - - </w:t>
      </w:r>
      <w:r w:rsidR="00C247DA">
        <w:rPr>
          <w:rFonts w:ascii="Arial" w:hAnsi="Arial" w:cs="Arial"/>
          <w:sz w:val="24"/>
          <w:szCs w:val="24"/>
        </w:rPr>
        <w:t>- - - - - - -</w:t>
      </w:r>
    </w:p>
    <w:p w14:paraId="6A65A4EB" w14:textId="77777777" w:rsidR="00814B03" w:rsidRDefault="00814B03" w:rsidP="00E876C9">
      <w:pPr>
        <w:spacing w:line="360" w:lineRule="auto"/>
        <w:ind w:right="-518" w:firstLine="567"/>
        <w:jc w:val="both"/>
        <w:rPr>
          <w:rFonts w:ascii="Arial" w:hAnsi="Arial" w:cs="Arial"/>
          <w:color w:val="000000"/>
          <w:sz w:val="24"/>
          <w:szCs w:val="24"/>
        </w:rPr>
      </w:pPr>
    </w:p>
    <w:p w14:paraId="5874C4AE" w14:textId="77777777" w:rsidR="004F4D9E" w:rsidRDefault="006B6CB5" w:rsidP="00E876C9">
      <w:pPr>
        <w:spacing w:line="360" w:lineRule="auto"/>
        <w:ind w:right="-518" w:firstLine="567"/>
        <w:jc w:val="both"/>
        <w:rPr>
          <w:rFonts w:ascii="Arial" w:hAnsi="Arial" w:cs="Arial"/>
          <w:sz w:val="24"/>
          <w:szCs w:val="24"/>
        </w:rPr>
      </w:pPr>
      <w:r w:rsidRPr="00E876C9">
        <w:rPr>
          <w:rFonts w:ascii="Arial" w:hAnsi="Arial" w:cs="Arial"/>
          <w:b/>
          <w:bCs/>
          <w:color w:val="000000"/>
          <w:sz w:val="24"/>
          <w:szCs w:val="24"/>
        </w:rPr>
        <w:t>SEGUNDO.</w:t>
      </w:r>
      <w:r w:rsidR="001C6624" w:rsidRPr="00E876C9">
        <w:rPr>
          <w:rFonts w:ascii="Arial" w:hAnsi="Arial" w:cs="Arial"/>
          <w:b/>
          <w:bCs/>
          <w:color w:val="000000"/>
          <w:sz w:val="24"/>
          <w:szCs w:val="24"/>
        </w:rPr>
        <w:t xml:space="preserve"> </w:t>
      </w:r>
      <w:r w:rsidR="00103661" w:rsidRPr="00E876C9">
        <w:rPr>
          <w:rFonts w:ascii="Arial" w:hAnsi="Arial" w:cs="Arial"/>
          <w:sz w:val="24"/>
          <w:szCs w:val="24"/>
        </w:rPr>
        <w:t xml:space="preserve">Mediante proveído de </w:t>
      </w:r>
      <w:r w:rsidR="00A81EAF">
        <w:rPr>
          <w:rFonts w:ascii="Arial" w:hAnsi="Arial" w:cs="Arial"/>
          <w:sz w:val="24"/>
          <w:szCs w:val="24"/>
        </w:rPr>
        <w:t>veinte de septiembre de dos mil diecinueve</w:t>
      </w:r>
      <w:r w:rsidR="00676E27">
        <w:rPr>
          <w:rFonts w:ascii="Arial" w:hAnsi="Arial" w:cs="Arial"/>
          <w:sz w:val="24"/>
          <w:szCs w:val="24"/>
        </w:rPr>
        <w:t xml:space="preserve">, </w:t>
      </w:r>
      <w:r w:rsidR="00D52234">
        <w:rPr>
          <w:rFonts w:ascii="Arial" w:hAnsi="Arial" w:cs="Arial"/>
          <w:sz w:val="24"/>
          <w:szCs w:val="24"/>
        </w:rPr>
        <w:t>se t</w:t>
      </w:r>
      <w:r w:rsidR="001768EE">
        <w:rPr>
          <w:rFonts w:ascii="Arial" w:hAnsi="Arial" w:cs="Arial"/>
          <w:sz w:val="24"/>
          <w:szCs w:val="24"/>
        </w:rPr>
        <w:t xml:space="preserve">uvo </w:t>
      </w:r>
      <w:r w:rsidR="00676E27">
        <w:rPr>
          <w:rFonts w:ascii="Arial" w:hAnsi="Arial" w:cs="Arial"/>
          <w:sz w:val="24"/>
          <w:szCs w:val="24"/>
        </w:rPr>
        <w:t>a</w:t>
      </w:r>
      <w:r w:rsidR="00814B03">
        <w:rPr>
          <w:rFonts w:ascii="Arial" w:hAnsi="Arial" w:cs="Arial"/>
          <w:sz w:val="24"/>
          <w:szCs w:val="24"/>
        </w:rPr>
        <w:t xml:space="preserve"> </w:t>
      </w:r>
      <w:r w:rsidR="00676E27">
        <w:rPr>
          <w:rFonts w:ascii="Arial" w:hAnsi="Arial" w:cs="Arial"/>
          <w:sz w:val="24"/>
          <w:szCs w:val="24"/>
        </w:rPr>
        <w:t>l</w:t>
      </w:r>
      <w:r w:rsidR="00814B03">
        <w:rPr>
          <w:rFonts w:ascii="Arial" w:hAnsi="Arial" w:cs="Arial"/>
          <w:sz w:val="24"/>
          <w:szCs w:val="24"/>
        </w:rPr>
        <w:t xml:space="preserve">a </w:t>
      </w:r>
      <w:r w:rsidR="004F4D9E">
        <w:rPr>
          <w:rFonts w:ascii="Arial" w:hAnsi="Arial" w:cs="Arial"/>
          <w:b/>
          <w:sz w:val="24"/>
          <w:szCs w:val="24"/>
          <w:lang w:val="es-MX"/>
        </w:rPr>
        <w:t>JEFA DE LA UNIDAD JURÍDICA DEL INSTITUTO CATASTRAL DEL ESTADO DE OAXACA</w:t>
      </w:r>
      <w:r w:rsidR="00676E27">
        <w:rPr>
          <w:rFonts w:ascii="Arial" w:hAnsi="Arial" w:cs="Arial"/>
          <w:sz w:val="24"/>
          <w:szCs w:val="24"/>
        </w:rPr>
        <w:t xml:space="preserve">, contestando </w:t>
      </w:r>
      <w:r w:rsidR="004F4D9E">
        <w:rPr>
          <w:rFonts w:ascii="Arial" w:hAnsi="Arial" w:cs="Arial"/>
          <w:sz w:val="24"/>
          <w:szCs w:val="24"/>
        </w:rPr>
        <w:t>la demanda de nulidad del actor</w:t>
      </w:r>
      <w:r w:rsidR="00676E27">
        <w:rPr>
          <w:rFonts w:ascii="Arial" w:hAnsi="Arial" w:cs="Arial"/>
          <w:sz w:val="24"/>
          <w:szCs w:val="24"/>
        </w:rPr>
        <w:t xml:space="preserve">, y por </w:t>
      </w:r>
      <w:r w:rsidR="00295FB2">
        <w:rPr>
          <w:rFonts w:ascii="Arial" w:hAnsi="Arial" w:cs="Arial"/>
          <w:sz w:val="24"/>
          <w:szCs w:val="24"/>
        </w:rPr>
        <w:t>ofrecidas las pruebas de su parte; y con la contestación de la demanda y anexos, se ordenó correr traslado a la parte actora</w:t>
      </w:r>
      <w:r w:rsidR="004F4D9E">
        <w:rPr>
          <w:rFonts w:ascii="Arial" w:hAnsi="Arial" w:cs="Arial"/>
          <w:sz w:val="24"/>
          <w:szCs w:val="24"/>
        </w:rPr>
        <w:t xml:space="preserve">. - - - - - - - - - - - - - - - - - - - - - - - - - - - - - - - - </w:t>
      </w:r>
    </w:p>
    <w:p w14:paraId="12AA23FA" w14:textId="77777777" w:rsidR="00295FB2" w:rsidRDefault="004F4D9E" w:rsidP="00E876C9">
      <w:pPr>
        <w:spacing w:line="360" w:lineRule="auto"/>
        <w:ind w:right="-518" w:firstLine="567"/>
        <w:jc w:val="both"/>
        <w:rPr>
          <w:rFonts w:ascii="Arial" w:hAnsi="Arial" w:cs="Arial"/>
          <w:sz w:val="24"/>
          <w:szCs w:val="24"/>
        </w:rPr>
      </w:pPr>
      <w:r>
        <w:rPr>
          <w:rFonts w:ascii="Arial" w:hAnsi="Arial" w:cs="Arial"/>
          <w:sz w:val="24"/>
          <w:szCs w:val="24"/>
        </w:rPr>
        <w:t xml:space="preserve"> </w:t>
      </w:r>
    </w:p>
    <w:p w14:paraId="2432DC5A" w14:textId="77777777" w:rsidR="006D18CB" w:rsidRDefault="001F030D" w:rsidP="00E6060B">
      <w:pPr>
        <w:spacing w:line="360" w:lineRule="auto"/>
        <w:ind w:right="-518" w:firstLine="567"/>
        <w:jc w:val="both"/>
        <w:rPr>
          <w:rFonts w:ascii="Arial" w:hAnsi="Arial" w:cs="Arial"/>
          <w:bCs/>
          <w:sz w:val="24"/>
          <w:szCs w:val="24"/>
          <w:lang w:val="es-ES"/>
        </w:rPr>
      </w:pPr>
      <w:r w:rsidRPr="00295FB2">
        <w:rPr>
          <w:rFonts w:ascii="Arial" w:hAnsi="Arial" w:cs="Arial"/>
          <w:b/>
          <w:sz w:val="24"/>
          <w:szCs w:val="24"/>
        </w:rPr>
        <w:t xml:space="preserve">TERCERO.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D74453">
        <w:rPr>
          <w:rFonts w:ascii="Arial" w:hAnsi="Arial" w:cs="Arial"/>
          <w:sz w:val="24"/>
          <w:szCs w:val="24"/>
          <w:lang w:val="es-MX"/>
        </w:rPr>
        <w:t>se celebró el</w:t>
      </w:r>
      <w:r w:rsidR="00961E71">
        <w:rPr>
          <w:rFonts w:ascii="Arial" w:hAnsi="Arial" w:cs="Arial"/>
          <w:sz w:val="24"/>
          <w:szCs w:val="24"/>
          <w:lang w:val="es-MX"/>
        </w:rPr>
        <w:t xml:space="preserve"> </w:t>
      </w:r>
      <w:r w:rsidR="00A81EAF">
        <w:rPr>
          <w:rFonts w:ascii="Arial" w:hAnsi="Arial" w:cs="Arial"/>
          <w:sz w:val="24"/>
          <w:szCs w:val="24"/>
          <w:lang w:val="es-MX"/>
        </w:rPr>
        <w:t>cuatro de octubre de 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C42B01">
        <w:rPr>
          <w:rFonts w:ascii="Arial" w:hAnsi="Arial" w:cs="Arial"/>
          <w:bCs/>
          <w:sz w:val="24"/>
          <w:szCs w:val="24"/>
          <w:lang w:val="es-ES"/>
        </w:rPr>
        <w:t>se abrió el periodo de alegatos y</w:t>
      </w:r>
      <w:r w:rsidR="00B8086C" w:rsidRPr="00E6060B">
        <w:rPr>
          <w:rFonts w:ascii="Arial" w:hAnsi="Arial" w:cs="Arial"/>
          <w:bCs/>
          <w:sz w:val="24"/>
          <w:szCs w:val="24"/>
          <w:lang w:val="es-ES"/>
        </w:rPr>
        <w:t xml:space="preserve"> </w:t>
      </w:r>
      <w:r w:rsidR="004045BC" w:rsidRPr="00E6060B">
        <w:rPr>
          <w:rFonts w:ascii="Arial" w:hAnsi="Arial" w:cs="Arial"/>
          <w:bCs/>
          <w:sz w:val="24"/>
          <w:szCs w:val="24"/>
          <w:lang w:val="es-ES"/>
        </w:rPr>
        <w:t>se dio cuenta</w:t>
      </w:r>
      <w:r w:rsidR="00377AB1">
        <w:rPr>
          <w:rFonts w:ascii="Arial" w:hAnsi="Arial" w:cs="Arial"/>
          <w:bCs/>
          <w:sz w:val="24"/>
          <w:szCs w:val="24"/>
          <w:lang w:val="es-ES"/>
        </w:rPr>
        <w:t xml:space="preserve"> que ningun</w:t>
      </w:r>
      <w:r w:rsidR="0061691B">
        <w:rPr>
          <w:rFonts w:ascii="Arial" w:hAnsi="Arial" w:cs="Arial"/>
          <w:bCs/>
          <w:sz w:val="24"/>
          <w:szCs w:val="24"/>
          <w:lang w:val="es-ES"/>
        </w:rPr>
        <w:t>a</w:t>
      </w:r>
      <w:r w:rsidR="00377AB1">
        <w:rPr>
          <w:rFonts w:ascii="Arial" w:hAnsi="Arial" w:cs="Arial"/>
          <w:bCs/>
          <w:sz w:val="24"/>
          <w:szCs w:val="24"/>
          <w:lang w:val="es-ES"/>
        </w:rPr>
        <w:t xml:space="preserve"> de las partes exhibió alegatos de su parte</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 esta Tercera Sala Unitaria de Primera Instancia se reservó para dictar sentencia</w:t>
      </w:r>
      <w:r w:rsidR="006D18CB">
        <w:rPr>
          <w:rFonts w:ascii="Arial" w:hAnsi="Arial" w:cs="Arial"/>
          <w:bCs/>
          <w:sz w:val="24"/>
          <w:szCs w:val="24"/>
          <w:lang w:val="es-ES"/>
        </w:rPr>
        <w:t xml:space="preserve">. - - - </w:t>
      </w:r>
      <w:r w:rsidR="003D1583">
        <w:rPr>
          <w:rFonts w:ascii="Arial" w:hAnsi="Arial" w:cs="Arial"/>
          <w:bCs/>
          <w:sz w:val="24"/>
          <w:szCs w:val="24"/>
          <w:lang w:val="es-ES"/>
        </w:rPr>
        <w:t>- - - - - - - - - - - - - - - - - - - - - - - - - - - - - - - - - - - - - - -- - - - - - - - - - - -</w:t>
      </w:r>
    </w:p>
    <w:p w14:paraId="4E3C3AD1" w14:textId="77777777" w:rsidR="006D18CB" w:rsidRDefault="000E3EE3" w:rsidP="000E3EE3">
      <w:pPr>
        <w:tabs>
          <w:tab w:val="left" w:pos="7545"/>
        </w:tabs>
        <w:spacing w:line="360" w:lineRule="auto"/>
        <w:ind w:right="-518" w:firstLine="567"/>
        <w:jc w:val="both"/>
        <w:rPr>
          <w:rFonts w:ascii="Arial" w:hAnsi="Arial" w:cs="Arial"/>
          <w:bCs/>
          <w:sz w:val="24"/>
          <w:szCs w:val="24"/>
          <w:lang w:val="es-ES"/>
        </w:rPr>
      </w:pPr>
      <w:r>
        <w:rPr>
          <w:rFonts w:ascii="Arial" w:hAnsi="Arial" w:cs="Arial"/>
          <w:bCs/>
          <w:sz w:val="24"/>
          <w:szCs w:val="24"/>
          <w:lang w:val="es-ES"/>
        </w:rPr>
        <w:tab/>
      </w:r>
    </w:p>
    <w:p w14:paraId="77A940C2" w14:textId="77777777" w:rsidR="00354B8E" w:rsidRDefault="00354B8E" w:rsidP="005B3140">
      <w:pPr>
        <w:spacing w:line="360" w:lineRule="auto"/>
        <w:ind w:firstLine="708"/>
        <w:jc w:val="center"/>
        <w:rPr>
          <w:rFonts w:ascii="Arial" w:hAnsi="Arial" w:cs="Arial"/>
          <w:b/>
          <w:bCs/>
          <w:sz w:val="24"/>
          <w:szCs w:val="24"/>
        </w:rPr>
      </w:pPr>
    </w:p>
    <w:p w14:paraId="332654B4" w14:textId="77777777" w:rsidR="00354B8E" w:rsidRDefault="00354B8E" w:rsidP="005B3140">
      <w:pPr>
        <w:spacing w:line="360" w:lineRule="auto"/>
        <w:ind w:firstLine="708"/>
        <w:jc w:val="center"/>
        <w:rPr>
          <w:rFonts w:ascii="Arial" w:hAnsi="Arial" w:cs="Arial"/>
          <w:b/>
          <w:bCs/>
          <w:sz w:val="24"/>
          <w:szCs w:val="24"/>
        </w:rPr>
      </w:pPr>
    </w:p>
    <w:p w14:paraId="608C4B8A" w14:textId="77777777" w:rsidR="00354B8E" w:rsidRDefault="00354B8E" w:rsidP="005B3140">
      <w:pPr>
        <w:spacing w:line="360" w:lineRule="auto"/>
        <w:ind w:firstLine="708"/>
        <w:jc w:val="center"/>
        <w:rPr>
          <w:rFonts w:ascii="Arial" w:hAnsi="Arial" w:cs="Arial"/>
          <w:b/>
          <w:bCs/>
          <w:sz w:val="24"/>
          <w:szCs w:val="24"/>
        </w:rPr>
      </w:pPr>
    </w:p>
    <w:p w14:paraId="013AD849"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49881241" w14:textId="77777777" w:rsidR="00377AB1" w:rsidRDefault="002159A2" w:rsidP="00377AB1">
      <w:pPr>
        <w:spacing w:line="360" w:lineRule="auto"/>
        <w:ind w:right="-518" w:firstLine="567"/>
        <w:jc w:val="both"/>
        <w:rPr>
          <w:rFonts w:ascii="Arial" w:hAnsi="Arial" w:cs="Arial"/>
          <w:sz w:val="24"/>
          <w:szCs w:val="24"/>
        </w:rPr>
      </w:pPr>
      <w:r w:rsidRPr="00F741CB">
        <w:rPr>
          <w:rFonts w:ascii="Arial" w:hAnsi="Arial" w:cs="Arial"/>
          <w:b/>
          <w:bCs/>
          <w:color w:val="000000"/>
          <w:sz w:val="24"/>
          <w:szCs w:val="24"/>
        </w:rPr>
        <w:lastRenderedPageBreak/>
        <w:t xml:space="preserve">PRIMERO. </w:t>
      </w:r>
      <w:r w:rsidR="00377AB1" w:rsidRPr="00E65489">
        <w:rPr>
          <w:rFonts w:ascii="Arial" w:hAnsi="Arial" w:cs="Arial"/>
          <w:b/>
          <w:bCs/>
          <w:color w:val="000000"/>
          <w:sz w:val="24"/>
          <w:szCs w:val="24"/>
        </w:rPr>
        <w:t>Competencia.</w:t>
      </w:r>
      <w:r w:rsidR="00377AB1" w:rsidRPr="00E65489">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y </w:t>
      </w:r>
      <w:r w:rsidR="00377AB1" w:rsidRPr="00E65489">
        <w:rPr>
          <w:rFonts w:ascii="Arial" w:hAnsi="Arial" w:cs="Arial"/>
          <w:bCs/>
          <w:color w:val="000000"/>
          <w:sz w:val="24"/>
          <w:szCs w:val="24"/>
          <w:lang w:val="es-ES"/>
        </w:rPr>
        <w:t>los</w:t>
      </w:r>
      <w:r w:rsidR="00377AB1" w:rsidRPr="00E65489">
        <w:rPr>
          <w:rFonts w:ascii="Arial" w:hAnsi="Arial" w:cs="Arial"/>
          <w:bCs/>
          <w:color w:val="FF0000"/>
          <w:sz w:val="24"/>
          <w:szCs w:val="24"/>
          <w:lang w:val="es-ES"/>
        </w:rPr>
        <w:t xml:space="preserve"> </w:t>
      </w:r>
      <w:r w:rsidR="00377AB1" w:rsidRPr="00E65489">
        <w:rPr>
          <w:rFonts w:ascii="Arial" w:hAnsi="Arial" w:cs="Arial"/>
          <w:bCs/>
          <w:color w:val="000000"/>
          <w:sz w:val="24"/>
          <w:szCs w:val="24"/>
          <w:lang w:val="es-ES"/>
        </w:rPr>
        <w:t xml:space="preserve">numerales </w:t>
      </w:r>
      <w:r w:rsidR="00377AB1" w:rsidRPr="00CD763E">
        <w:rPr>
          <w:rFonts w:ascii="Arial" w:hAnsi="Arial" w:cs="Arial"/>
          <w:bCs/>
          <w:color w:val="000000"/>
          <w:sz w:val="24"/>
          <w:szCs w:val="24"/>
          <w:lang w:val="es-ES"/>
        </w:rPr>
        <w:t>120</w:t>
      </w:r>
      <w:r w:rsidR="00377AB1">
        <w:rPr>
          <w:rFonts w:ascii="Arial" w:hAnsi="Arial" w:cs="Arial"/>
          <w:bCs/>
          <w:color w:val="000000"/>
          <w:sz w:val="24"/>
          <w:szCs w:val="24"/>
          <w:lang w:val="es-ES"/>
        </w:rPr>
        <w:t xml:space="preserve"> fracción I</w:t>
      </w:r>
      <w:r w:rsidR="00377AB1" w:rsidRPr="00CD763E">
        <w:rPr>
          <w:rFonts w:ascii="Arial" w:hAnsi="Arial" w:cs="Arial"/>
          <w:bCs/>
          <w:color w:val="000000"/>
          <w:sz w:val="24"/>
          <w:szCs w:val="24"/>
          <w:lang w:val="es-ES"/>
        </w:rPr>
        <w:t>, 129,  133</w:t>
      </w:r>
      <w:r w:rsidR="00377AB1">
        <w:rPr>
          <w:rFonts w:ascii="Arial" w:hAnsi="Arial" w:cs="Arial"/>
          <w:bCs/>
          <w:color w:val="000000"/>
          <w:sz w:val="24"/>
          <w:szCs w:val="24"/>
          <w:lang w:val="es-ES"/>
        </w:rPr>
        <w:t xml:space="preserve">, fracción </w:t>
      </w:r>
      <w:r w:rsidR="0061691B">
        <w:rPr>
          <w:rFonts w:ascii="Arial" w:hAnsi="Arial" w:cs="Arial"/>
          <w:bCs/>
          <w:color w:val="000000"/>
          <w:sz w:val="24"/>
          <w:szCs w:val="24"/>
          <w:lang w:val="es-ES"/>
        </w:rPr>
        <w:t>I</w:t>
      </w:r>
      <w:r w:rsidR="00377AB1" w:rsidRPr="00CD763E">
        <w:rPr>
          <w:rFonts w:ascii="Arial" w:hAnsi="Arial" w:cs="Arial"/>
          <w:bCs/>
          <w:color w:val="000000"/>
          <w:sz w:val="24"/>
          <w:szCs w:val="24"/>
          <w:lang w:val="es-ES"/>
        </w:rPr>
        <w:t xml:space="preserve">, y 146 de la Ley de Procedimiento y Justicia Administrativa para el Estado de Oaxaca, por tratarse </w:t>
      </w:r>
      <w:r w:rsidR="00377AB1" w:rsidRPr="00CD763E">
        <w:rPr>
          <w:rFonts w:ascii="Arial" w:hAnsi="Arial" w:cs="Arial"/>
          <w:color w:val="000000"/>
          <w:sz w:val="24"/>
          <w:szCs w:val="24"/>
        </w:rPr>
        <w:t>de un acto atribuido a una autoridad</w:t>
      </w:r>
      <w:r w:rsidR="003D1583">
        <w:rPr>
          <w:rFonts w:ascii="Arial" w:hAnsi="Arial" w:cs="Arial"/>
          <w:color w:val="000000"/>
          <w:sz w:val="24"/>
          <w:szCs w:val="24"/>
        </w:rPr>
        <w:t xml:space="preserve"> administrativa</w:t>
      </w:r>
      <w:r w:rsidR="00377AB1" w:rsidRPr="00CD763E">
        <w:rPr>
          <w:rFonts w:ascii="Arial" w:hAnsi="Arial" w:cs="Arial"/>
          <w:sz w:val="24"/>
          <w:szCs w:val="24"/>
        </w:rPr>
        <w:t xml:space="preserve"> de carácter </w:t>
      </w:r>
      <w:r w:rsidR="00A81EAF">
        <w:rPr>
          <w:rFonts w:ascii="Arial" w:hAnsi="Arial" w:cs="Arial"/>
          <w:sz w:val="24"/>
          <w:szCs w:val="24"/>
        </w:rPr>
        <w:t>estatal</w:t>
      </w:r>
      <w:r w:rsidR="00377AB1" w:rsidRPr="00CD763E">
        <w:rPr>
          <w:rFonts w:ascii="Arial" w:hAnsi="Arial" w:cs="Arial"/>
          <w:sz w:val="24"/>
          <w:szCs w:val="24"/>
        </w:rPr>
        <w:t>, ya que de conformidad con el último de los preceptos citados, este Tribunal tiene jurisdicción en todo el territorio del Estado.</w:t>
      </w:r>
      <w:r w:rsidR="003D1583">
        <w:rPr>
          <w:rFonts w:ascii="Arial" w:hAnsi="Arial" w:cs="Arial"/>
          <w:sz w:val="24"/>
          <w:szCs w:val="24"/>
        </w:rPr>
        <w:t xml:space="preserve"> </w:t>
      </w:r>
    </w:p>
    <w:p w14:paraId="04312820" w14:textId="77777777" w:rsidR="00377AB1" w:rsidRDefault="00377AB1" w:rsidP="00377AB1">
      <w:pPr>
        <w:spacing w:line="360" w:lineRule="auto"/>
        <w:ind w:right="-567" w:firstLine="708"/>
        <w:jc w:val="both"/>
        <w:rPr>
          <w:rFonts w:ascii="Arial" w:hAnsi="Arial" w:cs="Arial"/>
          <w:b/>
          <w:bCs/>
          <w:sz w:val="24"/>
          <w:szCs w:val="24"/>
        </w:rPr>
      </w:pPr>
    </w:p>
    <w:p w14:paraId="6CDD10C4" w14:textId="2A55EAF1" w:rsidR="002A3764" w:rsidRPr="00F741CB" w:rsidRDefault="00377AB1" w:rsidP="00B8086C">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Pr="00E65489">
        <w:rPr>
          <w:rFonts w:ascii="Arial" w:hAnsi="Arial" w:cs="Arial"/>
          <w:b/>
          <w:bCs/>
          <w:sz w:val="24"/>
          <w:szCs w:val="24"/>
        </w:rPr>
        <w:t xml:space="preserve">SEGUNDO. </w:t>
      </w:r>
      <w:r w:rsidRPr="00377AB1">
        <w:rPr>
          <w:rFonts w:ascii="Arial" w:hAnsi="Arial" w:cs="Arial"/>
          <w:b/>
          <w:sz w:val="24"/>
          <w:szCs w:val="24"/>
        </w:rPr>
        <w:t>La personalidad</w:t>
      </w:r>
      <w:r>
        <w:rPr>
          <w:rFonts w:ascii="Arial" w:hAnsi="Arial" w:cs="Arial"/>
          <w:sz w:val="24"/>
          <w:szCs w:val="24"/>
        </w:rPr>
        <w:t xml:space="preserve"> de las partes, quedó acreditada en términos del artículo 148 y 151</w:t>
      </w:r>
      <w:r w:rsidRPr="000C0153">
        <w:rPr>
          <w:rFonts w:ascii="Arial" w:hAnsi="Arial" w:cs="Arial"/>
          <w:sz w:val="24"/>
          <w:szCs w:val="24"/>
        </w:rPr>
        <w:t xml:space="preserve"> de la Ley de</w:t>
      </w:r>
      <w:r>
        <w:rPr>
          <w:rFonts w:ascii="Arial" w:hAnsi="Arial" w:cs="Arial"/>
          <w:sz w:val="24"/>
          <w:szCs w:val="24"/>
        </w:rPr>
        <w:t xml:space="preserve"> Procedimiento y </w:t>
      </w:r>
      <w:r w:rsidRPr="000C0153">
        <w:rPr>
          <w:rFonts w:ascii="Arial" w:hAnsi="Arial" w:cs="Arial"/>
          <w:sz w:val="24"/>
          <w:szCs w:val="24"/>
        </w:rPr>
        <w:t xml:space="preserve"> Justicia Administrativa para el Estado, </w:t>
      </w:r>
      <w:r w:rsidR="0061691B">
        <w:rPr>
          <w:rFonts w:ascii="Arial" w:hAnsi="Arial" w:cs="Arial"/>
          <w:bCs/>
          <w:color w:val="000000"/>
          <w:sz w:val="24"/>
          <w:szCs w:val="24"/>
        </w:rPr>
        <w:t>ya que l</w:t>
      </w:r>
      <w:r w:rsidR="003D1583">
        <w:rPr>
          <w:rFonts w:ascii="Arial" w:hAnsi="Arial" w:cs="Arial"/>
          <w:bCs/>
          <w:color w:val="000000"/>
          <w:sz w:val="24"/>
          <w:szCs w:val="24"/>
        </w:rPr>
        <w:t>a</w:t>
      </w:r>
      <w:r w:rsidR="0061691B">
        <w:rPr>
          <w:rFonts w:ascii="Arial" w:hAnsi="Arial" w:cs="Arial"/>
          <w:bCs/>
          <w:color w:val="000000"/>
          <w:sz w:val="24"/>
          <w:szCs w:val="24"/>
        </w:rPr>
        <w:t xml:space="preserve"> actor</w:t>
      </w:r>
      <w:r w:rsidR="00A81EAF">
        <w:rPr>
          <w:rFonts w:ascii="Arial" w:hAnsi="Arial" w:cs="Arial"/>
          <w:bCs/>
          <w:color w:val="000000"/>
          <w:sz w:val="24"/>
          <w:szCs w:val="24"/>
        </w:rPr>
        <w:t xml:space="preserve">a </w:t>
      </w:r>
      <w:r w:rsidR="00C247DA">
        <w:rPr>
          <w:rFonts w:ascii="Arial" w:hAnsi="Arial" w:cs="Arial"/>
          <w:bCs/>
          <w:color w:val="000000"/>
          <w:sz w:val="24"/>
          <w:szCs w:val="24"/>
        </w:rPr>
        <w:t>***** ***** ***** *****</w:t>
      </w:r>
      <w:r w:rsidR="003D1583">
        <w:rPr>
          <w:rFonts w:ascii="Arial" w:hAnsi="Arial" w:cs="Arial"/>
          <w:bCs/>
          <w:color w:val="000000"/>
          <w:sz w:val="24"/>
          <w:szCs w:val="24"/>
        </w:rPr>
        <w:t xml:space="preserve"> promueve por su propio derecho </w:t>
      </w:r>
      <w:r>
        <w:rPr>
          <w:rFonts w:ascii="Arial" w:hAnsi="Arial" w:cs="Arial"/>
          <w:bCs/>
          <w:color w:val="000000"/>
          <w:sz w:val="24"/>
          <w:szCs w:val="24"/>
        </w:rPr>
        <w:t>y la</w:t>
      </w:r>
      <w:r w:rsidR="0057584C">
        <w:rPr>
          <w:rFonts w:ascii="Arial" w:hAnsi="Arial" w:cs="Arial"/>
          <w:bCs/>
          <w:color w:val="000000"/>
          <w:sz w:val="24"/>
          <w:szCs w:val="24"/>
        </w:rPr>
        <w:t xml:space="preserve"> autoridad demandada</w:t>
      </w:r>
      <w:r>
        <w:rPr>
          <w:rFonts w:ascii="Arial" w:hAnsi="Arial" w:cs="Arial"/>
          <w:bCs/>
          <w:color w:val="000000"/>
          <w:sz w:val="24"/>
          <w:szCs w:val="24"/>
        </w:rPr>
        <w:t xml:space="preserve"> exhib</w:t>
      </w:r>
      <w:r w:rsidR="0057584C">
        <w:rPr>
          <w:rFonts w:ascii="Arial" w:hAnsi="Arial" w:cs="Arial"/>
          <w:bCs/>
          <w:color w:val="000000"/>
          <w:sz w:val="24"/>
          <w:szCs w:val="24"/>
        </w:rPr>
        <w:t xml:space="preserve">ió </w:t>
      </w:r>
      <w:r>
        <w:rPr>
          <w:rFonts w:ascii="Arial" w:hAnsi="Arial" w:cs="Arial"/>
          <w:bCs/>
          <w:color w:val="000000"/>
          <w:sz w:val="24"/>
          <w:szCs w:val="24"/>
        </w:rPr>
        <w:t>copia certificada del</w:t>
      </w:r>
      <w:r w:rsidR="0057584C">
        <w:rPr>
          <w:rFonts w:ascii="Arial" w:hAnsi="Arial" w:cs="Arial"/>
          <w:bCs/>
          <w:color w:val="000000"/>
          <w:sz w:val="24"/>
          <w:szCs w:val="24"/>
        </w:rPr>
        <w:t xml:space="preserve"> nombramiento y protesta de ley</w:t>
      </w:r>
      <w:r>
        <w:rPr>
          <w:rFonts w:ascii="Arial" w:hAnsi="Arial" w:cs="Arial"/>
          <w:bCs/>
          <w:color w:val="000000"/>
          <w:sz w:val="24"/>
          <w:szCs w:val="24"/>
        </w:rPr>
        <w:t xml:space="preserve">, </w:t>
      </w:r>
      <w:r>
        <w:rPr>
          <w:rFonts w:ascii="Arial" w:hAnsi="Arial" w:cs="Arial"/>
          <w:sz w:val="24"/>
          <w:szCs w:val="24"/>
        </w:rPr>
        <w:t>documentos</w:t>
      </w:r>
      <w:r w:rsidRPr="000C0153">
        <w:rPr>
          <w:rFonts w:ascii="Arial" w:hAnsi="Arial" w:cs="Arial"/>
          <w:sz w:val="24"/>
          <w:szCs w:val="24"/>
        </w:rPr>
        <w:t xml:space="preserve"> que al ser cotejado</w:t>
      </w:r>
      <w:r>
        <w:rPr>
          <w:rFonts w:ascii="Arial" w:hAnsi="Arial" w:cs="Arial"/>
          <w:sz w:val="24"/>
          <w:szCs w:val="24"/>
        </w:rPr>
        <w:t>s</w:t>
      </w:r>
      <w:r w:rsidRPr="000C0153">
        <w:rPr>
          <w:rFonts w:ascii="Arial" w:hAnsi="Arial" w:cs="Arial"/>
          <w:sz w:val="24"/>
          <w:szCs w:val="24"/>
        </w:rPr>
        <w:t xml:space="preserve"> con su original por servidor público</w:t>
      </w:r>
      <w:r w:rsidR="0057584C">
        <w:rPr>
          <w:rFonts w:ascii="Arial" w:hAnsi="Arial" w:cs="Arial"/>
          <w:sz w:val="24"/>
          <w:szCs w:val="24"/>
        </w:rPr>
        <w:t>,</w:t>
      </w:r>
      <w:r w:rsidRPr="000C0153">
        <w:rPr>
          <w:rFonts w:ascii="Arial" w:hAnsi="Arial" w:cs="Arial"/>
          <w:sz w:val="24"/>
          <w:szCs w:val="24"/>
        </w:rPr>
        <w:t xml:space="preserve"> en ejercicio de sus funciones, se le</w:t>
      </w:r>
      <w:r w:rsidR="0057584C">
        <w:rPr>
          <w:rFonts w:ascii="Arial" w:hAnsi="Arial" w:cs="Arial"/>
          <w:sz w:val="24"/>
          <w:szCs w:val="24"/>
        </w:rPr>
        <w:t>s</w:t>
      </w:r>
      <w:r w:rsidRPr="000C0153">
        <w:rPr>
          <w:rFonts w:ascii="Arial" w:hAnsi="Arial" w:cs="Arial"/>
          <w:sz w:val="24"/>
          <w:szCs w:val="24"/>
        </w:rPr>
        <w:t xml:space="preserve"> concede pleno valor probatorio, conforme a</w:t>
      </w:r>
      <w:r>
        <w:rPr>
          <w:rFonts w:ascii="Arial" w:hAnsi="Arial" w:cs="Arial"/>
          <w:sz w:val="24"/>
          <w:szCs w:val="24"/>
        </w:rPr>
        <w:t xml:space="preserve"> lo dispuesto por el artículo 20</w:t>
      </w:r>
      <w:r w:rsidRPr="000C0153">
        <w:rPr>
          <w:rFonts w:ascii="Arial" w:hAnsi="Arial" w:cs="Arial"/>
          <w:sz w:val="24"/>
          <w:szCs w:val="24"/>
        </w:rPr>
        <w:t>3</w:t>
      </w:r>
      <w:r>
        <w:rPr>
          <w:rFonts w:ascii="Arial" w:hAnsi="Arial" w:cs="Arial"/>
          <w:sz w:val="24"/>
          <w:szCs w:val="24"/>
        </w:rPr>
        <w:t>,</w:t>
      </w:r>
      <w:r w:rsidRPr="000C0153">
        <w:rPr>
          <w:rFonts w:ascii="Arial" w:hAnsi="Arial" w:cs="Arial"/>
          <w:sz w:val="24"/>
          <w:szCs w:val="24"/>
        </w:rPr>
        <w:t xml:space="preserve"> fracción I de la Ley de la </w:t>
      </w:r>
      <w:r>
        <w:rPr>
          <w:rFonts w:ascii="Arial" w:hAnsi="Arial" w:cs="Arial"/>
          <w:sz w:val="24"/>
          <w:szCs w:val="24"/>
        </w:rPr>
        <w:t>m</w:t>
      </w:r>
      <w:r w:rsidRPr="000C0153">
        <w:rPr>
          <w:rFonts w:ascii="Arial" w:hAnsi="Arial" w:cs="Arial"/>
          <w:sz w:val="24"/>
          <w:szCs w:val="24"/>
        </w:rPr>
        <w:t>ateria.</w:t>
      </w:r>
      <w:r>
        <w:rPr>
          <w:rFonts w:ascii="Arial" w:hAnsi="Arial" w:cs="Arial"/>
          <w:sz w:val="24"/>
          <w:szCs w:val="24"/>
        </w:rPr>
        <w:t xml:space="preserve">  - - - - -  - - - - - - - - - - </w:t>
      </w:r>
    </w:p>
    <w:p w14:paraId="77D9116E" w14:textId="77777777" w:rsidR="001F030D" w:rsidRPr="00175B4F" w:rsidRDefault="001F030D" w:rsidP="00C3280C">
      <w:pPr>
        <w:spacing w:line="360" w:lineRule="auto"/>
        <w:ind w:right="-518" w:firstLine="567"/>
        <w:jc w:val="both"/>
        <w:rPr>
          <w:rFonts w:ascii="Arial" w:hAnsi="Arial" w:cs="Arial"/>
          <w:b/>
          <w:bCs/>
          <w:sz w:val="24"/>
          <w:szCs w:val="24"/>
        </w:rPr>
      </w:pPr>
    </w:p>
    <w:p w14:paraId="5D7EAE42" w14:textId="2EB95FB8" w:rsidR="00A81EAF" w:rsidRPr="00106B1D" w:rsidRDefault="00C108C5" w:rsidP="001A486D">
      <w:pPr>
        <w:spacing w:line="360" w:lineRule="auto"/>
        <w:ind w:right="-518" w:firstLine="708"/>
        <w:jc w:val="both"/>
        <w:rPr>
          <w:rFonts w:ascii="Arial" w:hAnsi="Arial" w:cs="Arial"/>
          <w:sz w:val="24"/>
          <w:szCs w:val="24"/>
        </w:rPr>
      </w:pPr>
      <w:r w:rsidRPr="00E876C9">
        <w:rPr>
          <w:rFonts w:ascii="Arial" w:hAnsi="Arial" w:cs="Arial"/>
          <w:b/>
          <w:sz w:val="24"/>
          <w:szCs w:val="24"/>
        </w:rPr>
        <w:t>TERCERO</w:t>
      </w:r>
      <w:r w:rsidR="001974F0">
        <w:rPr>
          <w:rFonts w:ascii="Arial" w:hAnsi="Arial" w:cs="Arial"/>
          <w:b/>
          <w:sz w:val="24"/>
          <w:szCs w:val="24"/>
        </w:rPr>
        <w:t xml:space="preserve">. </w:t>
      </w:r>
      <w:r w:rsidR="00F36509">
        <w:rPr>
          <w:rFonts w:ascii="Arial" w:hAnsi="Arial" w:cs="Arial"/>
          <w:sz w:val="24"/>
          <w:szCs w:val="24"/>
        </w:rPr>
        <w:t>***** ***** *****</w:t>
      </w:r>
      <w:r w:rsidR="00A81EAF" w:rsidRPr="00106B1D">
        <w:rPr>
          <w:rFonts w:ascii="Arial" w:hAnsi="Arial" w:cs="Arial"/>
          <w:sz w:val="24"/>
          <w:szCs w:val="24"/>
        </w:rPr>
        <w:t xml:space="preserve">, acudió a este tribunal a solicitar la nulidad del acuerdo de fecha </w:t>
      </w:r>
      <w:r w:rsidR="00F36509">
        <w:rPr>
          <w:rFonts w:ascii="Arial" w:hAnsi="Arial" w:cs="Arial"/>
          <w:sz w:val="24"/>
          <w:szCs w:val="24"/>
        </w:rPr>
        <w:t>***** de ***** de 2019 dos mil diecinueve</w:t>
      </w:r>
      <w:r w:rsidR="00A81EAF" w:rsidRPr="00106B1D">
        <w:rPr>
          <w:rFonts w:ascii="Arial" w:hAnsi="Arial" w:cs="Arial"/>
          <w:sz w:val="24"/>
          <w:szCs w:val="24"/>
        </w:rPr>
        <w:t xml:space="preserve">, suscrito por el JEFE DE LA UNIDAD JURÍDICA DEL INSTITUTO CATASTRAL DEL ESTADO DE OAXACA, en el que le informa que después de haber hecho una búsqueda en el Sistema de Información Territorial y en la Unidad de Delegaciones a cargo de ese Instituto, no se encontró el expediente solicitado del registro del número de cuenta </w:t>
      </w:r>
      <w:r w:rsidR="00F36509">
        <w:rPr>
          <w:rFonts w:ascii="Arial" w:hAnsi="Arial" w:cs="Arial"/>
          <w:b/>
          <w:sz w:val="24"/>
          <w:szCs w:val="24"/>
        </w:rPr>
        <w:t>*****</w:t>
      </w:r>
      <w:r w:rsidR="00A81EAF" w:rsidRPr="00106B1D">
        <w:rPr>
          <w:rFonts w:ascii="Arial" w:hAnsi="Arial" w:cs="Arial"/>
          <w:sz w:val="24"/>
          <w:szCs w:val="24"/>
        </w:rPr>
        <w:t xml:space="preserve"> que respalda la inscripción del predio identificado conocido </w:t>
      </w:r>
      <w:r w:rsidR="006A5CC8">
        <w:rPr>
          <w:rFonts w:ascii="Arial" w:hAnsi="Arial" w:cs="Arial"/>
          <w:sz w:val="24"/>
          <w:szCs w:val="24"/>
        </w:rPr>
        <w:t>***** paraje “******”</w:t>
      </w:r>
      <w:r w:rsidR="00A81EAF" w:rsidRPr="00106B1D">
        <w:rPr>
          <w:rFonts w:ascii="Arial" w:hAnsi="Arial" w:cs="Arial"/>
          <w:sz w:val="24"/>
          <w:szCs w:val="24"/>
        </w:rPr>
        <w:t xml:space="preserve">, el Jurisdicción Lachigoló, Tlacolula, Oaxaca, a nombre de la Ciudadana </w:t>
      </w:r>
      <w:r w:rsidR="006A5CC8">
        <w:rPr>
          <w:rFonts w:ascii="Arial" w:hAnsi="Arial" w:cs="Arial"/>
          <w:sz w:val="24"/>
          <w:szCs w:val="24"/>
        </w:rPr>
        <w:t>***** ***** ***** ******</w:t>
      </w:r>
      <w:r w:rsidR="00A81EAF" w:rsidRPr="00106B1D">
        <w:rPr>
          <w:rFonts w:ascii="Arial" w:hAnsi="Arial" w:cs="Arial"/>
          <w:sz w:val="24"/>
          <w:szCs w:val="24"/>
        </w:rPr>
        <w:t xml:space="preserve">, a través del oficio número </w:t>
      </w:r>
      <w:r w:rsidR="00C247DA">
        <w:rPr>
          <w:rFonts w:ascii="Arial" w:hAnsi="Arial" w:cs="Arial"/>
          <w:sz w:val="24"/>
          <w:szCs w:val="24"/>
        </w:rPr>
        <w:t>ICEO/UJ/****/2019</w:t>
      </w:r>
      <w:r w:rsidR="00A81EAF" w:rsidRPr="00106B1D">
        <w:rPr>
          <w:rFonts w:ascii="Arial" w:hAnsi="Arial" w:cs="Arial"/>
          <w:sz w:val="24"/>
          <w:szCs w:val="24"/>
        </w:rPr>
        <w:t>. Que pide su nulidad por carecer de fundamentación y motivación; y como consecuencia, se le ordene a la autoridad demandada, dicte otra en la que expida la copia certificada del expediente solicitado.</w:t>
      </w:r>
    </w:p>
    <w:p w14:paraId="5FEFF935" w14:textId="77777777" w:rsidR="00A81EAF" w:rsidRPr="00106B1D" w:rsidRDefault="00A81EAF" w:rsidP="001A486D">
      <w:pPr>
        <w:spacing w:line="360" w:lineRule="auto"/>
        <w:ind w:right="-518" w:firstLine="708"/>
        <w:jc w:val="both"/>
        <w:rPr>
          <w:rFonts w:ascii="Arial" w:hAnsi="Arial" w:cs="Arial"/>
          <w:sz w:val="24"/>
          <w:szCs w:val="24"/>
        </w:rPr>
      </w:pPr>
    </w:p>
    <w:p w14:paraId="1438614A" w14:textId="77777777" w:rsidR="00A81EAF" w:rsidRPr="00106B1D" w:rsidRDefault="00A81EAF" w:rsidP="001A486D">
      <w:pPr>
        <w:spacing w:line="360" w:lineRule="auto"/>
        <w:ind w:right="-518" w:firstLine="708"/>
        <w:jc w:val="both"/>
        <w:rPr>
          <w:rFonts w:ascii="Arial" w:hAnsi="Arial" w:cs="Arial"/>
          <w:sz w:val="24"/>
          <w:szCs w:val="24"/>
        </w:rPr>
      </w:pPr>
      <w:r w:rsidRPr="00106B1D">
        <w:rPr>
          <w:rFonts w:ascii="Arial" w:hAnsi="Arial" w:cs="Arial"/>
          <w:sz w:val="24"/>
          <w:szCs w:val="24"/>
        </w:rPr>
        <w:t xml:space="preserve">En sus conceptos de impugnación, señala la violación a su derecho de petición y se vulneran los principios de legalidad y seguridad jurídica. </w:t>
      </w:r>
    </w:p>
    <w:p w14:paraId="51F91119" w14:textId="2E31C689" w:rsidR="00A81EAF" w:rsidRDefault="00A81EAF" w:rsidP="001A486D">
      <w:pPr>
        <w:spacing w:line="360" w:lineRule="auto"/>
        <w:ind w:right="-518" w:firstLine="708"/>
        <w:jc w:val="both"/>
        <w:rPr>
          <w:rFonts w:ascii="Arial" w:hAnsi="Arial" w:cs="Arial"/>
          <w:sz w:val="24"/>
          <w:szCs w:val="24"/>
        </w:rPr>
      </w:pPr>
      <w:r w:rsidRPr="00106B1D">
        <w:rPr>
          <w:rFonts w:ascii="Arial" w:hAnsi="Arial" w:cs="Arial"/>
          <w:sz w:val="24"/>
          <w:szCs w:val="24"/>
        </w:rPr>
        <w:t xml:space="preserve">De la lectura del oficio número </w:t>
      </w:r>
      <w:r w:rsidR="00C247DA">
        <w:rPr>
          <w:rFonts w:ascii="Arial" w:hAnsi="Arial" w:cs="Arial"/>
          <w:sz w:val="24"/>
          <w:szCs w:val="24"/>
        </w:rPr>
        <w:t>ICEO/UJ/****/2019</w:t>
      </w:r>
      <w:r w:rsidRPr="00106B1D">
        <w:rPr>
          <w:rFonts w:ascii="Arial" w:hAnsi="Arial" w:cs="Arial"/>
          <w:sz w:val="24"/>
          <w:szCs w:val="24"/>
        </w:rPr>
        <w:t xml:space="preserve">, se advierte que con fecha </w:t>
      </w:r>
      <w:r w:rsidR="006A5CC8">
        <w:rPr>
          <w:rFonts w:ascii="Arial" w:hAnsi="Arial" w:cs="Arial"/>
          <w:sz w:val="24"/>
          <w:szCs w:val="24"/>
        </w:rPr>
        <w:t>** de ***** del mismo año</w:t>
      </w:r>
      <w:r w:rsidRPr="00106B1D">
        <w:rPr>
          <w:rFonts w:ascii="Arial" w:hAnsi="Arial" w:cs="Arial"/>
          <w:sz w:val="24"/>
          <w:szCs w:val="24"/>
        </w:rPr>
        <w:t xml:space="preserve">, le dieron respuesta a su solicitud de </w:t>
      </w:r>
      <w:r w:rsidR="006A5CC8">
        <w:rPr>
          <w:rFonts w:ascii="Arial" w:hAnsi="Arial" w:cs="Arial"/>
          <w:sz w:val="24"/>
          <w:szCs w:val="24"/>
        </w:rPr>
        <w:t>***** de *****</w:t>
      </w:r>
      <w:r w:rsidRPr="00106B1D">
        <w:rPr>
          <w:rFonts w:ascii="Arial" w:hAnsi="Arial" w:cs="Arial"/>
          <w:sz w:val="24"/>
          <w:szCs w:val="24"/>
        </w:rPr>
        <w:t>, es decir dentro de treinta días, con el siguiente texto:</w:t>
      </w:r>
    </w:p>
    <w:p w14:paraId="5B11D548" w14:textId="77777777" w:rsidR="00354B8E" w:rsidRPr="008F1C96" w:rsidRDefault="00354B8E" w:rsidP="001A486D">
      <w:pPr>
        <w:spacing w:line="360" w:lineRule="auto"/>
        <w:ind w:right="-518" w:firstLine="708"/>
        <w:jc w:val="both"/>
        <w:rPr>
          <w:rFonts w:ascii="Arial" w:hAnsi="Arial" w:cs="Arial"/>
          <w:i/>
          <w:sz w:val="24"/>
          <w:szCs w:val="24"/>
        </w:rPr>
      </w:pPr>
    </w:p>
    <w:p w14:paraId="563005E5" w14:textId="7A6291CE" w:rsidR="001A486D" w:rsidRPr="008F1C96" w:rsidRDefault="00A81EAF" w:rsidP="008F1C96">
      <w:pPr>
        <w:spacing w:line="360" w:lineRule="auto"/>
        <w:ind w:left="709" w:right="-518" w:hanging="1"/>
        <w:jc w:val="both"/>
        <w:rPr>
          <w:rFonts w:ascii="Arial" w:hAnsi="Arial" w:cs="Arial"/>
          <w:i/>
          <w:sz w:val="24"/>
          <w:szCs w:val="24"/>
        </w:rPr>
      </w:pPr>
      <w:r w:rsidRPr="008F1C96">
        <w:rPr>
          <w:rFonts w:ascii="Arial" w:hAnsi="Arial" w:cs="Arial"/>
          <w:i/>
          <w:sz w:val="24"/>
          <w:szCs w:val="24"/>
        </w:rPr>
        <w:t>“</w:t>
      </w:r>
      <w:r w:rsidR="001A486D" w:rsidRPr="008F1C96">
        <w:rPr>
          <w:rFonts w:ascii="Arial" w:hAnsi="Arial" w:cs="Arial"/>
          <w:i/>
          <w:sz w:val="24"/>
          <w:szCs w:val="24"/>
        </w:rPr>
        <w:t xml:space="preserve">En atención a su escrito d fecha </w:t>
      </w:r>
      <w:r w:rsidR="006A5CC8">
        <w:rPr>
          <w:rFonts w:ascii="Arial" w:hAnsi="Arial" w:cs="Arial"/>
          <w:i/>
          <w:sz w:val="24"/>
          <w:szCs w:val="24"/>
        </w:rPr>
        <w:t>***** de ***** del año dos mil diecinueve</w:t>
      </w:r>
      <w:r w:rsidR="001A486D" w:rsidRPr="008F1C96">
        <w:rPr>
          <w:rFonts w:ascii="Arial" w:hAnsi="Arial" w:cs="Arial"/>
          <w:i/>
          <w:sz w:val="24"/>
          <w:szCs w:val="24"/>
        </w:rPr>
        <w:t xml:space="preserve">, recibido en la oficialía de partes de este Instituto Catastral del Estado de Oaxaca, el mismo día y mes de la presente anualidad, en el que solicita la </w:t>
      </w:r>
      <w:r w:rsidR="001A486D" w:rsidRPr="008F1C96">
        <w:rPr>
          <w:rFonts w:ascii="Arial" w:hAnsi="Arial" w:cs="Arial"/>
          <w:b/>
          <w:i/>
          <w:sz w:val="24"/>
          <w:szCs w:val="24"/>
        </w:rPr>
        <w:t xml:space="preserve">copia certificada del expediente </w:t>
      </w:r>
      <w:r w:rsidR="001A486D" w:rsidRPr="008F1C96">
        <w:rPr>
          <w:rFonts w:ascii="Arial" w:hAnsi="Arial" w:cs="Arial"/>
          <w:i/>
          <w:sz w:val="24"/>
          <w:szCs w:val="24"/>
        </w:rPr>
        <w:t xml:space="preserve">catastral de la cuenta </w:t>
      </w:r>
      <w:r w:rsidR="00F36509">
        <w:rPr>
          <w:rFonts w:ascii="Arial" w:hAnsi="Arial" w:cs="Arial"/>
          <w:i/>
          <w:sz w:val="24"/>
          <w:szCs w:val="24"/>
        </w:rPr>
        <w:t>*****</w:t>
      </w:r>
      <w:r w:rsidR="001A486D" w:rsidRPr="008F1C96">
        <w:rPr>
          <w:rFonts w:ascii="Arial" w:hAnsi="Arial" w:cs="Arial"/>
          <w:i/>
          <w:sz w:val="24"/>
          <w:szCs w:val="24"/>
        </w:rPr>
        <w:t xml:space="preserve">, del predio </w:t>
      </w:r>
      <w:r w:rsidR="001A486D" w:rsidRPr="008F1C96">
        <w:rPr>
          <w:rFonts w:ascii="Arial" w:hAnsi="Arial" w:cs="Arial"/>
          <w:i/>
          <w:sz w:val="24"/>
          <w:szCs w:val="24"/>
        </w:rPr>
        <w:lastRenderedPageBreak/>
        <w:t xml:space="preserve">ubicado en </w:t>
      </w:r>
      <w:r w:rsidR="006A5CC8">
        <w:rPr>
          <w:rFonts w:ascii="Arial" w:hAnsi="Arial" w:cs="Arial"/>
          <w:i/>
          <w:sz w:val="24"/>
          <w:szCs w:val="24"/>
        </w:rPr>
        <w:t>***** ******, Paraje “******”</w:t>
      </w:r>
      <w:r w:rsidR="001A486D" w:rsidRPr="008F1C96">
        <w:rPr>
          <w:rFonts w:ascii="Arial" w:hAnsi="Arial" w:cs="Arial"/>
          <w:i/>
          <w:sz w:val="24"/>
          <w:szCs w:val="24"/>
        </w:rPr>
        <w:t xml:space="preserve">, San Francisco Lachigoló, Oaxaca, al respecto le comunico lo siguiente: </w:t>
      </w:r>
    </w:p>
    <w:p w14:paraId="0B5EFAC3" w14:textId="017E68C5" w:rsidR="00A81EAF" w:rsidRPr="008F1C96" w:rsidRDefault="001A486D" w:rsidP="008F1C96">
      <w:pPr>
        <w:spacing w:line="360" w:lineRule="auto"/>
        <w:ind w:left="709" w:right="-518" w:hanging="1"/>
        <w:jc w:val="both"/>
        <w:rPr>
          <w:rFonts w:ascii="Arial" w:hAnsi="Arial" w:cs="Arial"/>
          <w:i/>
          <w:sz w:val="24"/>
          <w:szCs w:val="24"/>
        </w:rPr>
      </w:pPr>
      <w:r w:rsidRPr="008F1C96">
        <w:rPr>
          <w:rFonts w:ascii="Arial" w:hAnsi="Arial" w:cs="Arial"/>
          <w:i/>
          <w:sz w:val="24"/>
          <w:szCs w:val="24"/>
        </w:rPr>
        <w:t>Visto el contenido de su solicitud, con fundamento en lo dispuesto por los artículos 5, 17 fracción XXXIX, 51 fracción I, 52 segundo párrafo y 58 de la Ley de Catastro para el Estado de Oaxaca, me permito hacer de su conocimiento que después de una búsqueda exhaustiva y minuciosa en el sistema de Información Territorial y en la Unidad de Delegaciones a cargo de este Instituto</w:t>
      </w:r>
      <w:r w:rsidR="008F1C96" w:rsidRPr="008F1C96">
        <w:rPr>
          <w:rFonts w:ascii="Arial" w:hAnsi="Arial" w:cs="Arial"/>
          <w:i/>
          <w:sz w:val="24"/>
          <w:szCs w:val="24"/>
        </w:rPr>
        <w:t xml:space="preserve">, </w:t>
      </w:r>
      <w:r w:rsidR="008F1C96" w:rsidRPr="008F1C96">
        <w:rPr>
          <w:rFonts w:ascii="Arial" w:hAnsi="Arial" w:cs="Arial"/>
          <w:b/>
          <w:i/>
          <w:sz w:val="24"/>
          <w:szCs w:val="24"/>
          <w:u w:val="single"/>
        </w:rPr>
        <w:t>no se encontró el expediente solicitado</w:t>
      </w:r>
      <w:r w:rsidR="008F1C96" w:rsidRPr="008F1C96">
        <w:rPr>
          <w:rFonts w:ascii="Arial" w:hAnsi="Arial" w:cs="Arial"/>
          <w:i/>
          <w:sz w:val="24"/>
          <w:szCs w:val="24"/>
        </w:rPr>
        <w:t xml:space="preserve"> del registro de número de cuenta </w:t>
      </w:r>
      <w:r w:rsidR="00F36509">
        <w:rPr>
          <w:rFonts w:ascii="Arial" w:hAnsi="Arial" w:cs="Arial"/>
          <w:i/>
          <w:sz w:val="24"/>
          <w:szCs w:val="24"/>
        </w:rPr>
        <w:t>*****</w:t>
      </w:r>
      <w:r w:rsidR="008F1C96" w:rsidRPr="008F1C96">
        <w:rPr>
          <w:rFonts w:ascii="Arial" w:hAnsi="Arial" w:cs="Arial"/>
          <w:i/>
          <w:sz w:val="24"/>
          <w:szCs w:val="24"/>
        </w:rPr>
        <w:t xml:space="preserve">, que respalda la inscripción del predio identificado como </w:t>
      </w:r>
      <w:r w:rsidR="008F1C96" w:rsidRPr="008F1C96">
        <w:rPr>
          <w:rFonts w:ascii="Arial" w:hAnsi="Arial" w:cs="Arial"/>
          <w:b/>
          <w:i/>
          <w:sz w:val="24"/>
          <w:szCs w:val="24"/>
        </w:rPr>
        <w:t xml:space="preserve">CONOCIDO </w:t>
      </w:r>
      <w:r w:rsidR="006A5CC8">
        <w:rPr>
          <w:rFonts w:ascii="Arial" w:hAnsi="Arial" w:cs="Arial"/>
          <w:b/>
          <w:i/>
          <w:sz w:val="24"/>
          <w:szCs w:val="24"/>
        </w:rPr>
        <w:t>*****, PARAJE “******</w:t>
      </w:r>
      <w:r w:rsidR="008F1C96" w:rsidRPr="008F1C96">
        <w:rPr>
          <w:rFonts w:ascii="Arial" w:hAnsi="Arial" w:cs="Arial"/>
          <w:b/>
          <w:i/>
          <w:sz w:val="24"/>
          <w:szCs w:val="24"/>
        </w:rPr>
        <w:t xml:space="preserve">”A FRANCISCO LACHIGOLÓ, TLACOLULA, OAXACA.- </w:t>
      </w:r>
      <w:r w:rsidR="008F1C96" w:rsidRPr="008F1C96">
        <w:rPr>
          <w:rFonts w:ascii="Arial" w:hAnsi="Arial" w:cs="Arial"/>
          <w:i/>
          <w:sz w:val="24"/>
          <w:szCs w:val="24"/>
        </w:rPr>
        <w:t>En cumplimiento al artículo 30 y 31 del Reglamento Interno del Instituto Catastral del Estado de Oaxaca le informe que, en caso de inconformidad de la anterior resolución, podrá interponer recurso de revisión ante esta autoridad Catastral, o en el juicio de nulidad ante el Tribunal de Justicia Administrativa del Estado de Oaxaca, de conformidad con los artículos 17 fracción XIII y 98 de la Ley de Procedimiento y Justicia administrativa para el Estado de Oaxaca.- Lo que informo para los efectos legales y en base a las atribuciones que me confieren los artículos 1, 2 fracción II, 9 fracción III, 13, 19 fracción I, III y XXII del Reglamento Interno del Instituto Catastral del Estado de Oaxaca”</w:t>
      </w:r>
    </w:p>
    <w:p w14:paraId="55C6B2C7" w14:textId="77777777" w:rsidR="00A81EAF" w:rsidRPr="00106B1D" w:rsidRDefault="00A81EAF" w:rsidP="001A486D">
      <w:pPr>
        <w:spacing w:line="360" w:lineRule="auto"/>
        <w:ind w:right="-518" w:firstLine="708"/>
        <w:jc w:val="both"/>
        <w:rPr>
          <w:rFonts w:ascii="Arial" w:hAnsi="Arial" w:cs="Arial"/>
          <w:sz w:val="24"/>
          <w:szCs w:val="24"/>
        </w:rPr>
      </w:pPr>
    </w:p>
    <w:p w14:paraId="42C54F04" w14:textId="77777777" w:rsidR="00A81EAF" w:rsidRPr="00106B1D" w:rsidRDefault="00A81EAF" w:rsidP="008118DA">
      <w:pPr>
        <w:spacing w:line="360" w:lineRule="auto"/>
        <w:ind w:right="-518" w:firstLine="708"/>
        <w:jc w:val="both"/>
        <w:rPr>
          <w:rFonts w:ascii="Arial" w:hAnsi="Arial" w:cs="Arial"/>
          <w:sz w:val="24"/>
          <w:szCs w:val="24"/>
        </w:rPr>
      </w:pPr>
      <w:r w:rsidRPr="00106B1D">
        <w:rPr>
          <w:rFonts w:ascii="Arial" w:hAnsi="Arial" w:cs="Arial"/>
          <w:sz w:val="24"/>
          <w:szCs w:val="24"/>
        </w:rPr>
        <w:t xml:space="preserve">De lo anterior, se advierten que los conceptos de impugnación expresados por la actora, </w:t>
      </w:r>
      <w:r w:rsidRPr="00106B1D">
        <w:rPr>
          <w:rFonts w:ascii="Arial" w:hAnsi="Arial" w:cs="Arial"/>
          <w:b/>
          <w:i/>
          <w:sz w:val="24"/>
          <w:szCs w:val="24"/>
        </w:rPr>
        <w:t xml:space="preserve">son </w:t>
      </w:r>
      <w:proofErr w:type="gramStart"/>
      <w:r w:rsidRPr="00106B1D">
        <w:rPr>
          <w:rFonts w:ascii="Arial" w:hAnsi="Arial" w:cs="Arial"/>
          <w:b/>
          <w:i/>
          <w:sz w:val="24"/>
          <w:szCs w:val="24"/>
        </w:rPr>
        <w:t>infundados</w:t>
      </w:r>
      <w:proofErr w:type="gramEnd"/>
      <w:r w:rsidRPr="00106B1D">
        <w:rPr>
          <w:rFonts w:ascii="Arial" w:hAnsi="Arial" w:cs="Arial"/>
          <w:b/>
          <w:i/>
          <w:sz w:val="24"/>
          <w:szCs w:val="24"/>
        </w:rPr>
        <w:t xml:space="preserve"> por una parte,</w:t>
      </w:r>
      <w:r w:rsidRPr="00106B1D">
        <w:rPr>
          <w:rFonts w:ascii="Arial" w:hAnsi="Arial" w:cs="Arial"/>
          <w:sz w:val="24"/>
          <w:szCs w:val="24"/>
        </w:rPr>
        <w:t xml:space="preserve"> porque se duele de una violación a su derecho de petición lo que es inexacto, debido a que si existe una respuesta, al grado que es el documento que impugna, y tal derecho no obliga a la autoridad a que le conteste forzosamente en el sentido solicitado, ya que si no existen los antecedentes solicitados, no es posible obsequiar la petición en tales términos.</w:t>
      </w:r>
    </w:p>
    <w:p w14:paraId="26751450" w14:textId="77777777" w:rsidR="00A81EAF" w:rsidRPr="00106B1D" w:rsidRDefault="00A81EAF" w:rsidP="008118DA">
      <w:pPr>
        <w:spacing w:line="360" w:lineRule="auto"/>
        <w:ind w:right="-518" w:firstLine="708"/>
        <w:jc w:val="both"/>
        <w:rPr>
          <w:rFonts w:ascii="Arial" w:hAnsi="Arial" w:cs="Arial"/>
          <w:sz w:val="24"/>
          <w:szCs w:val="24"/>
        </w:rPr>
      </w:pPr>
    </w:p>
    <w:p w14:paraId="7498FBF4" w14:textId="77777777" w:rsidR="008118DA" w:rsidRDefault="008118DA" w:rsidP="008118DA">
      <w:pPr>
        <w:spacing w:line="360" w:lineRule="auto"/>
        <w:ind w:right="-518" w:firstLine="708"/>
        <w:jc w:val="both"/>
        <w:rPr>
          <w:rFonts w:ascii="Arial" w:hAnsi="Arial" w:cs="Arial"/>
          <w:sz w:val="24"/>
          <w:szCs w:val="24"/>
        </w:rPr>
      </w:pPr>
      <w:r>
        <w:rPr>
          <w:rFonts w:ascii="Arial" w:hAnsi="Arial" w:cs="Arial"/>
          <w:sz w:val="24"/>
          <w:szCs w:val="24"/>
        </w:rPr>
        <w:t xml:space="preserve">Es aplicable la tesis de la décima época, en materia constitucional, emitida por los Tribunales Colegiados de Circuito, publicada en el Semanario Judicial de la Federación, Libro 51, febrero de 2018, tomo III página 1416, registro electrónico 2016238, que a la letra dice: </w:t>
      </w:r>
    </w:p>
    <w:p w14:paraId="2C06B701" w14:textId="77777777" w:rsidR="008118DA" w:rsidRDefault="008118DA" w:rsidP="008118DA">
      <w:pPr>
        <w:spacing w:line="360" w:lineRule="auto"/>
        <w:ind w:right="-518" w:firstLine="708"/>
        <w:jc w:val="both"/>
        <w:rPr>
          <w:rFonts w:ascii="Arial" w:hAnsi="Arial" w:cs="Arial"/>
          <w:sz w:val="24"/>
          <w:szCs w:val="24"/>
        </w:rPr>
      </w:pPr>
    </w:p>
    <w:p w14:paraId="18A7627B" w14:textId="77777777" w:rsidR="008118DA" w:rsidRDefault="003A1DB4" w:rsidP="008118DA">
      <w:pPr>
        <w:spacing w:line="360" w:lineRule="auto"/>
        <w:ind w:left="709" w:right="-518" w:hanging="1"/>
        <w:jc w:val="both"/>
        <w:rPr>
          <w:rFonts w:ascii="Arial" w:hAnsi="Arial" w:cs="Arial"/>
          <w:i/>
          <w:sz w:val="24"/>
          <w:szCs w:val="24"/>
        </w:rPr>
      </w:pPr>
      <w:r w:rsidRPr="008118DA">
        <w:rPr>
          <w:rFonts w:ascii="Arial" w:hAnsi="Arial" w:cs="Arial"/>
          <w:b/>
          <w:i/>
          <w:sz w:val="24"/>
          <w:szCs w:val="24"/>
        </w:rPr>
        <w:t>DERECHO DE PETICIÓN. EL PRECEPTO QUE FUNDA LA COMPETENCIA DE LOS ENTES DEL ESTADO PARA RESPONDER LAS SOLICITUDES FORMULADAS CON MOTIVO DE SU EJERCICIO, ES EL ARTÍCULO 8o. DE LA CONSTITUCIÓN FEDERAL</w:t>
      </w:r>
      <w:r w:rsidRPr="008118DA">
        <w:rPr>
          <w:rFonts w:ascii="Arial" w:hAnsi="Arial" w:cs="Arial"/>
          <w:i/>
          <w:sz w:val="24"/>
          <w:szCs w:val="24"/>
        </w:rPr>
        <w:t>.</w:t>
      </w:r>
      <w:r w:rsidR="008118DA" w:rsidRPr="008118DA">
        <w:rPr>
          <w:rFonts w:ascii="Arial" w:hAnsi="Arial" w:cs="Arial"/>
          <w:i/>
          <w:sz w:val="24"/>
          <w:szCs w:val="24"/>
        </w:rPr>
        <w:t xml:space="preserve"> </w:t>
      </w:r>
      <w:r w:rsidRPr="008118DA">
        <w:rPr>
          <w:rFonts w:ascii="Arial" w:hAnsi="Arial" w:cs="Arial"/>
          <w:i/>
          <w:sz w:val="24"/>
          <w:szCs w:val="24"/>
        </w:rPr>
        <w:t xml:space="preserve">Para que un acto sea acorde con el derecho a la seguridad jurídica, previsto en el artículo 16 de la Constitución Política de los Estados Unidos Mexicanos, es necesario que el órgano emisor cite las disposiciones legales que lo facultan para desplegar la atribución ejercida; sin embargo, tratándose de actos que se dictan con motivo del </w:t>
      </w:r>
      <w:r w:rsidRPr="008118DA">
        <w:rPr>
          <w:rFonts w:ascii="Arial" w:hAnsi="Arial" w:cs="Arial"/>
          <w:i/>
          <w:sz w:val="24"/>
          <w:szCs w:val="24"/>
        </w:rPr>
        <w:lastRenderedPageBreak/>
        <w:t xml:space="preserve">ejercicio del derecho de petición, la norma que funda la competencia de la autoridad que contesta la solicitud es precisamente el artículo 8o. de la Carta Magna, el cual, por un lado, otorga a los gobernados la potestad de acudir a los entes del Estado a formular una solicitud por escrito, de manera pacífica y respetuosa y, por el otro, concede a todo funcionario público la facultad expresa de pronunciarse sobre las pretensiones que se le formulen, sin que al emitir el pronunciamiento escrito sea necesario citar expresamente el precepto 8o. referido, en virtud de que ese acto sólo puede tener lugar como consecuencia de una solicitud, pues de lo contrario el mandamiento relativo no tendría como origen el derecho de respuesta. Máxime que esa prerrogativa de los gobernados </w:t>
      </w:r>
      <w:r w:rsidRPr="008118DA">
        <w:rPr>
          <w:rFonts w:ascii="Arial" w:hAnsi="Arial" w:cs="Arial"/>
          <w:b/>
          <w:i/>
          <w:sz w:val="24"/>
          <w:szCs w:val="24"/>
          <w:u w:val="single"/>
        </w:rPr>
        <w:t>no constriñe a las autoridades a pronunciarse sobre aspectos para los cuales no tengan atribuciones o exista algún obstáculo</w:t>
      </w:r>
      <w:r w:rsidRPr="008118DA">
        <w:rPr>
          <w:rFonts w:ascii="Arial" w:hAnsi="Arial" w:cs="Arial"/>
          <w:b/>
          <w:i/>
          <w:sz w:val="24"/>
          <w:szCs w:val="24"/>
        </w:rPr>
        <w:t>,</w:t>
      </w:r>
      <w:r w:rsidRPr="008118DA">
        <w:rPr>
          <w:rFonts w:ascii="Arial" w:hAnsi="Arial" w:cs="Arial"/>
          <w:i/>
          <w:sz w:val="24"/>
          <w:szCs w:val="24"/>
        </w:rPr>
        <w:t xml:space="preserve"> pues deben actuar dentro del marco constitucional y legal que las rija, por lo que en ocasiones la respuesta de la autoridad será en el sentido de que carece de atribuciones para dilucidar lo conducente, en cuyo caso, no habrá alguna disposición que justifique esa postura; por tanto, lo jurídicamente relevante será que la petición del interesado no quede sin respuesta.</w:t>
      </w:r>
      <w:r w:rsidR="00150FD2" w:rsidRPr="008118DA">
        <w:rPr>
          <w:rFonts w:ascii="Arial" w:hAnsi="Arial" w:cs="Arial"/>
          <w:i/>
          <w:sz w:val="24"/>
          <w:szCs w:val="24"/>
        </w:rPr>
        <w:t xml:space="preserve"> (Énfasis añadido)</w:t>
      </w:r>
    </w:p>
    <w:p w14:paraId="6879B63D" w14:textId="77777777" w:rsidR="008118DA" w:rsidRDefault="003A1DB4" w:rsidP="008118DA">
      <w:pPr>
        <w:spacing w:line="360" w:lineRule="auto"/>
        <w:ind w:left="709" w:right="-518" w:hanging="1"/>
        <w:jc w:val="both"/>
        <w:rPr>
          <w:rFonts w:ascii="Arial" w:hAnsi="Arial" w:cs="Arial"/>
          <w:i/>
          <w:sz w:val="24"/>
          <w:szCs w:val="24"/>
        </w:rPr>
      </w:pPr>
      <w:r w:rsidRPr="008118DA">
        <w:rPr>
          <w:rFonts w:ascii="Arial" w:hAnsi="Arial" w:cs="Arial"/>
          <w:i/>
          <w:sz w:val="24"/>
          <w:szCs w:val="24"/>
        </w:rPr>
        <w:t>PRIMER TRIBUNAL COLEGIADO EN MATERIA ADM</w:t>
      </w:r>
      <w:r w:rsidR="008118DA" w:rsidRPr="008118DA">
        <w:rPr>
          <w:rFonts w:ascii="Arial" w:hAnsi="Arial" w:cs="Arial"/>
          <w:i/>
          <w:sz w:val="24"/>
          <w:szCs w:val="24"/>
        </w:rPr>
        <w:t>INISTRATIVA DEL PRIMER CIRCUITO</w:t>
      </w:r>
      <w:r w:rsidR="008118DA">
        <w:rPr>
          <w:rFonts w:ascii="Arial" w:hAnsi="Arial" w:cs="Arial"/>
          <w:i/>
          <w:sz w:val="24"/>
          <w:szCs w:val="24"/>
        </w:rPr>
        <w:t>.</w:t>
      </w:r>
    </w:p>
    <w:p w14:paraId="20512CC9" w14:textId="77777777" w:rsidR="008118DA" w:rsidRDefault="003A1DB4" w:rsidP="008118DA">
      <w:pPr>
        <w:spacing w:line="360" w:lineRule="auto"/>
        <w:ind w:left="709" w:right="-518" w:hanging="1"/>
        <w:jc w:val="both"/>
        <w:rPr>
          <w:rFonts w:ascii="Arial" w:hAnsi="Arial" w:cs="Arial"/>
          <w:i/>
          <w:sz w:val="24"/>
          <w:szCs w:val="24"/>
        </w:rPr>
      </w:pPr>
      <w:r w:rsidRPr="008118DA">
        <w:rPr>
          <w:rFonts w:ascii="Arial" w:hAnsi="Arial" w:cs="Arial"/>
          <w:i/>
          <w:sz w:val="24"/>
          <w:szCs w:val="24"/>
        </w:rPr>
        <w:t xml:space="preserve">Amparo en revisión 358/2016. Directora General Adjunta de Inconformidades de la Secretaría de la Función Pública. 12 de enero de 2017. Unanimidad de votos. Ponente: Joel Carranco Zúñiga. Secretario: Agustín Cuauhtémoc </w:t>
      </w:r>
      <w:proofErr w:type="spellStart"/>
      <w:r w:rsidRPr="008118DA">
        <w:rPr>
          <w:rFonts w:ascii="Arial" w:hAnsi="Arial" w:cs="Arial"/>
          <w:i/>
          <w:sz w:val="24"/>
          <w:szCs w:val="24"/>
        </w:rPr>
        <w:t>Jandete</w:t>
      </w:r>
      <w:proofErr w:type="spellEnd"/>
      <w:r w:rsidRPr="008118DA">
        <w:rPr>
          <w:rFonts w:ascii="Arial" w:hAnsi="Arial" w:cs="Arial"/>
          <w:i/>
          <w:sz w:val="24"/>
          <w:szCs w:val="24"/>
        </w:rPr>
        <w:t xml:space="preserve"> Mosqueda.</w:t>
      </w:r>
    </w:p>
    <w:p w14:paraId="652FE0B3" w14:textId="77777777" w:rsidR="003A1DB4" w:rsidRDefault="003A1DB4" w:rsidP="008118DA">
      <w:pPr>
        <w:spacing w:line="360" w:lineRule="auto"/>
        <w:ind w:left="709" w:right="-518" w:hanging="1"/>
        <w:jc w:val="both"/>
        <w:rPr>
          <w:rFonts w:ascii="Arial" w:hAnsi="Arial" w:cs="Arial"/>
          <w:i/>
          <w:sz w:val="24"/>
          <w:szCs w:val="24"/>
        </w:rPr>
      </w:pPr>
      <w:r w:rsidRPr="008118DA">
        <w:rPr>
          <w:rFonts w:ascii="Arial" w:hAnsi="Arial" w:cs="Arial"/>
          <w:i/>
          <w:sz w:val="24"/>
          <w:szCs w:val="24"/>
        </w:rPr>
        <w:t>Esta tesis se publicó el viernes 16 de febrero de 2018 a las 10:18 horas en el Semanario Judicial de la Federación.</w:t>
      </w:r>
    </w:p>
    <w:p w14:paraId="78CC3061" w14:textId="77777777" w:rsidR="008118DA" w:rsidRDefault="008118DA" w:rsidP="008118DA">
      <w:pPr>
        <w:spacing w:line="360" w:lineRule="auto"/>
        <w:ind w:right="-518"/>
        <w:jc w:val="both"/>
        <w:rPr>
          <w:rFonts w:ascii="Arial" w:hAnsi="Arial" w:cs="Arial"/>
          <w:i/>
          <w:sz w:val="24"/>
          <w:szCs w:val="24"/>
        </w:rPr>
      </w:pPr>
    </w:p>
    <w:p w14:paraId="4C68F505" w14:textId="77777777" w:rsidR="008118DA" w:rsidRPr="008118DA" w:rsidRDefault="008118DA" w:rsidP="008118DA">
      <w:pPr>
        <w:spacing w:line="360" w:lineRule="auto"/>
        <w:ind w:right="-518" w:firstLine="708"/>
        <w:jc w:val="both"/>
        <w:rPr>
          <w:rFonts w:ascii="Arial" w:hAnsi="Arial" w:cs="Arial"/>
          <w:sz w:val="24"/>
          <w:szCs w:val="24"/>
        </w:rPr>
      </w:pPr>
      <w:r w:rsidRPr="008118DA">
        <w:rPr>
          <w:rFonts w:ascii="Arial" w:hAnsi="Arial" w:cs="Arial"/>
          <w:sz w:val="24"/>
          <w:szCs w:val="24"/>
        </w:rPr>
        <w:t>Así también, la tesis emitida por el Pleno de la Suprema Corte de Justicia de la Nación, publicada en el Seminario Judicial de la Federación, tomo VII, página 819, y registro 288280 que a la letra dice:</w:t>
      </w:r>
    </w:p>
    <w:p w14:paraId="718C9D5A" w14:textId="77777777" w:rsidR="008118DA" w:rsidRPr="008118DA" w:rsidRDefault="008118DA" w:rsidP="003A1DB4">
      <w:pPr>
        <w:spacing w:line="360" w:lineRule="auto"/>
        <w:ind w:firstLine="708"/>
        <w:jc w:val="both"/>
        <w:rPr>
          <w:rFonts w:ascii="Arial" w:hAnsi="Arial" w:cs="Arial"/>
          <w:i/>
          <w:sz w:val="24"/>
          <w:szCs w:val="24"/>
        </w:rPr>
      </w:pPr>
    </w:p>
    <w:p w14:paraId="3A7D6C0C" w14:textId="77777777" w:rsidR="003A1DB4" w:rsidRPr="008118DA" w:rsidRDefault="003A1DB4" w:rsidP="008118DA">
      <w:pPr>
        <w:spacing w:line="360" w:lineRule="auto"/>
        <w:ind w:left="709" w:right="-518" w:hanging="1"/>
        <w:jc w:val="both"/>
        <w:rPr>
          <w:rFonts w:ascii="Arial" w:hAnsi="Arial" w:cs="Arial"/>
          <w:i/>
          <w:sz w:val="24"/>
          <w:szCs w:val="24"/>
        </w:rPr>
      </w:pPr>
      <w:r w:rsidRPr="008118DA">
        <w:rPr>
          <w:rFonts w:ascii="Arial" w:hAnsi="Arial" w:cs="Arial"/>
          <w:b/>
          <w:i/>
          <w:sz w:val="24"/>
          <w:szCs w:val="24"/>
        </w:rPr>
        <w:t>DERECHO DE PETICION.</w:t>
      </w:r>
      <w:r w:rsidR="008118DA" w:rsidRPr="008118DA">
        <w:rPr>
          <w:rFonts w:ascii="Arial" w:hAnsi="Arial" w:cs="Arial"/>
          <w:i/>
          <w:sz w:val="24"/>
          <w:szCs w:val="24"/>
        </w:rPr>
        <w:t xml:space="preserve"> </w:t>
      </w:r>
      <w:r w:rsidRPr="008118DA">
        <w:rPr>
          <w:rFonts w:ascii="Arial" w:hAnsi="Arial" w:cs="Arial"/>
          <w:i/>
          <w:sz w:val="24"/>
          <w:szCs w:val="24"/>
        </w:rPr>
        <w:t>Las garantías del artículo 8o. constitucional, tienden a asegurar un proveído sobre lo que se pide, y no a que las peticiones se resuelvan en sentido determinado.</w:t>
      </w:r>
    </w:p>
    <w:p w14:paraId="78A6E6FE" w14:textId="77777777" w:rsidR="008118DA" w:rsidRPr="008118DA" w:rsidRDefault="003A1DB4" w:rsidP="008118DA">
      <w:pPr>
        <w:spacing w:line="360" w:lineRule="auto"/>
        <w:ind w:left="709" w:right="-518" w:hanging="1"/>
        <w:jc w:val="both"/>
        <w:rPr>
          <w:rFonts w:ascii="Arial" w:hAnsi="Arial" w:cs="Arial"/>
          <w:i/>
          <w:sz w:val="24"/>
          <w:szCs w:val="24"/>
        </w:rPr>
      </w:pPr>
      <w:r w:rsidRPr="008118DA">
        <w:rPr>
          <w:rFonts w:ascii="Arial" w:hAnsi="Arial" w:cs="Arial"/>
          <w:i/>
          <w:sz w:val="24"/>
          <w:szCs w:val="24"/>
        </w:rPr>
        <w:t>Amparo administrativo en revisión. Salas Mariano. 28 de agosto de 1920. Unanimidad de ocho votos. Ausentes: Benito Flores, José María Mena y Antonio Alcocer. La publicación no menciona el nombre del ponente</w:t>
      </w:r>
      <w:r w:rsidR="008118DA" w:rsidRPr="008118DA">
        <w:rPr>
          <w:rFonts w:ascii="Arial" w:hAnsi="Arial" w:cs="Arial"/>
          <w:i/>
          <w:sz w:val="24"/>
          <w:szCs w:val="24"/>
        </w:rPr>
        <w:t>.</w:t>
      </w:r>
    </w:p>
    <w:p w14:paraId="35F887EC" w14:textId="77777777" w:rsidR="008118DA" w:rsidRPr="008118DA" w:rsidRDefault="008118DA" w:rsidP="008118DA">
      <w:pPr>
        <w:spacing w:line="360" w:lineRule="auto"/>
        <w:ind w:right="-518"/>
        <w:jc w:val="both"/>
        <w:rPr>
          <w:rFonts w:ascii="Arial" w:hAnsi="Arial" w:cs="Arial"/>
          <w:i/>
          <w:sz w:val="24"/>
          <w:szCs w:val="24"/>
        </w:rPr>
      </w:pPr>
    </w:p>
    <w:p w14:paraId="1A834712" w14:textId="6985F4D4" w:rsidR="00A81EAF" w:rsidRPr="00106B1D" w:rsidRDefault="008118DA" w:rsidP="008118DA">
      <w:pPr>
        <w:spacing w:line="360" w:lineRule="auto"/>
        <w:ind w:right="-518"/>
        <w:jc w:val="both"/>
        <w:rPr>
          <w:rFonts w:ascii="Arial" w:hAnsi="Arial" w:cs="Arial"/>
          <w:sz w:val="24"/>
          <w:szCs w:val="24"/>
        </w:rPr>
      </w:pPr>
      <w:r>
        <w:rPr>
          <w:rFonts w:ascii="Arial" w:hAnsi="Arial" w:cs="Arial"/>
          <w:sz w:val="24"/>
          <w:szCs w:val="24"/>
        </w:rPr>
        <w:t xml:space="preserve">           </w:t>
      </w:r>
      <w:r w:rsidR="00A81EAF" w:rsidRPr="00106B1D">
        <w:rPr>
          <w:rFonts w:ascii="Arial" w:hAnsi="Arial" w:cs="Arial"/>
          <w:sz w:val="24"/>
          <w:szCs w:val="24"/>
        </w:rPr>
        <w:t xml:space="preserve">Por otra parte, se duele también de que el acuerdo es contrario a derecho y violenta sus garantías de legalidad y seguridad jurídica, debido a que para que el Instituto Catastral para haber dado origen a la cuenta catastral que ampara el predio </w:t>
      </w:r>
      <w:r w:rsidR="00A81EAF" w:rsidRPr="00106B1D">
        <w:rPr>
          <w:rFonts w:ascii="Arial" w:hAnsi="Arial" w:cs="Arial"/>
          <w:sz w:val="24"/>
          <w:szCs w:val="24"/>
        </w:rPr>
        <w:lastRenderedPageBreak/>
        <w:t xml:space="preserve">con la cuenta número </w:t>
      </w:r>
      <w:r w:rsidR="00F36509">
        <w:rPr>
          <w:rFonts w:ascii="Arial" w:hAnsi="Arial" w:cs="Arial"/>
          <w:b/>
          <w:sz w:val="24"/>
          <w:szCs w:val="24"/>
        </w:rPr>
        <w:t>*****</w:t>
      </w:r>
      <w:r>
        <w:rPr>
          <w:rFonts w:ascii="Arial" w:hAnsi="Arial" w:cs="Arial"/>
          <w:b/>
          <w:sz w:val="24"/>
          <w:szCs w:val="24"/>
        </w:rPr>
        <w:t>,</w:t>
      </w:r>
      <w:r w:rsidR="00A81EAF" w:rsidRPr="00106B1D">
        <w:rPr>
          <w:rFonts w:ascii="Arial" w:hAnsi="Arial" w:cs="Arial"/>
          <w:sz w:val="24"/>
          <w:szCs w:val="24"/>
        </w:rPr>
        <w:t xml:space="preserve"> que respalda la inscripción del predio identificado conocido </w:t>
      </w:r>
      <w:r w:rsidR="006A5CC8">
        <w:rPr>
          <w:rFonts w:ascii="Arial" w:hAnsi="Arial" w:cs="Arial"/>
          <w:sz w:val="24"/>
          <w:szCs w:val="24"/>
        </w:rPr>
        <w:t>***** paraje “******”</w:t>
      </w:r>
      <w:r w:rsidR="00A81EAF" w:rsidRPr="00106B1D">
        <w:rPr>
          <w:rFonts w:ascii="Arial" w:hAnsi="Arial" w:cs="Arial"/>
          <w:sz w:val="24"/>
          <w:szCs w:val="24"/>
        </w:rPr>
        <w:t xml:space="preserve">, el Jurisdicción </w:t>
      </w:r>
      <w:proofErr w:type="gramStart"/>
      <w:r w:rsidR="00A81EAF" w:rsidRPr="00106B1D">
        <w:rPr>
          <w:rFonts w:ascii="Arial" w:hAnsi="Arial" w:cs="Arial"/>
          <w:sz w:val="24"/>
          <w:szCs w:val="24"/>
        </w:rPr>
        <w:t>Lachigoló ,</w:t>
      </w:r>
      <w:proofErr w:type="gramEnd"/>
      <w:r w:rsidR="00A81EAF" w:rsidRPr="00106B1D">
        <w:rPr>
          <w:rFonts w:ascii="Arial" w:hAnsi="Arial" w:cs="Arial"/>
          <w:sz w:val="24"/>
          <w:szCs w:val="24"/>
        </w:rPr>
        <w:t xml:space="preserve"> Tlacolula, Oaxaca, debió tener los antecedentes o cómo explicar tal situación. Con respecto a este concepto de impugnación </w:t>
      </w:r>
      <w:r w:rsidR="00A81EAF" w:rsidRPr="00106B1D">
        <w:rPr>
          <w:rFonts w:ascii="Arial" w:hAnsi="Arial" w:cs="Arial"/>
          <w:b/>
          <w:i/>
          <w:sz w:val="24"/>
          <w:szCs w:val="24"/>
        </w:rPr>
        <w:t>le asiste razón a la ciudadana</w:t>
      </w:r>
      <w:r w:rsidR="00A81EAF" w:rsidRPr="00106B1D">
        <w:rPr>
          <w:rFonts w:ascii="Arial" w:hAnsi="Arial" w:cs="Arial"/>
          <w:sz w:val="24"/>
          <w:szCs w:val="24"/>
        </w:rPr>
        <w:t xml:space="preserve"> el principio de seguridad jurídica, deviene del artículo 14 de la Constitución Política de los Estados Unidos Mexicanos, debido a que cuenta con una cuenta predial proveniente de un registro en el Instituto Catastral, y es lo que le da seguridad jurídica a su propiedad, ahora, le corresponde explicar al mismo Instituto que ese registro es apócrifo. </w:t>
      </w:r>
    </w:p>
    <w:p w14:paraId="394A4B51" w14:textId="77777777" w:rsidR="00A81EAF" w:rsidRPr="00140C3C" w:rsidRDefault="00A81EAF" w:rsidP="00A81EAF">
      <w:pPr>
        <w:spacing w:line="360" w:lineRule="auto"/>
        <w:ind w:firstLine="708"/>
        <w:jc w:val="both"/>
        <w:rPr>
          <w:rFonts w:ascii="Arial" w:hAnsi="Arial" w:cs="Arial"/>
          <w:sz w:val="24"/>
          <w:szCs w:val="24"/>
        </w:rPr>
      </w:pPr>
    </w:p>
    <w:p w14:paraId="72382ABB" w14:textId="77777777" w:rsidR="00CD0FB5" w:rsidRPr="00140C3C" w:rsidRDefault="00A81EAF" w:rsidP="00CD0FB5">
      <w:pPr>
        <w:spacing w:line="360" w:lineRule="auto"/>
        <w:ind w:right="-518" w:firstLine="708"/>
        <w:jc w:val="both"/>
        <w:rPr>
          <w:rFonts w:ascii="Arial" w:hAnsi="Arial" w:cs="Arial"/>
          <w:sz w:val="24"/>
          <w:szCs w:val="24"/>
          <w:shd w:val="clear" w:color="auto" w:fill="FFFFFF"/>
        </w:rPr>
      </w:pPr>
      <w:r w:rsidRPr="00140C3C">
        <w:rPr>
          <w:rFonts w:ascii="Arial" w:hAnsi="Arial" w:cs="Arial"/>
          <w:sz w:val="24"/>
          <w:szCs w:val="24"/>
        </w:rPr>
        <w:t xml:space="preserve">Seguridad jurídica, proviene y se vincula del principio de legalidad a que se refiere la demandante, pues </w:t>
      </w:r>
      <w:r w:rsidR="00CD0FB5" w:rsidRPr="00140C3C">
        <w:rPr>
          <w:rFonts w:ascii="Arial" w:hAnsi="Arial" w:cs="Arial"/>
          <w:sz w:val="24"/>
          <w:szCs w:val="24"/>
        </w:rPr>
        <w:t>l</w:t>
      </w:r>
      <w:r w:rsidRPr="00140C3C">
        <w:rPr>
          <w:rFonts w:ascii="Arial" w:hAnsi="Arial" w:cs="Arial"/>
          <w:sz w:val="24"/>
          <w:szCs w:val="24"/>
          <w:shd w:val="clear" w:color="auto" w:fill="FFFFFF"/>
        </w:rPr>
        <w:t>a </w:t>
      </w:r>
      <w:r w:rsidRPr="00140C3C">
        <w:rPr>
          <w:rFonts w:ascii="Arial" w:hAnsi="Arial" w:cs="Arial"/>
          <w:b/>
          <w:bCs/>
          <w:sz w:val="24"/>
          <w:szCs w:val="24"/>
          <w:shd w:val="clear" w:color="auto" w:fill="FFFFFF"/>
        </w:rPr>
        <w:t>seguridad</w:t>
      </w:r>
      <w:r w:rsidR="00CD0FB5" w:rsidRPr="00140C3C">
        <w:rPr>
          <w:rFonts w:ascii="Arial" w:hAnsi="Arial" w:cs="Arial"/>
          <w:b/>
          <w:bCs/>
          <w:sz w:val="24"/>
          <w:szCs w:val="24"/>
          <w:shd w:val="clear" w:color="auto" w:fill="FFFFFF"/>
        </w:rPr>
        <w:t xml:space="preserve"> </w:t>
      </w:r>
      <w:r w:rsidRPr="00140C3C">
        <w:rPr>
          <w:rFonts w:ascii="Arial" w:hAnsi="Arial" w:cs="Arial"/>
          <w:b/>
          <w:bCs/>
          <w:sz w:val="24"/>
          <w:szCs w:val="24"/>
          <w:shd w:val="clear" w:color="auto" w:fill="FFFFFF"/>
        </w:rPr>
        <w:t>jurídica</w:t>
      </w:r>
      <w:r w:rsidRPr="00140C3C">
        <w:rPr>
          <w:rFonts w:ascii="Arial" w:hAnsi="Arial" w:cs="Arial"/>
          <w:sz w:val="24"/>
          <w:szCs w:val="24"/>
          <w:shd w:val="clear" w:color="auto" w:fill="FFFFFF"/>
        </w:rPr>
        <w:t> es un principio del </w:t>
      </w:r>
      <w:hyperlink r:id="rId8" w:tooltip="Derecho" w:history="1">
        <w:r w:rsidRPr="00140C3C">
          <w:rPr>
            <w:rStyle w:val="Hipervnculo"/>
            <w:rFonts w:ascii="Arial" w:hAnsi="Arial" w:cs="Arial"/>
            <w:color w:val="auto"/>
            <w:sz w:val="24"/>
            <w:szCs w:val="24"/>
            <w:u w:val="none"/>
            <w:shd w:val="clear" w:color="auto" w:fill="FFFFFF"/>
          </w:rPr>
          <w:t>derecho</w:t>
        </w:r>
      </w:hyperlink>
      <w:r w:rsidRPr="00140C3C">
        <w:rPr>
          <w:rFonts w:ascii="Arial" w:hAnsi="Arial" w:cs="Arial"/>
          <w:sz w:val="24"/>
          <w:szCs w:val="24"/>
          <w:shd w:val="clear" w:color="auto" w:fill="FFFFFF"/>
        </w:rPr>
        <w:t>, universalmente reconocido, que se basa en la «</w:t>
      </w:r>
      <w:hyperlink r:id="rId9" w:tooltip="Certeza del derecho" w:history="1">
        <w:r w:rsidRPr="00140C3C">
          <w:rPr>
            <w:rStyle w:val="Hipervnculo"/>
            <w:rFonts w:ascii="Arial" w:hAnsi="Arial" w:cs="Arial"/>
            <w:color w:val="auto"/>
            <w:sz w:val="24"/>
            <w:szCs w:val="24"/>
            <w:u w:val="none"/>
            <w:shd w:val="clear" w:color="auto" w:fill="FFFFFF"/>
          </w:rPr>
          <w:t>certeza del derecho</w:t>
        </w:r>
      </w:hyperlink>
      <w:r w:rsidRPr="00140C3C">
        <w:rPr>
          <w:rFonts w:ascii="Arial" w:hAnsi="Arial" w:cs="Arial"/>
          <w:sz w:val="24"/>
          <w:szCs w:val="24"/>
          <w:shd w:val="clear" w:color="auto" w:fill="FFFFFF"/>
        </w:rPr>
        <w:t>», tanto en el ámbito de su publicidad como en su aplicación, y que significa la seguridad de que se conoce, o puede conocerse, lo previsto como prohibido, ordenado o permitido por el </w:t>
      </w:r>
      <w:hyperlink r:id="rId10" w:tooltip="Poder público" w:history="1">
        <w:r w:rsidRPr="00140C3C">
          <w:rPr>
            <w:rStyle w:val="Hipervnculo"/>
            <w:rFonts w:ascii="Arial" w:hAnsi="Arial" w:cs="Arial"/>
            <w:color w:val="auto"/>
            <w:sz w:val="24"/>
            <w:szCs w:val="24"/>
            <w:u w:val="none"/>
            <w:shd w:val="clear" w:color="auto" w:fill="FFFFFF"/>
          </w:rPr>
          <w:t>poder público</w:t>
        </w:r>
      </w:hyperlink>
      <w:r w:rsidRPr="00140C3C">
        <w:rPr>
          <w:rFonts w:ascii="Arial" w:hAnsi="Arial" w:cs="Arial"/>
          <w:sz w:val="24"/>
          <w:szCs w:val="24"/>
          <w:shd w:val="clear" w:color="auto" w:fill="FFFFFF"/>
        </w:rPr>
        <w:t>.</w:t>
      </w:r>
    </w:p>
    <w:p w14:paraId="6FCC2CA2" w14:textId="77777777" w:rsidR="00CD0FB5" w:rsidRPr="00140C3C" w:rsidRDefault="00CD0FB5" w:rsidP="00CD0FB5">
      <w:pPr>
        <w:spacing w:line="360" w:lineRule="auto"/>
        <w:ind w:right="-518" w:firstLine="708"/>
        <w:jc w:val="both"/>
        <w:rPr>
          <w:rFonts w:ascii="Arial" w:hAnsi="Arial" w:cs="Arial"/>
          <w:sz w:val="24"/>
          <w:szCs w:val="24"/>
          <w:shd w:val="clear" w:color="auto" w:fill="FFFFFF"/>
        </w:rPr>
      </w:pPr>
    </w:p>
    <w:p w14:paraId="06D947DA" w14:textId="77777777" w:rsidR="00CD0FB5" w:rsidRPr="00140C3C" w:rsidRDefault="00A81EAF" w:rsidP="00CD0FB5">
      <w:pPr>
        <w:spacing w:line="360" w:lineRule="auto"/>
        <w:ind w:right="-518" w:firstLine="708"/>
        <w:jc w:val="both"/>
        <w:rPr>
          <w:rFonts w:ascii="Arial" w:hAnsi="Arial" w:cs="Arial"/>
          <w:sz w:val="24"/>
          <w:szCs w:val="24"/>
          <w:shd w:val="clear" w:color="auto" w:fill="FFFFFF"/>
        </w:rPr>
      </w:pPr>
      <w:r w:rsidRPr="00140C3C">
        <w:rPr>
          <w:rFonts w:ascii="Arial" w:hAnsi="Arial" w:cs="Arial"/>
          <w:sz w:val="24"/>
          <w:szCs w:val="24"/>
          <w:shd w:val="clear" w:color="auto" w:fill="FFFFFF"/>
        </w:rPr>
        <w:t>La seguridad jurídica es, en el fondo, la </w:t>
      </w:r>
      <w:hyperlink r:id="rId11" w:tooltip="Garantía" w:history="1">
        <w:r w:rsidRPr="00140C3C">
          <w:rPr>
            <w:rStyle w:val="Hipervnculo"/>
            <w:rFonts w:ascii="Arial" w:hAnsi="Arial" w:cs="Arial"/>
            <w:color w:val="auto"/>
            <w:sz w:val="24"/>
            <w:szCs w:val="24"/>
            <w:u w:val="none"/>
            <w:shd w:val="clear" w:color="auto" w:fill="FFFFFF"/>
          </w:rPr>
          <w:t>garantía</w:t>
        </w:r>
      </w:hyperlink>
      <w:r w:rsidRPr="00140C3C">
        <w:rPr>
          <w:rFonts w:ascii="Arial" w:hAnsi="Arial" w:cs="Arial"/>
          <w:sz w:val="24"/>
          <w:szCs w:val="24"/>
          <w:shd w:val="clear" w:color="auto" w:fill="FFFFFF"/>
        </w:rPr>
        <w:t> dada al </w:t>
      </w:r>
      <w:hyperlink r:id="rId12" w:tooltip="Individuo" w:history="1">
        <w:r w:rsidRPr="00140C3C">
          <w:rPr>
            <w:rStyle w:val="Hipervnculo"/>
            <w:rFonts w:ascii="Arial" w:hAnsi="Arial" w:cs="Arial"/>
            <w:color w:val="auto"/>
            <w:sz w:val="24"/>
            <w:szCs w:val="24"/>
            <w:u w:val="none"/>
            <w:shd w:val="clear" w:color="auto" w:fill="FFFFFF"/>
          </w:rPr>
          <w:t>individuo</w:t>
        </w:r>
      </w:hyperlink>
      <w:r w:rsidRPr="00140C3C">
        <w:rPr>
          <w:rFonts w:ascii="Arial" w:hAnsi="Arial" w:cs="Arial"/>
          <w:sz w:val="24"/>
          <w:szCs w:val="24"/>
          <w:shd w:val="clear" w:color="auto" w:fill="FFFFFF"/>
        </w:rPr>
        <w:t> por el </w:t>
      </w:r>
      <w:hyperlink r:id="rId13" w:tooltip="Estado" w:history="1">
        <w:r w:rsidRPr="00140C3C">
          <w:rPr>
            <w:rStyle w:val="Hipervnculo"/>
            <w:rFonts w:ascii="Arial" w:hAnsi="Arial" w:cs="Arial"/>
            <w:color w:val="auto"/>
            <w:sz w:val="24"/>
            <w:szCs w:val="24"/>
            <w:u w:val="none"/>
            <w:shd w:val="clear" w:color="auto" w:fill="FFFFFF"/>
          </w:rPr>
          <w:t>Estado</w:t>
        </w:r>
      </w:hyperlink>
      <w:r w:rsidRPr="00140C3C">
        <w:rPr>
          <w:rFonts w:ascii="Arial" w:hAnsi="Arial" w:cs="Arial"/>
          <w:sz w:val="24"/>
          <w:szCs w:val="24"/>
          <w:shd w:val="clear" w:color="auto" w:fill="FFFFFF"/>
        </w:rPr>
        <w:t> de que su persona, sus bienes y sus derechos no serán violentados o que, si esto último llegara a producirse, le serán asegurados por la sociedad, la protección y reparación de aquellos. En resumen, la seguridad jurídica es la «</w:t>
      </w:r>
      <w:r w:rsidRPr="00140C3C">
        <w:rPr>
          <w:rFonts w:ascii="Arial" w:hAnsi="Arial" w:cs="Arial"/>
          <w:i/>
          <w:iCs/>
          <w:sz w:val="24"/>
          <w:szCs w:val="24"/>
          <w:shd w:val="clear" w:color="auto" w:fill="FFFFFF"/>
        </w:rPr>
        <w:t>certeza del derecho</w:t>
      </w:r>
      <w:r w:rsidRPr="00140C3C">
        <w:rPr>
          <w:rFonts w:ascii="Arial" w:hAnsi="Arial" w:cs="Arial"/>
          <w:sz w:val="24"/>
          <w:szCs w:val="24"/>
          <w:shd w:val="clear" w:color="auto" w:fill="FFFFFF"/>
        </w:rPr>
        <w:t>» que tiene el individuo de modo que su situación jurídica no será modificada más que por procedimientos regulares y conductos legales establecidos, previa y debidamente publicados.</w:t>
      </w:r>
    </w:p>
    <w:p w14:paraId="58A6398E" w14:textId="77777777" w:rsidR="00CD0FB5" w:rsidRPr="00140C3C" w:rsidRDefault="00CD0FB5" w:rsidP="00CD0FB5">
      <w:pPr>
        <w:spacing w:line="360" w:lineRule="auto"/>
        <w:ind w:right="-518" w:firstLine="708"/>
        <w:jc w:val="both"/>
        <w:rPr>
          <w:rFonts w:ascii="Arial" w:hAnsi="Arial" w:cs="Arial"/>
          <w:sz w:val="24"/>
          <w:szCs w:val="24"/>
          <w:shd w:val="clear" w:color="auto" w:fill="FFFFFF"/>
        </w:rPr>
      </w:pPr>
    </w:p>
    <w:p w14:paraId="7BFAE1BC" w14:textId="77777777" w:rsidR="00A81EAF" w:rsidRPr="00140C3C" w:rsidRDefault="00A81EAF" w:rsidP="00CD0FB5">
      <w:pPr>
        <w:spacing w:line="360" w:lineRule="auto"/>
        <w:ind w:right="-518" w:firstLine="708"/>
        <w:jc w:val="both"/>
        <w:rPr>
          <w:rFonts w:ascii="Arial" w:hAnsi="Arial" w:cs="Arial"/>
          <w:sz w:val="24"/>
          <w:szCs w:val="24"/>
        </w:rPr>
      </w:pPr>
      <w:r w:rsidRPr="00140C3C">
        <w:rPr>
          <w:rFonts w:ascii="Arial" w:hAnsi="Arial" w:cs="Arial"/>
          <w:sz w:val="24"/>
          <w:szCs w:val="24"/>
        </w:rPr>
        <w:t>La seguridad jurídica se refiere a </w:t>
      </w:r>
      <w:r w:rsidRPr="00140C3C">
        <w:rPr>
          <w:rStyle w:val="Textoennegrita"/>
          <w:rFonts w:ascii="Arial" w:hAnsi="Arial" w:cs="Arial"/>
          <w:sz w:val="24"/>
          <w:szCs w:val="24"/>
          <w:bdr w:val="none" w:sz="0" w:space="0" w:color="auto" w:frame="1"/>
        </w:rPr>
        <w:t>la certeza que tienen los gobernados, es decir, los individuos, de que su persona, su familia, sus pertenecías y derechos estén protegidos por las diferentes leyes y sus autoridades</w:t>
      </w:r>
      <w:r w:rsidRPr="00140C3C">
        <w:rPr>
          <w:rFonts w:ascii="Arial" w:hAnsi="Arial" w:cs="Arial"/>
          <w:sz w:val="24"/>
          <w:szCs w:val="24"/>
        </w:rPr>
        <w:t>, y en caso de que se tenga que llevar a cabo un procedimiento legal, éste sea realizado según lo establecido en el marco jurídico.</w:t>
      </w:r>
    </w:p>
    <w:p w14:paraId="62B2F1BD" w14:textId="77777777" w:rsidR="00CD0FB5" w:rsidRPr="00140C3C" w:rsidRDefault="00CD0FB5" w:rsidP="00CD0FB5">
      <w:pPr>
        <w:pStyle w:val="NormalWeb"/>
        <w:shd w:val="clear" w:color="auto" w:fill="FFFFFF"/>
        <w:spacing w:before="0" w:beforeAutospacing="0" w:after="0" w:afterAutospacing="0" w:line="360" w:lineRule="auto"/>
        <w:ind w:right="-518"/>
        <w:jc w:val="both"/>
        <w:textAlignment w:val="top"/>
        <w:rPr>
          <w:rFonts w:ascii="Arial" w:hAnsi="Arial" w:cs="Arial"/>
        </w:rPr>
      </w:pPr>
    </w:p>
    <w:p w14:paraId="05F0D706" w14:textId="77777777" w:rsidR="00A81EAF" w:rsidRPr="00140C3C" w:rsidRDefault="00A81EAF" w:rsidP="00CD0FB5">
      <w:pPr>
        <w:pStyle w:val="NormalWeb"/>
        <w:shd w:val="clear" w:color="auto" w:fill="FFFFFF"/>
        <w:spacing w:before="0" w:beforeAutospacing="0" w:after="0" w:afterAutospacing="0" w:line="360" w:lineRule="auto"/>
        <w:ind w:right="-518" w:firstLine="708"/>
        <w:jc w:val="both"/>
        <w:textAlignment w:val="top"/>
        <w:rPr>
          <w:rFonts w:ascii="Arial" w:hAnsi="Arial" w:cs="Arial"/>
        </w:rPr>
      </w:pPr>
      <w:r w:rsidRPr="00140C3C">
        <w:rPr>
          <w:rFonts w:ascii="Arial" w:hAnsi="Arial" w:cs="Arial"/>
        </w:rPr>
        <w:t>Es decir, la seguridad jurídica es el </w:t>
      </w:r>
      <w:r w:rsidRPr="00140C3C">
        <w:rPr>
          <w:rStyle w:val="Textoennegrita"/>
          <w:rFonts w:ascii="Arial" w:hAnsi="Arial" w:cs="Arial"/>
          <w:bdr w:val="none" w:sz="0" w:space="0" w:color="auto" w:frame="1"/>
        </w:rPr>
        <w:t>conocimiento y la certeza que tienen los gobernados de qué es lo que se estipula en la ley como permitido o prohibido</w:t>
      </w:r>
      <w:r w:rsidRPr="00140C3C">
        <w:rPr>
          <w:rFonts w:ascii="Arial" w:hAnsi="Arial" w:cs="Arial"/>
        </w:rPr>
        <w:t> y, cuáles son los procedimientos que se deben llevar a cabo en cada caso, según lo establecido en la constitución y demás reglamentos que conforman el marco legal de un país.</w:t>
      </w:r>
    </w:p>
    <w:p w14:paraId="0375C239" w14:textId="77777777" w:rsidR="00A81EAF" w:rsidRPr="00140C3C" w:rsidRDefault="00A81EAF" w:rsidP="00CD0FB5">
      <w:pPr>
        <w:spacing w:line="360" w:lineRule="auto"/>
        <w:ind w:right="-518"/>
        <w:jc w:val="both"/>
        <w:rPr>
          <w:rFonts w:ascii="Arial" w:hAnsi="Arial" w:cs="Arial"/>
          <w:sz w:val="24"/>
          <w:szCs w:val="24"/>
        </w:rPr>
      </w:pPr>
    </w:p>
    <w:p w14:paraId="57A8AB4B" w14:textId="77777777" w:rsidR="00A81EAF" w:rsidRPr="00140C3C" w:rsidRDefault="00A81EAF" w:rsidP="00CD0FB5">
      <w:pPr>
        <w:spacing w:line="360" w:lineRule="auto"/>
        <w:ind w:right="-518" w:firstLine="708"/>
        <w:jc w:val="both"/>
        <w:rPr>
          <w:rFonts w:ascii="Arial" w:hAnsi="Arial" w:cs="Arial"/>
          <w:sz w:val="24"/>
          <w:szCs w:val="24"/>
        </w:rPr>
      </w:pPr>
      <w:r w:rsidRPr="00140C3C">
        <w:rPr>
          <w:rFonts w:ascii="Arial" w:hAnsi="Arial" w:cs="Arial"/>
          <w:sz w:val="24"/>
          <w:szCs w:val="24"/>
        </w:rPr>
        <w:t xml:space="preserve">Los derechos de seguridad Jurídica es lo más cercano al Estado de Derecho de la sujeción de las autoridades a lo que dicta la ley. </w:t>
      </w:r>
    </w:p>
    <w:p w14:paraId="7CC04AFD" w14:textId="77777777" w:rsidR="00A81EAF" w:rsidRPr="00140C3C" w:rsidRDefault="00A81EAF" w:rsidP="00A81EAF">
      <w:pPr>
        <w:pStyle w:val="NormalWeb"/>
        <w:shd w:val="clear" w:color="auto" w:fill="FFFFFF"/>
        <w:spacing w:before="0" w:beforeAutospacing="0" w:after="0" w:afterAutospacing="0" w:line="360" w:lineRule="auto"/>
        <w:jc w:val="both"/>
        <w:textAlignment w:val="top"/>
        <w:rPr>
          <w:rFonts w:ascii="Arial" w:hAnsi="Arial" w:cs="Arial"/>
        </w:rPr>
      </w:pPr>
    </w:p>
    <w:p w14:paraId="7809B794" w14:textId="77777777" w:rsidR="00CD0FB5" w:rsidRPr="00140C3C" w:rsidRDefault="00A81EAF" w:rsidP="00CD0FB5">
      <w:pPr>
        <w:pStyle w:val="NormalWeb"/>
        <w:shd w:val="clear" w:color="auto" w:fill="FFFFFF"/>
        <w:spacing w:before="0" w:beforeAutospacing="0" w:after="0" w:afterAutospacing="0" w:line="360" w:lineRule="auto"/>
        <w:ind w:right="-518" w:firstLine="708"/>
        <w:jc w:val="both"/>
        <w:textAlignment w:val="top"/>
        <w:rPr>
          <w:rFonts w:ascii="Arial" w:hAnsi="Arial" w:cs="Arial"/>
        </w:rPr>
      </w:pPr>
      <w:r w:rsidRPr="00140C3C">
        <w:rPr>
          <w:rFonts w:ascii="Arial" w:hAnsi="Arial" w:cs="Arial"/>
        </w:rPr>
        <w:t xml:space="preserve">Bajo estas reflexiones, la hoy actora, ve desvirtuada la seguridad jurídica de su registro catastral, cuando si bien se le da contestación y con los fundamentos </w:t>
      </w:r>
      <w:r w:rsidRPr="00140C3C">
        <w:rPr>
          <w:rFonts w:ascii="Arial" w:hAnsi="Arial" w:cs="Arial"/>
        </w:rPr>
        <w:lastRenderedPageBreak/>
        <w:t xml:space="preserve">jurídicos correctos, se le informa que no tiene antecedentes catastrales el predio que adquirió; es una incongruencia de la institución que no atina a entender cómo el mismo Catastro le da una cuenta y luego le contesta que no existen antecedentes, sin que medie de por medio una explicación para saber qué sucedió, si se trató de un acto de corrupción la inscripción asentada en la escritura  </w:t>
      </w:r>
    </w:p>
    <w:p w14:paraId="27D4A9B8" w14:textId="77777777" w:rsidR="00CD0FB5" w:rsidRPr="00140C3C" w:rsidRDefault="00CD0FB5" w:rsidP="00CD0FB5">
      <w:pPr>
        <w:pStyle w:val="NormalWeb"/>
        <w:shd w:val="clear" w:color="auto" w:fill="FFFFFF"/>
        <w:spacing w:before="0" w:beforeAutospacing="0" w:after="0" w:afterAutospacing="0" w:line="360" w:lineRule="auto"/>
        <w:ind w:right="-518" w:firstLine="708"/>
        <w:jc w:val="both"/>
        <w:textAlignment w:val="top"/>
        <w:rPr>
          <w:rFonts w:ascii="Arial" w:hAnsi="Arial" w:cs="Arial"/>
        </w:rPr>
      </w:pPr>
    </w:p>
    <w:p w14:paraId="247FC28D" w14:textId="77777777" w:rsidR="00CD0FB5" w:rsidRPr="00140C3C" w:rsidRDefault="00A81EAF" w:rsidP="00CD0FB5">
      <w:pPr>
        <w:pStyle w:val="NormalWeb"/>
        <w:shd w:val="clear" w:color="auto" w:fill="FFFFFF"/>
        <w:spacing w:before="0" w:beforeAutospacing="0" w:after="0" w:afterAutospacing="0" w:line="360" w:lineRule="auto"/>
        <w:ind w:right="-518" w:firstLine="708"/>
        <w:jc w:val="both"/>
        <w:textAlignment w:val="top"/>
        <w:rPr>
          <w:rFonts w:ascii="Arial" w:hAnsi="Arial" w:cs="Arial"/>
        </w:rPr>
      </w:pPr>
      <w:r w:rsidRPr="00140C3C">
        <w:rPr>
          <w:rFonts w:ascii="Arial" w:hAnsi="Arial" w:cs="Arial"/>
        </w:rPr>
        <w:t xml:space="preserve">Desafortunadamente es un hecho notorio de que tanto la institución de Catastro, como algunos gestores y notarios, cuando se trata de predios rústicos </w:t>
      </w:r>
      <w:proofErr w:type="spellStart"/>
      <w:r w:rsidRPr="00140C3C">
        <w:rPr>
          <w:rFonts w:ascii="Arial" w:hAnsi="Arial" w:cs="Arial"/>
        </w:rPr>
        <w:t>forzan</w:t>
      </w:r>
      <w:proofErr w:type="spellEnd"/>
      <w:r w:rsidRPr="00140C3C">
        <w:rPr>
          <w:rFonts w:ascii="Arial" w:hAnsi="Arial" w:cs="Arial"/>
        </w:rPr>
        <w:t xml:space="preserve"> de distintas formas para obtener una cuenta predial de predio urbano cuando se trata de inmuebles rústicos de propiedad social, que viendo los antecedentes de la escritura que exhibe la accionante del juicio, se trata de un terreno de sembradura y le corresponda otro tipo de cuenta, el caso que se menciona es muy frecuente en los asuntos que se atienden en este tribunal, tanto del Registro Público como del Instituto de Catastro, de ser el caso, así, debe el Instituto, contestar todo lo necesario,</w:t>
      </w:r>
      <w:r w:rsidR="00CD0FB5" w:rsidRPr="00140C3C">
        <w:rPr>
          <w:rFonts w:ascii="Arial" w:hAnsi="Arial" w:cs="Arial"/>
        </w:rPr>
        <w:t xml:space="preserve"> para que la particular sepa cuá</w:t>
      </w:r>
      <w:r w:rsidRPr="00140C3C">
        <w:rPr>
          <w:rFonts w:ascii="Arial" w:hAnsi="Arial" w:cs="Arial"/>
        </w:rPr>
        <w:t xml:space="preserve">l es su relación exacta con la institución, si su registro es irregular, si se cometió un delito, si se inició una carpeta ante la Fiscalía correspondiente, porque esta situación tan frecuente, ya no es posible que continúe. </w:t>
      </w:r>
    </w:p>
    <w:p w14:paraId="5457525E" w14:textId="77777777" w:rsidR="00CD0FB5" w:rsidRPr="00140C3C" w:rsidRDefault="00CD0FB5" w:rsidP="00CD0FB5">
      <w:pPr>
        <w:pStyle w:val="NormalWeb"/>
        <w:shd w:val="clear" w:color="auto" w:fill="FFFFFF"/>
        <w:spacing w:before="0" w:beforeAutospacing="0" w:after="0" w:afterAutospacing="0" w:line="360" w:lineRule="auto"/>
        <w:ind w:right="-518" w:firstLine="708"/>
        <w:jc w:val="both"/>
        <w:textAlignment w:val="top"/>
        <w:rPr>
          <w:rFonts w:ascii="Arial" w:hAnsi="Arial" w:cs="Arial"/>
        </w:rPr>
      </w:pPr>
    </w:p>
    <w:p w14:paraId="34FFD45D" w14:textId="77777777" w:rsidR="00A81EAF" w:rsidRPr="00140C3C" w:rsidRDefault="00A81EAF" w:rsidP="00CD0FB5">
      <w:pPr>
        <w:pStyle w:val="NormalWeb"/>
        <w:shd w:val="clear" w:color="auto" w:fill="FFFFFF"/>
        <w:spacing w:before="0" w:beforeAutospacing="0" w:after="0" w:afterAutospacing="0" w:line="360" w:lineRule="auto"/>
        <w:ind w:right="-518" w:firstLine="708"/>
        <w:jc w:val="both"/>
        <w:textAlignment w:val="top"/>
        <w:rPr>
          <w:rFonts w:ascii="Arial" w:hAnsi="Arial" w:cs="Arial"/>
        </w:rPr>
      </w:pPr>
      <w:r w:rsidRPr="00140C3C">
        <w:rPr>
          <w:rFonts w:ascii="Arial" w:hAnsi="Arial" w:cs="Arial"/>
        </w:rPr>
        <w:t>La autoridad está ob</w:t>
      </w:r>
      <w:r w:rsidR="00CD0FB5" w:rsidRPr="00140C3C">
        <w:rPr>
          <w:rFonts w:ascii="Arial" w:hAnsi="Arial" w:cs="Arial"/>
        </w:rPr>
        <w:t>ligada a decirle exactamente cuá</w:t>
      </w:r>
      <w:r w:rsidRPr="00140C3C">
        <w:rPr>
          <w:rFonts w:ascii="Arial" w:hAnsi="Arial" w:cs="Arial"/>
        </w:rPr>
        <w:t xml:space="preserve">l es el estatus jurídico del registro que ostenta, porque no hay esos antecedentes y de advertir una irregularidad proceder conforme a derecho y no dejar al particular que ahí acude con la inseguridad de un registro ya realizado favorablemente. </w:t>
      </w:r>
    </w:p>
    <w:p w14:paraId="5582C30F" w14:textId="77777777" w:rsidR="00A81EAF" w:rsidRPr="00140C3C" w:rsidRDefault="00A81EAF" w:rsidP="00CD0FB5">
      <w:pPr>
        <w:spacing w:line="360" w:lineRule="auto"/>
        <w:ind w:right="-518"/>
        <w:jc w:val="both"/>
        <w:rPr>
          <w:rFonts w:ascii="Arial" w:hAnsi="Arial" w:cs="Arial"/>
          <w:sz w:val="24"/>
          <w:szCs w:val="24"/>
        </w:rPr>
      </w:pPr>
    </w:p>
    <w:p w14:paraId="1481F709" w14:textId="77777777" w:rsidR="00A81EAF" w:rsidRPr="00140C3C" w:rsidRDefault="00A81EAF" w:rsidP="00CD0FB5">
      <w:pPr>
        <w:spacing w:line="360" w:lineRule="auto"/>
        <w:ind w:right="-518"/>
        <w:jc w:val="both"/>
        <w:rPr>
          <w:rFonts w:ascii="Arial" w:hAnsi="Arial" w:cs="Arial"/>
          <w:sz w:val="24"/>
          <w:szCs w:val="24"/>
        </w:rPr>
      </w:pPr>
      <w:r w:rsidRPr="00140C3C">
        <w:rPr>
          <w:rFonts w:ascii="Arial" w:hAnsi="Arial" w:cs="Arial"/>
          <w:sz w:val="24"/>
          <w:szCs w:val="24"/>
        </w:rPr>
        <w:tab/>
        <w:t xml:space="preserve">La actividad catastral tiene fines muy altos para la seguridad jurídica de la riqueza inmobiliaria y no es justo permitir el gran desorden que hay entre los registros de propiedad privada y los de propiedad social.  </w:t>
      </w:r>
    </w:p>
    <w:p w14:paraId="58EECCEA" w14:textId="77777777" w:rsidR="00A81EAF" w:rsidRDefault="00A81EAF" w:rsidP="00CD0FB5">
      <w:pPr>
        <w:spacing w:line="360" w:lineRule="auto"/>
        <w:ind w:right="-518"/>
        <w:jc w:val="both"/>
        <w:rPr>
          <w:rFonts w:ascii="Arial" w:hAnsi="Arial" w:cs="Arial"/>
          <w:sz w:val="24"/>
          <w:szCs w:val="24"/>
        </w:rPr>
      </w:pPr>
    </w:p>
    <w:p w14:paraId="5C381322" w14:textId="77777777" w:rsidR="003C6CE0" w:rsidRDefault="003C6CE0" w:rsidP="003C6CE0">
      <w:pPr>
        <w:spacing w:line="360" w:lineRule="auto"/>
        <w:ind w:right="-567" w:firstLine="708"/>
        <w:jc w:val="both"/>
        <w:rPr>
          <w:rFonts w:ascii="Arial" w:hAnsi="Arial" w:cs="Arial"/>
          <w:sz w:val="24"/>
          <w:szCs w:val="24"/>
        </w:rPr>
      </w:pPr>
      <w:r>
        <w:rPr>
          <w:rFonts w:ascii="Arial" w:hAnsi="Arial" w:cs="Arial"/>
          <w:sz w:val="24"/>
          <w:szCs w:val="24"/>
        </w:rPr>
        <w:t xml:space="preserve">El Instituto Catastral es un órgano desconcentrado de la Administración Pública del Estado cuya definición, es: </w:t>
      </w:r>
    </w:p>
    <w:p w14:paraId="6E42EF4B" w14:textId="77777777" w:rsidR="003C6CE0" w:rsidRDefault="003C6CE0" w:rsidP="003C6CE0">
      <w:pPr>
        <w:spacing w:line="360" w:lineRule="auto"/>
        <w:ind w:right="-567" w:firstLine="708"/>
        <w:jc w:val="both"/>
        <w:rPr>
          <w:rFonts w:ascii="Arial" w:hAnsi="Arial" w:cs="Arial"/>
          <w:sz w:val="24"/>
          <w:szCs w:val="24"/>
        </w:rPr>
      </w:pPr>
    </w:p>
    <w:p w14:paraId="18E2F853" w14:textId="77777777" w:rsidR="003C6CE0" w:rsidRDefault="003C6CE0" w:rsidP="003C6CE0">
      <w:pPr>
        <w:spacing w:line="360" w:lineRule="auto"/>
        <w:ind w:right="-567" w:firstLine="708"/>
        <w:jc w:val="both"/>
        <w:rPr>
          <w:rFonts w:ascii="Arial" w:hAnsi="Arial" w:cs="Arial"/>
          <w:sz w:val="24"/>
          <w:szCs w:val="24"/>
        </w:rPr>
      </w:pPr>
      <w:r w:rsidRPr="009856DF">
        <w:rPr>
          <w:rFonts w:ascii="Arial" w:hAnsi="Arial" w:cs="Arial"/>
          <w:sz w:val="24"/>
          <w:szCs w:val="24"/>
        </w:rPr>
        <w:t>Roca Sastre</w:t>
      </w:r>
      <w:r>
        <w:rPr>
          <w:rStyle w:val="Refdenotaalpie"/>
          <w:rFonts w:ascii="Arial" w:hAnsi="Arial" w:cs="Arial"/>
          <w:sz w:val="24"/>
          <w:szCs w:val="24"/>
        </w:rPr>
        <w:footnoteReference w:id="1"/>
      </w:r>
      <w:r w:rsidRPr="009856DF">
        <w:rPr>
          <w:rFonts w:ascii="Arial" w:hAnsi="Arial" w:cs="Arial"/>
          <w:sz w:val="24"/>
          <w:szCs w:val="24"/>
        </w:rPr>
        <w:t xml:space="preserve"> contiene los verdaderos alcances del catastro, quien lo define:</w:t>
      </w:r>
    </w:p>
    <w:p w14:paraId="565D472A" w14:textId="77777777" w:rsidR="003C6CE0" w:rsidRDefault="003C6CE0" w:rsidP="003C6CE0">
      <w:pPr>
        <w:spacing w:line="360" w:lineRule="auto"/>
        <w:ind w:right="-567" w:firstLine="708"/>
        <w:jc w:val="both"/>
        <w:rPr>
          <w:rFonts w:ascii="Arial" w:hAnsi="Arial" w:cs="Arial"/>
          <w:sz w:val="24"/>
          <w:szCs w:val="24"/>
        </w:rPr>
      </w:pPr>
    </w:p>
    <w:p w14:paraId="53800D3E" w14:textId="77777777" w:rsidR="003C6CE0" w:rsidRDefault="003C6CE0" w:rsidP="003C6CE0">
      <w:pPr>
        <w:ind w:left="709" w:right="-567"/>
        <w:jc w:val="both"/>
        <w:rPr>
          <w:rFonts w:ascii="Arial" w:hAnsi="Arial" w:cs="Arial"/>
          <w:i/>
          <w:sz w:val="24"/>
          <w:szCs w:val="24"/>
        </w:rPr>
      </w:pPr>
      <w:r w:rsidRPr="00CD3D44">
        <w:rPr>
          <w:rFonts w:ascii="Arial" w:hAnsi="Arial" w:cs="Arial"/>
          <w:i/>
          <w:sz w:val="24"/>
          <w:szCs w:val="24"/>
        </w:rPr>
        <w:t xml:space="preserve"> “…como </w:t>
      </w:r>
      <w:r>
        <w:rPr>
          <w:rFonts w:ascii="Arial" w:hAnsi="Arial" w:cs="Arial"/>
          <w:i/>
          <w:sz w:val="24"/>
          <w:szCs w:val="24"/>
        </w:rPr>
        <w:t>un Registro, Censo, Padrón, Catá</w:t>
      </w:r>
      <w:r w:rsidRPr="00CD3D44">
        <w:rPr>
          <w:rFonts w:ascii="Arial" w:hAnsi="Arial" w:cs="Arial"/>
          <w:i/>
          <w:sz w:val="24"/>
          <w:szCs w:val="24"/>
        </w:rPr>
        <w:t>logo o Inventario de la riqueza territorial de un país en el que se determinan las fincas, rústicas o urbanas del mismo, mediante su descripción o expresión gráfica, así como su</w:t>
      </w:r>
      <w:r>
        <w:rPr>
          <w:rFonts w:ascii="Arial" w:hAnsi="Arial" w:cs="Arial"/>
          <w:i/>
          <w:sz w:val="24"/>
          <w:szCs w:val="24"/>
        </w:rPr>
        <w:t xml:space="preserve"> </w:t>
      </w:r>
      <w:r w:rsidRPr="00CD3D44">
        <w:rPr>
          <w:rFonts w:ascii="Arial" w:hAnsi="Arial" w:cs="Arial"/>
          <w:i/>
          <w:sz w:val="24"/>
          <w:szCs w:val="24"/>
        </w:rPr>
        <w:t xml:space="preserve">evaluación o estimación económica, al fin primordial del tipo fiscal o tributario y a los fines auxiliares de orden económico, administrativo, social o civil”. </w:t>
      </w:r>
    </w:p>
    <w:p w14:paraId="7288EE71" w14:textId="77777777" w:rsidR="003C6CE0" w:rsidRPr="00CD3D44" w:rsidRDefault="003C6CE0" w:rsidP="003C6CE0">
      <w:pPr>
        <w:ind w:left="709" w:right="-567"/>
        <w:jc w:val="both"/>
        <w:rPr>
          <w:rFonts w:ascii="Arial" w:hAnsi="Arial" w:cs="Arial"/>
          <w:i/>
          <w:sz w:val="24"/>
          <w:szCs w:val="24"/>
        </w:rPr>
      </w:pPr>
      <w:r w:rsidRPr="00CD3D44">
        <w:rPr>
          <w:rFonts w:ascii="Arial" w:hAnsi="Arial" w:cs="Arial"/>
          <w:i/>
          <w:sz w:val="24"/>
          <w:szCs w:val="24"/>
        </w:rPr>
        <w:t xml:space="preserve">1. Elaborar y administrar el inventario nacional de bienes inmuebles mediante los procesos de Formación, Actualización de la Formación y Conservación Catastral. * 2. Producir, analizar y divulgar información catastral mediante el establecimiento de un Sistema de Información del Territorio, que apoye la </w:t>
      </w:r>
      <w:r w:rsidRPr="00CD3D44">
        <w:rPr>
          <w:rFonts w:ascii="Arial" w:hAnsi="Arial" w:cs="Arial"/>
          <w:i/>
          <w:sz w:val="24"/>
          <w:szCs w:val="24"/>
        </w:rPr>
        <w:lastRenderedPageBreak/>
        <w:t xml:space="preserve">administración y el </w:t>
      </w:r>
      <w:r w:rsidRPr="00CD3D44">
        <w:rPr>
          <w:rFonts w:ascii="Arial" w:hAnsi="Arial" w:cs="Arial"/>
          <w:b/>
          <w:i/>
          <w:sz w:val="24"/>
          <w:szCs w:val="24"/>
        </w:rPr>
        <w:t>mercado eficiente de la tierra</w:t>
      </w:r>
      <w:r w:rsidRPr="00CD3D44">
        <w:rPr>
          <w:rFonts w:ascii="Arial" w:hAnsi="Arial" w:cs="Arial"/>
          <w:i/>
          <w:sz w:val="24"/>
          <w:szCs w:val="24"/>
        </w:rPr>
        <w:t xml:space="preserve">, </w:t>
      </w:r>
      <w:r w:rsidRPr="00CD3D44">
        <w:rPr>
          <w:rFonts w:ascii="Arial" w:hAnsi="Arial" w:cs="Arial"/>
          <w:b/>
          <w:i/>
          <w:sz w:val="24"/>
          <w:szCs w:val="24"/>
        </w:rPr>
        <w:t>coadyuve a la protección jurídica de la propiedad</w:t>
      </w:r>
      <w:r w:rsidRPr="00CD3D44">
        <w:rPr>
          <w:rFonts w:ascii="Arial" w:hAnsi="Arial" w:cs="Arial"/>
          <w:i/>
          <w:sz w:val="24"/>
          <w:szCs w:val="24"/>
        </w:rPr>
        <w:t xml:space="preserve">, facilite la planificación territorial de las entidades territoriales y contribuya al desarrollo sostenible del país. * 3. Conformar y mantener actualizado un sistema único nacional de información que integre las bases de datos de las diferentes autoridades catastrales. * 4. Facilitar la interrelación de las bases de datos de Catastro y de Registro con el fin de </w:t>
      </w:r>
      <w:r w:rsidRPr="00CD3D44">
        <w:rPr>
          <w:rFonts w:ascii="Arial" w:hAnsi="Arial" w:cs="Arial"/>
          <w:b/>
          <w:i/>
          <w:sz w:val="24"/>
          <w:szCs w:val="24"/>
        </w:rPr>
        <w:t>lograr la correcta identificación física, jurídica y económica de los predios</w:t>
      </w:r>
      <w:r w:rsidRPr="00CD3D44">
        <w:rPr>
          <w:rFonts w:ascii="Arial" w:hAnsi="Arial" w:cs="Arial"/>
          <w:i/>
          <w:sz w:val="24"/>
          <w:szCs w:val="24"/>
        </w:rPr>
        <w:t xml:space="preserve">. * 5. Entregar a las entidades competentes la información básica para la liquidación y </w:t>
      </w:r>
      <w:r w:rsidRPr="00CD3D44">
        <w:rPr>
          <w:rFonts w:ascii="Arial" w:hAnsi="Arial" w:cs="Arial"/>
          <w:b/>
          <w:i/>
          <w:sz w:val="24"/>
          <w:szCs w:val="24"/>
        </w:rPr>
        <w:t>recaudo del impuesto predial unificado y demás gravámenes que tengan como base el avalúo catastral</w:t>
      </w:r>
      <w:r w:rsidRPr="00CD3D44">
        <w:rPr>
          <w:rFonts w:ascii="Arial" w:hAnsi="Arial" w:cs="Arial"/>
          <w:i/>
          <w:sz w:val="24"/>
          <w:szCs w:val="24"/>
        </w:rPr>
        <w:t xml:space="preserve">, de conformidad con las disposiciones legales vigentes. * 6. Elaborar y mantener debidamente actualizado el Sistema de Información Catastral.” </w:t>
      </w:r>
    </w:p>
    <w:p w14:paraId="0A306CF9" w14:textId="77777777" w:rsidR="003C6CE0" w:rsidRDefault="003C6CE0" w:rsidP="003C6CE0">
      <w:pPr>
        <w:spacing w:line="360" w:lineRule="auto"/>
        <w:ind w:firstLine="708"/>
        <w:jc w:val="both"/>
        <w:rPr>
          <w:rFonts w:ascii="Arial" w:hAnsi="Arial" w:cs="Arial"/>
          <w:sz w:val="24"/>
          <w:szCs w:val="24"/>
        </w:rPr>
      </w:pPr>
    </w:p>
    <w:p w14:paraId="7ED1531C" w14:textId="77777777" w:rsidR="003C6CE0" w:rsidRDefault="003C6CE0" w:rsidP="003C6CE0">
      <w:pPr>
        <w:spacing w:line="360" w:lineRule="auto"/>
        <w:ind w:right="-567" w:firstLine="708"/>
        <w:jc w:val="both"/>
        <w:rPr>
          <w:rFonts w:ascii="Arial" w:hAnsi="Arial" w:cs="Arial"/>
          <w:sz w:val="24"/>
          <w:szCs w:val="24"/>
        </w:rPr>
      </w:pPr>
      <w:r>
        <w:rPr>
          <w:rFonts w:ascii="Arial" w:hAnsi="Arial" w:cs="Arial"/>
          <w:sz w:val="24"/>
          <w:szCs w:val="24"/>
        </w:rPr>
        <w:t xml:space="preserve">Como puede advertirse, el catastro tiene un objetivo primordial y otros auxiliares, siendo el primero, un inventario de la riqueza territorial, su valuación o estimación económica para fines tributarios y la segunda que es auxiliar de orden económico, administrativo, social o civil, esto es que no solamente se dedica a fijar los valores para el impuesto predial, sino que se constituye dentro de un sistema de información del territorio con alcance nacional, dado que la planeación urbanística y de servicios, debe soportarse en información precisa, caso concreto es el hecho de que la Comisión Nacional de Fomento a la Vivienda (CONAVI), está realizando un programa de modernización de los Registros Públicos de las Entidades Federativas, para homologarlos con los Institutos catastrales del país, ya que, el mercado inmobiliario y su protección jurídica, va en función de la solidez de los datos que registra dicho catastro y la </w:t>
      </w:r>
      <w:r w:rsidRPr="00AA6E9F">
        <w:rPr>
          <w:rFonts w:ascii="Arial" w:hAnsi="Arial" w:cs="Arial"/>
          <w:sz w:val="24"/>
          <w:szCs w:val="24"/>
        </w:rPr>
        <w:t xml:space="preserve">seguridad jurídica, </w:t>
      </w:r>
      <w:r>
        <w:rPr>
          <w:rFonts w:ascii="Arial" w:hAnsi="Arial" w:cs="Arial"/>
          <w:sz w:val="24"/>
          <w:szCs w:val="24"/>
        </w:rPr>
        <w:t xml:space="preserve">así como la </w:t>
      </w:r>
      <w:r w:rsidRPr="00AA6E9F">
        <w:rPr>
          <w:rFonts w:ascii="Arial" w:hAnsi="Arial" w:cs="Arial"/>
          <w:sz w:val="24"/>
          <w:szCs w:val="24"/>
        </w:rPr>
        <w:t>ag</w:t>
      </w:r>
      <w:r>
        <w:rPr>
          <w:rFonts w:ascii="Arial" w:hAnsi="Arial" w:cs="Arial"/>
          <w:sz w:val="24"/>
          <w:szCs w:val="24"/>
        </w:rPr>
        <w:t>ilidad al mercado inmobiliario busca</w:t>
      </w:r>
      <w:r w:rsidRPr="00AA6E9F">
        <w:rPr>
          <w:rFonts w:ascii="Arial" w:hAnsi="Arial" w:cs="Arial"/>
          <w:sz w:val="24"/>
          <w:szCs w:val="24"/>
        </w:rPr>
        <w:t xml:space="preserve"> crear un mercado secundario de créditos hipotecarios que dé mayor recuperación a los recursos invertidos en el sector, lográndolo a través de la bursatilización de hipotecas</w:t>
      </w:r>
      <w:r>
        <w:rPr>
          <w:rFonts w:ascii="Arial" w:hAnsi="Arial" w:cs="Arial"/>
          <w:sz w:val="24"/>
          <w:szCs w:val="24"/>
        </w:rPr>
        <w:t>.</w:t>
      </w:r>
    </w:p>
    <w:p w14:paraId="3F6E6464" w14:textId="77777777" w:rsidR="003C6CE0" w:rsidRPr="00CD3D44" w:rsidRDefault="003C6CE0" w:rsidP="003C6CE0">
      <w:pPr>
        <w:spacing w:line="360" w:lineRule="auto"/>
        <w:ind w:right="-567" w:firstLine="708"/>
        <w:jc w:val="both"/>
        <w:rPr>
          <w:rFonts w:ascii="Arial" w:hAnsi="Arial" w:cs="Arial"/>
          <w:sz w:val="24"/>
          <w:szCs w:val="24"/>
        </w:rPr>
      </w:pPr>
    </w:p>
    <w:p w14:paraId="090E16B1" w14:textId="77777777" w:rsidR="003C6CE0" w:rsidRDefault="003C6CE0" w:rsidP="003C6CE0">
      <w:pPr>
        <w:spacing w:line="360" w:lineRule="auto"/>
        <w:ind w:right="-567" w:firstLine="708"/>
        <w:jc w:val="both"/>
        <w:rPr>
          <w:rFonts w:ascii="Arial" w:hAnsi="Arial" w:cs="Arial"/>
          <w:sz w:val="24"/>
          <w:szCs w:val="24"/>
        </w:rPr>
      </w:pPr>
      <w:r w:rsidRPr="00CD3D44">
        <w:rPr>
          <w:rFonts w:ascii="Arial" w:hAnsi="Arial" w:cs="Arial"/>
          <w:sz w:val="24"/>
          <w:szCs w:val="24"/>
        </w:rPr>
        <w:t xml:space="preserve">De ahí, la importancia económica del Catastro reside en la información total que se obtiene para los bienes inmobiliarios, sobre </w:t>
      </w:r>
      <w:r w:rsidRPr="00CD3D44">
        <w:rPr>
          <w:rFonts w:ascii="Arial" w:hAnsi="Arial" w:cs="Arial"/>
          <w:i/>
          <w:sz w:val="24"/>
          <w:szCs w:val="24"/>
        </w:rPr>
        <w:t>propietarios y poseedores reales</w:t>
      </w:r>
      <w:r w:rsidRPr="00CD3D44">
        <w:rPr>
          <w:rFonts w:ascii="Arial" w:hAnsi="Arial" w:cs="Arial"/>
          <w:sz w:val="24"/>
          <w:szCs w:val="24"/>
        </w:rPr>
        <w:t xml:space="preserve">, dimensiones y correcta identificación de los predios, de las construcciones y del uso de la tierra. Además de que la valoración cubre un </w:t>
      </w:r>
      <w:hyperlink r:id="rId14" w:history="1">
        <w:r w:rsidRPr="00CD3D44">
          <w:rPr>
            <w:rStyle w:val="Hipervnculo"/>
            <w:rFonts w:ascii="Arial" w:hAnsi="Arial" w:cs="Arial"/>
            <w:sz w:val="24"/>
            <w:szCs w:val="24"/>
          </w:rPr>
          <w:t>universo</w:t>
        </w:r>
      </w:hyperlink>
      <w:r w:rsidRPr="00CD3D44">
        <w:rPr>
          <w:rFonts w:ascii="Arial" w:hAnsi="Arial" w:cs="Arial"/>
          <w:sz w:val="24"/>
          <w:szCs w:val="24"/>
        </w:rPr>
        <w:t xml:space="preserve"> de propiedades, sobre parámetros justos y reales, sin interrupciones subjetivas y con la posibilidad de mantener este aspecto económico del Catastro actualizado, de acuerdo con los índices de inflación o con las variaciones del </w:t>
      </w:r>
      <w:hyperlink r:id="rId15" w:history="1">
        <w:r w:rsidRPr="00CD3D44">
          <w:rPr>
            <w:rStyle w:val="Hipervnculo"/>
            <w:rFonts w:ascii="Arial" w:hAnsi="Arial" w:cs="Arial"/>
            <w:sz w:val="24"/>
            <w:szCs w:val="24"/>
          </w:rPr>
          <w:t>mercado</w:t>
        </w:r>
      </w:hyperlink>
      <w:r w:rsidRPr="00CD3D44">
        <w:rPr>
          <w:rFonts w:ascii="Arial" w:hAnsi="Arial" w:cs="Arial"/>
          <w:sz w:val="24"/>
          <w:szCs w:val="24"/>
        </w:rPr>
        <w:t xml:space="preserve"> inmobiliario. Estos avalúos tienen gran importancia cuando se necesitan préstamos bancarios o de cajas de </w:t>
      </w:r>
      <w:hyperlink r:id="rId16" w:history="1">
        <w:r w:rsidRPr="00CD3D44">
          <w:rPr>
            <w:rStyle w:val="Hipervnculo"/>
            <w:rFonts w:ascii="Arial" w:hAnsi="Arial" w:cs="Arial"/>
            <w:sz w:val="24"/>
            <w:szCs w:val="24"/>
          </w:rPr>
          <w:t>crédito</w:t>
        </w:r>
      </w:hyperlink>
      <w:r w:rsidRPr="00CD3D44">
        <w:rPr>
          <w:rFonts w:ascii="Arial" w:hAnsi="Arial" w:cs="Arial"/>
          <w:sz w:val="24"/>
          <w:szCs w:val="24"/>
        </w:rPr>
        <w:t xml:space="preserve"> o cuando hay hipotecas.</w:t>
      </w:r>
    </w:p>
    <w:p w14:paraId="7C8926EA" w14:textId="77777777" w:rsidR="003C6CE0" w:rsidRDefault="003C6CE0" w:rsidP="003C6CE0">
      <w:pPr>
        <w:spacing w:line="360" w:lineRule="auto"/>
        <w:ind w:right="-567" w:firstLine="708"/>
        <w:jc w:val="both"/>
        <w:rPr>
          <w:rFonts w:ascii="Arial" w:hAnsi="Arial" w:cs="Arial"/>
          <w:sz w:val="24"/>
          <w:szCs w:val="24"/>
        </w:rPr>
      </w:pPr>
    </w:p>
    <w:p w14:paraId="34A6DC10" w14:textId="77777777" w:rsidR="003C6CE0" w:rsidRDefault="003C6CE0" w:rsidP="003C6CE0">
      <w:pPr>
        <w:spacing w:line="360" w:lineRule="auto"/>
        <w:ind w:right="-567" w:firstLine="708"/>
        <w:jc w:val="both"/>
        <w:rPr>
          <w:rFonts w:ascii="Arial" w:hAnsi="Arial" w:cs="Arial"/>
          <w:sz w:val="24"/>
          <w:szCs w:val="24"/>
        </w:rPr>
      </w:pPr>
      <w:r w:rsidRPr="00CD3D44">
        <w:rPr>
          <w:rFonts w:ascii="Arial" w:hAnsi="Arial" w:cs="Arial"/>
          <w:sz w:val="24"/>
          <w:szCs w:val="24"/>
        </w:rPr>
        <w:t xml:space="preserve">El proyecto de un registro nacional inmobiliario, obliga a una automatización de los registros con mapas digitales para eliminar la sobreposición de fincas inscritas, lo que se llama </w:t>
      </w:r>
      <w:r w:rsidRPr="00CD3D44">
        <w:rPr>
          <w:rFonts w:ascii="Arial" w:hAnsi="Arial" w:cs="Arial"/>
          <w:i/>
          <w:sz w:val="24"/>
          <w:szCs w:val="24"/>
        </w:rPr>
        <w:t>doble titulación</w:t>
      </w:r>
      <w:r w:rsidRPr="00CD3D44">
        <w:rPr>
          <w:rFonts w:ascii="Arial" w:hAnsi="Arial" w:cs="Arial"/>
          <w:sz w:val="24"/>
          <w:szCs w:val="24"/>
        </w:rPr>
        <w:t xml:space="preserve">, y su empate con el Registro Público de la Propiedad, Registro Agrario Nacional, y demás que tengan que ver con la tenencia de la tierra, exige una codificación (claves de inmuebles) con los registros en un orden y clasificación, donde no se puede mezclar los datos de los propietarios y poseedores, </w:t>
      </w:r>
      <w:r w:rsidRPr="00CD3D44">
        <w:rPr>
          <w:rFonts w:ascii="Arial" w:hAnsi="Arial" w:cs="Arial"/>
          <w:sz w:val="24"/>
          <w:szCs w:val="24"/>
        </w:rPr>
        <w:lastRenderedPageBreak/>
        <w:t>cada rango tendrá su clasificación correcta que ubique la propiedad privada, la propiedad social, rural y urbana, además de la tenencia de la tierra, ubicación, límites, uso y potencialidad. Para ello, la colaboración del sector público, entre ellos los notaros públicos es indispensable, así como la ciudadanía, presentando sus trámites con los datos reales para que así concuerden con sus antecedentes y sean procedentes. Su objetivo es llevar al Catastro a proporcionar información que permita obtener beneficios fiscales, así como información cartográfica y estadística para todas las dependencias que, de una u otra manera, manejen aspectos relacionados con el desarrollo de las ciudades. Los estudios de desarrollo urbano, el plan regulador de las ciudades y la planificación de las obras públicas, entre otros estudios y proyectos, se basan necesariamente en los datos de Catastro.</w:t>
      </w:r>
    </w:p>
    <w:p w14:paraId="005531CD" w14:textId="77777777" w:rsidR="003C6CE0" w:rsidRPr="00140C3C" w:rsidRDefault="003C6CE0" w:rsidP="00CD0FB5">
      <w:pPr>
        <w:spacing w:line="360" w:lineRule="auto"/>
        <w:ind w:right="-518"/>
        <w:jc w:val="both"/>
        <w:rPr>
          <w:rFonts w:ascii="Arial" w:hAnsi="Arial" w:cs="Arial"/>
          <w:sz w:val="24"/>
          <w:szCs w:val="24"/>
        </w:rPr>
      </w:pPr>
    </w:p>
    <w:p w14:paraId="5F642CBC" w14:textId="77777777" w:rsidR="00E069E6" w:rsidRDefault="00A81EAF" w:rsidP="00CD0FB5">
      <w:pPr>
        <w:spacing w:line="360" w:lineRule="auto"/>
        <w:ind w:right="-518"/>
        <w:jc w:val="both"/>
        <w:rPr>
          <w:rFonts w:ascii="Arial" w:hAnsi="Arial" w:cs="Arial"/>
          <w:sz w:val="24"/>
          <w:szCs w:val="24"/>
        </w:rPr>
      </w:pPr>
      <w:r>
        <w:rPr>
          <w:rFonts w:ascii="Arial" w:hAnsi="Arial" w:cs="Arial"/>
          <w:sz w:val="24"/>
          <w:szCs w:val="24"/>
        </w:rPr>
        <w:tab/>
        <w:t xml:space="preserve">Por tal motivo, está obligado el </w:t>
      </w:r>
      <w:proofErr w:type="gramStart"/>
      <w:r>
        <w:rPr>
          <w:rFonts w:ascii="Arial" w:hAnsi="Arial" w:cs="Arial"/>
          <w:sz w:val="24"/>
          <w:szCs w:val="24"/>
        </w:rPr>
        <w:t>Jefe</w:t>
      </w:r>
      <w:proofErr w:type="gramEnd"/>
      <w:r>
        <w:rPr>
          <w:rFonts w:ascii="Arial" w:hAnsi="Arial" w:cs="Arial"/>
          <w:sz w:val="24"/>
          <w:szCs w:val="24"/>
        </w:rPr>
        <w:t xml:space="preserve"> de la Unidad Jurídica, hoy enjuiciado en la obligación total de denunciar y dar seguimiento hasta su conclusión cada uno de los casos en los que se advierta alguna irregularidad ya sea administrativa o penal. </w:t>
      </w:r>
    </w:p>
    <w:p w14:paraId="21150908" w14:textId="77777777" w:rsidR="00E069E6" w:rsidRDefault="00E069E6" w:rsidP="00CD0FB5">
      <w:pPr>
        <w:spacing w:line="360" w:lineRule="auto"/>
        <w:ind w:right="-518"/>
        <w:jc w:val="both"/>
        <w:rPr>
          <w:rFonts w:ascii="Arial" w:hAnsi="Arial" w:cs="Arial"/>
          <w:sz w:val="24"/>
          <w:szCs w:val="24"/>
        </w:rPr>
      </w:pPr>
    </w:p>
    <w:p w14:paraId="3F084CE0" w14:textId="36E97948" w:rsidR="00A81EAF" w:rsidRDefault="00A81EAF" w:rsidP="00E069E6">
      <w:pPr>
        <w:spacing w:line="360" w:lineRule="auto"/>
        <w:ind w:right="-518" w:firstLine="708"/>
        <w:jc w:val="both"/>
        <w:rPr>
          <w:rFonts w:ascii="Arial" w:hAnsi="Arial" w:cs="Arial"/>
          <w:sz w:val="24"/>
          <w:szCs w:val="24"/>
        </w:rPr>
      </w:pPr>
      <w:r>
        <w:rPr>
          <w:rFonts w:ascii="Arial" w:hAnsi="Arial" w:cs="Arial"/>
          <w:sz w:val="24"/>
          <w:szCs w:val="24"/>
        </w:rPr>
        <w:t xml:space="preserve">Por lo anterior y con fundamento en el artículo 14 de la Constitución Federal en relación con el 17 fracción XIV de la Ley de Procedimiento y Justicia Administrativa, se declara la </w:t>
      </w:r>
      <w:r w:rsidRPr="00DB2E35">
        <w:rPr>
          <w:rFonts w:ascii="Arial" w:hAnsi="Arial" w:cs="Arial"/>
          <w:b/>
          <w:sz w:val="24"/>
          <w:szCs w:val="24"/>
        </w:rPr>
        <w:t>NULIDAD PARA EL EFECTO</w:t>
      </w:r>
      <w:r>
        <w:rPr>
          <w:rFonts w:ascii="Arial" w:hAnsi="Arial" w:cs="Arial"/>
          <w:sz w:val="24"/>
          <w:szCs w:val="24"/>
        </w:rPr>
        <w:t xml:space="preserve"> de que dicte otra en la que le explique a la accionante de este juicio, las razones por las que no existen los antecedentes de la inscripción que ostenta en la escritura pública número </w:t>
      </w:r>
      <w:r w:rsidR="006A5CC8">
        <w:rPr>
          <w:rFonts w:ascii="Arial" w:hAnsi="Arial" w:cs="Arial"/>
          <w:sz w:val="24"/>
          <w:szCs w:val="24"/>
        </w:rPr>
        <w:t>*****</w:t>
      </w:r>
      <w:r>
        <w:rPr>
          <w:rFonts w:ascii="Arial" w:hAnsi="Arial" w:cs="Arial"/>
          <w:sz w:val="24"/>
          <w:szCs w:val="24"/>
        </w:rPr>
        <w:t xml:space="preserve"> </w:t>
      </w:r>
      <w:r w:rsidR="006A5CC8">
        <w:rPr>
          <w:rFonts w:ascii="Arial" w:hAnsi="Arial" w:cs="Arial"/>
          <w:sz w:val="24"/>
          <w:szCs w:val="24"/>
        </w:rPr>
        <w:t>***** ***** ****** *******</w:t>
      </w:r>
      <w:r>
        <w:rPr>
          <w:rFonts w:ascii="Arial" w:hAnsi="Arial" w:cs="Arial"/>
          <w:sz w:val="24"/>
          <w:szCs w:val="24"/>
        </w:rPr>
        <w:t xml:space="preserve">, volumen </w:t>
      </w:r>
      <w:r w:rsidR="006A5CC8">
        <w:rPr>
          <w:rFonts w:ascii="Arial" w:hAnsi="Arial" w:cs="Arial"/>
          <w:sz w:val="24"/>
          <w:szCs w:val="24"/>
        </w:rPr>
        <w:t>***** ***** ****** *******</w:t>
      </w:r>
      <w:r>
        <w:rPr>
          <w:rFonts w:ascii="Arial" w:hAnsi="Arial" w:cs="Arial"/>
          <w:sz w:val="24"/>
          <w:szCs w:val="24"/>
        </w:rPr>
        <w:t xml:space="preserve">, otorgada ante la fe de la </w:t>
      </w:r>
      <w:proofErr w:type="spellStart"/>
      <w:r>
        <w:rPr>
          <w:rFonts w:ascii="Arial" w:hAnsi="Arial" w:cs="Arial"/>
          <w:sz w:val="24"/>
          <w:szCs w:val="24"/>
        </w:rPr>
        <w:t>notaria</w:t>
      </w:r>
      <w:proofErr w:type="spellEnd"/>
      <w:r>
        <w:rPr>
          <w:rFonts w:ascii="Arial" w:hAnsi="Arial" w:cs="Arial"/>
          <w:sz w:val="24"/>
          <w:szCs w:val="24"/>
        </w:rPr>
        <w:t xml:space="preserve"> pública, número </w:t>
      </w:r>
      <w:r w:rsidR="00E069E6">
        <w:rPr>
          <w:rFonts w:ascii="Arial" w:hAnsi="Arial" w:cs="Arial"/>
          <w:sz w:val="24"/>
          <w:szCs w:val="24"/>
        </w:rPr>
        <w:t>ciento ocho en el Estado,</w:t>
      </w:r>
      <w:r>
        <w:rPr>
          <w:rFonts w:ascii="Arial" w:hAnsi="Arial" w:cs="Arial"/>
          <w:sz w:val="24"/>
          <w:szCs w:val="24"/>
        </w:rPr>
        <w:t xml:space="preserve"> licenciada Clara Tomasa López Marcial, </w:t>
      </w:r>
    </w:p>
    <w:p w14:paraId="3C7A0677" w14:textId="77777777" w:rsidR="00A81EAF" w:rsidRDefault="00A81EAF" w:rsidP="00A81EAF">
      <w:pPr>
        <w:spacing w:line="360" w:lineRule="auto"/>
        <w:jc w:val="both"/>
        <w:rPr>
          <w:rFonts w:ascii="Arial" w:hAnsi="Arial" w:cs="Arial"/>
          <w:sz w:val="24"/>
          <w:szCs w:val="24"/>
        </w:rPr>
      </w:pPr>
    </w:p>
    <w:p w14:paraId="3056DBF2" w14:textId="77777777" w:rsidR="003D1583" w:rsidRDefault="00A81EAF" w:rsidP="00E069E6">
      <w:pPr>
        <w:spacing w:line="360" w:lineRule="auto"/>
        <w:ind w:right="-660"/>
        <w:jc w:val="both"/>
        <w:rPr>
          <w:rFonts w:ascii="Arial" w:hAnsi="Arial" w:cs="Arial"/>
          <w:sz w:val="24"/>
          <w:szCs w:val="24"/>
        </w:rPr>
      </w:pPr>
      <w:r>
        <w:rPr>
          <w:rFonts w:ascii="Arial" w:hAnsi="Arial" w:cs="Arial"/>
          <w:sz w:val="24"/>
          <w:szCs w:val="24"/>
        </w:rPr>
        <w:tab/>
        <w:t>Por otra parte, esta Sala a mi cargo le conmina a la autoridad enjuiciada a que en caso de existir alguna irregularidad en este registro y en cualquier otro que surja se hagan las denunc</w:t>
      </w:r>
      <w:r w:rsidR="00E069E6">
        <w:rPr>
          <w:rFonts w:ascii="Arial" w:hAnsi="Arial" w:cs="Arial"/>
          <w:sz w:val="24"/>
          <w:szCs w:val="24"/>
        </w:rPr>
        <w:t>ias correspondientes y se les dé</w:t>
      </w:r>
      <w:r>
        <w:rPr>
          <w:rFonts w:ascii="Arial" w:hAnsi="Arial" w:cs="Arial"/>
          <w:sz w:val="24"/>
          <w:szCs w:val="24"/>
        </w:rPr>
        <w:t xml:space="preserve"> seguimiento para alcanzar un estado de derecho y no se desvíe la función ni los fines de esa institución, dando en todo momento certeza jurídica a sus actos.   </w:t>
      </w:r>
    </w:p>
    <w:p w14:paraId="0F40AF27" w14:textId="77777777" w:rsidR="003D1583" w:rsidRPr="00596E75" w:rsidRDefault="003D1583" w:rsidP="003D1583">
      <w:pPr>
        <w:spacing w:line="360" w:lineRule="auto"/>
        <w:ind w:right="-567"/>
        <w:jc w:val="both"/>
        <w:rPr>
          <w:rFonts w:ascii="Arial" w:hAnsi="Arial" w:cs="Arial"/>
          <w:sz w:val="24"/>
          <w:szCs w:val="24"/>
        </w:rPr>
      </w:pPr>
    </w:p>
    <w:p w14:paraId="3F8C35A6" w14:textId="77777777" w:rsidR="003D1583" w:rsidRPr="00596E75" w:rsidRDefault="003D1583" w:rsidP="003D1583">
      <w:pPr>
        <w:spacing w:line="360" w:lineRule="auto"/>
        <w:ind w:right="-567"/>
        <w:jc w:val="both"/>
        <w:rPr>
          <w:rFonts w:ascii="Arial" w:hAnsi="Arial" w:cs="Arial"/>
          <w:sz w:val="24"/>
          <w:szCs w:val="24"/>
        </w:rPr>
      </w:pPr>
      <w:r w:rsidRPr="00596E75">
        <w:rPr>
          <w:rFonts w:ascii="Arial" w:hAnsi="Arial" w:cs="Arial"/>
          <w:sz w:val="24"/>
          <w:szCs w:val="24"/>
        </w:rPr>
        <w:tab/>
        <w:t>Por lo anteriormente expuesto y con fundamento en los artículos 207 y 209 de la Ley de Procedimiento y Justicia Administrativa para el Estado, se:</w:t>
      </w:r>
    </w:p>
    <w:p w14:paraId="00F2E9EA" w14:textId="77777777" w:rsidR="003D1583" w:rsidRDefault="003D1583" w:rsidP="003D1583">
      <w:pPr>
        <w:pStyle w:val="Default"/>
        <w:spacing w:line="360" w:lineRule="auto"/>
        <w:ind w:right="-567" w:firstLine="567"/>
        <w:jc w:val="center"/>
        <w:rPr>
          <w:b/>
        </w:rPr>
      </w:pPr>
    </w:p>
    <w:p w14:paraId="020469DD" w14:textId="77777777" w:rsidR="003D1583" w:rsidRPr="00B01BB4" w:rsidRDefault="003D1583" w:rsidP="003D1583">
      <w:pPr>
        <w:pStyle w:val="Default"/>
        <w:spacing w:line="360" w:lineRule="auto"/>
        <w:ind w:right="-567" w:firstLine="567"/>
        <w:jc w:val="center"/>
        <w:rPr>
          <w:b/>
        </w:rPr>
      </w:pPr>
      <w:proofErr w:type="gramStart"/>
      <w:r w:rsidRPr="00B01BB4">
        <w:rPr>
          <w:b/>
        </w:rPr>
        <w:t>R  E</w:t>
      </w:r>
      <w:proofErr w:type="gramEnd"/>
      <w:r w:rsidRPr="00B01BB4">
        <w:rPr>
          <w:b/>
        </w:rPr>
        <w:t xml:space="preserve">  S  U  E  L  V  E  :</w:t>
      </w:r>
    </w:p>
    <w:p w14:paraId="7E5DEB12" w14:textId="77777777" w:rsidR="003D1583" w:rsidRPr="00B01BB4" w:rsidRDefault="003D1583" w:rsidP="003D1583">
      <w:pPr>
        <w:spacing w:line="360" w:lineRule="auto"/>
        <w:ind w:right="-539" w:firstLine="708"/>
        <w:jc w:val="both"/>
        <w:rPr>
          <w:rFonts w:ascii="Arial" w:hAnsi="Arial" w:cs="Arial"/>
          <w:b/>
          <w:bCs/>
          <w:color w:val="000000"/>
          <w:sz w:val="24"/>
          <w:szCs w:val="24"/>
        </w:rPr>
      </w:pPr>
    </w:p>
    <w:p w14:paraId="7410082F" w14:textId="77777777" w:rsidR="003D1583" w:rsidRPr="00D72714" w:rsidRDefault="003D1583" w:rsidP="003D1583">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sidRPr="00B01BB4">
        <w:rPr>
          <w:rFonts w:ascii="Arial" w:hAnsi="Arial" w:cs="Arial"/>
          <w:bCs/>
          <w:color w:val="000000"/>
          <w:sz w:val="24"/>
          <w:szCs w:val="24"/>
        </w:rPr>
        <w:t>asunto.-</w:t>
      </w:r>
      <w:proofErr w:type="gramEnd"/>
      <w:r w:rsidRPr="00B01BB4">
        <w:rPr>
          <w:rFonts w:ascii="Arial" w:hAnsi="Arial" w:cs="Arial"/>
          <w:bCs/>
          <w:color w:val="000000"/>
          <w:sz w:val="24"/>
          <w:szCs w:val="24"/>
        </w:rPr>
        <w:t xml:space="preserve">  - - - - - - - - - - - - - - - - - - - - - - - - - - - - - - - - - - - - - - - - - - - - - - - </w:t>
      </w:r>
    </w:p>
    <w:p w14:paraId="2616E14C" w14:textId="77777777" w:rsidR="00E81C1F" w:rsidRDefault="00E81C1F" w:rsidP="003D1583">
      <w:pPr>
        <w:spacing w:line="360" w:lineRule="auto"/>
        <w:ind w:right="-518" w:firstLine="567"/>
        <w:jc w:val="both"/>
        <w:rPr>
          <w:rFonts w:ascii="Arial" w:hAnsi="Arial" w:cs="Arial"/>
          <w:b/>
          <w:bCs/>
          <w:color w:val="000000"/>
          <w:sz w:val="24"/>
          <w:szCs w:val="24"/>
        </w:rPr>
      </w:pPr>
    </w:p>
    <w:p w14:paraId="56CDDB94" w14:textId="77777777" w:rsidR="003D1583" w:rsidRDefault="003D1583" w:rsidP="003D1583">
      <w:pPr>
        <w:spacing w:line="360" w:lineRule="auto"/>
        <w:ind w:right="-518" w:firstLine="567"/>
        <w:jc w:val="both"/>
        <w:rPr>
          <w:rFonts w:ascii="Arial" w:hAnsi="Arial" w:cs="Arial"/>
          <w:bCs/>
          <w:color w:val="000000"/>
          <w:sz w:val="24"/>
          <w:szCs w:val="24"/>
        </w:rPr>
      </w:pP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w:t>
      </w:r>
      <w:r>
        <w:rPr>
          <w:rFonts w:ascii="Arial" w:hAnsi="Arial" w:cs="Arial"/>
          <w:bCs/>
          <w:color w:val="000000"/>
          <w:sz w:val="24"/>
          <w:szCs w:val="24"/>
        </w:rPr>
        <w:t xml:space="preserve">creditada en </w:t>
      </w:r>
      <w:proofErr w:type="gramStart"/>
      <w:r>
        <w:rPr>
          <w:rFonts w:ascii="Arial" w:hAnsi="Arial" w:cs="Arial"/>
          <w:bCs/>
          <w:color w:val="000000"/>
          <w:sz w:val="24"/>
          <w:szCs w:val="24"/>
        </w:rPr>
        <w:t>autos.-</w:t>
      </w:r>
      <w:proofErr w:type="gramEnd"/>
      <w:r>
        <w:rPr>
          <w:rFonts w:ascii="Arial" w:hAnsi="Arial" w:cs="Arial"/>
          <w:bCs/>
          <w:color w:val="000000"/>
          <w:sz w:val="24"/>
          <w:szCs w:val="24"/>
        </w:rPr>
        <w:t xml:space="preserve"> - - -</w:t>
      </w:r>
      <w:r w:rsidR="00E81C1F">
        <w:rPr>
          <w:rFonts w:ascii="Arial" w:hAnsi="Arial" w:cs="Arial"/>
          <w:bCs/>
          <w:color w:val="000000"/>
          <w:sz w:val="24"/>
          <w:szCs w:val="24"/>
        </w:rPr>
        <w:t xml:space="preserve"> - -</w:t>
      </w:r>
    </w:p>
    <w:p w14:paraId="326D94BC" w14:textId="77777777" w:rsidR="003D1583" w:rsidRPr="00D72714" w:rsidRDefault="003D1583" w:rsidP="003D1583">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 </w:t>
      </w:r>
    </w:p>
    <w:p w14:paraId="30EFAD37" w14:textId="77777777" w:rsidR="00E81C1F" w:rsidRDefault="003D1583" w:rsidP="00E81C1F">
      <w:pPr>
        <w:pStyle w:val="NormalWeb"/>
        <w:shd w:val="clear" w:color="auto" w:fill="FFFFFF"/>
        <w:spacing w:before="135" w:beforeAutospacing="0" w:after="135" w:afterAutospacing="0" w:line="360" w:lineRule="auto"/>
        <w:ind w:right="-425"/>
        <w:jc w:val="both"/>
        <w:rPr>
          <w:rFonts w:ascii="Arial" w:hAnsi="Arial" w:cs="Arial"/>
        </w:rPr>
      </w:pPr>
      <w:r w:rsidRPr="007B4B4C">
        <w:rPr>
          <w:rFonts w:ascii="Arial" w:hAnsi="Arial" w:cs="Arial"/>
          <w:b/>
        </w:rPr>
        <w:lastRenderedPageBreak/>
        <w:t xml:space="preserve">          TERCERO</w:t>
      </w:r>
      <w:r w:rsidRPr="007B4B4C">
        <w:rPr>
          <w:rFonts w:ascii="Arial" w:hAnsi="Arial" w:cs="Arial"/>
        </w:rPr>
        <w:t>.</w:t>
      </w:r>
      <w:r>
        <w:rPr>
          <w:rFonts w:ascii="Arial" w:hAnsi="Arial" w:cs="Arial"/>
        </w:rPr>
        <w:t xml:space="preserve"> </w:t>
      </w:r>
      <w:r w:rsidR="0079467F">
        <w:rPr>
          <w:rFonts w:ascii="Arial" w:hAnsi="Arial" w:cs="Arial"/>
        </w:rPr>
        <w:t xml:space="preserve">No se actualizó alguna causal de improcedencia, por lo que </w:t>
      </w:r>
      <w:r w:rsidRPr="007E2E3E">
        <w:rPr>
          <w:rFonts w:ascii="Arial" w:hAnsi="Arial" w:cs="Arial"/>
          <w:b/>
        </w:rPr>
        <w:t>NO SE SOBRESEE</w:t>
      </w:r>
      <w:r>
        <w:rPr>
          <w:rFonts w:ascii="Arial" w:hAnsi="Arial" w:cs="Arial"/>
        </w:rPr>
        <w:t xml:space="preserve"> en el presente juicio</w:t>
      </w:r>
      <w:r w:rsidR="0079467F">
        <w:rPr>
          <w:rFonts w:ascii="Arial" w:hAnsi="Arial" w:cs="Arial"/>
        </w:rPr>
        <w:t>. - - - - - - - - - - - - -</w:t>
      </w:r>
      <w:r w:rsidR="00E81C1F">
        <w:rPr>
          <w:rFonts w:ascii="Arial" w:hAnsi="Arial" w:cs="Arial"/>
        </w:rPr>
        <w:t xml:space="preserve"> - - - - - - - - - - - - - - - - - - - -</w:t>
      </w:r>
    </w:p>
    <w:p w14:paraId="75D4E44E" w14:textId="77777777" w:rsidR="00E81C1F" w:rsidRDefault="00E81C1F" w:rsidP="00E81C1F">
      <w:pPr>
        <w:pStyle w:val="NormalWeb"/>
        <w:shd w:val="clear" w:color="auto" w:fill="FFFFFF"/>
        <w:spacing w:before="135" w:beforeAutospacing="0" w:after="0" w:afterAutospacing="0" w:line="276" w:lineRule="auto"/>
        <w:ind w:right="-425"/>
        <w:jc w:val="both"/>
        <w:rPr>
          <w:rFonts w:ascii="Arial" w:hAnsi="Arial" w:cs="Arial"/>
        </w:rPr>
      </w:pPr>
      <w:r>
        <w:rPr>
          <w:rFonts w:ascii="Arial" w:hAnsi="Arial" w:cs="Arial"/>
        </w:rPr>
        <w:t xml:space="preserve">  </w:t>
      </w:r>
    </w:p>
    <w:p w14:paraId="03476F90" w14:textId="77777777" w:rsidR="003D1583" w:rsidRPr="00D72714" w:rsidRDefault="00E81C1F" w:rsidP="00E81C1F">
      <w:pPr>
        <w:pStyle w:val="NormalWeb"/>
        <w:shd w:val="clear" w:color="auto" w:fill="FFFFFF"/>
        <w:spacing w:before="135" w:beforeAutospacing="0" w:after="135" w:afterAutospacing="0" w:line="360" w:lineRule="auto"/>
        <w:ind w:right="-425"/>
        <w:jc w:val="both"/>
        <w:rPr>
          <w:rFonts w:ascii="Arial" w:hAnsi="Arial" w:cs="Arial"/>
        </w:rPr>
      </w:pPr>
      <w:r>
        <w:rPr>
          <w:rFonts w:ascii="Arial" w:hAnsi="Arial" w:cs="Arial"/>
        </w:rPr>
        <w:t xml:space="preserve">        </w:t>
      </w:r>
      <w:r w:rsidR="003D1583" w:rsidRPr="007E2E3E">
        <w:rPr>
          <w:rFonts w:ascii="Arial" w:hAnsi="Arial" w:cs="Arial"/>
          <w:b/>
        </w:rPr>
        <w:t>CUARTO</w:t>
      </w:r>
      <w:r w:rsidR="003D1583">
        <w:rPr>
          <w:rFonts w:ascii="Arial" w:hAnsi="Arial" w:cs="Arial"/>
        </w:rPr>
        <w:t xml:space="preserve">. </w:t>
      </w:r>
      <w:r w:rsidR="003D1583" w:rsidRPr="007B4B4C">
        <w:rPr>
          <w:rFonts w:ascii="Arial" w:hAnsi="Arial" w:cs="Arial"/>
        </w:rPr>
        <w:t>Se declara la</w:t>
      </w:r>
      <w:r w:rsidR="00E069E6">
        <w:rPr>
          <w:rFonts w:ascii="Arial" w:hAnsi="Arial" w:cs="Arial"/>
        </w:rPr>
        <w:t xml:space="preserve"> </w:t>
      </w:r>
      <w:r w:rsidR="00E069E6">
        <w:rPr>
          <w:rFonts w:ascii="Arial" w:hAnsi="Arial" w:cs="Arial"/>
          <w:b/>
        </w:rPr>
        <w:t xml:space="preserve">NULIDAD PARA LOS EFECTOS </w:t>
      </w:r>
      <w:r w:rsidR="00E069E6">
        <w:rPr>
          <w:rFonts w:ascii="Arial" w:hAnsi="Arial" w:cs="Arial"/>
        </w:rPr>
        <w:t>en el último considerando de la presente resolución.</w:t>
      </w:r>
      <w:r w:rsidR="003D1583">
        <w:rPr>
          <w:rFonts w:ascii="Arial" w:hAnsi="Arial" w:cs="Arial"/>
        </w:rPr>
        <w:t xml:space="preserve"> - - - - - - - - - - - - - - - - - - - - - - -</w:t>
      </w:r>
      <w:r w:rsidR="0079467F">
        <w:rPr>
          <w:rFonts w:ascii="Arial" w:hAnsi="Arial" w:cs="Arial"/>
        </w:rPr>
        <w:t xml:space="preserve"> - - - - - - - - -</w:t>
      </w:r>
    </w:p>
    <w:p w14:paraId="668F9817" w14:textId="77777777" w:rsidR="0079467F" w:rsidRDefault="0079467F" w:rsidP="003D1583">
      <w:pPr>
        <w:pStyle w:val="Default"/>
        <w:spacing w:line="360" w:lineRule="auto"/>
        <w:ind w:right="-567" w:firstLine="567"/>
        <w:jc w:val="both"/>
        <w:rPr>
          <w:b/>
        </w:rPr>
      </w:pPr>
    </w:p>
    <w:p w14:paraId="2DCA8DB7" w14:textId="77777777" w:rsidR="003D1583" w:rsidRPr="00D72714" w:rsidRDefault="003D1583" w:rsidP="003D1583">
      <w:pPr>
        <w:pStyle w:val="Default"/>
        <w:spacing w:line="360" w:lineRule="auto"/>
        <w:ind w:right="-567" w:firstLine="567"/>
        <w:jc w:val="both"/>
        <w:rPr>
          <w:bCs/>
        </w:rPr>
      </w:pPr>
      <w:r>
        <w:rPr>
          <w:b/>
        </w:rPr>
        <w:t xml:space="preserve">QUINTO. </w:t>
      </w:r>
      <w:r w:rsidRPr="00514151">
        <w:rPr>
          <w:bCs/>
        </w:rPr>
        <w:t xml:space="preserve">Conforme a lo dispuesto en </w:t>
      </w:r>
      <w:r>
        <w:rPr>
          <w:bCs/>
        </w:rPr>
        <w:t>los</w:t>
      </w:r>
      <w:r w:rsidRPr="00514151">
        <w:rPr>
          <w:bCs/>
        </w:rPr>
        <w:t xml:space="preserve"> artículo</w:t>
      </w:r>
      <w:r>
        <w:rPr>
          <w:bCs/>
        </w:rPr>
        <w:t>s 17</w:t>
      </w:r>
      <w:r w:rsidRPr="00514151">
        <w:rPr>
          <w:bCs/>
        </w:rPr>
        <w:t>2</w:t>
      </w:r>
      <w:r>
        <w:rPr>
          <w:bCs/>
        </w:rPr>
        <w:t>,</w:t>
      </w:r>
      <w:r w:rsidRPr="00514151">
        <w:rPr>
          <w:bCs/>
        </w:rPr>
        <w:t xml:space="preserve"> fracción I</w:t>
      </w:r>
      <w:r>
        <w:rPr>
          <w:bCs/>
        </w:rPr>
        <w:t>,</w:t>
      </w:r>
      <w:r w:rsidRPr="00514151">
        <w:rPr>
          <w:bCs/>
        </w:rPr>
        <w:t xml:space="preserve"> y 1</w:t>
      </w:r>
      <w:r>
        <w:rPr>
          <w:bCs/>
        </w:rPr>
        <w:t>7</w:t>
      </w:r>
      <w:r w:rsidRPr="00514151">
        <w:rPr>
          <w:bCs/>
        </w:rPr>
        <w:t>3</w:t>
      </w:r>
      <w:r>
        <w:rPr>
          <w:bCs/>
        </w:rPr>
        <w:t xml:space="preserve">, fracciones I y II, </w:t>
      </w:r>
      <w:r w:rsidRPr="00514151">
        <w:rPr>
          <w:bCs/>
        </w:rPr>
        <w:t xml:space="preserve">de la Ley de </w:t>
      </w:r>
      <w:r>
        <w:rPr>
          <w:bCs/>
        </w:rPr>
        <w:t xml:space="preserve">Procedimiento y </w:t>
      </w:r>
      <w:r w:rsidRPr="00514151">
        <w:rPr>
          <w:bCs/>
        </w:rPr>
        <w:t xml:space="preserve">Justicia Administrativa para el Estado, </w:t>
      </w:r>
      <w:r>
        <w:rPr>
          <w:b/>
          <w:bCs/>
        </w:rPr>
        <w:t>NOTIFÍQUESE PERSONALMENTE A LA PARTE ACTORA</w:t>
      </w:r>
      <w:r w:rsidRPr="001A33B6">
        <w:rPr>
          <w:b/>
          <w:bCs/>
        </w:rPr>
        <w:t xml:space="preserve"> Y POR OFICIO A LA AUTORIDAD</w:t>
      </w:r>
      <w:r w:rsidR="00775568">
        <w:rPr>
          <w:b/>
          <w:bCs/>
        </w:rPr>
        <w:t xml:space="preserve"> DE</w:t>
      </w:r>
      <w:r w:rsidRPr="001A33B6">
        <w:rPr>
          <w:b/>
          <w:bCs/>
        </w:rPr>
        <w:t>MANDADA.</w:t>
      </w:r>
      <w:r>
        <w:rPr>
          <w:bCs/>
        </w:rPr>
        <w:t xml:space="preserve"> </w:t>
      </w:r>
      <w:r>
        <w:rPr>
          <w:b/>
          <w:bCs/>
        </w:rPr>
        <w:t>CÚ</w:t>
      </w:r>
      <w:r w:rsidRPr="003422DF">
        <w:rPr>
          <w:b/>
          <w:bCs/>
        </w:rPr>
        <w:t>MPLASE. - - - - - - - - - - - - - -</w:t>
      </w:r>
      <w:r w:rsidR="0079467F">
        <w:rPr>
          <w:b/>
          <w:bCs/>
        </w:rPr>
        <w:t xml:space="preserve"> - - - - - - - - - - - - -</w:t>
      </w:r>
      <w:r w:rsidRPr="003422DF">
        <w:rPr>
          <w:b/>
          <w:bCs/>
        </w:rPr>
        <w:t xml:space="preserve"> </w:t>
      </w:r>
      <w:r w:rsidR="00775568">
        <w:rPr>
          <w:rFonts w:eastAsia="Batang"/>
        </w:rPr>
        <w:t xml:space="preserve"> - - -</w:t>
      </w:r>
      <w:r>
        <w:rPr>
          <w:rFonts w:eastAsia="Batang"/>
        </w:rPr>
        <w:t xml:space="preserve">  </w:t>
      </w:r>
    </w:p>
    <w:p w14:paraId="4EAB6A6A" w14:textId="77777777" w:rsidR="00E81C1F" w:rsidRDefault="00E81C1F" w:rsidP="003D1583">
      <w:pPr>
        <w:spacing w:line="360" w:lineRule="auto"/>
        <w:ind w:right="-539" w:firstLine="567"/>
        <w:jc w:val="both"/>
        <w:rPr>
          <w:rFonts w:ascii="Arial" w:eastAsia="Batang" w:hAnsi="Arial" w:cs="Arial"/>
          <w:sz w:val="24"/>
          <w:szCs w:val="24"/>
        </w:rPr>
      </w:pPr>
    </w:p>
    <w:p w14:paraId="211E428C" w14:textId="77777777" w:rsidR="003D1583" w:rsidRPr="00B01BB4" w:rsidRDefault="003D1583" w:rsidP="003D1583">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Pr="00B01BB4">
        <w:rPr>
          <w:rFonts w:ascii="Arial" w:eastAsia="Batang" w:hAnsi="Arial" w:cs="Arial"/>
          <w:sz w:val="24"/>
          <w:szCs w:val="24"/>
        </w:rPr>
        <w:t>A</w:t>
      </w:r>
      <w:r w:rsidRPr="00B01BB4">
        <w:rPr>
          <w:rFonts w:ascii="Arial" w:hAnsi="Arial" w:cs="Arial"/>
          <w:sz w:val="24"/>
          <w:szCs w:val="24"/>
        </w:rPr>
        <w:t xml:space="preserve">sí lo resolvió y firma la </w:t>
      </w:r>
      <w:r>
        <w:rPr>
          <w:rFonts w:ascii="Arial" w:hAnsi="Arial" w:cs="Arial"/>
          <w:sz w:val="24"/>
          <w:szCs w:val="24"/>
        </w:rPr>
        <w:t>doctora en derecho</w:t>
      </w:r>
      <w:r w:rsidRPr="00B01BB4">
        <w:rPr>
          <w:rFonts w:ascii="Arial" w:hAnsi="Arial" w:cs="Arial"/>
          <w:sz w:val="24"/>
          <w:szCs w:val="24"/>
        </w:rPr>
        <w:t xml:space="preserve"> </w:t>
      </w:r>
      <w:r w:rsidRPr="00F7728F">
        <w:rPr>
          <w:rFonts w:ascii="Arial" w:hAnsi="Arial" w:cs="Arial"/>
          <w:b/>
          <w:sz w:val="24"/>
          <w:szCs w:val="24"/>
        </w:rPr>
        <w:t>ANA MARÍA SOLEDAD CRUZ VASCONCELOS</w:t>
      </w:r>
      <w:r w:rsidRPr="00F918CC">
        <w:rPr>
          <w:rFonts w:ascii="Arial" w:hAnsi="Arial" w:cs="Arial"/>
          <w:sz w:val="24"/>
          <w:szCs w:val="24"/>
        </w:rPr>
        <w:t>,</w:t>
      </w:r>
      <w:r>
        <w:rPr>
          <w:rFonts w:ascii="Arial" w:hAnsi="Arial" w:cs="Arial"/>
          <w:sz w:val="24"/>
          <w:szCs w:val="24"/>
        </w:rPr>
        <w:t xml:space="preserve"> magistrada</w:t>
      </w:r>
      <w:r w:rsidRPr="00F918CC">
        <w:rPr>
          <w:rFonts w:ascii="Arial" w:hAnsi="Arial" w:cs="Arial"/>
          <w:sz w:val="24"/>
          <w:szCs w:val="24"/>
        </w:rPr>
        <w:t xml:space="preserve"> titular de la </w:t>
      </w:r>
      <w:r w:rsidRPr="00F918CC">
        <w:rPr>
          <w:rFonts w:ascii="Arial" w:hAnsi="Arial" w:cs="Arial"/>
          <w:bCs/>
          <w:color w:val="000000"/>
          <w:sz w:val="24"/>
          <w:szCs w:val="24"/>
        </w:rPr>
        <w:t>Tercera Sala Unitaria de Primera Instancia del Tribunal de Justicia Administrativa del Estado</w:t>
      </w:r>
      <w:r w:rsidRPr="00F918CC">
        <w:rPr>
          <w:rFonts w:ascii="Arial" w:hAnsi="Arial" w:cs="Arial"/>
          <w:sz w:val="24"/>
          <w:szCs w:val="24"/>
        </w:rPr>
        <w:t xml:space="preserve">, quien actúa con el licenciado </w:t>
      </w:r>
      <w:r w:rsidRPr="00F7728F">
        <w:rPr>
          <w:rFonts w:ascii="Arial" w:hAnsi="Arial" w:cs="Arial"/>
          <w:b/>
          <w:sz w:val="24"/>
          <w:szCs w:val="24"/>
        </w:rPr>
        <w:t>JUAN CARLOS RIVERA HUERTA</w:t>
      </w:r>
      <w:r w:rsidRPr="00F918CC">
        <w:rPr>
          <w:rFonts w:ascii="Arial" w:hAnsi="Arial" w:cs="Arial"/>
          <w:sz w:val="24"/>
          <w:szCs w:val="24"/>
        </w:rPr>
        <w:t xml:space="preserve">, secretario de acuerdos, que autoriza y da </w:t>
      </w:r>
      <w:proofErr w:type="gramStart"/>
      <w:r w:rsidRPr="00F918CC">
        <w:rPr>
          <w:rFonts w:ascii="Arial" w:hAnsi="Arial" w:cs="Arial"/>
          <w:sz w:val="24"/>
          <w:szCs w:val="24"/>
        </w:rPr>
        <w:t>fe.--</w:t>
      </w:r>
      <w:proofErr w:type="gramEnd"/>
      <w:r w:rsidRPr="00B01BB4">
        <w:rPr>
          <w:rFonts w:ascii="Arial" w:hAnsi="Arial" w:cs="Arial"/>
          <w:sz w:val="24"/>
          <w:szCs w:val="24"/>
        </w:rPr>
        <w:t xml:space="preserve"> - </w:t>
      </w:r>
    </w:p>
    <w:p w14:paraId="20EBA6C4" w14:textId="77777777" w:rsidR="003D1583" w:rsidRDefault="003D1583" w:rsidP="003D1583">
      <w:pPr>
        <w:spacing w:line="360" w:lineRule="auto"/>
        <w:ind w:right="-567"/>
        <w:jc w:val="both"/>
        <w:rPr>
          <w:rFonts w:ascii="Arial" w:hAnsi="Arial" w:cs="Arial"/>
          <w:sz w:val="24"/>
          <w:szCs w:val="24"/>
        </w:rPr>
      </w:pPr>
    </w:p>
    <w:p w14:paraId="0B695FA2" w14:textId="77777777" w:rsidR="003D1583" w:rsidRDefault="003D1583" w:rsidP="003D1583">
      <w:pPr>
        <w:spacing w:line="360" w:lineRule="auto"/>
        <w:jc w:val="both"/>
        <w:rPr>
          <w:rFonts w:ascii="Arial" w:hAnsi="Arial" w:cs="Arial"/>
          <w:sz w:val="24"/>
          <w:szCs w:val="24"/>
        </w:rPr>
      </w:pPr>
      <w:r>
        <w:rPr>
          <w:rFonts w:ascii="Arial" w:hAnsi="Arial" w:cs="Arial"/>
          <w:sz w:val="24"/>
          <w:szCs w:val="24"/>
        </w:rPr>
        <w:t xml:space="preserve">  </w:t>
      </w:r>
    </w:p>
    <w:p w14:paraId="648686B1" w14:textId="77777777" w:rsidR="007045A1" w:rsidRPr="007B6083" w:rsidRDefault="003D1583" w:rsidP="0079467F">
      <w:pPr>
        <w:spacing w:line="360" w:lineRule="auto"/>
        <w:jc w:val="both"/>
        <w:rPr>
          <w:rFonts w:ascii="Arial" w:hAnsi="Arial" w:cs="Arial"/>
          <w:sz w:val="24"/>
          <w:szCs w:val="24"/>
        </w:rPr>
      </w:pPr>
      <w:r>
        <w:rPr>
          <w:rFonts w:ascii="Arial" w:hAnsi="Arial" w:cs="Arial"/>
          <w:i/>
          <w:sz w:val="24"/>
          <w:szCs w:val="24"/>
        </w:rPr>
        <w:t xml:space="preserve">   </w:t>
      </w:r>
      <w:r>
        <w:rPr>
          <w:rFonts w:ascii="Arial" w:hAnsi="Arial" w:cs="Arial"/>
          <w:sz w:val="24"/>
          <w:szCs w:val="24"/>
        </w:rPr>
        <w:t xml:space="preserve"> </w:t>
      </w:r>
    </w:p>
    <w:sectPr w:rsidR="007045A1" w:rsidRPr="007B6083" w:rsidSect="00C247DA">
      <w:headerReference w:type="default" r:id="rId17"/>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E5714" w14:textId="77777777" w:rsidR="00110E80" w:rsidRDefault="00110E80" w:rsidP="00DD5D31">
      <w:r>
        <w:separator/>
      </w:r>
    </w:p>
  </w:endnote>
  <w:endnote w:type="continuationSeparator" w:id="0">
    <w:p w14:paraId="5E4CD0AF" w14:textId="77777777" w:rsidR="00110E80" w:rsidRDefault="00110E8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A2106" w14:textId="77777777" w:rsidR="00110E80" w:rsidRDefault="00110E80" w:rsidP="00DD5D31">
      <w:r>
        <w:separator/>
      </w:r>
    </w:p>
  </w:footnote>
  <w:footnote w:type="continuationSeparator" w:id="0">
    <w:p w14:paraId="37367796" w14:textId="77777777" w:rsidR="00110E80" w:rsidRDefault="00110E80" w:rsidP="00DD5D31">
      <w:r>
        <w:continuationSeparator/>
      </w:r>
    </w:p>
  </w:footnote>
  <w:footnote w:id="1">
    <w:p w14:paraId="2028ED33" w14:textId="77777777" w:rsidR="003C6CE0" w:rsidRDefault="003C6CE0" w:rsidP="003C6CE0">
      <w:pPr>
        <w:pStyle w:val="Textonotapie"/>
        <w:ind w:right="-567"/>
      </w:pPr>
      <w:r>
        <w:rPr>
          <w:rStyle w:val="Refdenotaalpie"/>
        </w:rPr>
        <w:footnoteRef/>
      </w:r>
      <w:r>
        <w:t xml:space="preserve"> </w:t>
      </w:r>
      <w:r>
        <w:rPr>
          <w:rFonts w:ascii="Arial" w:hAnsi="Arial" w:cs="Arial"/>
          <w:color w:val="222222"/>
          <w:sz w:val="21"/>
          <w:szCs w:val="21"/>
        </w:rPr>
        <w:t xml:space="preserve">Ramón María Roca Sastre y Luis Roca-Sastre </w:t>
      </w:r>
      <w:proofErr w:type="spellStart"/>
      <w:r>
        <w:rPr>
          <w:rFonts w:ascii="Arial" w:hAnsi="Arial" w:cs="Arial"/>
          <w:color w:val="222222"/>
          <w:sz w:val="21"/>
          <w:szCs w:val="21"/>
        </w:rPr>
        <w:t>Muncunill</w:t>
      </w:r>
      <w:proofErr w:type="spellEnd"/>
      <w:r>
        <w:rPr>
          <w:rFonts w:ascii="Arial" w:hAnsi="Arial" w:cs="Arial"/>
          <w:color w:val="222222"/>
          <w:sz w:val="21"/>
          <w:szCs w:val="21"/>
        </w:rPr>
        <w:t xml:space="preserve">: </w:t>
      </w:r>
      <w:r>
        <w:rPr>
          <w:rFonts w:ascii="Arial" w:hAnsi="Arial" w:cs="Arial"/>
          <w:i/>
          <w:iCs/>
          <w:color w:val="222222"/>
          <w:sz w:val="21"/>
          <w:szCs w:val="21"/>
        </w:rPr>
        <w:t>Derecho hipotecario</w:t>
      </w:r>
      <w:r>
        <w:rPr>
          <w:rFonts w:ascii="Arial" w:hAnsi="Arial" w:cs="Arial"/>
          <w:color w:val="222222"/>
          <w:sz w:val="21"/>
          <w:szCs w:val="21"/>
        </w:rPr>
        <w:t xml:space="preserve"> (7ª edición, 1979). Editorial Busch S.A. Madrid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9785" w14:textId="20949E1F" w:rsidR="00C247DA" w:rsidRDefault="00C247DA">
    <w:pPr>
      <w:pStyle w:val="Encabezado"/>
      <w:jc w:val="center"/>
      <w:rPr>
        <w:rFonts w:ascii="Arial" w:hAnsi="Arial" w:cs="Arial"/>
      </w:rPr>
    </w:pPr>
  </w:p>
  <w:sdt>
    <w:sdtPr>
      <w:rPr>
        <w:rFonts w:ascii="Arial" w:hAnsi="Arial" w:cs="Arial"/>
      </w:rPr>
      <w:id w:val="-34660088"/>
      <w:docPartObj>
        <w:docPartGallery w:val="Page Numbers (Top of Page)"/>
        <w:docPartUnique/>
      </w:docPartObj>
    </w:sdtPr>
    <w:sdtEndPr>
      <w:rPr>
        <w:sz w:val="18"/>
        <w:szCs w:val="18"/>
      </w:rPr>
    </w:sdtEndPr>
    <w:sdtContent>
      <w:p w14:paraId="36223E1E" w14:textId="1998945E"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AC00C7" w:rsidRPr="00AC00C7">
          <w:rPr>
            <w:rFonts w:ascii="Arial" w:hAnsi="Arial" w:cs="Arial"/>
            <w:noProof/>
            <w:lang w:val="es-ES"/>
          </w:rPr>
          <w:t>5</w:t>
        </w:r>
        <w:r w:rsidRPr="00DD5D31">
          <w:rPr>
            <w:rFonts w:ascii="Arial" w:hAnsi="Arial" w:cs="Arial"/>
          </w:rPr>
          <w:fldChar w:fldCharType="end"/>
        </w:r>
      </w:p>
      <w:p w14:paraId="5AB5E40E"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2444F6">
          <w:rPr>
            <w:rFonts w:ascii="Arial" w:hAnsi="Arial" w:cs="Arial"/>
            <w:sz w:val="18"/>
            <w:szCs w:val="18"/>
          </w:rPr>
          <w:t>0</w:t>
        </w:r>
        <w:r w:rsidR="00A81EAF">
          <w:rPr>
            <w:rFonts w:ascii="Arial" w:hAnsi="Arial" w:cs="Arial"/>
            <w:sz w:val="18"/>
            <w:szCs w:val="18"/>
          </w:rPr>
          <w:t>56/2019</w:t>
        </w:r>
      </w:p>
    </w:sdtContent>
  </w:sdt>
  <w:p w14:paraId="0EFAE127" w14:textId="0082C051" w:rsidR="00DD5D31" w:rsidRDefault="00C247DA">
    <w:pPr>
      <w:pStyle w:val="Encabezado"/>
    </w:pPr>
    <w:r>
      <w:rPr>
        <w:rFonts w:ascii="Bookman Old Style" w:hAnsi="Bookman Old Style"/>
        <w:noProof/>
        <w:lang w:eastAsia="es-MX"/>
      </w:rPr>
      <mc:AlternateContent>
        <mc:Choice Requires="wps">
          <w:drawing>
            <wp:anchor distT="45720" distB="45720" distL="114300" distR="114300" simplePos="0" relativeHeight="251657728" behindDoc="1" locked="0" layoutInCell="1" allowOverlap="1" wp14:anchorId="30D1D782" wp14:editId="3B4C8858">
              <wp:simplePos x="0" y="0"/>
              <wp:positionH relativeFrom="column">
                <wp:posOffset>-1228725</wp:posOffset>
              </wp:positionH>
              <wp:positionV relativeFrom="paragraph">
                <wp:posOffset>4717415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5D9272A" w14:textId="77777777" w:rsidR="00C247DA" w:rsidRPr="003B6E97" w:rsidRDefault="00C247DA" w:rsidP="00C247D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D1D782" id="_x0000_t202" coordsize="21600,21600" o:spt="202" path="m,l,21600r21600,l21600,xe">
              <v:stroke joinstyle="miter"/>
              <v:path gradientshapeok="t" o:connecttype="rect"/>
            </v:shapetype>
            <v:shape id="Cuadro de texto 3" o:spid="_x0000_s1026" type="#_x0000_t202" style="position:absolute;margin-left:-96.75pt;margin-top:371.45pt;width:93pt;height:125.2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">
              <v:textbox>
                <w:txbxContent>
                  <w:p w14:paraId="45D9272A" w14:textId="77777777" w:rsidR="00C247DA" w:rsidRPr="003B6E97" w:rsidRDefault="00C247DA" w:rsidP="00C247D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1D8E"/>
    <w:multiLevelType w:val="hybridMultilevel"/>
    <w:tmpl w:val="7A9C523C"/>
    <w:lvl w:ilvl="0" w:tplc="7632BA8E">
      <w:start w:val="1"/>
      <w:numFmt w:val="upperRoman"/>
      <w:lvlText w:val="%1."/>
      <w:lvlJc w:val="left"/>
      <w:pPr>
        <w:ind w:left="839" w:hanging="720"/>
      </w:pPr>
      <w:rPr>
        <w:rFonts w:hint="default"/>
      </w:rPr>
    </w:lvl>
    <w:lvl w:ilvl="1" w:tplc="080A0019" w:tentative="1">
      <w:start w:val="1"/>
      <w:numFmt w:val="lowerLetter"/>
      <w:lvlText w:val="%2."/>
      <w:lvlJc w:val="left"/>
      <w:pPr>
        <w:ind w:left="1199" w:hanging="360"/>
      </w:pPr>
    </w:lvl>
    <w:lvl w:ilvl="2" w:tplc="080A001B" w:tentative="1">
      <w:start w:val="1"/>
      <w:numFmt w:val="lowerRoman"/>
      <w:lvlText w:val="%3."/>
      <w:lvlJc w:val="right"/>
      <w:pPr>
        <w:ind w:left="1919" w:hanging="180"/>
      </w:pPr>
    </w:lvl>
    <w:lvl w:ilvl="3" w:tplc="080A000F" w:tentative="1">
      <w:start w:val="1"/>
      <w:numFmt w:val="decimal"/>
      <w:lvlText w:val="%4."/>
      <w:lvlJc w:val="left"/>
      <w:pPr>
        <w:ind w:left="2639" w:hanging="360"/>
      </w:pPr>
    </w:lvl>
    <w:lvl w:ilvl="4" w:tplc="080A0019" w:tentative="1">
      <w:start w:val="1"/>
      <w:numFmt w:val="lowerLetter"/>
      <w:lvlText w:val="%5."/>
      <w:lvlJc w:val="left"/>
      <w:pPr>
        <w:ind w:left="3359" w:hanging="360"/>
      </w:pPr>
    </w:lvl>
    <w:lvl w:ilvl="5" w:tplc="080A001B" w:tentative="1">
      <w:start w:val="1"/>
      <w:numFmt w:val="lowerRoman"/>
      <w:lvlText w:val="%6."/>
      <w:lvlJc w:val="right"/>
      <w:pPr>
        <w:ind w:left="4079" w:hanging="180"/>
      </w:pPr>
    </w:lvl>
    <w:lvl w:ilvl="6" w:tplc="080A000F" w:tentative="1">
      <w:start w:val="1"/>
      <w:numFmt w:val="decimal"/>
      <w:lvlText w:val="%7."/>
      <w:lvlJc w:val="left"/>
      <w:pPr>
        <w:ind w:left="4799" w:hanging="360"/>
      </w:pPr>
    </w:lvl>
    <w:lvl w:ilvl="7" w:tplc="080A0019" w:tentative="1">
      <w:start w:val="1"/>
      <w:numFmt w:val="lowerLetter"/>
      <w:lvlText w:val="%8."/>
      <w:lvlJc w:val="left"/>
      <w:pPr>
        <w:ind w:left="5519" w:hanging="360"/>
      </w:pPr>
    </w:lvl>
    <w:lvl w:ilvl="8" w:tplc="080A001B" w:tentative="1">
      <w:start w:val="1"/>
      <w:numFmt w:val="lowerRoman"/>
      <w:lvlText w:val="%9."/>
      <w:lvlJc w:val="right"/>
      <w:pPr>
        <w:ind w:left="6239" w:hanging="180"/>
      </w:pPr>
    </w:lvl>
  </w:abstractNum>
  <w:abstractNum w:abstractNumId="1" w15:restartNumberingAfterBreak="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2" w15:restartNumberingAfterBreak="0">
    <w:nsid w:val="1C506235"/>
    <w:multiLevelType w:val="multilevel"/>
    <w:tmpl w:val="8934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3E615379"/>
    <w:multiLevelType w:val="multilevel"/>
    <w:tmpl w:val="3922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6C5ABC"/>
    <w:multiLevelType w:val="hybridMultilevel"/>
    <w:tmpl w:val="69C4FE8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4B0519C"/>
    <w:multiLevelType w:val="hybridMultilevel"/>
    <w:tmpl w:val="0CCA09D6"/>
    <w:lvl w:ilvl="0" w:tplc="080A000B">
      <w:start w:val="1"/>
      <w:numFmt w:val="bullet"/>
      <w:lvlText w:val=""/>
      <w:lvlJc w:val="left"/>
      <w:pPr>
        <w:ind w:left="928" w:hanging="360"/>
      </w:pPr>
      <w:rPr>
        <w:rFonts w:ascii="Wingdings" w:hAnsi="Wingdings"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7" w15:restartNumberingAfterBreak="0">
    <w:nsid w:val="4E7D5C7F"/>
    <w:multiLevelType w:val="multilevel"/>
    <w:tmpl w:val="7D0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9" w15:restartNumberingAfterBreak="0">
    <w:nsid w:val="6E0B6AF1"/>
    <w:multiLevelType w:val="multilevel"/>
    <w:tmpl w:val="C08A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0564D1"/>
    <w:multiLevelType w:val="multilevel"/>
    <w:tmpl w:val="C17C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2"/>
  </w:num>
  <w:num w:numId="2">
    <w:abstractNumId w:val="1"/>
  </w:num>
  <w:num w:numId="3">
    <w:abstractNumId w:val="6"/>
  </w:num>
  <w:num w:numId="4">
    <w:abstractNumId w:val="3"/>
  </w:num>
  <w:num w:numId="5">
    <w:abstractNumId w:val="8"/>
  </w:num>
  <w:num w:numId="6">
    <w:abstractNumId w:val="11"/>
  </w:num>
  <w:num w:numId="7">
    <w:abstractNumId w:val="5"/>
  </w:num>
  <w:num w:numId="8">
    <w:abstractNumId w:val="7"/>
  </w:num>
  <w:num w:numId="9">
    <w:abstractNumId w:val="9"/>
  </w:num>
  <w:num w:numId="10">
    <w:abstractNumId w:val="4"/>
  </w:num>
  <w:num w:numId="11">
    <w:abstractNumId w:val="10"/>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0609A"/>
    <w:rsid w:val="00010EF8"/>
    <w:rsid w:val="00026B4C"/>
    <w:rsid w:val="000301CE"/>
    <w:rsid w:val="00030239"/>
    <w:rsid w:val="000356B9"/>
    <w:rsid w:val="00043250"/>
    <w:rsid w:val="000547E8"/>
    <w:rsid w:val="00054A03"/>
    <w:rsid w:val="0007049C"/>
    <w:rsid w:val="00071A19"/>
    <w:rsid w:val="000747A2"/>
    <w:rsid w:val="00082377"/>
    <w:rsid w:val="00082F0F"/>
    <w:rsid w:val="0009424C"/>
    <w:rsid w:val="000A171E"/>
    <w:rsid w:val="000A3760"/>
    <w:rsid w:val="000A78E9"/>
    <w:rsid w:val="000C1378"/>
    <w:rsid w:val="000D5CEE"/>
    <w:rsid w:val="000E334F"/>
    <w:rsid w:val="000E3EE3"/>
    <w:rsid w:val="000F14A5"/>
    <w:rsid w:val="000F2A2C"/>
    <w:rsid w:val="00103661"/>
    <w:rsid w:val="00110E80"/>
    <w:rsid w:val="00116494"/>
    <w:rsid w:val="001253CF"/>
    <w:rsid w:val="00125AB1"/>
    <w:rsid w:val="001332A4"/>
    <w:rsid w:val="00140C3C"/>
    <w:rsid w:val="00150FD2"/>
    <w:rsid w:val="001512FD"/>
    <w:rsid w:val="0016020F"/>
    <w:rsid w:val="00160A7F"/>
    <w:rsid w:val="00162255"/>
    <w:rsid w:val="001649CB"/>
    <w:rsid w:val="001666B7"/>
    <w:rsid w:val="00170147"/>
    <w:rsid w:val="001740CC"/>
    <w:rsid w:val="00175B4F"/>
    <w:rsid w:val="001768EE"/>
    <w:rsid w:val="001802BF"/>
    <w:rsid w:val="00183D73"/>
    <w:rsid w:val="001974F0"/>
    <w:rsid w:val="001A33B6"/>
    <w:rsid w:val="001A486D"/>
    <w:rsid w:val="001A6DAF"/>
    <w:rsid w:val="001A7F96"/>
    <w:rsid w:val="001B2205"/>
    <w:rsid w:val="001B4232"/>
    <w:rsid w:val="001C0AB4"/>
    <w:rsid w:val="001C6624"/>
    <w:rsid w:val="001C70D5"/>
    <w:rsid w:val="001E01FB"/>
    <w:rsid w:val="001E0451"/>
    <w:rsid w:val="001E3F38"/>
    <w:rsid w:val="001E48A7"/>
    <w:rsid w:val="001F030D"/>
    <w:rsid w:val="001F651D"/>
    <w:rsid w:val="001F6AB8"/>
    <w:rsid w:val="00205932"/>
    <w:rsid w:val="002159A2"/>
    <w:rsid w:val="00216136"/>
    <w:rsid w:val="00217F44"/>
    <w:rsid w:val="00220FFE"/>
    <w:rsid w:val="002324D8"/>
    <w:rsid w:val="00241B63"/>
    <w:rsid w:val="00244374"/>
    <w:rsid w:val="002444F6"/>
    <w:rsid w:val="00247085"/>
    <w:rsid w:val="00247FA7"/>
    <w:rsid w:val="00266BE5"/>
    <w:rsid w:val="00270E1B"/>
    <w:rsid w:val="00276E87"/>
    <w:rsid w:val="00277EA5"/>
    <w:rsid w:val="00282FF3"/>
    <w:rsid w:val="00295BAD"/>
    <w:rsid w:val="00295FB2"/>
    <w:rsid w:val="002A3764"/>
    <w:rsid w:val="002A66CC"/>
    <w:rsid w:val="002B671C"/>
    <w:rsid w:val="002C3A7D"/>
    <w:rsid w:val="002D5B4B"/>
    <w:rsid w:val="002E1804"/>
    <w:rsid w:val="002E248A"/>
    <w:rsid w:val="002F2AB4"/>
    <w:rsid w:val="002F3243"/>
    <w:rsid w:val="00301C2D"/>
    <w:rsid w:val="003023D4"/>
    <w:rsid w:val="00310425"/>
    <w:rsid w:val="0031177A"/>
    <w:rsid w:val="00312F73"/>
    <w:rsid w:val="00316191"/>
    <w:rsid w:val="00317203"/>
    <w:rsid w:val="00317397"/>
    <w:rsid w:val="003240DB"/>
    <w:rsid w:val="0032546E"/>
    <w:rsid w:val="0033563F"/>
    <w:rsid w:val="003422DF"/>
    <w:rsid w:val="00342680"/>
    <w:rsid w:val="00353D7B"/>
    <w:rsid w:val="00354B8E"/>
    <w:rsid w:val="00355417"/>
    <w:rsid w:val="00367FB9"/>
    <w:rsid w:val="0037407B"/>
    <w:rsid w:val="00377AB1"/>
    <w:rsid w:val="00380F01"/>
    <w:rsid w:val="0039577E"/>
    <w:rsid w:val="00395E8C"/>
    <w:rsid w:val="00395ECA"/>
    <w:rsid w:val="00396B8B"/>
    <w:rsid w:val="003970CD"/>
    <w:rsid w:val="003974C8"/>
    <w:rsid w:val="003A1CE4"/>
    <w:rsid w:val="003A1DB4"/>
    <w:rsid w:val="003B7041"/>
    <w:rsid w:val="003C1726"/>
    <w:rsid w:val="003C226E"/>
    <w:rsid w:val="003C685F"/>
    <w:rsid w:val="003C6CE0"/>
    <w:rsid w:val="003C7C62"/>
    <w:rsid w:val="003D1260"/>
    <w:rsid w:val="003D1583"/>
    <w:rsid w:val="003D4A10"/>
    <w:rsid w:val="003D4AAA"/>
    <w:rsid w:val="003E09F6"/>
    <w:rsid w:val="003E2AEA"/>
    <w:rsid w:val="004045BC"/>
    <w:rsid w:val="00412C14"/>
    <w:rsid w:val="0043211D"/>
    <w:rsid w:val="00433380"/>
    <w:rsid w:val="0043441C"/>
    <w:rsid w:val="004350AC"/>
    <w:rsid w:val="00441189"/>
    <w:rsid w:val="00460E46"/>
    <w:rsid w:val="0048353C"/>
    <w:rsid w:val="004866A3"/>
    <w:rsid w:val="004A058E"/>
    <w:rsid w:val="004A399A"/>
    <w:rsid w:val="004A41DB"/>
    <w:rsid w:val="004A6942"/>
    <w:rsid w:val="004A69E8"/>
    <w:rsid w:val="004B3D9B"/>
    <w:rsid w:val="004C04A0"/>
    <w:rsid w:val="004D021C"/>
    <w:rsid w:val="004D09E1"/>
    <w:rsid w:val="004D20D8"/>
    <w:rsid w:val="004E4F17"/>
    <w:rsid w:val="004E55F4"/>
    <w:rsid w:val="004F4D9E"/>
    <w:rsid w:val="005015CD"/>
    <w:rsid w:val="00515F69"/>
    <w:rsid w:val="00516D1F"/>
    <w:rsid w:val="00522861"/>
    <w:rsid w:val="00530E85"/>
    <w:rsid w:val="0054051A"/>
    <w:rsid w:val="00545CF5"/>
    <w:rsid w:val="005522D4"/>
    <w:rsid w:val="005608B3"/>
    <w:rsid w:val="00567EC3"/>
    <w:rsid w:val="0057584C"/>
    <w:rsid w:val="0058633E"/>
    <w:rsid w:val="00591BAB"/>
    <w:rsid w:val="0059218B"/>
    <w:rsid w:val="00593D97"/>
    <w:rsid w:val="005948AE"/>
    <w:rsid w:val="00596CB0"/>
    <w:rsid w:val="00597092"/>
    <w:rsid w:val="00597D76"/>
    <w:rsid w:val="005A6C40"/>
    <w:rsid w:val="005B3140"/>
    <w:rsid w:val="005B37E7"/>
    <w:rsid w:val="005C07B2"/>
    <w:rsid w:val="005C6ABD"/>
    <w:rsid w:val="005D34AE"/>
    <w:rsid w:val="005D7B7D"/>
    <w:rsid w:val="005E5524"/>
    <w:rsid w:val="00606AA6"/>
    <w:rsid w:val="0061435F"/>
    <w:rsid w:val="00614F21"/>
    <w:rsid w:val="0061691B"/>
    <w:rsid w:val="0062007F"/>
    <w:rsid w:val="00627597"/>
    <w:rsid w:val="0064087C"/>
    <w:rsid w:val="00651463"/>
    <w:rsid w:val="006553E2"/>
    <w:rsid w:val="00663BE2"/>
    <w:rsid w:val="006641AF"/>
    <w:rsid w:val="00670215"/>
    <w:rsid w:val="00670EE8"/>
    <w:rsid w:val="00672455"/>
    <w:rsid w:val="00675EC7"/>
    <w:rsid w:val="0067615F"/>
    <w:rsid w:val="00676E27"/>
    <w:rsid w:val="00682A0C"/>
    <w:rsid w:val="00682B20"/>
    <w:rsid w:val="006948DA"/>
    <w:rsid w:val="006958CE"/>
    <w:rsid w:val="006A03AA"/>
    <w:rsid w:val="006A23C4"/>
    <w:rsid w:val="006A4C68"/>
    <w:rsid w:val="006A5CC8"/>
    <w:rsid w:val="006B5B2C"/>
    <w:rsid w:val="006B6CB5"/>
    <w:rsid w:val="006C32AA"/>
    <w:rsid w:val="006C451E"/>
    <w:rsid w:val="006C46DF"/>
    <w:rsid w:val="006C4EFA"/>
    <w:rsid w:val="006D12EE"/>
    <w:rsid w:val="006D18CB"/>
    <w:rsid w:val="006D5A76"/>
    <w:rsid w:val="006E4AE4"/>
    <w:rsid w:val="006F1AA2"/>
    <w:rsid w:val="006F2B12"/>
    <w:rsid w:val="006F4AD8"/>
    <w:rsid w:val="006F63D2"/>
    <w:rsid w:val="006F6DEB"/>
    <w:rsid w:val="00703439"/>
    <w:rsid w:val="007045A1"/>
    <w:rsid w:val="007049C9"/>
    <w:rsid w:val="00713B4B"/>
    <w:rsid w:val="00713D48"/>
    <w:rsid w:val="007212B7"/>
    <w:rsid w:val="0072379B"/>
    <w:rsid w:val="007326A6"/>
    <w:rsid w:val="00741F4F"/>
    <w:rsid w:val="00752255"/>
    <w:rsid w:val="007624FD"/>
    <w:rsid w:val="00770405"/>
    <w:rsid w:val="0077214E"/>
    <w:rsid w:val="00775568"/>
    <w:rsid w:val="00785661"/>
    <w:rsid w:val="00791651"/>
    <w:rsid w:val="0079467F"/>
    <w:rsid w:val="00795B16"/>
    <w:rsid w:val="007A69B6"/>
    <w:rsid w:val="007A7304"/>
    <w:rsid w:val="007A7904"/>
    <w:rsid w:val="007B77F8"/>
    <w:rsid w:val="007C0375"/>
    <w:rsid w:val="007C6318"/>
    <w:rsid w:val="007C70F7"/>
    <w:rsid w:val="007D385A"/>
    <w:rsid w:val="007E09EE"/>
    <w:rsid w:val="007F3316"/>
    <w:rsid w:val="007F3DF6"/>
    <w:rsid w:val="00805B55"/>
    <w:rsid w:val="008112FD"/>
    <w:rsid w:val="008118DA"/>
    <w:rsid w:val="00814B03"/>
    <w:rsid w:val="00816487"/>
    <w:rsid w:val="00823229"/>
    <w:rsid w:val="00825CAD"/>
    <w:rsid w:val="00826139"/>
    <w:rsid w:val="00832594"/>
    <w:rsid w:val="00832A5C"/>
    <w:rsid w:val="00834340"/>
    <w:rsid w:val="00834A24"/>
    <w:rsid w:val="008633E5"/>
    <w:rsid w:val="00863C57"/>
    <w:rsid w:val="008733E3"/>
    <w:rsid w:val="00873F2B"/>
    <w:rsid w:val="00873FDA"/>
    <w:rsid w:val="00874A3B"/>
    <w:rsid w:val="00880A48"/>
    <w:rsid w:val="00884649"/>
    <w:rsid w:val="00887608"/>
    <w:rsid w:val="00890913"/>
    <w:rsid w:val="00890BC0"/>
    <w:rsid w:val="00892FB1"/>
    <w:rsid w:val="00896343"/>
    <w:rsid w:val="008A4935"/>
    <w:rsid w:val="008B71C9"/>
    <w:rsid w:val="008C4FCE"/>
    <w:rsid w:val="008C5F41"/>
    <w:rsid w:val="008C63B8"/>
    <w:rsid w:val="008D2536"/>
    <w:rsid w:val="008D7D5B"/>
    <w:rsid w:val="008E7278"/>
    <w:rsid w:val="008F1C96"/>
    <w:rsid w:val="00927E72"/>
    <w:rsid w:val="00932AE5"/>
    <w:rsid w:val="0093314E"/>
    <w:rsid w:val="0093399A"/>
    <w:rsid w:val="009341E2"/>
    <w:rsid w:val="00934345"/>
    <w:rsid w:val="009344F2"/>
    <w:rsid w:val="00941348"/>
    <w:rsid w:val="009418BD"/>
    <w:rsid w:val="0094235D"/>
    <w:rsid w:val="009507DF"/>
    <w:rsid w:val="009509F9"/>
    <w:rsid w:val="0095177E"/>
    <w:rsid w:val="00953FB7"/>
    <w:rsid w:val="00955314"/>
    <w:rsid w:val="00961E71"/>
    <w:rsid w:val="00964805"/>
    <w:rsid w:val="00964BC2"/>
    <w:rsid w:val="009724E0"/>
    <w:rsid w:val="00976DBD"/>
    <w:rsid w:val="009845CB"/>
    <w:rsid w:val="00984B42"/>
    <w:rsid w:val="00986636"/>
    <w:rsid w:val="00996AB0"/>
    <w:rsid w:val="009A3627"/>
    <w:rsid w:val="009A4919"/>
    <w:rsid w:val="009B05A3"/>
    <w:rsid w:val="009C39E1"/>
    <w:rsid w:val="009D0C4F"/>
    <w:rsid w:val="009D30EC"/>
    <w:rsid w:val="009E4B79"/>
    <w:rsid w:val="009E4E1D"/>
    <w:rsid w:val="009F0A4B"/>
    <w:rsid w:val="009F53DB"/>
    <w:rsid w:val="009F750E"/>
    <w:rsid w:val="00A07995"/>
    <w:rsid w:val="00A1223D"/>
    <w:rsid w:val="00A22CCA"/>
    <w:rsid w:val="00A267B0"/>
    <w:rsid w:val="00A30862"/>
    <w:rsid w:val="00A34219"/>
    <w:rsid w:val="00A40713"/>
    <w:rsid w:val="00A40E47"/>
    <w:rsid w:val="00A44630"/>
    <w:rsid w:val="00A47693"/>
    <w:rsid w:val="00A47806"/>
    <w:rsid w:val="00A60C23"/>
    <w:rsid w:val="00A633AC"/>
    <w:rsid w:val="00A741C7"/>
    <w:rsid w:val="00A81EAF"/>
    <w:rsid w:val="00A95AC4"/>
    <w:rsid w:val="00AA43E2"/>
    <w:rsid w:val="00AA445B"/>
    <w:rsid w:val="00AA508A"/>
    <w:rsid w:val="00AB1839"/>
    <w:rsid w:val="00AC00C7"/>
    <w:rsid w:val="00AD002E"/>
    <w:rsid w:val="00AD168D"/>
    <w:rsid w:val="00AD3569"/>
    <w:rsid w:val="00AD69BB"/>
    <w:rsid w:val="00AE3BEB"/>
    <w:rsid w:val="00AE4415"/>
    <w:rsid w:val="00AE6C60"/>
    <w:rsid w:val="00B010B6"/>
    <w:rsid w:val="00B0645B"/>
    <w:rsid w:val="00B136E6"/>
    <w:rsid w:val="00B13DAA"/>
    <w:rsid w:val="00B17F30"/>
    <w:rsid w:val="00B237AA"/>
    <w:rsid w:val="00B32CBB"/>
    <w:rsid w:val="00B35B49"/>
    <w:rsid w:val="00B461D1"/>
    <w:rsid w:val="00B6595F"/>
    <w:rsid w:val="00B73C43"/>
    <w:rsid w:val="00B8086C"/>
    <w:rsid w:val="00B81216"/>
    <w:rsid w:val="00B84FA5"/>
    <w:rsid w:val="00B9352F"/>
    <w:rsid w:val="00B9449B"/>
    <w:rsid w:val="00B964FF"/>
    <w:rsid w:val="00BA0AFA"/>
    <w:rsid w:val="00BA383A"/>
    <w:rsid w:val="00BA6915"/>
    <w:rsid w:val="00BC0D2B"/>
    <w:rsid w:val="00BC1FCC"/>
    <w:rsid w:val="00BD0923"/>
    <w:rsid w:val="00BE2381"/>
    <w:rsid w:val="00BF0ACD"/>
    <w:rsid w:val="00BF456B"/>
    <w:rsid w:val="00BF4F3D"/>
    <w:rsid w:val="00BF5869"/>
    <w:rsid w:val="00C00F42"/>
    <w:rsid w:val="00C07F38"/>
    <w:rsid w:val="00C108C5"/>
    <w:rsid w:val="00C1103F"/>
    <w:rsid w:val="00C247DA"/>
    <w:rsid w:val="00C3280C"/>
    <w:rsid w:val="00C338C5"/>
    <w:rsid w:val="00C36DEF"/>
    <w:rsid w:val="00C4063F"/>
    <w:rsid w:val="00C42B01"/>
    <w:rsid w:val="00C43751"/>
    <w:rsid w:val="00C60804"/>
    <w:rsid w:val="00C62E9D"/>
    <w:rsid w:val="00C720AF"/>
    <w:rsid w:val="00C86460"/>
    <w:rsid w:val="00C86EEB"/>
    <w:rsid w:val="00CB453C"/>
    <w:rsid w:val="00CB7978"/>
    <w:rsid w:val="00CC1F2E"/>
    <w:rsid w:val="00CD0FB5"/>
    <w:rsid w:val="00CD5A4D"/>
    <w:rsid w:val="00CE5157"/>
    <w:rsid w:val="00CF63C5"/>
    <w:rsid w:val="00D00017"/>
    <w:rsid w:val="00D02372"/>
    <w:rsid w:val="00D0772C"/>
    <w:rsid w:val="00D150C6"/>
    <w:rsid w:val="00D340EA"/>
    <w:rsid w:val="00D360D6"/>
    <w:rsid w:val="00D36783"/>
    <w:rsid w:val="00D441DB"/>
    <w:rsid w:val="00D446FF"/>
    <w:rsid w:val="00D52234"/>
    <w:rsid w:val="00D55B75"/>
    <w:rsid w:val="00D62FD0"/>
    <w:rsid w:val="00D631A3"/>
    <w:rsid w:val="00D70C31"/>
    <w:rsid w:val="00D74453"/>
    <w:rsid w:val="00D75347"/>
    <w:rsid w:val="00D774DE"/>
    <w:rsid w:val="00D80BDE"/>
    <w:rsid w:val="00D849E1"/>
    <w:rsid w:val="00D93DE7"/>
    <w:rsid w:val="00D94CF3"/>
    <w:rsid w:val="00DA082B"/>
    <w:rsid w:val="00DA155F"/>
    <w:rsid w:val="00DA2866"/>
    <w:rsid w:val="00DC5F59"/>
    <w:rsid w:val="00DD3BB1"/>
    <w:rsid w:val="00DD55A0"/>
    <w:rsid w:val="00DD5D31"/>
    <w:rsid w:val="00DE2995"/>
    <w:rsid w:val="00DE5594"/>
    <w:rsid w:val="00E069E6"/>
    <w:rsid w:val="00E163C7"/>
    <w:rsid w:val="00E34BFE"/>
    <w:rsid w:val="00E43BF6"/>
    <w:rsid w:val="00E515F7"/>
    <w:rsid w:val="00E55533"/>
    <w:rsid w:val="00E6060B"/>
    <w:rsid w:val="00E609F1"/>
    <w:rsid w:val="00E60A76"/>
    <w:rsid w:val="00E76F83"/>
    <w:rsid w:val="00E77E04"/>
    <w:rsid w:val="00E81C1F"/>
    <w:rsid w:val="00E8739C"/>
    <w:rsid w:val="00E876C9"/>
    <w:rsid w:val="00E9765E"/>
    <w:rsid w:val="00EA282E"/>
    <w:rsid w:val="00EA6D71"/>
    <w:rsid w:val="00EA6E3B"/>
    <w:rsid w:val="00EA7F0E"/>
    <w:rsid w:val="00EB0F18"/>
    <w:rsid w:val="00EB1A29"/>
    <w:rsid w:val="00EB3BCF"/>
    <w:rsid w:val="00EB756F"/>
    <w:rsid w:val="00EC3943"/>
    <w:rsid w:val="00ED3970"/>
    <w:rsid w:val="00ED4180"/>
    <w:rsid w:val="00ED5D82"/>
    <w:rsid w:val="00EE087A"/>
    <w:rsid w:val="00EE0C04"/>
    <w:rsid w:val="00EF4440"/>
    <w:rsid w:val="00EF72BA"/>
    <w:rsid w:val="00F10312"/>
    <w:rsid w:val="00F11F83"/>
    <w:rsid w:val="00F1744E"/>
    <w:rsid w:val="00F21443"/>
    <w:rsid w:val="00F25AC8"/>
    <w:rsid w:val="00F25B9B"/>
    <w:rsid w:val="00F2626C"/>
    <w:rsid w:val="00F35840"/>
    <w:rsid w:val="00F35ADA"/>
    <w:rsid w:val="00F36509"/>
    <w:rsid w:val="00F36DA8"/>
    <w:rsid w:val="00F50542"/>
    <w:rsid w:val="00F50DB2"/>
    <w:rsid w:val="00F56460"/>
    <w:rsid w:val="00F56AF7"/>
    <w:rsid w:val="00F578B2"/>
    <w:rsid w:val="00F602E4"/>
    <w:rsid w:val="00F603AA"/>
    <w:rsid w:val="00F6047C"/>
    <w:rsid w:val="00F66607"/>
    <w:rsid w:val="00F67465"/>
    <w:rsid w:val="00F73BD1"/>
    <w:rsid w:val="00F741CB"/>
    <w:rsid w:val="00F826B5"/>
    <w:rsid w:val="00F83A45"/>
    <w:rsid w:val="00F91B5A"/>
    <w:rsid w:val="00F92456"/>
    <w:rsid w:val="00F92D37"/>
    <w:rsid w:val="00FA1612"/>
    <w:rsid w:val="00FA27E2"/>
    <w:rsid w:val="00FA3FF4"/>
    <w:rsid w:val="00FB1F62"/>
    <w:rsid w:val="00FB211D"/>
    <w:rsid w:val="00FC4A38"/>
    <w:rsid w:val="00FC76DC"/>
    <w:rsid w:val="00FC7F25"/>
    <w:rsid w:val="00FD1569"/>
    <w:rsid w:val="00FD7664"/>
    <w:rsid w:val="00FE569F"/>
    <w:rsid w:val="00FE7634"/>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70BB73"/>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 w:type="paragraph" w:customStyle="1" w:styleId="Default">
    <w:name w:val="Default"/>
    <w:rsid w:val="003D1583"/>
    <w:pPr>
      <w:autoSpaceDE w:val="0"/>
      <w:autoSpaceDN w:val="0"/>
      <w:adjustRightInd w:val="0"/>
      <w:spacing w:after="0" w:line="240" w:lineRule="auto"/>
    </w:pPr>
    <w:rPr>
      <w:rFonts w:ascii="Arial" w:hAnsi="Arial" w:cs="Arial"/>
      <w:color w:val="000000"/>
      <w:sz w:val="24"/>
      <w:szCs w:val="24"/>
    </w:rPr>
  </w:style>
  <w:style w:type="paragraph" w:customStyle="1" w:styleId="Pa49">
    <w:name w:val="Pa49"/>
    <w:basedOn w:val="Default"/>
    <w:next w:val="Default"/>
    <w:uiPriority w:val="99"/>
    <w:rsid w:val="003D1583"/>
    <w:pPr>
      <w:spacing w:line="221" w:lineRule="atLeast"/>
    </w:pPr>
    <w:rPr>
      <w:rFonts w:ascii="Times New Roman" w:hAnsi="Times New Roman" w:cs="Times New Roman"/>
      <w:color w:val="auto"/>
    </w:rPr>
  </w:style>
  <w:style w:type="character" w:styleId="Textoennegrita">
    <w:name w:val="Strong"/>
    <w:basedOn w:val="Fuentedeprrafopredeter"/>
    <w:uiPriority w:val="22"/>
    <w:qFormat/>
    <w:rsid w:val="003D1583"/>
    <w:rPr>
      <w:b/>
      <w:bCs/>
    </w:rPr>
  </w:style>
  <w:style w:type="character" w:styleId="Hipervnculo">
    <w:name w:val="Hyperlink"/>
    <w:basedOn w:val="Fuentedeprrafopredeter"/>
    <w:uiPriority w:val="99"/>
    <w:semiHidden/>
    <w:unhideWhenUsed/>
    <w:rsid w:val="003D1583"/>
    <w:rPr>
      <w:color w:val="0000FF"/>
      <w:u w:val="single"/>
    </w:rPr>
  </w:style>
  <w:style w:type="character" w:customStyle="1" w:styleId="c3po-content-color-corporation-primary">
    <w:name w:val="c3po-content-color-corporation-primary"/>
    <w:basedOn w:val="Fuentedeprrafopredeter"/>
    <w:rsid w:val="003D1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Derecho" TargetMode="External"/><Relationship Id="rId13" Type="http://schemas.openxmlformats.org/officeDocument/2006/relationships/hyperlink" Target="https://es.wikipedia.org/wiki/Estad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s.wikipedia.org/wiki/Individu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monografias.com/trabajos15/financiamiento/financiamiento.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Garant%C3%ADa" TargetMode="External"/><Relationship Id="rId5" Type="http://schemas.openxmlformats.org/officeDocument/2006/relationships/webSettings" Target="webSettings.xml"/><Relationship Id="rId15" Type="http://schemas.openxmlformats.org/officeDocument/2006/relationships/hyperlink" Target="https://www.monografias.com/trabajos13/mercado/mercado.shtml" TargetMode="External"/><Relationship Id="rId10" Type="http://schemas.openxmlformats.org/officeDocument/2006/relationships/hyperlink" Target="https://es.wikipedia.org/wiki/Poder_p%C3%BAblic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s.wikipedia.org/wiki/Certeza_del_derecho" TargetMode="External"/><Relationship Id="rId14" Type="http://schemas.openxmlformats.org/officeDocument/2006/relationships/hyperlink" Target="https://www.monografias.com/trabajos7/creun/creun.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466F7-FEA1-4DCE-9813-892E3984B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Pages>
  <Words>3582</Words>
  <Characters>19703</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cp:revision>
  <cp:lastPrinted>2020-08-05T20:26:00Z</cp:lastPrinted>
  <dcterms:created xsi:type="dcterms:W3CDTF">2020-05-06T16:51:00Z</dcterms:created>
  <dcterms:modified xsi:type="dcterms:W3CDTF">2021-07-01T20:04:00Z</dcterms:modified>
</cp:coreProperties>
</file>