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FD47E2"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r w:rsidRPr="00BB1B71">
        <w:rPr>
          <w:rFonts w:ascii="Arial" w:eastAsia="Times New Roman" w:hAnsi="Arial" w:cs="Arial"/>
          <w:b/>
          <w:sz w:val="24"/>
          <w:szCs w:val="24"/>
          <w:lang w:val="es-ES_tradnl" w:eastAsia="es-ES"/>
        </w:rPr>
        <w:t>TRIBUNAL DE JUSTICIA ADMINISTRATIVA DEL ESTADO DE OAXACA.</w:t>
      </w:r>
    </w:p>
    <w:p w14:paraId="39BB80B2"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p>
    <w:p w14:paraId="6944ED1A"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r w:rsidRPr="00BB1B71">
        <w:rPr>
          <w:rFonts w:ascii="Arial" w:eastAsia="Times New Roman" w:hAnsi="Arial" w:cs="Arial"/>
          <w:b/>
          <w:sz w:val="24"/>
          <w:szCs w:val="24"/>
          <w:lang w:val="es-ES_tradnl" w:eastAsia="es-ES"/>
        </w:rPr>
        <w:t>SEXTA SALA UNITARIA DE PRIMERA INSTANCIA.</w:t>
      </w:r>
    </w:p>
    <w:p w14:paraId="1448E061"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p>
    <w:p w14:paraId="4AD4AC39" w14:textId="77777777" w:rsidR="001C4867" w:rsidRPr="00BB1B71" w:rsidRDefault="001C4867" w:rsidP="001C4867">
      <w:pPr>
        <w:spacing w:after="0"/>
        <w:ind w:left="3686" w:right="51"/>
        <w:jc w:val="both"/>
        <w:rPr>
          <w:rFonts w:ascii="Arial" w:eastAsia="Times New Roman" w:hAnsi="Arial" w:cs="Arial"/>
          <w:bCs/>
          <w:sz w:val="24"/>
          <w:szCs w:val="24"/>
          <w:lang w:val="es-ES_tradnl" w:eastAsia="es-ES"/>
        </w:rPr>
      </w:pPr>
      <w:r w:rsidRPr="00BB1B71">
        <w:rPr>
          <w:rFonts w:ascii="Arial" w:eastAsia="Times New Roman" w:hAnsi="Arial" w:cs="Arial"/>
          <w:b/>
          <w:sz w:val="24"/>
          <w:szCs w:val="24"/>
          <w:lang w:val="es-ES_tradnl" w:eastAsia="es-ES"/>
        </w:rPr>
        <w:t xml:space="preserve">JUICIO DE NULIDAD: </w:t>
      </w:r>
      <w:r w:rsidR="00380EFB" w:rsidRPr="00380EFB">
        <w:rPr>
          <w:rFonts w:ascii="Arial" w:eastAsia="Times New Roman" w:hAnsi="Arial" w:cs="Arial"/>
          <w:sz w:val="24"/>
          <w:szCs w:val="24"/>
          <w:lang w:val="es-ES_tradnl" w:eastAsia="es-ES"/>
        </w:rPr>
        <w:t>0</w:t>
      </w:r>
      <w:r w:rsidR="009121DE">
        <w:rPr>
          <w:rFonts w:ascii="Arial" w:eastAsia="Times New Roman" w:hAnsi="Arial" w:cs="Arial"/>
          <w:sz w:val="24"/>
          <w:szCs w:val="24"/>
          <w:lang w:val="es-ES_tradnl" w:eastAsia="es-ES"/>
        </w:rPr>
        <w:t>060</w:t>
      </w:r>
      <w:r w:rsidR="00432E9E" w:rsidRPr="00432E9E">
        <w:rPr>
          <w:rFonts w:ascii="Arial" w:eastAsia="Times New Roman" w:hAnsi="Arial" w:cs="Arial"/>
          <w:bCs/>
          <w:sz w:val="24"/>
          <w:szCs w:val="24"/>
          <w:lang w:val="es-ES_tradnl" w:eastAsia="es-ES"/>
        </w:rPr>
        <w:t>/</w:t>
      </w:r>
      <w:r w:rsidR="009121DE">
        <w:rPr>
          <w:rFonts w:ascii="Arial" w:eastAsia="Times New Roman" w:hAnsi="Arial" w:cs="Arial"/>
          <w:bCs/>
          <w:sz w:val="24"/>
          <w:szCs w:val="24"/>
          <w:lang w:val="es-ES_tradnl" w:eastAsia="es-ES"/>
        </w:rPr>
        <w:t>2019</w:t>
      </w:r>
      <w:r w:rsidRPr="00BB1B71">
        <w:rPr>
          <w:rFonts w:ascii="Arial" w:eastAsia="Times New Roman" w:hAnsi="Arial" w:cs="Arial"/>
          <w:bCs/>
          <w:sz w:val="24"/>
          <w:szCs w:val="24"/>
          <w:lang w:val="es-ES_tradnl" w:eastAsia="es-ES"/>
        </w:rPr>
        <w:t xml:space="preserve">. </w:t>
      </w:r>
    </w:p>
    <w:p w14:paraId="5BDFEF61"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p>
    <w:p w14:paraId="38EF52ED" w14:textId="7B2BF50C" w:rsidR="001C4867" w:rsidRPr="00773A89" w:rsidRDefault="001C4867" w:rsidP="001C4867">
      <w:pPr>
        <w:spacing w:after="0"/>
        <w:ind w:left="3686" w:right="51"/>
        <w:jc w:val="both"/>
        <w:rPr>
          <w:rFonts w:ascii="Arial" w:eastAsia="Times New Roman" w:hAnsi="Arial" w:cs="Arial"/>
          <w:sz w:val="24"/>
          <w:szCs w:val="24"/>
          <w:lang w:val="es-ES_tradnl" w:eastAsia="es-ES"/>
        </w:rPr>
      </w:pPr>
      <w:r w:rsidRPr="00BB1B71">
        <w:rPr>
          <w:rFonts w:ascii="Arial" w:eastAsia="Times New Roman" w:hAnsi="Arial" w:cs="Arial"/>
          <w:b/>
          <w:sz w:val="24"/>
          <w:szCs w:val="24"/>
          <w:lang w:val="es-ES_tradnl" w:eastAsia="es-ES"/>
        </w:rPr>
        <w:t xml:space="preserve">ACTOR: </w:t>
      </w:r>
      <w:r w:rsidR="00511CD6">
        <w:rPr>
          <w:rFonts w:ascii="Arial" w:eastAsia="Times New Roman" w:hAnsi="Arial" w:cs="Arial"/>
          <w:color w:val="FF0000"/>
          <w:sz w:val="24"/>
          <w:szCs w:val="24"/>
          <w:lang w:val="es-ES_tradnl" w:eastAsia="es-ES"/>
        </w:rPr>
        <w:t>**********</w:t>
      </w:r>
    </w:p>
    <w:p w14:paraId="504D1D25" w14:textId="77777777" w:rsidR="001C4867" w:rsidRPr="00BB1B71" w:rsidRDefault="001C4867" w:rsidP="001C4867">
      <w:pPr>
        <w:spacing w:after="0"/>
        <w:ind w:left="3686" w:right="51"/>
        <w:jc w:val="both"/>
        <w:rPr>
          <w:rFonts w:ascii="Arial" w:eastAsia="Times New Roman" w:hAnsi="Arial" w:cs="Arial"/>
          <w:sz w:val="24"/>
          <w:szCs w:val="24"/>
          <w:lang w:val="es-ES_tradnl" w:eastAsia="es-ES"/>
        </w:rPr>
      </w:pPr>
    </w:p>
    <w:p w14:paraId="3964067C" w14:textId="77777777" w:rsidR="001C4867" w:rsidRDefault="001C4867" w:rsidP="001C4867">
      <w:pPr>
        <w:spacing w:after="0"/>
        <w:ind w:left="3686" w:right="51"/>
        <w:jc w:val="both"/>
        <w:rPr>
          <w:rFonts w:ascii="Arial" w:eastAsia="Times New Roman" w:hAnsi="Arial" w:cs="Arial"/>
          <w:sz w:val="24"/>
          <w:szCs w:val="24"/>
          <w:lang w:val="es-ES_tradnl" w:eastAsia="es-ES"/>
        </w:rPr>
      </w:pPr>
      <w:r w:rsidRPr="00BB1B71">
        <w:rPr>
          <w:rFonts w:ascii="Arial" w:eastAsia="Times New Roman" w:hAnsi="Arial" w:cs="Arial"/>
          <w:b/>
          <w:sz w:val="24"/>
          <w:szCs w:val="24"/>
          <w:lang w:val="es-ES_tradnl" w:eastAsia="es-ES"/>
        </w:rPr>
        <w:t xml:space="preserve">AUTORIDAD DEMANDADA: </w:t>
      </w:r>
      <w:bookmarkStart w:id="0" w:name="_Hlk49769963"/>
      <w:r w:rsidRPr="00BB1B71">
        <w:rPr>
          <w:rFonts w:ascii="Arial" w:eastAsia="Times New Roman" w:hAnsi="Arial" w:cs="Arial"/>
          <w:sz w:val="24"/>
          <w:szCs w:val="24"/>
          <w:lang w:val="es-ES_tradnl" w:eastAsia="es-ES"/>
        </w:rPr>
        <w:t>DIRECTOR</w:t>
      </w:r>
      <w:r w:rsidR="00773A89">
        <w:rPr>
          <w:rFonts w:ascii="Arial" w:eastAsia="Times New Roman" w:hAnsi="Arial" w:cs="Arial"/>
          <w:sz w:val="24"/>
          <w:szCs w:val="24"/>
          <w:lang w:val="es-ES_tradnl" w:eastAsia="es-ES"/>
        </w:rPr>
        <w:t>A DE INGRESOS Y RECAUDACIÓN DEPENDIENTE DE LA SUBSECRETARÍA DE</w:t>
      </w:r>
      <w:r w:rsidRPr="00BB1B71">
        <w:rPr>
          <w:rFonts w:ascii="Arial" w:eastAsia="Times New Roman" w:hAnsi="Arial" w:cs="Arial"/>
          <w:sz w:val="24"/>
          <w:szCs w:val="24"/>
          <w:lang w:val="es-ES_tradnl" w:eastAsia="es-ES"/>
        </w:rPr>
        <w:t xml:space="preserve"> INGRESOS DE LA SECRETARÍA DE FINANZAS DEL GOBIERNO DEL ESTADO DE OAXACA</w:t>
      </w:r>
      <w:bookmarkEnd w:id="0"/>
      <w:r w:rsidRPr="00BB1B71">
        <w:rPr>
          <w:rFonts w:ascii="Arial" w:eastAsia="Times New Roman" w:hAnsi="Arial" w:cs="Arial"/>
          <w:sz w:val="24"/>
          <w:szCs w:val="24"/>
          <w:lang w:val="es-ES_tradnl" w:eastAsia="es-ES"/>
        </w:rPr>
        <w:t>.</w:t>
      </w:r>
    </w:p>
    <w:p w14:paraId="4D59880E" w14:textId="77777777" w:rsidR="00EA0AF9" w:rsidRDefault="00EA0AF9" w:rsidP="001C4867">
      <w:pPr>
        <w:spacing w:after="0"/>
        <w:ind w:left="3686" w:right="51"/>
        <w:jc w:val="both"/>
        <w:rPr>
          <w:rFonts w:ascii="Arial" w:eastAsia="Times New Roman" w:hAnsi="Arial" w:cs="Arial"/>
          <w:sz w:val="24"/>
          <w:szCs w:val="24"/>
          <w:lang w:val="es-ES_tradnl" w:eastAsia="es-ES"/>
        </w:rPr>
      </w:pPr>
    </w:p>
    <w:p w14:paraId="7EC56616" w14:textId="77777777" w:rsidR="00EA0AF9" w:rsidRPr="00240D1C" w:rsidRDefault="00EA0AF9" w:rsidP="00EA0AF9">
      <w:pPr>
        <w:pStyle w:val="Encabezado"/>
        <w:tabs>
          <w:tab w:val="clear" w:pos="4419"/>
          <w:tab w:val="clear" w:pos="8838"/>
          <w:tab w:val="center" w:pos="-1418"/>
        </w:tabs>
        <w:ind w:left="3686"/>
        <w:jc w:val="both"/>
        <w:rPr>
          <w:rFonts w:ascii="Arial" w:hAnsi="Arial" w:cs="Arial"/>
          <w:b/>
          <w:sz w:val="24"/>
          <w:szCs w:val="24"/>
        </w:rPr>
      </w:pPr>
      <w:r w:rsidRPr="000D7E3C">
        <w:rPr>
          <w:rFonts w:ascii="Arial" w:hAnsi="Arial" w:cs="Arial"/>
          <w:b/>
          <w:sz w:val="24"/>
          <w:szCs w:val="24"/>
        </w:rPr>
        <w:t>MAGISTRADA: MAESTRA CAMELIA GASPAR MARTÍNEZ.</w:t>
      </w:r>
    </w:p>
    <w:p w14:paraId="75EA547F" w14:textId="77777777" w:rsidR="00EA0AF9" w:rsidRPr="00240D1C" w:rsidRDefault="00EA0AF9" w:rsidP="00EA0AF9">
      <w:pPr>
        <w:pStyle w:val="Encabezado"/>
        <w:tabs>
          <w:tab w:val="clear" w:pos="4419"/>
          <w:tab w:val="clear" w:pos="8838"/>
          <w:tab w:val="center" w:pos="-1418"/>
        </w:tabs>
        <w:ind w:left="3686"/>
        <w:jc w:val="both"/>
        <w:rPr>
          <w:rFonts w:ascii="Arial" w:hAnsi="Arial" w:cs="Arial"/>
          <w:b/>
          <w:sz w:val="24"/>
          <w:szCs w:val="24"/>
        </w:rPr>
      </w:pPr>
    </w:p>
    <w:p w14:paraId="39B88BBE" w14:textId="77777777" w:rsidR="00EA0AF9" w:rsidRDefault="00EA0AF9" w:rsidP="00EA0AF9">
      <w:pPr>
        <w:pStyle w:val="Encabezado"/>
        <w:tabs>
          <w:tab w:val="clear" w:pos="4419"/>
          <w:tab w:val="clear" w:pos="8838"/>
          <w:tab w:val="center" w:pos="-1418"/>
        </w:tabs>
        <w:ind w:left="3686"/>
        <w:jc w:val="both"/>
        <w:rPr>
          <w:rFonts w:ascii="Arial" w:hAnsi="Arial" w:cs="Arial"/>
          <w:bCs/>
          <w:sz w:val="24"/>
          <w:szCs w:val="24"/>
        </w:rPr>
      </w:pPr>
      <w:r>
        <w:rPr>
          <w:rFonts w:ascii="Arial" w:hAnsi="Arial" w:cs="Arial"/>
          <w:b/>
          <w:sz w:val="24"/>
          <w:szCs w:val="24"/>
        </w:rPr>
        <w:t>SECRETARIO:</w:t>
      </w:r>
      <w:r w:rsidRPr="00240D1C">
        <w:rPr>
          <w:rFonts w:ascii="Arial" w:hAnsi="Arial" w:cs="Arial"/>
          <w:b/>
          <w:sz w:val="24"/>
          <w:szCs w:val="24"/>
        </w:rPr>
        <w:t xml:space="preserve"> </w:t>
      </w:r>
      <w:r w:rsidRPr="00B87E70">
        <w:rPr>
          <w:rFonts w:ascii="Arial" w:hAnsi="Arial" w:cs="Arial"/>
          <w:bCs/>
          <w:sz w:val="24"/>
          <w:szCs w:val="24"/>
        </w:rPr>
        <w:t>LICENCIADO RENATO GABRIEL IBAÑEZ CASTELLANOS</w:t>
      </w:r>
      <w:r>
        <w:rPr>
          <w:rFonts w:ascii="Arial" w:hAnsi="Arial" w:cs="Arial"/>
          <w:bCs/>
          <w:sz w:val="24"/>
          <w:szCs w:val="24"/>
        </w:rPr>
        <w:t>.</w:t>
      </w:r>
    </w:p>
    <w:p w14:paraId="77D5B862" w14:textId="77777777" w:rsidR="00EA0AF9" w:rsidRPr="00BB1B71" w:rsidRDefault="00EA0AF9" w:rsidP="001C4867">
      <w:pPr>
        <w:spacing w:after="0"/>
        <w:ind w:left="3686" w:right="51"/>
        <w:jc w:val="both"/>
        <w:rPr>
          <w:rFonts w:ascii="Arial" w:eastAsia="Times New Roman" w:hAnsi="Arial" w:cs="Arial"/>
          <w:sz w:val="24"/>
          <w:szCs w:val="24"/>
          <w:lang w:val="es-ES_tradnl" w:eastAsia="es-ES"/>
        </w:rPr>
      </w:pPr>
    </w:p>
    <w:p w14:paraId="5D0F88ED" w14:textId="77777777" w:rsidR="001C4867" w:rsidRPr="00BB1B71" w:rsidRDefault="001C4867" w:rsidP="001C4867">
      <w:pPr>
        <w:spacing w:after="0"/>
        <w:ind w:left="3969" w:right="51"/>
        <w:jc w:val="both"/>
        <w:rPr>
          <w:rFonts w:ascii="Arial" w:eastAsia="Times New Roman" w:hAnsi="Arial" w:cs="Arial"/>
          <w:sz w:val="24"/>
          <w:szCs w:val="24"/>
          <w:lang w:val="es-ES_tradnl" w:eastAsia="es-ES"/>
        </w:rPr>
      </w:pPr>
    </w:p>
    <w:p w14:paraId="3804D9B8" w14:textId="77777777" w:rsidR="001C4867" w:rsidRPr="00BB1B71" w:rsidRDefault="001C4867" w:rsidP="001C4867">
      <w:pPr>
        <w:widowControl w:val="0"/>
        <w:spacing w:after="0" w:line="240" w:lineRule="auto"/>
        <w:ind w:right="51"/>
        <w:rPr>
          <w:rFonts w:ascii="Arial" w:eastAsia="Times New Roman" w:hAnsi="Arial" w:cs="Arial"/>
          <w:color w:val="FF0000"/>
          <w:sz w:val="24"/>
          <w:szCs w:val="24"/>
          <w:lang w:val="es-ES" w:eastAsia="es-ES"/>
        </w:rPr>
      </w:pPr>
    </w:p>
    <w:p w14:paraId="2D2137B8" w14:textId="77777777" w:rsidR="001C4867" w:rsidRPr="00BB1B71" w:rsidRDefault="00F153C9" w:rsidP="001C4867">
      <w:pPr>
        <w:widowControl w:val="0"/>
        <w:spacing w:line="360" w:lineRule="auto"/>
        <w:ind w:right="51" w:firstLine="567"/>
        <w:jc w:val="both"/>
        <w:rPr>
          <w:rFonts w:ascii="Arial" w:eastAsia="Times New Roman" w:hAnsi="Arial" w:cs="Arial"/>
          <w:b/>
          <w:sz w:val="24"/>
          <w:szCs w:val="24"/>
          <w:lang w:val="es-ES" w:eastAsia="es-ES"/>
        </w:rPr>
      </w:pPr>
      <w:r w:rsidRPr="00BB1B71">
        <w:rPr>
          <w:rFonts w:ascii="Arial" w:eastAsia="Times New Roman" w:hAnsi="Arial" w:cs="Arial"/>
          <w:b/>
          <w:sz w:val="24"/>
          <w:szCs w:val="24"/>
          <w:lang w:val="es-ES" w:eastAsia="es-ES"/>
        </w:rPr>
        <w:t xml:space="preserve">OAXACA DE JUÁREZ, OAXACA, </w:t>
      </w:r>
      <w:r w:rsidR="00432E9E">
        <w:rPr>
          <w:rFonts w:ascii="Arial" w:eastAsia="Times New Roman" w:hAnsi="Arial" w:cs="Arial"/>
          <w:b/>
          <w:sz w:val="24"/>
          <w:szCs w:val="24"/>
          <w:lang w:val="es-ES" w:eastAsia="es-ES"/>
        </w:rPr>
        <w:t>VEINTISÉIS</w:t>
      </w:r>
      <w:r w:rsidR="002F388E">
        <w:rPr>
          <w:rFonts w:ascii="Arial" w:eastAsia="Times New Roman" w:hAnsi="Arial" w:cs="Arial"/>
          <w:b/>
          <w:sz w:val="24"/>
          <w:szCs w:val="24"/>
          <w:lang w:val="es-ES" w:eastAsia="es-ES"/>
        </w:rPr>
        <w:t xml:space="preserve"> DE MAYO</w:t>
      </w:r>
      <w:r w:rsidR="002F388E" w:rsidRPr="00BB1B71">
        <w:rPr>
          <w:rFonts w:ascii="Arial" w:eastAsia="Times New Roman" w:hAnsi="Arial" w:cs="Arial"/>
          <w:b/>
          <w:sz w:val="24"/>
          <w:szCs w:val="24"/>
          <w:lang w:val="es-ES" w:eastAsia="es-ES"/>
        </w:rPr>
        <w:t xml:space="preserve"> </w:t>
      </w:r>
      <w:r w:rsidR="002F388E">
        <w:rPr>
          <w:rFonts w:ascii="Arial" w:eastAsia="Times New Roman" w:hAnsi="Arial" w:cs="Arial"/>
          <w:b/>
          <w:sz w:val="24"/>
          <w:szCs w:val="24"/>
          <w:lang w:val="es-ES" w:eastAsia="es-ES"/>
        </w:rPr>
        <w:t>DE DOS MIL VEINTIDÓS</w:t>
      </w:r>
      <w:r w:rsidR="00183FEE">
        <w:rPr>
          <w:rFonts w:ascii="Arial" w:eastAsia="Times New Roman" w:hAnsi="Arial" w:cs="Arial"/>
          <w:b/>
          <w:sz w:val="24"/>
          <w:szCs w:val="24"/>
          <w:lang w:val="es-ES" w:eastAsia="es-ES"/>
        </w:rPr>
        <w:t xml:space="preserve">. - - - - - - - - - - - - - - - - - - - - - - - - - - - - - - - - - - - - - - - - - - - - - - - - - - </w:t>
      </w:r>
    </w:p>
    <w:p w14:paraId="6E635972" w14:textId="00D67FA6" w:rsidR="001C4867" w:rsidRPr="00BB1B71" w:rsidRDefault="001C4867" w:rsidP="001C4867">
      <w:pPr>
        <w:widowControl w:val="0"/>
        <w:spacing w:line="360" w:lineRule="auto"/>
        <w:ind w:right="51" w:firstLine="567"/>
        <w:jc w:val="both"/>
        <w:rPr>
          <w:rFonts w:ascii="Arial" w:eastAsia="Times New Roman" w:hAnsi="Arial" w:cs="Arial"/>
          <w:sz w:val="24"/>
          <w:szCs w:val="24"/>
          <w:lang w:val="es-ES" w:eastAsia="es-ES"/>
        </w:rPr>
      </w:pPr>
      <w:r w:rsidRPr="00BB1B71">
        <w:rPr>
          <w:rFonts w:ascii="Arial" w:eastAsia="Times New Roman" w:hAnsi="Arial" w:cs="Arial"/>
          <w:b/>
          <w:sz w:val="24"/>
          <w:szCs w:val="24"/>
          <w:lang w:val="es-ES_tradnl" w:eastAsia="es-ES"/>
        </w:rPr>
        <w:t xml:space="preserve">V I S T O S, </w:t>
      </w:r>
      <w:r w:rsidRPr="00BB1B71">
        <w:rPr>
          <w:rFonts w:ascii="Arial" w:eastAsia="Times New Roman" w:hAnsi="Arial" w:cs="Arial"/>
          <w:sz w:val="24"/>
          <w:szCs w:val="24"/>
          <w:lang w:val="es-ES_tradnl" w:eastAsia="es-ES"/>
        </w:rPr>
        <w:t xml:space="preserve">para resolver los autos del juicio de nulidad número </w:t>
      </w:r>
      <w:r w:rsidR="00380EFB" w:rsidRPr="00380EFB">
        <w:rPr>
          <w:rFonts w:ascii="Arial" w:eastAsia="Times New Roman" w:hAnsi="Arial" w:cs="Arial"/>
          <w:b/>
          <w:sz w:val="24"/>
          <w:szCs w:val="24"/>
          <w:lang w:val="es-ES_tradnl" w:eastAsia="es-ES"/>
        </w:rPr>
        <w:t>0</w:t>
      </w:r>
      <w:r w:rsidR="007D1554">
        <w:rPr>
          <w:rFonts w:ascii="Arial" w:eastAsia="Times New Roman" w:hAnsi="Arial" w:cs="Arial"/>
          <w:b/>
          <w:bCs/>
          <w:sz w:val="24"/>
          <w:szCs w:val="24"/>
          <w:lang w:val="es-ES_tradnl" w:eastAsia="es-ES"/>
        </w:rPr>
        <w:t>060/2019</w:t>
      </w:r>
      <w:r w:rsidR="007D1554">
        <w:rPr>
          <w:rFonts w:ascii="Arial" w:eastAsia="Times New Roman" w:hAnsi="Arial" w:cs="Arial"/>
          <w:sz w:val="24"/>
          <w:szCs w:val="24"/>
          <w:lang w:val="es-ES_tradnl" w:eastAsia="es-ES"/>
        </w:rPr>
        <w:t xml:space="preserve">, interpuesto por </w:t>
      </w:r>
      <w:r w:rsidR="00511CD6">
        <w:rPr>
          <w:rFonts w:ascii="Arial" w:eastAsia="Times New Roman" w:hAnsi="Arial" w:cs="Arial"/>
          <w:color w:val="FF0000"/>
          <w:sz w:val="24"/>
          <w:szCs w:val="24"/>
          <w:lang w:val="es-ES_tradnl" w:eastAsia="es-ES"/>
        </w:rPr>
        <w:t>**********</w:t>
      </w:r>
      <w:r w:rsidR="007D1554">
        <w:rPr>
          <w:rFonts w:ascii="Arial" w:eastAsia="Times New Roman" w:hAnsi="Arial" w:cs="Arial"/>
          <w:sz w:val="24"/>
          <w:szCs w:val="24"/>
          <w:lang w:val="es-ES_tradnl" w:eastAsia="es-ES"/>
        </w:rPr>
        <w:t xml:space="preserve"> en representación de </w:t>
      </w:r>
      <w:r w:rsidR="00511CD6">
        <w:rPr>
          <w:rFonts w:ascii="Arial" w:eastAsia="Times New Roman" w:hAnsi="Arial" w:cs="Arial"/>
          <w:b/>
          <w:bCs/>
          <w:color w:val="FF0000"/>
          <w:sz w:val="24"/>
          <w:szCs w:val="24"/>
          <w:lang w:val="es-ES_tradnl" w:eastAsia="es-ES"/>
        </w:rPr>
        <w:t>**********</w:t>
      </w:r>
      <w:r w:rsidR="00432E9E">
        <w:rPr>
          <w:rFonts w:ascii="Arial" w:eastAsia="Times New Roman" w:hAnsi="Arial" w:cs="Arial"/>
          <w:sz w:val="24"/>
          <w:szCs w:val="24"/>
          <w:lang w:val="es-ES_tradnl" w:eastAsia="es-ES"/>
        </w:rPr>
        <w:t>, en contra de</w:t>
      </w:r>
      <w:r w:rsidR="007D1554">
        <w:rPr>
          <w:rFonts w:ascii="Arial" w:eastAsia="Times New Roman" w:hAnsi="Arial" w:cs="Arial"/>
          <w:sz w:val="24"/>
          <w:szCs w:val="24"/>
          <w:lang w:val="es-ES_tradnl" w:eastAsia="es-ES"/>
        </w:rPr>
        <w:t xml:space="preserve"> </w:t>
      </w:r>
      <w:r w:rsidR="00432E9E">
        <w:rPr>
          <w:rFonts w:ascii="Arial" w:eastAsia="Times New Roman" w:hAnsi="Arial" w:cs="Arial"/>
          <w:sz w:val="24"/>
          <w:szCs w:val="24"/>
          <w:lang w:val="es-ES_tradnl" w:eastAsia="es-ES"/>
        </w:rPr>
        <w:t>l</w:t>
      </w:r>
      <w:r w:rsidR="007D1554">
        <w:rPr>
          <w:rFonts w:ascii="Arial" w:eastAsia="Times New Roman" w:hAnsi="Arial" w:cs="Arial"/>
          <w:sz w:val="24"/>
          <w:szCs w:val="24"/>
          <w:lang w:val="es-ES_tradnl" w:eastAsia="es-ES"/>
        </w:rPr>
        <w:t>a</w:t>
      </w:r>
      <w:r w:rsidRPr="00BB1B71">
        <w:rPr>
          <w:rFonts w:ascii="Arial" w:eastAsia="Times New Roman" w:hAnsi="Arial" w:cs="Arial"/>
          <w:sz w:val="24"/>
          <w:szCs w:val="24"/>
          <w:lang w:val="es-ES_tradnl" w:eastAsia="es-ES"/>
        </w:rPr>
        <w:t xml:space="preserve"> </w:t>
      </w:r>
      <w:proofErr w:type="gramStart"/>
      <w:r w:rsidR="007D1554">
        <w:rPr>
          <w:rFonts w:ascii="Arial" w:eastAsia="Times New Roman" w:hAnsi="Arial" w:cs="Arial"/>
          <w:b/>
          <w:sz w:val="24"/>
          <w:szCs w:val="24"/>
          <w:lang w:val="es-ES_tradnl" w:eastAsia="es-ES"/>
        </w:rPr>
        <w:t>Directora</w:t>
      </w:r>
      <w:proofErr w:type="gramEnd"/>
      <w:r w:rsidR="007D1554">
        <w:rPr>
          <w:rFonts w:ascii="Arial" w:eastAsia="Times New Roman" w:hAnsi="Arial" w:cs="Arial"/>
          <w:b/>
          <w:sz w:val="24"/>
          <w:szCs w:val="24"/>
          <w:lang w:val="es-ES_tradnl" w:eastAsia="es-ES"/>
        </w:rPr>
        <w:t xml:space="preserve"> de Ingresos y Recaudación Dependiente de l</w:t>
      </w:r>
      <w:r w:rsidR="007D1554" w:rsidRPr="007D1554">
        <w:rPr>
          <w:rFonts w:ascii="Arial" w:eastAsia="Times New Roman" w:hAnsi="Arial" w:cs="Arial"/>
          <w:b/>
          <w:sz w:val="24"/>
          <w:szCs w:val="24"/>
          <w:lang w:val="es-ES_tradnl" w:eastAsia="es-ES"/>
        </w:rPr>
        <w:t>a</w:t>
      </w:r>
      <w:r w:rsidR="007D1554">
        <w:rPr>
          <w:rFonts w:ascii="Arial" w:eastAsia="Times New Roman" w:hAnsi="Arial" w:cs="Arial"/>
          <w:b/>
          <w:sz w:val="24"/>
          <w:szCs w:val="24"/>
          <w:lang w:val="es-ES_tradnl" w:eastAsia="es-ES"/>
        </w:rPr>
        <w:t xml:space="preserve"> Subsecretaría de Ingresos de la Secretaría de Finanzas del Gobierno del Estado d</w:t>
      </w:r>
      <w:r w:rsidR="007D1554" w:rsidRPr="007D1554">
        <w:rPr>
          <w:rFonts w:ascii="Arial" w:eastAsia="Times New Roman" w:hAnsi="Arial" w:cs="Arial"/>
          <w:b/>
          <w:sz w:val="24"/>
          <w:szCs w:val="24"/>
          <w:lang w:val="es-ES_tradnl" w:eastAsia="es-ES"/>
        </w:rPr>
        <w:t>e Oaxaca</w:t>
      </w:r>
      <w:r w:rsidRPr="00BB1B71">
        <w:rPr>
          <w:rFonts w:ascii="Arial" w:eastAsia="Times New Roman" w:hAnsi="Arial" w:cs="Arial"/>
          <w:sz w:val="24"/>
          <w:szCs w:val="24"/>
          <w:lang w:val="es-ES_tradnl" w:eastAsia="es-ES"/>
        </w:rPr>
        <w:t xml:space="preserve">, y; </w:t>
      </w:r>
    </w:p>
    <w:p w14:paraId="746B4ED1" w14:textId="77777777" w:rsidR="001C4867" w:rsidRPr="00BB1B71" w:rsidRDefault="00380EFB" w:rsidP="001C4867">
      <w:pPr>
        <w:spacing w:line="360" w:lineRule="auto"/>
        <w:jc w:val="center"/>
        <w:rPr>
          <w:rFonts w:ascii="Arial" w:hAnsi="Arial" w:cs="Arial"/>
          <w:b/>
          <w:spacing w:val="-3"/>
          <w:sz w:val="24"/>
          <w:szCs w:val="24"/>
          <w:lang w:val="es-ES_tradnl"/>
        </w:rPr>
      </w:pPr>
      <w:r>
        <w:rPr>
          <w:rFonts w:ascii="Arial" w:hAnsi="Arial" w:cs="Arial"/>
          <w:b/>
          <w:sz w:val="24"/>
          <w:szCs w:val="24"/>
        </w:rPr>
        <w:t>A N T E C E D E N T E S</w:t>
      </w:r>
      <w:r w:rsidR="001C4867" w:rsidRPr="00BB1B71">
        <w:rPr>
          <w:rFonts w:ascii="Arial" w:hAnsi="Arial" w:cs="Arial"/>
          <w:b/>
          <w:spacing w:val="-3"/>
          <w:sz w:val="24"/>
          <w:szCs w:val="24"/>
          <w:lang w:val="es-ES_tradnl"/>
        </w:rPr>
        <w:t>:</w:t>
      </w:r>
    </w:p>
    <w:p w14:paraId="53BB910D" w14:textId="1D31C1ED" w:rsidR="00B00DD7" w:rsidRDefault="001C4867" w:rsidP="001C4867">
      <w:pPr>
        <w:spacing w:line="360" w:lineRule="auto"/>
        <w:ind w:firstLine="567"/>
        <w:jc w:val="both"/>
        <w:rPr>
          <w:rFonts w:ascii="Arial" w:hAnsi="Arial" w:cs="Arial"/>
          <w:bCs/>
          <w:spacing w:val="-3"/>
          <w:sz w:val="24"/>
          <w:szCs w:val="24"/>
          <w:lang w:val="es-ES_tradnl"/>
        </w:rPr>
      </w:pPr>
      <w:r w:rsidRPr="00BB1B71">
        <w:rPr>
          <w:rFonts w:ascii="Arial" w:hAnsi="Arial" w:cs="Arial"/>
          <w:b/>
          <w:spacing w:val="-3"/>
          <w:sz w:val="24"/>
          <w:szCs w:val="24"/>
          <w:lang w:val="es-ES_tradnl"/>
        </w:rPr>
        <w:t xml:space="preserve">PRIMERO.- </w:t>
      </w:r>
      <w:r w:rsidR="007D1554">
        <w:rPr>
          <w:rFonts w:ascii="Arial" w:hAnsi="Arial" w:cs="Arial"/>
          <w:bCs/>
          <w:spacing w:val="-3"/>
          <w:sz w:val="24"/>
          <w:szCs w:val="24"/>
          <w:lang w:val="es-ES_tradnl"/>
        </w:rPr>
        <w:t>Con fecha trece de junio de dos mil diecinueve</w:t>
      </w:r>
      <w:r w:rsidR="00A20362">
        <w:rPr>
          <w:rFonts w:ascii="Arial" w:hAnsi="Arial" w:cs="Arial"/>
          <w:bCs/>
          <w:spacing w:val="-3"/>
          <w:sz w:val="24"/>
          <w:szCs w:val="24"/>
          <w:lang w:val="es-ES_tradnl"/>
        </w:rPr>
        <w:t xml:space="preserve"> el C.</w:t>
      </w:r>
      <w:r w:rsidRPr="00BB1B71">
        <w:rPr>
          <w:rFonts w:ascii="Arial" w:hAnsi="Arial" w:cs="Arial"/>
          <w:bCs/>
          <w:spacing w:val="-3"/>
          <w:sz w:val="24"/>
          <w:szCs w:val="24"/>
          <w:lang w:val="es-ES_tradnl"/>
        </w:rPr>
        <w:t xml:space="preserve"> </w:t>
      </w:r>
      <w:r w:rsidR="00511CD6">
        <w:rPr>
          <w:rFonts w:ascii="Arial" w:eastAsia="Times New Roman" w:hAnsi="Arial" w:cs="Arial"/>
          <w:color w:val="FF0000"/>
          <w:sz w:val="24"/>
          <w:szCs w:val="24"/>
          <w:lang w:val="es-ES_tradnl" w:eastAsia="es-ES"/>
        </w:rPr>
        <w:t>**********</w:t>
      </w:r>
      <w:r w:rsidR="00A20362">
        <w:rPr>
          <w:rFonts w:ascii="Arial" w:eastAsia="Times New Roman" w:hAnsi="Arial" w:cs="Arial"/>
          <w:sz w:val="24"/>
          <w:szCs w:val="24"/>
          <w:lang w:val="es-ES_tradnl" w:eastAsia="es-ES"/>
        </w:rPr>
        <w:t xml:space="preserve"> en representación de </w:t>
      </w:r>
      <w:r w:rsidR="00511CD6">
        <w:rPr>
          <w:rFonts w:ascii="Arial" w:eastAsia="Times New Roman" w:hAnsi="Arial" w:cs="Arial"/>
          <w:b/>
          <w:bCs/>
          <w:color w:val="FF0000"/>
          <w:sz w:val="24"/>
          <w:szCs w:val="24"/>
          <w:lang w:val="es-ES_tradnl" w:eastAsia="es-ES"/>
        </w:rPr>
        <w:t>**********</w:t>
      </w:r>
      <w:r w:rsidR="002F388E">
        <w:rPr>
          <w:rFonts w:ascii="Arial" w:hAnsi="Arial" w:cs="Arial"/>
          <w:bCs/>
          <w:spacing w:val="-3"/>
          <w:sz w:val="24"/>
          <w:szCs w:val="24"/>
          <w:lang w:val="es-ES_tradnl"/>
        </w:rPr>
        <w:t xml:space="preserve">, </w:t>
      </w:r>
      <w:r w:rsidRPr="00BB1B71">
        <w:rPr>
          <w:rFonts w:ascii="Arial" w:hAnsi="Arial" w:cs="Arial"/>
          <w:bCs/>
          <w:spacing w:val="-3"/>
          <w:sz w:val="24"/>
          <w:szCs w:val="24"/>
          <w:lang w:val="es-ES_tradnl"/>
        </w:rPr>
        <w:t>presentó en la Oficialía de</w:t>
      </w:r>
      <w:r w:rsidR="002F388E">
        <w:rPr>
          <w:rFonts w:ascii="Arial" w:hAnsi="Arial" w:cs="Arial"/>
          <w:bCs/>
          <w:spacing w:val="-3"/>
          <w:sz w:val="24"/>
          <w:szCs w:val="24"/>
          <w:lang w:val="es-ES_tradnl"/>
        </w:rPr>
        <w:t xml:space="preserve"> Partes Común de e</w:t>
      </w:r>
      <w:r w:rsidR="00D80C5E">
        <w:rPr>
          <w:rFonts w:ascii="Arial" w:hAnsi="Arial" w:cs="Arial"/>
          <w:bCs/>
          <w:spacing w:val="-3"/>
          <w:sz w:val="24"/>
          <w:szCs w:val="24"/>
          <w:lang w:val="es-ES_tradnl"/>
        </w:rPr>
        <w:t>ste Tribunal escrito de demanda</w:t>
      </w:r>
      <w:r w:rsidR="002F388E">
        <w:rPr>
          <w:rFonts w:ascii="Arial" w:hAnsi="Arial" w:cs="Arial"/>
          <w:bCs/>
          <w:spacing w:val="-3"/>
          <w:sz w:val="24"/>
          <w:szCs w:val="24"/>
          <w:lang w:val="es-ES_tradnl"/>
        </w:rPr>
        <w:t xml:space="preserve"> en contra</w:t>
      </w:r>
      <w:r w:rsidRPr="00BB1B71">
        <w:rPr>
          <w:rFonts w:ascii="Arial" w:hAnsi="Arial" w:cs="Arial"/>
          <w:bCs/>
          <w:spacing w:val="-3"/>
          <w:sz w:val="24"/>
          <w:szCs w:val="24"/>
          <w:lang w:val="es-ES_tradnl"/>
        </w:rPr>
        <w:t xml:space="preserve"> de la </w:t>
      </w:r>
      <w:r w:rsidR="00B00DD7">
        <w:rPr>
          <w:rFonts w:ascii="Arial" w:hAnsi="Arial" w:cs="Arial"/>
          <w:bCs/>
          <w:spacing w:val="-3"/>
          <w:sz w:val="24"/>
          <w:szCs w:val="24"/>
          <w:lang w:val="es-ES_tradnl"/>
        </w:rPr>
        <w:t xml:space="preserve">resolución contenida en el oficio </w:t>
      </w:r>
      <w:r w:rsidR="00511CD6">
        <w:rPr>
          <w:rFonts w:ascii="Arial" w:hAnsi="Arial" w:cs="Arial"/>
          <w:bCs/>
          <w:color w:val="FF0000"/>
          <w:spacing w:val="-3"/>
          <w:sz w:val="24"/>
          <w:szCs w:val="24"/>
          <w:lang w:val="es-ES_tradnl"/>
        </w:rPr>
        <w:t>**********</w:t>
      </w:r>
      <w:r w:rsidR="00A20362">
        <w:rPr>
          <w:rFonts w:ascii="Arial" w:hAnsi="Arial" w:cs="Arial"/>
          <w:bCs/>
          <w:spacing w:val="-3"/>
          <w:sz w:val="24"/>
          <w:szCs w:val="24"/>
          <w:lang w:val="es-ES_tradnl"/>
        </w:rPr>
        <w:t xml:space="preserve"> de diecinueve de febrero</w:t>
      </w:r>
      <w:r w:rsidR="00B00DD7">
        <w:rPr>
          <w:rFonts w:ascii="Arial" w:hAnsi="Arial" w:cs="Arial"/>
          <w:bCs/>
          <w:spacing w:val="-3"/>
          <w:sz w:val="24"/>
          <w:szCs w:val="24"/>
          <w:lang w:val="es-ES_tradnl"/>
        </w:rPr>
        <w:t xml:space="preserve"> de dos mil diecinueve, mediante la cual la Directora de Ingresos y Recaudación de </w:t>
      </w:r>
      <w:r w:rsidR="00A20362">
        <w:rPr>
          <w:rFonts w:ascii="Arial" w:hAnsi="Arial" w:cs="Arial"/>
          <w:bCs/>
          <w:spacing w:val="-3"/>
          <w:sz w:val="24"/>
          <w:szCs w:val="24"/>
          <w:lang w:val="es-ES_tradnl"/>
        </w:rPr>
        <w:t>la Se</w:t>
      </w:r>
      <w:r w:rsidR="00B00DD7">
        <w:rPr>
          <w:rFonts w:ascii="Arial" w:hAnsi="Arial" w:cs="Arial"/>
          <w:bCs/>
          <w:spacing w:val="-3"/>
          <w:sz w:val="24"/>
          <w:szCs w:val="24"/>
          <w:lang w:val="es-ES_tradnl"/>
        </w:rPr>
        <w:t>cretaría</w:t>
      </w:r>
      <w:r w:rsidR="00A20362">
        <w:rPr>
          <w:rFonts w:ascii="Arial" w:hAnsi="Arial" w:cs="Arial"/>
          <w:bCs/>
          <w:spacing w:val="-3"/>
          <w:sz w:val="24"/>
          <w:szCs w:val="24"/>
          <w:lang w:val="es-ES_tradnl"/>
        </w:rPr>
        <w:t xml:space="preserve"> de Finanzas del Poder Ejecutivo del Estado de Oaxaca,</w:t>
      </w:r>
      <w:r w:rsidR="00B00DD7">
        <w:rPr>
          <w:rFonts w:ascii="Arial" w:hAnsi="Arial" w:cs="Arial"/>
          <w:bCs/>
          <w:spacing w:val="-3"/>
          <w:sz w:val="24"/>
          <w:szCs w:val="24"/>
          <w:lang w:val="es-ES_tradnl"/>
        </w:rPr>
        <w:t xml:space="preserve"> le impone una multa en cantidad de $</w:t>
      </w:r>
      <w:r w:rsidR="00E6608F">
        <w:rPr>
          <w:rFonts w:ascii="Arial" w:hAnsi="Arial" w:cs="Arial"/>
          <w:bCs/>
          <w:spacing w:val="-3"/>
          <w:sz w:val="24"/>
          <w:szCs w:val="24"/>
          <w:lang w:val="es-ES_tradnl"/>
        </w:rPr>
        <w:t>4,</w:t>
      </w:r>
      <w:r w:rsidR="00B00DD7">
        <w:rPr>
          <w:rFonts w:ascii="Arial" w:hAnsi="Arial" w:cs="Arial"/>
          <w:bCs/>
          <w:spacing w:val="-3"/>
          <w:sz w:val="24"/>
          <w:szCs w:val="24"/>
          <w:lang w:val="es-ES_tradnl"/>
        </w:rPr>
        <w:t>224.50</w:t>
      </w:r>
      <w:r w:rsidR="00A20362">
        <w:rPr>
          <w:rFonts w:ascii="Arial" w:hAnsi="Arial" w:cs="Arial"/>
          <w:bCs/>
          <w:spacing w:val="-3"/>
          <w:sz w:val="24"/>
          <w:szCs w:val="24"/>
          <w:lang w:val="es-ES_tradnl"/>
        </w:rPr>
        <w:t xml:space="preserve"> (cuatro mil doscientos veinticuatro 50/100)</w:t>
      </w:r>
      <w:r w:rsidR="00B00DD7">
        <w:rPr>
          <w:rFonts w:ascii="Arial" w:hAnsi="Arial" w:cs="Arial"/>
          <w:bCs/>
          <w:spacing w:val="-3"/>
          <w:sz w:val="24"/>
          <w:szCs w:val="24"/>
          <w:lang w:val="es-ES_tradnl"/>
        </w:rPr>
        <w:t xml:space="preserve"> por no presentar la</w:t>
      </w:r>
      <w:r w:rsidR="00A20362">
        <w:rPr>
          <w:rFonts w:ascii="Arial" w:hAnsi="Arial" w:cs="Arial"/>
          <w:bCs/>
          <w:spacing w:val="-3"/>
          <w:sz w:val="24"/>
          <w:szCs w:val="24"/>
          <w:lang w:val="es-ES_tradnl"/>
        </w:rPr>
        <w:t>s declaracio</w:t>
      </w:r>
      <w:r w:rsidR="00B00DD7">
        <w:rPr>
          <w:rFonts w:ascii="Arial" w:hAnsi="Arial" w:cs="Arial"/>
          <w:bCs/>
          <w:spacing w:val="-3"/>
          <w:sz w:val="24"/>
          <w:szCs w:val="24"/>
          <w:lang w:val="es-ES_tradnl"/>
        </w:rPr>
        <w:t>n</w:t>
      </w:r>
      <w:r w:rsidR="00A20362">
        <w:rPr>
          <w:rFonts w:ascii="Arial" w:hAnsi="Arial" w:cs="Arial"/>
          <w:bCs/>
          <w:spacing w:val="-3"/>
          <w:sz w:val="24"/>
          <w:szCs w:val="24"/>
          <w:lang w:val="es-ES_tradnl"/>
        </w:rPr>
        <w:t>es</w:t>
      </w:r>
      <w:r w:rsidR="00B00DD7">
        <w:rPr>
          <w:rFonts w:ascii="Arial" w:hAnsi="Arial" w:cs="Arial"/>
          <w:bCs/>
          <w:spacing w:val="-3"/>
          <w:sz w:val="24"/>
          <w:szCs w:val="24"/>
          <w:lang w:val="es-ES_tradnl"/>
        </w:rPr>
        <w:t xml:space="preserve"> bimestral</w:t>
      </w:r>
      <w:r w:rsidR="00A20362">
        <w:rPr>
          <w:rFonts w:ascii="Arial" w:hAnsi="Arial" w:cs="Arial"/>
          <w:bCs/>
          <w:spacing w:val="-3"/>
          <w:sz w:val="24"/>
          <w:szCs w:val="24"/>
          <w:lang w:val="es-ES_tradnl"/>
        </w:rPr>
        <w:t>es</w:t>
      </w:r>
      <w:r w:rsidR="00B00DD7">
        <w:rPr>
          <w:rFonts w:ascii="Arial" w:hAnsi="Arial" w:cs="Arial"/>
          <w:bCs/>
          <w:spacing w:val="-3"/>
          <w:sz w:val="24"/>
          <w:szCs w:val="24"/>
          <w:lang w:val="es-ES_tradnl"/>
        </w:rPr>
        <w:t xml:space="preserve"> definitiva del Impuesto Sobre Erogaciones por Remuneraciones al Trabajo Personal, correspondiente</w:t>
      </w:r>
      <w:r w:rsidR="00A20362">
        <w:rPr>
          <w:rFonts w:ascii="Arial" w:hAnsi="Arial" w:cs="Arial"/>
          <w:bCs/>
          <w:spacing w:val="-3"/>
          <w:sz w:val="24"/>
          <w:szCs w:val="24"/>
          <w:lang w:val="es-ES_tradnl"/>
        </w:rPr>
        <w:t>s al 3</w:t>
      </w:r>
      <w:r w:rsidR="00B00DD7">
        <w:rPr>
          <w:rFonts w:ascii="Arial" w:hAnsi="Arial" w:cs="Arial"/>
          <w:bCs/>
          <w:spacing w:val="-3"/>
          <w:sz w:val="24"/>
          <w:szCs w:val="24"/>
          <w:lang w:val="es-ES_tradnl"/>
        </w:rPr>
        <w:t>°</w:t>
      </w:r>
      <w:r w:rsidR="00A20362">
        <w:rPr>
          <w:rFonts w:ascii="Arial" w:hAnsi="Arial" w:cs="Arial"/>
          <w:bCs/>
          <w:spacing w:val="-3"/>
          <w:sz w:val="24"/>
          <w:szCs w:val="24"/>
          <w:lang w:val="es-ES_tradnl"/>
        </w:rPr>
        <w:t>, 4°, 5° y 6°</w:t>
      </w:r>
      <w:r w:rsidR="00B00DD7">
        <w:rPr>
          <w:rFonts w:ascii="Arial" w:hAnsi="Arial" w:cs="Arial"/>
          <w:bCs/>
          <w:spacing w:val="-3"/>
          <w:sz w:val="24"/>
          <w:szCs w:val="24"/>
          <w:lang w:val="es-ES_tradnl"/>
        </w:rPr>
        <w:t xml:space="preserve"> bimestre</w:t>
      </w:r>
      <w:r w:rsidR="00A20362">
        <w:rPr>
          <w:rFonts w:ascii="Arial" w:hAnsi="Arial" w:cs="Arial"/>
          <w:bCs/>
          <w:spacing w:val="-3"/>
          <w:sz w:val="24"/>
          <w:szCs w:val="24"/>
          <w:lang w:val="es-ES_tradnl"/>
        </w:rPr>
        <w:t>s</w:t>
      </w:r>
      <w:r w:rsidR="00B00DD7">
        <w:rPr>
          <w:rFonts w:ascii="Arial" w:hAnsi="Arial" w:cs="Arial"/>
          <w:bCs/>
          <w:spacing w:val="-3"/>
          <w:sz w:val="24"/>
          <w:szCs w:val="24"/>
          <w:lang w:val="es-ES_tradnl"/>
        </w:rPr>
        <w:t xml:space="preserve"> del ejercicio 2</w:t>
      </w:r>
      <w:r w:rsidR="00A20362">
        <w:rPr>
          <w:rFonts w:ascii="Arial" w:hAnsi="Arial" w:cs="Arial"/>
          <w:bCs/>
          <w:spacing w:val="-3"/>
          <w:sz w:val="24"/>
          <w:szCs w:val="24"/>
          <w:lang w:val="es-ES_tradnl"/>
        </w:rPr>
        <w:t>018</w:t>
      </w:r>
      <w:r w:rsidR="00143037">
        <w:rPr>
          <w:rFonts w:ascii="Arial" w:hAnsi="Arial" w:cs="Arial"/>
          <w:bCs/>
          <w:spacing w:val="-3"/>
          <w:sz w:val="24"/>
          <w:szCs w:val="24"/>
          <w:lang w:val="es-ES_tradnl"/>
        </w:rPr>
        <w:t>.</w:t>
      </w:r>
    </w:p>
    <w:p w14:paraId="5DB87391" w14:textId="77777777" w:rsidR="001C4867" w:rsidRPr="00BB1B71" w:rsidRDefault="00875701" w:rsidP="001C4867">
      <w:pPr>
        <w:spacing w:line="360" w:lineRule="auto"/>
        <w:ind w:firstLine="567"/>
        <w:jc w:val="both"/>
        <w:rPr>
          <w:rFonts w:ascii="Arial" w:hAnsi="Arial" w:cs="Arial"/>
          <w:bCs/>
          <w:spacing w:val="-3"/>
          <w:sz w:val="24"/>
          <w:szCs w:val="24"/>
          <w:lang w:val="es-ES_tradnl"/>
        </w:rPr>
      </w:pPr>
      <w:proofErr w:type="gramStart"/>
      <w:r w:rsidRPr="00875701">
        <w:rPr>
          <w:rFonts w:ascii="Arial" w:hAnsi="Arial" w:cs="Arial"/>
          <w:b/>
          <w:bCs/>
          <w:spacing w:val="-3"/>
          <w:sz w:val="24"/>
          <w:szCs w:val="24"/>
          <w:lang w:val="es-ES_tradnl"/>
        </w:rPr>
        <w:t>SEGUNDO.-</w:t>
      </w:r>
      <w:proofErr w:type="gramEnd"/>
      <w:r>
        <w:rPr>
          <w:rFonts w:ascii="Arial" w:hAnsi="Arial" w:cs="Arial"/>
          <w:bCs/>
          <w:spacing w:val="-3"/>
          <w:sz w:val="24"/>
          <w:szCs w:val="24"/>
          <w:lang w:val="es-ES_tradnl"/>
        </w:rPr>
        <w:t xml:space="preserve"> </w:t>
      </w:r>
      <w:r w:rsidR="001C4867" w:rsidRPr="00BB1B71">
        <w:rPr>
          <w:rFonts w:ascii="Arial" w:hAnsi="Arial" w:cs="Arial"/>
          <w:bCs/>
          <w:spacing w:val="-3"/>
          <w:sz w:val="24"/>
          <w:szCs w:val="24"/>
          <w:lang w:val="es-ES_tradnl"/>
        </w:rPr>
        <w:t xml:space="preserve">Por </w:t>
      </w:r>
      <w:r w:rsidR="00C150D4">
        <w:rPr>
          <w:rFonts w:ascii="Arial" w:hAnsi="Arial" w:cs="Arial"/>
          <w:bCs/>
          <w:spacing w:val="-3"/>
          <w:sz w:val="24"/>
          <w:szCs w:val="24"/>
          <w:lang w:val="es-ES_tradnl"/>
        </w:rPr>
        <w:t>acuerdo de diecisiete de junio</w:t>
      </w:r>
      <w:r>
        <w:rPr>
          <w:rFonts w:ascii="Arial" w:hAnsi="Arial" w:cs="Arial"/>
          <w:bCs/>
          <w:spacing w:val="-3"/>
          <w:sz w:val="24"/>
          <w:szCs w:val="24"/>
          <w:lang w:val="es-ES_tradnl"/>
        </w:rPr>
        <w:t xml:space="preserve"> indicado</w:t>
      </w:r>
      <w:r w:rsidR="001C4867" w:rsidRPr="00BB1B71">
        <w:rPr>
          <w:rFonts w:ascii="Arial" w:hAnsi="Arial" w:cs="Arial"/>
          <w:bCs/>
          <w:spacing w:val="-3"/>
          <w:sz w:val="24"/>
          <w:szCs w:val="24"/>
          <w:lang w:val="es-ES_tradnl"/>
        </w:rPr>
        <w:t xml:space="preserve">, se admitió a trámite la demanda, ordenándose notificar, emplazar y correr traslado a la autoridad demandada, para que produjera su contestación en los términos de ley. </w:t>
      </w:r>
    </w:p>
    <w:p w14:paraId="08366556" w14:textId="5D0C1A8F" w:rsidR="00F76724" w:rsidRDefault="00875701" w:rsidP="001C4867">
      <w:pPr>
        <w:spacing w:line="360" w:lineRule="auto"/>
        <w:ind w:firstLine="567"/>
        <w:jc w:val="both"/>
        <w:rPr>
          <w:rFonts w:ascii="Arial" w:hAnsi="Arial" w:cs="Arial"/>
          <w:bCs/>
          <w:spacing w:val="-3"/>
          <w:sz w:val="24"/>
          <w:szCs w:val="24"/>
          <w:lang w:val="es-ES_tradnl"/>
        </w:rPr>
      </w:pPr>
      <w:proofErr w:type="gramStart"/>
      <w:r>
        <w:rPr>
          <w:rFonts w:ascii="Arial" w:hAnsi="Arial" w:cs="Arial"/>
          <w:b/>
          <w:spacing w:val="-3"/>
          <w:sz w:val="24"/>
          <w:szCs w:val="24"/>
          <w:lang w:val="es-ES_tradnl"/>
        </w:rPr>
        <w:lastRenderedPageBreak/>
        <w:t>TERCER</w:t>
      </w:r>
      <w:r w:rsidR="001C4867" w:rsidRPr="00BB1B71">
        <w:rPr>
          <w:rFonts w:ascii="Arial" w:hAnsi="Arial" w:cs="Arial"/>
          <w:b/>
          <w:spacing w:val="-3"/>
          <w:sz w:val="24"/>
          <w:szCs w:val="24"/>
          <w:lang w:val="es-ES_tradnl"/>
        </w:rPr>
        <w:t>O.-</w:t>
      </w:r>
      <w:proofErr w:type="gramEnd"/>
      <w:r w:rsidR="001C4867" w:rsidRPr="00BB1B71">
        <w:rPr>
          <w:rFonts w:ascii="Arial" w:hAnsi="Arial" w:cs="Arial"/>
          <w:bCs/>
          <w:spacing w:val="-3"/>
          <w:sz w:val="24"/>
          <w:szCs w:val="24"/>
          <w:lang w:val="es-ES_tradnl"/>
        </w:rPr>
        <w:t xml:space="preserve"> </w:t>
      </w:r>
      <w:r w:rsidR="00E62D02">
        <w:rPr>
          <w:rFonts w:ascii="Arial" w:hAnsi="Arial" w:cs="Arial"/>
          <w:bCs/>
          <w:spacing w:val="-3"/>
          <w:sz w:val="24"/>
          <w:szCs w:val="24"/>
          <w:lang w:val="es-ES_tradnl"/>
        </w:rPr>
        <w:t>Mediante o</w:t>
      </w:r>
      <w:r w:rsidR="00C150D4">
        <w:rPr>
          <w:rFonts w:ascii="Arial" w:hAnsi="Arial" w:cs="Arial"/>
          <w:bCs/>
          <w:spacing w:val="-3"/>
          <w:sz w:val="24"/>
          <w:szCs w:val="24"/>
          <w:lang w:val="es-ES_tradnl"/>
        </w:rPr>
        <w:t xml:space="preserve">ficio número </w:t>
      </w:r>
      <w:r w:rsidR="00511CD6">
        <w:rPr>
          <w:rFonts w:ascii="Arial" w:hAnsi="Arial" w:cs="Arial"/>
          <w:bCs/>
          <w:spacing w:val="-3"/>
          <w:sz w:val="24"/>
          <w:szCs w:val="24"/>
          <w:lang w:val="es-ES_tradnl"/>
        </w:rPr>
        <w:t>**********</w:t>
      </w:r>
      <w:r>
        <w:rPr>
          <w:rFonts w:ascii="Arial" w:hAnsi="Arial" w:cs="Arial"/>
          <w:bCs/>
          <w:spacing w:val="-3"/>
          <w:sz w:val="24"/>
          <w:szCs w:val="24"/>
          <w:lang w:val="es-ES_tradnl"/>
        </w:rPr>
        <w:t xml:space="preserve"> de </w:t>
      </w:r>
      <w:r w:rsidR="00C150D4">
        <w:rPr>
          <w:rFonts w:ascii="Arial" w:hAnsi="Arial" w:cs="Arial"/>
          <w:bCs/>
          <w:spacing w:val="-3"/>
          <w:sz w:val="24"/>
          <w:szCs w:val="24"/>
          <w:lang w:val="es-ES_tradnl"/>
        </w:rPr>
        <w:t xml:space="preserve">diez de julio de </w:t>
      </w:r>
      <w:r w:rsidR="00E62D02">
        <w:rPr>
          <w:rFonts w:ascii="Arial" w:hAnsi="Arial" w:cs="Arial"/>
          <w:bCs/>
          <w:spacing w:val="-3"/>
          <w:sz w:val="24"/>
          <w:szCs w:val="24"/>
          <w:lang w:val="es-ES_tradnl"/>
        </w:rPr>
        <w:t xml:space="preserve">dos mil </w:t>
      </w:r>
      <w:r w:rsidR="00C150D4">
        <w:rPr>
          <w:rFonts w:ascii="Arial" w:hAnsi="Arial" w:cs="Arial"/>
          <w:bCs/>
          <w:spacing w:val="-3"/>
          <w:sz w:val="24"/>
          <w:szCs w:val="24"/>
          <w:lang w:val="es-ES_tradnl"/>
        </w:rPr>
        <w:t>diecinueve</w:t>
      </w:r>
      <w:r w:rsidR="00E62D02">
        <w:rPr>
          <w:rFonts w:ascii="Arial" w:hAnsi="Arial" w:cs="Arial"/>
          <w:bCs/>
          <w:spacing w:val="-3"/>
          <w:sz w:val="24"/>
          <w:szCs w:val="24"/>
          <w:lang w:val="es-ES_tradnl"/>
        </w:rPr>
        <w:t>, la Directora de lo Contencioso de la Procuraduría Fiscal de la Secretaría de Ingresos de la Secretaría de Finanzas del Poder Ejecutivo del Estado</w:t>
      </w:r>
      <w:r w:rsidR="00EF0E6E">
        <w:rPr>
          <w:rFonts w:ascii="Arial" w:hAnsi="Arial" w:cs="Arial"/>
          <w:bCs/>
          <w:spacing w:val="-3"/>
          <w:sz w:val="24"/>
          <w:szCs w:val="24"/>
          <w:lang w:val="es-ES_tradnl"/>
        </w:rPr>
        <w:t xml:space="preserve"> en representación de la autoridad demandada</w:t>
      </w:r>
      <w:r w:rsidR="00E62D02">
        <w:rPr>
          <w:rFonts w:ascii="Arial" w:hAnsi="Arial" w:cs="Arial"/>
          <w:bCs/>
          <w:spacing w:val="-3"/>
          <w:sz w:val="24"/>
          <w:szCs w:val="24"/>
          <w:lang w:val="es-ES_tradnl"/>
        </w:rPr>
        <w:t>, produjo su contestación de demanda.</w:t>
      </w:r>
    </w:p>
    <w:p w14:paraId="29DA37AF" w14:textId="77777777" w:rsidR="00F153C9" w:rsidRPr="00BB1B71" w:rsidRDefault="00F76724" w:rsidP="001C4867">
      <w:pPr>
        <w:spacing w:line="360" w:lineRule="auto"/>
        <w:ind w:firstLine="567"/>
        <w:jc w:val="both"/>
        <w:rPr>
          <w:rFonts w:ascii="Arial" w:hAnsi="Arial" w:cs="Arial"/>
          <w:bCs/>
          <w:spacing w:val="-3"/>
          <w:sz w:val="24"/>
          <w:szCs w:val="24"/>
          <w:lang w:val="es-ES_tradnl"/>
        </w:rPr>
      </w:pPr>
      <w:proofErr w:type="gramStart"/>
      <w:r w:rsidRPr="00F76724">
        <w:rPr>
          <w:rFonts w:ascii="Arial" w:hAnsi="Arial" w:cs="Arial"/>
          <w:b/>
          <w:bCs/>
          <w:spacing w:val="-3"/>
          <w:sz w:val="24"/>
          <w:szCs w:val="24"/>
          <w:lang w:val="es-ES_tradnl"/>
        </w:rPr>
        <w:t>CUARTO.-</w:t>
      </w:r>
      <w:proofErr w:type="gramEnd"/>
      <w:r w:rsidR="00E62D02">
        <w:rPr>
          <w:rFonts w:ascii="Arial" w:hAnsi="Arial" w:cs="Arial"/>
          <w:bCs/>
          <w:spacing w:val="-3"/>
          <w:sz w:val="24"/>
          <w:szCs w:val="24"/>
          <w:lang w:val="es-ES_tradnl"/>
        </w:rPr>
        <w:t xml:space="preserve"> </w:t>
      </w:r>
      <w:r w:rsidR="001C4867" w:rsidRPr="00BB1B71">
        <w:rPr>
          <w:rFonts w:ascii="Arial" w:hAnsi="Arial" w:cs="Arial"/>
          <w:bCs/>
          <w:spacing w:val="-3"/>
          <w:sz w:val="24"/>
          <w:szCs w:val="24"/>
          <w:lang w:val="es-ES_tradnl"/>
        </w:rPr>
        <w:t xml:space="preserve">Por </w:t>
      </w:r>
      <w:r>
        <w:rPr>
          <w:rFonts w:ascii="Arial" w:hAnsi="Arial" w:cs="Arial"/>
          <w:bCs/>
          <w:spacing w:val="-3"/>
          <w:sz w:val="24"/>
          <w:szCs w:val="24"/>
          <w:lang w:val="es-ES_tradnl"/>
        </w:rPr>
        <w:t>auto</w:t>
      </w:r>
      <w:r w:rsidR="001C4867" w:rsidRPr="00BB1B71">
        <w:rPr>
          <w:rFonts w:ascii="Arial" w:hAnsi="Arial" w:cs="Arial"/>
          <w:bCs/>
          <w:spacing w:val="-3"/>
          <w:sz w:val="24"/>
          <w:szCs w:val="24"/>
          <w:lang w:val="es-ES_tradnl"/>
        </w:rPr>
        <w:t xml:space="preserve"> de fecha </w:t>
      </w:r>
      <w:r>
        <w:rPr>
          <w:rFonts w:ascii="Arial" w:hAnsi="Arial" w:cs="Arial"/>
          <w:bCs/>
          <w:spacing w:val="-3"/>
          <w:sz w:val="24"/>
          <w:szCs w:val="24"/>
          <w:lang w:val="es-ES_tradnl"/>
        </w:rPr>
        <w:t>d</w:t>
      </w:r>
      <w:r w:rsidR="00C150D4">
        <w:rPr>
          <w:rFonts w:ascii="Arial" w:hAnsi="Arial" w:cs="Arial"/>
          <w:bCs/>
          <w:spacing w:val="-3"/>
          <w:sz w:val="24"/>
          <w:szCs w:val="24"/>
          <w:lang w:val="es-ES_tradnl"/>
        </w:rPr>
        <w:t xml:space="preserve">os de diciembre </w:t>
      </w:r>
      <w:r>
        <w:rPr>
          <w:rFonts w:ascii="Arial" w:hAnsi="Arial" w:cs="Arial"/>
          <w:bCs/>
          <w:spacing w:val="-3"/>
          <w:sz w:val="24"/>
          <w:szCs w:val="24"/>
          <w:lang w:val="es-ES_tradnl"/>
        </w:rPr>
        <w:t xml:space="preserve">de dos mil </w:t>
      </w:r>
      <w:r w:rsidR="00C150D4">
        <w:rPr>
          <w:rFonts w:ascii="Arial" w:hAnsi="Arial" w:cs="Arial"/>
          <w:bCs/>
          <w:spacing w:val="-3"/>
          <w:sz w:val="24"/>
          <w:szCs w:val="24"/>
          <w:lang w:val="es-ES_tradnl"/>
        </w:rPr>
        <w:t>diecinueve</w:t>
      </w:r>
      <w:r w:rsidR="00E62D02">
        <w:rPr>
          <w:rFonts w:ascii="Arial" w:hAnsi="Arial" w:cs="Arial"/>
          <w:bCs/>
          <w:spacing w:val="-3"/>
          <w:sz w:val="24"/>
          <w:szCs w:val="24"/>
          <w:lang w:val="es-ES_tradnl"/>
        </w:rPr>
        <w:t xml:space="preserve">, se </w:t>
      </w:r>
      <w:r w:rsidR="001C4867" w:rsidRPr="00BB1B71">
        <w:rPr>
          <w:rFonts w:ascii="Arial" w:hAnsi="Arial" w:cs="Arial"/>
          <w:bCs/>
          <w:spacing w:val="-3"/>
          <w:sz w:val="24"/>
          <w:szCs w:val="24"/>
          <w:lang w:val="es-ES_tradnl"/>
        </w:rPr>
        <w:t>tuvo</w:t>
      </w:r>
      <w:r w:rsidR="00E46AFE">
        <w:rPr>
          <w:rFonts w:ascii="Arial" w:hAnsi="Arial" w:cs="Arial"/>
          <w:bCs/>
          <w:spacing w:val="-3"/>
          <w:sz w:val="24"/>
          <w:szCs w:val="24"/>
          <w:lang w:val="es-ES_tradnl"/>
        </w:rPr>
        <w:t xml:space="preserve"> por contestada</w:t>
      </w:r>
      <w:r w:rsidR="001C4867" w:rsidRPr="00BB1B71">
        <w:rPr>
          <w:rFonts w:ascii="Arial" w:hAnsi="Arial" w:cs="Arial"/>
          <w:bCs/>
          <w:spacing w:val="-3"/>
          <w:sz w:val="24"/>
          <w:szCs w:val="24"/>
          <w:lang w:val="es-ES_tradnl"/>
        </w:rPr>
        <w:t xml:space="preserve"> la demanda</w:t>
      </w:r>
      <w:r w:rsidR="00E46AFE">
        <w:rPr>
          <w:rFonts w:ascii="Arial" w:hAnsi="Arial" w:cs="Arial"/>
          <w:bCs/>
          <w:spacing w:val="-3"/>
          <w:sz w:val="24"/>
          <w:szCs w:val="24"/>
          <w:lang w:val="es-ES_tradnl"/>
        </w:rPr>
        <w:t xml:space="preserve"> en los términos en que se</w:t>
      </w:r>
      <w:r w:rsidR="001C4867" w:rsidRPr="00BB1B71">
        <w:rPr>
          <w:rFonts w:ascii="Arial" w:hAnsi="Arial" w:cs="Arial"/>
          <w:bCs/>
          <w:spacing w:val="-3"/>
          <w:sz w:val="24"/>
          <w:szCs w:val="24"/>
          <w:lang w:val="es-ES_tradnl"/>
        </w:rPr>
        <w:t xml:space="preserve"> hizo, y se tuviero</w:t>
      </w:r>
      <w:r w:rsidR="00C150D4">
        <w:rPr>
          <w:rFonts w:ascii="Arial" w:hAnsi="Arial" w:cs="Arial"/>
          <w:bCs/>
          <w:spacing w:val="-3"/>
          <w:sz w:val="24"/>
          <w:szCs w:val="24"/>
          <w:lang w:val="es-ES_tradnl"/>
        </w:rPr>
        <w:t>n por admitidas las pruebas ofrecidas</w:t>
      </w:r>
      <w:r w:rsidR="001C4867" w:rsidRPr="00BB1B71">
        <w:rPr>
          <w:rFonts w:ascii="Arial" w:hAnsi="Arial" w:cs="Arial"/>
          <w:bCs/>
          <w:spacing w:val="-3"/>
          <w:sz w:val="24"/>
          <w:szCs w:val="24"/>
          <w:lang w:val="es-ES_tradnl"/>
        </w:rPr>
        <w:t>.</w:t>
      </w:r>
    </w:p>
    <w:p w14:paraId="33970B31" w14:textId="77777777" w:rsidR="00B35954" w:rsidRDefault="001F4C6A" w:rsidP="001C4867">
      <w:pPr>
        <w:spacing w:line="360" w:lineRule="auto"/>
        <w:ind w:firstLine="567"/>
        <w:jc w:val="both"/>
        <w:rPr>
          <w:rFonts w:ascii="Arial" w:hAnsi="Arial" w:cs="Arial"/>
          <w:bCs/>
          <w:spacing w:val="-3"/>
          <w:sz w:val="24"/>
          <w:szCs w:val="24"/>
          <w:lang w:val="es-ES_tradnl"/>
        </w:rPr>
      </w:pPr>
      <w:proofErr w:type="gramStart"/>
      <w:r>
        <w:rPr>
          <w:rFonts w:ascii="Arial" w:hAnsi="Arial" w:cs="Arial"/>
          <w:b/>
          <w:spacing w:val="-3"/>
          <w:sz w:val="24"/>
          <w:szCs w:val="24"/>
          <w:lang w:val="es-ES_tradnl"/>
        </w:rPr>
        <w:t>QUINTO</w:t>
      </w:r>
      <w:r w:rsidR="001C4867" w:rsidRPr="00BB1B71">
        <w:rPr>
          <w:rFonts w:ascii="Arial" w:hAnsi="Arial" w:cs="Arial"/>
          <w:b/>
          <w:spacing w:val="-3"/>
          <w:sz w:val="24"/>
          <w:szCs w:val="24"/>
          <w:lang w:val="es-ES_tradnl"/>
        </w:rPr>
        <w:t>.-</w:t>
      </w:r>
      <w:proofErr w:type="gramEnd"/>
      <w:r w:rsidR="001C4867" w:rsidRPr="00BB1B71">
        <w:rPr>
          <w:rFonts w:ascii="Arial" w:hAnsi="Arial" w:cs="Arial"/>
          <w:bCs/>
          <w:spacing w:val="-3"/>
          <w:sz w:val="24"/>
          <w:szCs w:val="24"/>
          <w:lang w:val="es-ES_tradnl"/>
        </w:rPr>
        <w:t xml:space="preserve"> </w:t>
      </w:r>
      <w:r w:rsidR="00B07C1F">
        <w:rPr>
          <w:rFonts w:ascii="Arial" w:hAnsi="Arial" w:cs="Arial"/>
          <w:bCs/>
          <w:spacing w:val="-3"/>
          <w:sz w:val="24"/>
          <w:szCs w:val="24"/>
          <w:lang w:val="es-ES_tradnl"/>
        </w:rPr>
        <w:t xml:space="preserve">Mediante acta levantada el </w:t>
      </w:r>
      <w:r w:rsidR="00C150D4">
        <w:rPr>
          <w:rFonts w:ascii="Arial" w:hAnsi="Arial" w:cs="Arial"/>
          <w:bCs/>
          <w:spacing w:val="-3"/>
          <w:sz w:val="24"/>
          <w:szCs w:val="24"/>
          <w:lang w:val="es-ES_tradnl"/>
        </w:rPr>
        <w:t>cuatro de n</w:t>
      </w:r>
      <w:r w:rsidR="00B07C1F">
        <w:rPr>
          <w:rFonts w:ascii="Arial" w:hAnsi="Arial" w:cs="Arial"/>
          <w:bCs/>
          <w:spacing w:val="-3"/>
          <w:sz w:val="24"/>
          <w:szCs w:val="24"/>
          <w:lang w:val="es-ES_tradnl"/>
        </w:rPr>
        <w:t>oviemb</w:t>
      </w:r>
      <w:r w:rsidR="00F667CC">
        <w:rPr>
          <w:rFonts w:ascii="Arial" w:hAnsi="Arial" w:cs="Arial"/>
          <w:bCs/>
          <w:spacing w:val="-3"/>
          <w:sz w:val="24"/>
          <w:szCs w:val="24"/>
          <w:lang w:val="es-ES_tradnl"/>
        </w:rPr>
        <w:t>re de dos mil veintiuno se celebró</w:t>
      </w:r>
      <w:r w:rsidR="00B07C1F">
        <w:rPr>
          <w:rFonts w:ascii="Arial" w:hAnsi="Arial" w:cs="Arial"/>
          <w:bCs/>
          <w:spacing w:val="-3"/>
          <w:sz w:val="24"/>
          <w:szCs w:val="24"/>
          <w:lang w:val="es-ES_tradnl"/>
        </w:rPr>
        <w:t xml:space="preserve"> </w:t>
      </w:r>
      <w:r w:rsidR="00F667CC">
        <w:rPr>
          <w:rFonts w:ascii="Arial" w:hAnsi="Arial" w:cs="Arial"/>
          <w:bCs/>
          <w:spacing w:val="-3"/>
          <w:sz w:val="24"/>
          <w:szCs w:val="24"/>
          <w:lang w:val="es-ES_tradnl"/>
        </w:rPr>
        <w:t>la audi</w:t>
      </w:r>
      <w:r w:rsidR="00B07C1F">
        <w:rPr>
          <w:rFonts w:ascii="Arial" w:hAnsi="Arial" w:cs="Arial"/>
          <w:bCs/>
          <w:spacing w:val="-3"/>
          <w:sz w:val="24"/>
          <w:szCs w:val="24"/>
          <w:lang w:val="es-ES_tradnl"/>
        </w:rPr>
        <w:t>e</w:t>
      </w:r>
      <w:r w:rsidR="00F667CC">
        <w:rPr>
          <w:rFonts w:ascii="Arial" w:hAnsi="Arial" w:cs="Arial"/>
          <w:bCs/>
          <w:spacing w:val="-3"/>
          <w:sz w:val="24"/>
          <w:szCs w:val="24"/>
          <w:lang w:val="es-ES_tradnl"/>
        </w:rPr>
        <w:t>ncia</w:t>
      </w:r>
      <w:r w:rsidR="00B07C1F">
        <w:rPr>
          <w:rFonts w:ascii="Arial" w:hAnsi="Arial" w:cs="Arial"/>
          <w:bCs/>
          <w:spacing w:val="-3"/>
          <w:sz w:val="24"/>
          <w:szCs w:val="24"/>
          <w:lang w:val="es-ES_tradnl"/>
        </w:rPr>
        <w:t xml:space="preserve"> fi</w:t>
      </w:r>
      <w:r w:rsidR="00F667CC">
        <w:rPr>
          <w:rFonts w:ascii="Arial" w:hAnsi="Arial" w:cs="Arial"/>
          <w:bCs/>
          <w:spacing w:val="-3"/>
          <w:sz w:val="24"/>
          <w:szCs w:val="24"/>
          <w:lang w:val="es-ES_tradnl"/>
        </w:rPr>
        <w:t>n</w:t>
      </w:r>
      <w:r w:rsidR="00B07C1F">
        <w:rPr>
          <w:rFonts w:ascii="Arial" w:hAnsi="Arial" w:cs="Arial"/>
          <w:bCs/>
          <w:spacing w:val="-3"/>
          <w:sz w:val="24"/>
          <w:szCs w:val="24"/>
          <w:lang w:val="es-ES_tradnl"/>
        </w:rPr>
        <w:t>al en el juicio, por lo que se emite la presente sen</w:t>
      </w:r>
      <w:r w:rsidR="00F667CC">
        <w:rPr>
          <w:rFonts w:ascii="Arial" w:hAnsi="Arial" w:cs="Arial"/>
          <w:bCs/>
          <w:spacing w:val="-3"/>
          <w:sz w:val="24"/>
          <w:szCs w:val="24"/>
          <w:lang w:val="es-ES_tradnl"/>
        </w:rPr>
        <w:t>ten</w:t>
      </w:r>
      <w:r w:rsidR="00B07C1F">
        <w:rPr>
          <w:rFonts w:ascii="Arial" w:hAnsi="Arial" w:cs="Arial"/>
          <w:bCs/>
          <w:spacing w:val="-3"/>
          <w:sz w:val="24"/>
          <w:szCs w:val="24"/>
          <w:lang w:val="es-ES_tradnl"/>
        </w:rPr>
        <w:t>cia, y;</w:t>
      </w:r>
      <w:r w:rsidR="00556738">
        <w:rPr>
          <w:rFonts w:ascii="Arial" w:hAnsi="Arial" w:cs="Arial"/>
          <w:bCs/>
          <w:spacing w:val="-3"/>
          <w:sz w:val="24"/>
          <w:szCs w:val="24"/>
          <w:lang w:val="es-ES_tradnl"/>
        </w:rPr>
        <w:t xml:space="preserve"> </w:t>
      </w:r>
    </w:p>
    <w:p w14:paraId="44952FBE" w14:textId="77777777" w:rsidR="001C4867" w:rsidRPr="00BB1B71" w:rsidRDefault="001C4867" w:rsidP="001C4867">
      <w:pPr>
        <w:spacing w:line="360" w:lineRule="auto"/>
        <w:jc w:val="both"/>
        <w:rPr>
          <w:rFonts w:ascii="Arial" w:hAnsi="Arial" w:cs="Arial"/>
          <w:b/>
          <w:spacing w:val="-3"/>
          <w:sz w:val="24"/>
          <w:szCs w:val="24"/>
          <w:lang w:val="es-ES_tradnl"/>
        </w:rPr>
      </w:pPr>
      <w:r w:rsidRPr="00BB1B71">
        <w:rPr>
          <w:rFonts w:ascii="Arial" w:hAnsi="Arial" w:cs="Arial"/>
          <w:b/>
          <w:spacing w:val="-3"/>
          <w:sz w:val="24"/>
          <w:szCs w:val="24"/>
          <w:lang w:val="es-ES_tradnl"/>
        </w:rPr>
        <w:tab/>
      </w:r>
      <w:r w:rsidRPr="00BB1B71">
        <w:rPr>
          <w:rFonts w:ascii="Arial" w:hAnsi="Arial" w:cs="Arial"/>
          <w:b/>
          <w:spacing w:val="-3"/>
          <w:sz w:val="24"/>
          <w:szCs w:val="24"/>
          <w:lang w:val="es-ES_tradnl"/>
        </w:rPr>
        <w:tab/>
      </w:r>
      <w:r w:rsidRPr="00BB1B71">
        <w:rPr>
          <w:rFonts w:ascii="Arial" w:hAnsi="Arial" w:cs="Arial"/>
          <w:b/>
          <w:spacing w:val="-3"/>
          <w:sz w:val="24"/>
          <w:szCs w:val="24"/>
          <w:lang w:val="es-ES_tradnl"/>
        </w:rPr>
        <w:tab/>
      </w:r>
      <w:r w:rsidRPr="00BB1B71">
        <w:rPr>
          <w:rFonts w:ascii="Arial" w:hAnsi="Arial" w:cs="Arial"/>
          <w:b/>
          <w:spacing w:val="-3"/>
          <w:sz w:val="24"/>
          <w:szCs w:val="24"/>
          <w:lang w:val="es-ES_tradnl"/>
        </w:rPr>
        <w:tab/>
        <w:t>C O N S I D E R A N D O:</w:t>
      </w:r>
    </w:p>
    <w:p w14:paraId="2A5556CE" w14:textId="77777777" w:rsidR="001B4717" w:rsidRPr="001B4717" w:rsidRDefault="001C4867"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BB1B71">
        <w:rPr>
          <w:rFonts w:ascii="Arial" w:hAnsi="Arial" w:cs="Arial"/>
          <w:b/>
          <w:sz w:val="24"/>
          <w:szCs w:val="24"/>
        </w:rPr>
        <w:t xml:space="preserve">PRIMERO. </w:t>
      </w:r>
      <w:r w:rsidR="001B4717" w:rsidRPr="001B4717">
        <w:rPr>
          <w:rFonts w:ascii="Arial" w:eastAsia="Arial" w:hAnsi="Arial" w:cs="Arial"/>
          <w:b/>
          <w:color w:val="000000"/>
          <w:sz w:val="24"/>
          <w:szCs w:val="24"/>
        </w:rPr>
        <w:t xml:space="preserve">Competencia. </w:t>
      </w:r>
      <w:r w:rsidR="001B4717" w:rsidRPr="001B4717">
        <w:rPr>
          <w:rFonts w:ascii="Arial" w:eastAsia="Arial" w:hAnsi="Arial" w:cs="Arial"/>
          <w:color w:val="000000"/>
          <w:sz w:val="24"/>
          <w:szCs w:val="24"/>
        </w:rPr>
        <w:t xml:space="preserve">Esta Sexta Sala Unitaria del Tribunal de Justicia Administrativa del Estado de Oaxaca, </w:t>
      </w:r>
      <w:r w:rsidR="001B4717" w:rsidRPr="001B4717">
        <w:rPr>
          <w:rFonts w:ascii="Arial" w:eastAsia="Arial" w:hAnsi="Arial" w:cs="Arial"/>
          <w:b/>
          <w:color w:val="000000"/>
          <w:sz w:val="24"/>
          <w:szCs w:val="24"/>
        </w:rPr>
        <w:t>es competente</w:t>
      </w:r>
      <w:r w:rsidR="001B4717" w:rsidRPr="001B4717">
        <w:rPr>
          <w:rFonts w:ascii="Arial" w:eastAsia="Arial" w:hAnsi="Arial" w:cs="Arial"/>
          <w:color w:val="000000"/>
          <w:sz w:val="24"/>
          <w:szCs w:val="24"/>
        </w:rPr>
        <w:t xml:space="preserve"> para conocer del presente asunto en términos de lo dispuesto por 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II de la Ley de Procedimiento y Justicia Administrativa para el Estado de Oaxaca, por tratarse de un juicio de nulidad promovido en contra de una autoridad administrativa de carácter Fiscal.</w:t>
      </w:r>
    </w:p>
    <w:p w14:paraId="26EFDAF4" w14:textId="77777777" w:rsidR="001C4867" w:rsidRDefault="001C4867" w:rsidP="001C4867">
      <w:pPr>
        <w:spacing w:line="360" w:lineRule="auto"/>
        <w:ind w:firstLine="567"/>
        <w:jc w:val="both"/>
        <w:rPr>
          <w:rFonts w:ascii="Arial" w:hAnsi="Arial" w:cs="Arial"/>
          <w:bCs/>
          <w:snapToGrid w:val="0"/>
          <w:sz w:val="24"/>
          <w:szCs w:val="24"/>
        </w:rPr>
      </w:pPr>
      <w:r w:rsidRPr="00BB1B71">
        <w:rPr>
          <w:rFonts w:ascii="Arial" w:hAnsi="Arial" w:cs="Arial"/>
          <w:b/>
          <w:snapToGrid w:val="0"/>
          <w:sz w:val="24"/>
          <w:szCs w:val="24"/>
        </w:rPr>
        <w:t xml:space="preserve">SEGUNDO. </w:t>
      </w:r>
      <w:r w:rsidR="00EC491A">
        <w:rPr>
          <w:rFonts w:ascii="Arial" w:hAnsi="Arial" w:cs="Arial"/>
          <w:b/>
          <w:snapToGrid w:val="0"/>
          <w:sz w:val="24"/>
          <w:szCs w:val="24"/>
        </w:rPr>
        <w:t xml:space="preserve">Personalidad. </w:t>
      </w:r>
      <w:r w:rsidRPr="00BB1B71">
        <w:rPr>
          <w:rFonts w:ascii="Arial" w:hAnsi="Arial" w:cs="Arial"/>
          <w:bCs/>
          <w:snapToGrid w:val="0"/>
          <w:sz w:val="24"/>
          <w:szCs w:val="24"/>
        </w:rPr>
        <w:t>La personalidad de las partes quedó acr</w:t>
      </w:r>
      <w:r w:rsidR="00B50177">
        <w:rPr>
          <w:rFonts w:ascii="Arial" w:hAnsi="Arial" w:cs="Arial"/>
          <w:bCs/>
          <w:snapToGrid w:val="0"/>
          <w:sz w:val="24"/>
          <w:szCs w:val="24"/>
        </w:rPr>
        <w:t>editada en autos en términos de los</w:t>
      </w:r>
      <w:r w:rsidRPr="00BB1B71">
        <w:rPr>
          <w:rFonts w:ascii="Arial" w:hAnsi="Arial" w:cs="Arial"/>
          <w:bCs/>
          <w:snapToGrid w:val="0"/>
          <w:sz w:val="24"/>
          <w:szCs w:val="24"/>
        </w:rPr>
        <w:t xml:space="preserve"> artículo</w:t>
      </w:r>
      <w:r w:rsidR="00B50177">
        <w:rPr>
          <w:rFonts w:ascii="Arial" w:hAnsi="Arial" w:cs="Arial"/>
          <w:bCs/>
          <w:snapToGrid w:val="0"/>
          <w:sz w:val="24"/>
          <w:szCs w:val="24"/>
        </w:rPr>
        <w:t>s</w:t>
      </w:r>
      <w:r w:rsidRPr="00BB1B71">
        <w:rPr>
          <w:rFonts w:ascii="Arial" w:hAnsi="Arial" w:cs="Arial"/>
          <w:bCs/>
          <w:snapToGrid w:val="0"/>
          <w:sz w:val="24"/>
          <w:szCs w:val="24"/>
        </w:rPr>
        <w:t xml:space="preserve"> 148 y 151 de la Ley de Procedimiento y Justicia Administrativa para el Estado de Oaxaca</w:t>
      </w:r>
      <w:r w:rsidR="00F02205">
        <w:rPr>
          <w:rFonts w:ascii="Arial" w:hAnsi="Arial" w:cs="Arial"/>
          <w:bCs/>
          <w:snapToGrid w:val="0"/>
          <w:sz w:val="24"/>
          <w:szCs w:val="24"/>
        </w:rPr>
        <w:t>.</w:t>
      </w:r>
    </w:p>
    <w:p w14:paraId="5AAF8C5E" w14:textId="77777777" w:rsidR="002B1AB3" w:rsidRPr="002B1AB3" w:rsidRDefault="00EC491A" w:rsidP="002B1AB3">
      <w:pPr>
        <w:spacing w:after="160" w:line="360" w:lineRule="auto"/>
        <w:ind w:firstLine="567"/>
        <w:jc w:val="both"/>
        <w:rPr>
          <w:rFonts w:ascii="Arial" w:eastAsia="Times New Roman" w:hAnsi="Arial" w:cs="Arial"/>
          <w:sz w:val="24"/>
          <w:szCs w:val="24"/>
          <w:lang w:val="es-ES_tradnl" w:eastAsia="es-ES"/>
        </w:rPr>
      </w:pPr>
      <w:r w:rsidRPr="00EC491A">
        <w:rPr>
          <w:rFonts w:ascii="Arial" w:eastAsia="Times New Roman" w:hAnsi="Arial" w:cs="Arial"/>
          <w:b/>
          <w:sz w:val="24"/>
          <w:szCs w:val="24"/>
          <w:lang w:val="es-ES_tradnl" w:eastAsia="es-ES"/>
        </w:rPr>
        <w:t>TERCERO.</w:t>
      </w:r>
      <w:r w:rsidR="002B1AB3">
        <w:rPr>
          <w:rFonts w:ascii="Arial" w:eastAsia="Times New Roman" w:hAnsi="Arial" w:cs="Arial"/>
          <w:b/>
          <w:sz w:val="24"/>
          <w:szCs w:val="24"/>
          <w:lang w:val="es-ES_tradnl" w:eastAsia="es-ES"/>
        </w:rPr>
        <w:t xml:space="preserve"> Existencia de la resolución Impugnada. </w:t>
      </w:r>
      <w:r w:rsidR="002B1AB3" w:rsidRPr="002B1AB3">
        <w:rPr>
          <w:rFonts w:ascii="Arial" w:eastAsia="Times New Roman" w:hAnsi="Arial" w:cs="Arial"/>
          <w:sz w:val="24"/>
          <w:szCs w:val="24"/>
          <w:lang w:val="es-ES_tradnl" w:eastAsia="es-ES"/>
        </w:rPr>
        <w:t xml:space="preserve">La existencia de la resolución impugnada quedó debidamente acreditada en autos en los términos de los artículos </w:t>
      </w:r>
      <w:r w:rsidR="00D25E2F">
        <w:rPr>
          <w:rFonts w:ascii="Arial" w:eastAsia="Times New Roman" w:hAnsi="Arial" w:cs="Arial"/>
          <w:sz w:val="24"/>
          <w:szCs w:val="24"/>
          <w:lang w:val="es-ES_tradnl" w:eastAsia="es-ES"/>
        </w:rPr>
        <w:t>286, 316 y 317 del Código</w:t>
      </w:r>
      <w:r w:rsidR="002B1AB3" w:rsidRPr="002B1AB3">
        <w:rPr>
          <w:rFonts w:ascii="Arial" w:eastAsia="Times New Roman" w:hAnsi="Arial" w:cs="Arial"/>
          <w:sz w:val="24"/>
          <w:szCs w:val="24"/>
          <w:lang w:val="es-ES_tradnl" w:eastAsia="es-ES"/>
        </w:rPr>
        <w:t xml:space="preserve"> de Procedimientos Civiles</w:t>
      </w:r>
      <w:r w:rsidR="00D25E2F">
        <w:rPr>
          <w:rFonts w:ascii="Arial" w:eastAsia="Times New Roman" w:hAnsi="Arial" w:cs="Arial"/>
          <w:sz w:val="24"/>
          <w:szCs w:val="24"/>
          <w:lang w:val="es-ES_tradnl" w:eastAsia="es-ES"/>
        </w:rPr>
        <w:t xml:space="preserve"> para el Estado de Oaxaca</w:t>
      </w:r>
      <w:r w:rsidR="002B1AB3" w:rsidRPr="002B1AB3">
        <w:rPr>
          <w:rFonts w:ascii="Arial" w:eastAsia="Times New Roman" w:hAnsi="Arial" w:cs="Arial"/>
          <w:sz w:val="24"/>
          <w:szCs w:val="24"/>
          <w:lang w:val="es-ES_tradnl" w:eastAsia="es-ES"/>
        </w:rPr>
        <w:t>, de aplicación supletoria</w:t>
      </w:r>
      <w:r w:rsidR="00D25E2F">
        <w:rPr>
          <w:rFonts w:ascii="Arial" w:eastAsia="Times New Roman" w:hAnsi="Arial" w:cs="Arial"/>
          <w:sz w:val="24"/>
          <w:szCs w:val="24"/>
          <w:lang w:val="es-ES_tradnl" w:eastAsia="es-ES"/>
        </w:rPr>
        <w:t xml:space="preserve"> en términos del artículo 3 de la Ley de Procedimiento y Justicia Administrativa para e</w:t>
      </w:r>
      <w:r w:rsidR="00D17957">
        <w:rPr>
          <w:rFonts w:ascii="Arial" w:eastAsia="Times New Roman" w:hAnsi="Arial" w:cs="Arial"/>
          <w:sz w:val="24"/>
          <w:szCs w:val="24"/>
          <w:lang w:val="es-ES_tradnl" w:eastAsia="es-ES"/>
        </w:rPr>
        <w:t>l</w:t>
      </w:r>
      <w:r w:rsidR="00D25E2F">
        <w:rPr>
          <w:rFonts w:ascii="Arial" w:eastAsia="Times New Roman" w:hAnsi="Arial" w:cs="Arial"/>
          <w:sz w:val="24"/>
          <w:szCs w:val="24"/>
          <w:lang w:val="es-ES_tradnl" w:eastAsia="es-ES"/>
        </w:rPr>
        <w:t xml:space="preserve"> Estado de Oaxaca</w:t>
      </w:r>
      <w:r w:rsidR="002B1AB3" w:rsidRPr="002B1AB3">
        <w:rPr>
          <w:rFonts w:ascii="Arial" w:eastAsia="Times New Roman" w:hAnsi="Arial" w:cs="Arial"/>
          <w:sz w:val="24"/>
          <w:szCs w:val="24"/>
          <w:lang w:val="es-ES_tradnl" w:eastAsia="es-ES"/>
        </w:rPr>
        <w:t>, con la exhibición del oficio que la contiene por parte de la actora y con el reconocimiento de su emisión por parte de la autoridad demandada.</w:t>
      </w:r>
    </w:p>
    <w:p w14:paraId="1BA8E82A" w14:textId="77777777" w:rsidR="00EC491A" w:rsidRPr="00EC491A" w:rsidRDefault="002B1AB3" w:rsidP="00EC491A">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CUARTO.</w:t>
      </w:r>
      <w:r w:rsidR="00EC491A" w:rsidRPr="00EC491A">
        <w:rPr>
          <w:rFonts w:ascii="Arial" w:eastAsia="Times New Roman" w:hAnsi="Arial" w:cs="Arial"/>
          <w:b/>
          <w:sz w:val="24"/>
          <w:szCs w:val="24"/>
          <w:lang w:val="es-ES_tradnl" w:eastAsia="es-ES"/>
        </w:rPr>
        <w:t xml:space="preserve"> Causales de</w:t>
      </w:r>
      <w:r w:rsidR="00EC491A" w:rsidRPr="00EC491A">
        <w:rPr>
          <w:rFonts w:ascii="Arial" w:eastAsia="Times New Roman" w:hAnsi="Arial" w:cs="Arial"/>
          <w:sz w:val="24"/>
          <w:szCs w:val="24"/>
          <w:lang w:val="es-ES_tradnl" w:eastAsia="es-ES"/>
        </w:rPr>
        <w:t xml:space="preserve"> </w:t>
      </w:r>
      <w:r w:rsidR="00EC491A" w:rsidRPr="00EC491A">
        <w:rPr>
          <w:rFonts w:ascii="Arial" w:eastAsia="Times New Roman" w:hAnsi="Arial" w:cs="Arial"/>
          <w:b/>
          <w:sz w:val="24"/>
          <w:szCs w:val="24"/>
          <w:lang w:val="es-ES_tradnl" w:eastAsia="es-ES"/>
        </w:rPr>
        <w:t xml:space="preserve">improcedencia y sobreseimiento. </w:t>
      </w:r>
      <w:r w:rsidR="00EC491A" w:rsidRPr="00EC491A">
        <w:rPr>
          <w:rFonts w:ascii="Arial" w:eastAsia="Times New Roman" w:hAnsi="Arial" w:cs="Arial"/>
          <w:sz w:val="24"/>
          <w:szCs w:val="24"/>
          <w:lang w:val="es-ES_tradnl" w:eastAsia="es-ES"/>
        </w:rPr>
        <w:t>Por ser</w:t>
      </w:r>
      <w:r w:rsidR="00EC491A" w:rsidRPr="00EC491A">
        <w:rPr>
          <w:rFonts w:ascii="Arial" w:eastAsia="Times New Roman" w:hAnsi="Arial" w:cs="Arial"/>
          <w:b/>
          <w:sz w:val="24"/>
          <w:szCs w:val="24"/>
          <w:lang w:val="es-ES_tradnl" w:eastAsia="es-ES"/>
        </w:rPr>
        <w:t xml:space="preserve"> </w:t>
      </w:r>
      <w:r w:rsidR="00EC491A" w:rsidRPr="00EC491A">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00EC491A" w:rsidRPr="00EC491A">
        <w:rPr>
          <w:rFonts w:ascii="Arial" w:eastAsia="Times New Roman" w:hAnsi="Arial" w:cs="Arial"/>
          <w:bCs/>
          <w:sz w:val="24"/>
          <w:szCs w:val="24"/>
          <w:lang w:eastAsia="es-ES"/>
        </w:rPr>
        <w:t>ya que, de actualizarse las hipótesis normativas, ello impide la resolución de fondo del asunto y deberá decretarse su sobreseimiento, en términos de los artículos 161 y 162,</w:t>
      </w:r>
      <w:r w:rsidR="00EC491A" w:rsidRPr="00EC491A">
        <w:rPr>
          <w:rFonts w:ascii="Arial" w:eastAsia="Times New Roman" w:hAnsi="Arial" w:cs="Arial"/>
          <w:sz w:val="24"/>
          <w:szCs w:val="24"/>
          <w:lang w:val="es-ES_tradnl" w:eastAsia="es-ES"/>
        </w:rPr>
        <w:t xml:space="preserve"> de la Ley de Procedimiento y Justici</w:t>
      </w:r>
      <w:r w:rsidR="00EC491A">
        <w:rPr>
          <w:rFonts w:ascii="Arial" w:eastAsia="Times New Roman" w:hAnsi="Arial" w:cs="Arial"/>
          <w:sz w:val="24"/>
          <w:szCs w:val="24"/>
          <w:lang w:val="es-ES_tradnl" w:eastAsia="es-ES"/>
        </w:rPr>
        <w:t>a Administrativa para el Estado, se procede al estudio de las mismas.</w:t>
      </w:r>
    </w:p>
    <w:p w14:paraId="39DF49F5" w14:textId="77777777" w:rsidR="009F6DBC" w:rsidRDefault="009F6DBC" w:rsidP="00C62196">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lastRenderedPageBreak/>
        <w:t xml:space="preserve">Advirtiendo esta Juzgadora del análisis que se realiza al expediente en que se actúa, que la </w:t>
      </w:r>
      <w:r w:rsidR="002C089D">
        <w:rPr>
          <w:rFonts w:ascii="Arial" w:hAnsi="Arial" w:cs="Arial"/>
          <w:bCs/>
          <w:snapToGrid w:val="0"/>
          <w:sz w:val="24"/>
          <w:szCs w:val="24"/>
        </w:rPr>
        <w:t xml:space="preserve">única </w:t>
      </w:r>
      <w:r>
        <w:rPr>
          <w:rFonts w:ascii="Arial" w:hAnsi="Arial" w:cs="Arial"/>
          <w:bCs/>
          <w:snapToGrid w:val="0"/>
          <w:sz w:val="24"/>
          <w:szCs w:val="24"/>
        </w:rPr>
        <w:t>causal de improcedencia que podría actualizarse en el caso es la contenida en el artículo 161 fracción IV de la Ley de Procedimiento y Justicia Administrativa para el Estado de Oaxaca.</w:t>
      </w:r>
    </w:p>
    <w:p w14:paraId="46250668" w14:textId="4D273D00" w:rsidR="00C62196" w:rsidRDefault="009F6DBC" w:rsidP="00C62196">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Lo anterior, toda vez que e</w:t>
      </w:r>
      <w:r w:rsidR="00C62196">
        <w:rPr>
          <w:rFonts w:ascii="Arial" w:hAnsi="Arial" w:cs="Arial"/>
          <w:bCs/>
          <w:snapToGrid w:val="0"/>
          <w:sz w:val="24"/>
          <w:szCs w:val="24"/>
        </w:rPr>
        <w:t>n el</w:t>
      </w:r>
      <w:r w:rsidR="00125BE9">
        <w:rPr>
          <w:rFonts w:ascii="Arial" w:hAnsi="Arial" w:cs="Arial"/>
          <w:bCs/>
          <w:snapToGrid w:val="0"/>
          <w:sz w:val="24"/>
          <w:szCs w:val="24"/>
        </w:rPr>
        <w:t xml:space="preserve"> agravio PRIMERO del</w:t>
      </w:r>
      <w:r w:rsidR="00C62196">
        <w:rPr>
          <w:rFonts w:ascii="Arial" w:hAnsi="Arial" w:cs="Arial"/>
          <w:bCs/>
          <w:snapToGrid w:val="0"/>
          <w:sz w:val="24"/>
          <w:szCs w:val="24"/>
        </w:rPr>
        <w:t xml:space="preserve"> escrito de demanda la actora manifestó bajo protesta de decir verdad no haber recibido acta de notificación, ni citatorio previo de la resolución impugnada</w:t>
      </w:r>
      <w:r w:rsidR="000D4FC4">
        <w:rPr>
          <w:rFonts w:ascii="Arial" w:hAnsi="Arial" w:cs="Arial"/>
          <w:bCs/>
          <w:snapToGrid w:val="0"/>
          <w:sz w:val="24"/>
          <w:szCs w:val="24"/>
        </w:rPr>
        <w:t xml:space="preserve"> contenida en el oficio </w:t>
      </w:r>
      <w:r w:rsidR="00511CD6">
        <w:rPr>
          <w:rFonts w:ascii="Arial" w:hAnsi="Arial" w:cs="Arial"/>
          <w:bCs/>
          <w:snapToGrid w:val="0"/>
          <w:color w:val="FF0000"/>
          <w:sz w:val="24"/>
          <w:szCs w:val="24"/>
        </w:rPr>
        <w:t>**********</w:t>
      </w:r>
      <w:r w:rsidR="00C62196">
        <w:rPr>
          <w:rFonts w:ascii="Arial" w:hAnsi="Arial" w:cs="Arial"/>
          <w:bCs/>
          <w:snapToGrid w:val="0"/>
          <w:sz w:val="24"/>
          <w:szCs w:val="24"/>
        </w:rPr>
        <w:t xml:space="preserve">, refiriendo haber tenido conocimiento de la misma el </w:t>
      </w:r>
      <w:r w:rsidR="00C62196" w:rsidRPr="00F47C1B">
        <w:rPr>
          <w:rFonts w:ascii="Arial" w:hAnsi="Arial" w:cs="Arial"/>
          <w:b/>
          <w:bCs/>
          <w:snapToGrid w:val="0"/>
          <w:sz w:val="24"/>
          <w:szCs w:val="24"/>
        </w:rPr>
        <w:t>die</w:t>
      </w:r>
      <w:r w:rsidR="004851E9">
        <w:rPr>
          <w:rFonts w:ascii="Arial" w:hAnsi="Arial" w:cs="Arial"/>
          <w:b/>
          <w:bCs/>
          <w:snapToGrid w:val="0"/>
          <w:sz w:val="24"/>
          <w:szCs w:val="24"/>
        </w:rPr>
        <w:t>z de mayo del año dos mil diecinueve</w:t>
      </w:r>
      <w:r w:rsidR="004851E9">
        <w:rPr>
          <w:rFonts w:ascii="Arial" w:hAnsi="Arial" w:cs="Arial"/>
          <w:bCs/>
          <w:snapToGrid w:val="0"/>
          <w:sz w:val="24"/>
          <w:szCs w:val="24"/>
        </w:rPr>
        <w:t xml:space="preserve"> (foja 2</w:t>
      </w:r>
      <w:r w:rsidR="00C62196">
        <w:rPr>
          <w:rFonts w:ascii="Arial" w:hAnsi="Arial" w:cs="Arial"/>
          <w:bCs/>
          <w:snapToGrid w:val="0"/>
          <w:sz w:val="24"/>
          <w:szCs w:val="24"/>
        </w:rPr>
        <w:t xml:space="preserve"> de autos)</w:t>
      </w:r>
      <w:r w:rsidR="006C415F">
        <w:rPr>
          <w:rFonts w:ascii="Arial" w:hAnsi="Arial" w:cs="Arial"/>
          <w:bCs/>
          <w:snapToGrid w:val="0"/>
          <w:sz w:val="24"/>
          <w:szCs w:val="24"/>
        </w:rPr>
        <w:t>, negando lisa y llanamente en términos del artículo 120 del Código Fi</w:t>
      </w:r>
      <w:r w:rsidR="00125BE9">
        <w:rPr>
          <w:rFonts w:ascii="Arial" w:hAnsi="Arial" w:cs="Arial"/>
          <w:bCs/>
          <w:snapToGrid w:val="0"/>
          <w:sz w:val="24"/>
          <w:szCs w:val="24"/>
        </w:rPr>
        <w:t>s</w:t>
      </w:r>
      <w:r w:rsidR="006C415F">
        <w:rPr>
          <w:rFonts w:ascii="Arial" w:hAnsi="Arial" w:cs="Arial"/>
          <w:bCs/>
          <w:snapToGrid w:val="0"/>
          <w:sz w:val="24"/>
          <w:szCs w:val="24"/>
        </w:rPr>
        <w:t>cal del Estado de Oaxaca</w:t>
      </w:r>
      <w:r w:rsidR="00125BE9">
        <w:rPr>
          <w:rFonts w:ascii="Arial" w:hAnsi="Arial" w:cs="Arial"/>
          <w:bCs/>
          <w:snapToGrid w:val="0"/>
          <w:sz w:val="24"/>
          <w:szCs w:val="24"/>
        </w:rPr>
        <w:t xml:space="preserve">, que la notificación del acto impugnado cumpla con lo establecido en los artículos 138, 140 y 141 del Código </w:t>
      </w:r>
      <w:r w:rsidR="00A90C04">
        <w:rPr>
          <w:rFonts w:ascii="Arial" w:hAnsi="Arial" w:cs="Arial"/>
          <w:bCs/>
          <w:snapToGrid w:val="0"/>
          <w:sz w:val="24"/>
          <w:szCs w:val="24"/>
        </w:rPr>
        <w:t>de referencia</w:t>
      </w:r>
      <w:r w:rsidR="00125BE9">
        <w:rPr>
          <w:rFonts w:ascii="Arial" w:hAnsi="Arial" w:cs="Arial"/>
          <w:bCs/>
          <w:snapToGrid w:val="0"/>
          <w:sz w:val="24"/>
          <w:szCs w:val="24"/>
        </w:rPr>
        <w:t xml:space="preserve"> </w:t>
      </w:r>
      <w:r w:rsidR="00C62196">
        <w:rPr>
          <w:rFonts w:ascii="Arial" w:hAnsi="Arial" w:cs="Arial"/>
          <w:bCs/>
          <w:snapToGrid w:val="0"/>
          <w:sz w:val="24"/>
          <w:szCs w:val="24"/>
        </w:rPr>
        <w:t>.</w:t>
      </w:r>
    </w:p>
    <w:p w14:paraId="1573ABC9" w14:textId="7EC82556" w:rsidR="00C62196" w:rsidRDefault="00C62196" w:rsidP="00C62196">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Por su parte la autoridad demandada con su oficio de contestación exhibió, entre otras probanzas, </w:t>
      </w:r>
      <w:r w:rsidR="00024CB1">
        <w:rPr>
          <w:rFonts w:ascii="Arial" w:hAnsi="Arial" w:cs="Arial"/>
          <w:bCs/>
          <w:snapToGrid w:val="0"/>
          <w:sz w:val="24"/>
          <w:szCs w:val="24"/>
        </w:rPr>
        <w:t xml:space="preserve">acuse de recibo </w:t>
      </w:r>
      <w:r w:rsidR="00511CD6">
        <w:rPr>
          <w:rFonts w:ascii="Arial" w:hAnsi="Arial" w:cs="Arial"/>
          <w:bCs/>
          <w:snapToGrid w:val="0"/>
          <w:color w:val="FF0000"/>
          <w:sz w:val="24"/>
          <w:szCs w:val="24"/>
        </w:rPr>
        <w:t>**********</w:t>
      </w:r>
      <w:r w:rsidR="00024CB1">
        <w:rPr>
          <w:rFonts w:ascii="Arial" w:hAnsi="Arial" w:cs="Arial"/>
          <w:bCs/>
          <w:snapToGrid w:val="0"/>
          <w:sz w:val="24"/>
          <w:szCs w:val="24"/>
        </w:rPr>
        <w:t xml:space="preserve">, </w:t>
      </w:r>
      <w:r w:rsidR="00813B78">
        <w:rPr>
          <w:rFonts w:ascii="Arial" w:hAnsi="Arial" w:cs="Arial"/>
          <w:bCs/>
          <w:snapToGrid w:val="0"/>
          <w:sz w:val="24"/>
          <w:szCs w:val="24"/>
        </w:rPr>
        <w:t xml:space="preserve">de fecha once de abril de dos mil diecinueve, </w:t>
      </w:r>
      <w:r w:rsidR="00024CB1">
        <w:rPr>
          <w:rFonts w:ascii="Arial" w:hAnsi="Arial" w:cs="Arial"/>
          <w:bCs/>
          <w:snapToGrid w:val="0"/>
          <w:sz w:val="24"/>
          <w:szCs w:val="24"/>
        </w:rPr>
        <w:t>referente al oficio con número de contro</w:t>
      </w:r>
      <w:r w:rsidR="007302F4">
        <w:rPr>
          <w:rFonts w:ascii="Arial" w:hAnsi="Arial" w:cs="Arial"/>
          <w:bCs/>
          <w:snapToGrid w:val="0"/>
          <w:sz w:val="24"/>
          <w:szCs w:val="24"/>
        </w:rPr>
        <w:t xml:space="preserve">l </w:t>
      </w:r>
      <w:r w:rsidR="00511CD6">
        <w:rPr>
          <w:rFonts w:ascii="Arial" w:hAnsi="Arial" w:cs="Arial"/>
          <w:bCs/>
          <w:snapToGrid w:val="0"/>
          <w:color w:val="FF0000"/>
          <w:sz w:val="24"/>
          <w:szCs w:val="24"/>
        </w:rPr>
        <w:t>**********</w:t>
      </w:r>
      <w:r w:rsidR="00024CB1">
        <w:rPr>
          <w:rFonts w:ascii="Arial" w:hAnsi="Arial" w:cs="Arial"/>
          <w:bCs/>
          <w:snapToGrid w:val="0"/>
          <w:sz w:val="24"/>
          <w:szCs w:val="24"/>
        </w:rPr>
        <w:t xml:space="preserve"> </w:t>
      </w:r>
      <w:r w:rsidR="00DE7003">
        <w:rPr>
          <w:rFonts w:ascii="Arial" w:hAnsi="Arial" w:cs="Arial"/>
          <w:bCs/>
          <w:snapToGrid w:val="0"/>
          <w:sz w:val="24"/>
          <w:szCs w:val="24"/>
        </w:rPr>
        <w:t>(foja 81</w:t>
      </w:r>
      <w:r w:rsidR="000D4FC4">
        <w:rPr>
          <w:rFonts w:ascii="Arial" w:hAnsi="Arial" w:cs="Arial"/>
          <w:bCs/>
          <w:snapToGrid w:val="0"/>
          <w:sz w:val="24"/>
          <w:szCs w:val="24"/>
        </w:rPr>
        <w:t xml:space="preserve"> de autos).</w:t>
      </w:r>
    </w:p>
    <w:p w14:paraId="1191F5FE" w14:textId="77777777" w:rsidR="00C62196" w:rsidRPr="00BB1B71" w:rsidRDefault="00F47C1B" w:rsidP="009F6DBC">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Ahora bien, el</w:t>
      </w:r>
      <w:r w:rsidR="009F6DBC">
        <w:rPr>
          <w:rFonts w:ascii="Arial" w:hAnsi="Arial" w:cs="Arial"/>
          <w:bCs/>
          <w:snapToGrid w:val="0"/>
          <w:sz w:val="24"/>
          <w:szCs w:val="24"/>
        </w:rPr>
        <w:t xml:space="preserve"> </w:t>
      </w:r>
      <w:r w:rsidR="003A2133">
        <w:rPr>
          <w:rFonts w:ascii="Arial" w:hAnsi="Arial" w:cs="Arial"/>
          <w:bCs/>
          <w:snapToGrid w:val="0"/>
          <w:sz w:val="24"/>
          <w:szCs w:val="24"/>
        </w:rPr>
        <w:t>artículo</w:t>
      </w:r>
      <w:r w:rsidR="00C62196" w:rsidRPr="00BB1B71">
        <w:rPr>
          <w:rFonts w:ascii="Arial" w:hAnsi="Arial" w:cs="Arial"/>
          <w:bCs/>
          <w:snapToGrid w:val="0"/>
          <w:sz w:val="24"/>
          <w:szCs w:val="24"/>
        </w:rPr>
        <w:t xml:space="preserve"> 161 fracción VI de la Ley de Procedimiento y Justicia Administrativa para el Estado de Oaxaca, textualmente di</w:t>
      </w:r>
      <w:r w:rsidR="00A9165A">
        <w:rPr>
          <w:rFonts w:ascii="Arial" w:hAnsi="Arial" w:cs="Arial"/>
          <w:bCs/>
          <w:snapToGrid w:val="0"/>
          <w:sz w:val="24"/>
          <w:szCs w:val="24"/>
        </w:rPr>
        <w:t>ce</w:t>
      </w:r>
      <w:r w:rsidR="003A2133">
        <w:rPr>
          <w:rFonts w:ascii="Arial" w:hAnsi="Arial" w:cs="Arial"/>
          <w:bCs/>
          <w:snapToGrid w:val="0"/>
          <w:sz w:val="24"/>
          <w:szCs w:val="24"/>
        </w:rPr>
        <w:t xml:space="preserve"> </w:t>
      </w:r>
      <w:r w:rsidR="00C62196">
        <w:rPr>
          <w:rFonts w:ascii="Arial" w:hAnsi="Arial" w:cs="Arial"/>
          <w:bCs/>
          <w:snapToGrid w:val="0"/>
          <w:sz w:val="24"/>
          <w:szCs w:val="24"/>
        </w:rPr>
        <w:t>lo siguiente:</w:t>
      </w:r>
    </w:p>
    <w:p w14:paraId="2796DF0D" w14:textId="77777777" w:rsidR="00C62196" w:rsidRPr="009F6DBC" w:rsidRDefault="00C62196" w:rsidP="00C62196">
      <w:pPr>
        <w:ind w:left="567" w:right="615"/>
        <w:jc w:val="both"/>
        <w:rPr>
          <w:rFonts w:ascii="Arial" w:hAnsi="Arial" w:cs="Arial"/>
          <w:bCs/>
          <w:iCs/>
          <w:snapToGrid w:val="0"/>
        </w:rPr>
      </w:pPr>
      <w:r w:rsidRPr="009F6DBC">
        <w:rPr>
          <w:rFonts w:ascii="Arial" w:hAnsi="Arial" w:cs="Arial"/>
          <w:b/>
          <w:iCs/>
          <w:snapToGrid w:val="0"/>
        </w:rPr>
        <w:t>ARTÍCULO 161.-</w:t>
      </w:r>
      <w:r w:rsidRPr="009F6DBC">
        <w:rPr>
          <w:rFonts w:ascii="Arial" w:hAnsi="Arial" w:cs="Arial"/>
          <w:bCs/>
          <w:iCs/>
          <w:snapToGrid w:val="0"/>
        </w:rPr>
        <w:t xml:space="preserve"> Es improcedente el juicio ante el Tribunal de lo Contencioso Administrativo y de Cuentas contra actos:</w:t>
      </w:r>
    </w:p>
    <w:p w14:paraId="61F7BE07" w14:textId="77777777" w:rsidR="00C62196" w:rsidRPr="009F6DBC" w:rsidRDefault="00C62196" w:rsidP="00C62196">
      <w:pPr>
        <w:ind w:left="567" w:right="615"/>
        <w:jc w:val="both"/>
        <w:rPr>
          <w:rFonts w:ascii="Arial" w:hAnsi="Arial" w:cs="Arial"/>
          <w:bCs/>
          <w:iCs/>
          <w:snapToGrid w:val="0"/>
        </w:rPr>
      </w:pPr>
      <w:r w:rsidRPr="009F6DBC">
        <w:rPr>
          <w:rFonts w:ascii="Arial" w:hAnsi="Arial" w:cs="Arial"/>
          <w:bCs/>
          <w:iCs/>
          <w:snapToGrid w:val="0"/>
        </w:rPr>
        <w:t>[…]</w:t>
      </w:r>
    </w:p>
    <w:p w14:paraId="7841F73E" w14:textId="77777777" w:rsidR="00C62196" w:rsidRPr="009F6DBC" w:rsidRDefault="00C62196" w:rsidP="00C62196">
      <w:pPr>
        <w:ind w:left="567" w:right="615"/>
        <w:jc w:val="both"/>
        <w:rPr>
          <w:rFonts w:ascii="Arial" w:hAnsi="Arial" w:cs="Arial"/>
          <w:bCs/>
          <w:iCs/>
          <w:snapToGrid w:val="0"/>
        </w:rPr>
      </w:pPr>
      <w:r w:rsidRPr="009F6DBC">
        <w:rPr>
          <w:rFonts w:ascii="Arial" w:hAnsi="Arial" w:cs="Arial"/>
          <w:b/>
          <w:iCs/>
          <w:snapToGrid w:val="0"/>
        </w:rPr>
        <w:t>VI.</w:t>
      </w:r>
      <w:r w:rsidRPr="009F6DBC">
        <w:rPr>
          <w:rFonts w:ascii="Arial" w:hAnsi="Arial" w:cs="Arial"/>
          <w:bCs/>
          <w:iCs/>
          <w:snapToGrid w:val="0"/>
        </w:rPr>
        <w:t xml:space="preserve"> Contra actos consentidos expresamente o por manifestaciones de voluntad que entrañen ese consentimiento, entendiéndose por éstos últimos, en contra de los cuales no se promueva el juicio dentro del término que para tal efecto señale esta Ley;</w:t>
      </w:r>
    </w:p>
    <w:p w14:paraId="15B70A86" w14:textId="77777777" w:rsidR="00A9165A" w:rsidRDefault="00C62196" w:rsidP="00C62196">
      <w:pPr>
        <w:spacing w:line="360" w:lineRule="auto"/>
        <w:ind w:right="51" w:firstLine="567"/>
        <w:jc w:val="both"/>
        <w:rPr>
          <w:rFonts w:ascii="Arial" w:hAnsi="Arial" w:cs="Arial"/>
          <w:bCs/>
          <w:snapToGrid w:val="0"/>
          <w:sz w:val="24"/>
          <w:szCs w:val="24"/>
        </w:rPr>
      </w:pPr>
      <w:r w:rsidRPr="00BB1B71">
        <w:rPr>
          <w:rFonts w:ascii="Arial" w:hAnsi="Arial" w:cs="Arial"/>
          <w:bCs/>
          <w:snapToGrid w:val="0"/>
          <w:sz w:val="24"/>
          <w:szCs w:val="24"/>
        </w:rPr>
        <w:t>Del dispositivo legal transcrito, se advierte entre otras cosas que será improcedente el juicio ante este Tribunal, contra actos consentidos expresamente y de los cuales no se promueva el juicio dentro del término que para tal efecto estable la Ley</w:t>
      </w:r>
      <w:r w:rsidR="00A9165A">
        <w:rPr>
          <w:rFonts w:ascii="Arial" w:hAnsi="Arial" w:cs="Arial"/>
          <w:bCs/>
          <w:snapToGrid w:val="0"/>
          <w:sz w:val="24"/>
          <w:szCs w:val="24"/>
        </w:rPr>
        <w:t>.</w:t>
      </w:r>
    </w:p>
    <w:p w14:paraId="2A1B7A0B" w14:textId="77777777" w:rsidR="00C62196" w:rsidRPr="00BB1B71" w:rsidRDefault="00A9165A" w:rsidP="00C62196">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Por </w:t>
      </w:r>
      <w:r w:rsidR="00E008FB">
        <w:rPr>
          <w:rFonts w:ascii="Arial" w:hAnsi="Arial" w:cs="Arial"/>
          <w:bCs/>
          <w:snapToGrid w:val="0"/>
          <w:sz w:val="24"/>
          <w:szCs w:val="24"/>
        </w:rPr>
        <w:t>su</w:t>
      </w:r>
      <w:r>
        <w:rPr>
          <w:rFonts w:ascii="Arial" w:hAnsi="Arial" w:cs="Arial"/>
          <w:bCs/>
          <w:snapToGrid w:val="0"/>
          <w:sz w:val="24"/>
          <w:szCs w:val="24"/>
        </w:rPr>
        <w:t xml:space="preserve"> parte el</w:t>
      </w:r>
      <w:r w:rsidR="00E008FB">
        <w:rPr>
          <w:rFonts w:ascii="Arial" w:hAnsi="Arial" w:cs="Arial"/>
          <w:bCs/>
          <w:snapToGrid w:val="0"/>
          <w:sz w:val="24"/>
          <w:szCs w:val="24"/>
        </w:rPr>
        <w:t xml:space="preserve"> </w:t>
      </w:r>
      <w:r w:rsidR="00C62196" w:rsidRPr="00BB1B71">
        <w:rPr>
          <w:rFonts w:ascii="Arial" w:hAnsi="Arial" w:cs="Arial"/>
          <w:bCs/>
          <w:snapToGrid w:val="0"/>
          <w:sz w:val="24"/>
          <w:szCs w:val="24"/>
        </w:rPr>
        <w:t xml:space="preserve">artículo 166 primer párrafo de la Ley de la materia, </w:t>
      </w:r>
      <w:r w:rsidR="00E008FB">
        <w:rPr>
          <w:rFonts w:ascii="Arial" w:hAnsi="Arial" w:cs="Arial"/>
          <w:bCs/>
          <w:snapToGrid w:val="0"/>
          <w:sz w:val="24"/>
          <w:szCs w:val="24"/>
        </w:rPr>
        <w:t>establece</w:t>
      </w:r>
      <w:r w:rsidR="00C62196">
        <w:rPr>
          <w:rFonts w:ascii="Arial" w:hAnsi="Arial" w:cs="Arial"/>
          <w:bCs/>
          <w:snapToGrid w:val="0"/>
          <w:sz w:val="24"/>
          <w:szCs w:val="24"/>
        </w:rPr>
        <w:t>:</w:t>
      </w:r>
    </w:p>
    <w:p w14:paraId="7B25B6C8" w14:textId="77777777" w:rsidR="00C62196" w:rsidRPr="00E008FB" w:rsidRDefault="00C62196" w:rsidP="00C62196">
      <w:pPr>
        <w:ind w:left="567" w:right="615"/>
        <w:jc w:val="both"/>
        <w:rPr>
          <w:rFonts w:ascii="Arial" w:hAnsi="Arial" w:cs="Arial"/>
          <w:bCs/>
          <w:iCs/>
          <w:snapToGrid w:val="0"/>
        </w:rPr>
      </w:pPr>
      <w:r w:rsidRPr="00E008FB">
        <w:rPr>
          <w:rFonts w:ascii="Arial" w:hAnsi="Arial" w:cs="Arial"/>
          <w:b/>
          <w:iCs/>
          <w:snapToGrid w:val="0"/>
        </w:rPr>
        <w:t>ARTICULO 166</w:t>
      </w:r>
      <w:r w:rsidRPr="00E008FB">
        <w:rPr>
          <w:rFonts w:ascii="Arial" w:hAnsi="Arial" w:cs="Arial"/>
          <w:iCs/>
          <w:snapToGrid w:val="0"/>
        </w:rPr>
        <w:t>.-</w:t>
      </w:r>
      <w:r w:rsidRPr="00E008FB">
        <w:rPr>
          <w:rFonts w:ascii="Arial" w:hAnsi="Arial" w:cs="Arial"/>
          <w:bCs/>
          <w:iCs/>
          <w:snapToGrid w:val="0"/>
        </w:rPr>
        <w:t xml:space="preserve"> El plazo para interponer la demanda ante el Tribunal de lo Contencioso Administrativo será de treinta días hábiles, contados a partir del día siguiente al en que surta efectos, conforme a la ley aplicable al acto, la notificación de la resolución o acto que se combata, o conste fehacientemente que el o los interesados o afectados tienen conocimiento del acto.</w:t>
      </w:r>
    </w:p>
    <w:p w14:paraId="70E21F19" w14:textId="77777777" w:rsidR="00A90C04" w:rsidRDefault="00A90C04" w:rsidP="00185A5F">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Dicho ordenamiento prevé el plazo para interponer demanda ante este Tribunal, siendo este de </w:t>
      </w:r>
      <w:r w:rsidRPr="00A90C04">
        <w:rPr>
          <w:rFonts w:ascii="Arial" w:hAnsi="Arial" w:cs="Arial"/>
          <w:bCs/>
          <w:iCs/>
          <w:snapToGrid w:val="0"/>
          <w:sz w:val="24"/>
          <w:szCs w:val="24"/>
        </w:rPr>
        <w:t>treinta días hábiles, contados a partir del día siguiente al en que surta efectos</w:t>
      </w:r>
      <w:r>
        <w:rPr>
          <w:rFonts w:ascii="Arial" w:hAnsi="Arial" w:cs="Arial"/>
          <w:bCs/>
          <w:iCs/>
          <w:snapToGrid w:val="0"/>
          <w:sz w:val="24"/>
          <w:szCs w:val="24"/>
        </w:rPr>
        <w:t xml:space="preserve"> la notificación de la resolución o acto que se combata.</w:t>
      </w:r>
    </w:p>
    <w:p w14:paraId="2DCFF972" w14:textId="77777777" w:rsidR="00D81B83" w:rsidRDefault="00E473D7" w:rsidP="00185A5F">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Ahora bien, </w:t>
      </w:r>
      <w:r w:rsidRPr="00E473D7">
        <w:rPr>
          <w:rFonts w:ascii="Arial" w:hAnsi="Arial" w:cs="Arial"/>
          <w:bCs/>
          <w:snapToGrid w:val="0"/>
          <w:sz w:val="24"/>
          <w:szCs w:val="24"/>
        </w:rPr>
        <w:t>las formalidades que debe observar el Servicio Postal M</w:t>
      </w:r>
      <w:r>
        <w:rPr>
          <w:rFonts w:ascii="Arial" w:hAnsi="Arial" w:cs="Arial"/>
          <w:bCs/>
          <w:snapToGrid w:val="0"/>
          <w:sz w:val="24"/>
          <w:szCs w:val="24"/>
        </w:rPr>
        <w:t>exicano para la validez de las notificacio</w:t>
      </w:r>
      <w:r w:rsidRPr="00E473D7">
        <w:rPr>
          <w:rFonts w:ascii="Arial" w:hAnsi="Arial" w:cs="Arial"/>
          <w:bCs/>
          <w:snapToGrid w:val="0"/>
          <w:sz w:val="24"/>
          <w:szCs w:val="24"/>
        </w:rPr>
        <w:t>n</w:t>
      </w:r>
      <w:r>
        <w:rPr>
          <w:rFonts w:ascii="Arial" w:hAnsi="Arial" w:cs="Arial"/>
          <w:bCs/>
          <w:snapToGrid w:val="0"/>
          <w:sz w:val="24"/>
          <w:szCs w:val="24"/>
        </w:rPr>
        <w:t xml:space="preserve">es por correo certificado con acuse de recibo, las </w:t>
      </w:r>
      <w:r>
        <w:rPr>
          <w:rFonts w:ascii="Arial" w:hAnsi="Arial" w:cs="Arial"/>
          <w:bCs/>
          <w:snapToGrid w:val="0"/>
          <w:sz w:val="24"/>
          <w:szCs w:val="24"/>
        </w:rPr>
        <w:lastRenderedPageBreak/>
        <w:t>prevé el</w:t>
      </w:r>
      <w:r w:rsidRPr="00E473D7">
        <w:rPr>
          <w:rFonts w:ascii="Arial" w:hAnsi="Arial" w:cs="Arial"/>
          <w:bCs/>
          <w:snapToGrid w:val="0"/>
          <w:sz w:val="24"/>
          <w:szCs w:val="24"/>
        </w:rPr>
        <w:t xml:space="preserve"> artículo 42 de la L</w:t>
      </w:r>
      <w:r w:rsidR="00D0149B">
        <w:rPr>
          <w:rFonts w:ascii="Arial" w:hAnsi="Arial" w:cs="Arial"/>
          <w:bCs/>
          <w:snapToGrid w:val="0"/>
          <w:sz w:val="24"/>
          <w:szCs w:val="24"/>
        </w:rPr>
        <w:t xml:space="preserve">ey del Servicio Postal Mexicano, al señalar que </w:t>
      </w:r>
      <w:r w:rsidRPr="00E473D7">
        <w:rPr>
          <w:rFonts w:ascii="Arial" w:hAnsi="Arial" w:cs="Arial"/>
          <w:bCs/>
          <w:snapToGrid w:val="0"/>
          <w:sz w:val="24"/>
          <w:szCs w:val="24"/>
        </w:rPr>
        <w:t>el acuse consistirá en recabar la firma del destinatario en documento especial para entregarlo directamente al remitente, y si no se logra recabar, se procederá conforme a las disposiciones reglamentarias, donde se establece que una</w:t>
      </w:r>
      <w:r w:rsidR="00D0149B">
        <w:rPr>
          <w:rFonts w:ascii="Arial" w:hAnsi="Arial" w:cs="Arial"/>
          <w:bCs/>
          <w:snapToGrid w:val="0"/>
          <w:sz w:val="24"/>
          <w:szCs w:val="24"/>
        </w:rPr>
        <w:t xml:space="preserve"> </w:t>
      </w:r>
      <w:r w:rsidRPr="00E473D7">
        <w:rPr>
          <w:rFonts w:ascii="Arial" w:hAnsi="Arial" w:cs="Arial"/>
          <w:bCs/>
          <w:snapToGrid w:val="0"/>
          <w:sz w:val="24"/>
          <w:szCs w:val="24"/>
        </w:rPr>
        <w:t>notificación</w:t>
      </w:r>
      <w:r w:rsidR="00D0149B">
        <w:rPr>
          <w:rFonts w:ascii="Arial" w:hAnsi="Arial" w:cs="Arial"/>
          <w:bCs/>
          <w:snapToGrid w:val="0"/>
          <w:sz w:val="24"/>
          <w:szCs w:val="24"/>
        </w:rPr>
        <w:t xml:space="preserve"> </w:t>
      </w:r>
      <w:r w:rsidRPr="00E473D7">
        <w:rPr>
          <w:rFonts w:ascii="Arial" w:hAnsi="Arial" w:cs="Arial"/>
          <w:bCs/>
          <w:snapToGrid w:val="0"/>
          <w:sz w:val="24"/>
          <w:szCs w:val="24"/>
        </w:rPr>
        <w:t>por</w:t>
      </w:r>
      <w:r w:rsidR="00D0149B">
        <w:rPr>
          <w:rFonts w:ascii="Arial" w:hAnsi="Arial" w:cs="Arial"/>
          <w:bCs/>
          <w:snapToGrid w:val="0"/>
          <w:sz w:val="24"/>
          <w:szCs w:val="24"/>
        </w:rPr>
        <w:t xml:space="preserve"> </w:t>
      </w:r>
      <w:r w:rsidRPr="00E473D7">
        <w:rPr>
          <w:rFonts w:ascii="Arial" w:hAnsi="Arial" w:cs="Arial"/>
          <w:bCs/>
          <w:snapToGrid w:val="0"/>
          <w:sz w:val="24"/>
          <w:szCs w:val="24"/>
        </w:rPr>
        <w:t>correo</w:t>
      </w:r>
      <w:r w:rsidR="00D0149B">
        <w:rPr>
          <w:rFonts w:ascii="Arial" w:hAnsi="Arial" w:cs="Arial"/>
          <w:bCs/>
          <w:snapToGrid w:val="0"/>
          <w:sz w:val="24"/>
          <w:szCs w:val="24"/>
        </w:rPr>
        <w:t xml:space="preserve"> </w:t>
      </w:r>
      <w:r w:rsidRPr="00E473D7">
        <w:rPr>
          <w:rFonts w:ascii="Arial" w:hAnsi="Arial" w:cs="Arial"/>
          <w:bCs/>
          <w:snapToGrid w:val="0"/>
          <w:sz w:val="24"/>
          <w:szCs w:val="24"/>
        </w:rPr>
        <w:t>con acuse de recibo, ya sea de envíos o de correspondencia registrados, es una modalidad postal que deberá solicitarse en el momento del depósito y consiste en recabar, en documento especial, la firma de recepción del directamente destinatario y si esto no fuera posible, entonces la entrega se hará al representante, razonando el servidor postal el por</w:t>
      </w:r>
      <w:r w:rsidR="00D0149B">
        <w:rPr>
          <w:rFonts w:ascii="Arial" w:hAnsi="Arial" w:cs="Arial"/>
          <w:bCs/>
          <w:snapToGrid w:val="0"/>
          <w:sz w:val="24"/>
          <w:szCs w:val="24"/>
        </w:rPr>
        <w:t xml:space="preserve"> </w:t>
      </w:r>
      <w:r w:rsidRPr="00E473D7">
        <w:rPr>
          <w:rFonts w:ascii="Arial" w:hAnsi="Arial" w:cs="Arial"/>
          <w:bCs/>
          <w:snapToGrid w:val="0"/>
          <w:sz w:val="24"/>
          <w:szCs w:val="24"/>
        </w:rPr>
        <w:t xml:space="preserve">qué conoce dicho carácter asentando la calidad del receptor. </w:t>
      </w:r>
      <w:r w:rsidR="00D0149B">
        <w:rPr>
          <w:rFonts w:ascii="Arial" w:hAnsi="Arial" w:cs="Arial"/>
          <w:bCs/>
          <w:snapToGrid w:val="0"/>
          <w:sz w:val="24"/>
          <w:szCs w:val="24"/>
        </w:rPr>
        <w:t xml:space="preserve"> </w:t>
      </w:r>
    </w:p>
    <w:p w14:paraId="1EA14B87" w14:textId="77777777" w:rsidR="00D0149B" w:rsidRDefault="00D0149B" w:rsidP="00185A5F">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En efecto el ordenamiento citado dispone:</w:t>
      </w:r>
    </w:p>
    <w:p w14:paraId="2CDB4DF7" w14:textId="77777777" w:rsidR="006E3CE3" w:rsidRDefault="0071317F" w:rsidP="0071317F">
      <w:pPr>
        <w:spacing w:after="0" w:line="240" w:lineRule="auto"/>
        <w:ind w:left="567" w:right="335"/>
        <w:jc w:val="both"/>
        <w:rPr>
          <w:rFonts w:ascii="Arial" w:hAnsi="Arial" w:cs="Arial"/>
          <w:bCs/>
          <w:snapToGrid w:val="0"/>
        </w:rPr>
      </w:pPr>
      <w:r w:rsidRPr="0071317F">
        <w:rPr>
          <w:rFonts w:ascii="Arial" w:hAnsi="Arial" w:cs="Arial"/>
          <w:b/>
          <w:bCs/>
          <w:snapToGrid w:val="0"/>
        </w:rPr>
        <w:t>ARTÍCULO 42.-</w:t>
      </w:r>
      <w:r w:rsidRPr="0071317F">
        <w:rPr>
          <w:rFonts w:ascii="Arial" w:hAnsi="Arial" w:cs="Arial"/>
          <w:bCs/>
          <w:snapToGrid w:val="0"/>
        </w:rPr>
        <w:t xml:space="preserve"> El servicio de acuse de recibo de envíos o de correspondencia registrados, consiste en recabar en un documento especial la firma de recepción del destinatario o de su representante legal y en entregar ese documento al remitente, como constancia. </w:t>
      </w:r>
    </w:p>
    <w:p w14:paraId="744AC0FD" w14:textId="77777777" w:rsidR="006E3CE3" w:rsidRDefault="006E3CE3" w:rsidP="0071317F">
      <w:pPr>
        <w:spacing w:after="0" w:line="240" w:lineRule="auto"/>
        <w:ind w:left="567" w:right="335"/>
        <w:jc w:val="both"/>
        <w:rPr>
          <w:rFonts w:ascii="Arial" w:hAnsi="Arial" w:cs="Arial"/>
          <w:bCs/>
          <w:snapToGrid w:val="0"/>
        </w:rPr>
      </w:pPr>
    </w:p>
    <w:p w14:paraId="72DA95F4" w14:textId="77777777" w:rsidR="00D0149B" w:rsidRPr="0071317F" w:rsidRDefault="0071317F" w:rsidP="0071317F">
      <w:pPr>
        <w:spacing w:after="0" w:line="240" w:lineRule="auto"/>
        <w:ind w:left="567" w:right="335"/>
        <w:jc w:val="both"/>
        <w:rPr>
          <w:rFonts w:ascii="Arial" w:hAnsi="Arial" w:cs="Arial"/>
          <w:bCs/>
          <w:snapToGrid w:val="0"/>
        </w:rPr>
      </w:pPr>
      <w:r w:rsidRPr="0071317F">
        <w:rPr>
          <w:rFonts w:ascii="Arial" w:hAnsi="Arial" w:cs="Arial"/>
          <w:bCs/>
          <w:snapToGrid w:val="0"/>
        </w:rPr>
        <w:t>En caso de que, por causas ajenas al organismo no pueda recabarse la firma del documento, se procederá conforme a las disposiciones reglamentarias.</w:t>
      </w:r>
    </w:p>
    <w:p w14:paraId="46B7AF25" w14:textId="77777777" w:rsidR="00DF43C6" w:rsidRDefault="00DF43C6" w:rsidP="006E3CE3">
      <w:pPr>
        <w:spacing w:line="360" w:lineRule="auto"/>
        <w:ind w:right="51" w:firstLine="567"/>
        <w:jc w:val="both"/>
        <w:rPr>
          <w:rFonts w:ascii="Arial" w:hAnsi="Arial" w:cs="Arial"/>
          <w:bCs/>
          <w:snapToGrid w:val="0"/>
          <w:sz w:val="24"/>
          <w:szCs w:val="24"/>
        </w:rPr>
      </w:pPr>
    </w:p>
    <w:p w14:paraId="0FC701E0" w14:textId="6F2F62C8" w:rsidR="006E3CE3" w:rsidRDefault="006E3CE3" w:rsidP="006E3CE3">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En el caso, como se ha mencionado, para acreditar la notificación de la resolución impugnada, la autoridad exhibió acuse de recibo, del que se desprende los datos del destinatario, el número de control de la resolución a notificar, los datos del remitente, la fecha de recepción, siendo esta el once de abril de dos mil diecinueve, nombre y firma de quien recibe, asentando el nombre de </w:t>
      </w:r>
      <w:r w:rsidR="009C1FC3">
        <w:rPr>
          <w:rFonts w:ascii="Arial" w:hAnsi="Arial" w:cs="Arial"/>
          <w:bCs/>
          <w:snapToGrid w:val="0"/>
          <w:color w:val="FF0000"/>
          <w:sz w:val="24"/>
          <w:szCs w:val="24"/>
        </w:rPr>
        <w:t>**********</w:t>
      </w:r>
      <w:r>
        <w:rPr>
          <w:rFonts w:ascii="Arial" w:hAnsi="Arial" w:cs="Arial"/>
          <w:bCs/>
          <w:snapToGrid w:val="0"/>
          <w:sz w:val="24"/>
          <w:szCs w:val="24"/>
        </w:rPr>
        <w:t xml:space="preserve">, persona distinta a la que representa a la empresa actora </w:t>
      </w:r>
      <w:r w:rsidR="00511CD6">
        <w:rPr>
          <w:rFonts w:ascii="Arial" w:hAnsi="Arial" w:cs="Arial"/>
          <w:bCs/>
          <w:snapToGrid w:val="0"/>
          <w:color w:val="FF0000"/>
          <w:sz w:val="24"/>
          <w:szCs w:val="24"/>
        </w:rPr>
        <w:t>**********</w:t>
      </w:r>
      <w:r w:rsidR="00285F2D">
        <w:rPr>
          <w:rFonts w:ascii="Arial" w:hAnsi="Arial" w:cs="Arial"/>
          <w:bCs/>
          <w:snapToGrid w:val="0"/>
          <w:sz w:val="24"/>
          <w:szCs w:val="24"/>
        </w:rPr>
        <w:t>, siendo este</w:t>
      </w:r>
      <w:r w:rsidR="005E048D">
        <w:rPr>
          <w:rFonts w:ascii="Arial" w:hAnsi="Arial" w:cs="Arial"/>
          <w:bCs/>
          <w:snapToGrid w:val="0"/>
          <w:sz w:val="24"/>
          <w:szCs w:val="24"/>
        </w:rPr>
        <w:t xml:space="preserve"> el </w:t>
      </w:r>
      <w:r w:rsidR="005E048D" w:rsidRPr="00A83C95">
        <w:rPr>
          <w:rFonts w:ascii="Arial" w:hAnsi="Arial" w:cs="Arial"/>
          <w:bCs/>
          <w:snapToGrid w:val="0"/>
          <w:color w:val="FF0000"/>
          <w:sz w:val="24"/>
          <w:szCs w:val="24"/>
        </w:rPr>
        <w:t xml:space="preserve">C. </w:t>
      </w:r>
      <w:r w:rsidR="00511CD6">
        <w:rPr>
          <w:rFonts w:ascii="Arial" w:hAnsi="Arial" w:cs="Arial"/>
          <w:bCs/>
          <w:snapToGrid w:val="0"/>
          <w:color w:val="FF0000"/>
          <w:sz w:val="24"/>
          <w:szCs w:val="24"/>
        </w:rPr>
        <w:t>**********</w:t>
      </w:r>
      <w:r w:rsidR="005E048D">
        <w:rPr>
          <w:rFonts w:ascii="Arial" w:hAnsi="Arial" w:cs="Arial"/>
          <w:bCs/>
          <w:snapToGrid w:val="0"/>
          <w:sz w:val="24"/>
          <w:szCs w:val="24"/>
        </w:rPr>
        <w:t>, representación que ha quedado acreditada en autos.</w:t>
      </w:r>
    </w:p>
    <w:p w14:paraId="609FA346" w14:textId="77777777" w:rsidR="006E3CE3" w:rsidRDefault="00A83C95" w:rsidP="006E3CE3">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Luego entonces</w:t>
      </w:r>
      <w:r w:rsidR="00D31C7A">
        <w:rPr>
          <w:rFonts w:ascii="Arial" w:hAnsi="Arial" w:cs="Arial"/>
          <w:bCs/>
          <w:snapToGrid w:val="0"/>
          <w:sz w:val="24"/>
          <w:szCs w:val="24"/>
        </w:rPr>
        <w:t>,</w:t>
      </w:r>
      <w:r>
        <w:rPr>
          <w:rFonts w:ascii="Arial" w:hAnsi="Arial" w:cs="Arial"/>
          <w:bCs/>
          <w:snapToGrid w:val="0"/>
          <w:sz w:val="24"/>
          <w:szCs w:val="24"/>
        </w:rPr>
        <w:t xml:space="preserve"> la pieza postal en análisis no fue ent</w:t>
      </w:r>
      <w:r w:rsidR="00D31C7A">
        <w:rPr>
          <w:rFonts w:ascii="Arial" w:hAnsi="Arial" w:cs="Arial"/>
          <w:bCs/>
          <w:snapToGrid w:val="0"/>
          <w:sz w:val="24"/>
          <w:szCs w:val="24"/>
        </w:rPr>
        <w:t>r</w:t>
      </w:r>
      <w:r>
        <w:rPr>
          <w:rFonts w:ascii="Arial" w:hAnsi="Arial" w:cs="Arial"/>
          <w:bCs/>
          <w:snapToGrid w:val="0"/>
          <w:sz w:val="24"/>
          <w:szCs w:val="24"/>
        </w:rPr>
        <w:t>egada al de</w:t>
      </w:r>
      <w:r w:rsidR="00D31C7A">
        <w:rPr>
          <w:rFonts w:ascii="Arial" w:hAnsi="Arial" w:cs="Arial"/>
          <w:bCs/>
          <w:snapToGrid w:val="0"/>
          <w:sz w:val="24"/>
          <w:szCs w:val="24"/>
        </w:rPr>
        <w:t>s</w:t>
      </w:r>
      <w:r>
        <w:rPr>
          <w:rFonts w:ascii="Arial" w:hAnsi="Arial" w:cs="Arial"/>
          <w:bCs/>
          <w:snapToGrid w:val="0"/>
          <w:sz w:val="24"/>
          <w:szCs w:val="24"/>
        </w:rPr>
        <w:t>tinatario, resultando así ilegal la notificación de la multa impugnada, debiéndose tener como conocedora de la misma</w:t>
      </w:r>
      <w:r w:rsidR="00D31C7A">
        <w:rPr>
          <w:rFonts w:ascii="Arial" w:hAnsi="Arial" w:cs="Arial"/>
          <w:bCs/>
          <w:snapToGrid w:val="0"/>
          <w:sz w:val="24"/>
          <w:szCs w:val="24"/>
        </w:rPr>
        <w:t xml:space="preserve"> en la fecha en q</w:t>
      </w:r>
      <w:r>
        <w:rPr>
          <w:rFonts w:ascii="Arial" w:hAnsi="Arial" w:cs="Arial"/>
          <w:bCs/>
          <w:snapToGrid w:val="0"/>
          <w:sz w:val="24"/>
          <w:szCs w:val="24"/>
        </w:rPr>
        <w:t xml:space="preserve">ue </w:t>
      </w:r>
      <w:r w:rsidR="00D31C7A">
        <w:rPr>
          <w:rFonts w:ascii="Arial" w:hAnsi="Arial" w:cs="Arial"/>
          <w:bCs/>
          <w:snapToGrid w:val="0"/>
          <w:sz w:val="24"/>
          <w:szCs w:val="24"/>
        </w:rPr>
        <w:t xml:space="preserve">la actora </w:t>
      </w:r>
      <w:r>
        <w:rPr>
          <w:rFonts w:ascii="Arial" w:hAnsi="Arial" w:cs="Arial"/>
          <w:bCs/>
          <w:snapToGrid w:val="0"/>
          <w:sz w:val="24"/>
          <w:szCs w:val="24"/>
        </w:rPr>
        <w:t xml:space="preserve">manifestó </w:t>
      </w:r>
      <w:r w:rsidR="00D31C7A">
        <w:rPr>
          <w:rFonts w:ascii="Arial" w:hAnsi="Arial" w:cs="Arial"/>
          <w:bCs/>
          <w:snapToGrid w:val="0"/>
          <w:sz w:val="24"/>
          <w:szCs w:val="24"/>
        </w:rPr>
        <w:t>tal conocimiento</w:t>
      </w:r>
      <w:r>
        <w:rPr>
          <w:rFonts w:ascii="Arial" w:hAnsi="Arial" w:cs="Arial"/>
          <w:bCs/>
          <w:snapToGrid w:val="0"/>
          <w:sz w:val="24"/>
          <w:szCs w:val="24"/>
        </w:rPr>
        <w:t>, esto es</w:t>
      </w:r>
      <w:r w:rsidR="00D31C7A">
        <w:rPr>
          <w:rFonts w:ascii="Arial" w:hAnsi="Arial" w:cs="Arial"/>
          <w:bCs/>
          <w:snapToGrid w:val="0"/>
          <w:sz w:val="24"/>
          <w:szCs w:val="24"/>
        </w:rPr>
        <w:t>,</w:t>
      </w:r>
      <w:r>
        <w:rPr>
          <w:rFonts w:ascii="Arial" w:hAnsi="Arial" w:cs="Arial"/>
          <w:bCs/>
          <w:snapToGrid w:val="0"/>
          <w:sz w:val="24"/>
          <w:szCs w:val="24"/>
        </w:rPr>
        <w:t xml:space="preserve"> el </w:t>
      </w:r>
      <w:r w:rsidRPr="00170440">
        <w:rPr>
          <w:rFonts w:ascii="Arial" w:hAnsi="Arial" w:cs="Arial"/>
          <w:b/>
          <w:bCs/>
          <w:snapToGrid w:val="0"/>
          <w:sz w:val="24"/>
          <w:szCs w:val="24"/>
        </w:rPr>
        <w:t>diez de mayo de dos mil diecinueve</w:t>
      </w:r>
      <w:r>
        <w:rPr>
          <w:rFonts w:ascii="Arial" w:hAnsi="Arial" w:cs="Arial"/>
          <w:bCs/>
          <w:snapToGrid w:val="0"/>
          <w:sz w:val="24"/>
          <w:szCs w:val="24"/>
        </w:rPr>
        <w:t>.</w:t>
      </w:r>
    </w:p>
    <w:p w14:paraId="67479768" w14:textId="77777777" w:rsidR="00A83C95" w:rsidRDefault="00D31C7A" w:rsidP="006E3CE3">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Resulta</w:t>
      </w:r>
      <w:r w:rsidR="00170440">
        <w:rPr>
          <w:rFonts w:ascii="Arial" w:hAnsi="Arial" w:cs="Arial"/>
          <w:bCs/>
          <w:snapToGrid w:val="0"/>
          <w:sz w:val="24"/>
          <w:szCs w:val="24"/>
        </w:rPr>
        <w:t>n</w:t>
      </w:r>
      <w:r>
        <w:rPr>
          <w:rFonts w:ascii="Arial" w:hAnsi="Arial" w:cs="Arial"/>
          <w:bCs/>
          <w:snapToGrid w:val="0"/>
          <w:sz w:val="24"/>
          <w:szCs w:val="24"/>
        </w:rPr>
        <w:t xml:space="preserve"> aplicable</w:t>
      </w:r>
      <w:r w:rsidR="00170440">
        <w:rPr>
          <w:rFonts w:ascii="Arial" w:hAnsi="Arial" w:cs="Arial"/>
          <w:bCs/>
          <w:snapToGrid w:val="0"/>
          <w:sz w:val="24"/>
          <w:szCs w:val="24"/>
        </w:rPr>
        <w:t>s al caso los</w:t>
      </w:r>
      <w:r>
        <w:rPr>
          <w:rFonts w:ascii="Arial" w:hAnsi="Arial" w:cs="Arial"/>
          <w:bCs/>
          <w:snapToGrid w:val="0"/>
          <w:sz w:val="24"/>
          <w:szCs w:val="24"/>
        </w:rPr>
        <w:t xml:space="preserve"> siguiente</w:t>
      </w:r>
      <w:r w:rsidR="00170440">
        <w:rPr>
          <w:rFonts w:ascii="Arial" w:hAnsi="Arial" w:cs="Arial"/>
          <w:bCs/>
          <w:snapToGrid w:val="0"/>
          <w:sz w:val="24"/>
          <w:szCs w:val="24"/>
        </w:rPr>
        <w:t>s</w:t>
      </w:r>
      <w:r>
        <w:rPr>
          <w:rFonts w:ascii="Arial" w:hAnsi="Arial" w:cs="Arial"/>
          <w:bCs/>
          <w:snapToGrid w:val="0"/>
          <w:sz w:val="24"/>
          <w:szCs w:val="24"/>
        </w:rPr>
        <w:t xml:space="preserve"> criterio</w:t>
      </w:r>
      <w:r w:rsidR="00170440">
        <w:rPr>
          <w:rFonts w:ascii="Arial" w:hAnsi="Arial" w:cs="Arial"/>
          <w:bCs/>
          <w:snapToGrid w:val="0"/>
          <w:sz w:val="24"/>
          <w:szCs w:val="24"/>
        </w:rPr>
        <w:t>s</w:t>
      </w:r>
      <w:r>
        <w:rPr>
          <w:rFonts w:ascii="Arial" w:hAnsi="Arial" w:cs="Arial"/>
          <w:bCs/>
          <w:snapToGrid w:val="0"/>
          <w:sz w:val="24"/>
          <w:szCs w:val="24"/>
        </w:rPr>
        <w:t>:</w:t>
      </w:r>
    </w:p>
    <w:p w14:paraId="40886EF6" w14:textId="77777777" w:rsidR="00170440" w:rsidRPr="00170440" w:rsidRDefault="00170440" w:rsidP="00170440">
      <w:pPr>
        <w:spacing w:after="0" w:line="240" w:lineRule="auto"/>
        <w:ind w:left="567" w:right="335"/>
        <w:jc w:val="both"/>
        <w:rPr>
          <w:rFonts w:ascii="Arial" w:hAnsi="Arial" w:cs="Arial"/>
          <w:bCs/>
          <w:snapToGrid w:val="0"/>
        </w:rPr>
      </w:pPr>
      <w:r>
        <w:rPr>
          <w:rFonts w:ascii="Arial" w:hAnsi="Arial" w:cs="Arial"/>
          <w:b/>
          <w:bCs/>
          <w:snapToGrid w:val="0"/>
        </w:rPr>
        <w:t xml:space="preserve">Registro digital: </w:t>
      </w:r>
      <w:r w:rsidRPr="00170440">
        <w:rPr>
          <w:rFonts w:ascii="Arial" w:hAnsi="Arial" w:cs="Arial"/>
          <w:bCs/>
          <w:snapToGrid w:val="0"/>
        </w:rPr>
        <w:t>163079</w:t>
      </w:r>
    </w:p>
    <w:p w14:paraId="4D15A8B6" w14:textId="77777777" w:rsidR="00170440" w:rsidRPr="00170440" w:rsidRDefault="00170440" w:rsidP="00170440">
      <w:pPr>
        <w:spacing w:after="0" w:line="240" w:lineRule="auto"/>
        <w:ind w:left="567" w:right="335"/>
        <w:jc w:val="both"/>
        <w:rPr>
          <w:rFonts w:ascii="Arial" w:hAnsi="Arial" w:cs="Arial"/>
          <w:bCs/>
          <w:snapToGrid w:val="0"/>
        </w:rPr>
      </w:pPr>
      <w:r>
        <w:rPr>
          <w:rFonts w:ascii="Arial" w:hAnsi="Arial" w:cs="Arial"/>
          <w:b/>
          <w:bCs/>
          <w:snapToGrid w:val="0"/>
        </w:rPr>
        <w:t xml:space="preserve">Instancia: </w:t>
      </w:r>
      <w:r w:rsidRPr="00170440">
        <w:rPr>
          <w:rFonts w:ascii="Arial" w:hAnsi="Arial" w:cs="Arial"/>
          <w:bCs/>
          <w:snapToGrid w:val="0"/>
        </w:rPr>
        <w:t>Tribunales Colegiados de Circuito</w:t>
      </w:r>
    </w:p>
    <w:p w14:paraId="52F623AF" w14:textId="77777777" w:rsidR="00170440" w:rsidRPr="00170440" w:rsidRDefault="00170440" w:rsidP="00170440">
      <w:pPr>
        <w:spacing w:after="0" w:line="240" w:lineRule="auto"/>
        <w:ind w:left="567" w:right="335"/>
        <w:jc w:val="both"/>
        <w:rPr>
          <w:rFonts w:ascii="Arial" w:hAnsi="Arial" w:cs="Arial"/>
          <w:bCs/>
          <w:snapToGrid w:val="0"/>
        </w:rPr>
      </w:pPr>
      <w:r w:rsidRPr="00170440">
        <w:rPr>
          <w:rFonts w:ascii="Arial" w:hAnsi="Arial" w:cs="Arial"/>
          <w:b/>
          <w:bCs/>
          <w:snapToGrid w:val="0"/>
        </w:rPr>
        <w:t>Novena Época</w:t>
      </w:r>
    </w:p>
    <w:p w14:paraId="47C3DB0C" w14:textId="77777777" w:rsidR="00170440" w:rsidRPr="00170440" w:rsidRDefault="00170440" w:rsidP="00170440">
      <w:pPr>
        <w:spacing w:after="0" w:line="240" w:lineRule="auto"/>
        <w:ind w:left="567" w:right="335"/>
        <w:jc w:val="both"/>
        <w:rPr>
          <w:rFonts w:ascii="Arial" w:hAnsi="Arial" w:cs="Arial"/>
          <w:bCs/>
          <w:snapToGrid w:val="0"/>
        </w:rPr>
      </w:pPr>
      <w:r>
        <w:rPr>
          <w:rFonts w:ascii="Arial" w:hAnsi="Arial" w:cs="Arial"/>
          <w:b/>
          <w:bCs/>
          <w:snapToGrid w:val="0"/>
        </w:rPr>
        <w:t xml:space="preserve">Materia(s): </w:t>
      </w:r>
      <w:r w:rsidRPr="00170440">
        <w:rPr>
          <w:rFonts w:ascii="Arial" w:hAnsi="Arial" w:cs="Arial"/>
          <w:bCs/>
          <w:snapToGrid w:val="0"/>
        </w:rPr>
        <w:t>Administrativa</w:t>
      </w:r>
    </w:p>
    <w:p w14:paraId="3FB73978" w14:textId="77777777" w:rsidR="00170440" w:rsidRPr="00170440" w:rsidRDefault="00170440" w:rsidP="00170440">
      <w:pPr>
        <w:spacing w:after="0" w:line="240" w:lineRule="auto"/>
        <w:ind w:left="567" w:right="335"/>
        <w:jc w:val="both"/>
        <w:rPr>
          <w:rFonts w:ascii="Arial" w:hAnsi="Arial" w:cs="Arial"/>
          <w:bCs/>
          <w:snapToGrid w:val="0"/>
        </w:rPr>
      </w:pPr>
      <w:r>
        <w:rPr>
          <w:rFonts w:ascii="Arial" w:hAnsi="Arial" w:cs="Arial"/>
          <w:b/>
          <w:bCs/>
          <w:snapToGrid w:val="0"/>
        </w:rPr>
        <w:t xml:space="preserve">Tesis: </w:t>
      </w:r>
      <w:r w:rsidRPr="00170440">
        <w:rPr>
          <w:rFonts w:ascii="Arial" w:hAnsi="Arial" w:cs="Arial"/>
          <w:bCs/>
          <w:snapToGrid w:val="0"/>
        </w:rPr>
        <w:t>XIX.1o.A.C. J/23</w:t>
      </w:r>
    </w:p>
    <w:p w14:paraId="73248FD3" w14:textId="77777777" w:rsidR="00170440" w:rsidRPr="00170440" w:rsidRDefault="00170440" w:rsidP="00170440">
      <w:pPr>
        <w:spacing w:after="0" w:line="240" w:lineRule="auto"/>
        <w:ind w:left="567" w:right="335"/>
        <w:jc w:val="both"/>
        <w:rPr>
          <w:rFonts w:ascii="Arial" w:hAnsi="Arial" w:cs="Arial"/>
          <w:bCs/>
          <w:snapToGrid w:val="0"/>
        </w:rPr>
      </w:pPr>
      <w:r>
        <w:rPr>
          <w:rFonts w:ascii="Arial" w:hAnsi="Arial" w:cs="Arial"/>
          <w:b/>
          <w:bCs/>
          <w:snapToGrid w:val="0"/>
        </w:rPr>
        <w:t xml:space="preserve">Fuente: </w:t>
      </w:r>
      <w:r w:rsidRPr="00170440">
        <w:rPr>
          <w:rFonts w:ascii="Arial" w:hAnsi="Arial" w:cs="Arial"/>
          <w:bCs/>
          <w:snapToGrid w:val="0"/>
        </w:rPr>
        <w:t>Semanario Judicial de la Federación y su Gaceta.</w:t>
      </w:r>
      <w:r w:rsidRPr="00170440">
        <w:rPr>
          <w:rFonts w:ascii="Arial" w:hAnsi="Arial" w:cs="Arial"/>
          <w:bCs/>
          <w:snapToGrid w:val="0"/>
        </w:rPr>
        <w:br/>
        <w:t xml:space="preserve">Tomo XXXIII, </w:t>
      </w:r>
      <w:proofErr w:type="gramStart"/>
      <w:r w:rsidRPr="00170440">
        <w:rPr>
          <w:rFonts w:ascii="Arial" w:hAnsi="Arial" w:cs="Arial"/>
          <w:bCs/>
          <w:snapToGrid w:val="0"/>
        </w:rPr>
        <w:t>Enero</w:t>
      </w:r>
      <w:proofErr w:type="gramEnd"/>
      <w:r w:rsidRPr="00170440">
        <w:rPr>
          <w:rFonts w:ascii="Arial" w:hAnsi="Arial" w:cs="Arial"/>
          <w:bCs/>
          <w:snapToGrid w:val="0"/>
        </w:rPr>
        <w:t xml:space="preserve"> de 2011, página 3006</w:t>
      </w:r>
    </w:p>
    <w:p w14:paraId="5CAE8CAF" w14:textId="77777777" w:rsidR="00170440" w:rsidRPr="00170440" w:rsidRDefault="00170440" w:rsidP="00170440">
      <w:pPr>
        <w:spacing w:after="0" w:line="240" w:lineRule="auto"/>
        <w:ind w:left="567" w:right="335"/>
        <w:jc w:val="both"/>
        <w:rPr>
          <w:rFonts w:ascii="Arial" w:hAnsi="Arial" w:cs="Arial"/>
          <w:bCs/>
          <w:snapToGrid w:val="0"/>
        </w:rPr>
      </w:pPr>
      <w:r>
        <w:rPr>
          <w:rFonts w:ascii="Arial" w:hAnsi="Arial" w:cs="Arial"/>
          <w:b/>
          <w:bCs/>
          <w:snapToGrid w:val="0"/>
        </w:rPr>
        <w:t xml:space="preserve">Tipo: </w:t>
      </w:r>
      <w:r w:rsidRPr="00170440">
        <w:rPr>
          <w:rFonts w:ascii="Arial" w:hAnsi="Arial" w:cs="Arial"/>
          <w:bCs/>
          <w:snapToGrid w:val="0"/>
        </w:rPr>
        <w:t>Jurisprudencia</w:t>
      </w:r>
    </w:p>
    <w:p w14:paraId="2F57F94E" w14:textId="77777777" w:rsidR="00170440" w:rsidRDefault="00170440" w:rsidP="0089028E">
      <w:pPr>
        <w:spacing w:after="0" w:line="240" w:lineRule="auto"/>
        <w:ind w:left="567" w:right="335"/>
        <w:jc w:val="both"/>
        <w:rPr>
          <w:rFonts w:ascii="Arial" w:hAnsi="Arial" w:cs="Arial"/>
          <w:bCs/>
          <w:snapToGrid w:val="0"/>
        </w:rPr>
      </w:pPr>
    </w:p>
    <w:p w14:paraId="5D03F61B" w14:textId="77777777" w:rsidR="00170440" w:rsidRPr="00170440" w:rsidRDefault="00170440" w:rsidP="0089028E">
      <w:pPr>
        <w:spacing w:after="0" w:line="240" w:lineRule="auto"/>
        <w:ind w:left="567" w:right="335"/>
        <w:jc w:val="both"/>
        <w:rPr>
          <w:rFonts w:ascii="Arial" w:hAnsi="Arial" w:cs="Arial"/>
          <w:bCs/>
          <w:snapToGrid w:val="0"/>
        </w:rPr>
      </w:pPr>
      <w:r w:rsidRPr="00170440">
        <w:rPr>
          <w:rFonts w:ascii="Arial" w:hAnsi="Arial" w:cs="Arial"/>
          <w:b/>
          <w:bCs/>
          <w:snapToGrid w:val="0"/>
        </w:rPr>
        <w:t xml:space="preserve">NOTIFICACIÓN PERSONAL POR CORREO CERTIFICADO EN EL JUICIO CONTENCIOSO ADMINISTRATIVO FEDERAL. EN EL ACUSE DE RECIBO QUE AL EFECTO SE RECABE DEBEN ASENTARSE EL NOMBRE Y LA FIRMA DE LA PERSONA A QUIEN SE ENTREGÓ, ASÍ COMO EL CARÁCTER CON QUE SE OSTENTA, PARA CONSTATAR SI EFECTIVAMENTE SE TRATA DEL </w:t>
      </w:r>
      <w:r w:rsidRPr="00170440">
        <w:rPr>
          <w:rFonts w:ascii="Arial" w:hAnsi="Arial" w:cs="Arial"/>
          <w:b/>
          <w:bCs/>
          <w:snapToGrid w:val="0"/>
        </w:rPr>
        <w:lastRenderedPageBreak/>
        <w:t>DESTINATARIO, DE SU REPRESENTANTE LEGAL O, EN SU CASO, DE LA PERSONA AUTORIZADA DENTRO DEL PROCEDIMIENTO PARA RECIBIRLA.</w:t>
      </w:r>
    </w:p>
    <w:p w14:paraId="7C0562AA" w14:textId="77777777" w:rsidR="00170440" w:rsidRDefault="00170440" w:rsidP="0089028E">
      <w:pPr>
        <w:spacing w:after="0" w:line="240" w:lineRule="auto"/>
        <w:ind w:left="567" w:right="335"/>
        <w:jc w:val="both"/>
        <w:rPr>
          <w:rFonts w:ascii="Arial" w:hAnsi="Arial" w:cs="Arial"/>
          <w:bCs/>
          <w:snapToGrid w:val="0"/>
        </w:rPr>
      </w:pPr>
    </w:p>
    <w:p w14:paraId="75A7136F" w14:textId="77777777" w:rsidR="00170440" w:rsidRPr="00170440" w:rsidRDefault="00170440" w:rsidP="00170440">
      <w:pPr>
        <w:spacing w:after="0" w:line="240" w:lineRule="auto"/>
        <w:ind w:left="567" w:right="335"/>
        <w:jc w:val="both"/>
        <w:rPr>
          <w:rFonts w:ascii="Arial" w:hAnsi="Arial" w:cs="Arial"/>
          <w:bCs/>
          <w:snapToGrid w:val="0"/>
        </w:rPr>
      </w:pPr>
      <w:r w:rsidRPr="00170440">
        <w:rPr>
          <w:rFonts w:ascii="Arial" w:hAnsi="Arial" w:cs="Arial"/>
          <w:bCs/>
          <w:snapToGrid w:val="0"/>
        </w:rPr>
        <w:t>Si, por una parte, del artículo </w:t>
      </w:r>
      <w:hyperlink r:id="rId8" w:history="1">
        <w:r w:rsidRPr="00170440">
          <w:rPr>
            <w:rStyle w:val="Hipervnculo"/>
            <w:rFonts w:ascii="Arial" w:hAnsi="Arial" w:cs="Arial"/>
            <w:b/>
            <w:bCs/>
            <w:snapToGrid w:val="0"/>
          </w:rPr>
          <w:t>67 de la Ley Federal de Procedimiento Contencioso Administrativo</w:t>
        </w:r>
      </w:hyperlink>
      <w:r w:rsidRPr="00170440">
        <w:rPr>
          <w:rFonts w:ascii="Arial" w:hAnsi="Arial" w:cs="Arial"/>
          <w:bCs/>
          <w:snapToGrid w:val="0"/>
        </w:rPr>
        <w:t> se advierte que en el juicio contencioso administrativo federal pueden practicarse notificaciones personales por correo certificado con acuse de recibo, una vez que las partes o el representante legal señalen domicilio en el territorio nacional y, por la otra, que de la interpretación de los artículos </w:t>
      </w:r>
      <w:hyperlink r:id="rId9" w:history="1">
        <w:r w:rsidRPr="00170440">
          <w:rPr>
            <w:rStyle w:val="Hipervnculo"/>
            <w:rFonts w:ascii="Arial" w:hAnsi="Arial" w:cs="Arial"/>
            <w:b/>
            <w:bCs/>
            <w:snapToGrid w:val="0"/>
          </w:rPr>
          <w:t>42, 59, fracción I y 61, fracción I, de la Ley del Servicio Postal Mexicano</w:t>
        </w:r>
      </w:hyperlink>
      <w:r w:rsidRPr="00170440">
        <w:rPr>
          <w:rFonts w:ascii="Arial" w:hAnsi="Arial" w:cs="Arial"/>
          <w:bCs/>
          <w:snapToGrid w:val="0"/>
        </w:rPr>
        <w:t> deriva que aquéllas deben realizarse únicamente con el destinatario o representante legal, recabándose la firma respectiva en un documento especial que habrá de ser entregado al remitente como constancia, se concluye que, dadas las formalidades que implica esta forma de comunicación, en el citado acuse deben asentarse el nombre y la firma de la persona a quien se entregó la notificación, así como el carácter con que se ostenta, para constatar si efectivamente se trata del destinatario, de su representante legal o, en su caso, de la persona autorizada dentro del procedimiento para recibirla.</w:t>
      </w:r>
    </w:p>
    <w:p w14:paraId="25A176F2" w14:textId="77777777" w:rsidR="00170440" w:rsidRPr="00170440" w:rsidRDefault="00170440" w:rsidP="00170440">
      <w:pPr>
        <w:spacing w:after="0" w:line="240" w:lineRule="auto"/>
        <w:ind w:left="567" w:right="335"/>
        <w:jc w:val="both"/>
        <w:rPr>
          <w:rFonts w:ascii="Arial" w:hAnsi="Arial" w:cs="Arial"/>
          <w:bCs/>
          <w:snapToGrid w:val="0"/>
        </w:rPr>
      </w:pPr>
    </w:p>
    <w:p w14:paraId="3E5CF1DD" w14:textId="77777777" w:rsidR="00170440" w:rsidRPr="00170440" w:rsidRDefault="00170440" w:rsidP="00170440">
      <w:pPr>
        <w:spacing w:after="0" w:line="240" w:lineRule="auto"/>
        <w:ind w:left="567" w:right="335"/>
        <w:jc w:val="both"/>
        <w:rPr>
          <w:rFonts w:ascii="Arial" w:hAnsi="Arial" w:cs="Arial"/>
          <w:bCs/>
          <w:snapToGrid w:val="0"/>
        </w:rPr>
      </w:pPr>
      <w:r w:rsidRPr="00170440">
        <w:rPr>
          <w:rFonts w:ascii="Arial" w:hAnsi="Arial" w:cs="Arial"/>
          <w:bCs/>
          <w:snapToGrid w:val="0"/>
        </w:rPr>
        <w:t>PRIMER TRIBUNAL COLEGIADO EN MATERIAS ADMINISTRATIVA Y CIVIL DEL DÉCIMO NOVENO CIRCUITO.</w:t>
      </w:r>
    </w:p>
    <w:p w14:paraId="0EB77DDC" w14:textId="77777777" w:rsidR="00170440" w:rsidRDefault="00170440" w:rsidP="0089028E">
      <w:pPr>
        <w:spacing w:after="0" w:line="240" w:lineRule="auto"/>
        <w:ind w:left="567" w:right="335"/>
        <w:jc w:val="both"/>
        <w:rPr>
          <w:rFonts w:ascii="Arial" w:hAnsi="Arial" w:cs="Arial"/>
          <w:bCs/>
          <w:snapToGrid w:val="0"/>
        </w:rPr>
      </w:pPr>
    </w:p>
    <w:p w14:paraId="30641AD8" w14:textId="77777777" w:rsidR="00170440" w:rsidRPr="00170440" w:rsidRDefault="00170440" w:rsidP="0089028E">
      <w:pPr>
        <w:spacing w:after="0" w:line="240" w:lineRule="auto"/>
        <w:ind w:left="567" w:right="335"/>
        <w:jc w:val="both"/>
        <w:rPr>
          <w:rFonts w:ascii="Arial" w:hAnsi="Arial" w:cs="Arial"/>
          <w:bCs/>
          <w:snapToGrid w:val="0"/>
        </w:rPr>
      </w:pPr>
    </w:p>
    <w:p w14:paraId="0B66939C" w14:textId="77777777" w:rsidR="0089028E" w:rsidRPr="0089028E" w:rsidRDefault="0089028E" w:rsidP="0089028E">
      <w:pPr>
        <w:spacing w:after="0" w:line="240" w:lineRule="auto"/>
        <w:ind w:left="567" w:right="335"/>
        <w:jc w:val="both"/>
        <w:rPr>
          <w:rFonts w:ascii="Arial" w:hAnsi="Arial" w:cs="Arial"/>
          <w:bCs/>
          <w:snapToGrid w:val="0"/>
        </w:rPr>
      </w:pPr>
      <w:r>
        <w:rPr>
          <w:rFonts w:ascii="Arial" w:hAnsi="Arial" w:cs="Arial"/>
          <w:b/>
          <w:bCs/>
          <w:snapToGrid w:val="0"/>
        </w:rPr>
        <w:t xml:space="preserve">Registro digital: </w:t>
      </w:r>
      <w:r w:rsidRPr="0089028E">
        <w:rPr>
          <w:rFonts w:ascii="Arial" w:hAnsi="Arial" w:cs="Arial"/>
          <w:bCs/>
          <w:snapToGrid w:val="0"/>
        </w:rPr>
        <w:t>2007188</w:t>
      </w:r>
    </w:p>
    <w:p w14:paraId="7939718E" w14:textId="77777777" w:rsidR="0089028E" w:rsidRPr="0089028E" w:rsidRDefault="0089028E" w:rsidP="0089028E">
      <w:pPr>
        <w:spacing w:after="0" w:line="240" w:lineRule="auto"/>
        <w:ind w:left="567" w:right="335"/>
        <w:jc w:val="both"/>
        <w:rPr>
          <w:rFonts w:ascii="Arial" w:hAnsi="Arial" w:cs="Arial"/>
          <w:bCs/>
          <w:snapToGrid w:val="0"/>
        </w:rPr>
      </w:pPr>
      <w:r>
        <w:rPr>
          <w:rFonts w:ascii="Arial" w:hAnsi="Arial" w:cs="Arial"/>
          <w:b/>
          <w:bCs/>
          <w:snapToGrid w:val="0"/>
        </w:rPr>
        <w:t xml:space="preserve">Instancia: </w:t>
      </w:r>
      <w:r w:rsidRPr="0089028E">
        <w:rPr>
          <w:rFonts w:ascii="Arial" w:hAnsi="Arial" w:cs="Arial"/>
          <w:bCs/>
          <w:snapToGrid w:val="0"/>
        </w:rPr>
        <w:t>Tribunales Colegiados de Circuito</w:t>
      </w:r>
    </w:p>
    <w:p w14:paraId="2BC64308" w14:textId="77777777" w:rsidR="0089028E" w:rsidRPr="0089028E" w:rsidRDefault="0089028E" w:rsidP="0089028E">
      <w:pPr>
        <w:spacing w:after="0" w:line="240" w:lineRule="auto"/>
        <w:ind w:left="567" w:right="335"/>
        <w:jc w:val="both"/>
        <w:rPr>
          <w:rFonts w:ascii="Arial" w:hAnsi="Arial" w:cs="Arial"/>
          <w:bCs/>
          <w:snapToGrid w:val="0"/>
        </w:rPr>
      </w:pPr>
      <w:r w:rsidRPr="0089028E">
        <w:rPr>
          <w:rFonts w:ascii="Arial" w:hAnsi="Arial" w:cs="Arial"/>
          <w:b/>
          <w:bCs/>
          <w:snapToGrid w:val="0"/>
        </w:rPr>
        <w:t>Décima Época</w:t>
      </w:r>
    </w:p>
    <w:p w14:paraId="700659DA" w14:textId="77777777" w:rsidR="0089028E" w:rsidRPr="0089028E" w:rsidRDefault="0089028E" w:rsidP="0089028E">
      <w:pPr>
        <w:spacing w:after="0" w:line="240" w:lineRule="auto"/>
        <w:ind w:left="567" w:right="335"/>
        <w:jc w:val="both"/>
        <w:rPr>
          <w:rFonts w:ascii="Arial" w:hAnsi="Arial" w:cs="Arial"/>
          <w:bCs/>
          <w:snapToGrid w:val="0"/>
        </w:rPr>
      </w:pPr>
      <w:r>
        <w:rPr>
          <w:rFonts w:ascii="Arial" w:hAnsi="Arial" w:cs="Arial"/>
          <w:b/>
          <w:bCs/>
          <w:snapToGrid w:val="0"/>
        </w:rPr>
        <w:t xml:space="preserve">Materia(s): </w:t>
      </w:r>
      <w:r w:rsidRPr="0089028E">
        <w:rPr>
          <w:rFonts w:ascii="Arial" w:hAnsi="Arial" w:cs="Arial"/>
          <w:bCs/>
          <w:snapToGrid w:val="0"/>
        </w:rPr>
        <w:t>Administrativa</w:t>
      </w:r>
    </w:p>
    <w:p w14:paraId="3EB1F921" w14:textId="77777777" w:rsidR="0089028E" w:rsidRPr="0089028E" w:rsidRDefault="0089028E" w:rsidP="0089028E">
      <w:pPr>
        <w:spacing w:after="0" w:line="240" w:lineRule="auto"/>
        <w:ind w:left="567" w:right="335"/>
        <w:jc w:val="both"/>
        <w:rPr>
          <w:rFonts w:ascii="Arial" w:hAnsi="Arial" w:cs="Arial"/>
          <w:bCs/>
          <w:snapToGrid w:val="0"/>
        </w:rPr>
      </w:pPr>
      <w:r>
        <w:rPr>
          <w:rFonts w:ascii="Arial" w:hAnsi="Arial" w:cs="Arial"/>
          <w:b/>
          <w:bCs/>
          <w:snapToGrid w:val="0"/>
        </w:rPr>
        <w:t xml:space="preserve">Tesis: </w:t>
      </w:r>
      <w:r w:rsidRPr="0089028E">
        <w:rPr>
          <w:rFonts w:ascii="Arial" w:hAnsi="Arial" w:cs="Arial"/>
          <w:bCs/>
          <w:snapToGrid w:val="0"/>
        </w:rPr>
        <w:t>II.3o.A.160 A (10a.)</w:t>
      </w:r>
    </w:p>
    <w:p w14:paraId="4CAF476C" w14:textId="77777777" w:rsidR="0089028E" w:rsidRPr="0089028E" w:rsidRDefault="0089028E" w:rsidP="0089028E">
      <w:pPr>
        <w:spacing w:after="0" w:line="240" w:lineRule="auto"/>
        <w:ind w:left="567" w:right="335"/>
        <w:jc w:val="both"/>
        <w:rPr>
          <w:rFonts w:ascii="Arial" w:hAnsi="Arial" w:cs="Arial"/>
          <w:bCs/>
          <w:snapToGrid w:val="0"/>
        </w:rPr>
      </w:pPr>
      <w:r>
        <w:rPr>
          <w:rFonts w:ascii="Arial" w:hAnsi="Arial" w:cs="Arial"/>
          <w:b/>
          <w:bCs/>
          <w:snapToGrid w:val="0"/>
        </w:rPr>
        <w:t xml:space="preserve">Fuente: </w:t>
      </w:r>
      <w:r w:rsidRPr="0089028E">
        <w:rPr>
          <w:rFonts w:ascii="Arial" w:hAnsi="Arial" w:cs="Arial"/>
          <w:bCs/>
          <w:snapToGrid w:val="0"/>
        </w:rPr>
        <w:t>Gaceta del Semanario Judicial de la Federación.</w:t>
      </w:r>
      <w:r w:rsidRPr="0089028E">
        <w:rPr>
          <w:rFonts w:ascii="Arial" w:hAnsi="Arial" w:cs="Arial"/>
          <w:bCs/>
          <w:snapToGrid w:val="0"/>
        </w:rPr>
        <w:br/>
        <w:t xml:space="preserve">Libro 9, </w:t>
      </w:r>
      <w:proofErr w:type="gramStart"/>
      <w:r w:rsidRPr="0089028E">
        <w:rPr>
          <w:rFonts w:ascii="Arial" w:hAnsi="Arial" w:cs="Arial"/>
          <w:bCs/>
          <w:snapToGrid w:val="0"/>
        </w:rPr>
        <w:t>Agosto</w:t>
      </w:r>
      <w:proofErr w:type="gramEnd"/>
      <w:r w:rsidRPr="0089028E">
        <w:rPr>
          <w:rFonts w:ascii="Arial" w:hAnsi="Arial" w:cs="Arial"/>
          <w:bCs/>
          <w:snapToGrid w:val="0"/>
        </w:rPr>
        <w:t xml:space="preserve"> de 2014, Tomo III, página 1857</w:t>
      </w:r>
    </w:p>
    <w:p w14:paraId="7B53CB4E" w14:textId="77777777" w:rsidR="0089028E" w:rsidRPr="0089028E" w:rsidRDefault="0089028E" w:rsidP="0089028E">
      <w:pPr>
        <w:spacing w:after="0" w:line="240" w:lineRule="auto"/>
        <w:ind w:left="567" w:right="335"/>
        <w:jc w:val="both"/>
        <w:rPr>
          <w:rFonts w:ascii="Arial" w:hAnsi="Arial" w:cs="Arial"/>
          <w:bCs/>
          <w:snapToGrid w:val="0"/>
        </w:rPr>
      </w:pPr>
      <w:r w:rsidRPr="0089028E">
        <w:rPr>
          <w:rFonts w:ascii="Arial" w:hAnsi="Arial" w:cs="Arial"/>
          <w:b/>
          <w:bCs/>
          <w:snapToGrid w:val="0"/>
        </w:rPr>
        <w:t>Tipo:</w:t>
      </w:r>
      <w:r>
        <w:rPr>
          <w:rFonts w:ascii="Arial" w:hAnsi="Arial" w:cs="Arial"/>
          <w:b/>
          <w:bCs/>
          <w:snapToGrid w:val="0"/>
        </w:rPr>
        <w:t xml:space="preserve"> </w:t>
      </w:r>
      <w:r w:rsidRPr="0089028E">
        <w:rPr>
          <w:rFonts w:ascii="Arial" w:hAnsi="Arial" w:cs="Arial"/>
          <w:bCs/>
          <w:snapToGrid w:val="0"/>
        </w:rPr>
        <w:t>Aislada</w:t>
      </w:r>
    </w:p>
    <w:p w14:paraId="58AB5DB4" w14:textId="77777777" w:rsidR="0089028E" w:rsidRDefault="0089028E" w:rsidP="0089028E">
      <w:pPr>
        <w:spacing w:after="0" w:line="240" w:lineRule="auto"/>
        <w:ind w:left="567" w:right="335"/>
        <w:jc w:val="both"/>
        <w:rPr>
          <w:rFonts w:ascii="Arial" w:hAnsi="Arial" w:cs="Arial"/>
          <w:b/>
          <w:bCs/>
          <w:snapToGrid w:val="0"/>
        </w:rPr>
      </w:pPr>
    </w:p>
    <w:p w14:paraId="4136B1A9" w14:textId="77777777" w:rsidR="00D31C7A" w:rsidRPr="0089028E" w:rsidRDefault="0089028E" w:rsidP="0089028E">
      <w:pPr>
        <w:spacing w:after="0" w:line="240" w:lineRule="auto"/>
        <w:ind w:left="567" w:right="335"/>
        <w:jc w:val="both"/>
        <w:rPr>
          <w:rFonts w:ascii="Arial" w:hAnsi="Arial" w:cs="Arial"/>
          <w:b/>
          <w:bCs/>
          <w:snapToGrid w:val="0"/>
        </w:rPr>
      </w:pPr>
      <w:r w:rsidRPr="0089028E">
        <w:rPr>
          <w:rFonts w:ascii="Arial" w:hAnsi="Arial" w:cs="Arial"/>
          <w:b/>
          <w:bCs/>
          <w:snapToGrid w:val="0"/>
        </w:rPr>
        <w:t>NOTIFICACIONES POR CORREO CERTIFICADO CON ACUSE DE RECIBO EN EL JUICIO CONTENCIOSO ADMINISTRATIVO FEDERAL. REQUISITOS PARA SU LEGALIDAD.</w:t>
      </w:r>
    </w:p>
    <w:p w14:paraId="6A4A701E" w14:textId="77777777" w:rsidR="0089028E" w:rsidRDefault="0089028E" w:rsidP="0089028E">
      <w:pPr>
        <w:spacing w:after="0" w:line="240" w:lineRule="auto"/>
        <w:ind w:left="567" w:right="335"/>
        <w:jc w:val="both"/>
        <w:rPr>
          <w:rFonts w:ascii="Arial" w:hAnsi="Arial" w:cs="Arial"/>
          <w:bCs/>
          <w:snapToGrid w:val="0"/>
        </w:rPr>
      </w:pPr>
    </w:p>
    <w:p w14:paraId="44BC12EE" w14:textId="77777777" w:rsidR="0089028E" w:rsidRPr="0089028E" w:rsidRDefault="0089028E" w:rsidP="0089028E">
      <w:pPr>
        <w:spacing w:after="0" w:line="240" w:lineRule="auto"/>
        <w:ind w:left="567" w:right="335"/>
        <w:jc w:val="both"/>
        <w:rPr>
          <w:rFonts w:ascii="Arial" w:hAnsi="Arial" w:cs="Arial"/>
          <w:bCs/>
          <w:snapToGrid w:val="0"/>
        </w:rPr>
      </w:pPr>
      <w:r w:rsidRPr="0089028E">
        <w:rPr>
          <w:rFonts w:ascii="Arial" w:hAnsi="Arial" w:cs="Arial"/>
          <w:bCs/>
          <w:snapToGrid w:val="0"/>
        </w:rPr>
        <w:t>De la interpretación sistemática de los artículos </w:t>
      </w:r>
      <w:hyperlink r:id="rId10" w:history="1">
        <w:r w:rsidRPr="0089028E">
          <w:rPr>
            <w:rStyle w:val="Hipervnculo"/>
            <w:rFonts w:ascii="Arial" w:hAnsi="Arial" w:cs="Arial"/>
            <w:b/>
            <w:bCs/>
            <w:snapToGrid w:val="0"/>
          </w:rPr>
          <w:t>66 y 67 de la Ley Federal de Procedimiento Contencioso Administrativo</w:t>
        </w:r>
      </w:hyperlink>
      <w:r w:rsidRPr="0089028E">
        <w:rPr>
          <w:rFonts w:ascii="Arial" w:hAnsi="Arial" w:cs="Arial"/>
          <w:bCs/>
          <w:snapToGrid w:val="0"/>
        </w:rPr>
        <w:t>; </w:t>
      </w:r>
      <w:hyperlink r:id="rId11" w:history="1">
        <w:r w:rsidRPr="0089028E">
          <w:rPr>
            <w:rStyle w:val="Hipervnculo"/>
            <w:rFonts w:ascii="Arial" w:hAnsi="Arial" w:cs="Arial"/>
            <w:b/>
            <w:bCs/>
            <w:snapToGrid w:val="0"/>
          </w:rPr>
          <w:t>305 y 309 del Código Federal de Procedimientos Civiles</w:t>
        </w:r>
      </w:hyperlink>
      <w:r w:rsidRPr="0089028E">
        <w:rPr>
          <w:rFonts w:ascii="Arial" w:hAnsi="Arial" w:cs="Arial"/>
          <w:bCs/>
          <w:snapToGrid w:val="0"/>
        </w:rPr>
        <w:t>, de aplicación supletoria; </w:t>
      </w:r>
      <w:hyperlink r:id="rId12" w:history="1">
        <w:r w:rsidRPr="0089028E">
          <w:rPr>
            <w:rStyle w:val="Hipervnculo"/>
            <w:rFonts w:ascii="Arial" w:hAnsi="Arial" w:cs="Arial"/>
            <w:b/>
            <w:bCs/>
            <w:snapToGrid w:val="0"/>
          </w:rPr>
          <w:t>42 de la Ley del Servicio Postal Mexicano</w:t>
        </w:r>
      </w:hyperlink>
      <w:r w:rsidRPr="0089028E">
        <w:rPr>
          <w:rFonts w:ascii="Arial" w:hAnsi="Arial" w:cs="Arial"/>
          <w:bCs/>
          <w:snapToGrid w:val="0"/>
        </w:rPr>
        <w:t>; </w:t>
      </w:r>
      <w:hyperlink r:id="rId13" w:history="1">
        <w:r w:rsidRPr="0089028E">
          <w:rPr>
            <w:rStyle w:val="Hipervnculo"/>
            <w:rFonts w:ascii="Arial" w:hAnsi="Arial" w:cs="Arial"/>
            <w:b/>
            <w:bCs/>
            <w:snapToGrid w:val="0"/>
          </w:rPr>
          <w:t>1o., 3o., 6o., 7o., 10, 15, 16, 17, 25 y 31 a 33 del Reglamento para la Operación del Organismo Servicio Postal Mexicano</w:t>
        </w:r>
      </w:hyperlink>
      <w:r w:rsidRPr="0089028E">
        <w:rPr>
          <w:rFonts w:ascii="Arial" w:hAnsi="Arial" w:cs="Arial"/>
          <w:bCs/>
          <w:snapToGrid w:val="0"/>
        </w:rPr>
        <w:t>, se colige que para la legalidad de las notificaciones practicadas por correo certificado con acuse de recibo, es necesario que los administrados promoventes en juicio contencioso no señalen domicilio para oír y recibir notificaciones en el lugar del juicio o en sus áreas conurbadas -supuesto en el cual deberán practicarse las notificaciones personalmente, en congruencia, por analogía, con la jurisprudencia </w:t>
      </w:r>
      <w:hyperlink r:id="rId14" w:tgtFrame="_blank" w:history="1">
        <w:r w:rsidRPr="0089028E">
          <w:rPr>
            <w:rStyle w:val="Hipervnculo"/>
            <w:rFonts w:ascii="Arial" w:hAnsi="Arial" w:cs="Arial"/>
            <w:b/>
            <w:bCs/>
            <w:snapToGrid w:val="0"/>
          </w:rPr>
          <w:t>1a./J. 43/2010</w:t>
        </w:r>
      </w:hyperlink>
      <w:r w:rsidRPr="0089028E">
        <w:rPr>
          <w:rFonts w:ascii="Arial" w:hAnsi="Arial" w:cs="Arial"/>
          <w:bCs/>
          <w:snapToGrid w:val="0"/>
        </w:rPr>
        <w:t xml:space="preserve">-, sino que dicho señalamiento se haga fuera de dicho lugar del juicio pero en el territorio nacional; si no fuera el caso de que las notificaciones deban practicarse personalmente o por lista, el actuario deberá levantar razón en la que asiente qué tipo de notificación practicará y, si fuera el caso, se enviará la notificación por correo certificado con acuse de recibo y, una vez devuelta la constancia de acuse, ésta deberá agregarse inmediatamente a los autos como constancia; por otro lado, en lo relativo a las formalidades que debe observar el Servicio Postal Mexicano para la validez de dicha notificación, el artículo 42 mencionado señala que el acuse consistirá en recabar la firma del destinatario en documento especial para entregarlo directamente al remitente, y si no se logra recabar, se procederá conforme a las disposiciones reglamentarias, donde se establece que una notificación por correo con acuse de recibo, ya sea de envíos o de correspondencia registrados, es una modalidad postal que deberá solicitarse en el momento del depósito y consiste en recabar, en documento especial, la firma de recepción del directamente destinatario y si esto no fuera posible, entonces la entrega se hará al representante, razonando el servidor postal el porqué conoce dicho carácter asentando la calidad del receptor. Entregada la pieza, se devolverá la constancia al remitente; en caso de que, por causas ajenas al organismo, no pueda recabarse la firma del directamente destinatario o su representante o exista negativa a firmar la constancia o no se encuentre en el domicilio a las personas indicadas, la pieza permanecerá durante diez días en la oficina postal, contados a </w:t>
      </w:r>
      <w:r w:rsidRPr="0089028E">
        <w:rPr>
          <w:rFonts w:ascii="Arial" w:hAnsi="Arial" w:cs="Arial"/>
          <w:bCs/>
          <w:snapToGrid w:val="0"/>
        </w:rPr>
        <w:lastRenderedPageBreak/>
        <w:t>partir del aviso por escrito que se haga para que pasen a recogerla, y si dicho destinatario o su representante no acude, entonces la pieza se devolverá al remitente; por lo anterior, si las formalidades descritas no constan en autos y se controvierte la legalidad de la notificación relativa, deberá decretarse su nulidad por violar el artículo </w:t>
      </w:r>
      <w:hyperlink r:id="rId15" w:history="1">
        <w:r w:rsidRPr="0089028E">
          <w:rPr>
            <w:rStyle w:val="Hipervnculo"/>
            <w:rFonts w:ascii="Arial" w:hAnsi="Arial" w:cs="Arial"/>
            <w:b/>
            <w:bCs/>
            <w:snapToGrid w:val="0"/>
          </w:rPr>
          <w:t>14 de la Constitución Política de los Estados Unidos Mexicanos</w:t>
        </w:r>
      </w:hyperlink>
      <w:r w:rsidRPr="0089028E">
        <w:rPr>
          <w:rFonts w:ascii="Arial" w:hAnsi="Arial" w:cs="Arial"/>
          <w:bCs/>
          <w:snapToGrid w:val="0"/>
        </w:rPr>
        <w:t>.</w:t>
      </w:r>
    </w:p>
    <w:p w14:paraId="7E2EFABD" w14:textId="77777777" w:rsidR="0089028E" w:rsidRPr="0089028E" w:rsidRDefault="0089028E" w:rsidP="0089028E">
      <w:pPr>
        <w:spacing w:after="0" w:line="240" w:lineRule="auto"/>
        <w:ind w:left="567" w:right="335"/>
        <w:jc w:val="both"/>
        <w:rPr>
          <w:rFonts w:ascii="Arial" w:hAnsi="Arial" w:cs="Arial"/>
          <w:bCs/>
          <w:snapToGrid w:val="0"/>
        </w:rPr>
      </w:pPr>
      <w:r w:rsidRPr="0089028E">
        <w:rPr>
          <w:rFonts w:ascii="Arial" w:hAnsi="Arial" w:cs="Arial"/>
          <w:bCs/>
          <w:snapToGrid w:val="0"/>
        </w:rPr>
        <w:br/>
      </w:r>
    </w:p>
    <w:p w14:paraId="6B563365" w14:textId="77777777" w:rsidR="0089028E" w:rsidRPr="0089028E" w:rsidRDefault="0089028E" w:rsidP="0089028E">
      <w:pPr>
        <w:spacing w:after="0" w:line="240" w:lineRule="auto"/>
        <w:ind w:left="567" w:right="335"/>
        <w:jc w:val="both"/>
        <w:rPr>
          <w:rFonts w:ascii="Arial" w:hAnsi="Arial" w:cs="Arial"/>
          <w:bCs/>
          <w:snapToGrid w:val="0"/>
        </w:rPr>
      </w:pPr>
      <w:r w:rsidRPr="0089028E">
        <w:rPr>
          <w:rFonts w:ascii="Arial" w:hAnsi="Arial" w:cs="Arial"/>
          <w:bCs/>
          <w:snapToGrid w:val="0"/>
        </w:rPr>
        <w:t>TERCER TRIBUNAL COLEGIADO EN MATERIA ADMINISTRATIVA DEL SEGUNDO CIRCUITO.</w:t>
      </w:r>
    </w:p>
    <w:p w14:paraId="64FEAAF1" w14:textId="77777777" w:rsidR="0089028E" w:rsidRPr="0089028E" w:rsidRDefault="0089028E" w:rsidP="0089028E">
      <w:pPr>
        <w:spacing w:after="0" w:line="240" w:lineRule="auto"/>
        <w:ind w:left="567" w:right="335"/>
        <w:jc w:val="both"/>
        <w:rPr>
          <w:rFonts w:ascii="Arial" w:hAnsi="Arial" w:cs="Arial"/>
          <w:bCs/>
          <w:snapToGrid w:val="0"/>
        </w:rPr>
      </w:pPr>
    </w:p>
    <w:p w14:paraId="18F0C621" w14:textId="77777777" w:rsidR="0089028E" w:rsidRPr="0089028E" w:rsidRDefault="0089028E" w:rsidP="0089028E">
      <w:pPr>
        <w:spacing w:after="0" w:line="240" w:lineRule="auto"/>
        <w:ind w:left="567" w:right="335"/>
        <w:jc w:val="both"/>
        <w:rPr>
          <w:rFonts w:ascii="Arial" w:hAnsi="Arial" w:cs="Arial"/>
          <w:bCs/>
          <w:snapToGrid w:val="0"/>
        </w:rPr>
      </w:pPr>
      <w:r w:rsidRPr="0089028E">
        <w:rPr>
          <w:rFonts w:ascii="Arial" w:hAnsi="Arial" w:cs="Arial"/>
          <w:bCs/>
          <w:snapToGrid w:val="0"/>
        </w:rPr>
        <w:t>Amparo en revisión 187/2011. Desarrollo Programado, S.A. de C.V. 16 de agosto de 2012. Unanimidad de votos. Ponente: Emmanuel G. Rosales Guerrero. Secretaria: Claudia Rodríguez Villaverde.</w:t>
      </w:r>
    </w:p>
    <w:p w14:paraId="67EDAD03" w14:textId="77777777" w:rsidR="0089028E" w:rsidRPr="0089028E" w:rsidRDefault="0089028E" w:rsidP="0089028E">
      <w:pPr>
        <w:spacing w:after="0" w:line="240" w:lineRule="auto"/>
        <w:ind w:left="567" w:right="335"/>
        <w:jc w:val="both"/>
        <w:rPr>
          <w:rFonts w:ascii="Arial" w:hAnsi="Arial" w:cs="Arial"/>
          <w:bCs/>
          <w:snapToGrid w:val="0"/>
        </w:rPr>
      </w:pPr>
      <w:r w:rsidRPr="0089028E">
        <w:rPr>
          <w:rFonts w:ascii="Arial" w:hAnsi="Arial" w:cs="Arial"/>
          <w:bCs/>
          <w:snapToGrid w:val="0"/>
        </w:rPr>
        <w:br/>
      </w:r>
    </w:p>
    <w:p w14:paraId="241341CE" w14:textId="77777777" w:rsidR="0089028E" w:rsidRPr="0089028E" w:rsidRDefault="0089028E" w:rsidP="0089028E">
      <w:pPr>
        <w:spacing w:after="0" w:line="240" w:lineRule="auto"/>
        <w:ind w:left="567" w:right="335"/>
        <w:jc w:val="both"/>
        <w:rPr>
          <w:rFonts w:ascii="Arial" w:hAnsi="Arial" w:cs="Arial"/>
          <w:bCs/>
          <w:snapToGrid w:val="0"/>
        </w:rPr>
      </w:pPr>
      <w:r w:rsidRPr="0089028E">
        <w:rPr>
          <w:rFonts w:ascii="Arial" w:hAnsi="Arial" w:cs="Arial"/>
          <w:bCs/>
          <w:snapToGrid w:val="0"/>
        </w:rPr>
        <w:t>Nota: La tesis de jurisprudencia 1a./J. 43/2010 citada, aparece publicada en el Semanario Judicial de la Federación y su Gaceta, Novena Época, Tomo XXXI, junio de 2010, página 67, con el rubro: "DOMICILIO PARA RECIBIR NOTIFICACIONES PERSONALES EN EL AMPARO. EL QUEJOSO, TERCERO PERJUDICADO O PERSONA EXTRAÑA AL JUICIO, PUEDEN SEÑALARLO EN LA ZONA METROPOLITANA O CONURBADA AL MUNICIPIO O CIUDAD DONDE EL JUEZ O TRIBUNAL QUE CONOZCA DEL ASUNTO TENGA SU LUGAR DE RESIDENCIA."</w:t>
      </w:r>
    </w:p>
    <w:p w14:paraId="11D03D07" w14:textId="77777777" w:rsidR="0089028E" w:rsidRPr="0089028E" w:rsidRDefault="0089028E" w:rsidP="006E3CE3">
      <w:pPr>
        <w:spacing w:line="360" w:lineRule="auto"/>
        <w:ind w:right="51" w:firstLine="567"/>
        <w:jc w:val="both"/>
        <w:rPr>
          <w:rFonts w:ascii="Arial" w:hAnsi="Arial" w:cs="Arial"/>
          <w:bCs/>
          <w:snapToGrid w:val="0"/>
          <w:sz w:val="24"/>
          <w:szCs w:val="24"/>
        </w:rPr>
      </w:pPr>
    </w:p>
    <w:p w14:paraId="7CC1EA10" w14:textId="77777777" w:rsidR="00C62196" w:rsidRPr="00BB1B71" w:rsidRDefault="00170440" w:rsidP="00C62196">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L</w:t>
      </w:r>
      <w:r w:rsidR="00C65EE1" w:rsidRPr="00BB1B71">
        <w:rPr>
          <w:rFonts w:ascii="Arial" w:hAnsi="Arial" w:cs="Arial"/>
          <w:bCs/>
          <w:snapToGrid w:val="0"/>
          <w:sz w:val="24"/>
          <w:szCs w:val="24"/>
        </w:rPr>
        <w:t xml:space="preserve">uego entonces, el plazo de treinta días previsto por el artículo 166 primer párrafo de la ley de la materia para la interposición de la demanda de nulidad, contado a partir del día siguiente al en que </w:t>
      </w:r>
      <w:r w:rsidR="00C65EE1">
        <w:rPr>
          <w:rFonts w:ascii="Arial" w:hAnsi="Arial" w:cs="Arial"/>
          <w:bCs/>
          <w:snapToGrid w:val="0"/>
          <w:sz w:val="24"/>
          <w:szCs w:val="24"/>
        </w:rPr>
        <w:t>surtió efectos la notificación</w:t>
      </w:r>
      <w:r w:rsidR="00C65EE1" w:rsidRPr="00BB1B71">
        <w:rPr>
          <w:rFonts w:ascii="Arial" w:hAnsi="Arial" w:cs="Arial"/>
          <w:bCs/>
          <w:snapToGrid w:val="0"/>
          <w:sz w:val="24"/>
          <w:szCs w:val="24"/>
        </w:rPr>
        <w:t xml:space="preserve">, </w:t>
      </w:r>
      <w:r>
        <w:rPr>
          <w:rFonts w:ascii="Arial" w:hAnsi="Arial" w:cs="Arial"/>
          <w:b/>
          <w:bCs/>
          <w:snapToGrid w:val="0"/>
          <w:sz w:val="24"/>
          <w:szCs w:val="24"/>
        </w:rPr>
        <w:t>transcurrió del trece de mayo de dos mil diecinueve</w:t>
      </w:r>
      <w:r w:rsidR="003931C3" w:rsidRPr="00BC37C2">
        <w:rPr>
          <w:rFonts w:ascii="Arial" w:hAnsi="Arial" w:cs="Arial"/>
          <w:b/>
          <w:bCs/>
          <w:snapToGrid w:val="0"/>
          <w:sz w:val="24"/>
          <w:szCs w:val="24"/>
        </w:rPr>
        <w:t xml:space="preserve"> al</w:t>
      </w:r>
      <w:r w:rsidR="00C65EE1" w:rsidRPr="00BC37C2">
        <w:rPr>
          <w:rFonts w:ascii="Arial" w:hAnsi="Arial" w:cs="Arial"/>
          <w:b/>
          <w:bCs/>
          <w:snapToGrid w:val="0"/>
          <w:sz w:val="24"/>
          <w:szCs w:val="24"/>
        </w:rPr>
        <w:t xml:space="preserve"> </w:t>
      </w:r>
      <w:r>
        <w:rPr>
          <w:rFonts w:ascii="Arial" w:hAnsi="Arial" w:cs="Arial"/>
          <w:b/>
          <w:bCs/>
          <w:snapToGrid w:val="0"/>
          <w:sz w:val="24"/>
          <w:szCs w:val="24"/>
        </w:rPr>
        <w:t>veinti</w:t>
      </w:r>
      <w:r w:rsidRPr="00BC37C2">
        <w:rPr>
          <w:rFonts w:ascii="Arial" w:hAnsi="Arial" w:cs="Arial"/>
          <w:b/>
          <w:bCs/>
          <w:snapToGrid w:val="0"/>
          <w:sz w:val="24"/>
          <w:szCs w:val="24"/>
        </w:rPr>
        <w:t>uno</w:t>
      </w:r>
      <w:r>
        <w:rPr>
          <w:rFonts w:ascii="Arial" w:hAnsi="Arial" w:cs="Arial"/>
          <w:b/>
          <w:bCs/>
          <w:snapToGrid w:val="0"/>
          <w:sz w:val="24"/>
          <w:szCs w:val="24"/>
        </w:rPr>
        <w:t xml:space="preserve"> de junio</w:t>
      </w:r>
      <w:r w:rsidR="00C65EE1" w:rsidRPr="00BC37C2">
        <w:rPr>
          <w:rFonts w:ascii="Arial" w:hAnsi="Arial" w:cs="Arial"/>
          <w:b/>
          <w:bCs/>
          <w:snapToGrid w:val="0"/>
          <w:sz w:val="24"/>
          <w:szCs w:val="24"/>
        </w:rPr>
        <w:t xml:space="preserve"> del mismo año</w:t>
      </w:r>
      <w:r w:rsidR="00C65EE1" w:rsidRPr="00BB1B71">
        <w:rPr>
          <w:rFonts w:ascii="Arial" w:hAnsi="Arial" w:cs="Arial"/>
          <w:bCs/>
          <w:snapToGrid w:val="0"/>
          <w:sz w:val="24"/>
          <w:szCs w:val="24"/>
        </w:rPr>
        <w:t xml:space="preserve">; descontándose los días </w:t>
      </w:r>
      <w:r>
        <w:rPr>
          <w:rFonts w:ascii="Arial" w:hAnsi="Arial" w:cs="Arial"/>
          <w:bCs/>
          <w:snapToGrid w:val="0"/>
          <w:sz w:val="24"/>
          <w:szCs w:val="24"/>
        </w:rPr>
        <w:t>once, doce, dieciocho, diecinueve, veinticinco y veintiséis de mayo</w:t>
      </w:r>
      <w:r w:rsidR="00D654F1">
        <w:rPr>
          <w:rFonts w:ascii="Arial" w:hAnsi="Arial" w:cs="Arial"/>
          <w:bCs/>
          <w:snapToGrid w:val="0"/>
          <w:sz w:val="24"/>
          <w:szCs w:val="24"/>
        </w:rPr>
        <w:t>, uno, dos, ocho, nueve, quince y dieciséis de junio</w:t>
      </w:r>
      <w:r w:rsidR="00C65EE1">
        <w:rPr>
          <w:rFonts w:ascii="Arial" w:hAnsi="Arial" w:cs="Arial"/>
          <w:bCs/>
          <w:snapToGrid w:val="0"/>
          <w:sz w:val="24"/>
          <w:szCs w:val="24"/>
        </w:rPr>
        <w:t>, to</w:t>
      </w:r>
      <w:r w:rsidR="003931C3">
        <w:rPr>
          <w:rFonts w:ascii="Arial" w:hAnsi="Arial" w:cs="Arial"/>
          <w:bCs/>
          <w:snapToGrid w:val="0"/>
          <w:sz w:val="24"/>
          <w:szCs w:val="24"/>
        </w:rPr>
        <w:t>do</w:t>
      </w:r>
      <w:r w:rsidR="00C65EE1">
        <w:rPr>
          <w:rFonts w:ascii="Arial" w:hAnsi="Arial" w:cs="Arial"/>
          <w:bCs/>
          <w:snapToGrid w:val="0"/>
          <w:sz w:val="24"/>
          <w:szCs w:val="24"/>
        </w:rPr>
        <w:t>s estos del</w:t>
      </w:r>
      <w:r w:rsidR="003931C3">
        <w:rPr>
          <w:rFonts w:ascii="Arial" w:hAnsi="Arial" w:cs="Arial"/>
          <w:bCs/>
          <w:snapToGrid w:val="0"/>
          <w:sz w:val="24"/>
          <w:szCs w:val="24"/>
        </w:rPr>
        <w:t xml:space="preserve"> año</w:t>
      </w:r>
      <w:r w:rsidR="00D654F1">
        <w:rPr>
          <w:rFonts w:ascii="Arial" w:hAnsi="Arial" w:cs="Arial"/>
          <w:bCs/>
          <w:snapToGrid w:val="0"/>
          <w:sz w:val="24"/>
          <w:szCs w:val="24"/>
        </w:rPr>
        <w:t xml:space="preserve"> dos mil diecinueve</w:t>
      </w:r>
      <w:r w:rsidR="00C65EE1">
        <w:rPr>
          <w:rFonts w:ascii="Arial" w:hAnsi="Arial" w:cs="Arial"/>
          <w:bCs/>
          <w:snapToGrid w:val="0"/>
          <w:sz w:val="24"/>
          <w:szCs w:val="24"/>
        </w:rPr>
        <w:t>,</w:t>
      </w:r>
      <w:r w:rsidR="00C65EE1" w:rsidRPr="00BB1B71">
        <w:rPr>
          <w:rFonts w:ascii="Arial" w:hAnsi="Arial" w:cs="Arial"/>
          <w:bCs/>
          <w:snapToGrid w:val="0"/>
          <w:sz w:val="24"/>
          <w:szCs w:val="24"/>
        </w:rPr>
        <w:t xml:space="preserve"> al haber sido sábados y domingos, conforme a lo dispuesto por el artículo 165 de la Ley que</w:t>
      </w:r>
      <w:r w:rsidR="003931C3">
        <w:rPr>
          <w:rFonts w:ascii="Arial" w:hAnsi="Arial" w:cs="Arial"/>
          <w:bCs/>
          <w:snapToGrid w:val="0"/>
          <w:sz w:val="24"/>
          <w:szCs w:val="24"/>
        </w:rPr>
        <w:t xml:space="preserve"> rige a este Tribunal;</w:t>
      </w:r>
      <w:r w:rsidR="00D654F1">
        <w:rPr>
          <w:rFonts w:ascii="Arial" w:hAnsi="Arial" w:cs="Arial"/>
          <w:bCs/>
          <w:snapToGrid w:val="0"/>
          <w:sz w:val="24"/>
          <w:szCs w:val="24"/>
        </w:rPr>
        <w:t xml:space="preserve"> por lo que si</w:t>
      </w:r>
      <w:r w:rsidR="00900A99">
        <w:rPr>
          <w:rFonts w:ascii="Arial" w:hAnsi="Arial" w:cs="Arial"/>
          <w:bCs/>
          <w:snapToGrid w:val="0"/>
          <w:sz w:val="24"/>
          <w:szCs w:val="24"/>
        </w:rPr>
        <w:t xml:space="preserve"> el </w:t>
      </w:r>
      <w:r w:rsidR="00C62196" w:rsidRPr="00BB1B71">
        <w:rPr>
          <w:rFonts w:ascii="Arial" w:hAnsi="Arial" w:cs="Arial"/>
          <w:bCs/>
          <w:snapToGrid w:val="0"/>
          <w:sz w:val="24"/>
          <w:szCs w:val="24"/>
        </w:rPr>
        <w:t xml:space="preserve">escrito de demanda fue presentando en la Oficialía de Partes Común de este Tribunal el día </w:t>
      </w:r>
      <w:r w:rsidR="00D654F1">
        <w:rPr>
          <w:rFonts w:ascii="Arial" w:hAnsi="Arial" w:cs="Arial"/>
          <w:b/>
          <w:bCs/>
          <w:snapToGrid w:val="0"/>
          <w:sz w:val="24"/>
          <w:szCs w:val="24"/>
        </w:rPr>
        <w:t>trece de junio de dos mil diecinueve</w:t>
      </w:r>
      <w:r w:rsidR="00C62196" w:rsidRPr="00BB1B71">
        <w:rPr>
          <w:rFonts w:ascii="Arial" w:hAnsi="Arial" w:cs="Arial"/>
          <w:bCs/>
          <w:snapToGrid w:val="0"/>
          <w:sz w:val="24"/>
          <w:szCs w:val="24"/>
        </w:rPr>
        <w:t xml:space="preserve">, resulta evidente que su interposición se efectuó </w:t>
      </w:r>
      <w:r w:rsidR="00900A99">
        <w:rPr>
          <w:rFonts w:ascii="Arial" w:hAnsi="Arial" w:cs="Arial"/>
          <w:bCs/>
          <w:snapToGrid w:val="0"/>
          <w:sz w:val="24"/>
          <w:szCs w:val="24"/>
        </w:rPr>
        <w:t>dentro</w:t>
      </w:r>
      <w:r w:rsidR="00C62196" w:rsidRPr="00BB1B71">
        <w:rPr>
          <w:rFonts w:ascii="Arial" w:hAnsi="Arial" w:cs="Arial"/>
          <w:bCs/>
          <w:snapToGrid w:val="0"/>
          <w:sz w:val="24"/>
          <w:szCs w:val="24"/>
        </w:rPr>
        <w:t xml:space="preserve"> del plazo previsto por el citado artículo 166 primer párrafo de la Ley de Procedimiento y Justicia Administrativa para el Estado de Oaxac</w:t>
      </w:r>
      <w:r w:rsidR="002C089D">
        <w:rPr>
          <w:rFonts w:ascii="Arial" w:hAnsi="Arial" w:cs="Arial"/>
          <w:bCs/>
          <w:snapToGrid w:val="0"/>
          <w:sz w:val="24"/>
          <w:szCs w:val="24"/>
        </w:rPr>
        <w:t xml:space="preserve">a, en consecuencia </w:t>
      </w:r>
      <w:r w:rsidR="002C089D" w:rsidRPr="002C089D">
        <w:rPr>
          <w:rFonts w:ascii="Arial" w:hAnsi="Arial" w:cs="Arial"/>
          <w:b/>
          <w:bCs/>
          <w:snapToGrid w:val="0"/>
          <w:sz w:val="24"/>
          <w:szCs w:val="24"/>
        </w:rPr>
        <w:t>NO SE SOBRESEE EL JUICIO</w:t>
      </w:r>
      <w:r w:rsidR="002C089D">
        <w:rPr>
          <w:rFonts w:ascii="Arial" w:hAnsi="Arial" w:cs="Arial"/>
          <w:bCs/>
          <w:snapToGrid w:val="0"/>
          <w:sz w:val="24"/>
          <w:szCs w:val="24"/>
        </w:rPr>
        <w:t>.</w:t>
      </w:r>
    </w:p>
    <w:p w14:paraId="363D74AE" w14:textId="77777777" w:rsidR="002B1AB3" w:rsidRDefault="00D17957" w:rsidP="001B4717">
      <w:pPr>
        <w:spacing w:line="360" w:lineRule="auto"/>
        <w:ind w:right="51" w:firstLine="567"/>
        <w:jc w:val="both"/>
        <w:rPr>
          <w:rFonts w:ascii="Arial" w:eastAsia="Arial" w:hAnsi="Arial" w:cs="Arial"/>
          <w:color w:val="000000"/>
          <w:sz w:val="24"/>
          <w:szCs w:val="24"/>
        </w:rPr>
      </w:pPr>
      <w:r>
        <w:rPr>
          <w:rFonts w:ascii="Arial" w:hAnsi="Arial" w:cs="Arial"/>
          <w:b/>
          <w:snapToGrid w:val="0"/>
          <w:sz w:val="24"/>
          <w:szCs w:val="24"/>
        </w:rPr>
        <w:t>QUINT</w:t>
      </w:r>
      <w:r w:rsidR="001C4867" w:rsidRPr="00BB1B71">
        <w:rPr>
          <w:rFonts w:ascii="Arial" w:hAnsi="Arial" w:cs="Arial"/>
          <w:b/>
          <w:snapToGrid w:val="0"/>
          <w:sz w:val="24"/>
          <w:szCs w:val="24"/>
        </w:rPr>
        <w:t>O.</w:t>
      </w:r>
      <w:r w:rsidR="001C4867" w:rsidRPr="00BB1B71">
        <w:rPr>
          <w:rFonts w:ascii="Arial" w:hAnsi="Arial" w:cs="Arial"/>
          <w:bCs/>
          <w:snapToGrid w:val="0"/>
          <w:sz w:val="24"/>
          <w:szCs w:val="24"/>
        </w:rPr>
        <w:t xml:space="preserve"> </w:t>
      </w:r>
      <w:r w:rsidR="00847480" w:rsidRPr="00847480">
        <w:rPr>
          <w:rFonts w:ascii="Arial" w:hAnsi="Arial" w:cs="Arial"/>
          <w:b/>
          <w:bCs/>
          <w:snapToGrid w:val="0"/>
          <w:sz w:val="24"/>
          <w:szCs w:val="24"/>
        </w:rPr>
        <w:t>Conceptos de impugnación</w:t>
      </w:r>
      <w:r w:rsidR="00847480">
        <w:rPr>
          <w:rFonts w:ascii="Arial" w:hAnsi="Arial" w:cs="Arial"/>
          <w:bCs/>
          <w:snapToGrid w:val="0"/>
          <w:sz w:val="24"/>
          <w:szCs w:val="24"/>
        </w:rPr>
        <w:t xml:space="preserve">. </w:t>
      </w:r>
      <w:r w:rsidR="001B4717" w:rsidRPr="001B4717">
        <w:rPr>
          <w:rFonts w:ascii="Arial" w:eastAsia="Arial" w:hAnsi="Arial" w:cs="Arial"/>
          <w:color w:val="000000"/>
          <w:sz w:val="24"/>
          <w:szCs w:val="24"/>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w:t>
      </w:r>
    </w:p>
    <w:p w14:paraId="6EB1FD44" w14:textId="77777777" w:rsidR="001B4717" w:rsidRDefault="002B1AB3" w:rsidP="001B4717">
      <w:pPr>
        <w:spacing w:line="360" w:lineRule="auto"/>
        <w:ind w:right="51" w:firstLine="567"/>
        <w:jc w:val="both"/>
        <w:rPr>
          <w:rFonts w:ascii="Arial" w:eastAsia="Arial" w:hAnsi="Arial" w:cs="Arial"/>
          <w:color w:val="000000"/>
          <w:sz w:val="24"/>
          <w:szCs w:val="24"/>
        </w:rPr>
      </w:pPr>
      <w:r>
        <w:rPr>
          <w:rFonts w:ascii="Arial" w:eastAsia="Arial" w:hAnsi="Arial" w:cs="Arial"/>
          <w:color w:val="000000"/>
          <w:sz w:val="24"/>
          <w:szCs w:val="24"/>
        </w:rPr>
        <w:t xml:space="preserve">Sirve de apoyo a lo anterior la jurisprudencia de datos, </w:t>
      </w:r>
      <w:r w:rsidR="001B4717" w:rsidRPr="001B4717">
        <w:rPr>
          <w:rFonts w:ascii="Arial" w:eastAsia="Arial" w:hAnsi="Arial" w:cs="Arial"/>
          <w:color w:val="000000"/>
          <w:sz w:val="24"/>
          <w:szCs w:val="24"/>
        </w:rPr>
        <w:t>rubro y texto siguientes:</w:t>
      </w:r>
    </w:p>
    <w:p w14:paraId="3D4E1389" w14:textId="77777777" w:rsidR="000C2A2F" w:rsidRPr="000C2A2F" w:rsidRDefault="000C2A2F" w:rsidP="000C2A2F">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Registro digital: </w:t>
      </w:r>
      <w:r w:rsidRPr="000C2A2F">
        <w:rPr>
          <w:rFonts w:ascii="Arial" w:eastAsia="Arial" w:hAnsi="Arial" w:cs="Arial"/>
          <w:color w:val="000000"/>
        </w:rPr>
        <w:t>164618</w:t>
      </w:r>
    </w:p>
    <w:p w14:paraId="77505618" w14:textId="77777777" w:rsidR="000C2A2F" w:rsidRPr="000C2A2F" w:rsidRDefault="000C2A2F" w:rsidP="000C2A2F">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Instancia: </w:t>
      </w:r>
      <w:r w:rsidRPr="000C2A2F">
        <w:rPr>
          <w:rFonts w:ascii="Arial" w:eastAsia="Arial" w:hAnsi="Arial" w:cs="Arial"/>
          <w:color w:val="000000"/>
        </w:rPr>
        <w:t>Segunda Sala</w:t>
      </w:r>
    </w:p>
    <w:p w14:paraId="6003C310" w14:textId="77777777" w:rsidR="000C2A2F" w:rsidRPr="000C2A2F" w:rsidRDefault="000C2A2F" w:rsidP="000C2A2F">
      <w:pPr>
        <w:spacing w:after="0" w:line="240" w:lineRule="auto"/>
        <w:ind w:left="567" w:right="332"/>
        <w:jc w:val="both"/>
        <w:rPr>
          <w:rFonts w:ascii="Arial" w:eastAsia="Arial" w:hAnsi="Arial" w:cs="Arial"/>
          <w:color w:val="000000"/>
        </w:rPr>
      </w:pPr>
      <w:r w:rsidRPr="000C2A2F">
        <w:rPr>
          <w:rFonts w:ascii="Arial" w:eastAsia="Arial" w:hAnsi="Arial" w:cs="Arial"/>
          <w:b/>
          <w:bCs/>
          <w:color w:val="000000"/>
        </w:rPr>
        <w:t>Novena Época</w:t>
      </w:r>
    </w:p>
    <w:p w14:paraId="0B5F2FD5" w14:textId="77777777" w:rsidR="000C2A2F" w:rsidRPr="000C2A2F" w:rsidRDefault="000C2A2F" w:rsidP="000C2A2F">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Materia(s): </w:t>
      </w:r>
      <w:r w:rsidRPr="000C2A2F">
        <w:rPr>
          <w:rFonts w:ascii="Arial" w:eastAsia="Arial" w:hAnsi="Arial" w:cs="Arial"/>
          <w:color w:val="000000"/>
        </w:rPr>
        <w:t>Común</w:t>
      </w:r>
    </w:p>
    <w:p w14:paraId="5DBAAAE3" w14:textId="77777777" w:rsidR="000C2A2F" w:rsidRPr="000C2A2F" w:rsidRDefault="000C2A2F" w:rsidP="000C2A2F">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Tesis: </w:t>
      </w:r>
      <w:r w:rsidRPr="000C2A2F">
        <w:rPr>
          <w:rFonts w:ascii="Arial" w:eastAsia="Arial" w:hAnsi="Arial" w:cs="Arial"/>
          <w:color w:val="000000"/>
        </w:rPr>
        <w:t>2a./J. 58/2010</w:t>
      </w:r>
    </w:p>
    <w:p w14:paraId="5D3A9C42" w14:textId="77777777" w:rsidR="000C2A2F" w:rsidRPr="000C2A2F" w:rsidRDefault="000C2A2F" w:rsidP="000C2A2F">
      <w:pPr>
        <w:spacing w:after="0" w:line="240" w:lineRule="auto"/>
        <w:ind w:left="567" w:right="332"/>
        <w:jc w:val="both"/>
        <w:rPr>
          <w:rFonts w:ascii="Arial" w:eastAsia="Arial" w:hAnsi="Arial" w:cs="Arial"/>
          <w:color w:val="000000"/>
        </w:rPr>
      </w:pPr>
      <w:r>
        <w:rPr>
          <w:rFonts w:ascii="Arial" w:eastAsia="Arial" w:hAnsi="Arial" w:cs="Arial"/>
          <w:b/>
          <w:bCs/>
          <w:color w:val="000000"/>
        </w:rPr>
        <w:lastRenderedPageBreak/>
        <w:t xml:space="preserve">Fuente: </w:t>
      </w:r>
      <w:r w:rsidRPr="000C2A2F">
        <w:rPr>
          <w:rFonts w:ascii="Arial" w:eastAsia="Arial" w:hAnsi="Arial" w:cs="Arial"/>
          <w:color w:val="000000"/>
        </w:rPr>
        <w:t>Semanario Judicial de la Federación y su Gaceta.</w:t>
      </w:r>
      <w:r w:rsidRPr="000C2A2F">
        <w:rPr>
          <w:rFonts w:ascii="Arial" w:eastAsia="Arial" w:hAnsi="Arial" w:cs="Arial"/>
          <w:color w:val="000000"/>
        </w:rPr>
        <w:br/>
        <w:t xml:space="preserve">Tomo XXXI, </w:t>
      </w:r>
      <w:proofErr w:type="gramStart"/>
      <w:r w:rsidRPr="000C2A2F">
        <w:rPr>
          <w:rFonts w:ascii="Arial" w:eastAsia="Arial" w:hAnsi="Arial" w:cs="Arial"/>
          <w:color w:val="000000"/>
        </w:rPr>
        <w:t>Mayo</w:t>
      </w:r>
      <w:proofErr w:type="gramEnd"/>
      <w:r w:rsidRPr="000C2A2F">
        <w:rPr>
          <w:rFonts w:ascii="Arial" w:eastAsia="Arial" w:hAnsi="Arial" w:cs="Arial"/>
          <w:color w:val="000000"/>
        </w:rPr>
        <w:t xml:space="preserve"> de 2010, página 830</w:t>
      </w:r>
    </w:p>
    <w:p w14:paraId="2C8968FE" w14:textId="77777777" w:rsidR="000C2A2F" w:rsidRDefault="000C2A2F" w:rsidP="00847480">
      <w:pPr>
        <w:spacing w:after="0" w:line="240" w:lineRule="auto"/>
        <w:ind w:left="567" w:right="332"/>
        <w:jc w:val="both"/>
        <w:rPr>
          <w:rFonts w:ascii="Arial" w:eastAsia="Arial" w:hAnsi="Arial" w:cs="Arial"/>
          <w:color w:val="000000"/>
        </w:rPr>
      </w:pPr>
    </w:p>
    <w:p w14:paraId="2E8DAA06" w14:textId="77777777" w:rsidR="000C2A2F" w:rsidRDefault="000C2A2F" w:rsidP="00847480">
      <w:pPr>
        <w:spacing w:after="0" w:line="240" w:lineRule="auto"/>
        <w:ind w:left="567" w:right="332"/>
        <w:jc w:val="both"/>
        <w:rPr>
          <w:rFonts w:ascii="Arial" w:eastAsia="Arial" w:hAnsi="Arial" w:cs="Arial"/>
          <w:b/>
          <w:bCs/>
          <w:color w:val="000000"/>
        </w:rPr>
      </w:pPr>
      <w:r w:rsidRPr="000C2A2F">
        <w:rPr>
          <w:rFonts w:ascii="Arial" w:eastAsia="Arial" w:hAnsi="Arial" w:cs="Arial"/>
          <w:b/>
          <w:bCs/>
          <w:color w:val="000000"/>
        </w:rPr>
        <w:t>CONCEPTO</w:t>
      </w:r>
      <w:r>
        <w:rPr>
          <w:rFonts w:ascii="Arial" w:eastAsia="Arial" w:hAnsi="Arial" w:cs="Arial"/>
          <w:b/>
          <w:bCs/>
          <w:color w:val="000000"/>
        </w:rPr>
        <w:t xml:space="preserve">S DE VIOLACIÓN O AGRAVIOS. PARA </w:t>
      </w:r>
      <w:r w:rsidRPr="000C2A2F">
        <w:rPr>
          <w:rFonts w:ascii="Arial" w:eastAsia="Arial" w:hAnsi="Arial" w:cs="Arial"/>
          <w:b/>
          <w:bCs/>
          <w:color w:val="000000"/>
        </w:rPr>
        <w:t>CUMPLIR</w:t>
      </w:r>
      <w:r>
        <w:rPr>
          <w:rFonts w:ascii="Arial" w:eastAsia="Arial" w:hAnsi="Arial" w:cs="Arial"/>
          <w:b/>
          <w:bCs/>
          <w:color w:val="000000"/>
        </w:rPr>
        <w:t xml:space="preserve"> CON LOS </w:t>
      </w:r>
      <w:r w:rsidRPr="000C2A2F">
        <w:rPr>
          <w:rFonts w:ascii="Arial" w:eastAsia="Arial" w:hAnsi="Arial" w:cs="Arial"/>
          <w:b/>
          <w:bCs/>
          <w:color w:val="000000"/>
        </w:rPr>
        <w:t>PRINCIPIOS</w:t>
      </w:r>
      <w:r>
        <w:rPr>
          <w:rFonts w:ascii="Arial" w:eastAsia="Arial" w:hAnsi="Arial" w:cs="Arial"/>
          <w:b/>
          <w:bCs/>
          <w:color w:val="000000"/>
        </w:rPr>
        <w:t xml:space="preserve"> DE </w:t>
      </w:r>
      <w:r w:rsidRPr="000C2A2F">
        <w:rPr>
          <w:rFonts w:ascii="Arial" w:eastAsia="Arial" w:hAnsi="Arial" w:cs="Arial"/>
          <w:b/>
          <w:bCs/>
          <w:color w:val="000000"/>
        </w:rPr>
        <w:t>CONGRUENCIA</w:t>
      </w:r>
      <w:r>
        <w:rPr>
          <w:rFonts w:ascii="Arial" w:eastAsia="Arial" w:hAnsi="Arial" w:cs="Arial"/>
          <w:b/>
          <w:bCs/>
          <w:color w:val="000000"/>
        </w:rPr>
        <w:t xml:space="preserve"> Y </w:t>
      </w:r>
      <w:r w:rsidRPr="000C2A2F">
        <w:rPr>
          <w:rFonts w:ascii="Arial" w:eastAsia="Arial" w:hAnsi="Arial" w:cs="Arial"/>
          <w:b/>
          <w:bCs/>
          <w:color w:val="000000"/>
        </w:rPr>
        <w:t>EXHAUSTIVIDAD</w:t>
      </w:r>
      <w:r>
        <w:rPr>
          <w:rFonts w:ascii="Arial" w:eastAsia="Arial" w:hAnsi="Arial" w:cs="Arial"/>
          <w:b/>
          <w:bCs/>
          <w:color w:val="000000"/>
        </w:rPr>
        <w:t xml:space="preserve"> </w:t>
      </w:r>
      <w:r w:rsidRPr="000C2A2F">
        <w:rPr>
          <w:rFonts w:ascii="Arial" w:eastAsia="Arial" w:hAnsi="Arial" w:cs="Arial"/>
          <w:b/>
          <w:bCs/>
          <w:color w:val="000000"/>
        </w:rPr>
        <w:t xml:space="preserve">EN </w:t>
      </w:r>
      <w:r>
        <w:rPr>
          <w:rFonts w:ascii="Arial" w:eastAsia="Arial" w:hAnsi="Arial" w:cs="Arial"/>
          <w:b/>
          <w:bCs/>
          <w:color w:val="000000"/>
        </w:rPr>
        <w:t xml:space="preserve">LAS </w:t>
      </w:r>
      <w:r w:rsidRPr="000C2A2F">
        <w:rPr>
          <w:rFonts w:ascii="Arial" w:eastAsia="Arial" w:hAnsi="Arial" w:cs="Arial"/>
          <w:b/>
          <w:bCs/>
          <w:color w:val="000000"/>
        </w:rPr>
        <w:t>SENTENCIAS</w:t>
      </w:r>
      <w:r>
        <w:rPr>
          <w:rFonts w:ascii="Arial" w:eastAsia="Arial" w:hAnsi="Arial" w:cs="Arial"/>
          <w:b/>
          <w:bCs/>
          <w:color w:val="000000"/>
        </w:rPr>
        <w:t xml:space="preserve"> DE </w:t>
      </w:r>
      <w:r w:rsidRPr="000C2A2F">
        <w:rPr>
          <w:rFonts w:ascii="Arial" w:eastAsia="Arial" w:hAnsi="Arial" w:cs="Arial"/>
          <w:b/>
          <w:bCs/>
          <w:color w:val="000000"/>
        </w:rPr>
        <w:t>AMPARO</w:t>
      </w:r>
      <w:r>
        <w:rPr>
          <w:rFonts w:ascii="Arial" w:eastAsia="Arial" w:hAnsi="Arial" w:cs="Arial"/>
          <w:b/>
          <w:bCs/>
          <w:color w:val="000000"/>
        </w:rPr>
        <w:t xml:space="preserve"> ES </w:t>
      </w:r>
      <w:r w:rsidRPr="000C2A2F">
        <w:rPr>
          <w:rFonts w:ascii="Arial" w:eastAsia="Arial" w:hAnsi="Arial" w:cs="Arial"/>
          <w:b/>
          <w:bCs/>
          <w:color w:val="000000"/>
        </w:rPr>
        <w:t>INNECESARIA</w:t>
      </w:r>
      <w:r>
        <w:rPr>
          <w:rFonts w:ascii="Arial" w:eastAsia="Arial" w:hAnsi="Arial" w:cs="Arial"/>
          <w:b/>
          <w:bCs/>
          <w:color w:val="000000"/>
        </w:rPr>
        <w:t xml:space="preserve"> SU </w:t>
      </w:r>
      <w:r w:rsidRPr="000C2A2F">
        <w:rPr>
          <w:rFonts w:ascii="Arial" w:eastAsia="Arial" w:hAnsi="Arial" w:cs="Arial"/>
          <w:b/>
          <w:bCs/>
          <w:color w:val="000000"/>
        </w:rPr>
        <w:t>TRANSCRIPCIÓN.</w:t>
      </w:r>
    </w:p>
    <w:p w14:paraId="0BC0622D" w14:textId="77777777" w:rsidR="000C2A2F" w:rsidRDefault="000C2A2F" w:rsidP="00847480">
      <w:pPr>
        <w:spacing w:after="0" w:line="240" w:lineRule="auto"/>
        <w:ind w:left="567" w:right="332"/>
        <w:jc w:val="both"/>
        <w:rPr>
          <w:rFonts w:ascii="Arial" w:eastAsia="Arial" w:hAnsi="Arial" w:cs="Arial"/>
          <w:b/>
          <w:bCs/>
          <w:color w:val="000000"/>
        </w:rPr>
      </w:pPr>
    </w:p>
    <w:p w14:paraId="6E832273" w14:textId="77777777" w:rsidR="000C2A2F" w:rsidRDefault="000C2A2F" w:rsidP="00847480">
      <w:pPr>
        <w:spacing w:after="0" w:line="240" w:lineRule="auto"/>
        <w:ind w:left="567" w:right="332"/>
        <w:jc w:val="both"/>
        <w:rPr>
          <w:rFonts w:ascii="Arial" w:eastAsia="Arial" w:hAnsi="Arial" w:cs="Arial"/>
          <w:color w:val="000000"/>
        </w:rPr>
      </w:pPr>
      <w:r w:rsidRPr="000C2A2F">
        <w:rPr>
          <w:rFonts w:ascii="Arial" w:eastAsia="Arial" w:hAnsi="Arial" w:cs="Arial"/>
          <w:color w:val="000000"/>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7CD8845" w14:textId="77777777" w:rsidR="000C2A2F" w:rsidRDefault="000C2A2F" w:rsidP="00847480">
      <w:pPr>
        <w:spacing w:after="0" w:line="240" w:lineRule="auto"/>
        <w:ind w:left="567" w:right="332"/>
        <w:jc w:val="both"/>
        <w:rPr>
          <w:rFonts w:ascii="Arial" w:eastAsia="Arial" w:hAnsi="Arial" w:cs="Arial"/>
          <w:color w:val="000000"/>
        </w:rPr>
      </w:pPr>
    </w:p>
    <w:p w14:paraId="62F18785" w14:textId="77777777" w:rsidR="000C2A2F" w:rsidRPr="000C2A2F" w:rsidRDefault="000C2A2F" w:rsidP="000C2A2F">
      <w:pPr>
        <w:spacing w:after="0" w:line="240" w:lineRule="auto"/>
        <w:ind w:left="567" w:right="332"/>
        <w:jc w:val="both"/>
        <w:rPr>
          <w:rFonts w:ascii="Arial" w:eastAsia="Arial" w:hAnsi="Arial" w:cs="Arial"/>
          <w:color w:val="000000"/>
        </w:rPr>
      </w:pPr>
      <w:r w:rsidRPr="000C2A2F">
        <w:rPr>
          <w:rFonts w:ascii="Arial" w:eastAsia="Arial" w:hAnsi="Arial" w:cs="Arial"/>
          <w:color w:val="000000"/>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66E8EBF4" w14:textId="77777777" w:rsidR="000C2A2F" w:rsidRPr="000C2A2F" w:rsidRDefault="000C2A2F" w:rsidP="000C2A2F">
      <w:pPr>
        <w:spacing w:after="0" w:line="240" w:lineRule="auto"/>
        <w:ind w:left="567" w:right="332"/>
        <w:jc w:val="both"/>
        <w:rPr>
          <w:rFonts w:ascii="Arial" w:eastAsia="Arial" w:hAnsi="Arial" w:cs="Arial"/>
          <w:color w:val="000000"/>
        </w:rPr>
      </w:pPr>
    </w:p>
    <w:p w14:paraId="10B0EC66" w14:textId="77777777" w:rsidR="000C2A2F" w:rsidRDefault="000C2A2F" w:rsidP="000C2A2F">
      <w:pPr>
        <w:spacing w:after="0" w:line="240" w:lineRule="auto"/>
        <w:ind w:left="567" w:right="332"/>
        <w:jc w:val="both"/>
        <w:rPr>
          <w:rFonts w:ascii="Arial" w:eastAsia="Arial" w:hAnsi="Arial" w:cs="Arial"/>
          <w:color w:val="000000"/>
        </w:rPr>
      </w:pPr>
      <w:r w:rsidRPr="000C2A2F">
        <w:rPr>
          <w:rFonts w:ascii="Arial" w:eastAsia="Arial" w:hAnsi="Arial" w:cs="Arial"/>
          <w:color w:val="000000"/>
        </w:rPr>
        <w:t>Tesis de jurisprudencia 58/2010. Aprobada por la Segunda Sala de este Alto Tribunal, en sesión privada del doce de mayo de dos mil diez.</w:t>
      </w:r>
    </w:p>
    <w:p w14:paraId="6E69C916" w14:textId="77777777" w:rsidR="000C2A2F" w:rsidRPr="000C2A2F" w:rsidRDefault="000C2A2F" w:rsidP="000C2A2F">
      <w:pPr>
        <w:spacing w:after="0" w:line="240" w:lineRule="auto"/>
        <w:ind w:left="567" w:right="332"/>
        <w:jc w:val="both"/>
        <w:rPr>
          <w:rFonts w:ascii="Arial" w:eastAsia="Arial" w:hAnsi="Arial" w:cs="Arial"/>
          <w:color w:val="000000"/>
        </w:rPr>
      </w:pPr>
    </w:p>
    <w:p w14:paraId="6B544E7F" w14:textId="77777777" w:rsidR="004D7492" w:rsidRDefault="00D17957"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proofErr w:type="gramStart"/>
      <w:r>
        <w:rPr>
          <w:rFonts w:ascii="Arial" w:eastAsia="Arial" w:hAnsi="Arial" w:cs="Arial"/>
          <w:b/>
          <w:color w:val="000000"/>
          <w:sz w:val="24"/>
          <w:szCs w:val="24"/>
        </w:rPr>
        <w:t>SEXTO.-</w:t>
      </w:r>
      <w:proofErr w:type="gramEnd"/>
      <w:r w:rsidR="00356898">
        <w:rPr>
          <w:rFonts w:ascii="Arial" w:eastAsia="Arial" w:hAnsi="Arial" w:cs="Arial"/>
          <w:b/>
          <w:color w:val="000000"/>
          <w:sz w:val="24"/>
          <w:szCs w:val="24"/>
        </w:rPr>
        <w:t xml:space="preserve"> Análisis de fondo</w:t>
      </w:r>
      <w:r w:rsidR="003A300F">
        <w:rPr>
          <w:rFonts w:ascii="Arial" w:eastAsia="Arial" w:hAnsi="Arial" w:cs="Arial"/>
          <w:b/>
          <w:color w:val="000000"/>
          <w:sz w:val="24"/>
          <w:szCs w:val="24"/>
        </w:rPr>
        <w:t xml:space="preserve"> del asunto. </w:t>
      </w:r>
      <w:r w:rsidR="004D7492" w:rsidRPr="004D7492">
        <w:rPr>
          <w:rFonts w:ascii="Arial" w:eastAsia="Arial" w:hAnsi="Arial" w:cs="Arial"/>
          <w:color w:val="000000"/>
          <w:sz w:val="24"/>
          <w:szCs w:val="24"/>
        </w:rPr>
        <w:t>S</w:t>
      </w:r>
      <w:r w:rsidR="00356898" w:rsidRPr="004D7492">
        <w:rPr>
          <w:rFonts w:ascii="Arial" w:eastAsia="Arial" w:hAnsi="Arial" w:cs="Arial"/>
          <w:color w:val="000000"/>
          <w:sz w:val="24"/>
          <w:szCs w:val="24"/>
        </w:rPr>
        <w:t>e</w:t>
      </w:r>
      <w:r w:rsidR="004D7492">
        <w:rPr>
          <w:rFonts w:ascii="Arial" w:eastAsia="Arial" w:hAnsi="Arial" w:cs="Arial"/>
          <w:color w:val="000000"/>
          <w:sz w:val="24"/>
          <w:szCs w:val="24"/>
        </w:rPr>
        <w:t xml:space="preserve"> procede al estudio del agravio</w:t>
      </w:r>
      <w:r w:rsidR="00C12BCD">
        <w:rPr>
          <w:rFonts w:ascii="Arial" w:eastAsia="Arial" w:hAnsi="Arial" w:cs="Arial"/>
          <w:color w:val="000000"/>
          <w:sz w:val="24"/>
          <w:szCs w:val="24"/>
        </w:rPr>
        <w:t xml:space="preserve"> QUINTO</w:t>
      </w:r>
      <w:r w:rsidR="00356898">
        <w:rPr>
          <w:rFonts w:ascii="Arial" w:eastAsia="Arial" w:hAnsi="Arial" w:cs="Arial"/>
          <w:color w:val="000000"/>
          <w:sz w:val="24"/>
          <w:szCs w:val="24"/>
        </w:rPr>
        <w:t xml:space="preserve"> del escrito de</w:t>
      </w:r>
      <w:r w:rsidR="00EB4E7E">
        <w:rPr>
          <w:rFonts w:ascii="Arial" w:eastAsia="Arial" w:hAnsi="Arial" w:cs="Arial"/>
          <w:color w:val="000000"/>
          <w:sz w:val="24"/>
          <w:szCs w:val="24"/>
        </w:rPr>
        <w:t xml:space="preserve"> demanda en </w:t>
      </w:r>
      <w:r w:rsidR="004D7492">
        <w:rPr>
          <w:rFonts w:ascii="Arial" w:eastAsia="Arial" w:hAnsi="Arial" w:cs="Arial"/>
          <w:color w:val="000000"/>
          <w:sz w:val="24"/>
          <w:szCs w:val="24"/>
        </w:rPr>
        <w:t>el</w:t>
      </w:r>
      <w:r w:rsidR="00EB4E7E">
        <w:rPr>
          <w:rFonts w:ascii="Arial" w:eastAsia="Arial" w:hAnsi="Arial" w:cs="Arial"/>
          <w:color w:val="000000"/>
          <w:sz w:val="24"/>
          <w:szCs w:val="24"/>
        </w:rPr>
        <w:t xml:space="preserve"> que la actora negó</w:t>
      </w:r>
      <w:r w:rsidR="00356898">
        <w:rPr>
          <w:rFonts w:ascii="Arial" w:eastAsia="Arial" w:hAnsi="Arial" w:cs="Arial"/>
          <w:color w:val="000000"/>
          <w:sz w:val="24"/>
          <w:szCs w:val="24"/>
        </w:rPr>
        <w:t xml:space="preserve"> que </w:t>
      </w:r>
      <w:r w:rsidR="00B91B5E">
        <w:rPr>
          <w:rFonts w:ascii="Arial" w:eastAsia="Arial" w:hAnsi="Arial" w:cs="Arial"/>
          <w:color w:val="000000"/>
          <w:sz w:val="24"/>
          <w:szCs w:val="24"/>
        </w:rPr>
        <w:t>e</w:t>
      </w:r>
      <w:r w:rsidR="00356898">
        <w:rPr>
          <w:rFonts w:ascii="Arial" w:eastAsia="Arial" w:hAnsi="Arial" w:cs="Arial"/>
          <w:color w:val="000000"/>
          <w:sz w:val="24"/>
          <w:szCs w:val="24"/>
        </w:rPr>
        <w:t>l</w:t>
      </w:r>
      <w:r w:rsidR="00B91B5E">
        <w:rPr>
          <w:rFonts w:ascii="Arial" w:eastAsia="Arial" w:hAnsi="Arial" w:cs="Arial"/>
          <w:color w:val="000000"/>
          <w:sz w:val="24"/>
          <w:szCs w:val="24"/>
        </w:rPr>
        <w:t xml:space="preserve"> acto combatido se encuentre debidamente fundado y motivado</w:t>
      </w:r>
      <w:r w:rsidR="004D7492">
        <w:rPr>
          <w:rFonts w:ascii="Arial" w:eastAsia="Arial" w:hAnsi="Arial" w:cs="Arial"/>
          <w:color w:val="000000"/>
          <w:sz w:val="24"/>
          <w:szCs w:val="24"/>
        </w:rPr>
        <w:t>,</w:t>
      </w:r>
      <w:r w:rsidR="00356898">
        <w:rPr>
          <w:rFonts w:ascii="Arial" w:eastAsia="Arial" w:hAnsi="Arial" w:cs="Arial"/>
          <w:color w:val="000000"/>
          <w:sz w:val="24"/>
          <w:szCs w:val="24"/>
        </w:rPr>
        <w:t xml:space="preserve"> toda</w:t>
      </w:r>
      <w:r w:rsidR="004D7492">
        <w:rPr>
          <w:rFonts w:ascii="Arial" w:eastAsia="Arial" w:hAnsi="Arial" w:cs="Arial"/>
          <w:color w:val="000000"/>
          <w:sz w:val="24"/>
          <w:szCs w:val="24"/>
        </w:rPr>
        <w:t xml:space="preserve"> vez que la autoridad fue omisa en fundar y señalar que facultad fue la que ejerció para identificar a su representada como sujeto obligado a presentar las declaraciones correspondientes.</w:t>
      </w:r>
    </w:p>
    <w:p w14:paraId="1C544192" w14:textId="77777777" w:rsidR="00356898" w:rsidRDefault="00BE6526"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Por su parte la autoridad en su oficio de contestación sostuvo la legalidad y validez de los actos combatidos.</w:t>
      </w:r>
    </w:p>
    <w:p w14:paraId="67643303" w14:textId="397605E4" w:rsidR="00337E15" w:rsidRDefault="00337E15"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bCs/>
          <w:spacing w:val="-3"/>
          <w:sz w:val="24"/>
          <w:szCs w:val="24"/>
          <w:lang w:val="es-ES_tradnl"/>
        </w:rPr>
      </w:pPr>
      <w:r>
        <w:rPr>
          <w:rFonts w:ascii="Arial" w:eastAsia="Arial" w:hAnsi="Arial" w:cs="Arial"/>
          <w:color w:val="000000"/>
          <w:sz w:val="24"/>
          <w:szCs w:val="24"/>
        </w:rPr>
        <w:t>A la luz de lo expuesto</w:t>
      </w:r>
      <w:r w:rsidR="00E27BEE">
        <w:rPr>
          <w:rFonts w:ascii="Arial" w:eastAsia="Arial" w:hAnsi="Arial" w:cs="Arial"/>
          <w:color w:val="000000"/>
          <w:sz w:val="24"/>
          <w:szCs w:val="24"/>
        </w:rPr>
        <w:t>,</w:t>
      </w:r>
      <w:r>
        <w:rPr>
          <w:rFonts w:ascii="Arial" w:eastAsia="Arial" w:hAnsi="Arial" w:cs="Arial"/>
          <w:color w:val="000000"/>
          <w:sz w:val="24"/>
          <w:szCs w:val="24"/>
        </w:rPr>
        <w:t xml:space="preserve"> la</w:t>
      </w:r>
      <w:r w:rsidRPr="00337E15">
        <w:rPr>
          <w:rFonts w:ascii="Arial" w:eastAsia="Arial" w:hAnsi="Arial" w:cs="Arial"/>
          <w:b/>
          <w:color w:val="000000"/>
          <w:sz w:val="24"/>
          <w:szCs w:val="24"/>
        </w:rPr>
        <w:t xml:space="preserve"> LITIS</w:t>
      </w:r>
      <w:r>
        <w:rPr>
          <w:rFonts w:ascii="Arial" w:eastAsia="Arial" w:hAnsi="Arial" w:cs="Arial"/>
          <w:color w:val="000000"/>
          <w:sz w:val="24"/>
          <w:szCs w:val="24"/>
        </w:rPr>
        <w:t xml:space="preserve"> </w:t>
      </w:r>
      <w:r w:rsidRPr="00337E15">
        <w:rPr>
          <w:rFonts w:ascii="Arial" w:eastAsia="Arial" w:hAnsi="Arial" w:cs="Arial"/>
          <w:b/>
          <w:color w:val="000000"/>
          <w:sz w:val="24"/>
          <w:szCs w:val="24"/>
        </w:rPr>
        <w:t>EN EL PRESENTE ASUNTO</w:t>
      </w:r>
      <w:r>
        <w:rPr>
          <w:rFonts w:ascii="Arial" w:eastAsia="Arial" w:hAnsi="Arial" w:cs="Arial"/>
          <w:color w:val="000000"/>
          <w:sz w:val="24"/>
          <w:szCs w:val="24"/>
        </w:rPr>
        <w:t xml:space="preserve"> consiste en resolver si la resolución </w:t>
      </w:r>
      <w:r w:rsidR="005E03C2">
        <w:rPr>
          <w:rFonts w:ascii="Arial" w:eastAsia="Arial" w:hAnsi="Arial" w:cs="Arial"/>
          <w:color w:val="000000"/>
          <w:sz w:val="24"/>
          <w:szCs w:val="24"/>
        </w:rPr>
        <w:t xml:space="preserve">impugnada </w:t>
      </w:r>
      <w:r>
        <w:rPr>
          <w:rFonts w:ascii="Arial" w:eastAsia="Arial" w:hAnsi="Arial" w:cs="Arial"/>
          <w:color w:val="000000"/>
          <w:sz w:val="24"/>
          <w:szCs w:val="24"/>
        </w:rPr>
        <w:t xml:space="preserve">relativa al oficio con número de control </w:t>
      </w:r>
      <w:r w:rsidR="00511CD6">
        <w:rPr>
          <w:rFonts w:ascii="Arial" w:eastAsia="Arial" w:hAnsi="Arial" w:cs="Arial"/>
          <w:color w:val="FF0000"/>
          <w:sz w:val="24"/>
          <w:szCs w:val="24"/>
        </w:rPr>
        <w:t>**********</w:t>
      </w:r>
      <w:r w:rsidRPr="00337E15">
        <w:rPr>
          <w:rFonts w:ascii="Arial" w:eastAsia="Arial" w:hAnsi="Arial" w:cs="Arial"/>
          <w:color w:val="000000"/>
          <w:sz w:val="24"/>
          <w:szCs w:val="24"/>
        </w:rPr>
        <w:t xml:space="preserve"> de </w:t>
      </w:r>
      <w:r w:rsidR="00E27BEE">
        <w:rPr>
          <w:rFonts w:ascii="Arial" w:eastAsia="Arial" w:hAnsi="Arial" w:cs="Arial"/>
          <w:color w:val="000000"/>
          <w:sz w:val="24"/>
          <w:szCs w:val="24"/>
        </w:rPr>
        <w:t>diecinueve de febrero de</w:t>
      </w:r>
      <w:r w:rsidRPr="00337E15">
        <w:rPr>
          <w:rFonts w:ascii="Arial" w:eastAsia="Arial" w:hAnsi="Arial" w:cs="Arial"/>
          <w:color w:val="000000"/>
          <w:sz w:val="24"/>
          <w:szCs w:val="24"/>
        </w:rPr>
        <w:t xml:space="preserve"> dos mil diecinueve,</w:t>
      </w:r>
      <w:r>
        <w:rPr>
          <w:rFonts w:ascii="Arial" w:eastAsia="Arial" w:hAnsi="Arial" w:cs="Arial"/>
          <w:color w:val="000000"/>
          <w:sz w:val="24"/>
          <w:szCs w:val="24"/>
        </w:rPr>
        <w:t xml:space="preserve"> se encuentra</w:t>
      </w:r>
      <w:r w:rsidR="00E27BEE">
        <w:rPr>
          <w:rFonts w:ascii="Arial" w:eastAsia="Arial" w:hAnsi="Arial" w:cs="Arial"/>
          <w:color w:val="000000"/>
          <w:sz w:val="24"/>
          <w:szCs w:val="24"/>
        </w:rPr>
        <w:t xml:space="preserve"> debidamente fundada y motivada</w:t>
      </w:r>
      <w:r>
        <w:rPr>
          <w:rFonts w:ascii="Arial" w:hAnsi="Arial" w:cs="Arial"/>
          <w:bCs/>
          <w:spacing w:val="-3"/>
          <w:sz w:val="24"/>
          <w:szCs w:val="24"/>
          <w:lang w:val="es-ES_tradnl"/>
        </w:rPr>
        <w:t>.</w:t>
      </w:r>
    </w:p>
    <w:p w14:paraId="0A05E40B" w14:textId="1615E8E0" w:rsidR="00FE39C3" w:rsidRDefault="00E27BEE"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bCs/>
          <w:spacing w:val="-3"/>
          <w:sz w:val="24"/>
          <w:szCs w:val="24"/>
          <w:lang w:val="es-ES_tradnl"/>
        </w:rPr>
      </w:pPr>
      <w:r>
        <w:rPr>
          <w:rFonts w:ascii="Arial" w:eastAsia="Arial" w:hAnsi="Arial" w:cs="Arial"/>
          <w:color w:val="000000"/>
          <w:sz w:val="24"/>
          <w:szCs w:val="24"/>
        </w:rPr>
        <w:t>S</w:t>
      </w:r>
      <w:r w:rsidR="00D747D6">
        <w:rPr>
          <w:rFonts w:ascii="Arial" w:eastAsia="Arial" w:hAnsi="Arial" w:cs="Arial"/>
          <w:color w:val="000000"/>
          <w:sz w:val="24"/>
          <w:szCs w:val="24"/>
        </w:rPr>
        <w:t xml:space="preserve">e procede al </w:t>
      </w:r>
      <w:r w:rsidR="00FE39C3">
        <w:rPr>
          <w:rFonts w:ascii="Arial" w:eastAsia="Arial" w:hAnsi="Arial" w:cs="Arial"/>
          <w:color w:val="000000"/>
          <w:sz w:val="24"/>
          <w:szCs w:val="24"/>
        </w:rPr>
        <w:t xml:space="preserve">análisis de la multa </w:t>
      </w:r>
      <w:r>
        <w:rPr>
          <w:rFonts w:ascii="Arial" w:eastAsia="Arial" w:hAnsi="Arial" w:cs="Arial"/>
          <w:color w:val="000000"/>
          <w:sz w:val="24"/>
          <w:szCs w:val="24"/>
        </w:rPr>
        <w:t>impugnada (foja 40</w:t>
      </w:r>
      <w:r w:rsidR="00FE39C3">
        <w:rPr>
          <w:rFonts w:ascii="Arial" w:eastAsia="Arial" w:hAnsi="Arial" w:cs="Arial"/>
          <w:color w:val="000000"/>
          <w:sz w:val="24"/>
          <w:szCs w:val="24"/>
        </w:rPr>
        <w:t xml:space="preserve"> de autos) contenida en e</w:t>
      </w:r>
      <w:r>
        <w:rPr>
          <w:rFonts w:ascii="Arial" w:eastAsia="Arial" w:hAnsi="Arial" w:cs="Arial"/>
          <w:color w:val="000000"/>
          <w:sz w:val="24"/>
          <w:szCs w:val="24"/>
        </w:rPr>
        <w:t xml:space="preserve">l oficio número de control </w:t>
      </w:r>
      <w:r w:rsidR="00511CD6">
        <w:rPr>
          <w:rFonts w:ascii="Arial" w:eastAsia="Arial" w:hAnsi="Arial" w:cs="Arial"/>
          <w:color w:val="FF0000"/>
          <w:sz w:val="24"/>
          <w:szCs w:val="24"/>
        </w:rPr>
        <w:t>**********</w:t>
      </w:r>
      <w:r w:rsidR="00FE39C3" w:rsidRPr="00E27BEE">
        <w:rPr>
          <w:rFonts w:ascii="Arial" w:eastAsia="Arial" w:hAnsi="Arial" w:cs="Arial"/>
          <w:color w:val="FF0000"/>
          <w:sz w:val="24"/>
          <w:szCs w:val="24"/>
        </w:rPr>
        <w:t xml:space="preserve"> </w:t>
      </w:r>
      <w:r w:rsidR="00FE39C3">
        <w:rPr>
          <w:rFonts w:ascii="Arial" w:eastAsia="Arial" w:hAnsi="Arial" w:cs="Arial"/>
          <w:color w:val="000000"/>
          <w:sz w:val="24"/>
          <w:szCs w:val="24"/>
        </w:rPr>
        <w:t xml:space="preserve">de </w:t>
      </w:r>
      <w:r w:rsidRPr="00E27BEE">
        <w:rPr>
          <w:rFonts w:ascii="Arial" w:eastAsia="Arial" w:hAnsi="Arial" w:cs="Arial"/>
          <w:color w:val="000000"/>
          <w:sz w:val="24"/>
          <w:szCs w:val="24"/>
        </w:rPr>
        <w:t>diecinueve de febrero de dos mil diecinueve</w:t>
      </w:r>
      <w:r w:rsidR="00FE39C3">
        <w:rPr>
          <w:rFonts w:ascii="Arial" w:eastAsia="Arial" w:hAnsi="Arial" w:cs="Arial"/>
          <w:color w:val="000000"/>
          <w:sz w:val="24"/>
          <w:szCs w:val="24"/>
        </w:rPr>
        <w:t xml:space="preserve">, </w:t>
      </w:r>
      <w:r w:rsidR="00847480">
        <w:rPr>
          <w:rFonts w:ascii="Arial" w:hAnsi="Arial" w:cs="Arial"/>
          <w:bCs/>
          <w:spacing w:val="-3"/>
          <w:sz w:val="24"/>
          <w:szCs w:val="24"/>
          <w:lang w:val="es-ES_tradnl"/>
        </w:rPr>
        <w:t>impuesta por</w:t>
      </w:r>
      <w:r w:rsidR="002B5432">
        <w:rPr>
          <w:rFonts w:ascii="Arial" w:hAnsi="Arial" w:cs="Arial"/>
          <w:bCs/>
          <w:spacing w:val="-3"/>
          <w:sz w:val="24"/>
          <w:szCs w:val="24"/>
          <w:lang w:val="es-ES_tradnl"/>
        </w:rPr>
        <w:t xml:space="preserve"> la</w:t>
      </w:r>
      <w:r w:rsidR="002B5432" w:rsidRPr="00BB1B71">
        <w:rPr>
          <w:rFonts w:ascii="Arial" w:hAnsi="Arial" w:cs="Arial"/>
          <w:bCs/>
          <w:spacing w:val="-3"/>
          <w:sz w:val="24"/>
          <w:szCs w:val="24"/>
          <w:lang w:val="es-ES_tradnl"/>
        </w:rPr>
        <w:t xml:space="preserve"> Directora de Ingresos y Recaudación de la Subsecretaría de Ingresos de la Secretaría de Finanzas del Gobierno del Estado de Oaxaca</w:t>
      </w:r>
      <w:r w:rsidR="00847480">
        <w:rPr>
          <w:rFonts w:ascii="Arial" w:hAnsi="Arial" w:cs="Arial"/>
          <w:bCs/>
          <w:spacing w:val="-3"/>
          <w:sz w:val="24"/>
          <w:szCs w:val="24"/>
          <w:lang w:val="es-ES_tradnl"/>
        </w:rPr>
        <w:t>,</w:t>
      </w:r>
      <w:r w:rsidR="002B5432">
        <w:rPr>
          <w:rFonts w:ascii="Arial" w:hAnsi="Arial" w:cs="Arial"/>
          <w:bCs/>
          <w:spacing w:val="-3"/>
          <w:sz w:val="24"/>
          <w:szCs w:val="24"/>
          <w:lang w:val="es-ES_tradnl"/>
        </w:rPr>
        <w:t xml:space="preserve"> a </w:t>
      </w:r>
      <w:r w:rsidR="00B30496">
        <w:rPr>
          <w:rFonts w:ascii="Arial" w:hAnsi="Arial" w:cs="Arial"/>
          <w:b/>
          <w:bCs/>
          <w:color w:val="FF0000"/>
          <w:spacing w:val="-3"/>
          <w:sz w:val="24"/>
          <w:szCs w:val="24"/>
          <w:lang w:val="es-ES_tradnl"/>
        </w:rPr>
        <w:t>**********</w:t>
      </w:r>
      <w:r w:rsidR="00847480">
        <w:rPr>
          <w:rFonts w:ascii="Arial" w:hAnsi="Arial" w:cs="Arial"/>
          <w:bCs/>
          <w:spacing w:val="-3"/>
          <w:sz w:val="24"/>
          <w:szCs w:val="24"/>
          <w:lang w:val="es-ES_tradnl"/>
        </w:rPr>
        <w:t>,</w:t>
      </w:r>
      <w:r w:rsidR="002B5432">
        <w:rPr>
          <w:rFonts w:ascii="Arial" w:hAnsi="Arial" w:cs="Arial"/>
          <w:bCs/>
          <w:spacing w:val="-3"/>
          <w:sz w:val="24"/>
          <w:szCs w:val="24"/>
          <w:lang w:val="es-ES_tradnl"/>
        </w:rPr>
        <w:t xml:space="preserve"> </w:t>
      </w:r>
      <w:r w:rsidR="00944E7F">
        <w:rPr>
          <w:rFonts w:ascii="Arial" w:hAnsi="Arial" w:cs="Arial"/>
          <w:bCs/>
          <w:spacing w:val="-3"/>
          <w:sz w:val="24"/>
          <w:szCs w:val="24"/>
          <w:lang w:val="es-ES_tradnl"/>
        </w:rPr>
        <w:t>equivalente a cincuenta veces el valor de la Unidad de Medida y Actualización publicada en el Diario Oficial de la Federa</w:t>
      </w:r>
      <w:r w:rsidR="00847480">
        <w:rPr>
          <w:rFonts w:ascii="Arial" w:hAnsi="Arial" w:cs="Arial"/>
          <w:bCs/>
          <w:spacing w:val="-3"/>
          <w:sz w:val="24"/>
          <w:szCs w:val="24"/>
          <w:lang w:val="es-ES_tradnl"/>
        </w:rPr>
        <w:t>ción vigente a partir del uno</w:t>
      </w:r>
      <w:r w:rsidR="00944E7F">
        <w:rPr>
          <w:rFonts w:ascii="Arial" w:hAnsi="Arial" w:cs="Arial"/>
          <w:bCs/>
          <w:spacing w:val="-3"/>
          <w:sz w:val="24"/>
          <w:szCs w:val="24"/>
          <w:lang w:val="es-ES_tradnl"/>
        </w:rPr>
        <w:t xml:space="preserve"> de febrero de</w:t>
      </w:r>
      <w:r w:rsidR="00FE39C3">
        <w:rPr>
          <w:rFonts w:ascii="Arial" w:hAnsi="Arial" w:cs="Arial"/>
          <w:bCs/>
          <w:spacing w:val="-3"/>
          <w:sz w:val="24"/>
          <w:szCs w:val="24"/>
          <w:lang w:val="es-ES_tradnl"/>
        </w:rPr>
        <w:t xml:space="preserve"> dos mil diec</w:t>
      </w:r>
      <w:r w:rsidR="00D747D6">
        <w:rPr>
          <w:rFonts w:ascii="Arial" w:hAnsi="Arial" w:cs="Arial"/>
          <w:bCs/>
          <w:spacing w:val="-3"/>
          <w:sz w:val="24"/>
          <w:szCs w:val="24"/>
          <w:lang w:val="es-ES_tradnl"/>
        </w:rPr>
        <w:t>inueve,</w:t>
      </w:r>
      <w:r w:rsidR="00944E7F">
        <w:rPr>
          <w:rFonts w:ascii="Arial" w:hAnsi="Arial" w:cs="Arial"/>
          <w:bCs/>
          <w:spacing w:val="-3"/>
          <w:sz w:val="24"/>
          <w:szCs w:val="24"/>
          <w:lang w:val="es-ES_tradnl"/>
        </w:rPr>
        <w:t xml:space="preserve"> </w:t>
      </w:r>
      <w:r w:rsidR="00944E7F" w:rsidRPr="002474D9">
        <w:rPr>
          <w:rFonts w:ascii="Arial" w:hAnsi="Arial" w:cs="Arial"/>
          <w:b/>
          <w:bCs/>
          <w:spacing w:val="-3"/>
          <w:sz w:val="24"/>
          <w:szCs w:val="24"/>
          <w:u w:val="single"/>
          <w:lang w:val="es-ES_tradnl"/>
        </w:rPr>
        <w:t>por omitir presentar la</w:t>
      </w:r>
      <w:r>
        <w:rPr>
          <w:rFonts w:ascii="Arial" w:hAnsi="Arial" w:cs="Arial"/>
          <w:b/>
          <w:bCs/>
          <w:spacing w:val="-3"/>
          <w:sz w:val="24"/>
          <w:szCs w:val="24"/>
          <w:u w:val="single"/>
          <w:lang w:val="es-ES_tradnl"/>
        </w:rPr>
        <w:t>s declaracio</w:t>
      </w:r>
      <w:r w:rsidR="00944E7F" w:rsidRPr="002474D9">
        <w:rPr>
          <w:rFonts w:ascii="Arial" w:hAnsi="Arial" w:cs="Arial"/>
          <w:b/>
          <w:bCs/>
          <w:spacing w:val="-3"/>
          <w:sz w:val="24"/>
          <w:szCs w:val="24"/>
          <w:u w:val="single"/>
          <w:lang w:val="es-ES_tradnl"/>
        </w:rPr>
        <w:t>n</w:t>
      </w:r>
      <w:r>
        <w:rPr>
          <w:rFonts w:ascii="Arial" w:hAnsi="Arial" w:cs="Arial"/>
          <w:b/>
          <w:bCs/>
          <w:spacing w:val="-3"/>
          <w:sz w:val="24"/>
          <w:szCs w:val="24"/>
          <w:u w:val="single"/>
          <w:lang w:val="es-ES_tradnl"/>
        </w:rPr>
        <w:t>es</w:t>
      </w:r>
      <w:r w:rsidR="00944E7F" w:rsidRPr="002474D9">
        <w:rPr>
          <w:rFonts w:ascii="Arial" w:hAnsi="Arial" w:cs="Arial"/>
          <w:b/>
          <w:bCs/>
          <w:spacing w:val="-3"/>
          <w:sz w:val="24"/>
          <w:szCs w:val="24"/>
          <w:u w:val="single"/>
          <w:lang w:val="es-ES_tradnl"/>
        </w:rPr>
        <w:t xml:space="preserve"> </w:t>
      </w:r>
      <w:r w:rsidR="002B5432" w:rsidRPr="002474D9">
        <w:rPr>
          <w:rFonts w:ascii="Arial" w:hAnsi="Arial" w:cs="Arial"/>
          <w:b/>
          <w:bCs/>
          <w:spacing w:val="-3"/>
          <w:sz w:val="24"/>
          <w:szCs w:val="24"/>
          <w:u w:val="single"/>
          <w:lang w:val="es-ES_tradnl"/>
        </w:rPr>
        <w:t xml:space="preserve">del Impuesto sobre </w:t>
      </w:r>
      <w:r w:rsidR="002B5432" w:rsidRPr="002474D9">
        <w:rPr>
          <w:rFonts w:ascii="Arial" w:hAnsi="Arial" w:cs="Arial"/>
          <w:b/>
          <w:bCs/>
          <w:spacing w:val="-3"/>
          <w:sz w:val="24"/>
          <w:szCs w:val="24"/>
          <w:u w:val="single"/>
          <w:lang w:val="es-ES_tradnl"/>
        </w:rPr>
        <w:lastRenderedPageBreak/>
        <w:t>Erogaciones por Remu</w:t>
      </w:r>
      <w:r w:rsidR="00944E7F" w:rsidRPr="002474D9">
        <w:rPr>
          <w:rFonts w:ascii="Arial" w:hAnsi="Arial" w:cs="Arial"/>
          <w:b/>
          <w:bCs/>
          <w:spacing w:val="-3"/>
          <w:sz w:val="24"/>
          <w:szCs w:val="24"/>
          <w:u w:val="single"/>
          <w:lang w:val="es-ES_tradnl"/>
        </w:rPr>
        <w:t>neraciones al Trabajo Personal corres</w:t>
      </w:r>
      <w:r w:rsidR="00FE39C3">
        <w:rPr>
          <w:rFonts w:ascii="Arial" w:hAnsi="Arial" w:cs="Arial"/>
          <w:b/>
          <w:bCs/>
          <w:spacing w:val="-3"/>
          <w:sz w:val="24"/>
          <w:szCs w:val="24"/>
          <w:u w:val="single"/>
          <w:lang w:val="es-ES_tradnl"/>
        </w:rPr>
        <w:t>pondiente al</w:t>
      </w:r>
      <w:r>
        <w:rPr>
          <w:rFonts w:ascii="Arial" w:hAnsi="Arial" w:cs="Arial"/>
          <w:b/>
          <w:bCs/>
          <w:spacing w:val="-3"/>
          <w:sz w:val="24"/>
          <w:szCs w:val="24"/>
          <w:u w:val="single"/>
          <w:lang w:val="es-ES_tradnl"/>
        </w:rPr>
        <w:t xml:space="preserve"> 3°, 4°, 5° y 6° bimestre de 2018</w:t>
      </w:r>
      <w:r w:rsidR="00944E7F">
        <w:rPr>
          <w:rFonts w:ascii="Arial" w:hAnsi="Arial" w:cs="Arial"/>
          <w:bCs/>
          <w:spacing w:val="-3"/>
          <w:sz w:val="24"/>
          <w:szCs w:val="24"/>
          <w:lang w:val="es-ES_tradnl"/>
        </w:rPr>
        <w:t>, como lo establece el artículo 66 de la Ley Estatal de Hacienda</w:t>
      </w:r>
      <w:r w:rsidR="009D5BB3">
        <w:rPr>
          <w:rFonts w:ascii="Arial" w:hAnsi="Arial" w:cs="Arial"/>
          <w:bCs/>
          <w:spacing w:val="-3"/>
          <w:sz w:val="24"/>
          <w:szCs w:val="24"/>
          <w:lang w:val="es-ES_tradnl"/>
        </w:rPr>
        <w:t>.</w:t>
      </w:r>
    </w:p>
    <w:p w14:paraId="1F0A2754" w14:textId="4FBA58FD" w:rsidR="004210CB" w:rsidRDefault="00EB5F85"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En primer </w:t>
      </w:r>
      <w:r w:rsidR="00B30496">
        <w:rPr>
          <w:rFonts w:ascii="Arial" w:eastAsia="Arial" w:hAnsi="Arial" w:cs="Arial"/>
          <w:color w:val="000000"/>
          <w:sz w:val="24"/>
          <w:szCs w:val="24"/>
        </w:rPr>
        <w:t>término,</w:t>
      </w:r>
      <w:r>
        <w:rPr>
          <w:rFonts w:ascii="Arial" w:eastAsia="Arial" w:hAnsi="Arial" w:cs="Arial"/>
          <w:color w:val="000000"/>
          <w:sz w:val="24"/>
          <w:szCs w:val="24"/>
        </w:rPr>
        <w:t xml:space="preserve"> es de indicar que a</w:t>
      </w:r>
      <w:r w:rsidR="004210CB">
        <w:rPr>
          <w:rFonts w:ascii="Arial" w:eastAsia="Arial" w:hAnsi="Arial" w:cs="Arial"/>
          <w:color w:val="000000"/>
          <w:sz w:val="24"/>
          <w:szCs w:val="24"/>
        </w:rPr>
        <w:t xml:space="preserve"> la multa que se recurre</w:t>
      </w:r>
      <w:r w:rsidR="004210CB" w:rsidRPr="004210CB">
        <w:rPr>
          <w:rFonts w:ascii="Arial" w:eastAsia="Arial" w:hAnsi="Arial" w:cs="Arial"/>
          <w:color w:val="000000"/>
          <w:sz w:val="24"/>
          <w:szCs w:val="24"/>
        </w:rPr>
        <w:t xml:space="preserve"> se le otorga pleno valor probatorio conforme lo previsto por el artículo 203 fracción I</w:t>
      </w:r>
      <w:r w:rsidR="004210CB" w:rsidRPr="004210CB">
        <w:rPr>
          <w:rFonts w:ascii="Arial" w:eastAsia="Arial" w:hAnsi="Arial" w:cs="Arial"/>
          <w:color w:val="000000"/>
          <w:sz w:val="24"/>
          <w:szCs w:val="24"/>
          <w:vertAlign w:val="superscript"/>
        </w:rPr>
        <w:footnoteReference w:id="1"/>
      </w:r>
      <w:r w:rsidR="004210CB" w:rsidRPr="004210CB">
        <w:rPr>
          <w:rFonts w:ascii="Arial" w:eastAsia="Arial" w:hAnsi="Arial" w:cs="Arial"/>
          <w:color w:val="000000"/>
          <w:sz w:val="24"/>
          <w:szCs w:val="24"/>
        </w:rPr>
        <w:t xml:space="preserve"> de la Ley de Procedimiento y Justicia Administ</w:t>
      </w:r>
      <w:r w:rsidR="004210CB">
        <w:rPr>
          <w:rFonts w:ascii="Arial" w:eastAsia="Arial" w:hAnsi="Arial" w:cs="Arial"/>
          <w:color w:val="000000"/>
          <w:sz w:val="24"/>
          <w:szCs w:val="24"/>
        </w:rPr>
        <w:t>rativa para el Estado de Oaxaca.</w:t>
      </w:r>
    </w:p>
    <w:p w14:paraId="6393973B" w14:textId="77777777" w:rsidR="004210CB" w:rsidRPr="004210CB" w:rsidRDefault="00EB5F85"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sz w:val="24"/>
          <w:szCs w:val="24"/>
        </w:rPr>
      </w:pPr>
      <w:r>
        <w:rPr>
          <w:rFonts w:ascii="Arial" w:eastAsia="Arial" w:hAnsi="Arial" w:cs="Arial"/>
          <w:color w:val="000000"/>
          <w:sz w:val="24"/>
          <w:szCs w:val="24"/>
        </w:rPr>
        <w:t>Ahora bien, l</w:t>
      </w:r>
      <w:r w:rsidR="004210CB">
        <w:rPr>
          <w:rFonts w:ascii="Arial" w:eastAsia="Arial" w:hAnsi="Arial" w:cs="Arial"/>
          <w:color w:val="000000"/>
          <w:sz w:val="24"/>
          <w:szCs w:val="24"/>
        </w:rPr>
        <w:t>a autoridad demandada</w:t>
      </w:r>
      <w:r>
        <w:rPr>
          <w:rFonts w:ascii="Arial" w:eastAsia="Arial" w:hAnsi="Arial" w:cs="Arial"/>
          <w:color w:val="000000"/>
          <w:sz w:val="24"/>
          <w:szCs w:val="24"/>
        </w:rPr>
        <w:t>,</w:t>
      </w:r>
      <w:r w:rsidR="004210CB" w:rsidRPr="004210CB">
        <w:rPr>
          <w:rFonts w:ascii="Arial" w:eastAsia="Arial" w:hAnsi="Arial" w:cs="Arial"/>
          <w:color w:val="000000"/>
          <w:sz w:val="24"/>
          <w:szCs w:val="24"/>
        </w:rPr>
        <w:t xml:space="preserve"> </w:t>
      </w:r>
      <w:r w:rsidR="004210CB">
        <w:rPr>
          <w:rFonts w:ascii="Arial" w:eastAsia="Arial" w:hAnsi="Arial" w:cs="Arial"/>
          <w:color w:val="000000"/>
          <w:sz w:val="24"/>
          <w:szCs w:val="24"/>
        </w:rPr>
        <w:t>como parte de su fundamentac</w:t>
      </w:r>
      <w:r w:rsidR="009D5BB3">
        <w:rPr>
          <w:rFonts w:ascii="Arial" w:eastAsia="Arial" w:hAnsi="Arial" w:cs="Arial"/>
          <w:color w:val="000000"/>
          <w:sz w:val="24"/>
          <w:szCs w:val="24"/>
        </w:rPr>
        <w:t>ión y motivación indicó (foja 40</w:t>
      </w:r>
      <w:r w:rsidR="004210CB">
        <w:rPr>
          <w:rFonts w:ascii="Arial" w:eastAsia="Arial" w:hAnsi="Arial" w:cs="Arial"/>
          <w:color w:val="000000"/>
          <w:sz w:val="24"/>
          <w:szCs w:val="24"/>
        </w:rPr>
        <w:t xml:space="preserve"> de autos)</w:t>
      </w:r>
      <w:r w:rsidR="004210CB" w:rsidRPr="004210CB">
        <w:rPr>
          <w:rFonts w:ascii="Arial" w:eastAsia="Arial" w:hAnsi="Arial" w:cs="Arial"/>
          <w:color w:val="000000"/>
          <w:sz w:val="24"/>
          <w:szCs w:val="24"/>
        </w:rPr>
        <w:t>:</w:t>
      </w:r>
    </w:p>
    <w:p w14:paraId="301DAAD8" w14:textId="77777777" w:rsidR="009C3496" w:rsidRDefault="004210CB" w:rsidP="004210CB">
      <w:pPr>
        <w:pBdr>
          <w:top w:val="nil"/>
          <w:left w:val="nil"/>
          <w:bottom w:val="nil"/>
          <w:right w:val="nil"/>
          <w:between w:val="nil"/>
        </w:pBdr>
        <w:tabs>
          <w:tab w:val="center" w:pos="4419"/>
          <w:tab w:val="right" w:pos="8838"/>
          <w:tab w:val="center" w:pos="-1418"/>
        </w:tabs>
        <w:spacing w:after="0"/>
        <w:ind w:left="284" w:right="424"/>
        <w:jc w:val="both"/>
        <w:rPr>
          <w:rFonts w:ascii="Arial" w:eastAsia="Arial" w:hAnsi="Arial" w:cs="Arial"/>
          <w:i/>
          <w:color w:val="000000"/>
        </w:rPr>
      </w:pPr>
      <w:r w:rsidRPr="004210CB">
        <w:rPr>
          <w:rFonts w:ascii="Arial" w:eastAsia="Arial" w:hAnsi="Arial" w:cs="Arial"/>
          <w:color w:val="000000"/>
        </w:rPr>
        <w:t>“</w:t>
      </w:r>
      <w:r w:rsidRPr="004210CB">
        <w:rPr>
          <w:rFonts w:ascii="Arial" w:eastAsia="Arial" w:hAnsi="Arial" w:cs="Arial"/>
          <w:i/>
          <w:color w:val="000000"/>
        </w:rPr>
        <w:t>La Dirección de Ingresos y Recaudación dependiente de la Subsecretaría de Ingresos de la Secretaría de Finanzas del Poder Ejecutivo del Estado de Oaxaca, con fundamento en los artículos 2 párrafo segundo y tercero de la Constitución Política del Estado Libre y Soberano de Oaxaca vigente; 1, 2, 3 fracción I, 6 párrafo segundo 24, 26, 27 fracción XII, 45 fracciones XI, XIII,XXVIII, XXXVI</w:t>
      </w:r>
      <w:r w:rsidR="009D5BB3">
        <w:rPr>
          <w:rFonts w:ascii="Arial" w:eastAsia="Arial" w:hAnsi="Arial" w:cs="Arial"/>
          <w:i/>
          <w:color w:val="000000"/>
        </w:rPr>
        <w:t>I</w:t>
      </w:r>
      <w:r w:rsidRPr="004210CB">
        <w:rPr>
          <w:rFonts w:ascii="Arial" w:eastAsia="Arial" w:hAnsi="Arial" w:cs="Arial"/>
          <w:i/>
          <w:color w:val="000000"/>
        </w:rPr>
        <w:t xml:space="preserve">I y LIX de la Ley Orgánica del Poder Ejecutivo del Estado de </w:t>
      </w:r>
      <w:r w:rsidR="009D5BB3">
        <w:rPr>
          <w:rFonts w:ascii="Arial" w:eastAsia="Arial" w:hAnsi="Arial" w:cs="Arial"/>
          <w:i/>
          <w:color w:val="000000"/>
        </w:rPr>
        <w:t>Oaxaca vigente; 63, 64, 65, 66 y</w:t>
      </w:r>
      <w:r w:rsidRPr="004210CB">
        <w:rPr>
          <w:rFonts w:ascii="Arial" w:eastAsia="Arial" w:hAnsi="Arial" w:cs="Arial"/>
          <w:i/>
          <w:color w:val="000000"/>
        </w:rPr>
        <w:t xml:space="preserve"> 69 de la Ley Estatal de Hacienda vigente; 1 primer párrafo, 2, 3, 4, 5 f</w:t>
      </w:r>
      <w:r>
        <w:rPr>
          <w:rFonts w:ascii="Arial" w:eastAsia="Arial" w:hAnsi="Arial" w:cs="Arial"/>
          <w:i/>
          <w:color w:val="000000"/>
        </w:rPr>
        <w:t xml:space="preserve">racciones II y VII, 7 fracción </w:t>
      </w:r>
      <w:r w:rsidR="009D5BB3">
        <w:rPr>
          <w:rFonts w:ascii="Arial" w:eastAsia="Arial" w:hAnsi="Arial" w:cs="Arial"/>
          <w:i/>
          <w:color w:val="000000"/>
        </w:rPr>
        <w:t>V</w:t>
      </w:r>
      <w:r w:rsidRPr="004210CB">
        <w:rPr>
          <w:rFonts w:ascii="Arial" w:eastAsia="Arial" w:hAnsi="Arial" w:cs="Arial"/>
          <w:i/>
          <w:color w:val="000000"/>
        </w:rPr>
        <w:t xml:space="preserve">I,17 fracción I y III, 19, 22 primer y cuarto párrafo, 32, 39,43, segundo y tercer párrafos, 47, 60, párrafo primero, 61 párrafo primer y tercero, 122, </w:t>
      </w:r>
      <w:r>
        <w:rPr>
          <w:rFonts w:ascii="Arial" w:eastAsia="Arial" w:hAnsi="Arial" w:cs="Arial"/>
          <w:i/>
          <w:color w:val="000000"/>
        </w:rPr>
        <w:t>y 269</w:t>
      </w:r>
      <w:r w:rsidRPr="004210CB">
        <w:rPr>
          <w:rFonts w:ascii="Arial" w:eastAsia="Arial" w:hAnsi="Arial" w:cs="Arial"/>
          <w:i/>
          <w:color w:val="000000"/>
        </w:rPr>
        <w:t xml:space="preserve"> fracción I del Código Fiscal para el Estado de Oaxaca vigente; 53, 55 fracciones I, II y III y 56 fracción II del Reglamento del Código Fiscal para el Estado de Oaxaca vigente, 1, 2, 4 fracción I y III inciso a), 6 primer párrafo, 30 primer párrafo, 31 fracciones VIII y XLII del Reglamento Interno de la Secretaría de Finanzas del Poder Ejecutivo del Estado de Oaxaca vigente</w:t>
      </w:r>
      <w:r w:rsidR="009C3496">
        <w:rPr>
          <w:rFonts w:ascii="Arial" w:eastAsia="Arial" w:hAnsi="Arial" w:cs="Arial"/>
          <w:i/>
          <w:color w:val="000000"/>
        </w:rPr>
        <w:t>.</w:t>
      </w:r>
    </w:p>
    <w:p w14:paraId="7D2FF655" w14:textId="77777777" w:rsidR="009C3496" w:rsidRDefault="009C3496" w:rsidP="004210CB">
      <w:pPr>
        <w:pBdr>
          <w:top w:val="nil"/>
          <w:left w:val="nil"/>
          <w:bottom w:val="nil"/>
          <w:right w:val="nil"/>
          <w:between w:val="nil"/>
        </w:pBdr>
        <w:tabs>
          <w:tab w:val="center" w:pos="4419"/>
          <w:tab w:val="right" w:pos="8838"/>
          <w:tab w:val="center" w:pos="-1418"/>
        </w:tabs>
        <w:spacing w:after="0"/>
        <w:ind w:left="284" w:right="424"/>
        <w:jc w:val="both"/>
        <w:rPr>
          <w:rFonts w:ascii="Arial" w:eastAsia="Arial" w:hAnsi="Arial" w:cs="Arial"/>
          <w:i/>
          <w:color w:val="000000"/>
        </w:rPr>
      </w:pPr>
    </w:p>
    <w:p w14:paraId="340A213A" w14:textId="77777777" w:rsidR="009C3496" w:rsidRDefault="009C3496" w:rsidP="004210CB">
      <w:pPr>
        <w:pBdr>
          <w:top w:val="nil"/>
          <w:left w:val="nil"/>
          <w:bottom w:val="nil"/>
          <w:right w:val="nil"/>
          <w:between w:val="nil"/>
        </w:pBdr>
        <w:tabs>
          <w:tab w:val="center" w:pos="4419"/>
          <w:tab w:val="right" w:pos="8838"/>
          <w:tab w:val="center" w:pos="-1418"/>
        </w:tabs>
        <w:spacing w:after="0"/>
        <w:ind w:left="284" w:right="424"/>
        <w:jc w:val="both"/>
        <w:rPr>
          <w:rFonts w:ascii="Arial" w:eastAsia="Arial" w:hAnsi="Arial" w:cs="Arial"/>
          <w:i/>
          <w:color w:val="000000"/>
        </w:rPr>
      </w:pPr>
      <w:r>
        <w:rPr>
          <w:rFonts w:ascii="Arial" w:eastAsia="Arial" w:hAnsi="Arial" w:cs="Arial"/>
          <w:i/>
          <w:color w:val="000000"/>
        </w:rPr>
        <w:t xml:space="preserve">Que en los artículos 61 </w:t>
      </w:r>
      <w:r w:rsidR="00F34CD4">
        <w:rPr>
          <w:rFonts w:ascii="Arial" w:eastAsia="Arial" w:hAnsi="Arial" w:cs="Arial"/>
          <w:i/>
          <w:color w:val="000000"/>
        </w:rPr>
        <w:t>párrafos</w:t>
      </w:r>
      <w:r>
        <w:rPr>
          <w:rFonts w:ascii="Arial" w:eastAsia="Arial" w:hAnsi="Arial" w:cs="Arial"/>
          <w:i/>
          <w:color w:val="000000"/>
        </w:rPr>
        <w:t xml:space="preserve"> primero y tercero del Código Fiscal para el Estado de Oaxaca; 53, 55, fracción I, II y III, 56 fracción II del Reglamento del mismo ordenamiento legal, señalan que los contribuyentes que tengan la obligación de presentar sus declaraciones periódicas de conformidad con las leyes </w:t>
      </w:r>
      <w:r w:rsidR="00F34CD4">
        <w:rPr>
          <w:rFonts w:ascii="Arial" w:eastAsia="Arial" w:hAnsi="Arial" w:cs="Arial"/>
          <w:i/>
          <w:color w:val="000000"/>
        </w:rPr>
        <w:t>fiscales</w:t>
      </w:r>
      <w:r>
        <w:rPr>
          <w:rFonts w:ascii="Arial" w:eastAsia="Arial" w:hAnsi="Arial" w:cs="Arial"/>
          <w:i/>
          <w:color w:val="000000"/>
        </w:rPr>
        <w:t xml:space="preserve"> respectivas, lo harán a</w:t>
      </w:r>
      <w:r w:rsidR="00F34CD4">
        <w:rPr>
          <w:rFonts w:ascii="Arial" w:eastAsia="Arial" w:hAnsi="Arial" w:cs="Arial"/>
          <w:i/>
          <w:color w:val="000000"/>
        </w:rPr>
        <w:t>n</w:t>
      </w:r>
      <w:r>
        <w:rPr>
          <w:rFonts w:ascii="Arial" w:eastAsia="Arial" w:hAnsi="Arial" w:cs="Arial"/>
          <w:i/>
          <w:color w:val="000000"/>
        </w:rPr>
        <w:t xml:space="preserve">te las autoridades fiscales y en las formas que siendo aprobadas y publicadas por la </w:t>
      </w:r>
      <w:r w:rsidR="00F34CD4">
        <w:rPr>
          <w:rFonts w:ascii="Arial" w:eastAsia="Arial" w:hAnsi="Arial" w:cs="Arial"/>
          <w:i/>
          <w:color w:val="000000"/>
        </w:rPr>
        <w:t>Secretaría</w:t>
      </w:r>
      <w:r>
        <w:rPr>
          <w:rFonts w:ascii="Arial" w:eastAsia="Arial" w:hAnsi="Arial" w:cs="Arial"/>
          <w:i/>
          <w:color w:val="000000"/>
        </w:rPr>
        <w:t xml:space="preserve">, se expidan </w:t>
      </w:r>
      <w:r w:rsidR="00F34CD4">
        <w:rPr>
          <w:rFonts w:ascii="Arial" w:eastAsia="Arial" w:hAnsi="Arial" w:cs="Arial"/>
          <w:i/>
          <w:color w:val="000000"/>
        </w:rPr>
        <w:t>pa</w:t>
      </w:r>
      <w:r>
        <w:rPr>
          <w:rFonts w:ascii="Arial" w:eastAsia="Arial" w:hAnsi="Arial" w:cs="Arial"/>
          <w:i/>
          <w:color w:val="000000"/>
        </w:rPr>
        <w:t>ra tal efecto, mismas que deben re</w:t>
      </w:r>
      <w:r w:rsidR="00F34CD4">
        <w:rPr>
          <w:rFonts w:ascii="Arial" w:eastAsia="Arial" w:hAnsi="Arial" w:cs="Arial"/>
          <w:i/>
          <w:color w:val="000000"/>
        </w:rPr>
        <w:t>a</w:t>
      </w:r>
      <w:r>
        <w:rPr>
          <w:rFonts w:ascii="Arial" w:eastAsia="Arial" w:hAnsi="Arial" w:cs="Arial"/>
          <w:i/>
          <w:color w:val="000000"/>
        </w:rPr>
        <w:t xml:space="preserve">lizarse dentro de los primeros 17 </w:t>
      </w:r>
      <w:r w:rsidR="00F34CD4">
        <w:rPr>
          <w:rFonts w:ascii="Arial" w:eastAsia="Arial" w:hAnsi="Arial" w:cs="Arial"/>
          <w:i/>
          <w:color w:val="000000"/>
        </w:rPr>
        <w:t>días</w:t>
      </w:r>
      <w:r>
        <w:rPr>
          <w:rFonts w:ascii="Arial" w:eastAsia="Arial" w:hAnsi="Arial" w:cs="Arial"/>
          <w:i/>
          <w:color w:val="000000"/>
        </w:rPr>
        <w:t xml:space="preserve"> del mes siguiente al periodo que se está declarando.</w:t>
      </w:r>
    </w:p>
    <w:p w14:paraId="03A97BC6" w14:textId="77777777" w:rsidR="009C3496" w:rsidRDefault="009C3496" w:rsidP="004210CB">
      <w:pPr>
        <w:pBdr>
          <w:top w:val="nil"/>
          <w:left w:val="nil"/>
          <w:bottom w:val="nil"/>
          <w:right w:val="nil"/>
          <w:between w:val="nil"/>
        </w:pBdr>
        <w:tabs>
          <w:tab w:val="center" w:pos="4419"/>
          <w:tab w:val="right" w:pos="8838"/>
          <w:tab w:val="center" w:pos="-1418"/>
        </w:tabs>
        <w:spacing w:after="0"/>
        <w:ind w:left="284" w:right="424"/>
        <w:jc w:val="both"/>
        <w:rPr>
          <w:rFonts w:ascii="Arial" w:eastAsia="Arial" w:hAnsi="Arial" w:cs="Arial"/>
          <w:i/>
          <w:color w:val="000000"/>
        </w:rPr>
      </w:pPr>
    </w:p>
    <w:p w14:paraId="17FE1C45" w14:textId="77777777" w:rsidR="009C3496" w:rsidRDefault="009C3496" w:rsidP="004210CB">
      <w:pPr>
        <w:pBdr>
          <w:top w:val="nil"/>
          <w:left w:val="nil"/>
          <w:bottom w:val="nil"/>
          <w:right w:val="nil"/>
          <w:between w:val="nil"/>
        </w:pBdr>
        <w:tabs>
          <w:tab w:val="center" w:pos="4419"/>
          <w:tab w:val="right" w:pos="8838"/>
          <w:tab w:val="center" w:pos="-1418"/>
        </w:tabs>
        <w:spacing w:after="0"/>
        <w:ind w:left="284" w:right="424"/>
        <w:jc w:val="both"/>
        <w:rPr>
          <w:rFonts w:ascii="Arial" w:eastAsia="Arial" w:hAnsi="Arial" w:cs="Arial"/>
          <w:i/>
          <w:color w:val="000000"/>
        </w:rPr>
      </w:pPr>
      <w:r w:rsidRPr="004210CB">
        <w:rPr>
          <w:rFonts w:ascii="Arial" w:eastAsia="Arial" w:hAnsi="Arial" w:cs="Arial"/>
          <w:i/>
          <w:color w:val="000000"/>
        </w:rPr>
        <w:t>Atendiendo a lo anterior se realizó una revisión minuciosa en el Registro Estatal de Contribuyentes con que cu</w:t>
      </w:r>
      <w:r>
        <w:rPr>
          <w:rFonts w:ascii="Arial" w:eastAsia="Arial" w:hAnsi="Arial" w:cs="Arial"/>
          <w:i/>
          <w:color w:val="000000"/>
        </w:rPr>
        <w:t>enta esta Secretaría; la</w:t>
      </w:r>
      <w:r w:rsidRPr="004210CB">
        <w:rPr>
          <w:rFonts w:ascii="Arial" w:eastAsia="Arial" w:hAnsi="Arial" w:cs="Arial"/>
          <w:i/>
          <w:color w:val="000000"/>
        </w:rPr>
        <w:t xml:space="preserve"> cual contiene los registros contables en materia de declaraciones y pagos; y en el ejercicio de las facultades de revisión al cumplimiento de las declaraciones y pagos, de los contribuyentes activos e inscritos en materia del Impuesto Sobre Erogaciones por Remuneraciones al Trabajo Personal, se le </w:t>
      </w:r>
      <w:r w:rsidR="00F34CD4">
        <w:rPr>
          <w:rFonts w:ascii="Arial" w:eastAsia="Arial" w:hAnsi="Arial" w:cs="Arial"/>
          <w:i/>
          <w:color w:val="000000"/>
        </w:rPr>
        <w:t xml:space="preserve">ha </w:t>
      </w:r>
      <w:r w:rsidRPr="004210CB">
        <w:rPr>
          <w:rFonts w:ascii="Arial" w:eastAsia="Arial" w:hAnsi="Arial" w:cs="Arial"/>
          <w:i/>
          <w:color w:val="000000"/>
        </w:rPr>
        <w:t>identificado como sujeto obligado en materia del impuesto de referencia, y que ha incurrido en el incumplimiento de su (s) obligación (es), toda vez que ha transcurrido en exceso el plazo a que se refiere el artículo 66 de la Ley Estatal de Hacienda vigente, para los ejercicios fiscales que se requieren, para la presentación de la(s) bimestral(les) definitivas(s) y enterar el impuesto que nos ocupa, conforme a lo siguiente</w:t>
      </w:r>
      <w:r w:rsidR="00292844">
        <w:rPr>
          <w:rFonts w:ascii="Arial" w:eastAsia="Arial" w:hAnsi="Arial" w:cs="Arial"/>
          <w:i/>
          <w:color w:val="000000"/>
        </w:rPr>
        <w:t>.</w:t>
      </w:r>
    </w:p>
    <w:p w14:paraId="0A8F4588"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0"/>
        <w:ind w:left="284" w:right="424"/>
        <w:jc w:val="both"/>
        <w:rPr>
          <w:rFonts w:ascii="Arial" w:eastAsia="Arial" w:hAnsi="Arial" w:cs="Arial"/>
          <w:i/>
          <w:color w:val="000000"/>
        </w:rPr>
      </w:pPr>
      <w:r w:rsidRPr="004210CB">
        <w:rPr>
          <w:rFonts w:ascii="Arial" w:eastAsia="Arial" w:hAnsi="Arial" w:cs="Arial"/>
          <w:i/>
          <w:color w:val="000000"/>
        </w:rPr>
        <w:t>...</w:t>
      </w:r>
      <w:r w:rsidRPr="004210CB">
        <w:rPr>
          <w:rFonts w:ascii="Arial" w:eastAsia="Arial" w:hAnsi="Arial" w:cs="Arial"/>
          <w:color w:val="000000"/>
        </w:rPr>
        <w:t>”</w:t>
      </w:r>
    </w:p>
    <w:p w14:paraId="356B2A4E"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0"/>
        <w:ind w:left="284" w:right="424"/>
        <w:jc w:val="both"/>
        <w:rPr>
          <w:rFonts w:ascii="Arial" w:eastAsia="Arial" w:hAnsi="Arial" w:cs="Arial"/>
          <w:i/>
          <w:color w:val="000000"/>
        </w:rPr>
      </w:pPr>
    </w:p>
    <w:p w14:paraId="6B42B924" w14:textId="77777777" w:rsidR="00C34995" w:rsidRDefault="00D747D6"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lastRenderedPageBreak/>
        <w:t xml:space="preserve">Los ordenamientos </w:t>
      </w:r>
      <w:r w:rsidR="001F7452">
        <w:rPr>
          <w:rFonts w:ascii="Arial" w:eastAsia="Arial" w:hAnsi="Arial" w:cs="Arial"/>
          <w:color w:val="000000"/>
          <w:sz w:val="24"/>
          <w:szCs w:val="24"/>
        </w:rPr>
        <w:t>legales</w:t>
      </w:r>
      <w:r>
        <w:rPr>
          <w:rFonts w:ascii="Arial" w:eastAsia="Arial" w:hAnsi="Arial" w:cs="Arial"/>
          <w:color w:val="000000"/>
          <w:sz w:val="24"/>
          <w:szCs w:val="24"/>
        </w:rPr>
        <w:t xml:space="preserve"> en que fundame</w:t>
      </w:r>
      <w:r w:rsidR="009D5BB3">
        <w:rPr>
          <w:rFonts w:ascii="Arial" w:eastAsia="Arial" w:hAnsi="Arial" w:cs="Arial"/>
          <w:color w:val="000000"/>
          <w:sz w:val="24"/>
          <w:szCs w:val="24"/>
        </w:rPr>
        <w:t>ntó la autoridad la resolución impugnada</w:t>
      </w:r>
      <w:r w:rsidR="001F7452">
        <w:rPr>
          <w:rFonts w:ascii="Arial" w:eastAsia="Arial" w:hAnsi="Arial" w:cs="Arial"/>
          <w:color w:val="000000"/>
          <w:sz w:val="24"/>
          <w:szCs w:val="24"/>
        </w:rPr>
        <w:t xml:space="preserve"> son del tenor siguiente:</w:t>
      </w:r>
    </w:p>
    <w:p w14:paraId="79C58CDD" w14:textId="77777777" w:rsidR="001F7452" w:rsidRPr="00BB5848" w:rsidRDefault="001F7452" w:rsidP="00BB5848">
      <w:pPr>
        <w:pBdr>
          <w:top w:val="nil"/>
          <w:left w:val="nil"/>
          <w:bottom w:val="nil"/>
          <w:right w:val="nil"/>
          <w:between w:val="nil"/>
        </w:pBdr>
        <w:tabs>
          <w:tab w:val="center" w:pos="4419"/>
          <w:tab w:val="center" w:pos="-1418"/>
          <w:tab w:val="right" w:pos="8505"/>
        </w:tabs>
        <w:spacing w:after="0" w:line="240" w:lineRule="auto"/>
        <w:ind w:left="567" w:right="332"/>
        <w:jc w:val="center"/>
        <w:rPr>
          <w:rFonts w:ascii="Arial" w:hAnsi="Arial" w:cs="Arial"/>
          <w:b/>
        </w:rPr>
      </w:pPr>
      <w:r w:rsidRPr="00BB5848">
        <w:rPr>
          <w:rFonts w:ascii="Arial" w:hAnsi="Arial" w:cs="Arial"/>
          <w:b/>
        </w:rPr>
        <w:t>CONSTITUCIÓN POLÍTICA DEL ESTADO LIBRE Y SOBERANO DE OAXACA</w:t>
      </w:r>
    </w:p>
    <w:p w14:paraId="2ABA04FB"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b/>
        </w:rPr>
      </w:pPr>
    </w:p>
    <w:p w14:paraId="3D5DCD0D" w14:textId="77777777" w:rsidR="001F7452" w:rsidRPr="00BB5848" w:rsidRDefault="001F7452"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b/>
        </w:rPr>
      </w:pPr>
      <w:r w:rsidRPr="00BB5848">
        <w:rPr>
          <w:rFonts w:ascii="Arial" w:hAnsi="Arial" w:cs="Arial"/>
          <w:b/>
        </w:rPr>
        <w:t xml:space="preserve">Artículo 2.- </w:t>
      </w:r>
    </w:p>
    <w:p w14:paraId="52904A95" w14:textId="77777777" w:rsidR="001F7452" w:rsidRPr="00493B0E" w:rsidRDefault="001F7452"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w:t>
      </w:r>
    </w:p>
    <w:p w14:paraId="048A0E53" w14:textId="77777777" w:rsidR="001F7452" w:rsidRDefault="001F7452"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Las facultades que la Constitución Política de los Estados Unidos Mexicanos no otorga expresamente a la federación, se entienden reservadas para el Estado.</w:t>
      </w:r>
      <w:r w:rsidR="00BB5848">
        <w:rPr>
          <w:rFonts w:ascii="Arial" w:hAnsi="Arial" w:cs="Arial"/>
        </w:rPr>
        <w:t xml:space="preserve"> </w:t>
      </w:r>
      <w:r w:rsidRPr="00493B0E">
        <w:rPr>
          <w:rFonts w:ascii="Arial" w:hAnsi="Arial" w:cs="Arial"/>
        </w:rPr>
        <w:t>El Poder Público y sus Representantes sólo pueden hacer lo que la Ley les autoriza y deben hacer, lo que la Ley les ordena. Los particulares pueden hacer lo que la Ley no les prohíbe y deben hacer, lo que la Ley les ordena.</w:t>
      </w:r>
    </w:p>
    <w:p w14:paraId="3F54319C"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1C001500" w14:textId="77777777" w:rsidR="00BB5848" w:rsidRPr="00493B0E"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4A3266FC" w14:textId="77777777" w:rsidR="001F7452" w:rsidRPr="00BB5848" w:rsidRDefault="001F7452" w:rsidP="00BB5848">
      <w:pPr>
        <w:pBdr>
          <w:top w:val="nil"/>
          <w:left w:val="nil"/>
          <w:bottom w:val="nil"/>
          <w:right w:val="nil"/>
          <w:between w:val="nil"/>
        </w:pBdr>
        <w:tabs>
          <w:tab w:val="center" w:pos="4419"/>
          <w:tab w:val="center" w:pos="-1418"/>
          <w:tab w:val="right" w:pos="8505"/>
        </w:tabs>
        <w:spacing w:after="0" w:line="240" w:lineRule="auto"/>
        <w:ind w:left="567" w:right="332"/>
        <w:jc w:val="center"/>
        <w:rPr>
          <w:rFonts w:ascii="Arial" w:eastAsia="Arial" w:hAnsi="Arial" w:cs="Arial"/>
          <w:b/>
          <w:color w:val="000000"/>
        </w:rPr>
      </w:pPr>
      <w:r w:rsidRPr="00BB5848">
        <w:rPr>
          <w:rFonts w:ascii="Arial" w:hAnsi="Arial" w:cs="Arial"/>
          <w:b/>
        </w:rPr>
        <w:t>LEY ORGÁNICA DEL PODER EJECUTIVO DEL ESTADO DE OAXACA</w:t>
      </w:r>
    </w:p>
    <w:p w14:paraId="0AA59E0D"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p>
    <w:p w14:paraId="0EAD1DA9" w14:textId="77777777" w:rsidR="001F7452" w:rsidRDefault="001F7452"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BB5848">
        <w:rPr>
          <w:rFonts w:ascii="Arial" w:eastAsia="Arial" w:hAnsi="Arial" w:cs="Arial"/>
          <w:b/>
          <w:color w:val="000000"/>
        </w:rPr>
        <w:t>ARTÍCULO 1</w:t>
      </w:r>
      <w:r w:rsidRPr="00493B0E">
        <w:rPr>
          <w:rFonts w:ascii="Arial" w:eastAsia="Arial" w:hAnsi="Arial" w:cs="Arial"/>
          <w:color w:val="000000"/>
        </w:rPr>
        <w:t xml:space="preserve">. La presente Ley tiene por objeto establecer las bases de organización, competencias, atribuciones y funcionamiento del Poder Ejecutivo, a través de la Administración Pública Estatal: Centralizada y Paraestatal, con fundamento en las disposiciones de la Constitución Política del Estado Libre y Soberano de Oaxaca. </w:t>
      </w:r>
    </w:p>
    <w:p w14:paraId="22579412" w14:textId="77777777" w:rsidR="00BB5848" w:rsidRPr="00493B0E"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p>
    <w:p w14:paraId="14D82872" w14:textId="77777777" w:rsidR="001F7452" w:rsidRDefault="001F7452"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BB5848">
        <w:rPr>
          <w:rFonts w:ascii="Arial" w:eastAsia="Arial" w:hAnsi="Arial" w:cs="Arial"/>
          <w:b/>
          <w:color w:val="000000"/>
        </w:rPr>
        <w:t>ARTÍCULO 2</w:t>
      </w:r>
      <w:r w:rsidRPr="00493B0E">
        <w:rPr>
          <w:rFonts w:ascii="Arial" w:eastAsia="Arial" w:hAnsi="Arial" w:cs="Arial"/>
          <w:color w:val="000000"/>
        </w:rPr>
        <w:t xml:space="preserve">. El ejercicio del Poder Ejecutivo, se deposita en un solo individuo que se denomina Gobernador del Estado, quien tendrá las facultades y obligaciones que le señalen la Constitución Política de los Estados Unidos Mexicanos, la Constitución Política del Estado Libre y Soberano de Oaxaca, la presente Ley y las demás leyes, reglamentos y disposiciones jurídicas vigentes en el Estado. </w:t>
      </w:r>
    </w:p>
    <w:p w14:paraId="43944FD7" w14:textId="77777777" w:rsidR="00BB5848" w:rsidRPr="00493B0E"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p>
    <w:p w14:paraId="2BC7CE50" w14:textId="77777777" w:rsidR="001F7452" w:rsidRDefault="001F7452"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BB5848">
        <w:rPr>
          <w:rFonts w:ascii="Arial" w:eastAsia="Arial" w:hAnsi="Arial" w:cs="Arial"/>
          <w:b/>
          <w:color w:val="000000"/>
        </w:rPr>
        <w:t>ARTÍCULO 3</w:t>
      </w:r>
      <w:r w:rsidRPr="00493B0E">
        <w:rPr>
          <w:rFonts w:ascii="Arial" w:eastAsia="Arial" w:hAnsi="Arial" w:cs="Arial"/>
          <w:color w:val="000000"/>
        </w:rPr>
        <w:t>. En el ejercicio de sus atribuciones y para el despacho de los asuntos del orden administrativo, el Poder Ejecutivo del Estado, contará con la Administración Pública Estatal, que se regirá por la presente Ley y las demás disposiciones legales aplicables, y se organizará conforme a lo siguiente:</w:t>
      </w:r>
    </w:p>
    <w:p w14:paraId="2B42996C" w14:textId="77777777" w:rsidR="00BB5848" w:rsidRPr="00493B0E"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p>
    <w:p w14:paraId="35048D37" w14:textId="77777777" w:rsidR="001F7452" w:rsidRPr="00493B0E" w:rsidRDefault="001F7452"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BB5848">
        <w:rPr>
          <w:rFonts w:ascii="Arial" w:eastAsia="Arial" w:hAnsi="Arial" w:cs="Arial"/>
          <w:b/>
          <w:color w:val="000000"/>
        </w:rPr>
        <w:t>I.</w:t>
      </w:r>
      <w:r w:rsidRPr="00493B0E">
        <w:rPr>
          <w:rFonts w:ascii="Arial" w:eastAsia="Arial" w:hAnsi="Arial" w:cs="Arial"/>
          <w:color w:val="000000"/>
        </w:rPr>
        <w:t xml:space="preserve"> Administración Pública Centralizada: Integrada por la Gubernatura, Secretarías de Despacho, Procuraduría General de Justicia del Estado, Consejería Jurídica del Gobierno del Estado y la Coordinación General del Comité Estatal de Planeación para el Desarrollo de Oaxaca, así como, por los Órganos Auxiliares, las unidades administrativas que dependan directamente del Gobernador del Estado y los Órganos Desconcentrados, a todas estas áreas administrativas se les denominará genéricamente como Dependencias; </w:t>
      </w:r>
    </w:p>
    <w:p w14:paraId="0AAA4DAD"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42729F65" w14:textId="77777777" w:rsidR="001F7452" w:rsidRPr="00BB5848" w:rsidRDefault="001F7452"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b/>
        </w:rPr>
      </w:pPr>
      <w:r w:rsidRPr="00BB5848">
        <w:rPr>
          <w:rFonts w:ascii="Arial" w:hAnsi="Arial" w:cs="Arial"/>
          <w:b/>
        </w:rPr>
        <w:t xml:space="preserve">ARTÍCULO 6. </w:t>
      </w:r>
    </w:p>
    <w:p w14:paraId="4259AC59" w14:textId="77777777" w:rsidR="001F7452" w:rsidRPr="00493B0E" w:rsidRDefault="001F7452"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w:t>
      </w:r>
    </w:p>
    <w:p w14:paraId="0535B730" w14:textId="77777777" w:rsidR="001F7452" w:rsidRDefault="001F7452"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La delegación de atribuciones y facultades que realice el Gobernador del Estado se harán por Ley, reglamentos o mediante acuerdos que deberán ser publicados en el Periódico Oficial del Gobierno del Estado</w:t>
      </w:r>
      <w:r w:rsidR="006E3E12" w:rsidRPr="00493B0E">
        <w:rPr>
          <w:rFonts w:ascii="Arial" w:hAnsi="Arial" w:cs="Arial"/>
        </w:rPr>
        <w:t>.</w:t>
      </w:r>
    </w:p>
    <w:p w14:paraId="78C172A4" w14:textId="77777777" w:rsidR="00BB5848" w:rsidRPr="00493B0E"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30580559" w14:textId="77777777" w:rsidR="00C34995"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ARTÍCULO 24</w:t>
      </w:r>
      <w:r w:rsidRPr="00493B0E">
        <w:rPr>
          <w:rFonts w:ascii="Arial" w:hAnsi="Arial" w:cs="Arial"/>
        </w:rPr>
        <w:t>. El Ejecutivo Estatal, emitirá los Reglamentos Internos, en los que se establecerá la estructura y funciones específicas de las dependencias de la Administración Pública Estatal Centralizada, tratándose de la Administración Paraestatal los emitirá el Órgano de Gobierno respectivo.</w:t>
      </w:r>
    </w:p>
    <w:p w14:paraId="3BD20644" w14:textId="77777777" w:rsidR="00BB5848" w:rsidRPr="00493B0E"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03473DDE" w14:textId="77777777" w:rsidR="001B222B" w:rsidRPr="00493B0E"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ARTÍCULO 27</w:t>
      </w:r>
      <w:r w:rsidRPr="00493B0E">
        <w:rPr>
          <w:rFonts w:ascii="Arial" w:hAnsi="Arial" w:cs="Arial"/>
        </w:rPr>
        <w:t>. Para el ejercicio de sus atribuciones y el despacho de los asuntos que son de su competencia, el Gobernador del Estado, contará con las siguientes dependencias de la Administración Pública Centralizada.</w:t>
      </w:r>
    </w:p>
    <w:p w14:paraId="5F1D14FC" w14:textId="77777777" w:rsidR="001B222B" w:rsidRPr="00493B0E"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w:t>
      </w:r>
    </w:p>
    <w:p w14:paraId="79BAEF3F" w14:textId="77777777" w:rsidR="001B222B"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XII</w:t>
      </w:r>
      <w:r w:rsidRPr="00493B0E">
        <w:rPr>
          <w:rFonts w:ascii="Arial" w:hAnsi="Arial" w:cs="Arial"/>
        </w:rPr>
        <w:t>. Secretaría de Finanzas</w:t>
      </w:r>
    </w:p>
    <w:p w14:paraId="137943B8" w14:textId="77777777" w:rsidR="00BB5848" w:rsidRPr="00493B0E"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2E2798D3" w14:textId="77777777" w:rsidR="001B222B" w:rsidRPr="00493B0E"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ARTÍCULO 45.</w:t>
      </w:r>
      <w:r w:rsidRPr="00493B0E">
        <w:rPr>
          <w:rFonts w:ascii="Arial" w:hAnsi="Arial" w:cs="Arial"/>
        </w:rPr>
        <w:t xml:space="preserve"> A la Secretaría de Finanzas le corresponde el despacho de los siguientes asuntos:</w:t>
      </w:r>
    </w:p>
    <w:p w14:paraId="401EAC39" w14:textId="77777777" w:rsidR="001B222B" w:rsidRPr="00493B0E"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w:t>
      </w:r>
    </w:p>
    <w:p w14:paraId="73C1CAD0" w14:textId="77777777" w:rsidR="001B222B" w:rsidRPr="00493B0E"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XI</w:t>
      </w:r>
      <w:r w:rsidRPr="00493B0E">
        <w:rPr>
          <w:rFonts w:ascii="Arial" w:hAnsi="Arial" w:cs="Arial"/>
        </w:rPr>
        <w:t>. Recaudar los impuestos, derechos, productos, contribuciones de mejoras y aprovechamientos, así como hacer cumplir las disposiciones fiscales;</w:t>
      </w:r>
    </w:p>
    <w:p w14:paraId="6C8E9209" w14:textId="77777777" w:rsidR="001B222B" w:rsidRPr="00493B0E"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w:t>
      </w:r>
    </w:p>
    <w:p w14:paraId="34854281" w14:textId="77777777" w:rsidR="001B222B" w:rsidRPr="00493B0E"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BB5848">
        <w:rPr>
          <w:rFonts w:ascii="Arial" w:hAnsi="Arial" w:cs="Arial"/>
          <w:b/>
        </w:rPr>
        <w:lastRenderedPageBreak/>
        <w:t>XIII.</w:t>
      </w:r>
      <w:r w:rsidRPr="00493B0E">
        <w:rPr>
          <w:rFonts w:ascii="Arial" w:hAnsi="Arial" w:cs="Arial"/>
        </w:rPr>
        <w:t xml:space="preserve"> Notificar los actos, acuerdos o resoluciones que emita con motivo del ejercicio de sus facultades tributarias y de comprobación, y las que le otorguen los convenios o acuerdos de colaboración administrativa, con otras instancias u órdenes de gobierno;</w:t>
      </w:r>
    </w:p>
    <w:p w14:paraId="7755239B" w14:textId="77777777" w:rsidR="00C34995" w:rsidRPr="00493B0E"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493B0E">
        <w:rPr>
          <w:rFonts w:ascii="Arial" w:eastAsia="Arial" w:hAnsi="Arial" w:cs="Arial"/>
          <w:color w:val="000000"/>
        </w:rPr>
        <w:t>…</w:t>
      </w:r>
    </w:p>
    <w:p w14:paraId="1843DBDC" w14:textId="77777777" w:rsidR="001B222B" w:rsidRPr="00493B0E"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XXVIII.</w:t>
      </w:r>
      <w:r w:rsidRPr="00493B0E">
        <w:rPr>
          <w:rFonts w:ascii="Arial" w:hAnsi="Arial" w:cs="Arial"/>
        </w:rPr>
        <w:t xml:space="preserve"> Dirigir los servicios de inspección y vigilancia fiscal en el Estado;</w:t>
      </w:r>
    </w:p>
    <w:p w14:paraId="7E5645C9" w14:textId="77777777" w:rsidR="001B222B" w:rsidRPr="00493B0E"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w:t>
      </w:r>
    </w:p>
    <w:p w14:paraId="4EC01912" w14:textId="77777777" w:rsidR="00C34995"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XXXVII</w:t>
      </w:r>
      <w:r w:rsidR="009D5BB3">
        <w:rPr>
          <w:rFonts w:ascii="Arial" w:hAnsi="Arial" w:cs="Arial"/>
          <w:b/>
        </w:rPr>
        <w:t>I</w:t>
      </w:r>
      <w:r w:rsidRPr="00BB5848">
        <w:rPr>
          <w:rFonts w:ascii="Arial" w:hAnsi="Arial" w:cs="Arial"/>
          <w:b/>
        </w:rPr>
        <w:t>.</w:t>
      </w:r>
      <w:r w:rsidR="009D5BB3" w:rsidRPr="009D5BB3">
        <w:rPr>
          <w:rFonts w:ascii="Arial" w:hAnsi="Arial" w:cs="Arial"/>
        </w:rPr>
        <w:t xml:space="preserve"> Ejercer la facultad económica coactiva en el ámbito de sus atribuciones fiscales;</w:t>
      </w:r>
    </w:p>
    <w:p w14:paraId="3A8E947E"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0AE36E28" w14:textId="77777777" w:rsidR="00BB5848" w:rsidRPr="00493B0E"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5205B9D7" w14:textId="77777777" w:rsidR="00FF6AAC" w:rsidRPr="00BB5848" w:rsidRDefault="00033D9A" w:rsidP="00BB5848">
      <w:pPr>
        <w:pBdr>
          <w:top w:val="nil"/>
          <w:left w:val="nil"/>
          <w:bottom w:val="nil"/>
          <w:right w:val="nil"/>
          <w:between w:val="nil"/>
        </w:pBdr>
        <w:tabs>
          <w:tab w:val="center" w:pos="4419"/>
          <w:tab w:val="center" w:pos="-1418"/>
          <w:tab w:val="right" w:pos="8505"/>
        </w:tabs>
        <w:spacing w:after="0" w:line="240" w:lineRule="auto"/>
        <w:ind w:left="567" w:right="332"/>
        <w:jc w:val="center"/>
        <w:rPr>
          <w:rFonts w:ascii="Arial" w:hAnsi="Arial" w:cs="Arial"/>
          <w:b/>
        </w:rPr>
      </w:pPr>
      <w:r w:rsidRPr="00BB5848">
        <w:rPr>
          <w:rFonts w:ascii="Arial" w:hAnsi="Arial" w:cs="Arial"/>
          <w:b/>
        </w:rPr>
        <w:t>LEY ESTATAL DE HACIENDA</w:t>
      </w:r>
    </w:p>
    <w:p w14:paraId="40B7479E"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5243626C" w14:textId="77777777" w:rsidR="00FF6AAC"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Artículo 63</w:t>
      </w:r>
      <w:r w:rsidRPr="00493B0E">
        <w:rPr>
          <w:rFonts w:ascii="Arial" w:hAnsi="Arial" w:cs="Arial"/>
        </w:rPr>
        <w:t>. Son objeto de este impuesto:</w:t>
      </w:r>
    </w:p>
    <w:p w14:paraId="7E23A3E5" w14:textId="77777777" w:rsidR="00BB5848" w:rsidRPr="00493B0E"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38538027"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I.</w:t>
      </w:r>
      <w:r w:rsidRPr="00493B0E">
        <w:rPr>
          <w:rFonts w:ascii="Arial" w:hAnsi="Arial" w:cs="Arial"/>
        </w:rPr>
        <w:t xml:space="preserve"> Las erogaciones en efectivo o en especie, por concepto de</w:t>
      </w:r>
      <w:r w:rsidR="00033D9A" w:rsidRPr="00493B0E">
        <w:rPr>
          <w:rFonts w:ascii="Arial" w:hAnsi="Arial" w:cs="Arial"/>
        </w:rPr>
        <w:t xml:space="preserve"> </w:t>
      </w:r>
      <w:r w:rsidRPr="00493B0E">
        <w:rPr>
          <w:rFonts w:ascii="Arial" w:hAnsi="Arial" w:cs="Arial"/>
        </w:rPr>
        <w:t>remuneraciones al trabajo personal subordinado, por los</w:t>
      </w:r>
      <w:r w:rsidR="00033D9A" w:rsidRPr="00493B0E">
        <w:rPr>
          <w:rFonts w:ascii="Arial" w:hAnsi="Arial" w:cs="Arial"/>
        </w:rPr>
        <w:t xml:space="preserve"> </w:t>
      </w:r>
      <w:r w:rsidRPr="00493B0E">
        <w:rPr>
          <w:rFonts w:ascii="Arial" w:hAnsi="Arial" w:cs="Arial"/>
        </w:rPr>
        <w:t>servicios prestados dentro del territorio del Estado, bajo la</w:t>
      </w:r>
      <w:r w:rsidR="00033D9A" w:rsidRPr="00493B0E">
        <w:rPr>
          <w:rFonts w:ascii="Arial" w:hAnsi="Arial" w:cs="Arial"/>
        </w:rPr>
        <w:t xml:space="preserve"> </w:t>
      </w:r>
      <w:r w:rsidRPr="00493B0E">
        <w:rPr>
          <w:rFonts w:ascii="Arial" w:hAnsi="Arial" w:cs="Arial"/>
        </w:rPr>
        <w:t>dirección o dependencia de un patrón o de un tercero que actué</w:t>
      </w:r>
      <w:r w:rsidR="00033D9A" w:rsidRPr="00493B0E">
        <w:rPr>
          <w:rFonts w:ascii="Arial" w:hAnsi="Arial" w:cs="Arial"/>
        </w:rPr>
        <w:t xml:space="preserve"> </w:t>
      </w:r>
      <w:r w:rsidRPr="00493B0E">
        <w:rPr>
          <w:rFonts w:ascii="Arial" w:hAnsi="Arial" w:cs="Arial"/>
        </w:rPr>
        <w:t>en su nombre, aun cuando cualesquiera de los sujetos</w:t>
      </w:r>
      <w:r w:rsidR="00033D9A" w:rsidRPr="00493B0E">
        <w:rPr>
          <w:rFonts w:ascii="Arial" w:hAnsi="Arial" w:cs="Arial"/>
        </w:rPr>
        <w:t xml:space="preserve"> </w:t>
      </w:r>
      <w:r w:rsidRPr="00493B0E">
        <w:rPr>
          <w:rFonts w:ascii="Arial" w:hAnsi="Arial" w:cs="Arial"/>
        </w:rPr>
        <w:t>mencionados en esta fracción, o todos ellos tengan su domicilio</w:t>
      </w:r>
      <w:r w:rsidR="00033D9A" w:rsidRPr="00493B0E">
        <w:rPr>
          <w:rFonts w:ascii="Arial" w:hAnsi="Arial" w:cs="Arial"/>
        </w:rPr>
        <w:t xml:space="preserve"> </w:t>
      </w:r>
      <w:r w:rsidRPr="00493B0E">
        <w:rPr>
          <w:rFonts w:ascii="Arial" w:hAnsi="Arial" w:cs="Arial"/>
        </w:rPr>
        <w:t>fiscal fuera del estado, y</w:t>
      </w:r>
    </w:p>
    <w:p w14:paraId="76682AA9" w14:textId="77777777" w:rsidR="00033D9A" w:rsidRPr="00493B0E" w:rsidRDefault="00033D9A"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15399513"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II.</w:t>
      </w:r>
      <w:r w:rsidRPr="00493B0E">
        <w:rPr>
          <w:rFonts w:ascii="Arial" w:hAnsi="Arial" w:cs="Arial"/>
        </w:rPr>
        <w:t xml:space="preserve"> Las erogaciones en efectivo o en especie, por concepto de</w:t>
      </w:r>
      <w:r w:rsidR="00033D9A" w:rsidRPr="00493B0E">
        <w:rPr>
          <w:rFonts w:ascii="Arial" w:hAnsi="Arial" w:cs="Arial"/>
        </w:rPr>
        <w:t xml:space="preserve"> </w:t>
      </w:r>
      <w:r w:rsidRPr="00493B0E">
        <w:rPr>
          <w:rFonts w:ascii="Arial" w:hAnsi="Arial" w:cs="Arial"/>
        </w:rPr>
        <w:t>remuneraciones al trabajo personal, por los servicios prestados</w:t>
      </w:r>
      <w:r w:rsidR="00033D9A" w:rsidRPr="00493B0E">
        <w:rPr>
          <w:rFonts w:ascii="Arial" w:hAnsi="Arial" w:cs="Arial"/>
        </w:rPr>
        <w:t xml:space="preserve"> </w:t>
      </w:r>
      <w:r w:rsidRPr="00493B0E">
        <w:rPr>
          <w:rFonts w:ascii="Arial" w:hAnsi="Arial" w:cs="Arial"/>
        </w:rPr>
        <w:t>dentro del territorio del estado, aún cuando los prestadores del</w:t>
      </w:r>
      <w:r w:rsidR="00033D9A" w:rsidRPr="00493B0E">
        <w:rPr>
          <w:rFonts w:ascii="Arial" w:hAnsi="Arial" w:cs="Arial"/>
        </w:rPr>
        <w:t xml:space="preserve"> </w:t>
      </w:r>
      <w:r w:rsidRPr="00493B0E">
        <w:rPr>
          <w:rFonts w:ascii="Arial" w:hAnsi="Arial" w:cs="Arial"/>
        </w:rPr>
        <w:t>servicio o los beneficiarios del mismo, o ambos, tengan su</w:t>
      </w:r>
      <w:r w:rsidR="00033D9A" w:rsidRPr="00493B0E">
        <w:rPr>
          <w:rFonts w:ascii="Arial" w:hAnsi="Arial" w:cs="Arial"/>
        </w:rPr>
        <w:t xml:space="preserve"> </w:t>
      </w:r>
      <w:r w:rsidRPr="00493B0E">
        <w:rPr>
          <w:rFonts w:ascii="Arial" w:hAnsi="Arial" w:cs="Arial"/>
        </w:rPr>
        <w:t>domicilio fiscal fuera de éste.</w:t>
      </w:r>
    </w:p>
    <w:p w14:paraId="5D18C128"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19B711C5" w14:textId="77777777" w:rsidR="00FF6AAC"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Para los efectos de este impuesto quedan comprendidas en el concepto de</w:t>
      </w:r>
      <w:r w:rsidR="00033D9A" w:rsidRPr="00493B0E">
        <w:rPr>
          <w:rFonts w:ascii="Arial" w:hAnsi="Arial" w:cs="Arial"/>
        </w:rPr>
        <w:t xml:space="preserve"> </w:t>
      </w:r>
      <w:r w:rsidRPr="00493B0E">
        <w:rPr>
          <w:rFonts w:ascii="Arial" w:hAnsi="Arial" w:cs="Arial"/>
        </w:rPr>
        <w:t>remuneraciones al trabajo personal, ya sea subordinado o no, los sueldos y</w:t>
      </w:r>
      <w:r w:rsidR="00033D9A" w:rsidRPr="00493B0E">
        <w:rPr>
          <w:rFonts w:ascii="Arial" w:hAnsi="Arial" w:cs="Arial"/>
        </w:rPr>
        <w:t xml:space="preserve"> </w:t>
      </w:r>
      <w:r w:rsidRPr="00493B0E">
        <w:rPr>
          <w:rFonts w:ascii="Arial" w:hAnsi="Arial" w:cs="Arial"/>
        </w:rPr>
        <w:t>salarios, los cuales se integran con los pagos hechos en efectivo por cuota</w:t>
      </w:r>
      <w:r w:rsidR="00033D9A" w:rsidRPr="00493B0E">
        <w:rPr>
          <w:rFonts w:ascii="Arial" w:hAnsi="Arial" w:cs="Arial"/>
        </w:rPr>
        <w:t xml:space="preserve"> </w:t>
      </w:r>
      <w:r w:rsidRPr="00493B0E">
        <w:rPr>
          <w:rFonts w:ascii="Arial" w:hAnsi="Arial" w:cs="Arial"/>
        </w:rPr>
        <w:t>diaria; gratificaciones, percepciones, habitación, primas, comisiones,</w:t>
      </w:r>
      <w:r w:rsidR="00033D9A" w:rsidRPr="00493B0E">
        <w:rPr>
          <w:rFonts w:ascii="Arial" w:hAnsi="Arial" w:cs="Arial"/>
        </w:rPr>
        <w:t xml:space="preserve"> </w:t>
      </w:r>
      <w:r w:rsidRPr="00493B0E">
        <w:rPr>
          <w:rFonts w:ascii="Arial" w:hAnsi="Arial" w:cs="Arial"/>
        </w:rPr>
        <w:t>prestaciones en especie; los honorarios profesionales, emolumentos;</w:t>
      </w:r>
      <w:r w:rsidR="00033D9A" w:rsidRPr="00493B0E">
        <w:rPr>
          <w:rFonts w:ascii="Arial" w:hAnsi="Arial" w:cs="Arial"/>
        </w:rPr>
        <w:t xml:space="preserve"> </w:t>
      </w:r>
      <w:r w:rsidRPr="00493B0E">
        <w:rPr>
          <w:rFonts w:ascii="Arial" w:hAnsi="Arial" w:cs="Arial"/>
        </w:rPr>
        <w:t>contraprestaciones contractuales, cuando el contrato tenga como objeto la</w:t>
      </w:r>
      <w:r w:rsidR="00033D9A" w:rsidRPr="00493B0E">
        <w:rPr>
          <w:rFonts w:ascii="Arial" w:hAnsi="Arial" w:cs="Arial"/>
        </w:rPr>
        <w:t xml:space="preserve"> </w:t>
      </w:r>
      <w:r w:rsidRPr="00493B0E">
        <w:rPr>
          <w:rFonts w:ascii="Arial" w:hAnsi="Arial" w:cs="Arial"/>
        </w:rPr>
        <w:t>prestación de un servicio; los pagos a los administradores, comisarios o</w:t>
      </w:r>
      <w:r w:rsidR="00033D9A" w:rsidRPr="00493B0E">
        <w:rPr>
          <w:rFonts w:ascii="Arial" w:hAnsi="Arial" w:cs="Arial"/>
        </w:rPr>
        <w:t xml:space="preserve"> </w:t>
      </w:r>
      <w:r w:rsidRPr="00493B0E">
        <w:rPr>
          <w:rFonts w:ascii="Arial" w:hAnsi="Arial" w:cs="Arial"/>
        </w:rPr>
        <w:t>miembros de los consejos directivos, de vigilancia o de administración de</w:t>
      </w:r>
      <w:r w:rsidR="00033D9A" w:rsidRPr="00493B0E">
        <w:rPr>
          <w:rFonts w:ascii="Arial" w:hAnsi="Arial" w:cs="Arial"/>
        </w:rPr>
        <w:t xml:space="preserve"> </w:t>
      </w:r>
      <w:r w:rsidRPr="00493B0E">
        <w:rPr>
          <w:rFonts w:ascii="Arial" w:hAnsi="Arial" w:cs="Arial"/>
        </w:rPr>
        <w:t>sociedades o asociaciones como remuneración a dichos cargos; los pagos</w:t>
      </w:r>
      <w:r w:rsidR="00033D9A" w:rsidRPr="00493B0E">
        <w:rPr>
          <w:rFonts w:ascii="Arial" w:hAnsi="Arial" w:cs="Arial"/>
        </w:rPr>
        <w:t xml:space="preserve"> </w:t>
      </w:r>
      <w:r w:rsidRPr="00493B0E">
        <w:rPr>
          <w:rFonts w:ascii="Arial" w:hAnsi="Arial" w:cs="Arial"/>
        </w:rPr>
        <w:t>realizados a fiduciarios como remuneración a sus servicios; los pagos por</w:t>
      </w:r>
      <w:r w:rsidR="00033D9A" w:rsidRPr="00493B0E">
        <w:rPr>
          <w:rFonts w:ascii="Arial" w:hAnsi="Arial" w:cs="Arial"/>
        </w:rPr>
        <w:t xml:space="preserve"> </w:t>
      </w:r>
      <w:r w:rsidRPr="00493B0E">
        <w:rPr>
          <w:rFonts w:ascii="Arial" w:hAnsi="Arial" w:cs="Arial"/>
        </w:rPr>
        <w:t>Ley Estatal de Hacienda</w:t>
      </w:r>
      <w:r w:rsidR="00033D9A" w:rsidRPr="00493B0E">
        <w:rPr>
          <w:rFonts w:ascii="Arial" w:hAnsi="Arial" w:cs="Arial"/>
        </w:rPr>
        <w:t xml:space="preserve"> </w:t>
      </w:r>
      <w:r w:rsidRPr="00493B0E">
        <w:rPr>
          <w:rFonts w:ascii="Arial" w:hAnsi="Arial" w:cs="Arial"/>
        </w:rPr>
        <w:t>Secretaría de Finanzas del Poder Ejecutivo del Estado 28</w:t>
      </w:r>
      <w:r w:rsidR="00033D9A" w:rsidRPr="00493B0E">
        <w:rPr>
          <w:rFonts w:ascii="Arial" w:hAnsi="Arial" w:cs="Arial"/>
        </w:rPr>
        <w:t xml:space="preserve"> </w:t>
      </w:r>
      <w:r w:rsidRPr="00493B0E">
        <w:rPr>
          <w:rFonts w:ascii="Arial" w:hAnsi="Arial" w:cs="Arial"/>
        </w:rPr>
        <w:t>concepto de servicios personales; y cualquier otra de la misma naturaleza</w:t>
      </w:r>
      <w:r w:rsidR="00033D9A" w:rsidRPr="00493B0E">
        <w:rPr>
          <w:rFonts w:ascii="Arial" w:hAnsi="Arial" w:cs="Arial"/>
        </w:rPr>
        <w:t xml:space="preserve"> </w:t>
      </w:r>
      <w:r w:rsidRPr="00493B0E">
        <w:rPr>
          <w:rFonts w:ascii="Arial" w:hAnsi="Arial" w:cs="Arial"/>
        </w:rPr>
        <w:t>que las anteriores, con independencia de la denominación que reciba.</w:t>
      </w:r>
    </w:p>
    <w:p w14:paraId="1F317E2C" w14:textId="77777777" w:rsidR="00BB5848" w:rsidRPr="00493B0E"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48C21C06"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Lo anterior, sin perjuicio de las excepciones señaladas en el artículo 67 de</w:t>
      </w:r>
      <w:r w:rsidR="00033D9A" w:rsidRPr="00493B0E">
        <w:rPr>
          <w:rFonts w:ascii="Arial" w:hAnsi="Arial" w:cs="Arial"/>
        </w:rPr>
        <w:t xml:space="preserve"> </w:t>
      </w:r>
      <w:r w:rsidRPr="00493B0E">
        <w:rPr>
          <w:rFonts w:ascii="Arial" w:hAnsi="Arial" w:cs="Arial"/>
        </w:rPr>
        <w:t>esta ley.</w:t>
      </w:r>
    </w:p>
    <w:p w14:paraId="59B9FB4E"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4EEAB31B"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En el caso de la fracción primera de este artículo, las personas físicas,</w:t>
      </w:r>
      <w:r w:rsidR="00033D9A" w:rsidRPr="00493B0E">
        <w:rPr>
          <w:rFonts w:ascii="Arial" w:hAnsi="Arial" w:cs="Arial"/>
        </w:rPr>
        <w:t xml:space="preserve"> </w:t>
      </w:r>
      <w:r w:rsidRPr="00493B0E">
        <w:rPr>
          <w:rFonts w:ascii="Arial" w:hAnsi="Arial" w:cs="Arial"/>
        </w:rPr>
        <w:t>morales o unidades económicas que contraten la prestación de servicios con</w:t>
      </w:r>
      <w:r w:rsidR="00033D9A" w:rsidRPr="00493B0E">
        <w:rPr>
          <w:rFonts w:ascii="Arial" w:hAnsi="Arial" w:cs="Arial"/>
        </w:rPr>
        <w:t xml:space="preserve"> </w:t>
      </w:r>
      <w:r w:rsidRPr="00493B0E">
        <w:rPr>
          <w:rFonts w:ascii="Arial" w:hAnsi="Arial" w:cs="Arial"/>
        </w:rPr>
        <w:t>personas domiciliadas dentro o fuera del territorio del Estado, cuando ello</w:t>
      </w:r>
      <w:r w:rsidR="00033D9A" w:rsidRPr="00493B0E">
        <w:rPr>
          <w:rFonts w:ascii="Arial" w:hAnsi="Arial" w:cs="Arial"/>
        </w:rPr>
        <w:t xml:space="preserve"> </w:t>
      </w:r>
      <w:r w:rsidRPr="00493B0E">
        <w:rPr>
          <w:rFonts w:ascii="Arial" w:hAnsi="Arial" w:cs="Arial"/>
        </w:rPr>
        <w:t>implique la contratación de trabajadores y el servicio personal se preste en los</w:t>
      </w:r>
      <w:r w:rsidR="00033D9A" w:rsidRPr="00493B0E">
        <w:rPr>
          <w:rFonts w:ascii="Arial" w:hAnsi="Arial" w:cs="Arial"/>
        </w:rPr>
        <w:t xml:space="preserve"> </w:t>
      </w:r>
      <w:r w:rsidRPr="00493B0E">
        <w:rPr>
          <w:rFonts w:ascii="Arial" w:hAnsi="Arial" w:cs="Arial"/>
        </w:rPr>
        <w:t>términos de dicha fracción, estarán obligadas a enterar el impuesto que</w:t>
      </w:r>
      <w:r w:rsidR="00033D9A" w:rsidRPr="00493B0E">
        <w:rPr>
          <w:rFonts w:ascii="Arial" w:hAnsi="Arial" w:cs="Arial"/>
        </w:rPr>
        <w:t xml:space="preserve"> </w:t>
      </w:r>
      <w:r w:rsidRPr="00493B0E">
        <w:rPr>
          <w:rFonts w:ascii="Arial" w:hAnsi="Arial" w:cs="Arial"/>
        </w:rPr>
        <w:t>corresponda de conformidad con lo previsto en el presente Capítulo.</w:t>
      </w:r>
    </w:p>
    <w:p w14:paraId="1CE5EF7F"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3C21A910"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En el caso de la fracción II de este artículo, las personas físicas, morales o</w:t>
      </w:r>
      <w:r w:rsidR="00033D9A" w:rsidRPr="00493B0E">
        <w:rPr>
          <w:rFonts w:ascii="Arial" w:hAnsi="Arial" w:cs="Arial"/>
        </w:rPr>
        <w:t xml:space="preserve"> </w:t>
      </w:r>
      <w:r w:rsidRPr="00493B0E">
        <w:rPr>
          <w:rFonts w:ascii="Arial" w:hAnsi="Arial" w:cs="Arial"/>
        </w:rPr>
        <w:t>unidades económicas que contraten la prestación de servicios con personas</w:t>
      </w:r>
      <w:r w:rsidR="00033D9A" w:rsidRPr="00493B0E">
        <w:rPr>
          <w:rFonts w:ascii="Arial" w:hAnsi="Arial" w:cs="Arial"/>
        </w:rPr>
        <w:t xml:space="preserve"> </w:t>
      </w:r>
      <w:r w:rsidRPr="00493B0E">
        <w:rPr>
          <w:rFonts w:ascii="Arial" w:hAnsi="Arial" w:cs="Arial"/>
        </w:rPr>
        <w:t>domiciliadas fuera del territorio del Estado, cuando el servicio personal se</w:t>
      </w:r>
      <w:r w:rsidR="00033D9A" w:rsidRPr="00493B0E">
        <w:rPr>
          <w:rFonts w:ascii="Arial" w:hAnsi="Arial" w:cs="Arial"/>
        </w:rPr>
        <w:t xml:space="preserve"> </w:t>
      </w:r>
      <w:r w:rsidRPr="00493B0E">
        <w:rPr>
          <w:rFonts w:ascii="Arial" w:hAnsi="Arial" w:cs="Arial"/>
        </w:rPr>
        <w:t>preste en los términos de la misma fracción, estarán obligadas a enterar el</w:t>
      </w:r>
      <w:r w:rsidR="00033D9A" w:rsidRPr="00493B0E">
        <w:rPr>
          <w:rFonts w:ascii="Arial" w:hAnsi="Arial" w:cs="Arial"/>
        </w:rPr>
        <w:t xml:space="preserve"> </w:t>
      </w:r>
      <w:r w:rsidRPr="00493B0E">
        <w:rPr>
          <w:rFonts w:ascii="Arial" w:hAnsi="Arial" w:cs="Arial"/>
        </w:rPr>
        <w:t>impuesto que corresponda de conformidad con lo previsto en el presente</w:t>
      </w:r>
      <w:r w:rsidR="00033D9A" w:rsidRPr="00493B0E">
        <w:rPr>
          <w:rFonts w:ascii="Arial" w:hAnsi="Arial" w:cs="Arial"/>
        </w:rPr>
        <w:t xml:space="preserve"> </w:t>
      </w:r>
      <w:r w:rsidRPr="00493B0E">
        <w:rPr>
          <w:rFonts w:ascii="Arial" w:hAnsi="Arial" w:cs="Arial"/>
        </w:rPr>
        <w:t>Capítulo.</w:t>
      </w:r>
    </w:p>
    <w:p w14:paraId="725FA10D"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59B2728C"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Artículo 64</w:t>
      </w:r>
      <w:r w:rsidRPr="00493B0E">
        <w:rPr>
          <w:rFonts w:ascii="Arial" w:hAnsi="Arial" w:cs="Arial"/>
        </w:rPr>
        <w:t>. Son sujetos de este impuesto las personas físicas, morales o</w:t>
      </w:r>
      <w:r w:rsidR="00033D9A" w:rsidRPr="00493B0E">
        <w:rPr>
          <w:rFonts w:ascii="Arial" w:hAnsi="Arial" w:cs="Arial"/>
        </w:rPr>
        <w:t xml:space="preserve"> </w:t>
      </w:r>
      <w:r w:rsidRPr="00493B0E">
        <w:rPr>
          <w:rFonts w:ascii="Arial" w:hAnsi="Arial" w:cs="Arial"/>
        </w:rPr>
        <w:t>unidades económicas que realicen las erogaciones a que se refiere el</w:t>
      </w:r>
      <w:r w:rsidR="00033D9A" w:rsidRPr="00493B0E">
        <w:rPr>
          <w:rFonts w:ascii="Arial" w:hAnsi="Arial" w:cs="Arial"/>
        </w:rPr>
        <w:t xml:space="preserve"> </w:t>
      </w:r>
      <w:r w:rsidRPr="00493B0E">
        <w:rPr>
          <w:rFonts w:ascii="Arial" w:hAnsi="Arial" w:cs="Arial"/>
        </w:rPr>
        <w:t>artículo anterior, así como los Gobiernos Federal, Estatal y Municipal, los</w:t>
      </w:r>
      <w:r w:rsidR="00033D9A" w:rsidRPr="00493B0E">
        <w:rPr>
          <w:rFonts w:ascii="Arial" w:hAnsi="Arial" w:cs="Arial"/>
        </w:rPr>
        <w:t xml:space="preserve"> </w:t>
      </w:r>
      <w:r w:rsidRPr="00493B0E">
        <w:rPr>
          <w:rFonts w:ascii="Arial" w:hAnsi="Arial" w:cs="Arial"/>
        </w:rPr>
        <w:t>Poderes, Órganos Autónomos, Dependencias, Órganos Desconcentrados,</w:t>
      </w:r>
      <w:r w:rsidR="00033D9A" w:rsidRPr="00493B0E">
        <w:rPr>
          <w:rFonts w:ascii="Arial" w:hAnsi="Arial" w:cs="Arial"/>
        </w:rPr>
        <w:t xml:space="preserve"> </w:t>
      </w:r>
      <w:r w:rsidRPr="00493B0E">
        <w:rPr>
          <w:rFonts w:ascii="Arial" w:hAnsi="Arial" w:cs="Arial"/>
        </w:rPr>
        <w:t>Entidades: Organismos Descentralizados, Auxiliares de Colaboración,</w:t>
      </w:r>
      <w:r w:rsidR="00033D9A" w:rsidRPr="00493B0E">
        <w:rPr>
          <w:rFonts w:ascii="Arial" w:hAnsi="Arial" w:cs="Arial"/>
        </w:rPr>
        <w:t xml:space="preserve"> </w:t>
      </w:r>
      <w:r w:rsidRPr="00493B0E">
        <w:rPr>
          <w:rFonts w:ascii="Arial" w:hAnsi="Arial" w:cs="Arial"/>
        </w:rPr>
        <w:t>Empresas de Participación Estatal y los Fideicomisos Públicos de los tres</w:t>
      </w:r>
      <w:r w:rsidR="00033D9A" w:rsidRPr="00493B0E">
        <w:rPr>
          <w:rFonts w:ascii="Arial" w:hAnsi="Arial" w:cs="Arial"/>
        </w:rPr>
        <w:t xml:space="preserve"> </w:t>
      </w:r>
      <w:r w:rsidRPr="00493B0E">
        <w:rPr>
          <w:rFonts w:ascii="Arial" w:hAnsi="Arial" w:cs="Arial"/>
        </w:rPr>
        <w:t>órdenes de Gobierno.</w:t>
      </w:r>
    </w:p>
    <w:p w14:paraId="2DE14465"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3609A0DF"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Cuando el pago de las erogaciones por remuneraciones al trabajo personal</w:t>
      </w:r>
      <w:r w:rsidR="00033D9A" w:rsidRPr="00493B0E">
        <w:rPr>
          <w:rFonts w:ascii="Arial" w:hAnsi="Arial" w:cs="Arial"/>
        </w:rPr>
        <w:t xml:space="preserve"> </w:t>
      </w:r>
      <w:r w:rsidRPr="00493B0E">
        <w:rPr>
          <w:rFonts w:ascii="Arial" w:hAnsi="Arial" w:cs="Arial"/>
        </w:rPr>
        <w:t>ya sea subordinado o no, se realice a través de un intermediario laboral,</w:t>
      </w:r>
      <w:r w:rsidR="00033D9A" w:rsidRPr="00493B0E">
        <w:rPr>
          <w:rFonts w:ascii="Arial" w:hAnsi="Arial" w:cs="Arial"/>
        </w:rPr>
        <w:t xml:space="preserve"> </w:t>
      </w:r>
      <w:r w:rsidRPr="00493B0E">
        <w:rPr>
          <w:rFonts w:ascii="Arial" w:hAnsi="Arial" w:cs="Arial"/>
        </w:rPr>
        <w:t>cualquiera que sea la denominación que los beneficiarios del servicio e</w:t>
      </w:r>
      <w:r w:rsidR="00033D9A" w:rsidRPr="00493B0E">
        <w:rPr>
          <w:rFonts w:ascii="Arial" w:hAnsi="Arial" w:cs="Arial"/>
        </w:rPr>
        <w:t xml:space="preserve"> </w:t>
      </w:r>
      <w:r w:rsidRPr="00493B0E">
        <w:rPr>
          <w:rFonts w:ascii="Arial" w:hAnsi="Arial" w:cs="Arial"/>
        </w:rPr>
        <w:t xml:space="preserve">intermediarios asuman, </w:t>
      </w:r>
      <w:r w:rsidRPr="00493B0E">
        <w:rPr>
          <w:rFonts w:ascii="Arial" w:hAnsi="Arial" w:cs="Arial"/>
        </w:rPr>
        <w:lastRenderedPageBreak/>
        <w:t>ambos serán responsables solidarios entre sí,</w:t>
      </w:r>
      <w:r w:rsidR="00033D9A" w:rsidRPr="00493B0E">
        <w:rPr>
          <w:rFonts w:ascii="Arial" w:hAnsi="Arial" w:cs="Arial"/>
        </w:rPr>
        <w:t xml:space="preserve"> </w:t>
      </w:r>
      <w:r w:rsidRPr="00493B0E">
        <w:rPr>
          <w:rFonts w:ascii="Arial" w:hAnsi="Arial" w:cs="Arial"/>
        </w:rPr>
        <w:t>respecto del cumplimiento de las obligaciones contenidas en este Capítulo.</w:t>
      </w:r>
    </w:p>
    <w:p w14:paraId="2A6D5E1C"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40C01C82"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Cuando una persona física, moral o unidad económica en virtud de un</w:t>
      </w:r>
      <w:r w:rsidR="00033D9A" w:rsidRPr="00493B0E">
        <w:rPr>
          <w:rFonts w:ascii="Arial" w:hAnsi="Arial" w:cs="Arial"/>
        </w:rPr>
        <w:t xml:space="preserve"> </w:t>
      </w:r>
      <w:r w:rsidRPr="00493B0E">
        <w:rPr>
          <w:rFonts w:ascii="Arial" w:hAnsi="Arial" w:cs="Arial"/>
        </w:rPr>
        <w:t>contrato cualquiera que sea su forma o denominación, como parte de las</w:t>
      </w:r>
      <w:r w:rsidR="00033D9A" w:rsidRPr="00493B0E">
        <w:rPr>
          <w:rFonts w:ascii="Arial" w:hAnsi="Arial" w:cs="Arial"/>
        </w:rPr>
        <w:t xml:space="preserve"> </w:t>
      </w:r>
      <w:r w:rsidRPr="00493B0E">
        <w:rPr>
          <w:rFonts w:ascii="Arial" w:hAnsi="Arial" w:cs="Arial"/>
        </w:rPr>
        <w:t>obligaciones contraídas, pongan a disposición trabajadores para que</w:t>
      </w:r>
      <w:r w:rsidR="00033D9A" w:rsidRPr="00493B0E">
        <w:rPr>
          <w:rFonts w:ascii="Arial" w:hAnsi="Arial" w:cs="Arial"/>
        </w:rPr>
        <w:t xml:space="preserve"> </w:t>
      </w:r>
      <w:r w:rsidRPr="00493B0E">
        <w:rPr>
          <w:rFonts w:ascii="Arial" w:hAnsi="Arial" w:cs="Arial"/>
        </w:rPr>
        <w:t>ejecuten los servicios o trabajos acordados bajo la dirección del beneficiario</w:t>
      </w:r>
      <w:r w:rsidR="00033D9A" w:rsidRPr="00493B0E">
        <w:rPr>
          <w:rFonts w:ascii="Arial" w:hAnsi="Arial" w:cs="Arial"/>
        </w:rPr>
        <w:t xml:space="preserve"> </w:t>
      </w:r>
      <w:r w:rsidRPr="00493B0E">
        <w:rPr>
          <w:rFonts w:ascii="Arial" w:hAnsi="Arial" w:cs="Arial"/>
        </w:rPr>
        <w:t>de los mismos, en las instalaciones que éste determine, el beneficiario delos trabajos o los servicios asumirá las obligaciones establecidas en este</w:t>
      </w:r>
      <w:r w:rsidR="00033D9A" w:rsidRPr="00493B0E">
        <w:rPr>
          <w:rFonts w:ascii="Arial" w:hAnsi="Arial" w:cs="Arial"/>
        </w:rPr>
        <w:t xml:space="preserve"> </w:t>
      </w:r>
      <w:r w:rsidRPr="00493B0E">
        <w:rPr>
          <w:rFonts w:ascii="Arial" w:hAnsi="Arial" w:cs="Arial"/>
        </w:rPr>
        <w:t>Capítulo respecto del pago del impuesto en relación con dichos</w:t>
      </w:r>
      <w:r w:rsidR="00033D9A" w:rsidRPr="00493B0E">
        <w:rPr>
          <w:rFonts w:ascii="Arial" w:hAnsi="Arial" w:cs="Arial"/>
        </w:rPr>
        <w:t xml:space="preserve"> </w:t>
      </w:r>
      <w:r w:rsidRPr="00493B0E">
        <w:rPr>
          <w:rFonts w:ascii="Arial" w:hAnsi="Arial" w:cs="Arial"/>
        </w:rPr>
        <w:t>trabajadores, en el supuesto de que la persona física, moral o la unidad</w:t>
      </w:r>
      <w:r w:rsidR="00033D9A" w:rsidRPr="00493B0E">
        <w:rPr>
          <w:rFonts w:ascii="Arial" w:hAnsi="Arial" w:cs="Arial"/>
        </w:rPr>
        <w:t xml:space="preserve"> </w:t>
      </w:r>
      <w:r w:rsidRPr="00493B0E">
        <w:rPr>
          <w:rFonts w:ascii="Arial" w:hAnsi="Arial" w:cs="Arial"/>
        </w:rPr>
        <w:t>económica, omita su cumplimiento.</w:t>
      </w:r>
    </w:p>
    <w:p w14:paraId="251273E1"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4FF4519C"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La responsabilidad solidaria subsistirá hasta en tanto el intermediario</w:t>
      </w:r>
      <w:r w:rsidR="00033D9A" w:rsidRPr="00493B0E">
        <w:rPr>
          <w:rFonts w:ascii="Arial" w:hAnsi="Arial" w:cs="Arial"/>
        </w:rPr>
        <w:t xml:space="preserve"> </w:t>
      </w:r>
      <w:r w:rsidRPr="00493B0E">
        <w:rPr>
          <w:rFonts w:ascii="Arial" w:hAnsi="Arial" w:cs="Arial"/>
        </w:rPr>
        <w:t xml:space="preserve">laboral cumpla con todas las obligaciones a que se encuentra sujeto en </w:t>
      </w:r>
      <w:proofErr w:type="gramStart"/>
      <w:r w:rsidRPr="00493B0E">
        <w:rPr>
          <w:rFonts w:ascii="Arial" w:hAnsi="Arial" w:cs="Arial"/>
        </w:rPr>
        <w:t>éste</w:t>
      </w:r>
      <w:proofErr w:type="gramEnd"/>
      <w:r w:rsidR="00033D9A" w:rsidRPr="00493B0E">
        <w:rPr>
          <w:rFonts w:ascii="Arial" w:hAnsi="Arial" w:cs="Arial"/>
        </w:rPr>
        <w:t xml:space="preserve"> </w:t>
      </w:r>
      <w:r w:rsidRPr="00493B0E">
        <w:rPr>
          <w:rFonts w:ascii="Arial" w:hAnsi="Arial" w:cs="Arial"/>
        </w:rPr>
        <w:t>Capítulo.</w:t>
      </w:r>
    </w:p>
    <w:p w14:paraId="6AEBA376"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6CEAE53E"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Artículo 65.</w:t>
      </w:r>
      <w:r w:rsidRPr="00493B0E">
        <w:rPr>
          <w:rFonts w:ascii="Arial" w:hAnsi="Arial" w:cs="Arial"/>
        </w:rPr>
        <w:t xml:space="preserve"> La base del impuesto es el monto total de las erogaciones</w:t>
      </w:r>
      <w:r w:rsidR="00033D9A" w:rsidRPr="00493B0E">
        <w:rPr>
          <w:rFonts w:ascii="Arial" w:hAnsi="Arial" w:cs="Arial"/>
        </w:rPr>
        <w:t xml:space="preserve"> </w:t>
      </w:r>
      <w:r w:rsidRPr="00493B0E">
        <w:rPr>
          <w:rFonts w:ascii="Arial" w:hAnsi="Arial" w:cs="Arial"/>
        </w:rPr>
        <w:t>realizadas por concepto de remuneraciones al trabajo personal en términos</w:t>
      </w:r>
      <w:r w:rsidR="00033D9A" w:rsidRPr="00493B0E">
        <w:rPr>
          <w:rFonts w:ascii="Arial" w:hAnsi="Arial" w:cs="Arial"/>
        </w:rPr>
        <w:t xml:space="preserve"> </w:t>
      </w:r>
      <w:r w:rsidRPr="00493B0E">
        <w:rPr>
          <w:rFonts w:ascii="Arial" w:hAnsi="Arial" w:cs="Arial"/>
        </w:rPr>
        <w:t>del artículo 63 de esta Ley.</w:t>
      </w:r>
    </w:p>
    <w:p w14:paraId="0A6973A3"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0A85EE4A"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Artículo 66</w:t>
      </w:r>
      <w:r w:rsidRPr="00493B0E">
        <w:rPr>
          <w:rFonts w:ascii="Arial" w:hAnsi="Arial" w:cs="Arial"/>
        </w:rPr>
        <w:t>. Este impuesto se calculará aplicando la tasa del 2 por ciento</w:t>
      </w:r>
      <w:r w:rsidR="00033D9A" w:rsidRPr="00493B0E">
        <w:rPr>
          <w:rFonts w:ascii="Arial" w:hAnsi="Arial" w:cs="Arial"/>
        </w:rPr>
        <w:t xml:space="preserve"> </w:t>
      </w:r>
      <w:r w:rsidRPr="00493B0E">
        <w:rPr>
          <w:rFonts w:ascii="Arial" w:hAnsi="Arial" w:cs="Arial"/>
        </w:rPr>
        <w:t>sobre la base que señala el artículo anterior.</w:t>
      </w:r>
    </w:p>
    <w:p w14:paraId="4F133797"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2F488A3A"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Este impuesto se causará en el momento en que se realice el pago de las</w:t>
      </w:r>
      <w:r w:rsidR="00033D9A" w:rsidRPr="00493B0E">
        <w:rPr>
          <w:rFonts w:ascii="Arial" w:hAnsi="Arial" w:cs="Arial"/>
        </w:rPr>
        <w:t xml:space="preserve"> </w:t>
      </w:r>
      <w:r w:rsidRPr="00493B0E">
        <w:rPr>
          <w:rFonts w:ascii="Arial" w:hAnsi="Arial" w:cs="Arial"/>
        </w:rPr>
        <w:t>remuneraciones por la prestación del trabajo personal.</w:t>
      </w:r>
    </w:p>
    <w:p w14:paraId="0CEB9BE7"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45C8B5AC"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El pago de este impuesto se efectuará mediante declaración bimestral</w:t>
      </w:r>
      <w:r w:rsidR="00033D9A" w:rsidRPr="00493B0E">
        <w:rPr>
          <w:rFonts w:ascii="Arial" w:hAnsi="Arial" w:cs="Arial"/>
        </w:rPr>
        <w:t xml:space="preserve"> </w:t>
      </w:r>
      <w:r w:rsidRPr="00493B0E">
        <w:rPr>
          <w:rFonts w:ascii="Arial" w:hAnsi="Arial" w:cs="Arial"/>
        </w:rPr>
        <w:t>definitiva que deberá ser presentada en los primeros 17 días de los meses</w:t>
      </w:r>
      <w:r w:rsidR="00033D9A" w:rsidRPr="00493B0E">
        <w:rPr>
          <w:rFonts w:ascii="Arial" w:hAnsi="Arial" w:cs="Arial"/>
        </w:rPr>
        <w:t xml:space="preserve"> </w:t>
      </w:r>
      <w:r w:rsidRPr="00493B0E">
        <w:rPr>
          <w:rFonts w:ascii="Arial" w:hAnsi="Arial" w:cs="Arial"/>
        </w:rPr>
        <w:t>de marzo, mayo, julio, septiembre, noviembre, y enero del año siguiente</w:t>
      </w:r>
      <w:r w:rsidR="00033D9A" w:rsidRPr="00493B0E">
        <w:rPr>
          <w:rFonts w:ascii="Arial" w:hAnsi="Arial" w:cs="Arial"/>
        </w:rPr>
        <w:t xml:space="preserve">. </w:t>
      </w:r>
    </w:p>
    <w:p w14:paraId="3FEE6FA3"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393D8620" w14:textId="77777777" w:rsidR="00E2749E" w:rsidRPr="00493B0E" w:rsidRDefault="00E2749E"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Artículo 69</w:t>
      </w:r>
      <w:r w:rsidRPr="00493B0E">
        <w:rPr>
          <w:rFonts w:ascii="Arial" w:hAnsi="Arial" w:cs="Arial"/>
        </w:rPr>
        <w:t xml:space="preserve">. Los sujetos obligados al pago de este impuesto tendrán a su cargo las obligaciones siguientes: </w:t>
      </w:r>
    </w:p>
    <w:p w14:paraId="084F3F2A"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6336D0F3" w14:textId="77777777" w:rsidR="00E2749E" w:rsidRDefault="00E2749E"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I.</w:t>
      </w:r>
      <w:r w:rsidRPr="00493B0E">
        <w:rPr>
          <w:rFonts w:ascii="Arial" w:hAnsi="Arial" w:cs="Arial"/>
        </w:rPr>
        <w:t xml:space="preserve"> Cuando el domicilio fiscal de las personas físicas, morales o unidades económicas, se encuentre ubicado fuera del territorio del estado de Oaxaca, deberán señalar un domicilio dentro de éste para su registro;</w:t>
      </w:r>
    </w:p>
    <w:p w14:paraId="48FAD7F0" w14:textId="77777777" w:rsidR="00BB5848" w:rsidRPr="00493B0E"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5A3AEDF9" w14:textId="77777777" w:rsidR="00E2749E" w:rsidRPr="00493B0E" w:rsidRDefault="00E2749E"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II.</w:t>
      </w:r>
      <w:r w:rsidRPr="00493B0E">
        <w:rPr>
          <w:rFonts w:ascii="Arial" w:hAnsi="Arial" w:cs="Arial"/>
        </w:rPr>
        <w:t xml:space="preserve"> Las personas físicas, morales o unidades económicas, cuyo domicilio fiscal y establecimientos se encuentren ubicados en el territorio del estado de Oaxaca, deberán presentar una sola declaración en los lugares de pago autorizados por la </w:t>
      </w:r>
      <w:proofErr w:type="gramStart"/>
      <w:r w:rsidRPr="00493B0E">
        <w:rPr>
          <w:rFonts w:ascii="Arial" w:hAnsi="Arial" w:cs="Arial"/>
        </w:rPr>
        <w:t>Secretaria</w:t>
      </w:r>
      <w:proofErr w:type="gramEnd"/>
      <w:r w:rsidRPr="00493B0E">
        <w:rPr>
          <w:rFonts w:ascii="Arial" w:hAnsi="Arial" w:cs="Arial"/>
        </w:rPr>
        <w:t xml:space="preserve"> correspondiente a su domicilio fiscal, acumulando los pagos por la prestación de un servicio personal subordinado que efectúen tanto en el domicilio fiscal como en sus establecimientos;</w:t>
      </w:r>
    </w:p>
    <w:p w14:paraId="21C856DB"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b/>
        </w:rPr>
      </w:pPr>
    </w:p>
    <w:p w14:paraId="1DB8CA88" w14:textId="77777777" w:rsidR="00E2749E" w:rsidRPr="00493B0E" w:rsidRDefault="00E2749E"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III.</w:t>
      </w:r>
      <w:r w:rsidRPr="00493B0E">
        <w:rPr>
          <w:rFonts w:ascii="Arial" w:hAnsi="Arial" w:cs="Arial"/>
        </w:rPr>
        <w:t xml:space="preserve"> Cuando el domicilio fiscal de las personas físicas, morales o unidades económicas, se encuentre ubicado fuera del territorio del estado de Oaxaca, y realicen erogaciones por remuneraciones al trabajo personal en establecimientos dentro de dicho territorio, deberán presentar una sola declaración en los lugares de pago autorizados por la Secretaría, en razón del domicilio fiscal que al efecto hayan manifestado ante la Secretaría, para realizar el pago respectivo, acumulando los pagos por la prestación de un servicio personal que realicen en cada uno de los establecimientos;</w:t>
      </w:r>
    </w:p>
    <w:p w14:paraId="553E7502"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581BB101" w14:textId="77777777" w:rsidR="00E2749E" w:rsidRPr="00493B0E" w:rsidRDefault="00E2749E"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IV.</w:t>
      </w:r>
      <w:r w:rsidRPr="00493B0E">
        <w:rPr>
          <w:rFonts w:ascii="Arial" w:hAnsi="Arial" w:cs="Arial"/>
        </w:rPr>
        <w:t xml:space="preserve"> Presentar declaración anual informativa dentro de los tres primeros meses del año, cuando estos realicen los siguientes actos: </w:t>
      </w:r>
    </w:p>
    <w:p w14:paraId="3962670E"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0F1848F3" w14:textId="77777777" w:rsidR="00AB7FEB" w:rsidRPr="00493B0E" w:rsidRDefault="00E2749E"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a)</w:t>
      </w:r>
      <w:r w:rsidRPr="00493B0E">
        <w:rPr>
          <w:rFonts w:ascii="Arial" w:hAnsi="Arial" w:cs="Arial"/>
        </w:rPr>
        <w:t xml:space="preserve"> Presten servicios mediante los cuales proporcionen trabajadores a terceros cuyo domicilio se encuentre dentro o fuera del territorio del Estado, o</w:t>
      </w:r>
      <w:r w:rsidR="00AB7FEB" w:rsidRPr="00493B0E">
        <w:rPr>
          <w:rFonts w:ascii="Arial" w:hAnsi="Arial" w:cs="Arial"/>
        </w:rPr>
        <w:t xml:space="preserve"> </w:t>
      </w:r>
    </w:p>
    <w:p w14:paraId="31B342FB"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451D7392" w14:textId="77777777" w:rsidR="00E2749E" w:rsidRPr="00493B0E" w:rsidRDefault="00E2749E"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b)</w:t>
      </w:r>
      <w:r w:rsidRPr="00493B0E">
        <w:rPr>
          <w:rFonts w:ascii="Arial" w:hAnsi="Arial" w:cs="Arial"/>
        </w:rPr>
        <w:t xml:space="preserve"> Contraten en el territorio del Estado, servicios mediante los</w:t>
      </w:r>
      <w:r w:rsidR="00AB7FEB" w:rsidRPr="00493B0E">
        <w:rPr>
          <w:rFonts w:ascii="Arial" w:hAnsi="Arial" w:cs="Arial"/>
        </w:rPr>
        <w:t xml:space="preserve"> </w:t>
      </w:r>
      <w:r w:rsidRPr="00493B0E">
        <w:rPr>
          <w:rFonts w:ascii="Arial" w:hAnsi="Arial" w:cs="Arial"/>
        </w:rPr>
        <w:t>cuales se les proporcionen trabajadores.</w:t>
      </w:r>
    </w:p>
    <w:p w14:paraId="15E78075"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6D37C8DD" w14:textId="77777777" w:rsidR="00E2749E" w:rsidRPr="00493B0E" w:rsidRDefault="00E2749E"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La presentación de declaraciones informativas a que refiere este artículo se</w:t>
      </w:r>
      <w:r w:rsidR="00AB7FEB" w:rsidRPr="00493B0E">
        <w:rPr>
          <w:rFonts w:ascii="Arial" w:hAnsi="Arial" w:cs="Arial"/>
        </w:rPr>
        <w:t xml:space="preserve"> </w:t>
      </w:r>
      <w:r w:rsidRPr="00493B0E">
        <w:rPr>
          <w:rFonts w:ascii="Arial" w:hAnsi="Arial" w:cs="Arial"/>
        </w:rPr>
        <w:t>realizará en los formatos y conforme a las reglas de carácter general que</w:t>
      </w:r>
      <w:r w:rsidR="00AB7FEB" w:rsidRPr="00493B0E">
        <w:rPr>
          <w:rFonts w:ascii="Arial" w:hAnsi="Arial" w:cs="Arial"/>
        </w:rPr>
        <w:t xml:space="preserve"> </w:t>
      </w:r>
      <w:r w:rsidRPr="00493B0E">
        <w:rPr>
          <w:rFonts w:ascii="Arial" w:hAnsi="Arial" w:cs="Arial"/>
        </w:rPr>
        <w:t>emita la Secretaría</w:t>
      </w:r>
      <w:r w:rsidR="00AB7FEB" w:rsidRPr="00493B0E">
        <w:rPr>
          <w:rFonts w:ascii="Arial" w:hAnsi="Arial" w:cs="Arial"/>
        </w:rPr>
        <w:t xml:space="preserve">. </w:t>
      </w:r>
    </w:p>
    <w:p w14:paraId="1021C79D"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7AF3994A"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6E4CA21E" w14:textId="77777777" w:rsidR="00E2749E" w:rsidRPr="00BB5848" w:rsidRDefault="002063C8" w:rsidP="00BB5848">
      <w:pPr>
        <w:pBdr>
          <w:top w:val="nil"/>
          <w:left w:val="nil"/>
          <w:bottom w:val="nil"/>
          <w:right w:val="nil"/>
          <w:between w:val="nil"/>
        </w:pBdr>
        <w:tabs>
          <w:tab w:val="center" w:pos="4419"/>
          <w:tab w:val="center" w:pos="-1418"/>
          <w:tab w:val="right" w:pos="8505"/>
        </w:tabs>
        <w:spacing w:after="0" w:line="240" w:lineRule="auto"/>
        <w:ind w:left="567" w:right="332"/>
        <w:jc w:val="center"/>
        <w:rPr>
          <w:rFonts w:ascii="Arial" w:hAnsi="Arial" w:cs="Arial"/>
          <w:b/>
        </w:rPr>
      </w:pPr>
      <w:r w:rsidRPr="00BB5848">
        <w:rPr>
          <w:rFonts w:ascii="Arial" w:hAnsi="Arial" w:cs="Arial"/>
          <w:b/>
        </w:rPr>
        <w:lastRenderedPageBreak/>
        <w:t>CÓDIGO FISCAL PARA EL ESTADO DE OAXACA</w:t>
      </w:r>
    </w:p>
    <w:p w14:paraId="0CF44B05" w14:textId="77777777" w:rsidR="00BB5848" w:rsidRPr="003C0B76"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b/>
        </w:rPr>
      </w:pPr>
    </w:p>
    <w:p w14:paraId="12EEA482" w14:textId="77777777" w:rsidR="006565ED" w:rsidRPr="00493B0E" w:rsidRDefault="003C0B76"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r w:rsidRPr="003C0B76">
        <w:rPr>
          <w:rFonts w:ascii="Arial" w:hAnsi="Arial" w:cs="Arial"/>
          <w:b/>
        </w:rPr>
        <w:t>ARTÍCULO</w:t>
      </w:r>
      <w:r w:rsidR="006565ED" w:rsidRPr="003C0B76">
        <w:rPr>
          <w:rFonts w:ascii="Arial" w:hAnsi="Arial" w:cs="Arial"/>
          <w:b/>
        </w:rPr>
        <w:t xml:space="preserve"> 1</w:t>
      </w:r>
      <w:r w:rsidR="006565ED" w:rsidRPr="00493B0E">
        <w:rPr>
          <w:rFonts w:ascii="Arial" w:hAnsi="Arial" w:cs="Arial"/>
        </w:rPr>
        <w:t xml:space="preserve">.- </w:t>
      </w:r>
      <w:r w:rsidR="006565ED" w:rsidRPr="00493B0E">
        <w:rPr>
          <w:rFonts w:ascii="Arial" w:eastAsia="Arial" w:hAnsi="Arial" w:cs="Arial"/>
        </w:rPr>
        <w:t>En el Estado de Oaxaca las personas físicas y las morales, así</w:t>
      </w:r>
      <w:r w:rsidR="006565ED" w:rsidRPr="00493B0E">
        <w:rPr>
          <w:rFonts w:ascii="Arial" w:eastAsia="Arial" w:hAnsi="Arial" w:cs="Arial"/>
          <w:b/>
        </w:rPr>
        <w:t xml:space="preserve"> </w:t>
      </w:r>
      <w:r w:rsidR="006565ED" w:rsidRPr="00493B0E">
        <w:rPr>
          <w:rFonts w:ascii="Arial" w:eastAsia="Arial" w:hAnsi="Arial" w:cs="Arial"/>
        </w:rPr>
        <w:t>como las unidades económicas, están obligadas a contribuir para los gastos públicos conforme a las leyes fiscales respectivas. Las disposiciones de este Código se aplicarán en defecto de las referidas leyes.</w:t>
      </w:r>
    </w:p>
    <w:p w14:paraId="6829D0B6" w14:textId="77777777" w:rsidR="006565ED" w:rsidRPr="00493B0E" w:rsidRDefault="006565ED"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r w:rsidRPr="00493B0E">
        <w:rPr>
          <w:rFonts w:ascii="Arial" w:eastAsia="Arial" w:hAnsi="Arial" w:cs="Arial"/>
        </w:rPr>
        <w:t>…</w:t>
      </w:r>
    </w:p>
    <w:p w14:paraId="2738CCE1" w14:textId="77777777" w:rsidR="006565ED" w:rsidRPr="00493B0E" w:rsidRDefault="006565ED"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2. </w:t>
      </w:r>
      <w:r w:rsidRPr="00493B0E">
        <w:rPr>
          <w:rFonts w:ascii="Arial" w:eastAsia="Arial" w:hAnsi="Arial" w:cs="Arial"/>
        </w:rPr>
        <w:t>Para efectos del presente Código se entenderá por:</w:t>
      </w:r>
    </w:p>
    <w:p w14:paraId="4918A9C1" w14:textId="77777777" w:rsidR="006565ED" w:rsidRPr="00493B0E" w:rsidRDefault="006565ED"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w:t>
      </w:r>
    </w:p>
    <w:p w14:paraId="52353F08" w14:textId="77777777" w:rsidR="006565ED" w:rsidRPr="00493B0E" w:rsidRDefault="006565ED"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3. </w:t>
      </w:r>
      <w:r w:rsidRPr="00493B0E">
        <w:rPr>
          <w:rFonts w:ascii="Arial" w:eastAsia="Arial" w:hAnsi="Arial" w:cs="Arial"/>
        </w:rPr>
        <w:t>La recaudación de los ingresos que el Estado tiene derecho a</w:t>
      </w:r>
      <w:r w:rsidRPr="00493B0E">
        <w:rPr>
          <w:rFonts w:ascii="Arial" w:eastAsia="Arial" w:hAnsi="Arial" w:cs="Arial"/>
          <w:b/>
        </w:rPr>
        <w:t xml:space="preserve"> </w:t>
      </w:r>
      <w:r w:rsidRPr="00493B0E">
        <w:rPr>
          <w:rFonts w:ascii="Arial" w:eastAsia="Arial" w:hAnsi="Arial" w:cs="Arial"/>
        </w:rPr>
        <w:t>percibir, se hará a través de la Secretaría u otras entidades públicas o privadas que por la misma hubieren sido autorizadas en términos de las disposiciones aplicables para realizarla, debiendo éstas últimas sujetarse a los lineamentos que se establezcan en el Reglamento y en Reglas.</w:t>
      </w:r>
    </w:p>
    <w:p w14:paraId="5FC001A7" w14:textId="77777777" w:rsidR="006565ED" w:rsidRPr="00493B0E" w:rsidRDefault="006565ED" w:rsidP="00493B0E">
      <w:pPr>
        <w:tabs>
          <w:tab w:val="right" w:pos="8505"/>
        </w:tabs>
        <w:spacing w:after="0" w:line="240" w:lineRule="auto"/>
        <w:ind w:left="567" w:right="332"/>
        <w:jc w:val="both"/>
        <w:rPr>
          <w:rFonts w:ascii="Arial" w:eastAsia="Times New Roman" w:hAnsi="Arial" w:cs="Arial"/>
        </w:rPr>
      </w:pPr>
    </w:p>
    <w:p w14:paraId="640C4526" w14:textId="77777777" w:rsidR="006565ED" w:rsidRPr="00493B0E" w:rsidRDefault="006565ED"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4. </w:t>
      </w:r>
      <w:r w:rsidRPr="00493B0E">
        <w:rPr>
          <w:rFonts w:ascii="Arial" w:eastAsia="Arial" w:hAnsi="Arial" w:cs="Arial"/>
        </w:rPr>
        <w:t>Las disposiciones que se refieren al objeto, sujeto, base, tasa,</w:t>
      </w:r>
      <w:r w:rsidRPr="00493B0E">
        <w:rPr>
          <w:rFonts w:ascii="Arial" w:eastAsia="Arial" w:hAnsi="Arial" w:cs="Arial"/>
          <w:b/>
        </w:rPr>
        <w:t xml:space="preserve"> </w:t>
      </w:r>
      <w:r w:rsidRPr="00493B0E">
        <w:rPr>
          <w:rFonts w:ascii="Arial" w:eastAsia="Arial" w:hAnsi="Arial" w:cs="Arial"/>
        </w:rPr>
        <w:t>cuota o tarifa, y época de pago de las contribuciones, así como las que establecen las infracciones y sanciones, son de aplicación estricta.</w:t>
      </w:r>
    </w:p>
    <w:p w14:paraId="45C5A8B5" w14:textId="77777777" w:rsidR="006565ED" w:rsidRPr="00493B0E" w:rsidRDefault="006565ED" w:rsidP="00493B0E">
      <w:pPr>
        <w:tabs>
          <w:tab w:val="right" w:pos="8505"/>
        </w:tabs>
        <w:spacing w:after="0" w:line="240" w:lineRule="auto"/>
        <w:ind w:left="567" w:right="332"/>
        <w:jc w:val="both"/>
        <w:rPr>
          <w:rFonts w:ascii="Arial" w:eastAsia="Times New Roman" w:hAnsi="Arial" w:cs="Arial"/>
        </w:rPr>
      </w:pPr>
    </w:p>
    <w:p w14:paraId="4AE602CB" w14:textId="77777777" w:rsidR="006565ED" w:rsidRPr="00493B0E" w:rsidRDefault="006565ED"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rPr>
        <w:t>Sin que se contravenga la naturaleza propia del derecho fiscal, la aplicación de las disposiciones fiscales no contenidas en el párrafo anterior se realizará a través de cualquier método de interpretación jurídica, a falta de disposición expresa en la legislación fiscal del Estado, se aplicarán supletoriamente en el orden que se señalan, las normas del derecho común vigentes en el Estado, y el derecho federal común.</w:t>
      </w:r>
    </w:p>
    <w:p w14:paraId="7505F3D2" w14:textId="77777777" w:rsidR="006565ED" w:rsidRPr="00493B0E" w:rsidRDefault="006565ED" w:rsidP="00493B0E">
      <w:pPr>
        <w:tabs>
          <w:tab w:val="right" w:pos="8505"/>
        </w:tabs>
        <w:spacing w:after="0" w:line="240" w:lineRule="auto"/>
        <w:ind w:left="567" w:right="332"/>
        <w:jc w:val="both"/>
        <w:rPr>
          <w:rFonts w:ascii="Arial" w:eastAsia="Times New Roman" w:hAnsi="Arial" w:cs="Arial"/>
        </w:rPr>
      </w:pPr>
    </w:p>
    <w:p w14:paraId="0067A379" w14:textId="77777777" w:rsidR="006565ED" w:rsidRPr="00493B0E" w:rsidRDefault="006565ED"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5. </w:t>
      </w:r>
      <w:r w:rsidRPr="00493B0E">
        <w:rPr>
          <w:rFonts w:ascii="Arial" w:eastAsia="Arial" w:hAnsi="Arial" w:cs="Arial"/>
        </w:rPr>
        <w:t>Son ordenamientos fiscales, además del presente Código:</w:t>
      </w:r>
    </w:p>
    <w:p w14:paraId="22F706E4" w14:textId="77777777" w:rsidR="006565ED" w:rsidRPr="00493B0E" w:rsidRDefault="006565ED"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w:t>
      </w:r>
    </w:p>
    <w:p w14:paraId="79D01990" w14:textId="77777777" w:rsidR="006565ED" w:rsidRPr="00493B0E" w:rsidRDefault="006565ED"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r w:rsidRPr="003C0B76">
        <w:rPr>
          <w:rFonts w:ascii="Arial" w:hAnsi="Arial" w:cs="Arial"/>
          <w:b/>
        </w:rPr>
        <w:t>II.-</w:t>
      </w:r>
      <w:r w:rsidRPr="00493B0E">
        <w:rPr>
          <w:rFonts w:ascii="Arial" w:eastAsia="Arial" w:hAnsi="Arial" w:cs="Arial"/>
        </w:rPr>
        <w:t xml:space="preserve"> La Ley Estatal de Hacienda;</w:t>
      </w:r>
    </w:p>
    <w:p w14:paraId="3F71B581" w14:textId="77777777" w:rsidR="006565ED" w:rsidRPr="00493B0E" w:rsidRDefault="006565ED"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r w:rsidRPr="00493B0E">
        <w:rPr>
          <w:rFonts w:ascii="Arial" w:eastAsia="Arial" w:hAnsi="Arial" w:cs="Arial"/>
        </w:rPr>
        <w:t>…</w:t>
      </w:r>
    </w:p>
    <w:p w14:paraId="084CEA03" w14:textId="77777777" w:rsidR="00513E50" w:rsidRPr="00493B0E" w:rsidRDefault="00513E50" w:rsidP="00493B0E">
      <w:pPr>
        <w:tabs>
          <w:tab w:val="right" w:pos="8505"/>
        </w:tabs>
        <w:spacing w:after="0" w:line="240" w:lineRule="auto"/>
        <w:ind w:left="567" w:right="332"/>
        <w:jc w:val="both"/>
        <w:rPr>
          <w:rFonts w:ascii="Arial" w:eastAsia="Arial" w:hAnsi="Arial" w:cs="Arial"/>
        </w:rPr>
      </w:pPr>
      <w:r w:rsidRPr="003C0B76">
        <w:rPr>
          <w:rFonts w:ascii="Arial" w:eastAsia="Arial" w:hAnsi="Arial" w:cs="Arial"/>
          <w:b/>
        </w:rPr>
        <w:t>VII.</w:t>
      </w:r>
      <w:r w:rsidRPr="00493B0E">
        <w:rPr>
          <w:rFonts w:ascii="Arial" w:eastAsia="Arial" w:hAnsi="Arial" w:cs="Arial"/>
        </w:rPr>
        <w:t xml:space="preserve">  Los convenios de colaboración administrativa, que celebre el gobierno del Estado con sus municipios, con el Gobierno Federal; y, en general con cualquier otra entidad federativa, en materia fiscal, y</w:t>
      </w:r>
    </w:p>
    <w:p w14:paraId="09BA27E5" w14:textId="77777777" w:rsidR="003C0B76" w:rsidRDefault="003C0B76"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b/>
        </w:rPr>
      </w:pPr>
    </w:p>
    <w:p w14:paraId="45993583" w14:textId="77777777" w:rsidR="00513E50" w:rsidRDefault="00513E50"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7. </w:t>
      </w:r>
      <w:r w:rsidRPr="00493B0E">
        <w:rPr>
          <w:rFonts w:ascii="Arial" w:eastAsia="Arial" w:hAnsi="Arial" w:cs="Arial"/>
        </w:rPr>
        <w:t>Para los efectos de este Código y demás ordenamientos</w:t>
      </w:r>
      <w:r w:rsidRPr="00493B0E">
        <w:rPr>
          <w:rFonts w:ascii="Arial" w:eastAsia="Arial" w:hAnsi="Arial" w:cs="Arial"/>
          <w:b/>
        </w:rPr>
        <w:t xml:space="preserve"> </w:t>
      </w:r>
      <w:r w:rsidRPr="00493B0E">
        <w:rPr>
          <w:rFonts w:ascii="Arial" w:eastAsia="Arial" w:hAnsi="Arial" w:cs="Arial"/>
        </w:rPr>
        <w:t>fiscales, son autoridades fiscales, las siguientes:</w:t>
      </w:r>
    </w:p>
    <w:p w14:paraId="21A6BAB5" w14:textId="77777777" w:rsidR="003C0B76" w:rsidRDefault="003C0B76"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r>
        <w:rPr>
          <w:rFonts w:ascii="Arial" w:eastAsia="Arial" w:hAnsi="Arial" w:cs="Arial"/>
          <w:b/>
        </w:rPr>
        <w:t>…</w:t>
      </w:r>
    </w:p>
    <w:p w14:paraId="14557C9C" w14:textId="77777777" w:rsidR="003C0B76" w:rsidRDefault="003C0B76"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r>
        <w:rPr>
          <w:rFonts w:ascii="Arial" w:eastAsia="Arial" w:hAnsi="Arial" w:cs="Arial"/>
          <w:b/>
        </w:rPr>
        <w:t xml:space="preserve">VI. </w:t>
      </w:r>
      <w:r>
        <w:rPr>
          <w:rFonts w:ascii="Arial" w:eastAsia="Arial" w:hAnsi="Arial" w:cs="Arial"/>
        </w:rPr>
        <w:t xml:space="preserve">El </w:t>
      </w:r>
      <w:proofErr w:type="gramStart"/>
      <w:r>
        <w:rPr>
          <w:rFonts w:ascii="Arial" w:eastAsia="Arial" w:hAnsi="Arial" w:cs="Arial"/>
        </w:rPr>
        <w:t>Director</w:t>
      </w:r>
      <w:proofErr w:type="gramEnd"/>
      <w:r>
        <w:rPr>
          <w:rFonts w:ascii="Arial" w:eastAsia="Arial" w:hAnsi="Arial" w:cs="Arial"/>
        </w:rPr>
        <w:t xml:space="preserve"> de Ingresos y los Coordinadores de la Dirección a su cargo.</w:t>
      </w:r>
    </w:p>
    <w:p w14:paraId="2E9A31C2" w14:textId="77777777" w:rsidR="003C0B76" w:rsidRDefault="003C0B76" w:rsidP="00493B0E">
      <w:pPr>
        <w:tabs>
          <w:tab w:val="right" w:pos="8505"/>
        </w:tabs>
        <w:spacing w:after="0" w:line="240" w:lineRule="auto"/>
        <w:ind w:left="567" w:right="332"/>
        <w:jc w:val="both"/>
        <w:rPr>
          <w:rFonts w:ascii="Arial" w:eastAsia="Arial" w:hAnsi="Arial" w:cs="Arial"/>
          <w:b/>
        </w:rPr>
      </w:pPr>
    </w:p>
    <w:p w14:paraId="6C73A515" w14:textId="77777777" w:rsidR="00513E50" w:rsidRPr="00493B0E" w:rsidRDefault="00513E50"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17. </w:t>
      </w:r>
      <w:r w:rsidRPr="00493B0E">
        <w:rPr>
          <w:rFonts w:ascii="Arial" w:eastAsia="Arial" w:hAnsi="Arial" w:cs="Arial"/>
        </w:rPr>
        <w:t>Quienes conforme las disposiciones de este Código y las</w:t>
      </w:r>
      <w:r w:rsidRPr="00493B0E">
        <w:rPr>
          <w:rFonts w:ascii="Arial" w:eastAsia="Arial" w:hAnsi="Arial" w:cs="Arial"/>
          <w:b/>
        </w:rPr>
        <w:t xml:space="preserve"> </w:t>
      </w:r>
      <w:r w:rsidRPr="00493B0E">
        <w:rPr>
          <w:rFonts w:ascii="Arial" w:eastAsia="Arial" w:hAnsi="Arial" w:cs="Arial"/>
        </w:rPr>
        <w:t>demás disposiciones fiscales se encuentren obligados al pago de contribuciones, o a retener o recaudar éstas, o que sin encontrarse dentro de los anteriores supuestos se encuentren sujetos al cumplimiento de disposiciones fiscales, y sólo para el efecto del cumplimiento de éstas, deberán comunicar a la autoridad el domicilio que conforme los siguientes supuestos se considere su domicilio fiscal.</w:t>
      </w:r>
    </w:p>
    <w:p w14:paraId="2B910D04" w14:textId="77777777" w:rsidR="00513E50" w:rsidRPr="00493B0E" w:rsidRDefault="00513E50" w:rsidP="00493B0E">
      <w:pPr>
        <w:tabs>
          <w:tab w:val="right" w:pos="8505"/>
        </w:tabs>
        <w:spacing w:after="0" w:line="240" w:lineRule="auto"/>
        <w:ind w:left="567" w:right="332"/>
        <w:jc w:val="both"/>
        <w:rPr>
          <w:rFonts w:ascii="Arial" w:eastAsia="Times New Roman" w:hAnsi="Arial" w:cs="Arial"/>
        </w:rPr>
      </w:pPr>
    </w:p>
    <w:p w14:paraId="76AD2BFD" w14:textId="77777777" w:rsidR="00513E50" w:rsidRPr="00493B0E" w:rsidRDefault="00513E50"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rPr>
        <w:t>Se considera domicilio fiscal:</w:t>
      </w:r>
    </w:p>
    <w:p w14:paraId="6C7D8B6F" w14:textId="77777777" w:rsidR="00513E50" w:rsidRPr="00493B0E" w:rsidRDefault="00513E50" w:rsidP="00493B0E">
      <w:pPr>
        <w:tabs>
          <w:tab w:val="right" w:pos="8505"/>
        </w:tabs>
        <w:spacing w:after="0" w:line="240" w:lineRule="auto"/>
        <w:ind w:left="567" w:right="332"/>
        <w:jc w:val="both"/>
        <w:rPr>
          <w:rFonts w:ascii="Arial" w:eastAsia="Times New Roman" w:hAnsi="Arial" w:cs="Arial"/>
        </w:rPr>
      </w:pPr>
    </w:p>
    <w:p w14:paraId="275B0B59" w14:textId="77777777" w:rsidR="00513E50" w:rsidRPr="00493B0E" w:rsidRDefault="00513E50" w:rsidP="00493B0E">
      <w:pPr>
        <w:pStyle w:val="Prrafodelista"/>
        <w:numPr>
          <w:ilvl w:val="0"/>
          <w:numId w:val="3"/>
        </w:numPr>
        <w:tabs>
          <w:tab w:val="left" w:pos="1160"/>
          <w:tab w:val="right" w:pos="8505"/>
        </w:tabs>
        <w:spacing w:after="0" w:line="240" w:lineRule="auto"/>
        <w:ind w:left="567" w:right="332" w:firstLine="0"/>
        <w:jc w:val="both"/>
        <w:rPr>
          <w:rFonts w:ascii="Arial" w:eastAsia="Arial" w:hAnsi="Arial" w:cs="Arial"/>
        </w:rPr>
      </w:pPr>
      <w:r w:rsidRPr="00493B0E">
        <w:rPr>
          <w:rFonts w:ascii="Arial" w:eastAsia="Arial" w:hAnsi="Arial" w:cs="Arial"/>
        </w:rPr>
        <w:t>Tratándose de personas físicas:</w:t>
      </w:r>
    </w:p>
    <w:p w14:paraId="6ACF3011" w14:textId="77777777" w:rsidR="00513E50" w:rsidRPr="00493B0E" w:rsidRDefault="00513E50" w:rsidP="00493B0E">
      <w:pPr>
        <w:tabs>
          <w:tab w:val="right" w:pos="8505"/>
        </w:tabs>
        <w:spacing w:after="0" w:line="240" w:lineRule="auto"/>
        <w:ind w:left="567" w:right="332"/>
        <w:jc w:val="both"/>
        <w:rPr>
          <w:rFonts w:ascii="Arial" w:eastAsia="Arial" w:hAnsi="Arial" w:cs="Arial"/>
        </w:rPr>
      </w:pPr>
    </w:p>
    <w:p w14:paraId="2973FB1B" w14:textId="77777777" w:rsidR="00513E50" w:rsidRPr="00493B0E" w:rsidRDefault="00513E50" w:rsidP="00493B0E">
      <w:pPr>
        <w:pStyle w:val="Prrafodelista"/>
        <w:numPr>
          <w:ilvl w:val="0"/>
          <w:numId w:val="4"/>
        </w:numPr>
        <w:tabs>
          <w:tab w:val="left" w:pos="1160"/>
          <w:tab w:val="right" w:pos="8505"/>
        </w:tabs>
        <w:spacing w:after="0" w:line="240" w:lineRule="auto"/>
        <w:ind w:left="567" w:right="332" w:firstLine="0"/>
        <w:jc w:val="both"/>
        <w:rPr>
          <w:rFonts w:ascii="Arial" w:eastAsia="Arial" w:hAnsi="Arial" w:cs="Arial"/>
        </w:rPr>
      </w:pPr>
      <w:r w:rsidRPr="00493B0E">
        <w:rPr>
          <w:rFonts w:ascii="Arial" w:eastAsia="Arial" w:hAnsi="Arial" w:cs="Arial"/>
        </w:rPr>
        <w:t>Cuando no realicen las actividades señaladas en el inciso anterior: el local que utilicen en el Estado para el desempeño de sus actos o actividades afectos a contribuciones o aprovechamientos, y</w:t>
      </w:r>
    </w:p>
    <w:p w14:paraId="61750942" w14:textId="77777777" w:rsidR="006565ED" w:rsidRPr="00493B0E" w:rsidRDefault="006565ED"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p>
    <w:p w14:paraId="61F109A2" w14:textId="77777777" w:rsidR="00513E50" w:rsidRPr="00493B0E" w:rsidRDefault="00513E50"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19. </w:t>
      </w:r>
      <w:r w:rsidRPr="00493B0E">
        <w:rPr>
          <w:rFonts w:ascii="Arial" w:eastAsia="Arial" w:hAnsi="Arial" w:cs="Arial"/>
        </w:rPr>
        <w:t>Las contribuciones se causan cuando se actualizan las</w:t>
      </w:r>
      <w:r w:rsidRPr="00493B0E">
        <w:rPr>
          <w:rFonts w:ascii="Arial" w:eastAsia="Arial" w:hAnsi="Arial" w:cs="Arial"/>
          <w:b/>
        </w:rPr>
        <w:t xml:space="preserve"> </w:t>
      </w:r>
      <w:r w:rsidRPr="00493B0E">
        <w:rPr>
          <w:rFonts w:ascii="Arial" w:eastAsia="Arial" w:hAnsi="Arial" w:cs="Arial"/>
        </w:rPr>
        <w:t>situaciones jurídicas o de hecho previstas en la legislación fiscal, y se determinan conforme las disposiciones vigentes en el momento en que se originan. Para efectos de su determinación, fijación en cantidad líquida y recaudación, les son aplicables las normas sobre procedimiento que se expidan con posterioridad.</w:t>
      </w:r>
    </w:p>
    <w:p w14:paraId="770B71D3" w14:textId="77777777" w:rsidR="00664CFF" w:rsidRPr="00493B0E" w:rsidRDefault="00664CFF" w:rsidP="00493B0E">
      <w:pPr>
        <w:tabs>
          <w:tab w:val="right" w:pos="8505"/>
        </w:tabs>
        <w:spacing w:after="0" w:line="240" w:lineRule="auto"/>
        <w:ind w:left="567" w:right="332"/>
        <w:jc w:val="both"/>
        <w:rPr>
          <w:rFonts w:ascii="Arial" w:eastAsia="Times New Roman" w:hAnsi="Arial" w:cs="Arial"/>
        </w:rPr>
      </w:pPr>
    </w:p>
    <w:p w14:paraId="0D1AB406" w14:textId="77777777" w:rsidR="00664CFF" w:rsidRPr="00493B0E" w:rsidRDefault="00664CFF"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ARTÍCULO 22</w:t>
      </w:r>
      <w:r w:rsidRPr="00493B0E">
        <w:rPr>
          <w:rFonts w:ascii="Arial" w:eastAsia="Arial" w:hAnsi="Arial" w:cs="Arial"/>
        </w:rPr>
        <w:t>. Las contribuciones y aprovechamientos se pagan mediante</w:t>
      </w:r>
      <w:r w:rsidRPr="00493B0E">
        <w:rPr>
          <w:rFonts w:ascii="Arial" w:eastAsia="Arial" w:hAnsi="Arial" w:cs="Arial"/>
          <w:b/>
        </w:rPr>
        <w:t xml:space="preserve"> </w:t>
      </w:r>
      <w:r w:rsidRPr="00493B0E">
        <w:rPr>
          <w:rFonts w:ascii="Arial" w:eastAsia="Arial" w:hAnsi="Arial" w:cs="Arial"/>
        </w:rPr>
        <w:t>declaración que deberán presentar los contribuyentes, en la fecha o dentro del plazo señalado en las disposiciones respectivas. A falta de disposición expresa el pago deberá hacerse mediante declaración que se presentará ante las oficinas autorizadas, dentro de los quince días siguientes al momento de su causación.</w:t>
      </w:r>
    </w:p>
    <w:p w14:paraId="54791422" w14:textId="77777777" w:rsidR="00513E50" w:rsidRPr="00493B0E" w:rsidRDefault="00664CF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r w:rsidRPr="00493B0E">
        <w:rPr>
          <w:rFonts w:ascii="Arial" w:eastAsia="Arial" w:hAnsi="Arial" w:cs="Arial"/>
        </w:rPr>
        <w:t>…</w:t>
      </w:r>
    </w:p>
    <w:p w14:paraId="440640E8" w14:textId="77777777" w:rsidR="00664CFF" w:rsidRPr="00493B0E" w:rsidRDefault="00664CFF"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rPr>
        <w:lastRenderedPageBreak/>
        <w:t>El pago de contribuciones se acreditará mediante el recibo oficial, declaración de pago, el comprobante, o la documentación que establezcan las disposiciones respectivas.</w:t>
      </w:r>
    </w:p>
    <w:p w14:paraId="3EF4D4FB" w14:textId="77777777" w:rsidR="00664CFF" w:rsidRPr="00493B0E" w:rsidRDefault="00664CF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p>
    <w:p w14:paraId="519B6CB6" w14:textId="77777777" w:rsidR="004B1460" w:rsidRPr="00493B0E" w:rsidRDefault="004B1460"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32. </w:t>
      </w:r>
      <w:r w:rsidRPr="00493B0E">
        <w:rPr>
          <w:rFonts w:ascii="Arial" w:eastAsia="Arial" w:hAnsi="Arial" w:cs="Arial"/>
        </w:rPr>
        <w:t>Son créditos fiscales las cantidades que el Estado tenga</w:t>
      </w:r>
      <w:r w:rsidRPr="00493B0E">
        <w:rPr>
          <w:rFonts w:ascii="Arial" w:eastAsia="Arial" w:hAnsi="Arial" w:cs="Arial"/>
          <w:b/>
        </w:rPr>
        <w:t xml:space="preserve"> </w:t>
      </w:r>
      <w:r w:rsidRPr="00493B0E">
        <w:rPr>
          <w:rFonts w:ascii="Arial" w:eastAsia="Arial" w:hAnsi="Arial" w:cs="Arial"/>
        </w:rPr>
        <w:t>derecho a percibir, provenientes de contribuciones y sus accesorios o de aprovechamientos, incluyendo las que deriven de responsabilidades que el Estado tenga derecho a exigir de sus funcionarios o empleados o de los particulares, así como aquéllas a los que las leyes les den ese carácter y el Estado tenga derecho a percibir por cuenta ajena.</w:t>
      </w:r>
    </w:p>
    <w:p w14:paraId="52A65F8D" w14:textId="77777777" w:rsidR="003C0B76" w:rsidRDefault="003C0B76" w:rsidP="00493B0E">
      <w:pPr>
        <w:tabs>
          <w:tab w:val="right" w:pos="8505"/>
        </w:tabs>
        <w:spacing w:after="0" w:line="240" w:lineRule="auto"/>
        <w:ind w:left="567" w:right="332"/>
        <w:jc w:val="both"/>
        <w:rPr>
          <w:rFonts w:ascii="Arial" w:eastAsia="Arial" w:hAnsi="Arial" w:cs="Arial"/>
          <w:b/>
        </w:rPr>
      </w:pPr>
    </w:p>
    <w:p w14:paraId="53AC9178" w14:textId="77777777" w:rsidR="005C31FC" w:rsidRPr="00493B0E" w:rsidRDefault="005C31FC"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39. </w:t>
      </w:r>
      <w:r w:rsidRPr="00493B0E">
        <w:rPr>
          <w:rFonts w:ascii="Arial" w:eastAsia="Arial" w:hAnsi="Arial" w:cs="Arial"/>
        </w:rPr>
        <w:t>Son aprovechamientos los ingresos que percibe el Estado</w:t>
      </w:r>
      <w:r w:rsidRPr="00493B0E">
        <w:rPr>
          <w:rFonts w:ascii="Arial" w:eastAsia="Arial" w:hAnsi="Arial" w:cs="Arial"/>
          <w:b/>
        </w:rPr>
        <w:t xml:space="preserve"> </w:t>
      </w:r>
      <w:r w:rsidRPr="00493B0E">
        <w:rPr>
          <w:rFonts w:ascii="Arial" w:eastAsia="Arial" w:hAnsi="Arial" w:cs="Arial"/>
        </w:rPr>
        <w:t>por funciones de derecho público, que sean distintos a los clasificados como contribuciones, participaciones y aportaciones federales, y de los ingresos derivados de financiamientos.</w:t>
      </w:r>
    </w:p>
    <w:p w14:paraId="1E557BFE" w14:textId="77777777" w:rsidR="005C31FC" w:rsidRPr="00493B0E" w:rsidRDefault="005C31FC" w:rsidP="00493B0E">
      <w:pPr>
        <w:tabs>
          <w:tab w:val="right" w:pos="8505"/>
        </w:tabs>
        <w:spacing w:after="0" w:line="240" w:lineRule="auto"/>
        <w:ind w:left="567" w:right="332"/>
        <w:jc w:val="both"/>
        <w:rPr>
          <w:rFonts w:ascii="Arial" w:eastAsia="Times New Roman" w:hAnsi="Arial" w:cs="Arial"/>
        </w:rPr>
      </w:pPr>
    </w:p>
    <w:p w14:paraId="5082791E" w14:textId="77777777" w:rsidR="005C31FC" w:rsidRPr="00493B0E" w:rsidRDefault="005C31FC"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rPr>
        <w:t>Los recargos, las sanciones, los gastos de ejecución y la indemnización a que se refiere el artículo 26 de este Código, que se apliquen en relación con aprovechamientos, son accesorios de éstos y participan de su naturaleza.</w:t>
      </w:r>
    </w:p>
    <w:p w14:paraId="386D566E" w14:textId="77777777" w:rsidR="005C31FC" w:rsidRPr="00493B0E" w:rsidRDefault="005C31FC" w:rsidP="00493B0E">
      <w:pPr>
        <w:tabs>
          <w:tab w:val="right" w:pos="8505"/>
        </w:tabs>
        <w:spacing w:after="0" w:line="240" w:lineRule="auto"/>
        <w:ind w:left="567" w:right="332"/>
        <w:jc w:val="both"/>
        <w:rPr>
          <w:rFonts w:ascii="Arial" w:eastAsia="Times New Roman" w:hAnsi="Arial" w:cs="Arial"/>
        </w:rPr>
      </w:pPr>
    </w:p>
    <w:p w14:paraId="55998E54" w14:textId="77777777" w:rsidR="005C31FC" w:rsidRPr="00493B0E" w:rsidRDefault="005C31FC"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rPr>
        <w:t>Cuando en las disposiciones aplicables así se haya establecido, los ingresos por aprovechamientos derivados de multas impuestas por infracciones a las disposiciones legales o reglamentarias, podrán ser destinados a cubrir los gastos de operación e inversión de las dependencias encargadas de aplicar o vigilar el cumplimiento de las disposiciones cuya infracción dio lugar a la imposición de la multa.</w:t>
      </w:r>
    </w:p>
    <w:p w14:paraId="7EF61A95" w14:textId="77777777" w:rsidR="003C0B76" w:rsidRDefault="003C0B76" w:rsidP="00493B0E">
      <w:pPr>
        <w:tabs>
          <w:tab w:val="right" w:pos="8505"/>
        </w:tabs>
        <w:spacing w:after="0" w:line="240" w:lineRule="auto"/>
        <w:ind w:left="567" w:right="332"/>
        <w:jc w:val="both"/>
        <w:rPr>
          <w:rFonts w:ascii="Arial" w:eastAsia="Arial" w:hAnsi="Arial" w:cs="Arial"/>
          <w:b/>
        </w:rPr>
      </w:pPr>
    </w:p>
    <w:p w14:paraId="4266BFD0" w14:textId="77777777" w:rsidR="00F44248" w:rsidRPr="00493B0E" w:rsidRDefault="00F44248"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43. </w:t>
      </w:r>
      <w:r w:rsidRPr="00493B0E">
        <w:rPr>
          <w:rFonts w:ascii="Arial" w:eastAsia="Arial" w:hAnsi="Arial" w:cs="Arial"/>
        </w:rPr>
        <w:t>Salvo disposición expresa en contrario, cuando las</w:t>
      </w:r>
      <w:r w:rsidRPr="00493B0E">
        <w:rPr>
          <w:rFonts w:ascii="Arial" w:eastAsia="Arial" w:hAnsi="Arial" w:cs="Arial"/>
          <w:b/>
        </w:rPr>
        <w:t xml:space="preserve"> </w:t>
      </w:r>
      <w:r w:rsidRPr="00493B0E">
        <w:rPr>
          <w:rFonts w:ascii="Arial" w:eastAsia="Arial" w:hAnsi="Arial" w:cs="Arial"/>
        </w:rPr>
        <w:t>disposiciones fiscales obliguen a presentar declaraciones, pago o entero de contribuciones, los contribuyentes tendrán la opción de hacerlo a través de medios electrónicos como Transferencia electrónica de fondos u otros medios digitales; cuando se opte por alguno de estos medios, los contribuyentes deberán utilizar una Firma electrónica avanzada del autor, en los términos y con las condiciones que emita la Secretaría a través de Reglas.</w:t>
      </w:r>
    </w:p>
    <w:p w14:paraId="7AD967CD" w14:textId="77777777" w:rsidR="00F44248" w:rsidRPr="00493B0E" w:rsidRDefault="00F44248"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w:t>
      </w:r>
    </w:p>
    <w:p w14:paraId="01700A21" w14:textId="77777777" w:rsidR="00F44248" w:rsidRPr="00493B0E" w:rsidRDefault="00F44248"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rPr>
        <w:t>Para los efectos fiscales, los certificados tendrán una vigencia máxima de dos años, contados a partir de la fecha en que se hayan expedido. Antes de que concluya el período de vigencia de un certificado, su titular podrá solicitar uno nuevo.</w:t>
      </w:r>
    </w:p>
    <w:p w14:paraId="424141C5" w14:textId="77777777" w:rsidR="003C0B76" w:rsidRDefault="003C0B76" w:rsidP="00493B0E">
      <w:pPr>
        <w:tabs>
          <w:tab w:val="right" w:pos="8505"/>
        </w:tabs>
        <w:spacing w:after="0" w:line="240" w:lineRule="auto"/>
        <w:ind w:left="567" w:right="332"/>
        <w:jc w:val="both"/>
        <w:rPr>
          <w:rFonts w:ascii="Arial" w:eastAsia="Arial" w:hAnsi="Arial" w:cs="Arial"/>
          <w:b/>
        </w:rPr>
      </w:pPr>
    </w:p>
    <w:p w14:paraId="5C84FBBB" w14:textId="77777777" w:rsidR="00E440B1" w:rsidRPr="00493B0E" w:rsidRDefault="00E440B1"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ARTÍCULO 47</w:t>
      </w:r>
      <w:r w:rsidRPr="00493B0E">
        <w:rPr>
          <w:rFonts w:ascii="Arial" w:eastAsia="Arial" w:hAnsi="Arial" w:cs="Arial"/>
        </w:rPr>
        <w:t>. La integridad y autoría de un documento digital con Firma</w:t>
      </w:r>
      <w:r w:rsidRPr="00493B0E">
        <w:rPr>
          <w:rFonts w:ascii="Arial" w:eastAsia="Arial" w:hAnsi="Arial" w:cs="Arial"/>
          <w:b/>
        </w:rPr>
        <w:t xml:space="preserve"> </w:t>
      </w:r>
      <w:r w:rsidRPr="00493B0E">
        <w:rPr>
          <w:rFonts w:ascii="Arial" w:eastAsia="Arial" w:hAnsi="Arial" w:cs="Arial"/>
        </w:rPr>
        <w:t>electrónica avanzada o Sello digital será verificable mediante el método de remisión al documento original con la clave pública del autor.</w:t>
      </w:r>
    </w:p>
    <w:p w14:paraId="74BA2014" w14:textId="77777777" w:rsidR="003C0B76" w:rsidRDefault="003C0B76" w:rsidP="00493B0E">
      <w:pPr>
        <w:tabs>
          <w:tab w:val="right" w:pos="8505"/>
        </w:tabs>
        <w:spacing w:after="0" w:line="240" w:lineRule="auto"/>
        <w:ind w:left="567" w:right="332"/>
        <w:jc w:val="both"/>
        <w:rPr>
          <w:rFonts w:ascii="Arial" w:eastAsia="Arial" w:hAnsi="Arial" w:cs="Arial"/>
          <w:b/>
        </w:rPr>
      </w:pPr>
    </w:p>
    <w:p w14:paraId="236D95BB" w14:textId="77777777" w:rsidR="00E440B1" w:rsidRPr="00493B0E" w:rsidRDefault="00E440B1"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60. </w:t>
      </w:r>
      <w:r w:rsidRPr="00493B0E">
        <w:rPr>
          <w:rFonts w:ascii="Arial" w:eastAsia="Arial" w:hAnsi="Arial" w:cs="Arial"/>
        </w:rPr>
        <w:t>Las declaraciones presentadas por los contribuyentes en</w:t>
      </w:r>
      <w:r w:rsidRPr="00493B0E">
        <w:rPr>
          <w:rFonts w:ascii="Arial" w:eastAsia="Arial" w:hAnsi="Arial" w:cs="Arial"/>
          <w:b/>
        </w:rPr>
        <w:t xml:space="preserve"> </w:t>
      </w:r>
      <w:r w:rsidRPr="00493B0E">
        <w:rPr>
          <w:rFonts w:ascii="Arial" w:eastAsia="Arial" w:hAnsi="Arial" w:cs="Arial"/>
        </w:rPr>
        <w:t>términos de lo establecido en las disposiciones fiscales se consideran definitivas; no obstante, podrán presentarse declaraciones complementarias para modificar los datos contenidos en la declaración anterior presentada.</w:t>
      </w:r>
    </w:p>
    <w:p w14:paraId="3E15E127" w14:textId="77777777" w:rsidR="00E440B1" w:rsidRPr="00493B0E" w:rsidRDefault="00E440B1"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rPr>
        <w:t>…</w:t>
      </w:r>
    </w:p>
    <w:p w14:paraId="686B742D" w14:textId="77777777" w:rsidR="003C0B76" w:rsidRDefault="003C0B76" w:rsidP="00493B0E">
      <w:pPr>
        <w:tabs>
          <w:tab w:val="right" w:pos="8505"/>
        </w:tabs>
        <w:spacing w:after="0" w:line="240" w:lineRule="auto"/>
        <w:ind w:left="567" w:right="332"/>
        <w:jc w:val="both"/>
        <w:rPr>
          <w:rFonts w:ascii="Arial" w:eastAsia="Arial" w:hAnsi="Arial" w:cs="Arial"/>
          <w:b/>
        </w:rPr>
      </w:pPr>
    </w:p>
    <w:p w14:paraId="7D54C879" w14:textId="77777777" w:rsidR="00E440B1" w:rsidRPr="00493B0E" w:rsidRDefault="00E440B1"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61. </w:t>
      </w:r>
      <w:r w:rsidRPr="00493B0E">
        <w:rPr>
          <w:rFonts w:ascii="Arial" w:eastAsia="Arial" w:hAnsi="Arial" w:cs="Arial"/>
        </w:rPr>
        <w:t>Las personas que conforme a las disposiciones fiscales</w:t>
      </w:r>
      <w:r w:rsidRPr="00493B0E">
        <w:rPr>
          <w:rFonts w:ascii="Arial" w:eastAsia="Arial" w:hAnsi="Arial" w:cs="Arial"/>
          <w:b/>
        </w:rPr>
        <w:t xml:space="preserve"> </w:t>
      </w:r>
      <w:r w:rsidRPr="00493B0E">
        <w:rPr>
          <w:rFonts w:ascii="Arial" w:eastAsia="Arial" w:hAnsi="Arial" w:cs="Arial"/>
        </w:rPr>
        <w:t>tengan obligación de presentar solicitudes en materia de registro estatal de contribuyentes, declaraciones, avisos o informes, ante las autoridades fiscales, lo harán en las formas impresas que siendo aprobadas por la Secretaría hayan sido publicadas en el Periódico Oficial del Gobierno del Estado, debiendo proporcionar el número de ejemplares, los datos e informes y los documentos que dichas formas requieran; o bien, deberán hacerlo mediante documento digital cuando así establezca la mencionada Secretaría mediante Reglas, o por la aplicación de leyes que regulen la referida forma de presentación.</w:t>
      </w:r>
    </w:p>
    <w:p w14:paraId="389BB9E7" w14:textId="77777777" w:rsidR="00E440B1" w:rsidRPr="00493B0E" w:rsidRDefault="00E440B1"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rPr>
        <w:t>…</w:t>
      </w:r>
    </w:p>
    <w:p w14:paraId="493794C8" w14:textId="77777777" w:rsidR="00E440B1" w:rsidRDefault="00E440B1"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rPr>
        <w:t>Los contribuyentes que tengan obligación de presentar declaraciones periódicas de conformidad con las leyes fiscales respectivas, continuarán haciéndolo en tanto no presenten los avisos de suspensión, disminución o cancelación en el registro estatal de contribuyentes, según corresponda. Tratándose de las declaraciones de pago, los contribuyentes deberán presentar dichas declaraciones aún cuando no exista cantidad a pagar.</w:t>
      </w:r>
    </w:p>
    <w:p w14:paraId="74538988" w14:textId="77777777" w:rsidR="00557E42" w:rsidRPr="00493B0E" w:rsidRDefault="00557E42" w:rsidP="00493B0E">
      <w:pPr>
        <w:tabs>
          <w:tab w:val="right" w:pos="8505"/>
        </w:tabs>
        <w:spacing w:after="0" w:line="240" w:lineRule="auto"/>
        <w:ind w:left="567" w:right="332"/>
        <w:jc w:val="both"/>
        <w:rPr>
          <w:rFonts w:ascii="Arial" w:eastAsia="Arial" w:hAnsi="Arial" w:cs="Arial"/>
        </w:rPr>
      </w:pPr>
    </w:p>
    <w:p w14:paraId="43D00E2F" w14:textId="77777777" w:rsidR="00E440B1" w:rsidRPr="00493B0E" w:rsidRDefault="00E440B1"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122. </w:t>
      </w:r>
      <w:r w:rsidRPr="00493B0E">
        <w:rPr>
          <w:rFonts w:ascii="Arial" w:eastAsia="Arial" w:hAnsi="Arial" w:cs="Arial"/>
        </w:rPr>
        <w:t>Los actos administrativos emitidos por las autoridades</w:t>
      </w:r>
      <w:r w:rsidRPr="00493B0E">
        <w:rPr>
          <w:rFonts w:ascii="Arial" w:eastAsia="Arial" w:hAnsi="Arial" w:cs="Arial"/>
          <w:b/>
        </w:rPr>
        <w:t xml:space="preserve"> </w:t>
      </w:r>
      <w:r w:rsidRPr="00493B0E">
        <w:rPr>
          <w:rFonts w:ascii="Arial" w:eastAsia="Arial" w:hAnsi="Arial" w:cs="Arial"/>
        </w:rPr>
        <w:t>fiscales en que se determine la existencia de una obligación fiscal, se establezcan las bases para su liquidación o se fije en cantidad líquida un crédito fiscal, así como todos aquéllos que sean recurribles, deberán cumplir con los siguientes requisitos:</w:t>
      </w:r>
    </w:p>
    <w:p w14:paraId="1FBCEA95" w14:textId="77777777" w:rsidR="003C0B76" w:rsidRDefault="003C0B76" w:rsidP="00493B0E">
      <w:pPr>
        <w:tabs>
          <w:tab w:val="right" w:pos="8505"/>
        </w:tabs>
        <w:spacing w:after="0" w:line="240" w:lineRule="auto"/>
        <w:ind w:left="567" w:right="332"/>
        <w:jc w:val="both"/>
        <w:rPr>
          <w:rFonts w:ascii="Arial" w:eastAsia="Arial" w:hAnsi="Arial" w:cs="Arial"/>
          <w:b/>
        </w:rPr>
      </w:pPr>
    </w:p>
    <w:p w14:paraId="2D8010E0" w14:textId="77777777" w:rsidR="00E440B1" w:rsidRPr="00493B0E" w:rsidRDefault="00E440B1"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269. </w:t>
      </w:r>
      <w:r w:rsidRPr="00493B0E">
        <w:rPr>
          <w:rFonts w:ascii="Arial" w:eastAsia="Arial" w:hAnsi="Arial" w:cs="Arial"/>
        </w:rPr>
        <w:t>Son infracciones relacionadas con la obligación de pago de</w:t>
      </w:r>
      <w:r w:rsidRPr="00493B0E">
        <w:rPr>
          <w:rFonts w:ascii="Arial" w:eastAsia="Arial" w:hAnsi="Arial" w:cs="Arial"/>
          <w:b/>
        </w:rPr>
        <w:t xml:space="preserve"> </w:t>
      </w:r>
      <w:r w:rsidRPr="00493B0E">
        <w:rPr>
          <w:rFonts w:ascii="Arial" w:eastAsia="Arial" w:hAnsi="Arial" w:cs="Arial"/>
        </w:rPr>
        <w:t>las contribuciones, así como de presentación de declaraciones, solicitudes, documentación, avisos, información o expedir constancias:</w:t>
      </w:r>
    </w:p>
    <w:p w14:paraId="25142470" w14:textId="77777777" w:rsidR="00E440B1" w:rsidRPr="00493B0E" w:rsidRDefault="00E440B1" w:rsidP="00493B0E">
      <w:pPr>
        <w:tabs>
          <w:tab w:val="right" w:pos="8505"/>
        </w:tabs>
        <w:spacing w:after="0" w:line="240" w:lineRule="auto"/>
        <w:ind w:left="567" w:right="332"/>
        <w:jc w:val="both"/>
        <w:rPr>
          <w:rFonts w:ascii="Arial" w:eastAsia="Times New Roman" w:hAnsi="Arial" w:cs="Arial"/>
        </w:rPr>
      </w:pPr>
    </w:p>
    <w:p w14:paraId="10C6A5F8" w14:textId="77777777" w:rsidR="00E440B1" w:rsidRPr="00493B0E" w:rsidRDefault="00E440B1" w:rsidP="00493B0E">
      <w:pPr>
        <w:pStyle w:val="Prrafodelista"/>
        <w:numPr>
          <w:ilvl w:val="0"/>
          <w:numId w:val="5"/>
        </w:numPr>
        <w:tabs>
          <w:tab w:val="left" w:pos="1160"/>
          <w:tab w:val="right" w:pos="8505"/>
        </w:tabs>
        <w:spacing w:after="0" w:line="240" w:lineRule="auto"/>
        <w:ind w:left="567" w:right="332" w:firstLine="0"/>
        <w:jc w:val="both"/>
        <w:rPr>
          <w:rFonts w:ascii="Arial" w:eastAsia="Arial" w:hAnsi="Arial" w:cs="Arial"/>
        </w:rPr>
      </w:pPr>
      <w:r w:rsidRPr="00493B0E">
        <w:rPr>
          <w:rFonts w:ascii="Arial" w:eastAsia="Arial" w:hAnsi="Arial" w:cs="Arial"/>
        </w:rPr>
        <w:t>No presentar las declaraciones, las solicitudes, los avisos o las constancias que exijan las disposiciones fiscales, o no hacerlo a través de los medios electrónicos 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50 a 100 veces el salario mínimo general vigente en el Estado;</w:t>
      </w:r>
    </w:p>
    <w:p w14:paraId="2FD9E74C" w14:textId="77777777" w:rsidR="00E440B1" w:rsidRPr="00493B0E" w:rsidRDefault="00E440B1" w:rsidP="00493B0E">
      <w:pPr>
        <w:tabs>
          <w:tab w:val="right" w:pos="8505"/>
        </w:tabs>
        <w:spacing w:after="0" w:line="240" w:lineRule="auto"/>
        <w:ind w:left="567" w:right="332"/>
        <w:jc w:val="both"/>
        <w:rPr>
          <w:rFonts w:ascii="Arial" w:eastAsia="Arial" w:hAnsi="Arial" w:cs="Arial"/>
        </w:rPr>
      </w:pPr>
    </w:p>
    <w:p w14:paraId="558B1E08" w14:textId="77777777" w:rsidR="00D24DBA" w:rsidRPr="003C0B76" w:rsidRDefault="00D24DBA" w:rsidP="003C0B76">
      <w:pPr>
        <w:tabs>
          <w:tab w:val="right" w:pos="8505"/>
        </w:tabs>
        <w:spacing w:after="0" w:line="240" w:lineRule="auto"/>
        <w:ind w:left="567" w:right="332"/>
        <w:jc w:val="center"/>
        <w:rPr>
          <w:rFonts w:ascii="Arial" w:eastAsia="Arial" w:hAnsi="Arial" w:cs="Arial"/>
          <w:b/>
        </w:rPr>
      </w:pPr>
      <w:r w:rsidRPr="003C0B76">
        <w:rPr>
          <w:rFonts w:ascii="Arial" w:eastAsia="Arial" w:hAnsi="Arial" w:cs="Arial"/>
          <w:b/>
        </w:rPr>
        <w:t>REGLAMENTO DEL CÓDIGO FISCAL PARA EL ESTADO DE OAXACA</w:t>
      </w:r>
    </w:p>
    <w:p w14:paraId="550C076D" w14:textId="77777777" w:rsidR="002C338F" w:rsidRDefault="002C338F" w:rsidP="00493B0E">
      <w:pPr>
        <w:tabs>
          <w:tab w:val="right" w:pos="8505"/>
        </w:tabs>
        <w:spacing w:after="0" w:line="240" w:lineRule="auto"/>
        <w:ind w:left="567" w:right="332"/>
        <w:jc w:val="both"/>
        <w:rPr>
          <w:rFonts w:ascii="Arial" w:hAnsi="Arial" w:cs="Arial"/>
          <w:b/>
        </w:rPr>
      </w:pPr>
    </w:p>
    <w:p w14:paraId="4985B75D" w14:textId="77777777" w:rsidR="00D24DBA" w:rsidRPr="00493B0E" w:rsidRDefault="00D24DBA" w:rsidP="00493B0E">
      <w:pPr>
        <w:tabs>
          <w:tab w:val="right" w:pos="8505"/>
        </w:tabs>
        <w:spacing w:after="0" w:line="240" w:lineRule="auto"/>
        <w:ind w:left="567" w:right="332"/>
        <w:jc w:val="both"/>
        <w:rPr>
          <w:rFonts w:ascii="Arial" w:hAnsi="Arial" w:cs="Arial"/>
        </w:rPr>
      </w:pPr>
      <w:r w:rsidRPr="003C0B76">
        <w:rPr>
          <w:rFonts w:ascii="Arial" w:hAnsi="Arial" w:cs="Arial"/>
          <w:b/>
        </w:rPr>
        <w:t>Artículo 53</w:t>
      </w:r>
      <w:r w:rsidRPr="00493B0E">
        <w:rPr>
          <w:rFonts w:ascii="Arial" w:hAnsi="Arial" w:cs="Arial"/>
        </w:rPr>
        <w:t xml:space="preserve">. Cuando las disposiciones fiscales señalen la obligación de presentar solicitudes, declaraciones y avisos, éstos deberán presentarse ante la Autoridad Fiscal que corresponda en los términos de las disposiciones fiscales aplicables y, en su caso, siguiendo los procedimientos que se establezcan en </w:t>
      </w:r>
      <w:proofErr w:type="gramStart"/>
      <w:r w:rsidRPr="00493B0E">
        <w:rPr>
          <w:rFonts w:ascii="Arial" w:hAnsi="Arial" w:cs="Arial"/>
        </w:rPr>
        <w:t>éste</w:t>
      </w:r>
      <w:proofErr w:type="gramEnd"/>
      <w:r w:rsidRPr="00493B0E">
        <w:rPr>
          <w:rFonts w:ascii="Arial" w:hAnsi="Arial" w:cs="Arial"/>
        </w:rPr>
        <w:t xml:space="preserve"> Reglamento o en las Reglas que al efecto emita la Secretaría. </w:t>
      </w:r>
    </w:p>
    <w:p w14:paraId="29D851AA" w14:textId="77777777" w:rsidR="002C338F" w:rsidRDefault="002C338F" w:rsidP="00493B0E">
      <w:pPr>
        <w:tabs>
          <w:tab w:val="right" w:pos="8505"/>
        </w:tabs>
        <w:spacing w:after="0" w:line="240" w:lineRule="auto"/>
        <w:ind w:left="567" w:right="332"/>
        <w:jc w:val="both"/>
        <w:rPr>
          <w:rFonts w:ascii="Arial" w:hAnsi="Arial" w:cs="Arial"/>
        </w:rPr>
      </w:pPr>
    </w:p>
    <w:p w14:paraId="6AC1A94B" w14:textId="77777777" w:rsidR="00D24DBA" w:rsidRPr="00493B0E" w:rsidRDefault="00D24DBA" w:rsidP="00493B0E">
      <w:pPr>
        <w:tabs>
          <w:tab w:val="right" w:pos="8505"/>
        </w:tabs>
        <w:spacing w:after="0" w:line="240" w:lineRule="auto"/>
        <w:ind w:left="567" w:right="332"/>
        <w:jc w:val="both"/>
        <w:rPr>
          <w:rFonts w:ascii="Arial" w:eastAsia="Arial" w:hAnsi="Arial" w:cs="Arial"/>
        </w:rPr>
      </w:pPr>
      <w:r w:rsidRPr="00493B0E">
        <w:rPr>
          <w:rFonts w:ascii="Arial" w:hAnsi="Arial" w:cs="Arial"/>
        </w:rPr>
        <w:t>El plazo general para la presentación de dichas solicitudes, declaraciones y avisos será dentro de los treinta días siguientes a aquél en que se realice la situación jurídica o del hecho que la motive, excepto cuando las disposiciones respectivas establezcan un plazo distinto para hacerlo.</w:t>
      </w:r>
    </w:p>
    <w:p w14:paraId="2288877A"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6AC21601" w14:textId="77777777" w:rsidR="001B222B" w:rsidRPr="00493B0E" w:rsidRDefault="00D24DBA"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2C338F">
        <w:rPr>
          <w:rFonts w:ascii="Arial" w:hAnsi="Arial" w:cs="Arial"/>
          <w:b/>
        </w:rPr>
        <w:t>Artículo 55</w:t>
      </w:r>
      <w:r w:rsidRPr="00493B0E">
        <w:rPr>
          <w:rFonts w:ascii="Arial" w:hAnsi="Arial" w:cs="Arial"/>
        </w:rPr>
        <w:t>. Para los efectos de los contribuyentes que tributen en los términos de los artículos 22, 29, 52 y 63 de la Ley Estatal de Hacienda, relativos a los Impuestos Cedular a los Ingresos por el Otorgamiento de Uso o Goce Temporal de Bienes Inmuebles, Sobre las Demasías Caducas, Sobre la Prestación de Servicios de Hospedaje y Sobre Erogaciones por Remuneraciones al Trabajo Personal, podrán cumplir con sus obligaciones de acuerdo a lo siguiente:</w:t>
      </w:r>
    </w:p>
    <w:p w14:paraId="32D31787"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673A76D9" w14:textId="77777777" w:rsidR="00D24DBA" w:rsidRPr="00493B0E" w:rsidRDefault="00D24DBA"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2C338F">
        <w:rPr>
          <w:rFonts w:ascii="Arial" w:hAnsi="Arial" w:cs="Arial"/>
          <w:b/>
        </w:rPr>
        <w:t xml:space="preserve">I. </w:t>
      </w:r>
      <w:r w:rsidRPr="00493B0E">
        <w:rPr>
          <w:rFonts w:ascii="Arial" w:hAnsi="Arial" w:cs="Arial"/>
        </w:rPr>
        <w:t>Tratándose de la fecha de vencimiento para el cumplimiento de las obligaciones estatales relativas a los Impuestos Cedular a los Ingresos por el Otorgamiento de Uso o Goce Temporal de Bienes Inmuebles, Sobre las Demasías Caducas, Sobre la Prestación de Servicios de Hospedaje y Sobre Erogaciones por Remuneraciones al Trabajo Personal, estas deberán realizarse dentro de los 17 primeros días del mes siguiente al periodo que se está declarando;</w:t>
      </w:r>
    </w:p>
    <w:p w14:paraId="48EE56BF"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7A82B726" w14:textId="77777777" w:rsidR="00D24DBA" w:rsidRPr="00493B0E" w:rsidRDefault="00D24DBA"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2C338F">
        <w:rPr>
          <w:rFonts w:ascii="Arial" w:hAnsi="Arial" w:cs="Arial"/>
          <w:b/>
        </w:rPr>
        <w:t>II.</w:t>
      </w:r>
      <w:r w:rsidRPr="00493B0E">
        <w:rPr>
          <w:rFonts w:ascii="Arial" w:hAnsi="Arial" w:cs="Arial"/>
        </w:rPr>
        <w:t xml:space="preserve"> Los contribuyentes obligados a la presentación de declaraciones definitivas deberán:</w:t>
      </w:r>
    </w:p>
    <w:p w14:paraId="03B91DE0"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6FBBD198" w14:textId="77777777" w:rsidR="00D24DBA" w:rsidRPr="00493B0E" w:rsidRDefault="00D24DBA"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2C338F">
        <w:rPr>
          <w:rFonts w:ascii="Arial" w:hAnsi="Arial" w:cs="Arial"/>
          <w:b/>
        </w:rPr>
        <w:t>a)</w:t>
      </w:r>
      <w:r w:rsidRPr="00493B0E">
        <w:rPr>
          <w:rFonts w:ascii="Arial" w:hAnsi="Arial" w:cs="Arial"/>
        </w:rPr>
        <w:t xml:space="preserve"> Estar inscritos en el Registro Estatal, y </w:t>
      </w:r>
    </w:p>
    <w:p w14:paraId="1364AF67"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18A9CD93" w14:textId="77777777" w:rsidR="00D24DBA" w:rsidRPr="00493B0E" w:rsidRDefault="00D24DBA"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2C338F">
        <w:rPr>
          <w:rFonts w:ascii="Arial" w:hAnsi="Arial" w:cs="Arial"/>
          <w:b/>
        </w:rPr>
        <w:t>b)</w:t>
      </w:r>
      <w:r w:rsidRPr="00493B0E">
        <w:rPr>
          <w:rFonts w:ascii="Arial" w:hAnsi="Arial" w:cs="Arial"/>
        </w:rPr>
        <w:t xml:space="preserve"> Contar con domicilio fiscal o en su caso establecimiento en el Estado de Oaxaca. </w:t>
      </w:r>
    </w:p>
    <w:p w14:paraId="45403AFF"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4C242420" w14:textId="77777777" w:rsidR="00D24DBA" w:rsidRPr="00493B0E" w:rsidRDefault="00D24DBA"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2C338F">
        <w:rPr>
          <w:rFonts w:ascii="Arial" w:hAnsi="Arial" w:cs="Arial"/>
          <w:b/>
        </w:rPr>
        <w:t>III.</w:t>
      </w:r>
      <w:r w:rsidRPr="00493B0E">
        <w:rPr>
          <w:rFonts w:ascii="Arial" w:hAnsi="Arial" w:cs="Arial"/>
        </w:rPr>
        <w:t xml:space="preserve"> Los contribuyentes que opten por presentar declaraciones de impuestos estatales ante las Delegaciones fiscales o Subdelegaciones fiscales, deberán cumplir con el siguiente procedimiento: </w:t>
      </w:r>
    </w:p>
    <w:p w14:paraId="218AB126"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60BACA41" w14:textId="77777777" w:rsidR="00D24DBA" w:rsidRPr="00493B0E" w:rsidRDefault="00D24DBA"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2C338F">
        <w:rPr>
          <w:rFonts w:ascii="Arial" w:hAnsi="Arial" w:cs="Arial"/>
          <w:b/>
        </w:rPr>
        <w:t>a)</w:t>
      </w:r>
      <w:r w:rsidRPr="00493B0E">
        <w:rPr>
          <w:rFonts w:ascii="Arial" w:hAnsi="Arial" w:cs="Arial"/>
        </w:rPr>
        <w:t xml:space="preserve"> Acudir a la Delegación Fiscal o Subdelegación Fiscal que corresponda al domicilio fiscal del contribuyente; </w:t>
      </w:r>
    </w:p>
    <w:p w14:paraId="78EE1C71"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61C60C6A" w14:textId="77777777" w:rsidR="00D24DBA" w:rsidRPr="00493B0E" w:rsidRDefault="00D24DBA"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2C338F">
        <w:rPr>
          <w:rFonts w:ascii="Arial" w:hAnsi="Arial" w:cs="Arial"/>
          <w:b/>
        </w:rPr>
        <w:t>b)</w:t>
      </w:r>
      <w:r w:rsidRPr="00493B0E">
        <w:rPr>
          <w:rFonts w:ascii="Arial" w:hAnsi="Arial" w:cs="Arial"/>
        </w:rPr>
        <w:t xml:space="preserve"> Presentar debidamente requisitada la forma oficial autorizada, para el cumplimiento de sus obligaciones, y </w:t>
      </w:r>
    </w:p>
    <w:p w14:paraId="05D737F8"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2C8AE96E" w14:textId="77777777" w:rsidR="00D24DBA" w:rsidRPr="00493B0E" w:rsidRDefault="00D24DBA"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2C338F">
        <w:rPr>
          <w:rFonts w:ascii="Arial" w:hAnsi="Arial" w:cs="Arial"/>
          <w:b/>
        </w:rPr>
        <w:t>c)</w:t>
      </w:r>
      <w:r w:rsidRPr="00493B0E">
        <w:rPr>
          <w:rFonts w:ascii="Arial" w:hAnsi="Arial" w:cs="Arial"/>
        </w:rPr>
        <w:t xml:space="preserve"> Realizar el pago correspondiente, a través de los medios autorizados para tales efectos por el Código y el presente Reglamento.</w:t>
      </w:r>
    </w:p>
    <w:p w14:paraId="6829ED9C"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2B8D72E8" w14:textId="77777777" w:rsidR="00D24DBA" w:rsidRPr="00493B0E" w:rsidRDefault="00C10D61"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2C338F">
        <w:rPr>
          <w:rFonts w:ascii="Arial" w:hAnsi="Arial" w:cs="Arial"/>
          <w:b/>
        </w:rPr>
        <w:t>Artículo 56</w:t>
      </w:r>
      <w:r w:rsidRPr="00493B0E">
        <w:rPr>
          <w:rFonts w:ascii="Arial" w:hAnsi="Arial" w:cs="Arial"/>
        </w:rPr>
        <w:t>. Para la presentación de las declaraciones definitivas de los Impuestos Estatales Sobre la Prestación de Servicios de Hospedaje, Sobre Erogaciones por Remuneraciones al Trabajo Personal, Cedular a los Ingresos por el Otorgamiento del Uso o Goce Temporal de Bienes Inmuebles y Sobre las Demasías Caducas, los contribuyentes deberán manifestar lo siguiente</w:t>
      </w:r>
      <w:r w:rsidR="00EA6EE9" w:rsidRPr="00493B0E">
        <w:rPr>
          <w:rFonts w:ascii="Arial" w:hAnsi="Arial" w:cs="Arial"/>
        </w:rPr>
        <w:t>:</w:t>
      </w:r>
    </w:p>
    <w:p w14:paraId="6C7E0412" w14:textId="77777777" w:rsidR="00EA6EE9" w:rsidRPr="00493B0E" w:rsidRDefault="00EA6EE9"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w:t>
      </w:r>
    </w:p>
    <w:p w14:paraId="396F25EB" w14:textId="77777777" w:rsidR="00EA6EE9" w:rsidRPr="00493B0E" w:rsidRDefault="00EA6EE9"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2C338F">
        <w:rPr>
          <w:rFonts w:ascii="Arial" w:hAnsi="Arial" w:cs="Arial"/>
          <w:b/>
        </w:rPr>
        <w:t>II.</w:t>
      </w:r>
      <w:r w:rsidRPr="00493B0E">
        <w:rPr>
          <w:rFonts w:ascii="Arial" w:hAnsi="Arial" w:cs="Arial"/>
        </w:rPr>
        <w:t xml:space="preserve"> Impuesto Sobre Erogaciones por Remuneraciones al Trabajo</w:t>
      </w:r>
      <w:r w:rsidR="002C338F">
        <w:rPr>
          <w:rFonts w:ascii="Arial" w:hAnsi="Arial" w:cs="Arial"/>
        </w:rPr>
        <w:t xml:space="preserve"> </w:t>
      </w:r>
      <w:r w:rsidRPr="00493B0E">
        <w:rPr>
          <w:rFonts w:ascii="Arial" w:hAnsi="Arial" w:cs="Arial"/>
        </w:rPr>
        <w:t>Personal;</w:t>
      </w:r>
    </w:p>
    <w:p w14:paraId="780E7A1D"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5E6FB141" w14:textId="77777777" w:rsidR="00EA6EE9" w:rsidRPr="00493B0E" w:rsidRDefault="00EA6EE9"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a) Registro Estatal;</w:t>
      </w:r>
    </w:p>
    <w:p w14:paraId="7DEFFB3A" w14:textId="77777777" w:rsidR="00EA6EE9" w:rsidRPr="00493B0E" w:rsidRDefault="00EA6EE9"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 xml:space="preserve">b) Nombre, denominación o razón social; </w:t>
      </w:r>
    </w:p>
    <w:p w14:paraId="7A85E07F" w14:textId="77777777" w:rsidR="00EA6EE9" w:rsidRPr="00493B0E" w:rsidRDefault="00EA6EE9"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 xml:space="preserve">c) Ejercicio; </w:t>
      </w:r>
    </w:p>
    <w:p w14:paraId="7D024EDC" w14:textId="77777777" w:rsidR="00EA6EE9" w:rsidRPr="00493B0E" w:rsidRDefault="00EA6EE9"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 xml:space="preserve">d) Periodo de pago; </w:t>
      </w:r>
    </w:p>
    <w:p w14:paraId="5C984F52" w14:textId="77777777" w:rsidR="00EA6EE9" w:rsidRPr="00493B0E" w:rsidRDefault="00EA6EE9"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 xml:space="preserve">e) Tipo de declaración; </w:t>
      </w:r>
    </w:p>
    <w:p w14:paraId="5A27F14D" w14:textId="77777777" w:rsidR="00EA6EE9" w:rsidRPr="00493B0E" w:rsidRDefault="00EA6EE9"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 xml:space="preserve">f) Número de empleados en el periodo; </w:t>
      </w:r>
    </w:p>
    <w:p w14:paraId="4961021F" w14:textId="77777777" w:rsidR="00EA6EE9" w:rsidRPr="00493B0E" w:rsidRDefault="00EA6EE9"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 xml:space="preserve">g) Base gravable, e </w:t>
      </w:r>
    </w:p>
    <w:p w14:paraId="299B2F5D" w14:textId="77777777" w:rsidR="00EA6EE9" w:rsidRPr="00493B0E" w:rsidRDefault="00EA6EE9"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493B0E">
        <w:rPr>
          <w:rFonts w:ascii="Arial" w:hAnsi="Arial" w:cs="Arial"/>
        </w:rPr>
        <w:t>h) Impuesto determinado</w:t>
      </w:r>
    </w:p>
    <w:p w14:paraId="4174BCEE"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3680CE81"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067EEEC1" w14:textId="77777777" w:rsidR="00D24DBA" w:rsidRPr="002C338F" w:rsidRDefault="00E40E24" w:rsidP="002C338F">
      <w:pPr>
        <w:pBdr>
          <w:top w:val="nil"/>
          <w:left w:val="nil"/>
          <w:bottom w:val="nil"/>
          <w:right w:val="nil"/>
          <w:between w:val="nil"/>
        </w:pBdr>
        <w:tabs>
          <w:tab w:val="center" w:pos="4419"/>
          <w:tab w:val="center" w:pos="-1418"/>
          <w:tab w:val="right" w:pos="8505"/>
        </w:tabs>
        <w:spacing w:after="0" w:line="240" w:lineRule="auto"/>
        <w:ind w:left="567" w:right="332"/>
        <w:jc w:val="center"/>
        <w:rPr>
          <w:rFonts w:ascii="Arial" w:hAnsi="Arial" w:cs="Arial"/>
          <w:b/>
        </w:rPr>
      </w:pPr>
      <w:r w:rsidRPr="002C338F">
        <w:rPr>
          <w:rFonts w:ascii="Arial" w:hAnsi="Arial" w:cs="Arial"/>
          <w:b/>
        </w:rPr>
        <w:t>REGLAMENTO INTERNO DE LA SECRETARÍA DE FINANZAS DEL PODER EJECUTIVO DEL ESTADO DE OAXACA</w:t>
      </w:r>
    </w:p>
    <w:p w14:paraId="4E9A04F4"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05BCF03E" w14:textId="77777777" w:rsidR="001F40D0" w:rsidRDefault="001F40D0"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2C338F">
        <w:rPr>
          <w:rFonts w:ascii="Arial" w:hAnsi="Arial" w:cs="Arial"/>
          <w:b/>
        </w:rPr>
        <w:t>Artículo 1</w:t>
      </w:r>
      <w:r w:rsidRPr="00493B0E">
        <w:rPr>
          <w:rFonts w:ascii="Arial" w:hAnsi="Arial" w:cs="Arial"/>
        </w:rPr>
        <w:t xml:space="preserve">. El presente ordenamiento tiene por objeto reglamentar la organización, competencia y facultades de las y los servidores públicos de la Secretaría de Finanzas del Poder Ejecutivo del Estado. 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 </w:t>
      </w:r>
    </w:p>
    <w:p w14:paraId="3C5927B5" w14:textId="77777777" w:rsidR="002C338F" w:rsidRPr="00493B0E"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43551289" w14:textId="77777777" w:rsidR="00E40E24" w:rsidRDefault="001F40D0"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517BF8">
        <w:rPr>
          <w:rFonts w:ascii="Arial" w:hAnsi="Arial" w:cs="Arial"/>
          <w:b/>
        </w:rPr>
        <w:t>Artículo 2.</w:t>
      </w:r>
      <w:r w:rsidRPr="00493B0E">
        <w:rPr>
          <w:rFonts w:ascii="Arial" w:hAnsi="Arial" w:cs="Arial"/>
        </w:rPr>
        <w:t xml:space="preserve"> La Secretaría de Finanzas del Poder Ejecutivo del Estado tiene a su cargo el despacho de los asuntos que le encomienda la Ley Orgánica del Poder Ejecutivo del Estado de Oaxaca y otras leyes, así como los decretos, reglamentos, acuerdos, convenios, circulares y órdenes que expida el Gobernador del Estado.</w:t>
      </w:r>
    </w:p>
    <w:p w14:paraId="31B4EC0F" w14:textId="77777777" w:rsidR="00517BF8" w:rsidRPr="00493B0E" w:rsidRDefault="00517BF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04D0D092" w14:textId="77777777" w:rsidR="00517BF8" w:rsidRDefault="008A680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517BF8">
        <w:rPr>
          <w:rFonts w:ascii="Arial" w:hAnsi="Arial" w:cs="Arial"/>
          <w:b/>
        </w:rPr>
        <w:t>Artículo 4</w:t>
      </w:r>
      <w:r w:rsidRPr="00493B0E">
        <w:rPr>
          <w:rFonts w:ascii="Arial" w:hAnsi="Arial" w:cs="Arial"/>
        </w:rPr>
        <w:t>. Para el despacho de los asuntos de su competencia y el ejercicio de sus funciones, la Secretaría contará con las siguientes áreas administrativas:</w:t>
      </w:r>
    </w:p>
    <w:p w14:paraId="59DE31B3" w14:textId="77777777" w:rsidR="00517BF8" w:rsidRDefault="00517BF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3C2596DD" w14:textId="77777777" w:rsidR="008A6808" w:rsidRPr="00493B0E" w:rsidRDefault="008A680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517BF8">
        <w:rPr>
          <w:rFonts w:ascii="Arial" w:hAnsi="Arial" w:cs="Arial"/>
          <w:b/>
        </w:rPr>
        <w:t>I.</w:t>
      </w:r>
      <w:r w:rsidRPr="00493B0E">
        <w:rPr>
          <w:rFonts w:ascii="Arial" w:hAnsi="Arial" w:cs="Arial"/>
        </w:rPr>
        <w:t xml:space="preserve"> </w:t>
      </w:r>
      <w:proofErr w:type="gramStart"/>
      <w:r w:rsidRPr="00493B0E">
        <w:rPr>
          <w:rFonts w:ascii="Arial" w:hAnsi="Arial" w:cs="Arial"/>
        </w:rPr>
        <w:t>Secretario</w:t>
      </w:r>
      <w:proofErr w:type="gramEnd"/>
    </w:p>
    <w:p w14:paraId="09197946" w14:textId="77777777" w:rsidR="008A6808" w:rsidRPr="00493B0E" w:rsidRDefault="008A680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493B0E">
        <w:rPr>
          <w:rFonts w:ascii="Arial" w:eastAsia="Arial" w:hAnsi="Arial" w:cs="Arial"/>
          <w:color w:val="000000"/>
        </w:rPr>
        <w:t>…</w:t>
      </w:r>
    </w:p>
    <w:p w14:paraId="314E35DE" w14:textId="77777777" w:rsidR="008A6808" w:rsidRDefault="008A680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517BF8">
        <w:rPr>
          <w:rFonts w:ascii="Arial" w:hAnsi="Arial" w:cs="Arial"/>
          <w:b/>
        </w:rPr>
        <w:t>III.</w:t>
      </w:r>
      <w:r w:rsidRPr="00493B0E">
        <w:rPr>
          <w:rFonts w:ascii="Arial" w:hAnsi="Arial" w:cs="Arial"/>
        </w:rPr>
        <w:t xml:space="preserve"> Subsecretaría de Ingresos </w:t>
      </w:r>
    </w:p>
    <w:p w14:paraId="20754B69" w14:textId="77777777" w:rsidR="00517BF8" w:rsidRPr="00493B0E" w:rsidRDefault="00517BF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4EDAB2BE" w14:textId="77777777" w:rsidR="008A6808" w:rsidRDefault="008A6808" w:rsidP="00517BF8">
      <w:pPr>
        <w:pStyle w:val="Prrafodelista"/>
        <w:numPr>
          <w:ilvl w:val="0"/>
          <w:numId w:val="7"/>
        </w:numPr>
        <w:pBdr>
          <w:top w:val="nil"/>
          <w:left w:val="nil"/>
          <w:bottom w:val="nil"/>
          <w:right w:val="nil"/>
          <w:between w:val="nil"/>
        </w:pBdr>
        <w:tabs>
          <w:tab w:val="center" w:pos="4419"/>
          <w:tab w:val="center" w:pos="-1418"/>
          <w:tab w:val="right" w:pos="8505"/>
        </w:tabs>
        <w:spacing w:after="0" w:line="240" w:lineRule="auto"/>
        <w:ind w:right="332"/>
        <w:jc w:val="both"/>
        <w:rPr>
          <w:rFonts w:ascii="Arial" w:hAnsi="Arial" w:cs="Arial"/>
        </w:rPr>
      </w:pPr>
      <w:r w:rsidRPr="00493B0E">
        <w:rPr>
          <w:rFonts w:ascii="Arial" w:hAnsi="Arial" w:cs="Arial"/>
        </w:rPr>
        <w:t>Dirección de Ingresos y Recaudación</w:t>
      </w:r>
    </w:p>
    <w:p w14:paraId="3707F452" w14:textId="77777777" w:rsidR="00517BF8" w:rsidRPr="00493B0E" w:rsidRDefault="00517BF8" w:rsidP="00517BF8">
      <w:pPr>
        <w:pStyle w:val="Prrafodelista"/>
        <w:pBdr>
          <w:top w:val="nil"/>
          <w:left w:val="nil"/>
          <w:bottom w:val="nil"/>
          <w:right w:val="nil"/>
          <w:between w:val="nil"/>
        </w:pBdr>
        <w:tabs>
          <w:tab w:val="center" w:pos="4419"/>
          <w:tab w:val="center" w:pos="-1418"/>
          <w:tab w:val="right" w:pos="8505"/>
        </w:tabs>
        <w:spacing w:after="0" w:line="240" w:lineRule="auto"/>
        <w:ind w:left="1069" w:right="332"/>
        <w:jc w:val="both"/>
        <w:rPr>
          <w:rFonts w:ascii="Arial" w:hAnsi="Arial" w:cs="Arial"/>
        </w:rPr>
      </w:pPr>
    </w:p>
    <w:p w14:paraId="4734CAB3" w14:textId="77777777" w:rsidR="008A6808" w:rsidRPr="00493B0E" w:rsidRDefault="00F85C91" w:rsidP="00493B0E">
      <w:pPr>
        <w:pStyle w:val="Prrafodelista"/>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517BF8">
        <w:rPr>
          <w:rFonts w:ascii="Arial" w:hAnsi="Arial" w:cs="Arial"/>
          <w:b/>
        </w:rPr>
        <w:t>Artículo 6.</w:t>
      </w:r>
      <w:r w:rsidRPr="00493B0E">
        <w:rPr>
          <w:rFonts w:ascii="Arial" w:hAnsi="Arial" w:cs="Arial"/>
        </w:rPr>
        <w:t xml:space="preserve"> La Secretaría contará con un </w:t>
      </w:r>
      <w:proofErr w:type="gramStart"/>
      <w:r w:rsidRPr="00493B0E">
        <w:rPr>
          <w:rFonts w:ascii="Arial" w:hAnsi="Arial" w:cs="Arial"/>
        </w:rPr>
        <w:t>Secretario</w:t>
      </w:r>
      <w:proofErr w:type="gramEnd"/>
      <w:r w:rsidRPr="00493B0E">
        <w:rPr>
          <w:rFonts w:ascii="Arial" w:hAnsi="Arial" w:cs="Arial"/>
        </w:rPr>
        <w:t>, quien dependerá directamente del Gobernador y tendrá las siguientes facultades:</w:t>
      </w:r>
    </w:p>
    <w:p w14:paraId="4F5117DB" w14:textId="77777777" w:rsidR="00517BF8" w:rsidRDefault="00517BF8" w:rsidP="00493B0E">
      <w:pPr>
        <w:pStyle w:val="Prrafodelista"/>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750D1CCC" w14:textId="77777777" w:rsidR="00F85C91" w:rsidRPr="00493B0E" w:rsidRDefault="00F85C91" w:rsidP="00493B0E">
      <w:pPr>
        <w:pStyle w:val="Prrafodelista"/>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517BF8">
        <w:rPr>
          <w:rFonts w:ascii="Arial" w:hAnsi="Arial" w:cs="Arial"/>
          <w:b/>
        </w:rPr>
        <w:t>Artículo 30.</w:t>
      </w:r>
      <w:r w:rsidRPr="00493B0E">
        <w:rPr>
          <w:rFonts w:ascii="Arial" w:hAnsi="Arial" w:cs="Arial"/>
        </w:rPr>
        <w:t xml:space="preserve"> La Subsecretaría de Ingresos contará con un Subsecretario que dependerá directamente del Secretario, quien se auxiliará de los Directores de Ingresos y Recaudación; de Auditoria e Inspección Fiscal; del Procurador Fiscal y del Coordinador de Centros Integrales de Atención al Contribuyente; así como de los Directores, Coordinadores, Jefes de Departamento y de los demás servidores públicos que las necesidades del servicio requieran, de acuerdo con el presupuesto autorizado y cuyas funciones serán indicadas en el Manual de Organización de la Secretaría, quien tendrá las siguientes facultades:</w:t>
      </w:r>
    </w:p>
    <w:p w14:paraId="1316C210" w14:textId="77777777" w:rsidR="00517BF8" w:rsidRDefault="00517BF8" w:rsidP="00493B0E">
      <w:pPr>
        <w:pStyle w:val="Prrafodelista"/>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6B1F8E57" w14:textId="77777777" w:rsidR="00F85C91" w:rsidRPr="00493B0E" w:rsidRDefault="00F85C91" w:rsidP="00493B0E">
      <w:pPr>
        <w:pStyle w:val="Prrafodelista"/>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517BF8">
        <w:rPr>
          <w:rFonts w:ascii="Arial" w:hAnsi="Arial" w:cs="Arial"/>
          <w:b/>
        </w:rPr>
        <w:t>Artículo 31</w:t>
      </w:r>
      <w:r w:rsidRPr="00493B0E">
        <w:rPr>
          <w:rFonts w:ascii="Arial" w:hAnsi="Arial" w:cs="Arial"/>
        </w:rPr>
        <w:t xml:space="preserve">. La Dirección de Ingresos y Recaudación contará con un </w:t>
      </w:r>
      <w:proofErr w:type="gramStart"/>
      <w:r w:rsidRPr="00493B0E">
        <w:rPr>
          <w:rFonts w:ascii="Arial" w:hAnsi="Arial" w:cs="Arial"/>
        </w:rPr>
        <w:t>Director</w:t>
      </w:r>
      <w:proofErr w:type="gramEnd"/>
      <w:r w:rsidRPr="00493B0E">
        <w:rPr>
          <w:rFonts w:ascii="Arial" w:hAnsi="Arial" w:cs="Arial"/>
        </w:rPr>
        <w:t xml:space="preserve"> que dependerá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14:paraId="34A49817" w14:textId="77777777" w:rsidR="00F85C91" w:rsidRPr="00493B0E" w:rsidRDefault="00F85C91" w:rsidP="00493B0E">
      <w:pPr>
        <w:pStyle w:val="Prrafodelista"/>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w:t>
      </w:r>
    </w:p>
    <w:p w14:paraId="296B8731" w14:textId="77777777" w:rsidR="00F85C91" w:rsidRPr="00493B0E" w:rsidRDefault="00F85C91" w:rsidP="00493B0E">
      <w:pPr>
        <w:pStyle w:val="Prrafodelista"/>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517BF8">
        <w:rPr>
          <w:rFonts w:ascii="Arial" w:hAnsi="Arial" w:cs="Arial"/>
          <w:b/>
        </w:rPr>
        <w:t>VIII</w:t>
      </w:r>
      <w:r w:rsidRPr="00493B0E">
        <w:rPr>
          <w:rFonts w:ascii="Arial" w:hAnsi="Arial" w:cs="Arial"/>
        </w:rPr>
        <w:t>. Imponer y suscribir las resoluciones donde se determinen las sanciones que correspondan por violación a las disposiciones fiscales;</w:t>
      </w:r>
    </w:p>
    <w:p w14:paraId="1D2E3EAA" w14:textId="77777777" w:rsidR="00F85C91" w:rsidRPr="00493B0E" w:rsidRDefault="00F85C91" w:rsidP="00493B0E">
      <w:pPr>
        <w:pStyle w:val="Prrafodelista"/>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lastRenderedPageBreak/>
        <w:t>…</w:t>
      </w:r>
    </w:p>
    <w:p w14:paraId="1226CDC3" w14:textId="77777777" w:rsidR="00F85C91" w:rsidRDefault="00F85C91" w:rsidP="00493B0E">
      <w:pPr>
        <w:pStyle w:val="Prrafodelista"/>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517BF8">
        <w:rPr>
          <w:rFonts w:ascii="Arial" w:hAnsi="Arial" w:cs="Arial"/>
          <w:b/>
        </w:rPr>
        <w:t>XLII</w:t>
      </w:r>
      <w:r w:rsidRPr="00493B0E">
        <w:rPr>
          <w:rFonts w:ascii="Arial" w:hAnsi="Arial" w:cs="Arial"/>
        </w:rPr>
        <w:t>. Las demás que le confiera las leyes, este Reglamento y demás disposiciones normativas aplicables, así como, las que expresamente les sean conferidas por el Subsecretario.</w:t>
      </w:r>
    </w:p>
    <w:p w14:paraId="75B068AF" w14:textId="77777777" w:rsidR="008F5067" w:rsidRPr="00493B0E" w:rsidRDefault="008F5067" w:rsidP="00493B0E">
      <w:pPr>
        <w:pStyle w:val="Prrafodelista"/>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0BAD0048" w14:textId="77777777" w:rsidR="000C1B0B" w:rsidRPr="00102989" w:rsidRDefault="00517BF8" w:rsidP="000C1B0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102989">
        <w:rPr>
          <w:rFonts w:ascii="Arial" w:eastAsia="Arial" w:hAnsi="Arial" w:cs="Arial"/>
          <w:color w:val="000000"/>
          <w:sz w:val="24"/>
          <w:szCs w:val="24"/>
        </w:rPr>
        <w:t>De conformidad co</w:t>
      </w:r>
      <w:r w:rsidR="000C1B0B" w:rsidRPr="00102989">
        <w:rPr>
          <w:rFonts w:ascii="Arial" w:eastAsia="Arial" w:hAnsi="Arial" w:cs="Arial"/>
          <w:color w:val="000000"/>
          <w:sz w:val="24"/>
          <w:szCs w:val="24"/>
        </w:rPr>
        <w:t>n los anteriores ordenamientos, las facultades que la Constitución Política de los Estados Unidos Mexicanos no otorga expresamente a la federación, se entienden reservadas para el Estado.</w:t>
      </w:r>
    </w:p>
    <w:p w14:paraId="06F083A1" w14:textId="77777777" w:rsidR="00F759E8" w:rsidRPr="00102989" w:rsidRDefault="00F759E8" w:rsidP="00F759E8">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eastAsia="Arial" w:hAnsi="Arial" w:cs="Arial"/>
          <w:color w:val="000000"/>
          <w:sz w:val="24"/>
          <w:szCs w:val="24"/>
        </w:rPr>
      </w:pPr>
      <w:r w:rsidRPr="00102989">
        <w:rPr>
          <w:rFonts w:ascii="Arial" w:eastAsia="Arial" w:hAnsi="Arial" w:cs="Arial"/>
          <w:color w:val="000000"/>
          <w:sz w:val="24"/>
          <w:szCs w:val="24"/>
        </w:rPr>
        <w:t xml:space="preserve">Estableciendo los artículos de la </w:t>
      </w:r>
      <w:r w:rsidRPr="00102989">
        <w:rPr>
          <w:rFonts w:ascii="Arial" w:hAnsi="Arial" w:cs="Arial"/>
          <w:sz w:val="24"/>
          <w:szCs w:val="24"/>
        </w:rPr>
        <w:t>Ley</w:t>
      </w:r>
      <w:r w:rsidRPr="00102989">
        <w:rPr>
          <w:rFonts w:ascii="Arial" w:hAnsi="Arial" w:cs="Arial"/>
          <w:b/>
          <w:sz w:val="24"/>
          <w:szCs w:val="24"/>
        </w:rPr>
        <w:t xml:space="preserve"> </w:t>
      </w:r>
      <w:r w:rsidRPr="00102989">
        <w:rPr>
          <w:rFonts w:ascii="Arial" w:hAnsi="Arial" w:cs="Arial"/>
          <w:sz w:val="24"/>
          <w:szCs w:val="24"/>
        </w:rPr>
        <w:t xml:space="preserve">Orgánica del Poder Ejecutivo del Estado de Oaxaca que </w:t>
      </w:r>
      <w:r w:rsidRPr="00102989">
        <w:rPr>
          <w:rFonts w:ascii="Arial" w:eastAsia="Arial" w:hAnsi="Arial" w:cs="Arial"/>
          <w:color w:val="000000"/>
          <w:sz w:val="24"/>
          <w:szCs w:val="24"/>
        </w:rPr>
        <w:t xml:space="preserve">el ejercicio del Poder Ejecutivo, se deposita en un solo individuo que se denomina Gobernador del Estado, quien tendrá las facultades y obligaciones que le señalen la Constitución Política de los Estados Unidos Mexicanos, la Constitución Política del Estado Libre y Soberano de Oaxaca, la referida Ley y las demás leyes, reglamentos y disposiciones jurídicas vigentes en el Estado. </w:t>
      </w:r>
    </w:p>
    <w:p w14:paraId="53F6772D" w14:textId="77777777" w:rsidR="002A458F" w:rsidRPr="00102989" w:rsidRDefault="00F759E8" w:rsidP="002A458F">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eastAsia="Arial" w:hAnsi="Arial" w:cs="Arial"/>
          <w:color w:val="000000"/>
          <w:sz w:val="24"/>
          <w:szCs w:val="24"/>
        </w:rPr>
      </w:pPr>
      <w:r w:rsidRPr="00102989">
        <w:rPr>
          <w:rFonts w:ascii="Arial" w:eastAsia="Arial" w:hAnsi="Arial" w:cs="Arial"/>
          <w:color w:val="000000"/>
          <w:sz w:val="24"/>
          <w:szCs w:val="24"/>
        </w:rPr>
        <w:t>Que el en el ejercicio de sus atribuciones y para el despacho de los asuntos del orden administrativo, el Poder Ejecutivo del Estado, contará con la Administración Públi</w:t>
      </w:r>
      <w:r w:rsidR="002A458F" w:rsidRPr="00102989">
        <w:rPr>
          <w:rFonts w:ascii="Arial" w:eastAsia="Arial" w:hAnsi="Arial" w:cs="Arial"/>
          <w:color w:val="000000"/>
          <w:sz w:val="24"/>
          <w:szCs w:val="24"/>
        </w:rPr>
        <w:t>ca Estatal, que se regirá por la</w:t>
      </w:r>
      <w:r w:rsidRPr="00102989">
        <w:rPr>
          <w:rFonts w:ascii="Arial" w:eastAsia="Arial" w:hAnsi="Arial" w:cs="Arial"/>
          <w:color w:val="000000"/>
          <w:sz w:val="24"/>
          <w:szCs w:val="24"/>
        </w:rPr>
        <w:t xml:space="preserve"> Ley y las demás disposiciones legales aplicables, y se organizará</w:t>
      </w:r>
      <w:r w:rsidR="002A458F" w:rsidRPr="00102989">
        <w:rPr>
          <w:rFonts w:ascii="Arial" w:eastAsia="Arial" w:hAnsi="Arial" w:cs="Arial"/>
          <w:color w:val="000000"/>
          <w:sz w:val="24"/>
          <w:szCs w:val="24"/>
        </w:rPr>
        <w:t xml:space="preserve">, entre otras, en </w:t>
      </w:r>
      <w:r w:rsidRPr="00102989">
        <w:rPr>
          <w:rFonts w:ascii="Arial" w:eastAsia="Arial" w:hAnsi="Arial" w:cs="Arial"/>
          <w:color w:val="000000"/>
          <w:sz w:val="24"/>
          <w:szCs w:val="24"/>
        </w:rPr>
        <w:t>Administración Pública Centralizada: Integrada por la Gubernatura, Secretarías de Despacho, Procuraduría General de Justicia del Estado, Consejería Jurídica del Gobierno del Estado y la Coordinación General del Comité Estatal de Planeación para el Desarrollo de Oaxaca, así como, por los Órganos Auxiliares, las unidades administrativas que dependan directamente del Gobernador del Estado y los Órganos Desconcentrados, a todas estas áreas administrativas se les denominará genéricamente como Dependencias</w:t>
      </w:r>
      <w:r w:rsidR="002A458F" w:rsidRPr="00102989">
        <w:rPr>
          <w:rFonts w:ascii="Arial" w:eastAsia="Arial" w:hAnsi="Arial" w:cs="Arial"/>
          <w:color w:val="000000"/>
          <w:sz w:val="24"/>
          <w:szCs w:val="24"/>
        </w:rPr>
        <w:t>.</w:t>
      </w:r>
    </w:p>
    <w:p w14:paraId="3146E253" w14:textId="77777777" w:rsidR="002A458F" w:rsidRPr="00102989" w:rsidRDefault="002A458F" w:rsidP="002A458F">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r w:rsidRPr="00102989">
        <w:rPr>
          <w:rFonts w:ascii="Arial" w:eastAsia="Arial" w:hAnsi="Arial" w:cs="Arial"/>
          <w:color w:val="000000"/>
          <w:sz w:val="24"/>
          <w:szCs w:val="24"/>
        </w:rPr>
        <w:t>Y que p</w:t>
      </w:r>
      <w:r w:rsidR="00F759E8" w:rsidRPr="00102989">
        <w:rPr>
          <w:rFonts w:ascii="Arial" w:hAnsi="Arial" w:cs="Arial"/>
          <w:sz w:val="24"/>
          <w:szCs w:val="24"/>
        </w:rPr>
        <w:t>ara el ejercicio de sus atribuciones y el despacho de los asuntos que son de su competencia, el Gobernador del Estado, contará</w:t>
      </w:r>
      <w:r w:rsidRPr="00102989">
        <w:rPr>
          <w:rFonts w:ascii="Arial" w:hAnsi="Arial" w:cs="Arial"/>
          <w:sz w:val="24"/>
          <w:szCs w:val="24"/>
        </w:rPr>
        <w:t xml:space="preserve">, entre otras </w:t>
      </w:r>
      <w:r w:rsidR="005C3356" w:rsidRPr="00102989">
        <w:rPr>
          <w:rFonts w:ascii="Arial" w:hAnsi="Arial" w:cs="Arial"/>
          <w:sz w:val="24"/>
          <w:szCs w:val="24"/>
        </w:rPr>
        <w:t xml:space="preserve">dependencias, </w:t>
      </w:r>
      <w:r w:rsidRPr="00102989">
        <w:rPr>
          <w:rFonts w:ascii="Arial" w:hAnsi="Arial" w:cs="Arial"/>
          <w:sz w:val="24"/>
          <w:szCs w:val="24"/>
        </w:rPr>
        <w:t xml:space="preserve">con la </w:t>
      </w:r>
      <w:r w:rsidR="00F759E8" w:rsidRPr="00102989">
        <w:rPr>
          <w:rFonts w:ascii="Arial" w:hAnsi="Arial" w:cs="Arial"/>
          <w:sz w:val="24"/>
          <w:szCs w:val="24"/>
        </w:rPr>
        <w:t>Secretaría de Finanzas</w:t>
      </w:r>
      <w:r w:rsidRPr="00102989">
        <w:rPr>
          <w:rFonts w:ascii="Arial" w:hAnsi="Arial" w:cs="Arial"/>
          <w:sz w:val="24"/>
          <w:szCs w:val="24"/>
        </w:rPr>
        <w:t xml:space="preserve">, a quien </w:t>
      </w:r>
      <w:r w:rsidR="00F759E8" w:rsidRPr="00102989">
        <w:rPr>
          <w:rFonts w:ascii="Arial" w:hAnsi="Arial" w:cs="Arial"/>
          <w:sz w:val="24"/>
          <w:szCs w:val="24"/>
        </w:rPr>
        <w:t>le corresponde el despacho de los siguientes asuntos:</w:t>
      </w:r>
    </w:p>
    <w:p w14:paraId="07654FFD" w14:textId="77777777" w:rsidR="002A458F" w:rsidRPr="00102989" w:rsidRDefault="00F759E8" w:rsidP="002A458F">
      <w:pPr>
        <w:pStyle w:val="Prrafodelista"/>
        <w:numPr>
          <w:ilvl w:val="0"/>
          <w:numId w:val="8"/>
        </w:numPr>
        <w:pBdr>
          <w:top w:val="nil"/>
          <w:left w:val="nil"/>
          <w:bottom w:val="nil"/>
          <w:right w:val="nil"/>
          <w:between w:val="nil"/>
        </w:pBdr>
        <w:tabs>
          <w:tab w:val="center" w:pos="4419"/>
          <w:tab w:val="center" w:pos="-1418"/>
          <w:tab w:val="right" w:pos="8838"/>
          <w:tab w:val="center" w:pos="-1418"/>
        </w:tabs>
        <w:spacing w:after="240" w:line="360" w:lineRule="auto"/>
        <w:jc w:val="both"/>
        <w:rPr>
          <w:rFonts w:ascii="Arial" w:hAnsi="Arial" w:cs="Arial"/>
          <w:sz w:val="24"/>
          <w:szCs w:val="24"/>
        </w:rPr>
      </w:pPr>
      <w:r w:rsidRPr="00102989">
        <w:rPr>
          <w:rFonts w:ascii="Arial" w:hAnsi="Arial" w:cs="Arial"/>
          <w:sz w:val="24"/>
          <w:szCs w:val="24"/>
        </w:rPr>
        <w:t>Recaudar los impuestos, derechos, productos, contribuciones de mejoras y aprovechamientos, así como hacer cumplir las disposiciones fiscales;</w:t>
      </w:r>
    </w:p>
    <w:p w14:paraId="54BA5B79" w14:textId="77777777" w:rsidR="002A458F" w:rsidRPr="00102989" w:rsidRDefault="002A458F" w:rsidP="002A458F">
      <w:pPr>
        <w:pStyle w:val="Prrafodelista"/>
        <w:pBdr>
          <w:top w:val="nil"/>
          <w:left w:val="nil"/>
          <w:bottom w:val="nil"/>
          <w:right w:val="nil"/>
          <w:between w:val="nil"/>
        </w:pBdr>
        <w:tabs>
          <w:tab w:val="center" w:pos="4419"/>
          <w:tab w:val="center" w:pos="-1418"/>
          <w:tab w:val="right" w:pos="8838"/>
          <w:tab w:val="center" w:pos="-1418"/>
        </w:tabs>
        <w:spacing w:after="240" w:line="360" w:lineRule="auto"/>
        <w:ind w:left="1069"/>
        <w:jc w:val="both"/>
        <w:rPr>
          <w:rFonts w:ascii="Arial" w:hAnsi="Arial" w:cs="Arial"/>
          <w:sz w:val="24"/>
          <w:szCs w:val="24"/>
        </w:rPr>
      </w:pPr>
    </w:p>
    <w:p w14:paraId="0C542480" w14:textId="77777777" w:rsidR="002A458F" w:rsidRPr="00102989" w:rsidRDefault="00F759E8" w:rsidP="002A458F">
      <w:pPr>
        <w:pStyle w:val="Prrafodelista"/>
        <w:numPr>
          <w:ilvl w:val="0"/>
          <w:numId w:val="8"/>
        </w:numPr>
        <w:pBdr>
          <w:top w:val="nil"/>
          <w:left w:val="nil"/>
          <w:bottom w:val="nil"/>
          <w:right w:val="nil"/>
          <w:between w:val="nil"/>
        </w:pBdr>
        <w:tabs>
          <w:tab w:val="center" w:pos="4419"/>
          <w:tab w:val="center" w:pos="-1418"/>
          <w:tab w:val="right" w:pos="8838"/>
          <w:tab w:val="center" w:pos="-1418"/>
        </w:tabs>
        <w:spacing w:after="240" w:line="360" w:lineRule="auto"/>
        <w:jc w:val="both"/>
        <w:rPr>
          <w:rFonts w:ascii="Arial" w:hAnsi="Arial" w:cs="Arial"/>
          <w:sz w:val="24"/>
          <w:szCs w:val="24"/>
        </w:rPr>
      </w:pPr>
      <w:r w:rsidRPr="00102989">
        <w:rPr>
          <w:rFonts w:ascii="Arial" w:hAnsi="Arial" w:cs="Arial"/>
          <w:sz w:val="24"/>
          <w:szCs w:val="24"/>
        </w:rPr>
        <w:t>Notificar los actos, acuerdos o resoluciones que emita con motivo del ejercicio de sus facultades tributarias y de comprobación, y las que le otorguen los convenios o acuerdos de colaboración administrativa, con otras instancias u órdenes de gobierno;</w:t>
      </w:r>
    </w:p>
    <w:p w14:paraId="1308F96D" w14:textId="77777777" w:rsidR="002A458F" w:rsidRPr="00102989" w:rsidRDefault="002A458F" w:rsidP="002A458F">
      <w:pPr>
        <w:pStyle w:val="Prrafodelista"/>
        <w:rPr>
          <w:rFonts w:ascii="Arial" w:hAnsi="Arial" w:cs="Arial"/>
          <w:sz w:val="24"/>
          <w:szCs w:val="24"/>
        </w:rPr>
      </w:pPr>
    </w:p>
    <w:p w14:paraId="5A55838B" w14:textId="77777777" w:rsidR="002A458F" w:rsidRPr="00102989" w:rsidRDefault="00F759E8" w:rsidP="002A458F">
      <w:pPr>
        <w:pStyle w:val="Prrafodelista"/>
        <w:numPr>
          <w:ilvl w:val="0"/>
          <w:numId w:val="8"/>
        </w:numPr>
        <w:pBdr>
          <w:top w:val="nil"/>
          <w:left w:val="nil"/>
          <w:bottom w:val="nil"/>
          <w:right w:val="nil"/>
          <w:between w:val="nil"/>
        </w:pBdr>
        <w:tabs>
          <w:tab w:val="center" w:pos="4419"/>
          <w:tab w:val="center" w:pos="-1418"/>
          <w:tab w:val="right" w:pos="8838"/>
          <w:tab w:val="center" w:pos="-1418"/>
        </w:tabs>
        <w:spacing w:after="240" w:line="360" w:lineRule="auto"/>
        <w:jc w:val="both"/>
        <w:rPr>
          <w:rFonts w:ascii="Arial" w:hAnsi="Arial" w:cs="Arial"/>
          <w:sz w:val="24"/>
          <w:szCs w:val="24"/>
        </w:rPr>
      </w:pPr>
      <w:r w:rsidRPr="00102989">
        <w:rPr>
          <w:rFonts w:ascii="Arial" w:hAnsi="Arial" w:cs="Arial"/>
          <w:sz w:val="24"/>
          <w:szCs w:val="24"/>
        </w:rPr>
        <w:t>Dirigir los servicios de inspección y vigilancia fiscal en el Estado;</w:t>
      </w:r>
    </w:p>
    <w:p w14:paraId="1DA44723" w14:textId="77777777" w:rsidR="002A458F" w:rsidRPr="00102989" w:rsidRDefault="002A458F" w:rsidP="002A458F">
      <w:pPr>
        <w:pStyle w:val="Prrafodelista"/>
        <w:rPr>
          <w:rFonts w:ascii="Arial" w:hAnsi="Arial" w:cs="Arial"/>
          <w:sz w:val="24"/>
          <w:szCs w:val="24"/>
        </w:rPr>
      </w:pPr>
    </w:p>
    <w:p w14:paraId="4249C2CF" w14:textId="77777777" w:rsidR="00F759E8" w:rsidRPr="00102989" w:rsidRDefault="00557E42" w:rsidP="002A458F">
      <w:pPr>
        <w:pStyle w:val="Prrafodelista"/>
        <w:numPr>
          <w:ilvl w:val="0"/>
          <w:numId w:val="8"/>
        </w:numPr>
        <w:pBdr>
          <w:top w:val="nil"/>
          <w:left w:val="nil"/>
          <w:bottom w:val="nil"/>
          <w:right w:val="nil"/>
          <w:between w:val="nil"/>
        </w:pBdr>
        <w:tabs>
          <w:tab w:val="center" w:pos="4419"/>
          <w:tab w:val="center" w:pos="-1418"/>
          <w:tab w:val="right" w:pos="8838"/>
          <w:tab w:val="center" w:pos="-1418"/>
        </w:tabs>
        <w:spacing w:after="240" w:line="360" w:lineRule="auto"/>
        <w:jc w:val="both"/>
        <w:rPr>
          <w:rFonts w:ascii="Arial" w:hAnsi="Arial" w:cs="Arial"/>
          <w:sz w:val="24"/>
          <w:szCs w:val="24"/>
        </w:rPr>
      </w:pPr>
      <w:r w:rsidRPr="00557E42">
        <w:rPr>
          <w:rFonts w:ascii="Arial" w:hAnsi="Arial" w:cs="Arial"/>
          <w:sz w:val="24"/>
          <w:szCs w:val="24"/>
        </w:rPr>
        <w:lastRenderedPageBreak/>
        <w:t>Ejercer la facultad económica coactiva en el ámbi</w:t>
      </w:r>
      <w:r>
        <w:rPr>
          <w:rFonts w:ascii="Arial" w:hAnsi="Arial" w:cs="Arial"/>
          <w:sz w:val="24"/>
          <w:szCs w:val="24"/>
        </w:rPr>
        <w:t>to de sus atribuciones fiscales.</w:t>
      </w:r>
    </w:p>
    <w:p w14:paraId="22C368C6" w14:textId="77777777" w:rsidR="00F759E8" w:rsidRPr="00102989" w:rsidRDefault="00F759E8" w:rsidP="00F759E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sz w:val="24"/>
          <w:szCs w:val="24"/>
        </w:rPr>
      </w:pPr>
    </w:p>
    <w:p w14:paraId="3D974B26" w14:textId="77777777" w:rsidR="0093531E" w:rsidRPr="00102989" w:rsidRDefault="005C3356" w:rsidP="0093531E">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r w:rsidRPr="00102989">
        <w:rPr>
          <w:rFonts w:ascii="Arial" w:eastAsia="Arial" w:hAnsi="Arial" w:cs="Arial"/>
          <w:color w:val="000000"/>
          <w:sz w:val="24"/>
          <w:szCs w:val="24"/>
        </w:rPr>
        <w:t>Por su parte la Ley estatal de Hacienda, establece en los artículos transcritos que son objeto de impuestos l</w:t>
      </w:r>
      <w:r w:rsidRPr="00102989">
        <w:rPr>
          <w:rFonts w:ascii="Arial" w:hAnsi="Arial" w:cs="Arial"/>
          <w:sz w:val="24"/>
          <w:szCs w:val="24"/>
        </w:rPr>
        <w:t>as erogaciones en efectivo o en especie, por concepto de remuneraciones al trabajo personal subordinado, por los servicios prestados dentro del territorio del Estado, bajo la dirección o dependencia de un patrón o de un tercero que actué en su nombre, aun cuando cualesquiera d</w:t>
      </w:r>
      <w:r w:rsidR="00557E42">
        <w:rPr>
          <w:rFonts w:ascii="Arial" w:hAnsi="Arial" w:cs="Arial"/>
          <w:sz w:val="24"/>
          <w:szCs w:val="24"/>
        </w:rPr>
        <w:t>e los sujetos mencionados en es</w:t>
      </w:r>
      <w:r w:rsidRPr="00102989">
        <w:rPr>
          <w:rFonts w:ascii="Arial" w:hAnsi="Arial" w:cs="Arial"/>
          <w:sz w:val="24"/>
          <w:szCs w:val="24"/>
        </w:rPr>
        <w:t>a fracción, o todos ellos tengan su domicilio fiscal fuera del estado; y las erogaciones en efectivo o en especie, por concepto de remuneraciones al trabajo personal, por los servicios prestados dentro del territorio del estado, aún cuando los prestadores del servicio o los beneficiarios del mismo, o ambos, tengan su domicilio fiscal fuera de éste.</w:t>
      </w:r>
    </w:p>
    <w:p w14:paraId="702AB4C3" w14:textId="77777777" w:rsidR="005C3356" w:rsidRPr="00102989" w:rsidRDefault="0093531E" w:rsidP="0093531E">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r w:rsidRPr="00102989">
        <w:rPr>
          <w:rFonts w:ascii="Arial" w:hAnsi="Arial" w:cs="Arial"/>
          <w:sz w:val="24"/>
          <w:szCs w:val="24"/>
        </w:rPr>
        <w:t>Q</w:t>
      </w:r>
      <w:r w:rsidRPr="00102989">
        <w:rPr>
          <w:rFonts w:ascii="Arial" w:hAnsi="Arial" w:cs="Arial"/>
          <w:sz w:val="24"/>
          <w:szCs w:val="24"/>
        </w:rPr>
        <w:tab/>
        <w:t xml:space="preserve">ue la </w:t>
      </w:r>
      <w:r w:rsidR="005C3356" w:rsidRPr="00102989">
        <w:rPr>
          <w:rFonts w:ascii="Arial" w:hAnsi="Arial" w:cs="Arial"/>
          <w:sz w:val="24"/>
          <w:szCs w:val="24"/>
        </w:rPr>
        <w:t xml:space="preserve">base del impuesto es el monto total de las erogaciones realizadas por concepto de remuneraciones al trabajo personal en términos </w:t>
      </w:r>
      <w:r w:rsidRPr="00102989">
        <w:rPr>
          <w:rFonts w:ascii="Arial" w:hAnsi="Arial" w:cs="Arial"/>
          <w:sz w:val="24"/>
          <w:szCs w:val="24"/>
        </w:rPr>
        <w:t xml:space="preserve">del artículo 63 de esa Ley, y se </w:t>
      </w:r>
      <w:r w:rsidR="005C3356" w:rsidRPr="00102989">
        <w:rPr>
          <w:rFonts w:ascii="Arial" w:hAnsi="Arial" w:cs="Arial"/>
          <w:sz w:val="24"/>
          <w:szCs w:val="24"/>
        </w:rPr>
        <w:t>c</w:t>
      </w:r>
      <w:r w:rsidR="008F5067" w:rsidRPr="00102989">
        <w:rPr>
          <w:rFonts w:ascii="Arial" w:hAnsi="Arial" w:cs="Arial"/>
          <w:sz w:val="24"/>
          <w:szCs w:val="24"/>
        </w:rPr>
        <w:t>alc</w:t>
      </w:r>
      <w:r w:rsidR="005C3356" w:rsidRPr="00102989">
        <w:rPr>
          <w:rFonts w:ascii="Arial" w:hAnsi="Arial" w:cs="Arial"/>
          <w:sz w:val="24"/>
          <w:szCs w:val="24"/>
        </w:rPr>
        <w:t>ulará aplicando la tasa del 2 por ciento sobre la base que señala.</w:t>
      </w:r>
    </w:p>
    <w:p w14:paraId="31659361" w14:textId="77777777" w:rsidR="005C3356" w:rsidRPr="00102989" w:rsidRDefault="0093531E" w:rsidP="0093531E">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r w:rsidRPr="00102989">
        <w:rPr>
          <w:rFonts w:ascii="Arial" w:hAnsi="Arial" w:cs="Arial"/>
          <w:sz w:val="24"/>
          <w:szCs w:val="24"/>
        </w:rPr>
        <w:t xml:space="preserve">Que el </w:t>
      </w:r>
      <w:r w:rsidR="005C3356" w:rsidRPr="00102989">
        <w:rPr>
          <w:rFonts w:ascii="Arial" w:hAnsi="Arial" w:cs="Arial"/>
          <w:sz w:val="24"/>
          <w:szCs w:val="24"/>
        </w:rPr>
        <w:t xml:space="preserve">impuesto se causará en el momento en que se realice el pago de las remuneraciones por la </w:t>
      </w:r>
      <w:r w:rsidRPr="00102989">
        <w:rPr>
          <w:rFonts w:ascii="Arial" w:hAnsi="Arial" w:cs="Arial"/>
          <w:sz w:val="24"/>
          <w:szCs w:val="24"/>
        </w:rPr>
        <w:t>prestación del trabajo personal, y el pago s</w:t>
      </w:r>
      <w:r w:rsidR="005C3356" w:rsidRPr="00102989">
        <w:rPr>
          <w:rFonts w:ascii="Arial" w:hAnsi="Arial" w:cs="Arial"/>
          <w:sz w:val="24"/>
          <w:szCs w:val="24"/>
        </w:rPr>
        <w:t xml:space="preserve">e efectuará mediante declaración bimestral definitiva que deberá ser presentada en los primeros 17 días de los meses de marzo, mayo, julio, septiembre, noviembre, y enero del año siguiente. </w:t>
      </w:r>
    </w:p>
    <w:p w14:paraId="20D3B181" w14:textId="77777777" w:rsidR="0093531E" w:rsidRPr="00102989" w:rsidRDefault="0093531E" w:rsidP="0093531E">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proofErr w:type="gramStart"/>
      <w:r w:rsidRPr="00102989">
        <w:rPr>
          <w:rFonts w:ascii="Arial" w:hAnsi="Arial" w:cs="Arial"/>
          <w:sz w:val="24"/>
          <w:szCs w:val="24"/>
        </w:rPr>
        <w:t>Asimismo</w:t>
      </w:r>
      <w:proofErr w:type="gramEnd"/>
      <w:r w:rsidRPr="00102989">
        <w:rPr>
          <w:rFonts w:ascii="Arial" w:hAnsi="Arial" w:cs="Arial"/>
          <w:sz w:val="24"/>
          <w:szCs w:val="24"/>
        </w:rPr>
        <w:t xml:space="preserve"> se desprende del Código Fiscal para el Estado de Oaxaca que la recaudación de los ingresos que el Estado tiene derecho a percibir, se hará a través de la Secretaría u otras entidades públicas o privadas que por la misma hubieren sido autorizadas en términos de las disposiciones aplicables para realizarla, debiendo éstas últimas sujetarse a los lineamentos que se establezcan en el Reglamento y en Reglas.</w:t>
      </w:r>
    </w:p>
    <w:p w14:paraId="744D5D5A" w14:textId="77777777" w:rsidR="0093531E" w:rsidRPr="00102989" w:rsidRDefault="0093531E" w:rsidP="0093531E">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r w:rsidRPr="00102989">
        <w:rPr>
          <w:rFonts w:ascii="Arial" w:hAnsi="Arial" w:cs="Arial"/>
          <w:sz w:val="24"/>
          <w:szCs w:val="24"/>
        </w:rPr>
        <w:t>Que las disposiciones que se refieren al objeto, sujeto, base, tasa, cuota o tarifa, y época de pago de las contribuciones, así como las que establecen las infracciones y sanciones, son de aplicación estricta.</w:t>
      </w:r>
    </w:p>
    <w:p w14:paraId="57034E70" w14:textId="77777777" w:rsidR="0093531E" w:rsidRPr="00102989" w:rsidRDefault="00CA55C5" w:rsidP="0093531E">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r w:rsidRPr="00102989">
        <w:rPr>
          <w:rFonts w:ascii="Arial" w:hAnsi="Arial" w:cs="Arial"/>
          <w:sz w:val="24"/>
          <w:szCs w:val="24"/>
        </w:rPr>
        <w:t>Que p</w:t>
      </w:r>
      <w:r w:rsidR="008B5AB2">
        <w:rPr>
          <w:rFonts w:ascii="Arial" w:hAnsi="Arial" w:cs="Arial"/>
          <w:sz w:val="24"/>
          <w:szCs w:val="24"/>
        </w:rPr>
        <w:t>ara los efectos de es</w:t>
      </w:r>
      <w:r w:rsidR="0093531E" w:rsidRPr="00102989">
        <w:rPr>
          <w:rFonts w:ascii="Arial" w:hAnsi="Arial" w:cs="Arial"/>
          <w:sz w:val="24"/>
          <w:szCs w:val="24"/>
        </w:rPr>
        <w:t xml:space="preserve">e Código y demás ordenamientos fiscales, son autoridades fiscales, </w:t>
      </w:r>
      <w:r w:rsidRPr="00102989">
        <w:rPr>
          <w:rFonts w:ascii="Arial" w:hAnsi="Arial" w:cs="Arial"/>
          <w:sz w:val="24"/>
          <w:szCs w:val="24"/>
        </w:rPr>
        <w:t xml:space="preserve">entre otras, el </w:t>
      </w:r>
      <w:proofErr w:type="gramStart"/>
      <w:r w:rsidR="0093531E" w:rsidRPr="00102989">
        <w:rPr>
          <w:rFonts w:ascii="Arial" w:hAnsi="Arial" w:cs="Arial"/>
          <w:sz w:val="24"/>
          <w:szCs w:val="24"/>
        </w:rPr>
        <w:t>Director</w:t>
      </w:r>
      <w:proofErr w:type="gramEnd"/>
      <w:r w:rsidR="0093531E" w:rsidRPr="00102989">
        <w:rPr>
          <w:rFonts w:ascii="Arial" w:hAnsi="Arial" w:cs="Arial"/>
          <w:sz w:val="24"/>
          <w:szCs w:val="24"/>
        </w:rPr>
        <w:t xml:space="preserve"> de Ingresos y los Coordinadores de la Dirección a su cargo.</w:t>
      </w:r>
    </w:p>
    <w:p w14:paraId="34E50B8F" w14:textId="77777777" w:rsidR="0093531E" w:rsidRPr="00102989" w:rsidRDefault="00CA55C5" w:rsidP="0093531E">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r w:rsidRPr="00102989">
        <w:rPr>
          <w:rFonts w:ascii="Arial" w:hAnsi="Arial" w:cs="Arial"/>
          <w:sz w:val="24"/>
          <w:szCs w:val="24"/>
        </w:rPr>
        <w:t xml:space="preserve">Que son </w:t>
      </w:r>
      <w:r w:rsidR="0093531E" w:rsidRPr="00102989">
        <w:rPr>
          <w:rFonts w:ascii="Arial" w:hAnsi="Arial" w:cs="Arial"/>
          <w:sz w:val="24"/>
          <w:szCs w:val="24"/>
        </w:rPr>
        <w:t>infracciones relacionadas con la obligación de pago de las contribuciones, así como de presentación de declaraciones, solicitudes, documentación, avisos, información o expedir constancias</w:t>
      </w:r>
      <w:r w:rsidR="000544E3" w:rsidRPr="00102989">
        <w:rPr>
          <w:rFonts w:ascii="Arial" w:hAnsi="Arial" w:cs="Arial"/>
          <w:sz w:val="24"/>
          <w:szCs w:val="24"/>
        </w:rPr>
        <w:t>, n</w:t>
      </w:r>
      <w:r w:rsidR="0093531E" w:rsidRPr="00102989">
        <w:rPr>
          <w:rFonts w:ascii="Arial" w:hAnsi="Arial" w:cs="Arial"/>
          <w:sz w:val="24"/>
          <w:szCs w:val="24"/>
        </w:rPr>
        <w:t xml:space="preserve">o presentar las declaraciones, las solicitudes, los avisos o las constancias que exijan las </w:t>
      </w:r>
      <w:r w:rsidR="0093531E" w:rsidRPr="00102989">
        <w:rPr>
          <w:rFonts w:ascii="Arial" w:hAnsi="Arial" w:cs="Arial"/>
          <w:sz w:val="24"/>
          <w:szCs w:val="24"/>
        </w:rPr>
        <w:lastRenderedPageBreak/>
        <w:t>disposiciones fiscales, o no hacerlo a través de los medios electrónicos 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50 a 100 veces el salario mínimo general vigente en el Estado;</w:t>
      </w:r>
    </w:p>
    <w:p w14:paraId="51F943DE" w14:textId="77777777" w:rsidR="008F5067" w:rsidRPr="00102989" w:rsidRDefault="008F5067" w:rsidP="008F5067">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r w:rsidRPr="00102989">
        <w:rPr>
          <w:rFonts w:ascii="Arial" w:hAnsi="Arial" w:cs="Arial"/>
          <w:sz w:val="24"/>
          <w:szCs w:val="24"/>
        </w:rPr>
        <w:t xml:space="preserve">Por último, el Reglamento Interno de la Secretaría de Finanzas del Poder Ejecutivo del Estado de Oaxaca dispone </w:t>
      </w:r>
      <w:proofErr w:type="gramStart"/>
      <w:r w:rsidRPr="00102989">
        <w:rPr>
          <w:rFonts w:ascii="Arial" w:hAnsi="Arial" w:cs="Arial"/>
          <w:sz w:val="24"/>
          <w:szCs w:val="24"/>
        </w:rPr>
        <w:t>que</w:t>
      </w:r>
      <w:proofErr w:type="gramEnd"/>
      <w:r w:rsidRPr="00102989">
        <w:rPr>
          <w:rFonts w:ascii="Arial" w:hAnsi="Arial" w:cs="Arial"/>
          <w:sz w:val="24"/>
          <w:szCs w:val="24"/>
        </w:rPr>
        <w:t xml:space="preserve"> para el despacho de los asuntos de su competencia y el ejercicio de sus funciones, la Secretaría contará, entre otras áreas administrativas, con el Secretario, y la Subsecretaría de Ingresos, que comprende la Dirección de Ingresos y Recaudación. Que la  Secretaría contará con un Secretario, quien dependerá directamente del Gobernador, y que la Subsecretaría de Ingresos contará con un Subsecretario que dependerá directamente del Secretario, quien se auxiliará de los Directores de Ingresos y Recaudación; de Auditoria e Inspección Fiscal; del Procurador Fiscal y del Coordinador de Centros Integrales de Atención al Contribuyente; así como de los Directores, Coordinadores, Jefes de Departamento y de los demás servidores públicos que las necesidades del servicio requieran, de acuerdo con el presupuesto autorizado y cuyas funciones serán indicadas en el Manual de Organización de la Secretaría.</w:t>
      </w:r>
    </w:p>
    <w:p w14:paraId="62AD6A19" w14:textId="77777777" w:rsidR="008F5067" w:rsidRPr="00102989" w:rsidRDefault="008F5067" w:rsidP="008F5067">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r w:rsidRPr="00102989">
        <w:rPr>
          <w:rFonts w:ascii="Arial" w:hAnsi="Arial" w:cs="Arial"/>
          <w:sz w:val="24"/>
          <w:szCs w:val="24"/>
        </w:rPr>
        <w:t xml:space="preserve">Que la Dirección de Ingresos y Recaudación contará con un </w:t>
      </w:r>
      <w:proofErr w:type="gramStart"/>
      <w:r w:rsidRPr="00102989">
        <w:rPr>
          <w:rFonts w:ascii="Arial" w:hAnsi="Arial" w:cs="Arial"/>
          <w:sz w:val="24"/>
          <w:szCs w:val="24"/>
        </w:rPr>
        <w:t>Director</w:t>
      </w:r>
      <w:proofErr w:type="gramEnd"/>
      <w:r w:rsidRPr="00102989">
        <w:rPr>
          <w:rFonts w:ascii="Arial" w:hAnsi="Arial" w:cs="Arial"/>
          <w:sz w:val="24"/>
          <w:szCs w:val="24"/>
        </w:rPr>
        <w:t xml:space="preserve"> que dependerá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14:paraId="31CC21BE" w14:textId="77777777" w:rsidR="008F5067" w:rsidRPr="00102989" w:rsidRDefault="008F5067" w:rsidP="008F5067">
      <w:pPr>
        <w:pStyle w:val="Prrafodelista"/>
        <w:numPr>
          <w:ilvl w:val="0"/>
          <w:numId w:val="8"/>
        </w:numPr>
        <w:pBdr>
          <w:top w:val="nil"/>
          <w:left w:val="nil"/>
          <w:bottom w:val="nil"/>
          <w:right w:val="nil"/>
          <w:between w:val="nil"/>
        </w:pBdr>
        <w:tabs>
          <w:tab w:val="center" w:pos="4419"/>
          <w:tab w:val="center" w:pos="-1418"/>
          <w:tab w:val="right" w:pos="8838"/>
          <w:tab w:val="center" w:pos="-1418"/>
        </w:tabs>
        <w:spacing w:after="240" w:line="360" w:lineRule="auto"/>
        <w:jc w:val="both"/>
        <w:rPr>
          <w:rFonts w:ascii="Arial" w:hAnsi="Arial" w:cs="Arial"/>
          <w:sz w:val="24"/>
          <w:szCs w:val="24"/>
        </w:rPr>
      </w:pPr>
      <w:r w:rsidRPr="00102989">
        <w:rPr>
          <w:rFonts w:ascii="Arial" w:hAnsi="Arial" w:cs="Arial"/>
          <w:sz w:val="24"/>
          <w:szCs w:val="24"/>
        </w:rPr>
        <w:t>Imponer y suscribir las resoluciones donde se determinen las sanciones que correspondan por violación a las disposiciones fiscales;</w:t>
      </w:r>
    </w:p>
    <w:p w14:paraId="7F3735A2" w14:textId="77777777" w:rsidR="008F5067" w:rsidRPr="00102989" w:rsidRDefault="008F5067" w:rsidP="008F5067">
      <w:pPr>
        <w:pStyle w:val="Prrafodelista"/>
        <w:pBdr>
          <w:top w:val="nil"/>
          <w:left w:val="nil"/>
          <w:bottom w:val="nil"/>
          <w:right w:val="nil"/>
          <w:between w:val="nil"/>
        </w:pBdr>
        <w:tabs>
          <w:tab w:val="center" w:pos="4419"/>
          <w:tab w:val="center" w:pos="-1418"/>
          <w:tab w:val="right" w:pos="8838"/>
          <w:tab w:val="center" w:pos="-1418"/>
        </w:tabs>
        <w:spacing w:after="240" w:line="360" w:lineRule="auto"/>
        <w:ind w:left="1069"/>
        <w:jc w:val="both"/>
        <w:rPr>
          <w:rFonts w:ascii="Arial" w:hAnsi="Arial" w:cs="Arial"/>
          <w:sz w:val="24"/>
          <w:szCs w:val="24"/>
        </w:rPr>
      </w:pPr>
    </w:p>
    <w:p w14:paraId="0411903A" w14:textId="77777777" w:rsidR="008F5067" w:rsidRPr="00102989" w:rsidRDefault="008F5067" w:rsidP="008F5067">
      <w:pPr>
        <w:pStyle w:val="Prrafodelista"/>
        <w:numPr>
          <w:ilvl w:val="0"/>
          <w:numId w:val="8"/>
        </w:numPr>
        <w:pBdr>
          <w:top w:val="nil"/>
          <w:left w:val="nil"/>
          <w:bottom w:val="nil"/>
          <w:right w:val="nil"/>
          <w:between w:val="nil"/>
        </w:pBdr>
        <w:tabs>
          <w:tab w:val="center" w:pos="4419"/>
          <w:tab w:val="center" w:pos="-1418"/>
          <w:tab w:val="right" w:pos="8838"/>
          <w:tab w:val="center" w:pos="-1418"/>
        </w:tabs>
        <w:spacing w:after="240" w:line="360" w:lineRule="auto"/>
        <w:jc w:val="both"/>
        <w:rPr>
          <w:rFonts w:ascii="Arial" w:hAnsi="Arial" w:cs="Arial"/>
          <w:sz w:val="24"/>
          <w:szCs w:val="24"/>
        </w:rPr>
      </w:pPr>
      <w:r w:rsidRPr="00102989">
        <w:rPr>
          <w:rFonts w:ascii="Arial" w:hAnsi="Arial" w:cs="Arial"/>
          <w:sz w:val="24"/>
          <w:szCs w:val="24"/>
        </w:rPr>
        <w:t>Las demás que le confiera las leyes, este Reglamento y demás disposiciones normativas aplicables, así como, las que expresamente les sean conferidas por el Subsecretario.</w:t>
      </w:r>
    </w:p>
    <w:p w14:paraId="30D6A4AA" w14:textId="77777777" w:rsidR="00FB5B62" w:rsidRDefault="004210CB" w:rsidP="00FB5B6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102989">
        <w:rPr>
          <w:rFonts w:ascii="Arial" w:eastAsia="Arial" w:hAnsi="Arial" w:cs="Arial"/>
          <w:color w:val="000000"/>
          <w:sz w:val="24"/>
          <w:szCs w:val="24"/>
        </w:rPr>
        <w:t xml:space="preserve">Sin embargo, </w:t>
      </w:r>
      <w:r w:rsidR="00FB5B62">
        <w:rPr>
          <w:rFonts w:ascii="Arial" w:eastAsia="Arial" w:hAnsi="Arial" w:cs="Arial"/>
          <w:color w:val="000000"/>
          <w:sz w:val="24"/>
          <w:szCs w:val="24"/>
        </w:rPr>
        <w:t xml:space="preserve">la autoridad fue omisa en citar el fundamento legal que la faculta a </w:t>
      </w:r>
      <w:r w:rsidR="00FB5B62" w:rsidRPr="00FB5B62">
        <w:rPr>
          <w:rFonts w:ascii="Arial" w:eastAsia="Arial" w:hAnsi="Arial" w:cs="Arial"/>
          <w:color w:val="000000"/>
          <w:sz w:val="24"/>
          <w:szCs w:val="24"/>
        </w:rPr>
        <w:t>practicar la comprobación del cumplimiento de las obligaciones fiscales a cargo</w:t>
      </w:r>
      <w:r w:rsidR="00FB5B62">
        <w:rPr>
          <w:rFonts w:ascii="Arial" w:eastAsia="Arial" w:hAnsi="Arial" w:cs="Arial"/>
          <w:color w:val="000000"/>
          <w:sz w:val="24"/>
          <w:szCs w:val="24"/>
        </w:rPr>
        <w:t xml:space="preserve"> </w:t>
      </w:r>
      <w:r w:rsidR="00FB5B62" w:rsidRPr="00FB5B62">
        <w:rPr>
          <w:rFonts w:ascii="Arial" w:eastAsia="Arial" w:hAnsi="Arial" w:cs="Arial"/>
          <w:color w:val="000000"/>
          <w:sz w:val="24"/>
          <w:szCs w:val="24"/>
        </w:rPr>
        <w:t>de los contribuyentes de la Hacienda Pública Estatal a través de requerimientos, visitas</w:t>
      </w:r>
      <w:r w:rsidR="00870541">
        <w:rPr>
          <w:rFonts w:ascii="Arial" w:eastAsia="Arial" w:hAnsi="Arial" w:cs="Arial"/>
          <w:color w:val="000000"/>
          <w:sz w:val="24"/>
          <w:szCs w:val="24"/>
        </w:rPr>
        <w:t xml:space="preserve"> </w:t>
      </w:r>
      <w:r w:rsidR="00FB5B62" w:rsidRPr="00FB5B62">
        <w:rPr>
          <w:rFonts w:ascii="Arial" w:eastAsia="Arial" w:hAnsi="Arial" w:cs="Arial"/>
          <w:color w:val="000000"/>
          <w:sz w:val="24"/>
          <w:szCs w:val="24"/>
        </w:rPr>
        <w:t>domiciliarias, inspección, di</w:t>
      </w:r>
      <w:r w:rsidR="00870541">
        <w:rPr>
          <w:rFonts w:ascii="Arial" w:eastAsia="Arial" w:hAnsi="Arial" w:cs="Arial"/>
          <w:color w:val="000000"/>
          <w:sz w:val="24"/>
          <w:szCs w:val="24"/>
        </w:rPr>
        <w:t>ctámenes, intervención o</w:t>
      </w:r>
      <w:r w:rsidR="00FB5B62" w:rsidRPr="00FB5B62">
        <w:rPr>
          <w:rFonts w:ascii="Arial" w:eastAsia="Arial" w:hAnsi="Arial" w:cs="Arial"/>
          <w:color w:val="000000"/>
          <w:sz w:val="24"/>
          <w:szCs w:val="24"/>
        </w:rPr>
        <w:t xml:space="preserve"> revisiones en las oficinas de la autoridad</w:t>
      </w:r>
      <w:r w:rsidR="00870541">
        <w:rPr>
          <w:rFonts w:ascii="Arial" w:eastAsia="Arial" w:hAnsi="Arial" w:cs="Arial"/>
          <w:color w:val="000000"/>
          <w:sz w:val="24"/>
          <w:szCs w:val="24"/>
        </w:rPr>
        <w:t>.</w:t>
      </w:r>
    </w:p>
    <w:p w14:paraId="3577CBF3" w14:textId="77777777" w:rsidR="00870541" w:rsidRDefault="00870541"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lastRenderedPageBreak/>
        <w:t xml:space="preserve">Es decir, </w:t>
      </w:r>
      <w:r w:rsidR="004210CB" w:rsidRPr="004210CB">
        <w:rPr>
          <w:rFonts w:ascii="Arial" w:eastAsia="Arial" w:hAnsi="Arial" w:cs="Arial"/>
          <w:color w:val="000000"/>
          <w:sz w:val="24"/>
          <w:szCs w:val="24"/>
        </w:rPr>
        <w:t xml:space="preserve">la autoridad demandada </w:t>
      </w:r>
      <w:r>
        <w:rPr>
          <w:rFonts w:ascii="Arial" w:eastAsia="Arial" w:hAnsi="Arial" w:cs="Arial"/>
          <w:color w:val="000000"/>
          <w:sz w:val="24"/>
          <w:szCs w:val="24"/>
        </w:rPr>
        <w:t>omitió citar el ordenamiento legal que la faculta a revisar los documentos o registros de la contribuyente, que la llevaron a descubrir el incumplimiento de la obligación de presentar la</w:t>
      </w:r>
      <w:r w:rsidR="00557E42">
        <w:rPr>
          <w:rFonts w:ascii="Arial" w:eastAsia="Arial" w:hAnsi="Arial" w:cs="Arial"/>
          <w:color w:val="000000"/>
          <w:sz w:val="24"/>
          <w:szCs w:val="24"/>
        </w:rPr>
        <w:t>s Declaracio</w:t>
      </w:r>
      <w:r>
        <w:rPr>
          <w:rFonts w:ascii="Arial" w:eastAsia="Arial" w:hAnsi="Arial" w:cs="Arial"/>
          <w:color w:val="000000"/>
          <w:sz w:val="24"/>
          <w:szCs w:val="24"/>
        </w:rPr>
        <w:t>n</w:t>
      </w:r>
      <w:r w:rsidR="00557E42">
        <w:rPr>
          <w:rFonts w:ascii="Arial" w:eastAsia="Arial" w:hAnsi="Arial" w:cs="Arial"/>
          <w:color w:val="000000"/>
          <w:sz w:val="24"/>
          <w:szCs w:val="24"/>
        </w:rPr>
        <w:t>es</w:t>
      </w:r>
      <w:r>
        <w:rPr>
          <w:rFonts w:ascii="Arial" w:eastAsia="Arial" w:hAnsi="Arial" w:cs="Arial"/>
          <w:color w:val="000000"/>
          <w:sz w:val="24"/>
          <w:szCs w:val="24"/>
        </w:rPr>
        <w:t xml:space="preserve"> del Impuesto sobre Erogaciones por Remuneracion</w:t>
      </w:r>
      <w:r w:rsidR="00557E42">
        <w:rPr>
          <w:rFonts w:ascii="Arial" w:eastAsia="Arial" w:hAnsi="Arial" w:cs="Arial"/>
          <w:color w:val="000000"/>
          <w:sz w:val="24"/>
          <w:szCs w:val="24"/>
        </w:rPr>
        <w:t>es respecto al 3°, 4°, 5° y 6° bi</w:t>
      </w:r>
      <w:r>
        <w:rPr>
          <w:rFonts w:ascii="Arial" w:eastAsia="Arial" w:hAnsi="Arial" w:cs="Arial"/>
          <w:color w:val="000000"/>
          <w:sz w:val="24"/>
          <w:szCs w:val="24"/>
        </w:rPr>
        <w:t>mestre</w:t>
      </w:r>
      <w:r w:rsidR="00557E42">
        <w:rPr>
          <w:rFonts w:ascii="Arial" w:eastAsia="Arial" w:hAnsi="Arial" w:cs="Arial"/>
          <w:color w:val="000000"/>
          <w:sz w:val="24"/>
          <w:szCs w:val="24"/>
        </w:rPr>
        <w:t>s del 2018</w:t>
      </w:r>
      <w:r>
        <w:rPr>
          <w:rFonts w:ascii="Arial" w:eastAsia="Arial" w:hAnsi="Arial" w:cs="Arial"/>
          <w:color w:val="000000"/>
          <w:sz w:val="24"/>
          <w:szCs w:val="24"/>
        </w:rPr>
        <w:t>.</w:t>
      </w:r>
    </w:p>
    <w:p w14:paraId="4FD7F9F9" w14:textId="77777777" w:rsidR="00870541" w:rsidRPr="002210ED" w:rsidRDefault="00870541"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Pues se reitera, como parte de la motivación de la resolución recurrida la autoridad</w:t>
      </w:r>
      <w:r w:rsidR="002210ED">
        <w:rPr>
          <w:rFonts w:ascii="Arial" w:eastAsia="Arial" w:hAnsi="Arial" w:cs="Arial"/>
          <w:color w:val="000000"/>
          <w:sz w:val="24"/>
          <w:szCs w:val="24"/>
        </w:rPr>
        <w:t xml:space="preserve"> manifestó</w:t>
      </w:r>
      <w:r>
        <w:rPr>
          <w:rFonts w:ascii="Arial" w:eastAsia="Arial" w:hAnsi="Arial" w:cs="Arial"/>
          <w:color w:val="000000"/>
          <w:sz w:val="24"/>
          <w:szCs w:val="24"/>
        </w:rPr>
        <w:t>: “</w:t>
      </w:r>
      <w:r w:rsidR="002210ED" w:rsidRPr="004210CB">
        <w:rPr>
          <w:rFonts w:ascii="Arial" w:eastAsia="Arial" w:hAnsi="Arial" w:cs="Arial"/>
          <w:i/>
          <w:color w:val="000000"/>
        </w:rPr>
        <w:t>Atendiendo a lo anterior se realizó una revisión minuciosa en el Registro Estatal de Contribuyentes con que cu</w:t>
      </w:r>
      <w:r w:rsidR="002210ED">
        <w:rPr>
          <w:rFonts w:ascii="Arial" w:eastAsia="Arial" w:hAnsi="Arial" w:cs="Arial"/>
          <w:i/>
          <w:color w:val="000000"/>
        </w:rPr>
        <w:t>enta esta Secretaría; la</w:t>
      </w:r>
      <w:r w:rsidR="002210ED" w:rsidRPr="004210CB">
        <w:rPr>
          <w:rFonts w:ascii="Arial" w:eastAsia="Arial" w:hAnsi="Arial" w:cs="Arial"/>
          <w:i/>
          <w:color w:val="000000"/>
        </w:rPr>
        <w:t xml:space="preserve"> cual contiene los registros contables en materia de declaraciones y pagos; y </w:t>
      </w:r>
      <w:r w:rsidR="002210ED" w:rsidRPr="002210ED">
        <w:rPr>
          <w:rFonts w:ascii="Arial" w:eastAsia="Arial" w:hAnsi="Arial" w:cs="Arial"/>
          <w:b/>
          <w:i/>
          <w:color w:val="000000"/>
          <w:u w:val="single"/>
        </w:rPr>
        <w:t>en el ejercicio de las facultades de revisión al cumplimiento de las declaraciones</w:t>
      </w:r>
      <w:r w:rsidR="002210ED" w:rsidRPr="002210ED">
        <w:rPr>
          <w:rFonts w:ascii="Arial" w:eastAsia="Arial" w:hAnsi="Arial" w:cs="Arial"/>
          <w:b/>
          <w:i/>
          <w:color w:val="000000"/>
        </w:rPr>
        <w:t xml:space="preserve"> y pagos, de los contribuyentes activos e inscritos en materia del Impuesto Sobre Erogaciones por Remuneraciones al Trabajo Personal, se le ha identificado como sujeto obligado en materia del impuesto de referencia</w:t>
      </w:r>
      <w:r w:rsidR="002210ED" w:rsidRPr="004210CB">
        <w:rPr>
          <w:rFonts w:ascii="Arial" w:eastAsia="Arial" w:hAnsi="Arial" w:cs="Arial"/>
          <w:i/>
          <w:color w:val="000000"/>
        </w:rPr>
        <w:t>, y que ha incurrido en el incumplimiento de su (s) obligación (es), toda vez que ha transcurrido en exceso el plazo a que se refiere el artículo 66 de la Ley Estatal de Hacienda vigente, para los ejercicios fiscales que se requieren, para la presentación de la(s) bimestral(les) definitivas(s) y enterar el impuesto que nos ocupa, conforme a lo siguiente</w:t>
      </w:r>
      <w:r w:rsidR="002210ED">
        <w:rPr>
          <w:rFonts w:ascii="Arial" w:eastAsia="Arial" w:hAnsi="Arial" w:cs="Arial"/>
          <w:i/>
          <w:color w:val="000000"/>
        </w:rPr>
        <w:t>.”.</w:t>
      </w:r>
      <w:r w:rsidR="002210ED">
        <w:rPr>
          <w:rFonts w:ascii="Arial" w:eastAsia="Arial" w:hAnsi="Arial" w:cs="Arial"/>
          <w:color w:val="000000"/>
          <w:sz w:val="24"/>
          <w:szCs w:val="24"/>
        </w:rPr>
        <w:t>(lo resaltado es de esta Juzgadora).</w:t>
      </w:r>
    </w:p>
    <w:p w14:paraId="2B9DB759" w14:textId="77777777" w:rsidR="004210CB" w:rsidRPr="004210CB" w:rsidRDefault="002210ED"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En tal contexto, no se dio cumplimiento a lo dispuesto en el </w:t>
      </w:r>
      <w:r w:rsidR="004210CB" w:rsidRPr="004210CB">
        <w:rPr>
          <w:rFonts w:ascii="Arial" w:eastAsia="Arial" w:hAnsi="Arial" w:cs="Arial"/>
          <w:color w:val="000000"/>
          <w:sz w:val="24"/>
          <w:szCs w:val="24"/>
        </w:rPr>
        <w:t>artículo 16</w:t>
      </w:r>
      <w:r w:rsidR="004210CB" w:rsidRPr="004210CB">
        <w:rPr>
          <w:rFonts w:ascii="Arial" w:eastAsia="Arial" w:hAnsi="Arial" w:cs="Arial"/>
          <w:color w:val="000000"/>
          <w:sz w:val="24"/>
          <w:szCs w:val="24"/>
          <w:vertAlign w:val="superscript"/>
        </w:rPr>
        <w:footnoteReference w:id="2"/>
      </w:r>
      <w:r w:rsidR="004210CB" w:rsidRPr="004210CB">
        <w:rPr>
          <w:rFonts w:ascii="Arial" w:eastAsia="Arial" w:hAnsi="Arial" w:cs="Arial"/>
          <w:color w:val="000000"/>
          <w:sz w:val="24"/>
          <w:szCs w:val="24"/>
        </w:rPr>
        <w:t xml:space="preserve"> de la Constitución Política de los Estados Unidos Mexicanos, mismo que establece que todo acto de autoridad debe estar debidamente fundado y motivado; en</w:t>
      </w:r>
      <w:r>
        <w:rPr>
          <w:rFonts w:ascii="Arial" w:eastAsia="Arial" w:hAnsi="Arial" w:cs="Arial"/>
          <w:color w:val="000000"/>
          <w:sz w:val="24"/>
          <w:szCs w:val="24"/>
        </w:rPr>
        <w:t>tendiéndose por fundamentación</w:t>
      </w:r>
      <w:r w:rsidR="004210CB" w:rsidRPr="004210CB">
        <w:rPr>
          <w:rFonts w:ascii="Arial" w:eastAsia="Arial" w:hAnsi="Arial" w:cs="Arial"/>
          <w:color w:val="000000"/>
          <w:sz w:val="24"/>
          <w:szCs w:val="24"/>
        </w:rPr>
        <w:t xml:space="preserve"> que debe expresarse con precisión el precepto legal aplicable al caso; y, como motivación, el señalamiento de las circunstancias especiales, razones particulares o causas inmediatas que se hayan tenido en cuenta para emitir un acto; pero además la autoridad está obligada a realizar una adecuación entre los motivos otorgados y las normas legales invocadas, para </w:t>
      </w:r>
      <w:r w:rsidR="008B5AB2">
        <w:rPr>
          <w:rFonts w:ascii="Arial" w:eastAsia="Arial" w:hAnsi="Arial" w:cs="Arial"/>
          <w:color w:val="000000"/>
          <w:sz w:val="24"/>
          <w:szCs w:val="24"/>
        </w:rPr>
        <w:t xml:space="preserve">que </w:t>
      </w:r>
      <w:r w:rsidR="004210CB" w:rsidRPr="004210CB">
        <w:rPr>
          <w:rFonts w:ascii="Arial" w:eastAsia="Arial" w:hAnsi="Arial" w:cs="Arial"/>
          <w:color w:val="000000"/>
          <w:sz w:val="24"/>
          <w:szCs w:val="24"/>
        </w:rPr>
        <w:t>entonces el acto administrativo resulte legal.</w:t>
      </w:r>
    </w:p>
    <w:p w14:paraId="5C8FAEC4" w14:textId="77777777" w:rsidR="002A526D"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210CB">
        <w:rPr>
          <w:rFonts w:ascii="Arial" w:eastAsia="Arial" w:hAnsi="Arial" w:cs="Arial"/>
          <w:color w:val="000000"/>
          <w:sz w:val="24"/>
          <w:szCs w:val="24"/>
        </w:rPr>
        <w:t>Sirve</w:t>
      </w:r>
      <w:r w:rsidR="000B6029">
        <w:rPr>
          <w:rFonts w:ascii="Arial" w:eastAsia="Arial" w:hAnsi="Arial" w:cs="Arial"/>
          <w:color w:val="000000"/>
          <w:sz w:val="24"/>
          <w:szCs w:val="24"/>
        </w:rPr>
        <w:t>n</w:t>
      </w:r>
      <w:r w:rsidRPr="004210CB">
        <w:rPr>
          <w:rFonts w:ascii="Arial" w:eastAsia="Arial" w:hAnsi="Arial" w:cs="Arial"/>
          <w:color w:val="000000"/>
          <w:sz w:val="24"/>
          <w:szCs w:val="24"/>
        </w:rPr>
        <w:t xml:space="preserve"> de sustento a lo anterior el criterio jurisprudencial</w:t>
      </w:r>
      <w:r w:rsidR="002A526D">
        <w:rPr>
          <w:rFonts w:ascii="Arial" w:eastAsia="Arial" w:hAnsi="Arial" w:cs="Arial"/>
          <w:color w:val="000000"/>
          <w:sz w:val="24"/>
          <w:szCs w:val="24"/>
        </w:rPr>
        <w:t xml:space="preserve"> de datos, rubro y texto siguiente</w:t>
      </w:r>
      <w:r w:rsidR="000B6029">
        <w:rPr>
          <w:rFonts w:ascii="Arial" w:eastAsia="Arial" w:hAnsi="Arial" w:cs="Arial"/>
          <w:color w:val="000000"/>
          <w:sz w:val="24"/>
          <w:szCs w:val="24"/>
        </w:rPr>
        <w:t>s</w:t>
      </w:r>
      <w:r w:rsidR="002A526D">
        <w:rPr>
          <w:rFonts w:ascii="Arial" w:eastAsia="Arial" w:hAnsi="Arial" w:cs="Arial"/>
          <w:color w:val="000000"/>
          <w:sz w:val="24"/>
          <w:szCs w:val="24"/>
        </w:rPr>
        <w:t>:</w:t>
      </w:r>
    </w:p>
    <w:p w14:paraId="0F308274" w14:textId="77777777" w:rsidR="002A526D" w:rsidRPr="000B6029" w:rsidRDefault="002A526D"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0B6029">
        <w:rPr>
          <w:rFonts w:ascii="Arial" w:eastAsia="Arial" w:hAnsi="Arial" w:cs="Arial"/>
          <w:b/>
          <w:color w:val="000000"/>
        </w:rPr>
        <w:t>Tesis:</w:t>
      </w:r>
      <w:r w:rsidR="004210CB" w:rsidRPr="000B6029">
        <w:rPr>
          <w:rFonts w:ascii="Arial" w:eastAsia="Arial" w:hAnsi="Arial" w:cs="Arial"/>
          <w:color w:val="000000"/>
        </w:rPr>
        <w:t xml:space="preserve"> V.2o. J/32,</w:t>
      </w:r>
    </w:p>
    <w:p w14:paraId="5309492C" w14:textId="77777777" w:rsidR="002A526D" w:rsidRPr="000B6029" w:rsidRDefault="002A526D"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0B6029">
        <w:rPr>
          <w:rFonts w:ascii="Arial" w:eastAsia="Arial" w:hAnsi="Arial" w:cs="Arial"/>
          <w:b/>
          <w:color w:val="000000"/>
        </w:rPr>
        <w:t>Instancia:</w:t>
      </w:r>
      <w:r w:rsidRPr="000B6029">
        <w:rPr>
          <w:rFonts w:ascii="Arial" w:eastAsia="Arial" w:hAnsi="Arial" w:cs="Arial"/>
          <w:color w:val="000000"/>
        </w:rPr>
        <w:t xml:space="preserve"> </w:t>
      </w:r>
      <w:r w:rsidR="004210CB" w:rsidRPr="000B6029">
        <w:rPr>
          <w:rFonts w:ascii="Arial" w:eastAsia="Arial" w:hAnsi="Arial" w:cs="Arial"/>
          <w:color w:val="000000"/>
        </w:rPr>
        <w:t>Segundo Tribunal Colegiado del Quinto Circuito</w:t>
      </w:r>
    </w:p>
    <w:p w14:paraId="2648FD32" w14:textId="77777777" w:rsidR="002A526D" w:rsidRPr="000B6029" w:rsidRDefault="002A526D"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r w:rsidRPr="000B6029">
        <w:rPr>
          <w:rFonts w:ascii="Arial" w:eastAsia="Arial" w:hAnsi="Arial" w:cs="Arial"/>
          <w:b/>
          <w:color w:val="000000"/>
        </w:rPr>
        <w:t>O</w:t>
      </w:r>
      <w:r w:rsidR="004210CB" w:rsidRPr="000B6029">
        <w:rPr>
          <w:rFonts w:ascii="Arial" w:eastAsia="Arial" w:hAnsi="Arial" w:cs="Arial"/>
          <w:b/>
          <w:color w:val="000000"/>
        </w:rPr>
        <w:t>ctava época</w:t>
      </w:r>
    </w:p>
    <w:p w14:paraId="59262355" w14:textId="77777777" w:rsidR="002A526D" w:rsidRPr="000B6029" w:rsidRDefault="002A526D"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0B6029">
        <w:rPr>
          <w:rFonts w:ascii="Arial" w:eastAsia="Arial" w:hAnsi="Arial" w:cs="Arial"/>
          <w:b/>
          <w:color w:val="000000"/>
        </w:rPr>
        <w:t>Fuente:</w:t>
      </w:r>
      <w:r w:rsidR="004210CB" w:rsidRPr="000B6029">
        <w:rPr>
          <w:rFonts w:ascii="Arial" w:eastAsia="Arial" w:hAnsi="Arial" w:cs="Arial"/>
          <w:color w:val="000000"/>
        </w:rPr>
        <w:t xml:space="preserve"> Gaceta del Semanario Judicial de la Federación, bajo el número 54, de junio de 1992,</w:t>
      </w:r>
    </w:p>
    <w:p w14:paraId="27264840" w14:textId="77777777" w:rsidR="002A526D" w:rsidRDefault="002A526D"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0B6029">
        <w:rPr>
          <w:rFonts w:ascii="Arial" w:eastAsia="Arial" w:hAnsi="Arial" w:cs="Arial"/>
          <w:b/>
          <w:color w:val="000000"/>
        </w:rPr>
        <w:t>P</w:t>
      </w:r>
      <w:r w:rsidR="004210CB" w:rsidRPr="000B6029">
        <w:rPr>
          <w:rFonts w:ascii="Arial" w:eastAsia="Arial" w:hAnsi="Arial" w:cs="Arial"/>
          <w:b/>
          <w:color w:val="000000"/>
        </w:rPr>
        <w:t xml:space="preserve">ágina </w:t>
      </w:r>
      <w:r w:rsidR="004210CB" w:rsidRPr="000B6029">
        <w:rPr>
          <w:rFonts w:ascii="Arial" w:eastAsia="Arial" w:hAnsi="Arial" w:cs="Arial"/>
          <w:color w:val="000000"/>
        </w:rPr>
        <w:t>49,</w:t>
      </w:r>
    </w:p>
    <w:p w14:paraId="02AE86F6" w14:textId="77777777" w:rsidR="000B6029" w:rsidRPr="000B6029" w:rsidRDefault="000B6029"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7C7C3852" w14:textId="77777777" w:rsidR="002A526D" w:rsidRDefault="004210CB"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0B6029">
        <w:rPr>
          <w:rFonts w:ascii="Arial" w:eastAsia="Arial" w:hAnsi="Arial" w:cs="Arial"/>
          <w:b/>
          <w:color w:val="000000"/>
        </w:rPr>
        <w:t>FUNDAMENTACIÓN Y MOTIVACIÓN</w:t>
      </w:r>
      <w:r w:rsidRPr="000B6029">
        <w:rPr>
          <w:rFonts w:ascii="Arial" w:eastAsia="Arial" w:hAnsi="Arial" w:cs="Arial"/>
          <w:color w:val="000000"/>
        </w:rPr>
        <w:t xml:space="preserve">. </w:t>
      </w:r>
    </w:p>
    <w:p w14:paraId="4489A165" w14:textId="77777777" w:rsidR="000B6029" w:rsidRPr="000B6029" w:rsidRDefault="000B6029"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6F0176FB" w14:textId="77777777" w:rsidR="004210CB" w:rsidRDefault="004210CB"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0B6029">
        <w:rPr>
          <w:rFonts w:ascii="Arial" w:eastAsia="Arial" w:hAnsi="Arial" w:cs="Arial"/>
          <w:color w:val="000000"/>
        </w:rPr>
        <w:t xml:space="preserve">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w:t>
      </w:r>
      <w:r w:rsidRPr="000B6029">
        <w:rPr>
          <w:rFonts w:ascii="Arial" w:eastAsia="Arial" w:hAnsi="Arial" w:cs="Arial"/>
          <w:color w:val="000000"/>
        </w:rPr>
        <w:lastRenderedPageBreak/>
        <w:t>especiales, razones particulares o causas inmediatas que se hayan tenido en consideración para la emisión del acto; siendo necesario, además, que exista adecuación entre los motivos aducidos y las normas aplicables, es decir, que en el caso concreto se confi</w:t>
      </w:r>
      <w:r w:rsidR="000B6029" w:rsidRPr="000B6029">
        <w:rPr>
          <w:rFonts w:ascii="Arial" w:eastAsia="Arial" w:hAnsi="Arial" w:cs="Arial"/>
          <w:color w:val="000000"/>
        </w:rPr>
        <w:t>guren las hipótesis normativas.</w:t>
      </w:r>
    </w:p>
    <w:p w14:paraId="263E6C7A" w14:textId="77777777" w:rsid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43D4505F" w14:textId="77777777"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Registro digital</w:t>
      </w:r>
      <w:r w:rsidRPr="008F3C66">
        <w:rPr>
          <w:rFonts w:ascii="Arial" w:eastAsia="Arial" w:hAnsi="Arial" w:cs="Arial"/>
          <w:color w:val="000000"/>
        </w:rPr>
        <w:t>: 175082</w:t>
      </w:r>
    </w:p>
    <w:p w14:paraId="431C345D" w14:textId="77777777"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Instancia</w:t>
      </w:r>
      <w:r w:rsidRPr="008F3C66">
        <w:rPr>
          <w:rFonts w:ascii="Arial" w:eastAsia="Arial" w:hAnsi="Arial" w:cs="Arial"/>
          <w:color w:val="000000"/>
        </w:rPr>
        <w:t>: Tribunales Colegiados de Circuito</w:t>
      </w:r>
    </w:p>
    <w:p w14:paraId="2C11A42F" w14:textId="77777777"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r w:rsidRPr="008F3C66">
        <w:rPr>
          <w:rFonts w:ascii="Arial" w:eastAsia="Arial" w:hAnsi="Arial" w:cs="Arial"/>
          <w:b/>
          <w:color w:val="000000"/>
        </w:rPr>
        <w:t>Novena Época</w:t>
      </w:r>
    </w:p>
    <w:p w14:paraId="3BD47518" w14:textId="77777777"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Materia(s):</w:t>
      </w:r>
      <w:r w:rsidRPr="008F3C66">
        <w:rPr>
          <w:rFonts w:ascii="Arial" w:eastAsia="Arial" w:hAnsi="Arial" w:cs="Arial"/>
          <w:color w:val="000000"/>
        </w:rPr>
        <w:t xml:space="preserve"> Común</w:t>
      </w:r>
    </w:p>
    <w:p w14:paraId="609CE146" w14:textId="77777777"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Tesis:</w:t>
      </w:r>
      <w:r w:rsidRPr="008F3C66">
        <w:rPr>
          <w:rFonts w:ascii="Arial" w:eastAsia="Arial" w:hAnsi="Arial" w:cs="Arial"/>
          <w:color w:val="000000"/>
        </w:rPr>
        <w:t xml:space="preserve"> I.4o.A. J/43</w:t>
      </w:r>
    </w:p>
    <w:p w14:paraId="7D7B262C" w14:textId="77777777"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Fuente:</w:t>
      </w:r>
      <w:r w:rsidRPr="008F3C66">
        <w:rPr>
          <w:rFonts w:ascii="Arial" w:eastAsia="Arial" w:hAnsi="Arial" w:cs="Arial"/>
          <w:color w:val="000000"/>
        </w:rPr>
        <w:t xml:space="preserve"> Semanario Judicial de la Federación y su Gaceta.</w:t>
      </w:r>
    </w:p>
    <w:p w14:paraId="78746DD4" w14:textId="77777777"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 xml:space="preserve">Tomo </w:t>
      </w:r>
      <w:r w:rsidRPr="008F3C66">
        <w:rPr>
          <w:rFonts w:ascii="Arial" w:eastAsia="Arial" w:hAnsi="Arial" w:cs="Arial"/>
          <w:color w:val="000000"/>
        </w:rPr>
        <w:t xml:space="preserve">XXIII, </w:t>
      </w:r>
      <w:proofErr w:type="gramStart"/>
      <w:r w:rsidRPr="008F3C66">
        <w:rPr>
          <w:rFonts w:ascii="Arial" w:eastAsia="Arial" w:hAnsi="Arial" w:cs="Arial"/>
          <w:color w:val="000000"/>
        </w:rPr>
        <w:t>Mayo</w:t>
      </w:r>
      <w:proofErr w:type="gramEnd"/>
      <w:r w:rsidRPr="008F3C66">
        <w:rPr>
          <w:rFonts w:ascii="Arial" w:eastAsia="Arial" w:hAnsi="Arial" w:cs="Arial"/>
          <w:color w:val="000000"/>
        </w:rPr>
        <w:t xml:space="preserve"> de 2006, página 1531</w:t>
      </w:r>
    </w:p>
    <w:p w14:paraId="25A643FF" w14:textId="77777777" w:rsid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Tipo:</w:t>
      </w:r>
      <w:r w:rsidRPr="008F3C66">
        <w:rPr>
          <w:rFonts w:ascii="Arial" w:eastAsia="Arial" w:hAnsi="Arial" w:cs="Arial"/>
          <w:color w:val="000000"/>
        </w:rPr>
        <w:t xml:space="preserve"> Jurisprudencia</w:t>
      </w:r>
    </w:p>
    <w:p w14:paraId="768B495A" w14:textId="77777777" w:rsid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5889F8FB" w14:textId="77777777" w:rsidR="000B6029" w:rsidRPr="008F3C66" w:rsidRDefault="008F3C66"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r w:rsidRPr="008F3C66">
        <w:rPr>
          <w:rFonts w:ascii="Arial" w:eastAsia="Arial" w:hAnsi="Arial" w:cs="Arial"/>
          <w:b/>
          <w:color w:val="000000"/>
        </w:rPr>
        <w:t>FUNDAMENTACIÓN Y MOTIVACIÓN. EL ASPECTO FORMAL DE LA GARANTÍA Y SU FINALIDAD SE TRADUCEN EN EXPLICAR, JUSTIFICAR, POSIBILITAR LA DEFENSA Y COMUNICAR LA DECISIÓN.</w:t>
      </w:r>
    </w:p>
    <w:p w14:paraId="4021959E" w14:textId="77777777" w:rsidR="008F3C66" w:rsidRPr="008F3C66" w:rsidRDefault="008F3C66"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p>
    <w:p w14:paraId="63759F78" w14:textId="77777777" w:rsidR="008F3C66" w:rsidRDefault="008F3C66"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color w:val="000000"/>
        </w:rPr>
        <w:t>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3273ACF7" w14:textId="77777777" w:rsidR="008F3C66" w:rsidRDefault="008F3C66"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1ABF4890" w14:textId="77777777" w:rsidR="008F3C66" w:rsidRDefault="008F3C66"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color w:val="000000"/>
        </w:rPr>
        <w:t>CUARTO TRIBUNAL COLEGIADO EN MATERIA ADMINISTRATIVA DEL PRIMER CIRCUITO.</w:t>
      </w:r>
    </w:p>
    <w:p w14:paraId="374F8512" w14:textId="77777777" w:rsidR="000B6029" w:rsidRPr="000B6029" w:rsidRDefault="000B6029"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00B0C555" w14:textId="77777777" w:rsidR="004210CB" w:rsidRPr="004210CB" w:rsidRDefault="004210CB" w:rsidP="004210CB">
      <w:pPr>
        <w:spacing w:after="0" w:line="240" w:lineRule="auto"/>
      </w:pPr>
    </w:p>
    <w:p w14:paraId="188EED6D" w14:textId="76178E04" w:rsidR="008F3C66"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bCs/>
          <w:spacing w:val="-3"/>
          <w:sz w:val="24"/>
          <w:szCs w:val="24"/>
          <w:lang w:val="es-ES_tradnl"/>
        </w:rPr>
      </w:pPr>
      <w:r w:rsidRPr="004210CB">
        <w:rPr>
          <w:rFonts w:ascii="Arial" w:eastAsia="Arial" w:hAnsi="Arial" w:cs="Arial"/>
          <w:color w:val="000000"/>
          <w:sz w:val="24"/>
          <w:szCs w:val="24"/>
        </w:rPr>
        <w:t>Consecuentemente, la demandada incumplió con la obligación que tiene de fundar y mot</w:t>
      </w:r>
      <w:r w:rsidR="008F3C66">
        <w:rPr>
          <w:rFonts w:ascii="Arial" w:eastAsia="Arial" w:hAnsi="Arial" w:cs="Arial"/>
          <w:color w:val="000000"/>
          <w:sz w:val="24"/>
          <w:szCs w:val="24"/>
        </w:rPr>
        <w:t>ivar su acto, al omitir citar los</w:t>
      </w:r>
      <w:r w:rsidRPr="004210CB">
        <w:rPr>
          <w:rFonts w:ascii="Arial" w:eastAsia="Arial" w:hAnsi="Arial" w:cs="Arial"/>
          <w:color w:val="000000"/>
          <w:sz w:val="24"/>
          <w:szCs w:val="24"/>
        </w:rPr>
        <w:t xml:space="preserve"> precepto</w:t>
      </w:r>
      <w:r w:rsidR="008F3C66">
        <w:rPr>
          <w:rFonts w:ascii="Arial" w:eastAsia="Arial" w:hAnsi="Arial" w:cs="Arial"/>
          <w:color w:val="000000"/>
          <w:sz w:val="24"/>
          <w:szCs w:val="24"/>
        </w:rPr>
        <w:t>s</w:t>
      </w:r>
      <w:r w:rsidRPr="004210CB">
        <w:rPr>
          <w:rFonts w:ascii="Arial" w:eastAsia="Arial" w:hAnsi="Arial" w:cs="Arial"/>
          <w:color w:val="000000"/>
          <w:sz w:val="24"/>
          <w:szCs w:val="24"/>
        </w:rPr>
        <w:t xml:space="preserve"> legal</w:t>
      </w:r>
      <w:r w:rsidR="008F3C66">
        <w:rPr>
          <w:rFonts w:ascii="Arial" w:eastAsia="Arial" w:hAnsi="Arial" w:cs="Arial"/>
          <w:color w:val="000000"/>
          <w:sz w:val="24"/>
          <w:szCs w:val="24"/>
        </w:rPr>
        <w:t>es que la</w:t>
      </w:r>
      <w:r w:rsidRPr="004210CB">
        <w:rPr>
          <w:rFonts w:ascii="Arial" w:eastAsia="Arial" w:hAnsi="Arial" w:cs="Arial"/>
          <w:color w:val="000000"/>
          <w:sz w:val="24"/>
          <w:szCs w:val="24"/>
        </w:rPr>
        <w:t xml:space="preserve"> faculta</w:t>
      </w:r>
      <w:r w:rsidR="008F3C66">
        <w:rPr>
          <w:rFonts w:ascii="Arial" w:eastAsia="Arial" w:hAnsi="Arial" w:cs="Arial"/>
          <w:color w:val="000000"/>
          <w:sz w:val="24"/>
          <w:szCs w:val="24"/>
        </w:rPr>
        <w:t>n</w:t>
      </w:r>
      <w:r w:rsidRPr="004210CB">
        <w:rPr>
          <w:rFonts w:ascii="Arial" w:eastAsia="Arial" w:hAnsi="Arial" w:cs="Arial"/>
          <w:color w:val="000000"/>
          <w:sz w:val="24"/>
          <w:szCs w:val="24"/>
        </w:rPr>
        <w:t xml:space="preserve"> para emitir el acto </w:t>
      </w:r>
      <w:r w:rsidR="002A526D">
        <w:rPr>
          <w:rFonts w:ascii="Arial" w:eastAsia="Arial" w:hAnsi="Arial" w:cs="Arial"/>
          <w:color w:val="000000"/>
          <w:sz w:val="24"/>
          <w:szCs w:val="24"/>
        </w:rPr>
        <w:t>recurrido</w:t>
      </w:r>
      <w:r w:rsidRPr="004210CB">
        <w:rPr>
          <w:rFonts w:ascii="Arial" w:eastAsia="Arial" w:hAnsi="Arial" w:cs="Arial"/>
          <w:color w:val="000000"/>
          <w:sz w:val="24"/>
          <w:szCs w:val="24"/>
        </w:rPr>
        <w:t xml:space="preserve">, por lo que, resulta procedente declarar la </w:t>
      </w:r>
      <w:r w:rsidRPr="004210CB">
        <w:rPr>
          <w:rFonts w:ascii="Arial" w:eastAsia="Arial" w:hAnsi="Arial" w:cs="Arial"/>
          <w:b/>
          <w:color w:val="000000"/>
          <w:sz w:val="24"/>
          <w:szCs w:val="24"/>
        </w:rPr>
        <w:t>NULIDAD LISA Y LLANA</w:t>
      </w:r>
      <w:r w:rsidR="008F3C66">
        <w:rPr>
          <w:rFonts w:ascii="Arial" w:eastAsia="Arial" w:hAnsi="Arial" w:cs="Arial"/>
          <w:color w:val="000000"/>
          <w:sz w:val="24"/>
          <w:szCs w:val="24"/>
        </w:rPr>
        <w:t xml:space="preserve"> de</w:t>
      </w:r>
      <w:r w:rsidR="00557E42">
        <w:rPr>
          <w:rFonts w:ascii="Arial" w:eastAsia="Arial" w:hAnsi="Arial" w:cs="Arial"/>
          <w:color w:val="000000"/>
          <w:sz w:val="24"/>
          <w:szCs w:val="24"/>
        </w:rPr>
        <w:t xml:space="preserve"> l</w:t>
      </w:r>
      <w:r w:rsidR="00CC3121">
        <w:rPr>
          <w:rFonts w:ascii="Arial" w:eastAsia="Arial" w:hAnsi="Arial" w:cs="Arial"/>
          <w:color w:val="000000"/>
          <w:sz w:val="24"/>
          <w:szCs w:val="24"/>
        </w:rPr>
        <w:t>a m</w:t>
      </w:r>
      <w:r w:rsidR="00CC3121" w:rsidRPr="004210CB">
        <w:rPr>
          <w:rFonts w:ascii="Arial" w:eastAsia="Arial" w:hAnsi="Arial" w:cs="Arial"/>
          <w:color w:val="000000"/>
          <w:sz w:val="24"/>
          <w:szCs w:val="24"/>
        </w:rPr>
        <w:t>ulta por infracción establecida en el Código Fiscal para el Estado de Oaxaca, con número de control</w:t>
      </w:r>
      <w:r w:rsidR="00CC3121" w:rsidRPr="004210CB">
        <w:rPr>
          <w:rFonts w:ascii="Arial" w:hAnsi="Arial" w:cs="Arial"/>
          <w:sz w:val="24"/>
          <w:szCs w:val="24"/>
        </w:rPr>
        <w:t xml:space="preserve"> </w:t>
      </w:r>
      <w:r w:rsidR="00511CD6">
        <w:rPr>
          <w:rFonts w:ascii="Arial" w:hAnsi="Arial" w:cs="Arial"/>
          <w:b/>
          <w:color w:val="FF0000"/>
          <w:sz w:val="24"/>
          <w:szCs w:val="24"/>
        </w:rPr>
        <w:t>**********</w:t>
      </w:r>
      <w:r w:rsidR="00CC3121" w:rsidRPr="004210CB">
        <w:rPr>
          <w:rFonts w:ascii="Arial" w:hAnsi="Arial" w:cs="Arial"/>
          <w:color w:val="FF0000"/>
          <w:sz w:val="24"/>
          <w:szCs w:val="24"/>
        </w:rPr>
        <w:t xml:space="preserve"> </w:t>
      </w:r>
      <w:r w:rsidR="00CC3121" w:rsidRPr="004210CB">
        <w:rPr>
          <w:rFonts w:ascii="Arial" w:hAnsi="Arial" w:cs="Arial"/>
          <w:sz w:val="24"/>
          <w:szCs w:val="24"/>
        </w:rPr>
        <w:t>de</w:t>
      </w:r>
      <w:r w:rsidR="00557E42">
        <w:rPr>
          <w:rFonts w:ascii="Arial" w:hAnsi="Arial" w:cs="Arial"/>
          <w:sz w:val="24"/>
          <w:szCs w:val="24"/>
        </w:rPr>
        <w:t xml:space="preserve"> fecha diecinueve de febrero</w:t>
      </w:r>
      <w:r w:rsidR="00CC3121">
        <w:rPr>
          <w:rFonts w:ascii="Arial" w:hAnsi="Arial" w:cs="Arial"/>
          <w:sz w:val="24"/>
          <w:szCs w:val="24"/>
        </w:rPr>
        <w:t xml:space="preserve"> de </w:t>
      </w:r>
      <w:r w:rsidR="00CC3121" w:rsidRPr="004210CB">
        <w:rPr>
          <w:rFonts w:ascii="Arial" w:hAnsi="Arial" w:cs="Arial"/>
          <w:sz w:val="24"/>
          <w:szCs w:val="24"/>
        </w:rPr>
        <w:t>dos mil diecinueve</w:t>
      </w:r>
      <w:r w:rsidR="00CC3121" w:rsidRPr="004210CB">
        <w:rPr>
          <w:rFonts w:ascii="Arial" w:eastAsia="Arial" w:hAnsi="Arial" w:cs="Arial"/>
          <w:color w:val="000000"/>
          <w:sz w:val="24"/>
          <w:szCs w:val="24"/>
        </w:rPr>
        <w:t>, emitida por la Directora de Ingresos y Recaudación de la Subsecretaría de Ingresos de la Secretaría de Finanzas del Gobierno del Estado de Oaxaca</w:t>
      </w:r>
      <w:r w:rsidR="0085463C">
        <w:rPr>
          <w:rFonts w:ascii="Arial" w:eastAsia="Arial" w:hAnsi="Arial" w:cs="Arial"/>
          <w:color w:val="000000"/>
          <w:sz w:val="24"/>
          <w:szCs w:val="24"/>
        </w:rPr>
        <w:t>.</w:t>
      </w:r>
    </w:p>
    <w:p w14:paraId="3E373422" w14:textId="77777777" w:rsidR="00082ACA" w:rsidRDefault="00082ACA" w:rsidP="00082ACA">
      <w:pPr>
        <w:spacing w:after="240" w:line="360" w:lineRule="auto"/>
        <w:ind w:right="-1" w:firstLine="567"/>
        <w:jc w:val="both"/>
        <w:rPr>
          <w:rFonts w:ascii="Arial" w:eastAsia="Times New Roman" w:hAnsi="Arial" w:cs="Times New Roman"/>
          <w:bCs/>
          <w:sz w:val="24"/>
          <w:szCs w:val="24"/>
          <w:lang w:val="es-ES_tradnl" w:eastAsia="x-none"/>
        </w:rPr>
      </w:pPr>
      <w:r w:rsidRPr="00082ACA">
        <w:rPr>
          <w:rFonts w:ascii="Arial" w:eastAsia="Times New Roman" w:hAnsi="Arial" w:cs="Times New Roman"/>
          <w:bCs/>
          <w:sz w:val="24"/>
          <w:szCs w:val="24"/>
          <w:lang w:val="es-ES_tradnl" w:eastAsia="x-none"/>
        </w:rPr>
        <w:t xml:space="preserve">Por lo que, se ordena a la </w:t>
      </w:r>
      <w:r w:rsidRPr="00082ACA">
        <w:rPr>
          <w:rFonts w:ascii="Arial" w:eastAsia="Times New Roman" w:hAnsi="Arial" w:cs="Times New Roman"/>
          <w:b/>
          <w:sz w:val="24"/>
          <w:szCs w:val="24"/>
          <w:lang w:val="es-ES_tradnl" w:eastAsia="x-none"/>
        </w:rPr>
        <w:t xml:space="preserve">autoridad demandada </w:t>
      </w:r>
      <w:r w:rsidRPr="00082ACA">
        <w:rPr>
          <w:rFonts w:ascii="Arial" w:eastAsia="Times New Roman" w:hAnsi="Arial" w:cs="Times New Roman"/>
          <w:bCs/>
          <w:sz w:val="24"/>
          <w:szCs w:val="24"/>
          <w:lang w:val="es-ES_tradnl" w:eastAsia="x-none"/>
        </w:rPr>
        <w:t>proceda a la cancelación de la multa impuesta y en su momento realice la baja del sistema de control digital que el efecto lleva la Dirección de Ingresos de la Secretaría de Finanzas del Estado.</w:t>
      </w:r>
    </w:p>
    <w:p w14:paraId="66D7D0E8" w14:textId="77777777" w:rsidR="00082ACA" w:rsidRPr="00082ACA" w:rsidRDefault="00082ACA" w:rsidP="00082ACA">
      <w:pPr>
        <w:spacing w:after="0" w:line="360" w:lineRule="auto"/>
        <w:ind w:right="-1" w:firstLine="567"/>
        <w:jc w:val="both"/>
        <w:rPr>
          <w:rFonts w:ascii="Arial" w:eastAsia="Times New Roman" w:hAnsi="Arial" w:cs="Arial"/>
          <w:sz w:val="24"/>
          <w:szCs w:val="24"/>
          <w:lang w:val="es-ES_tradnl" w:eastAsia="x-none"/>
        </w:rPr>
      </w:pPr>
      <w:r w:rsidRPr="00082ACA">
        <w:rPr>
          <w:rFonts w:ascii="Arial" w:eastAsia="Times New Roman" w:hAnsi="Arial" w:cs="Arial"/>
          <w:sz w:val="24"/>
          <w:szCs w:val="24"/>
          <w:lang w:val="es-ES_tradnl" w:eastAsia="x-none"/>
        </w:rPr>
        <w:t>Por último, es preciso establecer que los tribunales deben ocuparse de todos los planteamientos formulados por las partes, pero también, que al resultar fundado</w:t>
      </w:r>
      <w:r>
        <w:rPr>
          <w:rFonts w:ascii="Arial" w:eastAsia="Times New Roman" w:hAnsi="Arial" w:cs="Arial"/>
          <w:sz w:val="24"/>
          <w:szCs w:val="24"/>
          <w:lang w:val="es-ES_tradnl" w:eastAsia="x-none"/>
        </w:rPr>
        <w:t>s los</w:t>
      </w:r>
      <w:r w:rsidRPr="00082ACA">
        <w:rPr>
          <w:rFonts w:ascii="Arial" w:eastAsia="Times New Roman" w:hAnsi="Arial" w:cs="Arial"/>
          <w:sz w:val="24"/>
          <w:szCs w:val="24"/>
          <w:lang w:val="es-ES_tradnl" w:eastAsia="x-none"/>
        </w:rPr>
        <w:t xml:space="preserve"> concepto</w:t>
      </w:r>
      <w:r>
        <w:rPr>
          <w:rFonts w:ascii="Arial" w:eastAsia="Times New Roman" w:hAnsi="Arial" w:cs="Arial"/>
          <w:sz w:val="24"/>
          <w:szCs w:val="24"/>
          <w:lang w:val="es-ES_tradnl" w:eastAsia="x-none"/>
        </w:rPr>
        <w:t>s</w:t>
      </w:r>
      <w:r w:rsidRPr="00082ACA">
        <w:rPr>
          <w:rFonts w:ascii="Arial" w:eastAsia="Times New Roman" w:hAnsi="Arial" w:cs="Arial"/>
          <w:sz w:val="24"/>
          <w:szCs w:val="24"/>
          <w:lang w:val="es-ES_tradnl" w:eastAsia="x-none"/>
        </w:rPr>
        <w:t xml:space="preserve"> de impugnación antes analizado</w:t>
      </w:r>
      <w:r>
        <w:rPr>
          <w:rFonts w:ascii="Arial" w:eastAsia="Times New Roman" w:hAnsi="Arial" w:cs="Arial"/>
          <w:sz w:val="24"/>
          <w:szCs w:val="24"/>
          <w:lang w:val="es-ES_tradnl" w:eastAsia="x-none"/>
        </w:rPr>
        <w:t>s</w:t>
      </w:r>
      <w:r w:rsidRPr="00082ACA">
        <w:rPr>
          <w:rFonts w:ascii="Arial" w:eastAsia="Times New Roman" w:hAnsi="Arial" w:cs="Arial"/>
          <w:sz w:val="24"/>
          <w:szCs w:val="24"/>
          <w:lang w:val="es-ES_tradnl" w:eastAsia="x-none"/>
        </w:rPr>
        <w:t>, debe</w:t>
      </w:r>
      <w:r>
        <w:rPr>
          <w:rFonts w:ascii="Arial" w:eastAsia="Times New Roman" w:hAnsi="Arial" w:cs="Arial"/>
          <w:sz w:val="24"/>
          <w:szCs w:val="24"/>
          <w:lang w:val="es-ES_tradnl" w:eastAsia="x-none"/>
        </w:rPr>
        <w:t>n</w:t>
      </w:r>
      <w:r w:rsidRPr="00082ACA">
        <w:rPr>
          <w:rFonts w:ascii="Arial" w:eastAsia="Times New Roman" w:hAnsi="Arial" w:cs="Arial"/>
          <w:sz w:val="24"/>
          <w:szCs w:val="24"/>
          <w:lang w:val="es-ES_tradnl" w:eastAsia="x-none"/>
        </w:rPr>
        <w:t xml:space="preserve"> considerarse suficiente</w:t>
      </w:r>
      <w:r>
        <w:rPr>
          <w:rFonts w:ascii="Arial" w:eastAsia="Times New Roman" w:hAnsi="Arial" w:cs="Arial"/>
          <w:sz w:val="24"/>
          <w:szCs w:val="24"/>
          <w:lang w:val="es-ES_tradnl" w:eastAsia="x-none"/>
        </w:rPr>
        <w:t>s</w:t>
      </w:r>
      <w:r w:rsidRPr="00082ACA">
        <w:rPr>
          <w:rFonts w:ascii="Arial" w:eastAsia="Times New Roman" w:hAnsi="Arial" w:cs="Arial"/>
          <w:sz w:val="24"/>
          <w:szCs w:val="24"/>
          <w:lang w:val="es-ES_tradnl" w:eastAsia="x-none"/>
        </w:rPr>
        <w:t xml:space="preserve"> par</w:t>
      </w:r>
      <w:r>
        <w:rPr>
          <w:rFonts w:ascii="Arial" w:eastAsia="Times New Roman" w:hAnsi="Arial" w:cs="Arial"/>
          <w:sz w:val="24"/>
          <w:szCs w:val="24"/>
          <w:lang w:val="es-ES_tradnl" w:eastAsia="x-none"/>
        </w:rPr>
        <w:t>a arribar a la declaración de</w:t>
      </w:r>
      <w:r w:rsidRPr="00082ACA">
        <w:rPr>
          <w:rFonts w:ascii="Arial" w:eastAsia="Times New Roman" w:hAnsi="Arial" w:cs="Arial"/>
          <w:sz w:val="24"/>
          <w:szCs w:val="24"/>
          <w:lang w:val="es-ES_tradnl" w:eastAsia="x-none"/>
        </w:rPr>
        <w:t xml:space="preserve"> nulidad; por ello resulta innecesario el análisis de los demás planteamientos formulados en la demanda, atento al principio de </w:t>
      </w:r>
      <w:r w:rsidRPr="00082ACA">
        <w:rPr>
          <w:rFonts w:ascii="Arial" w:eastAsia="Times New Roman" w:hAnsi="Arial" w:cs="Arial"/>
          <w:sz w:val="24"/>
          <w:szCs w:val="24"/>
          <w:lang w:val="es-ES_tradnl" w:eastAsia="x-none"/>
        </w:rPr>
        <w:lastRenderedPageBreak/>
        <w:t xml:space="preserve">economía procesal, dado que no tendría el efecto de revertir la ilegalidad señalada, virtud a que fue suficiente lo analizado para declarar la nulidad del acto impugnado, pretensión principal de la parte actora. </w:t>
      </w:r>
    </w:p>
    <w:p w14:paraId="007640A2" w14:textId="77777777" w:rsidR="00082ACA" w:rsidRPr="00082ACA" w:rsidRDefault="00082ACA" w:rsidP="00082ACA">
      <w:pPr>
        <w:spacing w:after="0" w:line="360" w:lineRule="auto"/>
        <w:ind w:right="-1" w:firstLine="567"/>
        <w:jc w:val="both"/>
        <w:rPr>
          <w:rFonts w:ascii="Arial" w:eastAsia="Times New Roman" w:hAnsi="Arial" w:cs="Arial"/>
          <w:sz w:val="24"/>
          <w:szCs w:val="24"/>
          <w:lang w:val="es-ES_tradnl" w:eastAsia="x-none"/>
        </w:rPr>
      </w:pPr>
    </w:p>
    <w:p w14:paraId="539A2CFD" w14:textId="77777777" w:rsidR="00082ACA" w:rsidRPr="00082ACA" w:rsidRDefault="00082ACA" w:rsidP="00082ACA">
      <w:pPr>
        <w:spacing w:after="0" w:line="360" w:lineRule="auto"/>
        <w:ind w:right="-1" w:firstLine="567"/>
        <w:jc w:val="both"/>
        <w:rPr>
          <w:rFonts w:ascii="Arial" w:eastAsia="Times New Roman" w:hAnsi="Arial" w:cs="Arial"/>
          <w:sz w:val="24"/>
          <w:szCs w:val="24"/>
          <w:lang w:val="es-ES_tradnl" w:eastAsia="x-none"/>
        </w:rPr>
      </w:pPr>
      <w:r w:rsidRPr="00082ACA">
        <w:rPr>
          <w:rFonts w:ascii="Arial" w:eastAsia="Times New Roman" w:hAnsi="Arial" w:cs="Arial"/>
          <w:sz w:val="24"/>
          <w:szCs w:val="24"/>
          <w:lang w:val="es-ES_tradnl" w:eastAsia="x-none"/>
        </w:rPr>
        <w:t>Tiene exacta aplicación la jurisprudencia de contenido y datos de identificación siguientes:</w:t>
      </w:r>
    </w:p>
    <w:p w14:paraId="5CBCD135" w14:textId="77777777" w:rsidR="00082ACA" w:rsidRPr="00082ACA" w:rsidRDefault="00082ACA" w:rsidP="00082ACA">
      <w:pPr>
        <w:spacing w:after="0" w:line="240" w:lineRule="auto"/>
        <w:ind w:left="567" w:right="335"/>
        <w:jc w:val="both"/>
        <w:rPr>
          <w:rFonts w:ascii="Arial" w:eastAsia="Times New Roman" w:hAnsi="Arial" w:cs="Arial"/>
          <w:lang w:val="es-ES_tradnl" w:eastAsia="x-none"/>
        </w:rPr>
      </w:pPr>
    </w:p>
    <w:p w14:paraId="52B2C7C1" w14:textId="77777777" w:rsidR="00082ACA" w:rsidRPr="00082ACA" w:rsidRDefault="00082ACA" w:rsidP="00082ACA">
      <w:pPr>
        <w:spacing w:after="0" w:line="240" w:lineRule="auto"/>
        <w:ind w:left="567" w:right="335"/>
        <w:jc w:val="both"/>
        <w:rPr>
          <w:rFonts w:ascii="Arial" w:eastAsia="Times New Roman" w:hAnsi="Arial" w:cs="Arial"/>
          <w:lang w:val="es-ES_tradnl" w:eastAsia="x-none"/>
        </w:rPr>
      </w:pPr>
      <w:r w:rsidRPr="00082ACA">
        <w:rPr>
          <w:rFonts w:ascii="Arial" w:eastAsia="Times New Roman" w:hAnsi="Arial" w:cs="Arial"/>
          <w:b/>
          <w:lang w:val="es-ES_tradnl" w:eastAsia="x-none"/>
        </w:rPr>
        <w:t>Registro:</w:t>
      </w:r>
      <w:r w:rsidRPr="00082ACA">
        <w:rPr>
          <w:rFonts w:ascii="Arial" w:eastAsia="Times New Roman" w:hAnsi="Arial" w:cs="Arial"/>
          <w:lang w:val="es-ES_tradnl" w:eastAsia="x-none"/>
        </w:rPr>
        <w:t xml:space="preserve"> 174974</w:t>
      </w:r>
    </w:p>
    <w:p w14:paraId="2FA6075D" w14:textId="77777777" w:rsidR="00082ACA" w:rsidRPr="00082ACA" w:rsidRDefault="00082ACA" w:rsidP="00082ACA">
      <w:pPr>
        <w:spacing w:after="0" w:line="240" w:lineRule="auto"/>
        <w:ind w:left="567" w:right="335"/>
        <w:jc w:val="both"/>
        <w:rPr>
          <w:rFonts w:ascii="Arial" w:eastAsia="Times New Roman" w:hAnsi="Arial" w:cs="Arial"/>
          <w:lang w:val="es-ES_tradnl" w:eastAsia="x-none"/>
        </w:rPr>
      </w:pPr>
      <w:r w:rsidRPr="00082ACA">
        <w:rPr>
          <w:rFonts w:ascii="Arial" w:eastAsia="Times New Roman" w:hAnsi="Arial" w:cs="Arial"/>
          <w:b/>
          <w:lang w:val="es-ES_tradnl" w:eastAsia="x-none"/>
        </w:rPr>
        <w:t>Materia:</w:t>
      </w:r>
      <w:r w:rsidRPr="00082ACA">
        <w:rPr>
          <w:rFonts w:ascii="Arial" w:eastAsia="Times New Roman" w:hAnsi="Arial" w:cs="Arial"/>
          <w:lang w:val="es-ES_tradnl" w:eastAsia="x-none"/>
        </w:rPr>
        <w:t xml:space="preserve"> Administrativa</w:t>
      </w:r>
    </w:p>
    <w:p w14:paraId="0F7542DF" w14:textId="77777777" w:rsidR="00082ACA" w:rsidRPr="00082ACA" w:rsidRDefault="00082ACA" w:rsidP="00082ACA">
      <w:pPr>
        <w:spacing w:after="0" w:line="240" w:lineRule="auto"/>
        <w:ind w:left="567" w:right="335"/>
        <w:jc w:val="both"/>
        <w:rPr>
          <w:rFonts w:ascii="Arial" w:eastAsia="Times New Roman" w:hAnsi="Arial" w:cs="Arial"/>
          <w:b/>
          <w:lang w:val="es-ES_tradnl" w:eastAsia="x-none"/>
        </w:rPr>
      </w:pPr>
      <w:r w:rsidRPr="00082ACA">
        <w:rPr>
          <w:rFonts w:ascii="Arial" w:eastAsia="Times New Roman" w:hAnsi="Arial" w:cs="Arial"/>
          <w:b/>
          <w:lang w:val="es-ES_tradnl" w:eastAsia="x-none"/>
        </w:rPr>
        <w:t>Novena época</w:t>
      </w:r>
    </w:p>
    <w:p w14:paraId="20930E73" w14:textId="77777777" w:rsidR="00082ACA" w:rsidRPr="00082ACA" w:rsidRDefault="00082ACA" w:rsidP="00082ACA">
      <w:pPr>
        <w:spacing w:after="0" w:line="240" w:lineRule="auto"/>
        <w:ind w:left="567" w:right="335"/>
        <w:jc w:val="both"/>
        <w:rPr>
          <w:rFonts w:ascii="Arial" w:eastAsia="Times New Roman" w:hAnsi="Arial" w:cs="Arial"/>
          <w:lang w:val="es-ES_tradnl" w:eastAsia="x-none"/>
        </w:rPr>
      </w:pPr>
      <w:r w:rsidRPr="00082ACA">
        <w:rPr>
          <w:rFonts w:ascii="Arial" w:eastAsia="Times New Roman" w:hAnsi="Arial" w:cs="Arial"/>
          <w:b/>
          <w:lang w:val="es-ES_tradnl" w:eastAsia="x-none"/>
        </w:rPr>
        <w:t>Instancia:</w:t>
      </w:r>
      <w:r w:rsidRPr="00082ACA">
        <w:rPr>
          <w:rFonts w:ascii="Arial" w:eastAsia="Times New Roman" w:hAnsi="Arial" w:cs="Arial"/>
          <w:lang w:val="es-ES_tradnl" w:eastAsia="x-none"/>
        </w:rPr>
        <w:t xml:space="preserve"> Tribunales Colegiados de Circuito</w:t>
      </w:r>
    </w:p>
    <w:p w14:paraId="449E1669" w14:textId="77777777" w:rsidR="00082ACA" w:rsidRPr="00082ACA" w:rsidRDefault="00082ACA" w:rsidP="00082ACA">
      <w:pPr>
        <w:spacing w:after="0" w:line="240" w:lineRule="auto"/>
        <w:ind w:left="567" w:right="335"/>
        <w:jc w:val="both"/>
        <w:rPr>
          <w:rFonts w:ascii="Arial" w:eastAsia="Times New Roman" w:hAnsi="Arial" w:cs="Arial"/>
          <w:lang w:val="es-ES_tradnl" w:eastAsia="x-none"/>
        </w:rPr>
      </w:pPr>
      <w:r w:rsidRPr="00082ACA">
        <w:rPr>
          <w:rFonts w:ascii="Arial" w:eastAsia="Times New Roman" w:hAnsi="Arial" w:cs="Arial"/>
          <w:b/>
          <w:lang w:val="es-ES_tradnl" w:eastAsia="x-none"/>
        </w:rPr>
        <w:t xml:space="preserve">Fuente: </w:t>
      </w:r>
      <w:r w:rsidRPr="00082ACA">
        <w:rPr>
          <w:rFonts w:ascii="Arial" w:eastAsia="Times New Roman" w:hAnsi="Arial" w:cs="Arial"/>
          <w:lang w:val="es-ES_tradnl" w:eastAsia="x-none"/>
        </w:rPr>
        <w:t>Semanario Judicial de la Federación y su gaceta, mayo 2006</w:t>
      </w:r>
    </w:p>
    <w:p w14:paraId="7FCEA2AA" w14:textId="77777777" w:rsidR="00082ACA" w:rsidRPr="00082ACA" w:rsidRDefault="00082ACA" w:rsidP="00082ACA">
      <w:pPr>
        <w:spacing w:after="0" w:line="240" w:lineRule="auto"/>
        <w:ind w:left="567" w:right="335"/>
        <w:jc w:val="both"/>
        <w:rPr>
          <w:rFonts w:ascii="Arial" w:eastAsia="Times New Roman" w:hAnsi="Arial" w:cs="Arial"/>
          <w:lang w:val="es-ES_tradnl" w:eastAsia="x-none"/>
        </w:rPr>
      </w:pPr>
      <w:r w:rsidRPr="00082ACA">
        <w:rPr>
          <w:rFonts w:ascii="Arial" w:eastAsia="Times New Roman" w:hAnsi="Arial" w:cs="Arial"/>
          <w:b/>
          <w:lang w:val="es-ES_tradnl" w:eastAsia="x-none"/>
        </w:rPr>
        <w:t>Página</w:t>
      </w:r>
      <w:r w:rsidRPr="00082ACA">
        <w:rPr>
          <w:rFonts w:ascii="Arial" w:eastAsia="Times New Roman" w:hAnsi="Arial" w:cs="Arial"/>
          <w:lang w:val="es-ES_tradnl" w:eastAsia="x-none"/>
        </w:rPr>
        <w:t xml:space="preserve"> 1646</w:t>
      </w:r>
    </w:p>
    <w:p w14:paraId="354362DF" w14:textId="77777777" w:rsidR="00082ACA" w:rsidRPr="00082ACA" w:rsidRDefault="00082ACA" w:rsidP="00082ACA">
      <w:pPr>
        <w:spacing w:after="0" w:line="240" w:lineRule="auto"/>
        <w:ind w:left="567" w:right="335"/>
        <w:jc w:val="both"/>
        <w:rPr>
          <w:rFonts w:ascii="Arial" w:eastAsia="Times New Roman" w:hAnsi="Arial" w:cs="Arial"/>
          <w:i/>
          <w:lang w:val="es-ES_tradnl" w:eastAsia="x-none"/>
        </w:rPr>
      </w:pPr>
    </w:p>
    <w:p w14:paraId="7534DC73" w14:textId="77777777" w:rsidR="00082ACA" w:rsidRPr="00082ACA" w:rsidRDefault="00082ACA" w:rsidP="00082ACA">
      <w:pPr>
        <w:spacing w:after="0" w:line="240" w:lineRule="auto"/>
        <w:ind w:left="567" w:right="335"/>
        <w:jc w:val="both"/>
        <w:rPr>
          <w:rFonts w:ascii="Arial" w:eastAsia="Times New Roman" w:hAnsi="Arial" w:cs="Arial"/>
          <w:b/>
          <w:szCs w:val="24"/>
          <w:lang w:val="es-ES_tradnl" w:eastAsia="x-none"/>
        </w:rPr>
      </w:pPr>
      <w:r w:rsidRPr="00082ACA">
        <w:rPr>
          <w:rFonts w:ascii="Arial" w:eastAsia="Times New Roman" w:hAnsi="Arial" w:cs="Arial"/>
          <w:b/>
          <w:lang w:val="es-ES_tradnl" w:eastAsia="x-none"/>
        </w:rPr>
        <w:t>SENTENCIAS DEL TRIBUNAL FEDERAL DE JUSTICIA FISCAL Y ADMINISTRATIVA. EN ATENCIÓN AL ORDEN QUE SEÑALA EL CÓDIGO FISCAL DE LA FEDERACIÓN PARA EL ESTUDIO DE LOS CONCEPTOS DE ANULACIÓN</w:t>
      </w:r>
      <w:r w:rsidRPr="00082ACA">
        <w:rPr>
          <w:rFonts w:ascii="Arial" w:eastAsia="Times New Roman" w:hAnsi="Arial" w:cs="Arial"/>
          <w:b/>
          <w:szCs w:val="24"/>
          <w:lang w:val="es-ES_tradnl" w:eastAsia="x-none"/>
        </w:rPr>
        <w:t xml:space="preserve">, DEBEN ANALIZARSE EN PRIMER LUGAR AQUELLOS QUE LLEVEN A DECLARAR LA NULIDAD MÁS BENÉFICA PARA EL ACTOR. </w:t>
      </w:r>
    </w:p>
    <w:p w14:paraId="07FA2702" w14:textId="77777777" w:rsidR="00082ACA" w:rsidRPr="00082ACA" w:rsidRDefault="00082ACA" w:rsidP="00082ACA">
      <w:pPr>
        <w:spacing w:after="0"/>
        <w:ind w:left="567" w:right="332"/>
        <w:jc w:val="both"/>
        <w:rPr>
          <w:rFonts w:ascii="Arial" w:eastAsia="Times New Roman" w:hAnsi="Arial" w:cs="Arial"/>
          <w:b/>
          <w:szCs w:val="24"/>
          <w:lang w:val="es-ES_tradnl" w:eastAsia="x-none"/>
        </w:rPr>
      </w:pPr>
    </w:p>
    <w:p w14:paraId="22B73BB0" w14:textId="77777777" w:rsidR="00082ACA" w:rsidRPr="00082ACA" w:rsidRDefault="00082ACA" w:rsidP="00082ACA">
      <w:pPr>
        <w:spacing w:after="0"/>
        <w:ind w:left="567" w:right="332"/>
        <w:jc w:val="both"/>
        <w:rPr>
          <w:rFonts w:ascii="Arial" w:eastAsia="Times New Roman" w:hAnsi="Arial" w:cs="Arial"/>
          <w:szCs w:val="24"/>
          <w:lang w:val="es-ES_tradnl" w:eastAsia="x-none"/>
        </w:rPr>
      </w:pPr>
      <w:r w:rsidRPr="00082ACA">
        <w:rPr>
          <w:rFonts w:ascii="Arial" w:eastAsia="Times New Roman" w:hAnsi="Arial" w:cs="Arial"/>
          <w:szCs w:val="24"/>
          <w:lang w:val="es-ES_tradnl" w:eastAsia="x-none"/>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082ACA">
        <w:rPr>
          <w:rFonts w:ascii="Arial" w:eastAsia="Times New Roman" w:hAnsi="Arial" w:cs="Arial"/>
          <w:b/>
          <w:szCs w:val="24"/>
          <w:lang w:val="es-ES_tradnl" w:eastAsia="x-none"/>
        </w:rPr>
        <w:t xml:space="preserve"> </w:t>
      </w:r>
      <w:r w:rsidRPr="00082ACA">
        <w:rPr>
          <w:rFonts w:ascii="Arial" w:eastAsia="Times New Roman" w:hAnsi="Arial" w:cs="Arial"/>
          <w:szCs w:val="24"/>
          <w:lang w:val="es-ES_tradnl" w:eastAsia="x-none"/>
        </w:rPr>
        <w:t>actor, y sólo en el evento de estimarlos infundados, se</w:t>
      </w:r>
      <w:r w:rsidRPr="00082ACA">
        <w:rPr>
          <w:rFonts w:ascii="Arial" w:eastAsia="Times New Roman" w:hAnsi="Arial" w:cs="Arial"/>
          <w:b/>
          <w:szCs w:val="24"/>
          <w:lang w:val="es-ES_tradnl" w:eastAsia="x-none"/>
        </w:rPr>
        <w:t xml:space="preserve"> </w:t>
      </w:r>
      <w:r w:rsidRPr="00082ACA">
        <w:rPr>
          <w:rFonts w:ascii="Arial" w:eastAsia="Times New Roman" w:hAnsi="Arial" w:cs="Arial"/>
          <w:szCs w:val="24"/>
          <w:lang w:val="es-ES_tradnl" w:eastAsia="x-none"/>
        </w:rPr>
        <w:t>pronuncie sobre los conceptos de impugnación que lleven a una declaratoria de nulidad para efectos, bien sea de la llamada comúnmente "del tercer tipo", por versar sobre el ejercicio de facultades discrecionales o, en su caso, para otros efectos.</w:t>
      </w:r>
    </w:p>
    <w:p w14:paraId="6A799F1C" w14:textId="77777777" w:rsidR="00683EB9" w:rsidRDefault="00683EB9" w:rsidP="004210CB">
      <w:pPr>
        <w:pBdr>
          <w:top w:val="nil"/>
          <w:left w:val="nil"/>
          <w:bottom w:val="nil"/>
          <w:right w:val="nil"/>
          <w:between w:val="nil"/>
        </w:pBdr>
        <w:tabs>
          <w:tab w:val="center" w:pos="4419"/>
          <w:tab w:val="right" w:pos="8838"/>
          <w:tab w:val="center" w:pos="-1418"/>
        </w:tabs>
        <w:spacing w:after="0" w:line="360" w:lineRule="auto"/>
        <w:ind w:firstLine="709"/>
        <w:jc w:val="both"/>
        <w:rPr>
          <w:rFonts w:ascii="Arial" w:hAnsi="Arial" w:cs="Arial"/>
          <w:sz w:val="24"/>
          <w:szCs w:val="24"/>
        </w:rPr>
      </w:pPr>
    </w:p>
    <w:p w14:paraId="56D9DCA6" w14:textId="77777777" w:rsidR="004210CB" w:rsidRPr="004210CB" w:rsidRDefault="00082ACA" w:rsidP="004210CB">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r w:rsidRPr="00523CFA">
        <w:rPr>
          <w:rFonts w:ascii="Arial" w:hAnsi="Arial" w:cs="Arial"/>
          <w:sz w:val="24"/>
          <w:szCs w:val="24"/>
        </w:rPr>
        <w:t>En mérito de lo expuesto y con fundamento en los artículos 207 fraccio</w:t>
      </w:r>
      <w:r w:rsidR="00C618BA">
        <w:rPr>
          <w:rFonts w:ascii="Arial" w:hAnsi="Arial" w:cs="Arial"/>
          <w:sz w:val="24"/>
          <w:szCs w:val="24"/>
        </w:rPr>
        <w:t>nes I, II y III, 208 fracción II</w:t>
      </w:r>
      <w:r w:rsidRPr="00523CFA">
        <w:rPr>
          <w:rFonts w:ascii="Arial" w:hAnsi="Arial" w:cs="Arial"/>
          <w:sz w:val="24"/>
          <w:szCs w:val="24"/>
        </w:rPr>
        <w:t xml:space="preserve"> y 209, de la Ley de Procedimiento y Justicia Administrativa para el Estado de Oaxaca, se</w:t>
      </w:r>
      <w:r w:rsidR="00C618BA">
        <w:rPr>
          <w:rFonts w:ascii="Arial" w:eastAsia="Arial" w:hAnsi="Arial" w:cs="Arial"/>
          <w:color w:val="000000"/>
          <w:sz w:val="24"/>
          <w:szCs w:val="24"/>
        </w:rPr>
        <w:t xml:space="preserve">; </w:t>
      </w:r>
      <w:proofErr w:type="gramStart"/>
      <w:r w:rsidR="00C618BA">
        <w:rPr>
          <w:rFonts w:ascii="Arial" w:eastAsia="Arial" w:hAnsi="Arial" w:cs="Arial"/>
          <w:color w:val="000000"/>
          <w:sz w:val="24"/>
          <w:szCs w:val="24"/>
        </w:rPr>
        <w:t>- .</w:t>
      </w:r>
      <w:proofErr w:type="gramEnd"/>
      <w:r w:rsidR="00C618BA">
        <w:rPr>
          <w:rFonts w:ascii="Arial" w:eastAsia="Arial" w:hAnsi="Arial" w:cs="Arial"/>
          <w:color w:val="000000"/>
          <w:sz w:val="24"/>
          <w:szCs w:val="24"/>
        </w:rPr>
        <w:t xml:space="preserve"> - . - . - . - . - . - . - . - . - . - . - . - . - . - . - . - . - . - . - . </w:t>
      </w:r>
    </w:p>
    <w:p w14:paraId="7EF2A039"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p>
    <w:p w14:paraId="3CF99555"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jc w:val="center"/>
        <w:rPr>
          <w:rFonts w:ascii="Arial" w:eastAsia="Arial" w:hAnsi="Arial" w:cs="Arial"/>
          <w:b/>
          <w:color w:val="000000"/>
          <w:sz w:val="24"/>
          <w:szCs w:val="24"/>
        </w:rPr>
      </w:pPr>
      <w:r w:rsidRPr="004210CB">
        <w:rPr>
          <w:rFonts w:ascii="Arial" w:eastAsia="Arial" w:hAnsi="Arial" w:cs="Arial"/>
          <w:b/>
          <w:color w:val="000000"/>
          <w:sz w:val="24"/>
          <w:szCs w:val="24"/>
        </w:rPr>
        <w:t>R E S U E L V E:</w:t>
      </w:r>
    </w:p>
    <w:p w14:paraId="4DE2A3A3"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210CB">
        <w:rPr>
          <w:rFonts w:ascii="Arial" w:eastAsia="Arial" w:hAnsi="Arial" w:cs="Arial"/>
          <w:b/>
          <w:color w:val="000000"/>
          <w:sz w:val="24"/>
          <w:szCs w:val="24"/>
        </w:rPr>
        <w:t>PRIMERO.</w:t>
      </w:r>
      <w:r w:rsidRPr="004210CB">
        <w:rPr>
          <w:rFonts w:ascii="Arial" w:eastAsia="Arial" w:hAnsi="Arial" w:cs="Arial"/>
          <w:color w:val="000000"/>
          <w:sz w:val="24"/>
          <w:szCs w:val="24"/>
        </w:rPr>
        <w:t xml:space="preserve"> Esta Sexta Sala Unitaria de este Tribunal de Justicia Administrati</w:t>
      </w:r>
      <w:r w:rsidR="007E4205">
        <w:rPr>
          <w:rFonts w:ascii="Arial" w:eastAsia="Arial" w:hAnsi="Arial" w:cs="Arial"/>
          <w:color w:val="000000"/>
          <w:sz w:val="24"/>
          <w:szCs w:val="24"/>
        </w:rPr>
        <w:t>va para el Estado de Oaxaca, es</w:t>
      </w:r>
      <w:r w:rsidRPr="004210CB">
        <w:rPr>
          <w:rFonts w:ascii="Arial" w:eastAsia="Arial" w:hAnsi="Arial" w:cs="Arial"/>
          <w:color w:val="000000"/>
          <w:sz w:val="24"/>
          <w:szCs w:val="24"/>
        </w:rPr>
        <w:t xml:space="preserve"> competente para conocer y resolver del presente asunto. - - - - - - - - - - - - - - - - - - - - - - - - - - - - - - - - - - - - - - - - - - - - .</w:t>
      </w:r>
    </w:p>
    <w:p w14:paraId="0AAC822E"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210CB">
        <w:rPr>
          <w:rFonts w:ascii="Arial" w:eastAsia="Arial" w:hAnsi="Arial" w:cs="Arial"/>
          <w:b/>
          <w:color w:val="000000"/>
          <w:sz w:val="24"/>
          <w:szCs w:val="24"/>
        </w:rPr>
        <w:t>SEGUNDO.</w:t>
      </w:r>
      <w:r w:rsidRPr="004210CB">
        <w:rPr>
          <w:rFonts w:ascii="Arial" w:eastAsia="Arial" w:hAnsi="Arial" w:cs="Arial"/>
          <w:color w:val="000000"/>
          <w:sz w:val="24"/>
          <w:szCs w:val="24"/>
        </w:rPr>
        <w:t xml:space="preserve"> La personalidad de las partes quedó acreditada en </w:t>
      </w:r>
      <w:proofErr w:type="gramStart"/>
      <w:r w:rsidRPr="004210CB">
        <w:rPr>
          <w:rFonts w:ascii="Arial" w:eastAsia="Arial" w:hAnsi="Arial" w:cs="Arial"/>
          <w:color w:val="000000"/>
          <w:sz w:val="24"/>
          <w:szCs w:val="24"/>
        </w:rPr>
        <w:t>autos.-</w:t>
      </w:r>
      <w:proofErr w:type="gramEnd"/>
      <w:r w:rsidRPr="004210CB">
        <w:rPr>
          <w:rFonts w:ascii="Arial" w:eastAsia="Arial" w:hAnsi="Arial" w:cs="Arial"/>
          <w:color w:val="000000"/>
          <w:sz w:val="24"/>
          <w:szCs w:val="24"/>
        </w:rPr>
        <w:t xml:space="preserve"> - - - .</w:t>
      </w:r>
    </w:p>
    <w:p w14:paraId="170AC9A6"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210CB">
        <w:rPr>
          <w:rFonts w:ascii="Arial" w:eastAsia="Arial" w:hAnsi="Arial" w:cs="Arial"/>
          <w:b/>
          <w:color w:val="000000"/>
          <w:sz w:val="24"/>
          <w:szCs w:val="24"/>
        </w:rPr>
        <w:t>TERCERO.</w:t>
      </w:r>
      <w:r w:rsidRPr="004210CB">
        <w:rPr>
          <w:rFonts w:ascii="Arial" w:eastAsia="Arial" w:hAnsi="Arial" w:cs="Arial"/>
          <w:color w:val="000000"/>
          <w:sz w:val="24"/>
          <w:szCs w:val="24"/>
        </w:rPr>
        <w:t xml:space="preserve"> No se actualizaron causales de improcedencia y sobreseimiento en el presente asunto, por lo que </w:t>
      </w:r>
      <w:r w:rsidRPr="004210CB">
        <w:rPr>
          <w:rFonts w:ascii="Arial" w:eastAsia="Arial" w:hAnsi="Arial" w:cs="Arial"/>
          <w:b/>
          <w:color w:val="000000"/>
          <w:sz w:val="24"/>
          <w:szCs w:val="24"/>
        </w:rPr>
        <w:t>no se sobresee</w:t>
      </w:r>
      <w:r w:rsidRPr="004210CB">
        <w:rPr>
          <w:rFonts w:ascii="Arial" w:eastAsia="Arial" w:hAnsi="Arial" w:cs="Arial"/>
          <w:color w:val="000000"/>
          <w:sz w:val="24"/>
          <w:szCs w:val="24"/>
        </w:rPr>
        <w:t xml:space="preserve"> el </w:t>
      </w:r>
      <w:proofErr w:type="gramStart"/>
      <w:r w:rsidRPr="004210CB">
        <w:rPr>
          <w:rFonts w:ascii="Arial" w:eastAsia="Arial" w:hAnsi="Arial" w:cs="Arial"/>
          <w:color w:val="000000"/>
          <w:sz w:val="24"/>
          <w:szCs w:val="24"/>
        </w:rPr>
        <w:t>juicio.-</w:t>
      </w:r>
      <w:proofErr w:type="gramEnd"/>
      <w:r w:rsidRPr="004210CB">
        <w:rPr>
          <w:rFonts w:ascii="Arial" w:eastAsia="Arial" w:hAnsi="Arial" w:cs="Arial"/>
          <w:color w:val="000000"/>
          <w:sz w:val="24"/>
          <w:szCs w:val="24"/>
        </w:rPr>
        <w:t xml:space="preserve"> - - - - - - - - - - - - - - - - .</w:t>
      </w:r>
    </w:p>
    <w:p w14:paraId="13E69BDB" w14:textId="0060A5F5"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210CB">
        <w:rPr>
          <w:rFonts w:ascii="Arial" w:eastAsia="Arial" w:hAnsi="Arial" w:cs="Arial"/>
          <w:b/>
          <w:color w:val="000000"/>
          <w:sz w:val="24"/>
          <w:szCs w:val="24"/>
        </w:rPr>
        <w:t xml:space="preserve">CUARTO. </w:t>
      </w:r>
      <w:r w:rsidRPr="004210CB">
        <w:rPr>
          <w:rFonts w:ascii="Arial" w:eastAsia="Arial" w:hAnsi="Arial" w:cs="Arial"/>
          <w:color w:val="000000"/>
          <w:sz w:val="24"/>
          <w:szCs w:val="24"/>
        </w:rPr>
        <w:t xml:space="preserve">Se declara la </w:t>
      </w:r>
      <w:r w:rsidRPr="004210CB">
        <w:rPr>
          <w:rFonts w:ascii="Arial" w:eastAsia="Arial" w:hAnsi="Arial" w:cs="Arial"/>
          <w:b/>
          <w:color w:val="000000"/>
          <w:sz w:val="24"/>
          <w:szCs w:val="24"/>
        </w:rPr>
        <w:t>NULIDAD</w:t>
      </w:r>
      <w:r w:rsidRPr="004210CB">
        <w:rPr>
          <w:rFonts w:ascii="Arial" w:eastAsia="Arial" w:hAnsi="Arial" w:cs="Arial"/>
          <w:color w:val="000000"/>
          <w:sz w:val="24"/>
          <w:szCs w:val="24"/>
        </w:rPr>
        <w:t xml:space="preserve"> </w:t>
      </w:r>
      <w:r w:rsidRPr="004210CB">
        <w:rPr>
          <w:rFonts w:ascii="Arial" w:eastAsia="Arial" w:hAnsi="Arial" w:cs="Arial"/>
          <w:b/>
          <w:color w:val="000000"/>
          <w:sz w:val="24"/>
          <w:szCs w:val="24"/>
        </w:rPr>
        <w:t>LISA Y LLANA</w:t>
      </w:r>
      <w:r w:rsidRPr="004210CB">
        <w:rPr>
          <w:rFonts w:ascii="Arial" w:eastAsia="Arial" w:hAnsi="Arial" w:cs="Arial"/>
          <w:color w:val="000000"/>
          <w:sz w:val="24"/>
          <w:szCs w:val="24"/>
        </w:rPr>
        <w:t xml:space="preserve"> de la</w:t>
      </w:r>
      <w:r w:rsidR="00683EB9">
        <w:rPr>
          <w:rFonts w:ascii="Arial" w:eastAsia="Arial" w:hAnsi="Arial" w:cs="Arial"/>
          <w:color w:val="000000"/>
          <w:sz w:val="24"/>
          <w:szCs w:val="24"/>
        </w:rPr>
        <w:t xml:space="preserve"> multa </w:t>
      </w:r>
      <w:r w:rsidR="00511CD6">
        <w:rPr>
          <w:rFonts w:ascii="Arial" w:eastAsia="Arial" w:hAnsi="Arial" w:cs="Arial"/>
          <w:color w:val="FF0000"/>
          <w:sz w:val="24"/>
          <w:szCs w:val="24"/>
        </w:rPr>
        <w:t>**********</w:t>
      </w:r>
      <w:r w:rsidR="00683EB9" w:rsidRPr="00683EB9">
        <w:rPr>
          <w:rFonts w:ascii="Arial" w:eastAsia="Arial" w:hAnsi="Arial" w:cs="Arial"/>
          <w:color w:val="000000"/>
          <w:sz w:val="24"/>
          <w:szCs w:val="24"/>
        </w:rPr>
        <w:t xml:space="preserve"> de diecinueve de febrero de dos mil diecinueve,</w:t>
      </w:r>
      <w:r w:rsidRPr="004210CB">
        <w:rPr>
          <w:rFonts w:ascii="Arial" w:eastAsia="Arial" w:hAnsi="Arial" w:cs="Arial"/>
          <w:color w:val="000000"/>
          <w:sz w:val="24"/>
          <w:szCs w:val="24"/>
        </w:rPr>
        <w:t xml:space="preserve"> emitida por la </w:t>
      </w:r>
      <w:proofErr w:type="gramStart"/>
      <w:r w:rsidRPr="004210CB">
        <w:rPr>
          <w:rFonts w:ascii="Arial" w:eastAsia="Arial" w:hAnsi="Arial" w:cs="Arial"/>
          <w:color w:val="000000"/>
          <w:sz w:val="24"/>
          <w:szCs w:val="24"/>
        </w:rPr>
        <w:t>Directora</w:t>
      </w:r>
      <w:proofErr w:type="gramEnd"/>
      <w:r w:rsidRPr="004210CB">
        <w:rPr>
          <w:rFonts w:ascii="Arial" w:eastAsia="Arial" w:hAnsi="Arial" w:cs="Arial"/>
          <w:color w:val="000000"/>
          <w:sz w:val="24"/>
          <w:szCs w:val="24"/>
        </w:rPr>
        <w:t xml:space="preserve"> de Ingresos y Recaudación de la Subsecretaría de Ingresos de la Secretaría de Finanzas del </w:t>
      </w:r>
      <w:r w:rsidRPr="004210CB">
        <w:rPr>
          <w:rFonts w:ascii="Arial" w:eastAsia="Arial" w:hAnsi="Arial" w:cs="Arial"/>
          <w:color w:val="000000"/>
          <w:sz w:val="24"/>
          <w:szCs w:val="24"/>
        </w:rPr>
        <w:lastRenderedPageBreak/>
        <w:t>Gobierno del Estado de Oaxaca</w:t>
      </w:r>
      <w:r w:rsidR="007E4205">
        <w:rPr>
          <w:rFonts w:ascii="Arial" w:eastAsia="Arial" w:hAnsi="Arial" w:cs="Arial"/>
          <w:color w:val="000000"/>
          <w:sz w:val="24"/>
          <w:szCs w:val="24"/>
        </w:rPr>
        <w:t>;</w:t>
      </w:r>
      <w:r w:rsidRPr="004210CB">
        <w:rPr>
          <w:rFonts w:ascii="Arial" w:eastAsia="Arial" w:hAnsi="Arial" w:cs="Arial"/>
          <w:color w:val="000000"/>
          <w:sz w:val="24"/>
          <w:szCs w:val="24"/>
        </w:rPr>
        <w:t xml:space="preserve"> en los términos precisados en el considerando que antecede. - - - - - - - - - - - - - - - - - - - - - - - - - - </w:t>
      </w:r>
      <w:r w:rsidR="00F86EC6">
        <w:rPr>
          <w:rFonts w:ascii="Arial" w:eastAsia="Arial" w:hAnsi="Arial" w:cs="Arial"/>
          <w:color w:val="000000"/>
          <w:sz w:val="24"/>
          <w:szCs w:val="24"/>
        </w:rPr>
        <w:t xml:space="preserve">- </w:t>
      </w:r>
    </w:p>
    <w:p w14:paraId="10F5DD07"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210CB">
        <w:rPr>
          <w:rFonts w:ascii="Arial" w:eastAsia="Arial" w:hAnsi="Arial" w:cs="Arial"/>
          <w:b/>
          <w:color w:val="000000"/>
          <w:sz w:val="24"/>
          <w:szCs w:val="24"/>
        </w:rPr>
        <w:t xml:space="preserve">QUINTO. </w:t>
      </w:r>
      <w:r w:rsidRPr="004210CB">
        <w:rPr>
          <w:rFonts w:ascii="Arial" w:eastAsia="Arial" w:hAnsi="Arial" w:cs="Arial"/>
          <w:color w:val="000000"/>
          <w:sz w:val="24"/>
          <w:szCs w:val="24"/>
        </w:rPr>
        <w:t xml:space="preserve">Con fundamento en los artículos 172 fracción I y 173 fracciones I y II, de la Ley de Procedimiento y Justicia Administrativa para el Estado de Oaxaca, </w:t>
      </w:r>
      <w:r w:rsidRPr="004210CB">
        <w:rPr>
          <w:rFonts w:ascii="Arial" w:eastAsia="Arial" w:hAnsi="Arial" w:cs="Arial"/>
          <w:b/>
          <w:color w:val="000000"/>
          <w:sz w:val="24"/>
          <w:szCs w:val="24"/>
        </w:rPr>
        <w:t>notifíquese personalmente al actor y por oficio a la autoridad demandada</w:t>
      </w:r>
      <w:r w:rsidRPr="004210CB">
        <w:rPr>
          <w:rFonts w:ascii="Arial" w:eastAsia="Arial" w:hAnsi="Arial" w:cs="Arial"/>
          <w:color w:val="000000"/>
          <w:sz w:val="24"/>
          <w:szCs w:val="24"/>
        </w:rPr>
        <w:t>, cúmplase. - - - - - - - - - - - - - - - - - - - - - - - - - - - - - - - - - - - - - - - - - - - - - - - - - - - -.</w:t>
      </w:r>
    </w:p>
    <w:p w14:paraId="432D1F6C" w14:textId="77777777" w:rsidR="004210CB" w:rsidRPr="004210CB" w:rsidRDefault="004210CB" w:rsidP="004210CB">
      <w:pPr>
        <w:spacing w:before="240" w:after="160" w:line="360" w:lineRule="auto"/>
        <w:ind w:right="49" w:firstLine="708"/>
        <w:jc w:val="both"/>
        <w:rPr>
          <w:rFonts w:ascii="Arial" w:hAnsi="Arial" w:cs="Arial"/>
          <w:sz w:val="24"/>
        </w:rPr>
      </w:pPr>
      <w:r w:rsidRPr="004210CB">
        <w:rPr>
          <w:rFonts w:ascii="Arial" w:hAnsi="Arial" w:cs="Arial"/>
          <w:sz w:val="24"/>
        </w:rPr>
        <w:t xml:space="preserve">Así lo resolvió y firma la Maestra Camelia Gaspar Martínez, Magistrada Titular de la Sexta Sala Unitaria de Primera Instancia del Tribunal de Justicia Administrativo del Estado de Oaxaca, quien actúa con el Licenciado Renato Gabriel Ibáñez Castellanos, </w:t>
      </w:r>
      <w:proofErr w:type="gramStart"/>
      <w:r w:rsidRPr="004210CB">
        <w:rPr>
          <w:rFonts w:ascii="Arial" w:hAnsi="Arial" w:cs="Arial"/>
          <w:sz w:val="24"/>
        </w:rPr>
        <w:t>Secretario</w:t>
      </w:r>
      <w:proofErr w:type="gramEnd"/>
      <w:r w:rsidRPr="004210CB">
        <w:rPr>
          <w:rFonts w:ascii="Arial" w:hAnsi="Arial" w:cs="Arial"/>
          <w:sz w:val="24"/>
        </w:rPr>
        <w:t xml:space="preserve"> de Acuerdos de esta Sala, autoriza y da fe. - - - - -.</w:t>
      </w:r>
    </w:p>
    <w:sectPr w:rsidR="004210CB" w:rsidRPr="004210CB" w:rsidSect="00F153C9">
      <w:headerReference w:type="default" r:id="rId16"/>
      <w:footerReference w:type="default" r:id="rId17"/>
      <w:headerReference w:type="first" r:id="rId18"/>
      <w:pgSz w:w="12240" w:h="20160" w:code="5"/>
      <w:pgMar w:top="1134" w:right="1418" w:bottom="226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1D6F1" w14:textId="77777777" w:rsidR="00312869" w:rsidRDefault="00312869" w:rsidP="00F153C9">
      <w:pPr>
        <w:spacing w:after="0" w:line="240" w:lineRule="auto"/>
      </w:pPr>
      <w:r>
        <w:separator/>
      </w:r>
    </w:p>
  </w:endnote>
  <w:endnote w:type="continuationSeparator" w:id="0">
    <w:p w14:paraId="125C14E2" w14:textId="77777777" w:rsidR="00312869" w:rsidRDefault="00312869" w:rsidP="00F15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3504788"/>
      <w:docPartObj>
        <w:docPartGallery w:val="Page Numbers (Bottom of Page)"/>
        <w:docPartUnique/>
      </w:docPartObj>
    </w:sdtPr>
    <w:sdtEndPr>
      <w:rPr>
        <w:rFonts w:ascii="Arial" w:hAnsi="Arial" w:cs="Arial"/>
        <w:sz w:val="24"/>
        <w:szCs w:val="24"/>
      </w:rPr>
    </w:sdtEndPr>
    <w:sdtContent>
      <w:p w14:paraId="2D246994" w14:textId="77777777" w:rsidR="007D1554" w:rsidRPr="00604752" w:rsidRDefault="007D1554">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285F2D" w:rsidRPr="00285F2D">
          <w:rPr>
            <w:rFonts w:ascii="Arial" w:hAnsi="Arial" w:cs="Arial"/>
            <w:noProof/>
            <w:sz w:val="24"/>
            <w:szCs w:val="24"/>
            <w:lang w:val="es-ES"/>
          </w:rPr>
          <w:t>5</w:t>
        </w:r>
        <w:r w:rsidRPr="00604752">
          <w:rPr>
            <w:rFonts w:ascii="Arial" w:hAnsi="Arial" w:cs="Arial"/>
            <w:sz w:val="24"/>
            <w:szCs w:val="24"/>
          </w:rPr>
          <w:fldChar w:fldCharType="end"/>
        </w:r>
      </w:p>
    </w:sdtContent>
  </w:sdt>
  <w:p w14:paraId="68F3209D" w14:textId="77777777" w:rsidR="007D1554" w:rsidRDefault="007D1554">
    <w:pPr>
      <w:pStyle w:val="Piedepgina"/>
    </w:pPr>
  </w:p>
  <w:p w14:paraId="52371CAC" w14:textId="77777777" w:rsidR="007D1554" w:rsidRDefault="007D15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73425" w14:textId="77777777" w:rsidR="00312869" w:rsidRDefault="00312869" w:rsidP="00F153C9">
      <w:pPr>
        <w:spacing w:after="0" w:line="240" w:lineRule="auto"/>
      </w:pPr>
      <w:r>
        <w:separator/>
      </w:r>
    </w:p>
  </w:footnote>
  <w:footnote w:type="continuationSeparator" w:id="0">
    <w:p w14:paraId="54FEFE76" w14:textId="77777777" w:rsidR="00312869" w:rsidRDefault="00312869" w:rsidP="00F153C9">
      <w:pPr>
        <w:spacing w:after="0" w:line="240" w:lineRule="auto"/>
      </w:pPr>
      <w:r>
        <w:continuationSeparator/>
      </w:r>
    </w:p>
  </w:footnote>
  <w:footnote w:id="1">
    <w:p w14:paraId="6A277B33" w14:textId="77777777" w:rsidR="007D1554" w:rsidRDefault="007D1554" w:rsidP="004210CB">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203.- </w:t>
      </w:r>
      <w:r>
        <w:rPr>
          <w:color w:val="000000"/>
          <w:sz w:val="20"/>
          <w:szCs w:val="20"/>
        </w:rPr>
        <w:t>La valoración de las pruebas se hará de acuerdo con las siguientes reglas:</w:t>
      </w:r>
    </w:p>
    <w:p w14:paraId="07AE4379" w14:textId="77777777" w:rsidR="007D1554" w:rsidRDefault="007D1554" w:rsidP="004210CB">
      <w:pPr>
        <w:pBdr>
          <w:top w:val="nil"/>
          <w:left w:val="nil"/>
          <w:bottom w:val="nil"/>
          <w:right w:val="nil"/>
          <w:between w:val="nil"/>
        </w:pBdr>
        <w:spacing w:after="0" w:line="240" w:lineRule="auto"/>
        <w:jc w:val="both"/>
        <w:rPr>
          <w:color w:val="000000"/>
          <w:sz w:val="20"/>
          <w:szCs w:val="20"/>
        </w:rPr>
      </w:pPr>
      <w:r>
        <w:rPr>
          <w:color w:val="000000"/>
          <w:sz w:val="20"/>
          <w:szCs w:val="20"/>
        </w:rPr>
        <w:t xml:space="preserve">   I. Harán prueba plena la confesión expresa de las partes y los actos contenidos en documentos públicos, si en éstos últimos se contienen declaraciones de verdad o manifestaciones de hechos de particulares; y</w:t>
      </w:r>
    </w:p>
    <w:p w14:paraId="435F3AAB" w14:textId="77777777" w:rsidR="007D1554" w:rsidRDefault="007D1554" w:rsidP="004210CB">
      <w:pPr>
        <w:pBdr>
          <w:top w:val="nil"/>
          <w:left w:val="nil"/>
          <w:bottom w:val="nil"/>
          <w:right w:val="nil"/>
          <w:between w:val="nil"/>
        </w:pBdr>
        <w:spacing w:after="0" w:line="240" w:lineRule="auto"/>
        <w:jc w:val="both"/>
        <w:rPr>
          <w:color w:val="000000"/>
          <w:sz w:val="20"/>
          <w:szCs w:val="20"/>
        </w:rPr>
      </w:pPr>
      <w:r>
        <w:rPr>
          <w:color w:val="000000"/>
          <w:sz w:val="20"/>
          <w:szCs w:val="20"/>
        </w:rPr>
        <w:t xml:space="preserve">   …”</w:t>
      </w:r>
    </w:p>
  </w:footnote>
  <w:footnote w:id="2">
    <w:p w14:paraId="375A976D" w14:textId="77777777" w:rsidR="007D1554" w:rsidRDefault="007D1554" w:rsidP="004210CB">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16. </w:t>
      </w:r>
      <w:r>
        <w:rPr>
          <w:color w:val="000000"/>
          <w:sz w:val="20"/>
          <w:szCs w:val="20"/>
        </w:rPr>
        <w:t>Nadie puede ser molestado en su persona, familia, domicilio, papeles o posesiones, sino en virtud de mandamiento escrito de autoridad competente que funde y motive la causal legal del procedimiento.”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B6684" w14:textId="1609E3A3" w:rsidR="00511CD6" w:rsidRDefault="00511CD6">
    <w:pPr>
      <w:pStyle w:val="Encabezado"/>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1" locked="0" layoutInCell="1" allowOverlap="1" wp14:anchorId="146E97FE" wp14:editId="1E7BC646">
              <wp:simplePos x="0" y="0"/>
              <wp:positionH relativeFrom="page">
                <wp:align>left</wp:align>
              </wp:positionH>
              <wp:positionV relativeFrom="paragraph">
                <wp:posOffset>-412115</wp:posOffset>
              </wp:positionV>
              <wp:extent cx="1009650" cy="971550"/>
              <wp:effectExtent l="0" t="0" r="1905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71550"/>
                      </a:xfrm>
                      <a:prstGeom prst="rect">
                        <a:avLst/>
                      </a:prstGeom>
                      <a:solidFill>
                        <a:sysClr val="window" lastClr="FFFFFF"/>
                      </a:solidFill>
                      <a:ln w="6350">
                        <a:solidFill>
                          <a:prstClr val="black"/>
                        </a:solidFill>
                      </a:ln>
                      <a:effectLst/>
                    </wps:spPr>
                    <wps:txbx>
                      <w:txbxContent>
                        <w:p w14:paraId="305628AB" w14:textId="77777777" w:rsidR="00511CD6" w:rsidRDefault="00511CD6" w:rsidP="00511CD6">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6E97FE" id="_x0000_t202" coordsize="21600,21600" o:spt="202" path="m,l,21600r21600,l21600,xe">
              <v:stroke joinstyle="miter"/>
              <v:path gradientshapeok="t" o:connecttype="rect"/>
            </v:shapetype>
            <v:shape id="Cuadro de texto 2" o:spid="_x0000_s1026" type="#_x0000_t202" style="position:absolute;margin-left:0;margin-top:-32.45pt;width:79.5pt;height:76.5pt;z-index:-25165516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" fillcolor="window" strokeweight=".5pt">
              <v:path arrowok="t"/>
              <v:textbox>
                <w:txbxContent>
                  <w:p w14:paraId="305628AB" w14:textId="77777777" w:rsidR="00511CD6" w:rsidRDefault="00511CD6" w:rsidP="00511CD6">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665C0" w14:textId="74328D2C" w:rsidR="00511CD6" w:rsidRDefault="00511CD6">
    <w:pPr>
      <w:pStyle w:val="Encabezado"/>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1" locked="0" layoutInCell="1" allowOverlap="1" wp14:anchorId="525ECC3E" wp14:editId="6CBB99BA">
              <wp:simplePos x="0" y="0"/>
              <wp:positionH relativeFrom="leftMargin">
                <wp:posOffset>31750</wp:posOffset>
              </wp:positionH>
              <wp:positionV relativeFrom="paragraph">
                <wp:posOffset>-421640</wp:posOffset>
              </wp:positionV>
              <wp:extent cx="1009650" cy="9715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71550"/>
                      </a:xfrm>
                      <a:prstGeom prst="rect">
                        <a:avLst/>
                      </a:prstGeom>
                      <a:solidFill>
                        <a:sysClr val="window" lastClr="FFFFFF"/>
                      </a:solidFill>
                      <a:ln w="6350">
                        <a:solidFill>
                          <a:prstClr val="black"/>
                        </a:solidFill>
                      </a:ln>
                      <a:effectLst/>
                    </wps:spPr>
                    <wps:txbx>
                      <w:txbxContent>
                        <w:p w14:paraId="60234E7F" w14:textId="77777777" w:rsidR="00511CD6" w:rsidRDefault="00511CD6" w:rsidP="00511CD6">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5ECC3E" id="_x0000_t202" coordsize="21600,21600" o:spt="202" path="m,l,21600r21600,l21600,xe">
              <v:stroke joinstyle="miter"/>
              <v:path gradientshapeok="t" o:connecttype="rect"/>
            </v:shapetype>
            <v:shape id="Cuadro de texto 1" o:spid="_x0000_s1027" type="#_x0000_t202" style="position:absolute;margin-left:2.5pt;margin-top:-33.2pt;width:79.5pt;height:76.5pt;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" fillcolor="window" strokeweight=".5pt">
              <v:path arrowok="t"/>
              <v:textbox>
                <w:txbxContent>
                  <w:p w14:paraId="60234E7F" w14:textId="77777777" w:rsidR="00511CD6" w:rsidRDefault="00511CD6" w:rsidP="00511CD6">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397C46BC"/>
    <w:lvl w:ilvl="0" w:tplc="FFFFFFFF">
      <w:numFmt w:val="none"/>
      <w:lvlText w:val=""/>
      <w:lvlJc w:val="left"/>
      <w:pPr>
        <w:tabs>
          <w:tab w:val="num" w:pos="360"/>
        </w:tabs>
      </w:pPr>
    </w:lvl>
    <w:lvl w:ilvl="1" w:tplc="FFFFFFFF">
      <w:numFmt w:val="decimal"/>
      <w:lvlText w:val=""/>
      <w:lvlJc w:val="left"/>
    </w:lvl>
    <w:lvl w:ilvl="2" w:tplc="FFFFFFFF">
      <w:numFmt w:val="decimal"/>
      <w:lvlText w:val=""/>
      <w:lvlJc w:val="left"/>
    </w:lvl>
    <w:lvl w:ilvl="3" w:tplc="FFFFFFFF">
      <w:numFmt w:val="decimal"/>
      <w:suff w:val="nothing"/>
      <w:lvlText w:val=""/>
      <w:lvlJc w:val="left"/>
    </w:lvl>
    <w:lvl w:ilvl="4" w:tplc="FFFFFFFF">
      <w:start w:val="23"/>
      <w:numFmt w:val="decimal"/>
      <w:lvlText w:val=""/>
      <w:lvlJc w:val="left"/>
    </w:lvl>
    <w:lvl w:ilvl="5" w:tplc="FFFFFFFF">
      <w:start w:val="23"/>
      <w:numFmt w:val="decimal"/>
      <w:lvlText w:val=""/>
      <w:lvlJc w:val="left"/>
    </w:lvl>
    <w:lvl w:ilvl="6" w:tplc="FFFFFFFF">
      <w:start w:val="23"/>
      <w:numFmt w:val="decimal"/>
      <w:lvlText w:val=""/>
      <w:lvlJc w:val="left"/>
    </w:lvl>
    <w:lvl w:ilvl="7" w:tplc="FFFFFFFF">
      <w:start w:val="23"/>
      <w:numFmt w:val="decimal"/>
      <w:lvlText w:val=""/>
      <w:lvlJc w:val="left"/>
    </w:lvl>
    <w:lvl w:ilvl="8" w:tplc="FFFFFFFF">
      <w:start w:val="23"/>
      <w:numFmt w:val="decimal"/>
      <w:lvlText w:val=""/>
      <w:lvlJc w:val="left"/>
    </w:lvl>
  </w:abstractNum>
  <w:abstractNum w:abstractNumId="1" w15:restartNumberingAfterBreak="0">
    <w:nsid w:val="00000018"/>
    <w:multiLevelType w:val="hybridMultilevel"/>
    <w:tmpl w:val="4C2A7166"/>
    <w:lvl w:ilvl="0" w:tplc="FFFFFFFF">
      <w:start w:val="23"/>
      <w:numFmt w:val="decimal"/>
      <w:lvlText w:val=""/>
      <w:lvlJc w:val="left"/>
    </w:lvl>
    <w:lvl w:ilvl="1" w:tplc="FFFFFFFF">
      <w:start w:val="23"/>
      <w:numFmt w:val="decimal"/>
      <w:lvlText w:val=""/>
      <w:lvlJc w:val="left"/>
    </w:lvl>
    <w:lvl w:ilvl="2" w:tplc="FFFFFFFF">
      <w:start w:val="65536"/>
      <w:numFmt w:val="decimal"/>
      <w:lvlText w:val=""/>
      <w:lvlJc w:val="left"/>
    </w:lvl>
    <w:lvl w:ilvl="3" w:tplc="FFFFFFFF">
      <w:start w:val="23"/>
      <w:numFmt w:val="decimal"/>
      <w:lvlText w:val=""/>
      <w:lvlJc w:val="left"/>
    </w:lvl>
    <w:lvl w:ilvl="4" w:tplc="FFFFFFFF">
      <w:start w:val="23"/>
      <w:numFmt w:val="decimal"/>
      <w:lvlText w:val=""/>
      <w:lvlJc w:val="left"/>
    </w:lvl>
    <w:lvl w:ilvl="5" w:tplc="FFFFFFFF">
      <w:start w:val="23"/>
      <w:numFmt w:val="decimal"/>
      <w:lvlText w:val=""/>
      <w:lvlJc w:val="left"/>
    </w:lvl>
    <w:lvl w:ilvl="6" w:tplc="FFFFFFFF">
      <w:start w:val="23"/>
      <w:numFmt w:val="decimal"/>
      <w:lvlText w:val=""/>
      <w:lvlJc w:val="left"/>
    </w:lvl>
    <w:lvl w:ilvl="7" w:tplc="FFFFFFFF">
      <w:start w:val="23"/>
      <w:numFmt w:val="decimal"/>
      <w:lvlText w:val=""/>
      <w:lvlJc w:val="left"/>
    </w:lvl>
    <w:lvl w:ilvl="8" w:tplc="FFFFFFFF">
      <w:start w:val="23"/>
      <w:numFmt w:val="decimal"/>
      <w:lvlText w:val=""/>
      <w:lvlJc w:val="left"/>
    </w:lvl>
  </w:abstractNum>
  <w:abstractNum w:abstractNumId="2" w15:restartNumberingAfterBreak="0">
    <w:nsid w:val="05B34144"/>
    <w:multiLevelType w:val="hybridMultilevel"/>
    <w:tmpl w:val="BFCC8730"/>
    <w:lvl w:ilvl="0" w:tplc="18E67A20">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15:restartNumberingAfterBreak="0">
    <w:nsid w:val="07EC297C"/>
    <w:multiLevelType w:val="hybridMultilevel"/>
    <w:tmpl w:val="8FBCB2C2"/>
    <w:lvl w:ilvl="0" w:tplc="74402EDC">
      <w:start w:val="3"/>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15:restartNumberingAfterBreak="0">
    <w:nsid w:val="3F043A6D"/>
    <w:multiLevelType w:val="hybridMultilevel"/>
    <w:tmpl w:val="D35ACB92"/>
    <w:lvl w:ilvl="0" w:tplc="6FAC7B04">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46AC0542"/>
    <w:multiLevelType w:val="hybridMultilevel"/>
    <w:tmpl w:val="E2EAE2F4"/>
    <w:lvl w:ilvl="0" w:tplc="32404CAA">
      <w:start w:val="1"/>
      <w:numFmt w:val="upperRoman"/>
      <w:lvlText w:val="%1."/>
      <w:lvlJc w:val="left"/>
      <w:pPr>
        <w:ind w:left="1880" w:hanging="720"/>
      </w:pPr>
      <w:rPr>
        <w:rFonts w:hint="default"/>
        <w:b/>
      </w:rPr>
    </w:lvl>
    <w:lvl w:ilvl="1" w:tplc="080A0019" w:tentative="1">
      <w:start w:val="1"/>
      <w:numFmt w:val="lowerLetter"/>
      <w:lvlText w:val="%2."/>
      <w:lvlJc w:val="left"/>
      <w:pPr>
        <w:ind w:left="2240" w:hanging="360"/>
      </w:pPr>
    </w:lvl>
    <w:lvl w:ilvl="2" w:tplc="080A001B" w:tentative="1">
      <w:start w:val="1"/>
      <w:numFmt w:val="lowerRoman"/>
      <w:lvlText w:val="%3."/>
      <w:lvlJc w:val="right"/>
      <w:pPr>
        <w:ind w:left="2960" w:hanging="180"/>
      </w:pPr>
    </w:lvl>
    <w:lvl w:ilvl="3" w:tplc="080A000F" w:tentative="1">
      <w:start w:val="1"/>
      <w:numFmt w:val="decimal"/>
      <w:lvlText w:val="%4."/>
      <w:lvlJc w:val="left"/>
      <w:pPr>
        <w:ind w:left="3680" w:hanging="360"/>
      </w:pPr>
    </w:lvl>
    <w:lvl w:ilvl="4" w:tplc="080A0019" w:tentative="1">
      <w:start w:val="1"/>
      <w:numFmt w:val="lowerLetter"/>
      <w:lvlText w:val="%5."/>
      <w:lvlJc w:val="left"/>
      <w:pPr>
        <w:ind w:left="4400" w:hanging="360"/>
      </w:pPr>
    </w:lvl>
    <w:lvl w:ilvl="5" w:tplc="080A001B" w:tentative="1">
      <w:start w:val="1"/>
      <w:numFmt w:val="lowerRoman"/>
      <w:lvlText w:val="%6."/>
      <w:lvlJc w:val="right"/>
      <w:pPr>
        <w:ind w:left="5120" w:hanging="180"/>
      </w:pPr>
    </w:lvl>
    <w:lvl w:ilvl="6" w:tplc="080A000F" w:tentative="1">
      <w:start w:val="1"/>
      <w:numFmt w:val="decimal"/>
      <w:lvlText w:val="%7."/>
      <w:lvlJc w:val="left"/>
      <w:pPr>
        <w:ind w:left="5840" w:hanging="360"/>
      </w:pPr>
    </w:lvl>
    <w:lvl w:ilvl="7" w:tplc="080A0019" w:tentative="1">
      <w:start w:val="1"/>
      <w:numFmt w:val="lowerLetter"/>
      <w:lvlText w:val="%8."/>
      <w:lvlJc w:val="left"/>
      <w:pPr>
        <w:ind w:left="6560" w:hanging="360"/>
      </w:pPr>
    </w:lvl>
    <w:lvl w:ilvl="8" w:tplc="080A001B" w:tentative="1">
      <w:start w:val="1"/>
      <w:numFmt w:val="lowerRoman"/>
      <w:lvlText w:val="%9."/>
      <w:lvlJc w:val="right"/>
      <w:pPr>
        <w:ind w:left="7280" w:hanging="180"/>
      </w:pPr>
    </w:lvl>
  </w:abstractNum>
  <w:abstractNum w:abstractNumId="6" w15:restartNumberingAfterBreak="0">
    <w:nsid w:val="52C51F2C"/>
    <w:multiLevelType w:val="hybridMultilevel"/>
    <w:tmpl w:val="2EA85150"/>
    <w:lvl w:ilvl="0" w:tplc="DDA0C9EE">
      <w:start w:val="3"/>
      <w:numFmt w:val="bullet"/>
      <w:lvlText w:val=""/>
      <w:lvlJc w:val="left"/>
      <w:pPr>
        <w:ind w:left="1069" w:hanging="360"/>
      </w:pPr>
      <w:rPr>
        <w:rFonts w:ascii="Symbol" w:eastAsiaTheme="minorHAns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15:restartNumberingAfterBreak="0">
    <w:nsid w:val="648871BA"/>
    <w:multiLevelType w:val="hybridMultilevel"/>
    <w:tmpl w:val="0CFC76A8"/>
    <w:lvl w:ilvl="0" w:tplc="6F4E5F54">
      <w:start w:val="1"/>
      <w:numFmt w:val="upperRoman"/>
      <w:lvlText w:val="%1."/>
      <w:lvlJc w:val="left"/>
      <w:pPr>
        <w:ind w:left="1880" w:hanging="720"/>
      </w:pPr>
      <w:rPr>
        <w:rFonts w:hint="default"/>
        <w:b/>
      </w:rPr>
    </w:lvl>
    <w:lvl w:ilvl="1" w:tplc="080A0019" w:tentative="1">
      <w:start w:val="1"/>
      <w:numFmt w:val="lowerLetter"/>
      <w:lvlText w:val="%2."/>
      <w:lvlJc w:val="left"/>
      <w:pPr>
        <w:ind w:left="2240" w:hanging="360"/>
      </w:pPr>
    </w:lvl>
    <w:lvl w:ilvl="2" w:tplc="080A001B" w:tentative="1">
      <w:start w:val="1"/>
      <w:numFmt w:val="lowerRoman"/>
      <w:lvlText w:val="%3."/>
      <w:lvlJc w:val="right"/>
      <w:pPr>
        <w:ind w:left="2960" w:hanging="180"/>
      </w:pPr>
    </w:lvl>
    <w:lvl w:ilvl="3" w:tplc="080A000F" w:tentative="1">
      <w:start w:val="1"/>
      <w:numFmt w:val="decimal"/>
      <w:lvlText w:val="%4."/>
      <w:lvlJc w:val="left"/>
      <w:pPr>
        <w:ind w:left="3680" w:hanging="360"/>
      </w:pPr>
    </w:lvl>
    <w:lvl w:ilvl="4" w:tplc="080A0019" w:tentative="1">
      <w:start w:val="1"/>
      <w:numFmt w:val="lowerLetter"/>
      <w:lvlText w:val="%5."/>
      <w:lvlJc w:val="left"/>
      <w:pPr>
        <w:ind w:left="4400" w:hanging="360"/>
      </w:pPr>
    </w:lvl>
    <w:lvl w:ilvl="5" w:tplc="080A001B" w:tentative="1">
      <w:start w:val="1"/>
      <w:numFmt w:val="lowerRoman"/>
      <w:lvlText w:val="%6."/>
      <w:lvlJc w:val="right"/>
      <w:pPr>
        <w:ind w:left="5120" w:hanging="180"/>
      </w:pPr>
    </w:lvl>
    <w:lvl w:ilvl="6" w:tplc="080A000F" w:tentative="1">
      <w:start w:val="1"/>
      <w:numFmt w:val="decimal"/>
      <w:lvlText w:val="%7."/>
      <w:lvlJc w:val="left"/>
      <w:pPr>
        <w:ind w:left="5840" w:hanging="360"/>
      </w:pPr>
    </w:lvl>
    <w:lvl w:ilvl="7" w:tplc="080A0019" w:tentative="1">
      <w:start w:val="1"/>
      <w:numFmt w:val="lowerLetter"/>
      <w:lvlText w:val="%8."/>
      <w:lvlJc w:val="left"/>
      <w:pPr>
        <w:ind w:left="6560" w:hanging="360"/>
      </w:pPr>
    </w:lvl>
    <w:lvl w:ilvl="8" w:tplc="080A001B" w:tentative="1">
      <w:start w:val="1"/>
      <w:numFmt w:val="lowerRoman"/>
      <w:lvlText w:val="%9."/>
      <w:lvlJc w:val="right"/>
      <w:pPr>
        <w:ind w:left="7280" w:hanging="180"/>
      </w:pPr>
    </w:lvl>
  </w:abstractNum>
  <w:abstractNum w:abstractNumId="8" w15:restartNumberingAfterBreak="0">
    <w:nsid w:val="707A4BF6"/>
    <w:multiLevelType w:val="hybridMultilevel"/>
    <w:tmpl w:val="B8BC8DFC"/>
    <w:lvl w:ilvl="0" w:tplc="6FAC7B04">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16cid:durableId="1103377261">
    <w:abstractNumId w:val="0"/>
  </w:num>
  <w:num w:numId="2" w16cid:durableId="1122530128">
    <w:abstractNumId w:val="1"/>
  </w:num>
  <w:num w:numId="3" w16cid:durableId="537013167">
    <w:abstractNumId w:val="5"/>
  </w:num>
  <w:num w:numId="4" w16cid:durableId="740828082">
    <w:abstractNumId w:val="3"/>
  </w:num>
  <w:num w:numId="5" w16cid:durableId="2047558071">
    <w:abstractNumId w:val="7"/>
  </w:num>
  <w:num w:numId="6" w16cid:durableId="1070732929">
    <w:abstractNumId w:val="2"/>
  </w:num>
  <w:num w:numId="7" w16cid:durableId="780227124">
    <w:abstractNumId w:val="4"/>
  </w:num>
  <w:num w:numId="8" w16cid:durableId="1118569899">
    <w:abstractNumId w:val="6"/>
  </w:num>
  <w:num w:numId="9" w16cid:durableId="15884632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mirrorMargins/>
  <w:proofState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867"/>
    <w:rsid w:val="00004560"/>
    <w:rsid w:val="00005B33"/>
    <w:rsid w:val="00021E9C"/>
    <w:rsid w:val="00024CB1"/>
    <w:rsid w:val="00033D9A"/>
    <w:rsid w:val="00035A40"/>
    <w:rsid w:val="00036C6D"/>
    <w:rsid w:val="000544E3"/>
    <w:rsid w:val="00054F3A"/>
    <w:rsid w:val="00065F69"/>
    <w:rsid w:val="00082ACA"/>
    <w:rsid w:val="00092ACA"/>
    <w:rsid w:val="000B4598"/>
    <w:rsid w:val="000B590E"/>
    <w:rsid w:val="000B6029"/>
    <w:rsid w:val="000C1B0B"/>
    <w:rsid w:val="000C2A2F"/>
    <w:rsid w:val="000C4359"/>
    <w:rsid w:val="000C50FB"/>
    <w:rsid w:val="000D4FC4"/>
    <w:rsid w:val="00102989"/>
    <w:rsid w:val="001159AA"/>
    <w:rsid w:val="00115CB8"/>
    <w:rsid w:val="00125BE9"/>
    <w:rsid w:val="00135BAB"/>
    <w:rsid w:val="00143037"/>
    <w:rsid w:val="00163A0B"/>
    <w:rsid w:val="00170440"/>
    <w:rsid w:val="001760AF"/>
    <w:rsid w:val="00182AF8"/>
    <w:rsid w:val="00183FEE"/>
    <w:rsid w:val="00185A5F"/>
    <w:rsid w:val="0019101E"/>
    <w:rsid w:val="001A19F7"/>
    <w:rsid w:val="001B07DB"/>
    <w:rsid w:val="001B222B"/>
    <w:rsid w:val="001B4717"/>
    <w:rsid w:val="001C4867"/>
    <w:rsid w:val="001C561A"/>
    <w:rsid w:val="001C6727"/>
    <w:rsid w:val="001E70AC"/>
    <w:rsid w:val="001F40D0"/>
    <w:rsid w:val="001F4C6A"/>
    <w:rsid w:val="001F7452"/>
    <w:rsid w:val="002058DB"/>
    <w:rsid w:val="002063C8"/>
    <w:rsid w:val="002210ED"/>
    <w:rsid w:val="002353F5"/>
    <w:rsid w:val="002474D9"/>
    <w:rsid w:val="00250354"/>
    <w:rsid w:val="00252CBC"/>
    <w:rsid w:val="002547AA"/>
    <w:rsid w:val="0027053D"/>
    <w:rsid w:val="00282CC3"/>
    <w:rsid w:val="00285F2D"/>
    <w:rsid w:val="00292844"/>
    <w:rsid w:val="002A458F"/>
    <w:rsid w:val="002A526D"/>
    <w:rsid w:val="002B1AB3"/>
    <w:rsid w:val="002B5432"/>
    <w:rsid w:val="002C089D"/>
    <w:rsid w:val="002C1213"/>
    <w:rsid w:val="002C1C36"/>
    <w:rsid w:val="002C338F"/>
    <w:rsid w:val="002F308D"/>
    <w:rsid w:val="002F388E"/>
    <w:rsid w:val="002F4225"/>
    <w:rsid w:val="00302E7A"/>
    <w:rsid w:val="003126A6"/>
    <w:rsid w:val="00312869"/>
    <w:rsid w:val="0031660D"/>
    <w:rsid w:val="003200B5"/>
    <w:rsid w:val="0032757B"/>
    <w:rsid w:val="00333D50"/>
    <w:rsid w:val="00337E15"/>
    <w:rsid w:val="00346DC8"/>
    <w:rsid w:val="00351E17"/>
    <w:rsid w:val="00356898"/>
    <w:rsid w:val="00380EFB"/>
    <w:rsid w:val="003931C3"/>
    <w:rsid w:val="003A2133"/>
    <w:rsid w:val="003A300F"/>
    <w:rsid w:val="003A7FDD"/>
    <w:rsid w:val="003B481B"/>
    <w:rsid w:val="003C0B76"/>
    <w:rsid w:val="003C4922"/>
    <w:rsid w:val="003C6696"/>
    <w:rsid w:val="003D21F4"/>
    <w:rsid w:val="003D60D6"/>
    <w:rsid w:val="00404EDE"/>
    <w:rsid w:val="00414C01"/>
    <w:rsid w:val="004210CB"/>
    <w:rsid w:val="00432E9E"/>
    <w:rsid w:val="0043316B"/>
    <w:rsid w:val="00445072"/>
    <w:rsid w:val="0045169C"/>
    <w:rsid w:val="004631EA"/>
    <w:rsid w:val="00465B77"/>
    <w:rsid w:val="004851E9"/>
    <w:rsid w:val="004920D7"/>
    <w:rsid w:val="00492ABF"/>
    <w:rsid w:val="00493B0E"/>
    <w:rsid w:val="004B1460"/>
    <w:rsid w:val="004B32A5"/>
    <w:rsid w:val="004D7492"/>
    <w:rsid w:val="00511CD6"/>
    <w:rsid w:val="00513DE2"/>
    <w:rsid w:val="00513E50"/>
    <w:rsid w:val="00516292"/>
    <w:rsid w:val="00517BF8"/>
    <w:rsid w:val="0052138B"/>
    <w:rsid w:val="00523CFA"/>
    <w:rsid w:val="00551CB2"/>
    <w:rsid w:val="00554B29"/>
    <w:rsid w:val="00556244"/>
    <w:rsid w:val="00556738"/>
    <w:rsid w:val="00557E42"/>
    <w:rsid w:val="005649EC"/>
    <w:rsid w:val="00573A18"/>
    <w:rsid w:val="00584ADC"/>
    <w:rsid w:val="00591979"/>
    <w:rsid w:val="005A16F5"/>
    <w:rsid w:val="005A1BDB"/>
    <w:rsid w:val="005C31FC"/>
    <w:rsid w:val="005C3356"/>
    <w:rsid w:val="005E03C2"/>
    <w:rsid w:val="005E048D"/>
    <w:rsid w:val="005E3F86"/>
    <w:rsid w:val="005E4C32"/>
    <w:rsid w:val="005F68F2"/>
    <w:rsid w:val="006029FA"/>
    <w:rsid w:val="00605068"/>
    <w:rsid w:val="00611445"/>
    <w:rsid w:val="006264A4"/>
    <w:rsid w:val="00632A56"/>
    <w:rsid w:val="00645C5E"/>
    <w:rsid w:val="006565ED"/>
    <w:rsid w:val="00664CFF"/>
    <w:rsid w:val="00666344"/>
    <w:rsid w:val="006732D5"/>
    <w:rsid w:val="00676231"/>
    <w:rsid w:val="0068308A"/>
    <w:rsid w:val="00683EB9"/>
    <w:rsid w:val="006A1406"/>
    <w:rsid w:val="006C3055"/>
    <w:rsid w:val="006C415F"/>
    <w:rsid w:val="006E3CE3"/>
    <w:rsid w:val="006E3E12"/>
    <w:rsid w:val="0071317F"/>
    <w:rsid w:val="007302F4"/>
    <w:rsid w:val="007410B0"/>
    <w:rsid w:val="00762301"/>
    <w:rsid w:val="00773A89"/>
    <w:rsid w:val="007B150A"/>
    <w:rsid w:val="007B6770"/>
    <w:rsid w:val="007C3155"/>
    <w:rsid w:val="007D1554"/>
    <w:rsid w:val="007E20F9"/>
    <w:rsid w:val="007E4205"/>
    <w:rsid w:val="007E59DB"/>
    <w:rsid w:val="00803E3F"/>
    <w:rsid w:val="00813B78"/>
    <w:rsid w:val="00824CFC"/>
    <w:rsid w:val="00827277"/>
    <w:rsid w:val="008327CF"/>
    <w:rsid w:val="008471D5"/>
    <w:rsid w:val="00847480"/>
    <w:rsid w:val="0085463C"/>
    <w:rsid w:val="00862623"/>
    <w:rsid w:val="00870541"/>
    <w:rsid w:val="00870FA4"/>
    <w:rsid w:val="00875701"/>
    <w:rsid w:val="00882368"/>
    <w:rsid w:val="0089028E"/>
    <w:rsid w:val="008A0628"/>
    <w:rsid w:val="008A6808"/>
    <w:rsid w:val="008B5AB2"/>
    <w:rsid w:val="008B6F19"/>
    <w:rsid w:val="008F3C66"/>
    <w:rsid w:val="008F5067"/>
    <w:rsid w:val="00900A99"/>
    <w:rsid w:val="009121DE"/>
    <w:rsid w:val="009148DA"/>
    <w:rsid w:val="0092798D"/>
    <w:rsid w:val="00927C1C"/>
    <w:rsid w:val="00934BA8"/>
    <w:rsid w:val="0093531E"/>
    <w:rsid w:val="00941D77"/>
    <w:rsid w:val="00944E7F"/>
    <w:rsid w:val="00952A92"/>
    <w:rsid w:val="00971780"/>
    <w:rsid w:val="0099448A"/>
    <w:rsid w:val="00994906"/>
    <w:rsid w:val="009953D8"/>
    <w:rsid w:val="009A6209"/>
    <w:rsid w:val="009A6662"/>
    <w:rsid w:val="009C1FC3"/>
    <w:rsid w:val="009C3496"/>
    <w:rsid w:val="009C51C4"/>
    <w:rsid w:val="009D5BB3"/>
    <w:rsid w:val="009E4CFD"/>
    <w:rsid w:val="009F2633"/>
    <w:rsid w:val="009F6DBC"/>
    <w:rsid w:val="00A1275C"/>
    <w:rsid w:val="00A20362"/>
    <w:rsid w:val="00A559B1"/>
    <w:rsid w:val="00A55EAC"/>
    <w:rsid w:val="00A56AE0"/>
    <w:rsid w:val="00A60CA8"/>
    <w:rsid w:val="00A72EEB"/>
    <w:rsid w:val="00A73AD7"/>
    <w:rsid w:val="00A83C95"/>
    <w:rsid w:val="00A90C04"/>
    <w:rsid w:val="00A9165A"/>
    <w:rsid w:val="00A97EF3"/>
    <w:rsid w:val="00AA4CCD"/>
    <w:rsid w:val="00AB7FEB"/>
    <w:rsid w:val="00AC2301"/>
    <w:rsid w:val="00AC5AF4"/>
    <w:rsid w:val="00AD1ED1"/>
    <w:rsid w:val="00AF5648"/>
    <w:rsid w:val="00B00DD7"/>
    <w:rsid w:val="00B07550"/>
    <w:rsid w:val="00B07C1F"/>
    <w:rsid w:val="00B30496"/>
    <w:rsid w:val="00B35954"/>
    <w:rsid w:val="00B42017"/>
    <w:rsid w:val="00B50177"/>
    <w:rsid w:val="00B6380A"/>
    <w:rsid w:val="00B91B5E"/>
    <w:rsid w:val="00B91E2C"/>
    <w:rsid w:val="00B94E84"/>
    <w:rsid w:val="00B95366"/>
    <w:rsid w:val="00BA37BD"/>
    <w:rsid w:val="00BB1B71"/>
    <w:rsid w:val="00BB5848"/>
    <w:rsid w:val="00BC37C2"/>
    <w:rsid w:val="00BC44CC"/>
    <w:rsid w:val="00BE06A2"/>
    <w:rsid w:val="00BE160C"/>
    <w:rsid w:val="00BE6526"/>
    <w:rsid w:val="00BF372B"/>
    <w:rsid w:val="00BF4652"/>
    <w:rsid w:val="00C00E83"/>
    <w:rsid w:val="00C01860"/>
    <w:rsid w:val="00C07980"/>
    <w:rsid w:val="00C10D61"/>
    <w:rsid w:val="00C12BCD"/>
    <w:rsid w:val="00C150D4"/>
    <w:rsid w:val="00C339BA"/>
    <w:rsid w:val="00C34995"/>
    <w:rsid w:val="00C444B1"/>
    <w:rsid w:val="00C618BA"/>
    <w:rsid w:val="00C62196"/>
    <w:rsid w:val="00C65EE1"/>
    <w:rsid w:val="00CA55C5"/>
    <w:rsid w:val="00CB6293"/>
    <w:rsid w:val="00CC3121"/>
    <w:rsid w:val="00CC49A5"/>
    <w:rsid w:val="00CD46B0"/>
    <w:rsid w:val="00D0149B"/>
    <w:rsid w:val="00D15254"/>
    <w:rsid w:val="00D16DEC"/>
    <w:rsid w:val="00D17957"/>
    <w:rsid w:val="00D24DBA"/>
    <w:rsid w:val="00D25E2F"/>
    <w:rsid w:val="00D31C7A"/>
    <w:rsid w:val="00D32CF6"/>
    <w:rsid w:val="00D60413"/>
    <w:rsid w:val="00D60CE2"/>
    <w:rsid w:val="00D654F1"/>
    <w:rsid w:val="00D71E41"/>
    <w:rsid w:val="00D747D6"/>
    <w:rsid w:val="00D80C5E"/>
    <w:rsid w:val="00D80E26"/>
    <w:rsid w:val="00D81B83"/>
    <w:rsid w:val="00DB1DEA"/>
    <w:rsid w:val="00DD21D9"/>
    <w:rsid w:val="00DE045F"/>
    <w:rsid w:val="00DE195A"/>
    <w:rsid w:val="00DE7003"/>
    <w:rsid w:val="00DF43C6"/>
    <w:rsid w:val="00E008FB"/>
    <w:rsid w:val="00E11E3F"/>
    <w:rsid w:val="00E2749E"/>
    <w:rsid w:val="00E27BEE"/>
    <w:rsid w:val="00E324DF"/>
    <w:rsid w:val="00E36247"/>
    <w:rsid w:val="00E40E24"/>
    <w:rsid w:val="00E440B1"/>
    <w:rsid w:val="00E46AFE"/>
    <w:rsid w:val="00E46D10"/>
    <w:rsid w:val="00E473D7"/>
    <w:rsid w:val="00E567A6"/>
    <w:rsid w:val="00E6134A"/>
    <w:rsid w:val="00E62D02"/>
    <w:rsid w:val="00E635B8"/>
    <w:rsid w:val="00E6608F"/>
    <w:rsid w:val="00E75154"/>
    <w:rsid w:val="00E934EF"/>
    <w:rsid w:val="00EA0AF9"/>
    <w:rsid w:val="00EA4425"/>
    <w:rsid w:val="00EA6EE9"/>
    <w:rsid w:val="00EB4E7E"/>
    <w:rsid w:val="00EB5F85"/>
    <w:rsid w:val="00EC491A"/>
    <w:rsid w:val="00ED21B1"/>
    <w:rsid w:val="00EF0E6E"/>
    <w:rsid w:val="00EF5BBC"/>
    <w:rsid w:val="00F02205"/>
    <w:rsid w:val="00F153C9"/>
    <w:rsid w:val="00F1753E"/>
    <w:rsid w:val="00F20802"/>
    <w:rsid w:val="00F25337"/>
    <w:rsid w:val="00F257F3"/>
    <w:rsid w:val="00F34CD4"/>
    <w:rsid w:val="00F3771F"/>
    <w:rsid w:val="00F41184"/>
    <w:rsid w:val="00F44248"/>
    <w:rsid w:val="00F47C1B"/>
    <w:rsid w:val="00F531AB"/>
    <w:rsid w:val="00F667CC"/>
    <w:rsid w:val="00F72A4E"/>
    <w:rsid w:val="00F759E8"/>
    <w:rsid w:val="00F76724"/>
    <w:rsid w:val="00F82028"/>
    <w:rsid w:val="00F83A3C"/>
    <w:rsid w:val="00F848B6"/>
    <w:rsid w:val="00F85C91"/>
    <w:rsid w:val="00F86EC6"/>
    <w:rsid w:val="00F96B02"/>
    <w:rsid w:val="00FA069E"/>
    <w:rsid w:val="00FA4419"/>
    <w:rsid w:val="00FB53BB"/>
    <w:rsid w:val="00FB5B62"/>
    <w:rsid w:val="00FC2AE5"/>
    <w:rsid w:val="00FE39C3"/>
    <w:rsid w:val="00FF6A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A8166F"/>
  <w15:chartTrackingRefBased/>
  <w15:docId w15:val="{C514C0FA-3BEF-49DB-8606-FD97D1D3D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867"/>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C486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C4867"/>
  </w:style>
  <w:style w:type="paragraph" w:styleId="Piedepgina">
    <w:name w:val="footer"/>
    <w:basedOn w:val="Normal"/>
    <w:link w:val="PiedepginaCar"/>
    <w:uiPriority w:val="99"/>
    <w:unhideWhenUsed/>
    <w:rsid w:val="001C486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4867"/>
  </w:style>
  <w:style w:type="paragraph" w:customStyle="1" w:styleId="Sangra2detindependiente1">
    <w:name w:val="Sangría 2 de t. independiente1"/>
    <w:basedOn w:val="Normal"/>
    <w:rsid w:val="001C4867"/>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Textodeglobo">
    <w:name w:val="Balloon Text"/>
    <w:basedOn w:val="Normal"/>
    <w:link w:val="TextodegloboCar"/>
    <w:uiPriority w:val="99"/>
    <w:semiHidden/>
    <w:unhideWhenUsed/>
    <w:rsid w:val="00DE045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E045F"/>
    <w:rPr>
      <w:rFonts w:ascii="Segoe UI" w:hAnsi="Segoe UI" w:cs="Segoe UI"/>
      <w:sz w:val="18"/>
      <w:szCs w:val="18"/>
    </w:rPr>
  </w:style>
  <w:style w:type="table" w:styleId="Tablaconcuadrcula">
    <w:name w:val="Table Grid"/>
    <w:basedOn w:val="Tablanormal"/>
    <w:uiPriority w:val="59"/>
    <w:rsid w:val="001B47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B07550"/>
    <w:pPr>
      <w:spacing w:after="0" w:line="240" w:lineRule="auto"/>
    </w:pPr>
  </w:style>
  <w:style w:type="character" w:styleId="Hipervnculo">
    <w:name w:val="Hyperlink"/>
    <w:basedOn w:val="Fuentedeprrafopredeter"/>
    <w:uiPriority w:val="99"/>
    <w:unhideWhenUsed/>
    <w:rsid w:val="00B95366"/>
    <w:rPr>
      <w:color w:val="0563C1" w:themeColor="hyperlink"/>
      <w:u w:val="single"/>
    </w:rPr>
  </w:style>
  <w:style w:type="paragraph" w:styleId="Ttulo">
    <w:name w:val="Title"/>
    <w:basedOn w:val="Normal"/>
    <w:next w:val="Normal"/>
    <w:link w:val="TtuloCar"/>
    <w:uiPriority w:val="10"/>
    <w:qFormat/>
    <w:rsid w:val="0068308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8308A"/>
    <w:rPr>
      <w:rFonts w:asciiTheme="majorHAnsi" w:eastAsiaTheme="majorEastAsia" w:hAnsiTheme="majorHAnsi" w:cstheme="majorBidi"/>
      <w:spacing w:val="-10"/>
      <w:kern w:val="28"/>
      <w:sz w:val="56"/>
      <w:szCs w:val="56"/>
    </w:rPr>
  </w:style>
  <w:style w:type="paragraph" w:styleId="Prrafodelista">
    <w:name w:val="List Paragraph"/>
    <w:basedOn w:val="Normal"/>
    <w:uiPriority w:val="34"/>
    <w:qFormat/>
    <w:rsid w:val="004450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518039">
      <w:bodyDiv w:val="1"/>
      <w:marLeft w:val="0"/>
      <w:marRight w:val="0"/>
      <w:marTop w:val="0"/>
      <w:marBottom w:val="0"/>
      <w:divBdr>
        <w:top w:val="none" w:sz="0" w:space="0" w:color="auto"/>
        <w:left w:val="none" w:sz="0" w:space="0" w:color="auto"/>
        <w:bottom w:val="none" w:sz="0" w:space="0" w:color="auto"/>
        <w:right w:val="none" w:sz="0" w:space="0" w:color="auto"/>
      </w:divBdr>
      <w:divsChild>
        <w:div w:id="1572040191">
          <w:marLeft w:val="0"/>
          <w:marRight w:val="0"/>
          <w:marTop w:val="0"/>
          <w:marBottom w:val="0"/>
          <w:divBdr>
            <w:top w:val="none" w:sz="0" w:space="0" w:color="auto"/>
            <w:left w:val="none" w:sz="0" w:space="0" w:color="auto"/>
            <w:bottom w:val="none" w:sz="0" w:space="0" w:color="auto"/>
            <w:right w:val="none" w:sz="0" w:space="0" w:color="auto"/>
          </w:divBdr>
        </w:div>
        <w:div w:id="2087342922">
          <w:marLeft w:val="0"/>
          <w:marRight w:val="0"/>
          <w:marTop w:val="0"/>
          <w:marBottom w:val="0"/>
          <w:divBdr>
            <w:top w:val="none" w:sz="0" w:space="0" w:color="auto"/>
            <w:left w:val="none" w:sz="0" w:space="0" w:color="auto"/>
            <w:bottom w:val="none" w:sz="0" w:space="0" w:color="auto"/>
            <w:right w:val="none" w:sz="0" w:space="0" w:color="auto"/>
          </w:divBdr>
        </w:div>
        <w:div w:id="1317764090">
          <w:marLeft w:val="0"/>
          <w:marRight w:val="0"/>
          <w:marTop w:val="0"/>
          <w:marBottom w:val="0"/>
          <w:divBdr>
            <w:top w:val="none" w:sz="0" w:space="0" w:color="auto"/>
            <w:left w:val="none" w:sz="0" w:space="0" w:color="auto"/>
            <w:bottom w:val="none" w:sz="0" w:space="0" w:color="auto"/>
            <w:right w:val="none" w:sz="0" w:space="0" w:color="auto"/>
          </w:divBdr>
        </w:div>
        <w:div w:id="1288849787">
          <w:marLeft w:val="0"/>
          <w:marRight w:val="0"/>
          <w:marTop w:val="0"/>
          <w:marBottom w:val="0"/>
          <w:divBdr>
            <w:top w:val="none" w:sz="0" w:space="0" w:color="auto"/>
            <w:left w:val="none" w:sz="0" w:space="0" w:color="auto"/>
            <w:bottom w:val="none" w:sz="0" w:space="0" w:color="auto"/>
            <w:right w:val="none" w:sz="0" w:space="0" w:color="auto"/>
          </w:divBdr>
        </w:div>
        <w:div w:id="483591939">
          <w:marLeft w:val="0"/>
          <w:marRight w:val="0"/>
          <w:marTop w:val="0"/>
          <w:marBottom w:val="0"/>
          <w:divBdr>
            <w:top w:val="none" w:sz="0" w:space="0" w:color="auto"/>
            <w:left w:val="none" w:sz="0" w:space="0" w:color="auto"/>
            <w:bottom w:val="none" w:sz="0" w:space="0" w:color="auto"/>
            <w:right w:val="none" w:sz="0" w:space="0" w:color="auto"/>
          </w:divBdr>
        </w:div>
        <w:div w:id="2134321849">
          <w:marLeft w:val="0"/>
          <w:marRight w:val="0"/>
          <w:marTop w:val="0"/>
          <w:marBottom w:val="0"/>
          <w:divBdr>
            <w:top w:val="none" w:sz="0" w:space="0" w:color="auto"/>
            <w:left w:val="none" w:sz="0" w:space="0" w:color="auto"/>
            <w:bottom w:val="none" w:sz="0" w:space="0" w:color="auto"/>
            <w:right w:val="none" w:sz="0" w:space="0" w:color="auto"/>
          </w:divBdr>
        </w:div>
      </w:divsChild>
    </w:div>
    <w:div w:id="176816634">
      <w:bodyDiv w:val="1"/>
      <w:marLeft w:val="0"/>
      <w:marRight w:val="0"/>
      <w:marTop w:val="0"/>
      <w:marBottom w:val="0"/>
      <w:divBdr>
        <w:top w:val="none" w:sz="0" w:space="0" w:color="auto"/>
        <w:left w:val="none" w:sz="0" w:space="0" w:color="auto"/>
        <w:bottom w:val="none" w:sz="0" w:space="0" w:color="auto"/>
        <w:right w:val="none" w:sz="0" w:space="0" w:color="auto"/>
      </w:divBdr>
    </w:div>
    <w:div w:id="376974056">
      <w:bodyDiv w:val="1"/>
      <w:marLeft w:val="0"/>
      <w:marRight w:val="0"/>
      <w:marTop w:val="0"/>
      <w:marBottom w:val="0"/>
      <w:divBdr>
        <w:top w:val="none" w:sz="0" w:space="0" w:color="auto"/>
        <w:left w:val="none" w:sz="0" w:space="0" w:color="auto"/>
        <w:bottom w:val="none" w:sz="0" w:space="0" w:color="auto"/>
        <w:right w:val="none" w:sz="0" w:space="0" w:color="auto"/>
      </w:divBdr>
    </w:div>
    <w:div w:id="921525356">
      <w:bodyDiv w:val="1"/>
      <w:marLeft w:val="0"/>
      <w:marRight w:val="0"/>
      <w:marTop w:val="0"/>
      <w:marBottom w:val="0"/>
      <w:divBdr>
        <w:top w:val="none" w:sz="0" w:space="0" w:color="auto"/>
        <w:left w:val="none" w:sz="0" w:space="0" w:color="auto"/>
        <w:bottom w:val="none" w:sz="0" w:space="0" w:color="auto"/>
        <w:right w:val="none" w:sz="0" w:space="0" w:color="auto"/>
      </w:divBdr>
    </w:div>
    <w:div w:id="936864738">
      <w:bodyDiv w:val="1"/>
      <w:marLeft w:val="0"/>
      <w:marRight w:val="0"/>
      <w:marTop w:val="0"/>
      <w:marBottom w:val="0"/>
      <w:divBdr>
        <w:top w:val="none" w:sz="0" w:space="0" w:color="auto"/>
        <w:left w:val="none" w:sz="0" w:space="0" w:color="auto"/>
        <w:bottom w:val="none" w:sz="0" w:space="0" w:color="auto"/>
        <w:right w:val="none" w:sz="0" w:space="0" w:color="auto"/>
      </w:divBdr>
      <w:divsChild>
        <w:div w:id="1000623355">
          <w:marLeft w:val="0"/>
          <w:marRight w:val="0"/>
          <w:marTop w:val="0"/>
          <w:marBottom w:val="0"/>
          <w:divBdr>
            <w:top w:val="none" w:sz="0" w:space="0" w:color="auto"/>
            <w:left w:val="none" w:sz="0" w:space="0" w:color="auto"/>
            <w:bottom w:val="none" w:sz="0" w:space="0" w:color="auto"/>
            <w:right w:val="none" w:sz="0" w:space="0" w:color="auto"/>
          </w:divBdr>
        </w:div>
        <w:div w:id="1738356559">
          <w:marLeft w:val="0"/>
          <w:marRight w:val="0"/>
          <w:marTop w:val="0"/>
          <w:marBottom w:val="0"/>
          <w:divBdr>
            <w:top w:val="none" w:sz="0" w:space="0" w:color="auto"/>
            <w:left w:val="none" w:sz="0" w:space="0" w:color="auto"/>
            <w:bottom w:val="none" w:sz="0" w:space="0" w:color="auto"/>
            <w:right w:val="none" w:sz="0" w:space="0" w:color="auto"/>
          </w:divBdr>
        </w:div>
        <w:div w:id="1856990182">
          <w:marLeft w:val="0"/>
          <w:marRight w:val="0"/>
          <w:marTop w:val="0"/>
          <w:marBottom w:val="0"/>
          <w:divBdr>
            <w:top w:val="none" w:sz="0" w:space="0" w:color="auto"/>
            <w:left w:val="none" w:sz="0" w:space="0" w:color="auto"/>
            <w:bottom w:val="none" w:sz="0" w:space="0" w:color="auto"/>
            <w:right w:val="none" w:sz="0" w:space="0" w:color="auto"/>
          </w:divBdr>
        </w:div>
        <w:div w:id="79134558">
          <w:marLeft w:val="0"/>
          <w:marRight w:val="0"/>
          <w:marTop w:val="0"/>
          <w:marBottom w:val="0"/>
          <w:divBdr>
            <w:top w:val="none" w:sz="0" w:space="0" w:color="auto"/>
            <w:left w:val="none" w:sz="0" w:space="0" w:color="auto"/>
            <w:bottom w:val="none" w:sz="0" w:space="0" w:color="auto"/>
            <w:right w:val="none" w:sz="0" w:space="0" w:color="auto"/>
          </w:divBdr>
        </w:div>
        <w:div w:id="1651667591">
          <w:marLeft w:val="0"/>
          <w:marRight w:val="0"/>
          <w:marTop w:val="0"/>
          <w:marBottom w:val="0"/>
          <w:divBdr>
            <w:top w:val="none" w:sz="0" w:space="0" w:color="auto"/>
            <w:left w:val="none" w:sz="0" w:space="0" w:color="auto"/>
            <w:bottom w:val="none" w:sz="0" w:space="0" w:color="auto"/>
            <w:right w:val="none" w:sz="0" w:space="0" w:color="auto"/>
          </w:divBdr>
        </w:div>
        <w:div w:id="1545750381">
          <w:marLeft w:val="0"/>
          <w:marRight w:val="0"/>
          <w:marTop w:val="0"/>
          <w:marBottom w:val="0"/>
          <w:divBdr>
            <w:top w:val="none" w:sz="0" w:space="0" w:color="auto"/>
            <w:left w:val="none" w:sz="0" w:space="0" w:color="auto"/>
            <w:bottom w:val="none" w:sz="0" w:space="0" w:color="auto"/>
            <w:right w:val="none" w:sz="0" w:space="0" w:color="auto"/>
          </w:divBdr>
        </w:div>
        <w:div w:id="835607133">
          <w:marLeft w:val="0"/>
          <w:marRight w:val="0"/>
          <w:marTop w:val="0"/>
          <w:marBottom w:val="0"/>
          <w:divBdr>
            <w:top w:val="none" w:sz="0" w:space="0" w:color="auto"/>
            <w:left w:val="none" w:sz="0" w:space="0" w:color="auto"/>
            <w:bottom w:val="none" w:sz="0" w:space="0" w:color="auto"/>
            <w:right w:val="none" w:sz="0" w:space="0" w:color="auto"/>
          </w:divBdr>
        </w:div>
      </w:divsChild>
    </w:div>
    <w:div w:id="1118182851">
      <w:bodyDiv w:val="1"/>
      <w:marLeft w:val="0"/>
      <w:marRight w:val="0"/>
      <w:marTop w:val="0"/>
      <w:marBottom w:val="0"/>
      <w:divBdr>
        <w:top w:val="none" w:sz="0" w:space="0" w:color="auto"/>
        <w:left w:val="none" w:sz="0" w:space="0" w:color="auto"/>
        <w:bottom w:val="none" w:sz="0" w:space="0" w:color="auto"/>
        <w:right w:val="none" w:sz="0" w:space="0" w:color="auto"/>
      </w:divBdr>
    </w:div>
    <w:div w:id="1180506010">
      <w:bodyDiv w:val="1"/>
      <w:marLeft w:val="0"/>
      <w:marRight w:val="0"/>
      <w:marTop w:val="0"/>
      <w:marBottom w:val="0"/>
      <w:divBdr>
        <w:top w:val="none" w:sz="0" w:space="0" w:color="auto"/>
        <w:left w:val="none" w:sz="0" w:space="0" w:color="auto"/>
        <w:bottom w:val="none" w:sz="0" w:space="0" w:color="auto"/>
        <w:right w:val="none" w:sz="0" w:space="0" w:color="auto"/>
      </w:divBdr>
      <w:divsChild>
        <w:div w:id="92014493">
          <w:marLeft w:val="0"/>
          <w:marRight w:val="0"/>
          <w:marTop w:val="0"/>
          <w:marBottom w:val="0"/>
          <w:divBdr>
            <w:top w:val="none" w:sz="0" w:space="0" w:color="auto"/>
            <w:left w:val="none" w:sz="0" w:space="0" w:color="auto"/>
            <w:bottom w:val="none" w:sz="0" w:space="0" w:color="auto"/>
            <w:right w:val="none" w:sz="0" w:space="0" w:color="auto"/>
          </w:divBdr>
        </w:div>
        <w:div w:id="636450986">
          <w:marLeft w:val="0"/>
          <w:marRight w:val="0"/>
          <w:marTop w:val="0"/>
          <w:marBottom w:val="0"/>
          <w:divBdr>
            <w:top w:val="none" w:sz="0" w:space="0" w:color="auto"/>
            <w:left w:val="none" w:sz="0" w:space="0" w:color="auto"/>
            <w:bottom w:val="none" w:sz="0" w:space="0" w:color="auto"/>
            <w:right w:val="none" w:sz="0" w:space="0" w:color="auto"/>
          </w:divBdr>
        </w:div>
        <w:div w:id="774256016">
          <w:marLeft w:val="0"/>
          <w:marRight w:val="0"/>
          <w:marTop w:val="0"/>
          <w:marBottom w:val="0"/>
          <w:divBdr>
            <w:top w:val="none" w:sz="0" w:space="0" w:color="auto"/>
            <w:left w:val="none" w:sz="0" w:space="0" w:color="auto"/>
            <w:bottom w:val="none" w:sz="0" w:space="0" w:color="auto"/>
            <w:right w:val="none" w:sz="0" w:space="0" w:color="auto"/>
          </w:divBdr>
        </w:div>
        <w:div w:id="1525172301">
          <w:marLeft w:val="0"/>
          <w:marRight w:val="0"/>
          <w:marTop w:val="0"/>
          <w:marBottom w:val="0"/>
          <w:divBdr>
            <w:top w:val="none" w:sz="0" w:space="0" w:color="auto"/>
            <w:left w:val="none" w:sz="0" w:space="0" w:color="auto"/>
            <w:bottom w:val="none" w:sz="0" w:space="0" w:color="auto"/>
            <w:right w:val="none" w:sz="0" w:space="0" w:color="auto"/>
          </w:divBdr>
        </w:div>
        <w:div w:id="1071538027">
          <w:marLeft w:val="0"/>
          <w:marRight w:val="0"/>
          <w:marTop w:val="0"/>
          <w:marBottom w:val="0"/>
          <w:divBdr>
            <w:top w:val="none" w:sz="0" w:space="0" w:color="auto"/>
            <w:left w:val="none" w:sz="0" w:space="0" w:color="auto"/>
            <w:bottom w:val="none" w:sz="0" w:space="0" w:color="auto"/>
            <w:right w:val="none" w:sz="0" w:space="0" w:color="auto"/>
          </w:divBdr>
        </w:div>
        <w:div w:id="555166542">
          <w:marLeft w:val="0"/>
          <w:marRight w:val="0"/>
          <w:marTop w:val="0"/>
          <w:marBottom w:val="0"/>
          <w:divBdr>
            <w:top w:val="none" w:sz="0" w:space="0" w:color="auto"/>
            <w:left w:val="none" w:sz="0" w:space="0" w:color="auto"/>
            <w:bottom w:val="none" w:sz="0" w:space="0" w:color="auto"/>
            <w:right w:val="none" w:sz="0" w:space="0" w:color="auto"/>
          </w:divBdr>
        </w:div>
        <w:div w:id="1893420069">
          <w:marLeft w:val="0"/>
          <w:marRight w:val="0"/>
          <w:marTop w:val="0"/>
          <w:marBottom w:val="0"/>
          <w:divBdr>
            <w:top w:val="none" w:sz="0" w:space="0" w:color="auto"/>
            <w:left w:val="none" w:sz="0" w:space="0" w:color="auto"/>
            <w:bottom w:val="none" w:sz="0" w:space="0" w:color="auto"/>
            <w:right w:val="none" w:sz="0" w:space="0" w:color="auto"/>
          </w:divBdr>
        </w:div>
      </w:divsChild>
    </w:div>
    <w:div w:id="1229418253">
      <w:bodyDiv w:val="1"/>
      <w:marLeft w:val="0"/>
      <w:marRight w:val="0"/>
      <w:marTop w:val="0"/>
      <w:marBottom w:val="0"/>
      <w:divBdr>
        <w:top w:val="none" w:sz="0" w:space="0" w:color="auto"/>
        <w:left w:val="none" w:sz="0" w:space="0" w:color="auto"/>
        <w:bottom w:val="none" w:sz="0" w:space="0" w:color="auto"/>
        <w:right w:val="none" w:sz="0" w:space="0" w:color="auto"/>
      </w:divBdr>
    </w:div>
    <w:div w:id="1333793916">
      <w:bodyDiv w:val="1"/>
      <w:marLeft w:val="0"/>
      <w:marRight w:val="0"/>
      <w:marTop w:val="0"/>
      <w:marBottom w:val="0"/>
      <w:divBdr>
        <w:top w:val="none" w:sz="0" w:space="0" w:color="auto"/>
        <w:left w:val="none" w:sz="0" w:space="0" w:color="auto"/>
        <w:bottom w:val="none" w:sz="0" w:space="0" w:color="auto"/>
        <w:right w:val="none" w:sz="0" w:space="0" w:color="auto"/>
      </w:divBdr>
      <w:divsChild>
        <w:div w:id="1307201111">
          <w:marLeft w:val="0"/>
          <w:marRight w:val="0"/>
          <w:marTop w:val="0"/>
          <w:marBottom w:val="0"/>
          <w:divBdr>
            <w:top w:val="none" w:sz="0" w:space="0" w:color="auto"/>
            <w:left w:val="none" w:sz="0" w:space="0" w:color="auto"/>
            <w:bottom w:val="none" w:sz="0" w:space="0" w:color="auto"/>
            <w:right w:val="none" w:sz="0" w:space="0" w:color="auto"/>
          </w:divBdr>
        </w:div>
        <w:div w:id="91750871">
          <w:marLeft w:val="0"/>
          <w:marRight w:val="0"/>
          <w:marTop w:val="0"/>
          <w:marBottom w:val="0"/>
          <w:divBdr>
            <w:top w:val="none" w:sz="0" w:space="0" w:color="auto"/>
            <w:left w:val="none" w:sz="0" w:space="0" w:color="auto"/>
            <w:bottom w:val="none" w:sz="0" w:space="0" w:color="auto"/>
            <w:right w:val="none" w:sz="0" w:space="0" w:color="auto"/>
          </w:divBdr>
        </w:div>
        <w:div w:id="730231317">
          <w:marLeft w:val="0"/>
          <w:marRight w:val="0"/>
          <w:marTop w:val="0"/>
          <w:marBottom w:val="0"/>
          <w:divBdr>
            <w:top w:val="none" w:sz="0" w:space="0" w:color="auto"/>
            <w:left w:val="none" w:sz="0" w:space="0" w:color="auto"/>
            <w:bottom w:val="none" w:sz="0" w:space="0" w:color="auto"/>
            <w:right w:val="none" w:sz="0" w:space="0" w:color="auto"/>
          </w:divBdr>
        </w:div>
        <w:div w:id="1232622255">
          <w:marLeft w:val="0"/>
          <w:marRight w:val="0"/>
          <w:marTop w:val="0"/>
          <w:marBottom w:val="0"/>
          <w:divBdr>
            <w:top w:val="none" w:sz="0" w:space="0" w:color="auto"/>
            <w:left w:val="none" w:sz="0" w:space="0" w:color="auto"/>
            <w:bottom w:val="none" w:sz="0" w:space="0" w:color="auto"/>
            <w:right w:val="none" w:sz="0" w:space="0" w:color="auto"/>
          </w:divBdr>
        </w:div>
        <w:div w:id="492643075">
          <w:marLeft w:val="0"/>
          <w:marRight w:val="0"/>
          <w:marTop w:val="0"/>
          <w:marBottom w:val="0"/>
          <w:divBdr>
            <w:top w:val="none" w:sz="0" w:space="0" w:color="auto"/>
            <w:left w:val="none" w:sz="0" w:space="0" w:color="auto"/>
            <w:bottom w:val="none" w:sz="0" w:space="0" w:color="auto"/>
            <w:right w:val="none" w:sz="0" w:space="0" w:color="auto"/>
          </w:divBdr>
        </w:div>
        <w:div w:id="1193149172">
          <w:marLeft w:val="0"/>
          <w:marRight w:val="0"/>
          <w:marTop w:val="0"/>
          <w:marBottom w:val="0"/>
          <w:divBdr>
            <w:top w:val="none" w:sz="0" w:space="0" w:color="auto"/>
            <w:left w:val="none" w:sz="0" w:space="0" w:color="auto"/>
            <w:bottom w:val="none" w:sz="0" w:space="0" w:color="auto"/>
            <w:right w:val="none" w:sz="0" w:space="0" w:color="auto"/>
          </w:divBdr>
        </w:div>
        <w:div w:id="1245529785">
          <w:marLeft w:val="0"/>
          <w:marRight w:val="0"/>
          <w:marTop w:val="0"/>
          <w:marBottom w:val="0"/>
          <w:divBdr>
            <w:top w:val="none" w:sz="0" w:space="0" w:color="auto"/>
            <w:left w:val="none" w:sz="0" w:space="0" w:color="auto"/>
            <w:bottom w:val="none" w:sz="0" w:space="0" w:color="auto"/>
            <w:right w:val="none" w:sz="0" w:space="0" w:color="auto"/>
          </w:divBdr>
        </w:div>
      </w:divsChild>
    </w:div>
    <w:div w:id="1532298188">
      <w:bodyDiv w:val="1"/>
      <w:marLeft w:val="0"/>
      <w:marRight w:val="0"/>
      <w:marTop w:val="0"/>
      <w:marBottom w:val="0"/>
      <w:divBdr>
        <w:top w:val="none" w:sz="0" w:space="0" w:color="auto"/>
        <w:left w:val="none" w:sz="0" w:space="0" w:color="auto"/>
        <w:bottom w:val="none" w:sz="0" w:space="0" w:color="auto"/>
        <w:right w:val="none" w:sz="0" w:space="0" w:color="auto"/>
      </w:divBdr>
      <w:divsChild>
        <w:div w:id="1236746151">
          <w:marLeft w:val="0"/>
          <w:marRight w:val="0"/>
          <w:marTop w:val="0"/>
          <w:marBottom w:val="0"/>
          <w:divBdr>
            <w:top w:val="none" w:sz="0" w:space="0" w:color="auto"/>
            <w:left w:val="none" w:sz="0" w:space="0" w:color="auto"/>
            <w:bottom w:val="none" w:sz="0" w:space="0" w:color="auto"/>
            <w:right w:val="none" w:sz="0" w:space="0" w:color="auto"/>
          </w:divBdr>
        </w:div>
        <w:div w:id="345326444">
          <w:marLeft w:val="0"/>
          <w:marRight w:val="0"/>
          <w:marTop w:val="0"/>
          <w:marBottom w:val="0"/>
          <w:divBdr>
            <w:top w:val="none" w:sz="0" w:space="0" w:color="auto"/>
            <w:left w:val="none" w:sz="0" w:space="0" w:color="auto"/>
            <w:bottom w:val="none" w:sz="0" w:space="0" w:color="auto"/>
            <w:right w:val="none" w:sz="0" w:space="0" w:color="auto"/>
          </w:divBdr>
        </w:div>
        <w:div w:id="793403035">
          <w:marLeft w:val="0"/>
          <w:marRight w:val="0"/>
          <w:marTop w:val="0"/>
          <w:marBottom w:val="0"/>
          <w:divBdr>
            <w:top w:val="none" w:sz="0" w:space="0" w:color="auto"/>
            <w:left w:val="none" w:sz="0" w:space="0" w:color="auto"/>
            <w:bottom w:val="none" w:sz="0" w:space="0" w:color="auto"/>
            <w:right w:val="none" w:sz="0" w:space="0" w:color="auto"/>
          </w:divBdr>
        </w:div>
        <w:div w:id="92409644">
          <w:marLeft w:val="0"/>
          <w:marRight w:val="0"/>
          <w:marTop w:val="0"/>
          <w:marBottom w:val="0"/>
          <w:divBdr>
            <w:top w:val="none" w:sz="0" w:space="0" w:color="auto"/>
            <w:left w:val="none" w:sz="0" w:space="0" w:color="auto"/>
            <w:bottom w:val="none" w:sz="0" w:space="0" w:color="auto"/>
            <w:right w:val="none" w:sz="0" w:space="0" w:color="auto"/>
          </w:divBdr>
        </w:div>
        <w:div w:id="594441457">
          <w:marLeft w:val="0"/>
          <w:marRight w:val="0"/>
          <w:marTop w:val="0"/>
          <w:marBottom w:val="0"/>
          <w:divBdr>
            <w:top w:val="none" w:sz="0" w:space="0" w:color="auto"/>
            <w:left w:val="none" w:sz="0" w:space="0" w:color="auto"/>
            <w:bottom w:val="none" w:sz="0" w:space="0" w:color="auto"/>
            <w:right w:val="none" w:sz="0" w:space="0" w:color="auto"/>
          </w:divBdr>
        </w:div>
        <w:div w:id="1618095868">
          <w:marLeft w:val="0"/>
          <w:marRight w:val="0"/>
          <w:marTop w:val="0"/>
          <w:marBottom w:val="0"/>
          <w:divBdr>
            <w:top w:val="none" w:sz="0" w:space="0" w:color="auto"/>
            <w:left w:val="none" w:sz="0" w:space="0" w:color="auto"/>
            <w:bottom w:val="none" w:sz="0" w:space="0" w:color="auto"/>
            <w:right w:val="none" w:sz="0" w:space="0" w:color="auto"/>
          </w:divBdr>
        </w:div>
        <w:div w:id="95056536">
          <w:marLeft w:val="0"/>
          <w:marRight w:val="0"/>
          <w:marTop w:val="0"/>
          <w:marBottom w:val="0"/>
          <w:divBdr>
            <w:top w:val="none" w:sz="0" w:space="0" w:color="auto"/>
            <w:left w:val="none" w:sz="0" w:space="0" w:color="auto"/>
            <w:bottom w:val="none" w:sz="0" w:space="0" w:color="auto"/>
            <w:right w:val="none" w:sz="0" w:space="0" w:color="auto"/>
          </w:divBdr>
        </w:div>
      </w:divsChild>
    </w:div>
    <w:div w:id="1766876975">
      <w:bodyDiv w:val="1"/>
      <w:marLeft w:val="0"/>
      <w:marRight w:val="0"/>
      <w:marTop w:val="0"/>
      <w:marBottom w:val="0"/>
      <w:divBdr>
        <w:top w:val="none" w:sz="0" w:space="0" w:color="auto"/>
        <w:left w:val="none" w:sz="0" w:space="0" w:color="auto"/>
        <w:bottom w:val="none" w:sz="0" w:space="0" w:color="auto"/>
        <w:right w:val="none" w:sz="0" w:space="0" w:color="auto"/>
      </w:divBdr>
      <w:divsChild>
        <w:div w:id="693044671">
          <w:marLeft w:val="0"/>
          <w:marRight w:val="0"/>
          <w:marTop w:val="0"/>
          <w:marBottom w:val="0"/>
          <w:divBdr>
            <w:top w:val="none" w:sz="0" w:space="0" w:color="auto"/>
            <w:left w:val="none" w:sz="0" w:space="0" w:color="auto"/>
            <w:bottom w:val="none" w:sz="0" w:space="0" w:color="auto"/>
            <w:right w:val="none" w:sz="0" w:space="0" w:color="auto"/>
          </w:divBdr>
        </w:div>
        <w:div w:id="44178990">
          <w:marLeft w:val="0"/>
          <w:marRight w:val="0"/>
          <w:marTop w:val="0"/>
          <w:marBottom w:val="0"/>
          <w:divBdr>
            <w:top w:val="none" w:sz="0" w:space="0" w:color="auto"/>
            <w:left w:val="none" w:sz="0" w:space="0" w:color="auto"/>
            <w:bottom w:val="none" w:sz="0" w:space="0" w:color="auto"/>
            <w:right w:val="none" w:sz="0" w:space="0" w:color="auto"/>
          </w:divBdr>
        </w:div>
        <w:div w:id="1725760282">
          <w:marLeft w:val="0"/>
          <w:marRight w:val="0"/>
          <w:marTop w:val="0"/>
          <w:marBottom w:val="0"/>
          <w:divBdr>
            <w:top w:val="none" w:sz="0" w:space="0" w:color="auto"/>
            <w:left w:val="none" w:sz="0" w:space="0" w:color="auto"/>
            <w:bottom w:val="none" w:sz="0" w:space="0" w:color="auto"/>
            <w:right w:val="none" w:sz="0" w:space="0" w:color="auto"/>
          </w:divBdr>
        </w:div>
        <w:div w:id="1999914459">
          <w:marLeft w:val="0"/>
          <w:marRight w:val="0"/>
          <w:marTop w:val="0"/>
          <w:marBottom w:val="0"/>
          <w:divBdr>
            <w:top w:val="none" w:sz="0" w:space="0" w:color="auto"/>
            <w:left w:val="none" w:sz="0" w:space="0" w:color="auto"/>
            <w:bottom w:val="none" w:sz="0" w:space="0" w:color="auto"/>
            <w:right w:val="none" w:sz="0" w:space="0" w:color="auto"/>
          </w:divBdr>
        </w:div>
        <w:div w:id="285085807">
          <w:marLeft w:val="0"/>
          <w:marRight w:val="0"/>
          <w:marTop w:val="0"/>
          <w:marBottom w:val="0"/>
          <w:divBdr>
            <w:top w:val="none" w:sz="0" w:space="0" w:color="auto"/>
            <w:left w:val="none" w:sz="0" w:space="0" w:color="auto"/>
            <w:bottom w:val="none" w:sz="0" w:space="0" w:color="auto"/>
            <w:right w:val="none" w:sz="0" w:space="0" w:color="auto"/>
          </w:divBdr>
        </w:div>
        <w:div w:id="1904870568">
          <w:marLeft w:val="0"/>
          <w:marRight w:val="0"/>
          <w:marTop w:val="0"/>
          <w:marBottom w:val="0"/>
          <w:divBdr>
            <w:top w:val="none" w:sz="0" w:space="0" w:color="auto"/>
            <w:left w:val="none" w:sz="0" w:space="0" w:color="auto"/>
            <w:bottom w:val="none" w:sz="0" w:space="0" w:color="auto"/>
            <w:right w:val="none" w:sz="0" w:space="0" w:color="auto"/>
          </w:divBdr>
        </w:div>
        <w:div w:id="824324816">
          <w:marLeft w:val="0"/>
          <w:marRight w:val="0"/>
          <w:marTop w:val="0"/>
          <w:marBottom w:val="0"/>
          <w:divBdr>
            <w:top w:val="none" w:sz="0" w:space="0" w:color="auto"/>
            <w:left w:val="none" w:sz="0" w:space="0" w:color="auto"/>
            <w:bottom w:val="none" w:sz="0" w:space="0" w:color="auto"/>
            <w:right w:val="none" w:sz="0" w:space="0" w:color="auto"/>
          </w:divBdr>
        </w:div>
      </w:divsChild>
    </w:div>
    <w:div w:id="1845244658">
      <w:bodyDiv w:val="1"/>
      <w:marLeft w:val="0"/>
      <w:marRight w:val="0"/>
      <w:marTop w:val="0"/>
      <w:marBottom w:val="0"/>
      <w:divBdr>
        <w:top w:val="none" w:sz="0" w:space="0" w:color="auto"/>
        <w:left w:val="none" w:sz="0" w:space="0" w:color="auto"/>
        <w:bottom w:val="none" w:sz="0" w:space="0" w:color="auto"/>
        <w:right w:val="none" w:sz="0" w:space="0" w:color="auto"/>
      </w:divBdr>
      <w:divsChild>
        <w:div w:id="2061708500">
          <w:marLeft w:val="0"/>
          <w:marRight w:val="0"/>
          <w:marTop w:val="0"/>
          <w:marBottom w:val="0"/>
          <w:divBdr>
            <w:top w:val="none" w:sz="0" w:space="0" w:color="auto"/>
            <w:left w:val="none" w:sz="0" w:space="0" w:color="auto"/>
            <w:bottom w:val="none" w:sz="0" w:space="0" w:color="auto"/>
            <w:right w:val="none" w:sz="0" w:space="0" w:color="auto"/>
          </w:divBdr>
        </w:div>
        <w:div w:id="1754938244">
          <w:marLeft w:val="0"/>
          <w:marRight w:val="0"/>
          <w:marTop w:val="0"/>
          <w:marBottom w:val="0"/>
          <w:divBdr>
            <w:top w:val="none" w:sz="0" w:space="0" w:color="auto"/>
            <w:left w:val="none" w:sz="0" w:space="0" w:color="auto"/>
            <w:bottom w:val="none" w:sz="0" w:space="0" w:color="auto"/>
            <w:right w:val="none" w:sz="0" w:space="0" w:color="auto"/>
          </w:divBdr>
        </w:div>
        <w:div w:id="1093358179">
          <w:marLeft w:val="0"/>
          <w:marRight w:val="0"/>
          <w:marTop w:val="0"/>
          <w:marBottom w:val="0"/>
          <w:divBdr>
            <w:top w:val="none" w:sz="0" w:space="0" w:color="auto"/>
            <w:left w:val="none" w:sz="0" w:space="0" w:color="auto"/>
            <w:bottom w:val="none" w:sz="0" w:space="0" w:color="auto"/>
            <w:right w:val="none" w:sz="0" w:space="0" w:color="auto"/>
          </w:divBdr>
        </w:div>
        <w:div w:id="1196579681">
          <w:marLeft w:val="0"/>
          <w:marRight w:val="0"/>
          <w:marTop w:val="0"/>
          <w:marBottom w:val="0"/>
          <w:divBdr>
            <w:top w:val="none" w:sz="0" w:space="0" w:color="auto"/>
            <w:left w:val="none" w:sz="0" w:space="0" w:color="auto"/>
            <w:bottom w:val="none" w:sz="0" w:space="0" w:color="auto"/>
            <w:right w:val="none" w:sz="0" w:space="0" w:color="auto"/>
          </w:divBdr>
        </w:div>
        <w:div w:id="872570728">
          <w:marLeft w:val="0"/>
          <w:marRight w:val="0"/>
          <w:marTop w:val="0"/>
          <w:marBottom w:val="0"/>
          <w:divBdr>
            <w:top w:val="none" w:sz="0" w:space="0" w:color="auto"/>
            <w:left w:val="none" w:sz="0" w:space="0" w:color="auto"/>
            <w:bottom w:val="none" w:sz="0" w:space="0" w:color="auto"/>
            <w:right w:val="none" w:sz="0" w:space="0" w:color="auto"/>
          </w:divBdr>
        </w:div>
        <w:div w:id="963924767">
          <w:marLeft w:val="0"/>
          <w:marRight w:val="0"/>
          <w:marTop w:val="0"/>
          <w:marBottom w:val="0"/>
          <w:divBdr>
            <w:top w:val="none" w:sz="0" w:space="0" w:color="auto"/>
            <w:left w:val="none" w:sz="0" w:space="0" w:color="auto"/>
            <w:bottom w:val="none" w:sz="0" w:space="0" w:color="auto"/>
            <w:right w:val="none" w:sz="0" w:space="0" w:color="auto"/>
          </w:divBdr>
        </w:div>
      </w:divsChild>
    </w:div>
    <w:div w:id="1898736617">
      <w:bodyDiv w:val="1"/>
      <w:marLeft w:val="0"/>
      <w:marRight w:val="0"/>
      <w:marTop w:val="0"/>
      <w:marBottom w:val="0"/>
      <w:divBdr>
        <w:top w:val="none" w:sz="0" w:space="0" w:color="auto"/>
        <w:left w:val="none" w:sz="0" w:space="0" w:color="auto"/>
        <w:bottom w:val="none" w:sz="0" w:space="0" w:color="auto"/>
        <w:right w:val="none" w:sz="0" w:space="0" w:color="auto"/>
      </w:divBdr>
      <w:divsChild>
        <w:div w:id="1005935164">
          <w:marLeft w:val="0"/>
          <w:marRight w:val="0"/>
          <w:marTop w:val="0"/>
          <w:marBottom w:val="0"/>
          <w:divBdr>
            <w:top w:val="none" w:sz="0" w:space="0" w:color="auto"/>
            <w:left w:val="none" w:sz="0" w:space="0" w:color="auto"/>
            <w:bottom w:val="none" w:sz="0" w:space="0" w:color="auto"/>
            <w:right w:val="none" w:sz="0" w:space="0" w:color="auto"/>
          </w:divBdr>
        </w:div>
        <w:div w:id="1628465143">
          <w:marLeft w:val="0"/>
          <w:marRight w:val="0"/>
          <w:marTop w:val="0"/>
          <w:marBottom w:val="0"/>
          <w:divBdr>
            <w:top w:val="none" w:sz="0" w:space="0" w:color="auto"/>
            <w:left w:val="none" w:sz="0" w:space="0" w:color="auto"/>
            <w:bottom w:val="none" w:sz="0" w:space="0" w:color="auto"/>
            <w:right w:val="none" w:sz="0" w:space="0" w:color="auto"/>
          </w:divBdr>
        </w:div>
        <w:div w:id="72968306">
          <w:marLeft w:val="0"/>
          <w:marRight w:val="0"/>
          <w:marTop w:val="0"/>
          <w:marBottom w:val="0"/>
          <w:divBdr>
            <w:top w:val="none" w:sz="0" w:space="0" w:color="auto"/>
            <w:left w:val="none" w:sz="0" w:space="0" w:color="auto"/>
            <w:bottom w:val="none" w:sz="0" w:space="0" w:color="auto"/>
            <w:right w:val="none" w:sz="0" w:space="0" w:color="auto"/>
          </w:divBdr>
        </w:div>
        <w:div w:id="1994986429">
          <w:marLeft w:val="0"/>
          <w:marRight w:val="0"/>
          <w:marTop w:val="0"/>
          <w:marBottom w:val="0"/>
          <w:divBdr>
            <w:top w:val="none" w:sz="0" w:space="0" w:color="auto"/>
            <w:left w:val="none" w:sz="0" w:space="0" w:color="auto"/>
            <w:bottom w:val="none" w:sz="0" w:space="0" w:color="auto"/>
            <w:right w:val="none" w:sz="0" w:space="0" w:color="auto"/>
          </w:divBdr>
        </w:div>
        <w:div w:id="1274753119">
          <w:marLeft w:val="0"/>
          <w:marRight w:val="0"/>
          <w:marTop w:val="0"/>
          <w:marBottom w:val="0"/>
          <w:divBdr>
            <w:top w:val="none" w:sz="0" w:space="0" w:color="auto"/>
            <w:left w:val="none" w:sz="0" w:space="0" w:color="auto"/>
            <w:bottom w:val="none" w:sz="0" w:space="0" w:color="auto"/>
            <w:right w:val="none" w:sz="0" w:space="0" w:color="auto"/>
          </w:divBdr>
        </w:div>
        <w:div w:id="970089487">
          <w:marLeft w:val="0"/>
          <w:marRight w:val="0"/>
          <w:marTop w:val="0"/>
          <w:marBottom w:val="0"/>
          <w:divBdr>
            <w:top w:val="none" w:sz="0" w:space="0" w:color="auto"/>
            <w:left w:val="none" w:sz="0" w:space="0" w:color="auto"/>
            <w:bottom w:val="none" w:sz="0" w:space="0" w:color="auto"/>
            <w:right w:val="none" w:sz="0" w:space="0" w:color="auto"/>
          </w:divBdr>
        </w:div>
        <w:div w:id="8877649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yperlink" Target="javascript:void(0)"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void(0)"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hyperlink" Target="javascript:void(0)" TargetMode="External"/><Relationship Id="rId10" Type="http://schemas.openxmlformats.org/officeDocument/2006/relationships/hyperlink" Target="javascript:void(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yperlink" Target="http://sjf2.scjn.gob.mx/detalle/tesis/16447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15CAE1-571D-4A99-8BEC-399CC5C7E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1918</TotalTime>
  <Pages>22</Pages>
  <Words>9974</Words>
  <Characters>54858</Characters>
  <Application>Microsoft Office Word</Application>
  <DocSecurity>0</DocSecurity>
  <Lines>457</Lines>
  <Paragraphs>129</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64703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María Hernández García</dc:creator>
  <cp:keywords/>
  <dc:description/>
  <cp:lastModifiedBy>FERNANDO MARTINEZ</cp:lastModifiedBy>
  <cp:revision>229</cp:revision>
  <cp:lastPrinted>2020-10-07T19:04:00Z</cp:lastPrinted>
  <dcterms:created xsi:type="dcterms:W3CDTF">2020-10-07T18:51:00Z</dcterms:created>
  <dcterms:modified xsi:type="dcterms:W3CDTF">2022-09-30T21:20:00Z</dcterms:modified>
</cp:coreProperties>
</file>