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250838" w:rsidRPr="00016EAC" w:rsidRDefault="00250838" w:rsidP="00250838">
      <w:pPr>
        <w:spacing w:after="0"/>
        <w:ind w:left="3686" w:right="51"/>
        <w:jc w:val="both"/>
        <w:rPr>
          <w:rFonts w:ascii="Arial" w:eastAsia="Times New Roman" w:hAnsi="Arial" w:cs="Arial"/>
          <w:b/>
          <w:sz w:val="24"/>
          <w:szCs w:val="24"/>
          <w:lang w:val="es-ES_tradnl" w:eastAsia="es-ES"/>
        </w:rPr>
      </w:pPr>
      <w:r w:rsidRPr="00016EAC">
        <w:rPr>
          <w:rFonts w:ascii="Arial" w:eastAsia="Times New Roman" w:hAnsi="Arial" w:cs="Arial"/>
          <w:b/>
          <w:sz w:val="24"/>
          <w:szCs w:val="24"/>
          <w:lang w:val="es-ES_tradnl" w:eastAsia="es-ES"/>
        </w:rPr>
        <w:t>TRIBUNAL DE JUSTICIA ADMINISTRATIVA DEL ESTADO DE OAXACA.</w:t>
      </w:r>
    </w:p>
    <w:p w:rsidR="00250838" w:rsidRPr="00016EAC" w:rsidRDefault="00250838" w:rsidP="00250838">
      <w:pPr>
        <w:spacing w:after="0"/>
        <w:ind w:left="3686" w:right="51"/>
        <w:jc w:val="both"/>
        <w:rPr>
          <w:rFonts w:ascii="Arial" w:eastAsia="Times New Roman" w:hAnsi="Arial" w:cs="Arial"/>
          <w:b/>
          <w:sz w:val="24"/>
          <w:szCs w:val="24"/>
          <w:lang w:val="es-ES_tradnl" w:eastAsia="es-ES"/>
        </w:rPr>
      </w:pPr>
    </w:p>
    <w:p w:rsidR="00250838" w:rsidRPr="00016EAC" w:rsidRDefault="00250838" w:rsidP="00250838">
      <w:pPr>
        <w:spacing w:after="0"/>
        <w:ind w:left="3686" w:right="51"/>
        <w:jc w:val="both"/>
        <w:rPr>
          <w:rFonts w:ascii="Arial" w:eastAsia="Times New Roman" w:hAnsi="Arial" w:cs="Arial"/>
          <w:b/>
          <w:sz w:val="24"/>
          <w:szCs w:val="24"/>
          <w:lang w:val="es-ES_tradnl" w:eastAsia="es-ES"/>
        </w:rPr>
      </w:pPr>
      <w:r w:rsidRPr="00016EAC">
        <w:rPr>
          <w:rFonts w:ascii="Arial" w:eastAsia="Times New Roman" w:hAnsi="Arial" w:cs="Arial"/>
          <w:b/>
          <w:sz w:val="24"/>
          <w:szCs w:val="24"/>
          <w:lang w:val="es-ES_tradnl" w:eastAsia="es-ES"/>
        </w:rPr>
        <w:t>SEXTA SALA UNITARIA DE PRIMERA INSTANCIA.</w:t>
      </w:r>
    </w:p>
    <w:p w:rsidR="00250838" w:rsidRPr="00016EAC" w:rsidRDefault="00250838" w:rsidP="00250838">
      <w:pPr>
        <w:spacing w:after="0"/>
        <w:ind w:left="3686" w:right="51"/>
        <w:jc w:val="both"/>
        <w:rPr>
          <w:rFonts w:ascii="Arial" w:eastAsia="Times New Roman" w:hAnsi="Arial" w:cs="Arial"/>
          <w:b/>
          <w:sz w:val="24"/>
          <w:szCs w:val="24"/>
          <w:lang w:val="es-ES_tradnl" w:eastAsia="es-ES"/>
        </w:rPr>
      </w:pPr>
    </w:p>
    <w:p w:rsidR="00250838" w:rsidRPr="00016EAC" w:rsidRDefault="00250838" w:rsidP="00250838">
      <w:pPr>
        <w:spacing w:after="0"/>
        <w:ind w:left="3686" w:right="51"/>
        <w:jc w:val="both"/>
        <w:rPr>
          <w:rFonts w:ascii="Arial" w:eastAsia="Times New Roman" w:hAnsi="Arial" w:cs="Arial"/>
          <w:b/>
          <w:bCs/>
          <w:sz w:val="24"/>
          <w:szCs w:val="24"/>
          <w:lang w:val="es-ES_tradnl" w:eastAsia="es-ES"/>
        </w:rPr>
      </w:pPr>
      <w:r w:rsidRPr="00016EAC">
        <w:rPr>
          <w:rFonts w:ascii="Arial" w:eastAsia="Times New Roman" w:hAnsi="Arial" w:cs="Arial"/>
          <w:b/>
          <w:sz w:val="24"/>
          <w:szCs w:val="24"/>
          <w:lang w:val="es-ES_tradnl" w:eastAsia="es-ES"/>
        </w:rPr>
        <w:t xml:space="preserve">JUICIO DE NULIDAD: </w:t>
      </w:r>
      <w:r w:rsidRPr="00016EAC">
        <w:rPr>
          <w:rFonts w:ascii="Arial" w:eastAsia="Times New Roman" w:hAnsi="Arial" w:cs="Arial"/>
          <w:b/>
          <w:bCs/>
          <w:sz w:val="24"/>
          <w:szCs w:val="24"/>
          <w:lang w:val="es-ES_tradnl" w:eastAsia="es-ES"/>
        </w:rPr>
        <w:t xml:space="preserve">61/2019. </w:t>
      </w:r>
    </w:p>
    <w:p w:rsidR="00250838" w:rsidRPr="00016EAC" w:rsidRDefault="00250838" w:rsidP="00250838">
      <w:pPr>
        <w:spacing w:after="0"/>
        <w:ind w:left="3686" w:right="51"/>
        <w:jc w:val="both"/>
        <w:rPr>
          <w:rFonts w:ascii="Arial" w:eastAsia="Times New Roman" w:hAnsi="Arial" w:cs="Arial"/>
          <w:b/>
          <w:sz w:val="24"/>
          <w:szCs w:val="24"/>
          <w:lang w:val="es-ES_tradnl" w:eastAsia="es-ES"/>
        </w:rPr>
      </w:pPr>
    </w:p>
    <w:p w:rsidR="00250838" w:rsidRPr="00016EAC" w:rsidRDefault="00250838" w:rsidP="00250838">
      <w:pPr>
        <w:spacing w:after="0"/>
        <w:ind w:left="3686" w:right="51"/>
        <w:jc w:val="both"/>
        <w:rPr>
          <w:rFonts w:ascii="Arial" w:eastAsia="Times New Roman" w:hAnsi="Arial" w:cs="Arial"/>
          <w:b/>
          <w:sz w:val="24"/>
          <w:szCs w:val="24"/>
          <w:lang w:val="es-ES_tradnl" w:eastAsia="es-ES"/>
        </w:rPr>
      </w:pPr>
      <w:r w:rsidRPr="00016EAC">
        <w:rPr>
          <w:rFonts w:ascii="Arial" w:eastAsia="Times New Roman" w:hAnsi="Arial" w:cs="Arial"/>
          <w:b/>
          <w:sz w:val="24"/>
          <w:szCs w:val="24"/>
          <w:lang w:val="es-ES_tradnl" w:eastAsia="es-ES"/>
        </w:rPr>
        <w:t xml:space="preserve">ACTOR: </w:t>
      </w:r>
      <w:r w:rsidR="00917A7D">
        <w:rPr>
          <w:rFonts w:ascii="Arial" w:eastAsia="Times New Roman" w:hAnsi="Arial" w:cs="Arial"/>
          <w:b/>
          <w:sz w:val="24"/>
          <w:szCs w:val="24"/>
          <w:lang w:val="es-ES_tradnl" w:eastAsia="es-ES"/>
        </w:rPr>
        <w:t>**********</w:t>
      </w:r>
      <w:r w:rsidRPr="00016EAC">
        <w:rPr>
          <w:rFonts w:ascii="Arial" w:eastAsia="Times New Roman" w:hAnsi="Arial" w:cs="Arial"/>
          <w:b/>
          <w:sz w:val="24"/>
          <w:szCs w:val="24"/>
          <w:lang w:val="es-ES_tradnl" w:eastAsia="es-ES"/>
        </w:rPr>
        <w:t>, APODERADO LEGAL DE LA PRESONA MORAL DENOMINADA “</w:t>
      </w:r>
      <w:r w:rsidR="00917A7D">
        <w:rPr>
          <w:rFonts w:ascii="Arial" w:eastAsia="Times New Roman" w:hAnsi="Arial" w:cs="Arial"/>
          <w:b/>
          <w:sz w:val="24"/>
          <w:szCs w:val="24"/>
          <w:lang w:val="es-ES_tradnl" w:eastAsia="es-ES"/>
        </w:rPr>
        <w:t>**********</w:t>
      </w:r>
      <w:r w:rsidRPr="00016EAC">
        <w:rPr>
          <w:rFonts w:ascii="Arial" w:eastAsia="Times New Roman" w:hAnsi="Arial" w:cs="Arial"/>
          <w:b/>
          <w:sz w:val="24"/>
          <w:szCs w:val="24"/>
          <w:lang w:val="es-ES_tradnl" w:eastAsia="es-ES"/>
        </w:rPr>
        <w:t xml:space="preserve">.”.  </w:t>
      </w:r>
    </w:p>
    <w:p w:rsidR="00250838" w:rsidRPr="00016EAC" w:rsidRDefault="00250838" w:rsidP="00250838">
      <w:pPr>
        <w:spacing w:after="0"/>
        <w:ind w:left="3686" w:right="51"/>
        <w:jc w:val="both"/>
        <w:rPr>
          <w:rFonts w:ascii="Arial" w:eastAsia="Times New Roman" w:hAnsi="Arial" w:cs="Arial"/>
          <w:sz w:val="24"/>
          <w:szCs w:val="24"/>
          <w:lang w:val="es-ES_tradnl" w:eastAsia="es-ES"/>
        </w:rPr>
      </w:pPr>
    </w:p>
    <w:p w:rsidR="00250838" w:rsidRPr="00016EAC" w:rsidRDefault="00250838" w:rsidP="00250838">
      <w:pPr>
        <w:spacing w:after="0"/>
        <w:ind w:left="3686" w:right="51"/>
        <w:jc w:val="both"/>
        <w:rPr>
          <w:rFonts w:ascii="Arial" w:eastAsia="Times New Roman" w:hAnsi="Arial" w:cs="Arial"/>
          <w:sz w:val="24"/>
          <w:szCs w:val="24"/>
          <w:lang w:val="es-ES_tradnl" w:eastAsia="es-ES"/>
        </w:rPr>
      </w:pPr>
      <w:r w:rsidRPr="00016EAC">
        <w:rPr>
          <w:rFonts w:ascii="Arial" w:eastAsia="Times New Roman" w:hAnsi="Arial" w:cs="Arial"/>
          <w:b/>
          <w:sz w:val="24"/>
          <w:szCs w:val="24"/>
          <w:lang w:val="es-ES_tradnl" w:eastAsia="es-ES"/>
        </w:rPr>
        <w:t xml:space="preserve">AUTORIDAD DEMANDADA: </w:t>
      </w:r>
      <w:bookmarkStart w:id="0" w:name="_Hlk49769963"/>
      <w:r w:rsidRPr="00016EAC">
        <w:rPr>
          <w:rFonts w:ascii="Arial" w:eastAsia="Times New Roman" w:hAnsi="Arial" w:cs="Arial"/>
          <w:sz w:val="24"/>
          <w:szCs w:val="24"/>
          <w:lang w:val="es-ES_tradnl" w:eastAsia="es-ES"/>
        </w:rPr>
        <w:t>DIRECTORA DE INGRESOS Y RECAUDACIÓN DE LA SUBSECRETARÍA DE INGRESOS DE LA SECRETARÍA DE FINANZAS DEL GOBIERNO DEL ESTADO DE OAXACA</w:t>
      </w:r>
      <w:bookmarkEnd w:id="0"/>
      <w:r w:rsidRPr="00016EAC">
        <w:rPr>
          <w:rFonts w:ascii="Arial" w:eastAsia="Times New Roman" w:hAnsi="Arial" w:cs="Arial"/>
          <w:sz w:val="24"/>
          <w:szCs w:val="24"/>
          <w:lang w:val="es-ES_tradnl" w:eastAsia="es-ES"/>
        </w:rPr>
        <w:t>.</w:t>
      </w:r>
    </w:p>
    <w:p w:rsidR="00250838" w:rsidRPr="00016EAC" w:rsidRDefault="00250838" w:rsidP="00250838">
      <w:pPr>
        <w:spacing w:after="0"/>
        <w:ind w:left="3969" w:right="51"/>
        <w:jc w:val="both"/>
        <w:rPr>
          <w:rFonts w:ascii="Arial" w:eastAsia="Times New Roman" w:hAnsi="Arial" w:cs="Arial"/>
          <w:sz w:val="24"/>
          <w:szCs w:val="24"/>
          <w:lang w:val="es-ES_tradnl" w:eastAsia="es-ES"/>
        </w:rPr>
      </w:pPr>
    </w:p>
    <w:p w:rsidR="00250838" w:rsidRPr="00016EAC" w:rsidRDefault="00250838" w:rsidP="00250838">
      <w:pPr>
        <w:widowControl w:val="0"/>
        <w:spacing w:after="0" w:line="240" w:lineRule="auto"/>
        <w:ind w:right="51"/>
        <w:rPr>
          <w:rFonts w:ascii="Arial" w:eastAsia="Times New Roman" w:hAnsi="Arial" w:cs="Arial"/>
          <w:color w:val="FF0000"/>
          <w:sz w:val="24"/>
          <w:szCs w:val="24"/>
          <w:lang w:val="es-ES" w:eastAsia="es-ES"/>
        </w:rPr>
      </w:pPr>
    </w:p>
    <w:p w:rsidR="00250838" w:rsidRPr="00016EAC" w:rsidRDefault="00250838" w:rsidP="00250838">
      <w:pPr>
        <w:widowControl w:val="0"/>
        <w:spacing w:line="360" w:lineRule="auto"/>
        <w:ind w:right="51" w:firstLine="567"/>
        <w:jc w:val="both"/>
        <w:rPr>
          <w:rFonts w:ascii="Arial" w:eastAsia="Times New Roman" w:hAnsi="Arial" w:cs="Arial"/>
          <w:b/>
          <w:sz w:val="24"/>
          <w:szCs w:val="24"/>
          <w:lang w:val="es-ES" w:eastAsia="es-ES"/>
        </w:rPr>
      </w:pPr>
      <w:r w:rsidRPr="00016EAC">
        <w:rPr>
          <w:rFonts w:ascii="Arial" w:eastAsia="Times New Roman" w:hAnsi="Arial" w:cs="Arial"/>
          <w:b/>
          <w:sz w:val="24"/>
          <w:szCs w:val="24"/>
          <w:lang w:val="es-ES" w:eastAsia="es-ES"/>
        </w:rPr>
        <w:t xml:space="preserve">OAXACA DE JUÁREZ, OAXACA, </w:t>
      </w:r>
      <w:r w:rsidR="008F089A" w:rsidRPr="00016EAC">
        <w:rPr>
          <w:rFonts w:ascii="Arial" w:eastAsia="Times New Roman" w:hAnsi="Arial" w:cs="Arial"/>
          <w:b/>
          <w:sz w:val="24"/>
          <w:szCs w:val="24"/>
          <w:lang w:val="es-ES" w:eastAsia="es-ES"/>
        </w:rPr>
        <w:t>CATORCE DE OCTUBRE DE DOS MIL VEINTE.</w:t>
      </w:r>
      <w:r w:rsidRPr="00016EAC">
        <w:rPr>
          <w:rFonts w:ascii="Arial" w:eastAsia="Times New Roman" w:hAnsi="Arial" w:cs="Arial"/>
          <w:b/>
          <w:sz w:val="24"/>
          <w:szCs w:val="24"/>
          <w:lang w:val="es-ES" w:eastAsia="es-ES"/>
        </w:rPr>
        <w:t xml:space="preserve"> </w:t>
      </w:r>
    </w:p>
    <w:p w:rsidR="00250838" w:rsidRPr="00016EAC" w:rsidRDefault="00250838" w:rsidP="00250838">
      <w:pPr>
        <w:widowControl w:val="0"/>
        <w:spacing w:line="360" w:lineRule="auto"/>
        <w:ind w:right="51" w:firstLine="567"/>
        <w:jc w:val="both"/>
        <w:rPr>
          <w:rFonts w:ascii="Arial" w:eastAsia="Times New Roman" w:hAnsi="Arial" w:cs="Arial"/>
          <w:sz w:val="24"/>
          <w:szCs w:val="24"/>
          <w:lang w:val="es-ES" w:eastAsia="es-ES"/>
        </w:rPr>
      </w:pPr>
      <w:r w:rsidRPr="00016EAC">
        <w:rPr>
          <w:rFonts w:ascii="Arial" w:eastAsia="Times New Roman" w:hAnsi="Arial" w:cs="Arial"/>
          <w:b/>
          <w:sz w:val="24"/>
          <w:szCs w:val="24"/>
          <w:lang w:val="es-ES_tradnl" w:eastAsia="es-ES"/>
        </w:rPr>
        <w:t xml:space="preserve">V I S T O S, </w:t>
      </w:r>
      <w:r w:rsidRPr="00016EAC">
        <w:rPr>
          <w:rFonts w:ascii="Arial" w:eastAsia="Times New Roman" w:hAnsi="Arial" w:cs="Arial"/>
          <w:sz w:val="24"/>
          <w:szCs w:val="24"/>
          <w:lang w:val="es-ES_tradnl" w:eastAsia="es-ES"/>
        </w:rPr>
        <w:t xml:space="preserve">para resolver los autos del juicio de nulidad número </w:t>
      </w:r>
      <w:r w:rsidRPr="00016EAC">
        <w:rPr>
          <w:rFonts w:ascii="Arial" w:eastAsia="Times New Roman" w:hAnsi="Arial" w:cs="Arial"/>
          <w:b/>
          <w:bCs/>
          <w:sz w:val="24"/>
          <w:szCs w:val="24"/>
          <w:lang w:val="es-ES_tradnl" w:eastAsia="es-ES"/>
        </w:rPr>
        <w:t>61/2019</w:t>
      </w:r>
      <w:r w:rsidRPr="00016EAC">
        <w:rPr>
          <w:rFonts w:ascii="Arial" w:eastAsia="Times New Roman" w:hAnsi="Arial" w:cs="Arial"/>
          <w:sz w:val="24"/>
          <w:szCs w:val="24"/>
          <w:lang w:val="es-ES_tradnl" w:eastAsia="es-ES"/>
        </w:rPr>
        <w:t xml:space="preserve">, interpuesto por </w:t>
      </w:r>
      <w:r w:rsidR="00917A7D">
        <w:rPr>
          <w:rFonts w:ascii="Arial" w:eastAsia="Times New Roman" w:hAnsi="Arial" w:cs="Arial"/>
          <w:bCs/>
          <w:sz w:val="24"/>
          <w:szCs w:val="24"/>
          <w:lang w:val="es-ES_tradnl" w:eastAsia="es-ES"/>
        </w:rPr>
        <w:t>**********</w:t>
      </w:r>
      <w:r w:rsidRPr="00016EAC">
        <w:rPr>
          <w:rFonts w:ascii="Arial" w:eastAsia="Times New Roman" w:hAnsi="Arial" w:cs="Arial"/>
          <w:bCs/>
          <w:sz w:val="24"/>
          <w:szCs w:val="24"/>
          <w:lang w:val="es-ES_tradnl" w:eastAsia="es-ES"/>
        </w:rPr>
        <w:t>, APODERADO LEGAL DE LA PRESONA MORAL DENOMINADA “</w:t>
      </w:r>
      <w:r w:rsidR="00917A7D">
        <w:rPr>
          <w:rFonts w:ascii="Arial" w:eastAsia="Times New Roman" w:hAnsi="Arial" w:cs="Arial"/>
          <w:bCs/>
          <w:sz w:val="24"/>
          <w:szCs w:val="24"/>
          <w:lang w:val="es-ES_tradnl" w:eastAsia="es-ES"/>
        </w:rPr>
        <w:t>**********</w:t>
      </w:r>
      <w:r w:rsidRPr="00016EAC">
        <w:rPr>
          <w:rFonts w:ascii="Arial" w:eastAsia="Times New Roman" w:hAnsi="Arial" w:cs="Arial"/>
          <w:bCs/>
          <w:sz w:val="24"/>
          <w:szCs w:val="24"/>
          <w:lang w:val="es-ES_tradnl" w:eastAsia="es-ES"/>
        </w:rPr>
        <w:t>.”</w:t>
      </w:r>
      <w:r w:rsidRPr="00016EAC">
        <w:rPr>
          <w:rFonts w:ascii="Arial" w:eastAsia="Times New Roman" w:hAnsi="Arial" w:cs="Arial"/>
          <w:sz w:val="24"/>
          <w:szCs w:val="24"/>
          <w:lang w:val="es-ES_tradnl" w:eastAsia="es-ES"/>
        </w:rPr>
        <w:t xml:space="preserve">, en contra de la </w:t>
      </w:r>
      <w:r w:rsidRPr="00016EAC">
        <w:rPr>
          <w:rFonts w:ascii="Arial" w:eastAsia="Times New Roman" w:hAnsi="Arial" w:cs="Arial"/>
          <w:b/>
          <w:sz w:val="24"/>
          <w:szCs w:val="24"/>
          <w:lang w:val="es-ES_tradnl" w:eastAsia="es-ES"/>
        </w:rPr>
        <w:t>DIRECTORA DE INGRESOS Y RECAUDACIÓN DE LA SUBSECRETARÍA DE INGRESOS DE LA SECRETARÍA DE FINANZAS DEL GOBIERNO DEL ESTADO DE OAXACA</w:t>
      </w:r>
      <w:r w:rsidRPr="00016EAC">
        <w:rPr>
          <w:rFonts w:ascii="Arial" w:eastAsia="Times New Roman" w:hAnsi="Arial" w:cs="Arial"/>
          <w:sz w:val="24"/>
          <w:szCs w:val="24"/>
          <w:lang w:val="es-ES_tradnl" w:eastAsia="es-ES"/>
        </w:rPr>
        <w:t xml:space="preserve">, y; </w:t>
      </w:r>
    </w:p>
    <w:p w:rsidR="00250838" w:rsidRPr="00016EAC" w:rsidRDefault="00917A7D" w:rsidP="00250838">
      <w:pPr>
        <w:spacing w:line="360" w:lineRule="auto"/>
        <w:jc w:val="center"/>
        <w:rPr>
          <w:rFonts w:ascii="Arial" w:hAnsi="Arial" w:cs="Arial"/>
          <w:b/>
          <w:spacing w:val="-3"/>
          <w:sz w:val="24"/>
          <w:szCs w:val="24"/>
          <w:lang w:val="es-ES_tradnl"/>
        </w:rPr>
      </w:pPr>
      <w:r>
        <w:rPr>
          <w:noProof/>
        </w:rPr>
        <mc:AlternateContent>
          <mc:Choice Requires="wps">
            <w:drawing>
              <wp:anchor distT="0" distB="0" distL="114300" distR="114300" simplePos="0" relativeHeight="251659264" behindDoc="1" locked="0" layoutInCell="1" allowOverlap="1" wp14:anchorId="15E46C7A" wp14:editId="77224774">
                <wp:simplePos x="0" y="0"/>
                <wp:positionH relativeFrom="column">
                  <wp:posOffset>-1085850</wp:posOffset>
                </wp:positionH>
                <wp:positionV relativeFrom="paragraph">
                  <wp:posOffset>15128</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E46C7A" id="_x0000_t202" coordsize="21600,21600" o:spt="202" path="m,l,21600r21600,l21600,xe">
                <v:stroke joinstyle="miter"/>
                <v:path gradientshapeok="t" o:connecttype="rect"/>
              </v:shapetype>
              <v:shape id="Cuadro de texto 5" o:spid="_x0000_s1026" type="#_x0000_t202" style="position:absolute;left:0;text-align:left;margin-left:-85.5pt;margin-top:1.2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50838" w:rsidRPr="00016EAC">
        <w:rPr>
          <w:rFonts w:ascii="Arial" w:hAnsi="Arial" w:cs="Arial"/>
          <w:b/>
          <w:sz w:val="24"/>
          <w:szCs w:val="24"/>
        </w:rPr>
        <w:t>R E</w:t>
      </w:r>
      <w:r w:rsidR="00250838" w:rsidRPr="00016EAC">
        <w:rPr>
          <w:rFonts w:ascii="Arial" w:hAnsi="Arial" w:cs="Arial"/>
          <w:b/>
          <w:spacing w:val="-3"/>
          <w:sz w:val="24"/>
          <w:szCs w:val="24"/>
          <w:lang w:val="es-ES_tradnl"/>
        </w:rPr>
        <w:t xml:space="preserve"> S U L T A N D O:</w:t>
      </w:r>
    </w:p>
    <w:p w:rsidR="00250838" w:rsidRPr="00016EAC" w:rsidRDefault="00250838" w:rsidP="00250838">
      <w:pPr>
        <w:spacing w:line="360" w:lineRule="auto"/>
        <w:ind w:firstLine="567"/>
        <w:jc w:val="both"/>
        <w:rPr>
          <w:rFonts w:ascii="Arial" w:hAnsi="Arial" w:cs="Arial"/>
          <w:bCs/>
          <w:spacing w:val="-3"/>
          <w:sz w:val="24"/>
          <w:szCs w:val="24"/>
          <w:lang w:val="es-ES_tradnl"/>
        </w:rPr>
      </w:pPr>
      <w:r w:rsidRPr="00016EAC">
        <w:rPr>
          <w:rFonts w:ascii="Arial" w:hAnsi="Arial" w:cs="Arial"/>
          <w:b/>
          <w:spacing w:val="-3"/>
          <w:sz w:val="24"/>
          <w:szCs w:val="24"/>
          <w:lang w:val="es-ES_tradnl"/>
        </w:rPr>
        <w:t xml:space="preserve">PRIMERO.- </w:t>
      </w:r>
      <w:r w:rsidRPr="00016EAC">
        <w:rPr>
          <w:rFonts w:ascii="Arial" w:hAnsi="Arial" w:cs="Arial"/>
          <w:bCs/>
          <w:spacing w:val="-3"/>
          <w:sz w:val="24"/>
          <w:szCs w:val="24"/>
          <w:lang w:val="es-ES_tradnl"/>
        </w:rPr>
        <w:t xml:space="preserve">Con fecha veinte de junio de dos mil diecinueve (20/06/2019) </w:t>
      </w:r>
      <w:r w:rsidR="00917A7D">
        <w:rPr>
          <w:rFonts w:ascii="Arial" w:hAnsi="Arial" w:cs="Arial"/>
          <w:bCs/>
          <w:spacing w:val="-3"/>
          <w:sz w:val="24"/>
          <w:szCs w:val="24"/>
          <w:lang w:val="es-ES_tradnl"/>
        </w:rPr>
        <w:t>**********</w:t>
      </w:r>
      <w:r w:rsidRPr="00016EAC">
        <w:rPr>
          <w:rFonts w:ascii="Arial" w:hAnsi="Arial" w:cs="Arial"/>
          <w:bCs/>
          <w:spacing w:val="-3"/>
          <w:sz w:val="24"/>
          <w:szCs w:val="24"/>
          <w:lang w:val="es-ES_tradnl"/>
        </w:rPr>
        <w:t>, APODERADO LEGAL DE LA PRESONA MORAL DENOMINADA “</w:t>
      </w:r>
      <w:r w:rsidR="00917A7D">
        <w:rPr>
          <w:rFonts w:ascii="Arial" w:hAnsi="Arial" w:cs="Arial"/>
          <w:bCs/>
          <w:spacing w:val="-3"/>
          <w:sz w:val="24"/>
          <w:szCs w:val="24"/>
          <w:lang w:val="es-ES_tradnl"/>
        </w:rPr>
        <w:t>**********</w:t>
      </w:r>
      <w:r w:rsidRPr="00016EAC">
        <w:rPr>
          <w:rFonts w:ascii="Arial" w:hAnsi="Arial" w:cs="Arial"/>
          <w:bCs/>
          <w:spacing w:val="-3"/>
          <w:sz w:val="24"/>
          <w:szCs w:val="24"/>
          <w:lang w:val="es-ES_tradnl"/>
        </w:rPr>
        <w:t xml:space="preserve">.”, presentó en la Oficialía de Partes Común de este Tribunal, presentó en la Oficialía de Partes Común de este Tribunal su escrito de demanda, en el cual  solicitó la nulidad de la multa por infracción relacionada con la presentación de declaraciones del Impuesto sobre Erogaciones por Remuneraciones al Trabajo Personal, con número de control 01MO14ER191351, de fecha diecinueve de febrero de dos mil diecinueve, emitida por la maestra ELIZABETH MARTÍNEZ ARZOLA, Directora de Ingresos y Recaudación de la Subsecretaría de Ingresos de la Secretaría de Finanzas del Gobierno del Estado de Oaxaca. Por lo que mediante acuerdo de fecha veintiuno de junio de dos mil diecinueve (21/06/2019), se admitió a trámite la demanda, ordenándose notificar, emplazar y correr traslado a la autoridad demandada, para que produjera su contestación en los términos de ley. </w:t>
      </w:r>
    </w:p>
    <w:p w:rsidR="00250838" w:rsidRPr="00016EAC" w:rsidRDefault="00250838" w:rsidP="00250838">
      <w:pPr>
        <w:spacing w:line="360" w:lineRule="auto"/>
        <w:ind w:firstLine="567"/>
        <w:jc w:val="both"/>
        <w:rPr>
          <w:rFonts w:ascii="Arial" w:hAnsi="Arial" w:cs="Arial"/>
          <w:bCs/>
          <w:spacing w:val="-3"/>
          <w:sz w:val="24"/>
          <w:szCs w:val="24"/>
          <w:lang w:val="es-ES_tradnl"/>
        </w:rPr>
      </w:pPr>
      <w:r w:rsidRPr="00016EAC">
        <w:rPr>
          <w:rFonts w:ascii="Arial" w:hAnsi="Arial" w:cs="Arial"/>
          <w:b/>
          <w:spacing w:val="-3"/>
          <w:sz w:val="24"/>
          <w:szCs w:val="24"/>
          <w:lang w:val="es-ES_tradnl"/>
        </w:rPr>
        <w:lastRenderedPageBreak/>
        <w:t>SEGUNDO.-</w:t>
      </w:r>
      <w:r w:rsidRPr="00016EAC">
        <w:rPr>
          <w:rFonts w:ascii="Arial" w:hAnsi="Arial" w:cs="Arial"/>
          <w:bCs/>
          <w:spacing w:val="-3"/>
          <w:sz w:val="24"/>
          <w:szCs w:val="24"/>
          <w:lang w:val="es-ES_tradnl"/>
        </w:rPr>
        <w:t xml:space="preserve"> Por acuerdo de fecha dos de octubre de dos mil diecinueve (02/10/2019), se tuvo a MAIRA CORTÉS REYNA, Directora de lo Contencioso de la Procuraduría Fiscal de la Subsecretaría de Ingresos de la Secretaría de Finanzas del Poder Ejecutivo del Estado de Oaxaca, en representación jurídica y ejerciendo la defensa legal de la Secretaría de Finanzas y sus áreas, contestando la demanda entablada en contra de su representada en los términos en los que lo hizo, y se tuvieron por admitidas las pruebas que ofreció, de igual forma se le concedió a la parte actora un plazo para que dentro de este ampliara su escrito inicial de demanda, apercibida que no de hacerlo, se te</w:t>
      </w:r>
      <w:r w:rsidR="008F089A" w:rsidRPr="00016EAC">
        <w:rPr>
          <w:rFonts w:ascii="Arial" w:hAnsi="Arial" w:cs="Arial"/>
          <w:bCs/>
          <w:spacing w:val="-3"/>
          <w:sz w:val="24"/>
          <w:szCs w:val="24"/>
          <w:lang w:val="es-ES_tradnl"/>
        </w:rPr>
        <w:t xml:space="preserve">ndría por </w:t>
      </w:r>
      <w:proofErr w:type="spellStart"/>
      <w:r w:rsidR="008F089A" w:rsidRPr="00016EAC">
        <w:rPr>
          <w:rFonts w:ascii="Arial" w:hAnsi="Arial" w:cs="Arial"/>
          <w:bCs/>
          <w:spacing w:val="-3"/>
          <w:sz w:val="24"/>
          <w:szCs w:val="24"/>
          <w:lang w:val="es-ES_tradnl"/>
        </w:rPr>
        <w:t>precluido</w:t>
      </w:r>
      <w:proofErr w:type="spellEnd"/>
      <w:r w:rsidR="008F089A" w:rsidRPr="00016EAC">
        <w:rPr>
          <w:rFonts w:ascii="Arial" w:hAnsi="Arial" w:cs="Arial"/>
          <w:bCs/>
          <w:spacing w:val="-3"/>
          <w:sz w:val="24"/>
          <w:szCs w:val="24"/>
          <w:lang w:val="es-ES_tradnl"/>
        </w:rPr>
        <w:t xml:space="preserve"> su derecho.</w:t>
      </w:r>
    </w:p>
    <w:p w:rsidR="00250838" w:rsidRPr="00016EAC" w:rsidRDefault="00250838" w:rsidP="00250838">
      <w:pPr>
        <w:spacing w:line="360" w:lineRule="auto"/>
        <w:ind w:firstLine="567"/>
        <w:jc w:val="both"/>
        <w:rPr>
          <w:rFonts w:ascii="Arial" w:hAnsi="Arial" w:cs="Arial"/>
          <w:bCs/>
          <w:spacing w:val="-3"/>
          <w:sz w:val="24"/>
          <w:szCs w:val="24"/>
          <w:lang w:val="es-ES_tradnl"/>
        </w:rPr>
      </w:pPr>
      <w:r w:rsidRPr="00016EAC">
        <w:rPr>
          <w:rFonts w:ascii="Arial" w:hAnsi="Arial" w:cs="Arial"/>
          <w:bCs/>
          <w:spacing w:val="-3"/>
          <w:sz w:val="24"/>
          <w:szCs w:val="24"/>
          <w:lang w:val="es-ES_tradnl"/>
        </w:rPr>
        <w:t xml:space="preserve">Finalmente, se les hizo del conocimiento a las partes el oficio por el cual se designada al magistrado </w:t>
      </w:r>
      <w:r w:rsidR="00917A7D" w:rsidRPr="00917A7D">
        <w:rPr>
          <w:rFonts w:ascii="Arial" w:hAnsi="Arial" w:cs="Arial"/>
          <w:bCs/>
          <w:color w:val="000000" w:themeColor="text1"/>
          <w:spacing w:val="-3"/>
          <w:sz w:val="24"/>
          <w:szCs w:val="24"/>
          <w:lang w:val="es-ES_tradnl"/>
        </w:rPr>
        <w:t>Enrique Pacheco Martínez</w:t>
      </w:r>
      <w:r w:rsidRPr="00016EAC">
        <w:rPr>
          <w:rFonts w:ascii="Arial" w:hAnsi="Arial" w:cs="Arial"/>
          <w:bCs/>
          <w:spacing w:val="-3"/>
          <w:sz w:val="24"/>
          <w:szCs w:val="24"/>
          <w:lang w:val="es-ES_tradnl"/>
        </w:rPr>
        <w:t>, como magistrado Titular de la Sexta Sala Unitaria de Primera Instancia de este Tribunal de Justicia Administrativa del Estado de Oaxaca, otorgándosele a las p</w:t>
      </w:r>
      <w:bookmarkStart w:id="1" w:name="_GoBack"/>
      <w:bookmarkEnd w:id="1"/>
      <w:r w:rsidRPr="00016EAC">
        <w:rPr>
          <w:rFonts w:ascii="Arial" w:hAnsi="Arial" w:cs="Arial"/>
          <w:bCs/>
          <w:spacing w:val="-3"/>
          <w:sz w:val="24"/>
          <w:szCs w:val="24"/>
          <w:lang w:val="es-ES_tradnl"/>
        </w:rPr>
        <w:t>artes tres días hábiles para que manifestaran lo que a su derecho conviniera.</w:t>
      </w:r>
    </w:p>
    <w:p w:rsidR="00250838" w:rsidRPr="00016EAC" w:rsidRDefault="00917A7D" w:rsidP="00250838">
      <w:pPr>
        <w:spacing w:line="360" w:lineRule="auto"/>
        <w:ind w:firstLine="567"/>
        <w:jc w:val="both"/>
        <w:rPr>
          <w:rFonts w:ascii="Arial" w:hAnsi="Arial" w:cs="Arial"/>
          <w:bCs/>
          <w:spacing w:val="-3"/>
          <w:sz w:val="24"/>
          <w:szCs w:val="24"/>
          <w:lang w:val="es-ES_tradnl"/>
        </w:rPr>
      </w:pPr>
      <w:r>
        <w:rPr>
          <w:noProof/>
        </w:rPr>
        <mc:AlternateContent>
          <mc:Choice Requires="wps">
            <w:drawing>
              <wp:anchor distT="0" distB="0" distL="114300" distR="114300" simplePos="0" relativeHeight="251661312" behindDoc="1" locked="0" layoutInCell="1" allowOverlap="1" wp14:anchorId="05F8B305" wp14:editId="30F889E1">
                <wp:simplePos x="0" y="0"/>
                <wp:positionH relativeFrom="column">
                  <wp:posOffset>5701553</wp:posOffset>
                </wp:positionH>
                <wp:positionV relativeFrom="paragraph">
                  <wp:posOffset>937297</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8B305" id="Cuadro de texto 1" o:spid="_x0000_s1027" type="#_x0000_t202" style="position:absolute;left:0;text-align:left;margin-left:448.95pt;margin-top:73.8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50838" w:rsidRPr="00016EAC">
        <w:rPr>
          <w:rFonts w:ascii="Arial" w:hAnsi="Arial" w:cs="Arial"/>
          <w:b/>
          <w:spacing w:val="-3"/>
          <w:sz w:val="24"/>
          <w:szCs w:val="24"/>
          <w:lang w:val="es-ES_tradnl"/>
        </w:rPr>
        <w:t>TERCERO.-</w:t>
      </w:r>
      <w:r w:rsidR="00250838" w:rsidRPr="00016EAC">
        <w:rPr>
          <w:rFonts w:ascii="Arial" w:hAnsi="Arial" w:cs="Arial"/>
          <w:bCs/>
          <w:spacing w:val="-3"/>
          <w:sz w:val="24"/>
          <w:szCs w:val="24"/>
          <w:lang w:val="es-ES_tradnl"/>
        </w:rPr>
        <w:t xml:space="preserve"> En auto de fecha veintiuno de noviembre de dos mil diecinueve (21/11/2019), se dio cuenta con el escrito de la parte actora, en la cual se le tuvo ampliando su escrito inicial de demanda, ordenándose correr traslado a la autoridad demandada, a efecto de que diera contestación a la ampliación efectuada, con el apercibimiento de no hacerlo se le tendría por </w:t>
      </w:r>
      <w:proofErr w:type="spellStart"/>
      <w:r w:rsidR="00250838" w:rsidRPr="00016EAC">
        <w:rPr>
          <w:rFonts w:ascii="Arial" w:hAnsi="Arial" w:cs="Arial"/>
          <w:bCs/>
          <w:spacing w:val="-3"/>
          <w:sz w:val="24"/>
          <w:szCs w:val="24"/>
          <w:lang w:val="es-ES_tradnl"/>
        </w:rPr>
        <w:t>precluido</w:t>
      </w:r>
      <w:proofErr w:type="spellEnd"/>
      <w:r w:rsidR="00250838" w:rsidRPr="00016EAC">
        <w:rPr>
          <w:rFonts w:ascii="Arial" w:hAnsi="Arial" w:cs="Arial"/>
          <w:bCs/>
          <w:spacing w:val="-3"/>
          <w:sz w:val="24"/>
          <w:szCs w:val="24"/>
          <w:lang w:val="es-ES_tradnl"/>
        </w:rPr>
        <w:t xml:space="preserve"> su derecho y por contestada la ampliación en sentido afirma</w:t>
      </w:r>
      <w:r w:rsidR="008F089A" w:rsidRPr="00016EAC">
        <w:rPr>
          <w:rFonts w:ascii="Arial" w:hAnsi="Arial" w:cs="Arial"/>
          <w:bCs/>
          <w:spacing w:val="-3"/>
          <w:sz w:val="24"/>
          <w:szCs w:val="24"/>
          <w:lang w:val="es-ES_tradnl"/>
        </w:rPr>
        <w:t>tivo salvo prueba en contrario.</w:t>
      </w:r>
      <w:r w:rsidR="00250838" w:rsidRPr="00016EAC">
        <w:rPr>
          <w:rFonts w:ascii="Arial" w:hAnsi="Arial" w:cs="Arial"/>
          <w:bCs/>
          <w:spacing w:val="-3"/>
          <w:sz w:val="24"/>
          <w:szCs w:val="24"/>
          <w:lang w:val="es-ES_tradnl"/>
        </w:rPr>
        <w:t xml:space="preserve"> </w:t>
      </w:r>
    </w:p>
    <w:p w:rsidR="008F089A" w:rsidRPr="00016EAC" w:rsidRDefault="00250838" w:rsidP="00250838">
      <w:pPr>
        <w:spacing w:line="360" w:lineRule="auto"/>
        <w:ind w:firstLine="567"/>
        <w:jc w:val="both"/>
        <w:rPr>
          <w:rFonts w:ascii="Arial" w:hAnsi="Arial" w:cs="Arial"/>
          <w:bCs/>
          <w:spacing w:val="-3"/>
          <w:sz w:val="24"/>
          <w:szCs w:val="24"/>
          <w:lang w:val="es-ES_tradnl"/>
        </w:rPr>
      </w:pPr>
      <w:r w:rsidRPr="00016EAC">
        <w:rPr>
          <w:rFonts w:ascii="Arial" w:hAnsi="Arial" w:cs="Arial"/>
          <w:b/>
          <w:spacing w:val="-3"/>
          <w:sz w:val="24"/>
          <w:szCs w:val="24"/>
          <w:lang w:val="es-ES_tradnl"/>
        </w:rPr>
        <w:t>CUARTO.-</w:t>
      </w:r>
      <w:r w:rsidRPr="00016EAC">
        <w:rPr>
          <w:rFonts w:ascii="Arial" w:hAnsi="Arial" w:cs="Arial"/>
          <w:bCs/>
          <w:spacing w:val="-3"/>
          <w:sz w:val="24"/>
          <w:szCs w:val="24"/>
          <w:lang w:val="es-ES_tradnl"/>
        </w:rPr>
        <w:t xml:space="preserve"> Mediante proveído de fecha dieciocho de marzo de dos mil veinte (18/03/2020), el Procurador Fiscal dependiente de la Subsecretaría de Ingresos de la Secretaría de Finanzas del Poder Ejecutivo del Estado de Oaxaca, dio contestación a la ampliación de demanda, ordenándose correr traslado a la parte actora para los efectos legales correspondientes, por último se señaló fecha y hora para la celebración de la audiencia final</w:t>
      </w:r>
      <w:r w:rsidR="008F089A" w:rsidRPr="00016EAC">
        <w:rPr>
          <w:rFonts w:ascii="Arial" w:hAnsi="Arial" w:cs="Arial"/>
          <w:bCs/>
          <w:spacing w:val="-3"/>
          <w:sz w:val="24"/>
          <w:szCs w:val="24"/>
          <w:lang w:val="es-ES_tradnl"/>
        </w:rPr>
        <w:t>, sin embargo, debido a las suspensiones de labores de este tribunal debido a la pandemia existente en todo el país, no fue posible el desahogo de la audiencia mencionada</w:t>
      </w:r>
      <w:r w:rsidRPr="00016EAC">
        <w:rPr>
          <w:rFonts w:ascii="Arial" w:hAnsi="Arial" w:cs="Arial"/>
          <w:bCs/>
          <w:spacing w:val="-3"/>
          <w:sz w:val="24"/>
          <w:szCs w:val="24"/>
          <w:lang w:val="es-ES_tradnl"/>
        </w:rPr>
        <w:t>.</w:t>
      </w:r>
    </w:p>
    <w:p w:rsidR="008F089A" w:rsidRPr="00016EAC" w:rsidRDefault="008F089A" w:rsidP="00250838">
      <w:pPr>
        <w:spacing w:line="360" w:lineRule="auto"/>
        <w:ind w:firstLine="567"/>
        <w:jc w:val="both"/>
        <w:rPr>
          <w:rFonts w:ascii="Arial" w:hAnsi="Arial" w:cs="Arial"/>
          <w:bCs/>
          <w:spacing w:val="-3"/>
          <w:sz w:val="24"/>
          <w:szCs w:val="24"/>
          <w:lang w:val="es-ES_tradnl"/>
        </w:rPr>
      </w:pPr>
      <w:r w:rsidRPr="00016EAC">
        <w:rPr>
          <w:rFonts w:ascii="Arial" w:hAnsi="Arial" w:cs="Arial"/>
          <w:b/>
          <w:bCs/>
          <w:spacing w:val="-3"/>
          <w:sz w:val="24"/>
          <w:szCs w:val="24"/>
          <w:lang w:val="es-ES_tradnl"/>
        </w:rPr>
        <w:t>QUINTO</w:t>
      </w:r>
      <w:r w:rsidR="00250838" w:rsidRPr="00016EAC">
        <w:rPr>
          <w:rFonts w:ascii="Arial" w:hAnsi="Arial" w:cs="Arial"/>
          <w:b/>
          <w:spacing w:val="-3"/>
          <w:sz w:val="24"/>
          <w:szCs w:val="24"/>
          <w:lang w:val="es-ES_tradnl"/>
        </w:rPr>
        <w:t>.-</w:t>
      </w:r>
      <w:r w:rsidR="00250838" w:rsidRPr="00016EAC">
        <w:rPr>
          <w:rFonts w:ascii="Arial" w:hAnsi="Arial" w:cs="Arial"/>
          <w:bCs/>
          <w:spacing w:val="-3"/>
          <w:sz w:val="24"/>
          <w:szCs w:val="24"/>
          <w:lang w:val="es-ES_tradnl"/>
        </w:rPr>
        <w:t xml:space="preserve"> </w:t>
      </w:r>
      <w:r w:rsidRPr="00016EAC">
        <w:rPr>
          <w:rFonts w:ascii="Arial" w:hAnsi="Arial" w:cs="Arial"/>
          <w:bCs/>
          <w:spacing w:val="-3"/>
          <w:sz w:val="24"/>
          <w:szCs w:val="24"/>
          <w:lang w:val="es-ES_tradnl"/>
        </w:rPr>
        <w:t xml:space="preserve">por auto de siete de septiembre del año en curso, se ordenó levantar la suspensión de las labores de este Tribunal y se ordenó continuar con el </w:t>
      </w:r>
      <w:r w:rsidR="00FA6F0A" w:rsidRPr="00016EAC">
        <w:rPr>
          <w:rFonts w:ascii="Arial" w:hAnsi="Arial" w:cs="Arial"/>
          <w:bCs/>
          <w:spacing w:val="-3"/>
          <w:sz w:val="24"/>
          <w:szCs w:val="24"/>
          <w:lang w:val="es-ES_tradnl"/>
        </w:rPr>
        <w:t>trámite</w:t>
      </w:r>
      <w:r w:rsidRPr="00016EAC">
        <w:rPr>
          <w:rFonts w:ascii="Arial" w:hAnsi="Arial" w:cs="Arial"/>
          <w:bCs/>
          <w:spacing w:val="-3"/>
          <w:sz w:val="24"/>
          <w:szCs w:val="24"/>
          <w:lang w:val="es-ES_tradnl"/>
        </w:rPr>
        <w:t xml:space="preserve"> del expediente, por ello, nuevamente, se señaló fecha y hora para la audiencia de pruebas y alegatos.</w:t>
      </w:r>
    </w:p>
    <w:p w:rsidR="00250838" w:rsidRPr="00016EAC" w:rsidRDefault="00FA6F0A" w:rsidP="00250838">
      <w:pPr>
        <w:spacing w:line="360" w:lineRule="auto"/>
        <w:ind w:firstLine="567"/>
        <w:jc w:val="both"/>
        <w:rPr>
          <w:rFonts w:ascii="Arial" w:hAnsi="Arial" w:cs="Arial"/>
          <w:bCs/>
          <w:spacing w:val="-3"/>
          <w:sz w:val="24"/>
          <w:szCs w:val="24"/>
          <w:lang w:val="es-ES_tradnl"/>
        </w:rPr>
      </w:pPr>
      <w:r w:rsidRPr="00016EAC">
        <w:rPr>
          <w:rFonts w:ascii="Arial" w:hAnsi="Arial" w:cs="Arial"/>
          <w:b/>
          <w:bCs/>
          <w:spacing w:val="-3"/>
          <w:sz w:val="24"/>
          <w:szCs w:val="24"/>
          <w:lang w:val="es-ES_tradnl"/>
        </w:rPr>
        <w:t xml:space="preserve">SEXTO.- </w:t>
      </w:r>
      <w:r w:rsidR="00250838" w:rsidRPr="00016EAC">
        <w:rPr>
          <w:rFonts w:ascii="Arial" w:hAnsi="Arial" w:cs="Arial"/>
          <w:bCs/>
          <w:spacing w:val="-3"/>
          <w:sz w:val="24"/>
          <w:szCs w:val="24"/>
          <w:lang w:val="es-ES_tradnl"/>
        </w:rPr>
        <w:t xml:space="preserve">El </w:t>
      </w:r>
      <w:r w:rsidRPr="00016EAC">
        <w:rPr>
          <w:rFonts w:ascii="Arial" w:hAnsi="Arial" w:cs="Arial"/>
          <w:bCs/>
          <w:spacing w:val="-3"/>
          <w:sz w:val="24"/>
          <w:szCs w:val="24"/>
          <w:lang w:val="es-ES_tradnl"/>
        </w:rPr>
        <w:t>catorce de octubre de dos mil veinte</w:t>
      </w:r>
      <w:r w:rsidR="00250838" w:rsidRPr="00016EAC">
        <w:rPr>
          <w:rFonts w:ascii="Arial" w:hAnsi="Arial" w:cs="Arial"/>
          <w:bCs/>
          <w:spacing w:val="-3"/>
          <w:sz w:val="24"/>
          <w:szCs w:val="24"/>
          <w:lang w:val="es-ES_tradnl"/>
        </w:rPr>
        <w:t xml:space="preserve"> se llevó a cabo la Audiencia de Ley, en la que no se presentaron las partes, ni persona alguna que legalmente las representara, asentando el Secretario de Acuerdos, que ninguna de las partes presentó alegatos, por lo que se citó a las partes oír sentencia </w:t>
      </w:r>
      <w:r w:rsidRPr="00016EAC">
        <w:rPr>
          <w:rFonts w:ascii="Arial" w:hAnsi="Arial" w:cs="Arial"/>
          <w:bCs/>
          <w:spacing w:val="-3"/>
          <w:sz w:val="24"/>
          <w:szCs w:val="24"/>
          <w:lang w:val="es-ES_tradnl"/>
        </w:rPr>
        <w:t>dentro del término de ley, y;</w:t>
      </w:r>
    </w:p>
    <w:p w:rsidR="00250838" w:rsidRPr="00016EAC" w:rsidRDefault="00250838" w:rsidP="00250838">
      <w:pPr>
        <w:spacing w:line="360" w:lineRule="auto"/>
        <w:jc w:val="both"/>
        <w:rPr>
          <w:rFonts w:ascii="Arial" w:hAnsi="Arial" w:cs="Arial"/>
          <w:b/>
          <w:spacing w:val="-3"/>
          <w:sz w:val="24"/>
          <w:szCs w:val="24"/>
          <w:lang w:val="es-ES_tradnl"/>
        </w:rPr>
      </w:pPr>
      <w:r w:rsidRPr="00016EAC">
        <w:rPr>
          <w:rFonts w:ascii="Arial" w:hAnsi="Arial" w:cs="Arial"/>
          <w:b/>
          <w:spacing w:val="-3"/>
          <w:sz w:val="24"/>
          <w:szCs w:val="24"/>
          <w:lang w:val="es-ES_tradnl"/>
        </w:rPr>
        <w:lastRenderedPageBreak/>
        <w:tab/>
      </w:r>
      <w:r w:rsidRPr="00016EAC">
        <w:rPr>
          <w:rFonts w:ascii="Arial" w:hAnsi="Arial" w:cs="Arial"/>
          <w:b/>
          <w:spacing w:val="-3"/>
          <w:sz w:val="24"/>
          <w:szCs w:val="24"/>
          <w:lang w:val="es-ES_tradnl"/>
        </w:rPr>
        <w:tab/>
      </w:r>
      <w:r w:rsidRPr="00016EAC">
        <w:rPr>
          <w:rFonts w:ascii="Arial" w:hAnsi="Arial" w:cs="Arial"/>
          <w:b/>
          <w:spacing w:val="-3"/>
          <w:sz w:val="24"/>
          <w:szCs w:val="24"/>
          <w:lang w:val="es-ES_tradnl"/>
        </w:rPr>
        <w:tab/>
      </w:r>
      <w:r w:rsidRPr="00016EAC">
        <w:rPr>
          <w:rFonts w:ascii="Arial" w:hAnsi="Arial" w:cs="Arial"/>
          <w:b/>
          <w:spacing w:val="-3"/>
          <w:sz w:val="24"/>
          <w:szCs w:val="24"/>
          <w:lang w:val="es-ES_tradnl"/>
        </w:rPr>
        <w:tab/>
        <w:t>C O N S I D E R A N D O:</w:t>
      </w:r>
    </w:p>
    <w:p w:rsidR="00250838" w:rsidRPr="00016EAC" w:rsidRDefault="00250838" w:rsidP="00250838">
      <w:pPr>
        <w:spacing w:line="360" w:lineRule="auto"/>
        <w:ind w:firstLine="567"/>
        <w:jc w:val="both"/>
        <w:rPr>
          <w:rFonts w:ascii="Arial" w:hAnsi="Arial" w:cs="Arial"/>
          <w:sz w:val="24"/>
          <w:szCs w:val="24"/>
        </w:rPr>
      </w:pPr>
      <w:r w:rsidRPr="00016EAC">
        <w:rPr>
          <w:rFonts w:ascii="Arial" w:hAnsi="Arial" w:cs="Arial"/>
          <w:b/>
          <w:sz w:val="24"/>
          <w:szCs w:val="24"/>
        </w:rPr>
        <w:t xml:space="preserve">PRIMERO. </w:t>
      </w:r>
      <w:r w:rsidRPr="00016EAC">
        <w:rPr>
          <w:rFonts w:ascii="Arial" w:hAnsi="Arial" w:cs="Arial"/>
          <w:sz w:val="24"/>
          <w:szCs w:val="24"/>
        </w:rPr>
        <w:t xml:space="preserve">Esta Sexta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 </w:t>
      </w:r>
    </w:p>
    <w:p w:rsidR="00250838" w:rsidRPr="00016EAC" w:rsidRDefault="00250838" w:rsidP="00250838">
      <w:pPr>
        <w:spacing w:line="360" w:lineRule="auto"/>
        <w:ind w:firstLine="567"/>
        <w:jc w:val="both"/>
        <w:rPr>
          <w:rFonts w:ascii="Arial" w:hAnsi="Arial" w:cs="Arial"/>
          <w:bCs/>
          <w:snapToGrid w:val="0"/>
          <w:sz w:val="24"/>
          <w:szCs w:val="24"/>
        </w:rPr>
      </w:pPr>
      <w:r w:rsidRPr="00016EAC">
        <w:rPr>
          <w:rFonts w:ascii="Arial" w:hAnsi="Arial" w:cs="Arial"/>
          <w:b/>
          <w:snapToGrid w:val="0"/>
          <w:sz w:val="24"/>
          <w:szCs w:val="24"/>
        </w:rPr>
        <w:t xml:space="preserve">SEGUNDO. </w:t>
      </w:r>
      <w:r w:rsidRPr="00016EAC">
        <w:rPr>
          <w:rFonts w:ascii="Arial" w:hAnsi="Arial" w:cs="Arial"/>
          <w:bCs/>
          <w:snapToGrid w:val="0"/>
          <w:sz w:val="24"/>
          <w:szCs w:val="24"/>
        </w:rPr>
        <w:t>La personalidad de las partes quedó acreditada en autos en términos del artículo 148 y 151 de la Ley de Procedimiento y Justicia Administrativa para el Estado de Oaxaca.- - - - - - - - - - - - - - - - - - - - - - -</w:t>
      </w:r>
    </w:p>
    <w:p w:rsidR="00250838" w:rsidRPr="00016EAC" w:rsidRDefault="00917A7D" w:rsidP="00250838">
      <w:pPr>
        <w:spacing w:line="360" w:lineRule="auto"/>
        <w:ind w:right="51" w:firstLine="567"/>
        <w:jc w:val="both"/>
        <w:rPr>
          <w:rFonts w:ascii="Arial" w:hAnsi="Arial" w:cs="Arial"/>
          <w:bCs/>
          <w:snapToGrid w:val="0"/>
          <w:sz w:val="24"/>
          <w:szCs w:val="24"/>
        </w:rPr>
      </w:pPr>
      <w:r>
        <w:rPr>
          <w:noProof/>
        </w:rPr>
        <mc:AlternateContent>
          <mc:Choice Requires="wps">
            <w:drawing>
              <wp:anchor distT="0" distB="0" distL="114300" distR="114300" simplePos="0" relativeHeight="251663360" behindDoc="1" locked="0" layoutInCell="1" allowOverlap="1" wp14:anchorId="221F3055" wp14:editId="218DF2B7">
                <wp:simplePos x="0" y="0"/>
                <wp:positionH relativeFrom="column">
                  <wp:posOffset>-1156447</wp:posOffset>
                </wp:positionH>
                <wp:positionV relativeFrom="paragraph">
                  <wp:posOffset>2039956</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F3055" id="Cuadro de texto 2" o:spid="_x0000_s1028" type="#_x0000_t202" style="position:absolute;left:0;text-align:left;margin-left:-91.05pt;margin-top:160.6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50838" w:rsidRPr="00016EAC">
        <w:rPr>
          <w:rFonts w:ascii="Arial" w:hAnsi="Arial" w:cs="Arial"/>
          <w:b/>
          <w:snapToGrid w:val="0"/>
          <w:sz w:val="24"/>
          <w:szCs w:val="24"/>
        </w:rPr>
        <w:t>TERCERO.</w:t>
      </w:r>
      <w:r w:rsidR="00250838" w:rsidRPr="00016EAC">
        <w:rPr>
          <w:rFonts w:ascii="Arial" w:hAnsi="Arial" w:cs="Arial"/>
          <w:bCs/>
          <w:snapToGrid w:val="0"/>
          <w:sz w:val="24"/>
          <w:szCs w:val="24"/>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Primera Sala Unitaria de Primera Instancia del Tribunal de Justicia Administrativa para el Estado de Oaxaca, advierte que no se configura alguna causal de improcedencia o sobreseimiento por lo tanto, </w:t>
      </w:r>
      <w:r w:rsidR="00250838" w:rsidRPr="00016EAC">
        <w:rPr>
          <w:rFonts w:ascii="Arial" w:hAnsi="Arial" w:cs="Arial"/>
          <w:b/>
          <w:snapToGrid w:val="0"/>
          <w:sz w:val="24"/>
          <w:szCs w:val="24"/>
        </w:rPr>
        <w:t>NO SE SOBRESEE EL PRESENTE JUICIO</w:t>
      </w:r>
      <w:r w:rsidR="00250838" w:rsidRPr="00016EAC">
        <w:rPr>
          <w:rFonts w:ascii="Arial" w:hAnsi="Arial" w:cs="Arial"/>
          <w:bCs/>
          <w:snapToGrid w:val="0"/>
          <w:sz w:val="24"/>
          <w:szCs w:val="24"/>
        </w:rPr>
        <w:t xml:space="preserve">. </w:t>
      </w:r>
    </w:p>
    <w:p w:rsidR="00250838" w:rsidRPr="00016EAC" w:rsidRDefault="00250838" w:rsidP="00250838">
      <w:pPr>
        <w:spacing w:line="360" w:lineRule="auto"/>
        <w:ind w:right="51" w:firstLine="567"/>
        <w:jc w:val="both"/>
        <w:rPr>
          <w:rFonts w:ascii="Arial" w:hAnsi="Arial" w:cs="Arial"/>
          <w:bCs/>
          <w:snapToGrid w:val="0"/>
          <w:sz w:val="24"/>
          <w:szCs w:val="24"/>
        </w:rPr>
      </w:pPr>
      <w:r w:rsidRPr="00016EAC">
        <w:rPr>
          <w:rFonts w:ascii="Arial" w:hAnsi="Arial" w:cs="Arial"/>
          <w:b/>
          <w:snapToGrid w:val="0"/>
          <w:sz w:val="24"/>
          <w:szCs w:val="24"/>
        </w:rPr>
        <w:t xml:space="preserve">CUARTO.- </w:t>
      </w:r>
      <w:r w:rsidRPr="00016EAC">
        <w:rPr>
          <w:rFonts w:ascii="Arial" w:hAnsi="Arial" w:cs="Arial"/>
          <w:bCs/>
          <w:snapToGrid w:val="0"/>
          <w:sz w:val="24"/>
          <w:szCs w:val="24"/>
        </w:rPr>
        <w:t xml:space="preserve">El hoy actor manifiesta en sus conceptos de impugnación SEGUNDO, TERCERO y CUARTO, que la que la aludida multa por infracción, es violatoria a lo dispuesto por el artículo 122 fracción IV del Código Fiscal para el Estado de Oaxaca,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por lo que hace a la competencia material, la autoridad demandada cita el artículo 31 fracciones VIII y XLII del Reglamento Interno de la Secretaría de Finanzas del Poder Ejecutivo del Estado de Oaxaca, que a la letra dice: </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
          <w:i/>
          <w:iCs/>
          <w:snapToGrid w:val="0"/>
          <w:sz w:val="24"/>
          <w:szCs w:val="24"/>
        </w:rPr>
        <w:t>Artículo 31</w:t>
      </w:r>
      <w:r w:rsidRPr="00016EAC">
        <w:rPr>
          <w:rFonts w:ascii="Arial" w:hAnsi="Arial" w:cs="Arial"/>
          <w:bCs/>
          <w:i/>
          <w:iCs/>
          <w:snapToGrid w:val="0"/>
          <w:sz w:val="24"/>
          <w:szCs w:val="24"/>
        </w:rPr>
        <w:t>.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Cs/>
          <w:i/>
          <w:iCs/>
          <w:snapToGrid w:val="0"/>
          <w:sz w:val="24"/>
          <w:szCs w:val="24"/>
        </w:rPr>
        <w:t>[…]</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Cs/>
          <w:i/>
          <w:iCs/>
          <w:snapToGrid w:val="0"/>
          <w:sz w:val="24"/>
          <w:szCs w:val="24"/>
        </w:rPr>
        <w:t>VIII. Imponer las sanciones que correspondan por violación a las disposiciones fiscales;</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Cs/>
          <w:i/>
          <w:iCs/>
          <w:snapToGrid w:val="0"/>
          <w:sz w:val="24"/>
          <w:szCs w:val="24"/>
        </w:rPr>
        <w:t>[…]</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Cs/>
          <w:i/>
          <w:iCs/>
          <w:snapToGrid w:val="0"/>
          <w:sz w:val="24"/>
          <w:szCs w:val="24"/>
        </w:rPr>
        <w:t>XLII. Las demás que les confieran las leyes, este Reglamento y demás disposiciones normativas aplicables, así como las que expresamente les sean conferidas por el Subsecretario.</w:t>
      </w:r>
    </w:p>
    <w:p w:rsidR="00250838" w:rsidRPr="00016EAC" w:rsidRDefault="00917A7D" w:rsidP="00250838">
      <w:pPr>
        <w:spacing w:line="360" w:lineRule="auto"/>
        <w:ind w:right="51" w:firstLine="567"/>
        <w:jc w:val="both"/>
        <w:rPr>
          <w:rFonts w:ascii="Arial" w:hAnsi="Arial" w:cs="Arial"/>
          <w:bCs/>
          <w:snapToGrid w:val="0"/>
          <w:sz w:val="24"/>
          <w:szCs w:val="24"/>
        </w:rPr>
      </w:pPr>
      <w:r>
        <w:rPr>
          <w:noProof/>
        </w:rPr>
        <mc:AlternateContent>
          <mc:Choice Requires="wps">
            <w:drawing>
              <wp:anchor distT="0" distB="0" distL="114300" distR="114300" simplePos="0" relativeHeight="251665408" behindDoc="1" locked="0" layoutInCell="1" allowOverlap="1" wp14:anchorId="6FFE1D68" wp14:editId="02BB17F2">
                <wp:simplePos x="0" y="0"/>
                <wp:positionH relativeFrom="column">
                  <wp:posOffset>5701030</wp:posOffset>
                </wp:positionH>
                <wp:positionV relativeFrom="paragraph">
                  <wp:posOffset>2905647</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E1D68" id="Cuadro de texto 3" o:spid="_x0000_s1029" type="#_x0000_t202" style="position:absolute;left:0;text-align:left;margin-left:448.9pt;margin-top:228.8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50838" w:rsidRPr="00016EAC">
        <w:rPr>
          <w:rFonts w:ascii="Arial" w:hAnsi="Arial" w:cs="Arial"/>
          <w:bCs/>
          <w:snapToGrid w:val="0"/>
          <w:sz w:val="24"/>
          <w:szCs w:val="24"/>
        </w:rPr>
        <w:t>De lo anterior, se observa que precisamente al citar dicho precepto legal, faculta a la Dirección de la Ingresos y Recaudación de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w:t>
      </w:r>
    </w:p>
    <w:p w:rsidR="00250838" w:rsidRPr="00016EAC" w:rsidRDefault="00250838" w:rsidP="00250838">
      <w:pPr>
        <w:spacing w:line="360" w:lineRule="auto"/>
        <w:ind w:right="51" w:firstLine="567"/>
        <w:jc w:val="both"/>
        <w:rPr>
          <w:rFonts w:ascii="Arial" w:hAnsi="Arial" w:cs="Arial"/>
          <w:bCs/>
          <w:snapToGrid w:val="0"/>
          <w:sz w:val="24"/>
          <w:szCs w:val="24"/>
        </w:rPr>
      </w:pPr>
      <w:r w:rsidRPr="00016EAC">
        <w:rPr>
          <w:rFonts w:ascii="Arial" w:hAnsi="Arial" w:cs="Arial"/>
          <w:bCs/>
          <w:snapToGrid w:val="0"/>
          <w:sz w:val="24"/>
          <w:szCs w:val="24"/>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
          <w:i/>
          <w:iCs/>
          <w:snapToGrid w:val="0"/>
          <w:sz w:val="24"/>
          <w:szCs w:val="24"/>
        </w:rPr>
        <w:t>Artículo 1.</w:t>
      </w:r>
      <w:r w:rsidRPr="00016EAC">
        <w:rPr>
          <w:rFonts w:ascii="Arial" w:hAnsi="Arial" w:cs="Arial"/>
          <w:bCs/>
          <w:i/>
          <w:iCs/>
          <w:snapToGrid w:val="0"/>
          <w:sz w:val="24"/>
          <w:szCs w:val="24"/>
        </w:rPr>
        <w:t xml:space="preserve"> El presente ordenamiento tiene por objeto reglamentar la organización, competencia y facultades de los servidores públicos de la Secretaría de Finanzas del Poder Ejecutivo del Estado.</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Cs/>
          <w:i/>
          <w:iCs/>
          <w:snapToGrid w:val="0"/>
          <w:sz w:val="24"/>
          <w:szCs w:val="24"/>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250838" w:rsidRPr="00016EAC" w:rsidRDefault="00917A7D" w:rsidP="00250838">
      <w:pPr>
        <w:spacing w:line="360" w:lineRule="auto"/>
        <w:ind w:right="51" w:firstLine="567"/>
        <w:jc w:val="both"/>
        <w:rPr>
          <w:rFonts w:ascii="Arial" w:hAnsi="Arial" w:cs="Arial"/>
          <w:bCs/>
          <w:snapToGrid w:val="0"/>
          <w:sz w:val="24"/>
          <w:szCs w:val="24"/>
        </w:rPr>
      </w:pPr>
      <w:r>
        <w:rPr>
          <w:noProof/>
        </w:rPr>
        <mc:AlternateContent>
          <mc:Choice Requires="wps">
            <w:drawing>
              <wp:anchor distT="0" distB="0" distL="114300" distR="114300" simplePos="0" relativeHeight="251667456" behindDoc="1" locked="0" layoutInCell="1" allowOverlap="1" wp14:anchorId="69AE2DF6" wp14:editId="5A262256">
                <wp:simplePos x="0" y="0"/>
                <wp:positionH relativeFrom="column">
                  <wp:posOffset>-1144120</wp:posOffset>
                </wp:positionH>
                <wp:positionV relativeFrom="paragraph">
                  <wp:posOffset>5167630</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E2DF6" id="Cuadro de texto 4" o:spid="_x0000_s1030" type="#_x0000_t202" style="position:absolute;left:0;text-align:left;margin-left:-90.1pt;margin-top:406.9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50838" w:rsidRPr="00016EAC">
        <w:rPr>
          <w:rFonts w:ascii="Arial" w:hAnsi="Arial" w:cs="Arial"/>
          <w:bCs/>
          <w:snapToGrid w:val="0"/>
          <w:sz w:val="24"/>
          <w:szCs w:val="24"/>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00250838" w:rsidRPr="00016EAC">
        <w:rPr>
          <w:rFonts w:ascii="Arial" w:hAnsi="Arial" w:cs="Arial"/>
          <w:b/>
          <w:snapToGrid w:val="0"/>
          <w:sz w:val="24"/>
          <w:szCs w:val="24"/>
          <w:u w:val="single"/>
        </w:rPr>
        <w:t>INFUNDADO</w:t>
      </w:r>
      <w:r w:rsidR="00250838" w:rsidRPr="00016EAC">
        <w:rPr>
          <w:rFonts w:ascii="Arial" w:hAnsi="Arial" w:cs="Arial"/>
          <w:bCs/>
          <w:snapToGrid w:val="0"/>
          <w:sz w:val="24"/>
          <w:szCs w:val="24"/>
        </w:rPr>
        <w:t>, en virtud de que la autoridad demandada citó correctamente los preceptos legales mediante los cuales fundamenta y justifica su competencia material y territorial.</w:t>
      </w:r>
    </w:p>
    <w:p w:rsidR="00250838" w:rsidRPr="00016EAC" w:rsidRDefault="00250838" w:rsidP="00250838">
      <w:pPr>
        <w:spacing w:line="360" w:lineRule="auto"/>
        <w:ind w:right="51" w:firstLine="567"/>
        <w:jc w:val="both"/>
        <w:rPr>
          <w:rFonts w:ascii="Arial" w:hAnsi="Arial" w:cs="Arial"/>
          <w:bCs/>
          <w:snapToGrid w:val="0"/>
          <w:sz w:val="24"/>
          <w:szCs w:val="24"/>
        </w:rPr>
      </w:pPr>
      <w:r w:rsidRPr="00016EAC">
        <w:rPr>
          <w:rFonts w:ascii="Arial" w:hAnsi="Arial" w:cs="Arial"/>
          <w:b/>
          <w:snapToGrid w:val="0"/>
          <w:sz w:val="24"/>
          <w:szCs w:val="24"/>
        </w:rPr>
        <w:t>QUINTO.-</w:t>
      </w:r>
      <w:r w:rsidRPr="00016EAC">
        <w:rPr>
          <w:rFonts w:ascii="Arial" w:hAnsi="Arial" w:cs="Arial"/>
          <w:bCs/>
          <w:snapToGrid w:val="0"/>
          <w:sz w:val="24"/>
          <w:szCs w:val="24"/>
        </w:rPr>
        <w:t xml:space="preserve"> La parte actora manifiesta toralmente en su concepto de impugnación PRIMERO, que viola en su perjuicio lo establecido en los artículos 14 y 16 de la Constitución Política de los Estados Unidos Mexicanos, en virtud de que manifiesta no haber sido notificada legalmente, al respeto esta Sala reconoce que 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w:t>
      </w:r>
    </w:p>
    <w:p w:rsidR="00250838" w:rsidRPr="00016EAC" w:rsidRDefault="00917A7D" w:rsidP="00250838">
      <w:pPr>
        <w:ind w:left="567" w:right="615"/>
        <w:jc w:val="both"/>
        <w:rPr>
          <w:rFonts w:ascii="Arial" w:hAnsi="Arial" w:cs="Arial"/>
          <w:bCs/>
          <w:snapToGrid w:val="0"/>
          <w:sz w:val="24"/>
          <w:szCs w:val="24"/>
        </w:rPr>
      </w:pPr>
      <w:r>
        <w:rPr>
          <w:noProof/>
        </w:rPr>
        <mc:AlternateContent>
          <mc:Choice Requires="wps">
            <w:drawing>
              <wp:anchor distT="0" distB="0" distL="114300" distR="114300" simplePos="0" relativeHeight="251669504" behindDoc="1" locked="0" layoutInCell="1" allowOverlap="1" wp14:anchorId="036B7AC7" wp14:editId="4D51D7EB">
                <wp:simplePos x="0" y="0"/>
                <wp:positionH relativeFrom="column">
                  <wp:posOffset>5405717</wp:posOffset>
                </wp:positionH>
                <wp:positionV relativeFrom="paragraph">
                  <wp:posOffset>2484718</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B7AC7" id="Cuadro de texto 6" o:spid="_x0000_s1031" type="#_x0000_t202" style="position:absolute;left:0;text-align:left;margin-left:425.65pt;margin-top:195.65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50838" w:rsidRPr="00016EAC">
        <w:rPr>
          <w:rFonts w:ascii="Arial" w:hAnsi="Arial" w:cs="Arial"/>
          <w:b/>
          <w:snapToGrid w:val="0"/>
          <w:sz w:val="24"/>
          <w:szCs w:val="24"/>
        </w:rPr>
        <w:t>NOTIFICACIÓN FISCAL POR CORREO CERTIFICADO. LA FIRMA QUE CONSTA EN EL ACUSE DE RECIBO DEMUESTRA QUE SE REALIZÓ LA COMUNICACIÓN Y CORRESPONDERÁ AL IMPUGNATE DESVIRTUAR LA PRESUNCIÓN LEGAL DE QUE GOZA ESE ACTO.</w:t>
      </w:r>
      <w:r w:rsidR="00250838" w:rsidRPr="00016EAC">
        <w:rPr>
          <w:rFonts w:ascii="Arial" w:hAnsi="Arial" w:cs="Arial"/>
          <w:bCs/>
          <w:snapToGrid w:val="0"/>
          <w:sz w:val="24"/>
          <w:szCs w:val="24"/>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00250838" w:rsidRPr="00016EAC">
        <w:rPr>
          <w:rFonts w:ascii="Arial" w:hAnsi="Arial" w:cs="Arial"/>
          <w:bCs/>
          <w:snapToGrid w:val="0"/>
          <w:sz w:val="24"/>
          <w:szCs w:val="24"/>
        </w:rPr>
        <w:t>preconstitución</w:t>
      </w:r>
      <w:proofErr w:type="spellEnd"/>
      <w:r w:rsidR="00250838" w:rsidRPr="00016EAC">
        <w:rPr>
          <w:rFonts w:ascii="Arial" w:hAnsi="Arial" w:cs="Arial"/>
          <w:bCs/>
          <w:snapToGrid w:val="0"/>
          <w:sz w:val="24"/>
          <w:szCs w:val="24"/>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250838" w:rsidRPr="00016EAC" w:rsidRDefault="00250838" w:rsidP="00250838">
      <w:pPr>
        <w:spacing w:line="360" w:lineRule="auto"/>
        <w:ind w:right="51" w:firstLine="567"/>
        <w:jc w:val="both"/>
        <w:rPr>
          <w:rFonts w:ascii="Arial" w:hAnsi="Arial" w:cs="Arial"/>
          <w:bCs/>
          <w:snapToGrid w:val="0"/>
          <w:sz w:val="24"/>
          <w:szCs w:val="24"/>
        </w:rPr>
      </w:pPr>
      <w:r w:rsidRPr="00016EAC">
        <w:rPr>
          <w:rFonts w:ascii="Arial" w:hAnsi="Arial" w:cs="Arial"/>
          <w:bCs/>
          <w:snapToGrid w:val="0"/>
          <w:sz w:val="24"/>
          <w:szCs w:val="24"/>
        </w:rPr>
        <w:t>Derivado de lo anterior, manifiesta la autoridad demandada, que la notificación se hizo con apego a derecho, tomando como base lo estipulado en el último párrafo del artículo 132 del multicitado Código, es decir, mediante correo certificado con acuse de recibo</w:t>
      </w:r>
      <w:r w:rsidR="004E19ED" w:rsidRPr="00016EAC">
        <w:rPr>
          <w:rFonts w:ascii="Arial" w:hAnsi="Arial" w:cs="Arial"/>
          <w:bCs/>
          <w:snapToGrid w:val="0"/>
          <w:sz w:val="24"/>
          <w:szCs w:val="24"/>
        </w:rPr>
        <w:t>.</w:t>
      </w:r>
      <w:r w:rsidRPr="00016EAC">
        <w:rPr>
          <w:rFonts w:ascii="Arial" w:hAnsi="Arial" w:cs="Arial"/>
          <w:bCs/>
          <w:snapToGrid w:val="0"/>
          <w:sz w:val="24"/>
          <w:szCs w:val="24"/>
        </w:rPr>
        <w:t xml:space="preserve"> </w:t>
      </w:r>
    </w:p>
    <w:p w:rsidR="00250838" w:rsidRPr="00016EAC" w:rsidRDefault="00250838" w:rsidP="00250838">
      <w:pPr>
        <w:spacing w:line="360" w:lineRule="auto"/>
        <w:ind w:right="51" w:firstLine="567"/>
        <w:jc w:val="both"/>
        <w:rPr>
          <w:rFonts w:ascii="Arial" w:hAnsi="Arial" w:cs="Arial"/>
          <w:bCs/>
          <w:snapToGrid w:val="0"/>
          <w:sz w:val="24"/>
          <w:szCs w:val="24"/>
        </w:rPr>
      </w:pPr>
      <w:r w:rsidRPr="00016EAC">
        <w:rPr>
          <w:rFonts w:ascii="Arial" w:hAnsi="Arial" w:cs="Arial"/>
          <w:bCs/>
          <w:snapToGrid w:val="0"/>
          <w:sz w:val="24"/>
          <w:szCs w:val="24"/>
        </w:rPr>
        <w:t xml:space="preserve">Ahora bien, esta Sala advierte que la demandada acredita su dicho con el acuse de recibo en el que fue notificado el actor, visible en la foja 92 del sumario, documental que adquiere valor probatorio pleno en términos del artículo 203 fracción I de la Ley de Procedimiento y Justicia Administrativa para el Estado de Oaxaca, luego entonces, se considera que la notificación quedó debidamente realizada, siendo la fecha exacta de notificación el ocho de abril de dos mil diecinueve (08/04/2019) es por ello, que dicho concepto de impugnación resulta </w:t>
      </w:r>
      <w:r w:rsidRPr="00016EAC">
        <w:rPr>
          <w:rFonts w:ascii="Arial" w:hAnsi="Arial" w:cs="Arial"/>
          <w:b/>
          <w:snapToGrid w:val="0"/>
          <w:sz w:val="24"/>
          <w:szCs w:val="24"/>
          <w:u w:val="single"/>
        </w:rPr>
        <w:t>INFUNDADO</w:t>
      </w:r>
      <w:r w:rsidRPr="00016EAC">
        <w:rPr>
          <w:rFonts w:ascii="Arial" w:hAnsi="Arial" w:cs="Arial"/>
          <w:bCs/>
          <w:snapToGrid w:val="0"/>
          <w:sz w:val="24"/>
          <w:szCs w:val="24"/>
        </w:rPr>
        <w:t>.</w:t>
      </w:r>
    </w:p>
    <w:p w:rsidR="00250838" w:rsidRPr="00016EAC" w:rsidRDefault="00917A7D" w:rsidP="00250838">
      <w:pPr>
        <w:spacing w:line="360" w:lineRule="auto"/>
        <w:ind w:right="51" w:firstLine="567"/>
        <w:jc w:val="both"/>
        <w:rPr>
          <w:rFonts w:ascii="Arial" w:hAnsi="Arial" w:cs="Arial"/>
          <w:bCs/>
          <w:snapToGrid w:val="0"/>
          <w:sz w:val="24"/>
          <w:szCs w:val="24"/>
        </w:rPr>
      </w:pPr>
      <w:r>
        <w:rPr>
          <w:noProof/>
        </w:rPr>
        <mc:AlternateContent>
          <mc:Choice Requires="wps">
            <w:drawing>
              <wp:anchor distT="0" distB="0" distL="114300" distR="114300" simplePos="0" relativeHeight="251671552" behindDoc="1" locked="0" layoutInCell="1" allowOverlap="1" wp14:anchorId="049C1B0E" wp14:editId="73C68B13">
                <wp:simplePos x="0" y="0"/>
                <wp:positionH relativeFrom="column">
                  <wp:posOffset>-1183341</wp:posOffset>
                </wp:positionH>
                <wp:positionV relativeFrom="paragraph">
                  <wp:posOffset>1131608</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9C1B0E" id="Cuadro de texto 7" o:spid="_x0000_s1032" type="#_x0000_t202" style="position:absolute;left:0;text-align:left;margin-left:-93.2pt;margin-top:89.1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50838" w:rsidRPr="00016EAC">
        <w:rPr>
          <w:rFonts w:ascii="Arial" w:hAnsi="Arial" w:cs="Arial"/>
          <w:b/>
          <w:snapToGrid w:val="0"/>
          <w:sz w:val="24"/>
          <w:szCs w:val="24"/>
        </w:rPr>
        <w:t>SEXTO.-</w:t>
      </w:r>
      <w:r w:rsidR="00250838" w:rsidRPr="00016EAC">
        <w:rPr>
          <w:rFonts w:ascii="Arial" w:hAnsi="Arial" w:cs="Arial"/>
          <w:bCs/>
          <w:snapToGrid w:val="0"/>
          <w:sz w:val="24"/>
          <w:szCs w:val="24"/>
        </w:rPr>
        <w:t xml:space="preserve"> Arguye la parte actora en su concepto de impugnación DÉCIMO, de su escrito inicial de demanda, que la multa por infracción carece de validez al no contener firma autógrafa (acto primigenio), lo que en términos del artículo 149 de la Ley de Procedimiento y Justicia Administrativa para el Estado de Oaxaca, lo que la hoy actor pretende hacer valer es que la firma autógrafa no pertenece realmente a la emisora del acto, máxime que de la lectura hecha a la multa por infracción con número de control </w:t>
      </w:r>
      <w:r w:rsidR="00250838" w:rsidRPr="00016EAC">
        <w:rPr>
          <w:rFonts w:ascii="Arial" w:hAnsi="Arial" w:cs="Arial"/>
          <w:bCs/>
          <w:spacing w:val="-3"/>
          <w:sz w:val="24"/>
          <w:szCs w:val="24"/>
          <w:lang w:val="es-ES_tradnl"/>
        </w:rPr>
        <w:t>01MO14ER191351, de fecha diecinueve de febrero de dos mil diecinueve</w:t>
      </w:r>
      <w:r w:rsidR="00250838" w:rsidRPr="00016EAC">
        <w:rPr>
          <w:rFonts w:ascii="Arial" w:hAnsi="Arial" w:cs="Arial"/>
          <w:bCs/>
          <w:snapToGrid w:val="0"/>
          <w:sz w:val="24"/>
          <w:szCs w:val="24"/>
        </w:rPr>
        <w:t xml:space="preserve">, visible en la foja 33 del sumario, documental que adquiere valor probatorio pleno en términos del artículo 203 fracción I de la Ley de Procedimiento y Justicia Administrativa para el Estado de Oaxaca, se advierte que la misma fue presentado por la parte actora en copia simple, sin embargo la autoridad demandada presentó el mismo documento pero en copia certificada, sin que se manifestara por las partes respecto a su alcance probatorio o falsedad, en la que se advierte a simple vista una firma autógrafa, sin embargo, si el actor consideraba que la firma ahí contenida era falsa o bien no era autógrafa, debió haber objetado dicho documento, ofreciendo la prueba pertinente para tal efecto, como lo pudo haber sido la pericial en caligrafía, de modo que se llegara al conocimiento sobre la veracidad o falsedad de dicha firma, en consecuencia al no haber acreditado mediante la prueba pertinente que dicha firma es falsa, su concepto de impugnación PRIMERO resulta </w:t>
      </w:r>
      <w:r w:rsidR="00250838" w:rsidRPr="00016EAC">
        <w:rPr>
          <w:rFonts w:ascii="Arial" w:hAnsi="Arial" w:cs="Arial"/>
          <w:b/>
          <w:snapToGrid w:val="0"/>
          <w:sz w:val="24"/>
          <w:szCs w:val="24"/>
          <w:u w:val="single"/>
        </w:rPr>
        <w:t>INFUNDADO</w:t>
      </w:r>
      <w:r w:rsidR="00250838" w:rsidRPr="00016EAC">
        <w:rPr>
          <w:rFonts w:ascii="Arial" w:hAnsi="Arial" w:cs="Arial"/>
          <w:bCs/>
          <w:snapToGrid w:val="0"/>
          <w:sz w:val="24"/>
          <w:szCs w:val="24"/>
        </w:rPr>
        <w:t>.</w:t>
      </w:r>
    </w:p>
    <w:p w:rsidR="00250838" w:rsidRPr="00016EAC" w:rsidRDefault="00250838" w:rsidP="00250838">
      <w:pPr>
        <w:spacing w:line="360" w:lineRule="auto"/>
        <w:ind w:right="51" w:firstLine="567"/>
        <w:jc w:val="both"/>
        <w:rPr>
          <w:rFonts w:ascii="Arial" w:hAnsi="Arial" w:cs="Arial"/>
          <w:bCs/>
          <w:snapToGrid w:val="0"/>
          <w:sz w:val="24"/>
          <w:szCs w:val="24"/>
        </w:rPr>
      </w:pPr>
      <w:r w:rsidRPr="00016EAC">
        <w:rPr>
          <w:rFonts w:ascii="Arial" w:hAnsi="Arial" w:cs="Arial"/>
          <w:b/>
          <w:snapToGrid w:val="0"/>
          <w:sz w:val="24"/>
          <w:szCs w:val="24"/>
        </w:rPr>
        <w:t>SÉPTIMO.-</w:t>
      </w:r>
      <w:r w:rsidRPr="00016EAC">
        <w:rPr>
          <w:rFonts w:ascii="Arial" w:hAnsi="Arial" w:cs="Arial"/>
          <w:bCs/>
          <w:snapToGrid w:val="0"/>
          <w:sz w:val="24"/>
          <w:szCs w:val="24"/>
        </w:rPr>
        <w:t xml:space="preserve"> La parte actora manifiesta en su concepto de impugnación QUINTO a NOVENO, en términos del artículo 206 de la Ley de Procedimiento y Justicia Administrativa para el Estado de Oaxaca, que la aludida multa por infracción, viola en perjuicio de su representada el artículo 122 fracción IV del Código Fiscal para el Estado de Oaxaca, como se advierte en la multa por infracción relacionada con la presentación de declaraciones del Impuesto Sobre Erogaciones por Remuneraciones al Trabajo Personal, con número de control 01MO14ER191351, de fecha diecinueve de febrero de dos mil diecinueve, visible en la foja 15 del sumario, documental que adquiere valor probatorio pleno en términos del artículo 203 fracción I de la Ley de Procedimiento y Justicia Administrativa para el Estado de Oaxaca, por tratarse de un documento original expedido por funcionario en ejercicio de sus funciones y por contener firma y sello de quien lo emite, a lo que la autoridad demandada manifestó en su escrito de contestación (fojas 63 a 89)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Hacienda manifiesta lo siguiente: </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
          <w:i/>
          <w:iCs/>
          <w:snapToGrid w:val="0"/>
          <w:sz w:val="24"/>
          <w:szCs w:val="24"/>
        </w:rPr>
        <w:t>Artículo 64</w:t>
      </w:r>
      <w:r w:rsidRPr="00016EAC">
        <w:rPr>
          <w:rFonts w:ascii="Arial" w:hAnsi="Arial" w:cs="Arial"/>
          <w:bCs/>
          <w:i/>
          <w:iCs/>
          <w:snapToGrid w:val="0"/>
          <w:sz w:val="24"/>
          <w:szCs w:val="24"/>
        </w:rPr>
        <w:t>.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250838" w:rsidRPr="00016EAC" w:rsidRDefault="00917A7D" w:rsidP="00250838">
      <w:pPr>
        <w:ind w:left="567" w:right="615"/>
        <w:jc w:val="both"/>
        <w:rPr>
          <w:rFonts w:ascii="Arial" w:hAnsi="Arial" w:cs="Arial"/>
          <w:bCs/>
          <w:i/>
          <w:iCs/>
          <w:snapToGrid w:val="0"/>
          <w:sz w:val="24"/>
          <w:szCs w:val="24"/>
        </w:rPr>
      </w:pPr>
      <w:r>
        <w:rPr>
          <w:noProof/>
        </w:rPr>
        <mc:AlternateContent>
          <mc:Choice Requires="wps">
            <w:drawing>
              <wp:anchor distT="0" distB="0" distL="114300" distR="114300" simplePos="0" relativeHeight="251673600" behindDoc="1" locked="0" layoutInCell="1" allowOverlap="1" wp14:anchorId="02E3DAE3" wp14:editId="7A50ED16">
                <wp:simplePos x="0" y="0"/>
                <wp:positionH relativeFrom="column">
                  <wp:posOffset>5432612</wp:posOffset>
                </wp:positionH>
                <wp:positionV relativeFrom="paragraph">
                  <wp:posOffset>79674</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3DAE3" id="Cuadro de texto 8" o:spid="_x0000_s1033" type="#_x0000_t202" style="position:absolute;left:0;text-align:left;margin-left:427.75pt;margin-top:6.25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50838" w:rsidRPr="00016EAC">
        <w:rPr>
          <w:rFonts w:ascii="Arial" w:hAnsi="Arial" w:cs="Arial"/>
          <w:bCs/>
          <w:i/>
          <w:iCs/>
          <w:snapToGrid w:val="0"/>
          <w:sz w:val="24"/>
          <w:szCs w:val="24"/>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Cs/>
          <w:i/>
          <w:iCs/>
          <w:snapToGrid w:val="0"/>
          <w:sz w:val="24"/>
          <w:szCs w:val="24"/>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Cs/>
          <w:i/>
          <w:iCs/>
          <w:snapToGrid w:val="0"/>
          <w:sz w:val="24"/>
          <w:szCs w:val="24"/>
        </w:rPr>
        <w:t>La responsabilidad solidaria subsistirá hasta en tanto el intermediario laboral cumpla con todas las obligaciones a que se encuentra sujeto en éste Capítulo.</w:t>
      </w:r>
    </w:p>
    <w:p w:rsidR="00250838" w:rsidRPr="00016EAC" w:rsidRDefault="00250838" w:rsidP="00250838">
      <w:pPr>
        <w:spacing w:line="360" w:lineRule="auto"/>
        <w:ind w:right="51" w:firstLine="567"/>
        <w:jc w:val="both"/>
        <w:rPr>
          <w:rFonts w:ascii="Arial" w:hAnsi="Arial" w:cs="Arial"/>
          <w:bCs/>
          <w:snapToGrid w:val="0"/>
          <w:sz w:val="24"/>
          <w:szCs w:val="24"/>
        </w:rPr>
      </w:pPr>
      <w:r w:rsidRPr="00016EAC">
        <w:rPr>
          <w:rFonts w:ascii="Arial" w:hAnsi="Arial" w:cs="Arial"/>
          <w:bCs/>
          <w:snapToGrid w:val="0"/>
          <w:sz w:val="24"/>
          <w:szCs w:val="24"/>
        </w:rPr>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señalando en la citada multa el plazo para la presentación de las declaraciones omitidas así como la fecha en que vencían las misma, sin embargo, la autoridad es omisa al no señalar la fecha exacta en que conoció que el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el actor violentando con ello la garantía de seguridad jurídica y el derecho de audiencia contenidas en los artículos 14 y 16 Constitucionales que tienen todos los gobernados y colocar la hoy actora en el supuesto jurídico que tiene como consecuencia la obligación de presentar las declaraciones bimestrales definitivas por el tercer, cuarto, quinto y sexto bimestre del ejercicio fiscal 2018. </w:t>
      </w:r>
    </w:p>
    <w:p w:rsidR="00250838" w:rsidRPr="00016EAC" w:rsidRDefault="00917A7D" w:rsidP="00250838">
      <w:pPr>
        <w:spacing w:line="360" w:lineRule="auto"/>
        <w:ind w:right="51" w:firstLine="567"/>
        <w:jc w:val="both"/>
        <w:rPr>
          <w:rFonts w:ascii="Arial" w:hAnsi="Arial" w:cs="Arial"/>
          <w:bCs/>
          <w:snapToGrid w:val="0"/>
          <w:sz w:val="24"/>
          <w:szCs w:val="24"/>
        </w:rPr>
      </w:pPr>
      <w:r>
        <w:rPr>
          <w:noProof/>
        </w:rPr>
        <mc:AlternateContent>
          <mc:Choice Requires="wps">
            <w:drawing>
              <wp:anchor distT="0" distB="0" distL="114300" distR="114300" simplePos="0" relativeHeight="251675648" behindDoc="1" locked="0" layoutInCell="1" allowOverlap="1" wp14:anchorId="0CD4FA78" wp14:editId="61999466">
                <wp:simplePos x="0" y="0"/>
                <wp:positionH relativeFrom="column">
                  <wp:posOffset>-1009650</wp:posOffset>
                </wp:positionH>
                <wp:positionV relativeFrom="paragraph">
                  <wp:posOffset>2148616</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4FA78" id="Cuadro de texto 9" o:spid="_x0000_s1034" type="#_x0000_t202" style="position:absolute;left:0;text-align:left;margin-left:-79.5pt;margin-top:169.2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50838" w:rsidRPr="00016EAC">
        <w:rPr>
          <w:rFonts w:ascii="Arial" w:hAnsi="Arial" w:cs="Arial"/>
          <w:bCs/>
          <w:snapToGrid w:val="0"/>
          <w:sz w:val="24"/>
          <w:szCs w:val="24"/>
        </w:rPr>
        <w:t xml:space="preserve">Siguiendo en la misma tesitura, y retomando lo dicho en el párrafo que antecede, si esa autoridad fiscal advirtió el hecho de que el contribuyente era omiso en sus obligaciones fiscales posteriormente al intercambio de información y de su revisión a los sistemas a los que cuenta y tiene acceso, debió primeramente hacerle del conocimiento esta situación, dando cumplimiento a lo estipulado en el artículo 97 primer párrafo así como en el artículo 113 primer y segundo párrafo del Código Fiscal para que dentro del plazo de quince días manifestara lo que a su derecho convenga, mismo que a la letra dice: </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
          <w:i/>
          <w:iCs/>
          <w:snapToGrid w:val="0"/>
          <w:sz w:val="24"/>
          <w:szCs w:val="24"/>
        </w:rPr>
        <w:t>ARTÍCULO 113</w:t>
      </w:r>
      <w:r w:rsidRPr="00016EAC">
        <w:rPr>
          <w:rFonts w:ascii="Arial" w:hAnsi="Arial" w:cs="Arial"/>
          <w:bCs/>
          <w:i/>
          <w:iCs/>
          <w:snapToGrid w:val="0"/>
          <w:sz w:val="24"/>
          <w:szCs w:val="24"/>
        </w:rPr>
        <w:t>.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con aquéllos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250838" w:rsidRPr="00016EAC" w:rsidRDefault="00250838" w:rsidP="00250838">
      <w:pPr>
        <w:ind w:left="567" w:right="615"/>
        <w:jc w:val="both"/>
        <w:rPr>
          <w:rFonts w:ascii="Arial" w:hAnsi="Arial" w:cs="Arial"/>
          <w:bCs/>
          <w:i/>
          <w:iCs/>
          <w:snapToGrid w:val="0"/>
          <w:sz w:val="24"/>
          <w:szCs w:val="24"/>
        </w:rPr>
      </w:pPr>
      <w:r w:rsidRPr="00016EAC">
        <w:rPr>
          <w:rFonts w:ascii="Arial" w:hAnsi="Arial" w:cs="Arial"/>
          <w:bCs/>
          <w:i/>
          <w:iCs/>
          <w:snapToGrid w:val="0"/>
          <w:sz w:val="24"/>
          <w:szCs w:val="24"/>
        </w:rPr>
        <w:t xml:space="preserve">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 </w:t>
      </w:r>
    </w:p>
    <w:p w:rsidR="00250838" w:rsidRPr="00016EAC" w:rsidRDefault="00250838" w:rsidP="00250838">
      <w:pPr>
        <w:spacing w:line="360" w:lineRule="auto"/>
        <w:ind w:right="51" w:firstLine="567"/>
        <w:jc w:val="both"/>
        <w:rPr>
          <w:rFonts w:ascii="Arial" w:hAnsi="Arial" w:cs="Arial"/>
          <w:bCs/>
          <w:snapToGrid w:val="0"/>
          <w:sz w:val="24"/>
          <w:szCs w:val="24"/>
        </w:rPr>
      </w:pPr>
      <w:r w:rsidRPr="00016EAC">
        <w:rPr>
          <w:rFonts w:ascii="Arial" w:hAnsi="Arial" w:cs="Arial"/>
          <w:bCs/>
          <w:snapToGrid w:val="0"/>
          <w:sz w:val="24"/>
          <w:szCs w:val="24"/>
        </w:rPr>
        <w:t>Lo anterior es así, ya que primeramente debió hacerle del conocimiento a la parte actora de que en fecha la autoridad demandada conoció que era omisa en el cumplimiento de sus obligaciones, y si esa autoridad al tener documentación comprobatoria de que para esa fecha era omisa en el pago del impuesto de referencia, debió anexar esos documentos para colmar el requisito de fundamentación y motivación, además de generar certeza jurídica en la parte actora, otorgando el plazo correspondiente para que esta tuviera el derecho de audiencia a decir todo lo que a sus intereses conviniera,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 la actora de manifestar lo que a su derecho conviniera. Sirve de sustento la jurisprudencia con número de registro 252103 por los Tribunales Colegiados de Circuito, dentro del Semanario Judicial de la Federación, volumen 121-126, Sexta Parte, Séptima Época, página 280, materia Común, bajo el rubro y texto siguiente:</w:t>
      </w:r>
    </w:p>
    <w:p w:rsidR="00250838" w:rsidRPr="00016EAC" w:rsidRDefault="00917A7D" w:rsidP="00250838">
      <w:pPr>
        <w:ind w:left="567" w:right="615"/>
        <w:jc w:val="both"/>
        <w:rPr>
          <w:rFonts w:ascii="Arial" w:hAnsi="Arial" w:cs="Arial"/>
          <w:bCs/>
          <w:snapToGrid w:val="0"/>
          <w:sz w:val="24"/>
          <w:szCs w:val="24"/>
        </w:rPr>
      </w:pPr>
      <w:r>
        <w:rPr>
          <w:noProof/>
        </w:rPr>
        <mc:AlternateContent>
          <mc:Choice Requires="wps">
            <w:drawing>
              <wp:anchor distT="0" distB="0" distL="114300" distR="114300" simplePos="0" relativeHeight="251677696" behindDoc="1" locked="0" layoutInCell="1" allowOverlap="1" wp14:anchorId="0E9BC46F" wp14:editId="08CB98CA">
                <wp:simplePos x="0" y="0"/>
                <wp:positionH relativeFrom="column">
                  <wp:posOffset>5486400</wp:posOffset>
                </wp:positionH>
                <wp:positionV relativeFrom="paragraph">
                  <wp:posOffset>421416</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BC46F" id="Cuadro de texto 10" o:spid="_x0000_s1035" type="#_x0000_t202" style="position:absolute;left:0;text-align:left;margin-left:6in;margin-top:33.2pt;width:79.5pt;height:75.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50838" w:rsidRPr="00016EAC">
        <w:rPr>
          <w:rFonts w:ascii="Arial" w:hAnsi="Arial" w:cs="Arial"/>
          <w:b/>
          <w:snapToGrid w:val="0"/>
          <w:sz w:val="24"/>
          <w:szCs w:val="24"/>
        </w:rPr>
        <w:t>ACTOS VICIADOS, FRUTOS DE.</w:t>
      </w:r>
      <w:r w:rsidR="00250838" w:rsidRPr="00016EAC">
        <w:rPr>
          <w:rFonts w:ascii="Arial" w:hAnsi="Arial" w:cs="Arial"/>
          <w:bCs/>
          <w:snapToGrid w:val="0"/>
          <w:sz w:val="24"/>
          <w:szCs w:val="24"/>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250838" w:rsidRPr="00016EAC" w:rsidRDefault="00250838" w:rsidP="00250838">
      <w:pPr>
        <w:spacing w:line="360" w:lineRule="auto"/>
        <w:ind w:right="51" w:firstLine="567"/>
        <w:jc w:val="both"/>
        <w:rPr>
          <w:rFonts w:ascii="Arial" w:hAnsi="Arial" w:cs="Arial"/>
          <w:bCs/>
          <w:snapToGrid w:val="0"/>
          <w:sz w:val="24"/>
          <w:szCs w:val="24"/>
        </w:rPr>
      </w:pPr>
      <w:r w:rsidRPr="00016EAC">
        <w:rPr>
          <w:rFonts w:ascii="Arial" w:hAnsi="Arial" w:cs="Arial"/>
          <w:bCs/>
          <w:snapToGrid w:val="0"/>
          <w:sz w:val="24"/>
          <w:szCs w:val="24"/>
        </w:rPr>
        <w:t>A todo lo antes expuesto, cabe hacer precisión que de los conceptos de impugnación estudiados sirve de apoyo por analogía jurídica sustancial la tesis número I 6oA. 33 A, con número de registro 187,531 por los Tribunales Colegiados de Circuito, en el Semanario Judicial de la Federación y su Gaceta, Marzo de 2002, página 1350, Novena Época, con el siguiente rubro y texto:</w:t>
      </w:r>
    </w:p>
    <w:p w:rsidR="00250838" w:rsidRPr="00016EAC" w:rsidRDefault="00250838" w:rsidP="00250838">
      <w:pPr>
        <w:ind w:left="567" w:right="615"/>
        <w:jc w:val="both"/>
        <w:rPr>
          <w:rFonts w:ascii="Arial" w:hAnsi="Arial" w:cs="Arial"/>
          <w:bCs/>
          <w:snapToGrid w:val="0"/>
          <w:sz w:val="24"/>
          <w:szCs w:val="24"/>
        </w:rPr>
      </w:pPr>
      <w:r w:rsidRPr="00016EAC">
        <w:rPr>
          <w:rFonts w:ascii="Arial" w:hAnsi="Arial" w:cs="Arial"/>
          <w:b/>
          <w:snapToGrid w:val="0"/>
          <w:sz w:val="24"/>
          <w:szCs w:val="24"/>
        </w:rPr>
        <w:t>FUNDAMENTACIÓN Y MOTIVACIÓN, FALTA O INDEBIDA. EN CUANTO SON DISTINTAS, UNAS GENERAN NULIDAD LISA Y LLANA Y OTRAS PARA EFECTOS.</w:t>
      </w:r>
      <w:r w:rsidRPr="00016EAC">
        <w:rPr>
          <w:rFonts w:ascii="Arial" w:hAnsi="Arial" w:cs="Arial"/>
          <w:bCs/>
          <w:snapToGrid w:val="0"/>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w:t>
      </w:r>
      <w:r w:rsidR="00917A7D">
        <w:rPr>
          <w:noProof/>
        </w:rPr>
        <mc:AlternateContent>
          <mc:Choice Requires="wps">
            <w:drawing>
              <wp:anchor distT="0" distB="0" distL="114300" distR="114300" simplePos="0" relativeHeight="251679744" behindDoc="1" locked="0" layoutInCell="1" allowOverlap="1" wp14:anchorId="7FF938C2" wp14:editId="17036057">
                <wp:simplePos x="0" y="0"/>
                <wp:positionH relativeFrom="column">
                  <wp:posOffset>-951716</wp:posOffset>
                </wp:positionH>
                <wp:positionV relativeFrom="paragraph">
                  <wp:posOffset>2915211</wp:posOffset>
                </wp:positionV>
                <wp:extent cx="1009650" cy="962025"/>
                <wp:effectExtent l="0" t="0" r="1905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938C2" id="Cuadro de texto 11" o:spid="_x0000_s1036" type="#_x0000_t202" style="position:absolute;left:0;text-align:left;margin-left:-74.95pt;margin-top:229.55pt;width:79.5pt;height:75.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S4iZgIAAOo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016EAC">
        <w:rPr>
          <w:rFonts w:ascii="Arial" w:hAnsi="Arial" w:cs="Arial"/>
          <w:bCs/>
          <w:snapToGrid w:val="0"/>
          <w:sz w:val="24"/>
          <w:szCs w:val="24"/>
        </w:rPr>
        <w:t xml:space="preserve">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250838" w:rsidRPr="00016EAC" w:rsidRDefault="00250838" w:rsidP="00250838">
      <w:pPr>
        <w:spacing w:line="360" w:lineRule="auto"/>
        <w:ind w:right="51" w:firstLine="567"/>
        <w:jc w:val="both"/>
        <w:rPr>
          <w:rFonts w:ascii="Arial" w:hAnsi="Arial" w:cs="Arial"/>
          <w:bCs/>
          <w:snapToGrid w:val="0"/>
          <w:sz w:val="24"/>
          <w:szCs w:val="24"/>
        </w:rPr>
      </w:pPr>
      <w:r w:rsidRPr="00016EAC">
        <w:rPr>
          <w:rFonts w:ascii="Arial" w:hAnsi="Arial" w:cs="Arial"/>
          <w:bCs/>
          <w:snapToGrid w:val="0"/>
          <w:sz w:val="24"/>
          <w:szCs w:val="24"/>
        </w:rPr>
        <w:t xml:space="preserve">En consecuencia, al no haber seguido el procedimiento estipulado en el artículo 113 del Código Fiscal para el Estado de Oaxaca, ni tampoco contener en la citada multa los anexos que robustecen su motivación, los conceptos de impugnación QUINTO a NOVENO hechos valer por la parte actora, resultan </w:t>
      </w:r>
      <w:r w:rsidRPr="00016EAC">
        <w:rPr>
          <w:rFonts w:ascii="Arial" w:hAnsi="Arial" w:cs="Arial"/>
          <w:b/>
          <w:snapToGrid w:val="0"/>
          <w:sz w:val="24"/>
          <w:szCs w:val="24"/>
          <w:u w:val="single"/>
        </w:rPr>
        <w:t>FUNDADOS</w:t>
      </w:r>
      <w:r w:rsidRPr="00016EAC">
        <w:rPr>
          <w:rFonts w:ascii="Arial" w:hAnsi="Arial" w:cs="Arial"/>
          <w:bCs/>
          <w:snapToGrid w:val="0"/>
          <w:sz w:val="24"/>
          <w:szCs w:val="24"/>
        </w:rPr>
        <w:t xml:space="preserve">, por ello, esta Sala estima pertinente declarar la </w:t>
      </w:r>
      <w:r w:rsidRPr="00016EAC">
        <w:rPr>
          <w:rFonts w:ascii="Arial" w:hAnsi="Arial" w:cs="Arial"/>
          <w:b/>
          <w:snapToGrid w:val="0"/>
          <w:sz w:val="24"/>
          <w:szCs w:val="24"/>
        </w:rPr>
        <w:t>NULIDAD LISA Y LLANA</w:t>
      </w:r>
      <w:r w:rsidRPr="00016EAC">
        <w:rPr>
          <w:rFonts w:ascii="Arial" w:hAnsi="Arial" w:cs="Arial"/>
          <w:bCs/>
          <w:snapToGrid w:val="0"/>
          <w:sz w:val="24"/>
          <w:szCs w:val="24"/>
        </w:rPr>
        <w:t xml:space="preserve">, de la multa por infracción relacionada con la presentación de declaraciones del Impuesto Sobre Erogaciones por Remuneraciones al Trabajo Personal, con número de control </w:t>
      </w:r>
      <w:r w:rsidRPr="00016EAC">
        <w:rPr>
          <w:rFonts w:ascii="Arial" w:hAnsi="Arial" w:cs="Arial"/>
          <w:bCs/>
          <w:spacing w:val="-3"/>
          <w:sz w:val="24"/>
          <w:szCs w:val="24"/>
          <w:lang w:val="es-ES_tradnl"/>
        </w:rPr>
        <w:t>01MO14ER191351, de fecha diecinueve de febrero de dos mil diecinueve</w:t>
      </w:r>
      <w:r w:rsidRPr="00016EAC">
        <w:rPr>
          <w:rFonts w:ascii="Arial" w:hAnsi="Arial" w:cs="Arial"/>
          <w:bCs/>
          <w:snapToGrid w:val="0"/>
          <w:sz w:val="24"/>
          <w:szCs w:val="24"/>
        </w:rPr>
        <w:t xml:space="preserve">, emitida por la maestra </w:t>
      </w:r>
      <w:r w:rsidRPr="00016EAC">
        <w:rPr>
          <w:rFonts w:ascii="Arial" w:hAnsi="Arial" w:cs="Arial"/>
          <w:bCs/>
          <w:snapToGrid w:val="0"/>
          <w:color w:val="FF0000"/>
          <w:sz w:val="24"/>
          <w:szCs w:val="24"/>
        </w:rPr>
        <w:t>ELIZABETH MARTÍNEZ ARZOLA</w:t>
      </w:r>
      <w:r w:rsidRPr="00016EAC">
        <w:rPr>
          <w:rFonts w:ascii="Arial" w:hAnsi="Arial" w:cs="Arial"/>
          <w:bCs/>
          <w:snapToGrid w:val="0"/>
          <w:sz w:val="24"/>
          <w:szCs w:val="24"/>
        </w:rPr>
        <w:t xml:space="preserve">, Directora de Ingresos y Recaudación de la Subsecretaría de Ingresos de la Secretaría de Finanzas del Gobierno del Estado de Oaxaca, mediante la cual se impone una sanción económica en cantidad de 50 UMA $4,224.50 (cuatro mil doscientos veinticuatro pesos 50/100 moneda nacional), en consecuencia, </w:t>
      </w:r>
      <w:r w:rsidRPr="00016EAC">
        <w:rPr>
          <w:rFonts w:ascii="Arial" w:hAnsi="Arial" w:cs="Arial"/>
          <w:bCs/>
          <w:snapToGrid w:val="0"/>
          <w:sz w:val="24"/>
          <w:szCs w:val="24"/>
          <w:u w:val="single"/>
        </w:rPr>
        <w:t>se ordena a esa autoridad fiscal para que por sí misma o a través de quien sea competente realice la baja de la citada multa del sistema electrónico y/o documental que para tal efecto lleve esa autoridad</w:t>
      </w:r>
      <w:r w:rsidRPr="00016EAC">
        <w:rPr>
          <w:rFonts w:ascii="Arial" w:hAnsi="Arial" w:cs="Arial"/>
          <w:bCs/>
          <w:snapToGrid w:val="0"/>
          <w:sz w:val="24"/>
          <w:szCs w:val="24"/>
        </w:rPr>
        <w:t xml:space="preserve">. </w:t>
      </w:r>
    </w:p>
    <w:p w:rsidR="00250838" w:rsidRPr="00016EAC" w:rsidRDefault="00250838" w:rsidP="00250838">
      <w:pPr>
        <w:spacing w:line="360" w:lineRule="auto"/>
        <w:ind w:right="51" w:firstLine="567"/>
        <w:jc w:val="both"/>
        <w:rPr>
          <w:rFonts w:ascii="Arial" w:hAnsi="Arial" w:cs="Arial"/>
          <w:bCs/>
          <w:snapToGrid w:val="0"/>
          <w:sz w:val="24"/>
          <w:szCs w:val="24"/>
        </w:rPr>
      </w:pPr>
      <w:r w:rsidRPr="00016EAC">
        <w:rPr>
          <w:rFonts w:ascii="Arial" w:hAnsi="Arial" w:cs="Arial"/>
          <w:bCs/>
          <w:snapToGrid w:val="0"/>
          <w:sz w:val="24"/>
          <w:szCs w:val="24"/>
        </w:rPr>
        <w:t>Por lo anteriormente expuesto, fundado y motivado, en términos de los artículos 207, 208 fracciones II y VI, y 209 de la Ley de Procedimiento y Justicia Administrativa para el Estado de Oaxaca, se;</w:t>
      </w:r>
    </w:p>
    <w:p w:rsidR="00250838" w:rsidRPr="00016EAC" w:rsidRDefault="00250838" w:rsidP="00250838">
      <w:pPr>
        <w:spacing w:line="360" w:lineRule="auto"/>
        <w:ind w:right="51" w:firstLine="567"/>
        <w:jc w:val="center"/>
        <w:rPr>
          <w:rFonts w:ascii="Arial" w:hAnsi="Arial" w:cs="Arial"/>
          <w:b/>
          <w:sz w:val="24"/>
          <w:szCs w:val="24"/>
        </w:rPr>
      </w:pPr>
      <w:r w:rsidRPr="00016EAC">
        <w:rPr>
          <w:rFonts w:ascii="Arial" w:hAnsi="Arial" w:cs="Arial"/>
          <w:b/>
          <w:sz w:val="24"/>
          <w:szCs w:val="24"/>
        </w:rPr>
        <w:t>R E S U E L V E:</w:t>
      </w:r>
    </w:p>
    <w:p w:rsidR="00250838" w:rsidRPr="00016EAC" w:rsidRDefault="00250838" w:rsidP="00250838">
      <w:pPr>
        <w:widowControl w:val="0"/>
        <w:spacing w:after="120" w:line="360" w:lineRule="auto"/>
        <w:ind w:right="51" w:firstLine="708"/>
        <w:jc w:val="both"/>
        <w:rPr>
          <w:rFonts w:ascii="Arial" w:eastAsia="Times New Roman" w:hAnsi="Arial" w:cs="Arial"/>
          <w:sz w:val="24"/>
          <w:szCs w:val="24"/>
          <w:lang w:val="es-ES" w:eastAsia="es-ES"/>
        </w:rPr>
      </w:pPr>
      <w:r w:rsidRPr="00016EAC">
        <w:rPr>
          <w:rFonts w:ascii="Arial" w:hAnsi="Arial" w:cs="Arial"/>
          <w:b/>
          <w:sz w:val="24"/>
          <w:szCs w:val="24"/>
        </w:rPr>
        <w:t>PRIMERO</w:t>
      </w:r>
      <w:r w:rsidRPr="00016EAC">
        <w:rPr>
          <w:rFonts w:cs="Arial"/>
          <w:i/>
          <w:sz w:val="24"/>
          <w:szCs w:val="24"/>
        </w:rPr>
        <w:t>.</w:t>
      </w:r>
      <w:r w:rsidRPr="00016EAC">
        <w:rPr>
          <w:rFonts w:cs="Arial"/>
          <w:sz w:val="24"/>
          <w:szCs w:val="24"/>
        </w:rPr>
        <w:t xml:space="preserve"> </w:t>
      </w:r>
      <w:r w:rsidRPr="00016EAC">
        <w:rPr>
          <w:rFonts w:ascii="Arial" w:eastAsia="Times New Roman" w:hAnsi="Arial" w:cs="Arial"/>
          <w:sz w:val="24"/>
          <w:szCs w:val="24"/>
          <w:lang w:val="es-ES" w:eastAsia="es-ES"/>
        </w:rPr>
        <w:t>Esta Sexta</w:t>
      </w:r>
      <w:r w:rsidRPr="00016EAC">
        <w:rPr>
          <w:rFonts w:ascii="Arial" w:eastAsia="Times New Roman" w:hAnsi="Arial" w:cs="Arial"/>
          <w:sz w:val="24"/>
          <w:szCs w:val="24"/>
          <w:lang w:eastAsia="es-ES"/>
        </w:rPr>
        <w:t xml:space="preserve"> </w:t>
      </w:r>
      <w:r w:rsidRPr="00016EAC">
        <w:rPr>
          <w:rFonts w:ascii="Arial" w:eastAsia="Times New Roman" w:hAnsi="Arial" w:cs="Arial"/>
          <w:sz w:val="24"/>
          <w:szCs w:val="24"/>
          <w:lang w:val="es-ES" w:eastAsia="es-ES"/>
        </w:rPr>
        <w:t>Sala</w:t>
      </w:r>
      <w:r w:rsidRPr="00016EAC">
        <w:rPr>
          <w:rFonts w:ascii="Arial" w:eastAsia="Times New Roman" w:hAnsi="Arial" w:cs="Arial"/>
          <w:sz w:val="24"/>
          <w:szCs w:val="24"/>
          <w:lang w:eastAsia="es-ES"/>
        </w:rPr>
        <w:t xml:space="preserve"> Unitaria </w:t>
      </w:r>
      <w:r w:rsidRPr="00016EAC">
        <w:rPr>
          <w:rFonts w:ascii="Arial" w:eastAsia="Times New Roman" w:hAnsi="Arial" w:cs="Arial"/>
          <w:sz w:val="24"/>
          <w:szCs w:val="24"/>
          <w:lang w:val="es-ES" w:eastAsia="es-ES"/>
        </w:rPr>
        <w:t>del Tribunal de Justicia Administrativa del Estado de Oaxaca, es competente para conocer y resolver el presente juicio.</w:t>
      </w:r>
      <w:r w:rsidRPr="00016EAC">
        <w:rPr>
          <w:rFonts w:ascii="Arial" w:hAnsi="Arial" w:cs="Arial"/>
          <w:bCs/>
          <w:snapToGrid w:val="0"/>
          <w:sz w:val="24"/>
          <w:szCs w:val="24"/>
        </w:rPr>
        <w:t xml:space="preserve"> </w:t>
      </w:r>
    </w:p>
    <w:p w:rsidR="004E19ED" w:rsidRPr="00016EAC" w:rsidRDefault="00250838" w:rsidP="00250838">
      <w:pPr>
        <w:pStyle w:val="Sangra2detindependiente1"/>
        <w:spacing w:after="240" w:line="360" w:lineRule="auto"/>
        <w:ind w:right="51" w:firstLine="567"/>
        <w:rPr>
          <w:rFonts w:cs="Arial"/>
          <w:b w:val="0"/>
          <w:bCs/>
          <w:i w:val="0"/>
          <w:szCs w:val="24"/>
        </w:rPr>
      </w:pPr>
      <w:r w:rsidRPr="00016EAC">
        <w:rPr>
          <w:rFonts w:cs="Arial"/>
          <w:i w:val="0"/>
          <w:szCs w:val="24"/>
        </w:rPr>
        <w:t xml:space="preserve">SEGUNDO. </w:t>
      </w:r>
      <w:r w:rsidRPr="00016EAC">
        <w:rPr>
          <w:rFonts w:cs="Arial"/>
          <w:b w:val="0"/>
          <w:bCs/>
          <w:i w:val="0"/>
          <w:szCs w:val="24"/>
        </w:rPr>
        <w:t>La personalidad de las partes quedó asentada en autos, dentro del considerando SEGUNDO de la presente resolución.</w:t>
      </w:r>
    </w:p>
    <w:p w:rsidR="004E19ED" w:rsidRPr="00016EAC" w:rsidRDefault="00250838" w:rsidP="00250838">
      <w:pPr>
        <w:pStyle w:val="Sangra2detindependiente1"/>
        <w:spacing w:after="240" w:line="360" w:lineRule="auto"/>
        <w:ind w:right="51" w:firstLine="567"/>
        <w:rPr>
          <w:rFonts w:cs="Arial"/>
          <w:i w:val="0"/>
          <w:szCs w:val="24"/>
        </w:rPr>
      </w:pPr>
      <w:r w:rsidRPr="00016EAC">
        <w:rPr>
          <w:rFonts w:cs="Arial"/>
          <w:i w:val="0"/>
          <w:szCs w:val="24"/>
        </w:rPr>
        <w:t>TERCERO.</w:t>
      </w:r>
      <w:r w:rsidRPr="00016EAC">
        <w:rPr>
          <w:rFonts w:cs="Arial"/>
          <w:b w:val="0"/>
          <w:bCs/>
          <w:i w:val="0"/>
          <w:szCs w:val="24"/>
        </w:rPr>
        <w:t xml:space="preserve"> Esta Sala advierte que, en el presente juicio no se configura alguna causal de improcedencia o sobreseimiento, por lo tanto, </w:t>
      </w:r>
      <w:r w:rsidRPr="00016EAC">
        <w:rPr>
          <w:rFonts w:cs="Arial"/>
          <w:i w:val="0"/>
          <w:szCs w:val="24"/>
        </w:rPr>
        <w:t>NO SE SOBRESEE.</w:t>
      </w:r>
    </w:p>
    <w:p w:rsidR="00250838" w:rsidRPr="00016EAC" w:rsidRDefault="00917A7D" w:rsidP="00250838">
      <w:pPr>
        <w:pStyle w:val="Sangra2detindependiente1"/>
        <w:spacing w:after="240" w:line="360" w:lineRule="auto"/>
        <w:ind w:right="51" w:firstLine="567"/>
        <w:rPr>
          <w:rFonts w:cs="Arial"/>
          <w:i w:val="0"/>
          <w:szCs w:val="24"/>
        </w:rPr>
      </w:pPr>
      <w:r>
        <w:rPr>
          <w:noProof/>
        </w:rPr>
        <mc:AlternateContent>
          <mc:Choice Requires="wps">
            <w:drawing>
              <wp:anchor distT="0" distB="0" distL="114300" distR="114300" simplePos="0" relativeHeight="251681792" behindDoc="1" locked="0" layoutInCell="1" allowOverlap="1" wp14:anchorId="0A7F6B99" wp14:editId="554F835B">
                <wp:simplePos x="0" y="0"/>
                <wp:positionH relativeFrom="column">
                  <wp:posOffset>5674659</wp:posOffset>
                </wp:positionH>
                <wp:positionV relativeFrom="paragraph">
                  <wp:posOffset>1666128</wp:posOffset>
                </wp:positionV>
                <wp:extent cx="1009650" cy="962025"/>
                <wp:effectExtent l="0" t="0" r="19050"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F6B99" id="Cuadro de texto 12" o:spid="_x0000_s1037" type="#_x0000_t202" style="position:absolute;left:0;text-align:left;margin-left:446.8pt;margin-top:131.2pt;width:79.5pt;height:75.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CVGaAIAAOo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" fillcolor="window" strokeweight=".5pt">
                <v:path arrowok="t"/>
                <v:textbox>
                  <w:txbxContent>
                    <w:p w:rsidR="00917A7D" w:rsidRPr="00035E13" w:rsidRDefault="00917A7D" w:rsidP="00917A7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50838" w:rsidRPr="00016EAC">
        <w:rPr>
          <w:rFonts w:cs="Arial"/>
          <w:i w:val="0"/>
          <w:szCs w:val="24"/>
        </w:rPr>
        <w:t>CUARTO.</w:t>
      </w:r>
      <w:r w:rsidR="00250838" w:rsidRPr="00016EAC">
        <w:rPr>
          <w:rFonts w:cs="Arial"/>
          <w:b w:val="0"/>
          <w:bCs/>
          <w:i w:val="0"/>
          <w:szCs w:val="24"/>
        </w:rPr>
        <w:t xml:space="preserve"> Se declara la </w:t>
      </w:r>
      <w:r w:rsidR="00250838" w:rsidRPr="00016EAC">
        <w:rPr>
          <w:rFonts w:cs="Arial"/>
          <w:i w:val="0"/>
          <w:szCs w:val="24"/>
        </w:rPr>
        <w:t xml:space="preserve">NULIDAD LISA Y LLANA, </w:t>
      </w:r>
      <w:r w:rsidR="00250838" w:rsidRPr="00016EAC">
        <w:rPr>
          <w:rFonts w:cs="Arial"/>
          <w:b w:val="0"/>
          <w:bCs/>
          <w:i w:val="0"/>
          <w:szCs w:val="24"/>
        </w:rPr>
        <w:t xml:space="preserve">de la multa por infracción relacionada con la presentación de declaraciones del Impuesto Sobre Erogaciones por Remuneraciones al Trabajo Personal, con número de control 01MO14ER191351, de fecha diecinueve de febrero de dos mil diecinueve, emitida por la maestra ELIZABETH MARTÍNEZ ARZOLA, Directora de Ingresos y Recaudación de la Subsecretaría de Ingresos de la Secretaría de Finanzas del Gobierno del Estado de Oaxaca, mediante la cual se impone una sanción económica en cantidad de 50 UMA $4,224.50 (cuatro mil doscientos veinticuatro pesos 50/100 moneda nacional), en consecuencia, </w:t>
      </w:r>
      <w:r w:rsidR="00250838" w:rsidRPr="00016EAC">
        <w:rPr>
          <w:rFonts w:cs="Arial"/>
          <w:b w:val="0"/>
          <w:bCs/>
          <w:i w:val="0"/>
          <w:szCs w:val="24"/>
          <w:u w:val="single"/>
        </w:rPr>
        <w:t>se ordena a esa autoridad fiscal para que por sí misma o a través de quien sea competente realice la baja de la citada multa del sistema electrónico y/o documental que para tal efecto lleve esa autoridad</w:t>
      </w:r>
      <w:r w:rsidR="00250838" w:rsidRPr="00016EAC">
        <w:rPr>
          <w:rFonts w:cs="Arial"/>
          <w:b w:val="0"/>
          <w:bCs/>
          <w:i w:val="0"/>
          <w:szCs w:val="24"/>
        </w:rPr>
        <w:t>, por las razones ya expuestas en el considerando SÉPTIMO de esta sentencia.</w:t>
      </w:r>
    </w:p>
    <w:p w:rsidR="00250838" w:rsidRPr="00016EAC" w:rsidRDefault="00250838" w:rsidP="00250838">
      <w:pPr>
        <w:pStyle w:val="Sangra2detindependiente1"/>
        <w:spacing w:after="240" w:line="360" w:lineRule="auto"/>
        <w:ind w:right="51" w:firstLine="567"/>
        <w:rPr>
          <w:rFonts w:cs="Arial"/>
          <w:b w:val="0"/>
          <w:i w:val="0"/>
          <w:szCs w:val="24"/>
          <w:lang w:val="es-MX"/>
        </w:rPr>
      </w:pPr>
      <w:r w:rsidRPr="00016EAC">
        <w:rPr>
          <w:rFonts w:cs="Arial"/>
          <w:bCs/>
          <w:i w:val="0"/>
          <w:szCs w:val="24"/>
          <w:lang w:val="es-MX"/>
        </w:rPr>
        <w:t>QUINTO.</w:t>
      </w:r>
      <w:r w:rsidRPr="00016EAC">
        <w:rPr>
          <w:rFonts w:cs="Arial"/>
          <w:b w:val="0"/>
          <w:i w:val="0"/>
          <w:szCs w:val="24"/>
          <w:lang w:val="es-MX"/>
        </w:rPr>
        <w:t xml:space="preserve"> Conforme a lo dispuesto en los artículos 142 fracción I y 143 fracciones I y II de la Ley de Justicia Administrativa para el Estado de Oaxaca, </w:t>
      </w:r>
      <w:r w:rsidRPr="00016EAC">
        <w:rPr>
          <w:rFonts w:cs="Arial"/>
          <w:bCs/>
          <w:i w:val="0"/>
          <w:szCs w:val="24"/>
          <w:lang w:val="es-MX"/>
        </w:rPr>
        <w:t>NOTIFÍQUESE y CÚMPLASE</w:t>
      </w:r>
      <w:r w:rsidRPr="00016EAC">
        <w:rPr>
          <w:rFonts w:cs="Arial"/>
          <w:b w:val="0"/>
          <w:i w:val="0"/>
          <w:szCs w:val="24"/>
          <w:lang w:val="es-MX"/>
        </w:rPr>
        <w:t xml:space="preserve">. </w:t>
      </w:r>
    </w:p>
    <w:p w:rsidR="008F089A" w:rsidRPr="00016EAC" w:rsidRDefault="008F089A" w:rsidP="008F089A">
      <w:pPr>
        <w:widowControl w:val="0"/>
        <w:spacing w:line="360" w:lineRule="auto"/>
        <w:ind w:right="51" w:firstLine="708"/>
        <w:jc w:val="both"/>
        <w:rPr>
          <w:rFonts w:ascii="Arial" w:eastAsia="Times New Roman" w:hAnsi="Arial" w:cs="Arial"/>
          <w:bCs/>
          <w:sz w:val="24"/>
          <w:szCs w:val="24"/>
          <w:lang w:val="es-ES" w:eastAsia="es-ES"/>
        </w:rPr>
      </w:pPr>
      <w:r w:rsidRPr="00016EAC">
        <w:rPr>
          <w:rFonts w:ascii="Arial" w:eastAsia="Times New Roman" w:hAnsi="Arial" w:cs="Arial"/>
          <w:bCs/>
          <w:sz w:val="24"/>
          <w:szCs w:val="24"/>
          <w:lang w:val="es-ES" w:eastAsia="es-ES"/>
        </w:rPr>
        <w:t xml:space="preserve">Así lo </w:t>
      </w:r>
      <w:r w:rsidR="00CB04D5" w:rsidRPr="00016EAC">
        <w:rPr>
          <w:rFonts w:ascii="Arial" w:eastAsia="Times New Roman" w:hAnsi="Arial" w:cs="Arial"/>
          <w:bCs/>
          <w:sz w:val="24"/>
          <w:szCs w:val="24"/>
          <w:lang w:val="es-ES" w:eastAsia="es-ES"/>
        </w:rPr>
        <w:t>resolvió</w:t>
      </w:r>
      <w:r w:rsidRPr="00016EAC">
        <w:rPr>
          <w:rFonts w:ascii="Arial" w:eastAsia="Times New Roman" w:hAnsi="Arial" w:cs="Arial"/>
          <w:bCs/>
          <w:sz w:val="24"/>
          <w:szCs w:val="24"/>
          <w:lang w:val="es-ES" w:eastAsia="es-ES"/>
        </w:rPr>
        <w:t xml:space="preserve"> y firma el </w:t>
      </w:r>
      <w:r w:rsidRPr="00016EAC">
        <w:rPr>
          <w:rFonts w:ascii="Arial" w:eastAsia="Times New Roman" w:hAnsi="Arial" w:cs="Arial"/>
          <w:b/>
          <w:iCs/>
          <w:sz w:val="24"/>
          <w:szCs w:val="24"/>
          <w:lang w:val="es-ES" w:eastAsia="es-ES"/>
        </w:rPr>
        <w:t>licenciado Renato Gabriel Ibáñez Castellanos</w:t>
      </w:r>
      <w:r w:rsidRPr="00016EAC">
        <w:rPr>
          <w:rFonts w:ascii="Arial" w:eastAsia="Times New Roman" w:hAnsi="Arial" w:cs="Arial"/>
          <w:bCs/>
          <w:sz w:val="24"/>
          <w:szCs w:val="24"/>
          <w:lang w:val="es-ES" w:eastAsia="es-ES"/>
        </w:rPr>
        <w:t xml:space="preserve">, Secretario de Acuerdos autorizado por el Pleno del Tribunal de Justicia Administrativa del Estado de Oaxaca, para tramitar y resolver los asuntos que se llevan en esta Sexta Sala Unitaria de Primera Instancia, mediante Sesión Administrativa Extraordinaria del Pleno del mismo Tribunal de fecha doce de agosto del presente año y en términos del artículo 20, fracción XXII, de la Ley Orgánica del Tribunal de Justicia Administrativa del Estado de Oaxaca, en relación con el numeral 13, fracción XIV de su Reglamento, hasta que se adscriba titular a la presente Sala, quien actúa con la </w:t>
      </w:r>
      <w:r w:rsidRPr="00016EAC">
        <w:rPr>
          <w:rFonts w:ascii="Arial" w:eastAsia="Times New Roman" w:hAnsi="Arial" w:cs="Arial"/>
          <w:bCs/>
          <w:iCs/>
          <w:sz w:val="24"/>
          <w:szCs w:val="24"/>
          <w:lang w:val="es-ES" w:eastAsia="es-ES"/>
        </w:rPr>
        <w:t xml:space="preserve">licenciada </w:t>
      </w:r>
      <w:r w:rsidRPr="00016EAC">
        <w:rPr>
          <w:rFonts w:ascii="Arial" w:eastAsia="Times New Roman" w:hAnsi="Arial" w:cs="Arial"/>
          <w:b/>
          <w:bCs/>
          <w:iCs/>
          <w:sz w:val="24"/>
          <w:szCs w:val="24"/>
          <w:lang w:val="es-ES" w:eastAsia="es-ES"/>
        </w:rPr>
        <w:t>Dulce Eloísa Huerta Contreras</w:t>
      </w:r>
      <w:r w:rsidRPr="00016EAC">
        <w:rPr>
          <w:rFonts w:ascii="Arial" w:eastAsia="Times New Roman" w:hAnsi="Arial" w:cs="Arial"/>
          <w:b/>
          <w:bCs/>
          <w:sz w:val="24"/>
          <w:szCs w:val="24"/>
          <w:lang w:val="es-ES" w:eastAsia="es-ES"/>
        </w:rPr>
        <w:t xml:space="preserve">, </w:t>
      </w:r>
      <w:r w:rsidRPr="00016EAC">
        <w:rPr>
          <w:rFonts w:ascii="Arial" w:eastAsia="Times New Roman" w:hAnsi="Arial" w:cs="Arial"/>
          <w:bCs/>
          <w:sz w:val="24"/>
          <w:szCs w:val="24"/>
          <w:lang w:val="es-ES" w:eastAsia="es-ES"/>
        </w:rPr>
        <w:t>Actuaria que autoriza y da fe.</w:t>
      </w:r>
    </w:p>
    <w:p w:rsidR="008F089A" w:rsidRPr="00016EAC" w:rsidRDefault="008F089A" w:rsidP="008F089A">
      <w:pPr>
        <w:rPr>
          <w:sz w:val="24"/>
          <w:szCs w:val="24"/>
          <w:lang w:val="es-ES"/>
        </w:rPr>
      </w:pPr>
    </w:p>
    <w:p w:rsidR="00250838" w:rsidRPr="00016EAC" w:rsidRDefault="00250838" w:rsidP="00250838">
      <w:pPr>
        <w:pStyle w:val="Sangra2detindependiente1"/>
        <w:spacing w:line="360" w:lineRule="auto"/>
        <w:ind w:right="51" w:firstLine="567"/>
        <w:rPr>
          <w:rFonts w:cs="Arial"/>
          <w:i w:val="0"/>
          <w:szCs w:val="24"/>
          <w:lang w:val="es-ES"/>
        </w:rPr>
      </w:pPr>
    </w:p>
    <w:p w:rsidR="00346DC8" w:rsidRPr="00016EAC" w:rsidRDefault="00346DC8">
      <w:pPr>
        <w:rPr>
          <w:sz w:val="24"/>
          <w:szCs w:val="24"/>
          <w:lang w:val="es-ES_tradnl"/>
        </w:rPr>
      </w:pPr>
    </w:p>
    <w:p w:rsidR="00016EAC" w:rsidRPr="00016EAC" w:rsidRDefault="00016EAC">
      <w:pPr>
        <w:rPr>
          <w:sz w:val="24"/>
          <w:szCs w:val="24"/>
          <w:lang w:val="es-ES_tradnl"/>
        </w:rPr>
      </w:pPr>
    </w:p>
    <w:sectPr w:rsidR="00016EAC" w:rsidRPr="00016EAC" w:rsidSect="00BC30D3">
      <w:footerReference w:type="default" r:id="rId7"/>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89A" w:rsidRDefault="008F089A" w:rsidP="008F089A">
      <w:pPr>
        <w:spacing w:after="0" w:line="240" w:lineRule="auto"/>
      </w:pPr>
      <w:r>
        <w:separator/>
      </w:r>
    </w:p>
  </w:endnote>
  <w:endnote w:type="continuationSeparator" w:id="0">
    <w:p w:rsidR="008F089A" w:rsidRDefault="008F089A" w:rsidP="008F0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rsidR="0076338B" w:rsidRPr="00604752" w:rsidRDefault="00016EAC">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917A7D" w:rsidRPr="00917A7D">
          <w:rPr>
            <w:rFonts w:ascii="Arial" w:hAnsi="Arial" w:cs="Arial"/>
            <w:noProof/>
            <w:sz w:val="24"/>
            <w:szCs w:val="24"/>
            <w:lang w:val="es-ES"/>
          </w:rPr>
          <w:t>12</w:t>
        </w:r>
        <w:r w:rsidRPr="00604752">
          <w:rPr>
            <w:rFonts w:ascii="Arial" w:hAnsi="Arial" w:cs="Arial"/>
            <w:sz w:val="24"/>
            <w:szCs w:val="24"/>
          </w:rPr>
          <w:fldChar w:fldCharType="end"/>
        </w:r>
      </w:p>
    </w:sdtContent>
  </w:sdt>
  <w:p w:rsidR="0076338B" w:rsidRDefault="00917A7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89A" w:rsidRDefault="008F089A" w:rsidP="008F089A">
      <w:pPr>
        <w:spacing w:after="0" w:line="240" w:lineRule="auto"/>
      </w:pPr>
      <w:r>
        <w:separator/>
      </w:r>
    </w:p>
  </w:footnote>
  <w:footnote w:type="continuationSeparator" w:id="0">
    <w:p w:rsidR="008F089A" w:rsidRDefault="008F089A" w:rsidP="008F08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838"/>
    <w:rsid w:val="00016EAC"/>
    <w:rsid w:val="00092ACA"/>
    <w:rsid w:val="00250838"/>
    <w:rsid w:val="002A7123"/>
    <w:rsid w:val="002C1213"/>
    <w:rsid w:val="002F308D"/>
    <w:rsid w:val="00346DC8"/>
    <w:rsid w:val="00351E17"/>
    <w:rsid w:val="003A7FDD"/>
    <w:rsid w:val="004E19ED"/>
    <w:rsid w:val="005649EC"/>
    <w:rsid w:val="005A16F5"/>
    <w:rsid w:val="00605068"/>
    <w:rsid w:val="00611445"/>
    <w:rsid w:val="006C4FE0"/>
    <w:rsid w:val="008F089A"/>
    <w:rsid w:val="00917A7D"/>
    <w:rsid w:val="00A60CA8"/>
    <w:rsid w:val="00A97EF3"/>
    <w:rsid w:val="00B91E2C"/>
    <w:rsid w:val="00BC30D3"/>
    <w:rsid w:val="00CB04D5"/>
    <w:rsid w:val="00DD21D9"/>
    <w:rsid w:val="00F82028"/>
    <w:rsid w:val="00FA6F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212]"/>
    </o:shapedefaults>
    <o:shapelayout v:ext="edit">
      <o:idmap v:ext="edit" data="2"/>
    </o:shapelayout>
  </w:shapeDefaults>
  <w:decimalSymbol w:val="."/>
  <w:listSeparator w:val=","/>
  <w15:chartTrackingRefBased/>
  <w15:docId w15:val="{4E0D8551-D8DA-48A1-A90D-9FE343C4B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838"/>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5083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50838"/>
  </w:style>
  <w:style w:type="paragraph" w:styleId="Piedepgina">
    <w:name w:val="footer"/>
    <w:basedOn w:val="Normal"/>
    <w:link w:val="PiedepginaCar"/>
    <w:uiPriority w:val="99"/>
    <w:unhideWhenUsed/>
    <w:rsid w:val="002508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50838"/>
  </w:style>
  <w:style w:type="paragraph" w:customStyle="1" w:styleId="Sangra2detindependiente1">
    <w:name w:val="Sangría 2 de t. independiente1"/>
    <w:basedOn w:val="Normal"/>
    <w:rsid w:val="00250838"/>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016EA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16E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22579-4683-412B-84EA-D69B103EC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5190</Words>
  <Characters>28549</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TCAC-Personal</cp:lastModifiedBy>
  <cp:revision>2</cp:revision>
  <cp:lastPrinted>2020-10-28T19:58:00Z</cp:lastPrinted>
  <dcterms:created xsi:type="dcterms:W3CDTF">2021-09-13T20:25:00Z</dcterms:created>
  <dcterms:modified xsi:type="dcterms:W3CDTF">2021-09-13T20:25:00Z</dcterms:modified>
</cp:coreProperties>
</file>