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746A" w:rsidRDefault="00A1028F">
      <w:pPr>
        <w:pStyle w:val="Encabezado"/>
        <w:ind w:left="3119" w:hanging="4248"/>
        <w:jc w:val="both"/>
        <w:rPr>
          <w:rFonts w:ascii="Arial" w:hAnsi="Arial" w:cs="Arial"/>
          <w:b/>
          <w:sz w:val="26"/>
          <w:szCs w:val="26"/>
        </w:rPr>
      </w:pPr>
      <w:bookmarkStart w:id="0" w:name="_GoBack"/>
      <w:bookmarkEnd w:id="0"/>
      <w:r>
        <w:rPr>
          <w:rFonts w:ascii="Arial" w:hAnsi="Arial" w:cs="Arial"/>
          <w:b/>
          <w:sz w:val="26"/>
          <w:szCs w:val="26"/>
        </w:rPr>
        <w:tab/>
        <w:t>SEXTA SALA UNITARIA DE PRIMERA INSTANCIA DEL TRIBUNAL DE JUSTICIA ADMINISTRATIVA DEL ESTADO DE OAXACA.</w:t>
      </w:r>
    </w:p>
    <w:p w:rsidR="0084746A" w:rsidRDefault="0084746A">
      <w:pPr>
        <w:pStyle w:val="Encabezado"/>
        <w:ind w:left="3119"/>
        <w:jc w:val="both"/>
        <w:rPr>
          <w:rFonts w:ascii="Arial" w:hAnsi="Arial" w:cs="Arial"/>
          <w:b/>
          <w:sz w:val="26"/>
          <w:szCs w:val="26"/>
        </w:rPr>
      </w:pPr>
    </w:p>
    <w:p w:rsidR="0084746A" w:rsidRDefault="00A1028F">
      <w:pPr>
        <w:pStyle w:val="Encabezado"/>
        <w:ind w:left="3119"/>
        <w:jc w:val="both"/>
        <w:rPr>
          <w:rFonts w:ascii="Arial" w:hAnsi="Arial" w:cs="Arial"/>
          <w:b/>
          <w:sz w:val="26"/>
          <w:szCs w:val="26"/>
        </w:rPr>
      </w:pPr>
      <w:r>
        <w:rPr>
          <w:rFonts w:ascii="Arial" w:hAnsi="Arial" w:cs="Arial"/>
          <w:b/>
          <w:sz w:val="26"/>
          <w:szCs w:val="26"/>
        </w:rPr>
        <w:t>EXPEDIENTE: 70/2019</w:t>
      </w:r>
    </w:p>
    <w:p w:rsidR="0084746A" w:rsidRDefault="0084746A">
      <w:pPr>
        <w:pStyle w:val="Encabezado"/>
        <w:tabs>
          <w:tab w:val="clear" w:pos="4419"/>
          <w:tab w:val="center" w:pos="8931"/>
        </w:tabs>
        <w:ind w:left="3119"/>
        <w:jc w:val="both"/>
      </w:pPr>
    </w:p>
    <w:p w:rsidR="0084746A" w:rsidRDefault="00A1028F">
      <w:pPr>
        <w:pStyle w:val="Encabezado"/>
        <w:ind w:left="3119"/>
        <w:rPr>
          <w:rFonts w:ascii="Arial" w:hAnsi="Arial" w:cs="Arial"/>
          <w:b/>
          <w:sz w:val="26"/>
          <w:szCs w:val="26"/>
        </w:rPr>
      </w:pPr>
      <w:r>
        <w:rPr>
          <w:rFonts w:ascii="Arial" w:hAnsi="Arial" w:cs="Arial"/>
          <w:b/>
          <w:sz w:val="26"/>
          <w:szCs w:val="26"/>
        </w:rPr>
        <w:t>ACTOR: **********</w:t>
      </w:r>
    </w:p>
    <w:p w:rsidR="0084746A" w:rsidRDefault="0084746A">
      <w:pPr>
        <w:pStyle w:val="Encabezado"/>
        <w:ind w:left="3119"/>
        <w:jc w:val="both"/>
        <w:rPr>
          <w:rFonts w:ascii="Arial" w:hAnsi="Arial" w:cs="Arial"/>
          <w:b/>
          <w:sz w:val="26"/>
          <w:szCs w:val="26"/>
        </w:rPr>
      </w:pPr>
    </w:p>
    <w:p w:rsidR="0084746A" w:rsidRDefault="00A1028F">
      <w:pPr>
        <w:pStyle w:val="Encabezado"/>
        <w:ind w:left="3119"/>
        <w:jc w:val="both"/>
        <w:rPr>
          <w:rFonts w:ascii="Arial" w:hAnsi="Arial" w:cs="Arial"/>
          <w:b/>
          <w:sz w:val="26"/>
          <w:szCs w:val="26"/>
        </w:rPr>
      </w:pPr>
      <w:r>
        <w:rPr>
          <w:rFonts w:ascii="Arial" w:hAnsi="Arial" w:cs="Arial"/>
          <w:b/>
          <w:sz w:val="26"/>
          <w:szCs w:val="26"/>
        </w:rPr>
        <w:t xml:space="preserve">DEMANDADO: CONSEJO DIRECTIVO DE LA </w:t>
      </w:r>
      <w:r>
        <w:rPr>
          <w:rFonts w:ascii="Arial" w:hAnsi="Arial" w:cs="Arial"/>
          <w:b/>
          <w:sz w:val="26"/>
          <w:szCs w:val="26"/>
        </w:rPr>
        <w:t>OFICINA DE PENSIONES DEL ESTADO DE OAXACA.</w:t>
      </w:r>
    </w:p>
    <w:p w:rsidR="0084746A" w:rsidRDefault="00A1028F">
      <w:pPr>
        <w:spacing w:before="240" w:after="0" w:line="360" w:lineRule="auto"/>
        <w:jc w:val="both"/>
        <w:rPr>
          <w:rFonts w:ascii="Arial" w:hAnsi="Arial" w:cs="Arial"/>
          <w:b/>
          <w:sz w:val="26"/>
          <w:szCs w:val="26"/>
        </w:rPr>
      </w:pPr>
      <w:r>
        <w:rPr>
          <w:rFonts w:ascii="Arial" w:hAnsi="Arial" w:cs="Arial"/>
          <w:b/>
          <w:sz w:val="26"/>
          <w:szCs w:val="26"/>
        </w:rPr>
        <w:t xml:space="preserve">OAXACA DE JUÁREZ, OAXACA A DIEZ DE FEBRERO DE DOS MIL VEINTE.- - - - - - - - - - - - - - - - - - - - - - - - - - - - - - - - - - </w:t>
      </w:r>
    </w:p>
    <w:p w:rsidR="0084746A" w:rsidRDefault="00A1028F">
      <w:pPr>
        <w:spacing w:before="240" w:after="0" w:line="360" w:lineRule="auto"/>
        <w:ind w:firstLine="567"/>
        <w:jc w:val="both"/>
      </w:pPr>
      <w:r>
        <w:rPr>
          <w:rFonts w:ascii="Arial" w:hAnsi="Arial" w:cs="Arial"/>
          <w:b/>
          <w:sz w:val="26"/>
          <w:szCs w:val="26"/>
        </w:rPr>
        <w:t xml:space="preserve">VISTOS, </w:t>
      </w:r>
      <w:r>
        <w:rPr>
          <w:rFonts w:ascii="Arial" w:hAnsi="Arial" w:cs="Arial"/>
          <w:sz w:val="26"/>
          <w:szCs w:val="26"/>
        </w:rPr>
        <w:t xml:space="preserve">para resolver los autos del juicio de nulidad de número </w:t>
      </w:r>
      <w:r>
        <w:rPr>
          <w:rFonts w:ascii="Arial" w:hAnsi="Arial" w:cs="Arial"/>
          <w:b/>
          <w:sz w:val="26"/>
          <w:szCs w:val="26"/>
        </w:rPr>
        <w:t>70/2019</w:t>
      </w:r>
      <w:r>
        <w:rPr>
          <w:rFonts w:ascii="Arial" w:hAnsi="Arial" w:cs="Arial"/>
          <w:sz w:val="26"/>
          <w:szCs w:val="26"/>
        </w:rPr>
        <w:t xml:space="preserve">, promovido </w:t>
      </w:r>
      <w:r>
        <w:rPr>
          <w:rFonts w:ascii="Arial" w:hAnsi="Arial" w:cs="Arial"/>
          <w:sz w:val="26"/>
          <w:szCs w:val="26"/>
        </w:rPr>
        <w:t xml:space="preserve">por </w:t>
      </w:r>
      <w:r>
        <w:rPr>
          <w:rFonts w:ascii="Arial" w:hAnsi="Arial" w:cs="Arial"/>
          <w:b/>
          <w:sz w:val="26"/>
          <w:szCs w:val="26"/>
        </w:rPr>
        <w:t xml:space="preserve">************, </w:t>
      </w:r>
      <w:r>
        <w:rPr>
          <w:rFonts w:ascii="Arial" w:hAnsi="Arial" w:cs="Arial"/>
          <w:sz w:val="26"/>
          <w:szCs w:val="26"/>
        </w:rPr>
        <w:t xml:space="preserve">en contra del </w:t>
      </w:r>
      <w:r>
        <w:rPr>
          <w:rFonts w:ascii="Arial" w:hAnsi="Arial" w:cs="Arial"/>
          <w:b/>
          <w:sz w:val="26"/>
          <w:szCs w:val="26"/>
        </w:rPr>
        <w:t>CONSEJO DIRECTIVO DE LA OFICINA DE PENSIONES DEL ESTADO DE OAXACA</w:t>
      </w:r>
      <w:r>
        <w:rPr>
          <w:rFonts w:ascii="Arial" w:hAnsi="Arial" w:cs="Arial"/>
          <w:sz w:val="26"/>
          <w:szCs w:val="26"/>
        </w:rPr>
        <w:t xml:space="preserve">.- - - - - - - - - - - - - - - - - - - - - - - - - - - - - - </w:t>
      </w:r>
    </w:p>
    <w:p w:rsidR="0084746A" w:rsidRDefault="00A1028F">
      <w:pPr>
        <w:spacing w:before="240" w:after="0" w:line="360" w:lineRule="auto"/>
        <w:jc w:val="center"/>
        <w:rPr>
          <w:rFonts w:ascii="Arial" w:hAnsi="Arial" w:cs="Arial"/>
          <w:b/>
          <w:sz w:val="26"/>
          <w:szCs w:val="26"/>
        </w:rPr>
      </w:pPr>
      <w:r>
        <w:rPr>
          <w:rFonts w:ascii="Arial" w:hAnsi="Arial" w:cs="Arial"/>
          <w:b/>
          <w:sz w:val="26"/>
          <w:szCs w:val="26"/>
        </w:rPr>
        <w:t>R E S U L T A N D O:</w:t>
      </w:r>
    </w:p>
    <w:p w:rsidR="0084746A" w:rsidRDefault="00A1028F">
      <w:pPr>
        <w:spacing w:before="240" w:after="0" w:line="360" w:lineRule="auto"/>
        <w:ind w:firstLine="567"/>
        <w:jc w:val="both"/>
      </w:pPr>
      <w:r>
        <w:rPr>
          <w:rFonts w:ascii="Arial" w:hAnsi="Arial" w:cs="Arial"/>
          <w:b/>
          <w:sz w:val="26"/>
          <w:szCs w:val="26"/>
        </w:rPr>
        <w:t xml:space="preserve">1. </w:t>
      </w:r>
      <w:r>
        <w:rPr>
          <w:rFonts w:ascii="Arial" w:hAnsi="Arial" w:cs="Arial"/>
          <w:sz w:val="26"/>
          <w:szCs w:val="26"/>
        </w:rPr>
        <w:t>Por escrito recibido el nueve de julio de dos mil diecinueve, en Oficialí</w:t>
      </w:r>
      <w:r>
        <w:rPr>
          <w:rFonts w:ascii="Arial" w:hAnsi="Arial" w:cs="Arial"/>
          <w:sz w:val="26"/>
          <w:szCs w:val="26"/>
        </w:rPr>
        <w:t>a de Partes Común de este Tribunal, ***********, demandó la nulidad lisa y llana del dictamen contenido en el oficio ********** de diecisiete de febrero de dos mil diecisiete, emitido por el Director General de la Oficina de Pensiones del Estado de Oaxaca.</w:t>
      </w:r>
      <w:r>
        <w:rPr>
          <w:rFonts w:ascii="Arial" w:hAnsi="Arial" w:cs="Arial"/>
          <w:sz w:val="26"/>
          <w:szCs w:val="26"/>
        </w:rPr>
        <w:t xml:space="preserve">- - - - - - - - - - - - - - - - - - - - - - - - - - - - - - - - - - - - - - - - - - </w:t>
      </w:r>
    </w:p>
    <w:p w:rsidR="0084746A" w:rsidRDefault="00A1028F">
      <w:pPr>
        <w:spacing w:before="240" w:after="0" w:line="360" w:lineRule="auto"/>
        <w:ind w:firstLine="567"/>
        <w:jc w:val="both"/>
      </w:pPr>
      <w:r>
        <w:rPr>
          <w:rFonts w:ascii="Arial" w:hAnsi="Arial" w:cs="Arial"/>
          <w:b/>
          <w:sz w:val="26"/>
          <w:szCs w:val="26"/>
        </w:rPr>
        <w:t xml:space="preserve">2. </w:t>
      </w:r>
      <w:r>
        <w:rPr>
          <w:rFonts w:ascii="Arial" w:hAnsi="Arial" w:cs="Arial"/>
          <w:sz w:val="26"/>
          <w:szCs w:val="26"/>
        </w:rPr>
        <w:t xml:space="preserve">Por acuerdo de once de julio de dos mil diecinueve, se admitió a trámite la demanda; se le tuvo por ofrecidas y admitidas sus pruebas; se ordenó notificar, emplazar y </w:t>
      </w:r>
      <w:r>
        <w:rPr>
          <w:rFonts w:ascii="Arial" w:hAnsi="Arial" w:cs="Arial"/>
          <w:sz w:val="26"/>
          <w:szCs w:val="26"/>
        </w:rPr>
        <w:t xml:space="preserve">correr traslado a la demandada, para que produjera su contestación.- - - - - - - - - - - - </w:t>
      </w:r>
    </w:p>
    <w:p w:rsidR="0084746A" w:rsidRDefault="00A1028F">
      <w:pPr>
        <w:spacing w:before="240" w:after="0" w:line="360" w:lineRule="auto"/>
        <w:ind w:firstLine="567"/>
        <w:jc w:val="both"/>
      </w:pPr>
      <w:r>
        <w:rPr>
          <w:rFonts w:ascii="Arial" w:hAnsi="Arial" w:cs="Arial"/>
          <w:b/>
          <w:sz w:val="26"/>
          <w:szCs w:val="26"/>
        </w:rPr>
        <w:t xml:space="preserve">3. </w:t>
      </w:r>
      <w:r>
        <w:rPr>
          <w:rFonts w:ascii="Arial" w:hAnsi="Arial" w:cs="Arial"/>
          <w:sz w:val="26"/>
          <w:szCs w:val="26"/>
        </w:rPr>
        <w:t>Por auto de veinticinco de octubre de dos mil diecinueve, se hizo del conocimiento a las partes del cambio del titular de la Sala; se tuvo a la demandada dando c</w:t>
      </w:r>
      <w:r>
        <w:rPr>
          <w:rFonts w:ascii="Arial" w:hAnsi="Arial" w:cs="Arial"/>
          <w:sz w:val="26"/>
          <w:szCs w:val="26"/>
        </w:rPr>
        <w:t>ontestación a la demanda, por expresadas sus excepciones y defensas y por ofrecidas y admitidas sus pruebas. - - - - - - - - - - - - - - - - - - - - - - - - - - - - - -</w:t>
      </w:r>
    </w:p>
    <w:p w:rsidR="0084746A" w:rsidRDefault="00A1028F">
      <w:pPr>
        <w:spacing w:before="240" w:after="0" w:line="360" w:lineRule="auto"/>
        <w:ind w:firstLine="567"/>
        <w:jc w:val="both"/>
      </w:pPr>
      <w:r>
        <w:rPr>
          <w:rFonts w:ascii="Arial" w:hAnsi="Arial" w:cs="Arial"/>
          <w:b/>
          <w:sz w:val="26"/>
          <w:szCs w:val="26"/>
        </w:rPr>
        <w:t xml:space="preserve">4. </w:t>
      </w:r>
      <w:r>
        <w:rPr>
          <w:rFonts w:ascii="Arial" w:hAnsi="Arial" w:cs="Arial"/>
          <w:sz w:val="26"/>
          <w:szCs w:val="26"/>
        </w:rPr>
        <w:t>Por auto de trece de enero de dos mil veinte, se señaló fecha y hora para la celebra</w:t>
      </w:r>
      <w:r>
        <w:rPr>
          <w:rFonts w:ascii="Arial" w:hAnsi="Arial" w:cs="Arial"/>
          <w:sz w:val="26"/>
          <w:szCs w:val="26"/>
        </w:rPr>
        <w:t xml:space="preserve">ción de la audiencia de Ley.- - - - - - - </w:t>
      </w:r>
    </w:p>
    <w:p w:rsidR="0084746A" w:rsidRDefault="00A1028F">
      <w:pPr>
        <w:spacing w:before="240" w:after="0" w:line="360" w:lineRule="auto"/>
        <w:ind w:firstLine="567"/>
        <w:jc w:val="both"/>
      </w:pPr>
      <w:r>
        <w:rPr>
          <w:rFonts w:ascii="Arial" w:hAnsi="Arial" w:cs="Arial"/>
          <w:b/>
          <w:sz w:val="26"/>
          <w:szCs w:val="26"/>
        </w:rPr>
        <w:lastRenderedPageBreak/>
        <w:t xml:space="preserve">5. </w:t>
      </w:r>
      <w:r>
        <w:rPr>
          <w:rFonts w:ascii="Arial" w:hAnsi="Arial" w:cs="Arial"/>
          <w:sz w:val="26"/>
          <w:szCs w:val="26"/>
        </w:rPr>
        <w:t>Por auto de veinticuatro de enero de dos mil veinte, se tiene a la parte actora exhibiendo prueba superveniente; ordenándose dar vista a la contraria, para que hiciera valer lo que sus intereses conviniera, señ</w:t>
      </w:r>
      <w:r>
        <w:rPr>
          <w:rFonts w:ascii="Arial" w:hAnsi="Arial" w:cs="Arial"/>
          <w:sz w:val="26"/>
          <w:szCs w:val="26"/>
        </w:rPr>
        <w:t xml:space="preserve">alándose nueva fecha y hora para la celebración de la audiencia de ley.- - - - - - - - - - - - - - - - - - - - - - </w:t>
      </w:r>
    </w:p>
    <w:p w:rsidR="0084746A" w:rsidRDefault="00A1028F">
      <w:pPr>
        <w:spacing w:before="240" w:after="0" w:line="360" w:lineRule="auto"/>
        <w:ind w:firstLine="567"/>
        <w:jc w:val="both"/>
      </w:pPr>
      <w:r>
        <w:rPr>
          <w:rFonts w:ascii="Arial" w:hAnsi="Arial" w:cs="Arial"/>
          <w:b/>
          <w:sz w:val="26"/>
          <w:szCs w:val="26"/>
        </w:rPr>
        <w:t xml:space="preserve">6. </w:t>
      </w:r>
      <w:r>
        <w:rPr>
          <w:rFonts w:ascii="Arial" w:hAnsi="Arial" w:cs="Arial"/>
          <w:sz w:val="26"/>
          <w:szCs w:val="26"/>
        </w:rPr>
        <w:t>Finalmente, el cuatro de febrero de dos mil veinte, se llevó a cabo la audiencia final, sin comparecencia de las partes ni persona alguna</w:t>
      </w:r>
      <w:r>
        <w:rPr>
          <w:rFonts w:ascii="Arial" w:hAnsi="Arial" w:cs="Arial"/>
          <w:sz w:val="26"/>
          <w:szCs w:val="26"/>
        </w:rPr>
        <w:t xml:space="preserve"> que legalmente las representara; se desahogaron las pruebas de las partes, se abrió el periodo de alegatos; se dio por concluido y cerrada la etapa procesal; y, por último se citó a las partes para oír sentencia.- - - - - - - - - - - - - - - - - - - - - -</w:t>
      </w:r>
      <w:r>
        <w:rPr>
          <w:rFonts w:ascii="Arial" w:hAnsi="Arial" w:cs="Arial"/>
          <w:sz w:val="26"/>
          <w:szCs w:val="26"/>
        </w:rPr>
        <w:t xml:space="preserve"> - - - - -</w:t>
      </w:r>
    </w:p>
    <w:p w:rsidR="0084746A" w:rsidRDefault="00A1028F">
      <w:pPr>
        <w:spacing w:before="240" w:after="0" w:line="360" w:lineRule="auto"/>
        <w:jc w:val="center"/>
        <w:rPr>
          <w:rFonts w:ascii="Arial" w:hAnsi="Arial" w:cs="Arial"/>
          <w:b/>
          <w:sz w:val="26"/>
          <w:szCs w:val="26"/>
        </w:rPr>
      </w:pPr>
      <w:r>
        <w:rPr>
          <w:rFonts w:ascii="Arial" w:hAnsi="Arial" w:cs="Arial"/>
          <w:b/>
          <w:sz w:val="26"/>
          <w:szCs w:val="26"/>
        </w:rPr>
        <w:t>C O N S I D E R A N D O:</w:t>
      </w:r>
    </w:p>
    <w:p w:rsidR="0084746A" w:rsidRDefault="00A1028F">
      <w:pPr>
        <w:spacing w:before="240" w:after="0" w:line="360" w:lineRule="auto"/>
        <w:ind w:right="-93" w:firstLine="567"/>
        <w:jc w:val="both"/>
      </w:pPr>
      <w:r>
        <w:rPr>
          <w:rFonts w:ascii="Arial" w:hAnsi="Arial" w:cs="Arial"/>
          <w:b/>
          <w:sz w:val="26"/>
          <w:szCs w:val="26"/>
        </w:rPr>
        <w:t xml:space="preserve">PRIMERO.- </w:t>
      </w:r>
      <w:r>
        <w:rPr>
          <w:rFonts w:ascii="Arial" w:hAnsi="Arial" w:cs="Arial"/>
          <w:sz w:val="26"/>
          <w:szCs w:val="26"/>
        </w:rPr>
        <w:t xml:space="preserve">Esta Sexta Sala Unitaria del Tribunal de Justicia Administrativa del Estado de Oaxaca, es competente para conocer del presente asunto en términos de lo dispuesto por </w:t>
      </w:r>
      <w:r>
        <w:rPr>
          <w:rFonts w:ascii="Arial" w:hAnsi="Arial" w:cs="Arial"/>
          <w:color w:val="000000"/>
          <w:sz w:val="26"/>
          <w:szCs w:val="26"/>
        </w:rPr>
        <w:t xml:space="preserve">los artículos 114 QUÁTER de la Constitución </w:t>
      </w:r>
      <w:r>
        <w:rPr>
          <w:rFonts w:ascii="Arial" w:hAnsi="Arial" w:cs="Arial"/>
          <w:color w:val="000000"/>
          <w:sz w:val="26"/>
          <w:szCs w:val="26"/>
        </w:rPr>
        <w:t>Política del Estado Libre y Soberano de Oaxaca; 1 párrafo segundo, 2 párrafos primero y cuarto, 4 fracción VIII, 33, 35 fracción I y 36 fracción I de la Ley Orgánica del Tribunal de Justicia Administrativa del Estado de Oaxaca, publicada en el Periódico Of</w:t>
      </w:r>
      <w:r>
        <w:rPr>
          <w:rFonts w:ascii="Arial" w:hAnsi="Arial" w:cs="Arial"/>
          <w:color w:val="000000"/>
          <w:sz w:val="26"/>
          <w:szCs w:val="26"/>
        </w:rPr>
        <w:t>icial del Estado de Oaxaca, el siete de noviembre de dos mil diecinueve; así como los diversos 118, 119, 120 fracción I y 133 fracción I de la Ley de Procedimiento y Justicia Administrativa para el Estado de Oaxaca</w:t>
      </w:r>
      <w:r>
        <w:rPr>
          <w:rFonts w:ascii="Arial" w:hAnsi="Arial" w:cs="Arial"/>
          <w:sz w:val="26"/>
          <w:szCs w:val="26"/>
        </w:rPr>
        <w:t>, por tratarse de un juicio de nulidad pro</w:t>
      </w:r>
      <w:r>
        <w:rPr>
          <w:rFonts w:ascii="Arial" w:hAnsi="Arial" w:cs="Arial"/>
          <w:sz w:val="26"/>
          <w:szCs w:val="26"/>
        </w:rPr>
        <w:t>movido en contra de una autoridad administrativa de carácter estatal.- - - - - - - - - - - - - - - - - - - - - - -</w:t>
      </w:r>
    </w:p>
    <w:p w:rsidR="0084746A" w:rsidRDefault="00A1028F">
      <w:pPr>
        <w:tabs>
          <w:tab w:val="left" w:pos="6946"/>
        </w:tabs>
        <w:spacing w:before="240" w:after="0" w:line="360" w:lineRule="auto"/>
        <w:ind w:right="-93" w:firstLine="567"/>
        <w:jc w:val="both"/>
      </w:pPr>
      <w:r>
        <w:rPr>
          <w:rFonts w:ascii="Arial" w:hAnsi="Arial" w:cs="Arial"/>
          <w:b/>
          <w:sz w:val="26"/>
          <w:szCs w:val="26"/>
        </w:rPr>
        <w:t xml:space="preserve">SEGUNDO.- </w:t>
      </w:r>
      <w:r>
        <w:rPr>
          <w:rFonts w:ascii="Arial" w:hAnsi="Arial" w:cs="Arial"/>
          <w:sz w:val="26"/>
          <w:szCs w:val="26"/>
        </w:rPr>
        <w:t xml:space="preserve">La </w:t>
      </w:r>
      <w:r>
        <w:rPr>
          <w:rFonts w:ascii="Arial" w:hAnsi="Arial" w:cs="Arial"/>
          <w:b/>
          <w:sz w:val="26"/>
          <w:szCs w:val="26"/>
        </w:rPr>
        <w:t xml:space="preserve">personalidad </w:t>
      </w:r>
      <w:r>
        <w:rPr>
          <w:rFonts w:ascii="Arial" w:hAnsi="Arial" w:cs="Arial"/>
          <w:sz w:val="26"/>
          <w:szCs w:val="26"/>
        </w:rPr>
        <w:t>de las partes quedó acreditada, promovió el juicio por propio derecho, y la autoridad demandada acreditó su persone</w:t>
      </w:r>
      <w:r>
        <w:rPr>
          <w:rFonts w:ascii="Arial" w:hAnsi="Arial" w:cs="Arial"/>
          <w:sz w:val="26"/>
          <w:szCs w:val="26"/>
        </w:rPr>
        <w:t>ría en términos del artículo 151</w:t>
      </w:r>
      <w:r>
        <w:rPr>
          <w:rStyle w:val="Refdenotaalpie"/>
          <w:rFonts w:ascii="Arial" w:hAnsi="Arial" w:cs="Arial"/>
          <w:sz w:val="26"/>
          <w:szCs w:val="26"/>
        </w:rPr>
        <w:footnoteReference w:id="1"/>
      </w:r>
      <w:r>
        <w:rPr>
          <w:rFonts w:ascii="Arial" w:hAnsi="Arial" w:cs="Arial"/>
          <w:sz w:val="26"/>
          <w:szCs w:val="26"/>
        </w:rPr>
        <w:t xml:space="preserve"> de la Ley de Procedimiento y Justicia Administrativa para el Estado de Oaxaca, al haber exhibido copia debidamente certificada del documento relativo a su</w:t>
      </w:r>
      <w:r>
        <w:rPr>
          <w:rFonts w:ascii="Arial" w:hAnsi="Arial" w:cs="Arial"/>
          <w:sz w:val="26"/>
          <w:szCs w:val="26"/>
        </w:rPr>
        <w:t xml:space="preserve"> nombramiento que le fue conferido y de aquel en el que consta que rindió la protesta de ley.- - - - - - - - - - - </w:t>
      </w:r>
    </w:p>
    <w:p w:rsidR="0084746A" w:rsidRDefault="00A1028F">
      <w:pPr>
        <w:tabs>
          <w:tab w:val="left" w:pos="6946"/>
        </w:tabs>
        <w:spacing w:before="240" w:after="0" w:line="360" w:lineRule="auto"/>
        <w:ind w:right="-93" w:firstLine="567"/>
        <w:jc w:val="both"/>
      </w:pPr>
      <w:r>
        <w:rPr>
          <w:rFonts w:ascii="Arial" w:hAnsi="Arial" w:cs="Arial"/>
          <w:b/>
          <w:sz w:val="26"/>
          <w:szCs w:val="26"/>
        </w:rPr>
        <w:lastRenderedPageBreak/>
        <w:t>TERCERO. Causales de Improcedencia y Sobreseimiento</w:t>
      </w:r>
      <w:r>
        <w:rPr>
          <w:rFonts w:ascii="Arial" w:hAnsi="Arial" w:cs="Arial"/>
          <w:sz w:val="26"/>
          <w:szCs w:val="26"/>
        </w:rPr>
        <w:t>. Considerando que son de orden público y de estudio preferente a cualquier otra cuestión</w:t>
      </w:r>
      <w:r>
        <w:rPr>
          <w:rFonts w:ascii="Arial" w:hAnsi="Arial" w:cs="Arial"/>
          <w:sz w:val="26"/>
          <w:szCs w:val="26"/>
        </w:rPr>
        <w:t xml:space="preserve"> y derivado del imperioso estudio oficioso que especifica el artículo 161 última parte</w:t>
      </w:r>
      <w:r>
        <w:rPr>
          <w:rStyle w:val="Refdenotaalpie"/>
          <w:rFonts w:ascii="Arial" w:hAnsi="Arial" w:cs="Arial"/>
          <w:sz w:val="26"/>
          <w:szCs w:val="26"/>
        </w:rPr>
        <w:footnoteReference w:id="2"/>
      </w:r>
      <w:r>
        <w:rPr>
          <w:rFonts w:ascii="Arial" w:hAnsi="Arial" w:cs="Arial"/>
          <w:sz w:val="26"/>
          <w:szCs w:val="26"/>
        </w:rPr>
        <w:t xml:space="preserve"> de la Ley de la materia respecto a dichas causales, esta Sala advierte que en</w:t>
      </w:r>
      <w:r>
        <w:rPr>
          <w:rFonts w:ascii="Arial" w:hAnsi="Arial" w:cs="Arial"/>
          <w:sz w:val="26"/>
          <w:szCs w:val="26"/>
        </w:rPr>
        <w:t xml:space="preserve"> el presente caso concreto no se actualiza causal de improcedencia ni sobreseimiento, consecuentemente, </w:t>
      </w:r>
      <w:r>
        <w:rPr>
          <w:rFonts w:ascii="Arial" w:hAnsi="Arial" w:cs="Arial"/>
          <w:b/>
          <w:sz w:val="26"/>
          <w:szCs w:val="26"/>
        </w:rPr>
        <w:t>no se sobresee</w:t>
      </w:r>
      <w:r>
        <w:rPr>
          <w:rFonts w:ascii="Arial" w:hAnsi="Arial" w:cs="Arial"/>
          <w:sz w:val="26"/>
          <w:szCs w:val="26"/>
        </w:rPr>
        <w:t xml:space="preserve"> el juicio. - - - </w:t>
      </w:r>
    </w:p>
    <w:p w:rsidR="0084746A" w:rsidRDefault="00A1028F">
      <w:pPr>
        <w:spacing w:before="240" w:after="0" w:line="360" w:lineRule="auto"/>
        <w:ind w:firstLine="567"/>
        <w:jc w:val="both"/>
      </w:pPr>
      <w:r>
        <w:rPr>
          <w:rFonts w:ascii="Arial" w:hAnsi="Arial" w:cs="Arial"/>
          <w:b/>
          <w:sz w:val="26"/>
          <w:szCs w:val="26"/>
        </w:rPr>
        <w:t xml:space="preserve">CUARTO. </w:t>
      </w:r>
      <w:r>
        <w:rPr>
          <w:rFonts w:ascii="Arial" w:hAnsi="Arial" w:cs="Arial"/>
          <w:sz w:val="26"/>
          <w:szCs w:val="26"/>
        </w:rPr>
        <w:t>No se transcriben los conceptos de impugnación vertidos, mismos que se tienen por reproducidos en este apartado</w:t>
      </w:r>
      <w:r>
        <w:rPr>
          <w:rFonts w:ascii="Arial" w:hAnsi="Arial" w:cs="Arial"/>
          <w:sz w:val="26"/>
          <w:szCs w:val="26"/>
        </w:rPr>
        <w:t>, ya que con ello no se vulnera disposición expresa alguna de la Ley de Procedimiento y Justicia Administrativa para el Estado de Oaxaca, que imponga tal obligación, ni se trasgrede derecho alguno de las partes. Sirve de apoyo a lo anterior la tesis aislad</w:t>
      </w:r>
      <w:r>
        <w:rPr>
          <w:rFonts w:ascii="Arial" w:hAnsi="Arial" w:cs="Arial"/>
          <w:sz w:val="26"/>
          <w:szCs w:val="26"/>
        </w:rPr>
        <w:t>a, emitida por el Tercer Tribunal Colegiado en Materia Administrativa del Primer Circuito, publicada en el Semanario Judicial de la Federación y su Gaceta, en la séptima época, volumen 81, sexta parte, página 23, materia común, de rubro y texto siguientes:</w:t>
      </w:r>
    </w:p>
    <w:p w:rsidR="0084746A" w:rsidRDefault="00A1028F">
      <w:pPr>
        <w:spacing w:before="240" w:after="0" w:line="360" w:lineRule="auto"/>
        <w:ind w:left="1134" w:right="616"/>
        <w:jc w:val="both"/>
      </w:pPr>
      <w:r>
        <w:rPr>
          <w:rFonts w:ascii="Arial" w:hAnsi="Arial" w:cs="Arial"/>
          <w:sz w:val="26"/>
          <w:szCs w:val="26"/>
        </w:rPr>
        <w:t>“</w:t>
      </w:r>
      <w:r>
        <w:rPr>
          <w:rFonts w:ascii="Arial" w:hAnsi="Arial" w:cs="Arial"/>
          <w:b/>
          <w:i/>
          <w:sz w:val="26"/>
          <w:szCs w:val="26"/>
        </w:rPr>
        <w:t>CONCEPTOS DE VIOLACION. NO ES OBLIGATORIO TRANSCRIBIRLOS EN LA SENTENCIA</w:t>
      </w:r>
      <w:r>
        <w:rPr>
          <w:rFonts w:ascii="Arial" w:hAnsi="Arial" w:cs="Arial"/>
          <w:sz w:val="26"/>
          <w:szCs w:val="26"/>
        </w:rPr>
        <w:t xml:space="preserve">. </w:t>
      </w:r>
      <w:r>
        <w:rPr>
          <w:rFonts w:ascii="Arial" w:hAnsi="Arial" w:cs="Arial"/>
          <w:i/>
          <w:sz w:val="26"/>
          <w:szCs w:val="26"/>
        </w:rPr>
        <w:t>Aun cuando sea verdad que el juzgador no transcriba en su integridad los conceptos de violación externados por la quejosa en su demanda de garantías, a pesar de indicarlo así en su</w:t>
      </w:r>
      <w:r>
        <w:rPr>
          <w:rFonts w:ascii="Arial" w:hAnsi="Arial" w:cs="Arial"/>
          <w:i/>
          <w:sz w:val="26"/>
          <w:szCs w:val="26"/>
        </w:rPr>
        <w:t xml:space="preserve"> sentencia, también lo es que tal omisión no infringe disposición legal alguna, pues ninguna le impone la obligación de hacerlo, máxime si de la lectura de la sentencia recurrida se advierte que el Juez de Distrito expresa las razones conducentes para dese</w:t>
      </w:r>
      <w:r>
        <w:rPr>
          <w:rFonts w:ascii="Arial" w:hAnsi="Arial" w:cs="Arial"/>
          <w:i/>
          <w:sz w:val="26"/>
          <w:szCs w:val="26"/>
        </w:rPr>
        <w:t>stimar los conceptos de violación hechos valer, aun cuando no transcritos</w:t>
      </w:r>
      <w:r>
        <w:rPr>
          <w:rFonts w:ascii="Arial" w:hAnsi="Arial" w:cs="Arial"/>
          <w:sz w:val="26"/>
          <w:szCs w:val="26"/>
        </w:rPr>
        <w:t>.”</w:t>
      </w:r>
    </w:p>
    <w:p w:rsidR="0084746A" w:rsidRDefault="00A1028F">
      <w:pPr>
        <w:spacing w:before="240" w:after="0" w:line="360" w:lineRule="auto"/>
        <w:ind w:firstLine="567"/>
        <w:jc w:val="both"/>
      </w:pPr>
      <w:r>
        <w:rPr>
          <w:rFonts w:ascii="Arial" w:hAnsi="Arial" w:cs="Arial"/>
          <w:b/>
          <w:sz w:val="26"/>
          <w:szCs w:val="26"/>
        </w:rPr>
        <w:t xml:space="preserve">QUINTO. </w:t>
      </w:r>
      <w:r>
        <w:rPr>
          <w:rFonts w:ascii="Arial" w:hAnsi="Arial" w:cs="Arial"/>
          <w:sz w:val="26"/>
          <w:szCs w:val="26"/>
        </w:rPr>
        <w:t xml:space="preserve">**********, demandó la nulidad del dictamen contenido en el oficio ********** de diecisiete de febrero de dos mil diecisiete, emitido por el Director General de la Oficina </w:t>
      </w:r>
      <w:r>
        <w:rPr>
          <w:rFonts w:ascii="Arial" w:hAnsi="Arial" w:cs="Arial"/>
          <w:sz w:val="26"/>
          <w:szCs w:val="26"/>
        </w:rPr>
        <w:t xml:space="preserve">de </w:t>
      </w:r>
      <w:r>
        <w:rPr>
          <w:rFonts w:ascii="Arial" w:hAnsi="Arial" w:cs="Arial"/>
          <w:sz w:val="26"/>
          <w:szCs w:val="26"/>
        </w:rPr>
        <w:lastRenderedPageBreak/>
        <w:t xml:space="preserve">Pensiones del Estado, alegando que dicho acto, transgrede en su perjuicio el derecho humano de no discriminación; porque el dictamen por el se le concedió su pensión se fundó en lo dispuesto por el artículo 54 de la Ley de Pensiones, pero determinó que </w:t>
      </w:r>
      <w:r>
        <w:rPr>
          <w:rFonts w:ascii="Arial" w:hAnsi="Arial" w:cs="Arial"/>
          <w:sz w:val="26"/>
          <w:szCs w:val="26"/>
        </w:rPr>
        <w:t>únicamente tiene derecho al pago de su salario base, determinación que considera arbitraria y discriminatoria, al no aplicar a su favor las prestaciones ubicadas en la fracción del referido artículo, en la que se integran prestaciones como previsión social</w:t>
      </w:r>
      <w:r>
        <w:rPr>
          <w:rFonts w:ascii="Arial" w:hAnsi="Arial" w:cs="Arial"/>
          <w:sz w:val="26"/>
          <w:szCs w:val="26"/>
        </w:rPr>
        <w:t xml:space="preserve"> múltiple, despensa, vida cara, quinquenios, aguinaldo, estimulo del día del jubilado, día de las madres t canasta navideña y el aguinaldo para jubilados será equivalente a setenta días de la cuantía diaria; siendo así un trato discriminatorio el que recib</w:t>
      </w:r>
      <w:r>
        <w:rPr>
          <w:rFonts w:ascii="Arial" w:hAnsi="Arial" w:cs="Arial"/>
          <w:sz w:val="26"/>
          <w:szCs w:val="26"/>
        </w:rPr>
        <w:t>e en cuanto al cálculo de su pensión, pues aun cuando fue empleado de base, tiene derecho a que se considere a su favor los conceptos aludidos, pues tiene derecho a recibir un trato igual a los trabajadores de base; que por ello que la resolución impugnada</w:t>
      </w:r>
      <w:r>
        <w:rPr>
          <w:rFonts w:ascii="Arial" w:hAnsi="Arial" w:cs="Arial"/>
          <w:sz w:val="26"/>
          <w:szCs w:val="26"/>
        </w:rPr>
        <w:t xml:space="preserve"> trasgrede en su perjuicio lo dispuesto por el artículo 1 de la Constitución Política de los Estados Unidos Mexicanos.</w:t>
      </w:r>
    </w:p>
    <w:p w:rsidR="0084746A" w:rsidRDefault="00A1028F">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Por su parte la demanda aduce, que el acto impugnado es legalmente valido, al haber sido notificado el tres de junio de dos mil </w:t>
      </w:r>
      <w:r>
        <w:rPr>
          <w:rFonts w:ascii="Arial" w:hAnsi="Arial" w:cs="Arial"/>
          <w:sz w:val="26"/>
          <w:szCs w:val="26"/>
        </w:rPr>
        <w:t>diecinueve, y se encuentra debidamente fundado y motivado, al cumplir con los elementos y requisitos de validez que establece el artículo 17 de la Ley de Procedimiento y Justicia Administrativa para el Estado de Oaxaca; sin que le asista derecho al actor p</w:t>
      </w:r>
      <w:r>
        <w:rPr>
          <w:rFonts w:ascii="Arial" w:hAnsi="Arial" w:cs="Arial"/>
          <w:sz w:val="26"/>
          <w:szCs w:val="26"/>
        </w:rPr>
        <w:t>ara solicitar la nulidad de la resolución, porque cumple cabalmente con los elementos y requisitos de validez, como lo establece el artículo 16 de la Constitución Política de los Estados Unidos Mexicanos.</w:t>
      </w:r>
    </w:p>
    <w:p w:rsidR="0084746A" w:rsidRDefault="00A1028F">
      <w:pPr>
        <w:spacing w:before="240" w:after="0" w:line="360" w:lineRule="auto"/>
        <w:ind w:firstLine="567"/>
        <w:jc w:val="both"/>
        <w:rPr>
          <w:rFonts w:ascii="Arial" w:hAnsi="Arial" w:cs="Arial"/>
          <w:sz w:val="26"/>
          <w:szCs w:val="26"/>
        </w:rPr>
      </w:pPr>
      <w:r>
        <w:rPr>
          <w:rFonts w:ascii="Arial" w:hAnsi="Arial" w:cs="Arial"/>
          <w:sz w:val="26"/>
          <w:szCs w:val="26"/>
        </w:rPr>
        <w:t>La autoridad demandada, en el dictamen contenido en</w:t>
      </w:r>
      <w:r>
        <w:rPr>
          <w:rFonts w:ascii="Arial" w:hAnsi="Arial" w:cs="Arial"/>
          <w:sz w:val="26"/>
          <w:szCs w:val="26"/>
        </w:rPr>
        <w:t xml:space="preserve"> el oficio *********** de diecisiete de febrero de dos mil diecisiete, al respecto de la pensión por jubilación solicitada determinó:</w:t>
      </w:r>
    </w:p>
    <w:p w:rsidR="0084746A" w:rsidRDefault="00A1028F">
      <w:pPr>
        <w:spacing w:before="240" w:after="0" w:line="360" w:lineRule="auto"/>
        <w:ind w:left="1134" w:right="616"/>
        <w:jc w:val="both"/>
      </w:pPr>
      <w:r>
        <w:rPr>
          <w:rFonts w:ascii="Arial" w:hAnsi="Arial" w:cs="Arial"/>
          <w:sz w:val="26"/>
          <w:szCs w:val="26"/>
        </w:rPr>
        <w:t>“</w:t>
      </w:r>
      <w:r>
        <w:rPr>
          <w:rFonts w:ascii="Arial" w:hAnsi="Arial" w:cs="Arial"/>
          <w:i/>
          <w:sz w:val="24"/>
          <w:szCs w:val="24"/>
        </w:rPr>
        <w:t>Por lo anteriormente expuesto, es procedente autorizar la solicitud de pensión por jubilación a la ciudadana ***********,</w:t>
      </w:r>
      <w:r>
        <w:rPr>
          <w:rFonts w:ascii="Arial" w:hAnsi="Arial" w:cs="Arial"/>
          <w:i/>
          <w:sz w:val="24"/>
          <w:szCs w:val="24"/>
        </w:rPr>
        <w:t xml:space="preserve"> de conformidad con lo establecido en los artículos 1, 2, 5 fracción I inciso a), 29, 31, 50 fracción I, 52 en relación directa con el convenio celebrado entre la Dirección de Pensiones </w:t>
      </w:r>
      <w:r>
        <w:rPr>
          <w:rFonts w:ascii="Arial" w:hAnsi="Arial" w:cs="Arial"/>
          <w:i/>
          <w:sz w:val="24"/>
          <w:szCs w:val="24"/>
        </w:rPr>
        <w:lastRenderedPageBreak/>
        <w:t>del Gobierno del estado y la Dirección de Recursos Humanos, dependient</w:t>
      </w:r>
      <w:r>
        <w:rPr>
          <w:rFonts w:ascii="Arial" w:hAnsi="Arial" w:cs="Arial"/>
          <w:i/>
          <w:sz w:val="24"/>
          <w:szCs w:val="24"/>
        </w:rPr>
        <w:t>e de la Secretaría de Administración del Poder Ejecutivo, de fecha doce de noviembre de 1999, 79, 88 fracción I y IV y 89 fracción I y transitorio cuarto de la Ley de Pensiones para los Trabajadores del Gobierno del Estado de Oaxaca; ésta se concede por el</w:t>
      </w:r>
      <w:r>
        <w:rPr>
          <w:rFonts w:ascii="Arial" w:hAnsi="Arial" w:cs="Arial"/>
          <w:i/>
          <w:sz w:val="24"/>
          <w:szCs w:val="24"/>
        </w:rPr>
        <w:t xml:space="preserve"> 100% del sueldo base que percibe un Agente del Ministerio Público, que es de************</w:t>
      </w:r>
      <w:r>
        <w:rPr>
          <w:rFonts w:ascii="Arial" w:hAnsi="Arial" w:cs="Arial"/>
          <w:i/>
          <w:sz w:val="26"/>
          <w:szCs w:val="26"/>
        </w:rPr>
        <w:t>”</w:t>
      </w:r>
    </w:p>
    <w:p w:rsidR="0084746A" w:rsidRDefault="00A1028F">
      <w:pPr>
        <w:spacing w:before="240" w:after="0" w:line="360" w:lineRule="auto"/>
        <w:ind w:firstLine="567"/>
        <w:jc w:val="both"/>
        <w:rPr>
          <w:rFonts w:ascii="Arial" w:hAnsi="Arial" w:cs="Arial"/>
          <w:sz w:val="26"/>
          <w:szCs w:val="26"/>
        </w:rPr>
      </w:pPr>
      <w:r>
        <w:rPr>
          <w:rFonts w:ascii="Arial" w:hAnsi="Arial" w:cs="Arial"/>
          <w:sz w:val="26"/>
          <w:szCs w:val="26"/>
        </w:rPr>
        <w:t>De esta transcripción se advierte que en efecto como lo arguye el actor, la fijación de su pensión se determinó tomando únicamente en consideración el sueldo base de</w:t>
      </w:r>
      <w:r>
        <w:rPr>
          <w:rFonts w:ascii="Arial" w:hAnsi="Arial" w:cs="Arial"/>
          <w:sz w:val="26"/>
          <w:szCs w:val="26"/>
        </w:rPr>
        <w:t xml:space="preserve"> un Agente del Ministerio Público, eludiendo los conceptos de prevé el artículo 54 de la Ley de Pensiones para los Trabajadores del Gobierno del Estado, el cual establece:</w:t>
      </w:r>
    </w:p>
    <w:p w:rsidR="0084746A" w:rsidRDefault="00A1028F">
      <w:pPr>
        <w:spacing w:before="240" w:after="0" w:line="360" w:lineRule="auto"/>
        <w:ind w:left="1134" w:right="616"/>
        <w:jc w:val="both"/>
      </w:pPr>
      <w:r>
        <w:rPr>
          <w:rFonts w:ascii="Arial" w:hAnsi="Arial" w:cs="Arial"/>
          <w:i/>
          <w:sz w:val="26"/>
          <w:szCs w:val="26"/>
        </w:rPr>
        <w:t>“</w:t>
      </w:r>
      <w:r>
        <w:rPr>
          <w:rFonts w:ascii="Arial" w:hAnsi="Arial" w:cs="Arial"/>
          <w:b/>
          <w:i/>
          <w:sz w:val="24"/>
          <w:szCs w:val="24"/>
        </w:rPr>
        <w:t xml:space="preserve">ARTÍCULO 54.- </w:t>
      </w:r>
      <w:r>
        <w:rPr>
          <w:rFonts w:ascii="Arial" w:hAnsi="Arial" w:cs="Arial"/>
          <w:i/>
          <w:sz w:val="24"/>
          <w:szCs w:val="24"/>
        </w:rPr>
        <w:t>Al monto resultante de la pensión señalada en el artículo anterior, s</w:t>
      </w:r>
      <w:r>
        <w:rPr>
          <w:rFonts w:ascii="Arial" w:hAnsi="Arial" w:cs="Arial"/>
          <w:i/>
          <w:sz w:val="24"/>
          <w:szCs w:val="24"/>
        </w:rPr>
        <w:t>e integrarán las prestaciones siguientes:</w:t>
      </w:r>
    </w:p>
    <w:p w:rsidR="0084746A" w:rsidRDefault="00A1028F">
      <w:pPr>
        <w:spacing w:after="0" w:line="360" w:lineRule="auto"/>
        <w:ind w:left="1134" w:right="616"/>
        <w:jc w:val="both"/>
        <w:rPr>
          <w:rFonts w:ascii="Arial" w:hAnsi="Arial" w:cs="Arial"/>
          <w:i/>
          <w:sz w:val="24"/>
          <w:szCs w:val="24"/>
        </w:rPr>
      </w:pPr>
      <w:r>
        <w:rPr>
          <w:rFonts w:ascii="Arial" w:hAnsi="Arial" w:cs="Arial"/>
          <w:i/>
          <w:sz w:val="24"/>
          <w:szCs w:val="24"/>
        </w:rPr>
        <w:t xml:space="preserve">I. Jubilados: tratándose solo de aquéllos que fueron trabajadores de base se integrarán la previsión social múltiple, despensa, vida cara, quinquenios, aguinaldo, estímulo del día del jubilado, día de las madres y </w:t>
      </w:r>
      <w:r>
        <w:rPr>
          <w:rFonts w:ascii="Arial" w:hAnsi="Arial" w:cs="Arial"/>
          <w:i/>
          <w:sz w:val="24"/>
          <w:szCs w:val="24"/>
        </w:rPr>
        <w:t>canasta navideña.</w:t>
      </w:r>
    </w:p>
    <w:p w:rsidR="0084746A" w:rsidRDefault="00A1028F">
      <w:pPr>
        <w:spacing w:after="0" w:line="360" w:lineRule="auto"/>
        <w:ind w:left="1134" w:right="616"/>
        <w:jc w:val="both"/>
        <w:rPr>
          <w:rFonts w:ascii="Arial" w:hAnsi="Arial" w:cs="Arial"/>
          <w:i/>
          <w:sz w:val="24"/>
          <w:szCs w:val="24"/>
        </w:rPr>
      </w:pPr>
      <w:r>
        <w:rPr>
          <w:rFonts w:ascii="Arial" w:hAnsi="Arial" w:cs="Arial"/>
          <w:i/>
          <w:sz w:val="24"/>
          <w:szCs w:val="24"/>
        </w:rPr>
        <w:t>El aguinaldo para jubilados será equivalente a 70 días de la cuantía diaria; y</w:t>
      </w:r>
    </w:p>
    <w:p w:rsidR="0084746A" w:rsidRDefault="00A1028F">
      <w:pPr>
        <w:spacing w:after="0" w:line="360" w:lineRule="auto"/>
        <w:ind w:left="709" w:right="616" w:firstLine="425"/>
        <w:jc w:val="both"/>
      </w:pPr>
      <w:r>
        <w:rPr>
          <w:rFonts w:ascii="Arial" w:hAnsi="Arial" w:cs="Arial"/>
          <w:i/>
          <w:sz w:val="24"/>
          <w:szCs w:val="24"/>
        </w:rPr>
        <w:t>II. Pensionados y pensionistas: canasta navideña.</w:t>
      </w:r>
    </w:p>
    <w:p w:rsidR="0084746A" w:rsidRDefault="00A1028F">
      <w:pPr>
        <w:spacing w:after="0" w:line="360" w:lineRule="auto"/>
        <w:ind w:left="1134" w:right="616"/>
        <w:jc w:val="both"/>
        <w:rPr>
          <w:rFonts w:ascii="Arial" w:hAnsi="Arial" w:cs="Arial"/>
          <w:i/>
          <w:sz w:val="24"/>
          <w:szCs w:val="24"/>
        </w:rPr>
      </w:pPr>
      <w:r>
        <w:rPr>
          <w:rFonts w:ascii="Arial" w:hAnsi="Arial" w:cs="Arial"/>
          <w:i/>
          <w:sz w:val="24"/>
          <w:szCs w:val="24"/>
        </w:rPr>
        <w:t>Los montos de las prestaciones señaladas en las fracciones anteriores serán determinados por acuerdo del Cons</w:t>
      </w:r>
      <w:r>
        <w:rPr>
          <w:rFonts w:ascii="Arial" w:hAnsi="Arial" w:cs="Arial"/>
          <w:i/>
          <w:sz w:val="24"/>
          <w:szCs w:val="24"/>
        </w:rPr>
        <w:t>ejo Directivo, mismos que no deberán ser superiores a los montos que se otorguen a los trabajadores activos.</w:t>
      </w:r>
    </w:p>
    <w:p w:rsidR="0084746A" w:rsidRDefault="00A1028F">
      <w:pPr>
        <w:spacing w:after="0" w:line="360" w:lineRule="auto"/>
        <w:ind w:left="1134" w:right="616"/>
        <w:jc w:val="both"/>
      </w:pPr>
      <w:r>
        <w:rPr>
          <w:rFonts w:ascii="Arial" w:hAnsi="Arial" w:cs="Arial"/>
          <w:i/>
          <w:sz w:val="24"/>
          <w:szCs w:val="24"/>
        </w:rPr>
        <w:t>Asimismo, no podrán otorgarse nuevas prestaciones con cargo al fondo de pensiones, si llegase a ocurrir su otorgamiento, su costo deberá ser cubier</w:t>
      </w:r>
      <w:r>
        <w:rPr>
          <w:rFonts w:ascii="Arial" w:hAnsi="Arial" w:cs="Arial"/>
          <w:i/>
          <w:sz w:val="24"/>
          <w:szCs w:val="24"/>
        </w:rPr>
        <w:t>to con el presupuesto de egresos autorizado en el Decreto de Presupuesto de Egresos del Estado para el ejercicio fiscal correspondiente</w:t>
      </w:r>
      <w:r>
        <w:rPr>
          <w:rFonts w:ascii="Arial" w:hAnsi="Arial" w:cs="Arial"/>
          <w:i/>
          <w:sz w:val="26"/>
          <w:szCs w:val="26"/>
        </w:rPr>
        <w:t>”.</w:t>
      </w:r>
    </w:p>
    <w:p w:rsidR="0084746A" w:rsidRDefault="00A1028F">
      <w:pPr>
        <w:spacing w:before="240" w:after="0" w:line="360" w:lineRule="auto"/>
        <w:ind w:firstLine="567"/>
        <w:jc w:val="both"/>
      </w:pPr>
      <w:r>
        <w:rPr>
          <w:rFonts w:ascii="Arial" w:hAnsi="Arial" w:cs="Arial"/>
          <w:sz w:val="26"/>
          <w:szCs w:val="26"/>
        </w:rPr>
        <w:t xml:space="preserve">Ahora, de dicho artículo se destaca que éste sólo refiere que los </w:t>
      </w:r>
      <w:r>
        <w:rPr>
          <w:rFonts w:ascii="Arial" w:hAnsi="Arial" w:cs="Arial"/>
          <w:b/>
          <w:sz w:val="26"/>
          <w:szCs w:val="26"/>
        </w:rPr>
        <w:t xml:space="preserve">trabajadores jubilados de base, </w:t>
      </w:r>
      <w:r>
        <w:rPr>
          <w:rFonts w:ascii="Arial" w:hAnsi="Arial" w:cs="Arial"/>
          <w:sz w:val="26"/>
          <w:szCs w:val="26"/>
        </w:rPr>
        <w:t>tienen las siguiente</w:t>
      </w:r>
      <w:r>
        <w:rPr>
          <w:rFonts w:ascii="Arial" w:hAnsi="Arial" w:cs="Arial"/>
          <w:sz w:val="26"/>
          <w:szCs w:val="26"/>
        </w:rPr>
        <w:t xml:space="preserve">s prestaciones: previsión social múltiple, despensa, vida cara, </w:t>
      </w:r>
      <w:r>
        <w:rPr>
          <w:rFonts w:ascii="Arial" w:hAnsi="Arial" w:cs="Arial"/>
          <w:sz w:val="26"/>
          <w:szCs w:val="26"/>
        </w:rPr>
        <w:lastRenderedPageBreak/>
        <w:t>quinquenios, aguinaldos, estímulos del día del jubilado, día de las madres y canasta navideña, el aguinaldo será equivalente a setenta días de la cuantía diaria y la canasta navideña; sin refe</w:t>
      </w:r>
      <w:r>
        <w:rPr>
          <w:rFonts w:ascii="Arial" w:hAnsi="Arial" w:cs="Arial"/>
          <w:sz w:val="26"/>
          <w:szCs w:val="26"/>
        </w:rPr>
        <w:t xml:space="preserve">rirse expresamente a los </w:t>
      </w:r>
      <w:r>
        <w:rPr>
          <w:rFonts w:ascii="Arial" w:hAnsi="Arial" w:cs="Arial"/>
          <w:b/>
          <w:sz w:val="26"/>
          <w:szCs w:val="26"/>
        </w:rPr>
        <w:t>trabajadores jubilados de confianza.</w:t>
      </w:r>
    </w:p>
    <w:p w:rsidR="0084746A" w:rsidRDefault="00A1028F">
      <w:pPr>
        <w:spacing w:before="240" w:after="0" w:line="360" w:lineRule="auto"/>
        <w:ind w:firstLine="567"/>
        <w:jc w:val="both"/>
        <w:rPr>
          <w:rFonts w:ascii="Arial" w:hAnsi="Arial" w:cs="Arial"/>
          <w:sz w:val="26"/>
          <w:szCs w:val="26"/>
        </w:rPr>
      </w:pPr>
      <w:r>
        <w:rPr>
          <w:rFonts w:ascii="Arial" w:hAnsi="Arial" w:cs="Arial"/>
          <w:sz w:val="26"/>
          <w:szCs w:val="26"/>
        </w:rPr>
        <w:t>Sin embargo, al respecto resulta trascendental tomar en cuenta lo dispuesto por el artículo 1° de la Constitución Política de los Estados Unidos Mexicanos, que en sus párrafos primero, segundo y</w:t>
      </w:r>
      <w:r>
        <w:rPr>
          <w:rFonts w:ascii="Arial" w:hAnsi="Arial" w:cs="Arial"/>
          <w:sz w:val="26"/>
          <w:szCs w:val="26"/>
        </w:rPr>
        <w:t xml:space="preserve"> quinto establecen:</w:t>
      </w:r>
    </w:p>
    <w:p w:rsidR="0084746A" w:rsidRDefault="00A1028F">
      <w:pPr>
        <w:spacing w:before="240" w:after="0" w:line="360" w:lineRule="auto"/>
        <w:ind w:left="1134" w:right="616"/>
        <w:jc w:val="both"/>
        <w:rPr>
          <w:rFonts w:ascii="Arial" w:hAnsi="Arial" w:cs="Arial"/>
          <w:i/>
          <w:sz w:val="26"/>
          <w:szCs w:val="26"/>
        </w:rPr>
      </w:pPr>
      <w:r>
        <w:rPr>
          <w:rFonts w:ascii="Arial" w:hAnsi="Arial" w:cs="Arial"/>
          <w:i/>
          <w:sz w:val="26"/>
          <w:szCs w:val="26"/>
        </w:rPr>
        <w:t>“En los Estados Unidos Mexicanos todas las personas gozarán de los derechos humanos reconocidos en esta Constitución y en los tratados internacionales de los que el Estado Mexicano sea parte, así como de las garantías para su protección</w:t>
      </w:r>
      <w:r>
        <w:rPr>
          <w:rFonts w:ascii="Arial" w:hAnsi="Arial" w:cs="Arial"/>
          <w:i/>
          <w:sz w:val="26"/>
          <w:szCs w:val="26"/>
        </w:rPr>
        <w:t>, cuyo ejercicio no podrá restringirse ni suspenderse, salvo en los casos y bajo las condiciones que esta Constitución establece.</w:t>
      </w:r>
    </w:p>
    <w:p w:rsidR="0084746A" w:rsidRDefault="0084746A">
      <w:pPr>
        <w:spacing w:after="0" w:line="360" w:lineRule="auto"/>
        <w:ind w:left="567" w:right="616" w:firstLine="567"/>
        <w:jc w:val="both"/>
        <w:rPr>
          <w:rFonts w:ascii="Arial" w:hAnsi="Arial" w:cs="Arial"/>
          <w:i/>
          <w:sz w:val="26"/>
          <w:szCs w:val="26"/>
        </w:rPr>
      </w:pPr>
    </w:p>
    <w:p w:rsidR="0084746A" w:rsidRDefault="00A1028F">
      <w:pPr>
        <w:spacing w:after="0" w:line="360" w:lineRule="auto"/>
        <w:ind w:left="1134" w:right="616"/>
        <w:jc w:val="both"/>
        <w:rPr>
          <w:rFonts w:ascii="Arial" w:hAnsi="Arial" w:cs="Arial"/>
          <w:i/>
          <w:sz w:val="26"/>
          <w:szCs w:val="26"/>
        </w:rPr>
      </w:pPr>
      <w:r>
        <w:rPr>
          <w:rFonts w:ascii="Arial" w:hAnsi="Arial" w:cs="Arial"/>
          <w:i/>
          <w:sz w:val="26"/>
          <w:szCs w:val="26"/>
        </w:rPr>
        <w:t>Las normas relativas a los derechos humanos se interpretarán de conformidad con esta Constitución y con los tratados internac</w:t>
      </w:r>
      <w:r>
        <w:rPr>
          <w:rFonts w:ascii="Arial" w:hAnsi="Arial" w:cs="Arial"/>
          <w:i/>
          <w:sz w:val="26"/>
          <w:szCs w:val="26"/>
        </w:rPr>
        <w:t>ionales de la materia favoreciendo en todo tiempo a las personas la protección más amplia”</w:t>
      </w:r>
    </w:p>
    <w:p w:rsidR="0084746A" w:rsidRDefault="00A1028F">
      <w:pPr>
        <w:tabs>
          <w:tab w:val="left" w:pos="8222"/>
        </w:tabs>
        <w:spacing w:before="240" w:after="0" w:line="360" w:lineRule="auto"/>
        <w:ind w:left="1134" w:right="616"/>
        <w:jc w:val="both"/>
      </w:pPr>
      <w:r>
        <w:rPr>
          <w:rFonts w:ascii="Arial" w:hAnsi="Arial" w:cs="Arial"/>
          <w:i/>
          <w:sz w:val="26"/>
          <w:szCs w:val="26"/>
        </w:rPr>
        <w:t>“</w:t>
      </w:r>
      <w:r>
        <w:rPr>
          <w:rFonts w:ascii="Arial" w:hAnsi="Arial" w:cs="Arial"/>
          <w:i/>
          <w:sz w:val="24"/>
          <w:szCs w:val="24"/>
        </w:rPr>
        <w:t>queda prohibida toda discriminación motivada por origen étnico o nacional, el género, la edad, las discapacidades, la condición social, las condiciones de salud, la</w:t>
      </w:r>
      <w:r>
        <w:rPr>
          <w:rFonts w:ascii="Arial" w:hAnsi="Arial" w:cs="Arial"/>
          <w:i/>
          <w:sz w:val="24"/>
          <w:szCs w:val="24"/>
        </w:rPr>
        <w:t xml:space="preserve"> religión, las opiniones, las preferencias sexuales, el estado civil o cualquier otra parte que atente  contra la dignidad humana y tenga por objeto anular o menoscabar los derechos y libertades de las personas</w:t>
      </w:r>
      <w:r>
        <w:rPr>
          <w:rFonts w:ascii="Arial" w:hAnsi="Arial" w:cs="Arial"/>
          <w:i/>
          <w:sz w:val="26"/>
          <w:szCs w:val="26"/>
        </w:rPr>
        <w:t>…”.</w:t>
      </w:r>
    </w:p>
    <w:p w:rsidR="0084746A" w:rsidRDefault="00A1028F">
      <w:pPr>
        <w:spacing w:before="240" w:after="0" w:line="360" w:lineRule="auto"/>
        <w:ind w:firstLine="567"/>
        <w:jc w:val="both"/>
        <w:rPr>
          <w:rFonts w:ascii="Arial" w:hAnsi="Arial" w:cs="Arial"/>
          <w:sz w:val="26"/>
          <w:szCs w:val="26"/>
        </w:rPr>
      </w:pPr>
      <w:r>
        <w:rPr>
          <w:rFonts w:ascii="Arial" w:hAnsi="Arial" w:cs="Arial"/>
          <w:sz w:val="26"/>
          <w:szCs w:val="26"/>
        </w:rPr>
        <w:t>Patentizando así, que dicho precepto const</w:t>
      </w:r>
      <w:r>
        <w:rPr>
          <w:rFonts w:ascii="Arial" w:hAnsi="Arial" w:cs="Arial"/>
          <w:sz w:val="26"/>
          <w:szCs w:val="26"/>
        </w:rPr>
        <w:t>itucional prohíbe toda discriminación que menoscabe los derechos de las personas; por lo que para el efecto de cumplimentar dicha consagración constitucional, en la materia que se analiza (pensión por jubilación) al aplicarse la Ley de Pensiones para resol</w:t>
      </w:r>
      <w:r>
        <w:rPr>
          <w:rFonts w:ascii="Arial" w:hAnsi="Arial" w:cs="Arial"/>
          <w:sz w:val="26"/>
          <w:szCs w:val="26"/>
        </w:rPr>
        <w:t xml:space="preserve">ver al </w:t>
      </w:r>
      <w:r>
        <w:rPr>
          <w:rFonts w:ascii="Arial" w:hAnsi="Arial" w:cs="Arial"/>
          <w:sz w:val="26"/>
          <w:szCs w:val="26"/>
        </w:rPr>
        <w:lastRenderedPageBreak/>
        <w:t>respecto, esta debe interpretarse de forma amplia en el sentido que más beneficia a los solicitantes de la jubilación.</w:t>
      </w:r>
    </w:p>
    <w:p w:rsidR="0084746A" w:rsidRDefault="00A1028F">
      <w:pPr>
        <w:spacing w:before="240" w:after="0" w:line="360" w:lineRule="auto"/>
        <w:ind w:firstLine="567"/>
        <w:jc w:val="both"/>
      </w:pPr>
      <w:r>
        <w:rPr>
          <w:rFonts w:ascii="Arial" w:hAnsi="Arial" w:cs="Arial"/>
          <w:sz w:val="26"/>
          <w:szCs w:val="26"/>
        </w:rPr>
        <w:t>Por lo que, tomando en consideración que el artículo 54 de la Ley de Pensiones para los Trabajadores del Gobierno del Estado de Oa</w:t>
      </w:r>
      <w:r>
        <w:rPr>
          <w:rFonts w:ascii="Arial" w:hAnsi="Arial" w:cs="Arial"/>
          <w:sz w:val="26"/>
          <w:szCs w:val="26"/>
        </w:rPr>
        <w:t xml:space="preserve">xaca, y con la finalidad de otorgar el mayor beneficio al solicitante de la pensión, al resolverse lo correspondiente, dicho artículo 54, debe realizarse de </w:t>
      </w:r>
      <w:r>
        <w:rPr>
          <w:rFonts w:ascii="Arial" w:hAnsi="Arial" w:cs="Arial"/>
          <w:b/>
          <w:sz w:val="26"/>
          <w:szCs w:val="26"/>
        </w:rPr>
        <w:t>forma extensiva,</w:t>
      </w:r>
      <w:r>
        <w:rPr>
          <w:rFonts w:ascii="Arial" w:hAnsi="Arial" w:cs="Arial"/>
          <w:sz w:val="26"/>
          <w:szCs w:val="26"/>
        </w:rPr>
        <w:t xml:space="preserve"> para no transgredir derechos humanos </w:t>
      </w:r>
      <w:r>
        <w:rPr>
          <w:rFonts w:ascii="Arial" w:hAnsi="Arial" w:cs="Arial"/>
          <w:b/>
          <w:sz w:val="26"/>
          <w:szCs w:val="26"/>
        </w:rPr>
        <w:t>restringiendo</w:t>
      </w:r>
      <w:r>
        <w:rPr>
          <w:rFonts w:ascii="Arial" w:hAnsi="Arial" w:cs="Arial"/>
          <w:sz w:val="26"/>
          <w:szCs w:val="26"/>
        </w:rPr>
        <w:t xml:space="preserve"> la protección más amplia  a la </w:t>
      </w:r>
      <w:r>
        <w:rPr>
          <w:rFonts w:ascii="Arial" w:hAnsi="Arial" w:cs="Arial"/>
          <w:sz w:val="26"/>
          <w:szCs w:val="26"/>
        </w:rPr>
        <w:t>que tienen derecho los jubilados; ello, toda vez que, las normas relativas a los derechos humanos en el ámbito de nuestra competencia, es obligación de esta autoridad promoverlos, respetarlos, protegerlos y garantizarlos de conformidad con los principios d</w:t>
      </w:r>
      <w:r>
        <w:rPr>
          <w:rFonts w:ascii="Arial" w:hAnsi="Arial" w:cs="Arial"/>
          <w:sz w:val="26"/>
          <w:szCs w:val="26"/>
        </w:rPr>
        <w:t>e universalidad, interdependencia, indivisibilidad y progresividad e interpretarlos de conformidad con la Constitución Federal y con los Tratados Internacionales de la Materia, favoreciendo en todo tiempo a las personas la protección más amplia, en atenció</w:t>
      </w:r>
      <w:r>
        <w:rPr>
          <w:rFonts w:ascii="Arial" w:hAnsi="Arial" w:cs="Arial"/>
          <w:sz w:val="26"/>
          <w:szCs w:val="26"/>
        </w:rPr>
        <w:t xml:space="preserve">n al </w:t>
      </w:r>
      <w:r>
        <w:rPr>
          <w:rFonts w:ascii="Arial" w:hAnsi="Arial" w:cs="Arial"/>
          <w:b/>
          <w:sz w:val="26"/>
          <w:szCs w:val="26"/>
        </w:rPr>
        <w:t>principio pro-persona.</w:t>
      </w:r>
    </w:p>
    <w:p w:rsidR="0084746A" w:rsidRDefault="00A1028F">
      <w:pPr>
        <w:spacing w:before="240" w:after="0" w:line="360" w:lineRule="auto"/>
        <w:ind w:firstLine="567"/>
        <w:jc w:val="both"/>
        <w:rPr>
          <w:rFonts w:ascii="Arial" w:hAnsi="Arial" w:cs="Arial"/>
          <w:sz w:val="26"/>
          <w:szCs w:val="26"/>
        </w:rPr>
      </w:pPr>
      <w:r>
        <w:rPr>
          <w:rFonts w:ascii="Arial" w:hAnsi="Arial" w:cs="Arial"/>
          <w:sz w:val="26"/>
          <w:szCs w:val="26"/>
        </w:rPr>
        <w:t>Sirve de apoyo el criterio jurisprudencial, emitido por la Primera Sala de la Suprema Corte de Justicia, publicado en el Semanario Judicial de la Federación en la Décima Época, Libro XIII, Octubre de 2012, Tomo 2, página 799, ma</w:t>
      </w:r>
      <w:r>
        <w:rPr>
          <w:rFonts w:ascii="Arial" w:hAnsi="Arial" w:cs="Arial"/>
          <w:sz w:val="26"/>
          <w:szCs w:val="26"/>
        </w:rPr>
        <w:t xml:space="preserve">teria Constitucional, de rubro y texto siguiente: </w:t>
      </w:r>
    </w:p>
    <w:p w:rsidR="0084746A" w:rsidRDefault="00A1028F">
      <w:pPr>
        <w:spacing w:before="240" w:after="0" w:line="360" w:lineRule="auto"/>
        <w:ind w:left="567" w:right="616"/>
        <w:jc w:val="both"/>
      </w:pPr>
      <w:r>
        <w:rPr>
          <w:rFonts w:ascii="Arial" w:hAnsi="Arial" w:cs="Arial"/>
          <w:i/>
          <w:sz w:val="26"/>
          <w:szCs w:val="26"/>
        </w:rPr>
        <w:t>“</w:t>
      </w:r>
      <w:r>
        <w:rPr>
          <w:rFonts w:ascii="Arial" w:hAnsi="Arial" w:cs="Arial"/>
          <w:b/>
          <w:i/>
          <w:sz w:val="24"/>
          <w:szCs w:val="24"/>
        </w:rPr>
        <w:t>PRINCIPIO PRO PERSONA. CRITERIO DE SELECCIÓN DE LA NORMA DE DERECHO FUNDAMENTAL APLICABLE.</w:t>
      </w:r>
      <w:r>
        <w:rPr>
          <w:rFonts w:ascii="Arial" w:hAnsi="Arial" w:cs="Arial"/>
          <w:i/>
          <w:sz w:val="24"/>
          <w:szCs w:val="24"/>
        </w:rPr>
        <w:t xml:space="preserve"> De conformidad con el texto vigente del artículo 1o. constitucional, modificado por el decreto de reforma </w:t>
      </w:r>
      <w:r>
        <w:rPr>
          <w:rFonts w:ascii="Arial" w:hAnsi="Arial" w:cs="Arial"/>
          <w:i/>
          <w:sz w:val="24"/>
          <w:szCs w:val="24"/>
        </w:rPr>
        <w:t>constitucional publicado en el Diario Oficial de la Federación el 10 de junio de 2011, en materia de derechos fundamentales, el ordenamiento jurídico mexicano tiene dos fuentes primigenias: a) los derechos fundamentales reconocidos en la Constitución Polít</w:t>
      </w:r>
      <w:r>
        <w:rPr>
          <w:rFonts w:ascii="Arial" w:hAnsi="Arial" w:cs="Arial"/>
          <w:i/>
          <w:sz w:val="24"/>
          <w:szCs w:val="24"/>
        </w:rPr>
        <w:t>ica de los Estados Unidos Mexicanos; y, b) todos aquellos derechos humanos establecidos en tratados internacionales de los que el Estado mexicano sea parte. Consecuentemente, las normas provenientes de ambas fuentes, son normas supremas del ordenamiento ju</w:t>
      </w:r>
      <w:r>
        <w:rPr>
          <w:rFonts w:ascii="Arial" w:hAnsi="Arial" w:cs="Arial"/>
          <w:i/>
          <w:sz w:val="24"/>
          <w:szCs w:val="24"/>
        </w:rPr>
        <w:t xml:space="preserve">rídico mexicano. Esto implica que los valores, principios y derechos que ellas materializan deben </w:t>
      </w:r>
      <w:r>
        <w:rPr>
          <w:rFonts w:ascii="Arial" w:hAnsi="Arial" w:cs="Arial"/>
          <w:i/>
          <w:sz w:val="24"/>
          <w:szCs w:val="24"/>
        </w:rPr>
        <w:lastRenderedPageBreak/>
        <w:t>permear en todo el orden jurídico, obligando a todas las autoridades a su aplicación y, en aquellos casos en que sea procedente, a su interpretación. Ahora bi</w:t>
      </w:r>
      <w:r>
        <w:rPr>
          <w:rFonts w:ascii="Arial" w:hAnsi="Arial" w:cs="Arial"/>
          <w:i/>
          <w:sz w:val="24"/>
          <w:szCs w:val="24"/>
        </w:rPr>
        <w:t>en, en el supuesto de que un mismo derecho fundamental esté reconocido en las dos fuentes supremas del ordenamiento jurídico, a saber, la Constitución y los tratados internacionales, la elección de la norma que será aplicable -en materia de derechos humano</w:t>
      </w:r>
      <w:r>
        <w:rPr>
          <w:rFonts w:ascii="Arial" w:hAnsi="Arial" w:cs="Arial"/>
          <w:i/>
          <w:sz w:val="24"/>
          <w:szCs w:val="24"/>
        </w:rPr>
        <w:t>s-, atenderá a criterios que favorezcan al individuo o lo que se ha denominado principio pro persona, de conformidad con lo dispuesto en el segundo párrafo del artículo 1o. constitucional. Según dicho criterio interpretativo, en caso de que exista una dife</w:t>
      </w:r>
      <w:r>
        <w:rPr>
          <w:rFonts w:ascii="Arial" w:hAnsi="Arial" w:cs="Arial"/>
          <w:i/>
          <w:sz w:val="24"/>
          <w:szCs w:val="24"/>
        </w:rPr>
        <w:t>rencia entre el alcance o la protección reconocida en las normas de estas distintas fuentes, deberá prevalecer aquella que represente una mayor protección para la persona o que implique una menor restricción. En esta lógica, el catálogo de derechos fundame</w:t>
      </w:r>
      <w:r>
        <w:rPr>
          <w:rFonts w:ascii="Arial" w:hAnsi="Arial" w:cs="Arial"/>
          <w:i/>
          <w:sz w:val="24"/>
          <w:szCs w:val="24"/>
        </w:rPr>
        <w:t>ntales no se encuentra limitado a lo prescrito en el texto constitucional, sino que también incluye a todos aquellos derechos que figuran en los tratados internacionales ratificados por el Estado mexicano</w:t>
      </w:r>
      <w:r>
        <w:rPr>
          <w:rFonts w:ascii="Arial" w:hAnsi="Arial" w:cs="Arial"/>
          <w:i/>
          <w:sz w:val="26"/>
          <w:szCs w:val="26"/>
        </w:rPr>
        <w:t xml:space="preserve">”. </w:t>
      </w:r>
    </w:p>
    <w:p w:rsidR="0084746A" w:rsidRDefault="00A1028F">
      <w:pPr>
        <w:spacing w:before="240" w:after="0" w:line="360" w:lineRule="auto"/>
        <w:ind w:firstLine="567"/>
        <w:jc w:val="both"/>
      </w:pPr>
      <w:r>
        <w:rPr>
          <w:rFonts w:ascii="Arial" w:hAnsi="Arial" w:cs="Arial"/>
          <w:sz w:val="26"/>
          <w:szCs w:val="26"/>
        </w:rPr>
        <w:t xml:space="preserve">En atención a las consideraciones plasmadas y a </w:t>
      </w:r>
      <w:r>
        <w:rPr>
          <w:rFonts w:ascii="Arial" w:hAnsi="Arial" w:cs="Arial"/>
          <w:sz w:val="26"/>
          <w:szCs w:val="26"/>
        </w:rPr>
        <w:t>los criterios citados, resulta evidente, que la determinación contenida en el oficio</w:t>
      </w:r>
      <w:r>
        <w:rPr>
          <w:rFonts w:ascii="Arial" w:hAnsi="Arial" w:cs="Arial"/>
          <w:b/>
          <w:sz w:val="26"/>
          <w:szCs w:val="26"/>
        </w:rPr>
        <w:t xml:space="preserve"> **********, </w:t>
      </w:r>
      <w:r>
        <w:rPr>
          <w:rFonts w:ascii="Arial" w:hAnsi="Arial" w:cs="Arial"/>
          <w:sz w:val="26"/>
          <w:szCs w:val="26"/>
        </w:rPr>
        <w:t xml:space="preserve">de diecisiete de febrero de dos mil diecisiete, emitido por </w:t>
      </w:r>
      <w:r>
        <w:rPr>
          <w:rFonts w:ascii="Arial" w:hAnsi="Arial" w:cs="Arial"/>
          <w:b/>
          <w:sz w:val="26"/>
          <w:szCs w:val="26"/>
        </w:rPr>
        <w:t xml:space="preserve">el Director General de la Oficina de Pensiones del Gobierno del Estado de Oaxaca, </w:t>
      </w:r>
      <w:r>
        <w:rPr>
          <w:rFonts w:ascii="Arial" w:hAnsi="Arial" w:cs="Arial"/>
          <w:sz w:val="26"/>
          <w:szCs w:val="26"/>
        </w:rPr>
        <w:t>al ejecutar el ac</w:t>
      </w:r>
      <w:r>
        <w:rPr>
          <w:rFonts w:ascii="Arial" w:hAnsi="Arial" w:cs="Arial"/>
          <w:sz w:val="26"/>
          <w:szCs w:val="26"/>
        </w:rPr>
        <w:t>uerdo del Consejo Directivo de la Oficina indicada, dejó de considerar y hacer una interpretación adecuada del artículo 54 de la Ley de Pensiones para los Trabajadores del Gobierno del Estado, pues al interpretarla de forma restringida, negó al actor el pa</w:t>
      </w:r>
      <w:r>
        <w:rPr>
          <w:rFonts w:ascii="Arial" w:hAnsi="Arial" w:cs="Arial"/>
          <w:sz w:val="26"/>
          <w:szCs w:val="26"/>
        </w:rPr>
        <w:t xml:space="preserve">go de diversas prestaciones ahí establecidas, violentando en su perjuicio derechos humanos contenidos en la Constitución Política de los Estados Unidos Mexicanos, así como en la Convención Americana sobre Derechos Humanos que en su artículo 24 señala que: </w:t>
      </w:r>
      <w:r>
        <w:rPr>
          <w:rFonts w:ascii="Arial" w:hAnsi="Arial" w:cs="Arial"/>
          <w:sz w:val="26"/>
          <w:szCs w:val="26"/>
        </w:rPr>
        <w:t>“</w:t>
      </w:r>
      <w:r>
        <w:rPr>
          <w:rFonts w:ascii="Arial" w:hAnsi="Arial" w:cs="Arial"/>
          <w:i/>
          <w:sz w:val="24"/>
          <w:szCs w:val="24"/>
        </w:rPr>
        <w:t>Todas las personas son iguales ante la ley. En consecuencia, tienen derecho, sin discriminación, a igual protección de la ley</w:t>
      </w:r>
      <w:r>
        <w:rPr>
          <w:rFonts w:ascii="Arial" w:hAnsi="Arial" w:cs="Arial"/>
          <w:sz w:val="26"/>
          <w:szCs w:val="26"/>
        </w:rPr>
        <w:t>”.</w:t>
      </w:r>
    </w:p>
    <w:p w:rsidR="0084746A" w:rsidRDefault="00A1028F">
      <w:pPr>
        <w:spacing w:before="240" w:after="0" w:line="360" w:lineRule="auto"/>
        <w:ind w:firstLine="567"/>
        <w:jc w:val="both"/>
      </w:pPr>
      <w:r>
        <w:rPr>
          <w:rFonts w:ascii="Arial" w:hAnsi="Arial" w:cs="Arial"/>
          <w:sz w:val="26"/>
          <w:szCs w:val="26"/>
        </w:rPr>
        <w:t>Por lo que, conforme lo dispuesto por el artículo 113, de la Constitución Política de los Estados Unidos Mexicanos y consideran</w:t>
      </w:r>
      <w:r>
        <w:rPr>
          <w:rFonts w:ascii="Arial" w:hAnsi="Arial" w:cs="Arial"/>
          <w:sz w:val="26"/>
          <w:szCs w:val="26"/>
        </w:rPr>
        <w:t xml:space="preserve">do que la interpretación conforme al igual que el control de convencionalidad, tienen como objeto inicial y principal la </w:t>
      </w:r>
      <w:r>
        <w:rPr>
          <w:rFonts w:ascii="Arial" w:hAnsi="Arial" w:cs="Arial"/>
          <w:sz w:val="26"/>
          <w:szCs w:val="26"/>
        </w:rPr>
        <w:lastRenderedPageBreak/>
        <w:t xml:space="preserve">integración armónica de los derechos, no la inaplicación o invalidez normativa; resulta procedente </w:t>
      </w:r>
      <w:r>
        <w:rPr>
          <w:rFonts w:ascii="Arial" w:hAnsi="Arial" w:cs="Arial"/>
          <w:b/>
          <w:sz w:val="26"/>
          <w:szCs w:val="26"/>
        </w:rPr>
        <w:t>ordenar</w:t>
      </w:r>
      <w:r>
        <w:rPr>
          <w:rFonts w:ascii="Arial" w:hAnsi="Arial" w:cs="Arial"/>
          <w:sz w:val="26"/>
          <w:szCs w:val="26"/>
        </w:rPr>
        <w:t xml:space="preserve"> a la autoridad demandada, </w:t>
      </w:r>
      <w:r>
        <w:rPr>
          <w:rFonts w:ascii="Arial" w:hAnsi="Arial" w:cs="Arial"/>
          <w:b/>
          <w:sz w:val="26"/>
          <w:szCs w:val="26"/>
        </w:rPr>
        <w:t>re</w:t>
      </w:r>
      <w:r>
        <w:rPr>
          <w:rFonts w:ascii="Arial" w:hAnsi="Arial" w:cs="Arial"/>
          <w:b/>
          <w:sz w:val="26"/>
          <w:szCs w:val="26"/>
        </w:rPr>
        <w:t xml:space="preserve">alice </w:t>
      </w:r>
      <w:r>
        <w:rPr>
          <w:rFonts w:ascii="Arial" w:hAnsi="Arial" w:cs="Arial"/>
          <w:sz w:val="26"/>
          <w:szCs w:val="26"/>
          <w:u w:val="single"/>
        </w:rPr>
        <w:t>una interpretación extensiva del artículo 54 de la Ley de Pensiones para los Trabajadores del Gobierno del Estado de Oaxaca, en beneficio de la parte actora</w:t>
      </w:r>
      <w:r>
        <w:rPr>
          <w:rFonts w:ascii="Arial" w:hAnsi="Arial" w:cs="Arial"/>
          <w:sz w:val="26"/>
          <w:szCs w:val="26"/>
        </w:rPr>
        <w:t>, de tal forma que se le otorgue</w:t>
      </w:r>
      <w:r>
        <w:rPr>
          <w:rFonts w:ascii="Arial" w:hAnsi="Arial" w:cs="Arial"/>
          <w:b/>
          <w:sz w:val="26"/>
          <w:szCs w:val="26"/>
        </w:rPr>
        <w:t xml:space="preserve"> </w:t>
      </w:r>
      <w:r>
        <w:rPr>
          <w:rFonts w:ascii="Arial" w:hAnsi="Arial" w:cs="Arial"/>
          <w:sz w:val="26"/>
          <w:szCs w:val="26"/>
        </w:rPr>
        <w:t>el pago de pensión por jubilación, incluyendo las mismas pres</w:t>
      </w:r>
      <w:r>
        <w:rPr>
          <w:rFonts w:ascii="Arial" w:hAnsi="Arial" w:cs="Arial"/>
          <w:sz w:val="26"/>
          <w:szCs w:val="26"/>
        </w:rPr>
        <w:t>taciones otorgadas para los trabajadores de base.</w:t>
      </w:r>
    </w:p>
    <w:p w:rsidR="0084746A" w:rsidRDefault="00A1028F">
      <w:pPr>
        <w:spacing w:before="240" w:line="360" w:lineRule="auto"/>
        <w:ind w:firstLine="567"/>
        <w:jc w:val="both"/>
      </w:pPr>
      <w:r>
        <w:rPr>
          <w:rFonts w:ascii="Arial" w:hAnsi="Arial" w:cs="Arial"/>
          <w:b/>
          <w:sz w:val="26"/>
          <w:szCs w:val="26"/>
        </w:rPr>
        <w:t>Por otra parte</w:t>
      </w:r>
      <w:r>
        <w:rPr>
          <w:rFonts w:ascii="Arial" w:hAnsi="Arial" w:cs="Arial"/>
          <w:sz w:val="26"/>
          <w:szCs w:val="26"/>
        </w:rPr>
        <w:t>, también alegó la actora que la resolución impugnada, contraviene lo establecido por el artículo 1 y 14 de la Constitución Política de los Estados Unidos Mexicanos, al pretender la demanda ap</w:t>
      </w:r>
      <w:r>
        <w:rPr>
          <w:rFonts w:ascii="Arial" w:hAnsi="Arial" w:cs="Arial"/>
          <w:sz w:val="26"/>
          <w:szCs w:val="26"/>
        </w:rPr>
        <w:t>licar en su perjuicio, lo dispuesto por el artículo 6 fracción III de la Ley de Pensiones para los Trabajadores del Gobierno del Estado de Oaxaca, en el que se establece que debe cubrir una cuota del 9% a favor del fondo de pensiones, la cual es violatoria</w:t>
      </w:r>
      <w:r>
        <w:rPr>
          <w:rFonts w:ascii="Arial" w:hAnsi="Arial" w:cs="Arial"/>
          <w:sz w:val="26"/>
          <w:szCs w:val="26"/>
        </w:rPr>
        <w:t>.</w:t>
      </w:r>
    </w:p>
    <w:p w:rsidR="0084746A" w:rsidRDefault="00A1028F">
      <w:pPr>
        <w:spacing w:before="240" w:line="360" w:lineRule="auto"/>
        <w:ind w:firstLine="567"/>
        <w:jc w:val="both"/>
        <w:rPr>
          <w:rFonts w:ascii="Arial" w:hAnsi="Arial" w:cs="Arial"/>
          <w:sz w:val="26"/>
          <w:szCs w:val="26"/>
        </w:rPr>
      </w:pPr>
      <w:r>
        <w:rPr>
          <w:rFonts w:ascii="Arial" w:hAnsi="Arial" w:cs="Arial"/>
          <w:sz w:val="26"/>
          <w:szCs w:val="26"/>
        </w:rPr>
        <w:t>Al respecto, del oficio **********, se aprecia que la demandada determinó el descuento del monto de 9% de su pensión otorgada, fundándose en lo dispuesto por los artículos 6 fracción III, 18 párrafo Segundo y Octavo Transitorio de la Ley de Pensiones par</w:t>
      </w:r>
      <w:r>
        <w:rPr>
          <w:rFonts w:ascii="Arial" w:hAnsi="Arial" w:cs="Arial"/>
          <w:sz w:val="26"/>
          <w:szCs w:val="26"/>
        </w:rPr>
        <w:t>a los Trabajadores del Gobierno del Estado de Oaxaca; sin embargo, dichas disposiciones fueron declarados inconvencionales e inconstitucionales.</w:t>
      </w:r>
    </w:p>
    <w:p w:rsidR="0084746A" w:rsidRDefault="00A1028F">
      <w:pPr>
        <w:spacing w:before="240" w:line="360" w:lineRule="auto"/>
        <w:ind w:firstLine="567"/>
        <w:jc w:val="both"/>
        <w:rPr>
          <w:rFonts w:ascii="Arial" w:hAnsi="Arial" w:cs="Arial"/>
          <w:sz w:val="26"/>
          <w:szCs w:val="26"/>
        </w:rPr>
      </w:pPr>
      <w:r>
        <w:rPr>
          <w:rFonts w:ascii="Arial" w:hAnsi="Arial" w:cs="Arial"/>
          <w:sz w:val="26"/>
          <w:szCs w:val="26"/>
        </w:rPr>
        <w:t>Sirve de sustento el criterio Jurisprudencias, emitido por el Tribunal Colegiado en materias de Trabajo y Admin</w:t>
      </w:r>
      <w:r>
        <w:rPr>
          <w:rFonts w:ascii="Arial" w:hAnsi="Arial" w:cs="Arial"/>
          <w:sz w:val="26"/>
          <w:szCs w:val="26"/>
        </w:rPr>
        <w:t>istrativas del Décimo Tercer Circuito, publicado en el Semanario Judicial de la Federación, en la Décima Época, Libro 11, Octubre de 2014, Tomo III, página 2512, de rubro y texto siguiente:</w:t>
      </w:r>
    </w:p>
    <w:p w:rsidR="0084746A" w:rsidRDefault="00A1028F">
      <w:pPr>
        <w:pStyle w:val="Textonotapie"/>
        <w:spacing w:line="360" w:lineRule="auto"/>
        <w:ind w:left="1134" w:right="616"/>
        <w:jc w:val="both"/>
      </w:pPr>
      <w:r>
        <w:rPr>
          <w:rFonts w:ascii="Arial" w:hAnsi="Arial" w:cs="Arial"/>
          <w:bCs/>
          <w:sz w:val="26"/>
          <w:szCs w:val="26"/>
          <w:shd w:val="clear" w:color="auto" w:fill="FFFFFF"/>
        </w:rPr>
        <w:t>“</w:t>
      </w:r>
      <w:r>
        <w:rPr>
          <w:rFonts w:ascii="Arial" w:hAnsi="Arial" w:cs="Arial"/>
          <w:b/>
          <w:bCs/>
          <w:sz w:val="24"/>
          <w:szCs w:val="24"/>
          <w:shd w:val="clear" w:color="auto" w:fill="FFFFFF"/>
        </w:rPr>
        <w:t>PENSIONES PARA LOS TRABAJADORES DEL GOBIERNO DEL ESTADO DE OAXACA</w:t>
      </w:r>
      <w:r>
        <w:rPr>
          <w:rFonts w:ascii="Arial" w:hAnsi="Arial" w:cs="Arial"/>
          <w:b/>
          <w:bCs/>
          <w:sz w:val="24"/>
          <w:szCs w:val="24"/>
          <w:shd w:val="clear" w:color="auto" w:fill="FFFFFF"/>
        </w:rPr>
        <w:t>. LOS ARTÍCULOS 6, FRACCIÓN III, 18, PÁRRAFO SEGUNDO Y OCTAVO TRANSITORIO DE LA LEY RELATIVA, QUE DISPONEN QUE QUIENES ADQUIERAN EL CARÁCTER DE JUBILADOS DEBEN APORTAR EL 9% DE SU PENSIÓN PARA INCREMENTAR EL FONDO RESPECTIVO, SON INCONVENCIONALES E INCONST</w:t>
      </w:r>
      <w:r>
        <w:rPr>
          <w:rFonts w:ascii="Arial" w:hAnsi="Arial" w:cs="Arial"/>
          <w:b/>
          <w:bCs/>
          <w:sz w:val="24"/>
          <w:szCs w:val="24"/>
          <w:shd w:val="clear" w:color="auto" w:fill="FFFFFF"/>
        </w:rPr>
        <w:t xml:space="preserve">ITUCIONALES, AL DESATENDER LOS ARTÍCULOS 26, NUMERAL </w:t>
      </w:r>
      <w:r>
        <w:rPr>
          <w:rFonts w:ascii="Arial" w:hAnsi="Arial" w:cs="Arial"/>
          <w:b/>
          <w:bCs/>
          <w:sz w:val="24"/>
          <w:szCs w:val="24"/>
          <w:shd w:val="clear" w:color="auto" w:fill="FFFFFF"/>
        </w:rPr>
        <w:lastRenderedPageBreak/>
        <w:t>3 Y 67, INCISO B), DEL CONVENIO NÚMERO 102 DE LA ORGANIZACIÓN INTERNACIONAL DEL TRABAJO Y VIOLAR EL DERECHO HUMANO A LA IGUALDAD. L</w:t>
      </w:r>
      <w:r>
        <w:rPr>
          <w:rFonts w:ascii="Arial" w:hAnsi="Arial" w:cs="Arial"/>
          <w:sz w:val="24"/>
          <w:szCs w:val="24"/>
          <w:shd w:val="clear" w:color="auto" w:fill="FFFFFF"/>
        </w:rPr>
        <w:t>os Trabajadores del Gobierno del Estado de Oaxaca, publicada mediante De</w:t>
      </w:r>
      <w:r>
        <w:rPr>
          <w:rFonts w:ascii="Arial" w:hAnsi="Arial" w:cs="Arial"/>
          <w:sz w:val="24"/>
          <w:szCs w:val="24"/>
          <w:shd w:val="clear" w:color="auto" w:fill="FFFFFF"/>
        </w:rPr>
        <w:t>creto Número 885 en el Periódico Oficial de dicha entidad federativa el 28 de enero de 2012, conforme a los cuales, quienes adquieran el carácter de jubilados deben aportar el 9% de su pensión para incrementar el fondo de pensiones, desatienden los artícul</w:t>
      </w:r>
      <w:r>
        <w:rPr>
          <w:rFonts w:ascii="Arial" w:hAnsi="Arial" w:cs="Arial"/>
          <w:sz w:val="24"/>
          <w:szCs w:val="24"/>
          <w:shd w:val="clear" w:color="auto" w:fill="FFFFFF"/>
        </w:rPr>
        <w:t>os 26, punto 3 y 67, inciso b), del Convenio Número 102 de la Organización Internacional del Trabajo, relativo a la Norma Mínima de la Seguridad Social, los cuales autorizan dos casos de afectación: a) en el supuesto de prestaciones de vejez, se suspende c</w:t>
      </w:r>
      <w:r>
        <w:rPr>
          <w:rFonts w:ascii="Arial" w:hAnsi="Arial" w:cs="Arial"/>
          <w:sz w:val="24"/>
          <w:szCs w:val="24"/>
          <w:shd w:val="clear" w:color="auto" w:fill="FFFFFF"/>
        </w:rPr>
        <w:t>uando se ejerzan actividades remuneradas o se reduce cuando las ganancias del beneficiario excedan de un valor prescrito; y, b) respecto de pagos periódicos, se reduce en la medida en que los demás Los artículos 6, fracción III, 18, párrafo segundo y octav</w:t>
      </w:r>
      <w:r>
        <w:rPr>
          <w:rFonts w:ascii="Arial" w:hAnsi="Arial" w:cs="Arial"/>
          <w:sz w:val="24"/>
          <w:szCs w:val="24"/>
          <w:shd w:val="clear" w:color="auto" w:fill="FFFFFF"/>
        </w:rPr>
        <w:t xml:space="preserve">o transitorio de la Ley de Pensiones para recursos de la familia del beneficiario excedan de sumas apreciables fijadas por las autoridades competentes, de conformidad con reglas prescritas. Lo anterior, porque si bien es cierto que la norma internacional, </w:t>
      </w:r>
      <w:r>
        <w:rPr>
          <w:rFonts w:ascii="Arial" w:hAnsi="Arial" w:cs="Arial"/>
          <w:sz w:val="24"/>
          <w:szCs w:val="24"/>
          <w:shd w:val="clear" w:color="auto" w:fill="FFFFFF"/>
        </w:rPr>
        <w:t xml:space="preserve">en su dimensión caracterizada como derecho humano a la seguridad social, autoriza la fijación de dichos topes, también lo es que la cuota regulada por el legislador local no encuadra en las hipótesis permitidas señaladas, ya que se traduce en un descuento </w:t>
      </w:r>
      <w:r>
        <w:rPr>
          <w:rFonts w:ascii="Arial" w:hAnsi="Arial" w:cs="Arial"/>
          <w:sz w:val="24"/>
          <w:szCs w:val="24"/>
          <w:shd w:val="clear" w:color="auto" w:fill="FFFFFF"/>
        </w:rPr>
        <w:t>indebido del monto de la pensión jubilatoria, encaminado a constituir el fondo monetario con el que se cubrirá ésta, por lo cual los preceptos indicados son inconvencionales. Asimismo, violan el derecho humano a la igualdad, al dejar de tomar en cuenta que</w:t>
      </w:r>
      <w:r>
        <w:rPr>
          <w:rFonts w:ascii="Arial" w:hAnsi="Arial" w:cs="Arial"/>
          <w:sz w:val="24"/>
          <w:szCs w:val="24"/>
          <w:shd w:val="clear" w:color="auto" w:fill="FFFFFF"/>
        </w:rPr>
        <w:t xml:space="preserve"> el jubilado ya aportó cuotas durante su vida laboral para gozar del beneficio respectivo y, por ende, se le da el trato de trabajador en activo.</w:t>
      </w:r>
    </w:p>
    <w:p w:rsidR="0084746A" w:rsidRDefault="00A1028F">
      <w:pPr>
        <w:spacing w:before="240" w:line="360" w:lineRule="auto"/>
        <w:ind w:firstLine="567"/>
        <w:jc w:val="both"/>
      </w:pPr>
      <w:r>
        <w:rPr>
          <w:rFonts w:ascii="Arial" w:hAnsi="Arial" w:cs="Arial"/>
          <w:sz w:val="26"/>
          <w:szCs w:val="26"/>
        </w:rPr>
        <w:lastRenderedPageBreak/>
        <w:t>De acuerdo a lo anteriormente puntualizado, conforme lo estatuido por el artículo 17 fracción V</w:t>
      </w:r>
      <w:r>
        <w:rPr>
          <w:rStyle w:val="Refdenotaalpie"/>
          <w:rFonts w:ascii="Arial" w:hAnsi="Arial" w:cs="Arial"/>
          <w:sz w:val="26"/>
          <w:szCs w:val="26"/>
        </w:rPr>
        <w:footnoteReference w:id="3"/>
      </w:r>
      <w:r>
        <w:rPr>
          <w:rFonts w:ascii="Arial" w:hAnsi="Arial" w:cs="Arial"/>
          <w:sz w:val="26"/>
          <w:szCs w:val="26"/>
        </w:rPr>
        <w:t xml:space="preserve"> de la Ley de Procedimiento y Justicia Administrativa para el Estado de Oaxaca, que establece como uno de los requisitos de validez del acto administrativo, q</w:t>
      </w:r>
      <w:r>
        <w:rPr>
          <w:rFonts w:ascii="Arial" w:hAnsi="Arial" w:cs="Arial"/>
          <w:sz w:val="26"/>
          <w:szCs w:val="26"/>
        </w:rPr>
        <w:t>ue debe estar fundado y motivado; situación que en el caso no acontece, por lo anteriormente indicado.</w:t>
      </w:r>
    </w:p>
    <w:p w:rsidR="0084746A" w:rsidRDefault="00A1028F">
      <w:pPr>
        <w:spacing w:before="240" w:line="360" w:lineRule="auto"/>
        <w:ind w:firstLine="567"/>
        <w:jc w:val="both"/>
      </w:pPr>
      <w:r>
        <w:rPr>
          <w:rFonts w:ascii="Arial" w:eastAsia="Times New Roman" w:hAnsi="Arial" w:cs="Arial"/>
          <w:sz w:val="26"/>
          <w:szCs w:val="26"/>
          <w:lang w:eastAsia="es-MX"/>
        </w:rPr>
        <w:t xml:space="preserve">Sirve de apoyo la Jurisprudencia, emitida por el Pleno de la Suprema Corte de Justicia de la Nación, publicada en el Semanario Judicial de la Federación </w:t>
      </w:r>
      <w:r>
        <w:rPr>
          <w:rFonts w:ascii="Arial" w:eastAsia="Times New Roman" w:hAnsi="Arial" w:cs="Arial"/>
          <w:sz w:val="26"/>
          <w:szCs w:val="26"/>
          <w:lang w:eastAsia="es-MX"/>
        </w:rPr>
        <w:t>y su Gaceta, Octava Época, número 64, abril de 1993, página 43, de rubro y texto siguientes:</w:t>
      </w:r>
    </w:p>
    <w:p w:rsidR="0084746A" w:rsidRDefault="00A1028F">
      <w:pPr>
        <w:spacing w:after="0" w:line="360" w:lineRule="auto"/>
        <w:ind w:left="1134" w:right="616"/>
        <w:jc w:val="both"/>
      </w:pPr>
      <w:r>
        <w:rPr>
          <w:rFonts w:ascii="Arial" w:eastAsia="Times New Roman" w:hAnsi="Arial" w:cs="Arial"/>
          <w:i/>
          <w:sz w:val="26"/>
          <w:szCs w:val="26"/>
          <w:lang w:eastAsia="es-MX"/>
        </w:rPr>
        <w:t>“</w:t>
      </w:r>
      <w:r>
        <w:rPr>
          <w:rFonts w:ascii="Arial" w:eastAsia="Times New Roman" w:hAnsi="Arial" w:cs="Arial"/>
          <w:b/>
          <w:i/>
          <w:sz w:val="24"/>
          <w:szCs w:val="24"/>
          <w:lang w:eastAsia="es-MX"/>
        </w:rPr>
        <w:t xml:space="preserve">FUNDAMENTACION Y MOTIVACION DE LOS ACTOS ADMINISTRATIVOS. </w:t>
      </w:r>
      <w:r>
        <w:rPr>
          <w:rFonts w:ascii="Arial" w:eastAsia="Times New Roman" w:hAnsi="Arial" w:cs="Arial"/>
          <w:i/>
          <w:sz w:val="24"/>
          <w:szCs w:val="24"/>
          <w:lang w:eastAsia="es-MX"/>
        </w:rPr>
        <w:t xml:space="preserve">De acuerdo con el artículo 16 constitucional, todo acto de autoridad debe estar suficientemente fundado </w:t>
      </w:r>
      <w:r>
        <w:rPr>
          <w:rFonts w:ascii="Arial" w:eastAsia="Times New Roman" w:hAnsi="Arial" w:cs="Arial"/>
          <w:i/>
          <w:sz w:val="24"/>
          <w:szCs w:val="24"/>
          <w:lang w:eastAsia="es-MX"/>
        </w:rPr>
        <w:t>y motivado, entendiéndose por lo primero que ha de expresarse con precisión el precepto legal aplicable al caso y por lo segundo, que también deben señalarse con precisión, las circunstancias especiales, razones particulares o causas inmediatas que se haya</w:t>
      </w:r>
      <w:r>
        <w:rPr>
          <w:rFonts w:ascii="Arial" w:eastAsia="Times New Roman" w:hAnsi="Arial" w:cs="Arial"/>
          <w:i/>
          <w:sz w:val="24"/>
          <w:szCs w:val="24"/>
          <w:lang w:eastAsia="es-MX"/>
        </w:rPr>
        <w:t>n tenido en consideración para la emisión del acto, siendo necesario además, que exista adecuación entre los motivos aducidos y las normas aplicables, es decir, que en el caso concreto se configure la hipótesis normativa. Esto es, que cuando el precepto en</w:t>
      </w:r>
      <w:r>
        <w:rPr>
          <w:rFonts w:ascii="Arial" w:eastAsia="Times New Roman" w:hAnsi="Arial" w:cs="Arial"/>
          <w:i/>
          <w:sz w:val="24"/>
          <w:szCs w:val="24"/>
          <w:lang w:eastAsia="es-MX"/>
        </w:rPr>
        <w:t xml:space="preserve"> comento previene que nadie puede ser molestado en su persona, propiedades o derechos sino en virtud de mandamiento escrito de autoridad competente que funde y motive la causa legal del procedimiento, está exigiendo a todas las autoridades que apeguen sus </w:t>
      </w:r>
      <w:r>
        <w:rPr>
          <w:rFonts w:ascii="Arial" w:eastAsia="Times New Roman" w:hAnsi="Arial" w:cs="Arial"/>
          <w:i/>
          <w:sz w:val="24"/>
          <w:szCs w:val="24"/>
          <w:lang w:eastAsia="es-MX"/>
        </w:rPr>
        <w:t xml:space="preserve">actos a la ley, expresando de que ley se trata y los preceptos de ella que sirvan de apoyo al mandamiento relativo. En materia administrativa, específicamente, para poder considerar un acto autoritario como correctamente fundado, es necesario que en él se </w:t>
      </w:r>
      <w:r>
        <w:rPr>
          <w:rFonts w:ascii="Arial" w:eastAsia="Times New Roman" w:hAnsi="Arial" w:cs="Arial"/>
          <w:i/>
          <w:sz w:val="24"/>
          <w:szCs w:val="24"/>
          <w:lang w:eastAsia="es-MX"/>
        </w:rPr>
        <w:t xml:space="preserve">citen: a).- Los cuerpos legales y preceptos que se estén aplicando al caso concreto, es decir, los supuestos normativos en que se encuadra la conducta </w:t>
      </w:r>
      <w:r>
        <w:rPr>
          <w:rFonts w:ascii="Arial" w:eastAsia="Times New Roman" w:hAnsi="Arial" w:cs="Arial"/>
          <w:i/>
          <w:sz w:val="24"/>
          <w:szCs w:val="24"/>
          <w:lang w:eastAsia="es-MX"/>
        </w:rPr>
        <w:lastRenderedPageBreak/>
        <w:t>del gobernado para que esté obligado al pago, que serán señalados con toda exactitud, precisándose los in</w:t>
      </w:r>
      <w:r>
        <w:rPr>
          <w:rFonts w:ascii="Arial" w:eastAsia="Times New Roman" w:hAnsi="Arial" w:cs="Arial"/>
          <w:i/>
          <w:sz w:val="24"/>
          <w:szCs w:val="24"/>
          <w:lang w:eastAsia="es-MX"/>
        </w:rPr>
        <w:t>cisos, subincisos, fracciones y preceptos aplicables, y b).- Los cuerpos legales, y preceptos que otorgan competencia o facultades a las autoridades para emitir el acto en agravio del gobernado</w:t>
      </w:r>
      <w:r>
        <w:rPr>
          <w:rFonts w:ascii="Arial" w:eastAsia="Times New Roman" w:hAnsi="Arial" w:cs="Arial"/>
          <w:i/>
          <w:sz w:val="26"/>
          <w:szCs w:val="26"/>
          <w:lang w:eastAsia="es-MX"/>
        </w:rPr>
        <w:t>”.</w:t>
      </w:r>
    </w:p>
    <w:p w:rsidR="0084746A" w:rsidRDefault="00A1028F">
      <w:pPr>
        <w:spacing w:before="240" w:after="0" w:line="360" w:lineRule="auto"/>
        <w:ind w:firstLine="567"/>
        <w:jc w:val="both"/>
      </w:pPr>
      <w:r>
        <w:rPr>
          <w:rFonts w:ascii="Arial" w:hAnsi="Arial" w:cs="Arial"/>
          <w:sz w:val="26"/>
          <w:szCs w:val="26"/>
        </w:rPr>
        <w:t>Por todo lo anteriormente relatado, es procedente declarar l</w:t>
      </w:r>
      <w:r>
        <w:rPr>
          <w:rFonts w:ascii="Arial" w:hAnsi="Arial" w:cs="Arial"/>
          <w:sz w:val="26"/>
          <w:szCs w:val="26"/>
        </w:rPr>
        <w:t xml:space="preserve">a </w:t>
      </w:r>
      <w:r>
        <w:rPr>
          <w:rFonts w:ascii="Arial" w:hAnsi="Arial" w:cs="Arial"/>
          <w:b/>
          <w:sz w:val="26"/>
          <w:szCs w:val="26"/>
        </w:rPr>
        <w:t xml:space="preserve">NULIDAD </w:t>
      </w:r>
      <w:r>
        <w:rPr>
          <w:rFonts w:ascii="Arial" w:hAnsi="Arial" w:cs="Arial"/>
          <w:sz w:val="26"/>
          <w:szCs w:val="26"/>
        </w:rPr>
        <w:t>del dictamen emitido por el Consejo Directivo de Pensiones del Estado de Oaxaca</w:t>
      </w:r>
      <w:r>
        <w:rPr>
          <w:rFonts w:ascii="Arial" w:hAnsi="Arial" w:cs="Arial"/>
          <w:b/>
          <w:sz w:val="26"/>
          <w:szCs w:val="26"/>
        </w:rPr>
        <w:t xml:space="preserve"> </w:t>
      </w:r>
      <w:r>
        <w:rPr>
          <w:rFonts w:ascii="Arial" w:hAnsi="Arial" w:cs="Arial"/>
          <w:sz w:val="26"/>
          <w:szCs w:val="26"/>
        </w:rPr>
        <w:t>contenido en el oficio</w:t>
      </w:r>
      <w:r>
        <w:rPr>
          <w:rFonts w:ascii="Arial" w:hAnsi="Arial" w:cs="Arial"/>
          <w:b/>
          <w:sz w:val="26"/>
          <w:szCs w:val="26"/>
        </w:rPr>
        <w:t xml:space="preserve"> **********, </w:t>
      </w:r>
      <w:r>
        <w:rPr>
          <w:rFonts w:ascii="Arial" w:hAnsi="Arial" w:cs="Arial"/>
          <w:sz w:val="26"/>
          <w:szCs w:val="26"/>
        </w:rPr>
        <w:t>de diecisiete de febrero de dos mil diecisiete, signado por el</w:t>
      </w:r>
      <w:r>
        <w:rPr>
          <w:rFonts w:ascii="Arial" w:hAnsi="Arial" w:cs="Arial"/>
          <w:b/>
          <w:sz w:val="26"/>
          <w:szCs w:val="26"/>
        </w:rPr>
        <w:t xml:space="preserve"> </w:t>
      </w:r>
      <w:r>
        <w:rPr>
          <w:rFonts w:ascii="Arial" w:hAnsi="Arial" w:cs="Arial"/>
          <w:sz w:val="26"/>
          <w:szCs w:val="26"/>
        </w:rPr>
        <w:t xml:space="preserve">Director General de la Oficina de Pensiones del Gobierno del Estado </w:t>
      </w:r>
      <w:r>
        <w:rPr>
          <w:rFonts w:ascii="Arial" w:hAnsi="Arial" w:cs="Arial"/>
          <w:sz w:val="26"/>
          <w:szCs w:val="26"/>
        </w:rPr>
        <w:t>de Oaxaca,</w:t>
      </w:r>
      <w:r>
        <w:rPr>
          <w:rFonts w:ascii="Arial" w:hAnsi="Arial" w:cs="Arial"/>
          <w:b/>
          <w:sz w:val="26"/>
          <w:szCs w:val="26"/>
        </w:rPr>
        <w:t xml:space="preserve"> PARA EL EFECTO </w:t>
      </w:r>
      <w:r>
        <w:rPr>
          <w:rFonts w:ascii="Arial" w:hAnsi="Arial" w:cs="Arial"/>
          <w:sz w:val="26"/>
          <w:szCs w:val="26"/>
        </w:rPr>
        <w:t xml:space="preserve">de que el Consejo Directivo de la Oficina de Pensiones del Estado de Oaxaca, </w:t>
      </w:r>
      <w:r>
        <w:rPr>
          <w:rFonts w:ascii="Arial" w:hAnsi="Arial" w:cs="Arial"/>
          <w:b/>
          <w:sz w:val="26"/>
          <w:szCs w:val="26"/>
        </w:rPr>
        <w:t>EMITA</w:t>
      </w:r>
      <w:r>
        <w:rPr>
          <w:rFonts w:ascii="Arial" w:hAnsi="Arial" w:cs="Arial"/>
          <w:sz w:val="26"/>
          <w:szCs w:val="26"/>
        </w:rPr>
        <w:t xml:space="preserve"> otro en su lugar, donde considere la interpretación extensiva al artículo 54 de la Ley de Pensiones para los Trabajadores del Estado de Oaxaca, apl</w:t>
      </w:r>
      <w:r>
        <w:rPr>
          <w:rFonts w:ascii="Arial" w:hAnsi="Arial" w:cs="Arial"/>
          <w:sz w:val="26"/>
          <w:szCs w:val="26"/>
        </w:rPr>
        <w:t xml:space="preserve">icando el principio pro-persona para el mayor beneficio a la parte actora, a fin de que se le otorgue una pensión, incluyendo las mismas prestaciones otorgadas para trabajadores de base, a las que tiene derecho. Asimismo por ser inconvencional </w:t>
      </w:r>
      <w:r>
        <w:rPr>
          <w:rFonts w:ascii="Arial" w:hAnsi="Arial" w:cs="Arial"/>
          <w:b/>
          <w:sz w:val="26"/>
          <w:szCs w:val="26"/>
        </w:rPr>
        <w:t>NO SE LE APL</w:t>
      </w:r>
      <w:r>
        <w:rPr>
          <w:rFonts w:ascii="Arial" w:hAnsi="Arial" w:cs="Arial"/>
          <w:b/>
          <w:sz w:val="26"/>
          <w:szCs w:val="26"/>
        </w:rPr>
        <w:t>IQUE</w:t>
      </w:r>
      <w:r>
        <w:rPr>
          <w:rFonts w:ascii="Arial" w:hAnsi="Arial" w:cs="Arial"/>
          <w:sz w:val="26"/>
          <w:szCs w:val="26"/>
        </w:rPr>
        <w:t xml:space="preserve"> el descuento del 9% por concepto de cuota al Fondo de Pensiones del monto total de su pensión por jubilación al ser inconstitucional; devolviéndosele a la parte actora las cantidades que en todo caso le hayan sido descontadas por ese concepto. - - - -</w:t>
      </w:r>
      <w:r>
        <w:rPr>
          <w:rFonts w:ascii="Arial" w:hAnsi="Arial" w:cs="Arial"/>
          <w:sz w:val="26"/>
          <w:szCs w:val="26"/>
        </w:rPr>
        <w:t xml:space="preserve"> - - - - - - - - - - </w:t>
      </w:r>
    </w:p>
    <w:p w:rsidR="0084746A" w:rsidRDefault="00A1028F">
      <w:pPr>
        <w:spacing w:before="240" w:after="0" w:line="360" w:lineRule="auto"/>
        <w:ind w:right="49" w:firstLine="567"/>
        <w:jc w:val="both"/>
        <w:rPr>
          <w:rFonts w:ascii="Arial" w:hAnsi="Arial" w:cs="Arial"/>
          <w:sz w:val="26"/>
          <w:szCs w:val="26"/>
        </w:rPr>
      </w:pPr>
      <w:r>
        <w:rPr>
          <w:rFonts w:ascii="Arial" w:hAnsi="Arial" w:cs="Arial"/>
          <w:sz w:val="26"/>
          <w:szCs w:val="26"/>
        </w:rPr>
        <w:t>Por lo expuesto y con fundamento en los artículos 207, 208 fracciones II y VI; así como 209 de Ley de Procedimiento y Justicia Administrativa para el Estado de Oaxaca, se;</w:t>
      </w:r>
    </w:p>
    <w:p w:rsidR="0084746A" w:rsidRDefault="00A1028F">
      <w:pPr>
        <w:spacing w:after="0" w:line="360" w:lineRule="auto"/>
        <w:ind w:right="49"/>
        <w:jc w:val="center"/>
        <w:rPr>
          <w:rFonts w:ascii="Arial" w:eastAsia="Times New Roman" w:hAnsi="Arial" w:cs="Arial"/>
          <w:b/>
          <w:sz w:val="26"/>
          <w:szCs w:val="26"/>
          <w:lang w:eastAsia="es-MX"/>
        </w:rPr>
      </w:pPr>
      <w:r>
        <w:rPr>
          <w:rFonts w:ascii="Arial" w:eastAsia="Times New Roman" w:hAnsi="Arial" w:cs="Arial"/>
          <w:b/>
          <w:sz w:val="26"/>
          <w:szCs w:val="26"/>
          <w:lang w:eastAsia="es-MX"/>
        </w:rPr>
        <w:t>R E S U E L V E:</w:t>
      </w:r>
    </w:p>
    <w:p w:rsidR="0084746A" w:rsidRDefault="00A1028F">
      <w:pPr>
        <w:spacing w:before="240" w:after="0" w:line="360" w:lineRule="auto"/>
        <w:ind w:right="49" w:firstLine="567"/>
        <w:jc w:val="both"/>
      </w:pPr>
      <w:r>
        <w:rPr>
          <w:rFonts w:ascii="Arial" w:eastAsia="Times New Roman" w:hAnsi="Arial" w:cs="Arial"/>
          <w:b/>
          <w:sz w:val="26"/>
          <w:szCs w:val="26"/>
          <w:lang w:eastAsia="es-MX"/>
        </w:rPr>
        <w:t>PRIMERO.-</w:t>
      </w:r>
      <w:r>
        <w:rPr>
          <w:rFonts w:ascii="Arial" w:eastAsia="Times New Roman" w:hAnsi="Arial" w:cs="Arial"/>
          <w:sz w:val="26"/>
          <w:szCs w:val="26"/>
          <w:lang w:eastAsia="es-MX"/>
        </w:rPr>
        <w:t xml:space="preserve"> Esta Sexta Sala Unitaria fue compet</w:t>
      </w:r>
      <w:r>
        <w:rPr>
          <w:rFonts w:ascii="Arial" w:eastAsia="Times New Roman" w:hAnsi="Arial" w:cs="Arial"/>
          <w:sz w:val="26"/>
          <w:szCs w:val="26"/>
          <w:lang w:eastAsia="es-MX"/>
        </w:rPr>
        <w:t xml:space="preserve">ente para conocer y resolver del presente asunto - - - - - - - - - - - - - - - - - - - </w:t>
      </w:r>
    </w:p>
    <w:p w:rsidR="0084746A" w:rsidRDefault="00A1028F">
      <w:pPr>
        <w:spacing w:before="240" w:after="0" w:line="360" w:lineRule="auto"/>
        <w:ind w:right="49" w:firstLine="567"/>
        <w:jc w:val="both"/>
      </w:pPr>
      <w:r>
        <w:rPr>
          <w:rFonts w:ascii="Arial" w:eastAsia="Times New Roman" w:hAnsi="Arial" w:cs="Arial"/>
          <w:b/>
          <w:sz w:val="26"/>
          <w:szCs w:val="26"/>
          <w:lang w:eastAsia="es-MX"/>
        </w:rPr>
        <w:t>SEGUNDO.</w:t>
      </w:r>
      <w:r>
        <w:rPr>
          <w:rFonts w:ascii="Arial" w:eastAsia="Times New Roman" w:hAnsi="Arial" w:cs="Arial"/>
          <w:sz w:val="26"/>
          <w:szCs w:val="26"/>
          <w:lang w:eastAsia="es-MX"/>
        </w:rPr>
        <w:t xml:space="preserve"> No se actualizaron causales de improcedencia por lo que no se sobresee el juicio. -  - - - - - - - - - - - - - - - - - - - - </w:t>
      </w:r>
    </w:p>
    <w:p w:rsidR="0084746A" w:rsidRDefault="00A1028F">
      <w:pPr>
        <w:spacing w:before="240" w:after="0" w:line="360" w:lineRule="auto"/>
        <w:ind w:right="49" w:firstLine="708"/>
        <w:jc w:val="both"/>
      </w:pPr>
      <w:r>
        <w:rPr>
          <w:rFonts w:ascii="Arial" w:hAnsi="Arial" w:cs="Arial"/>
          <w:b/>
          <w:sz w:val="26"/>
          <w:szCs w:val="26"/>
        </w:rPr>
        <w:t xml:space="preserve">TERCERO. </w:t>
      </w:r>
      <w:r>
        <w:rPr>
          <w:rFonts w:ascii="Arial" w:hAnsi="Arial" w:cs="Arial"/>
          <w:sz w:val="26"/>
          <w:szCs w:val="26"/>
        </w:rPr>
        <w:t xml:space="preserve">Se declara la </w:t>
      </w:r>
      <w:r>
        <w:rPr>
          <w:rFonts w:ascii="Arial" w:hAnsi="Arial" w:cs="Arial"/>
          <w:b/>
          <w:sz w:val="26"/>
          <w:szCs w:val="26"/>
        </w:rPr>
        <w:t xml:space="preserve">NULIDAD </w:t>
      </w:r>
      <w:r>
        <w:rPr>
          <w:rFonts w:ascii="Arial" w:hAnsi="Arial" w:cs="Arial"/>
          <w:sz w:val="26"/>
          <w:szCs w:val="26"/>
        </w:rPr>
        <w:t>de</w:t>
      </w:r>
      <w:r>
        <w:rPr>
          <w:rFonts w:ascii="Arial" w:hAnsi="Arial" w:cs="Arial"/>
          <w:sz w:val="26"/>
          <w:szCs w:val="26"/>
        </w:rPr>
        <w:t>l dictamen emitido por el Consejo Directivo de Pensiones del Estado de Oaxaca</w:t>
      </w:r>
      <w:r>
        <w:rPr>
          <w:rFonts w:ascii="Arial" w:hAnsi="Arial" w:cs="Arial"/>
          <w:b/>
          <w:sz w:val="26"/>
          <w:szCs w:val="26"/>
        </w:rPr>
        <w:t xml:space="preserve"> </w:t>
      </w:r>
      <w:r>
        <w:rPr>
          <w:rFonts w:ascii="Arial" w:hAnsi="Arial" w:cs="Arial"/>
          <w:sz w:val="26"/>
          <w:szCs w:val="26"/>
        </w:rPr>
        <w:t>contenido en el oficio</w:t>
      </w:r>
      <w:r>
        <w:rPr>
          <w:rFonts w:ascii="Arial" w:hAnsi="Arial" w:cs="Arial"/>
          <w:b/>
          <w:sz w:val="26"/>
          <w:szCs w:val="26"/>
        </w:rPr>
        <w:t xml:space="preserve"> **********, </w:t>
      </w:r>
      <w:r>
        <w:rPr>
          <w:rFonts w:ascii="Arial" w:hAnsi="Arial" w:cs="Arial"/>
          <w:sz w:val="26"/>
          <w:szCs w:val="26"/>
        </w:rPr>
        <w:t>de diecisiete de febrero de dos mil diecisiete, signado por el</w:t>
      </w:r>
      <w:r>
        <w:rPr>
          <w:rFonts w:ascii="Arial" w:hAnsi="Arial" w:cs="Arial"/>
          <w:b/>
          <w:sz w:val="26"/>
          <w:szCs w:val="26"/>
        </w:rPr>
        <w:t xml:space="preserve"> </w:t>
      </w:r>
      <w:r>
        <w:rPr>
          <w:rFonts w:ascii="Arial" w:hAnsi="Arial" w:cs="Arial"/>
          <w:sz w:val="26"/>
          <w:szCs w:val="26"/>
        </w:rPr>
        <w:t xml:space="preserve">Director General de la Oficina de </w:t>
      </w:r>
      <w:r>
        <w:rPr>
          <w:rFonts w:ascii="Arial" w:hAnsi="Arial" w:cs="Arial"/>
          <w:sz w:val="26"/>
          <w:szCs w:val="26"/>
        </w:rPr>
        <w:lastRenderedPageBreak/>
        <w:t>Pensiones del Gobierno del Estado de Oaxaca,</w:t>
      </w:r>
      <w:r>
        <w:rPr>
          <w:rFonts w:ascii="Arial" w:hAnsi="Arial" w:cs="Arial"/>
          <w:b/>
          <w:sz w:val="26"/>
          <w:szCs w:val="26"/>
        </w:rPr>
        <w:t xml:space="preserve"> P</w:t>
      </w:r>
      <w:r>
        <w:rPr>
          <w:rFonts w:ascii="Arial" w:hAnsi="Arial" w:cs="Arial"/>
          <w:b/>
          <w:sz w:val="26"/>
          <w:szCs w:val="26"/>
        </w:rPr>
        <w:t xml:space="preserve">ARA EL EFECTO </w:t>
      </w:r>
      <w:r>
        <w:rPr>
          <w:rFonts w:ascii="Arial" w:hAnsi="Arial" w:cs="Arial"/>
          <w:sz w:val="26"/>
          <w:szCs w:val="26"/>
        </w:rPr>
        <w:t xml:space="preserve">de que el Consejo Directivo de la Oficina de Pensiones del Estado de Oaxaca, </w:t>
      </w:r>
      <w:r>
        <w:rPr>
          <w:rFonts w:ascii="Arial" w:hAnsi="Arial" w:cs="Arial"/>
          <w:b/>
          <w:sz w:val="26"/>
          <w:szCs w:val="26"/>
        </w:rPr>
        <w:t>EMITA</w:t>
      </w:r>
      <w:r>
        <w:rPr>
          <w:rFonts w:ascii="Arial" w:hAnsi="Arial" w:cs="Arial"/>
          <w:sz w:val="26"/>
          <w:szCs w:val="26"/>
        </w:rPr>
        <w:t xml:space="preserve"> otro en su lugar, donde considere la interpretación extensiva al artículo 54 de la Ley de Pensiones para los Trabajadores del Estado de Oaxaca, aplicando el pr</w:t>
      </w:r>
      <w:r>
        <w:rPr>
          <w:rFonts w:ascii="Arial" w:hAnsi="Arial" w:cs="Arial"/>
          <w:sz w:val="26"/>
          <w:szCs w:val="26"/>
        </w:rPr>
        <w:t xml:space="preserve">incipio pro-persona para el mayor beneficio a la parte actora, a fin de que se le otorgue una pensión, incluyendo las mismas prestaciones otorgadas para trabajadores de base, a las que tiene derecho. Asimismo por ser inconvencional </w:t>
      </w:r>
      <w:r>
        <w:rPr>
          <w:rFonts w:ascii="Arial" w:hAnsi="Arial" w:cs="Arial"/>
          <w:b/>
          <w:sz w:val="26"/>
          <w:szCs w:val="26"/>
        </w:rPr>
        <w:t>NO SE LE APLIQUE</w:t>
      </w:r>
      <w:r>
        <w:rPr>
          <w:rFonts w:ascii="Arial" w:hAnsi="Arial" w:cs="Arial"/>
          <w:sz w:val="26"/>
          <w:szCs w:val="26"/>
        </w:rPr>
        <w:t xml:space="preserve"> el desc</w:t>
      </w:r>
      <w:r>
        <w:rPr>
          <w:rFonts w:ascii="Arial" w:hAnsi="Arial" w:cs="Arial"/>
          <w:sz w:val="26"/>
          <w:szCs w:val="26"/>
        </w:rPr>
        <w:t xml:space="preserve">uento del 9% por concepto de cuota al Fondo de Pensiones del monto total de su pensión por jubilación al ser inconstitucional; devolviéndosele a la parte actora las cantidades que en todo caso le hayan sido descontadas por ese concepto. - </w:t>
      </w:r>
    </w:p>
    <w:p w:rsidR="0084746A" w:rsidRDefault="00A1028F">
      <w:pPr>
        <w:spacing w:before="240" w:after="0" w:line="360" w:lineRule="auto"/>
        <w:ind w:right="49" w:firstLine="567"/>
        <w:jc w:val="both"/>
      </w:pPr>
      <w:r>
        <w:rPr>
          <w:rFonts w:ascii="Arial" w:eastAsia="Times New Roman" w:hAnsi="Arial" w:cs="Arial"/>
          <w:b/>
          <w:sz w:val="26"/>
          <w:szCs w:val="26"/>
          <w:lang w:eastAsia="es-MX"/>
        </w:rPr>
        <w:t>CUARTO.- NOTIFÍQ</w:t>
      </w:r>
      <w:r>
        <w:rPr>
          <w:rFonts w:ascii="Arial" w:eastAsia="Times New Roman" w:hAnsi="Arial" w:cs="Arial"/>
          <w:b/>
          <w:sz w:val="26"/>
          <w:szCs w:val="26"/>
          <w:lang w:eastAsia="es-MX"/>
        </w:rPr>
        <w:t xml:space="preserve">UESE </w:t>
      </w:r>
      <w:r>
        <w:rPr>
          <w:rFonts w:ascii="Arial" w:eastAsia="Times New Roman" w:hAnsi="Arial" w:cs="Arial"/>
          <w:sz w:val="26"/>
          <w:szCs w:val="26"/>
          <w:lang w:eastAsia="es-MX"/>
        </w:rPr>
        <w:t>personalmente al  actor y por oficio a la autoridad demandada, con fundamento en los artículos 172 fracción I y 173 fracciones I y II, de la Ley de Procedimiento y Justicia Administrativa para el Estado de Oaxaca.</w:t>
      </w:r>
      <w:r>
        <w:rPr>
          <w:rFonts w:ascii="Arial" w:eastAsia="Times New Roman" w:hAnsi="Arial" w:cs="Arial"/>
          <w:iCs/>
          <w:sz w:val="26"/>
          <w:szCs w:val="26"/>
          <w:lang w:eastAsia="es-MX"/>
        </w:rPr>
        <w:t>-</w:t>
      </w:r>
      <w:r>
        <w:rPr>
          <w:rFonts w:ascii="Arial" w:eastAsia="Times New Roman" w:hAnsi="Arial" w:cs="Arial"/>
          <w:b/>
          <w:iCs/>
          <w:sz w:val="26"/>
          <w:szCs w:val="26"/>
          <w:lang w:eastAsia="es-MX"/>
        </w:rPr>
        <w:t xml:space="preserve"> CÚMPLASE</w:t>
      </w:r>
      <w:r>
        <w:rPr>
          <w:rFonts w:ascii="Arial" w:eastAsia="Times New Roman" w:hAnsi="Arial" w:cs="Arial"/>
          <w:sz w:val="26"/>
          <w:szCs w:val="26"/>
          <w:lang w:eastAsia="es-MX"/>
        </w:rPr>
        <w:t xml:space="preserve">. </w:t>
      </w:r>
    </w:p>
    <w:p w:rsidR="0084746A" w:rsidRDefault="00A1028F">
      <w:pPr>
        <w:spacing w:before="240" w:after="0" w:line="360" w:lineRule="auto"/>
        <w:ind w:right="49" w:firstLine="708"/>
        <w:jc w:val="both"/>
      </w:pPr>
      <w:r>
        <w:rPr>
          <w:rFonts w:ascii="Arial" w:hAnsi="Arial" w:cs="Arial"/>
          <w:sz w:val="26"/>
          <w:szCs w:val="26"/>
        </w:rPr>
        <w:t xml:space="preserve">Así lo resolvió y firmó </w:t>
      </w:r>
      <w:r>
        <w:rPr>
          <w:rFonts w:ascii="Arial" w:hAnsi="Arial" w:cs="Arial"/>
          <w:sz w:val="26"/>
          <w:szCs w:val="26"/>
        </w:rPr>
        <w:t xml:space="preserve">el Titular de la Sexta Sala Unitaria de Primera Instancia  del Tribunal de Justicia Administrativa del Estado de Oaxaca, Magistrado Enrique Pacheco Martínez, quien actúa ante la Licenciada Amparo Arias Rivas, Secretaria de Acuerdos, que autoriza y da fe.- </w:t>
      </w:r>
      <w:r>
        <w:rPr>
          <w:rFonts w:ascii="Arial" w:hAnsi="Arial" w:cs="Arial"/>
          <w:sz w:val="26"/>
          <w:szCs w:val="26"/>
        </w:rPr>
        <w:t xml:space="preserve">- - - - - - - - - - - - - - - - - - - - - - - - </w:t>
      </w:r>
    </w:p>
    <w:sectPr w:rsidR="0084746A">
      <w:headerReference w:type="default" r:id="rId6"/>
      <w:pgSz w:w="12240" w:h="20160"/>
      <w:pgMar w:top="1440" w:right="1440" w:bottom="1440" w:left="326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A1028F">
      <w:pPr>
        <w:spacing w:after="0" w:line="240" w:lineRule="auto"/>
      </w:pPr>
      <w:r>
        <w:separator/>
      </w:r>
    </w:p>
  </w:endnote>
  <w:endnote w:type="continuationSeparator" w:id="0">
    <w:p w:rsidR="00000000" w:rsidRDefault="00A102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A1028F">
      <w:pPr>
        <w:spacing w:after="0" w:line="240" w:lineRule="auto"/>
      </w:pPr>
      <w:r>
        <w:rPr>
          <w:color w:val="000000"/>
        </w:rPr>
        <w:separator/>
      </w:r>
    </w:p>
  </w:footnote>
  <w:footnote w:type="continuationSeparator" w:id="0">
    <w:p w:rsidR="00000000" w:rsidRDefault="00A1028F">
      <w:pPr>
        <w:spacing w:after="0" w:line="240" w:lineRule="auto"/>
      </w:pPr>
      <w:r>
        <w:continuationSeparator/>
      </w:r>
    </w:p>
  </w:footnote>
  <w:footnote w:id="1">
    <w:p w:rsidR="0084746A" w:rsidRDefault="00A1028F">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w:t>
      </w:r>
      <w:r>
        <w:t>l nombramiento que le fue conferido, y del documento en el que conste que rindió la protesta de ley.”</w:t>
      </w:r>
    </w:p>
  </w:footnote>
  <w:footnote w:id="2">
    <w:p w:rsidR="0084746A" w:rsidRDefault="00A1028F">
      <w:pPr>
        <w:pStyle w:val="Textonotapie"/>
      </w:pPr>
      <w:r>
        <w:rPr>
          <w:rStyle w:val="Refdenotaalpie"/>
        </w:rPr>
        <w:footnoteRef/>
      </w:r>
      <w:r>
        <w:t xml:space="preserve"> “</w:t>
      </w:r>
      <w:r>
        <w:rPr>
          <w:b/>
        </w:rPr>
        <w:t xml:space="preserve">ARTÍCULO 161.- </w:t>
      </w:r>
      <w:r>
        <w:t>…</w:t>
      </w:r>
    </w:p>
    <w:p w:rsidR="0084746A" w:rsidRDefault="00A1028F">
      <w:pPr>
        <w:pStyle w:val="Textonotapie"/>
      </w:pPr>
      <w:r>
        <w:t xml:space="preserve">   …</w:t>
      </w:r>
    </w:p>
    <w:p w:rsidR="0084746A" w:rsidRDefault="00A1028F">
      <w:pPr>
        <w:pStyle w:val="Textonotapie"/>
      </w:pPr>
      <w:r>
        <w:t xml:space="preserve">   Las causales de improcedencia deben ser examinadas de oficio.”</w:t>
      </w:r>
    </w:p>
  </w:footnote>
  <w:footnote w:id="3">
    <w:p w:rsidR="0084746A" w:rsidRDefault="00A1028F">
      <w:pPr>
        <w:pStyle w:val="Textonotapie"/>
      </w:pPr>
      <w:r>
        <w:rPr>
          <w:rStyle w:val="Refdenotaalpie"/>
        </w:rPr>
        <w:footnoteRef/>
      </w:r>
      <w:r>
        <w:rPr>
          <w:rFonts w:ascii="Arial" w:hAnsi="Arial" w:cs="Arial"/>
          <w:sz w:val="16"/>
          <w:szCs w:val="16"/>
        </w:rPr>
        <w:t xml:space="preserve"> </w:t>
      </w:r>
      <w:r>
        <w:rPr>
          <w:rFonts w:ascii="Arial" w:hAnsi="Arial" w:cs="Arial"/>
          <w:b/>
          <w:bCs/>
          <w:sz w:val="16"/>
          <w:szCs w:val="16"/>
        </w:rPr>
        <w:t xml:space="preserve">ARTICULO </w:t>
      </w:r>
      <w:r>
        <w:rPr>
          <w:rFonts w:ascii="Arial" w:hAnsi="Arial" w:cs="Arial"/>
          <w:b/>
          <w:bCs/>
          <w:sz w:val="16"/>
          <w:szCs w:val="16"/>
        </w:rPr>
        <w:t xml:space="preserve">7.- </w:t>
      </w:r>
      <w:r>
        <w:rPr>
          <w:rFonts w:ascii="Arial" w:hAnsi="Arial" w:cs="Arial"/>
          <w:sz w:val="16"/>
          <w:szCs w:val="16"/>
        </w:rPr>
        <w:t>Son elementos y requisitos de validez del acto administrativo:</w:t>
      </w:r>
    </w:p>
    <w:p w:rsidR="0084746A" w:rsidRDefault="00A1028F">
      <w:pPr>
        <w:pStyle w:val="Textonotapie"/>
        <w:rPr>
          <w:rFonts w:ascii="Arial" w:hAnsi="Arial" w:cs="Arial"/>
          <w:sz w:val="16"/>
          <w:szCs w:val="16"/>
        </w:rPr>
      </w:pPr>
      <w:r>
        <w:rPr>
          <w:rFonts w:ascii="Arial" w:hAnsi="Arial" w:cs="Arial"/>
          <w:sz w:val="16"/>
          <w:szCs w:val="16"/>
        </w:rPr>
        <w:t>….</w:t>
      </w:r>
    </w:p>
    <w:p w:rsidR="0084746A" w:rsidRDefault="00A1028F">
      <w:pPr>
        <w:pStyle w:val="Textonotapie"/>
        <w:rPr>
          <w:rFonts w:ascii="Arial" w:hAnsi="Arial" w:cs="Arial"/>
          <w:sz w:val="16"/>
          <w:szCs w:val="16"/>
        </w:rPr>
      </w:pPr>
      <w:r>
        <w:rPr>
          <w:rFonts w:ascii="Arial" w:hAnsi="Arial" w:cs="Arial"/>
          <w:sz w:val="16"/>
          <w:szCs w:val="16"/>
        </w:rPr>
        <w:t>V. Estar fundado y motivado;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553D" w:rsidRDefault="00A1028F">
    <w:pPr>
      <w:pStyle w:val="Encabezado"/>
    </w:pPr>
  </w:p>
  <w:p w:rsidR="00FD553D" w:rsidRDefault="00A1028F">
    <w:pPr>
      <w:pStyle w:val="Encabezado"/>
      <w:jc w:val="center"/>
    </w:pPr>
    <w:r>
      <w:rPr>
        <w:rFonts w:ascii="Arial" w:hAnsi="Arial" w:cs="Arial"/>
        <w:b/>
        <w:noProof/>
        <w:sz w:val="26"/>
        <w:szCs w:val="26"/>
        <w:lang w:eastAsia="es-MX"/>
      </w:rPr>
      <mc:AlternateContent>
        <mc:Choice Requires="wps">
          <w:drawing>
            <wp:anchor distT="0" distB="0" distL="114300" distR="114300" simplePos="0" relativeHeight="251659264" behindDoc="0" locked="0" layoutInCell="1" allowOverlap="1">
              <wp:simplePos x="0" y="0"/>
              <wp:positionH relativeFrom="column">
                <wp:posOffset>-1733546</wp:posOffset>
              </wp:positionH>
              <wp:positionV relativeFrom="paragraph">
                <wp:posOffset>5333996</wp:posOffset>
              </wp:positionV>
              <wp:extent cx="1438278" cy="1403988"/>
              <wp:effectExtent l="0" t="0" r="28572" b="24762"/>
              <wp:wrapSquare wrapText="bothSides"/>
              <wp:docPr id="1" name="Cuadro de texto 2"/>
              <wp:cNvGraphicFramePr/>
              <a:graphic xmlns:a="http://schemas.openxmlformats.org/drawingml/2006/main">
                <a:graphicData uri="http://schemas.microsoft.com/office/word/2010/wordprocessingShape">
                  <wps:wsp>
                    <wps:cNvSpPr txBox="1"/>
                    <wps:spPr>
                      <a:xfrm>
                        <a:off x="0" y="0"/>
                        <a:ext cx="1438278" cy="1403988"/>
                      </a:xfrm>
                      <a:prstGeom prst="rect">
                        <a:avLst/>
                      </a:prstGeom>
                      <a:solidFill>
                        <a:srgbClr val="FFFFFF"/>
                      </a:solidFill>
                      <a:ln w="9528">
                        <a:solidFill>
                          <a:srgbClr val="000000"/>
                        </a:solidFill>
                        <a:prstDash val="solid"/>
                      </a:ln>
                    </wps:spPr>
                    <wps:txbx>
                      <w:txbxContent>
                        <w:p w:rsidR="00FD553D" w:rsidRDefault="00A1028F">
                          <w:pPr>
                            <w:rPr>
                              <w:rFonts w:ascii="Arial" w:hAnsi="Arial" w:cs="Arial"/>
                              <w:b/>
                              <w:color w:val="0070C0"/>
                              <w:szCs w:val="18"/>
                            </w:rPr>
                          </w:pPr>
                          <w:r>
                            <w:rPr>
                              <w:rFonts w:ascii="Arial" w:hAnsi="Arial" w:cs="Arial"/>
                              <w:b/>
                              <w:color w:val="0070C0"/>
                              <w:szCs w:val="18"/>
                            </w:rPr>
                            <w:t xml:space="preserve">DATOS </w:t>
                          </w:r>
                        </w:p>
                        <w:p w:rsidR="00FD553D" w:rsidRDefault="00A1028F">
                          <w:pPr>
                            <w:rPr>
                              <w:rFonts w:ascii="Arial" w:hAnsi="Arial" w:cs="Arial"/>
                              <w:b/>
                              <w:color w:val="0070C0"/>
                              <w:szCs w:val="18"/>
                            </w:rPr>
                          </w:pPr>
                          <w:r>
                            <w:rPr>
                              <w:rFonts w:ascii="Arial" w:hAnsi="Arial" w:cs="Arial"/>
                              <w:b/>
                              <w:color w:val="0070C0"/>
                              <w:szCs w:val="18"/>
                            </w:rPr>
                            <w:t>PERSONALES</w:t>
                          </w:r>
                        </w:p>
                        <w:p w:rsidR="00FD553D" w:rsidRDefault="00A1028F">
                          <w:pPr>
                            <w:rPr>
                              <w:rFonts w:ascii="Arial" w:hAnsi="Arial" w:cs="Arial"/>
                              <w:b/>
                              <w:color w:val="0070C0"/>
                              <w:szCs w:val="18"/>
                            </w:rPr>
                          </w:pPr>
                          <w:r>
                            <w:rPr>
                              <w:rFonts w:ascii="Arial" w:hAnsi="Arial" w:cs="Arial"/>
                              <w:b/>
                              <w:color w:val="0070C0"/>
                              <w:szCs w:val="18"/>
                            </w:rPr>
                            <w:t>PROTEGIDOS</w:t>
                          </w:r>
                        </w:p>
                        <w:p w:rsidR="00FD553D" w:rsidRDefault="00A1028F">
                          <w:pPr>
                            <w:rPr>
                              <w:rFonts w:ascii="Arial" w:hAnsi="Arial" w:cs="Arial"/>
                              <w:b/>
                              <w:color w:val="0070C0"/>
                              <w:szCs w:val="18"/>
                            </w:rPr>
                          </w:pPr>
                          <w:r>
                            <w:rPr>
                              <w:rFonts w:ascii="Arial" w:hAnsi="Arial" w:cs="Arial"/>
                              <w:b/>
                              <w:color w:val="0070C0"/>
                              <w:szCs w:val="18"/>
                            </w:rPr>
                            <w:t>POR EL</w:t>
                          </w:r>
                        </w:p>
                        <w:p w:rsidR="00FD553D" w:rsidRDefault="00A1028F">
                          <w:pPr>
                            <w:rPr>
                              <w:rFonts w:ascii="Arial" w:hAnsi="Arial" w:cs="Arial"/>
                              <w:b/>
                              <w:color w:val="0070C0"/>
                              <w:szCs w:val="18"/>
                            </w:rPr>
                          </w:pPr>
                          <w:r>
                            <w:rPr>
                              <w:rFonts w:ascii="Arial" w:hAnsi="Arial" w:cs="Arial"/>
                              <w:b/>
                              <w:color w:val="0070C0"/>
                              <w:szCs w:val="18"/>
                            </w:rPr>
                            <w:t>ARTÍCULO 116</w:t>
                          </w:r>
                        </w:p>
                        <w:p w:rsidR="00FD553D" w:rsidRDefault="00A1028F">
                          <w:pPr>
                            <w:rPr>
                              <w:rFonts w:ascii="Arial" w:hAnsi="Arial" w:cs="Arial"/>
                              <w:b/>
                              <w:color w:val="0070C0"/>
                              <w:szCs w:val="18"/>
                            </w:rPr>
                          </w:pPr>
                          <w:r>
                            <w:rPr>
                              <w:rFonts w:ascii="Arial" w:hAnsi="Arial" w:cs="Arial"/>
                              <w:b/>
                              <w:color w:val="0070C0"/>
                              <w:szCs w:val="18"/>
                            </w:rPr>
                            <w:t>DE LA LGTAIP</w:t>
                          </w:r>
                        </w:p>
                        <w:p w:rsidR="00FD553D" w:rsidRDefault="00A1028F">
                          <w:pPr>
                            <w:rPr>
                              <w:rFonts w:ascii="Arial" w:hAnsi="Arial" w:cs="Arial"/>
                              <w:b/>
                              <w:color w:val="0070C0"/>
                              <w:szCs w:val="18"/>
                            </w:rPr>
                          </w:pPr>
                          <w:r>
                            <w:rPr>
                              <w:rFonts w:ascii="Arial" w:hAnsi="Arial" w:cs="Arial"/>
                              <w:b/>
                              <w:color w:val="0070C0"/>
                              <w:szCs w:val="18"/>
                            </w:rPr>
                            <w:t>Y ARTÍCULO 56</w:t>
                          </w:r>
                        </w:p>
                        <w:p w:rsidR="00FD553D" w:rsidRDefault="00A1028F">
                          <w:pPr>
                            <w:rPr>
                              <w:rFonts w:ascii="Arial" w:hAnsi="Arial" w:cs="Arial"/>
                              <w:b/>
                              <w:color w:val="0070C0"/>
                              <w:szCs w:val="18"/>
                            </w:rPr>
                          </w:pPr>
                          <w:r>
                            <w:rPr>
                              <w:rFonts w:ascii="Arial" w:hAnsi="Arial" w:cs="Arial"/>
                              <w:b/>
                              <w:color w:val="0070C0"/>
                              <w:szCs w:val="18"/>
                            </w:rPr>
                            <w:t>DE LA LTAIPEO</w:t>
                          </w:r>
                        </w:p>
                        <w:p w:rsidR="00FD553D" w:rsidRDefault="00A1028F"/>
                      </w:txbxContent>
                    </wps:txbx>
                    <wps:bodyPr vert="horz" wrap="square" lIns="91440" tIns="45720" rIns="91440" bIns="4572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36.5pt;margin-top:420pt;width:113.25pt;height:110.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" strokeweight=".26467mm">
              <v:textbox style="mso-fit-shape-to-text:t">
                <w:txbxContent>
                  <w:p w:rsidR="00FD553D" w:rsidRDefault="00A1028F">
                    <w:pPr>
                      <w:rPr>
                        <w:rFonts w:ascii="Arial" w:hAnsi="Arial" w:cs="Arial"/>
                        <w:b/>
                        <w:color w:val="0070C0"/>
                        <w:szCs w:val="18"/>
                      </w:rPr>
                    </w:pPr>
                    <w:r>
                      <w:rPr>
                        <w:rFonts w:ascii="Arial" w:hAnsi="Arial" w:cs="Arial"/>
                        <w:b/>
                        <w:color w:val="0070C0"/>
                        <w:szCs w:val="18"/>
                      </w:rPr>
                      <w:t xml:space="preserve">DATOS </w:t>
                    </w:r>
                  </w:p>
                  <w:p w:rsidR="00FD553D" w:rsidRDefault="00A1028F">
                    <w:pPr>
                      <w:rPr>
                        <w:rFonts w:ascii="Arial" w:hAnsi="Arial" w:cs="Arial"/>
                        <w:b/>
                        <w:color w:val="0070C0"/>
                        <w:szCs w:val="18"/>
                      </w:rPr>
                    </w:pPr>
                    <w:r>
                      <w:rPr>
                        <w:rFonts w:ascii="Arial" w:hAnsi="Arial" w:cs="Arial"/>
                        <w:b/>
                        <w:color w:val="0070C0"/>
                        <w:szCs w:val="18"/>
                      </w:rPr>
                      <w:t>PERSONALES</w:t>
                    </w:r>
                  </w:p>
                  <w:p w:rsidR="00FD553D" w:rsidRDefault="00A1028F">
                    <w:pPr>
                      <w:rPr>
                        <w:rFonts w:ascii="Arial" w:hAnsi="Arial" w:cs="Arial"/>
                        <w:b/>
                        <w:color w:val="0070C0"/>
                        <w:szCs w:val="18"/>
                      </w:rPr>
                    </w:pPr>
                    <w:r>
                      <w:rPr>
                        <w:rFonts w:ascii="Arial" w:hAnsi="Arial" w:cs="Arial"/>
                        <w:b/>
                        <w:color w:val="0070C0"/>
                        <w:szCs w:val="18"/>
                      </w:rPr>
                      <w:t>PROTEGIDOS</w:t>
                    </w:r>
                  </w:p>
                  <w:p w:rsidR="00FD553D" w:rsidRDefault="00A1028F">
                    <w:pPr>
                      <w:rPr>
                        <w:rFonts w:ascii="Arial" w:hAnsi="Arial" w:cs="Arial"/>
                        <w:b/>
                        <w:color w:val="0070C0"/>
                        <w:szCs w:val="18"/>
                      </w:rPr>
                    </w:pPr>
                    <w:r>
                      <w:rPr>
                        <w:rFonts w:ascii="Arial" w:hAnsi="Arial" w:cs="Arial"/>
                        <w:b/>
                        <w:color w:val="0070C0"/>
                        <w:szCs w:val="18"/>
                      </w:rPr>
                      <w:t>POR EL</w:t>
                    </w:r>
                  </w:p>
                  <w:p w:rsidR="00FD553D" w:rsidRDefault="00A1028F">
                    <w:pPr>
                      <w:rPr>
                        <w:rFonts w:ascii="Arial" w:hAnsi="Arial" w:cs="Arial"/>
                        <w:b/>
                        <w:color w:val="0070C0"/>
                        <w:szCs w:val="18"/>
                      </w:rPr>
                    </w:pPr>
                    <w:r>
                      <w:rPr>
                        <w:rFonts w:ascii="Arial" w:hAnsi="Arial" w:cs="Arial"/>
                        <w:b/>
                        <w:color w:val="0070C0"/>
                        <w:szCs w:val="18"/>
                      </w:rPr>
                      <w:t>ARTÍCULO 116</w:t>
                    </w:r>
                  </w:p>
                  <w:p w:rsidR="00FD553D" w:rsidRDefault="00A1028F">
                    <w:pPr>
                      <w:rPr>
                        <w:rFonts w:ascii="Arial" w:hAnsi="Arial" w:cs="Arial"/>
                        <w:b/>
                        <w:color w:val="0070C0"/>
                        <w:szCs w:val="18"/>
                      </w:rPr>
                    </w:pPr>
                    <w:r>
                      <w:rPr>
                        <w:rFonts w:ascii="Arial" w:hAnsi="Arial" w:cs="Arial"/>
                        <w:b/>
                        <w:color w:val="0070C0"/>
                        <w:szCs w:val="18"/>
                      </w:rPr>
                      <w:t>DE LA LGTAIP</w:t>
                    </w:r>
                  </w:p>
                  <w:p w:rsidR="00FD553D" w:rsidRDefault="00A1028F">
                    <w:pPr>
                      <w:rPr>
                        <w:rFonts w:ascii="Arial" w:hAnsi="Arial" w:cs="Arial"/>
                        <w:b/>
                        <w:color w:val="0070C0"/>
                        <w:szCs w:val="18"/>
                      </w:rPr>
                    </w:pPr>
                    <w:r>
                      <w:rPr>
                        <w:rFonts w:ascii="Arial" w:hAnsi="Arial" w:cs="Arial"/>
                        <w:b/>
                        <w:color w:val="0070C0"/>
                        <w:szCs w:val="18"/>
                      </w:rPr>
                      <w:t>Y ARTÍCULO 56</w:t>
                    </w:r>
                  </w:p>
                  <w:p w:rsidR="00FD553D" w:rsidRDefault="00A1028F">
                    <w:pPr>
                      <w:rPr>
                        <w:rFonts w:ascii="Arial" w:hAnsi="Arial" w:cs="Arial"/>
                        <w:b/>
                        <w:color w:val="0070C0"/>
                        <w:szCs w:val="18"/>
                      </w:rPr>
                    </w:pPr>
                    <w:r>
                      <w:rPr>
                        <w:rFonts w:ascii="Arial" w:hAnsi="Arial" w:cs="Arial"/>
                        <w:b/>
                        <w:color w:val="0070C0"/>
                        <w:szCs w:val="18"/>
                      </w:rPr>
                      <w:t>DE LA LTAIPEO</w:t>
                    </w:r>
                  </w:p>
                  <w:p w:rsidR="00FD553D" w:rsidRDefault="00A1028F"/>
                </w:txbxContent>
              </v:textbox>
              <w10:wrap type="squar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
  <w:rsids>
    <w:rsidRoot w:val="0084746A"/>
    <w:rsid w:val="0084746A"/>
    <w:rsid w:val="00A102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B69422-6FCF-4EB2-A5CF-4291AE657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s-MX" w:eastAsia="en-US" w:bidi="ar-SA"/>
      </w:rPr>
    </w:rPrDefault>
    <w:pPrDefault>
      <w:pPr>
        <w:autoSpaceDN w:val="0"/>
        <w:spacing w:after="160" w:line="244"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pPr>
      <w:tabs>
        <w:tab w:val="center" w:pos="4419"/>
        <w:tab w:val="right" w:pos="8838"/>
      </w:tabs>
      <w:spacing w:after="0" w:line="240" w:lineRule="auto"/>
    </w:pPr>
  </w:style>
  <w:style w:type="character" w:customStyle="1" w:styleId="EncabezadoCar">
    <w:name w:val="Encabezado Car"/>
    <w:basedOn w:val="Fuentedeprrafopredeter"/>
  </w:style>
  <w:style w:type="paragraph" w:styleId="Textonotapie">
    <w:name w:val="footnote text"/>
    <w:basedOn w:val="Normal"/>
    <w:pPr>
      <w:spacing w:after="0" w:line="240" w:lineRule="auto"/>
    </w:pPr>
    <w:rPr>
      <w:sz w:val="20"/>
      <w:szCs w:val="20"/>
    </w:rPr>
  </w:style>
  <w:style w:type="character" w:customStyle="1" w:styleId="TextonotapieCar">
    <w:name w:val="Texto nota pie Car"/>
    <w:basedOn w:val="Fuentedeprrafopredeter"/>
    <w:rPr>
      <w:sz w:val="20"/>
      <w:szCs w:val="20"/>
    </w:rPr>
  </w:style>
  <w:style w:type="character" w:styleId="Refdenotaalpie">
    <w:name w:val="footnote reference"/>
    <w:basedOn w:val="Fuentedeprrafopredeter"/>
    <w:rPr>
      <w:position w:val="0"/>
      <w:vertAlign w:val="superscript"/>
    </w:rPr>
  </w:style>
  <w:style w:type="paragraph" w:styleId="Prrafodelista">
    <w:name w:val="List Paragraph"/>
    <w:basedOn w:val="Normal"/>
    <w:pPr>
      <w:ind w:left="720"/>
    </w:pPr>
  </w:style>
  <w:style w:type="paragraph" w:styleId="Textodeglobo">
    <w:name w:val="Balloon Text"/>
    <w:basedOn w:val="Normal"/>
    <w:pPr>
      <w:spacing w:after="0" w:line="240" w:lineRule="auto"/>
    </w:pPr>
    <w:rPr>
      <w:rFonts w:ascii="Segoe UI" w:hAnsi="Segoe UI" w:cs="Segoe UI"/>
      <w:sz w:val="18"/>
      <w:szCs w:val="18"/>
    </w:rPr>
  </w:style>
  <w:style w:type="character" w:customStyle="1" w:styleId="TextodegloboCar">
    <w:name w:val="Texto de globo Car"/>
    <w:basedOn w:val="Fuentedeprrafopredeter"/>
    <w:rPr>
      <w:rFonts w:ascii="Segoe UI" w:hAnsi="Segoe UI" w:cs="Segoe UI"/>
      <w:sz w:val="18"/>
      <w:szCs w:val="18"/>
    </w:rPr>
  </w:style>
  <w:style w:type="character" w:styleId="Hipervnculo">
    <w:name w:val="Hyperlink"/>
    <w:basedOn w:val="Fuentedeprrafopredeter"/>
    <w:rPr>
      <w:color w:val="0563C1"/>
      <w:u w:val="single"/>
    </w:rPr>
  </w:style>
  <w:style w:type="paragraph" w:styleId="Piedepgina">
    <w:name w:val="footer"/>
    <w:basedOn w:val="Normal"/>
    <w:pPr>
      <w:tabs>
        <w:tab w:val="center" w:pos="4419"/>
        <w:tab w:val="right" w:pos="8838"/>
      </w:tabs>
      <w:spacing w:after="0" w:line="240" w:lineRule="auto"/>
    </w:pPr>
  </w:style>
  <w:style w:type="character" w:customStyle="1" w:styleId="PiedepginaCar">
    <w:name w:val="Pie de página Car"/>
    <w:basedOn w:val="Fuentedeprrafopredeter"/>
  </w:style>
  <w:style w:type="character" w:customStyle="1" w:styleId="lbl-encabezado-negro">
    <w:name w:val="lbl-encabezado-negro"/>
    <w:basedOn w:val="Fuentedeprrafopredeter"/>
  </w:style>
  <w:style w:type="character" w:styleId="Refdecomentario">
    <w:name w:val="annotation reference"/>
    <w:basedOn w:val="Fuentedeprrafopredeter"/>
    <w:rPr>
      <w:sz w:val="16"/>
      <w:szCs w:val="16"/>
    </w:rPr>
  </w:style>
  <w:style w:type="paragraph" w:styleId="Textocomentario">
    <w:name w:val="annotation text"/>
    <w:basedOn w:val="Normal"/>
    <w:pPr>
      <w:spacing w:line="240" w:lineRule="auto"/>
    </w:pPr>
    <w:rPr>
      <w:sz w:val="20"/>
      <w:szCs w:val="20"/>
    </w:rPr>
  </w:style>
  <w:style w:type="character" w:customStyle="1" w:styleId="TextocomentarioCar">
    <w:name w:val="Texto comentario Car"/>
    <w:basedOn w:val="Fuentedeprrafopredeter"/>
    <w:rPr>
      <w:sz w:val="20"/>
      <w:szCs w:val="20"/>
    </w:rPr>
  </w:style>
  <w:style w:type="paragraph" w:styleId="Asuntodelcomentario">
    <w:name w:val="annotation subject"/>
    <w:basedOn w:val="Textocomentario"/>
    <w:next w:val="Textocomentario"/>
    <w:rPr>
      <w:b/>
      <w:bCs/>
    </w:rPr>
  </w:style>
  <w:style w:type="character" w:customStyle="1" w:styleId="AsuntodelcomentarioCar">
    <w:name w:val="Asunto del comentario Car"/>
    <w:basedOn w:val="TextocomentarioCar"/>
    <w:rPr>
      <w:b/>
      <w:bCs/>
      <w:sz w:val="20"/>
      <w:szCs w:val="20"/>
    </w:rPr>
  </w:style>
  <w:style w:type="paragraph" w:styleId="Sinespaciado">
    <w:name w:val="No Spacing"/>
    <w:pPr>
      <w:suppressAutoHyphens/>
      <w:spacing w:after="0" w:line="240" w:lineRule="auto"/>
    </w:pPr>
  </w:style>
  <w:style w:type="paragraph" w:styleId="Textoindependiente">
    <w:name w:val="Body Text"/>
    <w:basedOn w:val="Normal"/>
    <w:pPr>
      <w:widowControl w:val="0"/>
      <w:autoSpaceDE w:val="0"/>
      <w:spacing w:after="0" w:line="240" w:lineRule="auto"/>
    </w:pPr>
    <w:rPr>
      <w:rFonts w:ascii="Arial" w:eastAsia="Arial" w:hAnsi="Arial" w:cs="Arial"/>
      <w:sz w:val="24"/>
      <w:szCs w:val="24"/>
      <w:lang w:val="es-ES" w:eastAsia="es-ES" w:bidi="es-ES"/>
    </w:rPr>
  </w:style>
  <w:style w:type="character" w:customStyle="1" w:styleId="TextoindependienteCar">
    <w:name w:val="Texto independiente Car"/>
    <w:basedOn w:val="Fuentedeprrafopredeter"/>
    <w:rPr>
      <w:rFonts w:ascii="Arial" w:eastAsia="Arial" w:hAnsi="Arial" w:cs="Arial"/>
      <w:sz w:val="24"/>
      <w:szCs w:val="24"/>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3889</Words>
  <Characters>21395</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25234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Lic. Cristina</cp:lastModifiedBy>
  <cp:revision>2</cp:revision>
  <cp:lastPrinted>2019-12-03T15:19:00Z</cp:lastPrinted>
  <dcterms:created xsi:type="dcterms:W3CDTF">2020-08-06T15:46:00Z</dcterms:created>
  <dcterms:modified xsi:type="dcterms:W3CDTF">2020-08-06T15:46:00Z</dcterms:modified>
</cp:coreProperties>
</file>