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A65D42">
      <w:pPr>
        <w:spacing w:line="240" w:lineRule="auto"/>
        <w:ind w:left="3402"/>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6D9DE7FE" w:rsidR="00DB3D8E" w:rsidRPr="006744B2" w:rsidRDefault="0057148C" w:rsidP="00A65D42">
      <w:pPr>
        <w:spacing w:line="240" w:lineRule="auto"/>
        <w:ind w:left="3402"/>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B77AE7">
        <w:rPr>
          <w:rFonts w:ascii="Arial" w:hAnsi="Arial" w:cs="Arial"/>
          <w:b/>
          <w:sz w:val="26"/>
          <w:szCs w:val="26"/>
        </w:rPr>
        <w:t>73</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13DAAF05" w:rsidR="00DB3D8E" w:rsidRPr="006744B2" w:rsidRDefault="0057148C" w:rsidP="00A65D42">
      <w:pPr>
        <w:spacing w:line="240" w:lineRule="auto"/>
        <w:ind w:left="3402"/>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392798">
        <w:rPr>
          <w:rFonts w:ascii="Arial" w:hAnsi="Arial" w:cs="Arial"/>
          <w:b/>
          <w:sz w:val="26"/>
          <w:szCs w:val="26"/>
        </w:rPr>
        <w:t>006</w:t>
      </w:r>
      <w:r w:rsidR="007C586B" w:rsidRPr="006744B2">
        <w:rPr>
          <w:rFonts w:ascii="Arial" w:hAnsi="Arial" w:cs="Arial"/>
          <w:b/>
          <w:sz w:val="26"/>
          <w:szCs w:val="26"/>
        </w:rPr>
        <w:t>/20</w:t>
      </w:r>
      <w:r w:rsidR="00D71C37" w:rsidRPr="006744B2">
        <w:rPr>
          <w:rFonts w:ascii="Arial" w:hAnsi="Arial" w:cs="Arial"/>
          <w:b/>
          <w:sz w:val="26"/>
          <w:szCs w:val="26"/>
        </w:rPr>
        <w:t>2</w:t>
      </w:r>
      <w:r w:rsidR="00392798">
        <w:rPr>
          <w:rFonts w:ascii="Arial" w:hAnsi="Arial" w:cs="Arial"/>
          <w:b/>
          <w:sz w:val="26"/>
          <w:szCs w:val="26"/>
        </w:rPr>
        <w:t>2</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392798">
        <w:rPr>
          <w:rFonts w:ascii="Arial" w:hAnsi="Arial" w:cs="Arial"/>
          <w:b/>
          <w:sz w:val="26"/>
          <w:szCs w:val="26"/>
        </w:rPr>
        <w:t>PRIMERA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A65D42">
      <w:pPr>
        <w:spacing w:line="240" w:lineRule="auto"/>
        <w:ind w:left="3402"/>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2E727C18"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A65D42">
        <w:rPr>
          <w:rFonts w:ascii="Arial" w:hAnsi="Arial" w:cs="Arial"/>
          <w:b/>
          <w:sz w:val="26"/>
          <w:szCs w:val="26"/>
        </w:rPr>
        <w:t>UNO</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A65D42">
        <w:rPr>
          <w:rFonts w:ascii="Arial" w:hAnsi="Arial" w:cs="Arial"/>
          <w:b/>
          <w:sz w:val="26"/>
          <w:szCs w:val="26"/>
        </w:rPr>
        <w:t xml:space="preserve">SEPTIEMBRE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 - - - </w:t>
      </w:r>
    </w:p>
    <w:p w14:paraId="0C4334D4" w14:textId="44EF45B0"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w:t>
      </w:r>
      <w:r w:rsidR="00A27E25">
        <w:rPr>
          <w:rFonts w:ascii="Arial" w:hAnsi="Arial" w:cs="Arial"/>
          <w:b/>
          <w:sz w:val="26"/>
          <w:szCs w:val="26"/>
        </w:rPr>
        <w:t>73</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58741B">
        <w:rPr>
          <w:rFonts w:ascii="Arial" w:hAnsi="Arial" w:cs="Arial"/>
          <w:sz w:val="26"/>
          <w:szCs w:val="26"/>
        </w:rPr>
        <w:t xml:space="preserve"> </w:t>
      </w:r>
      <w:r w:rsidR="00B0555B">
        <w:rPr>
          <w:rFonts w:ascii="Arial" w:hAnsi="Arial" w:cs="Arial"/>
          <w:b/>
          <w:sz w:val="26"/>
          <w:szCs w:val="26"/>
        </w:rPr>
        <w:t>*******</w:t>
      </w:r>
      <w:r w:rsidR="00A27E25">
        <w:rPr>
          <w:rFonts w:ascii="Arial" w:hAnsi="Arial" w:cs="Arial"/>
          <w:b/>
          <w:sz w:val="26"/>
          <w:szCs w:val="26"/>
        </w:rPr>
        <w:t xml:space="preserve">, </w:t>
      </w:r>
      <w:r w:rsidR="00A27E25" w:rsidRPr="00DB2BAB">
        <w:rPr>
          <w:rFonts w:ascii="Arial" w:hAnsi="Arial" w:cs="Arial"/>
          <w:sz w:val="26"/>
          <w:szCs w:val="26"/>
        </w:rPr>
        <w:t xml:space="preserve">Apoderado Legal de la persona moral denominada </w:t>
      </w:r>
      <w:r w:rsidR="00A65D42" w:rsidRPr="00A65D42">
        <w:rPr>
          <w:rFonts w:ascii="Arial" w:hAnsi="Arial" w:cs="Arial"/>
          <w:b/>
          <w:bCs/>
          <w:sz w:val="26"/>
          <w:szCs w:val="26"/>
        </w:rPr>
        <w:t>“</w:t>
      </w:r>
      <w:r w:rsidR="00B0555B">
        <w:rPr>
          <w:rFonts w:ascii="Arial" w:hAnsi="Arial" w:cs="Arial"/>
          <w:b/>
          <w:bCs/>
          <w:sz w:val="26"/>
          <w:szCs w:val="26"/>
        </w:rPr>
        <w:t>*******</w:t>
      </w:r>
      <w:r w:rsidR="007D1987" w:rsidRPr="00DB2BAB">
        <w:rPr>
          <w:rFonts w:ascii="Arial" w:hAnsi="Arial" w:cs="Arial"/>
          <w:sz w:val="26"/>
          <w:szCs w:val="26"/>
        </w:rPr>
        <w:t>,</w:t>
      </w:r>
      <w:r w:rsidR="005917D2"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DB2BAB">
        <w:rPr>
          <w:rFonts w:ascii="Arial" w:hAnsi="Arial" w:cs="Arial"/>
          <w:sz w:val="26"/>
          <w:szCs w:val="26"/>
        </w:rPr>
        <w:t>l acuerdo d</w:t>
      </w:r>
      <w:r w:rsidR="0057148C" w:rsidRPr="006744B2">
        <w:rPr>
          <w:rFonts w:ascii="Arial" w:hAnsi="Arial" w:cs="Arial"/>
          <w:sz w:val="26"/>
          <w:szCs w:val="26"/>
        </w:rPr>
        <w:t>e</w:t>
      </w:r>
      <w:r w:rsidR="00CF7A56" w:rsidRPr="006744B2">
        <w:rPr>
          <w:rFonts w:ascii="Arial" w:hAnsi="Arial" w:cs="Arial"/>
          <w:sz w:val="26"/>
          <w:szCs w:val="26"/>
        </w:rPr>
        <w:t xml:space="preserve"> </w:t>
      </w:r>
      <w:r w:rsidR="00DB2BAB">
        <w:rPr>
          <w:rFonts w:ascii="Arial" w:hAnsi="Arial" w:cs="Arial"/>
          <w:sz w:val="26"/>
          <w:szCs w:val="26"/>
        </w:rPr>
        <w:t>tres</w:t>
      </w:r>
      <w:r w:rsidR="00E763A6">
        <w:rPr>
          <w:rFonts w:ascii="Arial" w:hAnsi="Arial" w:cs="Arial"/>
          <w:sz w:val="26"/>
          <w:szCs w:val="26"/>
        </w:rPr>
        <w:t xml:space="preserve"> de marzo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dictad</w:t>
      </w:r>
      <w:r w:rsidR="00DB2BAB">
        <w:rPr>
          <w:rFonts w:ascii="Arial" w:hAnsi="Arial" w:cs="Arial"/>
          <w:sz w:val="26"/>
          <w:szCs w:val="26"/>
        </w:rPr>
        <w:t>o</w:t>
      </w:r>
      <w:r w:rsidR="00E36FAC" w:rsidRPr="006744B2">
        <w:rPr>
          <w:rFonts w:ascii="Arial" w:hAnsi="Arial" w:cs="Arial"/>
          <w:sz w:val="26"/>
          <w:szCs w:val="26"/>
        </w:rPr>
        <w:t xml:space="preserve"> por la </w:t>
      </w:r>
      <w:r w:rsidR="00DB2BAB">
        <w:rPr>
          <w:rFonts w:ascii="Arial" w:hAnsi="Arial" w:cs="Arial"/>
          <w:sz w:val="26"/>
          <w:szCs w:val="26"/>
        </w:rPr>
        <w:t>Primera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DB2BAB">
        <w:rPr>
          <w:rFonts w:ascii="Arial" w:hAnsi="Arial" w:cs="Arial"/>
          <w:sz w:val="26"/>
          <w:szCs w:val="26"/>
        </w:rPr>
        <w:t>006</w:t>
      </w:r>
      <w:r w:rsidR="0027134A" w:rsidRPr="006744B2">
        <w:rPr>
          <w:rFonts w:ascii="Arial" w:hAnsi="Arial" w:cs="Arial"/>
          <w:sz w:val="26"/>
          <w:szCs w:val="26"/>
        </w:rPr>
        <w:t>/20</w:t>
      </w:r>
      <w:r w:rsidR="00CF7A56" w:rsidRPr="006744B2">
        <w:rPr>
          <w:rFonts w:ascii="Arial" w:hAnsi="Arial" w:cs="Arial"/>
          <w:sz w:val="26"/>
          <w:szCs w:val="26"/>
        </w:rPr>
        <w:t>2</w:t>
      </w:r>
      <w:r w:rsidR="00DB2BAB">
        <w:rPr>
          <w:rFonts w:ascii="Arial" w:hAnsi="Arial" w:cs="Arial"/>
          <w:sz w:val="26"/>
          <w:szCs w:val="26"/>
        </w:rPr>
        <w:t>2</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DB2BAB">
        <w:rPr>
          <w:rFonts w:ascii="Arial" w:hAnsi="Arial" w:cs="Arial"/>
          <w:sz w:val="26"/>
          <w:szCs w:val="26"/>
        </w:rPr>
        <w:t xml:space="preserve">el </w:t>
      </w:r>
      <w:r w:rsidR="0016280B" w:rsidRPr="00D87AB4">
        <w:rPr>
          <w:rFonts w:ascii="Arial" w:hAnsi="Arial" w:cs="Arial"/>
          <w:b/>
          <w:sz w:val="26"/>
          <w:szCs w:val="26"/>
        </w:rPr>
        <w:t>aquí recurrente</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 xml:space="preserve">los artículos 236 y 238 de la Ley de Procedimiento y Justicia Administrativa para el Estado de Oaxaca y </w:t>
      </w:r>
      <w:r w:rsidR="00A65D42">
        <w:rPr>
          <w:rFonts w:ascii="Arial" w:eastAsiaTheme="minorHAnsi" w:hAnsi="Arial" w:cs="Arial"/>
          <w:sz w:val="26"/>
          <w:szCs w:val="26"/>
          <w:lang w:eastAsia="en-US"/>
        </w:rPr>
        <w:t xml:space="preserve">24 fracción I y III de la </w:t>
      </w:r>
      <w:r w:rsidR="00A65D42" w:rsidRPr="00EB490F">
        <w:rPr>
          <w:rFonts w:ascii="Arial" w:eastAsiaTheme="minorHAnsi" w:hAnsi="Arial" w:cs="Arial"/>
          <w:sz w:val="26"/>
          <w:szCs w:val="26"/>
          <w:lang w:eastAsia="en-US"/>
        </w:rPr>
        <w:t>Ley Orgánica del Tribunal de Justicia Administrativa del Estado de Oaxaca</w:t>
      </w:r>
      <w:r w:rsidR="00A65D42" w:rsidRPr="00263566">
        <w:rPr>
          <w:rFonts w:ascii="Arial" w:eastAsiaTheme="minorHAnsi" w:hAnsi="Arial" w:cs="Arial"/>
          <w:sz w:val="26"/>
          <w:szCs w:val="26"/>
          <w:lang w:eastAsia="en-US"/>
        </w:rPr>
        <w:t xml:space="preserve">, </w:t>
      </w:r>
      <w:r w:rsidR="00A65D42">
        <w:rPr>
          <w:rFonts w:ascii="Arial" w:eastAsiaTheme="minorHAnsi" w:hAnsi="Arial" w:cs="Arial"/>
          <w:sz w:val="26"/>
          <w:szCs w:val="26"/>
          <w:lang w:eastAsia="en-US"/>
        </w:rPr>
        <w:t xml:space="preserve">se da tramite. Por consiguiente se procede a dictar </w:t>
      </w:r>
      <w:r w:rsidR="00A65D42" w:rsidRPr="00263566">
        <w:rPr>
          <w:rFonts w:ascii="Arial" w:eastAsiaTheme="minorHAnsi" w:hAnsi="Arial" w:cs="Arial"/>
          <w:sz w:val="26"/>
          <w:szCs w:val="26"/>
          <w:lang w:eastAsia="en-US"/>
        </w:rPr>
        <w:t xml:space="preserve">resolución en los siguientes términos:- - </w:t>
      </w:r>
      <w:r w:rsidR="00A65D42">
        <w:rPr>
          <w:rFonts w:ascii="Arial" w:eastAsiaTheme="minorHAnsi" w:hAnsi="Arial" w:cs="Arial"/>
          <w:sz w:val="26"/>
          <w:szCs w:val="26"/>
          <w:lang w:eastAsia="en-US"/>
        </w:rPr>
        <w:t xml:space="preserve">-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2A514229"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1959EC">
        <w:rPr>
          <w:rFonts w:ascii="Arial" w:hAnsi="Arial" w:cs="Arial"/>
          <w:sz w:val="26"/>
          <w:szCs w:val="26"/>
        </w:rPr>
        <w:t>el acuerdo</w:t>
      </w:r>
      <w:r w:rsidR="0004229E" w:rsidRPr="006744B2">
        <w:rPr>
          <w:rFonts w:ascii="Arial" w:hAnsi="Arial" w:cs="Arial"/>
          <w:sz w:val="26"/>
          <w:szCs w:val="26"/>
        </w:rPr>
        <w:t xml:space="preserve"> </w:t>
      </w:r>
      <w:r w:rsidR="009D51B0" w:rsidRPr="006744B2">
        <w:rPr>
          <w:rFonts w:ascii="Arial" w:hAnsi="Arial" w:cs="Arial"/>
          <w:sz w:val="26"/>
          <w:szCs w:val="26"/>
        </w:rPr>
        <w:t xml:space="preserve">de </w:t>
      </w:r>
      <w:r w:rsidR="001959EC">
        <w:rPr>
          <w:rFonts w:ascii="Arial" w:hAnsi="Arial" w:cs="Arial"/>
          <w:sz w:val="26"/>
          <w:szCs w:val="26"/>
        </w:rPr>
        <w:t>tres</w:t>
      </w:r>
      <w:r w:rsidR="008F18F3">
        <w:rPr>
          <w:rFonts w:ascii="Arial" w:hAnsi="Arial" w:cs="Arial"/>
          <w:sz w:val="26"/>
          <w:szCs w:val="26"/>
        </w:rPr>
        <w:t xml:space="preserve"> de marzo</w:t>
      </w:r>
      <w:r w:rsidR="009D51B0" w:rsidRPr="006744B2">
        <w:rPr>
          <w:rFonts w:ascii="Arial" w:hAnsi="Arial" w:cs="Arial"/>
          <w:sz w:val="26"/>
          <w:szCs w:val="26"/>
        </w:rPr>
        <w:t xml:space="preserve"> de</w:t>
      </w:r>
      <w:r w:rsidR="008F18F3">
        <w:rPr>
          <w:rFonts w:ascii="Arial" w:hAnsi="Arial" w:cs="Arial"/>
          <w:sz w:val="26"/>
          <w:szCs w:val="26"/>
        </w:rPr>
        <w:t>l</w:t>
      </w:r>
      <w:r w:rsidR="009D51B0" w:rsidRPr="006744B2">
        <w:rPr>
          <w:rFonts w:ascii="Arial" w:hAnsi="Arial" w:cs="Arial"/>
          <w:sz w:val="26"/>
          <w:szCs w:val="26"/>
        </w:rPr>
        <w:t xml:space="preserve"> dos mil </w:t>
      </w:r>
      <w:r w:rsidR="008F18F3" w:rsidRPr="006744B2">
        <w:rPr>
          <w:rFonts w:ascii="Arial" w:hAnsi="Arial" w:cs="Arial"/>
          <w:sz w:val="26"/>
          <w:szCs w:val="26"/>
        </w:rPr>
        <w:t>veinti</w:t>
      </w:r>
      <w:r w:rsidR="008F18F3">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w:t>
      </w:r>
      <w:r w:rsidR="001959EC">
        <w:rPr>
          <w:rFonts w:ascii="Arial" w:hAnsi="Arial" w:cs="Arial"/>
          <w:sz w:val="26"/>
          <w:szCs w:val="26"/>
        </w:rPr>
        <w:t>o</w:t>
      </w:r>
      <w:r w:rsidR="00A455E9" w:rsidRPr="006744B2">
        <w:rPr>
          <w:rFonts w:ascii="Arial" w:hAnsi="Arial" w:cs="Arial"/>
          <w:sz w:val="26"/>
          <w:szCs w:val="26"/>
        </w:rPr>
        <w:t xml:space="preserve"> por la</w:t>
      </w:r>
      <w:r w:rsidR="00D37A2E" w:rsidRPr="006744B2">
        <w:rPr>
          <w:rFonts w:ascii="Arial" w:hAnsi="Arial" w:cs="Arial"/>
          <w:sz w:val="26"/>
          <w:szCs w:val="26"/>
        </w:rPr>
        <w:t xml:space="preserve"> </w:t>
      </w:r>
      <w:r w:rsidR="001959EC">
        <w:rPr>
          <w:rFonts w:ascii="Arial" w:hAnsi="Arial" w:cs="Arial"/>
          <w:sz w:val="26"/>
          <w:szCs w:val="26"/>
        </w:rPr>
        <w:t>Primera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 xml:space="preserve">cia en el juicio de nulidad </w:t>
      </w:r>
      <w:r w:rsidR="00C74D67">
        <w:rPr>
          <w:rFonts w:ascii="Arial" w:hAnsi="Arial" w:cs="Arial"/>
          <w:sz w:val="26"/>
          <w:szCs w:val="26"/>
        </w:rPr>
        <w:t>0</w:t>
      </w:r>
      <w:r w:rsidR="001959EC">
        <w:rPr>
          <w:rFonts w:ascii="Arial" w:hAnsi="Arial" w:cs="Arial"/>
          <w:sz w:val="26"/>
          <w:szCs w:val="26"/>
        </w:rPr>
        <w:t>006</w:t>
      </w:r>
      <w:r w:rsidR="009D51B0" w:rsidRPr="006744B2">
        <w:rPr>
          <w:rFonts w:ascii="Arial" w:hAnsi="Arial" w:cs="Arial"/>
          <w:sz w:val="26"/>
          <w:szCs w:val="26"/>
        </w:rPr>
        <w:t>/20</w:t>
      </w:r>
      <w:r w:rsidR="008663E0" w:rsidRPr="006744B2">
        <w:rPr>
          <w:rFonts w:ascii="Arial" w:hAnsi="Arial" w:cs="Arial"/>
          <w:sz w:val="26"/>
          <w:szCs w:val="26"/>
        </w:rPr>
        <w:t>2</w:t>
      </w:r>
      <w:r w:rsidR="001959EC">
        <w:rPr>
          <w:rFonts w:ascii="Arial" w:hAnsi="Arial" w:cs="Arial"/>
          <w:sz w:val="26"/>
          <w:szCs w:val="26"/>
        </w:rPr>
        <w:t>2</w:t>
      </w:r>
      <w:r w:rsidR="00ED2114" w:rsidRPr="006744B2">
        <w:rPr>
          <w:rFonts w:ascii="Arial" w:hAnsi="Arial" w:cs="Arial"/>
          <w:sz w:val="26"/>
          <w:szCs w:val="26"/>
        </w:rPr>
        <w:t xml:space="preserve">, </w:t>
      </w:r>
      <w:r w:rsidR="00B0555B">
        <w:rPr>
          <w:rFonts w:ascii="Arial" w:hAnsi="Arial" w:cs="Arial"/>
          <w:b/>
          <w:sz w:val="26"/>
          <w:szCs w:val="26"/>
        </w:rPr>
        <w:t>*******</w:t>
      </w:r>
      <w:r w:rsidR="001959EC">
        <w:rPr>
          <w:rFonts w:ascii="Arial" w:hAnsi="Arial" w:cs="Arial"/>
          <w:b/>
          <w:sz w:val="26"/>
          <w:szCs w:val="26"/>
        </w:rPr>
        <w:t xml:space="preserve">, </w:t>
      </w:r>
      <w:r w:rsidR="001959EC" w:rsidRPr="00DB2BAB">
        <w:rPr>
          <w:rFonts w:ascii="Arial" w:hAnsi="Arial" w:cs="Arial"/>
          <w:sz w:val="26"/>
          <w:szCs w:val="26"/>
        </w:rPr>
        <w:t xml:space="preserve">Apoderado Legal de la persona moral denominada </w:t>
      </w:r>
      <w:r w:rsidR="00A65D42" w:rsidRPr="00A65D42">
        <w:rPr>
          <w:rFonts w:ascii="Arial" w:hAnsi="Arial" w:cs="Arial"/>
          <w:b/>
          <w:bCs/>
          <w:sz w:val="26"/>
          <w:szCs w:val="26"/>
        </w:rPr>
        <w:t>“</w:t>
      </w:r>
      <w:r w:rsidR="00B0555B">
        <w:rPr>
          <w:rFonts w:ascii="Arial" w:hAnsi="Arial" w:cs="Arial"/>
          <w:b/>
          <w:bCs/>
          <w:sz w:val="26"/>
          <w:szCs w:val="26"/>
        </w:rPr>
        <w:t>*******</w:t>
      </w:r>
      <w:r w:rsidR="006041F5" w:rsidRPr="006041F5">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w:t>
      </w:r>
    </w:p>
    <w:p w14:paraId="09CA6A3B" w14:textId="2A7968DF" w:rsidR="00DB3D8E"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1959EC">
        <w:rPr>
          <w:rFonts w:ascii="Arial" w:hAnsi="Arial" w:cs="Arial"/>
          <w:bCs/>
          <w:sz w:val="26"/>
          <w:szCs w:val="26"/>
        </w:rPr>
        <w:t>El acuerdo recurrido es del tenor literal s</w:t>
      </w:r>
      <w:r w:rsidR="0004229E" w:rsidRPr="006744B2">
        <w:rPr>
          <w:rFonts w:ascii="Arial" w:hAnsi="Arial" w:cs="Arial"/>
          <w:bCs/>
          <w:sz w:val="26"/>
          <w:szCs w:val="26"/>
        </w:rPr>
        <w:t>iguiente</w:t>
      </w:r>
      <w:r w:rsidRPr="006744B2">
        <w:rPr>
          <w:rFonts w:ascii="Arial" w:hAnsi="Arial" w:cs="Arial"/>
          <w:bCs/>
          <w:sz w:val="26"/>
          <w:szCs w:val="26"/>
        </w:rPr>
        <w:t>:</w:t>
      </w:r>
    </w:p>
    <w:p w14:paraId="0EB904E9" w14:textId="77777777" w:rsidR="001959EC" w:rsidRPr="006744B2" w:rsidRDefault="001959EC" w:rsidP="00DB3D8E">
      <w:pPr>
        <w:spacing w:after="0" w:line="360" w:lineRule="auto"/>
        <w:ind w:firstLine="708"/>
        <w:jc w:val="both"/>
        <w:rPr>
          <w:rFonts w:ascii="Arial" w:hAnsi="Arial" w:cs="Arial"/>
          <w:bCs/>
          <w:sz w:val="26"/>
          <w:szCs w:val="26"/>
        </w:rPr>
      </w:pPr>
    </w:p>
    <w:p w14:paraId="414AC7AB" w14:textId="77777777" w:rsidR="00EF42CD" w:rsidRDefault="007576D3" w:rsidP="00EF42CD">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3459D6B6" w14:textId="77777777" w:rsidR="000A14FE" w:rsidRPr="000A14FE" w:rsidRDefault="000A14FE" w:rsidP="00A65D42">
      <w:pPr>
        <w:ind w:left="709" w:right="758"/>
        <w:jc w:val="both"/>
        <w:rPr>
          <w:rFonts w:ascii="Arial" w:hAnsi="Arial" w:cs="Arial"/>
          <w:i/>
        </w:rPr>
      </w:pPr>
      <w:r w:rsidRPr="000A14FE">
        <w:rPr>
          <w:rFonts w:ascii="Arial" w:hAnsi="Arial" w:cs="Arial"/>
          <w:b/>
          <w:bCs/>
          <w:i/>
        </w:rPr>
        <w:t>Ahora bien</w:t>
      </w:r>
      <w:r w:rsidRPr="000A14FE">
        <w:rPr>
          <w:rFonts w:ascii="Arial" w:hAnsi="Arial" w:cs="Arial"/>
          <w:i/>
        </w:rPr>
        <w:t>,</w:t>
      </w:r>
      <w:r w:rsidRPr="000A14FE">
        <w:rPr>
          <w:rFonts w:ascii="Arial" w:hAnsi="Arial" w:cs="Arial"/>
          <w:b/>
          <w:bCs/>
          <w:i/>
        </w:rPr>
        <w:t xml:space="preserve"> </w:t>
      </w:r>
      <w:r w:rsidRPr="000A14FE">
        <w:rPr>
          <w:rFonts w:ascii="Arial" w:hAnsi="Arial" w:cs="Arial"/>
          <w:i/>
        </w:rPr>
        <w:t xml:space="preserve">del estudio integral del escrito de demanda y anexos presentados por el promovente, </w:t>
      </w:r>
      <w:r w:rsidRPr="000A14FE">
        <w:rPr>
          <w:rFonts w:ascii="Arial" w:hAnsi="Arial" w:cs="Arial"/>
          <w:b/>
          <w:bCs/>
          <w:i/>
        </w:rPr>
        <w:t>esta Sala determina desechar por improcedente la demanda de nulidad</w:t>
      </w:r>
      <w:r w:rsidRPr="000A14FE">
        <w:rPr>
          <w:rFonts w:ascii="Arial" w:hAnsi="Arial" w:cs="Arial"/>
          <w:i/>
        </w:rPr>
        <w:t>,</w:t>
      </w:r>
      <w:r w:rsidRPr="000A14FE">
        <w:rPr>
          <w:rFonts w:ascii="Arial" w:hAnsi="Arial" w:cs="Arial"/>
          <w:b/>
          <w:bCs/>
          <w:i/>
        </w:rPr>
        <w:t xml:space="preserve"> </w:t>
      </w:r>
      <w:r w:rsidRPr="000A14FE">
        <w:rPr>
          <w:rFonts w:ascii="Arial" w:hAnsi="Arial" w:cs="Arial"/>
          <w:i/>
        </w:rPr>
        <w:t>al no afectar los intereses jurídicos y/o legítimos del promovente, con fundamento en el artículo 161, fracción II, de la Ley de Procedimiento y Justicia Administrativa para el Estado de Oaxaca.</w:t>
      </w:r>
    </w:p>
    <w:p w14:paraId="758EDB8E" w14:textId="77777777" w:rsidR="000A14FE" w:rsidRPr="000A14FE" w:rsidRDefault="000A14FE" w:rsidP="00A65D42">
      <w:pPr>
        <w:ind w:left="709" w:right="758"/>
        <w:jc w:val="both"/>
        <w:rPr>
          <w:rFonts w:ascii="Arial" w:hAnsi="Arial" w:cs="Arial"/>
          <w:i/>
        </w:rPr>
      </w:pPr>
      <w:r w:rsidRPr="000A14FE">
        <w:rPr>
          <w:rFonts w:ascii="Arial" w:hAnsi="Arial" w:cs="Arial"/>
          <w:i/>
        </w:rPr>
        <w:lastRenderedPageBreak/>
        <w:t>Es así, tomando en consideración que el artículo 36 fracción I, de la Ley Orgánica del Tribunal (sic) Justicia Administrativa para el Estado de Oaxaca, señala que las Salas Unitarias de Primera Instancia del Tribunal son competentes para conocer y resolver de los juicios que se promuevan en contra de:</w:t>
      </w:r>
    </w:p>
    <w:p w14:paraId="0489D5D1" w14:textId="77777777" w:rsidR="000A14FE" w:rsidRPr="000A14FE" w:rsidRDefault="000A14FE" w:rsidP="00A65D42">
      <w:pPr>
        <w:ind w:left="709" w:right="758"/>
        <w:jc w:val="both"/>
        <w:rPr>
          <w:rFonts w:ascii="Arial" w:hAnsi="Arial" w:cs="Arial"/>
          <w:i/>
          <w:iCs/>
        </w:rPr>
      </w:pPr>
      <w:r w:rsidRPr="000A14FE">
        <w:rPr>
          <w:rFonts w:ascii="Arial" w:hAnsi="Arial" w:cs="Arial"/>
          <w:i/>
        </w:rPr>
        <w:t>“</w:t>
      </w:r>
      <w:r w:rsidRPr="000A14FE">
        <w:rPr>
          <w:rFonts w:ascii="Arial" w:hAnsi="Arial" w:cs="Arial"/>
          <w:i/>
          <w:iCs/>
        </w:rPr>
        <w:t>(…) Los actos y resoluciones emanados de las autoridades del Poder Ejecutivo, de los Municipios y de sus organismo descentralizados y desconcentrados cuando éstos actúen como autoridades, dictándolas, ordenándolas, ejecutándolas o tratando de ejecutarlas y que causen agravios a los a los particulares, por no ajustarse a los elementos y requisitos de validez previstos por el artículo 17 de la Ley de Procedimiento,”.</w:t>
      </w:r>
    </w:p>
    <w:p w14:paraId="36DC76E3" w14:textId="77777777" w:rsidR="000A14FE" w:rsidRPr="000A14FE" w:rsidRDefault="000A14FE" w:rsidP="00A65D42">
      <w:pPr>
        <w:ind w:left="709" w:right="758"/>
        <w:jc w:val="both"/>
        <w:rPr>
          <w:rFonts w:ascii="Arial" w:hAnsi="Arial" w:cs="Arial"/>
          <w:i/>
          <w:iCs/>
        </w:rPr>
      </w:pPr>
      <w:r w:rsidRPr="000A14FE">
        <w:rPr>
          <w:rFonts w:ascii="Arial" w:hAnsi="Arial" w:cs="Arial"/>
          <w:i/>
          <w:iCs/>
        </w:rPr>
        <w:t>(…)”.</w:t>
      </w:r>
    </w:p>
    <w:p w14:paraId="42C9B2A3" w14:textId="77777777" w:rsidR="000A14FE" w:rsidRPr="000A14FE" w:rsidRDefault="000A14FE" w:rsidP="00A65D42">
      <w:pPr>
        <w:ind w:left="709" w:right="758"/>
        <w:jc w:val="both"/>
        <w:rPr>
          <w:rFonts w:ascii="Arial" w:hAnsi="Arial" w:cs="Arial"/>
          <w:i/>
        </w:rPr>
      </w:pPr>
      <w:r w:rsidRPr="000A14FE">
        <w:rPr>
          <w:rFonts w:ascii="Arial" w:hAnsi="Arial" w:cs="Arial"/>
          <w:i/>
        </w:rPr>
        <w:t>Por lo que, se advierte que los actos impugnado en la presente demanda no son actos de carácter definitivo, el cual debe constituir el producto final o la voluntad definitiva de la Administración Pública, que en este caso es una actuación aislada que no requiere de un procedimiento; por tanto, no se acredita el carácter de definitivos para que sean impugnables a través del juicio contencioso administrativo. Por analogía jurídica sirven de apoyo y orientación las consideraciones de los siguientes criterios:</w:t>
      </w:r>
    </w:p>
    <w:p w14:paraId="72106EF7" w14:textId="4FBCDC6C" w:rsidR="000A14FE" w:rsidRPr="000A14FE" w:rsidRDefault="000A14FE" w:rsidP="00A65D42">
      <w:pPr>
        <w:ind w:left="709" w:right="758"/>
        <w:jc w:val="both"/>
        <w:rPr>
          <w:rFonts w:ascii="Arial" w:hAnsi="Arial" w:cs="Arial"/>
          <w:b/>
          <w:bCs/>
          <w:i/>
        </w:rPr>
      </w:pPr>
      <w:r w:rsidRPr="000A14FE">
        <w:rPr>
          <w:rFonts w:ascii="Arial" w:hAnsi="Arial" w:cs="Arial"/>
          <w:i/>
        </w:rPr>
        <w:t>“</w:t>
      </w:r>
      <w:r w:rsidR="0087406C" w:rsidRPr="000A14FE">
        <w:rPr>
          <w:rFonts w:ascii="Arial" w:hAnsi="Arial" w:cs="Arial"/>
          <w:b/>
          <w:bCs/>
          <w:i/>
        </w:rPr>
        <w:t>JUICIO DE NULIDAD ANTE EL TRIBUNAL FEDERAL DE JUSTICIA FISCAL Y ADMINISTRATIVA. EL ARTÍCULO 14, FRACCIÓN IV, DE LA LEY ORGÁNICA DE ESTE TRIBUNAL, VIGENTE HASTA EL 14 DE JULIO DE 2016, AL ESTABLECER COMO HIPÓTESIS DE PROCEDENCIA LAS RESOLUCIONES QUE “CAUSEN AGRAVIO EN MATERIA FISCAL”.  VULNERA LOS PRINCIPIOS DE LEGALIDAD Y SEGURIDAD JURÍDICA.</w:t>
      </w:r>
      <w:r w:rsidR="0087406C">
        <w:rPr>
          <w:rFonts w:ascii="Arial" w:hAnsi="Arial" w:cs="Arial"/>
          <w:b/>
          <w:bCs/>
          <w:i/>
        </w:rPr>
        <w:t>”</w:t>
      </w:r>
    </w:p>
    <w:p w14:paraId="27E4DA70" w14:textId="13EBF5AA" w:rsidR="000A14FE" w:rsidRPr="000A14FE" w:rsidRDefault="0087406C" w:rsidP="00A65D42">
      <w:pPr>
        <w:ind w:left="709" w:right="758"/>
        <w:jc w:val="both"/>
        <w:rPr>
          <w:rFonts w:ascii="Arial" w:hAnsi="Arial" w:cs="Arial"/>
          <w:b/>
          <w:bCs/>
          <w:i/>
        </w:rPr>
      </w:pPr>
      <w:r w:rsidRPr="000A14FE">
        <w:rPr>
          <w:rFonts w:ascii="Arial" w:hAnsi="Arial" w:cs="Arial"/>
          <w:b/>
          <w:bCs/>
          <w:i/>
        </w:rPr>
        <w:t>“TRIBUNAL FEDERAL DE JUSTICIA FISCAL Y ADMINISTRATIVA.” RESOLUCIONES ADMINISTRATIVAS DEFINITIVAS”. ALCANCE DEL CONCEPTO A QUE SE REFIERE EL ARTÍCULO 11, PRIMER PÁRRAFO, DE LA LEY ORGÁNICA DE DICHO TRIBUNAL.</w:t>
      </w:r>
      <w:r>
        <w:rPr>
          <w:rFonts w:ascii="Arial" w:hAnsi="Arial" w:cs="Arial"/>
          <w:b/>
          <w:bCs/>
          <w:i/>
        </w:rPr>
        <w:t>”</w:t>
      </w:r>
    </w:p>
    <w:p w14:paraId="3CF93FDB" w14:textId="24A52FD9" w:rsidR="000A14FE" w:rsidRPr="000A14FE" w:rsidRDefault="000A14FE" w:rsidP="00A65D42">
      <w:pPr>
        <w:ind w:left="709" w:right="758"/>
        <w:jc w:val="both"/>
        <w:rPr>
          <w:rFonts w:ascii="Arial" w:hAnsi="Arial" w:cs="Arial"/>
          <w:i/>
        </w:rPr>
      </w:pPr>
      <w:r w:rsidRPr="000A14FE">
        <w:rPr>
          <w:rFonts w:ascii="Arial" w:hAnsi="Arial" w:cs="Arial"/>
          <w:b/>
          <w:bCs/>
          <w:i/>
        </w:rPr>
        <w:t>Aunado a lo anterior</w:t>
      </w:r>
      <w:r w:rsidRPr="000A14FE">
        <w:rPr>
          <w:rFonts w:ascii="Arial" w:hAnsi="Arial" w:cs="Arial"/>
          <w:i/>
        </w:rPr>
        <w:t xml:space="preserve">, se advierte que la notificación que impugna el promovente es una actuación intraprocesal como parte de un  procedimiento de responsabilidad administrativa de una institución pública de una entidad federativa diversa; por lo que de una interpretación lógica del artículo 184 de Ley General de Responsabilidades Administrativas, el medio para reclamar el emplazamiento de un procedimiento administrativo es a través de un incidente ante la autoridad administrativa que ordenó el inicio del procedimiento de responsabilidad administrativa. - - - - - - - - - - - - - - - </w:t>
      </w:r>
    </w:p>
    <w:p w14:paraId="41138C60" w14:textId="77777777" w:rsidR="000A14FE" w:rsidRPr="000A14FE" w:rsidRDefault="000A14FE" w:rsidP="00A65D42">
      <w:pPr>
        <w:ind w:left="709" w:right="758"/>
        <w:jc w:val="both"/>
        <w:rPr>
          <w:rFonts w:ascii="Arial" w:hAnsi="Arial" w:cs="Arial"/>
          <w:i/>
        </w:rPr>
      </w:pPr>
      <w:r w:rsidRPr="000A14FE">
        <w:rPr>
          <w:rFonts w:ascii="Arial" w:hAnsi="Arial" w:cs="Arial"/>
          <w:i/>
        </w:rPr>
        <w:t>Para concluir, es dable destacar que en ningún momento se coartan las garantías de audiencia y de debido proceso, dado que si bien el ejercicio a la acción de la tutela efectiva, comprende el derecho de toda persona a ser parte en un proceso y ha poder promover en su marco la actividad jurisdiccional que desemboque en una decisión judicial sobre las pretensiones deducidas, también lo es que el acto que impugna no cumple con los requisitos de procedibilidad correspondientes. En apoyo a tal consideración se invoca el siguiente criterio jurisprudencial:</w:t>
      </w:r>
    </w:p>
    <w:p w14:paraId="25FD1438" w14:textId="5B9E1ADB" w:rsidR="000A14FE" w:rsidRPr="000A14FE" w:rsidRDefault="0087406C" w:rsidP="00A65D42">
      <w:pPr>
        <w:ind w:left="709" w:right="758"/>
        <w:jc w:val="both"/>
        <w:rPr>
          <w:rFonts w:ascii="Arial" w:hAnsi="Arial" w:cs="Arial"/>
          <w:b/>
          <w:bCs/>
          <w:i/>
          <w:iCs/>
        </w:rPr>
      </w:pPr>
      <w:r w:rsidRPr="000A14FE">
        <w:rPr>
          <w:rFonts w:ascii="Arial" w:hAnsi="Arial" w:cs="Arial"/>
          <w:i/>
          <w:iCs/>
        </w:rPr>
        <w:lastRenderedPageBreak/>
        <w:t>“</w:t>
      </w:r>
      <w:r w:rsidRPr="000A14FE">
        <w:rPr>
          <w:rFonts w:ascii="Arial" w:hAnsi="Arial" w:cs="Arial"/>
          <w:b/>
          <w:bCs/>
          <w:i/>
          <w:iCs/>
        </w:rPr>
        <w:t>DERECHO DE ACCESO A LA IMPARTICIÓN DE JUSTICIA. SU APLICACIÓN RESPECTO DE LOS PRESUPUESTOS PROCESALES QUE RIGEN LA FUNCIÓN JURISDICCIONAL.</w:t>
      </w:r>
      <w:r>
        <w:rPr>
          <w:rFonts w:ascii="Arial" w:hAnsi="Arial" w:cs="Arial"/>
          <w:b/>
          <w:bCs/>
          <w:i/>
          <w:iCs/>
        </w:rPr>
        <w:t>”</w:t>
      </w:r>
    </w:p>
    <w:p w14:paraId="040672E9" w14:textId="639337E4" w:rsidR="002352FB" w:rsidRPr="006744B2" w:rsidRDefault="00ED642A" w:rsidP="00A65D42">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31E6FDE3"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sidR="00F51086">
        <w:rPr>
          <w:rFonts w:ascii="Arial" w:hAnsi="Arial" w:cs="Arial"/>
          <w:bCs/>
          <w:iCs/>
          <w:sz w:val="26"/>
          <w:szCs w:val="26"/>
        </w:rPr>
        <w:t xml:space="preserve">l acuerdo </w:t>
      </w:r>
      <w:r w:rsidR="00CF7439">
        <w:rPr>
          <w:rFonts w:ascii="Arial" w:hAnsi="Arial" w:cs="Arial"/>
          <w:sz w:val="26"/>
          <w:szCs w:val="26"/>
        </w:rPr>
        <w:t xml:space="preserve">de </w:t>
      </w:r>
      <w:r w:rsidR="002A6503">
        <w:rPr>
          <w:rFonts w:ascii="Arial" w:hAnsi="Arial" w:cs="Arial"/>
          <w:sz w:val="26"/>
          <w:szCs w:val="26"/>
        </w:rPr>
        <w:t>tres</w:t>
      </w:r>
      <w:r w:rsidR="008740D0">
        <w:rPr>
          <w:rFonts w:ascii="Arial" w:hAnsi="Arial" w:cs="Arial"/>
          <w:sz w:val="26"/>
          <w:szCs w:val="26"/>
        </w:rPr>
        <w:t xml:space="preserve"> de marzo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w:t>
      </w:r>
      <w:r w:rsidR="002A6503">
        <w:rPr>
          <w:rFonts w:ascii="Arial" w:hAnsi="Arial" w:cs="Arial"/>
          <w:sz w:val="26"/>
          <w:szCs w:val="26"/>
        </w:rPr>
        <w:t>o</w:t>
      </w:r>
      <w:r w:rsidR="002519F9" w:rsidRPr="006744B2">
        <w:rPr>
          <w:rFonts w:ascii="Arial" w:hAnsi="Arial" w:cs="Arial"/>
          <w:sz w:val="26"/>
          <w:szCs w:val="26"/>
        </w:rPr>
        <w:t xml:space="preserve"> por la</w:t>
      </w:r>
      <w:r w:rsidR="008740D0">
        <w:rPr>
          <w:rFonts w:ascii="Arial" w:hAnsi="Arial" w:cs="Arial"/>
          <w:sz w:val="26"/>
          <w:szCs w:val="26"/>
        </w:rPr>
        <w:t xml:space="preserve"> </w:t>
      </w:r>
      <w:r w:rsidR="002A6503">
        <w:rPr>
          <w:rFonts w:ascii="Arial" w:hAnsi="Arial" w:cs="Arial"/>
          <w:sz w:val="26"/>
          <w:szCs w:val="26"/>
        </w:rPr>
        <w:t>Primera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2A6503">
        <w:rPr>
          <w:rFonts w:ascii="Arial" w:hAnsi="Arial" w:cs="Arial"/>
          <w:b/>
          <w:sz w:val="26"/>
          <w:szCs w:val="26"/>
        </w:rPr>
        <w:t>006</w:t>
      </w:r>
      <w:r w:rsidR="001632E4" w:rsidRPr="006744B2">
        <w:rPr>
          <w:rFonts w:ascii="Arial" w:hAnsi="Arial" w:cs="Arial"/>
          <w:b/>
          <w:sz w:val="26"/>
          <w:szCs w:val="26"/>
        </w:rPr>
        <w:t>/20</w:t>
      </w:r>
      <w:r w:rsidR="00DA3783" w:rsidRPr="006744B2">
        <w:rPr>
          <w:rFonts w:ascii="Arial" w:hAnsi="Arial" w:cs="Arial"/>
          <w:b/>
          <w:sz w:val="26"/>
          <w:szCs w:val="26"/>
        </w:rPr>
        <w:t>2</w:t>
      </w:r>
      <w:r w:rsidR="002A6503">
        <w:rPr>
          <w:rFonts w:ascii="Arial" w:hAnsi="Arial" w:cs="Arial"/>
          <w:b/>
          <w:sz w:val="26"/>
          <w:szCs w:val="26"/>
        </w:rPr>
        <w:t>2</w:t>
      </w:r>
      <w:r w:rsidRPr="006744B2">
        <w:rPr>
          <w:rFonts w:ascii="Arial" w:hAnsi="Arial" w:cs="Arial"/>
          <w:b/>
          <w:bCs/>
          <w:iCs/>
          <w:sz w:val="26"/>
          <w:szCs w:val="26"/>
        </w:rPr>
        <w:t>.</w:t>
      </w:r>
      <w:r w:rsidR="00973B5B" w:rsidRPr="006744B2">
        <w:rPr>
          <w:rFonts w:ascii="Arial" w:hAnsi="Arial" w:cs="Arial"/>
          <w:bCs/>
          <w:iCs/>
          <w:sz w:val="26"/>
          <w:szCs w:val="26"/>
        </w:rPr>
        <w:t xml:space="preserve">- - - </w:t>
      </w:r>
    </w:p>
    <w:p w14:paraId="2C53E5D8" w14:textId="6BFF8FF2"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51002">
        <w:rPr>
          <w:rFonts w:ascii="Arial" w:hAnsi="Arial" w:cs="Arial"/>
          <w:sz w:val="26"/>
          <w:szCs w:val="26"/>
        </w:rPr>
        <w:t>s</w:t>
      </w:r>
      <w:r w:rsidR="00C67A5C" w:rsidRPr="006744B2">
        <w:rPr>
          <w:rFonts w:ascii="Arial" w:hAnsi="Arial" w:cs="Arial"/>
          <w:sz w:val="26"/>
          <w:szCs w:val="26"/>
        </w:rPr>
        <w:t xml:space="preserve"> en el escrito respectivo de</w:t>
      </w:r>
      <w:r w:rsidR="002274B4">
        <w:rPr>
          <w:rFonts w:ascii="Arial" w:hAnsi="Arial" w:cs="Arial"/>
          <w:sz w:val="26"/>
          <w:szCs w:val="26"/>
        </w:rPr>
        <w:t xml:space="preserve">l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C51002">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3471A6">
        <w:rPr>
          <w:rFonts w:ascii="Arial" w:hAnsi="Arial" w:cs="Arial"/>
          <w:sz w:val="26"/>
          <w:szCs w:val="26"/>
        </w:rPr>
        <w:t xml:space="preserve"> - - - - - - - - - - - - - - - - - - - - -</w:t>
      </w:r>
    </w:p>
    <w:p w14:paraId="29A56590" w14:textId="77777777" w:rsidR="00C874AD" w:rsidRPr="006744B2" w:rsidRDefault="00C874AD" w:rsidP="003471A6">
      <w:pPr>
        <w:spacing w:after="0"/>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3471A6">
      <w:pPr>
        <w:spacing w:after="0"/>
        <w:ind w:left="709" w:right="758"/>
        <w:jc w:val="both"/>
        <w:rPr>
          <w:rFonts w:ascii="Arial" w:hAnsi="Arial" w:cs="Arial"/>
          <w:sz w:val="26"/>
          <w:szCs w:val="26"/>
        </w:rPr>
      </w:pPr>
      <w:r w:rsidRPr="006744B2">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w:t>
      </w:r>
      <w:r w:rsidRPr="006744B2">
        <w:rPr>
          <w:rFonts w:ascii="Arial" w:hAnsi="Arial" w:cs="Arial"/>
          <w:i/>
        </w:rPr>
        <w:lastRenderedPageBreak/>
        <w:t>congruencia se estudien los planteamientos de legalidad o inconstitucionalidad que efectivamente se hayan hecho valer.</w:t>
      </w:r>
      <w:r w:rsidRPr="006744B2">
        <w:rPr>
          <w:rFonts w:ascii="Arial" w:hAnsi="Arial" w:cs="Arial"/>
          <w:sz w:val="26"/>
          <w:szCs w:val="26"/>
        </w:rPr>
        <w:t xml:space="preserve">” </w:t>
      </w:r>
    </w:p>
    <w:p w14:paraId="20FFAE05" w14:textId="061D4234" w:rsidR="00E91009" w:rsidRPr="00E91009" w:rsidRDefault="00E91009" w:rsidP="00E91009">
      <w:pPr>
        <w:spacing w:before="240" w:line="360" w:lineRule="auto"/>
        <w:ind w:firstLine="709"/>
        <w:jc w:val="both"/>
        <w:rPr>
          <w:rFonts w:ascii="Arial" w:eastAsia="Times New Roman" w:hAnsi="Arial" w:cs="Arial"/>
          <w:sz w:val="26"/>
          <w:szCs w:val="26"/>
        </w:rPr>
      </w:pPr>
      <w:bookmarkStart w:id="0" w:name="_Hlk99446744"/>
      <w:r w:rsidRPr="00E91009">
        <w:rPr>
          <w:rFonts w:ascii="Arial" w:eastAsia="Times New Roman" w:hAnsi="Arial" w:cs="Arial"/>
          <w:b/>
          <w:sz w:val="26"/>
          <w:szCs w:val="26"/>
        </w:rPr>
        <w:t xml:space="preserve">TERCERO. </w:t>
      </w:r>
      <w:r w:rsidR="00D00BB3">
        <w:rPr>
          <w:rFonts w:ascii="Arial" w:eastAsia="Times New Roman" w:hAnsi="Arial" w:cs="Arial"/>
          <w:sz w:val="26"/>
          <w:szCs w:val="26"/>
        </w:rPr>
        <w:t>El</w:t>
      </w:r>
      <w:r w:rsidRPr="00E91009">
        <w:rPr>
          <w:rFonts w:ascii="Arial" w:eastAsia="Times New Roman" w:hAnsi="Arial" w:cs="Arial"/>
          <w:sz w:val="26"/>
          <w:szCs w:val="26"/>
        </w:rPr>
        <w:t xml:space="preserve">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argumenta que</w:t>
      </w:r>
      <w:r w:rsidR="00656798">
        <w:rPr>
          <w:rFonts w:ascii="Arial" w:eastAsia="Times New Roman" w:hAnsi="Arial" w:cs="Arial"/>
          <w:sz w:val="26"/>
          <w:szCs w:val="26"/>
        </w:rPr>
        <w:t xml:space="preserve"> el </w:t>
      </w:r>
      <w:r w:rsidR="0054648B">
        <w:rPr>
          <w:rFonts w:ascii="Arial" w:eastAsia="Times New Roman" w:hAnsi="Arial" w:cs="Arial"/>
          <w:sz w:val="26"/>
          <w:szCs w:val="26"/>
        </w:rPr>
        <w:t>acuerdo emitido el tres</w:t>
      </w:r>
      <w:r w:rsidR="00FF237E">
        <w:rPr>
          <w:rFonts w:ascii="Arial" w:hAnsi="Arial" w:cs="Arial"/>
          <w:sz w:val="26"/>
          <w:szCs w:val="26"/>
        </w:rPr>
        <w:t xml:space="preserve"> de marzo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 xml:space="preserve">le </w:t>
      </w:r>
      <w:r w:rsidR="0054648B">
        <w:rPr>
          <w:rFonts w:ascii="Arial" w:eastAsia="Times New Roman" w:hAnsi="Arial" w:cs="Arial"/>
          <w:sz w:val="26"/>
          <w:szCs w:val="26"/>
        </w:rPr>
        <w:t>agravia</w:t>
      </w:r>
      <w:r w:rsidRPr="00E91009">
        <w:rPr>
          <w:rFonts w:ascii="Arial" w:eastAsia="Times New Roman" w:hAnsi="Arial" w:cs="Arial"/>
          <w:sz w:val="26"/>
          <w:szCs w:val="26"/>
        </w:rPr>
        <w:t>:</w:t>
      </w:r>
      <w:r w:rsidR="003471A6">
        <w:rPr>
          <w:rFonts w:ascii="Arial" w:eastAsia="Times New Roman" w:hAnsi="Arial" w:cs="Arial"/>
          <w:sz w:val="26"/>
          <w:szCs w:val="26"/>
        </w:rPr>
        <w:t xml:space="preserve"> - - - - - - - - - - - - - - - - - - - - - - </w:t>
      </w:r>
    </w:p>
    <w:p w14:paraId="76FA897A" w14:textId="2053129E" w:rsidR="00990F9B" w:rsidRPr="00990F9B" w:rsidRDefault="00E91009" w:rsidP="00587FBB">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990F9B">
        <w:rPr>
          <w:rFonts w:ascii="Arial" w:eastAsia="Times New Roman" w:hAnsi="Arial" w:cs="Arial"/>
          <w:sz w:val="26"/>
          <w:szCs w:val="26"/>
        </w:rPr>
        <w:t>el acuerdo recurrido</w:t>
      </w:r>
      <w:r w:rsidR="00990F9B" w:rsidRPr="00990F9B">
        <w:rPr>
          <w:rFonts w:ascii="Arial" w:eastAsia="Times New Roman" w:hAnsi="Arial" w:cs="Arial"/>
          <w:sz w:val="26"/>
          <w:szCs w:val="26"/>
        </w:rPr>
        <w:t xml:space="preserve"> es ilegal y atenta contra el derecho de acceso a la justicia </w:t>
      </w:r>
      <w:r w:rsidR="00587FBB">
        <w:rPr>
          <w:rFonts w:ascii="Arial" w:eastAsia="Times New Roman" w:hAnsi="Arial" w:cs="Arial"/>
          <w:sz w:val="26"/>
          <w:szCs w:val="26"/>
        </w:rPr>
        <w:t>tutelado</w:t>
      </w:r>
      <w:r w:rsidR="00990F9B" w:rsidRPr="00990F9B">
        <w:rPr>
          <w:rFonts w:ascii="Arial" w:eastAsia="Times New Roman" w:hAnsi="Arial" w:cs="Arial"/>
          <w:sz w:val="26"/>
          <w:szCs w:val="26"/>
        </w:rPr>
        <w:t xml:space="preserve"> </w:t>
      </w:r>
      <w:r w:rsidR="00587FBB">
        <w:rPr>
          <w:rFonts w:ascii="Arial" w:eastAsia="Times New Roman" w:hAnsi="Arial" w:cs="Arial"/>
          <w:sz w:val="26"/>
          <w:szCs w:val="26"/>
        </w:rPr>
        <w:t>en</w:t>
      </w:r>
      <w:r w:rsidR="00990F9B" w:rsidRPr="00990F9B">
        <w:rPr>
          <w:rFonts w:ascii="Arial" w:eastAsia="Times New Roman" w:hAnsi="Arial" w:cs="Arial"/>
          <w:sz w:val="26"/>
          <w:szCs w:val="26"/>
        </w:rPr>
        <w:t xml:space="preserve"> el artículo 17 de la Constitución Política de los Estados Unidos Mexicanos</w:t>
      </w:r>
      <w:r w:rsidR="00587FBB">
        <w:rPr>
          <w:rFonts w:ascii="Arial" w:eastAsia="Times New Roman" w:hAnsi="Arial" w:cs="Arial"/>
          <w:sz w:val="26"/>
          <w:szCs w:val="26"/>
        </w:rPr>
        <w:t xml:space="preserve">, y </w:t>
      </w:r>
      <w:r w:rsidR="00990F9B" w:rsidRPr="00990F9B">
        <w:rPr>
          <w:rFonts w:ascii="Arial" w:eastAsia="Times New Roman" w:hAnsi="Arial" w:cs="Arial"/>
          <w:sz w:val="26"/>
          <w:szCs w:val="26"/>
        </w:rPr>
        <w:t xml:space="preserve">reconocido por el Estado Mexicano </w:t>
      </w:r>
      <w:r w:rsidR="00587FBB">
        <w:rPr>
          <w:rFonts w:ascii="Arial" w:eastAsia="Times New Roman" w:hAnsi="Arial" w:cs="Arial"/>
          <w:sz w:val="26"/>
          <w:szCs w:val="26"/>
        </w:rPr>
        <w:t>en</w:t>
      </w:r>
      <w:r w:rsidR="00990F9B" w:rsidRPr="00990F9B">
        <w:rPr>
          <w:rFonts w:ascii="Arial" w:eastAsia="Times New Roman" w:hAnsi="Arial" w:cs="Arial"/>
          <w:sz w:val="26"/>
          <w:szCs w:val="26"/>
        </w:rPr>
        <w:t xml:space="preserve"> los Tratados </w:t>
      </w:r>
      <w:r w:rsidR="00587FBB">
        <w:rPr>
          <w:rFonts w:ascii="Arial" w:eastAsia="Times New Roman" w:hAnsi="Arial" w:cs="Arial"/>
          <w:sz w:val="26"/>
          <w:szCs w:val="26"/>
        </w:rPr>
        <w:t>I</w:t>
      </w:r>
      <w:r w:rsidR="00990F9B" w:rsidRPr="00990F9B">
        <w:rPr>
          <w:rFonts w:ascii="Arial" w:eastAsia="Times New Roman" w:hAnsi="Arial" w:cs="Arial"/>
          <w:sz w:val="26"/>
          <w:szCs w:val="26"/>
        </w:rPr>
        <w:t>nternacionales</w:t>
      </w:r>
      <w:r w:rsidR="00733426">
        <w:rPr>
          <w:rFonts w:ascii="Arial" w:eastAsia="Times New Roman" w:hAnsi="Arial" w:cs="Arial"/>
          <w:sz w:val="26"/>
          <w:szCs w:val="26"/>
        </w:rPr>
        <w:t>,</w:t>
      </w:r>
      <w:r w:rsidR="00587FBB">
        <w:rPr>
          <w:rFonts w:ascii="Arial" w:eastAsia="Times New Roman" w:hAnsi="Arial" w:cs="Arial"/>
          <w:sz w:val="26"/>
          <w:szCs w:val="26"/>
        </w:rPr>
        <w:t xml:space="preserve"> lo que obliga al Estado a</w:t>
      </w:r>
      <w:r w:rsidR="00990F9B" w:rsidRPr="00990F9B">
        <w:rPr>
          <w:rFonts w:ascii="Arial" w:eastAsia="Times New Roman" w:hAnsi="Arial" w:cs="Arial"/>
          <w:sz w:val="26"/>
          <w:szCs w:val="26"/>
        </w:rPr>
        <w:t xml:space="preserve"> reconocer, tutelar, proteger, aplicar y garantizar de manera pronta, expedita, imparcial y transparente ese derecho</w:t>
      </w:r>
      <w:r w:rsidR="008F2D63">
        <w:rPr>
          <w:rFonts w:ascii="Arial" w:eastAsia="Times New Roman" w:hAnsi="Arial" w:cs="Arial"/>
          <w:sz w:val="26"/>
          <w:szCs w:val="26"/>
        </w:rPr>
        <w:t xml:space="preserve"> </w:t>
      </w:r>
      <w:r w:rsidR="00587FBB">
        <w:rPr>
          <w:rFonts w:ascii="Arial" w:eastAsia="Times New Roman" w:hAnsi="Arial" w:cs="Arial"/>
          <w:sz w:val="26"/>
          <w:szCs w:val="26"/>
        </w:rPr>
        <w:t xml:space="preserve">como </w:t>
      </w:r>
      <w:r w:rsidR="00990F9B" w:rsidRPr="00990F9B">
        <w:rPr>
          <w:rFonts w:ascii="Arial" w:eastAsia="Times New Roman" w:hAnsi="Arial" w:cs="Arial"/>
          <w:sz w:val="26"/>
          <w:szCs w:val="26"/>
        </w:rPr>
        <w:t>parte de una sociedad democrática e igualitaria.</w:t>
      </w:r>
      <w:r w:rsidR="00587FBB">
        <w:rPr>
          <w:rFonts w:ascii="Arial" w:eastAsia="Times New Roman" w:hAnsi="Arial" w:cs="Arial"/>
          <w:sz w:val="26"/>
          <w:szCs w:val="26"/>
        </w:rPr>
        <w:t xml:space="preserve"> - - - - - - - - - - - - - - - - - </w:t>
      </w:r>
    </w:p>
    <w:p w14:paraId="0478F5A0" w14:textId="4E573F2F" w:rsidR="00990F9B" w:rsidRPr="00990F9B" w:rsidRDefault="00587FBB" w:rsidP="00990F9B">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Arguye que</w:t>
      </w:r>
      <w:r w:rsidR="00967BB6">
        <w:rPr>
          <w:rFonts w:ascii="Arial" w:eastAsia="Times New Roman" w:hAnsi="Arial" w:cs="Arial"/>
          <w:sz w:val="26"/>
          <w:szCs w:val="26"/>
        </w:rPr>
        <w:t xml:space="preserve"> </w:t>
      </w:r>
      <w:r w:rsidR="00990F9B" w:rsidRPr="00990F9B">
        <w:rPr>
          <w:rFonts w:ascii="Arial" w:eastAsia="Times New Roman" w:hAnsi="Arial" w:cs="Arial"/>
          <w:sz w:val="26"/>
          <w:szCs w:val="26"/>
        </w:rPr>
        <w:t xml:space="preserve">el segundo párrafo </w:t>
      </w:r>
      <w:r w:rsidR="00967BB6">
        <w:rPr>
          <w:rFonts w:ascii="Arial" w:eastAsia="Times New Roman" w:hAnsi="Arial" w:cs="Arial"/>
          <w:sz w:val="26"/>
          <w:szCs w:val="26"/>
        </w:rPr>
        <w:t>d</w:t>
      </w:r>
      <w:r w:rsidR="00990F9B" w:rsidRPr="00990F9B">
        <w:rPr>
          <w:rFonts w:ascii="Arial" w:eastAsia="Times New Roman" w:hAnsi="Arial" w:cs="Arial"/>
          <w:sz w:val="26"/>
          <w:szCs w:val="26"/>
        </w:rPr>
        <w:t>el artículo 17 de la Constitución Federal establece que toda persona tiene derecho a que le administre justicia por tribunales que estarán expeditos para impartirla en los plazos y términos que fijen las leyes, emitiendo sus resoluciones de manera pronta, completa e imparcial</w:t>
      </w:r>
      <w:r w:rsidR="00967BB6">
        <w:rPr>
          <w:rFonts w:ascii="Arial" w:eastAsia="Times New Roman" w:hAnsi="Arial" w:cs="Arial"/>
          <w:sz w:val="26"/>
          <w:szCs w:val="26"/>
        </w:rPr>
        <w:t xml:space="preserve">. - - - - - - - - </w:t>
      </w:r>
      <w:r w:rsidR="008F2D63">
        <w:rPr>
          <w:rFonts w:ascii="Arial" w:eastAsia="Times New Roman" w:hAnsi="Arial" w:cs="Arial"/>
          <w:sz w:val="26"/>
          <w:szCs w:val="26"/>
        </w:rPr>
        <w:t xml:space="preserve">- - - - - - - - - - - - - - - - - - - - - - - </w:t>
      </w:r>
    </w:p>
    <w:p w14:paraId="2F73A89C" w14:textId="50C089F4" w:rsidR="00990F9B" w:rsidRDefault="00A272F4" w:rsidP="00990F9B">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Así también, refiere que los</w:t>
      </w:r>
      <w:r w:rsidR="00990F9B" w:rsidRPr="00990F9B">
        <w:rPr>
          <w:rFonts w:ascii="Arial" w:eastAsia="Times New Roman" w:hAnsi="Arial" w:cs="Arial"/>
          <w:sz w:val="26"/>
          <w:szCs w:val="26"/>
        </w:rPr>
        <w:t xml:space="preserve"> </w:t>
      </w:r>
      <w:r>
        <w:rPr>
          <w:rFonts w:ascii="Arial" w:eastAsia="Times New Roman" w:hAnsi="Arial" w:cs="Arial"/>
          <w:sz w:val="26"/>
          <w:szCs w:val="26"/>
        </w:rPr>
        <w:t>Ó</w:t>
      </w:r>
      <w:r w:rsidR="00990F9B" w:rsidRPr="00990F9B">
        <w:rPr>
          <w:rFonts w:ascii="Arial" w:eastAsia="Times New Roman" w:hAnsi="Arial" w:cs="Arial"/>
          <w:sz w:val="26"/>
          <w:szCs w:val="26"/>
        </w:rPr>
        <w:t xml:space="preserve">rganos </w:t>
      </w:r>
      <w:r>
        <w:rPr>
          <w:rFonts w:ascii="Arial" w:eastAsia="Times New Roman" w:hAnsi="Arial" w:cs="Arial"/>
          <w:sz w:val="26"/>
          <w:szCs w:val="26"/>
        </w:rPr>
        <w:t>J</w:t>
      </w:r>
      <w:r w:rsidR="00990F9B" w:rsidRPr="00990F9B">
        <w:rPr>
          <w:rFonts w:ascii="Arial" w:eastAsia="Times New Roman" w:hAnsi="Arial" w:cs="Arial"/>
          <w:sz w:val="26"/>
          <w:szCs w:val="26"/>
        </w:rPr>
        <w:t xml:space="preserve">urisdiccionales encargados de impartir justicia, </w:t>
      </w:r>
      <w:r>
        <w:rPr>
          <w:rFonts w:ascii="Arial" w:eastAsia="Times New Roman" w:hAnsi="Arial" w:cs="Arial"/>
          <w:sz w:val="26"/>
          <w:szCs w:val="26"/>
        </w:rPr>
        <w:t>deben atender lo previsto en el</w:t>
      </w:r>
      <w:r w:rsidR="00990F9B" w:rsidRPr="00990F9B">
        <w:rPr>
          <w:rFonts w:ascii="Arial" w:eastAsia="Times New Roman" w:hAnsi="Arial" w:cs="Arial"/>
          <w:sz w:val="26"/>
          <w:szCs w:val="26"/>
        </w:rPr>
        <w:t xml:space="preserve"> artículo 1 de la Constitución Federal, </w:t>
      </w:r>
      <w:r>
        <w:rPr>
          <w:rFonts w:ascii="Arial" w:eastAsia="Times New Roman" w:hAnsi="Arial" w:cs="Arial"/>
          <w:sz w:val="26"/>
          <w:szCs w:val="26"/>
        </w:rPr>
        <w:t xml:space="preserve">que obliga </w:t>
      </w:r>
      <w:r w:rsidR="00990F9B" w:rsidRPr="00990F9B">
        <w:rPr>
          <w:rFonts w:ascii="Arial" w:eastAsia="Times New Roman" w:hAnsi="Arial" w:cs="Arial"/>
          <w:sz w:val="26"/>
          <w:szCs w:val="26"/>
        </w:rPr>
        <w:t>a reconocer y proteger los derechos humanos de los gobernados</w:t>
      </w:r>
      <w:r>
        <w:rPr>
          <w:rFonts w:ascii="Arial" w:eastAsia="Times New Roman" w:hAnsi="Arial" w:cs="Arial"/>
          <w:sz w:val="26"/>
          <w:szCs w:val="26"/>
        </w:rPr>
        <w:t>. - - - - - - - - - - - - - - - - - - - - - - - - - - - - - - -</w:t>
      </w:r>
    </w:p>
    <w:p w14:paraId="3CECE464" w14:textId="17DD386E" w:rsidR="00990F9B" w:rsidRPr="00FC42BA" w:rsidRDefault="00A272F4" w:rsidP="007376BA">
      <w:pPr>
        <w:spacing w:before="240"/>
        <w:ind w:firstLine="709"/>
        <w:jc w:val="both"/>
        <w:rPr>
          <w:rFonts w:ascii="Arial" w:eastAsia="Times New Roman" w:hAnsi="Arial" w:cs="Arial"/>
          <w:sz w:val="26"/>
          <w:szCs w:val="26"/>
        </w:rPr>
      </w:pPr>
      <w:r>
        <w:rPr>
          <w:rFonts w:ascii="Arial" w:eastAsia="Times New Roman" w:hAnsi="Arial" w:cs="Arial"/>
          <w:sz w:val="26"/>
          <w:szCs w:val="26"/>
        </w:rPr>
        <w:t>Considera que resulta aplicable al caso la</w:t>
      </w:r>
      <w:r w:rsidR="00990F9B" w:rsidRPr="00990F9B">
        <w:rPr>
          <w:rFonts w:ascii="Arial" w:eastAsia="Times New Roman" w:hAnsi="Arial" w:cs="Arial"/>
          <w:sz w:val="26"/>
          <w:szCs w:val="26"/>
        </w:rPr>
        <w:t xml:space="preserve"> jurisprudencia </w:t>
      </w:r>
      <w:r w:rsidR="00FC42BA" w:rsidRPr="00FC42BA">
        <w:rPr>
          <w:rFonts w:ascii="Arial" w:eastAsia="Times New Roman" w:hAnsi="Arial" w:cs="Arial"/>
          <w:b/>
          <w:sz w:val="26"/>
          <w:szCs w:val="26"/>
        </w:rPr>
        <w:t>“DERECHO DE ACCESO A LA JUSTICIA (PRINCIPIO DE MAYOR BENEFICIO). A PARTIR DE LA ENTRADA EN VIGOR DE LA ADICIÓN AL ARTÍCULO 17, TERCER PÁRRAFO, CONSTITUCIONAL, TODAS LAS AUTORIDADES JUDICIALES Y AQUELLAS CON FUNCIONES MATERIALMENTE JURISDICCIONALES DEBEN PRIVILEGIAR LA SOLUCIÓN DEL CONFLICTO SOBRE LOS FORMALISMOS PROCEDIMENTALES, SIEMPRE Y CUANDO NO SE AFECTE LA IGUALDAD ENTRE LAS PARTES (DOF DE 15 DE SEPTIEMBRE DE 2017).</w:t>
      </w:r>
      <w:r w:rsidR="00FC42BA">
        <w:rPr>
          <w:rFonts w:ascii="Arial" w:eastAsia="Times New Roman" w:hAnsi="Arial" w:cs="Arial"/>
          <w:b/>
          <w:sz w:val="26"/>
          <w:szCs w:val="26"/>
        </w:rPr>
        <w:t>”</w:t>
      </w:r>
      <w:r w:rsidR="00FC42BA">
        <w:rPr>
          <w:rFonts w:ascii="Arial" w:eastAsia="Times New Roman" w:hAnsi="Arial" w:cs="Arial"/>
          <w:sz w:val="26"/>
          <w:szCs w:val="26"/>
        </w:rPr>
        <w:t xml:space="preserve"> - - - - - - - - - - - - - - - - - - - - - - - - - - - - - - - - - - - - - - - - - - - - - - </w:t>
      </w:r>
    </w:p>
    <w:p w14:paraId="69D7415B" w14:textId="0AE7EDBA" w:rsidR="00990F9B" w:rsidRPr="00990F9B" w:rsidRDefault="0082612F" w:rsidP="00990F9B">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otra parte, dice que en su escrito de </w:t>
      </w:r>
      <w:r w:rsidR="00990F9B" w:rsidRPr="00990F9B">
        <w:rPr>
          <w:rFonts w:ascii="Arial" w:eastAsia="Times New Roman" w:hAnsi="Arial" w:cs="Arial"/>
          <w:sz w:val="26"/>
          <w:szCs w:val="26"/>
        </w:rPr>
        <w:t xml:space="preserve">demanda </w:t>
      </w:r>
      <w:r>
        <w:rPr>
          <w:rFonts w:ascii="Arial" w:eastAsia="Times New Roman" w:hAnsi="Arial" w:cs="Arial"/>
          <w:sz w:val="26"/>
          <w:szCs w:val="26"/>
        </w:rPr>
        <w:t xml:space="preserve">solicitó: </w:t>
      </w:r>
    </w:p>
    <w:p w14:paraId="23E5A13B" w14:textId="77777777" w:rsidR="0082612F" w:rsidRDefault="0082612F" w:rsidP="0082612F">
      <w:pPr>
        <w:spacing w:before="240" w:line="360" w:lineRule="auto"/>
        <w:ind w:left="709" w:right="758"/>
        <w:jc w:val="both"/>
        <w:rPr>
          <w:rFonts w:ascii="Arial" w:eastAsia="Times New Roman" w:hAnsi="Arial" w:cs="Arial"/>
          <w:i/>
        </w:rPr>
      </w:pPr>
      <w:r>
        <w:rPr>
          <w:rFonts w:ascii="Arial" w:eastAsia="Times New Roman" w:hAnsi="Arial" w:cs="Arial"/>
          <w:i/>
        </w:rPr>
        <w:t>“…</w:t>
      </w:r>
    </w:p>
    <w:p w14:paraId="01F3255E" w14:textId="4BE7ACBA" w:rsidR="00990F9B" w:rsidRPr="0082612F" w:rsidRDefault="00990F9B" w:rsidP="007376BA">
      <w:pPr>
        <w:spacing w:before="240"/>
        <w:ind w:left="709" w:right="758"/>
        <w:jc w:val="both"/>
        <w:rPr>
          <w:rFonts w:ascii="Arial" w:eastAsia="Times New Roman" w:hAnsi="Arial" w:cs="Arial"/>
          <w:i/>
        </w:rPr>
      </w:pPr>
      <w:r w:rsidRPr="0082612F">
        <w:rPr>
          <w:rFonts w:ascii="Arial" w:eastAsia="Times New Roman" w:hAnsi="Arial" w:cs="Arial"/>
          <w:i/>
        </w:rPr>
        <w:t>e) se proced</w:t>
      </w:r>
      <w:r w:rsidR="00EF6CC9">
        <w:rPr>
          <w:rFonts w:ascii="Arial" w:eastAsia="Times New Roman" w:hAnsi="Arial" w:cs="Arial"/>
          <w:i/>
        </w:rPr>
        <w:t>a</w:t>
      </w:r>
      <w:r w:rsidRPr="0082612F">
        <w:rPr>
          <w:rFonts w:ascii="Arial" w:eastAsia="Times New Roman" w:hAnsi="Arial" w:cs="Arial"/>
          <w:i/>
        </w:rPr>
        <w:t xml:space="preserve"> a declarar la nulidad de la notificación supuestamente realizada con fecha 15 de diciembre de 2021, por el C. </w:t>
      </w:r>
      <w:r w:rsidR="00B0555B">
        <w:rPr>
          <w:rFonts w:ascii="Arial" w:eastAsia="Times New Roman" w:hAnsi="Arial" w:cs="Arial"/>
          <w:i/>
        </w:rPr>
        <w:t>*******</w:t>
      </w:r>
      <w:r w:rsidRPr="0082612F">
        <w:rPr>
          <w:rFonts w:ascii="Arial" w:eastAsia="Times New Roman" w:hAnsi="Arial" w:cs="Arial"/>
          <w:i/>
        </w:rPr>
        <w:t xml:space="preserve"> en su carácter de notificador habilitado adscrito a la Dirección de Responsabilidades Administrativas y Situación Patrimonial, dependiente de la Subsecretaria de Responsabilidades Administrativas y Anticorrupción de la Secretaría de la Contraloría y </w:t>
      </w:r>
      <w:r w:rsidRPr="0082612F">
        <w:rPr>
          <w:rFonts w:ascii="Arial" w:eastAsia="Times New Roman" w:hAnsi="Arial" w:cs="Arial"/>
          <w:i/>
        </w:rPr>
        <w:lastRenderedPageBreak/>
        <w:t>Transparencia Gubernamental del Poder Ejecutivo del Estado Libre y Soberano de Oaxaca.</w:t>
      </w:r>
    </w:p>
    <w:p w14:paraId="1081F9BD" w14:textId="05CADED6" w:rsidR="00990F9B" w:rsidRPr="0082612F" w:rsidRDefault="00990F9B" w:rsidP="007376BA">
      <w:pPr>
        <w:spacing w:before="240"/>
        <w:ind w:left="709" w:right="758"/>
        <w:jc w:val="both"/>
        <w:rPr>
          <w:rFonts w:ascii="Arial" w:eastAsia="Times New Roman" w:hAnsi="Arial" w:cs="Arial"/>
          <w:i/>
        </w:rPr>
      </w:pPr>
      <w:r w:rsidRPr="0082612F">
        <w:rPr>
          <w:rFonts w:ascii="Arial" w:eastAsia="Times New Roman" w:hAnsi="Arial" w:cs="Arial"/>
          <w:i/>
        </w:rPr>
        <w:t xml:space="preserve">f) Se declare la nulidad de todo lo actuado en el procedimiento de responsabilidades administrativas </w:t>
      </w:r>
      <w:r w:rsidR="00B0555B">
        <w:rPr>
          <w:rFonts w:ascii="Arial" w:eastAsia="Times New Roman" w:hAnsi="Arial" w:cs="Arial"/>
          <w:i/>
        </w:rPr>
        <w:t>*******</w:t>
      </w:r>
      <w:r w:rsidRPr="0082612F">
        <w:rPr>
          <w:rFonts w:ascii="Arial" w:eastAsia="Times New Roman" w:hAnsi="Arial" w:cs="Arial"/>
          <w:i/>
        </w:rPr>
        <w:t xml:space="preserve"> en atención a que no fui correctamente emplazado dentro del mismo en términos del artículo 208 fracción segunda de la Ley General de Responsabilidades Administrativas.</w:t>
      </w:r>
    </w:p>
    <w:p w14:paraId="6556731E" w14:textId="1380181F" w:rsidR="00990F9B" w:rsidRPr="0082612F" w:rsidRDefault="00990F9B" w:rsidP="007376BA">
      <w:pPr>
        <w:spacing w:before="240"/>
        <w:ind w:left="709" w:right="758"/>
        <w:jc w:val="both"/>
        <w:rPr>
          <w:rFonts w:ascii="Arial" w:eastAsia="Times New Roman" w:hAnsi="Arial" w:cs="Arial"/>
          <w:i/>
        </w:rPr>
      </w:pPr>
      <w:r w:rsidRPr="0082612F">
        <w:rPr>
          <w:rFonts w:ascii="Arial" w:eastAsia="Times New Roman" w:hAnsi="Arial" w:cs="Arial"/>
          <w:i/>
        </w:rPr>
        <w:t xml:space="preserve">g) Se declare la falta de competencia de la autoridad substanciadora del procedimiento de responsabilidades administrativas </w:t>
      </w:r>
      <w:r w:rsidR="00B0555B">
        <w:rPr>
          <w:rFonts w:ascii="Arial" w:eastAsia="Times New Roman" w:hAnsi="Arial" w:cs="Arial"/>
          <w:i/>
        </w:rPr>
        <w:t>*******</w:t>
      </w:r>
      <w:r w:rsidRPr="0082612F">
        <w:rPr>
          <w:rFonts w:ascii="Arial" w:eastAsia="Times New Roman" w:hAnsi="Arial" w:cs="Arial"/>
          <w:i/>
        </w:rPr>
        <w:t xml:space="preserve"> (Secretaría de la Función Pública del Estado de Puebla) en atención a que en el convenio marco de fecha 08 de agosto del año 2019 se estableció en la cláusula Decimo Segunda que, en caso de presentarse una controversia con relación a la ejecución, interpretación y/o cumplimiento del citado convenio marco, nos someteríamos a los Tribunales Competentes de la Ciudad de Oaxaca.</w:t>
      </w:r>
    </w:p>
    <w:p w14:paraId="408B2D3A" w14:textId="50128ED4" w:rsidR="00990F9B" w:rsidRDefault="00990F9B" w:rsidP="007376BA">
      <w:pPr>
        <w:spacing w:before="240"/>
        <w:ind w:left="709" w:right="758"/>
        <w:jc w:val="both"/>
        <w:rPr>
          <w:rFonts w:ascii="Arial" w:eastAsia="Times New Roman" w:hAnsi="Arial" w:cs="Arial"/>
          <w:i/>
        </w:rPr>
      </w:pPr>
      <w:r w:rsidRPr="0082612F">
        <w:rPr>
          <w:rFonts w:ascii="Arial" w:eastAsia="Times New Roman" w:hAnsi="Arial" w:cs="Arial"/>
          <w:i/>
        </w:rPr>
        <w:t xml:space="preserve">H) se declare la falta de competencia del procedimiento de responsabilidades administrativas </w:t>
      </w:r>
      <w:r w:rsidR="00B0555B">
        <w:rPr>
          <w:rFonts w:ascii="Arial" w:eastAsia="Times New Roman" w:hAnsi="Arial" w:cs="Arial"/>
          <w:i/>
        </w:rPr>
        <w:t>*******</w:t>
      </w:r>
      <w:r w:rsidRPr="0082612F">
        <w:rPr>
          <w:rFonts w:ascii="Arial" w:eastAsia="Times New Roman" w:hAnsi="Arial" w:cs="Arial"/>
          <w:i/>
        </w:rPr>
        <w:t xml:space="preserve"> (Tribunal de Justicia Administrativa del Estado de Puebla) en atención a que en el convenio marco de fecha 08 de agosto del año 2019 se estableció En la cláusula Decimo Segunda que, en caso de presentarse una controversia con relación a la ejecución, interpretación y/o cumplimiento del citado convenio marco, nos someteríamos a los Tribunales Competentes de la Ciudad de Oaxaca.</w:t>
      </w:r>
    </w:p>
    <w:p w14:paraId="7BC99A40" w14:textId="08F7F6B7" w:rsidR="0082612F" w:rsidRPr="0082612F" w:rsidRDefault="0082612F" w:rsidP="007376BA">
      <w:pPr>
        <w:spacing w:before="240"/>
        <w:ind w:left="709" w:right="758"/>
        <w:jc w:val="both"/>
        <w:rPr>
          <w:rFonts w:ascii="Arial" w:eastAsia="Times New Roman" w:hAnsi="Arial" w:cs="Arial"/>
          <w:i/>
        </w:rPr>
      </w:pPr>
      <w:r>
        <w:rPr>
          <w:rFonts w:ascii="Arial" w:eastAsia="Times New Roman" w:hAnsi="Arial" w:cs="Arial"/>
          <w:i/>
        </w:rPr>
        <w:t>…”</w:t>
      </w:r>
    </w:p>
    <w:p w14:paraId="22047597" w14:textId="600A04D2" w:rsidR="00990F9B" w:rsidRPr="00990F9B" w:rsidRDefault="0082612F" w:rsidP="00990F9B">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Además, señala que lo determinado por la Sala Unitaria, que el </w:t>
      </w:r>
      <w:r w:rsidR="00990F9B" w:rsidRPr="00990F9B">
        <w:rPr>
          <w:rFonts w:ascii="Arial" w:eastAsia="Times New Roman" w:hAnsi="Arial" w:cs="Arial"/>
          <w:sz w:val="26"/>
          <w:szCs w:val="26"/>
        </w:rPr>
        <w:t xml:space="preserve">acto que combate no afecta </w:t>
      </w:r>
      <w:r w:rsidR="00637511">
        <w:rPr>
          <w:rFonts w:ascii="Arial" w:eastAsia="Times New Roman" w:hAnsi="Arial" w:cs="Arial"/>
          <w:sz w:val="26"/>
          <w:szCs w:val="26"/>
        </w:rPr>
        <w:t>su</w:t>
      </w:r>
      <w:r w:rsidR="00990F9B" w:rsidRPr="00990F9B">
        <w:rPr>
          <w:rFonts w:ascii="Arial" w:eastAsia="Times New Roman" w:hAnsi="Arial" w:cs="Arial"/>
          <w:sz w:val="26"/>
          <w:szCs w:val="26"/>
        </w:rPr>
        <w:t xml:space="preserve"> interés jurídico o </w:t>
      </w:r>
      <w:r w:rsidR="00637511" w:rsidRPr="00990F9B">
        <w:rPr>
          <w:rFonts w:ascii="Arial" w:eastAsia="Times New Roman" w:hAnsi="Arial" w:cs="Arial"/>
          <w:sz w:val="26"/>
          <w:szCs w:val="26"/>
        </w:rPr>
        <w:t>legítimo</w:t>
      </w:r>
      <w:r w:rsidR="00990F9B" w:rsidRPr="00990F9B">
        <w:rPr>
          <w:rFonts w:ascii="Arial" w:eastAsia="Times New Roman" w:hAnsi="Arial" w:cs="Arial"/>
          <w:sz w:val="26"/>
          <w:szCs w:val="26"/>
        </w:rPr>
        <w:t>, resulta falso</w:t>
      </w:r>
      <w:r w:rsidR="00637511">
        <w:rPr>
          <w:rFonts w:ascii="Arial" w:eastAsia="Times New Roman" w:hAnsi="Arial" w:cs="Arial"/>
          <w:sz w:val="26"/>
          <w:szCs w:val="26"/>
        </w:rPr>
        <w:t>,</w:t>
      </w:r>
      <w:r w:rsidR="00990F9B" w:rsidRPr="00990F9B">
        <w:rPr>
          <w:rFonts w:ascii="Arial" w:eastAsia="Times New Roman" w:hAnsi="Arial" w:cs="Arial"/>
          <w:sz w:val="26"/>
          <w:szCs w:val="26"/>
        </w:rPr>
        <w:t xml:space="preserve"> pues los actos que reclam</w:t>
      </w:r>
      <w:r w:rsidR="00637511">
        <w:rPr>
          <w:rFonts w:ascii="Arial" w:eastAsia="Times New Roman" w:hAnsi="Arial" w:cs="Arial"/>
          <w:sz w:val="26"/>
          <w:szCs w:val="26"/>
        </w:rPr>
        <w:t>a</w:t>
      </w:r>
      <w:r w:rsidR="00990F9B" w:rsidRPr="00990F9B">
        <w:rPr>
          <w:rFonts w:ascii="Arial" w:eastAsia="Times New Roman" w:hAnsi="Arial" w:cs="Arial"/>
          <w:sz w:val="26"/>
          <w:szCs w:val="26"/>
        </w:rPr>
        <w:t xml:space="preserve"> vulneran </w:t>
      </w:r>
      <w:r w:rsidR="00637511">
        <w:rPr>
          <w:rFonts w:ascii="Arial" w:eastAsia="Times New Roman" w:hAnsi="Arial" w:cs="Arial"/>
          <w:sz w:val="26"/>
          <w:szCs w:val="26"/>
        </w:rPr>
        <w:t>su</w:t>
      </w:r>
      <w:r w:rsidR="00990F9B" w:rsidRPr="00990F9B">
        <w:rPr>
          <w:rFonts w:ascii="Arial" w:eastAsia="Times New Roman" w:hAnsi="Arial" w:cs="Arial"/>
          <w:sz w:val="26"/>
          <w:szCs w:val="26"/>
        </w:rPr>
        <w:t xml:space="preserve"> derecho de audiencia y de defensa.</w:t>
      </w:r>
      <w:r w:rsidR="00637511">
        <w:rPr>
          <w:rFonts w:ascii="Arial" w:eastAsia="Times New Roman" w:hAnsi="Arial" w:cs="Arial"/>
          <w:sz w:val="26"/>
          <w:szCs w:val="26"/>
        </w:rPr>
        <w:t xml:space="preserve"> - - - - - - - - - - - - - - - - - - - - - - - - - - - - - - - - - - - - - - - - - - - - - - </w:t>
      </w:r>
    </w:p>
    <w:p w14:paraId="748E4B73" w14:textId="1CA033A7" w:rsidR="00637511" w:rsidRDefault="00637511" w:rsidP="0063751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tanto, arguye que la Sala Unitaria resulta ser </w:t>
      </w:r>
      <w:r w:rsidR="00990F9B" w:rsidRPr="00990F9B">
        <w:rPr>
          <w:rFonts w:ascii="Arial" w:eastAsia="Times New Roman" w:hAnsi="Arial" w:cs="Arial"/>
          <w:sz w:val="26"/>
          <w:szCs w:val="26"/>
        </w:rPr>
        <w:t xml:space="preserve">competente para conocer y resolver </w:t>
      </w:r>
      <w:r>
        <w:rPr>
          <w:rFonts w:ascii="Arial" w:eastAsia="Times New Roman" w:hAnsi="Arial" w:cs="Arial"/>
          <w:sz w:val="26"/>
          <w:szCs w:val="26"/>
        </w:rPr>
        <w:t>el juicio que promueve</w:t>
      </w:r>
      <w:r w:rsidR="00990F9B" w:rsidRPr="00990F9B">
        <w:rPr>
          <w:rFonts w:ascii="Arial" w:eastAsia="Times New Roman" w:hAnsi="Arial" w:cs="Arial"/>
          <w:sz w:val="26"/>
          <w:szCs w:val="26"/>
        </w:rPr>
        <w:t xml:space="preserve"> en contra de</w:t>
      </w:r>
      <w:r>
        <w:rPr>
          <w:rFonts w:ascii="Arial" w:eastAsia="Times New Roman" w:hAnsi="Arial" w:cs="Arial"/>
          <w:sz w:val="26"/>
          <w:szCs w:val="26"/>
        </w:rPr>
        <w:t xml:space="preserve">l acto consistente en </w:t>
      </w:r>
      <w:r w:rsidR="00990F9B" w:rsidRPr="00990F9B">
        <w:rPr>
          <w:rFonts w:ascii="Arial" w:eastAsia="Times New Roman" w:hAnsi="Arial" w:cs="Arial"/>
          <w:sz w:val="26"/>
          <w:szCs w:val="26"/>
        </w:rPr>
        <w:t xml:space="preserve">la supuesta notificación realizada por </w:t>
      </w:r>
      <w:r w:rsidR="00B0555B">
        <w:rPr>
          <w:rFonts w:ascii="Arial" w:eastAsia="Times New Roman" w:hAnsi="Arial" w:cs="Arial"/>
          <w:sz w:val="26"/>
          <w:szCs w:val="26"/>
        </w:rPr>
        <w:t>*******</w:t>
      </w:r>
      <w:r>
        <w:rPr>
          <w:rFonts w:ascii="Arial" w:eastAsia="Times New Roman" w:hAnsi="Arial" w:cs="Arial"/>
          <w:sz w:val="26"/>
          <w:szCs w:val="26"/>
        </w:rPr>
        <w:t>,</w:t>
      </w:r>
      <w:r w:rsidR="00990F9B" w:rsidRPr="00990F9B">
        <w:rPr>
          <w:rFonts w:ascii="Arial" w:eastAsia="Times New Roman" w:hAnsi="Arial" w:cs="Arial"/>
          <w:sz w:val="26"/>
          <w:szCs w:val="26"/>
        </w:rPr>
        <w:t xml:space="preserve"> notificador habilitado adscrito a la Dirección de Responsabilidades Administrativas y Situación Patrimonial, dependiente de la Subsecretar</w:t>
      </w:r>
      <w:r w:rsidR="00C707F9">
        <w:rPr>
          <w:rFonts w:ascii="Arial" w:eastAsia="Times New Roman" w:hAnsi="Arial" w:cs="Arial"/>
          <w:sz w:val="26"/>
          <w:szCs w:val="26"/>
        </w:rPr>
        <w:t>í</w:t>
      </w:r>
      <w:r w:rsidR="00990F9B" w:rsidRPr="00990F9B">
        <w:rPr>
          <w:rFonts w:ascii="Arial" w:eastAsia="Times New Roman" w:hAnsi="Arial" w:cs="Arial"/>
          <w:sz w:val="26"/>
          <w:szCs w:val="26"/>
        </w:rPr>
        <w:t>a de Responsabilidades y Anticorrupción de la Secretaría de la Contraloría y Transparencia Gubernamental del Poder Ejecutivo del Estado</w:t>
      </w:r>
      <w:r>
        <w:rPr>
          <w:rFonts w:ascii="Arial" w:eastAsia="Times New Roman" w:hAnsi="Arial" w:cs="Arial"/>
          <w:sz w:val="26"/>
          <w:szCs w:val="26"/>
        </w:rPr>
        <w:t xml:space="preserve"> </w:t>
      </w:r>
      <w:r w:rsidR="00990F9B" w:rsidRPr="00990F9B">
        <w:rPr>
          <w:rFonts w:ascii="Arial" w:eastAsia="Times New Roman" w:hAnsi="Arial" w:cs="Arial"/>
          <w:sz w:val="26"/>
          <w:szCs w:val="26"/>
        </w:rPr>
        <w:t>de Oaxaca</w:t>
      </w:r>
      <w:r w:rsidR="00B0555B">
        <w:rPr>
          <w:rFonts w:ascii="Arial" w:eastAsia="Times New Roman" w:hAnsi="Arial" w:cs="Arial"/>
          <w:sz w:val="26"/>
          <w:szCs w:val="26"/>
        </w:rPr>
        <w:t xml:space="preserve">. - - - - - - - - - </w:t>
      </w:r>
    </w:p>
    <w:p w14:paraId="01624ED9" w14:textId="21A9C250" w:rsidR="009B41B3" w:rsidRDefault="00E22615" w:rsidP="009B41B3">
      <w:pPr>
        <w:spacing w:before="240" w:line="360" w:lineRule="auto"/>
        <w:ind w:firstLine="709"/>
        <w:jc w:val="both"/>
        <w:rPr>
          <w:rFonts w:ascii="Arial" w:eastAsia="Calibri" w:hAnsi="Arial" w:cs="Arial"/>
          <w:bCs/>
          <w:sz w:val="26"/>
          <w:szCs w:val="26"/>
        </w:rPr>
      </w:pPr>
      <w:r w:rsidRPr="00D44021">
        <w:rPr>
          <w:rFonts w:ascii="Arial" w:eastAsia="Calibri" w:hAnsi="Arial" w:cs="Arial"/>
          <w:bCs/>
          <w:sz w:val="26"/>
          <w:szCs w:val="26"/>
        </w:rPr>
        <w:t>De lo anteriormente expresado</w:t>
      </w:r>
      <w:r>
        <w:rPr>
          <w:rFonts w:ascii="Arial" w:eastAsia="Calibri" w:hAnsi="Arial" w:cs="Arial"/>
          <w:bCs/>
          <w:sz w:val="26"/>
          <w:szCs w:val="26"/>
        </w:rPr>
        <w:t xml:space="preserve"> </w:t>
      </w:r>
      <w:r w:rsidRPr="00D44021">
        <w:rPr>
          <w:rFonts w:ascii="Arial" w:eastAsia="Calibri" w:hAnsi="Arial" w:cs="Arial"/>
          <w:bCs/>
          <w:sz w:val="26"/>
          <w:szCs w:val="26"/>
        </w:rPr>
        <w:t xml:space="preserve">se concluye que </w:t>
      </w:r>
      <w:r>
        <w:rPr>
          <w:rFonts w:ascii="Arial" w:eastAsia="Calibri" w:hAnsi="Arial" w:cs="Arial"/>
          <w:bCs/>
          <w:sz w:val="26"/>
          <w:szCs w:val="26"/>
        </w:rPr>
        <w:t xml:space="preserve">resulta </w:t>
      </w:r>
      <w:r w:rsidRPr="00E22615">
        <w:rPr>
          <w:rFonts w:ascii="Arial" w:eastAsia="Calibri" w:hAnsi="Arial" w:cs="Arial"/>
          <w:b/>
          <w:bCs/>
          <w:sz w:val="26"/>
          <w:szCs w:val="26"/>
        </w:rPr>
        <w:t>INFUNDA</w:t>
      </w:r>
      <w:r w:rsidRPr="00D44021">
        <w:rPr>
          <w:rFonts w:ascii="Arial" w:eastAsia="Calibri" w:hAnsi="Arial" w:cs="Arial"/>
          <w:b/>
          <w:bCs/>
          <w:sz w:val="26"/>
          <w:szCs w:val="26"/>
        </w:rPr>
        <w:t xml:space="preserve">DO </w:t>
      </w:r>
      <w:r>
        <w:rPr>
          <w:rFonts w:ascii="Arial" w:eastAsia="Calibri" w:hAnsi="Arial" w:cs="Arial"/>
          <w:bCs/>
          <w:sz w:val="26"/>
          <w:szCs w:val="26"/>
        </w:rPr>
        <w:t xml:space="preserve">el </w:t>
      </w:r>
      <w:r w:rsidRPr="00D44021">
        <w:rPr>
          <w:rFonts w:ascii="Arial" w:eastAsia="Calibri" w:hAnsi="Arial" w:cs="Arial"/>
          <w:bCs/>
          <w:sz w:val="26"/>
          <w:szCs w:val="26"/>
        </w:rPr>
        <w:t xml:space="preserve">agravio planteado por </w:t>
      </w:r>
      <w:r>
        <w:rPr>
          <w:rFonts w:ascii="Arial" w:eastAsia="Calibri" w:hAnsi="Arial" w:cs="Arial"/>
          <w:bCs/>
          <w:sz w:val="26"/>
          <w:szCs w:val="26"/>
        </w:rPr>
        <w:t xml:space="preserve">el </w:t>
      </w:r>
      <w:r w:rsidRPr="00D44021">
        <w:rPr>
          <w:rFonts w:ascii="Arial" w:eastAsia="Calibri" w:hAnsi="Arial" w:cs="Arial"/>
          <w:bCs/>
          <w:sz w:val="26"/>
          <w:szCs w:val="26"/>
        </w:rPr>
        <w:t>recurrente en lo relativo a</w:t>
      </w:r>
      <w:r>
        <w:rPr>
          <w:rFonts w:ascii="Arial" w:eastAsia="Calibri" w:hAnsi="Arial" w:cs="Arial"/>
          <w:bCs/>
          <w:sz w:val="26"/>
          <w:szCs w:val="26"/>
        </w:rPr>
        <w:t xml:space="preserve">l acceso a la justicia que prevé el arábigo 17 de la Carta Magna y a </w:t>
      </w:r>
      <w:r w:rsidRPr="00D44021">
        <w:rPr>
          <w:rFonts w:ascii="Arial" w:eastAsia="Calibri" w:hAnsi="Arial" w:cs="Arial"/>
          <w:bCs/>
          <w:sz w:val="26"/>
          <w:szCs w:val="26"/>
        </w:rPr>
        <w:t xml:space="preserve">la competencia </w:t>
      </w:r>
      <w:r>
        <w:rPr>
          <w:rFonts w:ascii="Arial" w:eastAsia="Calibri" w:hAnsi="Arial" w:cs="Arial"/>
          <w:bCs/>
          <w:sz w:val="26"/>
          <w:szCs w:val="26"/>
        </w:rPr>
        <w:t>de este Órgano Jurisdiccional</w:t>
      </w:r>
      <w:r w:rsidR="00E37869">
        <w:rPr>
          <w:rFonts w:ascii="Arial" w:eastAsia="Calibri" w:hAnsi="Arial" w:cs="Arial"/>
          <w:bCs/>
          <w:sz w:val="26"/>
          <w:szCs w:val="26"/>
        </w:rPr>
        <w:t xml:space="preserve"> respecto del acto impugnado</w:t>
      </w:r>
      <w:r w:rsidR="000F6D07">
        <w:rPr>
          <w:rFonts w:ascii="Arial" w:eastAsia="Calibri" w:hAnsi="Arial" w:cs="Arial"/>
          <w:bCs/>
          <w:sz w:val="26"/>
          <w:szCs w:val="26"/>
        </w:rPr>
        <w:t>, por las consideraciones siguientes</w:t>
      </w:r>
      <w:r w:rsidR="009B41B3">
        <w:rPr>
          <w:rFonts w:ascii="Arial" w:eastAsia="Calibri" w:hAnsi="Arial" w:cs="Arial"/>
          <w:bCs/>
          <w:sz w:val="26"/>
          <w:szCs w:val="26"/>
        </w:rPr>
        <w:t>:</w:t>
      </w:r>
      <w:r w:rsidR="007376BA">
        <w:rPr>
          <w:rFonts w:ascii="Arial" w:eastAsia="Calibri" w:hAnsi="Arial" w:cs="Arial"/>
          <w:bCs/>
          <w:sz w:val="26"/>
          <w:szCs w:val="26"/>
        </w:rPr>
        <w:t xml:space="preserve"> - - - - - - - - - - - - - - - - - </w:t>
      </w:r>
    </w:p>
    <w:p w14:paraId="446D69CB" w14:textId="7967F04F" w:rsidR="006368CA" w:rsidRDefault="00592562" w:rsidP="009B41B3">
      <w:pPr>
        <w:spacing w:before="240" w:line="360" w:lineRule="auto"/>
        <w:ind w:firstLine="709"/>
        <w:jc w:val="both"/>
        <w:rPr>
          <w:rFonts w:ascii="Arial" w:eastAsia="Calibri" w:hAnsi="Arial" w:cs="Arial"/>
          <w:bCs/>
          <w:sz w:val="26"/>
          <w:szCs w:val="26"/>
        </w:rPr>
      </w:pPr>
      <w:r w:rsidRPr="00E26159">
        <w:rPr>
          <w:rFonts w:ascii="Arial" w:eastAsia="Calibri" w:hAnsi="Arial" w:cs="Arial"/>
          <w:b/>
          <w:bCs/>
          <w:sz w:val="26"/>
          <w:szCs w:val="26"/>
        </w:rPr>
        <w:t>Primero</w:t>
      </w:r>
      <w:r>
        <w:rPr>
          <w:rFonts w:ascii="Arial" w:eastAsia="Calibri" w:hAnsi="Arial" w:cs="Arial"/>
          <w:bCs/>
          <w:sz w:val="26"/>
          <w:szCs w:val="26"/>
        </w:rPr>
        <w:t xml:space="preserve">, </w:t>
      </w:r>
      <w:r w:rsidR="009B41B3" w:rsidRPr="009B41B3">
        <w:rPr>
          <w:rFonts w:ascii="Arial" w:eastAsia="Calibri" w:hAnsi="Arial" w:cs="Arial"/>
          <w:bCs/>
          <w:sz w:val="26"/>
          <w:szCs w:val="26"/>
        </w:rPr>
        <w:t>el derecho de acceso a la justicia reconocido por el artículo 17 de la Constitución Política de los Estados Unidos Mexicanos,</w:t>
      </w:r>
      <w:r>
        <w:rPr>
          <w:rFonts w:ascii="Arial" w:eastAsia="Calibri" w:hAnsi="Arial" w:cs="Arial"/>
          <w:bCs/>
          <w:sz w:val="26"/>
          <w:szCs w:val="26"/>
        </w:rPr>
        <w:t xml:space="preserve"> </w:t>
      </w:r>
      <w:r w:rsidRPr="00592562">
        <w:rPr>
          <w:rFonts w:ascii="Arial" w:eastAsia="Calibri" w:hAnsi="Arial" w:cs="Arial"/>
          <w:bCs/>
          <w:sz w:val="26"/>
          <w:szCs w:val="26"/>
        </w:rPr>
        <w:lastRenderedPageBreak/>
        <w:t xml:space="preserve">establece que toda persona tiene derecho a que se le administre justicia por tribunales que estarán expeditos para impartirla en los plazos y </w:t>
      </w:r>
      <w:r w:rsidRPr="006368CA">
        <w:rPr>
          <w:rFonts w:ascii="Arial" w:eastAsia="Calibri" w:hAnsi="Arial" w:cs="Arial"/>
          <w:bCs/>
          <w:sz w:val="26"/>
          <w:szCs w:val="26"/>
        </w:rPr>
        <w:t>términos que fijen las leyes,</w:t>
      </w:r>
      <w:r w:rsidRPr="00592562">
        <w:rPr>
          <w:rFonts w:ascii="Arial" w:eastAsia="Calibri" w:hAnsi="Arial" w:cs="Arial"/>
          <w:bCs/>
          <w:sz w:val="26"/>
          <w:szCs w:val="26"/>
        </w:rPr>
        <w:t xml:space="preserve"> emitiendo sus resoluciones de manera pronta, completa e imparcial</w:t>
      </w:r>
      <w:r w:rsidR="00FA68E1">
        <w:rPr>
          <w:rFonts w:ascii="Arial" w:eastAsia="Calibri" w:hAnsi="Arial" w:cs="Arial"/>
          <w:bCs/>
          <w:sz w:val="26"/>
          <w:szCs w:val="26"/>
        </w:rPr>
        <w:t>,</w:t>
      </w:r>
      <w:r w:rsidR="006368CA">
        <w:rPr>
          <w:rFonts w:ascii="Arial" w:eastAsia="Calibri" w:hAnsi="Arial" w:cs="Arial"/>
          <w:bCs/>
          <w:sz w:val="26"/>
          <w:szCs w:val="26"/>
        </w:rPr>
        <w:t xml:space="preserve"> es decir, d</w:t>
      </w:r>
      <w:r w:rsidR="006368CA" w:rsidRPr="006368CA">
        <w:rPr>
          <w:rFonts w:ascii="Arial" w:eastAsia="Calibri" w:hAnsi="Arial" w:cs="Arial"/>
          <w:bCs/>
          <w:sz w:val="26"/>
          <w:szCs w:val="26"/>
        </w:rPr>
        <w:t>el citado criterio se desprende que los órganos materialmente encargados de impartir justicia, independientemente de su origen formal, se encuentran obligados a observar los principios de la garantía de administración de justicia</w:t>
      </w:r>
      <w:r w:rsidR="006368CA">
        <w:rPr>
          <w:rFonts w:ascii="Arial" w:eastAsia="Calibri" w:hAnsi="Arial" w:cs="Arial"/>
          <w:bCs/>
          <w:sz w:val="26"/>
          <w:szCs w:val="26"/>
        </w:rPr>
        <w:t xml:space="preserve">, </w:t>
      </w:r>
      <w:r w:rsidR="006368CA" w:rsidRPr="006368CA">
        <w:rPr>
          <w:rFonts w:ascii="Arial" w:eastAsia="Calibri" w:hAnsi="Arial" w:cs="Arial"/>
          <w:bCs/>
          <w:sz w:val="26"/>
          <w:szCs w:val="26"/>
        </w:rPr>
        <w:t>consistentes en: 1. Resolver las controversias ante ellas planteadas, dentro de los términos y plazos que para tal efecto se establezcan en las leyes (justicia pronta); 2. Resolver sobre todos y cada uno de los aspectos debatidos (justicia completa); 3. Resolver de manera justa la controversia (justicia imparcial) y, finalmente; 4. Resolver sin que medie contraprestación económica o en especie de alguna de las partes (justicia gratuita).</w:t>
      </w:r>
      <w:r w:rsidR="00FA68E1">
        <w:rPr>
          <w:rFonts w:ascii="Arial" w:eastAsia="Calibri" w:hAnsi="Arial" w:cs="Arial"/>
          <w:bCs/>
          <w:sz w:val="26"/>
          <w:szCs w:val="26"/>
        </w:rPr>
        <w:t xml:space="preserve"> - - - - - - - - - - - - - - - - - - - - - - - - - - - - - - - - - - - - - - - </w:t>
      </w:r>
    </w:p>
    <w:p w14:paraId="66FFBFF4" w14:textId="274D275B" w:rsidR="00C50D46" w:rsidRDefault="00592562" w:rsidP="009B41B3">
      <w:pPr>
        <w:spacing w:before="240" w:line="360" w:lineRule="auto"/>
        <w:ind w:firstLine="709"/>
        <w:jc w:val="both"/>
        <w:rPr>
          <w:rFonts w:ascii="Arial" w:eastAsia="Calibri" w:hAnsi="Arial" w:cs="Arial"/>
          <w:bCs/>
          <w:sz w:val="26"/>
          <w:szCs w:val="26"/>
        </w:rPr>
      </w:pPr>
      <w:r w:rsidRPr="00592562">
        <w:rPr>
          <w:rFonts w:ascii="Arial" w:eastAsia="Calibri" w:hAnsi="Arial" w:cs="Arial"/>
          <w:bCs/>
          <w:sz w:val="26"/>
          <w:szCs w:val="26"/>
        </w:rPr>
        <w:t xml:space="preserve">En ese sentido, el acceso a la justicia es un derecho humano que garantiza, </w:t>
      </w:r>
      <w:r w:rsidRPr="00C50D46">
        <w:rPr>
          <w:rFonts w:ascii="Arial" w:eastAsia="Calibri" w:hAnsi="Arial" w:cs="Arial"/>
          <w:b/>
          <w:bCs/>
          <w:sz w:val="26"/>
          <w:szCs w:val="26"/>
        </w:rPr>
        <w:t>con determinados requisitos</w:t>
      </w:r>
      <w:r w:rsidRPr="00592562">
        <w:rPr>
          <w:rFonts w:ascii="Arial" w:eastAsia="Calibri" w:hAnsi="Arial" w:cs="Arial"/>
          <w:bCs/>
          <w:sz w:val="26"/>
          <w:szCs w:val="26"/>
        </w:rPr>
        <w:t xml:space="preserve"> que toda persona pueda acceder a tribunales independientes e imparciales, a fin de que se respeten y hagan valer sus derechos y para que los propios órganos encargados de impartir justicia resuelvan sin obstáculos las controversias sometidas a su consideración, de manera pronta, eficaz y en los plazos establecidos por la ley</w:t>
      </w:r>
      <w:r w:rsidR="00C50D46">
        <w:rPr>
          <w:rFonts w:ascii="Arial" w:eastAsia="Calibri" w:hAnsi="Arial" w:cs="Arial"/>
          <w:bCs/>
          <w:sz w:val="26"/>
          <w:szCs w:val="26"/>
        </w:rPr>
        <w:t>. - - - - - - - - - - - - - - - - - - - - - - - - -</w:t>
      </w:r>
    </w:p>
    <w:p w14:paraId="5198B3EF" w14:textId="3D208E18" w:rsidR="00EB5037" w:rsidRDefault="00107862" w:rsidP="00253F5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Por ello, el citado derecho</w:t>
      </w:r>
      <w:r w:rsidR="00C50D46" w:rsidRPr="00584AA4">
        <w:rPr>
          <w:rFonts w:ascii="Arial" w:eastAsia="Calibri" w:hAnsi="Arial" w:cs="Arial"/>
          <w:bCs/>
          <w:sz w:val="26"/>
          <w:szCs w:val="26"/>
        </w:rPr>
        <w:t xml:space="preserve"> exige que quienes tengan necesidad de que se les administre justicia, la reciban por órganos jurisdiccionales permanentes, creados con antelación al conflicto, sin más condición que las formalidades necesarias, razonables y proporcionales al caso para lograr su trámite y resolución</w:t>
      </w:r>
      <w:r>
        <w:rPr>
          <w:rFonts w:ascii="Arial" w:eastAsia="Calibri" w:hAnsi="Arial" w:cs="Arial"/>
          <w:bCs/>
          <w:sz w:val="26"/>
          <w:szCs w:val="26"/>
        </w:rPr>
        <w:t xml:space="preserve">; </w:t>
      </w:r>
      <w:r w:rsidR="009A26A8">
        <w:rPr>
          <w:rFonts w:ascii="Arial" w:eastAsia="Calibri" w:hAnsi="Arial" w:cs="Arial"/>
          <w:bCs/>
          <w:sz w:val="26"/>
          <w:szCs w:val="26"/>
        </w:rPr>
        <w:t>así también,</w:t>
      </w:r>
      <w:r w:rsidR="00C50D46" w:rsidRPr="00584AA4">
        <w:rPr>
          <w:rFonts w:ascii="Arial" w:eastAsia="Calibri" w:hAnsi="Arial" w:cs="Arial"/>
          <w:bCs/>
          <w:sz w:val="26"/>
          <w:szCs w:val="26"/>
        </w:rPr>
        <w:t xml:space="preserve"> les faculta para </w:t>
      </w:r>
      <w:r w:rsidR="00C50D46" w:rsidRPr="009A26A8">
        <w:rPr>
          <w:rFonts w:ascii="Arial" w:eastAsia="Calibri" w:hAnsi="Arial" w:cs="Arial"/>
          <w:b/>
          <w:bCs/>
          <w:sz w:val="26"/>
          <w:szCs w:val="26"/>
        </w:rPr>
        <w:t>establecer requisitos y formalidades esenciales para el desarrollo de todo proceso</w:t>
      </w:r>
      <w:r w:rsidR="00C50D46" w:rsidRPr="00584AA4">
        <w:rPr>
          <w:rFonts w:ascii="Arial" w:eastAsia="Calibri" w:hAnsi="Arial" w:cs="Arial"/>
          <w:bCs/>
          <w:sz w:val="26"/>
          <w:szCs w:val="26"/>
        </w:rPr>
        <w:t xml:space="preserve">, </w:t>
      </w:r>
      <w:r w:rsidR="00253F5B">
        <w:rPr>
          <w:rFonts w:ascii="Arial" w:eastAsia="Calibri" w:hAnsi="Arial" w:cs="Arial"/>
          <w:bCs/>
          <w:sz w:val="26"/>
          <w:szCs w:val="26"/>
        </w:rPr>
        <w:t xml:space="preserve">considerando siempre </w:t>
      </w:r>
      <w:r w:rsidR="009814C9">
        <w:rPr>
          <w:rFonts w:ascii="Arial" w:eastAsia="Calibri" w:hAnsi="Arial" w:cs="Arial"/>
          <w:bCs/>
          <w:sz w:val="26"/>
          <w:szCs w:val="26"/>
        </w:rPr>
        <w:t xml:space="preserve">los </w:t>
      </w:r>
      <w:r w:rsidR="00EB5037" w:rsidRPr="00EB5037">
        <w:rPr>
          <w:rFonts w:ascii="Arial" w:eastAsia="Calibri" w:hAnsi="Arial" w:cs="Arial"/>
          <w:bCs/>
          <w:sz w:val="26"/>
          <w:szCs w:val="26"/>
        </w:rPr>
        <w:t>presupuestos procesales</w:t>
      </w:r>
      <w:r w:rsidR="00EB5037">
        <w:rPr>
          <w:rFonts w:ascii="Arial" w:eastAsia="Calibri" w:hAnsi="Arial" w:cs="Arial"/>
          <w:bCs/>
          <w:sz w:val="26"/>
          <w:szCs w:val="26"/>
        </w:rPr>
        <w:t xml:space="preserve"> que </w:t>
      </w:r>
      <w:r w:rsidR="00EB5037" w:rsidRPr="00EB5037">
        <w:rPr>
          <w:rFonts w:ascii="Arial" w:eastAsia="Calibri" w:hAnsi="Arial" w:cs="Arial"/>
          <w:bCs/>
          <w:sz w:val="26"/>
          <w:szCs w:val="26"/>
        </w:rPr>
        <w:t>constituyen requisitos sin los cuales no puede iniciarse ni tramitarse válidamente o con eficacia jurídica algún proceso, al ser cuestiones de orden público y que deben estudiarse de oficio</w:t>
      </w:r>
      <w:r w:rsidR="00EB5037">
        <w:rPr>
          <w:rFonts w:ascii="Arial" w:eastAsia="Calibri" w:hAnsi="Arial" w:cs="Arial"/>
          <w:bCs/>
          <w:sz w:val="26"/>
          <w:szCs w:val="26"/>
        </w:rPr>
        <w:t xml:space="preserve">, a pesar de que su análisis conlleve un perjuicio al administrado, </w:t>
      </w:r>
      <w:r w:rsidR="00EB5037" w:rsidRPr="00EB5037">
        <w:rPr>
          <w:rFonts w:ascii="Arial" w:eastAsia="Calibri" w:hAnsi="Arial" w:cs="Arial"/>
          <w:bCs/>
          <w:sz w:val="26"/>
          <w:szCs w:val="26"/>
        </w:rPr>
        <w:t xml:space="preserve">ya que los gobernados no pueden consentir ni tácita ni expresamente algún procedimiento que no sea el establecido por el legislador para el caso en concreto y seguido bajo los parámetros legales, pues la vía correcta para buscar la solución a un caso no es una cuestión que dependa de los particulares y ni </w:t>
      </w:r>
      <w:r w:rsidR="00EB5037" w:rsidRPr="00EB5037">
        <w:rPr>
          <w:rFonts w:ascii="Arial" w:eastAsia="Calibri" w:hAnsi="Arial" w:cs="Arial"/>
          <w:bCs/>
          <w:sz w:val="26"/>
          <w:szCs w:val="26"/>
        </w:rPr>
        <w:lastRenderedPageBreak/>
        <w:t xml:space="preserve">siquiera del </w:t>
      </w:r>
      <w:r w:rsidR="00EB5037">
        <w:rPr>
          <w:rFonts w:ascii="Arial" w:eastAsia="Calibri" w:hAnsi="Arial" w:cs="Arial"/>
          <w:bCs/>
          <w:sz w:val="26"/>
          <w:szCs w:val="26"/>
        </w:rPr>
        <w:t>Órgano Jurisdiccional</w:t>
      </w:r>
      <w:r w:rsidR="00EB5037" w:rsidRPr="00EB5037">
        <w:rPr>
          <w:rFonts w:ascii="Arial" w:eastAsia="Calibri" w:hAnsi="Arial" w:cs="Arial"/>
          <w:bCs/>
          <w:sz w:val="26"/>
          <w:szCs w:val="26"/>
        </w:rPr>
        <w:t>, sino que está determinada por la misma ley ordinaria</w:t>
      </w:r>
      <w:r w:rsidR="00EB5037">
        <w:rPr>
          <w:rFonts w:ascii="Arial" w:eastAsia="Calibri" w:hAnsi="Arial" w:cs="Arial"/>
          <w:bCs/>
          <w:sz w:val="26"/>
          <w:szCs w:val="26"/>
        </w:rPr>
        <w:t xml:space="preserve">. - - </w:t>
      </w:r>
      <w:r w:rsidR="00F84B13">
        <w:rPr>
          <w:rFonts w:ascii="Arial" w:eastAsia="Calibri" w:hAnsi="Arial" w:cs="Arial"/>
          <w:bCs/>
          <w:sz w:val="26"/>
          <w:szCs w:val="26"/>
        </w:rPr>
        <w:t xml:space="preserve">- - - - - - - - - - - - - - - - - - - - - </w:t>
      </w:r>
      <w:r w:rsidR="00435338">
        <w:rPr>
          <w:rFonts w:ascii="Arial" w:eastAsia="Calibri" w:hAnsi="Arial" w:cs="Arial"/>
          <w:bCs/>
          <w:sz w:val="26"/>
          <w:szCs w:val="26"/>
        </w:rPr>
        <w:t xml:space="preserve">- - - - - - - - - - - - - - </w:t>
      </w:r>
    </w:p>
    <w:p w14:paraId="38BC451F" w14:textId="01FFB8B7" w:rsidR="0061728C" w:rsidRDefault="00C50D46" w:rsidP="00C50D46">
      <w:pPr>
        <w:spacing w:before="240" w:line="360" w:lineRule="auto"/>
        <w:ind w:firstLine="709"/>
        <w:jc w:val="both"/>
        <w:rPr>
          <w:rFonts w:ascii="Arial" w:eastAsia="Calibri" w:hAnsi="Arial" w:cs="Arial"/>
          <w:bCs/>
          <w:sz w:val="26"/>
          <w:szCs w:val="26"/>
        </w:rPr>
      </w:pPr>
      <w:r w:rsidRPr="00584AA4">
        <w:rPr>
          <w:rFonts w:ascii="Arial" w:eastAsia="Calibri" w:hAnsi="Arial" w:cs="Arial"/>
          <w:bCs/>
          <w:sz w:val="26"/>
          <w:szCs w:val="26"/>
        </w:rPr>
        <w:t xml:space="preserve">Así, el establecimiento de requisitos o presupuestos formales que condicionen el estudio de fondo de los asuntos sometidos al conocimiento de </w:t>
      </w:r>
      <w:r w:rsidR="00435691">
        <w:rPr>
          <w:rFonts w:ascii="Arial" w:eastAsia="Calibri" w:hAnsi="Arial" w:cs="Arial"/>
          <w:bCs/>
          <w:sz w:val="26"/>
          <w:szCs w:val="26"/>
        </w:rPr>
        <w:t xml:space="preserve">este Tribunal </w:t>
      </w:r>
      <w:r w:rsidRPr="00584AA4">
        <w:rPr>
          <w:rFonts w:ascii="Arial" w:eastAsia="Calibri" w:hAnsi="Arial" w:cs="Arial"/>
          <w:bCs/>
          <w:sz w:val="26"/>
          <w:szCs w:val="26"/>
        </w:rPr>
        <w:t xml:space="preserve">no constituye, en sí mismo, una violación al derecho de </w:t>
      </w:r>
      <w:r w:rsidR="00DD6C17">
        <w:rPr>
          <w:rFonts w:ascii="Arial" w:eastAsia="Calibri" w:hAnsi="Arial" w:cs="Arial"/>
          <w:bCs/>
          <w:sz w:val="26"/>
          <w:szCs w:val="26"/>
        </w:rPr>
        <w:t>acceso a la justicia (</w:t>
      </w:r>
      <w:r w:rsidRPr="00584AA4">
        <w:rPr>
          <w:rFonts w:ascii="Arial" w:eastAsia="Calibri" w:hAnsi="Arial" w:cs="Arial"/>
          <w:bCs/>
          <w:sz w:val="26"/>
          <w:szCs w:val="26"/>
        </w:rPr>
        <w:t>tutela jurisdiccional efectiva</w:t>
      </w:r>
      <w:r w:rsidR="00DD6C17">
        <w:rPr>
          <w:rFonts w:ascii="Arial" w:eastAsia="Calibri" w:hAnsi="Arial" w:cs="Arial"/>
          <w:bCs/>
          <w:sz w:val="26"/>
          <w:szCs w:val="26"/>
        </w:rPr>
        <w:t>),</w:t>
      </w:r>
      <w:r w:rsidRPr="00584AA4">
        <w:rPr>
          <w:rFonts w:ascii="Arial" w:eastAsia="Calibri" w:hAnsi="Arial" w:cs="Arial"/>
          <w:bCs/>
          <w:sz w:val="26"/>
          <w:szCs w:val="26"/>
        </w:rPr>
        <w:t xml:space="preserve"> máxime cuando el principio de seguridad jurídica requiere su existencia para la correcta y funcional administración de justicia y para la efectiva protección de los derechos de </w:t>
      </w:r>
      <w:r w:rsidR="0061728C">
        <w:rPr>
          <w:rFonts w:ascii="Arial" w:eastAsia="Calibri" w:hAnsi="Arial" w:cs="Arial"/>
          <w:bCs/>
          <w:sz w:val="26"/>
          <w:szCs w:val="26"/>
        </w:rPr>
        <w:t>los administrados</w:t>
      </w:r>
      <w:r w:rsidRPr="00584AA4">
        <w:rPr>
          <w:rFonts w:ascii="Arial" w:eastAsia="Calibri" w:hAnsi="Arial" w:cs="Arial"/>
          <w:bCs/>
          <w:sz w:val="26"/>
          <w:szCs w:val="26"/>
        </w:rPr>
        <w:t>.</w:t>
      </w:r>
      <w:r w:rsidR="0061728C">
        <w:rPr>
          <w:rFonts w:ascii="Arial" w:eastAsia="Calibri" w:hAnsi="Arial" w:cs="Arial"/>
          <w:bCs/>
          <w:sz w:val="26"/>
          <w:szCs w:val="26"/>
        </w:rPr>
        <w:t xml:space="preserve"> - - - - - - - - - - - - - - - - </w:t>
      </w:r>
    </w:p>
    <w:p w14:paraId="0EBC0F57" w14:textId="74F32926" w:rsidR="00647EA3" w:rsidRPr="00584AA4" w:rsidRDefault="00C50D46" w:rsidP="00647EA3">
      <w:pPr>
        <w:spacing w:before="240" w:line="360" w:lineRule="auto"/>
        <w:ind w:firstLine="709"/>
        <w:jc w:val="both"/>
        <w:rPr>
          <w:rFonts w:ascii="Arial" w:eastAsia="Calibri" w:hAnsi="Arial" w:cs="Arial"/>
          <w:bCs/>
          <w:sz w:val="26"/>
          <w:szCs w:val="26"/>
        </w:rPr>
      </w:pPr>
      <w:r w:rsidRPr="00584AA4">
        <w:rPr>
          <w:rFonts w:ascii="Arial" w:eastAsia="Calibri" w:hAnsi="Arial" w:cs="Arial"/>
          <w:bCs/>
          <w:sz w:val="26"/>
          <w:szCs w:val="26"/>
        </w:rPr>
        <w:t>A partir de este enfoque, los mencionados requisitos de procedibilidad no limitan ni restringen el derecho</w:t>
      </w:r>
      <w:r w:rsidR="0061728C">
        <w:rPr>
          <w:rFonts w:ascii="Arial" w:eastAsia="Calibri" w:hAnsi="Arial" w:cs="Arial"/>
          <w:bCs/>
          <w:sz w:val="26"/>
          <w:szCs w:val="26"/>
        </w:rPr>
        <w:t xml:space="preserve"> del promovente</w:t>
      </w:r>
      <w:r w:rsidRPr="00584AA4">
        <w:rPr>
          <w:rFonts w:ascii="Arial" w:eastAsia="Calibri" w:hAnsi="Arial" w:cs="Arial"/>
          <w:bCs/>
          <w:sz w:val="26"/>
          <w:szCs w:val="26"/>
        </w:rPr>
        <w:t>, sino que regulan o condicionan su ejercicio</w:t>
      </w:r>
      <w:r w:rsidR="00647EA3">
        <w:rPr>
          <w:rFonts w:ascii="Arial" w:eastAsia="Calibri" w:hAnsi="Arial" w:cs="Arial"/>
          <w:bCs/>
          <w:sz w:val="26"/>
          <w:szCs w:val="26"/>
        </w:rPr>
        <w:t>; p</w:t>
      </w:r>
      <w:r w:rsidRPr="00584AA4">
        <w:rPr>
          <w:rFonts w:ascii="Arial" w:eastAsia="Calibri" w:hAnsi="Arial" w:cs="Arial"/>
          <w:bCs/>
          <w:sz w:val="26"/>
          <w:szCs w:val="26"/>
        </w:rPr>
        <w:t xml:space="preserve">or tanto, </w:t>
      </w:r>
      <w:r w:rsidR="0061728C">
        <w:rPr>
          <w:rFonts w:ascii="Arial" w:eastAsia="Calibri" w:hAnsi="Arial" w:cs="Arial"/>
          <w:bCs/>
          <w:sz w:val="26"/>
          <w:szCs w:val="26"/>
        </w:rPr>
        <w:t>la improcedencia decretada por la Sala Unitaria</w:t>
      </w:r>
      <w:r w:rsidR="00647EA3">
        <w:rPr>
          <w:rFonts w:ascii="Arial" w:eastAsia="Calibri" w:hAnsi="Arial" w:cs="Arial"/>
          <w:bCs/>
          <w:sz w:val="26"/>
          <w:szCs w:val="26"/>
        </w:rPr>
        <w:t xml:space="preserve"> </w:t>
      </w:r>
      <w:r w:rsidRPr="00584AA4">
        <w:rPr>
          <w:rFonts w:ascii="Arial" w:eastAsia="Calibri" w:hAnsi="Arial" w:cs="Arial"/>
          <w:bCs/>
          <w:sz w:val="26"/>
          <w:szCs w:val="26"/>
        </w:rPr>
        <w:t>no vulnera el derecho de tutela judicial efectiva en su vertiente de acceso a la jurisdicción ni en la de existencia de un recurso efectivo, pues sólo otorga facultades al Magistrado instructor para que deseche</w:t>
      </w:r>
      <w:r w:rsidR="00647EA3">
        <w:rPr>
          <w:rFonts w:ascii="Arial" w:eastAsia="Calibri" w:hAnsi="Arial" w:cs="Arial"/>
          <w:bCs/>
          <w:sz w:val="26"/>
          <w:szCs w:val="26"/>
        </w:rPr>
        <w:t xml:space="preserve"> </w:t>
      </w:r>
      <w:r w:rsidRPr="00584AA4">
        <w:rPr>
          <w:rFonts w:ascii="Arial" w:eastAsia="Calibri" w:hAnsi="Arial" w:cs="Arial"/>
          <w:bCs/>
          <w:sz w:val="26"/>
          <w:szCs w:val="26"/>
        </w:rPr>
        <w:t>la demanda</w:t>
      </w:r>
      <w:r w:rsidR="00647EA3">
        <w:rPr>
          <w:rFonts w:ascii="Arial" w:eastAsia="Calibri" w:hAnsi="Arial" w:cs="Arial"/>
          <w:bCs/>
          <w:sz w:val="26"/>
          <w:szCs w:val="26"/>
        </w:rPr>
        <w:t xml:space="preserve">, </w:t>
      </w:r>
      <w:r w:rsidRPr="00584AA4">
        <w:rPr>
          <w:rFonts w:ascii="Arial" w:eastAsia="Calibri" w:hAnsi="Arial" w:cs="Arial"/>
          <w:bCs/>
          <w:sz w:val="26"/>
          <w:szCs w:val="26"/>
        </w:rPr>
        <w:t xml:space="preserve">por no ajustarse a lo previsto </w:t>
      </w:r>
      <w:r w:rsidR="00435338">
        <w:rPr>
          <w:rFonts w:ascii="Arial" w:eastAsia="Calibri" w:hAnsi="Arial" w:cs="Arial"/>
          <w:bCs/>
          <w:sz w:val="26"/>
          <w:szCs w:val="26"/>
        </w:rPr>
        <w:t>en el</w:t>
      </w:r>
      <w:r w:rsidRPr="00584AA4">
        <w:rPr>
          <w:rFonts w:ascii="Arial" w:eastAsia="Calibri" w:hAnsi="Arial" w:cs="Arial"/>
          <w:bCs/>
          <w:sz w:val="26"/>
          <w:szCs w:val="26"/>
        </w:rPr>
        <w:t xml:space="preserve"> </w:t>
      </w:r>
      <w:r w:rsidR="00647EA3">
        <w:rPr>
          <w:rFonts w:ascii="Arial" w:eastAsia="Calibri" w:hAnsi="Arial" w:cs="Arial"/>
          <w:bCs/>
          <w:sz w:val="26"/>
          <w:szCs w:val="26"/>
        </w:rPr>
        <w:t xml:space="preserve">artículo 161, fracción II de la </w:t>
      </w:r>
      <w:r w:rsidR="00647EA3" w:rsidRPr="00647EA3">
        <w:rPr>
          <w:rFonts w:ascii="Arial" w:eastAsia="Times New Roman" w:hAnsi="Arial" w:cs="Arial"/>
          <w:bCs/>
          <w:sz w:val="26"/>
          <w:szCs w:val="26"/>
        </w:rPr>
        <w:t>Ley de Procedimiento y Justicia Administrativa para el Estado de Oaxaca</w:t>
      </w:r>
      <w:r w:rsidR="00647EA3">
        <w:rPr>
          <w:rFonts w:ascii="Arial" w:eastAsia="Times New Roman" w:hAnsi="Arial" w:cs="Arial"/>
          <w:bCs/>
          <w:sz w:val="26"/>
          <w:szCs w:val="26"/>
        </w:rPr>
        <w:t xml:space="preserve"> y artículo 36, fracción I de </w:t>
      </w:r>
      <w:r w:rsidR="00435338">
        <w:rPr>
          <w:rFonts w:ascii="Arial" w:eastAsia="Times New Roman" w:hAnsi="Arial" w:cs="Arial"/>
          <w:bCs/>
          <w:sz w:val="26"/>
          <w:szCs w:val="26"/>
        </w:rPr>
        <w:t>la</w:t>
      </w:r>
      <w:r w:rsidR="00647EA3">
        <w:rPr>
          <w:rFonts w:ascii="Arial" w:eastAsia="Times New Roman" w:hAnsi="Arial" w:cs="Arial"/>
          <w:bCs/>
          <w:sz w:val="26"/>
          <w:szCs w:val="26"/>
        </w:rPr>
        <w:t xml:space="preserve"> Ley Orgánica</w:t>
      </w:r>
      <w:r w:rsidR="00435338">
        <w:rPr>
          <w:rFonts w:ascii="Arial" w:eastAsia="Times New Roman" w:hAnsi="Arial" w:cs="Arial"/>
          <w:bCs/>
          <w:sz w:val="26"/>
          <w:szCs w:val="26"/>
        </w:rPr>
        <w:t xml:space="preserve"> de la materia</w:t>
      </w:r>
      <w:r w:rsidR="00647EA3">
        <w:rPr>
          <w:rFonts w:ascii="Arial" w:eastAsia="Calibri" w:hAnsi="Arial" w:cs="Arial"/>
          <w:bCs/>
          <w:sz w:val="26"/>
          <w:szCs w:val="26"/>
        </w:rPr>
        <w:t xml:space="preserve">. - - - - - - - - - - - - - - - - - - - - - - - - - - - - - - - - </w:t>
      </w:r>
    </w:p>
    <w:p w14:paraId="198F8330" w14:textId="77777777" w:rsidR="00F84B13" w:rsidRDefault="00F84B13" w:rsidP="00F84B1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Considerar lo contrario </w:t>
      </w:r>
      <w:r w:rsidRPr="00EB5037">
        <w:rPr>
          <w:rFonts w:ascii="Arial" w:eastAsia="Calibri" w:hAnsi="Arial" w:cs="Arial"/>
          <w:bCs/>
          <w:sz w:val="26"/>
          <w:szCs w:val="26"/>
        </w:rPr>
        <w:t xml:space="preserve">implicaría legitimar </w:t>
      </w:r>
      <w:r>
        <w:rPr>
          <w:rFonts w:ascii="Arial" w:eastAsia="Calibri" w:hAnsi="Arial" w:cs="Arial"/>
          <w:bCs/>
          <w:sz w:val="26"/>
          <w:szCs w:val="26"/>
        </w:rPr>
        <w:t>un procedimiento</w:t>
      </w:r>
      <w:r w:rsidRPr="00EB5037">
        <w:rPr>
          <w:rFonts w:ascii="Arial" w:eastAsia="Calibri" w:hAnsi="Arial" w:cs="Arial"/>
          <w:bCs/>
          <w:sz w:val="26"/>
          <w:szCs w:val="26"/>
        </w:rPr>
        <w:t xml:space="preserve"> que no hubiere satisfecho las exigencias legales</w:t>
      </w:r>
      <w:r>
        <w:rPr>
          <w:rFonts w:ascii="Arial" w:eastAsia="Calibri" w:hAnsi="Arial" w:cs="Arial"/>
          <w:bCs/>
          <w:sz w:val="26"/>
          <w:szCs w:val="26"/>
        </w:rPr>
        <w:t xml:space="preserve">, </w:t>
      </w:r>
      <w:r w:rsidRPr="00EB5037">
        <w:rPr>
          <w:rFonts w:ascii="Arial" w:eastAsia="Calibri" w:hAnsi="Arial" w:cs="Arial"/>
          <w:bCs/>
          <w:sz w:val="26"/>
          <w:szCs w:val="26"/>
        </w:rPr>
        <w:t>sin que esa circunstancia implique hacer nugatorio el espíritu d</w:t>
      </w:r>
      <w:r>
        <w:rPr>
          <w:rFonts w:ascii="Arial" w:eastAsia="Calibri" w:hAnsi="Arial" w:cs="Arial"/>
          <w:bCs/>
          <w:sz w:val="26"/>
          <w:szCs w:val="26"/>
        </w:rPr>
        <w:t xml:space="preserve">el derecho de acceso a la justicia previsto en el artículo 17 de la Constitución Federal. - - - - - - - - - - - - - - </w:t>
      </w:r>
    </w:p>
    <w:p w14:paraId="4805C0BA" w14:textId="4596101A" w:rsidR="00407E07" w:rsidRDefault="002D747B" w:rsidP="00637511">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De manera que,</w:t>
      </w:r>
      <w:r w:rsidR="00407E07">
        <w:rPr>
          <w:rFonts w:ascii="Arial" w:eastAsia="Calibri" w:hAnsi="Arial" w:cs="Arial"/>
          <w:bCs/>
          <w:sz w:val="26"/>
          <w:szCs w:val="26"/>
        </w:rPr>
        <w:t xml:space="preserve"> </w:t>
      </w:r>
      <w:r w:rsidR="00640229">
        <w:rPr>
          <w:rFonts w:ascii="Arial" w:eastAsia="Calibri" w:hAnsi="Arial" w:cs="Arial"/>
          <w:bCs/>
          <w:sz w:val="26"/>
          <w:szCs w:val="26"/>
        </w:rPr>
        <w:t xml:space="preserve">del caso en estudio, </w:t>
      </w:r>
      <w:r w:rsidR="00407E07">
        <w:rPr>
          <w:rFonts w:ascii="Arial" w:eastAsia="Calibri" w:hAnsi="Arial" w:cs="Arial"/>
          <w:bCs/>
          <w:sz w:val="26"/>
          <w:szCs w:val="26"/>
        </w:rPr>
        <w:t xml:space="preserve">resulta </w:t>
      </w:r>
      <w:r w:rsidR="00AF5F4F">
        <w:rPr>
          <w:rFonts w:ascii="Arial" w:eastAsia="Calibri" w:hAnsi="Arial" w:cs="Arial"/>
          <w:bCs/>
          <w:sz w:val="26"/>
          <w:szCs w:val="26"/>
        </w:rPr>
        <w:t>correcta la determinación tomada por la Sala Unitaria al señalar lo siguiente:</w:t>
      </w:r>
    </w:p>
    <w:p w14:paraId="4540D818" w14:textId="5C5198DB" w:rsidR="00AF5F4F" w:rsidRPr="002D747B" w:rsidRDefault="00AF5F4F" w:rsidP="00EE13A4">
      <w:pPr>
        <w:spacing w:before="240"/>
        <w:ind w:left="709" w:right="758"/>
        <w:jc w:val="both"/>
        <w:rPr>
          <w:rFonts w:ascii="Arial" w:eastAsia="Calibri" w:hAnsi="Arial" w:cs="Arial"/>
          <w:bCs/>
          <w:i/>
        </w:rPr>
      </w:pPr>
      <w:r w:rsidRPr="002D747B">
        <w:rPr>
          <w:rFonts w:ascii="Arial" w:eastAsia="Calibri" w:hAnsi="Arial" w:cs="Arial"/>
          <w:bCs/>
          <w:i/>
        </w:rPr>
        <w:t>“…Para concluir, es dable destacar que en ningún momento se coartan las garantías de audiencia y de debido proceso, dado que si bien el ejercicio a la acción de la tutela efectiva, comprende el derecho de toda persona a ser parte en un proceso y a poder promover en su marco la actividad jurisdiccional que desemboque en una decisión judicial sobre las pretensiones deducidas, también lo es que el acto que impugna no cumple con los requisitos de procedibilidad correspondientes. En apoyo a tal consideración se invoca el siguiente criterio jurisprudencial.</w:t>
      </w:r>
    </w:p>
    <w:p w14:paraId="49F550B9" w14:textId="247A0B94" w:rsidR="00AF5F4F" w:rsidRPr="002D747B" w:rsidRDefault="002D747B" w:rsidP="00EE13A4">
      <w:pPr>
        <w:spacing w:before="240"/>
        <w:ind w:left="709" w:right="758"/>
        <w:jc w:val="both"/>
        <w:rPr>
          <w:rFonts w:ascii="Arial" w:eastAsia="Calibri" w:hAnsi="Arial" w:cs="Arial"/>
          <w:b/>
          <w:bCs/>
          <w:i/>
        </w:rPr>
      </w:pPr>
      <w:r>
        <w:rPr>
          <w:rFonts w:ascii="Arial" w:eastAsia="Calibri" w:hAnsi="Arial" w:cs="Arial"/>
          <w:b/>
          <w:bCs/>
          <w:i/>
        </w:rPr>
        <w:t>“</w:t>
      </w:r>
      <w:r w:rsidR="00AF5F4F" w:rsidRPr="002D747B">
        <w:rPr>
          <w:rFonts w:ascii="Arial" w:eastAsia="Calibri" w:hAnsi="Arial" w:cs="Arial"/>
          <w:b/>
          <w:bCs/>
          <w:i/>
        </w:rPr>
        <w:t>DERECHO DE ACCESO A LA IMPARTICIÓN DE JUSTICIA. SU APLICACIÓN RESPECTO DE LOS PRESUPUESTOS PROCESALES QUE RIGEN LA FUNCIÓN JURISDICCIONAL.</w:t>
      </w:r>
    </w:p>
    <w:p w14:paraId="4161F0E3" w14:textId="791AFF8F" w:rsidR="00AF5F4F" w:rsidRPr="002D747B" w:rsidRDefault="00AF5F4F" w:rsidP="00EE13A4">
      <w:pPr>
        <w:spacing w:before="240"/>
        <w:ind w:left="709" w:right="758"/>
        <w:jc w:val="both"/>
        <w:rPr>
          <w:rFonts w:ascii="Arial" w:eastAsia="Calibri" w:hAnsi="Arial" w:cs="Arial"/>
          <w:bCs/>
          <w:i/>
        </w:rPr>
      </w:pPr>
      <w:r w:rsidRPr="002D747B">
        <w:rPr>
          <w:rFonts w:ascii="Arial" w:eastAsia="Calibri" w:hAnsi="Arial" w:cs="Arial"/>
          <w:bCs/>
          <w:i/>
        </w:rPr>
        <w:lastRenderedPageBreak/>
        <w:t xml:space="preserve">Si bien los artículos 1o. y 17 de la Constitución Política de los Estados Unidos Mexicanos, así como el diverso 25 de la Convención Americana sobre Derechos Humanos, reconocen el derecho de acceso a la impartición de justicia -acceso a una tutela judicial efectiva-, </w:t>
      </w:r>
      <w:r w:rsidRPr="00640229">
        <w:rPr>
          <w:rFonts w:ascii="Arial" w:eastAsia="Calibri" w:hAnsi="Arial" w:cs="Arial"/>
          <w:bCs/>
          <w:i/>
          <w:u w:val="single"/>
        </w:rPr>
        <w:t>lo cierto es que tal circunstancia no tiene el alcance de soslayar los presupuestos procesales necesarios para la procedencia de las vías jurisdiccionales que los gobernados tengan a su alcance, pues tal proceder equivaldría a que los Tribunales dejaran de observar los demás principios constitucionales y legales que rigen su función jurisdiccional, provocando con ello un estado de incertidumbre en los destinatarios de esa función, pues se desconocería la forma de proceder de esos órganos, además de trastocarse las condiciones procesales de las partes en el juicio</w:t>
      </w:r>
      <w:r w:rsidRPr="002D747B">
        <w:rPr>
          <w:rFonts w:ascii="Arial" w:eastAsia="Calibri" w:hAnsi="Arial" w:cs="Arial"/>
          <w:bCs/>
          <w:i/>
        </w:rPr>
        <w:t>…”</w:t>
      </w:r>
      <w:r w:rsidR="002D747B">
        <w:rPr>
          <w:rFonts w:ascii="Arial" w:eastAsia="Calibri" w:hAnsi="Arial" w:cs="Arial"/>
          <w:bCs/>
          <w:i/>
        </w:rPr>
        <w:t>.</w:t>
      </w:r>
    </w:p>
    <w:p w14:paraId="1829C190" w14:textId="580C1376" w:rsidR="00640229" w:rsidRDefault="00454015" w:rsidP="00637511">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t>Segundo</w:t>
      </w:r>
      <w:r w:rsidRPr="00454015">
        <w:rPr>
          <w:rFonts w:ascii="Arial" w:eastAsia="Calibri" w:hAnsi="Arial" w:cs="Arial"/>
          <w:bCs/>
          <w:sz w:val="26"/>
          <w:szCs w:val="26"/>
        </w:rPr>
        <w:t>,</w:t>
      </w:r>
      <w:r w:rsidR="00FA5162">
        <w:rPr>
          <w:rFonts w:ascii="Arial" w:eastAsia="Calibri" w:hAnsi="Arial" w:cs="Arial"/>
          <w:bCs/>
          <w:sz w:val="26"/>
          <w:szCs w:val="26"/>
        </w:rPr>
        <w:t xml:space="preserve"> </w:t>
      </w:r>
      <w:r w:rsidR="00640229">
        <w:rPr>
          <w:rFonts w:ascii="Arial" w:eastAsia="Calibri" w:hAnsi="Arial" w:cs="Arial"/>
          <w:bCs/>
          <w:sz w:val="26"/>
          <w:szCs w:val="26"/>
        </w:rPr>
        <w:t>de la notificación efectuada por</w:t>
      </w:r>
      <w:r w:rsidR="00FA5162">
        <w:rPr>
          <w:rFonts w:ascii="Arial" w:eastAsia="Calibri" w:hAnsi="Arial" w:cs="Arial"/>
          <w:bCs/>
          <w:sz w:val="26"/>
          <w:szCs w:val="26"/>
        </w:rPr>
        <w:t xml:space="preserve"> </w:t>
      </w:r>
      <w:r w:rsidR="00B0555B">
        <w:rPr>
          <w:rFonts w:ascii="Arial" w:eastAsia="Times New Roman" w:hAnsi="Arial" w:cs="Arial"/>
          <w:sz w:val="26"/>
          <w:szCs w:val="26"/>
        </w:rPr>
        <w:t>*******</w:t>
      </w:r>
      <w:r w:rsidR="00FA5162">
        <w:rPr>
          <w:rFonts w:ascii="Arial" w:eastAsia="Times New Roman" w:hAnsi="Arial" w:cs="Arial"/>
          <w:sz w:val="26"/>
          <w:szCs w:val="26"/>
        </w:rPr>
        <w:t>,</w:t>
      </w:r>
      <w:r w:rsidR="00FA5162" w:rsidRPr="00990F9B">
        <w:rPr>
          <w:rFonts w:ascii="Arial" w:eastAsia="Times New Roman" w:hAnsi="Arial" w:cs="Arial"/>
          <w:sz w:val="26"/>
          <w:szCs w:val="26"/>
        </w:rPr>
        <w:t xml:space="preserve"> notificador habilitado adscrito a la Dirección de Responsabilidades Administrativas y Situación Patrimonial, dependiente de la Subsecretar</w:t>
      </w:r>
      <w:r w:rsidR="00FA5162">
        <w:rPr>
          <w:rFonts w:ascii="Arial" w:eastAsia="Times New Roman" w:hAnsi="Arial" w:cs="Arial"/>
          <w:sz w:val="26"/>
          <w:szCs w:val="26"/>
        </w:rPr>
        <w:t>í</w:t>
      </w:r>
      <w:r w:rsidR="00FA5162" w:rsidRPr="00990F9B">
        <w:rPr>
          <w:rFonts w:ascii="Arial" w:eastAsia="Times New Roman" w:hAnsi="Arial" w:cs="Arial"/>
          <w:sz w:val="26"/>
          <w:szCs w:val="26"/>
        </w:rPr>
        <w:t>a de Responsabilidades y Anticorrupción de la Secretaría de la Contraloría y Transparencia Gubernamental del Poder Ejecutivo del Estado</w:t>
      </w:r>
      <w:r w:rsidR="00FA5162">
        <w:rPr>
          <w:rFonts w:ascii="Arial" w:eastAsia="Times New Roman" w:hAnsi="Arial" w:cs="Arial"/>
          <w:sz w:val="26"/>
          <w:szCs w:val="26"/>
        </w:rPr>
        <w:t xml:space="preserve"> </w:t>
      </w:r>
      <w:r w:rsidR="00FA5162" w:rsidRPr="00990F9B">
        <w:rPr>
          <w:rFonts w:ascii="Arial" w:eastAsia="Times New Roman" w:hAnsi="Arial" w:cs="Arial"/>
          <w:sz w:val="26"/>
          <w:szCs w:val="26"/>
        </w:rPr>
        <w:t>de Oaxaca</w:t>
      </w:r>
      <w:r w:rsidR="00FA5162">
        <w:rPr>
          <w:rFonts w:ascii="Arial" w:eastAsia="Times New Roman" w:hAnsi="Arial" w:cs="Arial"/>
          <w:sz w:val="26"/>
          <w:szCs w:val="26"/>
        </w:rPr>
        <w:t>, -</w:t>
      </w:r>
      <w:r w:rsidR="00FA5162">
        <w:rPr>
          <w:rFonts w:ascii="Arial" w:eastAsia="Calibri" w:hAnsi="Arial" w:cs="Arial"/>
          <w:bCs/>
          <w:sz w:val="26"/>
          <w:szCs w:val="26"/>
        </w:rPr>
        <w:t>competencia de este Órgano Jurisdiccional para conocer y resolver e</w:t>
      </w:r>
      <w:r w:rsidR="00B0555B">
        <w:rPr>
          <w:rFonts w:ascii="Arial" w:eastAsia="Calibri" w:hAnsi="Arial" w:cs="Arial"/>
          <w:bCs/>
          <w:sz w:val="26"/>
          <w:szCs w:val="26"/>
        </w:rPr>
        <w:t xml:space="preserve">l juicio de nulidad planteado. - - - - - - - - - - - - - - - - - - - - - - </w:t>
      </w:r>
      <w:r w:rsidR="00FA5162">
        <w:rPr>
          <w:rFonts w:ascii="Arial" w:eastAsia="Calibri" w:hAnsi="Arial" w:cs="Arial"/>
          <w:bCs/>
          <w:sz w:val="26"/>
          <w:szCs w:val="26"/>
        </w:rPr>
        <w:t xml:space="preserve">- - </w:t>
      </w:r>
    </w:p>
    <w:p w14:paraId="28A88D34" w14:textId="11C76E0D" w:rsidR="00D5101C" w:rsidRDefault="00FA5162" w:rsidP="00637511">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De lo anterior, s</w:t>
      </w:r>
      <w:r w:rsidR="00AF5F4F">
        <w:rPr>
          <w:rFonts w:ascii="Arial" w:eastAsia="Calibri" w:hAnsi="Arial" w:cs="Arial"/>
          <w:bCs/>
          <w:sz w:val="26"/>
          <w:szCs w:val="26"/>
        </w:rPr>
        <w:t xml:space="preserve">e debe precisar </w:t>
      </w:r>
      <w:r>
        <w:rPr>
          <w:rFonts w:ascii="Arial" w:eastAsia="Calibri" w:hAnsi="Arial" w:cs="Arial"/>
          <w:bCs/>
          <w:sz w:val="26"/>
          <w:szCs w:val="26"/>
        </w:rPr>
        <w:t>que</w:t>
      </w:r>
      <w:r w:rsidR="00D66885">
        <w:rPr>
          <w:rFonts w:ascii="Arial" w:eastAsia="Calibri" w:hAnsi="Arial" w:cs="Arial"/>
          <w:bCs/>
          <w:sz w:val="26"/>
          <w:szCs w:val="26"/>
        </w:rPr>
        <w:t xml:space="preserve"> </w:t>
      </w:r>
      <w:r w:rsidR="00D66885" w:rsidRPr="00D44021">
        <w:rPr>
          <w:rFonts w:ascii="Arial" w:eastAsia="Calibri" w:hAnsi="Arial" w:cs="Arial"/>
          <w:bCs/>
          <w:sz w:val="26"/>
          <w:szCs w:val="26"/>
        </w:rPr>
        <w:t xml:space="preserve">del análisis de las constancias que integran el expediente de Primera Instancia, las que por tratarse de actuaciones judiciales tienen pleno valor probatorio, conforme a lo dispuesto por el artículo </w:t>
      </w:r>
      <w:r w:rsidR="00D66885" w:rsidRPr="00D44021">
        <w:rPr>
          <w:rFonts w:ascii="Arial" w:hAnsi="Arial" w:cs="Arial"/>
          <w:color w:val="000000" w:themeColor="text1"/>
          <w:sz w:val="26"/>
          <w:szCs w:val="26"/>
        </w:rPr>
        <w:t>203 fracción I</w:t>
      </w:r>
      <w:r w:rsidR="00D66885" w:rsidRPr="00D44021">
        <w:rPr>
          <w:rStyle w:val="Refdenotaalpie"/>
          <w:rFonts w:ascii="Arial" w:hAnsi="Arial" w:cs="Arial"/>
          <w:color w:val="000000" w:themeColor="text1"/>
          <w:sz w:val="26"/>
          <w:szCs w:val="26"/>
        </w:rPr>
        <w:footnoteReference w:id="1"/>
      </w:r>
      <w:r w:rsidR="00D66885" w:rsidRPr="00D44021">
        <w:rPr>
          <w:rFonts w:ascii="Arial" w:hAnsi="Arial" w:cs="Arial"/>
          <w:color w:val="000000" w:themeColor="text1"/>
          <w:sz w:val="26"/>
          <w:szCs w:val="26"/>
        </w:rPr>
        <w:t xml:space="preserve"> </w:t>
      </w:r>
      <w:r w:rsidR="00D66885" w:rsidRPr="00D44021">
        <w:rPr>
          <w:rFonts w:ascii="Arial" w:eastAsia="Calibri" w:hAnsi="Arial" w:cs="Arial"/>
          <w:bCs/>
          <w:sz w:val="26"/>
          <w:szCs w:val="26"/>
        </w:rPr>
        <w:t xml:space="preserve">de la Ley de Procedimiento y Justicia Administrativa para el Estado de Oaxaca, se destaca que </w:t>
      </w:r>
      <w:r>
        <w:rPr>
          <w:rFonts w:ascii="Arial" w:eastAsia="Calibri" w:hAnsi="Arial" w:cs="Arial"/>
          <w:bCs/>
          <w:sz w:val="26"/>
          <w:szCs w:val="26"/>
        </w:rPr>
        <w:t xml:space="preserve">el acto administrativo impugnado, la diligencia de notificación </w:t>
      </w:r>
      <w:r w:rsidR="00D66885">
        <w:rPr>
          <w:rFonts w:ascii="Arial" w:eastAsia="Calibri" w:hAnsi="Arial" w:cs="Arial"/>
          <w:bCs/>
          <w:sz w:val="26"/>
          <w:szCs w:val="26"/>
        </w:rPr>
        <w:t>de</w:t>
      </w:r>
      <w:r w:rsidR="0001162F">
        <w:rPr>
          <w:rFonts w:ascii="Arial" w:eastAsia="Calibri" w:hAnsi="Arial" w:cs="Arial"/>
          <w:bCs/>
          <w:sz w:val="26"/>
          <w:szCs w:val="26"/>
        </w:rPr>
        <w:t>l</w:t>
      </w:r>
      <w:r w:rsidR="00D66885">
        <w:rPr>
          <w:rFonts w:ascii="Arial" w:eastAsia="Calibri" w:hAnsi="Arial" w:cs="Arial"/>
          <w:bCs/>
          <w:sz w:val="26"/>
          <w:szCs w:val="26"/>
        </w:rPr>
        <w:t xml:space="preserve"> oficio </w:t>
      </w:r>
      <w:r w:rsidR="00B0555B">
        <w:rPr>
          <w:rFonts w:ascii="Arial" w:eastAsia="Calibri" w:hAnsi="Arial" w:cs="Arial"/>
          <w:bCs/>
          <w:sz w:val="26"/>
          <w:szCs w:val="26"/>
        </w:rPr>
        <w:t>*******</w:t>
      </w:r>
      <w:r w:rsidR="00D66885">
        <w:rPr>
          <w:rStyle w:val="Refdenotaalpie"/>
          <w:rFonts w:ascii="Arial" w:eastAsia="Calibri" w:hAnsi="Arial" w:cs="Arial"/>
          <w:bCs/>
          <w:sz w:val="26"/>
          <w:szCs w:val="26"/>
        </w:rPr>
        <w:footnoteReference w:id="2"/>
      </w:r>
      <w:r w:rsidR="00D66885">
        <w:rPr>
          <w:rFonts w:ascii="Arial" w:eastAsia="Calibri" w:hAnsi="Arial" w:cs="Arial"/>
          <w:bCs/>
          <w:sz w:val="26"/>
          <w:szCs w:val="26"/>
        </w:rPr>
        <w:t xml:space="preserve">, efectuada el quince de diciembre de dos mil veintiuno, es resultado de un procedimiento de responsabilidades administrativas instaurado en contra de la persona moral denominada </w:t>
      </w:r>
      <w:r w:rsidR="0067353E" w:rsidRPr="0067353E">
        <w:rPr>
          <w:rFonts w:ascii="Arial" w:eastAsia="Calibri" w:hAnsi="Arial" w:cs="Arial"/>
          <w:b/>
          <w:sz w:val="26"/>
          <w:szCs w:val="26"/>
        </w:rPr>
        <w:t>“</w:t>
      </w:r>
      <w:r w:rsidR="00B0555B">
        <w:rPr>
          <w:rFonts w:ascii="Arial" w:eastAsia="Calibri" w:hAnsi="Arial" w:cs="Arial"/>
          <w:b/>
          <w:sz w:val="26"/>
          <w:szCs w:val="26"/>
        </w:rPr>
        <w:t>*******</w:t>
      </w:r>
      <w:r w:rsidR="0067353E" w:rsidRPr="0067353E">
        <w:rPr>
          <w:rFonts w:ascii="Arial" w:eastAsia="Calibri" w:hAnsi="Arial" w:cs="Arial"/>
          <w:b/>
          <w:sz w:val="26"/>
          <w:szCs w:val="26"/>
        </w:rPr>
        <w:t>”</w:t>
      </w:r>
      <w:r w:rsidR="00D66885">
        <w:rPr>
          <w:rFonts w:ascii="Arial" w:eastAsia="Calibri" w:hAnsi="Arial" w:cs="Arial"/>
          <w:bCs/>
          <w:sz w:val="26"/>
          <w:szCs w:val="26"/>
        </w:rPr>
        <w:t xml:space="preserve">, bajo el </w:t>
      </w:r>
      <w:r w:rsidR="00A85508">
        <w:rPr>
          <w:rFonts w:ascii="Arial" w:eastAsia="Calibri" w:hAnsi="Arial" w:cs="Arial"/>
          <w:bCs/>
          <w:sz w:val="26"/>
          <w:szCs w:val="26"/>
        </w:rPr>
        <w:t xml:space="preserve">número de expediente </w:t>
      </w:r>
      <w:r w:rsidR="00B0555B">
        <w:rPr>
          <w:rFonts w:ascii="Arial" w:eastAsia="Calibri" w:hAnsi="Arial" w:cs="Arial"/>
          <w:b/>
          <w:sz w:val="26"/>
          <w:szCs w:val="26"/>
        </w:rPr>
        <w:t>*******</w:t>
      </w:r>
      <w:r w:rsidR="00A85508">
        <w:rPr>
          <w:rFonts w:ascii="Arial" w:eastAsia="Calibri" w:hAnsi="Arial" w:cs="Arial"/>
          <w:bCs/>
          <w:sz w:val="26"/>
          <w:szCs w:val="26"/>
        </w:rPr>
        <w:t xml:space="preserve"> </w:t>
      </w:r>
      <w:r w:rsidR="0001162F">
        <w:rPr>
          <w:rFonts w:ascii="Arial" w:eastAsia="Calibri" w:hAnsi="Arial" w:cs="Arial"/>
          <w:bCs/>
          <w:sz w:val="26"/>
          <w:szCs w:val="26"/>
        </w:rPr>
        <w:t xml:space="preserve">del índice de la </w:t>
      </w:r>
      <w:r w:rsidR="0067353E" w:rsidRPr="0001162F">
        <w:rPr>
          <w:rFonts w:ascii="Arial" w:eastAsia="Calibri" w:hAnsi="Arial" w:cs="Arial"/>
          <w:b/>
          <w:bCs/>
          <w:sz w:val="26"/>
          <w:szCs w:val="26"/>
        </w:rPr>
        <w:t>DIRECCIÓN DE SEGUIMIENTO A RESPONSABILIDADES DE LA SUBSECRETARÍA DE RESPONSABILIDADES DEPENDIENTES DE LA SECRETARÍA DE LA FUNCIÓN PÚBLICA DEL ESTADO DE PUEBLA</w:t>
      </w:r>
      <w:r w:rsidR="0067353E">
        <w:rPr>
          <w:rFonts w:ascii="Arial" w:eastAsia="Calibri" w:hAnsi="Arial" w:cs="Arial"/>
          <w:bCs/>
          <w:sz w:val="26"/>
          <w:szCs w:val="26"/>
        </w:rPr>
        <w:t>.</w:t>
      </w:r>
      <w:r w:rsidR="0001162F">
        <w:rPr>
          <w:rFonts w:ascii="Arial" w:eastAsia="Calibri" w:hAnsi="Arial" w:cs="Arial"/>
          <w:bCs/>
          <w:sz w:val="26"/>
          <w:szCs w:val="26"/>
        </w:rPr>
        <w:t xml:space="preserve"> - - - - - - - - - - - - - </w:t>
      </w:r>
    </w:p>
    <w:p w14:paraId="5EF8EFD7" w14:textId="6EF2F163" w:rsidR="0001162F" w:rsidRDefault="0001162F" w:rsidP="00637511">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El acto administrativo impugnado (diligencia de notificación)</w:t>
      </w:r>
      <w:r w:rsidR="00640E20">
        <w:rPr>
          <w:rFonts w:ascii="Arial" w:eastAsia="Calibri" w:hAnsi="Arial" w:cs="Arial"/>
          <w:bCs/>
          <w:sz w:val="26"/>
          <w:szCs w:val="26"/>
        </w:rPr>
        <w:t>,</w:t>
      </w:r>
      <w:r>
        <w:rPr>
          <w:rFonts w:ascii="Arial" w:eastAsia="Calibri" w:hAnsi="Arial" w:cs="Arial"/>
          <w:bCs/>
          <w:sz w:val="26"/>
          <w:szCs w:val="26"/>
        </w:rPr>
        <w:t xml:space="preserve"> fue </w:t>
      </w:r>
      <w:r w:rsidR="00640E20">
        <w:rPr>
          <w:rFonts w:ascii="Arial" w:eastAsia="Calibri" w:hAnsi="Arial" w:cs="Arial"/>
          <w:bCs/>
          <w:sz w:val="26"/>
          <w:szCs w:val="26"/>
        </w:rPr>
        <w:t>emitido mediante exhorto previsto en el acuerdo séptimo</w:t>
      </w:r>
      <w:r w:rsidR="00640E20">
        <w:rPr>
          <w:rStyle w:val="Refdenotaalpie"/>
          <w:rFonts w:ascii="Arial" w:eastAsia="Calibri" w:hAnsi="Arial" w:cs="Arial"/>
          <w:bCs/>
          <w:sz w:val="26"/>
          <w:szCs w:val="26"/>
        </w:rPr>
        <w:footnoteReference w:id="3"/>
      </w:r>
      <w:r w:rsidR="00640E20">
        <w:rPr>
          <w:rFonts w:ascii="Arial" w:eastAsia="Calibri" w:hAnsi="Arial" w:cs="Arial"/>
          <w:bCs/>
          <w:sz w:val="26"/>
          <w:szCs w:val="26"/>
        </w:rPr>
        <w:t xml:space="preserve"> de treinta de </w:t>
      </w:r>
      <w:proofErr w:type="gramStart"/>
      <w:r w:rsidR="00640E20">
        <w:rPr>
          <w:rFonts w:ascii="Arial" w:eastAsia="Calibri" w:hAnsi="Arial" w:cs="Arial"/>
          <w:bCs/>
          <w:sz w:val="26"/>
          <w:szCs w:val="26"/>
        </w:rPr>
        <w:lastRenderedPageBreak/>
        <w:t>noviembre</w:t>
      </w:r>
      <w:proofErr w:type="gramEnd"/>
      <w:r w:rsidR="00640E20">
        <w:rPr>
          <w:rFonts w:ascii="Arial" w:eastAsia="Calibri" w:hAnsi="Arial" w:cs="Arial"/>
          <w:bCs/>
          <w:sz w:val="26"/>
          <w:szCs w:val="26"/>
        </w:rPr>
        <w:t xml:space="preserve"> de dos mil veintiuno, del expediente de procedimiento de responsabilidades administrativas </w:t>
      </w:r>
      <w:r w:rsidR="00B0555B">
        <w:rPr>
          <w:rFonts w:ascii="Arial" w:eastAsia="Calibri" w:hAnsi="Arial" w:cs="Arial"/>
          <w:bCs/>
          <w:sz w:val="26"/>
          <w:szCs w:val="26"/>
        </w:rPr>
        <w:t>*******</w:t>
      </w:r>
      <w:r w:rsidR="00640E20">
        <w:rPr>
          <w:rFonts w:ascii="Arial" w:eastAsia="Calibri" w:hAnsi="Arial" w:cs="Arial"/>
          <w:bCs/>
          <w:sz w:val="26"/>
          <w:szCs w:val="26"/>
        </w:rPr>
        <w:t>, que en su parte medular dice:</w:t>
      </w:r>
    </w:p>
    <w:p w14:paraId="10155F18" w14:textId="77777777" w:rsidR="008C789B" w:rsidRDefault="008C789B" w:rsidP="0067353E">
      <w:pPr>
        <w:ind w:left="709" w:right="758"/>
        <w:jc w:val="both"/>
        <w:rPr>
          <w:rFonts w:ascii="Arial" w:hAnsi="Arial" w:cs="Arial"/>
          <w:i/>
        </w:rPr>
      </w:pPr>
      <w:r w:rsidRPr="008C789B">
        <w:rPr>
          <w:rFonts w:ascii="Arial" w:hAnsi="Arial" w:cs="Arial"/>
          <w:i/>
        </w:rPr>
        <w:t>“…</w:t>
      </w:r>
    </w:p>
    <w:p w14:paraId="18A82C73" w14:textId="1DA57466" w:rsidR="008C789B" w:rsidRPr="008C789B" w:rsidRDefault="008C789B" w:rsidP="0067353E">
      <w:pPr>
        <w:ind w:left="709" w:right="758"/>
        <w:jc w:val="both"/>
        <w:rPr>
          <w:rFonts w:ascii="Arial" w:hAnsi="Arial" w:cs="Arial"/>
          <w:i/>
        </w:rPr>
      </w:pPr>
      <w:r w:rsidRPr="008C789B">
        <w:rPr>
          <w:rFonts w:ascii="Arial" w:hAnsi="Arial" w:cs="Arial"/>
          <w:b/>
          <w:i/>
        </w:rPr>
        <w:t>SÉPTIMO.</w:t>
      </w:r>
      <w:r w:rsidRPr="008C789B">
        <w:rPr>
          <w:rFonts w:ascii="Arial" w:hAnsi="Arial" w:cs="Arial"/>
          <w:i/>
        </w:rPr>
        <w:t xml:space="preserve"> Se ordena emplazar a los presuntos responsables de conformidad con lo señalado en el artículo 193 fracciones I, II y III de la Ley General de Responsabilidades Administrativas mediante notificación personal que se realice, por cuanto hace al </w:t>
      </w:r>
      <w:r w:rsidRPr="008C789B">
        <w:rPr>
          <w:rFonts w:ascii="Arial" w:hAnsi="Arial" w:cs="Arial"/>
          <w:b/>
          <w:i/>
        </w:rPr>
        <w:t xml:space="preserve">C. Representante Legal y/o Apoderado Legal de la </w:t>
      </w:r>
      <w:r w:rsidR="00B0555B">
        <w:rPr>
          <w:rFonts w:ascii="Arial" w:hAnsi="Arial" w:cs="Arial"/>
          <w:b/>
          <w:i/>
        </w:rPr>
        <w:t>*******</w:t>
      </w:r>
      <w:r w:rsidRPr="008C789B">
        <w:rPr>
          <w:rFonts w:ascii="Arial" w:hAnsi="Arial" w:cs="Arial"/>
          <w:b/>
          <w:i/>
        </w:rPr>
        <w:t xml:space="preserve">” </w:t>
      </w:r>
      <w:r w:rsidRPr="008C789B">
        <w:rPr>
          <w:rFonts w:ascii="Arial" w:hAnsi="Arial" w:cs="Arial"/>
          <w:i/>
        </w:rPr>
        <w:t xml:space="preserve">en el domicilio ubicado en </w:t>
      </w:r>
      <w:r w:rsidR="00B0555B">
        <w:rPr>
          <w:rFonts w:ascii="Arial" w:hAnsi="Arial" w:cs="Arial"/>
          <w:i/>
        </w:rPr>
        <w:t>*******</w:t>
      </w:r>
      <w:r w:rsidRPr="008C789B">
        <w:rPr>
          <w:rFonts w:ascii="Arial" w:hAnsi="Arial" w:cs="Arial"/>
          <w:i/>
        </w:rPr>
        <w:t xml:space="preserve">; por cuanto hace al </w:t>
      </w:r>
      <w:r w:rsidRPr="008C789B">
        <w:rPr>
          <w:rFonts w:ascii="Arial" w:hAnsi="Arial" w:cs="Arial"/>
          <w:b/>
          <w:i/>
        </w:rPr>
        <w:t>C. Representante Legal y/o Apoderado Legal de la empresa  denominada “</w:t>
      </w:r>
      <w:r w:rsidR="00B0555B">
        <w:rPr>
          <w:rFonts w:ascii="Arial" w:hAnsi="Arial" w:cs="Arial"/>
          <w:b/>
          <w:i/>
        </w:rPr>
        <w:t>*******</w:t>
      </w:r>
      <w:r w:rsidRPr="008C789B">
        <w:rPr>
          <w:rFonts w:ascii="Arial" w:hAnsi="Arial" w:cs="Arial"/>
          <w:b/>
          <w:i/>
        </w:rPr>
        <w:t>”</w:t>
      </w:r>
      <w:r w:rsidRPr="008C789B">
        <w:rPr>
          <w:rFonts w:ascii="Arial" w:hAnsi="Arial" w:cs="Arial"/>
          <w:i/>
        </w:rPr>
        <w:t xml:space="preserve">, en el domicilio ubicado en </w:t>
      </w:r>
      <w:r w:rsidR="00B0555B">
        <w:rPr>
          <w:rFonts w:ascii="Arial" w:hAnsi="Arial" w:cs="Arial"/>
          <w:i/>
        </w:rPr>
        <w:t>*******</w:t>
      </w:r>
      <w:r w:rsidRPr="008C789B">
        <w:rPr>
          <w:rFonts w:ascii="Arial" w:hAnsi="Arial" w:cs="Arial"/>
          <w:i/>
        </w:rPr>
        <w:t xml:space="preserve">; corriéndoles traslado con copia certificada de la documentación siguiente: Informe de Presunta Responsabilidad Administrativa, derivado del Expediente de Presunta Responsabilidad Administrativa número </w:t>
      </w:r>
      <w:r w:rsidR="00B0555B">
        <w:rPr>
          <w:rFonts w:ascii="Arial" w:hAnsi="Arial" w:cs="Arial"/>
          <w:i/>
        </w:rPr>
        <w:t>*******</w:t>
      </w:r>
      <w:r w:rsidRPr="008C789B">
        <w:rPr>
          <w:rFonts w:ascii="Arial" w:hAnsi="Arial" w:cs="Arial"/>
          <w:i/>
        </w:rPr>
        <w:t xml:space="preserve">, de los radicados en la  Dirección de Atención a Quejas y Denuncias adscrita a la Subsecretaría de Responsabilidades de la Secretaría de la Función Pública del Estado de Puebla, en 11 (once) fojas útiles; Disco compacto que contiene el Expediente de Presunta Responsabilidad Administrativa número </w:t>
      </w:r>
      <w:r w:rsidR="00B0555B">
        <w:rPr>
          <w:rFonts w:ascii="Arial" w:hAnsi="Arial" w:cs="Arial"/>
          <w:i/>
        </w:rPr>
        <w:t>*******</w:t>
      </w:r>
      <w:r w:rsidRPr="008C789B">
        <w:rPr>
          <w:rFonts w:ascii="Arial" w:hAnsi="Arial" w:cs="Arial"/>
          <w:i/>
        </w:rPr>
        <w:t xml:space="preserve">, de los radicados en la  Dirección de Atención a Quejas y Denuncias adscrita a la Subsecretaría de Responsabilidades de la Secretaría de la Función Pública del Estado de Puebla, constante de 2668 (dos mil seiscientas sesenta y ocho) fojas útiles, integrado de la siguiente manera: </w:t>
      </w:r>
      <w:r w:rsidRPr="008C789B">
        <w:rPr>
          <w:rFonts w:ascii="Arial" w:hAnsi="Arial" w:cs="Arial"/>
          <w:b/>
          <w:i/>
        </w:rPr>
        <w:t xml:space="preserve">Tomo I </w:t>
      </w:r>
      <w:r w:rsidRPr="008C789B">
        <w:rPr>
          <w:rFonts w:ascii="Arial" w:hAnsi="Arial" w:cs="Arial"/>
          <w:i/>
        </w:rPr>
        <w:t xml:space="preserve">de la foja 1 (uno) a la 546 (quinientos cuarenta y seis), </w:t>
      </w:r>
      <w:r w:rsidRPr="008C789B">
        <w:rPr>
          <w:rFonts w:ascii="Arial" w:hAnsi="Arial" w:cs="Arial"/>
          <w:b/>
          <w:i/>
        </w:rPr>
        <w:t xml:space="preserve">Tomo II </w:t>
      </w:r>
      <w:r w:rsidRPr="008C789B">
        <w:rPr>
          <w:rFonts w:ascii="Arial" w:hAnsi="Arial" w:cs="Arial"/>
          <w:i/>
        </w:rPr>
        <w:t>de la foja 547 (quinientos cuarenta y siete) a la 1376 (mil trescientos setenta y seis),</w:t>
      </w:r>
      <w:r w:rsidRPr="008C789B">
        <w:rPr>
          <w:rFonts w:ascii="Arial" w:hAnsi="Arial" w:cs="Arial"/>
          <w:b/>
          <w:i/>
        </w:rPr>
        <w:t xml:space="preserve"> Tomo III </w:t>
      </w:r>
      <w:r w:rsidRPr="008C789B">
        <w:rPr>
          <w:rFonts w:ascii="Arial" w:hAnsi="Arial" w:cs="Arial"/>
          <w:i/>
        </w:rPr>
        <w:t xml:space="preserve">de la foja 1377 (mil trescientos setenta y siete) a la 1816 (mil ochocientos dieciséis), </w:t>
      </w:r>
      <w:r w:rsidRPr="008C789B">
        <w:rPr>
          <w:rFonts w:ascii="Arial" w:hAnsi="Arial" w:cs="Arial"/>
          <w:b/>
          <w:i/>
        </w:rPr>
        <w:t xml:space="preserve">Tomo IV </w:t>
      </w:r>
      <w:r w:rsidRPr="008C789B">
        <w:rPr>
          <w:rFonts w:ascii="Arial" w:hAnsi="Arial" w:cs="Arial"/>
          <w:i/>
        </w:rPr>
        <w:t xml:space="preserve">de la foja 1817 (mil ochocientos diecisiete) a la 2642 (dos mil seiscientos cuarenta y dos) y el </w:t>
      </w:r>
      <w:r w:rsidRPr="008C789B">
        <w:rPr>
          <w:rFonts w:ascii="Arial" w:hAnsi="Arial" w:cs="Arial"/>
          <w:b/>
          <w:i/>
        </w:rPr>
        <w:t xml:space="preserve">Tomo V </w:t>
      </w:r>
      <w:r w:rsidRPr="008C789B">
        <w:rPr>
          <w:rFonts w:ascii="Arial" w:hAnsi="Arial" w:cs="Arial"/>
          <w:i/>
        </w:rPr>
        <w:t xml:space="preserve">de la foja 2643 (dos mil seiscientos cuarenta y tres) a la 2668 (dos mil seiscientos sesenta y ocho); así como del presente proveído. </w:t>
      </w:r>
    </w:p>
    <w:p w14:paraId="06BDF06D" w14:textId="24FA6689" w:rsidR="008C789B" w:rsidRPr="008C789B" w:rsidRDefault="008C789B" w:rsidP="0067353E">
      <w:pPr>
        <w:ind w:left="709" w:right="758"/>
        <w:jc w:val="both"/>
        <w:rPr>
          <w:rFonts w:ascii="Arial" w:hAnsi="Arial" w:cs="Arial"/>
          <w:i/>
        </w:rPr>
      </w:pPr>
      <w:r w:rsidRPr="008C789B">
        <w:rPr>
          <w:rFonts w:ascii="Arial" w:hAnsi="Arial" w:cs="Arial"/>
          <w:i/>
        </w:rPr>
        <w:t xml:space="preserve">Asimismo, tomando en consideración que el domicilio de los presuntos responsables se encuentran ubicados fuera de la jurisdicción territorial de esta Dirección, se ordena girar atento exhorto al C. </w:t>
      </w:r>
      <w:r w:rsidR="00B0555B">
        <w:rPr>
          <w:rFonts w:ascii="Arial" w:hAnsi="Arial" w:cs="Arial"/>
          <w:i/>
        </w:rPr>
        <w:t>*******</w:t>
      </w:r>
      <w:r w:rsidRPr="008C789B">
        <w:rPr>
          <w:rFonts w:ascii="Arial" w:hAnsi="Arial" w:cs="Arial"/>
          <w:i/>
        </w:rPr>
        <w:t xml:space="preserve">, Secretario de la Contraloría y Transparencia Gubernamental, para que en auxilio de las labores de esta Dirección, se sirva ordenar a quien corresponda, notifique personalmente, a los presuntos responsables, al </w:t>
      </w:r>
      <w:r w:rsidRPr="008C789B">
        <w:rPr>
          <w:rFonts w:ascii="Arial" w:hAnsi="Arial" w:cs="Arial"/>
          <w:b/>
          <w:i/>
        </w:rPr>
        <w:t xml:space="preserve">C. Representante Legal y/o Apoderado Legal de la </w:t>
      </w:r>
      <w:r w:rsidR="00B0555B">
        <w:rPr>
          <w:rFonts w:ascii="Arial" w:hAnsi="Arial" w:cs="Arial"/>
          <w:b/>
          <w:i/>
        </w:rPr>
        <w:t>*******</w:t>
      </w:r>
      <w:r w:rsidRPr="008C789B">
        <w:rPr>
          <w:rFonts w:ascii="Arial" w:hAnsi="Arial" w:cs="Arial"/>
          <w:b/>
          <w:i/>
        </w:rPr>
        <w:t xml:space="preserve">” </w:t>
      </w:r>
      <w:r w:rsidRPr="008C789B">
        <w:rPr>
          <w:rFonts w:ascii="Arial" w:hAnsi="Arial" w:cs="Arial"/>
          <w:i/>
        </w:rPr>
        <w:t xml:space="preserve">en el domicilio ubicado en </w:t>
      </w:r>
      <w:r w:rsidR="00B0555B">
        <w:rPr>
          <w:rFonts w:ascii="Arial" w:hAnsi="Arial" w:cs="Arial"/>
          <w:i/>
        </w:rPr>
        <w:t>*******</w:t>
      </w:r>
      <w:r w:rsidRPr="008C789B">
        <w:rPr>
          <w:rFonts w:ascii="Arial" w:hAnsi="Arial" w:cs="Arial"/>
          <w:i/>
        </w:rPr>
        <w:t xml:space="preserve">; y al </w:t>
      </w:r>
      <w:r w:rsidRPr="008C789B">
        <w:rPr>
          <w:rFonts w:ascii="Arial" w:hAnsi="Arial" w:cs="Arial"/>
          <w:b/>
          <w:i/>
        </w:rPr>
        <w:t>C. Representante Legal y/o Apoderado Legal de la empresa denominada “</w:t>
      </w:r>
      <w:r w:rsidR="00B0555B">
        <w:rPr>
          <w:rFonts w:ascii="Arial" w:hAnsi="Arial" w:cs="Arial"/>
          <w:b/>
          <w:i/>
        </w:rPr>
        <w:t>*******</w:t>
      </w:r>
      <w:r w:rsidRPr="008C789B">
        <w:rPr>
          <w:rFonts w:ascii="Arial" w:hAnsi="Arial" w:cs="Arial"/>
          <w:b/>
          <w:i/>
        </w:rPr>
        <w:t>”</w:t>
      </w:r>
      <w:r w:rsidRPr="008C789B">
        <w:rPr>
          <w:rFonts w:ascii="Arial" w:hAnsi="Arial" w:cs="Arial"/>
          <w:i/>
        </w:rPr>
        <w:t xml:space="preserve">, en el domicilio ubicado en </w:t>
      </w:r>
      <w:r w:rsidR="00B0555B">
        <w:rPr>
          <w:rFonts w:ascii="Arial" w:hAnsi="Arial" w:cs="Arial"/>
          <w:i/>
        </w:rPr>
        <w:t>*******</w:t>
      </w:r>
      <w:r w:rsidRPr="008C789B">
        <w:rPr>
          <w:rFonts w:ascii="Arial" w:hAnsi="Arial" w:cs="Arial"/>
          <w:i/>
        </w:rPr>
        <w:t xml:space="preserve">; corriéndole traslado con copia certificada de la documentación siguiente: Informe de Presunta Responsabilidad Administrativa, derivado del Expediente de Presunta Responsabilidad Administrativa número </w:t>
      </w:r>
      <w:r w:rsidR="00B0555B">
        <w:rPr>
          <w:rFonts w:ascii="Arial" w:hAnsi="Arial" w:cs="Arial"/>
          <w:i/>
        </w:rPr>
        <w:t>*******</w:t>
      </w:r>
      <w:r w:rsidRPr="008C789B">
        <w:rPr>
          <w:rFonts w:ascii="Arial" w:hAnsi="Arial" w:cs="Arial"/>
          <w:i/>
        </w:rPr>
        <w:t xml:space="preserve">, de los radicados en la  Dirección de Atención a Quejas y Denuncias adscrita a la Subsecretaría de Responsabilidades de la Secretaría de la Función Pública del Estado de Puebla, en 11 (once) fojas útiles; Disco compacto que contiene el Expediente de Presunta Responsabilidad Administrativa número </w:t>
      </w:r>
      <w:r w:rsidR="00B0555B">
        <w:rPr>
          <w:rFonts w:ascii="Arial" w:hAnsi="Arial" w:cs="Arial"/>
          <w:i/>
        </w:rPr>
        <w:t>*******</w:t>
      </w:r>
      <w:r w:rsidRPr="008C789B">
        <w:rPr>
          <w:rFonts w:ascii="Arial" w:hAnsi="Arial" w:cs="Arial"/>
          <w:i/>
        </w:rPr>
        <w:t xml:space="preserve">, de los radicados en la  Dirección de Atención a Quejas y Denuncias adscrita a la Subsecretaría de Responsabilidades de la Secretaría de la Función Pública del Estado de Puebla, constante de 2668 (dos mil seiscientas sesenta y ocho) fojas útiles, integrado de la siguiente manera: </w:t>
      </w:r>
      <w:r w:rsidRPr="008C789B">
        <w:rPr>
          <w:rFonts w:ascii="Arial" w:hAnsi="Arial" w:cs="Arial"/>
          <w:b/>
          <w:i/>
        </w:rPr>
        <w:t xml:space="preserve">Tomo I </w:t>
      </w:r>
      <w:r w:rsidRPr="008C789B">
        <w:rPr>
          <w:rFonts w:ascii="Arial" w:hAnsi="Arial" w:cs="Arial"/>
          <w:i/>
        </w:rPr>
        <w:t xml:space="preserve">de la foja 1 (uno) a la 546 (quinientos </w:t>
      </w:r>
      <w:r w:rsidR="0067353E">
        <w:rPr>
          <w:rFonts w:ascii="Arial" w:hAnsi="Arial" w:cs="Arial"/>
          <w:i/>
          <w:noProof/>
        </w:rPr>
        <mc:AlternateContent>
          <mc:Choice Requires="wps">
            <w:drawing>
              <wp:anchor distT="0" distB="0" distL="114300" distR="114300" simplePos="0" relativeHeight="251659264" behindDoc="0" locked="0" layoutInCell="1" allowOverlap="1" wp14:anchorId="32F6FD8F" wp14:editId="458C3155">
                <wp:simplePos x="0" y="0"/>
                <wp:positionH relativeFrom="column">
                  <wp:posOffset>-291189</wp:posOffset>
                </wp:positionH>
                <wp:positionV relativeFrom="paragraph">
                  <wp:posOffset>3777035</wp:posOffset>
                </wp:positionV>
                <wp:extent cx="573405" cy="492760"/>
                <wp:effectExtent l="38100" t="19050" r="74295" b="97790"/>
                <wp:wrapNone/>
                <wp:docPr id="1" name="Conector recto de flecha 1"/>
                <wp:cNvGraphicFramePr/>
                <a:graphic xmlns:a="http://schemas.openxmlformats.org/drawingml/2006/main">
                  <a:graphicData uri="http://schemas.microsoft.com/office/word/2010/wordprocessingShape">
                    <wps:wsp>
                      <wps:cNvCnPr/>
                      <wps:spPr>
                        <a:xfrm>
                          <a:off x="0" y="0"/>
                          <a:ext cx="573405" cy="4927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241E79" id="_x0000_t32" coordsize="21600,21600" o:spt="32" o:oned="t" path="m,l21600,21600e" filled="f">
                <v:path arrowok="t" fillok="f" o:connecttype="none"/>
                <o:lock v:ext="edit" shapetype="t"/>
              </v:shapetype>
              <v:shape id="Conector recto de flecha 1" o:spid="_x0000_s1026" type="#_x0000_t32" style="position:absolute;margin-left:-22.95pt;margin-top:297.4pt;width:45.15pt;height:38.8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" strokecolor="black [3200]" strokeweight="2pt">
                <v:stroke endarrow="block"/>
                <v:shadow on="t" color="black" opacity="24903f" origin=",.5" offset="0,.55556mm"/>
              </v:shape>
            </w:pict>
          </mc:Fallback>
        </mc:AlternateContent>
      </w:r>
      <w:r w:rsidRPr="008C789B">
        <w:rPr>
          <w:rFonts w:ascii="Arial" w:hAnsi="Arial" w:cs="Arial"/>
          <w:i/>
        </w:rPr>
        <w:t xml:space="preserve">cuarenta y seis), </w:t>
      </w:r>
      <w:r w:rsidRPr="008C789B">
        <w:rPr>
          <w:rFonts w:ascii="Arial" w:hAnsi="Arial" w:cs="Arial"/>
          <w:b/>
          <w:i/>
        </w:rPr>
        <w:t xml:space="preserve">Tomo II </w:t>
      </w:r>
      <w:r w:rsidRPr="008C789B">
        <w:rPr>
          <w:rFonts w:ascii="Arial" w:hAnsi="Arial" w:cs="Arial"/>
          <w:i/>
        </w:rPr>
        <w:t>de la foja 547 (quinientos cuarenta y siete) a la 1376 (mil trescientos setenta y seis),</w:t>
      </w:r>
      <w:r w:rsidRPr="008C789B">
        <w:rPr>
          <w:rFonts w:ascii="Arial" w:hAnsi="Arial" w:cs="Arial"/>
          <w:b/>
          <w:i/>
        </w:rPr>
        <w:t xml:space="preserve"> Tomo III </w:t>
      </w:r>
      <w:r w:rsidRPr="008C789B">
        <w:rPr>
          <w:rFonts w:ascii="Arial" w:hAnsi="Arial" w:cs="Arial"/>
          <w:i/>
        </w:rPr>
        <w:t xml:space="preserve">de la foja 1377 (mil trescientos setenta y siete) a la 1816 (mil ochocientos dieciséis), </w:t>
      </w:r>
      <w:r w:rsidRPr="008C789B">
        <w:rPr>
          <w:rFonts w:ascii="Arial" w:hAnsi="Arial" w:cs="Arial"/>
          <w:b/>
          <w:i/>
        </w:rPr>
        <w:t xml:space="preserve">Tomo </w:t>
      </w:r>
      <w:r w:rsidRPr="008C789B">
        <w:rPr>
          <w:rFonts w:ascii="Arial" w:hAnsi="Arial" w:cs="Arial"/>
          <w:b/>
          <w:i/>
        </w:rPr>
        <w:lastRenderedPageBreak/>
        <w:t xml:space="preserve">IV </w:t>
      </w:r>
      <w:r w:rsidRPr="008C789B">
        <w:rPr>
          <w:rFonts w:ascii="Arial" w:hAnsi="Arial" w:cs="Arial"/>
          <w:i/>
        </w:rPr>
        <w:t xml:space="preserve">de la foja 1817 (mil ochocientos diecisiete) a la 2642 (dos mil seiscientos cuarenta y dos) y el </w:t>
      </w:r>
      <w:r w:rsidRPr="008C789B">
        <w:rPr>
          <w:rFonts w:ascii="Arial" w:hAnsi="Arial" w:cs="Arial"/>
          <w:b/>
          <w:i/>
        </w:rPr>
        <w:t xml:space="preserve">Tomo V </w:t>
      </w:r>
      <w:r w:rsidRPr="008C789B">
        <w:rPr>
          <w:rFonts w:ascii="Arial" w:hAnsi="Arial" w:cs="Arial"/>
          <w:i/>
        </w:rPr>
        <w:t xml:space="preserve">de la foja 2643 (dos mil seiscientos cuarenta y tres) a la 2668 (dos mil seiscientos sesenta y ocho); así como del presente proveído, mismo que contiene la admisión y radicación del Informe de Presunta Responsabilidad Administrativa; de conformidad con lo señalado en el artículo 193 fracciones I, II y III, de la Ley General de Responsabilidades Administrativas; solicitando que una vez que se lleve a cabo dichas notificaciones, se sirva remitir a ésta Dirección, las cédulas de notificación y el acuse de los oficios correspondientes. </w:t>
      </w:r>
    </w:p>
    <w:p w14:paraId="3B1A7D3E" w14:textId="1A6E0A11" w:rsidR="004E0998" w:rsidRDefault="008C789B" w:rsidP="0067353E">
      <w:pPr>
        <w:ind w:left="709" w:right="758"/>
        <w:jc w:val="both"/>
        <w:rPr>
          <w:rFonts w:ascii="Arial" w:hAnsi="Arial" w:cs="Arial"/>
          <w:i/>
        </w:rPr>
      </w:pPr>
      <w:r w:rsidRPr="008C789B">
        <w:rPr>
          <w:rFonts w:ascii="Arial" w:hAnsi="Arial" w:cs="Arial"/>
          <w:b/>
          <w:i/>
        </w:rPr>
        <w:t>OCTAVO.</w:t>
      </w:r>
      <w:r w:rsidRPr="008C789B">
        <w:rPr>
          <w:rFonts w:ascii="Arial" w:hAnsi="Arial" w:cs="Arial"/>
          <w:i/>
        </w:rPr>
        <w:t xml:space="preserve"> Se señalan las </w:t>
      </w:r>
      <w:r w:rsidRPr="008C789B">
        <w:rPr>
          <w:rFonts w:ascii="Arial" w:hAnsi="Arial" w:cs="Arial"/>
          <w:b/>
          <w:i/>
        </w:rPr>
        <w:t>TRECE HORAS DEL DÍA DIEZ DE ENERO DE DOS MIL VEINTIDÓS</w:t>
      </w:r>
      <w:r w:rsidRPr="008C789B">
        <w:rPr>
          <w:rFonts w:ascii="Arial" w:hAnsi="Arial" w:cs="Arial"/>
          <w:i/>
        </w:rPr>
        <w:t xml:space="preserve">, para que tenga verificativo la audiencia inicial del </w:t>
      </w:r>
      <w:r w:rsidRPr="008C789B">
        <w:rPr>
          <w:rFonts w:ascii="Arial" w:hAnsi="Arial" w:cs="Arial"/>
          <w:b/>
          <w:i/>
        </w:rPr>
        <w:t xml:space="preserve">C. Representante Legal y/o Apoderado Legal de la </w:t>
      </w:r>
      <w:r w:rsidR="00B0555B">
        <w:rPr>
          <w:rFonts w:ascii="Arial" w:hAnsi="Arial" w:cs="Arial"/>
          <w:b/>
          <w:i/>
        </w:rPr>
        <w:t>*******</w:t>
      </w:r>
      <w:r w:rsidRPr="008C789B">
        <w:rPr>
          <w:rFonts w:ascii="Arial" w:hAnsi="Arial" w:cs="Arial"/>
          <w:b/>
          <w:i/>
        </w:rPr>
        <w:t>”</w:t>
      </w:r>
      <w:r w:rsidRPr="008C789B">
        <w:rPr>
          <w:rFonts w:ascii="Arial" w:hAnsi="Arial" w:cs="Arial"/>
          <w:i/>
        </w:rPr>
        <w:t>; y</w:t>
      </w:r>
      <w:r w:rsidRPr="008C789B">
        <w:rPr>
          <w:rFonts w:ascii="Arial" w:hAnsi="Arial" w:cs="Arial"/>
          <w:b/>
          <w:i/>
        </w:rPr>
        <w:t xml:space="preserve"> </w:t>
      </w:r>
      <w:r w:rsidRPr="008C789B">
        <w:rPr>
          <w:rFonts w:ascii="Arial" w:hAnsi="Arial" w:cs="Arial"/>
          <w:i/>
        </w:rPr>
        <w:t xml:space="preserve">las </w:t>
      </w:r>
      <w:r w:rsidRPr="008C789B">
        <w:rPr>
          <w:rFonts w:ascii="Arial" w:hAnsi="Arial" w:cs="Arial"/>
          <w:b/>
          <w:i/>
        </w:rPr>
        <w:t>TRECE HORAS DEL DÍA ONCE DE ENERO DE DOS MIL VEINTIDÓS</w:t>
      </w:r>
      <w:r w:rsidRPr="008C789B">
        <w:rPr>
          <w:rFonts w:ascii="Arial" w:hAnsi="Arial" w:cs="Arial"/>
          <w:i/>
        </w:rPr>
        <w:t xml:space="preserve">, para la celebración de la audiencia inicial del </w:t>
      </w:r>
      <w:r w:rsidRPr="008C789B">
        <w:rPr>
          <w:rFonts w:ascii="Arial" w:hAnsi="Arial" w:cs="Arial"/>
          <w:b/>
          <w:i/>
        </w:rPr>
        <w:t>C. Representante Legal y/o Apoderado Legal de la empresa denominada “</w:t>
      </w:r>
      <w:r w:rsidR="00B0555B">
        <w:rPr>
          <w:rFonts w:ascii="Arial" w:hAnsi="Arial" w:cs="Arial"/>
          <w:b/>
          <w:i/>
        </w:rPr>
        <w:t>*******</w:t>
      </w:r>
      <w:r w:rsidRPr="008C789B">
        <w:rPr>
          <w:rFonts w:ascii="Arial" w:hAnsi="Arial" w:cs="Arial"/>
          <w:b/>
          <w:i/>
        </w:rPr>
        <w:t>”</w:t>
      </w:r>
      <w:r w:rsidRPr="008C789B">
        <w:rPr>
          <w:rFonts w:ascii="Arial" w:hAnsi="Arial" w:cs="Arial"/>
          <w:i/>
        </w:rPr>
        <w:t>, mismas que serán substanciadas pro la Dirección de Seguimiento a Responsabilidades de la Secretaría de la Función Pública del Estado de Puebla, con domicilio en Boulevard Atlixcáyotl, número 1101 (mil ciento uno), Reserva Territorial Atlixcáyotl, Colonia Concepción Las Lajas, Puebla, C.P. 72190, Centro Integral de Servicios (CIS), Edificio Ejecutivo, Primer Piso; por lo que se ordena citar a las partes para tal efecto</w:t>
      </w:r>
      <w:r w:rsidR="004E0998">
        <w:rPr>
          <w:rFonts w:ascii="Arial" w:hAnsi="Arial" w:cs="Arial"/>
          <w:i/>
        </w:rPr>
        <w:t>.</w:t>
      </w:r>
    </w:p>
    <w:p w14:paraId="3FBD455D" w14:textId="72BF9741" w:rsidR="008C789B" w:rsidRDefault="008C789B" w:rsidP="0067353E">
      <w:pPr>
        <w:ind w:left="709" w:right="758"/>
        <w:jc w:val="both"/>
        <w:rPr>
          <w:rFonts w:ascii="Arial" w:hAnsi="Arial" w:cs="Arial"/>
          <w:b/>
          <w:sz w:val="26"/>
          <w:szCs w:val="26"/>
        </w:rPr>
      </w:pPr>
      <w:r w:rsidRPr="008C789B">
        <w:rPr>
          <w:rFonts w:ascii="Arial" w:hAnsi="Arial" w:cs="Arial"/>
          <w:i/>
        </w:rPr>
        <w:t>…”</w:t>
      </w:r>
    </w:p>
    <w:p w14:paraId="0F708FFC" w14:textId="4E686417" w:rsidR="00595391" w:rsidRDefault="00640E20" w:rsidP="00637511">
      <w:pPr>
        <w:spacing w:before="240" w:line="360" w:lineRule="auto"/>
        <w:ind w:firstLine="709"/>
        <w:jc w:val="both"/>
        <w:rPr>
          <w:rFonts w:ascii="Arial" w:eastAsia="Times New Roman" w:hAnsi="Arial" w:cs="Arial"/>
          <w:bCs/>
          <w:sz w:val="26"/>
          <w:szCs w:val="26"/>
        </w:rPr>
      </w:pPr>
      <w:r>
        <w:rPr>
          <w:rFonts w:ascii="Arial" w:eastAsia="Calibri" w:hAnsi="Arial" w:cs="Arial"/>
          <w:bCs/>
          <w:sz w:val="26"/>
          <w:szCs w:val="26"/>
        </w:rPr>
        <w:t>Como puede advertirse</w:t>
      </w:r>
      <w:r w:rsidR="00A244EB">
        <w:rPr>
          <w:rFonts w:ascii="Arial" w:eastAsia="Calibri" w:hAnsi="Arial" w:cs="Arial"/>
          <w:bCs/>
          <w:sz w:val="26"/>
          <w:szCs w:val="26"/>
        </w:rPr>
        <w:t>,</w:t>
      </w:r>
      <w:r>
        <w:rPr>
          <w:rFonts w:ascii="Arial" w:eastAsia="Calibri" w:hAnsi="Arial" w:cs="Arial"/>
          <w:bCs/>
          <w:sz w:val="26"/>
          <w:szCs w:val="26"/>
        </w:rPr>
        <w:t xml:space="preserve"> </w:t>
      </w:r>
      <w:r w:rsidR="00A244EB">
        <w:rPr>
          <w:rFonts w:ascii="Arial" w:eastAsia="Calibri" w:hAnsi="Arial" w:cs="Arial"/>
          <w:bCs/>
          <w:sz w:val="26"/>
          <w:szCs w:val="26"/>
        </w:rPr>
        <w:t>el citado acto administrativo en controversia constituye su origen en un acto diverso radicado por una autoridad dependiente de una Entidad Federativa (Puebla de Zaragoza) ajena a la competencia de este Tribunal de Justicia Administrativa, por lo que atendiendo a lo estatuido en el párrafo primero del artículo 1</w:t>
      </w:r>
      <w:r w:rsidR="00A244EB">
        <w:rPr>
          <w:rStyle w:val="Refdenotaalpie"/>
          <w:rFonts w:ascii="Arial" w:eastAsia="Calibri" w:hAnsi="Arial" w:cs="Arial"/>
          <w:bCs/>
          <w:sz w:val="26"/>
          <w:szCs w:val="26"/>
        </w:rPr>
        <w:footnoteReference w:id="4"/>
      </w:r>
      <w:r w:rsidR="00A244EB">
        <w:rPr>
          <w:rFonts w:ascii="Arial" w:eastAsia="Calibri" w:hAnsi="Arial" w:cs="Arial"/>
          <w:bCs/>
          <w:sz w:val="26"/>
          <w:szCs w:val="26"/>
        </w:rPr>
        <w:t xml:space="preserve"> de la </w:t>
      </w:r>
      <w:r w:rsidR="00A244EB" w:rsidRPr="00A244EB">
        <w:rPr>
          <w:rFonts w:ascii="Arial" w:eastAsia="Times New Roman" w:hAnsi="Arial" w:cs="Arial"/>
          <w:bCs/>
          <w:sz w:val="26"/>
          <w:szCs w:val="26"/>
        </w:rPr>
        <w:t>Ley de Procedimiento y Justicia Administrativa para el Estado de Oaxaca</w:t>
      </w:r>
      <w:r w:rsidR="00580B0D">
        <w:rPr>
          <w:rFonts w:ascii="Arial" w:eastAsia="Times New Roman" w:hAnsi="Arial" w:cs="Arial"/>
          <w:bCs/>
          <w:sz w:val="26"/>
          <w:szCs w:val="26"/>
        </w:rPr>
        <w:t>, así como lo previsto en el párrafo primero del artículo 2</w:t>
      </w:r>
      <w:r w:rsidR="00580B0D">
        <w:rPr>
          <w:rStyle w:val="Refdenotaalpie"/>
          <w:rFonts w:ascii="Arial" w:eastAsia="Times New Roman" w:hAnsi="Arial" w:cs="Arial"/>
          <w:bCs/>
          <w:sz w:val="26"/>
          <w:szCs w:val="26"/>
        </w:rPr>
        <w:footnoteReference w:id="5"/>
      </w:r>
      <w:r w:rsidR="00580B0D">
        <w:rPr>
          <w:rFonts w:ascii="Arial" w:eastAsia="Times New Roman" w:hAnsi="Arial" w:cs="Arial"/>
          <w:bCs/>
          <w:sz w:val="26"/>
          <w:szCs w:val="26"/>
        </w:rPr>
        <w:t xml:space="preserve"> de la Ley Orgánica del Tribunal de Justicia Administrativa del Estado de Oaxaca, </w:t>
      </w:r>
      <w:r w:rsidR="00595391">
        <w:rPr>
          <w:rFonts w:ascii="Arial" w:eastAsia="Times New Roman" w:hAnsi="Arial" w:cs="Arial"/>
          <w:bCs/>
          <w:sz w:val="26"/>
          <w:szCs w:val="26"/>
        </w:rPr>
        <w:t xml:space="preserve">este Órgano Jurisdiccional carece de competencia jurisdiccional objetiva para conocer y decidir sobre actos emitidos por autoridades de diverso fuero </w:t>
      </w:r>
      <w:r w:rsidR="00040D3C">
        <w:rPr>
          <w:rFonts w:ascii="Arial" w:eastAsia="Times New Roman" w:hAnsi="Arial" w:cs="Arial"/>
          <w:bCs/>
          <w:sz w:val="26"/>
          <w:szCs w:val="26"/>
        </w:rPr>
        <w:t>judicia</w:t>
      </w:r>
      <w:r w:rsidR="00595391">
        <w:rPr>
          <w:rFonts w:ascii="Arial" w:eastAsia="Times New Roman" w:hAnsi="Arial" w:cs="Arial"/>
          <w:bCs/>
          <w:sz w:val="26"/>
          <w:szCs w:val="26"/>
        </w:rPr>
        <w:t>l</w:t>
      </w:r>
      <w:r w:rsidR="00C76E2A">
        <w:rPr>
          <w:rFonts w:ascii="Arial" w:eastAsia="Times New Roman" w:hAnsi="Arial" w:cs="Arial"/>
          <w:bCs/>
          <w:sz w:val="26"/>
          <w:szCs w:val="26"/>
        </w:rPr>
        <w:t xml:space="preserve">, en este caso, el procedimiento de responsabilidades administrativas </w:t>
      </w:r>
      <w:r w:rsidR="00B0555B">
        <w:rPr>
          <w:rFonts w:ascii="Arial" w:eastAsia="Times New Roman" w:hAnsi="Arial" w:cs="Arial"/>
          <w:bCs/>
          <w:sz w:val="26"/>
          <w:szCs w:val="26"/>
        </w:rPr>
        <w:t>*******</w:t>
      </w:r>
      <w:r w:rsidR="00C76E2A">
        <w:rPr>
          <w:rFonts w:ascii="Arial" w:eastAsia="Times New Roman" w:hAnsi="Arial" w:cs="Arial"/>
          <w:bCs/>
          <w:sz w:val="26"/>
          <w:szCs w:val="26"/>
        </w:rPr>
        <w:t xml:space="preserve"> instaurado por la Dirección de Seguimiento a Responsabilidades, adscrita a la Subsecretaría de Responsabilidades de la Secretaría de la Función Pública</w:t>
      </w:r>
      <w:r w:rsidR="00F71FA7">
        <w:rPr>
          <w:rFonts w:ascii="Arial" w:eastAsia="Times New Roman" w:hAnsi="Arial" w:cs="Arial"/>
          <w:bCs/>
          <w:sz w:val="26"/>
          <w:szCs w:val="26"/>
        </w:rPr>
        <w:t xml:space="preserve"> del Estado de Puebla.</w:t>
      </w:r>
      <w:r w:rsidR="00595391">
        <w:rPr>
          <w:rFonts w:ascii="Arial" w:eastAsia="Times New Roman" w:hAnsi="Arial" w:cs="Arial"/>
          <w:bCs/>
          <w:sz w:val="26"/>
          <w:szCs w:val="26"/>
        </w:rPr>
        <w:t xml:space="preserve"> - - - - - -</w:t>
      </w:r>
      <w:r w:rsidR="00040D3C">
        <w:rPr>
          <w:rFonts w:ascii="Arial" w:eastAsia="Times New Roman" w:hAnsi="Arial" w:cs="Arial"/>
          <w:bCs/>
          <w:sz w:val="26"/>
          <w:szCs w:val="26"/>
        </w:rPr>
        <w:t xml:space="preserve"> - - - - </w:t>
      </w:r>
      <w:r w:rsidR="00F71FA7">
        <w:rPr>
          <w:rFonts w:ascii="Arial" w:eastAsia="Times New Roman" w:hAnsi="Arial" w:cs="Arial"/>
          <w:bCs/>
          <w:sz w:val="26"/>
          <w:szCs w:val="26"/>
        </w:rPr>
        <w:t>- - - - - - - - - - - - - -- - - - - - - - - - - - - - - - - - - - - - -</w:t>
      </w:r>
    </w:p>
    <w:p w14:paraId="0BC7B2C9" w14:textId="77777777" w:rsidR="007102C5" w:rsidRDefault="008B1312" w:rsidP="007102C5">
      <w:pPr>
        <w:spacing w:before="240" w:line="360" w:lineRule="auto"/>
        <w:ind w:firstLine="709"/>
        <w:jc w:val="both"/>
        <w:rPr>
          <w:rFonts w:ascii="Arial" w:eastAsia="Times New Roman" w:hAnsi="Arial" w:cs="Arial"/>
          <w:bCs/>
          <w:sz w:val="26"/>
          <w:szCs w:val="26"/>
        </w:rPr>
      </w:pPr>
      <w:r>
        <w:rPr>
          <w:rFonts w:ascii="Arial" w:eastAsia="Times New Roman" w:hAnsi="Arial" w:cs="Arial"/>
          <w:bCs/>
          <w:sz w:val="26"/>
          <w:szCs w:val="26"/>
        </w:rPr>
        <w:lastRenderedPageBreak/>
        <w:t xml:space="preserve">Lo </w:t>
      </w:r>
      <w:r w:rsidRPr="008B1312">
        <w:rPr>
          <w:rFonts w:ascii="Arial" w:eastAsia="Times New Roman" w:hAnsi="Arial" w:cs="Arial"/>
          <w:bCs/>
          <w:sz w:val="26"/>
          <w:szCs w:val="26"/>
        </w:rPr>
        <w:t xml:space="preserve">anterior es así, pues el derecho a la seguridad jurídica que establece el </w:t>
      </w:r>
      <w:r>
        <w:rPr>
          <w:rFonts w:ascii="Arial" w:eastAsia="Times New Roman" w:hAnsi="Arial" w:cs="Arial"/>
          <w:bCs/>
          <w:sz w:val="26"/>
          <w:szCs w:val="26"/>
        </w:rPr>
        <w:t xml:space="preserve">párrafo primero del </w:t>
      </w:r>
      <w:r w:rsidRPr="008B1312">
        <w:rPr>
          <w:rFonts w:ascii="Arial" w:eastAsia="Times New Roman" w:hAnsi="Arial" w:cs="Arial"/>
          <w:bCs/>
          <w:sz w:val="26"/>
          <w:szCs w:val="26"/>
        </w:rPr>
        <w:t>artículo 16</w:t>
      </w:r>
      <w:r>
        <w:rPr>
          <w:rStyle w:val="Refdenotaalpie"/>
          <w:rFonts w:ascii="Arial" w:eastAsia="Times New Roman" w:hAnsi="Arial" w:cs="Arial"/>
          <w:bCs/>
          <w:sz w:val="26"/>
          <w:szCs w:val="26"/>
        </w:rPr>
        <w:footnoteReference w:id="6"/>
      </w:r>
      <w:r w:rsidRPr="008B1312">
        <w:rPr>
          <w:rFonts w:ascii="Arial" w:eastAsia="Times New Roman" w:hAnsi="Arial" w:cs="Arial"/>
          <w:bCs/>
          <w:sz w:val="26"/>
          <w:szCs w:val="26"/>
        </w:rPr>
        <w:t xml:space="preserve"> de la Constitución Política de los Estados Unidos Mexicanos en cuanto a que el acto de molestia debe ser por escrito y emitido por autoridad competente, tutela el aspecto de competencia objetiva, en cuanto a las facultades previstas en una norma que comprenda materia, territorio y fuero</w:t>
      </w:r>
      <w:r>
        <w:rPr>
          <w:rFonts w:ascii="Arial" w:eastAsia="Times New Roman" w:hAnsi="Arial" w:cs="Arial"/>
          <w:bCs/>
          <w:sz w:val="26"/>
          <w:szCs w:val="26"/>
        </w:rPr>
        <w:t xml:space="preserve">. - - - - - - - - - - - </w:t>
      </w:r>
    </w:p>
    <w:p w14:paraId="1887287F" w14:textId="03CD24F4" w:rsidR="00DD572B" w:rsidRDefault="004110B6" w:rsidP="00DD572B">
      <w:pPr>
        <w:spacing w:before="240" w:line="360" w:lineRule="auto"/>
        <w:ind w:firstLine="709"/>
        <w:jc w:val="both"/>
        <w:rPr>
          <w:rFonts w:ascii="Arial" w:eastAsia="Times New Roman" w:hAnsi="Arial" w:cs="Arial"/>
          <w:sz w:val="26"/>
          <w:szCs w:val="26"/>
        </w:rPr>
      </w:pPr>
      <w:r>
        <w:rPr>
          <w:rFonts w:ascii="Arial" w:eastAsia="Times New Roman" w:hAnsi="Arial" w:cs="Arial"/>
          <w:bCs/>
          <w:sz w:val="26"/>
          <w:szCs w:val="26"/>
        </w:rPr>
        <w:t xml:space="preserve">Hechas las precisiones anteriores, </w:t>
      </w:r>
      <w:r w:rsidR="00F71FA7">
        <w:rPr>
          <w:rFonts w:ascii="Arial" w:eastAsia="Times New Roman" w:hAnsi="Arial" w:cs="Arial"/>
          <w:bCs/>
          <w:sz w:val="26"/>
          <w:szCs w:val="26"/>
        </w:rPr>
        <w:t>toca analizar</w:t>
      </w:r>
      <w:r>
        <w:rPr>
          <w:rFonts w:ascii="Arial" w:eastAsia="Times New Roman" w:hAnsi="Arial" w:cs="Arial"/>
          <w:bCs/>
          <w:sz w:val="26"/>
          <w:szCs w:val="26"/>
        </w:rPr>
        <w:t xml:space="preserve"> el acto administrativo impugnando consistente en </w:t>
      </w:r>
      <w:r>
        <w:rPr>
          <w:rFonts w:ascii="Arial" w:eastAsia="Calibri" w:hAnsi="Arial" w:cs="Arial"/>
          <w:bCs/>
          <w:sz w:val="26"/>
          <w:szCs w:val="26"/>
        </w:rPr>
        <w:t xml:space="preserve">la </w:t>
      </w:r>
      <w:r w:rsidR="000000C4">
        <w:rPr>
          <w:rFonts w:ascii="Arial" w:eastAsia="Calibri" w:hAnsi="Arial" w:cs="Arial"/>
          <w:bCs/>
          <w:sz w:val="26"/>
          <w:szCs w:val="26"/>
        </w:rPr>
        <w:t xml:space="preserve">diligencia de </w:t>
      </w:r>
      <w:r>
        <w:rPr>
          <w:rFonts w:ascii="Arial" w:eastAsia="Calibri" w:hAnsi="Arial" w:cs="Arial"/>
          <w:bCs/>
          <w:sz w:val="26"/>
          <w:szCs w:val="26"/>
        </w:rPr>
        <w:t>notificación</w:t>
      </w:r>
      <w:r w:rsidR="00F71FA7">
        <w:rPr>
          <w:rFonts w:ascii="Arial" w:eastAsia="Calibri" w:hAnsi="Arial" w:cs="Arial"/>
          <w:bCs/>
          <w:sz w:val="26"/>
          <w:szCs w:val="26"/>
        </w:rPr>
        <w:t xml:space="preserve"> de quince de diciembre de dos mil veintiuno,</w:t>
      </w:r>
      <w:r>
        <w:rPr>
          <w:rFonts w:ascii="Arial" w:eastAsia="Calibri" w:hAnsi="Arial" w:cs="Arial"/>
          <w:bCs/>
          <w:sz w:val="26"/>
          <w:szCs w:val="26"/>
        </w:rPr>
        <w:t xml:space="preserve"> efectuada por </w:t>
      </w:r>
      <w:r>
        <w:rPr>
          <w:rFonts w:ascii="Arial" w:eastAsia="Times New Roman" w:hAnsi="Arial" w:cs="Arial"/>
          <w:sz w:val="26"/>
          <w:szCs w:val="26"/>
        </w:rPr>
        <w:t>personal de</w:t>
      </w:r>
      <w:r w:rsidRPr="00990F9B">
        <w:rPr>
          <w:rFonts w:ascii="Arial" w:eastAsia="Times New Roman" w:hAnsi="Arial" w:cs="Arial"/>
          <w:sz w:val="26"/>
          <w:szCs w:val="26"/>
        </w:rPr>
        <w:t xml:space="preserve"> la Dirección de Responsabilidades Administrativas y Situación Patrimonial, dependiente de la Subsecretar</w:t>
      </w:r>
      <w:r>
        <w:rPr>
          <w:rFonts w:ascii="Arial" w:eastAsia="Times New Roman" w:hAnsi="Arial" w:cs="Arial"/>
          <w:sz w:val="26"/>
          <w:szCs w:val="26"/>
        </w:rPr>
        <w:t>í</w:t>
      </w:r>
      <w:r w:rsidRPr="00990F9B">
        <w:rPr>
          <w:rFonts w:ascii="Arial" w:eastAsia="Times New Roman" w:hAnsi="Arial" w:cs="Arial"/>
          <w:sz w:val="26"/>
          <w:szCs w:val="26"/>
        </w:rPr>
        <w:t>a de Responsabilidades y Anticorrupción de la Secretaría de la Contraloría y Transparencia Gubernamental del Poder Ejecutivo del Estado</w:t>
      </w:r>
      <w:r>
        <w:rPr>
          <w:rFonts w:ascii="Arial" w:eastAsia="Times New Roman" w:hAnsi="Arial" w:cs="Arial"/>
          <w:sz w:val="26"/>
          <w:szCs w:val="26"/>
        </w:rPr>
        <w:t xml:space="preserve"> </w:t>
      </w:r>
      <w:r w:rsidRPr="00990F9B">
        <w:rPr>
          <w:rFonts w:ascii="Arial" w:eastAsia="Times New Roman" w:hAnsi="Arial" w:cs="Arial"/>
          <w:sz w:val="26"/>
          <w:szCs w:val="26"/>
        </w:rPr>
        <w:t>de Oaxaca</w:t>
      </w:r>
      <w:r w:rsidR="000000C4">
        <w:rPr>
          <w:rFonts w:ascii="Arial" w:eastAsia="Times New Roman" w:hAnsi="Arial" w:cs="Arial"/>
          <w:sz w:val="26"/>
          <w:szCs w:val="26"/>
        </w:rPr>
        <w:t>; dicha diligencia</w:t>
      </w:r>
      <w:r w:rsidR="007102C5">
        <w:rPr>
          <w:rFonts w:ascii="Arial" w:eastAsia="Times New Roman" w:hAnsi="Arial" w:cs="Arial"/>
          <w:sz w:val="26"/>
          <w:szCs w:val="26"/>
        </w:rPr>
        <w:t xml:space="preserve"> </w:t>
      </w:r>
      <w:r w:rsidR="000000C4">
        <w:rPr>
          <w:rFonts w:ascii="Arial" w:eastAsia="Times New Roman" w:hAnsi="Arial" w:cs="Arial"/>
          <w:sz w:val="26"/>
          <w:szCs w:val="26"/>
        </w:rPr>
        <w:t>constituye</w:t>
      </w:r>
      <w:r w:rsidR="007102C5">
        <w:rPr>
          <w:rFonts w:ascii="Arial" w:eastAsia="Times New Roman" w:hAnsi="Arial" w:cs="Arial"/>
          <w:sz w:val="26"/>
          <w:szCs w:val="26"/>
        </w:rPr>
        <w:t xml:space="preserve"> en términos del artículo 189</w:t>
      </w:r>
      <w:r w:rsidR="007102C5">
        <w:rPr>
          <w:rStyle w:val="Refdenotaalpie"/>
          <w:rFonts w:ascii="Arial" w:eastAsia="Times New Roman" w:hAnsi="Arial" w:cs="Arial"/>
          <w:sz w:val="26"/>
          <w:szCs w:val="26"/>
        </w:rPr>
        <w:footnoteReference w:id="7"/>
      </w:r>
      <w:r w:rsidR="007102C5">
        <w:rPr>
          <w:rFonts w:ascii="Arial" w:eastAsia="Times New Roman" w:hAnsi="Arial" w:cs="Arial"/>
          <w:sz w:val="26"/>
          <w:szCs w:val="26"/>
        </w:rPr>
        <w:t xml:space="preserve"> de la Ley General de Responsabilidades Administrativas, una notificación</w:t>
      </w:r>
      <w:r w:rsidR="00527BE0">
        <w:rPr>
          <w:rFonts w:ascii="Arial" w:eastAsia="Times New Roman" w:hAnsi="Arial" w:cs="Arial"/>
          <w:sz w:val="26"/>
          <w:szCs w:val="26"/>
        </w:rPr>
        <w:t xml:space="preserve"> </w:t>
      </w:r>
      <w:r w:rsidR="0084055E">
        <w:rPr>
          <w:rFonts w:ascii="Arial" w:eastAsia="Times New Roman" w:hAnsi="Arial" w:cs="Arial"/>
          <w:sz w:val="26"/>
          <w:szCs w:val="26"/>
        </w:rPr>
        <w:t>personal</w:t>
      </w:r>
      <w:r w:rsidR="007102C5">
        <w:rPr>
          <w:rFonts w:ascii="Arial" w:eastAsia="Times New Roman" w:hAnsi="Arial" w:cs="Arial"/>
          <w:sz w:val="26"/>
          <w:szCs w:val="26"/>
        </w:rPr>
        <w:t xml:space="preserve"> practicada </w:t>
      </w:r>
      <w:r w:rsidR="007102C5" w:rsidRPr="007102C5">
        <w:rPr>
          <w:rFonts w:ascii="Arial" w:eastAsia="Times New Roman" w:hAnsi="Arial" w:cs="Arial"/>
          <w:sz w:val="26"/>
          <w:szCs w:val="26"/>
        </w:rPr>
        <w:t>mediante exhorto</w:t>
      </w:r>
      <w:r w:rsidR="00527BE0">
        <w:rPr>
          <w:rFonts w:ascii="Arial" w:eastAsia="Times New Roman" w:hAnsi="Arial" w:cs="Arial"/>
          <w:sz w:val="26"/>
          <w:szCs w:val="26"/>
        </w:rPr>
        <w:t xml:space="preserve"> por el </w:t>
      </w:r>
      <w:r w:rsidR="007102C5" w:rsidRPr="007102C5">
        <w:rPr>
          <w:rFonts w:ascii="Arial" w:eastAsia="Times New Roman" w:hAnsi="Arial" w:cs="Arial"/>
          <w:sz w:val="26"/>
          <w:szCs w:val="26"/>
        </w:rPr>
        <w:t xml:space="preserve">Órgano </w:t>
      </w:r>
      <w:r w:rsidR="00527BE0">
        <w:rPr>
          <w:rFonts w:ascii="Arial" w:eastAsia="Times New Roman" w:hAnsi="Arial" w:cs="Arial"/>
          <w:sz w:val="26"/>
          <w:szCs w:val="26"/>
        </w:rPr>
        <w:t>I</w:t>
      </w:r>
      <w:r w:rsidR="007102C5" w:rsidRPr="007102C5">
        <w:rPr>
          <w:rFonts w:ascii="Arial" w:eastAsia="Times New Roman" w:hAnsi="Arial" w:cs="Arial"/>
          <w:sz w:val="26"/>
          <w:szCs w:val="26"/>
        </w:rPr>
        <w:t xml:space="preserve">nterno de </w:t>
      </w:r>
      <w:r w:rsidR="00527BE0">
        <w:rPr>
          <w:rFonts w:ascii="Arial" w:eastAsia="Times New Roman" w:hAnsi="Arial" w:cs="Arial"/>
          <w:sz w:val="26"/>
          <w:szCs w:val="26"/>
        </w:rPr>
        <w:t>C</w:t>
      </w:r>
      <w:r w:rsidR="007102C5" w:rsidRPr="007102C5">
        <w:rPr>
          <w:rFonts w:ascii="Arial" w:eastAsia="Times New Roman" w:hAnsi="Arial" w:cs="Arial"/>
          <w:sz w:val="26"/>
          <w:szCs w:val="26"/>
        </w:rPr>
        <w:t>ontrol</w:t>
      </w:r>
      <w:r w:rsidR="00527BE0">
        <w:rPr>
          <w:rFonts w:ascii="Arial" w:eastAsia="Times New Roman" w:hAnsi="Arial" w:cs="Arial"/>
          <w:sz w:val="26"/>
          <w:szCs w:val="26"/>
        </w:rPr>
        <w:t xml:space="preserve"> del Estado de Oaxaca. - - </w:t>
      </w:r>
      <w:r w:rsidR="0084055E">
        <w:rPr>
          <w:rFonts w:ascii="Arial" w:eastAsia="Times New Roman" w:hAnsi="Arial" w:cs="Arial"/>
          <w:sz w:val="26"/>
          <w:szCs w:val="26"/>
        </w:rPr>
        <w:t>- - - - - - - -</w:t>
      </w:r>
      <w:r w:rsidR="00DD572B">
        <w:rPr>
          <w:rFonts w:ascii="Arial" w:eastAsia="Times New Roman" w:hAnsi="Arial" w:cs="Arial"/>
          <w:sz w:val="26"/>
          <w:szCs w:val="26"/>
        </w:rPr>
        <w:t xml:space="preserve"> - </w:t>
      </w:r>
    </w:p>
    <w:p w14:paraId="49303D2B" w14:textId="33C25C79" w:rsidR="00DD572B" w:rsidRDefault="00527BE0" w:rsidP="00DD572B">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tanto, </w:t>
      </w:r>
      <w:r w:rsidR="0084055E">
        <w:rPr>
          <w:rFonts w:ascii="Arial" w:eastAsia="Times New Roman" w:hAnsi="Arial" w:cs="Arial"/>
          <w:sz w:val="26"/>
          <w:szCs w:val="26"/>
        </w:rPr>
        <w:t xml:space="preserve">si la autoridad exhortada </w:t>
      </w:r>
      <w:r w:rsidR="00DD572B">
        <w:rPr>
          <w:rFonts w:ascii="Arial" w:eastAsia="Times New Roman" w:hAnsi="Arial" w:cs="Arial"/>
          <w:sz w:val="26"/>
          <w:szCs w:val="26"/>
        </w:rPr>
        <w:t>practicó las diligencias necesarias para el desahogo de lo ordenado, significa que también tiene facultades para conocer y resolver los recurso</w:t>
      </w:r>
      <w:r w:rsidR="00EF6CC9">
        <w:rPr>
          <w:rFonts w:ascii="Arial" w:eastAsia="Times New Roman" w:hAnsi="Arial" w:cs="Arial"/>
          <w:sz w:val="26"/>
          <w:szCs w:val="26"/>
        </w:rPr>
        <w:t>s</w:t>
      </w:r>
      <w:r w:rsidR="00DD572B">
        <w:rPr>
          <w:rFonts w:ascii="Arial" w:eastAsia="Times New Roman" w:hAnsi="Arial" w:cs="Arial"/>
          <w:sz w:val="26"/>
          <w:szCs w:val="26"/>
        </w:rPr>
        <w:t xml:space="preserve"> que se interpongan en los que se impugnen la legalidad de sus actuaciones, pues en uso de sus facultades legales y administrativas que pueda emplear dentro de su jurisdicción ha de proveer todo lo necesario </w:t>
      </w:r>
      <w:r w:rsidR="00DD572B" w:rsidRPr="00DD572B">
        <w:rPr>
          <w:rFonts w:ascii="Arial" w:eastAsia="Times New Roman" w:hAnsi="Arial" w:cs="Arial"/>
          <w:sz w:val="26"/>
          <w:szCs w:val="26"/>
        </w:rPr>
        <w:t xml:space="preserve">con la finalidad de llevar a cabo lo encomendado, dado que con ese proceder habrá realizado su actividad </w:t>
      </w:r>
      <w:r w:rsidR="009A1239">
        <w:rPr>
          <w:rFonts w:ascii="Arial" w:eastAsia="Times New Roman" w:hAnsi="Arial" w:cs="Arial"/>
          <w:sz w:val="26"/>
          <w:szCs w:val="26"/>
        </w:rPr>
        <w:t>competencial</w:t>
      </w:r>
      <w:r w:rsidR="00DD572B" w:rsidRPr="00DD572B">
        <w:rPr>
          <w:rFonts w:ascii="Arial" w:eastAsia="Times New Roman" w:hAnsi="Arial" w:cs="Arial"/>
          <w:sz w:val="26"/>
          <w:szCs w:val="26"/>
        </w:rPr>
        <w:t xml:space="preserve"> con todas las diligencias practicadas a fin de cumplir con lo ordenado; lo que no incluye el resolver sobre el medio de defensa que se promueva en contra de la resolución en la cual se haya librado el exhorto, pues en ese supuesto el exhortado no estaría </w:t>
      </w:r>
      <w:r w:rsidR="00DD572B" w:rsidRPr="00DD572B">
        <w:rPr>
          <w:rFonts w:ascii="Arial" w:eastAsia="Times New Roman" w:hAnsi="Arial" w:cs="Arial"/>
          <w:sz w:val="26"/>
          <w:szCs w:val="26"/>
        </w:rPr>
        <w:lastRenderedPageBreak/>
        <w:t xml:space="preserve">facultado para resolverlo sino que tal facultad le compete al exhortante quien está conociendo del </w:t>
      </w:r>
      <w:r w:rsidR="009A1239">
        <w:rPr>
          <w:rFonts w:ascii="Arial" w:eastAsia="Times New Roman" w:hAnsi="Arial" w:cs="Arial"/>
          <w:sz w:val="26"/>
          <w:szCs w:val="26"/>
        </w:rPr>
        <w:t>asunto</w:t>
      </w:r>
      <w:r w:rsidR="00DD572B" w:rsidRPr="00DD572B">
        <w:rPr>
          <w:rFonts w:ascii="Arial" w:eastAsia="Times New Roman" w:hAnsi="Arial" w:cs="Arial"/>
          <w:sz w:val="26"/>
          <w:szCs w:val="26"/>
        </w:rPr>
        <w:t xml:space="preserve"> principal.</w:t>
      </w:r>
      <w:r w:rsidR="009A1239">
        <w:rPr>
          <w:rFonts w:ascii="Arial" w:eastAsia="Times New Roman" w:hAnsi="Arial" w:cs="Arial"/>
          <w:sz w:val="26"/>
          <w:szCs w:val="26"/>
        </w:rPr>
        <w:t xml:space="preserve"> - - - - - - - - - - - - - - - - - - - - -</w:t>
      </w:r>
    </w:p>
    <w:p w14:paraId="2ACF8CB6" w14:textId="7DE731E1" w:rsidR="009A1239" w:rsidRDefault="009A1239" w:rsidP="001D67E4">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Sin pasar desapercibido que el acto administrativo impugnado no constituye un acto de carácter definitivo</w:t>
      </w:r>
      <w:r w:rsidR="00740D54">
        <w:rPr>
          <w:rFonts w:ascii="Arial" w:eastAsia="Times New Roman" w:hAnsi="Arial" w:cs="Arial"/>
          <w:sz w:val="26"/>
          <w:szCs w:val="26"/>
        </w:rPr>
        <w:t xml:space="preserve">, es decir, no resulta ser un </w:t>
      </w:r>
      <w:r w:rsidR="00740D54" w:rsidRPr="00740D54">
        <w:rPr>
          <w:rFonts w:ascii="Arial" w:eastAsia="Times New Roman" w:hAnsi="Arial" w:cs="Arial"/>
          <w:sz w:val="26"/>
          <w:szCs w:val="26"/>
        </w:rPr>
        <w:t xml:space="preserve">acto </w:t>
      </w:r>
      <w:r w:rsidR="00740D54">
        <w:rPr>
          <w:rFonts w:ascii="Arial" w:eastAsia="Times New Roman" w:hAnsi="Arial" w:cs="Arial"/>
          <w:sz w:val="26"/>
          <w:szCs w:val="26"/>
        </w:rPr>
        <w:t>que contenga</w:t>
      </w:r>
      <w:r w:rsidR="00740D54" w:rsidRPr="00740D54">
        <w:rPr>
          <w:rFonts w:ascii="Arial" w:eastAsia="Times New Roman" w:hAnsi="Arial" w:cs="Arial"/>
          <w:sz w:val="26"/>
          <w:szCs w:val="26"/>
        </w:rPr>
        <w:t xml:space="preserve"> la voluntad administrativa </w:t>
      </w:r>
      <w:r w:rsidR="00740D54">
        <w:rPr>
          <w:rFonts w:ascii="Arial" w:eastAsia="Times New Roman" w:hAnsi="Arial" w:cs="Arial"/>
          <w:sz w:val="26"/>
          <w:szCs w:val="26"/>
        </w:rPr>
        <w:t xml:space="preserve">final, pues no se </w:t>
      </w:r>
      <w:r w:rsidR="00740D54" w:rsidRPr="00740D54">
        <w:rPr>
          <w:rFonts w:ascii="Arial" w:eastAsia="Times New Roman" w:hAnsi="Arial" w:cs="Arial"/>
          <w:sz w:val="26"/>
          <w:szCs w:val="26"/>
        </w:rPr>
        <w:t>trata de la última resolución dictada en el procedimiento correspondiente</w:t>
      </w:r>
      <w:r w:rsidR="00887181">
        <w:rPr>
          <w:rFonts w:ascii="Arial" w:eastAsia="Times New Roman" w:hAnsi="Arial" w:cs="Arial"/>
          <w:sz w:val="26"/>
          <w:szCs w:val="26"/>
        </w:rPr>
        <w:t xml:space="preserve">, más bien se trata </w:t>
      </w:r>
      <w:r w:rsidR="00740D54" w:rsidRPr="00740D54">
        <w:rPr>
          <w:rFonts w:ascii="Arial" w:eastAsia="Times New Roman" w:hAnsi="Arial" w:cs="Arial"/>
          <w:sz w:val="26"/>
          <w:szCs w:val="26"/>
        </w:rPr>
        <w:t>de</w:t>
      </w:r>
      <w:r w:rsidR="00887181">
        <w:rPr>
          <w:rFonts w:ascii="Arial" w:eastAsia="Times New Roman" w:hAnsi="Arial" w:cs="Arial"/>
          <w:sz w:val="26"/>
          <w:szCs w:val="26"/>
        </w:rPr>
        <w:t xml:space="preserve"> un</w:t>
      </w:r>
      <w:r w:rsidR="00740D54" w:rsidRPr="00740D54">
        <w:rPr>
          <w:rFonts w:ascii="Arial" w:eastAsia="Times New Roman" w:hAnsi="Arial" w:cs="Arial"/>
          <w:sz w:val="26"/>
          <w:szCs w:val="26"/>
        </w:rPr>
        <w:t xml:space="preserve"> acto carent</w:t>
      </w:r>
      <w:r w:rsidR="00887181">
        <w:rPr>
          <w:rFonts w:ascii="Arial" w:eastAsia="Times New Roman" w:hAnsi="Arial" w:cs="Arial"/>
          <w:sz w:val="26"/>
          <w:szCs w:val="26"/>
        </w:rPr>
        <w:t>e</w:t>
      </w:r>
      <w:r w:rsidR="00740D54" w:rsidRPr="00740D54">
        <w:rPr>
          <w:rFonts w:ascii="Arial" w:eastAsia="Times New Roman" w:hAnsi="Arial" w:cs="Arial"/>
          <w:sz w:val="26"/>
          <w:szCs w:val="26"/>
        </w:rPr>
        <w:t xml:space="preserve"> de sustantividad en materia decisoria trascendental, </w:t>
      </w:r>
      <w:r w:rsidR="00887181">
        <w:rPr>
          <w:rFonts w:ascii="Arial" w:eastAsia="Times New Roman" w:hAnsi="Arial" w:cs="Arial"/>
          <w:sz w:val="26"/>
          <w:szCs w:val="26"/>
        </w:rPr>
        <w:t xml:space="preserve">siendo un </w:t>
      </w:r>
      <w:r w:rsidR="00887181" w:rsidRPr="00740D54">
        <w:rPr>
          <w:rFonts w:ascii="Arial" w:eastAsia="Times New Roman" w:hAnsi="Arial" w:cs="Arial"/>
          <w:sz w:val="26"/>
          <w:szCs w:val="26"/>
        </w:rPr>
        <w:t>eslabón</w:t>
      </w:r>
      <w:r w:rsidR="00740D54" w:rsidRPr="00740D54">
        <w:rPr>
          <w:rFonts w:ascii="Arial" w:eastAsia="Times New Roman" w:hAnsi="Arial" w:cs="Arial"/>
          <w:sz w:val="26"/>
          <w:szCs w:val="26"/>
        </w:rPr>
        <w:t xml:space="preserve"> del procedimiento, sin individualidad propia, al ser absorbida por la unidad del mism</w:t>
      </w:r>
      <w:r w:rsidR="00A65255">
        <w:rPr>
          <w:rFonts w:ascii="Arial" w:eastAsia="Times New Roman" w:hAnsi="Arial" w:cs="Arial"/>
          <w:sz w:val="26"/>
          <w:szCs w:val="26"/>
        </w:rPr>
        <w:t>o; e</w:t>
      </w:r>
      <w:r w:rsidR="00887181">
        <w:rPr>
          <w:rFonts w:ascii="Arial" w:eastAsia="Times New Roman" w:hAnsi="Arial" w:cs="Arial"/>
          <w:sz w:val="26"/>
          <w:szCs w:val="26"/>
        </w:rPr>
        <w:t xml:space="preserve">s así que </w:t>
      </w:r>
      <w:r w:rsidR="00A65255">
        <w:rPr>
          <w:rFonts w:ascii="Arial" w:eastAsia="Times New Roman" w:hAnsi="Arial" w:cs="Arial"/>
          <w:sz w:val="26"/>
          <w:szCs w:val="26"/>
        </w:rPr>
        <w:t>al no resultar un acto definitivo, carece de elementos para ser impugnado a través del juicio contencioso administrativo</w:t>
      </w:r>
      <w:r w:rsidR="00735778">
        <w:rPr>
          <w:rFonts w:ascii="Arial" w:eastAsia="Times New Roman" w:hAnsi="Arial" w:cs="Arial"/>
          <w:sz w:val="26"/>
          <w:szCs w:val="26"/>
        </w:rPr>
        <w:t>; d</w:t>
      </w:r>
      <w:r w:rsidR="004D1623">
        <w:rPr>
          <w:rFonts w:ascii="Arial" w:eastAsia="Times New Roman" w:hAnsi="Arial" w:cs="Arial"/>
          <w:sz w:val="26"/>
          <w:szCs w:val="26"/>
        </w:rPr>
        <w:t>e ahí que</w:t>
      </w:r>
      <w:r w:rsidR="00E76F25">
        <w:rPr>
          <w:rFonts w:ascii="Arial" w:eastAsia="Times New Roman" w:hAnsi="Arial" w:cs="Arial"/>
          <w:sz w:val="26"/>
          <w:szCs w:val="26"/>
        </w:rPr>
        <w:t xml:space="preserve"> lo procedente es reclamar la nulidad del emplazamiento a través de un incidente planteado en sede administrativa</w:t>
      </w:r>
      <w:r w:rsidR="00735778">
        <w:rPr>
          <w:rFonts w:ascii="Arial" w:eastAsia="Times New Roman" w:hAnsi="Arial" w:cs="Arial"/>
          <w:sz w:val="26"/>
          <w:szCs w:val="26"/>
        </w:rPr>
        <w:t xml:space="preserve">, </w:t>
      </w:r>
      <w:r w:rsidR="00587AC7">
        <w:rPr>
          <w:rFonts w:ascii="Arial" w:eastAsia="Times New Roman" w:hAnsi="Arial" w:cs="Arial"/>
          <w:sz w:val="26"/>
          <w:szCs w:val="26"/>
        </w:rPr>
        <w:t>y a pesar de esto</w:t>
      </w:r>
      <w:r w:rsidR="001D67E4" w:rsidRPr="001D67E4">
        <w:rPr>
          <w:rFonts w:ascii="Arial" w:eastAsia="Times New Roman" w:hAnsi="Arial" w:cs="Arial"/>
          <w:sz w:val="26"/>
          <w:szCs w:val="26"/>
        </w:rPr>
        <w:t xml:space="preserve">, ello no hace procedente el </w:t>
      </w:r>
      <w:r w:rsidR="00587AC7">
        <w:rPr>
          <w:rFonts w:ascii="Arial" w:eastAsia="Times New Roman" w:hAnsi="Arial" w:cs="Arial"/>
          <w:sz w:val="26"/>
          <w:szCs w:val="26"/>
        </w:rPr>
        <w:t>juicio contencioso administrativo</w:t>
      </w:r>
      <w:r w:rsidR="001D67E4" w:rsidRPr="001D67E4">
        <w:rPr>
          <w:rFonts w:ascii="Arial" w:eastAsia="Times New Roman" w:hAnsi="Arial" w:cs="Arial"/>
          <w:sz w:val="26"/>
          <w:szCs w:val="26"/>
        </w:rPr>
        <w:t>, ya que no es un acto de imposible reparación, en virtud de que no producirá de manera inmediata una afectación a los derechos fundamentales de quien promueve, cuenta habida de que puede obtener un fallo definitivo favorable</w:t>
      </w:r>
      <w:r w:rsidR="00587AC7">
        <w:rPr>
          <w:rFonts w:ascii="Arial" w:eastAsia="Times New Roman" w:hAnsi="Arial" w:cs="Arial"/>
          <w:sz w:val="26"/>
          <w:szCs w:val="26"/>
        </w:rPr>
        <w:t xml:space="preserve"> en sede administrativa</w:t>
      </w:r>
      <w:r w:rsidR="001D67E4" w:rsidRPr="001D67E4">
        <w:rPr>
          <w:rFonts w:ascii="Arial" w:eastAsia="Times New Roman" w:hAnsi="Arial" w:cs="Arial"/>
          <w:sz w:val="26"/>
          <w:szCs w:val="26"/>
        </w:rPr>
        <w:t>, con lo que desaparecerían fácticamente las violaciones en el emplazamiento que se hubieren cometido en su contra</w:t>
      </w:r>
      <w:r w:rsidR="00BC3C35">
        <w:rPr>
          <w:rFonts w:ascii="Arial" w:eastAsia="Times New Roman" w:hAnsi="Arial" w:cs="Arial"/>
          <w:sz w:val="26"/>
          <w:szCs w:val="26"/>
        </w:rPr>
        <w:t>. - - - - - - - -</w:t>
      </w:r>
    </w:p>
    <w:p w14:paraId="30F7C9E3" w14:textId="55E7DCF6" w:rsidR="00837FBF" w:rsidRDefault="003A1D7C" w:rsidP="0063751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De ahí que la diligencia de notificación</w:t>
      </w:r>
      <w:r w:rsidR="0001243A">
        <w:rPr>
          <w:rFonts w:ascii="Arial" w:eastAsia="Times New Roman" w:hAnsi="Arial" w:cs="Arial"/>
          <w:sz w:val="26"/>
          <w:szCs w:val="26"/>
        </w:rPr>
        <w:t xml:space="preserve"> de quince de diciembre de dos mil veintiuno</w:t>
      </w:r>
      <w:r>
        <w:rPr>
          <w:rFonts w:ascii="Arial" w:eastAsia="Times New Roman" w:hAnsi="Arial" w:cs="Arial"/>
          <w:sz w:val="26"/>
          <w:szCs w:val="26"/>
        </w:rPr>
        <w:t xml:space="preserve"> </w:t>
      </w:r>
      <w:r w:rsidRPr="003A1D7C">
        <w:rPr>
          <w:rFonts w:ascii="Arial" w:eastAsia="Times New Roman" w:hAnsi="Arial" w:cs="Arial"/>
          <w:sz w:val="26"/>
          <w:szCs w:val="26"/>
        </w:rPr>
        <w:t xml:space="preserve">es un acto intraprocedimental y, por tanto, no es susceptible de impugnación en forma autónoma mediante el juicio de nulidad ante </w:t>
      </w:r>
      <w:r>
        <w:rPr>
          <w:rFonts w:ascii="Arial" w:eastAsia="Times New Roman" w:hAnsi="Arial" w:cs="Arial"/>
          <w:sz w:val="26"/>
          <w:szCs w:val="26"/>
        </w:rPr>
        <w:t>este Órgano Jurisdiccional</w:t>
      </w:r>
      <w:r w:rsidRPr="003A1D7C">
        <w:rPr>
          <w:rFonts w:ascii="Arial" w:eastAsia="Times New Roman" w:hAnsi="Arial" w:cs="Arial"/>
          <w:sz w:val="26"/>
          <w:szCs w:val="26"/>
        </w:rPr>
        <w:t xml:space="preserve">, </w:t>
      </w:r>
      <w:r w:rsidR="005119D2">
        <w:rPr>
          <w:rFonts w:ascii="Arial" w:eastAsia="Times New Roman" w:hAnsi="Arial" w:cs="Arial"/>
          <w:sz w:val="26"/>
          <w:szCs w:val="26"/>
        </w:rPr>
        <w:t>pues no resulta ser una</w:t>
      </w:r>
      <w:r w:rsidRPr="003A1D7C">
        <w:rPr>
          <w:rFonts w:ascii="Arial" w:eastAsia="Times New Roman" w:hAnsi="Arial" w:cs="Arial"/>
          <w:sz w:val="26"/>
          <w:szCs w:val="26"/>
        </w:rPr>
        <w:t xml:space="preserve"> resolución final dictada en el procedimiento correspondiente.</w:t>
      </w:r>
      <w:r w:rsidR="005119D2">
        <w:rPr>
          <w:rFonts w:ascii="Arial" w:eastAsia="Times New Roman" w:hAnsi="Arial" w:cs="Arial"/>
          <w:sz w:val="26"/>
          <w:szCs w:val="26"/>
        </w:rPr>
        <w:t xml:space="preserve"> - - - - - - - -</w:t>
      </w:r>
    </w:p>
    <w:p w14:paraId="3B14B03F" w14:textId="055E1A23" w:rsidR="00956134" w:rsidRDefault="00956134" w:rsidP="0063751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No pasa desapercibido para esta Sala Superior destacar la correcta aplicación de los criterios del Máximo Tribunal</w:t>
      </w:r>
      <w:r w:rsidR="00AC60CF">
        <w:rPr>
          <w:rFonts w:ascii="Arial" w:eastAsia="Times New Roman" w:hAnsi="Arial" w:cs="Arial"/>
          <w:sz w:val="26"/>
          <w:szCs w:val="26"/>
        </w:rPr>
        <w:t>,</w:t>
      </w:r>
      <w:r>
        <w:rPr>
          <w:rFonts w:ascii="Arial" w:eastAsia="Times New Roman" w:hAnsi="Arial" w:cs="Arial"/>
          <w:sz w:val="26"/>
          <w:szCs w:val="26"/>
        </w:rPr>
        <w:t xml:space="preserve"> que sirvieron de apoyó por identidad de razón </w:t>
      </w:r>
      <w:r w:rsidR="00511DF1">
        <w:rPr>
          <w:rFonts w:ascii="Arial" w:eastAsia="Times New Roman" w:hAnsi="Arial" w:cs="Arial"/>
          <w:sz w:val="26"/>
          <w:szCs w:val="26"/>
        </w:rPr>
        <w:t xml:space="preserve">para precisar la procedencia del juicio de nulidad respecto de actos definitivos y no así de actos aislados o de carácter </w:t>
      </w:r>
      <w:r w:rsidR="006269D2">
        <w:rPr>
          <w:rFonts w:ascii="Arial" w:eastAsia="Times New Roman" w:hAnsi="Arial" w:cs="Arial"/>
          <w:sz w:val="26"/>
          <w:szCs w:val="26"/>
        </w:rPr>
        <w:t xml:space="preserve">intraprocesal. - - - - - - - - - - - - - - - - - - - - - - - - - - - - - - - - - - - - </w:t>
      </w:r>
    </w:p>
    <w:p w14:paraId="7463C6A4" w14:textId="5D80CAFA" w:rsidR="00A272F4" w:rsidRPr="00A272F4" w:rsidRDefault="00020167" w:rsidP="0063751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del </w:t>
      </w:r>
      <w:r w:rsidRPr="003B305E">
        <w:rPr>
          <w:rFonts w:ascii="Arial" w:eastAsia="Times New Roman" w:hAnsi="Arial" w:cs="Arial"/>
          <w:b/>
          <w:sz w:val="26"/>
          <w:szCs w:val="26"/>
        </w:rPr>
        <w:t>segundo agravio</w:t>
      </w:r>
      <w:r>
        <w:rPr>
          <w:rFonts w:ascii="Arial" w:eastAsia="Times New Roman" w:hAnsi="Arial" w:cs="Arial"/>
          <w:sz w:val="26"/>
          <w:szCs w:val="26"/>
        </w:rPr>
        <w:t xml:space="preserve"> </w:t>
      </w:r>
      <w:r w:rsidR="003B305E">
        <w:rPr>
          <w:rFonts w:ascii="Arial" w:eastAsia="Times New Roman" w:hAnsi="Arial" w:cs="Arial"/>
          <w:sz w:val="26"/>
          <w:szCs w:val="26"/>
        </w:rPr>
        <w:t xml:space="preserve">manifiesta </w:t>
      </w:r>
      <w:r w:rsidR="00A272F4" w:rsidRPr="00A272F4">
        <w:rPr>
          <w:rFonts w:ascii="Arial" w:eastAsia="Times New Roman" w:hAnsi="Arial" w:cs="Arial"/>
          <w:sz w:val="26"/>
          <w:szCs w:val="26"/>
        </w:rPr>
        <w:t>que la autoridad responsable no cumplió con el principio de exhaustividad, en atención a que en la demanda se planteó un conflicto de competencia</w:t>
      </w:r>
      <w:r w:rsidR="003B305E">
        <w:rPr>
          <w:rFonts w:ascii="Arial" w:eastAsia="Times New Roman" w:hAnsi="Arial" w:cs="Arial"/>
          <w:sz w:val="26"/>
          <w:szCs w:val="26"/>
        </w:rPr>
        <w:t xml:space="preserve">, </w:t>
      </w:r>
      <w:r w:rsidR="00A272F4" w:rsidRPr="00A272F4">
        <w:rPr>
          <w:rFonts w:ascii="Arial" w:eastAsia="Times New Roman" w:hAnsi="Arial" w:cs="Arial"/>
          <w:sz w:val="26"/>
          <w:szCs w:val="26"/>
        </w:rPr>
        <w:t xml:space="preserve">sin </w:t>
      </w:r>
      <w:r w:rsidR="003B305E" w:rsidRPr="00A272F4">
        <w:rPr>
          <w:rFonts w:ascii="Arial" w:eastAsia="Times New Roman" w:hAnsi="Arial" w:cs="Arial"/>
          <w:sz w:val="26"/>
          <w:szCs w:val="26"/>
        </w:rPr>
        <w:t>embargo,</w:t>
      </w:r>
      <w:r w:rsidR="00A272F4" w:rsidRPr="00A272F4">
        <w:rPr>
          <w:rFonts w:ascii="Arial" w:eastAsia="Times New Roman" w:hAnsi="Arial" w:cs="Arial"/>
          <w:sz w:val="26"/>
          <w:szCs w:val="26"/>
        </w:rPr>
        <w:t xml:space="preserve"> la Sala Unitaria</w:t>
      </w:r>
      <w:r w:rsidR="003B305E">
        <w:rPr>
          <w:rFonts w:ascii="Arial" w:eastAsia="Times New Roman" w:hAnsi="Arial" w:cs="Arial"/>
          <w:sz w:val="26"/>
          <w:szCs w:val="26"/>
        </w:rPr>
        <w:t xml:space="preserve"> </w:t>
      </w:r>
      <w:r w:rsidR="00A272F4" w:rsidRPr="00A272F4">
        <w:rPr>
          <w:rFonts w:ascii="Arial" w:eastAsia="Times New Roman" w:hAnsi="Arial" w:cs="Arial"/>
          <w:sz w:val="26"/>
          <w:szCs w:val="26"/>
        </w:rPr>
        <w:t xml:space="preserve">no se pronunció respecto </w:t>
      </w:r>
      <w:r w:rsidR="003B305E">
        <w:rPr>
          <w:rFonts w:ascii="Arial" w:eastAsia="Times New Roman" w:hAnsi="Arial" w:cs="Arial"/>
          <w:sz w:val="26"/>
          <w:szCs w:val="26"/>
        </w:rPr>
        <w:t xml:space="preserve">de lo planteado, </w:t>
      </w:r>
      <w:r w:rsidR="00A272F4" w:rsidRPr="00A272F4">
        <w:rPr>
          <w:rFonts w:ascii="Arial" w:eastAsia="Times New Roman" w:hAnsi="Arial" w:cs="Arial"/>
          <w:sz w:val="26"/>
          <w:szCs w:val="26"/>
        </w:rPr>
        <w:t xml:space="preserve">lo que vulnera los derechos consagrados en </w:t>
      </w:r>
      <w:r w:rsidR="003B305E">
        <w:rPr>
          <w:rFonts w:ascii="Arial" w:eastAsia="Times New Roman" w:hAnsi="Arial" w:cs="Arial"/>
          <w:sz w:val="26"/>
          <w:szCs w:val="26"/>
        </w:rPr>
        <w:t>los</w:t>
      </w:r>
      <w:r w:rsidR="00A272F4" w:rsidRPr="00A272F4">
        <w:rPr>
          <w:rFonts w:ascii="Arial" w:eastAsia="Times New Roman" w:hAnsi="Arial" w:cs="Arial"/>
          <w:sz w:val="26"/>
          <w:szCs w:val="26"/>
        </w:rPr>
        <w:t xml:space="preserve"> artículo</w:t>
      </w:r>
      <w:r w:rsidR="003B305E">
        <w:rPr>
          <w:rFonts w:ascii="Arial" w:eastAsia="Times New Roman" w:hAnsi="Arial" w:cs="Arial"/>
          <w:sz w:val="26"/>
          <w:szCs w:val="26"/>
        </w:rPr>
        <w:t>s</w:t>
      </w:r>
      <w:r w:rsidR="00A272F4" w:rsidRPr="00A272F4">
        <w:rPr>
          <w:rFonts w:ascii="Arial" w:eastAsia="Times New Roman" w:hAnsi="Arial" w:cs="Arial"/>
          <w:sz w:val="26"/>
          <w:szCs w:val="26"/>
        </w:rPr>
        <w:t xml:space="preserve"> 1,</w:t>
      </w:r>
      <w:r w:rsidR="003B305E">
        <w:rPr>
          <w:rFonts w:ascii="Arial" w:eastAsia="Times New Roman" w:hAnsi="Arial" w:cs="Arial"/>
          <w:sz w:val="26"/>
          <w:szCs w:val="26"/>
        </w:rPr>
        <w:t xml:space="preserve"> </w:t>
      </w:r>
      <w:r w:rsidR="00A272F4" w:rsidRPr="00A272F4">
        <w:rPr>
          <w:rFonts w:ascii="Arial" w:eastAsia="Times New Roman" w:hAnsi="Arial" w:cs="Arial"/>
          <w:sz w:val="26"/>
          <w:szCs w:val="26"/>
        </w:rPr>
        <w:t>14,</w:t>
      </w:r>
      <w:r w:rsidR="003B305E">
        <w:rPr>
          <w:rFonts w:ascii="Arial" w:eastAsia="Times New Roman" w:hAnsi="Arial" w:cs="Arial"/>
          <w:sz w:val="26"/>
          <w:szCs w:val="26"/>
        </w:rPr>
        <w:t xml:space="preserve"> </w:t>
      </w:r>
      <w:r w:rsidR="00A272F4" w:rsidRPr="00A272F4">
        <w:rPr>
          <w:rFonts w:ascii="Arial" w:eastAsia="Times New Roman" w:hAnsi="Arial" w:cs="Arial"/>
          <w:sz w:val="26"/>
          <w:szCs w:val="26"/>
        </w:rPr>
        <w:t xml:space="preserve">16 y 17 de la </w:t>
      </w:r>
      <w:r w:rsidR="00A272F4" w:rsidRPr="00A272F4">
        <w:rPr>
          <w:rFonts w:ascii="Arial" w:eastAsia="Times New Roman" w:hAnsi="Arial" w:cs="Arial"/>
          <w:sz w:val="26"/>
          <w:szCs w:val="26"/>
        </w:rPr>
        <w:lastRenderedPageBreak/>
        <w:t xml:space="preserve">Constitución Política Federal, </w:t>
      </w:r>
      <w:r w:rsidR="003B305E">
        <w:rPr>
          <w:rFonts w:ascii="Arial" w:eastAsia="Times New Roman" w:hAnsi="Arial" w:cs="Arial"/>
          <w:sz w:val="26"/>
          <w:szCs w:val="26"/>
        </w:rPr>
        <w:t xml:space="preserve">por lo que </w:t>
      </w:r>
      <w:r w:rsidR="00A272F4" w:rsidRPr="00A272F4">
        <w:rPr>
          <w:rFonts w:ascii="Arial" w:eastAsia="Times New Roman" w:hAnsi="Arial" w:cs="Arial"/>
          <w:sz w:val="26"/>
          <w:szCs w:val="26"/>
        </w:rPr>
        <w:t>la resolución que se recur</w:t>
      </w:r>
      <w:r w:rsidR="003B305E">
        <w:rPr>
          <w:rFonts w:ascii="Arial" w:eastAsia="Times New Roman" w:hAnsi="Arial" w:cs="Arial"/>
          <w:sz w:val="26"/>
          <w:szCs w:val="26"/>
        </w:rPr>
        <w:t>r</w:t>
      </w:r>
      <w:r w:rsidR="00A272F4" w:rsidRPr="00A272F4">
        <w:rPr>
          <w:rFonts w:ascii="Arial" w:eastAsia="Times New Roman" w:hAnsi="Arial" w:cs="Arial"/>
          <w:sz w:val="26"/>
          <w:szCs w:val="26"/>
        </w:rPr>
        <w:t>e carece de una adecuada fundamentación y motivación.</w:t>
      </w:r>
      <w:r w:rsidR="003B305E">
        <w:rPr>
          <w:rFonts w:ascii="Arial" w:eastAsia="Times New Roman" w:hAnsi="Arial" w:cs="Arial"/>
          <w:sz w:val="26"/>
          <w:szCs w:val="26"/>
        </w:rPr>
        <w:t xml:space="preserve"> - - - - - - - - - - - - </w:t>
      </w:r>
    </w:p>
    <w:p w14:paraId="39B6A408" w14:textId="36A79139" w:rsidR="00C61DA7" w:rsidRDefault="005119D2" w:rsidP="005E7096">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Esta Sala Superior estima que el agravio identificado resulta </w:t>
      </w:r>
      <w:r w:rsidRPr="005119D2">
        <w:rPr>
          <w:rFonts w:ascii="Arial" w:eastAsia="Times New Roman" w:hAnsi="Arial" w:cs="Arial"/>
          <w:b/>
          <w:sz w:val="26"/>
          <w:szCs w:val="26"/>
        </w:rPr>
        <w:t>INFUNDADO</w:t>
      </w:r>
      <w:r>
        <w:rPr>
          <w:rFonts w:ascii="Arial" w:eastAsia="Times New Roman" w:hAnsi="Arial" w:cs="Arial"/>
          <w:sz w:val="26"/>
          <w:szCs w:val="26"/>
        </w:rPr>
        <w:t xml:space="preserve">, toda vez que </w:t>
      </w:r>
      <w:r w:rsidR="00EA39F0">
        <w:rPr>
          <w:rFonts w:ascii="Arial" w:eastAsia="Times New Roman" w:hAnsi="Arial" w:cs="Arial"/>
          <w:sz w:val="26"/>
          <w:szCs w:val="26"/>
        </w:rPr>
        <w:t>al determinar la Sala Unitaria la improcedencia de la demanda de nulidad</w:t>
      </w:r>
      <w:r w:rsidR="00B65FAE">
        <w:rPr>
          <w:rFonts w:ascii="Arial" w:eastAsia="Times New Roman" w:hAnsi="Arial" w:cs="Arial"/>
          <w:sz w:val="26"/>
          <w:szCs w:val="26"/>
        </w:rPr>
        <w:t xml:space="preserve"> (</w:t>
      </w:r>
      <w:r w:rsidR="00B65FAE" w:rsidRPr="00B65FAE">
        <w:rPr>
          <w:rFonts w:ascii="Arial" w:eastAsia="Times New Roman" w:hAnsi="Arial" w:cs="Arial"/>
          <w:i/>
          <w:sz w:val="26"/>
          <w:szCs w:val="26"/>
        </w:rPr>
        <w:t xml:space="preserve">“improcedencia </w:t>
      </w:r>
      <w:r w:rsidR="00B65FAE" w:rsidRPr="00B65FAE">
        <w:rPr>
          <w:rFonts w:ascii="Arial" w:eastAsia="Calibri" w:hAnsi="Arial" w:cs="Arial"/>
          <w:i/>
          <w:sz w:val="26"/>
          <w:szCs w:val="26"/>
          <w:lang w:eastAsia="en-US"/>
        </w:rPr>
        <w:t>in limine litis”</w:t>
      </w:r>
      <w:r w:rsidR="00B65FAE">
        <w:rPr>
          <w:rFonts w:ascii="Arial" w:eastAsia="Times New Roman" w:hAnsi="Arial" w:cs="Arial"/>
          <w:sz w:val="26"/>
          <w:szCs w:val="26"/>
        </w:rPr>
        <w:t>)</w:t>
      </w:r>
      <w:r w:rsidR="003E795A">
        <w:rPr>
          <w:rFonts w:ascii="Arial" w:eastAsia="Times New Roman" w:hAnsi="Arial" w:cs="Arial"/>
          <w:sz w:val="26"/>
          <w:szCs w:val="26"/>
        </w:rPr>
        <w:t xml:space="preserve">, consecuentemente </w:t>
      </w:r>
      <w:r w:rsidR="00263079">
        <w:rPr>
          <w:rFonts w:ascii="Arial" w:eastAsia="Times New Roman" w:hAnsi="Arial" w:cs="Arial"/>
          <w:sz w:val="26"/>
          <w:szCs w:val="26"/>
        </w:rPr>
        <w:t>esto</w:t>
      </w:r>
      <w:r w:rsidR="003E795A">
        <w:rPr>
          <w:rFonts w:ascii="Arial" w:eastAsia="Times New Roman" w:hAnsi="Arial" w:cs="Arial"/>
          <w:sz w:val="26"/>
          <w:szCs w:val="26"/>
        </w:rPr>
        <w:t xml:space="preserve"> constituye un obstáculo procesal que impide entra al conocimiento del fondo del asunto</w:t>
      </w:r>
      <w:r w:rsidR="00C61DA7">
        <w:rPr>
          <w:rFonts w:ascii="Arial" w:eastAsia="Times New Roman" w:hAnsi="Arial" w:cs="Arial"/>
          <w:sz w:val="26"/>
          <w:szCs w:val="26"/>
        </w:rPr>
        <w:t>. - - - - - - - - - - - - - - - - - - - - -</w:t>
      </w:r>
    </w:p>
    <w:p w14:paraId="2A067B06" w14:textId="2F042FB5" w:rsidR="005E7096" w:rsidRDefault="00C61DA7" w:rsidP="005E7096">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La determinación tomada por la Primera Instancia permite </w:t>
      </w:r>
      <w:r w:rsidR="00B65FAE">
        <w:rPr>
          <w:rFonts w:ascii="Arial" w:eastAsia="Times New Roman" w:hAnsi="Arial" w:cs="Arial"/>
          <w:sz w:val="26"/>
          <w:szCs w:val="26"/>
        </w:rPr>
        <w:t>que el cau</w:t>
      </w:r>
      <w:r w:rsidR="00EF6CC9">
        <w:rPr>
          <w:rFonts w:ascii="Arial" w:eastAsia="Times New Roman" w:hAnsi="Arial" w:cs="Arial"/>
          <w:sz w:val="26"/>
          <w:szCs w:val="26"/>
        </w:rPr>
        <w:t>c</w:t>
      </w:r>
      <w:r w:rsidR="00B65FAE">
        <w:rPr>
          <w:rFonts w:ascii="Arial" w:eastAsia="Times New Roman" w:hAnsi="Arial" w:cs="Arial"/>
          <w:sz w:val="26"/>
          <w:szCs w:val="26"/>
        </w:rPr>
        <w:t xml:space="preserve">e procedimental sea el legalmente establecido, atendiendo a las circunstancias, tanto objetivas como subjetivas, que la propia Ley, de manera imperativa, toma en consideración y pormenoriza. - - - - - - - - - - </w:t>
      </w:r>
    </w:p>
    <w:p w14:paraId="16EF1C83" w14:textId="77777777" w:rsidR="00164870" w:rsidRPr="00FB4B52" w:rsidRDefault="00164870" w:rsidP="00164870">
      <w:pPr>
        <w:spacing w:before="24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Por ello, siempre que sea percibida la ausencia de algún presupuesto procesal por parte de la autoridad jurisdiccional, </w:t>
      </w:r>
      <w:r w:rsidRPr="00FB4B52">
        <w:rPr>
          <w:rFonts w:ascii="Arial" w:eastAsia="Calibri" w:hAnsi="Arial" w:cs="Arial"/>
          <w:b/>
          <w:sz w:val="26"/>
          <w:szCs w:val="26"/>
          <w:lang w:eastAsia="en-US"/>
        </w:rPr>
        <w:t>de oficio</w:t>
      </w:r>
      <w:r w:rsidRPr="00FB4B52">
        <w:rPr>
          <w:rFonts w:ascii="Arial" w:eastAsia="Calibri" w:hAnsi="Arial" w:cs="Arial"/>
          <w:sz w:val="26"/>
          <w:szCs w:val="26"/>
          <w:lang w:eastAsia="en-US"/>
        </w:rPr>
        <w:t xml:space="preserve"> o a petición de parte deberá procederse a subsanar en cualquier estado que se halle el juicio, de lo contrario el proceso no se encontrará en un estado de cognición que pueda considerarse como jurídicamente aceptable; no es posible la existencia de un juicio válido o proceso verdadero sin la concurrencia </w:t>
      </w:r>
      <w:r w:rsidRPr="00FB4B52">
        <w:rPr>
          <w:rFonts w:ascii="Arial" w:eastAsia="Calibri" w:hAnsi="Arial" w:cs="Arial"/>
          <w:i/>
          <w:sz w:val="26"/>
          <w:szCs w:val="26"/>
          <w:lang w:eastAsia="en-US"/>
        </w:rPr>
        <w:t>in limine litis</w:t>
      </w:r>
      <w:r w:rsidRPr="00FB4B52">
        <w:rPr>
          <w:rStyle w:val="Refdenotaalpie"/>
          <w:rFonts w:ascii="Arial" w:eastAsia="Calibri" w:hAnsi="Arial" w:cs="Arial"/>
          <w:i/>
          <w:sz w:val="26"/>
          <w:szCs w:val="26"/>
          <w:lang w:eastAsia="en-US"/>
        </w:rPr>
        <w:footnoteReference w:id="8"/>
      </w:r>
      <w:r w:rsidRPr="00FB4B52">
        <w:rPr>
          <w:rFonts w:ascii="Arial" w:eastAsia="Calibri" w:hAnsi="Arial" w:cs="Arial"/>
          <w:sz w:val="26"/>
          <w:szCs w:val="26"/>
          <w:lang w:eastAsia="en-US"/>
        </w:rPr>
        <w:t xml:space="preserve"> de los presupuestos procesales que condicionan, a su vez, la existencia del debido proceso.- </w:t>
      </w:r>
    </w:p>
    <w:p w14:paraId="6E259D29" w14:textId="77777777" w:rsidR="00164870" w:rsidRPr="00FB4B52" w:rsidRDefault="00164870" w:rsidP="00164870">
      <w:pPr>
        <w:spacing w:before="24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Admitir lo contrario violaría los derechos de audiencia, legalidad, defensa y acceso a la administración de justicia, previstos en los artículos 14, 16 y 17 de la Constitución Federal.- - - - - - - - - - - - - - - - - - </w:t>
      </w:r>
    </w:p>
    <w:p w14:paraId="340B2A5A" w14:textId="77777777" w:rsidR="00164870" w:rsidRPr="00FB4B52" w:rsidRDefault="00164870" w:rsidP="00164870">
      <w:pPr>
        <w:spacing w:before="24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Sirve de aplicación al caso por identidad jurídica, la jurisprudencia 1a./J. 29/2021 (11a.) número de registro 2023791, emitida por la Primera Sala de la Suprema Corte de Justicia de la Nación, visible a página 1374, Tomo II, del Semanario Judicial de la Federación y su Gaceta, Noviembre 2021, de epígrafe y texto siguiente:</w:t>
      </w:r>
    </w:p>
    <w:p w14:paraId="2B648D4C" w14:textId="77777777" w:rsidR="00164870" w:rsidRPr="00FB4B52" w:rsidRDefault="00164870" w:rsidP="003B0CCE">
      <w:pPr>
        <w:spacing w:before="240" w:after="0"/>
        <w:ind w:left="709" w:right="758"/>
        <w:jc w:val="both"/>
        <w:rPr>
          <w:rFonts w:ascii="Arial" w:eastAsia="Calibri" w:hAnsi="Arial" w:cs="Arial"/>
          <w:i/>
          <w:lang w:eastAsia="en-US"/>
        </w:rPr>
      </w:pPr>
      <w:r w:rsidRPr="00FB4B52">
        <w:rPr>
          <w:rFonts w:ascii="Arial" w:eastAsia="Calibri" w:hAnsi="Arial" w:cs="Arial"/>
          <w:i/>
          <w:lang w:eastAsia="en-US"/>
        </w:rPr>
        <w:t>“</w:t>
      </w:r>
      <w:r w:rsidRPr="00FB4B52">
        <w:rPr>
          <w:rFonts w:ascii="Arial" w:eastAsia="Calibri" w:hAnsi="Arial" w:cs="Arial"/>
          <w:b/>
          <w:i/>
          <w:lang w:eastAsia="en-US"/>
        </w:rPr>
        <w:t>PRINCIPIO DE PRIVILEGIO DEL FONDO SOBRE LA FORMA. LA TRAMITACIÓN DE UN JUICIO EN LA VÍA INCORRECTA NO ES UN MERO FORMALISMO QUE PUEDA OBVIARSE (INTERPRETACIÓN DEL ARTÍCULO 17, PÁRRAFO TERCERO, CONSTITUCIONAL).</w:t>
      </w:r>
    </w:p>
    <w:p w14:paraId="4B8D64D7" w14:textId="77777777" w:rsidR="00164870" w:rsidRPr="00FB4B52" w:rsidRDefault="00164870" w:rsidP="003B0CCE">
      <w:pPr>
        <w:spacing w:before="240" w:after="0"/>
        <w:ind w:left="709" w:right="758"/>
        <w:jc w:val="both"/>
        <w:rPr>
          <w:rFonts w:ascii="Arial" w:eastAsia="Calibri" w:hAnsi="Arial" w:cs="Arial"/>
          <w:i/>
          <w:lang w:eastAsia="en-US"/>
        </w:rPr>
      </w:pPr>
      <w:r w:rsidRPr="00FB4B52">
        <w:rPr>
          <w:rFonts w:ascii="Arial" w:eastAsia="Calibri" w:hAnsi="Arial" w:cs="Arial"/>
          <w:i/>
          <w:lang w:eastAsia="en-US"/>
        </w:rPr>
        <w:t xml:space="preserve">Hechos: Una persona demandó en la vía ordinaria civil a una inmobiliaria el otorgamiento y firma de escritura de un contrato de compraventa de un inmueble. Al contestar, la empresa opuso la </w:t>
      </w:r>
      <w:r w:rsidRPr="00FB4B52">
        <w:rPr>
          <w:rFonts w:ascii="Arial" w:eastAsia="Calibri" w:hAnsi="Arial" w:cs="Arial"/>
          <w:i/>
          <w:lang w:eastAsia="en-US"/>
        </w:rPr>
        <w:lastRenderedPageBreak/>
        <w:t>excepción de improcedencia de la vía, sustentada en que la relación entre las partes es mixta y, por tanto, se debió demandar en la vía ordinaria mercantil. La excepción fue desestimada en ambas instancias, bajo el argumento de que no le causaba perjuicio, dada la similitud de plazos entre ambas vías y porque la vía civil concede una mayor oportunidad probatoria. En el juicio de amparo directo, el Tribunal Colegiado consideró que no se argumentó cuál derecho fue trastocado con la tramitación del juicio en la vía incorrecta y que la jurisprudencia 1a./J. 74/2005 se emitió previo a la incorporación del tercer párrafo del artículo 17 constitucional, conforme al cual los Jueces deben privilegiar el fondo sobre la forma.</w:t>
      </w:r>
    </w:p>
    <w:p w14:paraId="0A6269D8" w14:textId="1517E973" w:rsidR="00164870" w:rsidRPr="0043145B" w:rsidRDefault="00164870" w:rsidP="003B0CCE">
      <w:pPr>
        <w:spacing w:before="240" w:after="0"/>
        <w:ind w:left="709" w:right="758"/>
        <w:jc w:val="both"/>
        <w:rPr>
          <w:rFonts w:ascii="Arial" w:eastAsia="Calibri" w:hAnsi="Arial" w:cs="Arial"/>
          <w:lang w:eastAsia="en-US"/>
        </w:rPr>
      </w:pPr>
      <w:r w:rsidRPr="00FB4B52">
        <w:rPr>
          <w:rFonts w:ascii="Arial" w:eastAsia="Calibri" w:hAnsi="Arial" w:cs="Arial"/>
          <w:i/>
          <w:lang w:eastAsia="en-US"/>
        </w:rPr>
        <w:t xml:space="preserve">Criterio jurídico: La incorporación al Texto Constitucional de la obligación a cargo de las autoridades jurisdiccionales de privilegiar la solución de fondo de las controversias judiciales sobre los formalismos procedimentales </w:t>
      </w:r>
      <w:r w:rsidRPr="0043145B">
        <w:rPr>
          <w:rFonts w:ascii="Arial" w:eastAsia="Calibri" w:hAnsi="Arial" w:cs="Arial"/>
          <w:i/>
          <w:lang w:eastAsia="en-US"/>
        </w:rPr>
        <w:t>no es irrestricto sino que está condicionado a que en los juicios o procedimientos seguidos en forma de juicio, no se afecte con su aplicación la igualdad entre las partes, el debido proceso u otros derechos. Por tanto, si con la tramitación de un juicio en la vía incorrecta se transgrede el derecho a la seguridad jurídica, no se cumplen los requisitos constitucionales para obviar dicha violación procesal con base en ese principio.</w:t>
      </w:r>
      <w:r w:rsidR="00B65FAE" w:rsidRPr="0043145B">
        <w:rPr>
          <w:rFonts w:ascii="Arial" w:eastAsia="Calibri" w:hAnsi="Arial" w:cs="Arial"/>
          <w:i/>
          <w:lang w:eastAsia="en-US"/>
        </w:rPr>
        <w:t xml:space="preserve"> </w:t>
      </w:r>
    </w:p>
    <w:p w14:paraId="7C833FDC" w14:textId="77777777" w:rsidR="00164870" w:rsidRPr="00FB4B52" w:rsidRDefault="00164870" w:rsidP="003B0CCE">
      <w:pPr>
        <w:spacing w:before="240" w:after="0"/>
        <w:ind w:left="709" w:right="758"/>
        <w:jc w:val="both"/>
        <w:rPr>
          <w:rFonts w:ascii="Arial" w:eastAsia="Calibri" w:hAnsi="Arial" w:cs="Arial"/>
          <w:i/>
          <w:lang w:eastAsia="en-US"/>
        </w:rPr>
      </w:pPr>
      <w:r w:rsidRPr="00FB4B52">
        <w:rPr>
          <w:rFonts w:ascii="Arial" w:eastAsia="Calibri" w:hAnsi="Arial" w:cs="Arial"/>
          <w:i/>
          <w:lang w:eastAsia="en-US"/>
        </w:rPr>
        <w:t>Justificación: La vía es un presupuesto procesal y, por ende, una condición de validez del proceso, que se concibe como el conjunto de formalidades adjetivas, plazos, términos y demás elementos que integran un procedimiento particular, estructurado y previamente establecido por el legislador en el cual deben seguirse los diferentes tipos de controversias que se puedan someter a la jurisdicción de un tribunal o autoridad que ejerce una función materialmente jurisdiccional. Su objetivo es dar efectividad a los derechos sustantivos de las personas y su existencia deriva de uno de los derechos que sustenta todo el sistema jurídico nacional: la seguridad jurídica. Sobre esas bases, la tramitación del juicio en la vía incorrecta no es un mero formalismo procedimental, ni siquiera el incumplimiento a alguna de las formalidades que deben regir el proceso natural, sino la transgresión a toda la estructura creada por el legislador para la sustanciación de la controversia, cuya ausencia impide tener plena certeza de que se respetó el derecho del demandado a la seguridad jurídica y legalidad. Por ende, no es constitucionalmente válido aceptar que pueda obviarse y consentir su incumplimiento, so pretexto de fallar de fondo la litis del juicio, ya que no se satisfacen las exigencias constitucionales para ello, pues uno de los requisitos que el artículo 17 constitucional establece para que los juzgadores puedan privilegiar la solución del fondo de la controversia, al margen de la existencia de violaciones procesales, es que con éstas no se haya transgredido algún otro derecho sustantivo de las partes y con el trámite en la vía incorrecta de un litigio se transgrede el derecho a la seguridad jurídica.”</w:t>
      </w:r>
    </w:p>
    <w:p w14:paraId="5235C432" w14:textId="40B4567E" w:rsidR="00164870" w:rsidRPr="00FB4B52" w:rsidRDefault="00164870" w:rsidP="00164870">
      <w:pPr>
        <w:spacing w:before="24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De la misma manera resulta aplicable al caso, la </w:t>
      </w:r>
      <w:r w:rsidR="000C6CED">
        <w:rPr>
          <w:rFonts w:ascii="Arial" w:eastAsia="Calibri" w:hAnsi="Arial" w:cs="Arial"/>
          <w:sz w:val="26"/>
          <w:szCs w:val="26"/>
          <w:lang w:eastAsia="en-US"/>
        </w:rPr>
        <w:t>J</w:t>
      </w:r>
      <w:r w:rsidRPr="00FB4B52">
        <w:rPr>
          <w:rFonts w:ascii="Arial" w:eastAsia="Calibri" w:hAnsi="Arial" w:cs="Arial"/>
          <w:sz w:val="26"/>
          <w:szCs w:val="26"/>
          <w:lang w:eastAsia="en-US"/>
        </w:rPr>
        <w:t xml:space="preserve">urisprudencia </w:t>
      </w:r>
      <w:r w:rsidR="0075590C" w:rsidRPr="0075590C">
        <w:rPr>
          <w:rFonts w:ascii="Arial" w:eastAsia="Calibri" w:hAnsi="Arial" w:cs="Arial"/>
          <w:sz w:val="26"/>
          <w:szCs w:val="26"/>
          <w:lang w:eastAsia="en-US"/>
        </w:rPr>
        <w:t>I.14o.T. J/3 (10a.)</w:t>
      </w:r>
      <w:r w:rsidR="0075590C">
        <w:rPr>
          <w:rFonts w:ascii="Arial" w:eastAsia="Calibri" w:hAnsi="Arial" w:cs="Arial"/>
          <w:sz w:val="26"/>
          <w:szCs w:val="26"/>
          <w:lang w:eastAsia="en-US"/>
        </w:rPr>
        <w:t xml:space="preserve"> </w:t>
      </w:r>
      <w:r w:rsidRPr="00FB4B52">
        <w:rPr>
          <w:rFonts w:ascii="Arial" w:eastAsia="Calibri" w:hAnsi="Arial" w:cs="Arial"/>
          <w:sz w:val="26"/>
          <w:szCs w:val="26"/>
          <w:lang w:eastAsia="en-US"/>
        </w:rPr>
        <w:t xml:space="preserve">de número de registro </w:t>
      </w:r>
      <w:r w:rsidR="0075590C" w:rsidRPr="0075590C">
        <w:rPr>
          <w:rFonts w:ascii="Arial" w:eastAsia="Calibri" w:hAnsi="Arial" w:cs="Arial"/>
          <w:sz w:val="26"/>
          <w:szCs w:val="26"/>
          <w:lang w:eastAsia="en-US"/>
        </w:rPr>
        <w:t>2019394</w:t>
      </w:r>
      <w:r w:rsidRPr="00FB4B52">
        <w:rPr>
          <w:rFonts w:ascii="Arial" w:eastAsia="Calibri" w:hAnsi="Arial" w:cs="Arial"/>
          <w:sz w:val="26"/>
          <w:szCs w:val="26"/>
          <w:lang w:eastAsia="en-US"/>
        </w:rPr>
        <w:t>,</w:t>
      </w:r>
      <w:r w:rsidR="000C6CED">
        <w:rPr>
          <w:rFonts w:ascii="Arial" w:eastAsia="Calibri" w:hAnsi="Arial" w:cs="Arial"/>
          <w:sz w:val="26"/>
          <w:szCs w:val="26"/>
          <w:lang w:eastAsia="en-US"/>
        </w:rPr>
        <w:t xml:space="preserve"> Décima Época, </w:t>
      </w:r>
      <w:r w:rsidRPr="00FB4B52">
        <w:rPr>
          <w:rFonts w:ascii="Arial" w:eastAsia="Calibri" w:hAnsi="Arial" w:cs="Arial"/>
          <w:sz w:val="26"/>
          <w:szCs w:val="26"/>
          <w:lang w:eastAsia="en-US"/>
        </w:rPr>
        <w:t xml:space="preserve">emitida por </w:t>
      </w:r>
      <w:r w:rsidR="0075590C">
        <w:rPr>
          <w:rFonts w:ascii="Arial" w:eastAsia="Calibri" w:hAnsi="Arial" w:cs="Arial"/>
          <w:sz w:val="26"/>
          <w:szCs w:val="26"/>
          <w:lang w:eastAsia="en-US"/>
        </w:rPr>
        <w:t xml:space="preserve">los </w:t>
      </w:r>
      <w:r w:rsidR="0075590C" w:rsidRPr="0075590C">
        <w:rPr>
          <w:rFonts w:ascii="Arial" w:eastAsia="Calibri" w:hAnsi="Arial" w:cs="Arial"/>
          <w:sz w:val="26"/>
          <w:szCs w:val="26"/>
          <w:lang w:eastAsia="en-US"/>
        </w:rPr>
        <w:t>Tribunales Colegiados de Circuito</w:t>
      </w:r>
      <w:r w:rsidRPr="00FB4B52">
        <w:rPr>
          <w:rFonts w:ascii="Arial" w:eastAsia="Calibri" w:hAnsi="Arial" w:cs="Arial"/>
          <w:sz w:val="26"/>
          <w:szCs w:val="26"/>
          <w:lang w:eastAsia="en-US"/>
        </w:rPr>
        <w:t>, visible a página 2</w:t>
      </w:r>
      <w:r w:rsidR="0075590C">
        <w:rPr>
          <w:rFonts w:ascii="Arial" w:eastAsia="Calibri" w:hAnsi="Arial" w:cs="Arial"/>
          <w:sz w:val="26"/>
          <w:szCs w:val="26"/>
          <w:lang w:eastAsia="en-US"/>
        </w:rPr>
        <w:t>478</w:t>
      </w:r>
      <w:r w:rsidRPr="00FB4B52">
        <w:rPr>
          <w:rFonts w:ascii="Arial" w:eastAsia="Calibri" w:hAnsi="Arial" w:cs="Arial"/>
          <w:sz w:val="26"/>
          <w:szCs w:val="26"/>
          <w:lang w:eastAsia="en-US"/>
        </w:rPr>
        <w:t xml:space="preserve">, Tomo </w:t>
      </w:r>
      <w:r w:rsidR="0075590C">
        <w:rPr>
          <w:rFonts w:ascii="Arial" w:eastAsia="Calibri" w:hAnsi="Arial" w:cs="Arial"/>
          <w:sz w:val="26"/>
          <w:szCs w:val="26"/>
          <w:lang w:eastAsia="en-US"/>
        </w:rPr>
        <w:t>I</w:t>
      </w:r>
      <w:r w:rsidRPr="00FB4B52">
        <w:rPr>
          <w:rFonts w:ascii="Arial" w:eastAsia="Calibri" w:hAnsi="Arial" w:cs="Arial"/>
          <w:sz w:val="26"/>
          <w:szCs w:val="26"/>
          <w:lang w:eastAsia="en-US"/>
        </w:rPr>
        <w:t xml:space="preserve">I, del Semanario Judicial de la Federación y su Gaceta, </w:t>
      </w:r>
      <w:r w:rsidR="0075590C">
        <w:rPr>
          <w:rFonts w:ascii="Arial" w:eastAsia="Calibri" w:hAnsi="Arial" w:cs="Arial"/>
          <w:sz w:val="26"/>
          <w:szCs w:val="26"/>
          <w:lang w:eastAsia="en-US"/>
        </w:rPr>
        <w:t>Febrero</w:t>
      </w:r>
      <w:r w:rsidRPr="00FB4B52">
        <w:rPr>
          <w:rFonts w:ascii="Arial" w:eastAsia="Calibri" w:hAnsi="Arial" w:cs="Arial"/>
          <w:sz w:val="26"/>
          <w:szCs w:val="26"/>
          <w:lang w:eastAsia="en-US"/>
        </w:rPr>
        <w:t xml:space="preserve"> 20</w:t>
      </w:r>
      <w:r w:rsidR="0075590C">
        <w:rPr>
          <w:rFonts w:ascii="Arial" w:eastAsia="Calibri" w:hAnsi="Arial" w:cs="Arial"/>
          <w:sz w:val="26"/>
          <w:szCs w:val="26"/>
          <w:lang w:eastAsia="en-US"/>
        </w:rPr>
        <w:t>19</w:t>
      </w:r>
      <w:r w:rsidRPr="00FB4B52">
        <w:rPr>
          <w:rFonts w:ascii="Arial" w:eastAsia="Calibri" w:hAnsi="Arial" w:cs="Arial"/>
          <w:sz w:val="26"/>
          <w:szCs w:val="26"/>
          <w:lang w:eastAsia="en-US"/>
        </w:rPr>
        <w:t>,</w:t>
      </w:r>
      <w:r w:rsidR="00D27258">
        <w:rPr>
          <w:rFonts w:ascii="Arial" w:eastAsia="Calibri" w:hAnsi="Arial" w:cs="Arial"/>
          <w:sz w:val="26"/>
          <w:szCs w:val="26"/>
          <w:lang w:eastAsia="en-US"/>
        </w:rPr>
        <w:t xml:space="preserve"> Materia Constitucional, Común,</w:t>
      </w:r>
      <w:r w:rsidRPr="00FB4B52">
        <w:rPr>
          <w:rFonts w:ascii="Arial" w:eastAsia="Calibri" w:hAnsi="Arial" w:cs="Arial"/>
          <w:sz w:val="26"/>
          <w:szCs w:val="26"/>
          <w:lang w:eastAsia="en-US"/>
        </w:rPr>
        <w:t xml:space="preserve"> de epígrafe y texto siguiente:</w:t>
      </w:r>
    </w:p>
    <w:bookmarkEnd w:id="0"/>
    <w:p w14:paraId="312B1685" w14:textId="0FE35E91" w:rsidR="002B7CC7" w:rsidRPr="002B7CC7" w:rsidRDefault="002B7CC7" w:rsidP="003B0CCE">
      <w:pPr>
        <w:spacing w:before="100" w:beforeAutospacing="1" w:after="0"/>
        <w:ind w:left="709" w:right="758"/>
        <w:jc w:val="both"/>
        <w:rPr>
          <w:rFonts w:ascii="Arial" w:eastAsia="Times New Roman" w:hAnsi="Arial" w:cs="Arial"/>
          <w:bCs/>
          <w:i/>
        </w:rPr>
      </w:pPr>
      <w:r>
        <w:rPr>
          <w:rFonts w:ascii="Arial" w:eastAsia="Times New Roman" w:hAnsi="Arial" w:cs="Arial"/>
          <w:bCs/>
          <w:i/>
        </w:rPr>
        <w:lastRenderedPageBreak/>
        <w:t>“</w:t>
      </w:r>
      <w:r w:rsidRPr="002B7CC7">
        <w:rPr>
          <w:rFonts w:ascii="Arial" w:eastAsia="Times New Roman" w:hAnsi="Arial" w:cs="Arial"/>
          <w:b/>
          <w:bCs/>
          <w:i/>
        </w:rPr>
        <w:t>TUTELA JUDICIAL EFECTIVA. SU RELACIÓN CON LOS FORMALISMOS PROCESALES.</w:t>
      </w:r>
    </w:p>
    <w:p w14:paraId="2EA48CE7" w14:textId="58B26E6E" w:rsidR="002B7CC7" w:rsidRPr="000C6CED" w:rsidRDefault="002B7CC7" w:rsidP="003B0CCE">
      <w:pPr>
        <w:spacing w:before="100" w:beforeAutospacing="1" w:after="0"/>
        <w:ind w:left="709" w:right="758"/>
        <w:jc w:val="both"/>
        <w:rPr>
          <w:rFonts w:ascii="Arial" w:eastAsia="Calibri" w:hAnsi="Arial" w:cs="Arial"/>
          <w:bCs/>
          <w:sz w:val="26"/>
          <w:szCs w:val="26"/>
        </w:rPr>
      </w:pPr>
      <w:r w:rsidRPr="002B7CC7">
        <w:rPr>
          <w:rFonts w:ascii="Arial" w:eastAsia="Times New Roman" w:hAnsi="Arial" w:cs="Arial"/>
          <w:bCs/>
          <w:i/>
        </w:rPr>
        <w:t xml:space="preserve">El artículo 17, párrafo tercero, de la Constitución Política de los Estados Unidos Mexicanos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w:t>
      </w:r>
      <w:proofErr w:type="spellStart"/>
      <w:r w:rsidRPr="002B7CC7">
        <w:rPr>
          <w:rFonts w:ascii="Arial" w:eastAsia="Times New Roman" w:hAnsi="Arial" w:cs="Arial"/>
          <w:bCs/>
          <w:i/>
        </w:rPr>
        <w:t>idem</w:t>
      </w:r>
      <w:proofErr w:type="spellEnd"/>
      <w:r w:rsidRPr="002B7CC7">
        <w:rPr>
          <w:rFonts w:ascii="Arial" w:eastAsia="Times New Roman" w:hAnsi="Arial" w:cs="Arial"/>
          <w:bCs/>
          <w:i/>
        </w:rPr>
        <w:t xml:space="preserve">, contradicción, de preclusión, de eventualidad, de inmediación, de concentración, de publicidad, etcétera. </w:t>
      </w:r>
      <w:r w:rsidRPr="000C6CED">
        <w:rPr>
          <w:rFonts w:ascii="Arial" w:eastAsia="Times New Roman" w:hAnsi="Arial" w:cs="Arial"/>
          <w:b/>
          <w:bCs/>
          <w:i/>
          <w:u w:val="single"/>
        </w:rPr>
        <w:t>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Pr>
          <w:rFonts w:ascii="Arial" w:eastAsia="Times New Roman" w:hAnsi="Arial" w:cs="Arial"/>
          <w:bCs/>
          <w:i/>
        </w:rPr>
        <w:t>”</w:t>
      </w:r>
      <w:r w:rsidR="000C6CED">
        <w:rPr>
          <w:rFonts w:ascii="Arial" w:eastAsia="Times New Roman" w:hAnsi="Arial" w:cs="Arial"/>
          <w:bCs/>
          <w:i/>
        </w:rPr>
        <w:t xml:space="preserve"> </w:t>
      </w:r>
      <w:r w:rsidR="000C6CED">
        <w:rPr>
          <w:rFonts w:ascii="Arial" w:eastAsia="Times New Roman" w:hAnsi="Arial" w:cs="Arial"/>
          <w:bCs/>
        </w:rPr>
        <w:t>-Énfasis añadido-.</w:t>
      </w:r>
    </w:p>
    <w:p w14:paraId="59275578" w14:textId="2C40024A"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2B50CA">
        <w:rPr>
          <w:rFonts w:ascii="Arial" w:eastAsia="Calibri" w:hAnsi="Arial" w:cs="Arial"/>
          <w:bCs/>
          <w:sz w:val="26"/>
          <w:szCs w:val="26"/>
        </w:rPr>
        <w:t>el acuerdo de tres de marzo de dos mil veintidós</w:t>
      </w:r>
      <w:r w:rsidR="00BD6E8F" w:rsidRPr="00FE0D56">
        <w:rPr>
          <w:rFonts w:ascii="Arial" w:eastAsia="Calibri" w:hAnsi="Arial" w:cs="Arial"/>
          <w:bCs/>
          <w:sz w:val="26"/>
          <w:szCs w:val="26"/>
        </w:rPr>
        <w:t xml:space="preserve">,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r w:rsidR="002B50CA">
        <w:rPr>
          <w:rFonts w:ascii="Arial" w:eastAsia="Calibri" w:hAnsi="Arial" w:cs="Arial"/>
          <w:bCs/>
          <w:sz w:val="26"/>
          <w:szCs w:val="26"/>
        </w:rPr>
        <w:t xml:space="preserve">- - - - - - - - - - - - - - - - - - - - - - - - - - - </w:t>
      </w:r>
    </w:p>
    <w:p w14:paraId="5506BC6D" w14:textId="77777777"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Pr="00894AC8">
        <w:rPr>
          <w:rFonts w:ascii="Arial" w:hAnsi="Arial" w:cs="Arial"/>
          <w:sz w:val="26"/>
          <w:szCs w:val="26"/>
        </w:rPr>
        <w:t>7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48342C22"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w:t>
      </w:r>
      <w:r w:rsidR="002B50CA">
        <w:rPr>
          <w:rFonts w:ascii="Arial" w:hAnsi="Arial" w:cs="Arial"/>
          <w:color w:val="000000"/>
          <w:sz w:val="26"/>
          <w:szCs w:val="26"/>
        </w:rPr>
        <w:t xml:space="preserve">el acuerdo </w:t>
      </w:r>
      <w:r w:rsidRPr="006744B2">
        <w:rPr>
          <w:rFonts w:ascii="Arial" w:hAnsi="Arial" w:cs="Arial"/>
          <w:color w:val="000000"/>
          <w:sz w:val="26"/>
          <w:szCs w:val="26"/>
        </w:rPr>
        <w:t>d</w:t>
      </w:r>
      <w:r w:rsidR="00FB2E32">
        <w:rPr>
          <w:rFonts w:ascii="Arial" w:hAnsi="Arial" w:cs="Arial"/>
          <w:color w:val="000000"/>
          <w:sz w:val="26"/>
          <w:szCs w:val="26"/>
        </w:rPr>
        <w:t xml:space="preserve">e </w:t>
      </w:r>
      <w:r w:rsidR="002B50CA">
        <w:rPr>
          <w:rFonts w:ascii="Arial" w:hAnsi="Arial" w:cs="Arial"/>
          <w:color w:val="000000"/>
          <w:sz w:val="26"/>
          <w:szCs w:val="26"/>
        </w:rPr>
        <w:t xml:space="preserve">tres </w:t>
      </w:r>
      <w:r w:rsidR="007A2693">
        <w:rPr>
          <w:rFonts w:ascii="Arial" w:hAnsi="Arial" w:cs="Arial"/>
          <w:color w:val="000000"/>
          <w:sz w:val="26"/>
          <w:szCs w:val="26"/>
        </w:rPr>
        <w:t>de marzo</w:t>
      </w:r>
      <w:r w:rsidR="00323AC8" w:rsidRPr="006744B2">
        <w:rPr>
          <w:rFonts w:ascii="Arial" w:hAnsi="Arial" w:cs="Arial"/>
          <w:color w:val="000000"/>
          <w:sz w:val="26"/>
          <w:szCs w:val="26"/>
        </w:rPr>
        <w:t xml:space="preserve"> de dos mil </w:t>
      </w:r>
      <w:r w:rsidR="007A2693" w:rsidRPr="006744B2">
        <w:rPr>
          <w:rFonts w:ascii="Arial" w:hAnsi="Arial" w:cs="Arial"/>
          <w:color w:val="000000"/>
          <w:sz w:val="26"/>
          <w:szCs w:val="26"/>
        </w:rPr>
        <w:t>veinti</w:t>
      </w:r>
      <w:r w:rsidR="007A2693">
        <w:rPr>
          <w:rFonts w:ascii="Arial" w:hAnsi="Arial" w:cs="Arial"/>
          <w:color w:val="000000"/>
          <w:sz w:val="26"/>
          <w:szCs w:val="26"/>
        </w:rPr>
        <w:t>dós</w:t>
      </w:r>
      <w:r w:rsidRPr="006744B2">
        <w:rPr>
          <w:rFonts w:ascii="Arial" w:hAnsi="Arial" w:cs="Arial"/>
          <w:color w:val="000000"/>
          <w:sz w:val="26"/>
          <w:szCs w:val="26"/>
        </w:rPr>
        <w:t>, emitid</w:t>
      </w:r>
      <w:r w:rsidR="002B50CA">
        <w:rPr>
          <w:rFonts w:ascii="Arial" w:hAnsi="Arial" w:cs="Arial"/>
          <w:color w:val="000000"/>
          <w:sz w:val="26"/>
          <w:szCs w:val="26"/>
        </w:rPr>
        <w:t>o</w:t>
      </w:r>
      <w:r w:rsidRPr="006744B2">
        <w:rPr>
          <w:rFonts w:ascii="Arial" w:hAnsi="Arial" w:cs="Arial"/>
          <w:color w:val="000000"/>
          <w:sz w:val="26"/>
          <w:szCs w:val="26"/>
        </w:rPr>
        <w:t xml:space="preserve"> por la </w:t>
      </w:r>
      <w:r w:rsidR="002B50CA">
        <w:rPr>
          <w:rFonts w:ascii="Arial" w:hAnsi="Arial" w:cs="Arial"/>
          <w:color w:val="000000"/>
          <w:sz w:val="26"/>
          <w:szCs w:val="26"/>
        </w:rPr>
        <w:t>Primera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2B50CA">
        <w:rPr>
          <w:rFonts w:ascii="Arial" w:hAnsi="Arial" w:cs="Arial"/>
          <w:b/>
          <w:color w:val="000000"/>
          <w:sz w:val="26"/>
          <w:szCs w:val="26"/>
        </w:rPr>
        <w:t>006</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2B50CA">
        <w:rPr>
          <w:rFonts w:ascii="Arial" w:hAnsi="Arial" w:cs="Arial"/>
          <w:b/>
          <w:color w:val="000000"/>
          <w:sz w:val="26"/>
          <w:szCs w:val="26"/>
        </w:rPr>
        <w:t>2</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522DD3">
        <w:rPr>
          <w:rFonts w:ascii="Arial" w:hAnsi="Arial" w:cs="Arial"/>
          <w:color w:val="000000"/>
          <w:sz w:val="26"/>
          <w:szCs w:val="26"/>
        </w:rPr>
        <w:t xml:space="preserve"> - - - - - - - -</w:t>
      </w:r>
    </w:p>
    <w:p w14:paraId="1181F7B4" w14:textId="59AB1981"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lastRenderedPageBreak/>
        <w:t>SEGUNDO. NOTIFÍQUESE Y CÚMPLASE,</w:t>
      </w:r>
      <w:r w:rsidRPr="006744B2">
        <w:rPr>
          <w:rFonts w:ascii="Arial" w:hAnsi="Arial" w:cs="Arial"/>
          <w:sz w:val="26"/>
          <w:szCs w:val="26"/>
        </w:rPr>
        <w:t xml:space="preserve"> remítase copia certificada de la presente resolución a la </w:t>
      </w:r>
      <w:r w:rsidR="002B50CA">
        <w:rPr>
          <w:rFonts w:ascii="Arial" w:hAnsi="Arial" w:cs="Arial"/>
          <w:sz w:val="26"/>
          <w:szCs w:val="26"/>
        </w:rPr>
        <w:t>Primera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p>
    <w:p w14:paraId="42087A73" w14:textId="62DA6534"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Por unanimidad de votos, lo resolvieron y firmaron los Magistrados 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761858E4" w14:textId="1F171D43" w:rsidR="003B0CCE" w:rsidRDefault="003B0CCE" w:rsidP="003B0CCE">
      <w:pPr>
        <w:tabs>
          <w:tab w:val="left" w:pos="1680"/>
          <w:tab w:val="center" w:pos="4277"/>
        </w:tabs>
        <w:spacing w:line="360" w:lineRule="auto"/>
        <w:rPr>
          <w:rFonts w:ascii="Arial" w:hAnsi="Arial" w:cs="Arial"/>
          <w:sz w:val="26"/>
          <w:szCs w:val="26"/>
        </w:rPr>
      </w:pPr>
    </w:p>
    <w:p w14:paraId="54CA65AF" w14:textId="73ABDC50" w:rsidR="003B0CCE" w:rsidRDefault="003B0CCE" w:rsidP="00E92C73">
      <w:pPr>
        <w:tabs>
          <w:tab w:val="left" w:pos="1680"/>
          <w:tab w:val="center" w:pos="4277"/>
        </w:tabs>
        <w:spacing w:line="360" w:lineRule="auto"/>
        <w:jc w:val="center"/>
        <w:rPr>
          <w:rFonts w:ascii="Arial" w:hAnsi="Arial" w:cs="Arial"/>
          <w:sz w:val="26"/>
          <w:szCs w:val="26"/>
        </w:rPr>
      </w:pPr>
    </w:p>
    <w:p w14:paraId="4173B239" w14:textId="77777777" w:rsidR="003B0CCE" w:rsidRPr="006744B2" w:rsidRDefault="003B0CCE" w:rsidP="00E92C73">
      <w:pPr>
        <w:tabs>
          <w:tab w:val="left" w:pos="1680"/>
          <w:tab w:val="center" w:pos="4277"/>
        </w:tabs>
        <w:spacing w:line="360" w:lineRule="auto"/>
        <w:jc w:val="center"/>
        <w:rPr>
          <w:rFonts w:ascii="Arial" w:hAnsi="Arial" w:cs="Arial"/>
          <w:sz w:val="26"/>
          <w:szCs w:val="26"/>
        </w:rPr>
      </w:pPr>
    </w:p>
    <w:p w14:paraId="2966EA68" w14:textId="77777777" w:rsidR="003B0CCE" w:rsidRDefault="003B0CCE" w:rsidP="003B0CCE">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C3B5405" w14:textId="38A3FC5D" w:rsidR="003B0CCE" w:rsidRDefault="003B0CCE" w:rsidP="003B0CC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06153F99" w14:textId="783592D1" w:rsidR="003B0CCE" w:rsidRDefault="003B0CCE" w:rsidP="003B0CCE">
      <w:pPr>
        <w:pStyle w:val="Sinespaciado"/>
        <w:jc w:val="center"/>
        <w:rPr>
          <w:rFonts w:ascii="Arial" w:eastAsiaTheme="minorHAnsi" w:hAnsi="Arial" w:cs="Arial"/>
          <w:sz w:val="26"/>
          <w:szCs w:val="26"/>
          <w:lang w:eastAsia="en-US"/>
        </w:rPr>
      </w:pPr>
    </w:p>
    <w:p w14:paraId="3A4E4BA5" w14:textId="77777777" w:rsidR="003B0CCE" w:rsidRDefault="003B0CCE" w:rsidP="003B0CCE">
      <w:pPr>
        <w:pStyle w:val="Sinespaciado"/>
        <w:jc w:val="center"/>
        <w:rPr>
          <w:rFonts w:ascii="Arial" w:eastAsiaTheme="minorHAnsi" w:hAnsi="Arial" w:cs="Arial"/>
          <w:sz w:val="26"/>
          <w:szCs w:val="26"/>
          <w:lang w:eastAsia="en-US"/>
        </w:rPr>
      </w:pPr>
    </w:p>
    <w:p w14:paraId="3B134585"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6D5EC2F9"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676ACB7B"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070D25CC"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1E6FBD1B"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572FA322"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59923E2B"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5A67EA43" w14:textId="77777777" w:rsidR="003B0CCE" w:rsidRDefault="003B0CCE" w:rsidP="003B0CCE">
      <w:pPr>
        <w:spacing w:after="0" w:line="240" w:lineRule="auto"/>
        <w:ind w:firstLine="567"/>
        <w:jc w:val="center"/>
        <w:rPr>
          <w:rFonts w:ascii="Arial" w:eastAsiaTheme="minorHAnsi" w:hAnsi="Arial" w:cs="Arial"/>
          <w:sz w:val="26"/>
          <w:szCs w:val="26"/>
          <w:lang w:eastAsia="en-US"/>
        </w:rPr>
      </w:pPr>
    </w:p>
    <w:p w14:paraId="5F92E2BB" w14:textId="77777777" w:rsidR="003B0CCE" w:rsidRDefault="003B0CCE" w:rsidP="003B0CCE">
      <w:pPr>
        <w:spacing w:line="240" w:lineRule="auto"/>
        <w:ind w:firstLine="567"/>
        <w:jc w:val="center"/>
        <w:rPr>
          <w:rFonts w:ascii="Arial" w:eastAsiaTheme="minorHAnsi" w:hAnsi="Arial" w:cs="Arial"/>
          <w:sz w:val="26"/>
          <w:szCs w:val="26"/>
          <w:lang w:eastAsia="en-US"/>
        </w:rPr>
      </w:pPr>
    </w:p>
    <w:p w14:paraId="21110A55" w14:textId="77777777" w:rsidR="003B0CCE" w:rsidRDefault="003B0CCE" w:rsidP="003B0CCE">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25C63606" w14:textId="77777777" w:rsidR="003B0CCE" w:rsidRDefault="003B0CCE" w:rsidP="003B0CCE">
      <w:pPr>
        <w:spacing w:after="120"/>
        <w:jc w:val="center"/>
        <w:rPr>
          <w:rFonts w:ascii="Arial" w:eastAsiaTheme="minorHAnsi" w:hAnsi="Arial" w:cs="Arial"/>
          <w:sz w:val="26"/>
          <w:szCs w:val="26"/>
          <w:lang w:eastAsia="en-US"/>
        </w:rPr>
      </w:pPr>
    </w:p>
    <w:p w14:paraId="4013412C" w14:textId="77777777" w:rsidR="003B0CCE" w:rsidRDefault="003B0CCE" w:rsidP="003B0CCE">
      <w:pPr>
        <w:spacing w:after="120"/>
        <w:jc w:val="center"/>
        <w:rPr>
          <w:rFonts w:ascii="Arial" w:eastAsiaTheme="minorHAnsi" w:hAnsi="Arial" w:cs="Arial"/>
          <w:sz w:val="26"/>
          <w:szCs w:val="26"/>
          <w:lang w:eastAsia="en-US"/>
        </w:rPr>
      </w:pPr>
    </w:p>
    <w:p w14:paraId="7C5C5BA1" w14:textId="77777777" w:rsidR="003B0CCE" w:rsidRDefault="003B0CCE" w:rsidP="003B0CCE">
      <w:pPr>
        <w:spacing w:after="120"/>
        <w:jc w:val="center"/>
        <w:rPr>
          <w:rFonts w:ascii="Arial" w:eastAsiaTheme="minorHAnsi" w:hAnsi="Arial" w:cs="Arial"/>
          <w:sz w:val="26"/>
          <w:szCs w:val="26"/>
          <w:lang w:eastAsia="en-US"/>
        </w:rPr>
      </w:pPr>
    </w:p>
    <w:p w14:paraId="7E342EB7" w14:textId="77777777" w:rsidR="003B0CCE" w:rsidRDefault="003B0CCE" w:rsidP="003B0CCE">
      <w:pPr>
        <w:spacing w:after="120"/>
        <w:jc w:val="center"/>
        <w:rPr>
          <w:rFonts w:ascii="Arial" w:eastAsiaTheme="minorHAnsi" w:hAnsi="Arial" w:cs="Arial"/>
          <w:sz w:val="26"/>
          <w:szCs w:val="26"/>
          <w:lang w:eastAsia="en-US"/>
        </w:rPr>
      </w:pPr>
    </w:p>
    <w:p w14:paraId="64850B15" w14:textId="77777777" w:rsidR="003B0CCE" w:rsidRDefault="003B0CCE" w:rsidP="003B0CCE">
      <w:pPr>
        <w:spacing w:after="120"/>
        <w:jc w:val="center"/>
        <w:rPr>
          <w:rFonts w:ascii="Arial" w:eastAsiaTheme="minorHAnsi" w:hAnsi="Arial" w:cs="Arial"/>
          <w:sz w:val="26"/>
          <w:szCs w:val="26"/>
          <w:lang w:eastAsia="en-US"/>
        </w:rPr>
      </w:pPr>
    </w:p>
    <w:p w14:paraId="5F071312" w14:textId="77777777" w:rsidR="003B0CCE" w:rsidRDefault="003B0CCE" w:rsidP="003B0CCE">
      <w:pPr>
        <w:spacing w:after="120"/>
        <w:jc w:val="center"/>
        <w:rPr>
          <w:rFonts w:ascii="Arial" w:eastAsiaTheme="minorHAnsi" w:hAnsi="Arial" w:cs="Arial"/>
          <w:sz w:val="26"/>
          <w:szCs w:val="26"/>
          <w:lang w:eastAsia="en-US"/>
        </w:rPr>
      </w:pPr>
    </w:p>
    <w:p w14:paraId="2D738FB4" w14:textId="77777777" w:rsidR="003B0CCE" w:rsidRDefault="003B0CCE" w:rsidP="003B0CCE">
      <w:pPr>
        <w:spacing w:after="120"/>
        <w:jc w:val="center"/>
        <w:rPr>
          <w:rFonts w:ascii="Arial" w:eastAsiaTheme="minorHAnsi" w:hAnsi="Arial" w:cs="Arial"/>
          <w:sz w:val="26"/>
          <w:szCs w:val="26"/>
          <w:lang w:eastAsia="en-US"/>
        </w:rPr>
      </w:pPr>
    </w:p>
    <w:p w14:paraId="455CB106" w14:textId="77777777" w:rsidR="003B0CCE" w:rsidRPr="009F49FA"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0001BB5"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6F33B123"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2D1F895F"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2FD04712"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bookmarkStart w:id="1" w:name="_GoBack"/>
      <w:bookmarkEnd w:id="1"/>
    </w:p>
    <w:p w14:paraId="29B9F24C" w14:textId="77777777" w:rsidR="006B772B" w:rsidRDefault="006B772B" w:rsidP="006B772B">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0073/2022.</w:t>
      </w:r>
    </w:p>
    <w:p w14:paraId="63E3B6F9"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5D910DD2" w14:textId="77777777" w:rsidR="006B772B" w:rsidRDefault="006B772B" w:rsidP="003B0CCE">
      <w:pPr>
        <w:tabs>
          <w:tab w:val="left" w:pos="1680"/>
          <w:tab w:val="center" w:pos="4277"/>
        </w:tabs>
        <w:spacing w:after="120" w:line="360" w:lineRule="auto"/>
        <w:jc w:val="center"/>
        <w:rPr>
          <w:rFonts w:ascii="Arial" w:eastAsiaTheme="minorHAnsi" w:hAnsi="Arial" w:cs="Arial"/>
          <w:sz w:val="26"/>
          <w:szCs w:val="26"/>
          <w:lang w:eastAsia="en-US"/>
        </w:rPr>
      </w:pPr>
    </w:p>
    <w:p w14:paraId="20CC24AE" w14:textId="77777777" w:rsidR="006B772B" w:rsidRDefault="006B772B" w:rsidP="003B0CCE">
      <w:pPr>
        <w:tabs>
          <w:tab w:val="left" w:pos="1680"/>
          <w:tab w:val="center" w:pos="4277"/>
        </w:tabs>
        <w:spacing w:after="120" w:line="360" w:lineRule="auto"/>
        <w:jc w:val="center"/>
        <w:rPr>
          <w:rFonts w:ascii="Arial" w:eastAsiaTheme="minorHAnsi" w:hAnsi="Arial" w:cs="Arial"/>
          <w:sz w:val="26"/>
          <w:szCs w:val="26"/>
          <w:lang w:eastAsia="en-US"/>
        </w:rPr>
      </w:pPr>
    </w:p>
    <w:p w14:paraId="31EF5230"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530CC36"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7C17061C"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155C3304" w14:textId="23E81030"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18C1BE95" w14:textId="77777777"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607B308A" w14:textId="2AE89B8B"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101FAD1" w14:textId="1BC0CC4C" w:rsidR="003B0CCE" w:rsidRDefault="003B0CCE" w:rsidP="003B0CCE">
      <w:pPr>
        <w:tabs>
          <w:tab w:val="left" w:pos="1680"/>
          <w:tab w:val="center" w:pos="4277"/>
        </w:tabs>
        <w:spacing w:after="120" w:line="360" w:lineRule="auto"/>
        <w:jc w:val="center"/>
        <w:rPr>
          <w:rFonts w:ascii="Arial" w:eastAsiaTheme="minorHAnsi" w:hAnsi="Arial" w:cs="Arial"/>
          <w:sz w:val="26"/>
          <w:szCs w:val="26"/>
          <w:lang w:eastAsia="en-US"/>
        </w:rPr>
      </w:pPr>
    </w:p>
    <w:p w14:paraId="147E1FB6" w14:textId="5BB915FF" w:rsidR="003B0CCE" w:rsidRDefault="003B0CCE" w:rsidP="003B0CCE">
      <w:pPr>
        <w:tabs>
          <w:tab w:val="left" w:pos="1680"/>
          <w:tab w:val="center" w:pos="4277"/>
        </w:tabs>
        <w:spacing w:after="120" w:line="360" w:lineRule="auto"/>
        <w:rPr>
          <w:rFonts w:ascii="Arial" w:eastAsiaTheme="minorHAnsi" w:hAnsi="Arial" w:cs="Arial"/>
          <w:sz w:val="26"/>
          <w:szCs w:val="26"/>
          <w:lang w:eastAsia="en-US"/>
        </w:rPr>
      </w:pPr>
    </w:p>
    <w:p w14:paraId="668DB67E" w14:textId="77777777" w:rsidR="003B0CCE" w:rsidRDefault="003B0CCE" w:rsidP="003B0CCE">
      <w:pPr>
        <w:tabs>
          <w:tab w:val="left" w:pos="1680"/>
          <w:tab w:val="center" w:pos="4277"/>
        </w:tabs>
        <w:spacing w:after="120" w:line="360" w:lineRule="auto"/>
        <w:rPr>
          <w:rFonts w:ascii="Arial" w:eastAsiaTheme="minorHAnsi" w:hAnsi="Arial" w:cs="Arial"/>
          <w:sz w:val="26"/>
          <w:szCs w:val="26"/>
          <w:lang w:eastAsia="en-US"/>
        </w:rPr>
      </w:pPr>
    </w:p>
    <w:p w14:paraId="340AF865" w14:textId="77777777" w:rsidR="003B0CCE" w:rsidRDefault="003B0CCE" w:rsidP="003B0CCE">
      <w:pPr>
        <w:tabs>
          <w:tab w:val="left" w:pos="1680"/>
          <w:tab w:val="center" w:pos="4277"/>
        </w:tabs>
        <w:spacing w:after="120" w:line="360" w:lineRule="auto"/>
        <w:rPr>
          <w:rFonts w:ascii="Arial" w:eastAsiaTheme="minorHAnsi" w:hAnsi="Arial" w:cs="Arial"/>
          <w:sz w:val="26"/>
          <w:szCs w:val="26"/>
          <w:lang w:eastAsia="en-US"/>
        </w:rPr>
      </w:pPr>
    </w:p>
    <w:p w14:paraId="74001836" w14:textId="77777777" w:rsidR="003B0CCE" w:rsidRDefault="003B0CCE" w:rsidP="003B0CCE">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080833F" w14:textId="1E656CAA" w:rsidR="003B0CCE" w:rsidRPr="008869B9" w:rsidRDefault="003B0CCE" w:rsidP="008869B9">
      <w:pPr>
        <w:spacing w:after="0" w:line="240" w:lineRule="auto"/>
        <w:jc w:val="center"/>
      </w:pPr>
      <w:r>
        <w:rPr>
          <w:rFonts w:ascii="Arial" w:eastAsiaTheme="minorHAnsi" w:hAnsi="Arial" w:cs="Arial"/>
          <w:sz w:val="26"/>
          <w:szCs w:val="26"/>
          <w:lang w:val="es-ES" w:eastAsia="en-US"/>
        </w:rPr>
        <w:t>SECRETARIO GENERAL DE ACUERDOS</w:t>
      </w:r>
    </w:p>
    <w:p w14:paraId="7F693F18" w14:textId="45AB8A8F" w:rsidR="00C862F9" w:rsidRDefault="00C862F9" w:rsidP="003B0CCE">
      <w:pPr>
        <w:tabs>
          <w:tab w:val="left" w:pos="1680"/>
          <w:tab w:val="center" w:pos="4277"/>
        </w:tabs>
        <w:spacing w:line="360" w:lineRule="auto"/>
        <w:jc w:val="center"/>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0DA46D" w14:textId="77777777" w:rsidR="00574618" w:rsidRDefault="00574618">
      <w:pPr>
        <w:spacing w:after="0" w:line="240" w:lineRule="auto"/>
      </w:pPr>
      <w:r>
        <w:separator/>
      </w:r>
    </w:p>
  </w:endnote>
  <w:endnote w:type="continuationSeparator" w:id="0">
    <w:p w14:paraId="14DF5ECC" w14:textId="77777777" w:rsidR="00574618" w:rsidRDefault="00574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3E795A" w:rsidRDefault="003E795A">
    <w:pPr>
      <w:pStyle w:val="Piedepgina"/>
      <w:jc w:val="center"/>
    </w:pPr>
  </w:p>
  <w:p w14:paraId="0E05F75C" w14:textId="77777777" w:rsidR="003E795A" w:rsidRDefault="003E79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AFDF1" w14:textId="77777777" w:rsidR="00574618" w:rsidRDefault="00574618">
      <w:pPr>
        <w:spacing w:after="0" w:line="240" w:lineRule="auto"/>
      </w:pPr>
      <w:r>
        <w:separator/>
      </w:r>
    </w:p>
  </w:footnote>
  <w:footnote w:type="continuationSeparator" w:id="0">
    <w:p w14:paraId="0857D3D3" w14:textId="77777777" w:rsidR="00574618" w:rsidRDefault="00574618">
      <w:pPr>
        <w:spacing w:after="0" w:line="240" w:lineRule="auto"/>
      </w:pPr>
      <w:r>
        <w:continuationSeparator/>
      </w:r>
    </w:p>
  </w:footnote>
  <w:footnote w:id="1">
    <w:p w14:paraId="7337A4DC" w14:textId="77777777" w:rsidR="003E795A" w:rsidRPr="006B51E3" w:rsidRDefault="003E795A" w:rsidP="00D66885">
      <w:pPr>
        <w:pStyle w:val="Textonotapie"/>
        <w:jc w:val="both"/>
        <w:rPr>
          <w:rFonts w:ascii="Arial" w:hAnsi="Arial" w:cs="Arial"/>
          <w:i/>
          <w:sz w:val="16"/>
          <w:szCs w:val="16"/>
        </w:rPr>
      </w:pPr>
      <w:r w:rsidRPr="006B51E3">
        <w:rPr>
          <w:rStyle w:val="Refdenotaalpie"/>
          <w:rFonts w:ascii="Arial" w:hAnsi="Arial" w:cs="Arial"/>
          <w:i/>
          <w:sz w:val="16"/>
          <w:szCs w:val="16"/>
        </w:rPr>
        <w:footnoteRef/>
      </w:r>
      <w:r w:rsidRPr="006B51E3">
        <w:rPr>
          <w:rFonts w:ascii="Arial" w:hAnsi="Arial" w:cs="Arial"/>
          <w:i/>
          <w:sz w:val="16"/>
          <w:szCs w:val="16"/>
        </w:rPr>
        <w:t xml:space="preserve"> “</w:t>
      </w:r>
      <w:r w:rsidRPr="006B51E3">
        <w:rPr>
          <w:rFonts w:ascii="Arial" w:hAnsi="Arial" w:cs="Arial"/>
          <w:b/>
          <w:i/>
          <w:sz w:val="16"/>
          <w:szCs w:val="16"/>
        </w:rPr>
        <w:t xml:space="preserve">ARTÍCULO 203.- </w:t>
      </w:r>
      <w:r w:rsidRPr="006B51E3">
        <w:rPr>
          <w:rFonts w:ascii="Arial" w:hAnsi="Arial" w:cs="Arial"/>
          <w:i/>
          <w:sz w:val="16"/>
          <w:szCs w:val="16"/>
        </w:rPr>
        <w:t>La valoración de las pruebas se hará de acuerdo con las siguientes reglas:</w:t>
      </w:r>
    </w:p>
    <w:p w14:paraId="38BC6E9A" w14:textId="77777777" w:rsidR="003E795A" w:rsidRPr="006B51E3" w:rsidRDefault="003E795A" w:rsidP="00D66885">
      <w:pPr>
        <w:pStyle w:val="Textonotapie"/>
        <w:jc w:val="both"/>
        <w:rPr>
          <w:rFonts w:ascii="Arial" w:hAnsi="Arial" w:cs="Arial"/>
          <w:i/>
          <w:sz w:val="16"/>
          <w:szCs w:val="16"/>
        </w:rPr>
      </w:pPr>
      <w:r w:rsidRPr="006B51E3">
        <w:rPr>
          <w:rFonts w:ascii="Arial" w:hAnsi="Arial" w:cs="Arial"/>
          <w:i/>
          <w:sz w:val="16"/>
          <w:szCs w:val="16"/>
        </w:rPr>
        <w:t xml:space="preserve">   I. Harán prueba plena la confesión expresa de las partes y los actos contenidos en documentos públicos, si en éstos últimos se contienen declaraciones de verdad o manifestaciones de hechos de particulares; y</w:t>
      </w:r>
    </w:p>
    <w:p w14:paraId="2FEBEC54" w14:textId="77777777" w:rsidR="003E795A" w:rsidRDefault="003E795A" w:rsidP="00D66885">
      <w:pPr>
        <w:pStyle w:val="Textonotapie"/>
        <w:jc w:val="both"/>
      </w:pPr>
      <w:r w:rsidRPr="006B51E3">
        <w:rPr>
          <w:rFonts w:ascii="Arial" w:hAnsi="Arial" w:cs="Arial"/>
          <w:i/>
          <w:sz w:val="16"/>
          <w:szCs w:val="16"/>
        </w:rPr>
        <w:t xml:space="preserve">   …”</w:t>
      </w:r>
    </w:p>
  </w:footnote>
  <w:footnote w:id="2">
    <w:p w14:paraId="14620E05" w14:textId="11C4D34E" w:rsidR="003E795A" w:rsidRDefault="003E795A" w:rsidP="00D66885">
      <w:pPr>
        <w:pStyle w:val="Textonotapie"/>
        <w:jc w:val="both"/>
      </w:pPr>
      <w:r w:rsidRPr="00D66885">
        <w:rPr>
          <w:rFonts w:ascii="Arial" w:hAnsi="Arial" w:cs="Arial"/>
          <w:i/>
          <w:sz w:val="16"/>
          <w:szCs w:val="16"/>
        </w:rPr>
        <w:footnoteRef/>
      </w:r>
      <w:r w:rsidRPr="00D66885">
        <w:rPr>
          <w:rFonts w:ascii="Arial" w:hAnsi="Arial" w:cs="Arial"/>
          <w:i/>
          <w:sz w:val="16"/>
          <w:szCs w:val="16"/>
        </w:rPr>
        <w:t xml:space="preserve"> Visible a foja 32 del expediente del juicio de nulidad 0006/2022.</w:t>
      </w:r>
    </w:p>
  </w:footnote>
  <w:footnote w:id="3">
    <w:p w14:paraId="13597397" w14:textId="6045FFBE" w:rsidR="003E795A" w:rsidRDefault="003E795A" w:rsidP="00640E20">
      <w:pPr>
        <w:pStyle w:val="Textonotapie"/>
        <w:jc w:val="both"/>
      </w:pPr>
      <w:r>
        <w:rPr>
          <w:rStyle w:val="Refdenotaalpie"/>
        </w:rPr>
        <w:footnoteRef/>
      </w:r>
      <w:r>
        <w:t xml:space="preserve"> </w:t>
      </w:r>
      <w:r w:rsidRPr="00D66885">
        <w:rPr>
          <w:rFonts w:ascii="Arial" w:hAnsi="Arial" w:cs="Arial"/>
          <w:i/>
          <w:sz w:val="16"/>
          <w:szCs w:val="16"/>
        </w:rPr>
        <w:t xml:space="preserve">Visible a foja </w:t>
      </w:r>
      <w:r>
        <w:rPr>
          <w:rFonts w:ascii="Arial" w:hAnsi="Arial" w:cs="Arial"/>
          <w:i/>
          <w:sz w:val="16"/>
          <w:szCs w:val="16"/>
        </w:rPr>
        <w:t>29</w:t>
      </w:r>
      <w:r w:rsidRPr="00D66885">
        <w:rPr>
          <w:rFonts w:ascii="Arial" w:hAnsi="Arial" w:cs="Arial"/>
          <w:i/>
          <w:sz w:val="16"/>
          <w:szCs w:val="16"/>
        </w:rPr>
        <w:t xml:space="preserve"> del expediente del juicio de nulidad 0006/2022.</w:t>
      </w:r>
    </w:p>
    <w:p w14:paraId="3AF2ADED" w14:textId="2EEA65D3" w:rsidR="003E795A" w:rsidRDefault="003E795A">
      <w:pPr>
        <w:pStyle w:val="Textonotapie"/>
      </w:pPr>
    </w:p>
  </w:footnote>
  <w:footnote w:id="4">
    <w:p w14:paraId="17B0842E" w14:textId="1F19086F" w:rsidR="003E795A" w:rsidRPr="00A244EB" w:rsidRDefault="003E795A" w:rsidP="00A244EB">
      <w:pPr>
        <w:autoSpaceDE w:val="0"/>
        <w:autoSpaceDN w:val="0"/>
        <w:adjustRightInd w:val="0"/>
        <w:spacing w:after="0" w:line="240" w:lineRule="auto"/>
        <w:jc w:val="both"/>
        <w:rPr>
          <w:rFonts w:ascii="Arial" w:hAnsi="Arial" w:cs="Arial"/>
          <w:i/>
          <w:color w:val="000000"/>
          <w:sz w:val="16"/>
          <w:szCs w:val="16"/>
        </w:rPr>
      </w:pPr>
      <w:r w:rsidRPr="00A244EB">
        <w:rPr>
          <w:rStyle w:val="Refdenotaalpie"/>
          <w:rFonts w:ascii="Arial" w:hAnsi="Arial" w:cs="Arial"/>
          <w:i/>
          <w:sz w:val="16"/>
          <w:szCs w:val="16"/>
        </w:rPr>
        <w:footnoteRef/>
      </w:r>
      <w:r w:rsidRPr="00A244EB">
        <w:rPr>
          <w:rFonts w:ascii="Arial" w:hAnsi="Arial" w:cs="Arial"/>
          <w:i/>
          <w:sz w:val="16"/>
          <w:szCs w:val="16"/>
        </w:rPr>
        <w:t xml:space="preserve"> </w:t>
      </w:r>
      <w:r w:rsidRPr="00A244EB">
        <w:rPr>
          <w:rFonts w:ascii="Arial" w:hAnsi="Arial" w:cs="Arial"/>
          <w:b/>
          <w:bCs/>
          <w:i/>
          <w:color w:val="000000"/>
          <w:sz w:val="16"/>
          <w:szCs w:val="16"/>
        </w:rPr>
        <w:t>ARTÍCULO 1.-</w:t>
      </w:r>
      <w:r w:rsidRPr="00A244EB">
        <w:rPr>
          <w:rFonts w:ascii="Arial" w:hAnsi="Arial" w:cs="Arial"/>
          <w:i/>
          <w:color w:val="000000"/>
          <w:sz w:val="16"/>
          <w:szCs w:val="16"/>
        </w:rPr>
        <w:t xml:space="preserve"> La presente Ley es de orden público y de interés social, </w:t>
      </w:r>
      <w:r w:rsidRPr="00580B0D">
        <w:rPr>
          <w:rFonts w:ascii="Arial" w:hAnsi="Arial" w:cs="Arial"/>
          <w:b/>
          <w:i/>
          <w:color w:val="000000"/>
          <w:sz w:val="16"/>
          <w:szCs w:val="16"/>
          <w:u w:val="single"/>
        </w:rPr>
        <w:t>se aplicará en todo el Estado de Oaxaca</w:t>
      </w:r>
      <w:r w:rsidRPr="00A244EB">
        <w:rPr>
          <w:rFonts w:ascii="Arial" w:hAnsi="Arial" w:cs="Arial"/>
          <w:i/>
          <w:color w:val="000000"/>
          <w:sz w:val="16"/>
          <w:szCs w:val="16"/>
        </w:rPr>
        <w:t xml:space="preserve"> en los actos administrativos y los procedimientos que desarrollen las</w:t>
      </w:r>
      <w:r>
        <w:rPr>
          <w:rFonts w:ascii="Arial" w:hAnsi="Arial" w:cs="Arial"/>
          <w:i/>
          <w:color w:val="000000"/>
          <w:sz w:val="16"/>
          <w:szCs w:val="16"/>
        </w:rPr>
        <w:t xml:space="preserve"> </w:t>
      </w:r>
      <w:r w:rsidRPr="00A244EB">
        <w:rPr>
          <w:rFonts w:ascii="Arial" w:hAnsi="Arial" w:cs="Arial"/>
          <w:i/>
          <w:color w:val="000000"/>
          <w:sz w:val="16"/>
          <w:szCs w:val="16"/>
        </w:rPr>
        <w:t>Dependencias del Poder Ejecutivo del Gobierno del Estado, Entidades Paraestatales y Órganos</w:t>
      </w:r>
      <w:r>
        <w:rPr>
          <w:rFonts w:ascii="Arial" w:hAnsi="Arial" w:cs="Arial"/>
          <w:i/>
          <w:color w:val="000000"/>
          <w:sz w:val="16"/>
          <w:szCs w:val="16"/>
        </w:rPr>
        <w:t xml:space="preserve"> </w:t>
      </w:r>
      <w:r w:rsidRPr="00A244EB">
        <w:rPr>
          <w:rFonts w:ascii="Arial" w:hAnsi="Arial" w:cs="Arial"/>
          <w:i/>
          <w:color w:val="000000"/>
          <w:sz w:val="16"/>
          <w:szCs w:val="16"/>
        </w:rPr>
        <w:t>Desconcentrados de la Administración Pública Estatal; cuando estas emitan una resolución</w:t>
      </w:r>
      <w:r>
        <w:rPr>
          <w:rFonts w:ascii="Arial" w:hAnsi="Arial" w:cs="Arial"/>
          <w:i/>
          <w:color w:val="000000"/>
          <w:sz w:val="16"/>
          <w:szCs w:val="16"/>
        </w:rPr>
        <w:t xml:space="preserve"> </w:t>
      </w:r>
      <w:r w:rsidRPr="00A244EB">
        <w:rPr>
          <w:rFonts w:ascii="Arial" w:hAnsi="Arial" w:cs="Arial"/>
          <w:i/>
          <w:color w:val="000000"/>
          <w:sz w:val="16"/>
          <w:szCs w:val="16"/>
        </w:rPr>
        <w:t>administrativa de cualquier naturaleza; por los Ayuntamientos de los Municipios del Estado de</w:t>
      </w:r>
    </w:p>
    <w:p w14:paraId="16EC52FA" w14:textId="4B446E11" w:rsidR="003E795A" w:rsidRPr="00580B0D" w:rsidRDefault="003E795A" w:rsidP="00A244EB">
      <w:pPr>
        <w:autoSpaceDE w:val="0"/>
        <w:autoSpaceDN w:val="0"/>
        <w:adjustRightInd w:val="0"/>
        <w:spacing w:after="0" w:line="240" w:lineRule="auto"/>
        <w:jc w:val="both"/>
        <w:rPr>
          <w:rFonts w:ascii="Arial" w:hAnsi="Arial" w:cs="Arial"/>
          <w:color w:val="000000"/>
          <w:sz w:val="16"/>
          <w:szCs w:val="16"/>
        </w:rPr>
      </w:pPr>
      <w:r w:rsidRPr="00A244EB">
        <w:rPr>
          <w:rFonts w:ascii="Arial" w:hAnsi="Arial" w:cs="Arial"/>
          <w:i/>
          <w:color w:val="000000"/>
          <w:sz w:val="16"/>
          <w:szCs w:val="16"/>
        </w:rPr>
        <w:t>Oaxaca, por las Dependencias de estos y por sus Entidades Paramunicipales. De igual forma</w:t>
      </w:r>
      <w:r>
        <w:rPr>
          <w:rFonts w:ascii="Arial" w:hAnsi="Arial" w:cs="Arial"/>
          <w:i/>
          <w:color w:val="000000"/>
          <w:sz w:val="16"/>
          <w:szCs w:val="16"/>
        </w:rPr>
        <w:t xml:space="preserve"> </w:t>
      </w:r>
      <w:r w:rsidRPr="00A244EB">
        <w:rPr>
          <w:rFonts w:ascii="Arial" w:hAnsi="Arial" w:cs="Arial"/>
          <w:i/>
          <w:color w:val="000000"/>
          <w:sz w:val="16"/>
          <w:szCs w:val="16"/>
        </w:rPr>
        <w:t>regulará la organización y funcionamiento del Tribunal de Justicia Administrativa del Estado de</w:t>
      </w:r>
      <w:r>
        <w:rPr>
          <w:rFonts w:ascii="Arial" w:hAnsi="Arial" w:cs="Arial"/>
          <w:i/>
          <w:color w:val="000000"/>
          <w:sz w:val="16"/>
          <w:szCs w:val="16"/>
        </w:rPr>
        <w:t xml:space="preserve"> </w:t>
      </w:r>
      <w:r w:rsidRPr="00A244EB">
        <w:rPr>
          <w:rFonts w:ascii="Arial" w:hAnsi="Arial" w:cs="Arial"/>
          <w:i/>
          <w:color w:val="000000"/>
          <w:sz w:val="16"/>
          <w:szCs w:val="16"/>
        </w:rPr>
        <w:t>Oaxaca y la impartición de la Justicia Administrativa en el Estado de Oaxaca.</w:t>
      </w:r>
      <w:r>
        <w:rPr>
          <w:rFonts w:ascii="Arial" w:hAnsi="Arial" w:cs="Arial"/>
          <w:i/>
          <w:color w:val="000000"/>
          <w:sz w:val="16"/>
          <w:szCs w:val="16"/>
        </w:rPr>
        <w:t xml:space="preserve"> </w:t>
      </w:r>
      <w:r>
        <w:rPr>
          <w:rFonts w:ascii="Arial" w:hAnsi="Arial" w:cs="Arial"/>
          <w:color w:val="000000"/>
          <w:sz w:val="16"/>
          <w:szCs w:val="16"/>
        </w:rPr>
        <w:t>.-Lo resaltado es propio-.</w:t>
      </w:r>
    </w:p>
    <w:p w14:paraId="0BCAC4BA" w14:textId="77777777" w:rsidR="003E795A" w:rsidRDefault="003E795A" w:rsidP="00A244EB">
      <w:pPr>
        <w:autoSpaceDE w:val="0"/>
        <w:autoSpaceDN w:val="0"/>
        <w:adjustRightInd w:val="0"/>
        <w:spacing w:after="0" w:line="240" w:lineRule="auto"/>
        <w:jc w:val="both"/>
      </w:pPr>
    </w:p>
  </w:footnote>
  <w:footnote w:id="5">
    <w:p w14:paraId="2E6B0E03" w14:textId="55101D60" w:rsidR="003E795A" w:rsidRDefault="003E795A">
      <w:pPr>
        <w:pStyle w:val="Textonotapie"/>
      </w:pPr>
      <w:r>
        <w:rPr>
          <w:rStyle w:val="Refdenotaalpie"/>
        </w:rPr>
        <w:footnoteRef/>
      </w:r>
      <w:r>
        <w:t xml:space="preserve"> </w:t>
      </w:r>
    </w:p>
  </w:footnote>
  <w:footnote w:id="6">
    <w:p w14:paraId="144F9943" w14:textId="7CE9C4DF" w:rsidR="003E795A" w:rsidRDefault="003E795A" w:rsidP="008B1312">
      <w:pPr>
        <w:autoSpaceDE w:val="0"/>
        <w:autoSpaceDN w:val="0"/>
        <w:adjustRightInd w:val="0"/>
        <w:spacing w:after="0" w:line="240" w:lineRule="auto"/>
        <w:jc w:val="both"/>
        <w:rPr>
          <w:rFonts w:ascii="Arial" w:hAnsi="Arial" w:cs="Arial"/>
          <w:i/>
          <w:color w:val="000000"/>
          <w:sz w:val="16"/>
          <w:szCs w:val="16"/>
        </w:rPr>
      </w:pPr>
      <w:r w:rsidRPr="008B1312">
        <w:rPr>
          <w:rStyle w:val="Refdenotaalpie"/>
          <w:rFonts w:ascii="Arial" w:hAnsi="Arial" w:cs="Arial"/>
          <w:i/>
          <w:sz w:val="16"/>
          <w:szCs w:val="16"/>
        </w:rPr>
        <w:footnoteRef/>
      </w:r>
      <w:r w:rsidRPr="008B1312">
        <w:rPr>
          <w:rFonts w:ascii="Arial" w:hAnsi="Arial" w:cs="Arial"/>
          <w:i/>
          <w:sz w:val="16"/>
          <w:szCs w:val="16"/>
        </w:rPr>
        <w:t xml:space="preserve"> </w:t>
      </w:r>
      <w:r w:rsidRPr="008B1312">
        <w:rPr>
          <w:rFonts w:ascii="Arial" w:hAnsi="Arial" w:cs="Arial"/>
          <w:b/>
          <w:bCs/>
          <w:i/>
          <w:color w:val="000000"/>
          <w:sz w:val="16"/>
          <w:szCs w:val="16"/>
        </w:rPr>
        <w:t xml:space="preserve">Artículo 16. </w:t>
      </w:r>
      <w:r w:rsidRPr="008B1312">
        <w:rPr>
          <w:rFonts w:ascii="Arial" w:hAnsi="Arial" w:cs="Arial"/>
          <w:i/>
          <w:color w:val="000000"/>
          <w:sz w:val="16"/>
          <w:szCs w:val="16"/>
        </w:rPr>
        <w:t>Nadie puede ser molestado en su persona, familia, domicilio, papeles o posesiones, sino en virtud de mandamiento escrito de la autoridad competente, que funde y motive la causa legal del</w:t>
      </w:r>
      <w:r>
        <w:rPr>
          <w:rFonts w:ascii="Arial" w:hAnsi="Arial" w:cs="Arial"/>
          <w:i/>
          <w:color w:val="000000"/>
          <w:sz w:val="16"/>
          <w:szCs w:val="16"/>
        </w:rPr>
        <w:t xml:space="preserve"> </w:t>
      </w:r>
      <w:r w:rsidRPr="008B1312">
        <w:rPr>
          <w:rFonts w:ascii="Arial" w:hAnsi="Arial" w:cs="Arial"/>
          <w:i/>
          <w:color w:val="000000"/>
          <w:sz w:val="16"/>
          <w:szCs w:val="16"/>
        </w:rPr>
        <w:t>procedimiento. En los juicios y procedimientos seguidos en forma de juicio en los que se establezca como</w:t>
      </w:r>
      <w:r>
        <w:rPr>
          <w:rFonts w:ascii="Arial" w:hAnsi="Arial" w:cs="Arial"/>
          <w:i/>
          <w:color w:val="000000"/>
          <w:sz w:val="16"/>
          <w:szCs w:val="16"/>
        </w:rPr>
        <w:t xml:space="preserve"> </w:t>
      </w:r>
      <w:r w:rsidRPr="008B1312">
        <w:rPr>
          <w:rFonts w:ascii="Arial" w:hAnsi="Arial" w:cs="Arial"/>
          <w:i/>
          <w:color w:val="000000"/>
          <w:sz w:val="16"/>
          <w:szCs w:val="16"/>
        </w:rPr>
        <w:t>regla la oralidad, bastará con que quede constancia de ellos en cualquier medio que dé certeza de su</w:t>
      </w:r>
      <w:r>
        <w:rPr>
          <w:rFonts w:ascii="Arial" w:hAnsi="Arial" w:cs="Arial"/>
          <w:i/>
          <w:color w:val="000000"/>
          <w:sz w:val="16"/>
          <w:szCs w:val="16"/>
        </w:rPr>
        <w:t xml:space="preserve"> </w:t>
      </w:r>
      <w:r w:rsidRPr="008B1312">
        <w:rPr>
          <w:rFonts w:ascii="Arial" w:hAnsi="Arial" w:cs="Arial"/>
          <w:i/>
          <w:color w:val="000000"/>
          <w:sz w:val="16"/>
          <w:szCs w:val="16"/>
        </w:rPr>
        <w:t>contenido y del cumplimiento de lo previsto en este párrafo.</w:t>
      </w:r>
    </w:p>
    <w:p w14:paraId="2F328CC8" w14:textId="6643C5DD" w:rsidR="003E795A" w:rsidRDefault="003E795A" w:rsidP="008B1312">
      <w:pPr>
        <w:autoSpaceDE w:val="0"/>
        <w:autoSpaceDN w:val="0"/>
        <w:adjustRightInd w:val="0"/>
        <w:spacing w:after="0" w:line="240" w:lineRule="auto"/>
        <w:jc w:val="both"/>
        <w:rPr>
          <w:rFonts w:ascii="Arial" w:hAnsi="Arial" w:cs="Arial"/>
          <w:i/>
          <w:color w:val="000000"/>
          <w:sz w:val="16"/>
          <w:szCs w:val="16"/>
        </w:rPr>
      </w:pPr>
      <w:r w:rsidRPr="008B1312">
        <w:rPr>
          <w:rFonts w:ascii="Arial" w:hAnsi="Arial" w:cs="Arial"/>
          <w:i/>
          <w:color w:val="000000"/>
          <w:sz w:val="16"/>
          <w:szCs w:val="16"/>
        </w:rPr>
        <w:t>(…)</w:t>
      </w:r>
    </w:p>
    <w:p w14:paraId="510A8EE5" w14:textId="1D18B857" w:rsidR="003E795A" w:rsidRPr="00580B0D" w:rsidRDefault="003E795A" w:rsidP="00580B0D">
      <w:pPr>
        <w:autoSpaceDE w:val="0"/>
        <w:autoSpaceDN w:val="0"/>
        <w:adjustRightInd w:val="0"/>
        <w:spacing w:after="0" w:line="240" w:lineRule="auto"/>
        <w:jc w:val="both"/>
        <w:rPr>
          <w:i/>
          <w:sz w:val="16"/>
          <w:szCs w:val="16"/>
        </w:rPr>
      </w:pPr>
    </w:p>
    <w:p w14:paraId="2FE5FF36" w14:textId="2BF35ED0" w:rsidR="003E795A" w:rsidRPr="00580B0D" w:rsidRDefault="003E795A" w:rsidP="00580B0D">
      <w:pPr>
        <w:autoSpaceDE w:val="0"/>
        <w:autoSpaceDN w:val="0"/>
        <w:adjustRightInd w:val="0"/>
        <w:spacing w:after="0" w:line="240" w:lineRule="auto"/>
        <w:jc w:val="both"/>
        <w:rPr>
          <w:rFonts w:ascii="Arial" w:hAnsi="Arial" w:cs="Arial"/>
          <w:color w:val="000000"/>
          <w:sz w:val="16"/>
          <w:szCs w:val="16"/>
        </w:rPr>
      </w:pPr>
      <w:r w:rsidRPr="00580B0D">
        <w:rPr>
          <w:rFonts w:ascii="Arial" w:hAnsi="Arial" w:cs="Arial"/>
          <w:b/>
          <w:bCs/>
          <w:i/>
          <w:color w:val="000000"/>
          <w:sz w:val="16"/>
          <w:szCs w:val="16"/>
        </w:rPr>
        <w:t xml:space="preserve">ARTÍCULO 2.- </w:t>
      </w:r>
      <w:r w:rsidRPr="00580B0D">
        <w:rPr>
          <w:rFonts w:ascii="Arial" w:hAnsi="Arial" w:cs="Arial"/>
          <w:i/>
          <w:color w:val="000000"/>
          <w:sz w:val="16"/>
          <w:szCs w:val="16"/>
        </w:rPr>
        <w:t>La justicia administrativa se deposita en este Tribunal, que es un órgano</w:t>
      </w:r>
      <w:r>
        <w:rPr>
          <w:rFonts w:ascii="Arial" w:hAnsi="Arial" w:cs="Arial"/>
          <w:i/>
          <w:color w:val="000000"/>
          <w:sz w:val="16"/>
          <w:szCs w:val="16"/>
        </w:rPr>
        <w:t xml:space="preserve"> </w:t>
      </w:r>
      <w:r w:rsidRPr="00580B0D">
        <w:rPr>
          <w:rFonts w:ascii="Arial" w:hAnsi="Arial" w:cs="Arial"/>
          <w:i/>
          <w:color w:val="000000"/>
          <w:sz w:val="16"/>
          <w:szCs w:val="16"/>
        </w:rPr>
        <w:t>jurisdiccional autónomo e independiente en su ejercicio, con personalidad jurídica y patrimonio</w:t>
      </w:r>
      <w:r>
        <w:rPr>
          <w:rFonts w:ascii="Arial" w:hAnsi="Arial" w:cs="Arial"/>
          <w:i/>
          <w:color w:val="000000"/>
          <w:sz w:val="16"/>
          <w:szCs w:val="16"/>
        </w:rPr>
        <w:t xml:space="preserve"> </w:t>
      </w:r>
      <w:r w:rsidRPr="00580B0D">
        <w:rPr>
          <w:rFonts w:ascii="Arial" w:hAnsi="Arial" w:cs="Arial"/>
          <w:i/>
          <w:color w:val="000000"/>
          <w:sz w:val="16"/>
          <w:szCs w:val="16"/>
        </w:rPr>
        <w:t>propio, facultado para ejercer control de legalidad, convencionalidad y constitucionalidad, dotado</w:t>
      </w:r>
      <w:r>
        <w:rPr>
          <w:rFonts w:ascii="Arial" w:hAnsi="Arial" w:cs="Arial"/>
          <w:i/>
          <w:color w:val="000000"/>
          <w:sz w:val="16"/>
          <w:szCs w:val="16"/>
        </w:rPr>
        <w:t xml:space="preserve"> </w:t>
      </w:r>
      <w:r w:rsidRPr="00580B0D">
        <w:rPr>
          <w:rFonts w:ascii="Arial" w:hAnsi="Arial" w:cs="Arial"/>
          <w:i/>
          <w:color w:val="000000"/>
          <w:sz w:val="16"/>
          <w:szCs w:val="16"/>
        </w:rPr>
        <w:t xml:space="preserve">de plena jurisdicción para emitir y hacer cumplir sus fallos, </w:t>
      </w:r>
      <w:r w:rsidRPr="00580B0D">
        <w:rPr>
          <w:rFonts w:ascii="Arial" w:hAnsi="Arial" w:cs="Arial"/>
          <w:b/>
          <w:i/>
          <w:color w:val="000000"/>
          <w:sz w:val="16"/>
          <w:szCs w:val="16"/>
          <w:u w:val="single"/>
        </w:rPr>
        <w:t>constituyéndose en la máxima autoridad jurisdiccional del Estado de Oaxaca en materia administrativa</w:t>
      </w:r>
      <w:r w:rsidRPr="00580B0D">
        <w:rPr>
          <w:rFonts w:ascii="Arial" w:hAnsi="Arial" w:cs="Arial"/>
          <w:i/>
          <w:color w:val="000000"/>
          <w:sz w:val="16"/>
          <w:szCs w:val="16"/>
        </w:rPr>
        <w:t>, de fiscalización,</w:t>
      </w:r>
      <w:r>
        <w:rPr>
          <w:rFonts w:ascii="Arial" w:hAnsi="Arial" w:cs="Arial"/>
          <w:i/>
          <w:color w:val="000000"/>
          <w:sz w:val="16"/>
          <w:szCs w:val="16"/>
        </w:rPr>
        <w:t xml:space="preserve"> </w:t>
      </w:r>
      <w:r w:rsidRPr="00580B0D">
        <w:rPr>
          <w:rFonts w:ascii="Arial" w:hAnsi="Arial" w:cs="Arial"/>
          <w:i/>
          <w:color w:val="000000"/>
          <w:sz w:val="16"/>
          <w:szCs w:val="16"/>
        </w:rPr>
        <w:t>rendición de cuentas, responsabilidad de los servidores públicos, responsabilidades</w:t>
      </w:r>
      <w:r>
        <w:rPr>
          <w:rFonts w:ascii="Arial" w:hAnsi="Arial" w:cs="Arial"/>
          <w:i/>
          <w:color w:val="000000"/>
          <w:sz w:val="16"/>
          <w:szCs w:val="16"/>
        </w:rPr>
        <w:t xml:space="preserve"> </w:t>
      </w:r>
      <w:r w:rsidRPr="00580B0D">
        <w:rPr>
          <w:rFonts w:ascii="Arial" w:hAnsi="Arial" w:cs="Arial"/>
          <w:i/>
          <w:color w:val="000000"/>
          <w:sz w:val="16"/>
          <w:szCs w:val="16"/>
        </w:rPr>
        <w:t>administrativas y combate a la corrupción.</w:t>
      </w:r>
      <w:r>
        <w:rPr>
          <w:rFonts w:ascii="Arial" w:hAnsi="Arial" w:cs="Arial"/>
          <w:i/>
          <w:color w:val="000000"/>
          <w:sz w:val="16"/>
          <w:szCs w:val="16"/>
        </w:rPr>
        <w:t xml:space="preserve"> </w:t>
      </w:r>
      <w:r>
        <w:rPr>
          <w:rFonts w:ascii="Arial" w:hAnsi="Arial" w:cs="Arial"/>
          <w:color w:val="000000"/>
          <w:sz w:val="16"/>
          <w:szCs w:val="16"/>
        </w:rPr>
        <w:t>-Énfasis añadido-.</w:t>
      </w:r>
    </w:p>
    <w:p w14:paraId="27337677" w14:textId="2E07CE92" w:rsidR="003E795A" w:rsidRPr="00580B0D" w:rsidRDefault="003E795A" w:rsidP="00580B0D">
      <w:pPr>
        <w:autoSpaceDE w:val="0"/>
        <w:autoSpaceDN w:val="0"/>
        <w:adjustRightInd w:val="0"/>
        <w:spacing w:after="0" w:line="240" w:lineRule="auto"/>
        <w:jc w:val="both"/>
        <w:rPr>
          <w:rFonts w:ascii="Arial" w:hAnsi="Arial" w:cs="Arial"/>
          <w:i/>
          <w:color w:val="000000"/>
          <w:sz w:val="16"/>
          <w:szCs w:val="16"/>
        </w:rPr>
      </w:pPr>
      <w:r>
        <w:rPr>
          <w:rFonts w:ascii="Arial" w:hAnsi="Arial" w:cs="Arial"/>
          <w:i/>
          <w:color w:val="000000"/>
          <w:sz w:val="16"/>
          <w:szCs w:val="16"/>
        </w:rPr>
        <w:t>(…)</w:t>
      </w:r>
    </w:p>
    <w:p w14:paraId="5864B094" w14:textId="77777777" w:rsidR="003E795A" w:rsidRDefault="003E795A" w:rsidP="008B1312">
      <w:pPr>
        <w:autoSpaceDE w:val="0"/>
        <w:autoSpaceDN w:val="0"/>
        <w:adjustRightInd w:val="0"/>
        <w:spacing w:after="0" w:line="240" w:lineRule="auto"/>
        <w:jc w:val="both"/>
      </w:pPr>
    </w:p>
  </w:footnote>
  <w:footnote w:id="7">
    <w:p w14:paraId="19B274F6" w14:textId="195AB6C3" w:rsidR="003E795A" w:rsidRPr="007102C5" w:rsidRDefault="003E795A" w:rsidP="007102C5">
      <w:pPr>
        <w:autoSpaceDE w:val="0"/>
        <w:autoSpaceDN w:val="0"/>
        <w:adjustRightInd w:val="0"/>
        <w:spacing w:after="0" w:line="240" w:lineRule="auto"/>
        <w:jc w:val="both"/>
        <w:rPr>
          <w:rFonts w:ascii="Arial" w:hAnsi="Arial" w:cs="Arial"/>
          <w:i/>
          <w:color w:val="000000"/>
          <w:sz w:val="16"/>
          <w:szCs w:val="16"/>
        </w:rPr>
      </w:pPr>
      <w:r w:rsidRPr="007102C5">
        <w:rPr>
          <w:rStyle w:val="Refdenotaalpie"/>
          <w:rFonts w:ascii="Arial" w:hAnsi="Arial" w:cs="Arial"/>
          <w:i/>
          <w:sz w:val="16"/>
          <w:szCs w:val="16"/>
        </w:rPr>
        <w:footnoteRef/>
      </w:r>
      <w:r w:rsidRPr="007102C5">
        <w:rPr>
          <w:rStyle w:val="Refdenotaalpie"/>
          <w:rFonts w:ascii="Arial" w:hAnsi="Arial" w:cs="Arial"/>
          <w:i/>
          <w:sz w:val="16"/>
          <w:szCs w:val="16"/>
        </w:rPr>
        <w:footnoteRef/>
      </w:r>
      <w:r w:rsidRPr="007102C5">
        <w:rPr>
          <w:rFonts w:ascii="Arial" w:hAnsi="Arial" w:cs="Arial"/>
          <w:i/>
          <w:sz w:val="16"/>
          <w:szCs w:val="16"/>
        </w:rPr>
        <w:t xml:space="preserve"> </w:t>
      </w:r>
      <w:r w:rsidRPr="007102C5">
        <w:rPr>
          <w:rFonts w:ascii="Arial" w:hAnsi="Arial" w:cs="Arial"/>
          <w:b/>
          <w:bCs/>
          <w:i/>
          <w:color w:val="000000"/>
          <w:sz w:val="16"/>
          <w:szCs w:val="16"/>
        </w:rPr>
        <w:t xml:space="preserve">Artículo 189. </w:t>
      </w:r>
      <w:r w:rsidRPr="007102C5">
        <w:rPr>
          <w:rFonts w:ascii="Arial" w:hAnsi="Arial" w:cs="Arial"/>
          <w:i/>
          <w:color w:val="000000"/>
          <w:sz w:val="16"/>
          <w:szCs w:val="16"/>
        </w:rPr>
        <w:t>Las notificaciones personales surtirán sus efectos al día hábil siguiente en que se realicen. Las autoridades substanciadoras o resolutoras del asunto, según corresponda, podrán solicitar</w:t>
      </w:r>
      <w:r>
        <w:rPr>
          <w:rFonts w:ascii="Arial" w:hAnsi="Arial" w:cs="Arial"/>
          <w:i/>
          <w:color w:val="000000"/>
          <w:sz w:val="16"/>
          <w:szCs w:val="16"/>
        </w:rPr>
        <w:t xml:space="preserve"> </w:t>
      </w:r>
      <w:r w:rsidRPr="007102C5">
        <w:rPr>
          <w:rFonts w:ascii="Arial" w:hAnsi="Arial" w:cs="Arial"/>
          <w:i/>
          <w:color w:val="000000"/>
          <w:sz w:val="16"/>
          <w:szCs w:val="16"/>
        </w:rPr>
        <w:t>mediante exhorto, la colaboración de las Secretarías, Órganos internos de control, o de los Tribunales,</w:t>
      </w:r>
      <w:r>
        <w:rPr>
          <w:rFonts w:ascii="Arial" w:hAnsi="Arial" w:cs="Arial"/>
          <w:i/>
          <w:color w:val="000000"/>
          <w:sz w:val="16"/>
          <w:szCs w:val="16"/>
        </w:rPr>
        <w:t xml:space="preserve"> </w:t>
      </w:r>
      <w:r w:rsidRPr="007102C5">
        <w:rPr>
          <w:rFonts w:ascii="Arial" w:hAnsi="Arial" w:cs="Arial"/>
          <w:i/>
          <w:color w:val="000000"/>
          <w:sz w:val="16"/>
          <w:szCs w:val="16"/>
        </w:rPr>
        <w:t>para realizar las notificaciones personales que deban llevar a cabo respecto de aquellas personas que se</w:t>
      </w:r>
      <w:r>
        <w:rPr>
          <w:rFonts w:ascii="Arial" w:hAnsi="Arial" w:cs="Arial"/>
          <w:i/>
          <w:color w:val="000000"/>
          <w:sz w:val="16"/>
          <w:szCs w:val="16"/>
        </w:rPr>
        <w:t xml:space="preserve"> </w:t>
      </w:r>
      <w:r w:rsidRPr="007102C5">
        <w:rPr>
          <w:rFonts w:ascii="Arial" w:hAnsi="Arial" w:cs="Arial"/>
          <w:i/>
          <w:color w:val="000000"/>
          <w:sz w:val="16"/>
          <w:szCs w:val="16"/>
        </w:rPr>
        <w:t>encuentren en lugares que se hallen fuera de su jurisdicción.</w:t>
      </w:r>
    </w:p>
    <w:p w14:paraId="3C0E2C13" w14:textId="3735DF6D" w:rsidR="003E795A" w:rsidRDefault="003E795A">
      <w:pPr>
        <w:pStyle w:val="Textonotapie"/>
      </w:pPr>
    </w:p>
  </w:footnote>
  <w:footnote w:id="8">
    <w:p w14:paraId="1CDA0F12" w14:textId="77777777" w:rsidR="003E795A" w:rsidRDefault="003E795A" w:rsidP="00164870">
      <w:pPr>
        <w:pStyle w:val="Textonotapie"/>
      </w:pPr>
      <w:r>
        <w:rPr>
          <w:rStyle w:val="Refdenotaalpie"/>
        </w:rPr>
        <w:footnoteRef/>
      </w:r>
      <w:r>
        <w:t xml:space="preserve"> </w:t>
      </w:r>
      <w:r w:rsidRPr="001E741B">
        <w:rPr>
          <w:rFonts w:ascii="Arial" w:hAnsi="Arial" w:cs="Arial"/>
          <w:b/>
          <w:i/>
          <w:sz w:val="16"/>
          <w:szCs w:val="16"/>
        </w:rPr>
        <w:t>Suprema Corte de Justicia de la Nación:</w:t>
      </w:r>
      <w:r w:rsidRPr="001E741B">
        <w:rPr>
          <w:i/>
        </w:rPr>
        <w:t xml:space="preserve"> </w:t>
      </w:r>
      <w:r w:rsidRPr="001E741B">
        <w:rPr>
          <w:rFonts w:ascii="Arial" w:hAnsi="Arial" w:cs="Arial"/>
          <w:i/>
          <w:sz w:val="16"/>
          <w:szCs w:val="16"/>
        </w:rPr>
        <w:t>https://www.youtube.com/watch?v=OxQ5wWpcs7s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3E795A" w:rsidRDefault="00A97EBB">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E795A">
          <w:fldChar w:fldCharType="begin"/>
        </w:r>
        <w:r w:rsidR="003E795A">
          <w:instrText>PAGE   \* MERGEFORMAT</w:instrText>
        </w:r>
        <w:r w:rsidR="003E795A">
          <w:fldChar w:fldCharType="separate"/>
        </w:r>
        <w:r w:rsidRPr="00A97EBB">
          <w:rPr>
            <w:noProof/>
            <w:lang w:val="es-ES"/>
          </w:rPr>
          <w:t>10</w:t>
        </w:r>
        <w:r w:rsidR="003E795A">
          <w:rPr>
            <w:noProof/>
            <w:lang w:val="es-ES"/>
          </w:rPr>
          <w:fldChar w:fldCharType="end"/>
        </w:r>
      </w:p>
    </w:sdtContent>
  </w:sdt>
  <w:p w14:paraId="0FE1B5BA" w14:textId="77777777" w:rsidR="003E795A" w:rsidRDefault="003E795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3E795A" w:rsidRDefault="00A97EBB">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E795A">
          <w:fldChar w:fldCharType="begin"/>
        </w:r>
        <w:r w:rsidR="003E795A">
          <w:instrText>PAGE   \* MERGEFORMAT</w:instrText>
        </w:r>
        <w:r w:rsidR="003E795A">
          <w:fldChar w:fldCharType="separate"/>
        </w:r>
        <w:r w:rsidRPr="00A97EBB">
          <w:rPr>
            <w:noProof/>
            <w:lang w:val="es-ES"/>
          </w:rPr>
          <w:t>9</w:t>
        </w:r>
        <w:r w:rsidR="003E795A">
          <w:rPr>
            <w:noProof/>
            <w:lang w:val="es-ES"/>
          </w:rPr>
          <w:fldChar w:fldCharType="end"/>
        </w:r>
      </w:sdtContent>
    </w:sdt>
  </w:p>
  <w:p w14:paraId="2C0FDD03" w14:textId="4F1643B4" w:rsidR="003E795A" w:rsidRDefault="00B0555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66BE6ED" wp14:editId="6329A11A">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486D2AF" w14:textId="77777777" w:rsidR="00B0555B" w:rsidRDefault="00B0555B" w:rsidP="00B0555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6BE6ED"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486D2AF" w14:textId="77777777" w:rsidR="00B0555B" w:rsidRDefault="00B0555B" w:rsidP="00B0555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E795A">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3E795A" w:rsidRDefault="00A97EBB">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6"/>
  </w:num>
  <w:num w:numId="14">
    <w:abstractNumId w:val="15"/>
  </w:num>
  <w:num w:numId="15">
    <w:abstractNumId w:val="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F98"/>
    <w:rsid w:val="0001695E"/>
    <w:rsid w:val="00016C0B"/>
    <w:rsid w:val="00016E88"/>
    <w:rsid w:val="000174F5"/>
    <w:rsid w:val="00020167"/>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3077"/>
    <w:rsid w:val="000441B5"/>
    <w:rsid w:val="00044C5F"/>
    <w:rsid w:val="000450F5"/>
    <w:rsid w:val="00045290"/>
    <w:rsid w:val="000466B1"/>
    <w:rsid w:val="000466D5"/>
    <w:rsid w:val="00047062"/>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C55"/>
    <w:rsid w:val="00064E90"/>
    <w:rsid w:val="00064FD9"/>
    <w:rsid w:val="00067B5A"/>
    <w:rsid w:val="00070038"/>
    <w:rsid w:val="00070777"/>
    <w:rsid w:val="0007095E"/>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4FE"/>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6D07"/>
    <w:rsid w:val="000F75AF"/>
    <w:rsid w:val="000F77DE"/>
    <w:rsid w:val="001002F5"/>
    <w:rsid w:val="00100AFE"/>
    <w:rsid w:val="001019F2"/>
    <w:rsid w:val="001025E5"/>
    <w:rsid w:val="00102AFD"/>
    <w:rsid w:val="001041F6"/>
    <w:rsid w:val="0010543E"/>
    <w:rsid w:val="0010644A"/>
    <w:rsid w:val="0010719A"/>
    <w:rsid w:val="0010777F"/>
    <w:rsid w:val="00107862"/>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80B"/>
    <w:rsid w:val="00162DA1"/>
    <w:rsid w:val="001632E4"/>
    <w:rsid w:val="00163EBF"/>
    <w:rsid w:val="00164870"/>
    <w:rsid w:val="00164BCE"/>
    <w:rsid w:val="001659D0"/>
    <w:rsid w:val="00165A9E"/>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B2"/>
    <w:rsid w:val="00192CB7"/>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0E0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412"/>
    <w:rsid w:val="002246DF"/>
    <w:rsid w:val="002248E9"/>
    <w:rsid w:val="00225069"/>
    <w:rsid w:val="00226F4D"/>
    <w:rsid w:val="00227445"/>
    <w:rsid w:val="00227471"/>
    <w:rsid w:val="002274B4"/>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3F5B"/>
    <w:rsid w:val="002541B3"/>
    <w:rsid w:val="00254349"/>
    <w:rsid w:val="00255956"/>
    <w:rsid w:val="00255B9B"/>
    <w:rsid w:val="002561FA"/>
    <w:rsid w:val="00256468"/>
    <w:rsid w:val="00256760"/>
    <w:rsid w:val="00256B3C"/>
    <w:rsid w:val="00256E7D"/>
    <w:rsid w:val="00256F27"/>
    <w:rsid w:val="00257816"/>
    <w:rsid w:val="00257C5E"/>
    <w:rsid w:val="00260290"/>
    <w:rsid w:val="00260433"/>
    <w:rsid w:val="0026116F"/>
    <w:rsid w:val="002617F9"/>
    <w:rsid w:val="0026183E"/>
    <w:rsid w:val="00262666"/>
    <w:rsid w:val="00262D7C"/>
    <w:rsid w:val="00263079"/>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840"/>
    <w:rsid w:val="00297C79"/>
    <w:rsid w:val="002A0081"/>
    <w:rsid w:val="002A0713"/>
    <w:rsid w:val="002A18E6"/>
    <w:rsid w:val="002A1AAC"/>
    <w:rsid w:val="002A274A"/>
    <w:rsid w:val="002A2985"/>
    <w:rsid w:val="002A2FF8"/>
    <w:rsid w:val="002A4088"/>
    <w:rsid w:val="002A4403"/>
    <w:rsid w:val="002A4AD1"/>
    <w:rsid w:val="002A4AE9"/>
    <w:rsid w:val="002A4B12"/>
    <w:rsid w:val="002A4B47"/>
    <w:rsid w:val="002A5750"/>
    <w:rsid w:val="002A6503"/>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71A6"/>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798"/>
    <w:rsid w:val="00392B20"/>
    <w:rsid w:val="00393C37"/>
    <w:rsid w:val="00393D40"/>
    <w:rsid w:val="003940E3"/>
    <w:rsid w:val="00394516"/>
    <w:rsid w:val="00395933"/>
    <w:rsid w:val="003961E1"/>
    <w:rsid w:val="00396B92"/>
    <w:rsid w:val="003974F9"/>
    <w:rsid w:val="0039774F"/>
    <w:rsid w:val="003A0AA1"/>
    <w:rsid w:val="003A0FE5"/>
    <w:rsid w:val="003A1D7C"/>
    <w:rsid w:val="003A1F13"/>
    <w:rsid w:val="003A24EC"/>
    <w:rsid w:val="003A288D"/>
    <w:rsid w:val="003A3EA0"/>
    <w:rsid w:val="003A3F7E"/>
    <w:rsid w:val="003A5747"/>
    <w:rsid w:val="003A6262"/>
    <w:rsid w:val="003A645D"/>
    <w:rsid w:val="003A740C"/>
    <w:rsid w:val="003B0033"/>
    <w:rsid w:val="003B0A5E"/>
    <w:rsid w:val="003B0AA1"/>
    <w:rsid w:val="003B0AB6"/>
    <w:rsid w:val="003B0AD5"/>
    <w:rsid w:val="003B0B21"/>
    <w:rsid w:val="003B0CCE"/>
    <w:rsid w:val="003B16F0"/>
    <w:rsid w:val="003B210B"/>
    <w:rsid w:val="003B2F00"/>
    <w:rsid w:val="003B305E"/>
    <w:rsid w:val="003B354A"/>
    <w:rsid w:val="003B3575"/>
    <w:rsid w:val="003B3697"/>
    <w:rsid w:val="003B373B"/>
    <w:rsid w:val="003B3A74"/>
    <w:rsid w:val="003B4BAF"/>
    <w:rsid w:val="003B5111"/>
    <w:rsid w:val="003B5454"/>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391"/>
    <w:rsid w:val="003E7801"/>
    <w:rsid w:val="003E795A"/>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E07"/>
    <w:rsid w:val="004110B6"/>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015"/>
    <w:rsid w:val="004541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36D"/>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19D2"/>
    <w:rsid w:val="00511DF1"/>
    <w:rsid w:val="00513088"/>
    <w:rsid w:val="00515288"/>
    <w:rsid w:val="00515B21"/>
    <w:rsid w:val="00515CF2"/>
    <w:rsid w:val="00517079"/>
    <w:rsid w:val="00520023"/>
    <w:rsid w:val="005200EC"/>
    <w:rsid w:val="005201C4"/>
    <w:rsid w:val="00520569"/>
    <w:rsid w:val="00520AEE"/>
    <w:rsid w:val="00520EA5"/>
    <w:rsid w:val="00521228"/>
    <w:rsid w:val="0052127C"/>
    <w:rsid w:val="005212AE"/>
    <w:rsid w:val="005229B8"/>
    <w:rsid w:val="00522C1A"/>
    <w:rsid w:val="00522DD3"/>
    <w:rsid w:val="00522FC2"/>
    <w:rsid w:val="00523091"/>
    <w:rsid w:val="005242CB"/>
    <w:rsid w:val="00524D42"/>
    <w:rsid w:val="005257AB"/>
    <w:rsid w:val="00526DC4"/>
    <w:rsid w:val="005274E0"/>
    <w:rsid w:val="00527BE0"/>
    <w:rsid w:val="00527F7B"/>
    <w:rsid w:val="005300DF"/>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C49"/>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48B"/>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4618"/>
    <w:rsid w:val="00577656"/>
    <w:rsid w:val="0057772B"/>
    <w:rsid w:val="00577E37"/>
    <w:rsid w:val="00580176"/>
    <w:rsid w:val="005802AF"/>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5391"/>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399C"/>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BEF"/>
    <w:rsid w:val="0062386E"/>
    <w:rsid w:val="0062443A"/>
    <w:rsid w:val="00624802"/>
    <w:rsid w:val="00624F20"/>
    <w:rsid w:val="00625F4E"/>
    <w:rsid w:val="006269D2"/>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798"/>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53E"/>
    <w:rsid w:val="00673B33"/>
    <w:rsid w:val="006744B2"/>
    <w:rsid w:val="006747AB"/>
    <w:rsid w:val="00676465"/>
    <w:rsid w:val="00677250"/>
    <w:rsid w:val="006775C4"/>
    <w:rsid w:val="0068056E"/>
    <w:rsid w:val="00681462"/>
    <w:rsid w:val="00681AC1"/>
    <w:rsid w:val="00681EE7"/>
    <w:rsid w:val="00682078"/>
    <w:rsid w:val="00682165"/>
    <w:rsid w:val="00683178"/>
    <w:rsid w:val="0068325D"/>
    <w:rsid w:val="00684F50"/>
    <w:rsid w:val="00685785"/>
    <w:rsid w:val="0068615E"/>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B772B"/>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2D36"/>
    <w:rsid w:val="007332CB"/>
    <w:rsid w:val="00733426"/>
    <w:rsid w:val="00734300"/>
    <w:rsid w:val="0073439D"/>
    <w:rsid w:val="00734795"/>
    <w:rsid w:val="00735778"/>
    <w:rsid w:val="00736F71"/>
    <w:rsid w:val="0073740D"/>
    <w:rsid w:val="007376BA"/>
    <w:rsid w:val="00737D73"/>
    <w:rsid w:val="0074055C"/>
    <w:rsid w:val="00740D54"/>
    <w:rsid w:val="00740D93"/>
    <w:rsid w:val="007426D1"/>
    <w:rsid w:val="00743E50"/>
    <w:rsid w:val="00743F9C"/>
    <w:rsid w:val="00744DC2"/>
    <w:rsid w:val="00744E48"/>
    <w:rsid w:val="00744EED"/>
    <w:rsid w:val="00746015"/>
    <w:rsid w:val="00746730"/>
    <w:rsid w:val="00747E03"/>
    <w:rsid w:val="00751760"/>
    <w:rsid w:val="007517FC"/>
    <w:rsid w:val="00752C85"/>
    <w:rsid w:val="00752CFC"/>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BEB"/>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16B"/>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12F"/>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37FBF"/>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66BD"/>
    <w:rsid w:val="008869B9"/>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67BB6"/>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44CE"/>
    <w:rsid w:val="00984590"/>
    <w:rsid w:val="00984F92"/>
    <w:rsid w:val="00984FB7"/>
    <w:rsid w:val="009855CB"/>
    <w:rsid w:val="00985932"/>
    <w:rsid w:val="009868FC"/>
    <w:rsid w:val="00986D6A"/>
    <w:rsid w:val="009872AF"/>
    <w:rsid w:val="00990013"/>
    <w:rsid w:val="00990D44"/>
    <w:rsid w:val="00990F9B"/>
    <w:rsid w:val="00991E94"/>
    <w:rsid w:val="00992712"/>
    <w:rsid w:val="00993E7E"/>
    <w:rsid w:val="0099452B"/>
    <w:rsid w:val="0099690A"/>
    <w:rsid w:val="00997136"/>
    <w:rsid w:val="009971A7"/>
    <w:rsid w:val="00997DB0"/>
    <w:rsid w:val="009A103E"/>
    <w:rsid w:val="009A1239"/>
    <w:rsid w:val="009A26A8"/>
    <w:rsid w:val="009A2AF4"/>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1C5"/>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5D42"/>
    <w:rsid w:val="00A66CB2"/>
    <w:rsid w:val="00A67E0E"/>
    <w:rsid w:val="00A703F5"/>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508"/>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97EBB"/>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0CF"/>
    <w:rsid w:val="00AC70A9"/>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555B"/>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844"/>
    <w:rsid w:val="00C50922"/>
    <w:rsid w:val="00C50D46"/>
    <w:rsid w:val="00C51002"/>
    <w:rsid w:val="00C51440"/>
    <w:rsid w:val="00C52089"/>
    <w:rsid w:val="00C53E87"/>
    <w:rsid w:val="00C55CDE"/>
    <w:rsid w:val="00C56680"/>
    <w:rsid w:val="00C56885"/>
    <w:rsid w:val="00C56AE3"/>
    <w:rsid w:val="00C56D20"/>
    <w:rsid w:val="00C56E99"/>
    <w:rsid w:val="00C57069"/>
    <w:rsid w:val="00C57680"/>
    <w:rsid w:val="00C57997"/>
    <w:rsid w:val="00C600B2"/>
    <w:rsid w:val="00C6124E"/>
    <w:rsid w:val="00C613CF"/>
    <w:rsid w:val="00C61915"/>
    <w:rsid w:val="00C61DA7"/>
    <w:rsid w:val="00C6230B"/>
    <w:rsid w:val="00C6256E"/>
    <w:rsid w:val="00C6257D"/>
    <w:rsid w:val="00C632FA"/>
    <w:rsid w:val="00C635D0"/>
    <w:rsid w:val="00C64273"/>
    <w:rsid w:val="00C64A18"/>
    <w:rsid w:val="00C65B9B"/>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369F"/>
    <w:rsid w:val="00CB40D4"/>
    <w:rsid w:val="00CB41E1"/>
    <w:rsid w:val="00CB4B46"/>
    <w:rsid w:val="00CB4C32"/>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0BB3"/>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3B8"/>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6885"/>
    <w:rsid w:val="00D67214"/>
    <w:rsid w:val="00D67C48"/>
    <w:rsid w:val="00D70CA3"/>
    <w:rsid w:val="00D70DB1"/>
    <w:rsid w:val="00D718E2"/>
    <w:rsid w:val="00D719E5"/>
    <w:rsid w:val="00D71C37"/>
    <w:rsid w:val="00D72097"/>
    <w:rsid w:val="00D72E09"/>
    <w:rsid w:val="00D73167"/>
    <w:rsid w:val="00D7322F"/>
    <w:rsid w:val="00D73481"/>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EFB"/>
    <w:rsid w:val="00DD618F"/>
    <w:rsid w:val="00DD6784"/>
    <w:rsid w:val="00DD6C17"/>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2615"/>
    <w:rsid w:val="00E233C9"/>
    <w:rsid w:val="00E23438"/>
    <w:rsid w:val="00E24415"/>
    <w:rsid w:val="00E24C2F"/>
    <w:rsid w:val="00E24D01"/>
    <w:rsid w:val="00E25521"/>
    <w:rsid w:val="00E25917"/>
    <w:rsid w:val="00E26159"/>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69"/>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167D"/>
    <w:rsid w:val="00E81BCF"/>
    <w:rsid w:val="00E8217A"/>
    <w:rsid w:val="00E82708"/>
    <w:rsid w:val="00E82EF6"/>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037"/>
    <w:rsid w:val="00EB51C7"/>
    <w:rsid w:val="00EB5858"/>
    <w:rsid w:val="00EB5DEF"/>
    <w:rsid w:val="00EB61E5"/>
    <w:rsid w:val="00EB67AA"/>
    <w:rsid w:val="00EB70B5"/>
    <w:rsid w:val="00EB780C"/>
    <w:rsid w:val="00EC0D1F"/>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13A4"/>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D2"/>
    <w:rsid w:val="00EF42CD"/>
    <w:rsid w:val="00EF58F2"/>
    <w:rsid w:val="00EF60C8"/>
    <w:rsid w:val="00EF6733"/>
    <w:rsid w:val="00EF6AD7"/>
    <w:rsid w:val="00EF6CC9"/>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5DF0"/>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086"/>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1FA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E1B"/>
    <w:rsid w:val="00F90005"/>
    <w:rsid w:val="00F902E3"/>
    <w:rsid w:val="00F906AE"/>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2BA"/>
    <w:rsid w:val="00FC4C6D"/>
    <w:rsid w:val="00FC4DC2"/>
    <w:rsid w:val="00FC5311"/>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886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3B0CCE"/>
  </w:style>
  <w:style w:type="character" w:customStyle="1" w:styleId="Ttulo2Car">
    <w:name w:val="Título 2 Car"/>
    <w:basedOn w:val="Fuentedeprrafopredeter"/>
    <w:link w:val="Ttulo2"/>
    <w:uiPriority w:val="9"/>
    <w:rsid w:val="008869B9"/>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8869B9"/>
    <w:pPr>
      <w:ind w:left="566" w:hanging="283"/>
      <w:contextualSpacing/>
    </w:pPr>
  </w:style>
  <w:style w:type="paragraph" w:styleId="Saludo">
    <w:name w:val="Salutation"/>
    <w:basedOn w:val="Normal"/>
    <w:next w:val="Normal"/>
    <w:link w:val="SaludoCar"/>
    <w:uiPriority w:val="99"/>
    <w:unhideWhenUsed/>
    <w:rsid w:val="008869B9"/>
  </w:style>
  <w:style w:type="character" w:customStyle="1" w:styleId="SaludoCar">
    <w:name w:val="Saludo Car"/>
    <w:basedOn w:val="Fuentedeprrafopredeter"/>
    <w:link w:val="Saludo"/>
    <w:uiPriority w:val="99"/>
    <w:rsid w:val="008869B9"/>
  </w:style>
  <w:style w:type="paragraph" w:styleId="Sangradetextonormal">
    <w:name w:val="Body Text Indent"/>
    <w:basedOn w:val="Normal"/>
    <w:link w:val="SangradetextonormalCar"/>
    <w:uiPriority w:val="99"/>
    <w:unhideWhenUsed/>
    <w:rsid w:val="008869B9"/>
    <w:pPr>
      <w:spacing w:after="120"/>
      <w:ind w:left="283"/>
    </w:pPr>
  </w:style>
  <w:style w:type="character" w:customStyle="1" w:styleId="SangradetextonormalCar">
    <w:name w:val="Sangría de texto normal Car"/>
    <w:basedOn w:val="Fuentedeprrafopredeter"/>
    <w:link w:val="Sangradetextonormal"/>
    <w:uiPriority w:val="99"/>
    <w:rsid w:val="008869B9"/>
  </w:style>
  <w:style w:type="paragraph" w:styleId="Textoindependienteprimerasangra">
    <w:name w:val="Body Text First Indent"/>
    <w:basedOn w:val="Textoindependiente"/>
    <w:link w:val="TextoindependienteprimerasangraCar"/>
    <w:uiPriority w:val="99"/>
    <w:unhideWhenUsed/>
    <w:rsid w:val="008869B9"/>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8869B9"/>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886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8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FF7F1-757B-4656-A007-4A16D20F0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2232</TotalTime>
  <Pages>17</Pages>
  <Words>6672</Words>
  <Characters>36697</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67</cp:revision>
  <cp:lastPrinted>2022-09-06T21:43:00Z</cp:lastPrinted>
  <dcterms:created xsi:type="dcterms:W3CDTF">2022-07-05T20:18:00Z</dcterms:created>
  <dcterms:modified xsi:type="dcterms:W3CDTF">2023-02-20T17:39:00Z</dcterms:modified>
</cp:coreProperties>
</file>