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87770" w14:textId="77777777" w:rsidR="009037F6" w:rsidRPr="009127A5" w:rsidRDefault="009037F6" w:rsidP="009037F6">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9127A5">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490ABE5B" w14:textId="77777777" w:rsidR="009037F6" w:rsidRPr="009127A5" w:rsidRDefault="009037F6" w:rsidP="009037F6">
      <w:pPr>
        <w:tabs>
          <w:tab w:val="left" w:pos="6480"/>
        </w:tabs>
        <w:spacing w:after="160" w:line="259" w:lineRule="auto"/>
        <w:jc w:val="right"/>
        <w:rPr>
          <w:rFonts w:ascii="Calibri" w:eastAsia="Calibri" w:hAnsi="Calibri" w:cs="Times New Roman"/>
          <w:sz w:val="24"/>
          <w:szCs w:val="24"/>
          <w:lang w:eastAsia="en-US"/>
        </w:rPr>
      </w:pPr>
    </w:p>
    <w:p w14:paraId="3C358B84" w14:textId="5B329A97" w:rsidR="009037F6" w:rsidRPr="009127A5" w:rsidRDefault="009037F6" w:rsidP="009037F6">
      <w:pPr>
        <w:spacing w:after="160" w:line="259" w:lineRule="auto"/>
        <w:rPr>
          <w:rFonts w:ascii="Arial" w:eastAsia="Calibri" w:hAnsi="Arial" w:cs="Arial"/>
          <w:b/>
          <w:bCs/>
          <w:sz w:val="24"/>
          <w:szCs w:val="24"/>
          <w:lang w:eastAsia="en-US"/>
        </w:rPr>
      </w:pPr>
      <w:r w:rsidRPr="009127A5">
        <w:rPr>
          <w:rFonts w:ascii="Arial" w:eastAsia="Calibri" w:hAnsi="Arial" w:cs="Arial"/>
          <w:b/>
          <w:bCs/>
          <w:sz w:val="24"/>
          <w:szCs w:val="24"/>
          <w:lang w:eastAsia="en-US"/>
        </w:rPr>
        <w:t xml:space="preserve">Oaxaca de Juárez, Oaxaca, </w:t>
      </w:r>
      <w:r w:rsidR="00794544" w:rsidRPr="009127A5">
        <w:rPr>
          <w:rFonts w:ascii="Arial" w:eastAsia="Calibri" w:hAnsi="Arial" w:cs="Arial"/>
          <w:b/>
          <w:bCs/>
          <w:sz w:val="24"/>
          <w:szCs w:val="24"/>
          <w:lang w:eastAsia="en-US"/>
        </w:rPr>
        <w:t>22</w:t>
      </w:r>
      <w:r w:rsidRPr="009127A5">
        <w:rPr>
          <w:rFonts w:ascii="Arial" w:eastAsia="Calibri" w:hAnsi="Arial" w:cs="Arial"/>
          <w:b/>
          <w:bCs/>
          <w:sz w:val="24"/>
          <w:szCs w:val="24"/>
          <w:lang w:eastAsia="en-US"/>
        </w:rPr>
        <w:t xml:space="preserve"> de </w:t>
      </w:r>
      <w:r w:rsidR="00794544" w:rsidRPr="009127A5">
        <w:rPr>
          <w:rFonts w:ascii="Arial" w:eastAsia="Calibri" w:hAnsi="Arial" w:cs="Arial"/>
          <w:b/>
          <w:bCs/>
          <w:sz w:val="24"/>
          <w:szCs w:val="24"/>
          <w:lang w:eastAsia="en-US"/>
        </w:rPr>
        <w:t>noviembre</w:t>
      </w:r>
      <w:r w:rsidRPr="009127A5">
        <w:rPr>
          <w:rFonts w:ascii="Arial" w:eastAsia="Calibri" w:hAnsi="Arial" w:cs="Arial"/>
          <w:b/>
          <w:bCs/>
          <w:sz w:val="24"/>
          <w:szCs w:val="24"/>
          <w:lang w:eastAsia="en-US"/>
        </w:rPr>
        <w:t xml:space="preserve"> 2022.</w:t>
      </w:r>
    </w:p>
    <w:p w14:paraId="6D36145A" w14:textId="77777777" w:rsidR="009037F6" w:rsidRPr="009127A5" w:rsidRDefault="009037F6" w:rsidP="009037F6">
      <w:pPr>
        <w:tabs>
          <w:tab w:val="left" w:pos="6480"/>
        </w:tabs>
        <w:spacing w:after="160" w:line="259" w:lineRule="auto"/>
        <w:rPr>
          <w:rFonts w:ascii="Calibri" w:eastAsia="Calibri" w:hAnsi="Calibri" w:cs="Times New Roman"/>
          <w:sz w:val="24"/>
          <w:szCs w:val="24"/>
          <w:lang w:eastAsia="en-US"/>
        </w:rPr>
      </w:pPr>
    </w:p>
    <w:p w14:paraId="4EB7B2E3" w14:textId="77777777" w:rsidR="009037F6" w:rsidRPr="009127A5" w:rsidRDefault="009037F6" w:rsidP="009037F6">
      <w:pPr>
        <w:tabs>
          <w:tab w:val="left" w:pos="6480"/>
        </w:tabs>
        <w:spacing w:after="160" w:line="259" w:lineRule="auto"/>
        <w:jc w:val="center"/>
        <w:rPr>
          <w:rFonts w:ascii="Arial" w:eastAsia="Calibri" w:hAnsi="Arial" w:cs="Arial"/>
          <w:b/>
          <w:bCs/>
          <w:sz w:val="24"/>
          <w:szCs w:val="24"/>
          <w:lang w:eastAsia="en-US"/>
        </w:rPr>
      </w:pPr>
      <w:r w:rsidRPr="009127A5">
        <w:rPr>
          <w:rFonts w:ascii="Arial" w:eastAsia="Calibri" w:hAnsi="Arial" w:cs="Arial"/>
          <w:b/>
          <w:bCs/>
          <w:sz w:val="24"/>
          <w:szCs w:val="24"/>
          <w:lang w:eastAsia="en-US"/>
        </w:rPr>
        <w:t>A S U N T O</w:t>
      </w:r>
    </w:p>
    <w:p w14:paraId="78568168" w14:textId="71C628D3" w:rsidR="009037F6" w:rsidRPr="009127A5" w:rsidRDefault="009037F6" w:rsidP="009037F6">
      <w:pPr>
        <w:tabs>
          <w:tab w:val="left" w:pos="284"/>
          <w:tab w:val="left" w:pos="426"/>
          <w:tab w:val="right" w:pos="9072"/>
        </w:tabs>
        <w:spacing w:after="0" w:line="360" w:lineRule="auto"/>
        <w:ind w:right="-234" w:firstLine="567"/>
        <w:jc w:val="both"/>
        <w:rPr>
          <w:rFonts w:ascii="Arial" w:hAnsi="Arial" w:cs="Arial"/>
          <w:b/>
          <w:sz w:val="24"/>
          <w:szCs w:val="24"/>
        </w:rPr>
      </w:pPr>
      <w:r w:rsidRPr="009127A5">
        <w:rPr>
          <w:rFonts w:ascii="Arial" w:hAnsi="Arial" w:cs="Arial"/>
          <w:sz w:val="24"/>
          <w:szCs w:val="24"/>
        </w:rPr>
        <w:t xml:space="preserve">Se emite sentencia en el juicio de nulidad de número </w:t>
      </w:r>
      <w:r w:rsidR="00794544" w:rsidRPr="009127A5">
        <w:rPr>
          <w:rFonts w:ascii="Arial" w:hAnsi="Arial" w:cs="Arial"/>
          <w:b/>
          <w:sz w:val="24"/>
          <w:szCs w:val="24"/>
        </w:rPr>
        <w:t>0075</w:t>
      </w:r>
      <w:r w:rsidRPr="009127A5">
        <w:rPr>
          <w:rFonts w:ascii="Arial" w:hAnsi="Arial" w:cs="Arial"/>
          <w:b/>
          <w:sz w:val="24"/>
          <w:szCs w:val="24"/>
        </w:rPr>
        <w:t>/202</w:t>
      </w:r>
      <w:r w:rsidR="00794544" w:rsidRPr="009127A5">
        <w:rPr>
          <w:rFonts w:ascii="Arial" w:hAnsi="Arial" w:cs="Arial"/>
          <w:b/>
          <w:sz w:val="24"/>
          <w:szCs w:val="24"/>
        </w:rPr>
        <w:t>0</w:t>
      </w:r>
      <w:r w:rsidRPr="009127A5">
        <w:rPr>
          <w:rFonts w:ascii="Arial" w:hAnsi="Arial" w:cs="Arial"/>
          <w:sz w:val="24"/>
          <w:szCs w:val="24"/>
        </w:rPr>
        <w:t>, promovido por</w:t>
      </w:r>
      <w:r w:rsidRPr="009127A5">
        <w:rPr>
          <w:rFonts w:ascii="Arial" w:hAnsi="Arial" w:cs="Arial"/>
          <w:b/>
          <w:sz w:val="24"/>
          <w:szCs w:val="24"/>
        </w:rPr>
        <w:t xml:space="preserve"> </w:t>
      </w:r>
      <w:r w:rsidR="00FF23EA">
        <w:rPr>
          <w:rFonts w:ascii="Arial" w:hAnsi="Arial" w:cs="Arial"/>
          <w:b/>
          <w:sz w:val="24"/>
          <w:szCs w:val="24"/>
        </w:rPr>
        <w:t>**********</w:t>
      </w:r>
      <w:r w:rsidRPr="009127A5">
        <w:rPr>
          <w:rFonts w:ascii="Arial" w:hAnsi="Arial" w:cs="Arial"/>
          <w:sz w:val="24"/>
          <w:szCs w:val="24"/>
        </w:rPr>
        <w:t xml:space="preserve">, en contra del </w:t>
      </w:r>
      <w:r w:rsidR="00794544" w:rsidRPr="009127A5">
        <w:rPr>
          <w:rFonts w:ascii="Arial" w:hAnsi="Arial" w:cs="Arial"/>
          <w:b/>
          <w:bCs/>
          <w:sz w:val="24"/>
          <w:szCs w:val="24"/>
        </w:rPr>
        <w:t>SECRETARIO DE VIALIDAD Y TRANSPORTE DEL ESTADO y OTROS</w:t>
      </w:r>
      <w:r w:rsidRPr="009127A5">
        <w:rPr>
          <w:rFonts w:ascii="Arial" w:hAnsi="Arial" w:cs="Arial"/>
          <w:b/>
          <w:sz w:val="24"/>
          <w:szCs w:val="24"/>
        </w:rPr>
        <w:t xml:space="preserve">. </w:t>
      </w:r>
    </w:p>
    <w:p w14:paraId="29AF75E8" w14:textId="77777777" w:rsidR="009037F6" w:rsidRPr="009127A5" w:rsidRDefault="009037F6" w:rsidP="009037F6">
      <w:pPr>
        <w:spacing w:after="160" w:line="360" w:lineRule="auto"/>
        <w:rPr>
          <w:rFonts w:ascii="Calibri" w:eastAsia="Calibri" w:hAnsi="Calibri" w:cs="Times New Roman"/>
          <w:sz w:val="24"/>
          <w:szCs w:val="24"/>
          <w:lang w:eastAsia="en-US"/>
        </w:rPr>
      </w:pPr>
    </w:p>
    <w:p w14:paraId="4B4B1A53" w14:textId="77777777" w:rsidR="009037F6" w:rsidRDefault="009037F6" w:rsidP="009037F6">
      <w:pPr>
        <w:spacing w:after="160" w:line="259" w:lineRule="auto"/>
        <w:jc w:val="center"/>
        <w:rPr>
          <w:rFonts w:ascii="Arial" w:eastAsia="Calibri" w:hAnsi="Arial" w:cs="Arial"/>
          <w:b/>
          <w:bCs/>
          <w:sz w:val="24"/>
          <w:szCs w:val="24"/>
          <w:lang w:eastAsia="en-US"/>
        </w:rPr>
      </w:pPr>
      <w:r w:rsidRPr="009127A5">
        <w:rPr>
          <w:rFonts w:ascii="Arial" w:eastAsia="Calibri" w:hAnsi="Arial" w:cs="Arial"/>
          <w:b/>
          <w:bCs/>
          <w:sz w:val="24"/>
          <w:szCs w:val="24"/>
          <w:lang w:eastAsia="en-US"/>
        </w:rPr>
        <w:t xml:space="preserve">R E S U L T A N D O </w:t>
      </w:r>
    </w:p>
    <w:p w14:paraId="1628535B" w14:textId="77777777" w:rsidR="001F1FC6" w:rsidRPr="009127A5" w:rsidRDefault="001F1FC6" w:rsidP="009037F6">
      <w:pPr>
        <w:spacing w:after="160" w:line="259" w:lineRule="auto"/>
        <w:jc w:val="center"/>
        <w:rPr>
          <w:rFonts w:ascii="Arial" w:eastAsia="Calibri" w:hAnsi="Arial" w:cs="Arial"/>
          <w:b/>
          <w:bCs/>
          <w:sz w:val="24"/>
          <w:szCs w:val="24"/>
          <w:lang w:eastAsia="en-US"/>
        </w:rPr>
      </w:pPr>
    </w:p>
    <w:p w14:paraId="1B3DC237" w14:textId="13973F27" w:rsidR="009037F6" w:rsidRPr="009127A5" w:rsidRDefault="009037F6" w:rsidP="009037F6">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b/>
          <w:bCs/>
          <w:sz w:val="24"/>
          <w:szCs w:val="24"/>
          <w:lang w:eastAsia="en-US"/>
        </w:rPr>
        <w:t>1°.</w:t>
      </w:r>
      <w:r w:rsidRPr="009127A5">
        <w:rPr>
          <w:rFonts w:ascii="Arial" w:eastAsia="Calibri" w:hAnsi="Arial" w:cs="Arial"/>
          <w:sz w:val="24"/>
          <w:szCs w:val="24"/>
          <w:lang w:eastAsia="en-US"/>
        </w:rPr>
        <w:t xml:space="preserve"> Mediante escrito presentado el </w:t>
      </w:r>
      <w:r w:rsidR="00794544" w:rsidRPr="009127A5">
        <w:rPr>
          <w:rFonts w:ascii="Arial" w:eastAsia="Calibri" w:hAnsi="Arial" w:cs="Arial"/>
          <w:sz w:val="24"/>
          <w:szCs w:val="24"/>
          <w:lang w:eastAsia="en-US"/>
        </w:rPr>
        <w:t>doce de enero de dos mil diecisiete</w:t>
      </w:r>
      <w:r w:rsidRPr="009127A5">
        <w:rPr>
          <w:rFonts w:ascii="Arial" w:eastAsia="Calibri" w:hAnsi="Arial" w:cs="Arial"/>
          <w:sz w:val="24"/>
          <w:szCs w:val="24"/>
          <w:lang w:eastAsia="en-US"/>
        </w:rPr>
        <w:t xml:space="preserve">, ante la oficialía de partes común de este Tribunal, </w:t>
      </w:r>
      <w:r w:rsidR="00FF23EA">
        <w:rPr>
          <w:rFonts w:ascii="Arial" w:eastAsia="Calibri" w:hAnsi="Arial" w:cs="Arial"/>
          <w:sz w:val="24"/>
          <w:szCs w:val="24"/>
          <w:lang w:eastAsia="en-US"/>
        </w:rPr>
        <w:t>**********</w:t>
      </w:r>
      <w:r w:rsidR="00512412" w:rsidRPr="009127A5">
        <w:rPr>
          <w:rFonts w:ascii="Arial" w:eastAsia="Calibri" w:hAnsi="Arial" w:cs="Arial"/>
          <w:sz w:val="24"/>
          <w:szCs w:val="24"/>
          <w:lang w:eastAsia="en-US"/>
        </w:rPr>
        <w:t xml:space="preserve">, demandó la nulidad de la </w:t>
      </w:r>
      <w:r w:rsidR="00794544" w:rsidRPr="009127A5">
        <w:rPr>
          <w:rFonts w:ascii="Arial" w:eastAsia="Calibri" w:hAnsi="Arial" w:cs="Arial"/>
          <w:sz w:val="24"/>
          <w:szCs w:val="24"/>
          <w:lang w:eastAsia="en-US"/>
        </w:rPr>
        <w:t xml:space="preserve">Resolución de fecha veintinueve de noviembre de dos mil dieciséis dictada en el expediente </w:t>
      </w:r>
      <w:r w:rsidR="00FF23EA">
        <w:rPr>
          <w:rFonts w:ascii="Arial" w:eastAsia="Calibri" w:hAnsi="Arial" w:cs="Arial"/>
          <w:sz w:val="24"/>
          <w:szCs w:val="24"/>
          <w:lang w:eastAsia="en-US"/>
        </w:rPr>
        <w:t>**********</w:t>
      </w:r>
      <w:r w:rsidRPr="009127A5">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6B214644" w14:textId="00A1CF40" w:rsidR="008C6ECE" w:rsidRPr="009127A5" w:rsidRDefault="009037F6" w:rsidP="009037F6">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b/>
          <w:bCs/>
          <w:sz w:val="24"/>
          <w:szCs w:val="24"/>
          <w:lang w:eastAsia="en-US"/>
        </w:rPr>
        <w:t>2°.</w:t>
      </w:r>
      <w:r w:rsidRPr="009127A5">
        <w:rPr>
          <w:rFonts w:ascii="Arial" w:eastAsia="Calibri" w:hAnsi="Arial" w:cs="Arial"/>
          <w:sz w:val="24"/>
          <w:szCs w:val="24"/>
          <w:lang w:eastAsia="en-US"/>
        </w:rPr>
        <w:t xml:space="preserve"> Por acuerdo del </w:t>
      </w:r>
      <w:r w:rsidR="00794544" w:rsidRPr="009127A5">
        <w:rPr>
          <w:rFonts w:ascii="Arial" w:eastAsia="Calibri" w:hAnsi="Arial" w:cs="Arial"/>
          <w:sz w:val="24"/>
          <w:szCs w:val="24"/>
          <w:lang w:eastAsia="en-US"/>
        </w:rPr>
        <w:t>tres de febrero de dos mil diecisiete</w:t>
      </w:r>
      <w:r w:rsidRPr="009127A5">
        <w:rPr>
          <w:rFonts w:ascii="Arial" w:eastAsia="Calibri" w:hAnsi="Arial" w:cs="Arial"/>
          <w:sz w:val="24"/>
          <w:szCs w:val="24"/>
          <w:lang w:eastAsia="en-US"/>
        </w:rPr>
        <w:t xml:space="preserve">, se admitió a trámite  la demanda </w:t>
      </w:r>
      <w:r w:rsidR="00C73ECE">
        <w:rPr>
          <w:rFonts w:ascii="Arial" w:eastAsia="Calibri" w:hAnsi="Arial" w:cs="Arial"/>
          <w:sz w:val="24"/>
          <w:szCs w:val="24"/>
          <w:lang w:eastAsia="en-US"/>
        </w:rPr>
        <w:t>en comento</w:t>
      </w:r>
      <w:r w:rsidRPr="009127A5">
        <w:rPr>
          <w:rFonts w:ascii="Arial" w:eastAsia="Calibri" w:hAnsi="Arial" w:cs="Arial"/>
          <w:sz w:val="24"/>
          <w:szCs w:val="24"/>
          <w:lang w:eastAsia="en-US"/>
        </w:rPr>
        <w:t>, ordenándose  correr traslado a la</w:t>
      </w:r>
      <w:r w:rsidR="002236F4" w:rsidRPr="009127A5">
        <w:rPr>
          <w:rFonts w:ascii="Arial" w:eastAsia="Calibri" w:hAnsi="Arial" w:cs="Arial"/>
          <w:sz w:val="24"/>
          <w:szCs w:val="24"/>
          <w:lang w:eastAsia="en-US"/>
        </w:rPr>
        <w:t>s</w:t>
      </w:r>
      <w:r w:rsidRPr="009127A5">
        <w:rPr>
          <w:rFonts w:ascii="Arial" w:eastAsia="Calibri" w:hAnsi="Arial" w:cs="Arial"/>
          <w:sz w:val="24"/>
          <w:szCs w:val="24"/>
          <w:lang w:eastAsia="en-US"/>
        </w:rPr>
        <w:t xml:space="preserve"> autoridad</w:t>
      </w:r>
      <w:r w:rsidR="002236F4" w:rsidRPr="009127A5">
        <w:rPr>
          <w:rFonts w:ascii="Arial" w:eastAsia="Calibri" w:hAnsi="Arial" w:cs="Arial"/>
          <w:sz w:val="24"/>
          <w:szCs w:val="24"/>
          <w:lang w:eastAsia="en-US"/>
        </w:rPr>
        <w:t>es</w:t>
      </w:r>
      <w:r w:rsidRPr="009127A5">
        <w:rPr>
          <w:rFonts w:ascii="Arial" w:eastAsia="Calibri" w:hAnsi="Arial" w:cs="Arial"/>
          <w:sz w:val="24"/>
          <w:szCs w:val="24"/>
          <w:lang w:eastAsia="en-US"/>
        </w:rPr>
        <w:t xml:space="preserve"> enjuiciada</w:t>
      </w:r>
      <w:r w:rsidR="002236F4" w:rsidRPr="009127A5">
        <w:rPr>
          <w:rFonts w:ascii="Arial" w:eastAsia="Calibri" w:hAnsi="Arial" w:cs="Arial"/>
          <w:sz w:val="24"/>
          <w:szCs w:val="24"/>
          <w:lang w:eastAsia="en-US"/>
        </w:rPr>
        <w:t>s</w:t>
      </w:r>
      <w:r w:rsidRPr="009127A5">
        <w:rPr>
          <w:rFonts w:ascii="Arial" w:eastAsia="Calibri" w:hAnsi="Arial" w:cs="Arial"/>
          <w:sz w:val="24"/>
          <w:szCs w:val="24"/>
          <w:lang w:eastAsia="en-US"/>
        </w:rPr>
        <w:t xml:space="preserve"> para que diera</w:t>
      </w:r>
      <w:r w:rsidR="002236F4" w:rsidRPr="009127A5">
        <w:rPr>
          <w:rFonts w:ascii="Arial" w:eastAsia="Calibri" w:hAnsi="Arial" w:cs="Arial"/>
          <w:sz w:val="24"/>
          <w:szCs w:val="24"/>
          <w:lang w:eastAsia="en-US"/>
        </w:rPr>
        <w:t>n</w:t>
      </w:r>
      <w:r w:rsidRPr="009127A5">
        <w:rPr>
          <w:rFonts w:ascii="Arial" w:eastAsia="Calibri" w:hAnsi="Arial" w:cs="Arial"/>
          <w:sz w:val="24"/>
          <w:szCs w:val="24"/>
          <w:lang w:eastAsia="en-US"/>
        </w:rPr>
        <w:t xml:space="preserve"> contestación  a la misma dentro del término de nuev</w:t>
      </w:r>
      <w:r w:rsidR="002236F4" w:rsidRPr="009127A5">
        <w:rPr>
          <w:rFonts w:ascii="Arial" w:eastAsia="Calibri" w:hAnsi="Arial" w:cs="Arial"/>
          <w:sz w:val="24"/>
          <w:szCs w:val="24"/>
          <w:lang w:eastAsia="en-US"/>
        </w:rPr>
        <w:t>e días hábiles siguientes a aque</w:t>
      </w:r>
      <w:r w:rsidRPr="009127A5">
        <w:rPr>
          <w:rFonts w:ascii="Arial" w:eastAsia="Calibri" w:hAnsi="Arial" w:cs="Arial"/>
          <w:sz w:val="24"/>
          <w:szCs w:val="24"/>
          <w:lang w:eastAsia="en-US"/>
        </w:rPr>
        <w:t>l en que surtiera efectos la notificación correspondiente, con el apercibimiento de que en caso de no hacerlo este Tribunal lo</w:t>
      </w:r>
      <w:r w:rsidR="002236F4" w:rsidRPr="009127A5">
        <w:rPr>
          <w:rFonts w:ascii="Arial" w:eastAsia="Calibri" w:hAnsi="Arial" w:cs="Arial"/>
          <w:sz w:val="24"/>
          <w:szCs w:val="24"/>
          <w:lang w:eastAsia="en-US"/>
        </w:rPr>
        <w:t>s</w:t>
      </w:r>
      <w:r w:rsidRPr="009127A5">
        <w:rPr>
          <w:rFonts w:ascii="Arial" w:eastAsia="Calibri" w:hAnsi="Arial" w:cs="Arial"/>
          <w:sz w:val="24"/>
          <w:szCs w:val="24"/>
          <w:lang w:eastAsia="en-US"/>
        </w:rPr>
        <w:t xml:space="preserve"> tendría por contestando en sentido afirmativo  y también que en  caso de no referirse a todos los hechos planteados en la demanda se le tendría</w:t>
      </w:r>
      <w:r w:rsidR="002236F4" w:rsidRPr="009127A5">
        <w:rPr>
          <w:rFonts w:ascii="Arial" w:eastAsia="Calibri" w:hAnsi="Arial" w:cs="Arial"/>
          <w:sz w:val="24"/>
          <w:szCs w:val="24"/>
          <w:lang w:eastAsia="en-US"/>
        </w:rPr>
        <w:t>n</w:t>
      </w:r>
      <w:r w:rsidRPr="009127A5">
        <w:rPr>
          <w:rFonts w:ascii="Arial" w:eastAsia="Calibri" w:hAnsi="Arial" w:cs="Arial"/>
          <w:sz w:val="24"/>
          <w:szCs w:val="24"/>
          <w:lang w:eastAsia="en-US"/>
        </w:rPr>
        <w:t xml:space="preserve"> por ciertos, salvo prueba en contrario; en otro aspecto y de las pruebas ofrecidas se  tuvieron por admitidas las señaladas en el acuerdo mencionado.</w:t>
      </w:r>
    </w:p>
    <w:p w14:paraId="4BDF2D6B" w14:textId="77777777" w:rsidR="00794544" w:rsidRPr="009127A5" w:rsidRDefault="009037F6" w:rsidP="009037F6">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b/>
          <w:bCs/>
          <w:sz w:val="24"/>
          <w:szCs w:val="24"/>
          <w:lang w:eastAsia="en-US"/>
        </w:rPr>
        <w:t>3°.</w:t>
      </w:r>
      <w:r w:rsidRPr="009127A5">
        <w:rPr>
          <w:rFonts w:ascii="Arial" w:eastAsia="Calibri" w:hAnsi="Arial" w:cs="Arial"/>
          <w:sz w:val="24"/>
          <w:szCs w:val="24"/>
          <w:lang w:eastAsia="en-US"/>
        </w:rPr>
        <w:t xml:space="preserve"> Por acuerdo de </w:t>
      </w:r>
      <w:r w:rsidR="00794544" w:rsidRPr="009127A5">
        <w:rPr>
          <w:rFonts w:ascii="Arial" w:eastAsia="Calibri" w:hAnsi="Arial" w:cs="Arial"/>
          <w:sz w:val="24"/>
          <w:szCs w:val="24"/>
          <w:lang w:eastAsia="en-US"/>
        </w:rPr>
        <w:t>uno de marzo de dos mil diecisiete</w:t>
      </w:r>
      <w:r w:rsidRPr="009127A5">
        <w:rPr>
          <w:rFonts w:ascii="Arial" w:eastAsia="Calibri" w:hAnsi="Arial" w:cs="Arial"/>
          <w:sz w:val="24"/>
          <w:szCs w:val="24"/>
          <w:lang w:eastAsia="en-US"/>
        </w:rPr>
        <w:t xml:space="preserve"> se tuvo a la</w:t>
      </w:r>
      <w:r w:rsidR="008C6ECE" w:rsidRPr="009127A5">
        <w:rPr>
          <w:rFonts w:ascii="Arial" w:eastAsia="Calibri" w:hAnsi="Arial" w:cs="Arial"/>
          <w:sz w:val="24"/>
          <w:szCs w:val="24"/>
          <w:lang w:eastAsia="en-US"/>
        </w:rPr>
        <w:t xml:space="preserve"> autoridad demandada </w:t>
      </w:r>
      <w:r w:rsidR="00794544" w:rsidRPr="009127A5">
        <w:rPr>
          <w:rFonts w:ascii="Arial" w:eastAsia="Calibri" w:hAnsi="Arial" w:cs="Arial"/>
          <w:sz w:val="24"/>
          <w:szCs w:val="24"/>
          <w:lang w:eastAsia="en-US"/>
        </w:rPr>
        <w:t xml:space="preserve">compareciendo por conducto del Director Jurídico de la Secretaría de Vialidad y Transporte del Estado de Oaxaca, contestando en tiempo y forma la demanda </w:t>
      </w:r>
      <w:r w:rsidRPr="009127A5">
        <w:rPr>
          <w:rFonts w:ascii="Arial" w:eastAsia="Calibri" w:hAnsi="Arial" w:cs="Arial"/>
          <w:sz w:val="24"/>
          <w:szCs w:val="24"/>
          <w:lang w:eastAsia="en-US"/>
        </w:rPr>
        <w:t xml:space="preserve">entablada en su contra, así como por ofrecidas y admitidas sus pruebas, ordenándose correr traslado a la parte actora para </w:t>
      </w:r>
      <w:r w:rsidR="008C6ECE" w:rsidRPr="009127A5">
        <w:rPr>
          <w:rFonts w:ascii="Arial" w:eastAsia="Calibri" w:hAnsi="Arial" w:cs="Arial"/>
          <w:sz w:val="24"/>
          <w:szCs w:val="24"/>
          <w:lang w:eastAsia="en-US"/>
        </w:rPr>
        <w:t xml:space="preserve">producir su ampliación de demanda en el plazo de Ley. </w:t>
      </w:r>
      <w:r w:rsidR="00794544" w:rsidRPr="009127A5">
        <w:rPr>
          <w:rFonts w:ascii="Arial" w:eastAsia="Calibri" w:hAnsi="Arial" w:cs="Arial"/>
          <w:sz w:val="24"/>
          <w:szCs w:val="24"/>
          <w:lang w:eastAsia="en-US"/>
        </w:rPr>
        <w:t xml:space="preserve">Así mismo, la autoridad hizo valer la existencia de terceros afectados por lo que se requirió a la actora </w:t>
      </w:r>
      <w:r w:rsidR="00794544" w:rsidRPr="009127A5">
        <w:rPr>
          <w:rFonts w:ascii="Arial" w:eastAsia="Calibri" w:hAnsi="Arial" w:cs="Arial"/>
          <w:sz w:val="24"/>
          <w:szCs w:val="24"/>
          <w:lang w:eastAsia="en-US"/>
        </w:rPr>
        <w:lastRenderedPageBreak/>
        <w:t xml:space="preserve">que exhibiera tres tantos de su escrito de demanda y anexos para efectuar los traslados correspondientes. </w:t>
      </w:r>
    </w:p>
    <w:p w14:paraId="4482C3CA" w14:textId="7BD4D24C" w:rsidR="008C6ECE" w:rsidRPr="009127A5" w:rsidRDefault="00794544" w:rsidP="009037F6">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Así mismo, por ocurso de treinta de marzo de dos mil diecisiete se concedió un plazo de cinco días a los terceros afectados para que se apersonaran en el presente juicio. </w:t>
      </w:r>
    </w:p>
    <w:p w14:paraId="784910DE" w14:textId="5040DBB6" w:rsidR="009037F6" w:rsidRPr="009127A5" w:rsidRDefault="009037F6" w:rsidP="00B4129A">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b/>
          <w:bCs/>
          <w:sz w:val="24"/>
          <w:szCs w:val="24"/>
          <w:lang w:eastAsia="en-US"/>
        </w:rPr>
        <w:t>4°.</w:t>
      </w:r>
      <w:r w:rsidRPr="009127A5">
        <w:rPr>
          <w:rFonts w:ascii="Arial" w:eastAsia="Calibri" w:hAnsi="Arial" w:cs="Arial"/>
          <w:sz w:val="24"/>
          <w:szCs w:val="24"/>
          <w:lang w:eastAsia="en-US"/>
        </w:rPr>
        <w:t xml:space="preserve"> </w:t>
      </w:r>
      <w:r w:rsidR="00E636D6" w:rsidRPr="009127A5">
        <w:rPr>
          <w:rFonts w:ascii="Arial" w:eastAsia="Calibri" w:hAnsi="Arial" w:cs="Arial"/>
          <w:sz w:val="24"/>
          <w:szCs w:val="24"/>
          <w:lang w:eastAsia="en-US"/>
        </w:rPr>
        <w:t xml:space="preserve">Por proveído de </w:t>
      </w:r>
      <w:r w:rsidR="00B4129A" w:rsidRPr="009127A5">
        <w:rPr>
          <w:rFonts w:ascii="Arial" w:eastAsia="Calibri" w:hAnsi="Arial" w:cs="Arial"/>
          <w:sz w:val="24"/>
          <w:szCs w:val="24"/>
          <w:lang w:eastAsia="en-US"/>
        </w:rPr>
        <w:t>veinticuatro de marzo de dos mil veintidós se fijaron las once horas del día diecinueve de mayo de dos mil veintidós para que tuviera verificativo la Audiencia Final misma que se desahogó el día señalado sin asistencia de las partes ni de persona alguna que legalmente las representara;</w:t>
      </w:r>
      <w:r w:rsidRPr="009127A5">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0B74EC" w:rsidRPr="009127A5">
        <w:rPr>
          <w:rFonts w:ascii="Arial" w:eastAsia="Calibri" w:hAnsi="Arial" w:cs="Arial"/>
          <w:sz w:val="24"/>
          <w:szCs w:val="24"/>
          <w:lang w:eastAsia="en-US"/>
        </w:rPr>
        <w:t xml:space="preserve">el escrito presentado por </w:t>
      </w:r>
      <w:r w:rsidR="00B4129A" w:rsidRPr="009127A5">
        <w:rPr>
          <w:rFonts w:ascii="Arial" w:eastAsia="Calibri" w:hAnsi="Arial" w:cs="Arial"/>
          <w:sz w:val="24"/>
          <w:szCs w:val="24"/>
          <w:lang w:eastAsia="en-US"/>
        </w:rPr>
        <w:t>la autoridad demandada</w:t>
      </w:r>
      <w:r w:rsidR="000B74EC" w:rsidRPr="009127A5">
        <w:rPr>
          <w:rFonts w:ascii="Arial" w:eastAsia="Calibri" w:hAnsi="Arial" w:cs="Arial"/>
          <w:sz w:val="24"/>
          <w:szCs w:val="24"/>
          <w:lang w:eastAsia="en-US"/>
        </w:rPr>
        <w:t xml:space="preserve"> asimismo se dio cuenta con que la parte no present</w:t>
      </w:r>
      <w:r w:rsidR="00B4129A" w:rsidRPr="009127A5">
        <w:rPr>
          <w:rFonts w:ascii="Arial" w:eastAsia="Calibri" w:hAnsi="Arial" w:cs="Arial"/>
          <w:sz w:val="24"/>
          <w:szCs w:val="24"/>
          <w:lang w:eastAsia="en-US"/>
        </w:rPr>
        <w:t xml:space="preserve">ó </w:t>
      </w:r>
      <w:r w:rsidR="000B74EC" w:rsidRPr="009127A5">
        <w:rPr>
          <w:rFonts w:ascii="Arial" w:eastAsia="Calibri" w:hAnsi="Arial" w:cs="Arial"/>
          <w:sz w:val="24"/>
          <w:szCs w:val="24"/>
          <w:lang w:eastAsia="en-US"/>
        </w:rPr>
        <w:t xml:space="preserve">alegatos por lo que se le tuvo por perdido su derecho </w:t>
      </w:r>
      <w:r w:rsidRPr="009127A5">
        <w:rPr>
          <w:rFonts w:ascii="Arial" w:eastAsia="Calibri" w:hAnsi="Arial" w:cs="Arial"/>
          <w:sz w:val="24"/>
          <w:szCs w:val="24"/>
          <w:lang w:eastAsia="en-US"/>
        </w:rPr>
        <w:t>y se cerró dicho periodo quedando el asunto inte</w:t>
      </w:r>
      <w:r w:rsidR="00C73ECE">
        <w:rPr>
          <w:rFonts w:ascii="Arial" w:eastAsia="Calibri" w:hAnsi="Arial" w:cs="Arial"/>
          <w:sz w:val="24"/>
          <w:szCs w:val="24"/>
          <w:lang w:eastAsia="en-US"/>
        </w:rPr>
        <w:t>grado y en estado de resolución;</w:t>
      </w:r>
      <w:r w:rsidRPr="009127A5">
        <w:rPr>
          <w:rFonts w:ascii="Arial" w:eastAsia="Calibri" w:hAnsi="Arial" w:cs="Arial"/>
          <w:sz w:val="24"/>
          <w:szCs w:val="24"/>
          <w:lang w:eastAsia="en-US"/>
        </w:rPr>
        <w:t xml:space="preserve"> finalmente se emite sentencia en los siguientes términos:</w:t>
      </w:r>
    </w:p>
    <w:p w14:paraId="26190BDC" w14:textId="77777777" w:rsidR="009037F6" w:rsidRPr="009127A5" w:rsidRDefault="009037F6" w:rsidP="009037F6">
      <w:pPr>
        <w:spacing w:after="160" w:line="259" w:lineRule="auto"/>
        <w:jc w:val="center"/>
        <w:rPr>
          <w:rFonts w:ascii="Arial" w:eastAsia="Calibri" w:hAnsi="Arial" w:cs="Arial"/>
          <w:b/>
          <w:bCs/>
          <w:sz w:val="24"/>
          <w:szCs w:val="24"/>
          <w:lang w:eastAsia="en-US"/>
        </w:rPr>
      </w:pPr>
      <w:r w:rsidRPr="009127A5">
        <w:rPr>
          <w:rFonts w:ascii="Arial" w:eastAsia="Calibri" w:hAnsi="Arial" w:cs="Arial"/>
          <w:b/>
          <w:bCs/>
          <w:sz w:val="24"/>
          <w:szCs w:val="24"/>
          <w:lang w:eastAsia="en-US"/>
        </w:rPr>
        <w:t xml:space="preserve">C O N S I D E R A N D O </w:t>
      </w:r>
    </w:p>
    <w:p w14:paraId="29E8D076" w14:textId="77777777" w:rsidR="009037F6" w:rsidRPr="009127A5" w:rsidRDefault="009037F6" w:rsidP="009037F6">
      <w:pPr>
        <w:spacing w:after="160" w:line="259" w:lineRule="auto"/>
        <w:jc w:val="center"/>
        <w:rPr>
          <w:rFonts w:ascii="Arial" w:eastAsia="Calibri" w:hAnsi="Arial" w:cs="Arial"/>
          <w:sz w:val="24"/>
          <w:szCs w:val="24"/>
          <w:lang w:eastAsia="en-US"/>
        </w:rPr>
      </w:pPr>
    </w:p>
    <w:p w14:paraId="63921B07" w14:textId="0949B0EA" w:rsidR="009037F6" w:rsidRPr="009127A5" w:rsidRDefault="009037F6" w:rsidP="009037F6">
      <w:pPr>
        <w:spacing w:after="160" w:line="360" w:lineRule="auto"/>
        <w:ind w:firstLine="709"/>
        <w:jc w:val="both"/>
        <w:rPr>
          <w:rFonts w:ascii="Arial" w:eastAsia="Calibri" w:hAnsi="Arial" w:cs="Arial"/>
          <w:sz w:val="24"/>
          <w:szCs w:val="24"/>
          <w:lang w:eastAsia="en-US"/>
        </w:rPr>
      </w:pPr>
      <w:r w:rsidRPr="009127A5">
        <w:rPr>
          <w:rFonts w:ascii="Arial" w:eastAsia="Calibri" w:hAnsi="Arial" w:cs="Arial"/>
          <w:b/>
          <w:bCs/>
          <w:sz w:val="24"/>
          <w:szCs w:val="24"/>
          <w:lang w:eastAsia="en-US"/>
        </w:rPr>
        <w:t>PRIMERO.</w:t>
      </w:r>
      <w:r w:rsidRPr="009127A5">
        <w:rPr>
          <w:rFonts w:ascii="Arial" w:eastAsia="Calibri" w:hAnsi="Arial" w:cs="Arial"/>
          <w:sz w:val="24"/>
          <w:szCs w:val="24"/>
          <w:lang w:eastAsia="en-US"/>
        </w:rPr>
        <w:t xml:space="preserve">  Esta Primera Sala Unitaria de Primera Instancia del Tribunal de Justicia Administrativa del Estado de Oaxaca, es </w:t>
      </w:r>
      <w:r w:rsidRPr="009127A5">
        <w:rPr>
          <w:rFonts w:ascii="Arial" w:eastAsia="Calibri" w:hAnsi="Arial" w:cs="Arial"/>
          <w:b/>
          <w:bCs/>
          <w:sz w:val="24"/>
          <w:szCs w:val="24"/>
          <w:lang w:eastAsia="en-US"/>
        </w:rPr>
        <w:t>competente</w:t>
      </w:r>
      <w:r w:rsidRPr="009127A5">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9127A5">
        <w:rPr>
          <w:rFonts w:ascii="Arial" w:eastAsia="Calibri" w:hAnsi="Arial" w:cs="Arial"/>
          <w:b/>
          <w:sz w:val="24"/>
          <w:szCs w:val="24"/>
          <w:lang w:eastAsia="en-US"/>
        </w:rPr>
        <w:t xml:space="preserve">carácter </w:t>
      </w:r>
      <w:r w:rsidR="000B74EC" w:rsidRPr="009127A5">
        <w:rPr>
          <w:rFonts w:ascii="Arial" w:eastAsia="Calibri" w:hAnsi="Arial" w:cs="Arial"/>
          <w:b/>
          <w:sz w:val="24"/>
          <w:szCs w:val="24"/>
          <w:lang w:eastAsia="en-US"/>
        </w:rPr>
        <w:t>estatal</w:t>
      </w:r>
      <w:r w:rsidRPr="009127A5">
        <w:rPr>
          <w:rFonts w:ascii="Arial" w:eastAsia="Calibri" w:hAnsi="Arial" w:cs="Arial"/>
          <w:sz w:val="24"/>
          <w:szCs w:val="24"/>
          <w:lang w:eastAsia="en-US"/>
        </w:rPr>
        <w:t xml:space="preserve">. </w:t>
      </w:r>
    </w:p>
    <w:p w14:paraId="7723C56A" w14:textId="77777777" w:rsidR="009037F6" w:rsidRPr="009127A5" w:rsidRDefault="009037F6" w:rsidP="009037F6">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b/>
          <w:bCs/>
          <w:sz w:val="24"/>
          <w:szCs w:val="24"/>
          <w:lang w:eastAsia="en-US"/>
        </w:rPr>
        <w:t>SEGUNDO.</w:t>
      </w:r>
      <w:r w:rsidRPr="009127A5">
        <w:rPr>
          <w:rFonts w:ascii="Arial" w:eastAsia="Calibri" w:hAnsi="Arial" w:cs="Arial"/>
          <w:sz w:val="24"/>
          <w:szCs w:val="24"/>
          <w:lang w:eastAsia="en-US"/>
        </w:rPr>
        <w:t xml:space="preserve"> </w:t>
      </w:r>
      <w:r w:rsidRPr="009127A5">
        <w:rPr>
          <w:rFonts w:ascii="Arial" w:eastAsia="Calibri" w:hAnsi="Arial" w:cs="Arial"/>
          <w:b/>
          <w:bCs/>
          <w:sz w:val="24"/>
          <w:szCs w:val="24"/>
          <w:lang w:eastAsia="en-US"/>
        </w:rPr>
        <w:t xml:space="preserve">Personalidad. </w:t>
      </w:r>
      <w:r w:rsidRPr="009127A5">
        <w:rPr>
          <w:rFonts w:ascii="Arial" w:eastAsia="Calibri" w:hAnsi="Arial" w:cs="Arial"/>
          <w:sz w:val="24"/>
          <w:szCs w:val="24"/>
          <w:lang w:eastAsia="en-US"/>
        </w:rPr>
        <w:t xml:space="preserve"> La personalidad de las partes se tuvo acreditada de conformidad con los artículos 150</w:t>
      </w:r>
      <w:r w:rsidRPr="009127A5">
        <w:rPr>
          <w:rFonts w:ascii="Arial" w:eastAsia="Calibri" w:hAnsi="Arial" w:cs="Arial"/>
          <w:sz w:val="24"/>
          <w:szCs w:val="24"/>
          <w:vertAlign w:val="superscript"/>
          <w:lang w:eastAsia="en-US"/>
        </w:rPr>
        <w:footnoteReference w:id="1"/>
      </w:r>
      <w:r w:rsidRPr="009127A5">
        <w:rPr>
          <w:rFonts w:ascii="Arial" w:eastAsia="Calibri" w:hAnsi="Arial" w:cs="Arial"/>
          <w:sz w:val="24"/>
          <w:szCs w:val="24"/>
          <w:lang w:eastAsia="en-US"/>
        </w:rPr>
        <w:t xml:space="preserve"> y 151</w:t>
      </w:r>
      <w:r w:rsidRPr="009127A5">
        <w:rPr>
          <w:rFonts w:ascii="Arial" w:eastAsia="Calibri" w:hAnsi="Arial" w:cs="Arial"/>
          <w:sz w:val="24"/>
          <w:szCs w:val="24"/>
          <w:vertAlign w:val="superscript"/>
          <w:lang w:eastAsia="en-US"/>
        </w:rPr>
        <w:footnoteReference w:id="2"/>
      </w:r>
      <w:r w:rsidRPr="009127A5">
        <w:rPr>
          <w:rFonts w:ascii="Arial" w:eastAsia="Calibri" w:hAnsi="Arial" w:cs="Arial"/>
          <w:sz w:val="24"/>
          <w:szCs w:val="24"/>
          <w:lang w:eastAsia="en-US"/>
        </w:rPr>
        <w:t xml:space="preserve"> de la Ley de Procedimiento y Justicia Administrativa.</w:t>
      </w:r>
    </w:p>
    <w:p w14:paraId="6B48A5E5" w14:textId="566042C5" w:rsidR="00C027D2" w:rsidRPr="009127A5" w:rsidRDefault="009037F6" w:rsidP="00937F4C">
      <w:pPr>
        <w:spacing w:after="160" w:line="360" w:lineRule="auto"/>
        <w:ind w:firstLine="567"/>
        <w:jc w:val="both"/>
        <w:rPr>
          <w:rFonts w:ascii="Arial" w:eastAsia="Calibri" w:hAnsi="Arial" w:cs="Arial"/>
          <w:b/>
          <w:bCs/>
          <w:sz w:val="24"/>
          <w:szCs w:val="24"/>
          <w:lang w:eastAsia="en-US"/>
        </w:rPr>
      </w:pPr>
      <w:r w:rsidRPr="009127A5">
        <w:rPr>
          <w:rFonts w:ascii="Arial" w:eastAsia="Calibri" w:hAnsi="Arial" w:cs="Arial"/>
          <w:b/>
          <w:bCs/>
          <w:sz w:val="24"/>
          <w:szCs w:val="24"/>
          <w:lang w:eastAsia="en-US"/>
        </w:rPr>
        <w:lastRenderedPageBreak/>
        <w:t>TERCERO.</w:t>
      </w:r>
      <w:r w:rsidRPr="009127A5">
        <w:rPr>
          <w:rFonts w:ascii="Arial" w:eastAsia="Calibri" w:hAnsi="Arial" w:cs="Arial"/>
          <w:sz w:val="24"/>
          <w:szCs w:val="24"/>
          <w:lang w:eastAsia="en-US"/>
        </w:rPr>
        <w:t xml:space="preserve">  </w:t>
      </w:r>
      <w:r w:rsidRPr="009127A5">
        <w:rPr>
          <w:rFonts w:ascii="Arial" w:eastAsia="Calibri" w:hAnsi="Arial" w:cs="Arial"/>
          <w:b/>
          <w:bCs/>
          <w:sz w:val="24"/>
          <w:szCs w:val="24"/>
          <w:lang w:eastAsia="en-US"/>
        </w:rPr>
        <w:t>Causales de improcedencia y sobreseimiento.</w:t>
      </w:r>
      <w:r w:rsidRPr="009127A5">
        <w:rPr>
          <w:rFonts w:ascii="Arial" w:eastAsia="Calibri" w:hAnsi="Arial" w:cs="Arial"/>
          <w:sz w:val="24"/>
          <w:szCs w:val="24"/>
          <w:lang w:eastAsia="en-US"/>
        </w:rPr>
        <w:t xml:space="preserve"> </w:t>
      </w:r>
      <w:r w:rsidR="00937F4C" w:rsidRPr="009127A5">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 consecuentemente no se sobresee.</w:t>
      </w:r>
    </w:p>
    <w:p w14:paraId="77B8A5A6" w14:textId="3EBBD69F" w:rsidR="00A20631" w:rsidRPr="009127A5" w:rsidRDefault="008A6FAB" w:rsidP="00E56C4C">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CUARTO</w:t>
      </w:r>
      <w:r w:rsidR="009037F6" w:rsidRPr="009127A5">
        <w:rPr>
          <w:rFonts w:ascii="Arial" w:eastAsia="Calibri" w:hAnsi="Arial" w:cs="Arial"/>
          <w:b/>
          <w:bCs/>
          <w:sz w:val="24"/>
          <w:szCs w:val="24"/>
          <w:lang w:eastAsia="en-US"/>
        </w:rPr>
        <w:t>. Fijación de la Litis.</w:t>
      </w:r>
      <w:r w:rsidR="009037F6" w:rsidRPr="009127A5">
        <w:rPr>
          <w:rFonts w:ascii="Arial" w:eastAsia="Calibri" w:hAnsi="Arial" w:cs="Arial"/>
          <w:sz w:val="24"/>
          <w:szCs w:val="24"/>
          <w:lang w:eastAsia="en-US"/>
        </w:rPr>
        <w:t xml:space="preserve"> </w:t>
      </w:r>
      <w:r w:rsidR="009037F6" w:rsidRPr="009127A5">
        <w:rPr>
          <w:rFonts w:ascii="Arial" w:hAnsi="Arial" w:cs="Arial"/>
          <w:sz w:val="24"/>
          <w:szCs w:val="24"/>
        </w:rPr>
        <w:t xml:space="preserve">La parte actora, </w:t>
      </w:r>
      <w:r w:rsidR="00937F4C" w:rsidRPr="009127A5">
        <w:rPr>
          <w:rFonts w:ascii="Arial" w:hAnsi="Arial" w:cs="Arial"/>
          <w:sz w:val="24"/>
          <w:szCs w:val="24"/>
        </w:rPr>
        <w:t xml:space="preserve">aduce la ilegalidad de la </w:t>
      </w:r>
      <w:r w:rsidR="003F31E1" w:rsidRPr="009127A5">
        <w:rPr>
          <w:rFonts w:ascii="Arial" w:eastAsia="Calibri" w:hAnsi="Arial" w:cs="Arial"/>
          <w:sz w:val="24"/>
          <w:szCs w:val="24"/>
          <w:lang w:eastAsia="en-US"/>
        </w:rPr>
        <w:t xml:space="preserve">Resolución de fecha veintinueve de noviembre de dos mil dieciséis dictada en el expediente </w:t>
      </w:r>
      <w:r w:rsidR="00FF23EA">
        <w:rPr>
          <w:rFonts w:ascii="Arial" w:eastAsia="Calibri" w:hAnsi="Arial" w:cs="Arial"/>
          <w:sz w:val="24"/>
          <w:szCs w:val="24"/>
          <w:lang w:eastAsia="en-US"/>
        </w:rPr>
        <w:t>**********</w:t>
      </w:r>
      <w:r w:rsidR="003F31E1" w:rsidRPr="009127A5">
        <w:rPr>
          <w:rFonts w:ascii="Arial" w:eastAsia="Calibri" w:hAnsi="Arial" w:cs="Arial"/>
          <w:sz w:val="24"/>
          <w:szCs w:val="24"/>
          <w:lang w:eastAsia="en-US"/>
        </w:rPr>
        <w:t xml:space="preserve"> toda vez que la misma no se encuentra fundada y motivada, pues </w:t>
      </w:r>
      <w:r w:rsidR="00EC4BFC" w:rsidRPr="009127A5">
        <w:rPr>
          <w:rFonts w:ascii="Arial" w:eastAsia="Calibri" w:hAnsi="Arial" w:cs="Arial"/>
          <w:sz w:val="24"/>
          <w:szCs w:val="24"/>
          <w:lang w:eastAsia="en-US"/>
        </w:rPr>
        <w:t>citó de forma genérica la aplicación del artículo 86 de la Ley de Transporte del Estado de Oaxaca, siendo que dicho dispositivo normativo contempla una multitud de supuestos, por lo que es ilegal que lo hubiera citado en tales términos</w:t>
      </w:r>
      <w:r w:rsidR="00A20631" w:rsidRPr="009127A5">
        <w:rPr>
          <w:rFonts w:ascii="Arial" w:eastAsia="Calibri" w:hAnsi="Arial" w:cs="Arial"/>
          <w:sz w:val="24"/>
          <w:szCs w:val="24"/>
          <w:lang w:eastAsia="en-US"/>
        </w:rPr>
        <w:t>, así como que no establezcan el motivo por el que se consideró que no había cumplido con los requisitos para el otorgamiento de concesiones</w:t>
      </w:r>
      <w:r w:rsidR="00EC4BFC" w:rsidRPr="009127A5">
        <w:rPr>
          <w:rFonts w:ascii="Arial" w:eastAsia="Calibri" w:hAnsi="Arial" w:cs="Arial"/>
          <w:sz w:val="24"/>
          <w:szCs w:val="24"/>
          <w:lang w:eastAsia="en-US"/>
        </w:rPr>
        <w:t>.</w:t>
      </w:r>
    </w:p>
    <w:p w14:paraId="42CF340E" w14:textId="77777777" w:rsidR="00A20631" w:rsidRPr="009127A5" w:rsidRDefault="00A20631" w:rsidP="00E56C4C">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Por su parte la autoridad demandada manifiesta que el acto impugnado se encuentra debidamente fundado y motivado. </w:t>
      </w:r>
    </w:p>
    <w:p w14:paraId="55FEE0A9" w14:textId="00CBEE10" w:rsidR="00EC4BFC" w:rsidRPr="009127A5" w:rsidRDefault="00A20631" w:rsidP="00E56C4C">
      <w:pPr>
        <w:spacing w:after="16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Por último, el tercero afectado </w:t>
      </w:r>
      <w:r w:rsidR="00FF23EA">
        <w:rPr>
          <w:rFonts w:ascii="Arial" w:eastAsia="Calibri" w:hAnsi="Arial" w:cs="Arial"/>
          <w:sz w:val="24"/>
          <w:szCs w:val="24"/>
          <w:lang w:eastAsia="en-US"/>
        </w:rPr>
        <w:t>**********</w:t>
      </w:r>
      <w:r w:rsidRPr="009127A5">
        <w:rPr>
          <w:rFonts w:ascii="Arial" w:eastAsia="Calibri" w:hAnsi="Arial" w:cs="Arial"/>
          <w:sz w:val="24"/>
          <w:szCs w:val="24"/>
          <w:lang w:eastAsia="en-US"/>
        </w:rPr>
        <w:t xml:space="preserve"> expuso que la parte actora no cumplió con los requisitos para ser titular de una concesión por lo que la resolución impugnada resulta correcta.</w:t>
      </w:r>
      <w:r w:rsidR="00EC4BFC" w:rsidRPr="009127A5">
        <w:rPr>
          <w:rFonts w:ascii="Arial" w:eastAsia="Calibri" w:hAnsi="Arial" w:cs="Arial"/>
          <w:sz w:val="24"/>
          <w:szCs w:val="24"/>
          <w:lang w:eastAsia="en-US"/>
        </w:rPr>
        <w:t xml:space="preserve"> </w:t>
      </w:r>
    </w:p>
    <w:p w14:paraId="6E84B5FC" w14:textId="77777777" w:rsidR="004E72E4" w:rsidRPr="009127A5" w:rsidRDefault="004E72E4" w:rsidP="00C027D2">
      <w:pPr>
        <w:spacing w:after="0" w:line="360" w:lineRule="auto"/>
        <w:ind w:right="49" w:firstLine="567"/>
        <w:jc w:val="both"/>
        <w:rPr>
          <w:rFonts w:ascii="Arial" w:eastAsia="Calibri" w:hAnsi="Arial" w:cs="Arial"/>
          <w:b/>
          <w:bCs/>
          <w:sz w:val="24"/>
          <w:szCs w:val="24"/>
          <w:lang w:eastAsia="en-US"/>
        </w:rPr>
      </w:pPr>
    </w:p>
    <w:p w14:paraId="4A44EC52" w14:textId="6D23C6CE" w:rsidR="004E72E4" w:rsidRPr="009127A5" w:rsidRDefault="008A6FAB" w:rsidP="00C027D2">
      <w:pPr>
        <w:spacing w:after="0" w:line="360" w:lineRule="auto"/>
        <w:ind w:right="49" w:firstLine="567"/>
        <w:jc w:val="both"/>
        <w:rPr>
          <w:rFonts w:ascii="Arial" w:eastAsia="Calibri" w:hAnsi="Arial" w:cs="Arial"/>
          <w:sz w:val="24"/>
          <w:szCs w:val="24"/>
          <w:lang w:eastAsia="en-US"/>
        </w:rPr>
      </w:pPr>
      <w:r>
        <w:rPr>
          <w:rFonts w:ascii="Arial" w:eastAsia="Calibri" w:hAnsi="Arial" w:cs="Arial"/>
          <w:b/>
          <w:bCs/>
          <w:sz w:val="24"/>
          <w:szCs w:val="24"/>
          <w:lang w:eastAsia="en-US"/>
        </w:rPr>
        <w:t>QUINTO</w:t>
      </w:r>
      <w:r w:rsidR="009037F6" w:rsidRPr="009127A5">
        <w:rPr>
          <w:rFonts w:ascii="Arial" w:eastAsia="Calibri" w:hAnsi="Arial" w:cs="Arial"/>
          <w:b/>
          <w:bCs/>
          <w:sz w:val="24"/>
          <w:szCs w:val="24"/>
          <w:lang w:eastAsia="en-US"/>
        </w:rPr>
        <w:t xml:space="preserve">. Estudio del Fondo del Asunto. </w:t>
      </w:r>
      <w:r w:rsidR="00C027D2" w:rsidRPr="009127A5">
        <w:rPr>
          <w:rFonts w:ascii="Arial" w:hAnsi="Arial" w:cs="Arial"/>
          <w:sz w:val="24"/>
          <w:szCs w:val="24"/>
        </w:rPr>
        <w:t xml:space="preserve">Son </w:t>
      </w:r>
      <w:r w:rsidR="00A20631" w:rsidRPr="009127A5">
        <w:rPr>
          <w:rFonts w:ascii="Arial" w:hAnsi="Arial" w:cs="Arial"/>
          <w:b/>
          <w:bCs/>
          <w:sz w:val="24"/>
          <w:szCs w:val="24"/>
        </w:rPr>
        <w:t xml:space="preserve">sustancialmente </w:t>
      </w:r>
      <w:r w:rsidR="004E72E4" w:rsidRPr="009127A5">
        <w:rPr>
          <w:rFonts w:ascii="Arial" w:hAnsi="Arial" w:cs="Arial"/>
          <w:b/>
          <w:bCs/>
          <w:sz w:val="24"/>
          <w:szCs w:val="24"/>
        </w:rPr>
        <w:t>fundados</w:t>
      </w:r>
      <w:r w:rsidR="00C027D2" w:rsidRPr="009127A5">
        <w:rPr>
          <w:rFonts w:ascii="Arial" w:hAnsi="Arial" w:cs="Arial"/>
          <w:sz w:val="24"/>
          <w:szCs w:val="24"/>
        </w:rPr>
        <w:t xml:space="preserve"> los argumentos hechos valer por el actor para demandar </w:t>
      </w:r>
      <w:r w:rsidR="00C027D2" w:rsidRPr="009127A5">
        <w:rPr>
          <w:rFonts w:ascii="Arial" w:eastAsia="Calibri" w:hAnsi="Arial" w:cs="Arial"/>
          <w:sz w:val="24"/>
          <w:szCs w:val="24"/>
          <w:lang w:eastAsia="en-US"/>
        </w:rPr>
        <w:t xml:space="preserve">la nulidad </w:t>
      </w:r>
      <w:r w:rsidR="004E72E4" w:rsidRPr="009127A5">
        <w:rPr>
          <w:rFonts w:ascii="Arial" w:eastAsia="Calibri" w:hAnsi="Arial" w:cs="Arial"/>
          <w:sz w:val="24"/>
          <w:szCs w:val="24"/>
          <w:lang w:eastAsia="en-US"/>
        </w:rPr>
        <w:t xml:space="preserve">de la </w:t>
      </w:r>
      <w:r w:rsidR="00A20631" w:rsidRPr="009127A5">
        <w:rPr>
          <w:rFonts w:ascii="Arial" w:eastAsia="Calibri" w:hAnsi="Arial" w:cs="Arial"/>
          <w:sz w:val="24"/>
          <w:szCs w:val="24"/>
          <w:lang w:eastAsia="en-US"/>
        </w:rPr>
        <w:t xml:space="preserve">Resolución de fecha veintinueve de noviembre de dos mil dieciséis dictada en el expediente </w:t>
      </w:r>
      <w:r w:rsidR="00FF23EA">
        <w:rPr>
          <w:rFonts w:ascii="Arial" w:eastAsia="Calibri" w:hAnsi="Arial" w:cs="Arial"/>
          <w:sz w:val="24"/>
          <w:szCs w:val="24"/>
          <w:lang w:eastAsia="en-US"/>
        </w:rPr>
        <w:t>**********</w:t>
      </w:r>
      <w:r w:rsidR="00A20631" w:rsidRPr="009127A5">
        <w:rPr>
          <w:rFonts w:ascii="Arial" w:eastAsia="Calibri" w:hAnsi="Arial" w:cs="Arial"/>
          <w:sz w:val="24"/>
          <w:szCs w:val="24"/>
          <w:lang w:eastAsia="en-US"/>
        </w:rPr>
        <w:t xml:space="preserve">. </w:t>
      </w:r>
    </w:p>
    <w:p w14:paraId="6E4C4F49" w14:textId="7FBDE44C" w:rsidR="00A20631" w:rsidRPr="009127A5" w:rsidRDefault="00A20631" w:rsidP="00C0335B">
      <w:pPr>
        <w:spacing w:line="360" w:lineRule="auto"/>
        <w:ind w:firstLine="567"/>
        <w:jc w:val="both"/>
        <w:rPr>
          <w:rFonts w:ascii="Arial" w:hAnsi="Arial" w:cs="Arial"/>
          <w:sz w:val="24"/>
          <w:szCs w:val="24"/>
        </w:rPr>
      </w:pPr>
      <w:r w:rsidRPr="009127A5">
        <w:rPr>
          <w:rFonts w:ascii="Arial" w:hAnsi="Arial" w:cs="Arial"/>
          <w:sz w:val="24"/>
          <w:szCs w:val="24"/>
        </w:rPr>
        <w:t xml:space="preserve">La parte actora menciona que el acto impugnado no se encuentra debidamente fundado y motivado por citar de forma somera la razón por la cual resulta procedente revocarle la concesión previamente otorgada. </w:t>
      </w:r>
    </w:p>
    <w:p w14:paraId="32EC44B3" w14:textId="59C43905" w:rsidR="00A20631" w:rsidRPr="009127A5" w:rsidRDefault="00A20631" w:rsidP="00C0335B">
      <w:pPr>
        <w:spacing w:line="360" w:lineRule="auto"/>
        <w:ind w:firstLine="567"/>
        <w:jc w:val="both"/>
        <w:rPr>
          <w:rFonts w:ascii="Arial" w:hAnsi="Arial" w:cs="Arial"/>
          <w:sz w:val="24"/>
          <w:szCs w:val="24"/>
        </w:rPr>
      </w:pPr>
      <w:r w:rsidRPr="009127A5">
        <w:rPr>
          <w:rFonts w:ascii="Arial" w:hAnsi="Arial" w:cs="Arial"/>
          <w:sz w:val="24"/>
          <w:szCs w:val="24"/>
        </w:rPr>
        <w:t>En contraposición la autoridad demandada y el tercero afectado sostienen que el hoy actor no cumplió con los requisitos para ser titular de una concesión.</w:t>
      </w:r>
    </w:p>
    <w:p w14:paraId="23C65B5B" w14:textId="3D2383B9" w:rsidR="00A20631" w:rsidRPr="009127A5" w:rsidRDefault="00A20631" w:rsidP="00C0335B">
      <w:pPr>
        <w:spacing w:line="360" w:lineRule="auto"/>
        <w:ind w:firstLine="567"/>
        <w:jc w:val="both"/>
        <w:rPr>
          <w:rFonts w:ascii="Arial" w:eastAsia="Calibri" w:hAnsi="Arial" w:cs="Arial"/>
          <w:sz w:val="24"/>
          <w:szCs w:val="24"/>
          <w:lang w:eastAsia="en-US"/>
        </w:rPr>
      </w:pPr>
      <w:r w:rsidRPr="009127A5">
        <w:rPr>
          <w:rFonts w:ascii="Arial" w:hAnsi="Arial" w:cs="Arial"/>
          <w:sz w:val="24"/>
          <w:szCs w:val="24"/>
        </w:rPr>
        <w:t xml:space="preserve">Ahora, a efecto de dilucidar lo anterior es conveniente transcribir </w:t>
      </w:r>
      <w:r w:rsidR="00C73ECE">
        <w:rPr>
          <w:rFonts w:ascii="Arial" w:hAnsi="Arial" w:cs="Arial"/>
          <w:sz w:val="24"/>
          <w:szCs w:val="24"/>
        </w:rPr>
        <w:t>la parte que interesa</w:t>
      </w:r>
      <w:r w:rsidRPr="009127A5">
        <w:rPr>
          <w:rFonts w:ascii="Arial" w:hAnsi="Arial" w:cs="Arial"/>
          <w:sz w:val="24"/>
          <w:szCs w:val="24"/>
        </w:rPr>
        <w:t xml:space="preserve"> de la </w:t>
      </w:r>
      <w:r w:rsidR="00C73ECE">
        <w:rPr>
          <w:rFonts w:ascii="Arial" w:eastAsia="Calibri" w:hAnsi="Arial" w:cs="Arial"/>
          <w:sz w:val="24"/>
          <w:szCs w:val="24"/>
          <w:lang w:eastAsia="en-US"/>
        </w:rPr>
        <w:t>r</w:t>
      </w:r>
      <w:r w:rsidRPr="009127A5">
        <w:rPr>
          <w:rFonts w:ascii="Arial" w:eastAsia="Calibri" w:hAnsi="Arial" w:cs="Arial"/>
          <w:sz w:val="24"/>
          <w:szCs w:val="24"/>
          <w:lang w:eastAsia="en-US"/>
        </w:rPr>
        <w:t xml:space="preserve">esolución de fecha veintinueve de noviembre de dos mil dieciséis dictada en el expediente </w:t>
      </w:r>
      <w:r w:rsidR="00FF23EA">
        <w:rPr>
          <w:rFonts w:ascii="Arial" w:eastAsia="Calibri" w:hAnsi="Arial" w:cs="Arial"/>
          <w:sz w:val="24"/>
          <w:szCs w:val="24"/>
          <w:lang w:eastAsia="en-US"/>
        </w:rPr>
        <w:t>**********</w:t>
      </w:r>
      <w:r w:rsidRPr="009127A5">
        <w:rPr>
          <w:rFonts w:ascii="Arial" w:eastAsia="Calibri" w:hAnsi="Arial" w:cs="Arial"/>
          <w:sz w:val="24"/>
          <w:szCs w:val="24"/>
          <w:lang w:eastAsia="en-US"/>
        </w:rPr>
        <w:t xml:space="preserve">, concretamente la que hace referencia al motivo por el cual se ordenó la revocación de la concesión otorgada a </w:t>
      </w:r>
      <w:r w:rsidR="00FF23EA">
        <w:rPr>
          <w:rFonts w:ascii="Arial" w:eastAsia="Calibri" w:hAnsi="Arial" w:cs="Arial"/>
          <w:sz w:val="24"/>
          <w:szCs w:val="24"/>
          <w:lang w:eastAsia="en-US"/>
        </w:rPr>
        <w:t>**********</w:t>
      </w:r>
      <w:r w:rsidRPr="009127A5">
        <w:rPr>
          <w:rFonts w:ascii="Arial" w:eastAsia="Calibri" w:hAnsi="Arial" w:cs="Arial"/>
          <w:sz w:val="24"/>
          <w:szCs w:val="24"/>
          <w:lang w:eastAsia="en-US"/>
        </w:rPr>
        <w:t xml:space="preserve">: </w:t>
      </w:r>
    </w:p>
    <w:p w14:paraId="717D94D5" w14:textId="735989FD" w:rsidR="00A20631" w:rsidRPr="0078440C" w:rsidRDefault="00232F4E" w:rsidP="00A20631">
      <w:pPr>
        <w:spacing w:line="360" w:lineRule="auto"/>
        <w:ind w:left="1134"/>
        <w:jc w:val="both"/>
        <w:rPr>
          <w:rFonts w:ascii="Arial Narrow" w:eastAsia="Calibri" w:hAnsi="Arial Narrow" w:cs="Arial"/>
          <w:sz w:val="24"/>
          <w:szCs w:val="24"/>
          <w:lang w:eastAsia="en-US"/>
        </w:rPr>
      </w:pPr>
      <w:r w:rsidRPr="009127A5">
        <w:rPr>
          <w:rFonts w:ascii="Arial Narrow" w:eastAsia="Calibri" w:hAnsi="Arial Narrow" w:cs="Arial"/>
          <w:sz w:val="24"/>
          <w:szCs w:val="24"/>
          <w:lang w:eastAsia="en-US"/>
        </w:rPr>
        <w:lastRenderedPageBreak/>
        <w:t xml:space="preserve">… Ahora bien en lo que respecta al Ciudadano </w:t>
      </w:r>
      <w:r w:rsidR="00FF23EA">
        <w:rPr>
          <w:rFonts w:ascii="Arial Narrow" w:eastAsia="Calibri" w:hAnsi="Arial Narrow" w:cs="Arial"/>
          <w:sz w:val="24"/>
          <w:szCs w:val="24"/>
          <w:lang w:eastAsia="en-US"/>
        </w:rPr>
        <w:t>**********</w:t>
      </w:r>
      <w:r w:rsidRPr="009127A5">
        <w:rPr>
          <w:rFonts w:ascii="Arial Narrow" w:eastAsia="Calibri" w:hAnsi="Arial Narrow" w:cs="Arial"/>
          <w:sz w:val="24"/>
          <w:szCs w:val="24"/>
          <w:lang w:eastAsia="en-US"/>
        </w:rPr>
        <w:t xml:space="preserve">, se advierte que no cumplió con los requisitos solicitados por esta autoridad para poder ser titular de una concesión, siendo que del análisis de las constancias que obran en el presente expediente administrativo, se advierte la actualización de las causales de revocación previstas por el artículo 100 de la Ley de Transporte del </w:t>
      </w:r>
      <w:r w:rsidRPr="0078440C">
        <w:rPr>
          <w:rFonts w:ascii="Arial Narrow" w:eastAsia="Calibri" w:hAnsi="Arial Narrow" w:cs="Arial"/>
          <w:sz w:val="24"/>
          <w:szCs w:val="24"/>
          <w:lang w:eastAsia="en-US"/>
        </w:rPr>
        <w:t>Estado de Oaxaca…</w:t>
      </w:r>
    </w:p>
    <w:p w14:paraId="63815575" w14:textId="56347E1D" w:rsidR="00A20631" w:rsidRPr="009127A5" w:rsidRDefault="00232F4E" w:rsidP="00C0335B">
      <w:pPr>
        <w:spacing w:line="360" w:lineRule="auto"/>
        <w:ind w:firstLine="567"/>
        <w:jc w:val="both"/>
        <w:rPr>
          <w:rFonts w:ascii="Arial" w:eastAsia="Calibri" w:hAnsi="Arial" w:cs="Arial"/>
          <w:sz w:val="24"/>
          <w:szCs w:val="24"/>
          <w:lang w:eastAsia="en-US"/>
        </w:rPr>
      </w:pPr>
      <w:r w:rsidRPr="0078440C">
        <w:rPr>
          <w:rFonts w:ascii="Arial" w:eastAsia="Calibri" w:hAnsi="Arial" w:cs="Arial"/>
          <w:sz w:val="24"/>
          <w:szCs w:val="24"/>
          <w:lang w:eastAsia="en-US"/>
        </w:rPr>
        <w:t xml:space="preserve">De la anterior transcripción se evidencia una </w:t>
      </w:r>
      <w:r w:rsidR="009222D3" w:rsidRPr="0078440C">
        <w:rPr>
          <w:rFonts w:ascii="Arial" w:eastAsia="Calibri" w:hAnsi="Arial" w:cs="Arial"/>
          <w:b/>
          <w:bCs/>
          <w:sz w:val="24"/>
          <w:szCs w:val="24"/>
          <w:lang w:eastAsia="en-US"/>
        </w:rPr>
        <w:t>falta de</w:t>
      </w:r>
      <w:r w:rsidRPr="0078440C">
        <w:rPr>
          <w:rFonts w:ascii="Arial" w:eastAsia="Calibri" w:hAnsi="Arial" w:cs="Arial"/>
          <w:b/>
          <w:bCs/>
          <w:sz w:val="24"/>
          <w:szCs w:val="24"/>
          <w:lang w:eastAsia="en-US"/>
        </w:rPr>
        <w:t xml:space="preserve"> motivación</w:t>
      </w:r>
      <w:r w:rsidRPr="0078440C">
        <w:rPr>
          <w:rFonts w:ascii="Arial" w:eastAsia="Calibri" w:hAnsi="Arial" w:cs="Arial"/>
          <w:sz w:val="24"/>
          <w:szCs w:val="24"/>
          <w:lang w:eastAsia="en-US"/>
        </w:rPr>
        <w:t xml:space="preserve"> del acto impugnado, pues se limita a mencionar que el solicitante no acreditó el cumplimiento de la totalidad de los requisitos para ser Titular de una concesión</w:t>
      </w:r>
      <w:r w:rsidR="009222D3" w:rsidRPr="0078440C">
        <w:rPr>
          <w:rFonts w:ascii="Arial" w:eastAsia="Calibri" w:hAnsi="Arial" w:cs="Arial"/>
          <w:sz w:val="24"/>
          <w:szCs w:val="24"/>
          <w:lang w:eastAsia="en-US"/>
        </w:rPr>
        <w:t xml:space="preserve"> sin que realice verdaderos argumentos lógico jurídicos para justificar la aplicabilidad de la disposición normativa</w:t>
      </w:r>
      <w:r w:rsidRPr="0078440C">
        <w:rPr>
          <w:rFonts w:ascii="Arial" w:eastAsia="Calibri" w:hAnsi="Arial" w:cs="Arial"/>
          <w:sz w:val="24"/>
          <w:szCs w:val="24"/>
          <w:lang w:eastAsia="en-US"/>
        </w:rPr>
        <w:t>.</w:t>
      </w:r>
      <w:r w:rsidRPr="009127A5">
        <w:rPr>
          <w:rFonts w:ascii="Arial" w:eastAsia="Calibri" w:hAnsi="Arial" w:cs="Arial"/>
          <w:sz w:val="24"/>
          <w:szCs w:val="24"/>
          <w:lang w:eastAsia="en-US"/>
        </w:rPr>
        <w:t xml:space="preserve"> </w:t>
      </w:r>
    </w:p>
    <w:p w14:paraId="17E5059E" w14:textId="7317585D" w:rsidR="00232F4E" w:rsidRPr="009127A5" w:rsidRDefault="00232F4E" w:rsidP="00C0335B">
      <w:pPr>
        <w:spacing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Ello resulta contrario al contenido del artículo 17 del a Ley de Procedimiento y Justicia Administrativa para el Estado de Oaxaca que establece el requisito de que todo acto de autoridad se encuentre fundado y motivado: </w:t>
      </w:r>
    </w:p>
    <w:p w14:paraId="4D789AE4"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b/>
          <w:bCs/>
          <w:sz w:val="24"/>
          <w:szCs w:val="24"/>
        </w:rPr>
        <w:t xml:space="preserve">ARTÍCULO 17.- </w:t>
      </w:r>
      <w:r w:rsidRPr="009127A5">
        <w:rPr>
          <w:rFonts w:ascii="Arial Narrow" w:hAnsi="Arial Narrow"/>
          <w:sz w:val="24"/>
          <w:szCs w:val="24"/>
        </w:rPr>
        <w:t xml:space="preserve">Son elementos y requisitos de validez del acto administrativo: </w:t>
      </w:r>
    </w:p>
    <w:p w14:paraId="3A24650F"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I. Ser expedido por órgano competente, a través de servidor público, y en caso de que dicho órgano fuere colegiado, reúna las formalidades de la ley o decreto en que se funde para emitirlo; </w:t>
      </w:r>
    </w:p>
    <w:p w14:paraId="552C04B3"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II. Que el objeto materia del mismo, sea determinado o determinable; preciso en cuanto a las circunstancias de tiempo y lugar, y previsto por la ley; </w:t>
      </w:r>
    </w:p>
    <w:p w14:paraId="377D2C7E"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III. Cumplir con la finalidad de interés público, regulado por las normas en que se concreta, sin que puedan perseguirse otros fines distintos; </w:t>
      </w:r>
    </w:p>
    <w:p w14:paraId="792E1F58"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IV. Constar por escrito y con la firma autógrafa de la autoridad que lo expida, salvo en aquellos casos en que la ley autorice otra forma de expedición o se trate de negativa ficta; </w:t>
      </w:r>
    </w:p>
    <w:p w14:paraId="27D6477F"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V. </w:t>
      </w:r>
      <w:r w:rsidRPr="009127A5">
        <w:rPr>
          <w:rFonts w:ascii="Arial Narrow" w:hAnsi="Arial Narrow"/>
          <w:b/>
          <w:bCs/>
          <w:sz w:val="24"/>
          <w:szCs w:val="24"/>
        </w:rPr>
        <w:t>Estar fundado y motivado</w:t>
      </w:r>
      <w:r w:rsidRPr="009127A5">
        <w:rPr>
          <w:rFonts w:ascii="Arial Narrow" w:hAnsi="Arial Narrow"/>
          <w:sz w:val="24"/>
          <w:szCs w:val="24"/>
        </w:rPr>
        <w:t xml:space="preserve">; </w:t>
      </w:r>
    </w:p>
    <w:p w14:paraId="1E890189"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VI. Ser expedido sujetándose a las disposiciones relativas al procedimiento administrativo previstas en esta Ley; </w:t>
      </w:r>
    </w:p>
    <w:p w14:paraId="47330CC7"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VII. Ser expedido sin que medie error sobre el objeto, causa o motivo, o sobre el fin del acto; </w:t>
      </w:r>
    </w:p>
    <w:p w14:paraId="7EC87079"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VIII. Ser expedido sin que medie dolo o violencia en su emisión; </w:t>
      </w:r>
    </w:p>
    <w:p w14:paraId="2ABD7DCC"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lastRenderedPageBreak/>
        <w:t xml:space="preserve">IX. Mencionar el órgano del cual emana; </w:t>
      </w:r>
    </w:p>
    <w:p w14:paraId="21CCACC1"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X. Ser expedido sin que medie error respecto a la referencia específica de identificación del expediente, documentos o nombre completo de las personas; </w:t>
      </w:r>
    </w:p>
    <w:p w14:paraId="23203846"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XI. Ser expedido señalando lugar y fecha de emisión; </w:t>
      </w:r>
    </w:p>
    <w:p w14:paraId="0D84AE3C"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XII. Tratándose de actos administrativos que deban notificarse, deberá hacerse mención de la oficina en donde se encuentra y pueda ser consultado el expediente respectivo; </w:t>
      </w:r>
    </w:p>
    <w:p w14:paraId="0FE3C2F5"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XIII. Tratándose de actos administrativos recurribles deberá hacerse mención de los recursos que procedan y el plazo de interposición de los mismos; </w:t>
      </w:r>
    </w:p>
    <w:p w14:paraId="2E7A8444" w14:textId="77777777" w:rsidR="00232F4E" w:rsidRPr="009127A5" w:rsidRDefault="00232F4E" w:rsidP="00232F4E">
      <w:pPr>
        <w:spacing w:line="360" w:lineRule="auto"/>
        <w:ind w:left="1134"/>
        <w:jc w:val="both"/>
        <w:rPr>
          <w:rFonts w:ascii="Arial Narrow" w:hAnsi="Arial Narrow"/>
          <w:sz w:val="24"/>
          <w:szCs w:val="24"/>
        </w:rPr>
      </w:pPr>
      <w:r w:rsidRPr="009127A5">
        <w:rPr>
          <w:rFonts w:ascii="Arial Narrow" w:hAnsi="Arial Narrow"/>
          <w:sz w:val="24"/>
          <w:szCs w:val="24"/>
        </w:rPr>
        <w:t xml:space="preserve">XIV. Ser expedido mencionando expresamente todos los puntos propuestos por las partes o establecidos por la ley; y </w:t>
      </w:r>
    </w:p>
    <w:p w14:paraId="61A5D554" w14:textId="2FBADB44" w:rsidR="00232F4E" w:rsidRPr="009127A5" w:rsidRDefault="00232F4E" w:rsidP="00232F4E">
      <w:pPr>
        <w:spacing w:line="360" w:lineRule="auto"/>
        <w:ind w:left="1134"/>
        <w:jc w:val="both"/>
        <w:rPr>
          <w:rFonts w:ascii="Arial Narrow" w:eastAsia="Calibri" w:hAnsi="Arial Narrow" w:cs="Arial"/>
          <w:sz w:val="24"/>
          <w:szCs w:val="24"/>
          <w:lang w:eastAsia="en-US"/>
        </w:rPr>
      </w:pPr>
      <w:r w:rsidRPr="009127A5">
        <w:rPr>
          <w:rFonts w:ascii="Arial Narrow" w:hAnsi="Arial Narrow"/>
          <w:sz w:val="24"/>
          <w:szCs w:val="24"/>
        </w:rPr>
        <w:t>XV. Los demás requisitos</w:t>
      </w:r>
    </w:p>
    <w:p w14:paraId="01973AA4" w14:textId="1456DF60" w:rsidR="00A20631" w:rsidRPr="009127A5" w:rsidRDefault="00232F4E" w:rsidP="00C0335B">
      <w:pPr>
        <w:spacing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Considerando lo anterior, es de explorado derecho que la fundamentación de un acto consiste en la cita exacta del dispositivo legal aplicable al caso concreto y la motivación, una narración clara y sucinta del por qué la conducta del administrado se equipara a lo establecido en la norma jurídica, so pena de incurrir en una transgresión en la esfera jurídica de los justiciables. </w:t>
      </w:r>
    </w:p>
    <w:p w14:paraId="45C39D36" w14:textId="77777777" w:rsidR="00525D1B" w:rsidRPr="009127A5" w:rsidRDefault="00525D1B" w:rsidP="00525D1B">
      <w:pPr>
        <w:tabs>
          <w:tab w:val="right" w:pos="8789"/>
        </w:tabs>
        <w:spacing w:after="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9127A5">
        <w:rPr>
          <w:rFonts w:ascii="Arial" w:eastAsia="Calibri" w:hAnsi="Arial" w:cs="Arial"/>
          <w:noProof/>
          <w:sz w:val="24"/>
          <w:szCs w:val="24"/>
          <w:lang w:eastAsia="en-US"/>
        </w:rPr>
        <w:t xml:space="preserve">     </w:t>
      </w:r>
      <w:r w:rsidRPr="009127A5">
        <w:rPr>
          <w:rFonts w:ascii="Arial" w:eastAsia="Calibri" w:hAnsi="Arial" w:cs="Arial"/>
          <w:sz w:val="24"/>
          <w:szCs w:val="24"/>
          <w:lang w:eastAsia="en-US"/>
        </w:rPr>
        <w:t xml:space="preserve">   </w:t>
      </w:r>
    </w:p>
    <w:p w14:paraId="7C7305B1" w14:textId="77777777" w:rsidR="00525D1B" w:rsidRPr="009127A5" w:rsidRDefault="00525D1B" w:rsidP="00525D1B">
      <w:pPr>
        <w:tabs>
          <w:tab w:val="right" w:pos="8789"/>
        </w:tabs>
        <w:spacing w:after="0" w:line="259" w:lineRule="auto"/>
        <w:ind w:left="1134" w:right="616"/>
        <w:jc w:val="both"/>
        <w:rPr>
          <w:rFonts w:ascii="Arial" w:eastAsia="Calibri" w:hAnsi="Arial" w:cs="Arial"/>
          <w:i/>
          <w:sz w:val="24"/>
          <w:szCs w:val="24"/>
          <w:lang w:eastAsia="en-US"/>
        </w:rPr>
      </w:pPr>
    </w:p>
    <w:p w14:paraId="63AE58C6" w14:textId="77777777" w:rsidR="00525D1B" w:rsidRPr="009127A5" w:rsidRDefault="00525D1B" w:rsidP="00525D1B">
      <w:pPr>
        <w:tabs>
          <w:tab w:val="right" w:pos="8789"/>
        </w:tabs>
        <w:spacing w:after="0" w:line="259" w:lineRule="auto"/>
        <w:jc w:val="both"/>
        <w:rPr>
          <w:rFonts w:ascii="Arial Narrow" w:eastAsia="Calibri" w:hAnsi="Arial Narrow" w:cs="Arial"/>
          <w:b/>
          <w:i/>
          <w:sz w:val="24"/>
          <w:szCs w:val="24"/>
          <w:lang w:eastAsia="en-US"/>
        </w:rPr>
      </w:pPr>
    </w:p>
    <w:p w14:paraId="32909F56"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9127A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Pr="009127A5">
        <w:rPr>
          <w:rFonts w:ascii="Arial Narrow" w:eastAsia="Calibri" w:hAnsi="Arial Narrow" w:cs="Arial"/>
          <w:color w:val="000000"/>
          <w:sz w:val="24"/>
          <w:szCs w:val="24"/>
          <w:lang w:eastAsia="en-US"/>
        </w:rPr>
        <w:t xml:space="preserve"> </w:t>
      </w:r>
    </w:p>
    <w:p w14:paraId="713D864C"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60560C91"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9127A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w:t>
      </w:r>
      <w:r w:rsidRPr="009127A5">
        <w:rPr>
          <w:rFonts w:ascii="Arial Narrow" w:eastAsia="Calibri" w:hAnsi="Arial Narrow" w:cs="Arial"/>
          <w:color w:val="000000"/>
          <w:sz w:val="24"/>
          <w:szCs w:val="24"/>
          <w:lang w:eastAsia="en-US"/>
        </w:rPr>
        <w:lastRenderedPageBreak/>
        <w:t>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602CF35C" w14:textId="77777777" w:rsidR="00525D1B" w:rsidRPr="009127A5" w:rsidRDefault="00525D1B" w:rsidP="00525D1B">
      <w:pPr>
        <w:autoSpaceDE w:val="0"/>
        <w:autoSpaceDN w:val="0"/>
        <w:adjustRightInd w:val="0"/>
        <w:spacing w:after="0" w:line="240" w:lineRule="auto"/>
        <w:rPr>
          <w:rFonts w:ascii="NimbusSanL" w:eastAsia="Calibri" w:hAnsi="NimbusSanL" w:cs="NimbusSanL"/>
          <w:color w:val="000000"/>
          <w:sz w:val="24"/>
          <w:szCs w:val="24"/>
          <w:lang w:eastAsia="en-US"/>
        </w:rPr>
      </w:pPr>
    </w:p>
    <w:p w14:paraId="378104B6" w14:textId="77777777" w:rsidR="00525D1B" w:rsidRPr="009127A5" w:rsidRDefault="00525D1B" w:rsidP="00525D1B">
      <w:pPr>
        <w:tabs>
          <w:tab w:val="right" w:pos="8789"/>
        </w:tabs>
        <w:spacing w:after="0" w:line="259" w:lineRule="auto"/>
        <w:jc w:val="both"/>
        <w:rPr>
          <w:rFonts w:ascii="Arial" w:eastAsia="Calibri" w:hAnsi="Arial" w:cs="Arial"/>
          <w:color w:val="FF0000"/>
          <w:sz w:val="24"/>
          <w:szCs w:val="24"/>
          <w:lang w:eastAsia="en-US"/>
        </w:rPr>
      </w:pPr>
    </w:p>
    <w:p w14:paraId="6B9E905B" w14:textId="77777777" w:rsidR="00525D1B" w:rsidRPr="009127A5" w:rsidRDefault="00525D1B" w:rsidP="00525D1B">
      <w:pPr>
        <w:tabs>
          <w:tab w:val="right" w:pos="8789"/>
        </w:tabs>
        <w:spacing w:after="0" w:line="360" w:lineRule="auto"/>
        <w:ind w:firstLine="567"/>
        <w:jc w:val="both"/>
        <w:rPr>
          <w:rFonts w:ascii="Arial" w:eastAsia="Calibri" w:hAnsi="Arial" w:cs="Arial"/>
          <w:noProof/>
          <w:sz w:val="24"/>
          <w:szCs w:val="24"/>
          <w:lang w:eastAsia="en-US"/>
        </w:rPr>
      </w:pPr>
      <w:r w:rsidRPr="009127A5">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9127A5">
        <w:rPr>
          <w:rFonts w:ascii="Arial" w:eastAsia="Calibri" w:hAnsi="Arial" w:cs="Arial"/>
          <w:noProof/>
          <w:sz w:val="24"/>
          <w:szCs w:val="24"/>
          <w:lang w:eastAsia="en-US"/>
        </w:rPr>
        <w:t xml:space="preserve">     </w:t>
      </w:r>
    </w:p>
    <w:p w14:paraId="3D14F5E2" w14:textId="77777777" w:rsidR="00525D1B" w:rsidRPr="009127A5" w:rsidRDefault="00525D1B" w:rsidP="00525D1B">
      <w:pPr>
        <w:tabs>
          <w:tab w:val="right" w:pos="8789"/>
        </w:tabs>
        <w:spacing w:after="0" w:line="259" w:lineRule="auto"/>
        <w:jc w:val="both"/>
        <w:rPr>
          <w:rFonts w:ascii="Arial" w:eastAsia="Calibri" w:hAnsi="Arial" w:cs="Arial"/>
          <w:b/>
          <w:noProof/>
          <w:sz w:val="24"/>
          <w:szCs w:val="24"/>
          <w:lang w:eastAsia="en-US"/>
        </w:rPr>
      </w:pPr>
    </w:p>
    <w:p w14:paraId="6829BEA2"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9127A5">
        <w:rPr>
          <w:rFonts w:ascii="Arial Narrow" w:eastAsia="Calibri" w:hAnsi="Arial Narrow" w:cs="Arial"/>
          <w:b/>
          <w:bCs/>
          <w:color w:val="000000"/>
          <w:sz w:val="24"/>
          <w:szCs w:val="24"/>
          <w:lang w:eastAsia="en-US"/>
        </w:rPr>
        <w:t>FUNDAMENTACIÓN Y MOTIVACIÓN. SU DISTINCIÓN ENTRE SU FALTA Y CUANDO ES INDEBIDA.</w:t>
      </w:r>
      <w:r w:rsidRPr="009127A5">
        <w:rPr>
          <w:rFonts w:ascii="Arial Narrow" w:eastAsia="Calibri" w:hAnsi="Arial Narrow" w:cs="Arial"/>
          <w:color w:val="000000"/>
          <w:sz w:val="24"/>
          <w:szCs w:val="24"/>
          <w:lang w:eastAsia="en-US"/>
        </w:rPr>
        <w:t xml:space="preserve"> </w:t>
      </w:r>
    </w:p>
    <w:p w14:paraId="24833D65"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59D71EC9" w14:textId="77777777" w:rsidR="00525D1B" w:rsidRPr="009127A5" w:rsidRDefault="00525D1B" w:rsidP="00525D1B">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9127A5">
        <w:rPr>
          <w:rFonts w:ascii="Arial Narrow" w:eastAsia="Calibri" w:hAnsi="Arial Narrow" w:cs="Arial"/>
          <w:color w:val="000000"/>
          <w:sz w:val="24"/>
          <w:szCs w:val="24"/>
          <w:lang w:eastAsia="en-US"/>
        </w:rPr>
        <w:t xml:space="preserve">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w:t>
      </w:r>
      <w:r w:rsidRPr="009127A5">
        <w:rPr>
          <w:rFonts w:ascii="Arial Narrow" w:eastAsia="Calibri" w:hAnsi="Arial Narrow" w:cs="Arial"/>
          <w:color w:val="000000"/>
          <w:sz w:val="24"/>
          <w:szCs w:val="24"/>
          <w:lang w:eastAsia="en-US"/>
        </w:rPr>
        <w:lastRenderedPageBreak/>
        <w:t>autoridad tuvo para dictar la resolución, pero no corresponden al caso específico, objeto de decisión, o bien, cuando no existe adecuación entre los motivos invocados en el acto de autoridad y las normas aplicables a éste.</w:t>
      </w:r>
    </w:p>
    <w:p w14:paraId="2CC4EFB8" w14:textId="77777777" w:rsidR="00525D1B" w:rsidRDefault="00525D1B" w:rsidP="00525D1B">
      <w:pPr>
        <w:tabs>
          <w:tab w:val="right" w:pos="8789"/>
        </w:tabs>
        <w:spacing w:after="0" w:line="259" w:lineRule="auto"/>
        <w:ind w:left="567" w:right="758"/>
        <w:jc w:val="both"/>
        <w:rPr>
          <w:rFonts w:ascii="Arial" w:eastAsia="Calibri" w:hAnsi="Arial" w:cs="Arial"/>
          <w:b/>
          <w:i/>
          <w:noProof/>
          <w:sz w:val="24"/>
          <w:szCs w:val="24"/>
          <w:lang w:eastAsia="en-US"/>
        </w:rPr>
      </w:pPr>
    </w:p>
    <w:p w14:paraId="27B416B9" w14:textId="77777777" w:rsidR="006F032E" w:rsidRPr="009127A5" w:rsidRDefault="006F032E" w:rsidP="00525D1B">
      <w:pPr>
        <w:tabs>
          <w:tab w:val="right" w:pos="8789"/>
        </w:tabs>
        <w:spacing w:after="0" w:line="259" w:lineRule="auto"/>
        <w:ind w:left="567" w:right="758"/>
        <w:jc w:val="both"/>
        <w:rPr>
          <w:rFonts w:ascii="Arial" w:eastAsia="Calibri" w:hAnsi="Arial" w:cs="Arial"/>
          <w:b/>
          <w:i/>
          <w:noProof/>
          <w:sz w:val="24"/>
          <w:szCs w:val="24"/>
          <w:lang w:eastAsia="en-US"/>
        </w:rPr>
      </w:pPr>
    </w:p>
    <w:p w14:paraId="63C42051" w14:textId="4022DC68" w:rsidR="00232F4E" w:rsidRPr="009127A5" w:rsidRDefault="00525D1B" w:rsidP="00C0335B">
      <w:pPr>
        <w:spacing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En efecto, el artículo 86 y 100 de la Ley de Transporte del Estado de Oaxaca establecen una pluralidad de presupuestos respecto a los cuales no resulta procedente el otorgamiento de concesión, o en su defecto proceda su revocación tal y como se advierte de la siguiente transcripción: </w:t>
      </w:r>
    </w:p>
    <w:p w14:paraId="4433B9CF"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b/>
          <w:bCs/>
          <w:sz w:val="24"/>
          <w:szCs w:val="24"/>
        </w:rPr>
        <w:t>Artículo 86.-</w:t>
      </w:r>
      <w:r w:rsidRPr="009127A5">
        <w:rPr>
          <w:rFonts w:ascii="Arial Narrow" w:hAnsi="Arial Narrow"/>
          <w:sz w:val="24"/>
          <w:szCs w:val="24"/>
        </w:rPr>
        <w:t xml:space="preserve"> Las concesiones para la prestación del servicio de transporte, no podrán otorgarse a: </w:t>
      </w:r>
    </w:p>
    <w:p w14:paraId="420FC0DF"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 Los servidores públicos que de manera directa o indirecta tengan intervención en el procedimiento para su otorgamiento; </w:t>
      </w:r>
    </w:p>
    <w:p w14:paraId="0B1F7F64"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II. Los servidores públicos de elección popular, ni a los titulares y personal directivo de las dependencias y entidades de la administración pública federal, estatal o municipal; </w:t>
      </w:r>
    </w:p>
    <w:p w14:paraId="4C5BE9E6"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III. Los servidores públicos que formen parte de las empresas solicitantes como socios, administradores o representantes; </w:t>
      </w:r>
    </w:p>
    <w:p w14:paraId="2631017F"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IV. Los cónyuges de los servidores públicos que intervengan de manera directa e indirecta en el procedimiento para su otorgamiento; </w:t>
      </w:r>
    </w:p>
    <w:p w14:paraId="17DA2BB9"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 Las personas que tengan parentesco colateral y de afinidad hasta el segundo grado o consanguíneo en línea recta sin limitación de grado con los servidores públicos que intervengan de manera directa e indirecta en el procedimiento para su otorgamiento; </w:t>
      </w:r>
    </w:p>
    <w:p w14:paraId="5B6FF8A8"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VI. Las personas a quienes se les haya revocado una concesión o permiso para la prestación del servicio de transporte, en cualquiera de sus modalidades; </w:t>
      </w:r>
    </w:p>
    <w:p w14:paraId="1C11C999"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VII. Al propietario y al conductor de un vehículo que haya prestado el servicio público o especial de transporte, sin contar con la concesión o permiso, y </w:t>
      </w:r>
    </w:p>
    <w:p w14:paraId="146E461E" w14:textId="2000FB23" w:rsidR="00525D1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VIII. A las demás que expresamente señale la presente Ley, su Reglamento y otras disposiciones aplicables.</w:t>
      </w:r>
    </w:p>
    <w:p w14:paraId="60AF2203" w14:textId="39B8C50D" w:rsidR="007E0C6B" w:rsidRPr="009127A5" w:rsidRDefault="007E0C6B" w:rsidP="007E0C6B">
      <w:pPr>
        <w:spacing w:line="360" w:lineRule="auto"/>
        <w:ind w:left="1134"/>
        <w:jc w:val="both"/>
        <w:rPr>
          <w:rFonts w:ascii="Arial Narrow" w:hAnsi="Arial Narrow"/>
          <w:sz w:val="24"/>
          <w:szCs w:val="24"/>
        </w:rPr>
      </w:pPr>
    </w:p>
    <w:p w14:paraId="45493DFF"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b/>
          <w:bCs/>
          <w:sz w:val="24"/>
          <w:szCs w:val="24"/>
        </w:rPr>
        <w:t>Artículo 100.-</w:t>
      </w:r>
      <w:r w:rsidRPr="009127A5">
        <w:rPr>
          <w:rFonts w:ascii="Arial Narrow" w:hAnsi="Arial Narrow"/>
          <w:sz w:val="24"/>
          <w:szCs w:val="24"/>
        </w:rPr>
        <w:t xml:space="preserve"> Las concesiones y permisos son revocables por las siguientes causales: </w:t>
      </w:r>
    </w:p>
    <w:p w14:paraId="0C341365"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lastRenderedPageBreak/>
        <w:t xml:space="preserve">I. Prestar un servicio distinto al concesionado o alterar los términos y condiciones señaladas en el título de concesión; </w:t>
      </w:r>
    </w:p>
    <w:p w14:paraId="658A95AE"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II. La falta de designación de beneficiarios o cuando habiéndolos designado, no cumplan con los requisitos previstos en la presente Ley. En estos casos se declarará la cancelación de la concesión; </w:t>
      </w:r>
    </w:p>
    <w:p w14:paraId="7794F356"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III. Se preste el servicio sin contar con póliza de seguro vigente para proteger y asegurar la vida de sus usuarios y su carga, del conductor y de terceros; </w:t>
      </w:r>
    </w:p>
    <w:p w14:paraId="70F64729"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IV. El vencimiento del plazo de vigencia sin haberse otorgado prórroga; </w:t>
      </w:r>
    </w:p>
    <w:p w14:paraId="45D2DAD3"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 Por comprobarse que se proporcionaron documentos falsos para el otorgamiento, o se proporcionen informes o datos falsos a la Secretaría; </w:t>
      </w:r>
    </w:p>
    <w:p w14:paraId="39540167"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VI. La extinción, liquidación, quiebra o concurso de la persona moral titular de la concesión o permiso; </w:t>
      </w:r>
    </w:p>
    <w:p w14:paraId="6A168F7D"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VII. Su falta de refrendo; </w:t>
      </w:r>
    </w:p>
    <w:p w14:paraId="4C49D627"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VIII. El concesionario, que habiendo obtenido la autorización expresa a que se refiere el Artículo 84 de esta Ley, no cumpla con el pago del crédito; </w:t>
      </w:r>
    </w:p>
    <w:p w14:paraId="48D09EB1"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IX. Por rentar la concesión o permiso; </w:t>
      </w:r>
    </w:p>
    <w:p w14:paraId="66148217"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 Su transferencia sin autorización expresa de la Secretaría; </w:t>
      </w:r>
    </w:p>
    <w:p w14:paraId="248130A6"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XI. Por no iniciar la prestación del servicio dentro del plazo establecido; </w:t>
      </w:r>
    </w:p>
    <w:p w14:paraId="65AFDF42"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XII. Por suspensión del servicio por más de treinta días, sin causa justificada, ni autorización expresa de la Secretaría; </w:t>
      </w:r>
    </w:p>
    <w:p w14:paraId="63C291C0"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XIII. Por la comisión dolosa de algún delito por parte del concesionario o permisionario con motivo de la prestación del servicio; </w:t>
      </w:r>
    </w:p>
    <w:p w14:paraId="4F9E83AA"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XIV. Por intervención definitiva de la concesión; </w:t>
      </w:r>
    </w:p>
    <w:p w14:paraId="6F5A0394"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XV. Por no instalar las cámaras de video, y demás dispositivos de seguridad, al interior del vehículo de transporte público, a los que se refiere el párrafo cuatro del Artículo 37 de esta Ley; </w:t>
      </w:r>
    </w:p>
    <w:p w14:paraId="4E17B503" w14:textId="77777777" w:rsidR="007E0C6B" w:rsidRPr="009127A5" w:rsidRDefault="007E0C6B" w:rsidP="007E0C6B">
      <w:pPr>
        <w:spacing w:line="360" w:lineRule="auto"/>
        <w:ind w:left="1134"/>
        <w:jc w:val="both"/>
        <w:rPr>
          <w:rFonts w:ascii="Arial Narrow" w:hAnsi="Arial Narrow"/>
          <w:sz w:val="24"/>
          <w:szCs w:val="24"/>
        </w:rPr>
      </w:pPr>
      <w:r w:rsidRPr="009127A5">
        <w:rPr>
          <w:rFonts w:ascii="Arial Narrow" w:hAnsi="Arial Narrow"/>
          <w:sz w:val="24"/>
          <w:szCs w:val="24"/>
        </w:rPr>
        <w:t xml:space="preserve">XVI. Por infracciones a la presente Ley y su Reglamento, y; </w:t>
      </w:r>
    </w:p>
    <w:p w14:paraId="006C5626" w14:textId="6B4841F8" w:rsidR="007E0C6B" w:rsidRPr="009127A5" w:rsidRDefault="007E0C6B" w:rsidP="007E0C6B">
      <w:pPr>
        <w:spacing w:line="360" w:lineRule="auto"/>
        <w:ind w:left="1134"/>
        <w:jc w:val="both"/>
        <w:rPr>
          <w:rFonts w:ascii="Arial Narrow" w:eastAsia="Calibri" w:hAnsi="Arial Narrow" w:cs="Arial"/>
          <w:sz w:val="24"/>
          <w:szCs w:val="24"/>
          <w:lang w:eastAsia="en-US"/>
        </w:rPr>
      </w:pPr>
      <w:r w:rsidRPr="009127A5">
        <w:rPr>
          <w:rFonts w:ascii="Arial Narrow" w:hAnsi="Arial Narrow"/>
          <w:sz w:val="24"/>
          <w:szCs w:val="24"/>
        </w:rPr>
        <w:t>XVII. Las demás que señale la presente Ley y su Reglamento</w:t>
      </w:r>
    </w:p>
    <w:p w14:paraId="67F31F2D" w14:textId="77777777" w:rsidR="007E0C6B" w:rsidRPr="009127A5" w:rsidRDefault="007E0C6B" w:rsidP="007E0C6B">
      <w:pPr>
        <w:spacing w:before="240" w:after="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De su lectura se advierte que al contener diversos presupuestos normativos se deben tener como </w:t>
      </w:r>
      <w:r w:rsidRPr="009127A5">
        <w:rPr>
          <w:rFonts w:ascii="Arial" w:eastAsia="Calibri" w:hAnsi="Arial" w:cs="Arial"/>
          <w:b/>
          <w:bCs/>
          <w:sz w:val="24"/>
          <w:szCs w:val="24"/>
          <w:lang w:eastAsia="en-US"/>
        </w:rPr>
        <w:t>normas complejas</w:t>
      </w:r>
      <w:r w:rsidRPr="009127A5">
        <w:rPr>
          <w:rFonts w:ascii="Arial" w:eastAsia="Calibri" w:hAnsi="Arial" w:cs="Arial"/>
          <w:sz w:val="24"/>
          <w:szCs w:val="24"/>
          <w:lang w:eastAsia="en-US"/>
        </w:rPr>
        <w:t xml:space="preserve"> cuyo requisito </w:t>
      </w:r>
      <w:r w:rsidRPr="009127A5">
        <w:rPr>
          <w:rFonts w:ascii="Arial" w:eastAsia="Calibri" w:hAnsi="Arial" w:cs="Arial"/>
          <w:sz w:val="24"/>
          <w:szCs w:val="24"/>
          <w:lang w:eastAsia="en-US"/>
        </w:rPr>
        <w:lastRenderedPageBreak/>
        <w:t xml:space="preserve">indispensable resulta la cita específica del precepto normativo exactamente aplicable al caso concreto. </w:t>
      </w:r>
    </w:p>
    <w:p w14:paraId="74FFF7E2" w14:textId="77777777" w:rsidR="007E0C6B" w:rsidRPr="009127A5" w:rsidRDefault="007E0C6B" w:rsidP="007E0C6B">
      <w:pPr>
        <w:spacing w:before="240" w:after="0"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Lo anterior a decir de la siguiente Jurisprudencia</w:t>
      </w:r>
      <w:r w:rsidRPr="009127A5">
        <w:rPr>
          <w:rStyle w:val="Refdenotaalpie"/>
          <w:rFonts w:ascii="Arial" w:eastAsia="Calibri" w:hAnsi="Arial" w:cs="Arial"/>
          <w:sz w:val="24"/>
          <w:szCs w:val="24"/>
          <w:lang w:eastAsia="en-US"/>
        </w:rPr>
        <w:footnoteReference w:id="3"/>
      </w:r>
      <w:r w:rsidRPr="009127A5">
        <w:rPr>
          <w:rFonts w:ascii="Arial" w:eastAsia="Calibri" w:hAnsi="Arial" w:cs="Arial"/>
          <w:sz w:val="24"/>
          <w:szCs w:val="24"/>
          <w:lang w:eastAsia="en-US"/>
        </w:rPr>
        <w:t xml:space="preserve">: </w:t>
      </w:r>
    </w:p>
    <w:p w14:paraId="1AD58095" w14:textId="77777777" w:rsidR="007E0C6B" w:rsidRPr="009127A5" w:rsidRDefault="007E0C6B" w:rsidP="007E0C6B">
      <w:pPr>
        <w:spacing w:before="240" w:after="0" w:line="360" w:lineRule="auto"/>
        <w:ind w:firstLine="567"/>
        <w:jc w:val="both"/>
        <w:rPr>
          <w:rFonts w:ascii="Arial" w:eastAsia="Calibri" w:hAnsi="Arial" w:cs="Arial"/>
          <w:sz w:val="24"/>
          <w:szCs w:val="24"/>
          <w:lang w:eastAsia="en-US"/>
        </w:rPr>
      </w:pPr>
    </w:p>
    <w:p w14:paraId="0BB281C4" w14:textId="77777777" w:rsidR="007E0C6B" w:rsidRPr="009127A5" w:rsidRDefault="007E0C6B" w:rsidP="007E0C6B">
      <w:pPr>
        <w:ind w:left="1418"/>
        <w:jc w:val="both"/>
        <w:rPr>
          <w:rFonts w:ascii="Arial Narrow" w:hAnsi="Arial Narrow" w:cs="Arial"/>
          <w:sz w:val="24"/>
          <w:szCs w:val="24"/>
        </w:rPr>
      </w:pPr>
      <w:r w:rsidRPr="009127A5">
        <w:rPr>
          <w:rFonts w:ascii="Arial Narrow" w:hAnsi="Arial Narrow" w:cs="Arial"/>
          <w:b/>
          <w:sz w:val="24"/>
          <w:szCs w:val="24"/>
        </w:rPr>
        <w:t>NORMAS COMPLEJAS. SU NATURALEZA DEPENDE DE LA PLURALIDAD DE HIPÓTESIS QUE LAS COMPONEN.</w:t>
      </w:r>
      <w:r w:rsidRPr="009127A5">
        <w:rPr>
          <w:rFonts w:ascii="Arial Narrow" w:hAnsi="Arial Narrow" w:cs="Arial"/>
          <w:sz w:val="24"/>
          <w:szCs w:val="24"/>
        </w:rPr>
        <w:t xml:space="preserve"> </w:t>
      </w:r>
    </w:p>
    <w:p w14:paraId="5A28E111" w14:textId="77777777" w:rsidR="007E0C6B" w:rsidRDefault="007E0C6B" w:rsidP="007E0C6B">
      <w:pPr>
        <w:ind w:left="1418"/>
        <w:jc w:val="both"/>
        <w:rPr>
          <w:rFonts w:ascii="Arial Narrow" w:hAnsi="Arial Narrow" w:cs="Arial"/>
          <w:sz w:val="24"/>
          <w:szCs w:val="24"/>
          <w:u w:val="single"/>
        </w:rPr>
      </w:pPr>
      <w:r w:rsidRPr="009127A5">
        <w:rPr>
          <w:rFonts w:ascii="Arial Narrow" w:hAnsi="Arial Narrow" w:cs="Arial"/>
          <w:sz w:val="24"/>
          <w:szCs w:val="24"/>
        </w:rPr>
        <w:t>De conformidad con la jurisprudencia 2a./J. 115/2005 de la Segunda Sala de la Suprema Corte de Justicia de la Nación, publicada en el Semanario Judicial de la Federación y su Gaceta, Novena Época, Tomo XXII, septiembre de 2005, página 310, de rubro: "</w:t>
      </w:r>
      <w:r w:rsidRPr="009127A5">
        <w:rPr>
          <w:rFonts w:ascii="Arial Narrow" w:hAnsi="Arial Narrow" w:cs="Arial"/>
          <w:b/>
          <w:sz w:val="24"/>
          <w:szCs w:val="24"/>
        </w:rPr>
        <w:t>COMPETENCIA DE LAS AUTORIDADES ADMINISTRATIVAS</w:t>
      </w:r>
      <w:r w:rsidRPr="009127A5">
        <w:rPr>
          <w:rFonts w:ascii="Arial Narrow" w:hAnsi="Arial Narrow" w:cs="Arial"/>
          <w:sz w:val="24"/>
          <w:szCs w:val="24"/>
        </w:rPr>
        <w:t xml:space="preserve">. EL MANDAMIENTO ESCRITO QUE CONTIENE EL ACTO DE MOLESTIA A PARTICULARES </w:t>
      </w:r>
      <w:r w:rsidRPr="009127A5">
        <w:rPr>
          <w:rFonts w:ascii="Arial Narrow" w:hAnsi="Arial Narrow" w:cs="Arial"/>
          <w:b/>
          <w:sz w:val="24"/>
          <w:szCs w:val="24"/>
        </w:rPr>
        <w:t>DEBE FUNDARSE EN EL PRECEPTO LEGAL QUE LES OTORGUE LA ATRIBUCIÓN EJERCIDA, CITANDO EL APARTADO, FRACCIÓN, INCISO O SUBINCISO, Y EN CASO DE QUE NO LOS CONTENGA, SI SE TRATA DE UNA NORMA COMPLEJA, HABRÁ DE TRANSCRIBIRSE LA PARTE CORRESPONDIENTE."</w:t>
      </w:r>
      <w:r w:rsidRPr="009127A5">
        <w:rPr>
          <w:rFonts w:ascii="Arial Narrow" w:hAnsi="Arial Narrow" w:cs="Arial"/>
          <w:sz w:val="24"/>
          <w:szCs w:val="24"/>
        </w:rPr>
        <w:t xml:space="preserve">, </w:t>
      </w:r>
      <w:r w:rsidRPr="009127A5">
        <w:rPr>
          <w:rFonts w:ascii="Arial Narrow" w:hAnsi="Arial Narrow" w:cs="Arial"/>
          <w:b/>
          <w:i/>
          <w:sz w:val="24"/>
          <w:szCs w:val="24"/>
          <w:u w:val="single"/>
        </w:rPr>
        <w:t>una norma compleja es aquella que incluye diversos elementos competenciales O Establece Una Pluralidad De Competencias o facultades que constituyan aspectos independientes unos de otros</w:t>
      </w:r>
      <w:r w:rsidRPr="009127A5">
        <w:rPr>
          <w:rFonts w:ascii="Arial Narrow" w:hAnsi="Arial Narrow" w:cs="Arial"/>
          <w:sz w:val="24"/>
          <w:szCs w:val="24"/>
        </w:rPr>
        <w:t xml:space="preserve">, de manera que para estimarse correcta la fundamentación de un acto de autoridad que se apoye en un precepto de tal naturaleza es necesaria la cita precisa del apartado, fracción, inciso o subinciso que otorgue la atribución ejercida o, si no los contiene, </w:t>
      </w:r>
      <w:r w:rsidRPr="009127A5">
        <w:rPr>
          <w:rFonts w:ascii="Arial Narrow" w:hAnsi="Arial Narrow" w:cs="Arial"/>
          <w:b/>
          <w:sz w:val="24"/>
          <w:szCs w:val="24"/>
        </w:rPr>
        <w:t>LA TRANSCRIPCIÓN DEL TEXTO CORRESPONDIENTE.</w:t>
      </w:r>
      <w:r w:rsidRPr="009127A5">
        <w:rPr>
          <w:rFonts w:ascii="Arial Narrow" w:hAnsi="Arial Narrow" w:cs="Arial"/>
          <w:sz w:val="24"/>
          <w:szCs w:val="24"/>
        </w:rPr>
        <w:t xml:space="preserve"> Por tanto, la naturaleza de una norma compleja </w:t>
      </w:r>
      <w:r w:rsidRPr="009127A5">
        <w:rPr>
          <w:rFonts w:ascii="Arial Narrow" w:hAnsi="Arial Narrow" w:cs="Arial"/>
          <w:sz w:val="24"/>
          <w:szCs w:val="24"/>
          <w:u w:val="single"/>
        </w:rPr>
        <w:t>depende de la pluralidad de hipótesis que la componen, porque el particular no tiene la certeza a cuál de ellas se refiere el acto que le perjudica.</w:t>
      </w:r>
    </w:p>
    <w:p w14:paraId="24127FA2" w14:textId="77777777" w:rsidR="001F1FC6" w:rsidRPr="009127A5" w:rsidRDefault="001F1FC6" w:rsidP="007E0C6B">
      <w:pPr>
        <w:ind w:left="1418"/>
        <w:jc w:val="both"/>
        <w:rPr>
          <w:rFonts w:ascii="Arial Narrow" w:hAnsi="Arial Narrow" w:cs="Arial"/>
          <w:sz w:val="24"/>
          <w:szCs w:val="24"/>
          <w:u w:val="single"/>
        </w:rPr>
      </w:pPr>
    </w:p>
    <w:p w14:paraId="2C19BB1B" w14:textId="1A88095D" w:rsidR="00A20631" w:rsidRPr="009127A5" w:rsidRDefault="007E0C6B" w:rsidP="00C0335B">
      <w:pPr>
        <w:spacing w:line="360" w:lineRule="auto"/>
        <w:ind w:firstLine="567"/>
        <w:jc w:val="both"/>
        <w:rPr>
          <w:rFonts w:ascii="Arial" w:eastAsia="Calibri" w:hAnsi="Arial" w:cs="Arial"/>
          <w:sz w:val="24"/>
          <w:szCs w:val="24"/>
          <w:lang w:eastAsia="en-US"/>
        </w:rPr>
      </w:pPr>
      <w:r w:rsidRPr="009127A5">
        <w:rPr>
          <w:rFonts w:ascii="Arial" w:eastAsia="Calibri" w:hAnsi="Arial" w:cs="Arial"/>
          <w:sz w:val="24"/>
          <w:szCs w:val="24"/>
          <w:lang w:eastAsia="en-US"/>
        </w:rPr>
        <w:t xml:space="preserve">Consecuentemente, toda vez que al haberse actualizado en el presente juicio la figura jurídica de la </w:t>
      </w:r>
      <w:r w:rsidR="009222D3" w:rsidRPr="009127A5">
        <w:rPr>
          <w:rFonts w:ascii="Arial" w:eastAsia="Calibri" w:hAnsi="Arial" w:cs="Arial"/>
          <w:b/>
          <w:bCs/>
          <w:sz w:val="24"/>
          <w:szCs w:val="24"/>
          <w:lang w:eastAsia="en-US"/>
        </w:rPr>
        <w:t>falta</w:t>
      </w:r>
      <w:r w:rsidR="006954E4">
        <w:rPr>
          <w:rFonts w:ascii="Arial" w:eastAsia="Calibri" w:hAnsi="Arial" w:cs="Arial"/>
          <w:b/>
          <w:bCs/>
          <w:sz w:val="24"/>
          <w:szCs w:val="24"/>
          <w:lang w:eastAsia="en-US"/>
        </w:rPr>
        <w:t xml:space="preserve"> de</w:t>
      </w:r>
      <w:r w:rsidRPr="009127A5">
        <w:rPr>
          <w:rFonts w:ascii="Arial" w:eastAsia="Calibri" w:hAnsi="Arial" w:cs="Arial"/>
          <w:b/>
          <w:bCs/>
          <w:sz w:val="24"/>
          <w:szCs w:val="24"/>
          <w:lang w:eastAsia="en-US"/>
        </w:rPr>
        <w:t xml:space="preserve"> motivación</w:t>
      </w:r>
      <w:r w:rsidRPr="009127A5">
        <w:rPr>
          <w:rFonts w:ascii="Arial" w:eastAsia="Calibri" w:hAnsi="Arial" w:cs="Arial"/>
          <w:sz w:val="24"/>
          <w:szCs w:val="24"/>
          <w:lang w:eastAsia="en-US"/>
        </w:rPr>
        <w:t xml:space="preserve">, resulta procedente determinar su </w:t>
      </w:r>
      <w:r w:rsidRPr="009127A5">
        <w:rPr>
          <w:rFonts w:ascii="Arial" w:eastAsia="Calibri" w:hAnsi="Arial" w:cs="Arial"/>
          <w:b/>
          <w:bCs/>
          <w:sz w:val="24"/>
          <w:szCs w:val="24"/>
          <w:lang w:eastAsia="en-US"/>
        </w:rPr>
        <w:t>NULIDAD PARA EL EFECTO</w:t>
      </w:r>
      <w:r w:rsidRPr="009127A5">
        <w:rPr>
          <w:rFonts w:ascii="Arial" w:eastAsia="Calibri" w:hAnsi="Arial" w:cs="Arial"/>
          <w:sz w:val="24"/>
          <w:szCs w:val="24"/>
          <w:lang w:eastAsia="en-US"/>
        </w:rPr>
        <w:t xml:space="preserve"> de que la autoridad demandada dicte una nueva resolución en la que de forma </w:t>
      </w:r>
      <w:r w:rsidRPr="009127A5">
        <w:rPr>
          <w:rFonts w:ascii="Arial" w:eastAsia="Calibri" w:hAnsi="Arial" w:cs="Arial"/>
          <w:b/>
          <w:bCs/>
          <w:sz w:val="24"/>
          <w:szCs w:val="24"/>
          <w:lang w:eastAsia="en-US"/>
        </w:rPr>
        <w:t xml:space="preserve">fundada y motivada </w:t>
      </w:r>
      <w:r w:rsidRPr="009127A5">
        <w:rPr>
          <w:rFonts w:ascii="Arial" w:eastAsia="Calibri" w:hAnsi="Arial" w:cs="Arial"/>
          <w:sz w:val="24"/>
          <w:szCs w:val="24"/>
          <w:lang w:eastAsia="en-US"/>
        </w:rPr>
        <w:t>especifique exactamente qué requisito fue el que no cumplió la parte actora o con base en qué presupuesto normativo es que resulta procedente la revocación.</w:t>
      </w:r>
    </w:p>
    <w:p w14:paraId="31585EA4" w14:textId="2CD70361" w:rsidR="009222D3" w:rsidRPr="006F032E" w:rsidRDefault="009222D3" w:rsidP="00C0335B">
      <w:pPr>
        <w:spacing w:line="360" w:lineRule="auto"/>
        <w:ind w:firstLine="567"/>
        <w:jc w:val="both"/>
        <w:rPr>
          <w:rFonts w:ascii="Arial" w:eastAsia="Calibri" w:hAnsi="Arial" w:cs="Arial"/>
          <w:sz w:val="24"/>
          <w:szCs w:val="24"/>
          <w:lang w:eastAsia="en-US"/>
        </w:rPr>
      </w:pPr>
      <w:r w:rsidRPr="006F032E">
        <w:rPr>
          <w:rFonts w:ascii="Arial" w:eastAsia="Calibri" w:hAnsi="Arial" w:cs="Arial"/>
          <w:sz w:val="24"/>
          <w:szCs w:val="24"/>
          <w:lang w:eastAsia="en-US"/>
        </w:rPr>
        <w:t xml:space="preserve">Lo anterior resulta correcto, pues de las constancias que integran el expediente, se advierte que únicamente se acreditan </w:t>
      </w:r>
      <w:r w:rsidRPr="006F032E">
        <w:rPr>
          <w:rFonts w:ascii="Arial" w:eastAsia="Calibri" w:hAnsi="Arial" w:cs="Arial"/>
          <w:b/>
          <w:bCs/>
          <w:sz w:val="24"/>
          <w:szCs w:val="24"/>
          <w:lang w:eastAsia="en-US"/>
        </w:rPr>
        <w:t>violaciones de carácter formal o adjetivo</w:t>
      </w:r>
      <w:r w:rsidRPr="006F032E">
        <w:rPr>
          <w:rFonts w:ascii="Arial" w:eastAsia="Calibri" w:hAnsi="Arial" w:cs="Arial"/>
          <w:sz w:val="24"/>
          <w:szCs w:val="24"/>
          <w:lang w:eastAsia="en-US"/>
        </w:rPr>
        <w:t xml:space="preserve"> en perjuicio del hoy accionante, como lo son la falta de motivación, consistente en la ausencia de un razonamiento lógico jurídico que </w:t>
      </w:r>
      <w:r w:rsidRPr="006F032E">
        <w:rPr>
          <w:rFonts w:ascii="Arial" w:eastAsia="Calibri" w:hAnsi="Arial" w:cs="Arial"/>
          <w:sz w:val="24"/>
          <w:szCs w:val="24"/>
          <w:lang w:eastAsia="en-US"/>
        </w:rPr>
        <w:lastRenderedPageBreak/>
        <w:t xml:space="preserve">justifique el por qué la disposición normativa citada resulta exactamente aplicable al presupuesto de revocación en la concesión previamente adquirida. </w:t>
      </w:r>
    </w:p>
    <w:p w14:paraId="4FA967CB" w14:textId="15EFBB84" w:rsidR="009222D3" w:rsidRPr="006F032E" w:rsidRDefault="009E4C25" w:rsidP="00C0335B">
      <w:pPr>
        <w:spacing w:line="360" w:lineRule="auto"/>
        <w:ind w:firstLine="567"/>
        <w:jc w:val="both"/>
        <w:rPr>
          <w:rFonts w:ascii="Arial" w:eastAsia="Calibri" w:hAnsi="Arial" w:cs="Arial"/>
          <w:sz w:val="24"/>
          <w:szCs w:val="24"/>
          <w:lang w:eastAsia="en-US"/>
        </w:rPr>
      </w:pPr>
      <w:r w:rsidRPr="006F032E">
        <w:rPr>
          <w:rFonts w:ascii="Arial" w:eastAsia="Calibri" w:hAnsi="Arial" w:cs="Arial"/>
          <w:sz w:val="24"/>
          <w:szCs w:val="24"/>
          <w:lang w:eastAsia="en-US"/>
        </w:rPr>
        <w:t>Ello es así pues si la materia del presente juicio de nulidad, lo es la revocación de una concesión para prestar el servicio público de transporte, y la única violación que ha quedado acreditada en este juicio, lo es la falta de motivación de la resolución que lo ha decretado, es evidente que ello constituye netamente un vicio formal, pues no se está analizando el fondo de la procedencia de dicha</w:t>
      </w:r>
      <w:r w:rsidR="009127A5" w:rsidRPr="006F032E">
        <w:rPr>
          <w:rFonts w:ascii="Arial" w:eastAsia="Calibri" w:hAnsi="Arial" w:cs="Arial"/>
          <w:sz w:val="24"/>
          <w:szCs w:val="24"/>
          <w:lang w:eastAsia="en-US"/>
        </w:rPr>
        <w:t xml:space="preserve"> revocación, atendiendo a que la parte actora no acreditó en juicio haber cumplido con los requisitos previstos en el CAPÍTULO IV</w:t>
      </w:r>
      <w:r w:rsidR="003C6D62" w:rsidRPr="006F032E">
        <w:rPr>
          <w:rFonts w:ascii="Arial" w:eastAsia="Calibri" w:hAnsi="Arial" w:cs="Arial"/>
          <w:sz w:val="24"/>
          <w:szCs w:val="24"/>
          <w:lang w:eastAsia="en-US"/>
        </w:rPr>
        <w:t xml:space="preserve"> del Título II</w:t>
      </w:r>
      <w:r w:rsidR="009127A5" w:rsidRPr="006F032E">
        <w:rPr>
          <w:rFonts w:ascii="Arial" w:eastAsia="Calibri" w:hAnsi="Arial" w:cs="Arial"/>
          <w:sz w:val="24"/>
          <w:szCs w:val="24"/>
          <w:lang w:eastAsia="en-US"/>
        </w:rPr>
        <w:t xml:space="preserve"> de la Ley de Transporte del Estado para ser titular de una concesión emitida en los términos de dicha disposición normativa. </w:t>
      </w:r>
    </w:p>
    <w:p w14:paraId="6B4BDE1A" w14:textId="760EA06E" w:rsidR="009127A5" w:rsidRPr="006F032E" w:rsidRDefault="009127A5" w:rsidP="009127A5">
      <w:pPr>
        <w:spacing w:line="360" w:lineRule="auto"/>
        <w:ind w:right="49" w:firstLine="708"/>
        <w:jc w:val="both"/>
        <w:rPr>
          <w:rFonts w:ascii="Arial" w:eastAsiaTheme="minorHAnsi" w:hAnsi="Arial" w:cs="Arial"/>
          <w:sz w:val="24"/>
          <w:szCs w:val="24"/>
        </w:rPr>
      </w:pPr>
      <w:r w:rsidRPr="006F032E">
        <w:rPr>
          <w:rFonts w:ascii="Arial" w:eastAsia="Calibri" w:hAnsi="Arial" w:cs="Arial"/>
          <w:sz w:val="24"/>
          <w:szCs w:val="24"/>
          <w:lang w:eastAsia="en-US"/>
        </w:rPr>
        <w:t xml:space="preserve">La nulidad para efectos se sustenta a la luz de la </w:t>
      </w:r>
      <w:r w:rsidRPr="006F032E">
        <w:rPr>
          <w:rFonts w:ascii="Arial" w:hAnsi="Arial" w:cs="Arial"/>
          <w:sz w:val="24"/>
          <w:szCs w:val="24"/>
        </w:rPr>
        <w:t xml:space="preserve">Tesis I.6o.A.33 A, emitida por el Sexto Tribunal Colegiado en Materia Administrativa del Primer Circuito, publicada en el Semanario Judicial de la Federación y su Gaceta, Tomo XV, Marzo de 2002, visible a página 1350, Novena Época, de rubro y texto siguiente: </w:t>
      </w:r>
    </w:p>
    <w:p w14:paraId="589488A6" w14:textId="77777777" w:rsidR="009127A5" w:rsidRPr="006F032E" w:rsidRDefault="009127A5" w:rsidP="009127A5">
      <w:pPr>
        <w:spacing w:line="360" w:lineRule="auto"/>
        <w:ind w:left="709" w:right="616" w:hanging="1"/>
        <w:jc w:val="both"/>
        <w:rPr>
          <w:rFonts w:ascii="Times New Roman" w:hAnsi="Times New Roman" w:cs="Times New Roman"/>
          <w:b/>
          <w:sz w:val="24"/>
          <w:szCs w:val="24"/>
        </w:rPr>
      </w:pPr>
      <w:r w:rsidRPr="006F032E">
        <w:rPr>
          <w:rFonts w:ascii="Times New Roman" w:hAnsi="Times New Roman" w:cs="Times New Roman"/>
          <w:b/>
          <w:sz w:val="24"/>
          <w:szCs w:val="24"/>
        </w:rPr>
        <w:t>FUNDAMENTACIÓN Y MOTIVACIÓN, FALTA O INDEBIDA. EN CUANTO SON DISTINTAS, UNAS GENERAN NULIDAD LISA Y LLANA Y OTRAS PARA EFECTOS.</w:t>
      </w:r>
    </w:p>
    <w:p w14:paraId="554B3639" w14:textId="77777777" w:rsidR="009127A5" w:rsidRPr="006F032E" w:rsidRDefault="009127A5" w:rsidP="009127A5">
      <w:pPr>
        <w:spacing w:line="360" w:lineRule="auto"/>
        <w:ind w:left="709" w:right="616" w:hanging="1"/>
        <w:jc w:val="both"/>
        <w:rPr>
          <w:rFonts w:ascii="Times New Roman" w:hAnsi="Times New Roman" w:cs="Times New Roman"/>
          <w:b/>
          <w:sz w:val="24"/>
          <w:szCs w:val="24"/>
          <w:u w:val="single"/>
        </w:rPr>
      </w:pPr>
      <w:r w:rsidRPr="006F032E">
        <w:rPr>
          <w:rFonts w:ascii="Times New Roman" w:hAnsi="Times New Roman" w:cs="Times New Roman"/>
          <w:sz w:val="24"/>
          <w:szCs w:val="24"/>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w:t>
      </w:r>
      <w:r w:rsidRPr="006F032E">
        <w:rPr>
          <w:rFonts w:ascii="Times New Roman" w:hAnsi="Times New Roman" w:cs="Times New Roman"/>
          <w:sz w:val="24"/>
          <w:szCs w:val="24"/>
        </w:rPr>
        <w:lastRenderedPageBreak/>
        <w:t xml:space="preserve">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w:t>
      </w:r>
      <w:r w:rsidRPr="006F032E">
        <w:rPr>
          <w:rFonts w:ascii="Times New Roman" w:hAnsi="Times New Roman" w:cs="Times New Roman"/>
          <w:b/>
          <w:sz w:val="24"/>
          <w:szCs w:val="24"/>
          <w:u w:val="single"/>
        </w:rPr>
        <w:t>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14:paraId="7DAF1DEF" w14:textId="2D04B5CF" w:rsidR="009127A5" w:rsidRPr="006F032E" w:rsidRDefault="003C6D62" w:rsidP="00C0335B">
      <w:pPr>
        <w:spacing w:line="360" w:lineRule="auto"/>
        <w:ind w:firstLine="567"/>
        <w:jc w:val="both"/>
        <w:rPr>
          <w:rFonts w:ascii="Arial" w:eastAsia="Calibri" w:hAnsi="Arial" w:cs="Arial"/>
          <w:sz w:val="24"/>
          <w:szCs w:val="24"/>
          <w:lang w:eastAsia="en-US"/>
        </w:rPr>
      </w:pPr>
      <w:r w:rsidRPr="006F032E">
        <w:rPr>
          <w:rFonts w:ascii="Arial" w:eastAsia="Calibri" w:hAnsi="Arial" w:cs="Arial"/>
          <w:sz w:val="24"/>
          <w:szCs w:val="24"/>
          <w:lang w:eastAsia="en-US"/>
        </w:rPr>
        <w:t>Máxime</w:t>
      </w:r>
      <w:r w:rsidR="009127A5" w:rsidRPr="006F032E">
        <w:rPr>
          <w:rFonts w:ascii="Arial" w:eastAsia="Calibri" w:hAnsi="Arial" w:cs="Arial"/>
          <w:sz w:val="24"/>
          <w:szCs w:val="24"/>
          <w:lang w:eastAsia="en-US"/>
        </w:rPr>
        <w:t xml:space="preserve"> que el propio artículo 208 de la Ley de Procedimiento y Justicia Administrativa en su fracción II estatuye la procedencia de una nulidad relativa cuando se versan por ilegalidades de carácter formal tal y como se advierte de la siguiente transcripción: </w:t>
      </w:r>
    </w:p>
    <w:p w14:paraId="48C8B66D" w14:textId="792E22C2" w:rsidR="009127A5" w:rsidRPr="006F032E" w:rsidRDefault="009127A5" w:rsidP="009127A5">
      <w:pPr>
        <w:spacing w:line="360" w:lineRule="auto"/>
        <w:ind w:left="1134"/>
        <w:jc w:val="both"/>
        <w:rPr>
          <w:rFonts w:ascii="Arial Narrow" w:hAnsi="Arial Narrow"/>
          <w:sz w:val="24"/>
          <w:szCs w:val="24"/>
        </w:rPr>
      </w:pPr>
      <w:r w:rsidRPr="006F032E">
        <w:rPr>
          <w:rFonts w:ascii="Arial Narrow" w:hAnsi="Arial Narrow"/>
          <w:sz w:val="24"/>
          <w:szCs w:val="24"/>
        </w:rPr>
        <w:t xml:space="preserve">ARTÍCULO 208.- Se declarará que un acto administrativo es ilegal si de esa ilegalidad nace su </w:t>
      </w:r>
      <w:r w:rsidRPr="006F032E">
        <w:rPr>
          <w:rFonts w:ascii="Arial Narrow" w:hAnsi="Arial Narrow"/>
          <w:b/>
          <w:bCs/>
          <w:sz w:val="24"/>
          <w:szCs w:val="24"/>
        </w:rPr>
        <w:t>nulidad relativa</w:t>
      </w:r>
      <w:r w:rsidRPr="006F032E">
        <w:rPr>
          <w:rFonts w:ascii="Arial Narrow" w:hAnsi="Arial Narrow"/>
          <w:sz w:val="24"/>
          <w:szCs w:val="24"/>
        </w:rPr>
        <w:t xml:space="preserve"> o absoluta, cuando se demuestre alguna de las siguientes causales:</w:t>
      </w:r>
    </w:p>
    <w:p w14:paraId="79F874D8" w14:textId="23CA96E3" w:rsidR="009127A5" w:rsidRPr="006F032E" w:rsidRDefault="009127A5" w:rsidP="009127A5">
      <w:pPr>
        <w:spacing w:line="360" w:lineRule="auto"/>
        <w:ind w:left="1134"/>
        <w:jc w:val="both"/>
        <w:rPr>
          <w:rFonts w:ascii="Arial Narrow" w:hAnsi="Arial Narrow"/>
          <w:sz w:val="24"/>
          <w:szCs w:val="24"/>
        </w:rPr>
      </w:pPr>
      <w:r w:rsidRPr="006F032E">
        <w:rPr>
          <w:rFonts w:ascii="Arial Narrow" w:hAnsi="Arial Narrow"/>
          <w:sz w:val="24"/>
          <w:szCs w:val="24"/>
        </w:rPr>
        <w:t>(…)</w:t>
      </w:r>
    </w:p>
    <w:p w14:paraId="2E0B588F" w14:textId="1E4B0BA7" w:rsidR="009127A5" w:rsidRPr="006F032E" w:rsidRDefault="009127A5" w:rsidP="009127A5">
      <w:pPr>
        <w:spacing w:line="360" w:lineRule="auto"/>
        <w:ind w:left="1134"/>
        <w:jc w:val="both"/>
        <w:rPr>
          <w:rFonts w:ascii="Arial Narrow" w:hAnsi="Arial Narrow"/>
          <w:sz w:val="24"/>
          <w:szCs w:val="24"/>
        </w:rPr>
      </w:pPr>
      <w:r w:rsidRPr="006F032E">
        <w:rPr>
          <w:rFonts w:ascii="Arial Narrow" w:hAnsi="Arial Narrow"/>
          <w:sz w:val="24"/>
          <w:szCs w:val="24"/>
        </w:rPr>
        <w:t xml:space="preserve">II. </w:t>
      </w:r>
      <w:r w:rsidRPr="006F032E">
        <w:rPr>
          <w:rFonts w:ascii="Arial Narrow" w:hAnsi="Arial Narrow"/>
          <w:b/>
          <w:bCs/>
          <w:sz w:val="24"/>
          <w:szCs w:val="24"/>
        </w:rPr>
        <w:t>Omisión de los requisitos formales</w:t>
      </w:r>
      <w:r w:rsidRPr="006F032E">
        <w:rPr>
          <w:rFonts w:ascii="Arial Narrow" w:hAnsi="Arial Narrow"/>
          <w:sz w:val="24"/>
          <w:szCs w:val="24"/>
        </w:rPr>
        <w:t xml:space="preserve"> exigidos por las leyes que afecten las defensas del particular y trasciendan al sentido de la resolución impugnada, inclusive la ausencia de fundamento o motivación, en su caso;</w:t>
      </w:r>
    </w:p>
    <w:p w14:paraId="4FFFCF90" w14:textId="77777777" w:rsidR="009127A5" w:rsidRPr="006F032E" w:rsidRDefault="009127A5" w:rsidP="00C0335B">
      <w:pPr>
        <w:spacing w:line="360" w:lineRule="auto"/>
        <w:ind w:firstLine="567"/>
        <w:jc w:val="both"/>
        <w:rPr>
          <w:rFonts w:ascii="Arial" w:eastAsia="Calibri" w:hAnsi="Arial" w:cs="Arial"/>
          <w:sz w:val="24"/>
          <w:szCs w:val="24"/>
          <w:lang w:eastAsia="en-US"/>
        </w:rPr>
      </w:pPr>
    </w:p>
    <w:p w14:paraId="6EA9A351" w14:textId="67369251" w:rsidR="007E0C6B" w:rsidRPr="006F032E" w:rsidRDefault="007E0C6B" w:rsidP="00C0335B">
      <w:pPr>
        <w:spacing w:line="360" w:lineRule="auto"/>
        <w:ind w:firstLine="567"/>
        <w:jc w:val="both"/>
        <w:rPr>
          <w:rFonts w:ascii="Arial" w:eastAsia="Calibri" w:hAnsi="Arial" w:cs="Arial"/>
          <w:sz w:val="24"/>
          <w:szCs w:val="24"/>
          <w:lang w:eastAsia="en-US"/>
        </w:rPr>
      </w:pPr>
      <w:r w:rsidRPr="006F032E">
        <w:rPr>
          <w:rFonts w:ascii="Arial" w:eastAsia="Calibri" w:hAnsi="Arial" w:cs="Arial"/>
          <w:sz w:val="24"/>
          <w:szCs w:val="24"/>
          <w:lang w:eastAsia="en-US"/>
        </w:rPr>
        <w:t xml:space="preserve">No pasa desapercibido para esta instrucción que la causa de pedir de la parte actora y relacionada con su pretensión de que se le restituya a su favor la concesión materia del presente juicio, dígasele a la actora que ello no resulta procedente, toda vez que del caudal probatorio ofrecido por la actora, </w:t>
      </w:r>
      <w:r w:rsidRPr="006F032E">
        <w:rPr>
          <w:rFonts w:ascii="Arial" w:eastAsia="Calibri" w:hAnsi="Arial" w:cs="Arial"/>
          <w:b/>
          <w:bCs/>
          <w:sz w:val="24"/>
          <w:szCs w:val="24"/>
          <w:lang w:eastAsia="en-US"/>
        </w:rPr>
        <w:t xml:space="preserve">no se </w:t>
      </w:r>
      <w:r w:rsidRPr="006F032E">
        <w:rPr>
          <w:rFonts w:ascii="Arial" w:eastAsia="Calibri" w:hAnsi="Arial" w:cs="Arial"/>
          <w:b/>
          <w:bCs/>
          <w:sz w:val="24"/>
          <w:szCs w:val="24"/>
          <w:lang w:eastAsia="en-US"/>
        </w:rPr>
        <w:lastRenderedPageBreak/>
        <w:t xml:space="preserve">advierte que hubiera cumplido con la totalidad de los requisitos previstos en el </w:t>
      </w:r>
      <w:r w:rsidR="003C6D62" w:rsidRPr="006F032E">
        <w:rPr>
          <w:rFonts w:ascii="Arial" w:eastAsia="Calibri" w:hAnsi="Arial" w:cs="Arial"/>
          <w:b/>
          <w:sz w:val="24"/>
          <w:szCs w:val="24"/>
          <w:lang w:eastAsia="en-US"/>
        </w:rPr>
        <w:t>CAPÍTULO IV del Título II</w:t>
      </w:r>
      <w:r w:rsidRPr="006F032E">
        <w:rPr>
          <w:rFonts w:ascii="Arial" w:eastAsia="Calibri" w:hAnsi="Arial" w:cs="Arial"/>
          <w:b/>
          <w:bCs/>
          <w:sz w:val="24"/>
          <w:szCs w:val="24"/>
          <w:lang w:eastAsia="en-US"/>
        </w:rPr>
        <w:t xml:space="preserve"> de la Ley de Transporte del Estado</w:t>
      </w:r>
      <w:r w:rsidRPr="006F032E">
        <w:rPr>
          <w:rFonts w:ascii="Arial" w:eastAsia="Calibri" w:hAnsi="Arial" w:cs="Arial"/>
          <w:sz w:val="24"/>
          <w:szCs w:val="24"/>
          <w:lang w:eastAsia="en-US"/>
        </w:rPr>
        <w:t xml:space="preserve">, pues únicamente ofreció lo siguiente: a) impresión fotostática del periódico NOTICIAS del dos de octubre de dos mil quince, b) impresión del periódico oficial del Gobierno del Estado de fecha tres de octubre de dos mil quince, c) escrito libre de fecha doce de octubre de dos mil quince, d) impresión del periódico oficial del Gobierno del Estado de fecha cuatro de marzo de dos mil dieciséis, </w:t>
      </w:r>
      <w:r w:rsidR="00CC125B" w:rsidRPr="006F032E">
        <w:rPr>
          <w:rFonts w:ascii="Arial" w:eastAsia="Calibri" w:hAnsi="Arial" w:cs="Arial"/>
          <w:sz w:val="24"/>
          <w:szCs w:val="24"/>
          <w:lang w:eastAsia="en-US"/>
        </w:rPr>
        <w:t xml:space="preserve">e)  título de concesión con folio </w:t>
      </w:r>
      <w:r w:rsidR="00FF23EA">
        <w:rPr>
          <w:rFonts w:ascii="Arial" w:eastAsia="Calibri" w:hAnsi="Arial" w:cs="Arial"/>
          <w:sz w:val="24"/>
          <w:szCs w:val="24"/>
          <w:lang w:eastAsia="en-US"/>
        </w:rPr>
        <w:t>**********</w:t>
      </w:r>
      <w:r w:rsidR="00CC125B" w:rsidRPr="006F032E">
        <w:rPr>
          <w:rFonts w:ascii="Arial" w:eastAsia="Calibri" w:hAnsi="Arial" w:cs="Arial"/>
          <w:sz w:val="24"/>
          <w:szCs w:val="24"/>
          <w:lang w:eastAsia="en-US"/>
        </w:rPr>
        <w:t xml:space="preserve"> y f) Resolución de fecha veintinueve de noviembre de dos mil dieciséis dictada en el expediente </w:t>
      </w:r>
      <w:r w:rsidR="00FF23EA">
        <w:rPr>
          <w:rFonts w:ascii="Arial" w:eastAsia="Calibri" w:hAnsi="Arial" w:cs="Arial"/>
          <w:sz w:val="24"/>
          <w:szCs w:val="24"/>
          <w:lang w:eastAsia="en-US"/>
        </w:rPr>
        <w:t>**********</w:t>
      </w:r>
      <w:r w:rsidR="00CC125B" w:rsidRPr="006F032E">
        <w:rPr>
          <w:rFonts w:ascii="Arial" w:eastAsia="Calibri" w:hAnsi="Arial" w:cs="Arial"/>
          <w:sz w:val="24"/>
          <w:szCs w:val="24"/>
          <w:lang w:eastAsia="en-US"/>
        </w:rPr>
        <w:t xml:space="preserve">, sin que de ninguno de los documentos anteriores se advierta la totalidad del cumplimiento a los requisitos previstos en el CAPÍTULO IV de la Ley de Transporte del Estado, es decir que se hubiere llevado a cabo todo el procedimiento previsto en el mencionado dispositivo normativo, como lo es la constancia de capacitación vigente, el estudio de factibilidad, etc. </w:t>
      </w:r>
    </w:p>
    <w:p w14:paraId="4788087F" w14:textId="5349E994" w:rsidR="00CC125B" w:rsidRPr="009127A5" w:rsidRDefault="00CC125B" w:rsidP="00C0335B">
      <w:pPr>
        <w:spacing w:line="360" w:lineRule="auto"/>
        <w:ind w:firstLine="567"/>
        <w:jc w:val="both"/>
        <w:rPr>
          <w:rFonts w:ascii="Arial" w:eastAsia="Calibri" w:hAnsi="Arial" w:cs="Arial"/>
          <w:sz w:val="24"/>
          <w:szCs w:val="24"/>
          <w:lang w:eastAsia="en-US"/>
        </w:rPr>
      </w:pPr>
      <w:r w:rsidRPr="006F032E">
        <w:rPr>
          <w:rFonts w:ascii="Arial" w:eastAsia="Calibri" w:hAnsi="Arial" w:cs="Arial"/>
          <w:sz w:val="24"/>
          <w:szCs w:val="24"/>
          <w:lang w:eastAsia="en-US"/>
        </w:rPr>
        <w:t>Luego entonces, toda vez que el servicio de transporte y sus concesiones inciden directamente en el orden público y el interés social</w:t>
      </w:r>
      <w:r w:rsidRPr="006F032E">
        <w:rPr>
          <w:rStyle w:val="Refdenotaalpie"/>
          <w:rFonts w:ascii="Arial" w:eastAsia="Calibri" w:hAnsi="Arial" w:cs="Arial"/>
          <w:sz w:val="24"/>
          <w:szCs w:val="24"/>
          <w:lang w:eastAsia="en-US"/>
        </w:rPr>
        <w:footnoteReference w:id="4"/>
      </w:r>
      <w:r w:rsidRPr="006F032E">
        <w:rPr>
          <w:rFonts w:ascii="Arial" w:eastAsia="Calibri" w:hAnsi="Arial" w:cs="Arial"/>
          <w:sz w:val="24"/>
          <w:szCs w:val="24"/>
          <w:lang w:eastAsia="en-US"/>
        </w:rPr>
        <w:t xml:space="preserve"> </w:t>
      </w:r>
      <w:r w:rsidR="00C323DC">
        <w:rPr>
          <w:rFonts w:ascii="Arial" w:eastAsia="Calibri" w:hAnsi="Arial" w:cs="Arial"/>
          <w:sz w:val="24"/>
          <w:szCs w:val="24"/>
          <w:lang w:eastAsia="en-US"/>
        </w:rPr>
        <w:t>no ha lugar</w:t>
      </w:r>
      <w:r w:rsidR="007667A3" w:rsidRPr="006F032E">
        <w:rPr>
          <w:rFonts w:ascii="Arial" w:eastAsia="Calibri" w:hAnsi="Arial" w:cs="Arial"/>
          <w:sz w:val="24"/>
          <w:szCs w:val="24"/>
          <w:lang w:eastAsia="en-US"/>
        </w:rPr>
        <w:t xml:space="preserve"> a obsequiar la pretensión solicitada por el actor en los términos que lo hace, por no contar con los elementos para determinar que efectivamente se han cumplido con los requisitos establecidos en el </w:t>
      </w:r>
      <w:r w:rsidR="003C6D62" w:rsidRPr="006F032E">
        <w:rPr>
          <w:rFonts w:ascii="Arial" w:eastAsia="Calibri" w:hAnsi="Arial" w:cs="Arial"/>
          <w:sz w:val="24"/>
          <w:szCs w:val="24"/>
          <w:lang w:eastAsia="en-US"/>
        </w:rPr>
        <w:t>CAPÍTULO IV del Título II</w:t>
      </w:r>
      <w:r w:rsidR="007667A3" w:rsidRPr="006F032E">
        <w:rPr>
          <w:rFonts w:ascii="Arial" w:eastAsia="Calibri" w:hAnsi="Arial" w:cs="Arial"/>
          <w:sz w:val="24"/>
          <w:szCs w:val="24"/>
          <w:lang w:eastAsia="en-US"/>
        </w:rPr>
        <w:t xml:space="preserve"> de la Ley de Transporte del Estado para el otorgamiento de concesiones.</w:t>
      </w:r>
      <w:r w:rsidR="007667A3" w:rsidRPr="009127A5">
        <w:rPr>
          <w:rFonts w:ascii="Arial" w:eastAsia="Calibri" w:hAnsi="Arial" w:cs="Arial"/>
          <w:sz w:val="24"/>
          <w:szCs w:val="24"/>
          <w:lang w:eastAsia="en-US"/>
        </w:rPr>
        <w:t xml:space="preserve"> </w:t>
      </w:r>
    </w:p>
    <w:p w14:paraId="46F1D9FD" w14:textId="5C5970E1" w:rsidR="009037F6" w:rsidRPr="009127A5" w:rsidRDefault="009037F6" w:rsidP="00C0335B">
      <w:pPr>
        <w:spacing w:line="360" w:lineRule="auto"/>
        <w:ind w:firstLine="567"/>
        <w:jc w:val="both"/>
        <w:rPr>
          <w:rFonts w:ascii="Arial" w:hAnsi="Arial" w:cs="Arial"/>
          <w:sz w:val="24"/>
          <w:szCs w:val="24"/>
        </w:rPr>
      </w:pPr>
      <w:r w:rsidRPr="009127A5">
        <w:rPr>
          <w:rFonts w:ascii="Arial" w:hAnsi="Arial" w:cs="Arial"/>
          <w:sz w:val="24"/>
          <w:szCs w:val="24"/>
        </w:rPr>
        <w:t xml:space="preserve">Por lo expuesto y con fundamento en los artículos 207, y 209 de la Ley de Procedimiento y Justicia Administrativa para el Estado de Oaxaca se; </w:t>
      </w:r>
    </w:p>
    <w:p w14:paraId="47449FCB" w14:textId="77777777" w:rsidR="009037F6" w:rsidRPr="009127A5" w:rsidRDefault="009037F6" w:rsidP="009037F6">
      <w:pPr>
        <w:tabs>
          <w:tab w:val="right" w:pos="9072"/>
        </w:tabs>
        <w:spacing w:after="0" w:line="360" w:lineRule="auto"/>
        <w:ind w:right="-234"/>
        <w:rPr>
          <w:rFonts w:ascii="Arial" w:hAnsi="Arial" w:cs="Arial"/>
          <w:b/>
          <w:sz w:val="24"/>
          <w:szCs w:val="24"/>
        </w:rPr>
      </w:pPr>
    </w:p>
    <w:p w14:paraId="2EB30344" w14:textId="77777777" w:rsidR="009037F6" w:rsidRPr="009127A5" w:rsidRDefault="009037F6" w:rsidP="009037F6">
      <w:pPr>
        <w:tabs>
          <w:tab w:val="right" w:pos="9072"/>
        </w:tabs>
        <w:spacing w:after="0" w:line="360" w:lineRule="auto"/>
        <w:ind w:right="-234" w:firstLine="708"/>
        <w:jc w:val="center"/>
        <w:rPr>
          <w:rFonts w:ascii="Arial" w:hAnsi="Arial" w:cs="Arial"/>
          <w:b/>
          <w:sz w:val="24"/>
          <w:szCs w:val="24"/>
        </w:rPr>
      </w:pPr>
      <w:r w:rsidRPr="009127A5">
        <w:rPr>
          <w:rFonts w:ascii="Arial" w:hAnsi="Arial" w:cs="Arial"/>
          <w:b/>
          <w:sz w:val="24"/>
          <w:szCs w:val="24"/>
        </w:rPr>
        <w:lastRenderedPageBreak/>
        <w:t>R E S U E L V E:</w:t>
      </w:r>
    </w:p>
    <w:p w14:paraId="24911D59" w14:textId="77777777" w:rsidR="009037F6" w:rsidRPr="009127A5" w:rsidRDefault="009037F6" w:rsidP="009037F6">
      <w:pPr>
        <w:tabs>
          <w:tab w:val="right" w:pos="9072"/>
        </w:tabs>
        <w:spacing w:after="0" w:line="360" w:lineRule="auto"/>
        <w:ind w:right="-234" w:firstLine="708"/>
        <w:rPr>
          <w:rFonts w:ascii="Arial" w:hAnsi="Arial" w:cs="Arial"/>
          <w:b/>
          <w:sz w:val="24"/>
          <w:szCs w:val="24"/>
        </w:rPr>
      </w:pPr>
    </w:p>
    <w:p w14:paraId="6E1FAA68" w14:textId="77777777" w:rsidR="009037F6" w:rsidRPr="009127A5" w:rsidRDefault="009037F6" w:rsidP="009037F6">
      <w:pPr>
        <w:tabs>
          <w:tab w:val="right" w:pos="9072"/>
        </w:tabs>
        <w:spacing w:after="0" w:line="360" w:lineRule="auto"/>
        <w:ind w:right="-234" w:firstLine="567"/>
        <w:jc w:val="both"/>
        <w:rPr>
          <w:rFonts w:ascii="Arial" w:hAnsi="Arial" w:cs="Arial"/>
          <w:sz w:val="24"/>
          <w:szCs w:val="24"/>
        </w:rPr>
      </w:pPr>
      <w:r w:rsidRPr="009127A5">
        <w:rPr>
          <w:rFonts w:ascii="Arial" w:hAnsi="Arial" w:cs="Arial"/>
          <w:b/>
          <w:sz w:val="24"/>
          <w:szCs w:val="24"/>
        </w:rPr>
        <w:t>PRIMERO.</w:t>
      </w:r>
      <w:r w:rsidRPr="009127A5">
        <w:rPr>
          <w:rFonts w:ascii="Arial" w:hAnsi="Arial" w:cs="Arial"/>
          <w:sz w:val="24"/>
          <w:szCs w:val="24"/>
        </w:rPr>
        <w:t xml:space="preserve"> Esta Primera Sala Unitaria fue competente para conocer y resolver del presente asunto. </w:t>
      </w:r>
    </w:p>
    <w:p w14:paraId="4FD95822" w14:textId="77777777" w:rsidR="009037F6" w:rsidRPr="009127A5" w:rsidRDefault="009037F6" w:rsidP="009037F6">
      <w:pPr>
        <w:tabs>
          <w:tab w:val="right" w:pos="9072"/>
        </w:tabs>
        <w:spacing w:after="0" w:line="360" w:lineRule="auto"/>
        <w:ind w:right="-234"/>
        <w:jc w:val="both"/>
        <w:rPr>
          <w:rFonts w:ascii="Arial" w:hAnsi="Arial" w:cs="Arial"/>
          <w:sz w:val="24"/>
          <w:szCs w:val="24"/>
        </w:rPr>
      </w:pPr>
    </w:p>
    <w:p w14:paraId="6016F009" w14:textId="77777777" w:rsidR="009037F6" w:rsidRPr="009127A5" w:rsidRDefault="009037F6" w:rsidP="009037F6">
      <w:pPr>
        <w:tabs>
          <w:tab w:val="right" w:pos="9072"/>
        </w:tabs>
        <w:spacing w:after="0" w:line="360" w:lineRule="auto"/>
        <w:ind w:right="-234" w:firstLine="567"/>
        <w:jc w:val="both"/>
        <w:rPr>
          <w:rFonts w:ascii="Arial" w:hAnsi="Arial" w:cs="Arial"/>
          <w:b/>
          <w:sz w:val="24"/>
          <w:szCs w:val="24"/>
        </w:rPr>
      </w:pPr>
      <w:r w:rsidRPr="009127A5">
        <w:rPr>
          <w:rFonts w:ascii="Arial" w:hAnsi="Arial" w:cs="Arial"/>
          <w:b/>
          <w:sz w:val="24"/>
          <w:szCs w:val="24"/>
        </w:rPr>
        <w:t xml:space="preserve">SEGUNDO. </w:t>
      </w:r>
      <w:r w:rsidRPr="009127A5">
        <w:rPr>
          <w:rFonts w:ascii="Arial" w:hAnsi="Arial" w:cs="Arial"/>
          <w:sz w:val="24"/>
          <w:szCs w:val="24"/>
        </w:rPr>
        <w:t xml:space="preserve">La personería de las partes quedó acreditada. </w:t>
      </w:r>
    </w:p>
    <w:p w14:paraId="6B036162" w14:textId="77777777" w:rsidR="009037F6" w:rsidRPr="009127A5" w:rsidRDefault="009037F6" w:rsidP="009037F6">
      <w:pPr>
        <w:tabs>
          <w:tab w:val="right" w:pos="9072"/>
        </w:tabs>
        <w:spacing w:after="0" w:line="360" w:lineRule="auto"/>
        <w:ind w:right="-234"/>
        <w:jc w:val="both"/>
        <w:rPr>
          <w:rFonts w:ascii="Arial" w:hAnsi="Arial" w:cs="Arial"/>
          <w:b/>
          <w:sz w:val="24"/>
          <w:szCs w:val="24"/>
        </w:rPr>
      </w:pPr>
    </w:p>
    <w:p w14:paraId="0456CE9B" w14:textId="6CCB514F" w:rsidR="00C0335B" w:rsidRPr="009127A5" w:rsidRDefault="009037F6" w:rsidP="00C0335B">
      <w:pPr>
        <w:spacing w:after="0" w:line="360" w:lineRule="auto"/>
        <w:ind w:firstLine="708"/>
        <w:jc w:val="both"/>
        <w:rPr>
          <w:rFonts w:ascii="Arial" w:hAnsi="Arial" w:cs="Arial"/>
          <w:sz w:val="24"/>
          <w:szCs w:val="24"/>
        </w:rPr>
      </w:pPr>
      <w:r w:rsidRPr="009127A5">
        <w:rPr>
          <w:rFonts w:ascii="Arial" w:hAnsi="Arial" w:cs="Arial"/>
          <w:b/>
          <w:sz w:val="24"/>
          <w:szCs w:val="24"/>
        </w:rPr>
        <w:t xml:space="preserve">TERCERO. </w:t>
      </w:r>
      <w:r w:rsidRPr="009127A5">
        <w:rPr>
          <w:rFonts w:ascii="Arial" w:hAnsi="Arial" w:cs="Arial"/>
          <w:sz w:val="24"/>
          <w:szCs w:val="24"/>
        </w:rPr>
        <w:t xml:space="preserve">Se </w:t>
      </w:r>
      <w:r w:rsidR="007A5A8E" w:rsidRPr="009127A5">
        <w:rPr>
          <w:rFonts w:ascii="Arial" w:hAnsi="Arial" w:cs="Arial"/>
          <w:sz w:val="24"/>
          <w:szCs w:val="24"/>
        </w:rPr>
        <w:t xml:space="preserve">declara la </w:t>
      </w:r>
      <w:r w:rsidR="00CC125B" w:rsidRPr="009127A5">
        <w:rPr>
          <w:rFonts w:ascii="Arial" w:eastAsia="Calibri" w:hAnsi="Arial" w:cs="Arial"/>
          <w:b/>
          <w:bCs/>
          <w:sz w:val="24"/>
          <w:szCs w:val="24"/>
          <w:lang w:eastAsia="en-US"/>
        </w:rPr>
        <w:t xml:space="preserve">NULIDAD </w:t>
      </w:r>
      <w:r w:rsidR="00CC125B" w:rsidRPr="009127A5">
        <w:rPr>
          <w:rFonts w:ascii="Arial" w:eastAsia="Calibri" w:hAnsi="Arial" w:cs="Arial"/>
          <w:sz w:val="24"/>
          <w:szCs w:val="24"/>
          <w:lang w:eastAsia="en-US"/>
        </w:rPr>
        <w:t xml:space="preserve"> de la Resolución de fecha veintinueve de noviembre de dos mil dieciséis dictada en el expediente </w:t>
      </w:r>
      <w:r w:rsidR="00FF23EA">
        <w:rPr>
          <w:rFonts w:ascii="Arial" w:eastAsia="Calibri" w:hAnsi="Arial" w:cs="Arial"/>
          <w:sz w:val="24"/>
          <w:szCs w:val="24"/>
          <w:lang w:eastAsia="en-US"/>
        </w:rPr>
        <w:t>**********</w:t>
      </w:r>
      <w:bookmarkStart w:id="0" w:name="_GoBack"/>
      <w:bookmarkEnd w:id="0"/>
      <w:r w:rsidR="006954E4">
        <w:rPr>
          <w:rFonts w:ascii="Arial" w:eastAsia="Calibri" w:hAnsi="Arial" w:cs="Arial"/>
          <w:sz w:val="24"/>
          <w:szCs w:val="24"/>
          <w:lang w:eastAsia="en-US"/>
        </w:rPr>
        <w:t xml:space="preserve"> </w:t>
      </w:r>
      <w:r w:rsidR="00CC125B" w:rsidRPr="009127A5">
        <w:rPr>
          <w:rFonts w:ascii="Arial" w:eastAsia="Calibri" w:hAnsi="Arial" w:cs="Arial"/>
          <w:b/>
          <w:bCs/>
          <w:sz w:val="24"/>
          <w:szCs w:val="24"/>
          <w:lang w:eastAsia="en-US"/>
        </w:rPr>
        <w:t>PARA EL EFECTO</w:t>
      </w:r>
      <w:r w:rsidR="00CC125B" w:rsidRPr="009127A5">
        <w:rPr>
          <w:rFonts w:ascii="Arial" w:eastAsia="Calibri" w:hAnsi="Arial" w:cs="Arial"/>
          <w:sz w:val="24"/>
          <w:szCs w:val="24"/>
          <w:lang w:eastAsia="en-US"/>
        </w:rPr>
        <w:t xml:space="preserve"> de que la autoridad demandada dicte una nueva resolución en la que de forma </w:t>
      </w:r>
      <w:r w:rsidR="00CC125B" w:rsidRPr="009127A5">
        <w:rPr>
          <w:rFonts w:ascii="Arial" w:eastAsia="Calibri" w:hAnsi="Arial" w:cs="Arial"/>
          <w:b/>
          <w:bCs/>
          <w:sz w:val="24"/>
          <w:szCs w:val="24"/>
          <w:lang w:eastAsia="en-US"/>
        </w:rPr>
        <w:t xml:space="preserve">fundada y motivada </w:t>
      </w:r>
      <w:r w:rsidR="00CC125B" w:rsidRPr="009127A5">
        <w:rPr>
          <w:rFonts w:ascii="Arial" w:eastAsia="Calibri" w:hAnsi="Arial" w:cs="Arial"/>
          <w:sz w:val="24"/>
          <w:szCs w:val="24"/>
          <w:lang w:eastAsia="en-US"/>
        </w:rPr>
        <w:t>especifique exactamente qué requisito fue el que no cumplió la parte actora o con base en qué presupuesto normativo es que resulta procedente la revocación</w:t>
      </w:r>
      <w:r w:rsidR="003C6D62">
        <w:rPr>
          <w:rFonts w:ascii="Arial" w:eastAsia="Calibri" w:hAnsi="Arial" w:cs="Arial"/>
          <w:sz w:val="24"/>
          <w:szCs w:val="24"/>
          <w:lang w:eastAsia="en-US"/>
        </w:rPr>
        <w:t>, conforme a lo señalado en el considerando quinto de la presente sentencia</w:t>
      </w:r>
      <w:r w:rsidR="00C0335B" w:rsidRPr="009127A5">
        <w:rPr>
          <w:rFonts w:ascii="Arial" w:hAnsi="Arial" w:cs="Arial"/>
          <w:sz w:val="24"/>
          <w:szCs w:val="24"/>
        </w:rPr>
        <w:t>.</w:t>
      </w:r>
    </w:p>
    <w:p w14:paraId="2C8627A4" w14:textId="77777777" w:rsidR="00C0335B" w:rsidRPr="009127A5" w:rsidRDefault="00C0335B" w:rsidP="00C0335B">
      <w:pPr>
        <w:spacing w:after="0" w:line="360" w:lineRule="auto"/>
        <w:ind w:firstLine="708"/>
        <w:jc w:val="both"/>
        <w:rPr>
          <w:rFonts w:ascii="Arial" w:hAnsi="Arial" w:cs="Arial"/>
          <w:sz w:val="24"/>
          <w:szCs w:val="24"/>
        </w:rPr>
      </w:pPr>
    </w:p>
    <w:p w14:paraId="46E7B66E" w14:textId="64699E9E" w:rsidR="009037F6" w:rsidRPr="009127A5" w:rsidRDefault="00C0335B" w:rsidP="00CC125B">
      <w:pPr>
        <w:tabs>
          <w:tab w:val="right" w:pos="9072"/>
        </w:tabs>
        <w:spacing w:after="0" w:line="360" w:lineRule="auto"/>
        <w:ind w:right="-234" w:firstLine="567"/>
        <w:jc w:val="both"/>
        <w:rPr>
          <w:rFonts w:ascii="Arial" w:eastAsia="Times New Roman" w:hAnsi="Arial" w:cs="Arial"/>
          <w:sz w:val="24"/>
          <w:szCs w:val="24"/>
        </w:rPr>
      </w:pPr>
      <w:r w:rsidRPr="009127A5">
        <w:rPr>
          <w:rFonts w:ascii="Arial" w:hAnsi="Arial" w:cs="Arial"/>
          <w:b/>
          <w:bCs/>
          <w:color w:val="000000" w:themeColor="text1"/>
          <w:sz w:val="24"/>
          <w:szCs w:val="24"/>
        </w:rPr>
        <w:t xml:space="preserve">CUARTO.- </w:t>
      </w:r>
      <w:r w:rsidR="009037F6" w:rsidRPr="009127A5">
        <w:rPr>
          <w:rFonts w:ascii="Arial" w:eastAsia="Times New Roman" w:hAnsi="Arial" w:cs="Arial"/>
          <w:b/>
          <w:sz w:val="24"/>
          <w:szCs w:val="24"/>
        </w:rPr>
        <w:t>Notifíquese personalmente a la parte actora y por oficio a la autoridad demandada</w:t>
      </w:r>
      <w:r w:rsidR="009037F6" w:rsidRPr="009127A5">
        <w:rPr>
          <w:rFonts w:ascii="Arial" w:eastAsia="Times New Roman" w:hAnsi="Arial" w:cs="Arial"/>
          <w:sz w:val="24"/>
          <w:szCs w:val="24"/>
        </w:rPr>
        <w:t>, con fundamento en los artículos 172 fracción I y 173 fracciones I y II, de la Ley de Procedimiento y Justicia Administrativa para el Estado de Oaxaca,</w:t>
      </w:r>
      <w:r w:rsidR="009037F6" w:rsidRPr="009127A5">
        <w:rPr>
          <w:rFonts w:ascii="Arial" w:eastAsia="Times New Roman" w:hAnsi="Arial" w:cs="Arial"/>
          <w:b/>
          <w:iCs/>
          <w:sz w:val="24"/>
          <w:szCs w:val="24"/>
        </w:rPr>
        <w:t xml:space="preserve"> - CÚMPLASE</w:t>
      </w:r>
      <w:r w:rsidR="009037F6" w:rsidRPr="009127A5">
        <w:rPr>
          <w:rFonts w:ascii="Arial" w:eastAsia="Times New Roman" w:hAnsi="Arial" w:cs="Arial"/>
          <w:sz w:val="24"/>
          <w:szCs w:val="24"/>
        </w:rPr>
        <w:t xml:space="preserve">. </w:t>
      </w:r>
    </w:p>
    <w:p w14:paraId="424E6CE8" w14:textId="77777777" w:rsidR="009037F6" w:rsidRPr="009127A5" w:rsidRDefault="009037F6" w:rsidP="009037F6">
      <w:pPr>
        <w:spacing w:after="0" w:line="360" w:lineRule="auto"/>
        <w:ind w:right="49" w:firstLine="567"/>
        <w:jc w:val="both"/>
        <w:rPr>
          <w:rFonts w:ascii="Arial" w:eastAsia="Times New Roman" w:hAnsi="Arial" w:cs="Arial"/>
          <w:b/>
          <w:sz w:val="24"/>
          <w:szCs w:val="24"/>
        </w:rPr>
      </w:pPr>
    </w:p>
    <w:p w14:paraId="55B4DD0B" w14:textId="77777777" w:rsidR="009037F6" w:rsidRPr="009127A5" w:rsidRDefault="009037F6" w:rsidP="009037F6">
      <w:pPr>
        <w:spacing w:after="0" w:line="360" w:lineRule="auto"/>
        <w:ind w:right="49" w:firstLine="567"/>
        <w:jc w:val="both"/>
        <w:rPr>
          <w:rFonts w:ascii="Arial" w:eastAsia="Times New Roman" w:hAnsi="Arial" w:cs="Arial"/>
          <w:b/>
          <w:sz w:val="24"/>
          <w:szCs w:val="24"/>
          <w:lang w:val="es-ES"/>
        </w:rPr>
      </w:pPr>
      <w:r w:rsidRPr="009127A5">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1690C3E5" w14:textId="77777777" w:rsidR="009037F6" w:rsidRPr="009127A5" w:rsidRDefault="009037F6" w:rsidP="009037F6">
      <w:pPr>
        <w:rPr>
          <w:sz w:val="24"/>
          <w:szCs w:val="24"/>
        </w:rPr>
      </w:pPr>
    </w:p>
    <w:p w14:paraId="4AB7D3F3" w14:textId="77777777" w:rsidR="009037F6" w:rsidRPr="009127A5" w:rsidRDefault="009037F6" w:rsidP="009037F6">
      <w:pPr>
        <w:rPr>
          <w:sz w:val="24"/>
          <w:szCs w:val="24"/>
        </w:rPr>
      </w:pPr>
    </w:p>
    <w:p w14:paraId="71030BCD" w14:textId="77777777" w:rsidR="00A1196F" w:rsidRPr="009127A5" w:rsidRDefault="00A1196F">
      <w:pPr>
        <w:rPr>
          <w:sz w:val="24"/>
          <w:szCs w:val="24"/>
        </w:rPr>
      </w:pPr>
    </w:p>
    <w:sectPr w:rsidR="00A1196F" w:rsidRPr="009127A5"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264AD" w14:textId="77777777" w:rsidR="00163334" w:rsidRDefault="00163334" w:rsidP="009037F6">
      <w:pPr>
        <w:spacing w:after="0" w:line="240" w:lineRule="auto"/>
      </w:pPr>
      <w:r>
        <w:separator/>
      </w:r>
    </w:p>
  </w:endnote>
  <w:endnote w:type="continuationSeparator" w:id="0">
    <w:p w14:paraId="6D7B58F2" w14:textId="77777777" w:rsidR="00163334" w:rsidRDefault="00163334" w:rsidP="0090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12413"/>
      <w:docPartObj>
        <w:docPartGallery w:val="Page Numbers (Bottom of Page)"/>
        <w:docPartUnique/>
      </w:docPartObj>
    </w:sdtPr>
    <w:sdtEndPr/>
    <w:sdtContent>
      <w:p w14:paraId="31750F8F" w14:textId="77777777" w:rsidR="00163663" w:rsidRDefault="00F45B0C">
        <w:pPr>
          <w:pStyle w:val="Piedepgina"/>
          <w:jc w:val="center"/>
        </w:pPr>
        <w:r>
          <w:fldChar w:fldCharType="begin"/>
        </w:r>
        <w:r>
          <w:instrText>PAGE   \* MERGEFORMAT</w:instrText>
        </w:r>
        <w:r>
          <w:fldChar w:fldCharType="separate"/>
        </w:r>
        <w:r w:rsidR="00FF23EA" w:rsidRPr="00FF23EA">
          <w:rPr>
            <w:noProof/>
            <w:lang w:val="es-ES"/>
          </w:rPr>
          <w:t>9</w:t>
        </w:r>
        <w:r>
          <w:fldChar w:fldCharType="end"/>
        </w:r>
      </w:p>
    </w:sdtContent>
  </w:sdt>
  <w:p w14:paraId="72E2B3F8" w14:textId="77777777" w:rsidR="00A360DF" w:rsidRDefault="001633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3E7007" w14:textId="77777777" w:rsidR="00163334" w:rsidRDefault="00163334" w:rsidP="009037F6">
      <w:pPr>
        <w:spacing w:after="0" w:line="240" w:lineRule="auto"/>
      </w:pPr>
      <w:r>
        <w:separator/>
      </w:r>
    </w:p>
  </w:footnote>
  <w:footnote w:type="continuationSeparator" w:id="0">
    <w:p w14:paraId="188A7547" w14:textId="77777777" w:rsidR="00163334" w:rsidRDefault="00163334" w:rsidP="009037F6">
      <w:pPr>
        <w:spacing w:after="0" w:line="240" w:lineRule="auto"/>
      </w:pPr>
      <w:r>
        <w:continuationSeparator/>
      </w:r>
    </w:p>
  </w:footnote>
  <w:footnote w:id="1">
    <w:p w14:paraId="094AEE1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1A9DAA66" w14:textId="77777777" w:rsidR="009037F6" w:rsidRPr="005B4F51" w:rsidRDefault="009037F6" w:rsidP="009037F6">
      <w:pPr>
        <w:autoSpaceDE w:val="0"/>
        <w:autoSpaceDN w:val="0"/>
        <w:adjustRightInd w:val="0"/>
        <w:spacing w:after="0" w:line="240" w:lineRule="auto"/>
        <w:jc w:val="both"/>
        <w:rPr>
          <w:rFonts w:ascii="Arial" w:hAnsi="Arial" w:cs="Arial"/>
          <w:color w:val="000000"/>
        </w:rPr>
      </w:pPr>
    </w:p>
  </w:footnote>
  <w:footnote w:id="2">
    <w:p w14:paraId="2D9ED90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1F9CB4C" w14:textId="77777777" w:rsidR="009037F6" w:rsidRPr="005B4F51" w:rsidRDefault="009037F6" w:rsidP="009037F6">
      <w:pPr>
        <w:autoSpaceDE w:val="0"/>
        <w:autoSpaceDN w:val="0"/>
        <w:adjustRightInd w:val="0"/>
        <w:spacing w:after="0" w:line="240" w:lineRule="auto"/>
        <w:rPr>
          <w:rFonts w:ascii="Arial" w:hAnsi="Arial" w:cs="Arial"/>
          <w:color w:val="000000"/>
          <w:sz w:val="16"/>
          <w:szCs w:val="16"/>
        </w:rPr>
      </w:pPr>
    </w:p>
  </w:footnote>
  <w:footnote w:id="3">
    <w:p w14:paraId="121B89D1" w14:textId="77777777" w:rsidR="007E0C6B" w:rsidRDefault="007E0C6B" w:rsidP="007E0C6B">
      <w:pPr>
        <w:pStyle w:val="Textonotapie"/>
      </w:pPr>
      <w:r>
        <w:rPr>
          <w:rStyle w:val="Refdenotaalpie"/>
        </w:rPr>
        <w:footnoteRef/>
      </w:r>
      <w:r>
        <w:t xml:space="preserve"> </w:t>
      </w:r>
      <w:r w:rsidRPr="00861DEA">
        <w:rPr>
          <w:rFonts w:ascii="Arial" w:hAnsi="Arial" w:cs="Arial"/>
          <w:sz w:val="16"/>
          <w:szCs w:val="16"/>
        </w:rPr>
        <w:t>Época: Décima Época, Registro: 159997, Instancia: Tribunales Colegiados de Circuito, Tipo de Tesis: Jurisprudencia, Fuente: Semanario Judicial de la Federación y su Gaceta, Libro XI, Agosto de 2012, Tomo 2, Materia(s): Constitucional, Administrativa, Tesis: I.7o.A. J/65 (9a.), Página: 1244</w:t>
      </w:r>
    </w:p>
  </w:footnote>
  <w:footnote w:id="4">
    <w:p w14:paraId="7F09D7DA" w14:textId="77777777" w:rsidR="00CC125B" w:rsidRPr="00CC125B" w:rsidRDefault="00CC125B" w:rsidP="00CC125B">
      <w:pPr>
        <w:pStyle w:val="Textonotapie"/>
        <w:jc w:val="both"/>
        <w:rPr>
          <w:rFonts w:ascii="Arial" w:hAnsi="Arial" w:cs="Arial"/>
          <w:sz w:val="16"/>
          <w:szCs w:val="16"/>
        </w:rPr>
      </w:pPr>
      <w:r>
        <w:rPr>
          <w:rStyle w:val="Refdenotaalpie"/>
        </w:rPr>
        <w:footnoteRef/>
      </w:r>
      <w:r>
        <w:t xml:space="preserve"> SUSPENSIÓN EN EL JUICIO DE AMPARO. AL SER DE ORDEN PÚBLICO E INTERÉS SOCIAL LAS DISPOSICIONES DE LA LEY DE TRANSPORTE DEL ESTADO DE CHIHUAHUA, ENTRE OTRAS, LAS RELATIVAS A LA PRESTACIÓN DE LOS SERVICIOS DE AUTOTRANSPORTE FEDERAL DE CARGA O DE </w:t>
      </w:r>
      <w:r w:rsidRPr="00CC125B">
        <w:rPr>
          <w:rFonts w:ascii="Arial" w:hAnsi="Arial" w:cs="Arial"/>
          <w:sz w:val="16"/>
          <w:szCs w:val="16"/>
        </w:rPr>
        <w:t>TRANSPORTE COLECTIVO URBANO DE PASAJEROS, ES IMPROCEDENTE CONCEDERLA CONTRA SU APLICACIÓN.</w:t>
      </w:r>
    </w:p>
    <w:p w14:paraId="2E6FFE75" w14:textId="77777777" w:rsidR="00CC125B" w:rsidRPr="00CC125B" w:rsidRDefault="00CC125B" w:rsidP="00CC125B">
      <w:pPr>
        <w:pStyle w:val="Textonotapie"/>
        <w:jc w:val="both"/>
        <w:rPr>
          <w:rFonts w:ascii="Arial" w:hAnsi="Arial" w:cs="Arial"/>
          <w:sz w:val="16"/>
          <w:szCs w:val="16"/>
        </w:rPr>
      </w:pPr>
    </w:p>
    <w:p w14:paraId="19819816" w14:textId="6DE2EFB1" w:rsidR="00CC125B" w:rsidRPr="00CC125B" w:rsidRDefault="00CC125B" w:rsidP="00CC125B">
      <w:pPr>
        <w:pStyle w:val="Textonotapie"/>
        <w:jc w:val="both"/>
        <w:rPr>
          <w:rFonts w:ascii="Arial" w:hAnsi="Arial" w:cs="Arial"/>
          <w:sz w:val="16"/>
          <w:szCs w:val="16"/>
        </w:rPr>
      </w:pPr>
      <w:r w:rsidRPr="00CC125B">
        <w:rPr>
          <w:rFonts w:ascii="Arial" w:hAnsi="Arial" w:cs="Arial"/>
          <w:sz w:val="16"/>
          <w:szCs w:val="16"/>
        </w:rPr>
        <w:t>Las disposiciones de la Ley de Transporte del Estado de Chihuahua, publicada en el Periódico Oficial local el 21 de marzo de 2020, en cuanto sujetan la continuación de la operación, entre otras, de las concesiones para prestar los servicios de autotransporte federal de carga o de transporte colectivo urbano de pasajeros, al cumplimiento de los requisitos y las condiciones de organización y funcionamiento previstas en dicho ordenamiento y otorgan para ello un plazo que no exceda de doce meses, contados a partir de su entrada en vigor –al día siguiente de su publicación oficial–, conforme al artículo quinto transitorio del decreto correspondiente, son de orden público e interés social, pues tienen como finalidad establecer las bases, normas y principios para regular la operación, planeación, programación, proyección, implementación, gestión, control y vigilancia de la prestación de los servicios de transporte de personas, así como el uso, aprovechamiento y explotación de las vías de comunicación e infraestructura de la entidad federativa, además de prestar un servicio confiable, eficiente, cómodo y seguro que permita movilizar a sus usuarios con altos estándares de calidad, acceso y cobertura en el área urbana o conurbana correspondiente. Por tanto, es improcedente conceder la suspensión provisional contra su aplicación, al no satisfacerse el requisito contenido en la fracción II del artículo 128 de la Ley de Amparo, toda vez que de la ponderación entre el derecho que tienen los particulares a quienes se les otorgó una concesión para prestar dicho servicio y el interés social inmerso en las disposiciones que lo limitan o restringen, en términos del artículo 107, fracción X, primer párrafo, de la Constitución Política de los Estados Unidos Mexicanos, se colige que debe privilegiarse, por encima del interés particular, el bien común, derivado de la regulación y mejoramiento en la prestación de los servicios públicos.</w:t>
      </w:r>
    </w:p>
    <w:p w14:paraId="36124952" w14:textId="7693978B" w:rsidR="00CC125B" w:rsidRPr="00CC125B" w:rsidRDefault="00CC125B" w:rsidP="00CC125B">
      <w:pPr>
        <w:pStyle w:val="Textonotapie"/>
        <w:jc w:val="both"/>
        <w:rPr>
          <w:rFonts w:ascii="Arial" w:hAnsi="Arial" w:cs="Arial"/>
          <w:sz w:val="16"/>
          <w:szCs w:val="16"/>
        </w:rPr>
      </w:pPr>
    </w:p>
    <w:p w14:paraId="172997A6" w14:textId="44999C41" w:rsidR="00CC125B" w:rsidRPr="00CC125B" w:rsidRDefault="00CC125B" w:rsidP="00CC125B">
      <w:pPr>
        <w:pStyle w:val="Textonotapie"/>
        <w:jc w:val="both"/>
        <w:rPr>
          <w:rFonts w:ascii="Arial" w:hAnsi="Arial" w:cs="Arial"/>
          <w:sz w:val="16"/>
          <w:szCs w:val="16"/>
        </w:rPr>
      </w:pPr>
      <w:r w:rsidRPr="00CC125B">
        <w:rPr>
          <w:rFonts w:ascii="Arial" w:hAnsi="Arial" w:cs="Arial"/>
          <w:sz w:val="16"/>
          <w:szCs w:val="16"/>
        </w:rPr>
        <w:t>Registro digital: 2023383, Instancia: Tribunales Colegiados de Circuito, Undécima Época, Materia(s): Común, Administrativa, Tesis: XVII.2o.P.A. J/1 A (11a.), Fuente: Gaceta del Semanario Judicial de la Federación, Libro 3, Julio de 2021, Tomo II, página 2277, Tipo: Jurisprudencia</w:t>
      </w:r>
    </w:p>
    <w:p w14:paraId="73C764F1" w14:textId="1BB445B5" w:rsidR="00CC125B" w:rsidRDefault="00CC125B">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5611C62" w14:textId="77777777" w:rsidR="00A360DF" w:rsidRDefault="00163334">
        <w:pPr>
          <w:pStyle w:val="Encabezado"/>
          <w:jc w:val="center"/>
        </w:pPr>
        <w:r>
          <w:rPr>
            <w:noProof/>
          </w:rPr>
          <w:pict w14:anchorId="5316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45B0C">
          <w:fldChar w:fldCharType="begin"/>
        </w:r>
        <w:r w:rsidR="00F45B0C">
          <w:instrText>PAGE   \* MERGEFORMAT</w:instrText>
        </w:r>
        <w:r w:rsidR="00F45B0C">
          <w:fldChar w:fldCharType="separate"/>
        </w:r>
        <w:r w:rsidR="00F45B0C" w:rsidRPr="00402B4B">
          <w:rPr>
            <w:noProof/>
            <w:lang w:val="es-ES"/>
          </w:rPr>
          <w:t>6</w:t>
        </w:r>
        <w:r w:rsidR="00F45B0C">
          <w:fldChar w:fldCharType="end"/>
        </w:r>
      </w:p>
    </w:sdtContent>
  </w:sdt>
  <w:p w14:paraId="298ADD74" w14:textId="77777777" w:rsidR="00A360DF" w:rsidRDefault="0016333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3114" w14:textId="2160DAA2" w:rsidR="00C50BCA" w:rsidRPr="00B61D83" w:rsidRDefault="00F45B0C" w:rsidP="00C50BCA">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w:t>
    </w:r>
    <w:r w:rsidR="00794544">
      <w:rPr>
        <w:rFonts w:ascii="Century Schoolbook" w:hAnsi="Century Schoolbook" w:cs="Arial"/>
        <w:b/>
        <w:bCs/>
      </w:rPr>
      <w:t>0075</w:t>
    </w:r>
    <w:r>
      <w:rPr>
        <w:rFonts w:ascii="Century Schoolbook" w:hAnsi="Century Schoolbook" w:cs="Arial"/>
        <w:b/>
        <w:bCs/>
      </w:rPr>
      <w:t>/202</w:t>
    </w:r>
    <w:r w:rsidR="00794544">
      <w:rPr>
        <w:rFonts w:ascii="Century Schoolbook" w:hAnsi="Century Schoolbook" w:cs="Arial"/>
        <w:b/>
        <w:bCs/>
      </w:rPr>
      <w:t>0</w:t>
    </w:r>
  </w:p>
  <w:p w14:paraId="05BFC1B4" w14:textId="77777777" w:rsidR="00FF23EA" w:rsidRDefault="00FF23EA" w:rsidP="00FF23EA">
    <w:pPr>
      <w:pStyle w:val="Encabezado"/>
      <w:jc w:val="center"/>
      <w:rPr>
        <w:rFonts w:ascii="Arial" w:hAnsi="Arial" w:cs="Arial"/>
        <w:b/>
        <w:color w:val="0070C0"/>
      </w:rPr>
    </w:pPr>
  </w:p>
  <w:p w14:paraId="1DBA0E35" w14:textId="77777777" w:rsidR="00FF23EA" w:rsidRDefault="00FF23EA" w:rsidP="00FF23EA">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2B3BC4FA" w14:textId="77777777" w:rsidR="0051494B" w:rsidRDefault="00163334" w:rsidP="0051494B">
    <w:pPr>
      <w:pStyle w:val="Encabezado"/>
    </w:pPr>
  </w:p>
  <w:p w14:paraId="2F007646" w14:textId="77777777" w:rsidR="00A360DF" w:rsidRDefault="00163334" w:rsidP="0051494B">
    <w:pPr>
      <w:pStyle w:val="Encabezado"/>
      <w:jc w:val="center"/>
    </w:pPr>
    <w:r>
      <w:rPr>
        <w:noProof/>
      </w:rPr>
      <w:pict w14:anchorId="2A7BD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F45B0C" w:rsidRPr="007112DA">
      <w:rPr>
        <w:noProof/>
        <w:sz w:val="22"/>
        <w:szCs w:val="22"/>
        <w:lang w:eastAsia="es-MX"/>
      </w:rPr>
      <mc:AlternateContent>
        <mc:Choice Requires="wpg">
          <w:drawing>
            <wp:anchor distT="0" distB="0" distL="114300" distR="114300" simplePos="0" relativeHeight="251656192" behindDoc="0" locked="0" layoutInCell="1" allowOverlap="1" wp14:anchorId="65F2CECB" wp14:editId="2EF42BC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1CC2E1"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B381" w14:textId="77777777" w:rsidR="00A360DF" w:rsidRDefault="00163334">
    <w:pPr>
      <w:pStyle w:val="Encabezado"/>
    </w:pPr>
    <w:r>
      <w:rPr>
        <w:noProof/>
      </w:rPr>
      <w:pict w14:anchorId="6C6E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2C2EB2"/>
    <w:multiLevelType w:val="hybridMultilevel"/>
    <w:tmpl w:val="25EC4EF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F6"/>
    <w:rsid w:val="00006A45"/>
    <w:rsid w:val="000374B2"/>
    <w:rsid w:val="00062812"/>
    <w:rsid w:val="00074C16"/>
    <w:rsid w:val="000B74EC"/>
    <w:rsid w:val="000D0EDB"/>
    <w:rsid w:val="00126E38"/>
    <w:rsid w:val="00153F77"/>
    <w:rsid w:val="00163334"/>
    <w:rsid w:val="001C4312"/>
    <w:rsid w:val="001E2B52"/>
    <w:rsid w:val="001F1FC6"/>
    <w:rsid w:val="002236F4"/>
    <w:rsid w:val="00232F4E"/>
    <w:rsid w:val="002A0B7D"/>
    <w:rsid w:val="002A280B"/>
    <w:rsid w:val="002A62B3"/>
    <w:rsid w:val="002B1636"/>
    <w:rsid w:val="002E126D"/>
    <w:rsid w:val="0031084A"/>
    <w:rsid w:val="003C6D62"/>
    <w:rsid w:val="003F31E1"/>
    <w:rsid w:val="003F6946"/>
    <w:rsid w:val="00424348"/>
    <w:rsid w:val="0043116A"/>
    <w:rsid w:val="004947B0"/>
    <w:rsid w:val="004E72E4"/>
    <w:rsid w:val="00512412"/>
    <w:rsid w:val="005158DB"/>
    <w:rsid w:val="00525D1B"/>
    <w:rsid w:val="005A28CC"/>
    <w:rsid w:val="005B0A0D"/>
    <w:rsid w:val="005D4DFE"/>
    <w:rsid w:val="005E7D29"/>
    <w:rsid w:val="00643D97"/>
    <w:rsid w:val="006473AA"/>
    <w:rsid w:val="006503F3"/>
    <w:rsid w:val="006954E4"/>
    <w:rsid w:val="006F032E"/>
    <w:rsid w:val="006F0A88"/>
    <w:rsid w:val="006F5FC1"/>
    <w:rsid w:val="0071652F"/>
    <w:rsid w:val="00757E1D"/>
    <w:rsid w:val="007667A3"/>
    <w:rsid w:val="0078440C"/>
    <w:rsid w:val="00794544"/>
    <w:rsid w:val="00797903"/>
    <w:rsid w:val="007A45ED"/>
    <w:rsid w:val="007A5A8E"/>
    <w:rsid w:val="007A5F02"/>
    <w:rsid w:val="007A76DB"/>
    <w:rsid w:val="007E0C6B"/>
    <w:rsid w:val="007F4785"/>
    <w:rsid w:val="00815F44"/>
    <w:rsid w:val="00846AD2"/>
    <w:rsid w:val="008857E2"/>
    <w:rsid w:val="008A12CC"/>
    <w:rsid w:val="008A6FAB"/>
    <w:rsid w:val="008B6C97"/>
    <w:rsid w:val="008C6ECE"/>
    <w:rsid w:val="009037F6"/>
    <w:rsid w:val="009127A5"/>
    <w:rsid w:val="009222D3"/>
    <w:rsid w:val="00937F4C"/>
    <w:rsid w:val="009A0457"/>
    <w:rsid w:val="009C2033"/>
    <w:rsid w:val="009D3CDC"/>
    <w:rsid w:val="009D75F6"/>
    <w:rsid w:val="009E4C25"/>
    <w:rsid w:val="00A04F63"/>
    <w:rsid w:val="00A1196F"/>
    <w:rsid w:val="00A20631"/>
    <w:rsid w:val="00A54418"/>
    <w:rsid w:val="00A86C08"/>
    <w:rsid w:val="00AE4664"/>
    <w:rsid w:val="00AE6DB9"/>
    <w:rsid w:val="00B15541"/>
    <w:rsid w:val="00B210C3"/>
    <w:rsid w:val="00B22DE7"/>
    <w:rsid w:val="00B4129A"/>
    <w:rsid w:val="00B75262"/>
    <w:rsid w:val="00BB1B55"/>
    <w:rsid w:val="00C027D2"/>
    <w:rsid w:val="00C0335B"/>
    <w:rsid w:val="00C045B6"/>
    <w:rsid w:val="00C24485"/>
    <w:rsid w:val="00C323DC"/>
    <w:rsid w:val="00C46D6A"/>
    <w:rsid w:val="00C73ECE"/>
    <w:rsid w:val="00C756BC"/>
    <w:rsid w:val="00C75F8F"/>
    <w:rsid w:val="00C83B86"/>
    <w:rsid w:val="00CC125B"/>
    <w:rsid w:val="00CE6E43"/>
    <w:rsid w:val="00D51F6B"/>
    <w:rsid w:val="00D609C4"/>
    <w:rsid w:val="00DE7470"/>
    <w:rsid w:val="00E40528"/>
    <w:rsid w:val="00E4754D"/>
    <w:rsid w:val="00E501B5"/>
    <w:rsid w:val="00E56C4C"/>
    <w:rsid w:val="00E636D6"/>
    <w:rsid w:val="00E85D9A"/>
    <w:rsid w:val="00EC4BFC"/>
    <w:rsid w:val="00F4220D"/>
    <w:rsid w:val="00F45B0C"/>
    <w:rsid w:val="00FA5134"/>
    <w:rsid w:val="00FE72C3"/>
    <w:rsid w:val="00FF23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B072A2"/>
  <w15:chartTrackingRefBased/>
  <w15:docId w15:val="{3C425ABD-10A3-433A-8621-3CD9CB22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7F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037F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037F6"/>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9037F6"/>
    <w:pPr>
      <w:spacing w:after="0" w:line="240" w:lineRule="auto"/>
    </w:pPr>
    <w:rPr>
      <w:sz w:val="20"/>
      <w:szCs w:val="20"/>
    </w:rPr>
  </w:style>
  <w:style w:type="character" w:customStyle="1" w:styleId="TextonotapieCar">
    <w:name w:val="Texto nota pie Car"/>
    <w:basedOn w:val="Fuentedeprrafopredeter"/>
    <w:link w:val="Textonotapie"/>
    <w:uiPriority w:val="99"/>
    <w:rsid w:val="009037F6"/>
    <w:rPr>
      <w:rFonts w:eastAsiaTheme="minorEastAsia"/>
      <w:sz w:val="20"/>
      <w:szCs w:val="20"/>
      <w:lang w:eastAsia="es-MX"/>
    </w:rPr>
  </w:style>
  <w:style w:type="character" w:styleId="Refdenotaalpie">
    <w:name w:val="footnote reference"/>
    <w:basedOn w:val="Fuentedeprrafopredeter"/>
    <w:uiPriority w:val="99"/>
    <w:unhideWhenUsed/>
    <w:rsid w:val="009037F6"/>
    <w:rPr>
      <w:vertAlign w:val="superscript"/>
    </w:rPr>
  </w:style>
  <w:style w:type="paragraph" w:styleId="Piedepgina">
    <w:name w:val="footer"/>
    <w:basedOn w:val="Normal"/>
    <w:link w:val="PiedepginaCar"/>
    <w:uiPriority w:val="99"/>
    <w:unhideWhenUsed/>
    <w:rsid w:val="009037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37F6"/>
    <w:rPr>
      <w:rFonts w:eastAsiaTheme="minorEastAsia"/>
      <w:lang w:eastAsia="es-MX"/>
    </w:rPr>
  </w:style>
  <w:style w:type="paragraph" w:styleId="Prrafodelista">
    <w:name w:val="List Paragraph"/>
    <w:basedOn w:val="Normal"/>
    <w:uiPriority w:val="34"/>
    <w:qFormat/>
    <w:rsid w:val="002A62B3"/>
    <w:pPr>
      <w:ind w:left="720"/>
      <w:contextualSpacing/>
    </w:pPr>
  </w:style>
  <w:style w:type="paragraph" w:styleId="Textodeglobo">
    <w:name w:val="Balloon Text"/>
    <w:basedOn w:val="Normal"/>
    <w:link w:val="TextodegloboCar"/>
    <w:uiPriority w:val="99"/>
    <w:semiHidden/>
    <w:unhideWhenUsed/>
    <w:rsid w:val="001F1F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1FC6"/>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742084">
      <w:bodyDiv w:val="1"/>
      <w:marLeft w:val="0"/>
      <w:marRight w:val="0"/>
      <w:marTop w:val="0"/>
      <w:marBottom w:val="0"/>
      <w:divBdr>
        <w:top w:val="none" w:sz="0" w:space="0" w:color="auto"/>
        <w:left w:val="none" w:sz="0" w:space="0" w:color="auto"/>
        <w:bottom w:val="none" w:sz="0" w:space="0" w:color="auto"/>
        <w:right w:val="none" w:sz="0" w:space="0" w:color="auto"/>
      </w:divBdr>
    </w:div>
    <w:div w:id="392585227">
      <w:bodyDiv w:val="1"/>
      <w:marLeft w:val="0"/>
      <w:marRight w:val="0"/>
      <w:marTop w:val="0"/>
      <w:marBottom w:val="0"/>
      <w:divBdr>
        <w:top w:val="none" w:sz="0" w:space="0" w:color="auto"/>
        <w:left w:val="none" w:sz="0" w:space="0" w:color="auto"/>
        <w:bottom w:val="none" w:sz="0" w:space="0" w:color="auto"/>
        <w:right w:val="none" w:sz="0" w:space="0" w:color="auto"/>
      </w:divBdr>
    </w:div>
    <w:div w:id="442503776">
      <w:bodyDiv w:val="1"/>
      <w:marLeft w:val="0"/>
      <w:marRight w:val="0"/>
      <w:marTop w:val="0"/>
      <w:marBottom w:val="0"/>
      <w:divBdr>
        <w:top w:val="none" w:sz="0" w:space="0" w:color="auto"/>
        <w:left w:val="none" w:sz="0" w:space="0" w:color="auto"/>
        <w:bottom w:val="none" w:sz="0" w:space="0" w:color="auto"/>
        <w:right w:val="none" w:sz="0" w:space="0" w:color="auto"/>
      </w:divBdr>
    </w:div>
    <w:div w:id="482428991">
      <w:bodyDiv w:val="1"/>
      <w:marLeft w:val="0"/>
      <w:marRight w:val="0"/>
      <w:marTop w:val="0"/>
      <w:marBottom w:val="0"/>
      <w:divBdr>
        <w:top w:val="none" w:sz="0" w:space="0" w:color="auto"/>
        <w:left w:val="none" w:sz="0" w:space="0" w:color="auto"/>
        <w:bottom w:val="none" w:sz="0" w:space="0" w:color="auto"/>
        <w:right w:val="none" w:sz="0" w:space="0" w:color="auto"/>
      </w:divBdr>
    </w:div>
    <w:div w:id="714502409">
      <w:bodyDiv w:val="1"/>
      <w:marLeft w:val="0"/>
      <w:marRight w:val="0"/>
      <w:marTop w:val="0"/>
      <w:marBottom w:val="0"/>
      <w:divBdr>
        <w:top w:val="none" w:sz="0" w:space="0" w:color="auto"/>
        <w:left w:val="none" w:sz="0" w:space="0" w:color="auto"/>
        <w:bottom w:val="none" w:sz="0" w:space="0" w:color="auto"/>
        <w:right w:val="none" w:sz="0" w:space="0" w:color="auto"/>
      </w:divBdr>
    </w:div>
    <w:div w:id="890384420">
      <w:bodyDiv w:val="1"/>
      <w:marLeft w:val="0"/>
      <w:marRight w:val="0"/>
      <w:marTop w:val="0"/>
      <w:marBottom w:val="0"/>
      <w:divBdr>
        <w:top w:val="none" w:sz="0" w:space="0" w:color="auto"/>
        <w:left w:val="none" w:sz="0" w:space="0" w:color="auto"/>
        <w:bottom w:val="none" w:sz="0" w:space="0" w:color="auto"/>
        <w:right w:val="none" w:sz="0" w:space="0" w:color="auto"/>
      </w:divBdr>
    </w:div>
    <w:div w:id="926501195">
      <w:bodyDiv w:val="1"/>
      <w:marLeft w:val="0"/>
      <w:marRight w:val="0"/>
      <w:marTop w:val="0"/>
      <w:marBottom w:val="0"/>
      <w:divBdr>
        <w:top w:val="none" w:sz="0" w:space="0" w:color="auto"/>
        <w:left w:val="none" w:sz="0" w:space="0" w:color="auto"/>
        <w:bottom w:val="none" w:sz="0" w:space="0" w:color="auto"/>
        <w:right w:val="none" w:sz="0" w:space="0" w:color="auto"/>
      </w:divBdr>
    </w:div>
    <w:div w:id="975722917">
      <w:bodyDiv w:val="1"/>
      <w:marLeft w:val="0"/>
      <w:marRight w:val="0"/>
      <w:marTop w:val="0"/>
      <w:marBottom w:val="0"/>
      <w:divBdr>
        <w:top w:val="none" w:sz="0" w:space="0" w:color="auto"/>
        <w:left w:val="none" w:sz="0" w:space="0" w:color="auto"/>
        <w:bottom w:val="none" w:sz="0" w:space="0" w:color="auto"/>
        <w:right w:val="none" w:sz="0" w:space="0" w:color="auto"/>
      </w:divBdr>
    </w:div>
    <w:div w:id="1437017290">
      <w:bodyDiv w:val="1"/>
      <w:marLeft w:val="0"/>
      <w:marRight w:val="0"/>
      <w:marTop w:val="0"/>
      <w:marBottom w:val="0"/>
      <w:divBdr>
        <w:top w:val="none" w:sz="0" w:space="0" w:color="auto"/>
        <w:left w:val="none" w:sz="0" w:space="0" w:color="auto"/>
        <w:bottom w:val="none" w:sz="0" w:space="0" w:color="auto"/>
        <w:right w:val="none" w:sz="0" w:space="0" w:color="auto"/>
      </w:divBdr>
    </w:div>
    <w:div w:id="1618439650">
      <w:bodyDiv w:val="1"/>
      <w:marLeft w:val="0"/>
      <w:marRight w:val="0"/>
      <w:marTop w:val="0"/>
      <w:marBottom w:val="0"/>
      <w:divBdr>
        <w:top w:val="none" w:sz="0" w:space="0" w:color="auto"/>
        <w:left w:val="none" w:sz="0" w:space="0" w:color="auto"/>
        <w:bottom w:val="none" w:sz="0" w:space="0" w:color="auto"/>
        <w:right w:val="none" w:sz="0" w:space="0" w:color="auto"/>
      </w:divBdr>
      <w:divsChild>
        <w:div w:id="1235623385">
          <w:marLeft w:val="0"/>
          <w:marRight w:val="0"/>
          <w:marTop w:val="0"/>
          <w:marBottom w:val="0"/>
          <w:divBdr>
            <w:top w:val="none" w:sz="0" w:space="0" w:color="auto"/>
            <w:left w:val="none" w:sz="0" w:space="0" w:color="auto"/>
            <w:bottom w:val="none" w:sz="0" w:space="0" w:color="auto"/>
            <w:right w:val="none" w:sz="0" w:space="0" w:color="auto"/>
          </w:divBdr>
        </w:div>
        <w:div w:id="262960493">
          <w:marLeft w:val="0"/>
          <w:marRight w:val="0"/>
          <w:marTop w:val="0"/>
          <w:marBottom w:val="0"/>
          <w:divBdr>
            <w:top w:val="none" w:sz="0" w:space="0" w:color="auto"/>
            <w:left w:val="none" w:sz="0" w:space="0" w:color="auto"/>
            <w:bottom w:val="none" w:sz="0" w:space="0" w:color="auto"/>
            <w:right w:val="none" w:sz="0" w:space="0" w:color="auto"/>
          </w:divBdr>
        </w:div>
        <w:div w:id="2039773023">
          <w:marLeft w:val="0"/>
          <w:marRight w:val="0"/>
          <w:marTop w:val="0"/>
          <w:marBottom w:val="0"/>
          <w:divBdr>
            <w:top w:val="none" w:sz="0" w:space="0" w:color="auto"/>
            <w:left w:val="none" w:sz="0" w:space="0" w:color="auto"/>
            <w:bottom w:val="none" w:sz="0" w:space="0" w:color="auto"/>
            <w:right w:val="none" w:sz="0" w:space="0" w:color="auto"/>
          </w:divBdr>
        </w:div>
        <w:div w:id="635257962">
          <w:marLeft w:val="0"/>
          <w:marRight w:val="0"/>
          <w:marTop w:val="0"/>
          <w:marBottom w:val="0"/>
          <w:divBdr>
            <w:top w:val="none" w:sz="0" w:space="0" w:color="auto"/>
            <w:left w:val="none" w:sz="0" w:space="0" w:color="auto"/>
            <w:bottom w:val="none" w:sz="0" w:space="0" w:color="auto"/>
            <w:right w:val="none" w:sz="0" w:space="0" w:color="auto"/>
          </w:divBdr>
        </w:div>
        <w:div w:id="539972982">
          <w:marLeft w:val="0"/>
          <w:marRight w:val="0"/>
          <w:marTop w:val="0"/>
          <w:marBottom w:val="0"/>
          <w:divBdr>
            <w:top w:val="none" w:sz="0" w:space="0" w:color="auto"/>
            <w:left w:val="none" w:sz="0" w:space="0" w:color="auto"/>
            <w:bottom w:val="none" w:sz="0" w:space="0" w:color="auto"/>
            <w:right w:val="none" w:sz="0" w:space="0" w:color="auto"/>
          </w:divBdr>
        </w:div>
        <w:div w:id="1057897357">
          <w:marLeft w:val="0"/>
          <w:marRight w:val="0"/>
          <w:marTop w:val="0"/>
          <w:marBottom w:val="0"/>
          <w:divBdr>
            <w:top w:val="none" w:sz="0" w:space="0" w:color="auto"/>
            <w:left w:val="none" w:sz="0" w:space="0" w:color="auto"/>
            <w:bottom w:val="none" w:sz="0" w:space="0" w:color="auto"/>
            <w:right w:val="none" w:sz="0" w:space="0" w:color="auto"/>
          </w:divBdr>
        </w:div>
        <w:div w:id="464546315">
          <w:marLeft w:val="0"/>
          <w:marRight w:val="0"/>
          <w:marTop w:val="0"/>
          <w:marBottom w:val="0"/>
          <w:divBdr>
            <w:top w:val="none" w:sz="0" w:space="0" w:color="auto"/>
            <w:left w:val="none" w:sz="0" w:space="0" w:color="auto"/>
            <w:bottom w:val="none" w:sz="0" w:space="0" w:color="auto"/>
            <w:right w:val="none" w:sz="0" w:space="0" w:color="auto"/>
          </w:divBdr>
        </w:div>
      </w:divsChild>
    </w:div>
    <w:div w:id="187380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37B3C-EF10-4129-827B-1F5C4E19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4324</Words>
  <Characters>23788</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11</cp:revision>
  <cp:lastPrinted>2022-11-29T19:19:00Z</cp:lastPrinted>
  <dcterms:created xsi:type="dcterms:W3CDTF">2022-11-25T17:36:00Z</dcterms:created>
  <dcterms:modified xsi:type="dcterms:W3CDTF">2023-04-10T22:29:00Z</dcterms:modified>
</cp:coreProperties>
</file>