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353AE" w14:textId="77777777" w:rsidR="00980029" w:rsidRDefault="00980029" w:rsidP="00980029">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66DE0EA7" w14:textId="77777777" w:rsidR="00980029" w:rsidRDefault="00980029" w:rsidP="00980029">
      <w:pPr>
        <w:spacing w:line="360" w:lineRule="auto"/>
        <w:jc w:val="both"/>
        <w:rPr>
          <w:rFonts w:ascii="Arial" w:hAnsi="Arial" w:cs="Arial"/>
          <w:b/>
          <w:sz w:val="24"/>
          <w:szCs w:val="24"/>
        </w:rPr>
      </w:pPr>
      <w:r>
        <w:rPr>
          <w:rFonts w:ascii="Arial" w:hAnsi="Arial" w:cs="Arial"/>
          <w:b/>
          <w:sz w:val="24"/>
          <w:szCs w:val="24"/>
        </w:rPr>
        <w:t xml:space="preserve">OAXACA DE JUÁREZ, OAXACA; A </w:t>
      </w:r>
      <w:r w:rsidR="00F60516">
        <w:rPr>
          <w:rFonts w:ascii="Arial" w:hAnsi="Arial" w:cs="Arial"/>
          <w:b/>
          <w:sz w:val="24"/>
          <w:szCs w:val="24"/>
        </w:rPr>
        <w:t>CATORCE</w:t>
      </w:r>
      <w:r>
        <w:rPr>
          <w:rFonts w:ascii="Arial" w:hAnsi="Arial" w:cs="Arial"/>
          <w:b/>
          <w:sz w:val="24"/>
          <w:szCs w:val="24"/>
        </w:rPr>
        <w:t xml:space="preserve"> DE ENERO DE DOS MIL VEINTE</w:t>
      </w:r>
      <w:r w:rsidR="00F60516">
        <w:rPr>
          <w:rFonts w:ascii="Arial" w:hAnsi="Arial" w:cs="Arial"/>
          <w:b/>
          <w:sz w:val="24"/>
          <w:szCs w:val="24"/>
        </w:rPr>
        <w:t xml:space="preserve"> (1</w:t>
      </w:r>
      <w:r>
        <w:rPr>
          <w:rFonts w:ascii="Arial" w:hAnsi="Arial" w:cs="Arial"/>
          <w:b/>
          <w:sz w:val="24"/>
          <w:szCs w:val="24"/>
        </w:rPr>
        <w:t xml:space="preserve">4/01/2020). - - - - - - - - - - - - - - - - - - - - - - - - - - - - - - - </w:t>
      </w:r>
      <w:r w:rsidR="00F60516">
        <w:rPr>
          <w:rFonts w:ascii="Arial" w:hAnsi="Arial" w:cs="Arial"/>
          <w:b/>
          <w:sz w:val="24"/>
          <w:szCs w:val="24"/>
        </w:rPr>
        <w:t>- - - - - - - - -</w:t>
      </w:r>
    </w:p>
    <w:p w14:paraId="6FE511B4" w14:textId="10B84835" w:rsidR="00980029" w:rsidRDefault="00980029" w:rsidP="00980029">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076/2019, promovido por </w:t>
      </w:r>
      <w:r w:rsidR="00CD3602">
        <w:rPr>
          <w:rFonts w:ascii="Arial" w:hAnsi="Arial" w:cs="Arial"/>
          <w:sz w:val="24"/>
          <w:szCs w:val="24"/>
        </w:rPr>
        <w:t>***** ***** ***** *****</w:t>
      </w:r>
      <w:r>
        <w:rPr>
          <w:rFonts w:ascii="Arial" w:hAnsi="Arial" w:cs="Arial"/>
          <w:sz w:val="24"/>
          <w:szCs w:val="24"/>
        </w:rPr>
        <w:t xml:space="preserve">, solicitando la nulidad del acta de infracción con número de folio </w:t>
      </w:r>
      <w:r w:rsidR="00611FF2">
        <w:rPr>
          <w:rFonts w:ascii="Arial" w:hAnsi="Arial" w:cs="Arial"/>
          <w:sz w:val="24"/>
          <w:szCs w:val="24"/>
        </w:rPr>
        <w:t>*****</w:t>
      </w:r>
      <w:r>
        <w:rPr>
          <w:rFonts w:ascii="Arial" w:hAnsi="Arial" w:cs="Arial"/>
          <w:sz w:val="24"/>
          <w:szCs w:val="24"/>
        </w:rPr>
        <w:t xml:space="preserve">, de fecha </w:t>
      </w:r>
      <w:r w:rsidR="00611FF2">
        <w:rPr>
          <w:rFonts w:ascii="Arial" w:hAnsi="Arial" w:cs="Arial"/>
          <w:sz w:val="24"/>
          <w:szCs w:val="24"/>
        </w:rPr>
        <w:t>***** de ***** de dos mil diecinueve (**/**/2019)</w:t>
      </w:r>
      <w:r>
        <w:rPr>
          <w:rFonts w:ascii="Arial" w:hAnsi="Arial" w:cs="Arial"/>
          <w:sz w:val="24"/>
          <w:szCs w:val="24"/>
        </w:rPr>
        <w:t xml:space="preserve">, emitida por MARIO ALAN AMAYA CRUZ, Policía Vial con número estadístico 126 de la Comisaría de Vialidad del Municipio de Oaxaca de Juárez; y, - - - - - </w:t>
      </w:r>
    </w:p>
    <w:p w14:paraId="41E51BF4" w14:textId="77777777" w:rsidR="00980029" w:rsidRDefault="00980029" w:rsidP="00980029">
      <w:pPr>
        <w:spacing w:line="360" w:lineRule="auto"/>
        <w:jc w:val="center"/>
        <w:rPr>
          <w:rFonts w:ascii="Arial" w:hAnsi="Arial" w:cs="Arial"/>
          <w:b/>
          <w:sz w:val="24"/>
          <w:szCs w:val="24"/>
        </w:rPr>
      </w:pPr>
      <w:r>
        <w:rPr>
          <w:rFonts w:ascii="Arial" w:hAnsi="Arial" w:cs="Arial"/>
          <w:b/>
          <w:sz w:val="24"/>
          <w:szCs w:val="24"/>
        </w:rPr>
        <w:t>R E S U L T A N D O</w:t>
      </w:r>
    </w:p>
    <w:p w14:paraId="0D6E3955" w14:textId="77777777" w:rsidR="00980029" w:rsidRDefault="00980029" w:rsidP="00980029">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ocho de agosto de dos mil diecinueve (08/08/2019),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 xml:space="preserve">doce del mismo mes y año (12/08/2019), </w:t>
      </w:r>
      <w:r w:rsidRPr="001131F7">
        <w:rPr>
          <w:rFonts w:ascii="Arial" w:hAnsi="Arial" w:cs="Arial"/>
          <w:sz w:val="24"/>
          <w:szCs w:val="24"/>
        </w:rPr>
        <w:t>se tuvo por admitida a trámite, ordenándose emplazar a Juicio a la autoridad demandada. - - - - - - - - - - - - - - - - - - -</w:t>
      </w:r>
      <w:r>
        <w:rPr>
          <w:rFonts w:ascii="Arial" w:hAnsi="Arial" w:cs="Arial"/>
          <w:sz w:val="24"/>
          <w:szCs w:val="24"/>
        </w:rPr>
        <w:t xml:space="preserve"> - - - - - - - - - - - - - - - - - - - - - - - - - -</w:t>
      </w:r>
      <w:r w:rsidR="0084348F">
        <w:rPr>
          <w:rFonts w:ascii="Arial" w:hAnsi="Arial" w:cs="Arial"/>
          <w:sz w:val="24"/>
          <w:szCs w:val="24"/>
        </w:rPr>
        <w:t xml:space="preserve"> - -</w:t>
      </w:r>
    </w:p>
    <w:p w14:paraId="589A359D" w14:textId="77777777" w:rsidR="00980029" w:rsidRDefault="00980029" w:rsidP="00980029">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veintidós de noviembre de dos mil diecinueve (22/11/2019), se tuvo a la autoridad demandada MARIO ALAN AMAYA CRUZ, Policía Vial con número estadístico 126 de la Comisaría de Vialidad del Municipio de Oaxaca de Juárez, Oaxaca, contestando en tiempo la demanda, además se señaló fecha y hora para el desahogo de la audiencia final. - - - - - - - - - - - - - - - - - - - - - - - - - - - - - - - - - - - - - - - - - - - - </w:t>
      </w:r>
      <w:r w:rsidR="006706D9">
        <w:rPr>
          <w:rFonts w:ascii="Arial" w:hAnsi="Arial" w:cs="Arial"/>
          <w:sz w:val="24"/>
          <w:szCs w:val="24"/>
        </w:rPr>
        <w:t xml:space="preserve">- - - - - - - - </w:t>
      </w:r>
    </w:p>
    <w:p w14:paraId="2F07A9AB"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once de diciembre de dos mil diecinueve (11/12/2019),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14:paraId="5404D299" w14:textId="77777777" w:rsidR="00980029" w:rsidRDefault="00980029" w:rsidP="00980029">
      <w:pPr>
        <w:spacing w:line="360" w:lineRule="auto"/>
        <w:jc w:val="center"/>
        <w:rPr>
          <w:rFonts w:ascii="Arial" w:hAnsi="Arial" w:cs="Arial"/>
          <w:b/>
          <w:sz w:val="24"/>
          <w:szCs w:val="24"/>
        </w:rPr>
      </w:pPr>
      <w:r>
        <w:rPr>
          <w:rFonts w:ascii="Arial" w:hAnsi="Arial" w:cs="Arial"/>
          <w:b/>
          <w:sz w:val="24"/>
          <w:szCs w:val="24"/>
        </w:rPr>
        <w:t>C O N S I D E R A N D O</w:t>
      </w:r>
    </w:p>
    <w:p w14:paraId="58100A60"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w:t>
      </w:r>
      <w:r>
        <w:rPr>
          <w:rFonts w:ascii="Arial" w:hAnsi="Arial" w:cs="Arial"/>
          <w:sz w:val="24"/>
          <w:szCs w:val="24"/>
        </w:rPr>
        <w:lastRenderedPageBreak/>
        <w:t xml:space="preserve">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F22EB8">
        <w:rPr>
          <w:rFonts w:ascii="Arial" w:hAnsi="Arial" w:cs="Arial"/>
          <w:sz w:val="24"/>
          <w:szCs w:val="24"/>
        </w:rPr>
        <w:t xml:space="preserve">- - - - - - - - - - - - - - - - - </w:t>
      </w:r>
    </w:p>
    <w:p w14:paraId="7A6AFA0F"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50814F2" w14:textId="47617EB5" w:rsidR="00980029" w:rsidRDefault="00980029" w:rsidP="00980029">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CD3602">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611FF2">
        <w:rPr>
          <w:rFonts w:ascii="Arial" w:hAnsi="Arial" w:cs="Arial"/>
          <w:sz w:val="24"/>
          <w:szCs w:val="24"/>
        </w:rPr>
        <w:t>*****</w:t>
      </w:r>
      <w:r>
        <w:rPr>
          <w:rFonts w:ascii="Arial" w:hAnsi="Arial" w:cs="Arial"/>
          <w:sz w:val="24"/>
          <w:szCs w:val="24"/>
        </w:rPr>
        <w:t xml:space="preserve">, expedida el día </w:t>
      </w:r>
      <w:r w:rsidR="00611FF2">
        <w:rPr>
          <w:rFonts w:ascii="Arial" w:hAnsi="Arial" w:cs="Arial"/>
          <w:sz w:val="24"/>
          <w:szCs w:val="24"/>
        </w:rPr>
        <w:t>***** de ***** de dos mil diecinueve (**/**/2019)</w:t>
      </w:r>
      <w:r>
        <w:rPr>
          <w:rFonts w:ascii="Arial" w:hAnsi="Arial" w:cs="Arial"/>
          <w:sz w:val="24"/>
          <w:szCs w:val="24"/>
        </w:rPr>
        <w:t xml:space="preserve">, por MARIO ALAN AMAYA CRUZ, Policía Vial con número estadístico 126,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w:t>
      </w:r>
      <w:r>
        <w:rPr>
          <w:rFonts w:ascii="Arial" w:hAnsi="Arial" w:cs="Arial"/>
          <w:b/>
          <w:sz w:val="24"/>
          <w:szCs w:val="24"/>
        </w:rPr>
        <w:t xml:space="preserve">2.- </w:t>
      </w:r>
      <w:r>
        <w:rPr>
          <w:rFonts w:ascii="Arial" w:hAnsi="Arial" w:cs="Arial"/>
          <w:sz w:val="24"/>
          <w:szCs w:val="24"/>
        </w:rPr>
        <w:t xml:space="preserve">Copia simple de credencial para votar con fotografía, expedida a favor del actor, por el Instituto Federal Electoral; </w:t>
      </w:r>
      <w:r>
        <w:rPr>
          <w:rFonts w:ascii="Arial" w:hAnsi="Arial" w:cs="Arial"/>
          <w:b/>
          <w:sz w:val="24"/>
          <w:szCs w:val="24"/>
        </w:rPr>
        <w:t xml:space="preserve">3.- </w:t>
      </w:r>
      <w:r w:rsidRPr="00DD3748">
        <w:rPr>
          <w:rFonts w:ascii="Arial" w:hAnsi="Arial" w:cs="Arial"/>
          <w:sz w:val="24"/>
          <w:szCs w:val="24"/>
        </w:rPr>
        <w:t>Copia simple de l</w:t>
      </w:r>
      <w:r w:rsidRPr="0052176E">
        <w:rPr>
          <w:rFonts w:ascii="Arial" w:hAnsi="Arial" w:cs="Arial"/>
          <w:sz w:val="24"/>
          <w:szCs w:val="24"/>
        </w:rPr>
        <w:t>icencia de conducir</w:t>
      </w:r>
      <w:r>
        <w:rPr>
          <w:rFonts w:ascii="Arial" w:hAnsi="Arial" w:cs="Arial"/>
          <w:b/>
          <w:sz w:val="24"/>
          <w:szCs w:val="24"/>
        </w:rPr>
        <w:t xml:space="preserve"> </w:t>
      </w:r>
      <w:r>
        <w:rPr>
          <w:rFonts w:ascii="Arial" w:hAnsi="Arial" w:cs="Arial"/>
          <w:sz w:val="24"/>
          <w:szCs w:val="24"/>
        </w:rPr>
        <w:t xml:space="preserve">expedida a favor de actor, por la Secretaría de Vialidad y Transporte del Estado; </w:t>
      </w:r>
      <w:r>
        <w:rPr>
          <w:rFonts w:ascii="Arial" w:hAnsi="Arial" w:cs="Arial"/>
          <w:b/>
          <w:sz w:val="24"/>
          <w:szCs w:val="24"/>
        </w:rPr>
        <w:t>4.-</w:t>
      </w:r>
      <w:r w:rsidRPr="00DD3748">
        <w:rPr>
          <w:rFonts w:ascii="Arial" w:hAnsi="Arial" w:cs="Arial"/>
          <w:sz w:val="24"/>
          <w:szCs w:val="24"/>
        </w:rPr>
        <w:t xml:space="preserve"> Copia simple de c</w:t>
      </w:r>
      <w:r>
        <w:rPr>
          <w:rFonts w:ascii="Arial" w:hAnsi="Arial" w:cs="Arial"/>
          <w:sz w:val="24"/>
          <w:szCs w:val="24"/>
        </w:rPr>
        <w:t xml:space="preserve">onstancia de extravío de documento, número </w:t>
      </w:r>
      <w:r w:rsidR="00611FF2">
        <w:rPr>
          <w:rFonts w:ascii="Arial" w:hAnsi="Arial" w:cs="Arial"/>
          <w:sz w:val="24"/>
          <w:szCs w:val="24"/>
        </w:rPr>
        <w:t>****/U.A.T/2017</w:t>
      </w:r>
      <w:r>
        <w:rPr>
          <w:rFonts w:ascii="Arial" w:hAnsi="Arial" w:cs="Arial"/>
          <w:sz w:val="24"/>
          <w:szCs w:val="24"/>
        </w:rPr>
        <w:t>, expedida a favor de</w:t>
      </w:r>
      <w:r w:rsidR="00CF5FE9">
        <w:rPr>
          <w:rFonts w:ascii="Arial" w:hAnsi="Arial" w:cs="Arial"/>
          <w:sz w:val="24"/>
          <w:szCs w:val="24"/>
        </w:rPr>
        <w:t xml:space="preserve"> **********</w:t>
      </w:r>
      <w:r>
        <w:rPr>
          <w:rFonts w:ascii="Arial" w:hAnsi="Arial" w:cs="Arial"/>
          <w:sz w:val="24"/>
          <w:szCs w:val="24"/>
        </w:rPr>
        <w:t xml:space="preserve">, por la Unidad de Atención Temprana de la Fiscalía General del Estado, donde se hace constar el extravío de la tarjeta de circulación del vehículo destinado al servicio público de taxi, marca Nissan Tsuru, modelo 2013 con placas de circulación </w:t>
      </w:r>
      <w:r w:rsidR="00611FF2">
        <w:rPr>
          <w:rFonts w:ascii="Arial" w:hAnsi="Arial" w:cs="Arial"/>
          <w:sz w:val="24"/>
          <w:szCs w:val="24"/>
        </w:rPr>
        <w:t>*****</w:t>
      </w:r>
      <w:r>
        <w:rPr>
          <w:rFonts w:ascii="Arial" w:hAnsi="Arial" w:cs="Arial"/>
          <w:sz w:val="24"/>
          <w:szCs w:val="24"/>
        </w:rPr>
        <w:t xml:space="preserve"> del Estado de Oaxaca, y adjunto a la misma, credencial para votar con fotografía, expedida por el Instituto Nacional Electoral, a favor de la citada ciudadana, factura número </w:t>
      </w:r>
      <w:r w:rsidR="00611FF2">
        <w:rPr>
          <w:rFonts w:ascii="Arial" w:hAnsi="Arial" w:cs="Arial"/>
          <w:sz w:val="24"/>
          <w:szCs w:val="24"/>
        </w:rPr>
        <w:t>*****</w:t>
      </w:r>
      <w:r>
        <w:rPr>
          <w:rFonts w:ascii="Arial" w:hAnsi="Arial" w:cs="Arial"/>
          <w:sz w:val="24"/>
          <w:szCs w:val="24"/>
        </w:rPr>
        <w:t xml:space="preserve"> expedida por Autos Mexicanos S.A. de C.V. respecto del vehículo antes descrito, que en su reverso se advierte endoso a favor de la citada</w:t>
      </w:r>
      <w:r w:rsidR="00DB0187">
        <w:rPr>
          <w:rFonts w:ascii="Arial" w:hAnsi="Arial" w:cs="Arial"/>
          <w:sz w:val="24"/>
          <w:szCs w:val="24"/>
        </w:rPr>
        <w:t xml:space="preserve"> **********</w:t>
      </w:r>
      <w:r>
        <w:rPr>
          <w:rFonts w:ascii="Arial" w:hAnsi="Arial" w:cs="Arial"/>
          <w:sz w:val="24"/>
          <w:szCs w:val="24"/>
        </w:rPr>
        <w:t>, y comprobante de pago de tenencia vehículos respecto del ejercicio dos mil diecisiete.</w:t>
      </w:r>
    </w:p>
    <w:p w14:paraId="52187FB9" w14:textId="77777777" w:rsidR="00980029" w:rsidRDefault="00980029" w:rsidP="00980029">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MARIO ALAN AMAYA CRUZ, Policía Vial con número estadístico 126,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simple de nombramiento y protesta de ley.</w:t>
      </w:r>
    </w:p>
    <w:p w14:paraId="10E8C722" w14:textId="77777777" w:rsidR="00980029" w:rsidRDefault="00980029" w:rsidP="00980029">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remitida por el actor,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 de ahí la convicción sobre la existencia y veracidad de contenido de dicho documento.</w:t>
      </w:r>
    </w:p>
    <w:p w14:paraId="4D2C1E8B" w14:textId="77777777" w:rsidR="00980029" w:rsidRDefault="00980029" w:rsidP="00980029">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Respecto de las copias simples remitidas por el actor, se les otorga </w:t>
      </w:r>
      <w:r w:rsidRPr="00CC131F">
        <w:rPr>
          <w:rFonts w:ascii="Arial" w:eastAsia="Times New Roman" w:hAnsi="Arial" w:cs="Arial"/>
          <w:b/>
          <w:sz w:val="24"/>
          <w:szCs w:val="24"/>
          <w:lang w:val="es-ES_tradnl" w:eastAsia="es-ES"/>
        </w:rPr>
        <w:t>valor indiciario</w:t>
      </w:r>
      <w:r>
        <w:rPr>
          <w:rFonts w:ascii="Arial" w:eastAsia="Times New Roman" w:hAnsi="Arial" w:cs="Arial"/>
          <w:sz w:val="24"/>
          <w:szCs w:val="24"/>
          <w:lang w:val="es-ES_tradnl" w:eastAsia="es-ES"/>
        </w:rPr>
        <w:t>, pues no se trata de documentos aislados, por el contrario, se encuentran relacionados estrechamente con el acto impugnado, pues el nombre del actor aparece plasmado en el acta de infracción que en original remitió, el cual es coincidente con el plasmado en la credencial para votar con fotografía y licencia de conducir remitida, y por lo que respecta a las restantes copias simples, son coincidentes con el acta de infracción, respecto de los datos del vehículo que participó en el evento, de ahí el valor otorgado.</w:t>
      </w:r>
    </w:p>
    <w:p w14:paraId="309CA75E" w14:textId="77777777" w:rsidR="00980029" w:rsidRDefault="00980029" w:rsidP="00980029">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nombramiento del Policía vial demandado también tiene valor </w:t>
      </w:r>
      <w:r w:rsidRPr="003D2A04">
        <w:rPr>
          <w:rFonts w:ascii="Arial" w:eastAsia="Times New Roman" w:hAnsi="Arial" w:cs="Arial"/>
          <w:b/>
          <w:sz w:val="24"/>
          <w:szCs w:val="24"/>
          <w:lang w:val="es-ES_tradnl" w:eastAsia="es-ES"/>
        </w:rPr>
        <w:t>probatorio indiciario</w:t>
      </w:r>
      <w:r>
        <w:rPr>
          <w:rFonts w:ascii="Arial" w:eastAsia="Times New Roman" w:hAnsi="Arial" w:cs="Arial"/>
          <w:sz w:val="24"/>
          <w:szCs w:val="24"/>
          <w:lang w:val="es-ES_tradnl" w:eastAsia="es-ES"/>
        </w:rPr>
        <w:t xml:space="preserve">, pues se encuentra vinculado con el acta de infracción impugnada, respecto del nombre que aparece en ambos documentos, de ahí que no se trate de un documento aislado y que su valor se haya incrementado, pues su existencia y veracidad de contenido han quedado de manifiesto. </w:t>
      </w:r>
      <w:r>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4CD9812"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E4F92A0" w14:textId="77777777" w:rsidR="00980029" w:rsidRDefault="00980029" w:rsidP="00980029">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policía vial demandado, se constituye de la totalidad de las pruebas recabadas en el presente Juicio, y con ellas se confirma el contenido del enjuiciamiento, porque los hechos contenidos en las documentales son afirmaciones expresadas por ellas.</w:t>
      </w:r>
    </w:p>
    <w:p w14:paraId="2DB8E4C9" w14:textId="77777777" w:rsidR="00980029" w:rsidRDefault="00980029" w:rsidP="00980029">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w:t>
      </w:r>
      <w:r>
        <w:rPr>
          <w:rFonts w:ascii="Arial" w:hAnsi="Arial" w:cs="Arial"/>
          <w:sz w:val="24"/>
          <w:szCs w:val="24"/>
        </w:rPr>
        <w:lastRenderedPageBreak/>
        <w:t xml:space="preserve">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2D0A58">
        <w:rPr>
          <w:rFonts w:ascii="Arial" w:hAnsi="Arial" w:cs="Arial"/>
          <w:sz w:val="24"/>
          <w:szCs w:val="24"/>
        </w:rPr>
        <w:t>- -</w:t>
      </w:r>
    </w:p>
    <w:p w14:paraId="292DB2A3" w14:textId="77777777" w:rsidR="00980029" w:rsidRDefault="00980029" w:rsidP="00980029">
      <w:pPr>
        <w:tabs>
          <w:tab w:val="center" w:pos="4574"/>
        </w:tabs>
        <w:spacing w:before="240"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A465BE">
        <w:rPr>
          <w:rFonts w:ascii="Arial" w:hAnsi="Arial" w:cs="Arial"/>
          <w:sz w:val="24"/>
        </w:rPr>
        <w:t>- - - - - - - - - - - - - - - -</w:t>
      </w:r>
    </w:p>
    <w:p w14:paraId="592AD2DB" w14:textId="6927EB13"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del actor</w:t>
      </w:r>
      <w:r>
        <w:rPr>
          <w:rFonts w:ascii="Arial" w:hAnsi="Arial" w:cs="Arial"/>
          <w:sz w:val="24"/>
          <w:szCs w:val="24"/>
        </w:rPr>
        <w:t xml:space="preserve"> </w:t>
      </w:r>
      <w:r w:rsidR="00CD3602">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por lo que fue a él y no a persona distinta a la que fue dirigida, más aun que remitió copia simple de su credencial para votar con fotografía y licencia de conducir, documentos con los que se advierte la identidad del actor,  justificándose así su personalidad jurídica y legítima en el presente Juicio.</w:t>
      </w:r>
    </w:p>
    <w:p w14:paraId="5AE80BE0" w14:textId="77777777" w:rsidR="00980029" w:rsidRPr="00104EF9" w:rsidRDefault="00980029" w:rsidP="00980029">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MARIO ALAN AMAYA CRUZ, Policía Vial con número estadístico 126,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además porque remitió copia simple de su nombramiento y Protesta de Ley, documento con valor  indiciario como se indicó en líneas que anteceden y con el que se considera satisface los requisitos dispuestos en el numeral antes citado</w:t>
      </w:r>
      <w:r w:rsidRPr="00104EF9">
        <w:rPr>
          <w:rFonts w:ascii="Arial" w:hAnsi="Arial" w:cs="Arial"/>
          <w:sz w:val="24"/>
        </w:rPr>
        <w:t xml:space="preserve">.- - - </w:t>
      </w:r>
      <w:r w:rsidR="002B033F">
        <w:rPr>
          <w:rFonts w:ascii="Arial" w:hAnsi="Arial" w:cs="Arial"/>
          <w:sz w:val="24"/>
        </w:rPr>
        <w:t>- - - - - - - - -</w:t>
      </w:r>
    </w:p>
    <w:p w14:paraId="131C74EF"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w:t>
      </w:r>
      <w:r>
        <w:rPr>
          <w:rFonts w:ascii="Arial" w:hAnsi="Arial" w:cs="Arial"/>
          <w:sz w:val="24"/>
          <w:szCs w:val="24"/>
        </w:rPr>
        <w:lastRenderedPageBreak/>
        <w:t xml:space="preserve">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45BE9F29" w14:textId="77777777" w:rsidR="00980029" w:rsidRDefault="00980029" w:rsidP="00980029">
      <w:pPr>
        <w:pStyle w:val="corte4fondoCarCarCar"/>
        <w:spacing w:before="240"/>
        <w:ind w:firstLine="708"/>
        <w:rPr>
          <w:rFonts w:cs="Arial"/>
          <w:bCs/>
          <w:sz w:val="24"/>
        </w:rPr>
      </w:pPr>
      <w:r>
        <w:rPr>
          <w:rFonts w:cs="Arial"/>
          <w:bCs/>
          <w:sz w:val="24"/>
        </w:rPr>
        <w:t xml:space="preserve">El Policía Vial demandado, hizo valer seis excepciones, pero sus argumentos se basan en que el actor no tiene derecho de impugnar el acta de infracción, premisa que fue atendida en el considerando que antecede, en el que se advirtió que el hecho de que en el acta de infracción aparezca el nombre del actor como el infractor, es lo que le otorga la facultad para impugnarla, de ahí que la premisa propuesta por la demandada resulte infundada, y sus restantes argumentos se encaminan a sostener la legalidad del acta de infracción, circunstancias que no pueden tomarse en cuenta para impedir el estudio de fondo del asunto, al contrario, lo impulsan, y de ese estudio se encargará esta Juzgadora en el Considerando siguiente, de ahí que las excepciones planteadas no se actualicen </w:t>
      </w:r>
    </w:p>
    <w:p w14:paraId="3CECB36C" w14:textId="77777777" w:rsidR="00980029" w:rsidRDefault="00980029" w:rsidP="00980029">
      <w:pPr>
        <w:pStyle w:val="corte4fondoCarCarCar"/>
        <w:spacing w:before="240"/>
        <w:ind w:firstLine="708"/>
        <w:rPr>
          <w:rFonts w:cs="Arial"/>
          <w:bCs/>
          <w:sz w:val="24"/>
        </w:rPr>
      </w:pPr>
      <w:r>
        <w:rPr>
          <w:rFonts w:cs="Arial"/>
          <w:bCs/>
          <w:sz w:val="24"/>
        </w:rPr>
        <w:t>También invocó las causales de improcedencia previstas en las fracciones V, VI y X del artículo 161 de la Ley de la materia, sin argumentar por qué se actualizan dichas causales, consecuentemente resultan inatendibles.</w:t>
      </w:r>
    </w:p>
    <w:p w14:paraId="5FAC13AB" w14:textId="77777777" w:rsidR="00980029" w:rsidRPr="001D6227" w:rsidRDefault="00980029" w:rsidP="00980029">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 xml:space="preserve">o que significa que la naturaleza de los actos consumados debe atender a la </w:t>
      </w:r>
      <w:r w:rsidRPr="00DF4A02">
        <w:rPr>
          <w:rFonts w:cs="Arial"/>
          <w:color w:val="000000"/>
          <w:sz w:val="24"/>
        </w:rPr>
        <w:lastRenderedPageBreak/>
        <w:t>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14:paraId="677B745D" w14:textId="77777777" w:rsidR="00980029" w:rsidRDefault="00980029" w:rsidP="00980029">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w:t>
      </w:r>
      <w:r>
        <w:rPr>
          <w:rFonts w:ascii="Arial" w:hAnsi="Arial" w:cs="Arial"/>
          <w:sz w:val="24"/>
          <w:szCs w:val="24"/>
        </w:rPr>
        <w:t>6</w:t>
      </w:r>
      <w:r w:rsidRPr="00DF4A02">
        <w:rPr>
          <w:rFonts w:ascii="Arial" w:hAnsi="Arial" w:cs="Arial"/>
          <w:sz w:val="24"/>
          <w:szCs w:val="24"/>
        </w:rPr>
        <w:t>6, de la Ley de</w:t>
      </w:r>
      <w:r>
        <w:rPr>
          <w:rFonts w:ascii="Arial" w:hAnsi="Arial" w:cs="Arial"/>
          <w:sz w:val="24"/>
          <w:szCs w:val="24"/>
        </w:rPr>
        <w:t xml:space="preserve"> Procedimiento y</w:t>
      </w:r>
      <w:r w:rsidRPr="00DF4A02">
        <w:rPr>
          <w:rFonts w:ascii="Arial" w:hAnsi="Arial" w:cs="Arial"/>
          <w:sz w:val="24"/>
          <w:szCs w:val="24"/>
        </w:rPr>
        <w:t xml:space="preserve"> Justicia Administrativa</w:t>
      </w:r>
      <w:r>
        <w:rPr>
          <w:rFonts w:ascii="Arial" w:hAnsi="Arial" w:cs="Arial"/>
          <w:sz w:val="24"/>
          <w:szCs w:val="24"/>
        </w:rPr>
        <w:t>.</w:t>
      </w:r>
    </w:p>
    <w:p w14:paraId="062C0D8C" w14:textId="77777777" w:rsidR="00980029" w:rsidRDefault="00980029" w:rsidP="00980029">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14:paraId="63106DB4" w14:textId="77777777" w:rsidR="00980029" w:rsidRDefault="00980029" w:rsidP="00980029">
      <w:pPr>
        <w:pStyle w:val="corte4fondoCarCarCar"/>
        <w:spacing w:before="240"/>
        <w:ind w:firstLine="708"/>
        <w:rPr>
          <w:rFonts w:cs="Arial"/>
          <w:bCs/>
          <w:sz w:val="24"/>
        </w:rPr>
      </w:pPr>
    </w:p>
    <w:p w14:paraId="084D74ED" w14:textId="77777777" w:rsidR="00980029" w:rsidRDefault="00980029" w:rsidP="00980029">
      <w:pPr>
        <w:pStyle w:val="corte4fondoCarCarCar"/>
        <w:spacing w:before="240"/>
        <w:ind w:firstLine="708"/>
        <w:rPr>
          <w:rFonts w:cs="Arial"/>
          <w:sz w:val="24"/>
        </w:rPr>
      </w:pPr>
      <w:r>
        <w:rPr>
          <w:rFonts w:cs="Arial"/>
          <w:sz w:val="24"/>
        </w:rPr>
        <w:t xml:space="preserve">Luego entonces, al no actualizarse las causales de improcedencia y excepciones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550E48">
        <w:rPr>
          <w:rFonts w:cs="Arial"/>
          <w:sz w:val="24"/>
        </w:rPr>
        <w:t xml:space="preserve">- - - - - - - - - - - - - - - - </w:t>
      </w:r>
    </w:p>
    <w:p w14:paraId="1E8B561B" w14:textId="77777777" w:rsidR="00980029" w:rsidRDefault="00980029" w:rsidP="00980029">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9E0826">
        <w:rPr>
          <w:rFonts w:ascii="Arial" w:hAnsi="Arial" w:cs="Arial"/>
          <w:b/>
          <w:sz w:val="24"/>
          <w:szCs w:val="24"/>
        </w:rPr>
        <w:tab/>
      </w:r>
      <w:r w:rsidRPr="006D7488">
        <w:rPr>
          <w:rFonts w:ascii="Arial" w:hAnsi="Arial" w:cs="Arial"/>
          <w:b/>
          <w:sz w:val="24"/>
          <w:szCs w:val="24"/>
        </w:rPr>
        <w:t>SEXTO.-</w:t>
      </w:r>
      <w:r w:rsidR="009E0826">
        <w:rPr>
          <w:rFonts w:ascii="Arial" w:hAnsi="Arial" w:cs="Arial"/>
          <w:b/>
          <w:sz w:val="24"/>
          <w:szCs w:val="24"/>
        </w:rPr>
        <w:t xml:space="preserve"> </w:t>
      </w:r>
      <w:r w:rsidRPr="00722B62">
        <w:rPr>
          <w:rFonts w:ascii="Arial" w:hAnsi="Arial" w:cs="Arial"/>
          <w:sz w:val="24"/>
          <w:szCs w:val="24"/>
        </w:rPr>
        <w:t xml:space="preserve">Esta Juzgadora </w:t>
      </w:r>
      <w:r>
        <w:rPr>
          <w:rFonts w:ascii="Arial" w:hAnsi="Arial" w:cs="Arial"/>
          <w:sz w:val="24"/>
          <w:szCs w:val="24"/>
        </w:rPr>
        <w:t xml:space="preserve">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w:t>
      </w:r>
      <w:r>
        <w:rPr>
          <w:rFonts w:ascii="Arial" w:hAnsi="Arial" w:cs="Arial"/>
          <w:sz w:val="24"/>
          <w:szCs w:val="24"/>
        </w:rPr>
        <w:lastRenderedPageBreak/>
        <w:t>Municipio de Oaxaca de Juárez, tal y como lo dispone el artículo 16 fracción II de dicho ordenamiento legal.</w:t>
      </w:r>
    </w:p>
    <w:p w14:paraId="62731183"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Sin embargo, dicho acto administrativo, violenta las disposiciones contenidas en los Artículos 14 y 16 de la Carta Magna, como acertadamente lo refiere la parte actora,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7373C845"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14:paraId="3BD6FEAB"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tenemos que en el acta de infracción impugnada, </w:t>
      </w:r>
      <w:r w:rsidRPr="00DF59D4">
        <w:rPr>
          <w:rFonts w:ascii="Arial" w:hAnsi="Arial" w:cs="Arial"/>
          <w:b/>
          <w:sz w:val="24"/>
          <w:szCs w:val="24"/>
        </w:rPr>
        <w:t xml:space="preserve">no </w:t>
      </w:r>
      <w:r>
        <w:rPr>
          <w:rFonts w:ascii="Arial" w:hAnsi="Arial" w:cs="Arial"/>
          <w:b/>
          <w:sz w:val="24"/>
          <w:szCs w:val="24"/>
        </w:rPr>
        <w:t xml:space="preserve">se encuentra fundada y tampoco motiva; </w:t>
      </w:r>
      <w:r>
        <w:rPr>
          <w:rFonts w:ascii="Arial" w:hAnsi="Arial" w:cs="Arial"/>
          <w:sz w:val="24"/>
          <w:szCs w:val="24"/>
        </w:rPr>
        <w:t xml:space="preserve">esto </w:t>
      </w:r>
      <w:r w:rsidRPr="00282451">
        <w:rPr>
          <w:rFonts w:ascii="Arial" w:hAnsi="Arial" w:cs="Arial"/>
          <w:sz w:val="24"/>
          <w:szCs w:val="24"/>
        </w:rPr>
        <w:t>es así,</w:t>
      </w:r>
      <w:r>
        <w:rPr>
          <w:rFonts w:ascii="Arial" w:hAnsi="Arial" w:cs="Arial"/>
          <w:sz w:val="24"/>
          <w:szCs w:val="24"/>
        </w:rPr>
        <w:t xml:space="preserve"> porque si bien es cierto el Policía Vial demandado  plasmó como fundamento el artículo 59 fracción I del Reglamento de Vialidad para el Municipio de Oaxaca de Juárez, Oaxaca, lo cierto es que dicha fracción contiene siete incisos que van del “a” al “g”, estableciendo supuestos diferenciados unos de otros, y el Policía Vial demandado no plasmó en cual supuesto encuadraba la conducta atribuida al actor, cuando  ha sido criterio del más alto Tribunal del País, que en los caso en que las</w:t>
      </w:r>
      <w:r w:rsidRPr="009D73ED">
        <w:rPr>
          <w:rFonts w:ascii="Arial" w:hAnsi="Arial" w:cs="Arial"/>
          <w:sz w:val="24"/>
          <w:szCs w:val="24"/>
        </w:rPr>
        <w:t xml:space="preserve"> normas</w:t>
      </w:r>
      <w:r>
        <w:rPr>
          <w:rFonts w:ascii="Arial" w:hAnsi="Arial" w:cs="Arial"/>
          <w:sz w:val="24"/>
          <w:szCs w:val="24"/>
        </w:rPr>
        <w:t xml:space="preserve"> a aplicar</w:t>
      </w:r>
      <w:r w:rsidRPr="009D73ED">
        <w:rPr>
          <w:rFonts w:ascii="Arial" w:hAnsi="Arial" w:cs="Arial"/>
          <w:sz w:val="24"/>
          <w:szCs w:val="24"/>
        </w:rPr>
        <w:t xml:space="preserve"> incluyan diversos supuestos, </w:t>
      </w:r>
      <w:r>
        <w:rPr>
          <w:rFonts w:ascii="Arial" w:hAnsi="Arial" w:cs="Arial"/>
          <w:sz w:val="24"/>
          <w:szCs w:val="24"/>
        </w:rPr>
        <w:t xml:space="preserve">se deberá </w:t>
      </w:r>
      <w:r w:rsidRPr="009D73ED">
        <w:rPr>
          <w:rFonts w:ascii="Arial" w:hAnsi="Arial" w:cs="Arial"/>
          <w:sz w:val="24"/>
          <w:szCs w:val="24"/>
        </w:rPr>
        <w:t xml:space="preserve">precisar el apartado, fracción o fracciones, incisos o subincisos en que </w:t>
      </w:r>
      <w:r>
        <w:rPr>
          <w:rFonts w:ascii="Arial" w:hAnsi="Arial" w:cs="Arial"/>
          <w:sz w:val="24"/>
          <w:szCs w:val="24"/>
        </w:rPr>
        <w:t xml:space="preserve">la autoridad apoya su actuación, </w:t>
      </w:r>
      <w:r w:rsidRPr="009D73ED">
        <w:rPr>
          <w:rFonts w:ascii="Arial" w:hAnsi="Arial" w:cs="Arial"/>
          <w:sz w:val="24"/>
          <w:szCs w:val="24"/>
        </w:rPr>
        <w:t>atento a la exigencia constitucional de certeza y seguridad jurídica del particular frente a los actos de las autoridades que afecten o lesionen su interés jurídico</w:t>
      </w:r>
      <w:r>
        <w:rPr>
          <w:rFonts w:ascii="Arial" w:hAnsi="Arial" w:cs="Arial"/>
          <w:sz w:val="24"/>
          <w:szCs w:val="24"/>
        </w:rPr>
        <w:t>, lo que en el presente asunto no ocurrió, además, esta autoridad no puede suplir la deficiencia de la queja en favor de la autoridad demandada, pues dicha figura jurídica únicamente se contempla en favor del administrado, de conformidad con el artículo 206 de la Ley de procedimiento y Justicia Administrativa para el Estado de Oaxaca.</w:t>
      </w:r>
    </w:p>
    <w:p w14:paraId="41F4CCD9"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otra parte existe una </w:t>
      </w:r>
      <w:r w:rsidRPr="00855DC8">
        <w:rPr>
          <w:rFonts w:ascii="Arial" w:hAnsi="Arial" w:cs="Arial"/>
          <w:b/>
          <w:sz w:val="24"/>
          <w:szCs w:val="24"/>
        </w:rPr>
        <w:t>nula motivación</w:t>
      </w:r>
      <w:r>
        <w:rPr>
          <w:rFonts w:ascii="Arial" w:hAnsi="Arial" w:cs="Arial"/>
          <w:sz w:val="24"/>
          <w:szCs w:val="24"/>
        </w:rPr>
        <w:t xml:space="preserve"> en el acto impugnado, pues la autoridad demandada dejó en blanco el espacio destinado para ello, lo anterior no obstante que haya remarcado en el apartado correspondiente a “</w:t>
      </w:r>
      <w:r w:rsidRPr="00890337">
        <w:rPr>
          <w:rFonts w:ascii="Arial" w:hAnsi="Arial" w:cs="Arial"/>
          <w:i/>
          <w:sz w:val="24"/>
          <w:szCs w:val="24"/>
        </w:rPr>
        <w:t>FALTAS ADMINISTRATIVAS EN RELACIÓN AL REGLAMENTO DE VIALIDAD PARA EL MUNICIPIO DE OAXACA DE JUÁREZ</w:t>
      </w:r>
      <w:r>
        <w:rPr>
          <w:rFonts w:ascii="Arial" w:hAnsi="Arial" w:cs="Arial"/>
          <w:sz w:val="24"/>
          <w:szCs w:val="24"/>
        </w:rPr>
        <w:t>”, el correspondiente a pasarse la luz roja o ámbar del semáforo, pues como ya se dijo, ello no lo exime de la obligación de plasmar en forma precisa y clara las circunstancias especiales, razones particulares o causas inmediatas que tomó en consideración para emitir el acta de infracción, precisamente por el criterio del Máximo Tribunal del País ya referido.</w:t>
      </w:r>
    </w:p>
    <w:p w14:paraId="67637BCB"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se advierte que el Policía Vial demandado, plasmó en el acta de infracción el código V-073,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w:t>
      </w:r>
      <w:r>
        <w:rPr>
          <w:rFonts w:ascii="Arial" w:hAnsi="Arial" w:cs="Arial"/>
          <w:sz w:val="24"/>
          <w:szCs w:val="24"/>
        </w:rPr>
        <w:t xml:space="preserve">parte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Federal ya citada,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la obligación de señalar la normatividad que contempla el código que señaló en el acta de infracción.</w:t>
      </w:r>
    </w:p>
    <w:p w14:paraId="6E910837"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14:paraId="4CF50E48" w14:textId="10C91F6B"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w:t>
      </w:r>
      <w:r w:rsidRPr="00E473FA">
        <w:rPr>
          <w:rFonts w:ascii="Arial" w:hAnsi="Arial" w:cs="Arial"/>
          <w:sz w:val="24"/>
          <w:szCs w:val="24"/>
        </w:rPr>
        <w:t>ntac</w:t>
      </w:r>
      <w:r>
        <w:rPr>
          <w:rFonts w:ascii="Arial" w:hAnsi="Arial" w:cs="Arial"/>
          <w:sz w:val="24"/>
          <w:szCs w:val="24"/>
        </w:rPr>
        <w:t xml:space="preserve">ión y motivación, </w:t>
      </w:r>
      <w:r w:rsidRPr="000D3A91">
        <w:rPr>
          <w:rFonts w:ascii="Arial" w:hAnsi="Arial" w:cs="Arial"/>
          <w:sz w:val="24"/>
          <w:szCs w:val="24"/>
        </w:rPr>
        <w:t>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sidRPr="00A17FFD">
        <w:rPr>
          <w:rFonts w:ascii="Arial" w:hAnsi="Arial" w:cs="Arial"/>
          <w:sz w:val="24"/>
          <w:szCs w:val="24"/>
        </w:rPr>
        <w:t xml:space="preserve">con placas de circulación </w:t>
      </w:r>
      <w:r w:rsidR="00611FF2">
        <w:rPr>
          <w:rFonts w:ascii="Arial" w:hAnsi="Arial" w:cs="Arial"/>
          <w:sz w:val="24"/>
          <w:szCs w:val="24"/>
        </w:rPr>
        <w:t>*****</w:t>
      </w:r>
      <w:r>
        <w:rPr>
          <w:rFonts w:ascii="Arial" w:hAnsi="Arial" w:cs="Arial"/>
          <w:sz w:val="24"/>
          <w:szCs w:val="24"/>
        </w:rPr>
        <w:t xml:space="preserve"> del Estado de Oaxaca,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14:paraId="7031B400" w14:textId="77777777" w:rsidR="00980029" w:rsidRDefault="00980029" w:rsidP="00980029">
      <w:pPr>
        <w:tabs>
          <w:tab w:val="center" w:pos="4574"/>
        </w:tabs>
        <w:spacing w:line="360" w:lineRule="auto"/>
        <w:ind w:firstLine="708"/>
        <w:jc w:val="both"/>
        <w:rPr>
          <w:rFonts w:ascii="Arial" w:hAnsi="Arial" w:cs="Arial"/>
          <w:i/>
          <w:sz w:val="24"/>
          <w:szCs w:val="24"/>
        </w:rPr>
      </w:pPr>
      <w:r>
        <w:rPr>
          <w:rFonts w:ascii="Arial" w:hAnsi="Arial" w:cs="Arial"/>
          <w:sz w:val="24"/>
          <w:szCs w:val="24"/>
        </w:rPr>
        <w:t>Además sirve de apoyo a lo anterior, las jurisprudencias con datos de identificación: Semanario Judicial de la Federación y su Gaceta, Tomo XXVI, Septiembre de 2007, Novena Época, pág. 2366, registro 171455, Jurisprudencia Administrativa, Tribunales Colegiados de Circuito, de rubro: “</w:t>
      </w:r>
      <w:r w:rsidRPr="00F77BF2">
        <w:rPr>
          <w:rFonts w:ascii="Arial" w:hAnsi="Arial" w:cs="Arial"/>
          <w:i/>
          <w:sz w:val="24"/>
          <w:szCs w:val="24"/>
        </w:rPr>
        <w:t>FUNDAMENTACIÓN DE LOS ACTOS DE LAS AUTORIDADES ADMINISTRATIVAS. ES INSUFICIENTE SI NO SE SEÑALA CON EXACTITUD Y PRECISIÓN O, EN SU CASO, SE TRANSCRIBE LA PORCIÓN NORMATIVA QUE SUSTENTE SU COMPETENCIA TERRITORIAL.”</w:t>
      </w:r>
      <w:r>
        <w:rPr>
          <w:rFonts w:ascii="Arial" w:hAnsi="Arial" w:cs="Arial"/>
          <w:i/>
          <w:sz w:val="24"/>
          <w:szCs w:val="24"/>
        </w:rPr>
        <w:t>; y,</w:t>
      </w:r>
    </w:p>
    <w:p w14:paraId="3DD347A8" w14:textId="77777777" w:rsidR="00980029" w:rsidRPr="000D6A6B"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Libro XIII, Octubre de 2012, Tomo 2, Décima Época, pág. 812, registro 159929, Jurisprudencia Común, Primera Sala, y de rubro: </w:t>
      </w:r>
      <w:r w:rsidRPr="000D6A6B">
        <w:rPr>
          <w:rFonts w:ascii="Arial" w:hAnsi="Arial" w:cs="Arial"/>
          <w:i/>
          <w:sz w:val="24"/>
          <w:szCs w:val="24"/>
        </w:rPr>
        <w:t>“LEYES. SU SOLA CITA NO CONSTITUYE UN ACTO DE APLICACIÓN.”</w:t>
      </w:r>
    </w:p>
    <w:p w14:paraId="6D70C1FC" w14:textId="01955E26"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de tránsito con número de folio </w:t>
      </w:r>
      <w:r w:rsidR="00611FF2">
        <w:rPr>
          <w:rFonts w:ascii="Arial" w:hAnsi="Arial" w:cs="Arial"/>
          <w:b/>
          <w:sz w:val="24"/>
          <w:szCs w:val="24"/>
        </w:rPr>
        <w:t>*****</w:t>
      </w:r>
      <w:r>
        <w:rPr>
          <w:rFonts w:ascii="Arial" w:hAnsi="Arial" w:cs="Arial"/>
          <w:b/>
          <w:sz w:val="24"/>
          <w:szCs w:val="24"/>
        </w:rPr>
        <w:t xml:space="preserve">, de </w:t>
      </w:r>
      <w:r w:rsidR="00611FF2">
        <w:rPr>
          <w:rFonts w:ascii="Arial" w:hAnsi="Arial" w:cs="Arial"/>
          <w:b/>
          <w:sz w:val="24"/>
          <w:szCs w:val="24"/>
        </w:rPr>
        <w:t>***** de ***** de dos mil diecinueve (**/**/2019)</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611FF2">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 xml:space="preserve">por </w:t>
      </w:r>
      <w:r>
        <w:rPr>
          <w:rFonts w:ascii="Arial" w:hAnsi="Arial" w:cs="Arial"/>
          <w:sz w:val="24"/>
        </w:rPr>
        <w:t>MARIO ALAN AMAYA CRUZ</w:t>
      </w:r>
      <w:r>
        <w:rPr>
          <w:rFonts w:ascii="Arial" w:hAnsi="Arial" w:cs="Arial"/>
          <w:sz w:val="24"/>
          <w:szCs w:val="24"/>
        </w:rPr>
        <w:t xml:space="preserve">, Policía Vial con número estadístico 126 de la Comisaría de Vialidad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19CEC51A"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 xml:space="preserve">DE ANULACIÓN. LA EXIGENCIA DE EXAMINARLOS </w:t>
      </w:r>
      <w:r w:rsidRPr="005D3888">
        <w:rPr>
          <w:rFonts w:ascii="Arial" w:hAnsi="Arial" w:cs="Arial"/>
          <w:i/>
          <w:sz w:val="24"/>
          <w:szCs w:val="24"/>
        </w:rPr>
        <w:lastRenderedPageBreak/>
        <w:t>EXHAUSTIVAMENTE DEBE PONDERARSE A LA LUZ DE CADA CONTROVERSIA EN PARTICULAR</w:t>
      </w:r>
      <w:r>
        <w:rPr>
          <w:rFonts w:ascii="Arial" w:hAnsi="Arial" w:cs="Arial"/>
          <w:i/>
          <w:sz w:val="24"/>
          <w:szCs w:val="24"/>
        </w:rPr>
        <w:t>”</w:t>
      </w:r>
      <w:r>
        <w:rPr>
          <w:rFonts w:ascii="Arial" w:hAnsi="Arial" w:cs="Arial"/>
          <w:sz w:val="24"/>
          <w:szCs w:val="24"/>
        </w:rPr>
        <w:t>.</w:t>
      </w:r>
    </w:p>
    <w:p w14:paraId="2C6C474B"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9E0826">
        <w:rPr>
          <w:rFonts w:ascii="Arial" w:hAnsi="Arial" w:cs="Arial"/>
          <w:sz w:val="24"/>
          <w:szCs w:val="24"/>
        </w:rPr>
        <w:t xml:space="preserve">- - - </w:t>
      </w:r>
    </w:p>
    <w:p w14:paraId="50F7E1B6" w14:textId="77777777" w:rsidR="00980029" w:rsidRDefault="00980029" w:rsidP="0098002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09AD84F"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D14D1C">
        <w:rPr>
          <w:rFonts w:ascii="Arial" w:hAnsi="Arial" w:cs="Arial"/>
          <w:sz w:val="24"/>
          <w:szCs w:val="24"/>
        </w:rPr>
        <w:t xml:space="preserve">- </w:t>
      </w:r>
    </w:p>
    <w:p w14:paraId="5F693CB1" w14:textId="77777777" w:rsidR="00980029" w:rsidRDefault="00980029" w:rsidP="0098002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D14D1C">
        <w:rPr>
          <w:rFonts w:ascii="Arial" w:hAnsi="Arial" w:cs="Arial"/>
          <w:sz w:val="24"/>
          <w:szCs w:val="24"/>
        </w:rPr>
        <w:t>- - - - - - - - -</w:t>
      </w:r>
    </w:p>
    <w:p w14:paraId="634A4504" w14:textId="51CA6254" w:rsidR="00980029" w:rsidRDefault="00980029" w:rsidP="0098002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de tránsito con número de folio </w:t>
      </w:r>
      <w:r w:rsidR="00611FF2">
        <w:rPr>
          <w:rFonts w:ascii="Arial" w:hAnsi="Arial" w:cs="Arial"/>
          <w:sz w:val="24"/>
          <w:szCs w:val="24"/>
        </w:rPr>
        <w:t>*****</w:t>
      </w:r>
      <w:r w:rsidRPr="00297ED6">
        <w:rPr>
          <w:rFonts w:ascii="Arial" w:hAnsi="Arial" w:cs="Arial"/>
          <w:sz w:val="24"/>
          <w:szCs w:val="24"/>
        </w:rPr>
        <w:t xml:space="preserve">, de </w:t>
      </w:r>
      <w:r w:rsidR="00611FF2">
        <w:rPr>
          <w:rFonts w:ascii="Arial" w:hAnsi="Arial" w:cs="Arial"/>
          <w:sz w:val="24"/>
          <w:szCs w:val="24"/>
        </w:rPr>
        <w:t>***** de ***** de dos mil diecinueve (**/**/2019)</w:t>
      </w:r>
      <w:r w:rsidRPr="00297ED6">
        <w:rPr>
          <w:rFonts w:ascii="Arial" w:hAnsi="Arial" w:cs="Arial"/>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611FF2">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 xml:space="preserve">por </w:t>
      </w:r>
      <w:r>
        <w:rPr>
          <w:rFonts w:ascii="Arial" w:hAnsi="Arial" w:cs="Arial"/>
          <w:sz w:val="24"/>
        </w:rPr>
        <w:t>MARIO ALAN AMAYA CRUZ</w:t>
      </w:r>
      <w:r>
        <w:rPr>
          <w:rFonts w:ascii="Arial" w:hAnsi="Arial" w:cs="Arial"/>
          <w:sz w:val="24"/>
          <w:szCs w:val="24"/>
        </w:rPr>
        <w:t xml:space="preserve">, Policía Vial con número estadístico 126 de la Comisaría de Vialidad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Comisaría de Vialidad a la que pertenece; lo anterior en términos precisados en el considerando SEXTO de esta resolución. - - - - - - - - - - - - - - - - - - - - - - - - - </w:t>
      </w:r>
      <w:r w:rsidR="004E16B4">
        <w:rPr>
          <w:rFonts w:ascii="Arial" w:hAnsi="Arial" w:cs="Arial"/>
          <w:sz w:val="24"/>
          <w:szCs w:val="24"/>
        </w:rPr>
        <w:t xml:space="preserve">- - - - - - - - - - - - - - - - - - - </w:t>
      </w:r>
    </w:p>
    <w:p w14:paraId="334687D1" w14:textId="77777777" w:rsidR="00980029" w:rsidRDefault="00980029" w:rsidP="00980029">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33D51CD7" w14:textId="77777777" w:rsidR="00EB0680" w:rsidRPr="001771FB" w:rsidRDefault="00980029" w:rsidP="001771F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0A3F61">
        <w:rPr>
          <w:rFonts w:ascii="Arial" w:hAnsi="Arial" w:cs="Arial"/>
          <w:sz w:val="24"/>
          <w:szCs w:val="24"/>
        </w:rPr>
        <w:t xml:space="preserve">- - - - - - - - - - - </w:t>
      </w:r>
    </w:p>
    <w:sectPr w:rsidR="00EB0680" w:rsidRPr="001771FB" w:rsidSect="001771FB">
      <w:headerReference w:type="even" r:id="rId7"/>
      <w:headerReference w:type="default" r:id="rId8"/>
      <w:footerReference w:type="default" r:id="rId9"/>
      <w:headerReference w:type="first" r:id="rId10"/>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76C84" w14:textId="77777777" w:rsidR="00C46B9A" w:rsidRDefault="00C46B9A" w:rsidP="007A5B5E">
      <w:pPr>
        <w:spacing w:after="0" w:line="240" w:lineRule="auto"/>
      </w:pPr>
      <w:r>
        <w:separator/>
      </w:r>
    </w:p>
  </w:endnote>
  <w:endnote w:type="continuationSeparator" w:id="0">
    <w:p w14:paraId="7A049C41" w14:textId="77777777" w:rsidR="00C46B9A" w:rsidRDefault="00C46B9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894D03D"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5DC9ADF0" wp14:editId="1D22ABE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E1EF7A3"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771FB" w:rsidRPr="001771FB">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9ADF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" fillcolor="white [3201]" strokecolor="black [3200]" strokeweight="1pt">
                  <v:textbox>
                    <w:txbxContent>
                      <w:p w14:paraId="6E1EF7A3"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771FB" w:rsidRPr="001771FB">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68A9D" w14:textId="77777777" w:rsidR="00C46B9A" w:rsidRDefault="00C46B9A" w:rsidP="007A5B5E">
      <w:pPr>
        <w:spacing w:after="0" w:line="240" w:lineRule="auto"/>
      </w:pPr>
      <w:r>
        <w:separator/>
      </w:r>
    </w:p>
  </w:footnote>
  <w:footnote w:type="continuationSeparator" w:id="0">
    <w:p w14:paraId="0BCBAFAC" w14:textId="77777777" w:rsidR="00C46B9A" w:rsidRDefault="00C46B9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15E3" w14:textId="77777777" w:rsidR="00A4373C" w:rsidRDefault="00C46B9A">
    <w:pPr>
      <w:pStyle w:val="Encabezado"/>
    </w:pPr>
    <w:r>
      <w:rPr>
        <w:noProof/>
        <w:lang w:eastAsia="es-MX"/>
      </w:rPr>
      <w:pict w14:anchorId="5843F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1A1E8" w14:textId="06758359"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42BAE3FA" wp14:editId="47BFF34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0AC8EA4" w14:textId="77777777" w:rsidR="00A4373C" w:rsidRDefault="00440D9A" w:rsidP="009F5E77">
                          <w:r>
                            <w:rPr>
                              <w:noProof/>
                              <w:lang w:eastAsia="es-MX"/>
                            </w:rPr>
                            <w:drawing>
                              <wp:inline distT="0" distB="0" distL="0" distR="0" wp14:anchorId="674B0BED" wp14:editId="451575AA">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BAE3FA"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10AC8EA4" w14:textId="77777777" w:rsidR="00A4373C" w:rsidRDefault="00440D9A" w:rsidP="009F5E77">
                    <w:r>
                      <w:rPr>
                        <w:noProof/>
                        <w:lang w:eastAsia="es-MX"/>
                      </w:rPr>
                      <w:drawing>
                        <wp:inline distT="0" distB="0" distL="0" distR="0" wp14:anchorId="674B0BED" wp14:editId="451575AA">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6162A">
      <w:rPr>
        <w:rFonts w:ascii="Bookman Old Style" w:hAnsi="Bookman Old Style"/>
        <w:b/>
        <w:sz w:val="24"/>
        <w:szCs w:val="24"/>
      </w:rPr>
      <w:t>076</w:t>
    </w:r>
    <w:r w:rsidRPr="00391F24">
      <w:rPr>
        <w:rFonts w:ascii="Bookman Old Style" w:hAnsi="Bookman Old Style"/>
        <w:b/>
        <w:sz w:val="24"/>
        <w:szCs w:val="24"/>
      </w:rPr>
      <w:t>/</w:t>
    </w:r>
    <w:r w:rsidRPr="002F2D7B">
      <w:rPr>
        <w:rFonts w:ascii="Bookman Old Style" w:hAnsi="Bookman Old Style"/>
        <w:b/>
        <w:sz w:val="24"/>
        <w:szCs w:val="24"/>
      </w:rPr>
      <w:t>201</w:t>
    </w:r>
    <w:r w:rsidR="00E6162A">
      <w:rPr>
        <w:rFonts w:ascii="Bookman Old Style" w:hAnsi="Bookman Old Style"/>
        <w:b/>
        <w:sz w:val="24"/>
        <w:szCs w:val="24"/>
      </w:rPr>
      <w:t>9</w:t>
    </w:r>
  </w:p>
  <w:p w14:paraId="106D047F" w14:textId="653C9BDC" w:rsidR="00A4373C" w:rsidRPr="00071C38" w:rsidRDefault="00D27BFE"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7749D599" wp14:editId="1EAA292D">
              <wp:simplePos x="0" y="0"/>
              <wp:positionH relativeFrom="leftMargin">
                <wp:posOffset>163830</wp:posOffset>
              </wp:positionH>
              <wp:positionV relativeFrom="paragraph">
                <wp:posOffset>4238625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B0481FC" w14:textId="77777777" w:rsidR="00D27BFE" w:rsidRPr="003B6E97" w:rsidRDefault="00D27BFE" w:rsidP="00D27BF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49D599" id="Cuadro de texto 3" o:spid="_x0000_s1027" type="#_x0000_t202" style="position:absolute;left:0;text-align:left;margin-left:12.9pt;margin-top:333.7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">
              <v:textbox>
                <w:txbxContent>
                  <w:p w14:paraId="7B0481FC" w14:textId="77777777" w:rsidR="00D27BFE" w:rsidRPr="003B6E97" w:rsidRDefault="00D27BFE" w:rsidP="00D27BF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440D9A">
      <w:rPr>
        <w:noProof/>
        <w:lang w:eastAsia="es-MX"/>
      </w:rPr>
      <w:drawing>
        <wp:anchor distT="0" distB="0" distL="114300" distR="114300" simplePos="0" relativeHeight="251663360" behindDoc="1" locked="0" layoutInCell="1" allowOverlap="1" wp14:anchorId="2EF6D7B3" wp14:editId="4EBDAE04">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2DA91" w14:textId="77777777" w:rsidR="00A4373C" w:rsidRDefault="00C46B9A">
    <w:pPr>
      <w:pStyle w:val="Encabezado"/>
    </w:pPr>
    <w:r>
      <w:rPr>
        <w:noProof/>
        <w:lang w:eastAsia="es-MX"/>
      </w:rPr>
      <w:pict w14:anchorId="56297C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3DDD"/>
    <w:rsid w:val="000054A2"/>
    <w:rsid w:val="00010528"/>
    <w:rsid w:val="000125A9"/>
    <w:rsid w:val="00012762"/>
    <w:rsid w:val="0002020F"/>
    <w:rsid w:val="00022D97"/>
    <w:rsid w:val="00023964"/>
    <w:rsid w:val="0002489A"/>
    <w:rsid w:val="000268AE"/>
    <w:rsid w:val="00033A92"/>
    <w:rsid w:val="00034A10"/>
    <w:rsid w:val="00037568"/>
    <w:rsid w:val="00041042"/>
    <w:rsid w:val="00042BD6"/>
    <w:rsid w:val="00043943"/>
    <w:rsid w:val="00045647"/>
    <w:rsid w:val="00047223"/>
    <w:rsid w:val="00050977"/>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94496"/>
    <w:rsid w:val="000A1953"/>
    <w:rsid w:val="000A3141"/>
    <w:rsid w:val="000A3C52"/>
    <w:rsid w:val="000A3F61"/>
    <w:rsid w:val="000A749A"/>
    <w:rsid w:val="000A76A2"/>
    <w:rsid w:val="000A7D40"/>
    <w:rsid w:val="000A7EF7"/>
    <w:rsid w:val="000B07FD"/>
    <w:rsid w:val="000B41EC"/>
    <w:rsid w:val="000C2D07"/>
    <w:rsid w:val="000C5A57"/>
    <w:rsid w:val="000D332F"/>
    <w:rsid w:val="000D7002"/>
    <w:rsid w:val="000E3B74"/>
    <w:rsid w:val="000F2A5A"/>
    <w:rsid w:val="000F682D"/>
    <w:rsid w:val="0010130E"/>
    <w:rsid w:val="0010171D"/>
    <w:rsid w:val="00102428"/>
    <w:rsid w:val="00103E7F"/>
    <w:rsid w:val="001057B8"/>
    <w:rsid w:val="001062D2"/>
    <w:rsid w:val="001130B3"/>
    <w:rsid w:val="0011343F"/>
    <w:rsid w:val="001138F8"/>
    <w:rsid w:val="00117886"/>
    <w:rsid w:val="00121484"/>
    <w:rsid w:val="00124E09"/>
    <w:rsid w:val="00131D15"/>
    <w:rsid w:val="001323F3"/>
    <w:rsid w:val="00132D25"/>
    <w:rsid w:val="00150601"/>
    <w:rsid w:val="00150787"/>
    <w:rsid w:val="00154BB8"/>
    <w:rsid w:val="00154E74"/>
    <w:rsid w:val="00160942"/>
    <w:rsid w:val="00164320"/>
    <w:rsid w:val="0016706C"/>
    <w:rsid w:val="001721C6"/>
    <w:rsid w:val="001771FB"/>
    <w:rsid w:val="00185A8C"/>
    <w:rsid w:val="00187B21"/>
    <w:rsid w:val="0019193E"/>
    <w:rsid w:val="00196D71"/>
    <w:rsid w:val="00197CCC"/>
    <w:rsid w:val="001A273D"/>
    <w:rsid w:val="001A3488"/>
    <w:rsid w:val="001A420D"/>
    <w:rsid w:val="001A7108"/>
    <w:rsid w:val="001B0015"/>
    <w:rsid w:val="001B31AA"/>
    <w:rsid w:val="001B3EDE"/>
    <w:rsid w:val="001C0584"/>
    <w:rsid w:val="001C581E"/>
    <w:rsid w:val="001D595D"/>
    <w:rsid w:val="001D7D72"/>
    <w:rsid w:val="001E468F"/>
    <w:rsid w:val="001E7EB8"/>
    <w:rsid w:val="002019F1"/>
    <w:rsid w:val="00204FDA"/>
    <w:rsid w:val="00215CFB"/>
    <w:rsid w:val="00224B12"/>
    <w:rsid w:val="00225794"/>
    <w:rsid w:val="002273C1"/>
    <w:rsid w:val="00227673"/>
    <w:rsid w:val="00227B0E"/>
    <w:rsid w:val="00231BB4"/>
    <w:rsid w:val="00236040"/>
    <w:rsid w:val="00237BFA"/>
    <w:rsid w:val="00242030"/>
    <w:rsid w:val="00244832"/>
    <w:rsid w:val="002476D8"/>
    <w:rsid w:val="00256213"/>
    <w:rsid w:val="00260406"/>
    <w:rsid w:val="00264419"/>
    <w:rsid w:val="00266D60"/>
    <w:rsid w:val="00273025"/>
    <w:rsid w:val="00274840"/>
    <w:rsid w:val="002777B4"/>
    <w:rsid w:val="00277F55"/>
    <w:rsid w:val="00280C38"/>
    <w:rsid w:val="00282C25"/>
    <w:rsid w:val="00284F95"/>
    <w:rsid w:val="0028642F"/>
    <w:rsid w:val="002A1A88"/>
    <w:rsid w:val="002A534A"/>
    <w:rsid w:val="002A70E2"/>
    <w:rsid w:val="002B033F"/>
    <w:rsid w:val="002B1091"/>
    <w:rsid w:val="002B14A6"/>
    <w:rsid w:val="002B7125"/>
    <w:rsid w:val="002C05D9"/>
    <w:rsid w:val="002C3F59"/>
    <w:rsid w:val="002D049B"/>
    <w:rsid w:val="002D0A58"/>
    <w:rsid w:val="002D1C5C"/>
    <w:rsid w:val="002D4755"/>
    <w:rsid w:val="002D50CB"/>
    <w:rsid w:val="002E0A6B"/>
    <w:rsid w:val="002E0C00"/>
    <w:rsid w:val="002E2D06"/>
    <w:rsid w:val="002E45CD"/>
    <w:rsid w:val="002E7960"/>
    <w:rsid w:val="002F0DE0"/>
    <w:rsid w:val="002F510D"/>
    <w:rsid w:val="002F7E67"/>
    <w:rsid w:val="00314069"/>
    <w:rsid w:val="00315E00"/>
    <w:rsid w:val="003171EB"/>
    <w:rsid w:val="0032191E"/>
    <w:rsid w:val="003232EF"/>
    <w:rsid w:val="00324531"/>
    <w:rsid w:val="00334280"/>
    <w:rsid w:val="003370E1"/>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1785"/>
    <w:rsid w:val="003B1E1B"/>
    <w:rsid w:val="003B3C3C"/>
    <w:rsid w:val="003B4F0A"/>
    <w:rsid w:val="003C38DB"/>
    <w:rsid w:val="003C5391"/>
    <w:rsid w:val="003C5C1B"/>
    <w:rsid w:val="003E0290"/>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675B"/>
    <w:rsid w:val="00427547"/>
    <w:rsid w:val="004319A5"/>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67D8"/>
    <w:rsid w:val="00473912"/>
    <w:rsid w:val="00475A77"/>
    <w:rsid w:val="00476F7D"/>
    <w:rsid w:val="004847B0"/>
    <w:rsid w:val="00485500"/>
    <w:rsid w:val="0048552C"/>
    <w:rsid w:val="0048608F"/>
    <w:rsid w:val="004A0636"/>
    <w:rsid w:val="004B074C"/>
    <w:rsid w:val="004B21D3"/>
    <w:rsid w:val="004B3184"/>
    <w:rsid w:val="004B4229"/>
    <w:rsid w:val="004B524C"/>
    <w:rsid w:val="004B768F"/>
    <w:rsid w:val="004C1605"/>
    <w:rsid w:val="004C5180"/>
    <w:rsid w:val="004C7B48"/>
    <w:rsid w:val="004D36EF"/>
    <w:rsid w:val="004D3942"/>
    <w:rsid w:val="004D49E7"/>
    <w:rsid w:val="004D7A34"/>
    <w:rsid w:val="004E16B4"/>
    <w:rsid w:val="004E21EE"/>
    <w:rsid w:val="004E6A61"/>
    <w:rsid w:val="004F162F"/>
    <w:rsid w:val="004F54A2"/>
    <w:rsid w:val="004F6F81"/>
    <w:rsid w:val="004F74B5"/>
    <w:rsid w:val="00502478"/>
    <w:rsid w:val="00502589"/>
    <w:rsid w:val="00502D4F"/>
    <w:rsid w:val="00502DA7"/>
    <w:rsid w:val="00504FCD"/>
    <w:rsid w:val="005108C4"/>
    <w:rsid w:val="005221FE"/>
    <w:rsid w:val="00522A4F"/>
    <w:rsid w:val="00522C05"/>
    <w:rsid w:val="0052369A"/>
    <w:rsid w:val="00524EF5"/>
    <w:rsid w:val="005277AB"/>
    <w:rsid w:val="00527A5C"/>
    <w:rsid w:val="00533998"/>
    <w:rsid w:val="00536197"/>
    <w:rsid w:val="005401D7"/>
    <w:rsid w:val="00542573"/>
    <w:rsid w:val="00542EDF"/>
    <w:rsid w:val="00544394"/>
    <w:rsid w:val="00550E48"/>
    <w:rsid w:val="00553A79"/>
    <w:rsid w:val="00555EC8"/>
    <w:rsid w:val="005650AD"/>
    <w:rsid w:val="00566511"/>
    <w:rsid w:val="0056783C"/>
    <w:rsid w:val="00571121"/>
    <w:rsid w:val="00572C64"/>
    <w:rsid w:val="00580EEB"/>
    <w:rsid w:val="0058166F"/>
    <w:rsid w:val="0058281B"/>
    <w:rsid w:val="0059235B"/>
    <w:rsid w:val="00594EC0"/>
    <w:rsid w:val="005A1832"/>
    <w:rsid w:val="005A1C6E"/>
    <w:rsid w:val="005A3B1A"/>
    <w:rsid w:val="005A43CF"/>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583E"/>
    <w:rsid w:val="005E6B1F"/>
    <w:rsid w:val="00604785"/>
    <w:rsid w:val="006050EC"/>
    <w:rsid w:val="00605FD1"/>
    <w:rsid w:val="00606A66"/>
    <w:rsid w:val="00607F2F"/>
    <w:rsid w:val="00611FF2"/>
    <w:rsid w:val="00613139"/>
    <w:rsid w:val="00615AAB"/>
    <w:rsid w:val="006179D5"/>
    <w:rsid w:val="006224F4"/>
    <w:rsid w:val="00623270"/>
    <w:rsid w:val="00626EF2"/>
    <w:rsid w:val="00627280"/>
    <w:rsid w:val="00631E6F"/>
    <w:rsid w:val="00633B84"/>
    <w:rsid w:val="00635299"/>
    <w:rsid w:val="0063702E"/>
    <w:rsid w:val="00640240"/>
    <w:rsid w:val="006406B1"/>
    <w:rsid w:val="00641999"/>
    <w:rsid w:val="00643848"/>
    <w:rsid w:val="00644003"/>
    <w:rsid w:val="006532EB"/>
    <w:rsid w:val="00653A69"/>
    <w:rsid w:val="006635AF"/>
    <w:rsid w:val="00665C49"/>
    <w:rsid w:val="006663FA"/>
    <w:rsid w:val="00667494"/>
    <w:rsid w:val="006675F6"/>
    <w:rsid w:val="006706D9"/>
    <w:rsid w:val="00671276"/>
    <w:rsid w:val="006715DA"/>
    <w:rsid w:val="006720CF"/>
    <w:rsid w:val="00674769"/>
    <w:rsid w:val="00674CC7"/>
    <w:rsid w:val="00680A5D"/>
    <w:rsid w:val="00682104"/>
    <w:rsid w:val="006823F1"/>
    <w:rsid w:val="00694E21"/>
    <w:rsid w:val="00694FBA"/>
    <w:rsid w:val="0069526B"/>
    <w:rsid w:val="006A11E3"/>
    <w:rsid w:val="006A1E8F"/>
    <w:rsid w:val="006A28D2"/>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22DC"/>
    <w:rsid w:val="006E4950"/>
    <w:rsid w:val="006E5138"/>
    <w:rsid w:val="006E59ED"/>
    <w:rsid w:val="006F0A48"/>
    <w:rsid w:val="006F51F4"/>
    <w:rsid w:val="006F5239"/>
    <w:rsid w:val="00706D02"/>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110F1"/>
    <w:rsid w:val="008138BB"/>
    <w:rsid w:val="008144D8"/>
    <w:rsid w:val="00814D65"/>
    <w:rsid w:val="00820232"/>
    <w:rsid w:val="0082288F"/>
    <w:rsid w:val="00836BB6"/>
    <w:rsid w:val="00836D84"/>
    <w:rsid w:val="008405F9"/>
    <w:rsid w:val="0084348F"/>
    <w:rsid w:val="00846D5B"/>
    <w:rsid w:val="008503F4"/>
    <w:rsid w:val="00850F70"/>
    <w:rsid w:val="00851860"/>
    <w:rsid w:val="00854294"/>
    <w:rsid w:val="00856A4E"/>
    <w:rsid w:val="00857943"/>
    <w:rsid w:val="00860BE0"/>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06BEA"/>
    <w:rsid w:val="00907A9D"/>
    <w:rsid w:val="00913A5B"/>
    <w:rsid w:val="009146E9"/>
    <w:rsid w:val="009151E7"/>
    <w:rsid w:val="009156C4"/>
    <w:rsid w:val="009172F2"/>
    <w:rsid w:val="009178C8"/>
    <w:rsid w:val="0092037B"/>
    <w:rsid w:val="00926315"/>
    <w:rsid w:val="0092754C"/>
    <w:rsid w:val="0093030F"/>
    <w:rsid w:val="0093147D"/>
    <w:rsid w:val="0093785B"/>
    <w:rsid w:val="00944386"/>
    <w:rsid w:val="00944597"/>
    <w:rsid w:val="00952BBB"/>
    <w:rsid w:val="00952DA2"/>
    <w:rsid w:val="00953189"/>
    <w:rsid w:val="009575F5"/>
    <w:rsid w:val="00961AB8"/>
    <w:rsid w:val="009755FD"/>
    <w:rsid w:val="00980029"/>
    <w:rsid w:val="009802A4"/>
    <w:rsid w:val="0099265D"/>
    <w:rsid w:val="009963CC"/>
    <w:rsid w:val="009963D8"/>
    <w:rsid w:val="009972DA"/>
    <w:rsid w:val="009A10C0"/>
    <w:rsid w:val="009A23EA"/>
    <w:rsid w:val="009A3359"/>
    <w:rsid w:val="009A6F9E"/>
    <w:rsid w:val="009B3A19"/>
    <w:rsid w:val="009B7578"/>
    <w:rsid w:val="009B7B93"/>
    <w:rsid w:val="009C5272"/>
    <w:rsid w:val="009C5F23"/>
    <w:rsid w:val="009C7D7A"/>
    <w:rsid w:val="009D10CD"/>
    <w:rsid w:val="009D23D6"/>
    <w:rsid w:val="009D6D39"/>
    <w:rsid w:val="009D75E8"/>
    <w:rsid w:val="009E0826"/>
    <w:rsid w:val="009E7E15"/>
    <w:rsid w:val="009F2123"/>
    <w:rsid w:val="00A03414"/>
    <w:rsid w:val="00A057F6"/>
    <w:rsid w:val="00A068EB"/>
    <w:rsid w:val="00A13F37"/>
    <w:rsid w:val="00A17ABB"/>
    <w:rsid w:val="00A206A3"/>
    <w:rsid w:val="00A2218D"/>
    <w:rsid w:val="00A3160F"/>
    <w:rsid w:val="00A357D2"/>
    <w:rsid w:val="00A371D5"/>
    <w:rsid w:val="00A377F9"/>
    <w:rsid w:val="00A37DF5"/>
    <w:rsid w:val="00A44239"/>
    <w:rsid w:val="00A465BE"/>
    <w:rsid w:val="00A47699"/>
    <w:rsid w:val="00A51258"/>
    <w:rsid w:val="00A56A2F"/>
    <w:rsid w:val="00A57E36"/>
    <w:rsid w:val="00A659DE"/>
    <w:rsid w:val="00A811AE"/>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D071B"/>
    <w:rsid w:val="00AD14A8"/>
    <w:rsid w:val="00AD4AA5"/>
    <w:rsid w:val="00AD723C"/>
    <w:rsid w:val="00AE579E"/>
    <w:rsid w:val="00AF01E3"/>
    <w:rsid w:val="00AF5B34"/>
    <w:rsid w:val="00B00359"/>
    <w:rsid w:val="00B044C2"/>
    <w:rsid w:val="00B103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251A"/>
    <w:rsid w:val="00BA4A5A"/>
    <w:rsid w:val="00BA6BAA"/>
    <w:rsid w:val="00BB4F0B"/>
    <w:rsid w:val="00BC5D03"/>
    <w:rsid w:val="00BD0DA4"/>
    <w:rsid w:val="00BD28DD"/>
    <w:rsid w:val="00BD4AC2"/>
    <w:rsid w:val="00BD7507"/>
    <w:rsid w:val="00BE1DD4"/>
    <w:rsid w:val="00BE26D9"/>
    <w:rsid w:val="00BE3865"/>
    <w:rsid w:val="00BF2E0E"/>
    <w:rsid w:val="00C046EC"/>
    <w:rsid w:val="00C13B09"/>
    <w:rsid w:val="00C142D8"/>
    <w:rsid w:val="00C15DB6"/>
    <w:rsid w:val="00C201E1"/>
    <w:rsid w:val="00C20B6F"/>
    <w:rsid w:val="00C225DB"/>
    <w:rsid w:val="00C3005E"/>
    <w:rsid w:val="00C33CED"/>
    <w:rsid w:val="00C349DF"/>
    <w:rsid w:val="00C37DF5"/>
    <w:rsid w:val="00C41270"/>
    <w:rsid w:val="00C44DDE"/>
    <w:rsid w:val="00C46B9A"/>
    <w:rsid w:val="00C46F31"/>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219A"/>
    <w:rsid w:val="00CD3602"/>
    <w:rsid w:val="00CD3746"/>
    <w:rsid w:val="00CD43CA"/>
    <w:rsid w:val="00CD6397"/>
    <w:rsid w:val="00CD707F"/>
    <w:rsid w:val="00CF5FE9"/>
    <w:rsid w:val="00CF64E5"/>
    <w:rsid w:val="00D11FEF"/>
    <w:rsid w:val="00D14D1C"/>
    <w:rsid w:val="00D266C0"/>
    <w:rsid w:val="00D27503"/>
    <w:rsid w:val="00D27BFE"/>
    <w:rsid w:val="00D300B5"/>
    <w:rsid w:val="00D341B7"/>
    <w:rsid w:val="00D34765"/>
    <w:rsid w:val="00D35A3C"/>
    <w:rsid w:val="00D35CB2"/>
    <w:rsid w:val="00D36878"/>
    <w:rsid w:val="00D44940"/>
    <w:rsid w:val="00D4537E"/>
    <w:rsid w:val="00D459CC"/>
    <w:rsid w:val="00D46C75"/>
    <w:rsid w:val="00D5194F"/>
    <w:rsid w:val="00D52AE9"/>
    <w:rsid w:val="00D54271"/>
    <w:rsid w:val="00D54B83"/>
    <w:rsid w:val="00D55CA1"/>
    <w:rsid w:val="00D67F35"/>
    <w:rsid w:val="00D714AE"/>
    <w:rsid w:val="00D80489"/>
    <w:rsid w:val="00D8282E"/>
    <w:rsid w:val="00D841BC"/>
    <w:rsid w:val="00D8770B"/>
    <w:rsid w:val="00D925FE"/>
    <w:rsid w:val="00DA2E36"/>
    <w:rsid w:val="00DB0187"/>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16FB5"/>
    <w:rsid w:val="00E21E6C"/>
    <w:rsid w:val="00E24926"/>
    <w:rsid w:val="00E27318"/>
    <w:rsid w:val="00E278E3"/>
    <w:rsid w:val="00E3025F"/>
    <w:rsid w:val="00E355F4"/>
    <w:rsid w:val="00E452E5"/>
    <w:rsid w:val="00E5122D"/>
    <w:rsid w:val="00E5150B"/>
    <w:rsid w:val="00E551C5"/>
    <w:rsid w:val="00E578BA"/>
    <w:rsid w:val="00E6162A"/>
    <w:rsid w:val="00E61665"/>
    <w:rsid w:val="00E619E9"/>
    <w:rsid w:val="00E61FB2"/>
    <w:rsid w:val="00E64E5F"/>
    <w:rsid w:val="00E70524"/>
    <w:rsid w:val="00E70AF2"/>
    <w:rsid w:val="00E764E3"/>
    <w:rsid w:val="00E76510"/>
    <w:rsid w:val="00E77D22"/>
    <w:rsid w:val="00E81789"/>
    <w:rsid w:val="00E90C31"/>
    <w:rsid w:val="00E91751"/>
    <w:rsid w:val="00E9337C"/>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1893"/>
    <w:rsid w:val="00EE3204"/>
    <w:rsid w:val="00EE66A3"/>
    <w:rsid w:val="00EE69CB"/>
    <w:rsid w:val="00EE7010"/>
    <w:rsid w:val="00EF074F"/>
    <w:rsid w:val="00EF0DD2"/>
    <w:rsid w:val="00EF77C0"/>
    <w:rsid w:val="00F0095B"/>
    <w:rsid w:val="00F00D08"/>
    <w:rsid w:val="00F1260F"/>
    <w:rsid w:val="00F13121"/>
    <w:rsid w:val="00F14EC5"/>
    <w:rsid w:val="00F2100B"/>
    <w:rsid w:val="00F21161"/>
    <w:rsid w:val="00F228AA"/>
    <w:rsid w:val="00F22EB8"/>
    <w:rsid w:val="00F24B6D"/>
    <w:rsid w:val="00F259C1"/>
    <w:rsid w:val="00F25B5E"/>
    <w:rsid w:val="00F2726B"/>
    <w:rsid w:val="00F330E3"/>
    <w:rsid w:val="00F35133"/>
    <w:rsid w:val="00F410FB"/>
    <w:rsid w:val="00F4521C"/>
    <w:rsid w:val="00F57AB8"/>
    <w:rsid w:val="00F60516"/>
    <w:rsid w:val="00F652B5"/>
    <w:rsid w:val="00F65989"/>
    <w:rsid w:val="00F668A7"/>
    <w:rsid w:val="00F66A57"/>
    <w:rsid w:val="00F767DC"/>
    <w:rsid w:val="00F82D42"/>
    <w:rsid w:val="00F85C13"/>
    <w:rsid w:val="00F85E9E"/>
    <w:rsid w:val="00F869F5"/>
    <w:rsid w:val="00F90CB3"/>
    <w:rsid w:val="00F90F2B"/>
    <w:rsid w:val="00F9203A"/>
    <w:rsid w:val="00F93C6D"/>
    <w:rsid w:val="00F9554D"/>
    <w:rsid w:val="00F965D8"/>
    <w:rsid w:val="00F969CE"/>
    <w:rsid w:val="00FA2DE8"/>
    <w:rsid w:val="00FB7682"/>
    <w:rsid w:val="00FC45EE"/>
    <w:rsid w:val="00FC47E6"/>
    <w:rsid w:val="00FC4F6A"/>
    <w:rsid w:val="00FD3894"/>
    <w:rsid w:val="00FD6A8A"/>
    <w:rsid w:val="00FD79EC"/>
    <w:rsid w:val="00FE00C8"/>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C353C"/>
  <w15:docId w15:val="{92181D08-BBC2-471E-9AEC-7A371E4D7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02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1</Pages>
  <Words>4273</Words>
  <Characters>23506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707</cp:revision>
  <cp:lastPrinted>2019-12-02T19:23:00Z</cp:lastPrinted>
  <dcterms:created xsi:type="dcterms:W3CDTF">2019-07-08T16:38:00Z</dcterms:created>
  <dcterms:modified xsi:type="dcterms:W3CDTF">2021-12-01T18:53:00Z</dcterms:modified>
</cp:coreProperties>
</file>