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227245">
      <w:pPr>
        <w:spacing w:line="240" w:lineRule="auto"/>
        <w:ind w:left="340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6A7472A4" w:rsidR="003B6CF0" w:rsidRPr="00CB6405" w:rsidRDefault="003B6CF0" w:rsidP="00227245">
      <w:pPr>
        <w:spacing w:line="240" w:lineRule="auto"/>
        <w:ind w:left="3402"/>
        <w:jc w:val="both"/>
        <w:rPr>
          <w:rFonts w:ascii="Arial" w:hAnsi="Arial" w:cs="Arial"/>
          <w:b/>
          <w:sz w:val="26"/>
          <w:szCs w:val="26"/>
        </w:rPr>
      </w:pPr>
      <w:r w:rsidRPr="00CB6405">
        <w:rPr>
          <w:rFonts w:ascii="Arial" w:hAnsi="Arial" w:cs="Arial"/>
          <w:b/>
          <w:sz w:val="26"/>
          <w:szCs w:val="26"/>
        </w:rPr>
        <w:t>RECURSO DE REVISIÓN:</w:t>
      </w:r>
      <w:r w:rsidR="00227245">
        <w:rPr>
          <w:rFonts w:ascii="Arial" w:hAnsi="Arial" w:cs="Arial"/>
          <w:b/>
          <w:sz w:val="26"/>
          <w:szCs w:val="26"/>
        </w:rPr>
        <w:t xml:space="preserve"> </w:t>
      </w:r>
      <w:r w:rsidRPr="00CB6405">
        <w:rPr>
          <w:rFonts w:ascii="Arial" w:hAnsi="Arial" w:cs="Arial"/>
          <w:b/>
          <w:sz w:val="26"/>
          <w:szCs w:val="26"/>
        </w:rPr>
        <w:t>0</w:t>
      </w:r>
      <w:r w:rsidR="002641F2">
        <w:rPr>
          <w:rFonts w:ascii="Arial" w:hAnsi="Arial" w:cs="Arial"/>
          <w:b/>
          <w:sz w:val="26"/>
          <w:szCs w:val="26"/>
        </w:rPr>
        <w:t>0</w:t>
      </w:r>
      <w:r w:rsidR="002D77BF">
        <w:rPr>
          <w:rFonts w:ascii="Arial" w:hAnsi="Arial" w:cs="Arial"/>
          <w:b/>
          <w:sz w:val="26"/>
          <w:szCs w:val="26"/>
        </w:rPr>
        <w:t>76</w:t>
      </w:r>
      <w:r>
        <w:rPr>
          <w:rFonts w:ascii="Arial" w:hAnsi="Arial" w:cs="Arial"/>
          <w:b/>
          <w:sz w:val="26"/>
          <w:szCs w:val="26"/>
        </w:rPr>
        <w:t>/202</w:t>
      </w:r>
      <w:r w:rsidR="002641F2">
        <w:rPr>
          <w:rFonts w:ascii="Arial" w:hAnsi="Arial" w:cs="Arial"/>
          <w:b/>
          <w:sz w:val="26"/>
          <w:szCs w:val="26"/>
        </w:rPr>
        <w:t>2</w:t>
      </w:r>
      <w:r>
        <w:rPr>
          <w:rFonts w:ascii="Arial" w:hAnsi="Arial" w:cs="Arial"/>
          <w:b/>
          <w:sz w:val="26"/>
          <w:szCs w:val="26"/>
        </w:rPr>
        <w:t>.</w:t>
      </w:r>
    </w:p>
    <w:p w14:paraId="4DFA70CD" w14:textId="5CAF8272" w:rsidR="003B6CF0" w:rsidRDefault="003B6CF0" w:rsidP="00227245">
      <w:pPr>
        <w:spacing w:line="240" w:lineRule="auto"/>
        <w:ind w:left="3402"/>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2641F2">
        <w:rPr>
          <w:rFonts w:ascii="Arial" w:hAnsi="Arial" w:cs="Arial"/>
          <w:b/>
          <w:sz w:val="26"/>
          <w:szCs w:val="26"/>
        </w:rPr>
        <w:t>00</w:t>
      </w:r>
      <w:r w:rsidR="002D77BF">
        <w:rPr>
          <w:rFonts w:ascii="Arial" w:hAnsi="Arial" w:cs="Arial"/>
          <w:b/>
          <w:sz w:val="26"/>
          <w:szCs w:val="26"/>
        </w:rPr>
        <w:t>43</w:t>
      </w:r>
      <w:r>
        <w:rPr>
          <w:rFonts w:ascii="Arial" w:hAnsi="Arial" w:cs="Arial"/>
          <w:b/>
          <w:sz w:val="26"/>
          <w:szCs w:val="26"/>
        </w:rPr>
        <w:t>/</w:t>
      </w:r>
      <w:r w:rsidR="002641F2">
        <w:rPr>
          <w:rFonts w:ascii="Arial" w:hAnsi="Arial" w:cs="Arial"/>
          <w:b/>
          <w:sz w:val="26"/>
          <w:szCs w:val="26"/>
        </w:rPr>
        <w:t>2021</w:t>
      </w:r>
      <w:r w:rsidRPr="00CB6405">
        <w:rPr>
          <w:rFonts w:ascii="Arial" w:hAnsi="Arial" w:cs="Arial"/>
          <w:b/>
          <w:sz w:val="26"/>
          <w:szCs w:val="26"/>
        </w:rPr>
        <w:t xml:space="preserve"> </w:t>
      </w:r>
      <w:r w:rsidR="0056797D">
        <w:rPr>
          <w:rFonts w:ascii="Arial" w:hAnsi="Arial" w:cs="Arial"/>
          <w:b/>
          <w:sz w:val="26"/>
          <w:szCs w:val="26"/>
        </w:rPr>
        <w:t xml:space="preserve">DE LA </w:t>
      </w:r>
      <w:r w:rsidR="00A202FC">
        <w:rPr>
          <w:rFonts w:ascii="Arial" w:hAnsi="Arial" w:cs="Arial"/>
          <w:b/>
          <w:sz w:val="26"/>
          <w:szCs w:val="26"/>
        </w:rPr>
        <w:t>S</w:t>
      </w:r>
      <w:r w:rsidR="007716CC">
        <w:rPr>
          <w:rFonts w:ascii="Arial" w:hAnsi="Arial" w:cs="Arial"/>
          <w:b/>
          <w:sz w:val="26"/>
          <w:szCs w:val="26"/>
        </w:rPr>
        <w:t>EXTA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22B96868" w14:textId="105EFFBB" w:rsidR="003B6CF0" w:rsidRDefault="003B6CF0" w:rsidP="00227245">
      <w:pPr>
        <w:spacing w:line="240" w:lineRule="auto"/>
        <w:ind w:left="3402"/>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w:t>
      </w:r>
      <w:r w:rsidR="002D77BF">
        <w:rPr>
          <w:rFonts w:ascii="Arial" w:hAnsi="Arial" w:cs="Arial"/>
          <w:b/>
          <w:sz w:val="26"/>
          <w:szCs w:val="26"/>
        </w:rPr>
        <w:t>A</w:t>
      </w:r>
      <w:r>
        <w:rPr>
          <w:rFonts w:ascii="Arial" w:hAnsi="Arial" w:cs="Arial"/>
          <w:b/>
          <w:sz w:val="26"/>
          <w:szCs w:val="26"/>
        </w:rPr>
        <w:t xml:space="preserve"> </w:t>
      </w:r>
      <w:r w:rsidR="002D77BF">
        <w:rPr>
          <w:rFonts w:ascii="Arial" w:hAnsi="Arial" w:cs="Arial"/>
          <w:b/>
          <w:sz w:val="26"/>
          <w:szCs w:val="26"/>
        </w:rPr>
        <w:t>GLORIA DEL CARMEN CAMACHO MEZA.</w:t>
      </w:r>
    </w:p>
    <w:p w14:paraId="3DE7165A" w14:textId="7C8EC9C3" w:rsidR="003B6CF0" w:rsidRDefault="003B6CF0" w:rsidP="00227245">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227245">
        <w:rPr>
          <w:rFonts w:ascii="Arial" w:hAnsi="Arial" w:cs="Arial"/>
          <w:b/>
          <w:sz w:val="26"/>
          <w:szCs w:val="26"/>
        </w:rPr>
        <w:t>VEINTE</w:t>
      </w:r>
      <w:r>
        <w:rPr>
          <w:rFonts w:ascii="Arial" w:hAnsi="Arial" w:cs="Arial"/>
          <w:b/>
          <w:sz w:val="26"/>
          <w:szCs w:val="26"/>
        </w:rPr>
        <w:t xml:space="preserve"> DE </w:t>
      </w:r>
      <w:r w:rsidR="00B22C23">
        <w:rPr>
          <w:rFonts w:ascii="Arial" w:hAnsi="Arial" w:cs="Arial"/>
          <w:b/>
          <w:sz w:val="26"/>
          <w:szCs w:val="26"/>
        </w:rPr>
        <w:t>OCTUBRE</w:t>
      </w:r>
      <w:r>
        <w:rPr>
          <w:rFonts w:ascii="Arial" w:hAnsi="Arial" w:cs="Arial"/>
          <w:b/>
          <w:sz w:val="26"/>
          <w:szCs w:val="26"/>
        </w:rPr>
        <w:t xml:space="preserve"> DE DOS MIL VEIN</w:t>
      </w:r>
      <w:r w:rsidR="002B2D70">
        <w:rPr>
          <w:rFonts w:ascii="Arial" w:hAnsi="Arial" w:cs="Arial"/>
          <w:b/>
          <w:sz w:val="26"/>
          <w:szCs w:val="26"/>
        </w:rPr>
        <w:t>TIDÓS</w:t>
      </w:r>
      <w:r>
        <w:rPr>
          <w:rFonts w:ascii="Arial" w:hAnsi="Arial" w:cs="Arial"/>
          <w:b/>
          <w:sz w:val="26"/>
          <w:szCs w:val="26"/>
        </w:rPr>
        <w:t xml:space="preserve">. - - - - - - - - - - - - - - - - - - - - - - - - - - - - - - - - - - - - - - - </w:t>
      </w:r>
    </w:p>
    <w:p w14:paraId="7CF0F441" w14:textId="320CDA23" w:rsidR="003B6CF0" w:rsidRDefault="003B6CF0" w:rsidP="002D77BF">
      <w:pPr>
        <w:spacing w:line="360" w:lineRule="auto"/>
        <w:ind w:firstLine="567"/>
        <w:jc w:val="both"/>
        <w:rPr>
          <w:rFonts w:ascii="Arial" w:hAnsi="Arial" w:cs="Arial"/>
          <w:b/>
          <w:bCs/>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2641F2">
        <w:rPr>
          <w:rFonts w:ascii="Arial" w:hAnsi="Arial" w:cs="Arial"/>
          <w:b/>
          <w:sz w:val="26"/>
          <w:szCs w:val="26"/>
        </w:rPr>
        <w:t>0</w:t>
      </w:r>
      <w:r w:rsidR="002D77BF">
        <w:rPr>
          <w:rFonts w:ascii="Arial" w:hAnsi="Arial" w:cs="Arial"/>
          <w:b/>
          <w:sz w:val="26"/>
          <w:szCs w:val="26"/>
        </w:rPr>
        <w:t>76</w:t>
      </w:r>
      <w:r w:rsidRPr="00CB6405">
        <w:rPr>
          <w:rFonts w:ascii="Arial" w:hAnsi="Arial" w:cs="Arial"/>
          <w:b/>
          <w:sz w:val="26"/>
          <w:szCs w:val="26"/>
        </w:rPr>
        <w:t>/20</w:t>
      </w:r>
      <w:r>
        <w:rPr>
          <w:rFonts w:ascii="Arial" w:hAnsi="Arial" w:cs="Arial"/>
          <w:b/>
          <w:sz w:val="26"/>
          <w:szCs w:val="26"/>
        </w:rPr>
        <w:t>2</w:t>
      </w:r>
      <w:r w:rsidR="002641F2">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2D77BF">
        <w:rPr>
          <w:rFonts w:ascii="Arial" w:hAnsi="Arial" w:cs="Arial"/>
          <w:sz w:val="26"/>
          <w:szCs w:val="26"/>
        </w:rPr>
        <w:t xml:space="preserve"> la</w:t>
      </w:r>
      <w:r w:rsidR="0056797D">
        <w:rPr>
          <w:rFonts w:ascii="Arial" w:hAnsi="Arial" w:cs="Arial"/>
          <w:b/>
          <w:sz w:val="26"/>
          <w:szCs w:val="26"/>
        </w:rPr>
        <w:t xml:space="preserve"> </w:t>
      </w:r>
      <w:r w:rsidR="00227245">
        <w:rPr>
          <w:rFonts w:ascii="Arial" w:hAnsi="Arial" w:cs="Arial"/>
          <w:b/>
          <w:sz w:val="26"/>
          <w:szCs w:val="26"/>
        </w:rPr>
        <w:t>DIRECTORA DE PENSIONES DEL AYUNTAMIENTO DE LA CIUDAD DE OAXACA DE JUÁREZ</w:t>
      </w:r>
      <w:r w:rsidR="002D77BF">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56797D">
        <w:rPr>
          <w:rFonts w:ascii="Arial" w:hAnsi="Arial" w:cs="Arial"/>
          <w:sz w:val="26"/>
          <w:szCs w:val="26"/>
        </w:rPr>
        <w:t xml:space="preserve"> </w:t>
      </w:r>
      <w:r w:rsidR="002B2D70">
        <w:rPr>
          <w:rFonts w:ascii="Arial" w:hAnsi="Arial" w:cs="Arial"/>
          <w:sz w:val="26"/>
          <w:szCs w:val="26"/>
        </w:rPr>
        <w:t>l</w:t>
      </w:r>
      <w:r w:rsidR="0056797D">
        <w:rPr>
          <w:rFonts w:ascii="Arial" w:hAnsi="Arial" w:cs="Arial"/>
          <w:sz w:val="26"/>
          <w:szCs w:val="26"/>
        </w:rPr>
        <w:t>a sentencia</w:t>
      </w:r>
      <w:r w:rsidR="002B2D70">
        <w:rPr>
          <w:rFonts w:ascii="Arial" w:hAnsi="Arial" w:cs="Arial"/>
          <w:sz w:val="26"/>
          <w:szCs w:val="26"/>
        </w:rPr>
        <w:t xml:space="preserve"> </w:t>
      </w:r>
      <w:r w:rsidR="00A202FC">
        <w:rPr>
          <w:rFonts w:ascii="Arial" w:hAnsi="Arial" w:cs="Arial"/>
          <w:sz w:val="26"/>
          <w:szCs w:val="26"/>
        </w:rPr>
        <w:t xml:space="preserve">de </w:t>
      </w:r>
      <w:r w:rsidR="002D77BF">
        <w:rPr>
          <w:rFonts w:ascii="Arial" w:hAnsi="Arial" w:cs="Arial"/>
          <w:sz w:val="26"/>
          <w:szCs w:val="26"/>
        </w:rPr>
        <w:t>cuatro de marzo de dos mil veintidós</w:t>
      </w:r>
      <w:r w:rsidR="0056797D">
        <w:rPr>
          <w:rFonts w:ascii="Arial" w:hAnsi="Arial" w:cs="Arial"/>
          <w:sz w:val="26"/>
          <w:szCs w:val="26"/>
        </w:rPr>
        <w:t>, dictada</w:t>
      </w:r>
      <w:r>
        <w:rPr>
          <w:rFonts w:ascii="Arial" w:hAnsi="Arial" w:cs="Arial"/>
          <w:sz w:val="26"/>
          <w:szCs w:val="26"/>
        </w:rPr>
        <w:t xml:space="preserve"> en el expediente </w:t>
      </w:r>
      <w:r w:rsidR="002D77BF">
        <w:rPr>
          <w:rFonts w:ascii="Arial" w:hAnsi="Arial" w:cs="Arial"/>
          <w:b/>
          <w:sz w:val="26"/>
          <w:szCs w:val="26"/>
        </w:rPr>
        <w:t>0043</w:t>
      </w:r>
      <w:r w:rsidR="002B2D70">
        <w:rPr>
          <w:rFonts w:ascii="Arial" w:hAnsi="Arial" w:cs="Arial"/>
          <w:b/>
          <w:sz w:val="26"/>
          <w:szCs w:val="26"/>
        </w:rPr>
        <w:t>/202</w:t>
      </w:r>
      <w:r w:rsidR="009F5420">
        <w:rPr>
          <w:rFonts w:ascii="Arial" w:hAnsi="Arial" w:cs="Arial"/>
          <w:b/>
          <w:sz w:val="26"/>
          <w:szCs w:val="26"/>
        </w:rPr>
        <w:t>1</w:t>
      </w:r>
      <w:r>
        <w:rPr>
          <w:rFonts w:ascii="Arial" w:hAnsi="Arial" w:cs="Arial"/>
          <w:b/>
          <w:sz w:val="26"/>
          <w:szCs w:val="26"/>
        </w:rPr>
        <w:t xml:space="preserve"> </w:t>
      </w:r>
      <w:r w:rsidR="007007A1">
        <w:rPr>
          <w:rFonts w:ascii="Arial" w:hAnsi="Arial" w:cs="Arial"/>
          <w:sz w:val="26"/>
          <w:szCs w:val="26"/>
        </w:rPr>
        <w:t xml:space="preserve">del índice de la </w:t>
      </w:r>
      <w:r w:rsidR="00A202FC">
        <w:rPr>
          <w:rFonts w:ascii="Arial" w:hAnsi="Arial" w:cs="Arial"/>
          <w:sz w:val="26"/>
          <w:szCs w:val="26"/>
        </w:rPr>
        <w:t>S</w:t>
      </w:r>
      <w:r w:rsidR="009E51FB">
        <w:rPr>
          <w:rFonts w:ascii="Arial" w:hAnsi="Arial" w:cs="Arial"/>
          <w:sz w:val="26"/>
          <w:szCs w:val="26"/>
        </w:rPr>
        <w:t>ext</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9F5420">
        <w:rPr>
          <w:rFonts w:ascii="Arial" w:hAnsi="Arial" w:cs="Arial"/>
          <w:b/>
          <w:sz w:val="26"/>
          <w:szCs w:val="26"/>
        </w:rPr>
        <w:t xml:space="preserve"> </w:t>
      </w:r>
      <w:r w:rsidR="00554B6E">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2D77BF">
        <w:rPr>
          <w:rFonts w:ascii="Arial" w:hAnsi="Arial" w:cs="Arial"/>
          <w:sz w:val="26"/>
          <w:szCs w:val="26"/>
        </w:rPr>
        <w:t xml:space="preserve"> </w:t>
      </w:r>
      <w:r w:rsidR="002D77BF">
        <w:rPr>
          <w:rFonts w:ascii="Arial" w:hAnsi="Arial" w:cs="Arial"/>
          <w:b/>
          <w:sz w:val="26"/>
          <w:szCs w:val="26"/>
        </w:rPr>
        <w:t>la autoridad recurrente;</w:t>
      </w:r>
      <w:r w:rsidR="003B2BC1">
        <w:rPr>
          <w:rFonts w:ascii="Arial" w:hAnsi="Arial" w:cs="Arial"/>
          <w:sz w:val="26"/>
          <w:szCs w:val="26"/>
        </w:rPr>
        <w:t xml:space="preserve"> </w:t>
      </w:r>
      <w:r w:rsidR="002D77BF">
        <w:rPr>
          <w:rFonts w:ascii="Arial" w:hAnsi="Arial" w:cs="Arial"/>
          <w:bCs/>
          <w:color w:val="000000" w:themeColor="text1"/>
          <w:sz w:val="26"/>
          <w:szCs w:val="26"/>
        </w:rPr>
        <w:t>En consecuencia,</w:t>
      </w:r>
      <w:r w:rsidR="002D77BF">
        <w:rPr>
          <w:rFonts w:ascii="Arial" w:eastAsiaTheme="minorHAnsi" w:hAnsi="Arial" w:cs="Arial"/>
          <w:color w:val="000000" w:themeColor="text1"/>
          <w:sz w:val="26"/>
          <w:szCs w:val="26"/>
          <w:lang w:eastAsia="en-US"/>
        </w:rPr>
        <w:t xml:space="preserve"> </w:t>
      </w:r>
      <w:r w:rsidR="002D77BF">
        <w:rPr>
          <w:rFonts w:ascii="Arial" w:hAnsi="Arial" w:cs="Arial"/>
          <w:sz w:val="26"/>
          <w:szCs w:val="26"/>
        </w:rPr>
        <w:t xml:space="preserve">con fundamento en los artículos 236, 238 de la Ley de Procedimiento y Justicia Administrativa para el Estado de Oaxaca, </w:t>
      </w:r>
      <w:r w:rsidR="002D77BF">
        <w:rPr>
          <w:rFonts w:ascii="Arial" w:hAnsi="Arial" w:cs="Arial"/>
          <w:bCs/>
          <w:iCs/>
          <w:sz w:val="26"/>
          <w:szCs w:val="26"/>
        </w:rPr>
        <w:t xml:space="preserve">24, fracciones I y III de la Ley Orgánica del Tribunal de Justicia Administrativa del Estado de Oaxaca, </w:t>
      </w:r>
      <w:r w:rsidR="00227245">
        <w:rPr>
          <w:rFonts w:ascii="Arial" w:hAnsi="Arial" w:cs="Arial"/>
          <w:bCs/>
          <w:iCs/>
          <w:sz w:val="26"/>
          <w:szCs w:val="26"/>
        </w:rPr>
        <w:t xml:space="preserve">se da tramite. Por consiguiente, </w:t>
      </w:r>
      <w:r w:rsidR="002D77BF">
        <w:rPr>
          <w:rFonts w:ascii="Arial" w:hAnsi="Arial" w:cs="Arial"/>
          <w:sz w:val="26"/>
          <w:szCs w:val="26"/>
        </w:rPr>
        <w:t xml:space="preserve">se procede a dictar resolución en los siguientes </w:t>
      </w:r>
      <w:r w:rsidR="00227245">
        <w:rPr>
          <w:rFonts w:ascii="Arial" w:hAnsi="Arial" w:cs="Arial"/>
          <w:sz w:val="26"/>
          <w:szCs w:val="26"/>
        </w:rPr>
        <w:t>términos</w:t>
      </w:r>
      <w:r w:rsidR="00227245">
        <w:rPr>
          <w:rFonts w:ascii="Arial" w:eastAsiaTheme="minorHAnsi" w:hAnsi="Arial" w:cs="Arial"/>
          <w:color w:val="000000" w:themeColor="text1"/>
          <w:sz w:val="26"/>
          <w:szCs w:val="26"/>
          <w:lang w:eastAsia="en-US"/>
        </w:rPr>
        <w:t>: - - - - - - - - - -</w:t>
      </w:r>
      <w:r w:rsidR="00554B6E">
        <w:rPr>
          <w:rFonts w:ascii="Arial" w:eastAsiaTheme="minorHAnsi" w:hAnsi="Arial" w:cs="Arial"/>
          <w:color w:val="000000" w:themeColor="text1"/>
          <w:sz w:val="26"/>
          <w:szCs w:val="26"/>
          <w:lang w:eastAsia="en-US"/>
        </w:rPr>
        <w:t xml:space="preserve"> - - - - - - - - - - - - - - - - -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4FCF5E4E"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414FCD">
        <w:rPr>
          <w:rFonts w:ascii="Arial" w:hAnsi="Arial" w:cs="Arial"/>
          <w:sz w:val="26"/>
          <w:szCs w:val="26"/>
        </w:rPr>
        <w:t xml:space="preserve"> </w:t>
      </w:r>
      <w:r w:rsidR="004B265C">
        <w:rPr>
          <w:rFonts w:ascii="Arial" w:hAnsi="Arial" w:cs="Arial"/>
          <w:sz w:val="26"/>
          <w:szCs w:val="26"/>
        </w:rPr>
        <w:t xml:space="preserve">la sentencia de </w:t>
      </w:r>
      <w:r w:rsidR="002D77BF">
        <w:rPr>
          <w:rFonts w:ascii="Arial" w:hAnsi="Arial" w:cs="Arial"/>
          <w:sz w:val="26"/>
          <w:szCs w:val="26"/>
        </w:rPr>
        <w:t>cuatro de marzo de dos mil veintidós,</w:t>
      </w:r>
      <w:r>
        <w:rPr>
          <w:rFonts w:ascii="Arial" w:hAnsi="Arial" w:cs="Arial"/>
          <w:sz w:val="26"/>
          <w:szCs w:val="26"/>
        </w:rPr>
        <w:t xml:space="preserve"> </w:t>
      </w:r>
      <w:r w:rsidRPr="00CB6405">
        <w:rPr>
          <w:rFonts w:ascii="Arial" w:hAnsi="Arial" w:cs="Arial"/>
          <w:sz w:val="26"/>
          <w:szCs w:val="26"/>
        </w:rPr>
        <w:t>dictad</w:t>
      </w:r>
      <w:r w:rsidR="004B265C">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5F286D">
        <w:rPr>
          <w:rFonts w:ascii="Arial" w:hAnsi="Arial" w:cs="Arial"/>
          <w:sz w:val="26"/>
          <w:szCs w:val="26"/>
        </w:rPr>
        <w:t>Sext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2D77BF">
        <w:rPr>
          <w:rFonts w:ascii="Arial" w:hAnsi="Arial" w:cs="Arial"/>
          <w:sz w:val="26"/>
          <w:szCs w:val="26"/>
        </w:rPr>
        <w:t>la</w:t>
      </w:r>
      <w:r w:rsidR="002D77BF">
        <w:rPr>
          <w:rFonts w:ascii="Arial" w:hAnsi="Arial" w:cs="Arial"/>
          <w:b/>
          <w:sz w:val="26"/>
          <w:szCs w:val="26"/>
        </w:rPr>
        <w:t xml:space="preserve"> Directora de Pensiones del Ayuntamiento de la Ciudad de Oaxaca de Juárez</w:t>
      </w:r>
      <w:r w:rsidR="004B265C">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227245">
        <w:rPr>
          <w:rFonts w:ascii="Arial" w:hAnsi="Arial" w:cs="Arial"/>
          <w:sz w:val="26"/>
          <w:szCs w:val="26"/>
        </w:rPr>
        <w:t xml:space="preserve">- - - - - - - - - - - - - </w:t>
      </w:r>
    </w:p>
    <w:p w14:paraId="550CA227" w14:textId="77777777" w:rsidR="004B265C" w:rsidRPr="003B084B" w:rsidRDefault="003B6CF0" w:rsidP="004B265C">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4B265C" w:rsidRPr="003B084B">
        <w:rPr>
          <w:rFonts w:ascii="Arial" w:hAnsi="Arial" w:cs="Arial"/>
          <w:bCs/>
          <w:iCs/>
          <w:sz w:val="26"/>
          <w:szCs w:val="26"/>
        </w:rPr>
        <w:t>Los puntos resolutivos de la sentencia recurrida son los siguientes:</w:t>
      </w:r>
    </w:p>
    <w:p w14:paraId="61891F66" w14:textId="0240A950" w:rsidR="004B265C" w:rsidRDefault="004B265C" w:rsidP="00227245">
      <w:pPr>
        <w:spacing w:before="120" w:after="0"/>
        <w:ind w:left="851" w:right="902" w:firstLine="425"/>
        <w:jc w:val="both"/>
        <w:rPr>
          <w:rFonts w:ascii="Arial" w:eastAsia="Times New Roman" w:hAnsi="Arial" w:cs="Arial"/>
          <w:bCs/>
          <w:i/>
          <w:iCs/>
          <w:lang w:eastAsia="es-ES"/>
        </w:rPr>
      </w:pPr>
      <w:r w:rsidRPr="00660B82">
        <w:rPr>
          <w:rFonts w:ascii="Arial" w:eastAsia="Times New Roman" w:hAnsi="Arial" w:cs="Arial"/>
          <w:b/>
          <w:bCs/>
          <w:i/>
          <w:iCs/>
          <w:lang w:eastAsia="es-ES"/>
        </w:rPr>
        <w:t xml:space="preserve"> </w:t>
      </w:r>
      <w:r w:rsidR="002D77BF">
        <w:rPr>
          <w:rFonts w:ascii="Arial" w:eastAsia="Times New Roman" w:hAnsi="Arial" w:cs="Arial"/>
          <w:b/>
          <w:bCs/>
          <w:i/>
          <w:iCs/>
          <w:lang w:eastAsia="es-ES"/>
        </w:rPr>
        <w:t xml:space="preserve">  </w:t>
      </w:r>
      <w:r w:rsidR="00C603A5" w:rsidRPr="00660B82">
        <w:rPr>
          <w:rFonts w:ascii="Arial" w:eastAsia="Times New Roman" w:hAnsi="Arial" w:cs="Arial"/>
          <w:b/>
          <w:bCs/>
          <w:i/>
          <w:iCs/>
          <w:lang w:eastAsia="es-ES"/>
        </w:rPr>
        <w:t>“</w:t>
      </w:r>
      <w:r w:rsidR="00C603A5">
        <w:rPr>
          <w:rFonts w:ascii="Arial" w:eastAsia="Times New Roman" w:hAnsi="Arial" w:cs="Arial"/>
          <w:b/>
          <w:bCs/>
          <w:i/>
          <w:iCs/>
          <w:lang w:eastAsia="es-ES"/>
        </w:rPr>
        <w:t>PRIMERO. -</w:t>
      </w:r>
      <w:r>
        <w:rPr>
          <w:rFonts w:ascii="Arial" w:eastAsia="Times New Roman" w:hAnsi="Arial" w:cs="Arial"/>
          <w:b/>
          <w:bCs/>
          <w:i/>
          <w:iCs/>
          <w:lang w:eastAsia="es-ES"/>
        </w:rPr>
        <w:t xml:space="preserve"> </w:t>
      </w:r>
      <w:r w:rsidR="00C603A5">
        <w:rPr>
          <w:rFonts w:ascii="Arial" w:eastAsia="Times New Roman" w:hAnsi="Arial" w:cs="Arial"/>
          <w:bCs/>
          <w:i/>
          <w:iCs/>
          <w:lang w:eastAsia="es-ES"/>
        </w:rPr>
        <w:t>Esta Sexta Sala Unitaria de Primera Instancia</w:t>
      </w:r>
      <w:r w:rsidR="002D77BF">
        <w:rPr>
          <w:rFonts w:ascii="Arial" w:eastAsia="Times New Roman" w:hAnsi="Arial" w:cs="Arial"/>
          <w:bCs/>
          <w:i/>
          <w:iCs/>
          <w:lang w:eastAsia="es-ES"/>
        </w:rPr>
        <w:t>,</w:t>
      </w:r>
      <w:r w:rsidR="00C603A5">
        <w:rPr>
          <w:rFonts w:ascii="Arial" w:eastAsia="Times New Roman" w:hAnsi="Arial" w:cs="Arial"/>
          <w:bCs/>
          <w:i/>
          <w:iCs/>
          <w:lang w:eastAsia="es-ES"/>
        </w:rPr>
        <w:t xml:space="preserve"> </w:t>
      </w:r>
      <w:r w:rsidR="002D77BF">
        <w:rPr>
          <w:rFonts w:ascii="Arial" w:eastAsia="Times New Roman" w:hAnsi="Arial" w:cs="Arial"/>
          <w:bCs/>
          <w:i/>
          <w:iCs/>
          <w:lang w:eastAsia="es-ES"/>
        </w:rPr>
        <w:t>es</w:t>
      </w:r>
      <w:r w:rsidR="00C603A5">
        <w:rPr>
          <w:rFonts w:ascii="Arial" w:eastAsia="Times New Roman" w:hAnsi="Arial" w:cs="Arial"/>
          <w:bCs/>
          <w:i/>
          <w:iCs/>
          <w:lang w:eastAsia="es-ES"/>
        </w:rPr>
        <w:t xml:space="preserve"> competente para conocer y resolver d</w:t>
      </w:r>
      <w:r w:rsidR="002D77BF">
        <w:rPr>
          <w:rFonts w:ascii="Arial" w:eastAsia="Times New Roman" w:hAnsi="Arial" w:cs="Arial"/>
          <w:bCs/>
          <w:i/>
          <w:iCs/>
          <w:lang w:eastAsia="es-ES"/>
        </w:rPr>
        <w:t xml:space="preserve">el presente asunto. - - - - - </w:t>
      </w:r>
    </w:p>
    <w:p w14:paraId="63FF56EA" w14:textId="7C4EB0E6" w:rsidR="00C603A5" w:rsidRDefault="00EE5DC3" w:rsidP="00227245">
      <w:pPr>
        <w:spacing w:before="120" w:after="0"/>
        <w:ind w:left="851" w:right="902" w:firstLine="709"/>
        <w:jc w:val="both"/>
        <w:rPr>
          <w:rFonts w:ascii="Arial" w:eastAsia="Times New Roman" w:hAnsi="Arial" w:cs="Arial"/>
          <w:bCs/>
          <w:i/>
          <w:iCs/>
          <w:lang w:eastAsia="es-ES"/>
        </w:rPr>
      </w:pPr>
      <w:r>
        <w:rPr>
          <w:rFonts w:ascii="Arial" w:eastAsia="Times New Roman" w:hAnsi="Arial" w:cs="Arial"/>
          <w:b/>
          <w:bCs/>
          <w:i/>
          <w:iCs/>
          <w:lang w:eastAsia="es-ES"/>
        </w:rPr>
        <w:t>SEGUNDO. -</w:t>
      </w:r>
      <w:r w:rsidR="00C603A5">
        <w:rPr>
          <w:rFonts w:ascii="Arial" w:eastAsia="Times New Roman" w:hAnsi="Arial" w:cs="Arial"/>
          <w:b/>
          <w:bCs/>
          <w:i/>
          <w:iCs/>
          <w:lang w:eastAsia="es-ES"/>
        </w:rPr>
        <w:t xml:space="preserve"> </w:t>
      </w:r>
      <w:r w:rsidR="00C603A5">
        <w:rPr>
          <w:rFonts w:ascii="Arial" w:eastAsia="Times New Roman" w:hAnsi="Arial" w:cs="Arial"/>
          <w:bCs/>
          <w:i/>
          <w:iCs/>
          <w:lang w:eastAsia="es-ES"/>
        </w:rPr>
        <w:t xml:space="preserve">La personalidad de las partes quedó acreditada en </w:t>
      </w:r>
      <w:r>
        <w:rPr>
          <w:rFonts w:ascii="Arial" w:eastAsia="Times New Roman" w:hAnsi="Arial" w:cs="Arial"/>
          <w:bCs/>
          <w:i/>
          <w:iCs/>
          <w:lang w:eastAsia="es-ES"/>
        </w:rPr>
        <w:t xml:space="preserve">autos. - - - - - </w:t>
      </w:r>
      <w:r w:rsidR="002D77BF">
        <w:rPr>
          <w:rFonts w:ascii="Arial" w:eastAsia="Times New Roman" w:hAnsi="Arial" w:cs="Arial"/>
          <w:bCs/>
          <w:i/>
          <w:iCs/>
          <w:lang w:eastAsia="es-ES"/>
        </w:rPr>
        <w:t xml:space="preserve">- - - - - - - - - - - - - - - - - - - - - - - - - - - - - </w:t>
      </w:r>
    </w:p>
    <w:p w14:paraId="255AD743" w14:textId="2E91BEC8" w:rsidR="00EE5DC3" w:rsidRDefault="00CA6EFF" w:rsidP="00227245">
      <w:pPr>
        <w:spacing w:before="120" w:after="0"/>
        <w:ind w:left="993" w:right="900" w:firstLine="567"/>
        <w:jc w:val="both"/>
        <w:rPr>
          <w:rFonts w:ascii="Arial" w:eastAsia="Times New Roman" w:hAnsi="Arial" w:cs="Arial"/>
          <w:bCs/>
          <w:i/>
          <w:iCs/>
          <w:lang w:eastAsia="es-ES"/>
        </w:rPr>
      </w:pPr>
      <w:r>
        <w:rPr>
          <w:rFonts w:ascii="Arial" w:eastAsia="Times New Roman" w:hAnsi="Arial" w:cs="Arial"/>
          <w:b/>
          <w:bCs/>
          <w:i/>
          <w:iCs/>
          <w:lang w:eastAsia="es-ES"/>
        </w:rPr>
        <w:t>TERCERO. -</w:t>
      </w:r>
      <w:r w:rsidR="00EE5DC3">
        <w:rPr>
          <w:rFonts w:ascii="Arial" w:eastAsia="Times New Roman" w:hAnsi="Arial" w:cs="Arial"/>
          <w:b/>
          <w:bCs/>
          <w:i/>
          <w:iCs/>
          <w:lang w:eastAsia="es-ES"/>
        </w:rPr>
        <w:t xml:space="preserve"> </w:t>
      </w:r>
      <w:r>
        <w:rPr>
          <w:rFonts w:ascii="Arial" w:eastAsia="Times New Roman" w:hAnsi="Arial" w:cs="Arial"/>
          <w:bCs/>
          <w:i/>
          <w:iCs/>
          <w:lang w:eastAsia="es-ES"/>
        </w:rPr>
        <w:t xml:space="preserve">No se actualizaron causales de improcedencia y sobreseimiento en el presente asunto, por lo que </w:t>
      </w:r>
      <w:r w:rsidR="002D77BF">
        <w:rPr>
          <w:rFonts w:ascii="Arial" w:eastAsia="Times New Roman" w:hAnsi="Arial" w:cs="Arial"/>
          <w:b/>
          <w:bCs/>
          <w:i/>
          <w:iCs/>
          <w:lang w:eastAsia="es-ES"/>
        </w:rPr>
        <w:t xml:space="preserve">NO SE </w:t>
      </w:r>
      <w:r w:rsidR="002D77BF" w:rsidRPr="002D77BF">
        <w:rPr>
          <w:rFonts w:ascii="Arial" w:eastAsia="Times New Roman" w:hAnsi="Arial" w:cs="Arial"/>
          <w:b/>
          <w:bCs/>
          <w:i/>
          <w:iCs/>
          <w:lang w:eastAsia="es-ES"/>
        </w:rPr>
        <w:t>SOBRESEE EL JUICIO.</w:t>
      </w:r>
      <w:r w:rsidR="002D77BF">
        <w:rPr>
          <w:rFonts w:ascii="Arial" w:eastAsia="Times New Roman" w:hAnsi="Arial" w:cs="Arial"/>
          <w:bCs/>
          <w:i/>
          <w:iCs/>
          <w:lang w:eastAsia="es-ES"/>
        </w:rPr>
        <w:t xml:space="preserve"> </w:t>
      </w:r>
      <w:r>
        <w:rPr>
          <w:rFonts w:ascii="Arial" w:eastAsia="Times New Roman" w:hAnsi="Arial" w:cs="Arial"/>
          <w:bCs/>
          <w:i/>
          <w:iCs/>
          <w:lang w:eastAsia="es-ES"/>
        </w:rPr>
        <w:t xml:space="preserve">- - - - - - - - - - - - - - - - - - - </w:t>
      </w:r>
      <w:r w:rsidR="002D77BF">
        <w:rPr>
          <w:rFonts w:ascii="Arial" w:eastAsia="Times New Roman" w:hAnsi="Arial" w:cs="Arial"/>
          <w:bCs/>
          <w:i/>
          <w:iCs/>
          <w:lang w:eastAsia="es-ES"/>
        </w:rPr>
        <w:t>- - - - - - - - - --</w:t>
      </w:r>
    </w:p>
    <w:p w14:paraId="0D4F50D8" w14:textId="646339E9" w:rsidR="002D77BF" w:rsidRPr="002D77BF" w:rsidRDefault="00CA6EFF" w:rsidP="00227245">
      <w:pPr>
        <w:spacing w:before="120" w:after="0"/>
        <w:ind w:left="851" w:right="902" w:firstLine="567"/>
        <w:jc w:val="both"/>
        <w:rPr>
          <w:rFonts w:ascii="Arial" w:eastAsia="Times New Roman" w:hAnsi="Arial" w:cs="Arial"/>
          <w:bCs/>
          <w:i/>
          <w:iCs/>
          <w:lang w:eastAsia="es-ES"/>
        </w:rPr>
      </w:pPr>
      <w:r>
        <w:rPr>
          <w:rFonts w:ascii="Arial" w:eastAsia="Times New Roman" w:hAnsi="Arial" w:cs="Arial"/>
          <w:b/>
          <w:bCs/>
          <w:i/>
          <w:iCs/>
          <w:lang w:eastAsia="es-ES"/>
        </w:rPr>
        <w:lastRenderedPageBreak/>
        <w:t xml:space="preserve">CUARTO. - </w:t>
      </w:r>
      <w:r>
        <w:rPr>
          <w:rFonts w:ascii="Arial" w:eastAsia="Times New Roman" w:hAnsi="Arial" w:cs="Arial"/>
          <w:bCs/>
          <w:i/>
          <w:iCs/>
          <w:lang w:eastAsia="es-ES"/>
        </w:rPr>
        <w:t xml:space="preserve">Se declara la </w:t>
      </w:r>
      <w:r>
        <w:rPr>
          <w:rFonts w:ascii="Arial" w:eastAsia="Times New Roman" w:hAnsi="Arial" w:cs="Arial"/>
          <w:b/>
          <w:bCs/>
          <w:i/>
          <w:iCs/>
          <w:lang w:eastAsia="es-ES"/>
        </w:rPr>
        <w:t xml:space="preserve">NULIDAD </w:t>
      </w:r>
      <w:r w:rsidR="002D77BF">
        <w:rPr>
          <w:rFonts w:ascii="Arial" w:eastAsia="Times New Roman" w:hAnsi="Arial" w:cs="Arial"/>
          <w:bCs/>
          <w:i/>
          <w:iCs/>
          <w:lang w:eastAsia="es-ES"/>
        </w:rPr>
        <w:t xml:space="preserve">del oficio </w:t>
      </w:r>
      <w:r w:rsidR="00554B6E">
        <w:rPr>
          <w:rFonts w:ascii="Arial" w:eastAsia="Times New Roman" w:hAnsi="Arial" w:cs="Arial"/>
          <w:b/>
          <w:bCs/>
          <w:i/>
          <w:iCs/>
          <w:lang w:eastAsia="es-ES"/>
        </w:rPr>
        <w:t>*******</w:t>
      </w:r>
      <w:r w:rsidR="002D77BF">
        <w:rPr>
          <w:rFonts w:ascii="Arial" w:eastAsia="Times New Roman" w:hAnsi="Arial" w:cs="Arial"/>
          <w:bCs/>
          <w:i/>
          <w:iCs/>
          <w:lang w:eastAsia="es-ES"/>
        </w:rPr>
        <w:t xml:space="preserve">, de seis de abril de dos mil veintiuno, </w:t>
      </w:r>
      <w:r w:rsidR="002D77BF">
        <w:rPr>
          <w:rFonts w:ascii="Arial" w:eastAsia="Times New Roman" w:hAnsi="Arial" w:cs="Arial"/>
          <w:b/>
          <w:bCs/>
          <w:i/>
          <w:iCs/>
          <w:lang w:eastAsia="es-ES"/>
        </w:rPr>
        <w:t xml:space="preserve">PARA EL EFECTO </w:t>
      </w:r>
      <w:r w:rsidR="002D77BF">
        <w:rPr>
          <w:rFonts w:ascii="Arial" w:eastAsia="Times New Roman" w:hAnsi="Arial" w:cs="Arial"/>
          <w:bCs/>
          <w:i/>
          <w:iCs/>
          <w:lang w:eastAsia="es-ES"/>
        </w:rPr>
        <w:t xml:space="preserve">precisado en el considerando </w:t>
      </w:r>
      <w:r w:rsidR="002D77BF">
        <w:rPr>
          <w:rFonts w:ascii="Arial" w:eastAsia="Times New Roman" w:hAnsi="Arial" w:cs="Arial"/>
          <w:b/>
          <w:bCs/>
          <w:i/>
          <w:iCs/>
          <w:lang w:eastAsia="es-ES"/>
        </w:rPr>
        <w:t xml:space="preserve">sexto </w:t>
      </w:r>
      <w:r w:rsidR="002D77BF">
        <w:rPr>
          <w:rFonts w:ascii="Arial" w:eastAsia="Times New Roman" w:hAnsi="Arial" w:cs="Arial"/>
          <w:bCs/>
          <w:i/>
          <w:iCs/>
          <w:lang w:eastAsia="es-ES"/>
        </w:rPr>
        <w:t>de esta sentencia.- - - - - - - - - - - - - - - -</w:t>
      </w:r>
      <w:r w:rsidR="00554B6E">
        <w:rPr>
          <w:rFonts w:ascii="Arial" w:eastAsia="Times New Roman" w:hAnsi="Arial" w:cs="Arial"/>
          <w:bCs/>
          <w:i/>
          <w:iCs/>
          <w:lang w:eastAsia="es-ES"/>
        </w:rPr>
        <w:t xml:space="preserve"> - - - -</w:t>
      </w:r>
    </w:p>
    <w:p w14:paraId="7C859840" w14:textId="1B85CA76" w:rsidR="008C6820" w:rsidRDefault="008C6820" w:rsidP="00227245">
      <w:pPr>
        <w:spacing w:before="120" w:after="0"/>
        <w:ind w:left="851" w:right="902" w:firstLine="567"/>
        <w:jc w:val="both"/>
        <w:rPr>
          <w:rFonts w:ascii="Arial" w:eastAsia="Times New Roman" w:hAnsi="Arial" w:cs="Arial"/>
          <w:bCs/>
          <w:i/>
          <w:iCs/>
          <w:lang w:eastAsia="es-ES"/>
        </w:rPr>
      </w:pPr>
      <w:r>
        <w:rPr>
          <w:rFonts w:ascii="Arial" w:eastAsia="Times New Roman" w:hAnsi="Arial" w:cs="Arial"/>
          <w:b/>
          <w:bCs/>
          <w:i/>
          <w:iCs/>
          <w:lang w:eastAsia="es-ES"/>
        </w:rPr>
        <w:t xml:space="preserve">QUINTO. </w:t>
      </w:r>
      <w:r w:rsidR="00473555">
        <w:rPr>
          <w:rFonts w:ascii="Arial" w:eastAsia="Times New Roman" w:hAnsi="Arial" w:cs="Arial"/>
          <w:b/>
          <w:bCs/>
          <w:i/>
          <w:iCs/>
          <w:lang w:eastAsia="es-ES"/>
        </w:rPr>
        <w:t xml:space="preserve">NOTIFÍQUESE </w:t>
      </w:r>
      <w:r w:rsidR="00473555" w:rsidRPr="002D77BF">
        <w:rPr>
          <w:rFonts w:ascii="Arial" w:eastAsia="Times New Roman" w:hAnsi="Arial" w:cs="Arial"/>
          <w:bCs/>
          <w:i/>
          <w:iCs/>
          <w:lang w:eastAsia="es-ES"/>
        </w:rPr>
        <w:t xml:space="preserve">personalmente a la parte actora y por oficio a </w:t>
      </w:r>
      <w:r w:rsidR="00473555">
        <w:rPr>
          <w:rFonts w:ascii="Arial" w:eastAsia="Times New Roman" w:hAnsi="Arial" w:cs="Arial"/>
          <w:bCs/>
          <w:i/>
          <w:iCs/>
          <w:lang w:eastAsia="es-ES"/>
        </w:rPr>
        <w:t>la autoridad demandada</w:t>
      </w:r>
      <w:r w:rsidR="002D77BF">
        <w:rPr>
          <w:rFonts w:ascii="Arial" w:eastAsia="Times New Roman" w:hAnsi="Arial" w:cs="Arial"/>
          <w:bCs/>
          <w:i/>
          <w:iCs/>
          <w:lang w:eastAsia="es-ES"/>
        </w:rPr>
        <w:t xml:space="preserve">, con fundamento </w:t>
      </w:r>
      <w:r>
        <w:rPr>
          <w:rFonts w:ascii="Arial" w:eastAsia="Times New Roman" w:hAnsi="Arial" w:cs="Arial"/>
          <w:bCs/>
          <w:i/>
          <w:iCs/>
          <w:lang w:eastAsia="es-ES"/>
        </w:rPr>
        <w:t>en los artículos 172 fracción I y</w:t>
      </w:r>
      <w:r w:rsidR="000017DD">
        <w:rPr>
          <w:rFonts w:ascii="Arial" w:eastAsia="Times New Roman" w:hAnsi="Arial" w:cs="Arial"/>
          <w:bCs/>
          <w:i/>
          <w:iCs/>
          <w:lang w:eastAsia="es-ES"/>
        </w:rPr>
        <w:t xml:space="preserve"> </w:t>
      </w:r>
      <w:r>
        <w:rPr>
          <w:rFonts w:ascii="Arial" w:eastAsia="Times New Roman" w:hAnsi="Arial" w:cs="Arial"/>
          <w:bCs/>
          <w:i/>
          <w:iCs/>
          <w:lang w:eastAsia="es-ES"/>
        </w:rPr>
        <w:t>173 fracciones I y II, de la Ley de Procedimiento y Justicia Administrativa para el Estado de Oaxaca</w:t>
      </w:r>
      <w:r w:rsidR="00264AA1">
        <w:rPr>
          <w:rFonts w:ascii="Arial" w:eastAsia="Times New Roman" w:hAnsi="Arial" w:cs="Arial"/>
          <w:bCs/>
          <w:i/>
          <w:iCs/>
          <w:lang w:eastAsia="es-ES"/>
        </w:rPr>
        <w:t xml:space="preserve">. </w:t>
      </w:r>
      <w:r>
        <w:rPr>
          <w:rFonts w:ascii="Arial" w:eastAsia="Times New Roman" w:hAnsi="Arial" w:cs="Arial"/>
          <w:bCs/>
          <w:i/>
          <w:iCs/>
          <w:lang w:eastAsia="es-ES"/>
        </w:rPr>
        <w:t xml:space="preserve"> </w:t>
      </w:r>
      <w:r>
        <w:rPr>
          <w:rFonts w:ascii="Arial" w:eastAsia="Times New Roman" w:hAnsi="Arial" w:cs="Arial"/>
          <w:b/>
          <w:bCs/>
          <w:i/>
          <w:iCs/>
          <w:lang w:eastAsia="es-ES"/>
        </w:rPr>
        <w:t>CÚMPLASE.</w:t>
      </w:r>
      <w:r w:rsidR="006D5976">
        <w:rPr>
          <w:rFonts w:ascii="Arial" w:eastAsia="Times New Roman" w:hAnsi="Arial" w:cs="Arial"/>
          <w:b/>
          <w:bCs/>
          <w:i/>
          <w:iCs/>
          <w:lang w:eastAsia="es-ES"/>
        </w:rPr>
        <w:t>”</w:t>
      </w:r>
      <w:r>
        <w:rPr>
          <w:rFonts w:ascii="Arial" w:eastAsia="Times New Roman" w:hAnsi="Arial" w:cs="Arial"/>
          <w:b/>
          <w:bCs/>
          <w:i/>
          <w:iCs/>
          <w:lang w:eastAsia="es-ES"/>
        </w:rPr>
        <w:t xml:space="preserve"> </w:t>
      </w:r>
      <w:r w:rsidRPr="002D77BF">
        <w:rPr>
          <w:rFonts w:ascii="Arial" w:eastAsia="Times New Roman" w:hAnsi="Arial" w:cs="Arial"/>
          <w:bCs/>
          <w:i/>
          <w:iCs/>
          <w:lang w:eastAsia="es-ES"/>
        </w:rPr>
        <w:t xml:space="preserve">- - - - - - - - - - - - - - - - - - - - - </w:t>
      </w:r>
      <w:r w:rsidR="002D77BF">
        <w:rPr>
          <w:rFonts w:ascii="Arial" w:eastAsia="Times New Roman" w:hAnsi="Arial" w:cs="Arial"/>
          <w:bCs/>
          <w:i/>
          <w:iCs/>
          <w:lang w:eastAsia="es-ES"/>
        </w:rPr>
        <w:t>- - - - - - - - - - - - - - -  -</w:t>
      </w:r>
      <w:r w:rsidR="006D5976">
        <w:rPr>
          <w:rFonts w:ascii="Arial" w:eastAsia="Times New Roman" w:hAnsi="Arial" w:cs="Arial"/>
          <w:bCs/>
          <w:i/>
          <w:iCs/>
          <w:lang w:eastAsia="es-ES"/>
        </w:rPr>
        <w:t xml:space="preserve"> </w:t>
      </w:r>
    </w:p>
    <w:p w14:paraId="36EF0AC2" w14:textId="66145D22" w:rsidR="003B6CF0" w:rsidRPr="00CB6405" w:rsidRDefault="003B6CF0" w:rsidP="003B6CF0">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71209582" w14:textId="24B6992D" w:rsidR="006D5976" w:rsidRDefault="003B6CF0" w:rsidP="00D82AFD">
      <w:pPr>
        <w:spacing w:before="120" w:after="0" w:line="360" w:lineRule="auto"/>
        <w:ind w:firstLine="709"/>
        <w:jc w:val="both"/>
        <w:rPr>
          <w:rFonts w:ascii="Arial" w:hAnsi="Arial" w:cs="Arial"/>
          <w:sz w:val="26"/>
          <w:szCs w:val="26"/>
        </w:rPr>
      </w:pPr>
      <w:r w:rsidRPr="006E349D">
        <w:rPr>
          <w:rFonts w:ascii="Arial" w:hAnsi="Arial" w:cs="Arial"/>
          <w:b/>
          <w:bCs/>
          <w:iCs/>
          <w:sz w:val="26"/>
          <w:szCs w:val="26"/>
        </w:rPr>
        <w:t xml:space="preserve">PRIMERO. </w:t>
      </w:r>
      <w:r w:rsidR="006D5976" w:rsidRPr="00B66B63">
        <w:rPr>
          <w:rFonts w:ascii="Arial" w:hAnsi="Arial" w:cs="Arial"/>
          <w:bCs/>
          <w:iCs/>
          <w:sz w:val="26"/>
          <w:szCs w:val="26"/>
        </w:rPr>
        <w:t xml:space="preserve">Esta Sala Superior es competente para conocer del presente asunto, de conformidad con lo dispuesto por los artículos 114 </w:t>
      </w:r>
      <w:proofErr w:type="spellStart"/>
      <w:r w:rsidR="006D5976" w:rsidRPr="00B66B63">
        <w:rPr>
          <w:rFonts w:ascii="Arial" w:hAnsi="Arial" w:cs="Arial"/>
          <w:bCs/>
          <w:iCs/>
          <w:sz w:val="26"/>
          <w:szCs w:val="26"/>
        </w:rPr>
        <w:t>Quáter</w:t>
      </w:r>
      <w:proofErr w:type="spellEnd"/>
      <w:r w:rsidR="006D5976" w:rsidRPr="00B66B63">
        <w:rPr>
          <w:rFonts w:ascii="Arial" w:hAnsi="Arial" w:cs="Arial"/>
          <w:bCs/>
          <w:iCs/>
          <w:sz w:val="26"/>
          <w:szCs w:val="26"/>
        </w:rPr>
        <w:t xml:space="preserve"> de la Constitución Política del Estado Libre y Soberano de Oaxaca; 1 párrafo segundo, 2, 4 fracción VIII, 23, 24, fracciones I y III, 25 fracción I y 27 de la Ley Orgánica del Tribunal de Justicia Admi</w:t>
      </w:r>
      <w:r w:rsidR="006D5976">
        <w:rPr>
          <w:rFonts w:ascii="Arial" w:hAnsi="Arial" w:cs="Arial"/>
          <w:bCs/>
          <w:iCs/>
          <w:sz w:val="26"/>
          <w:szCs w:val="26"/>
        </w:rPr>
        <w:t>nistrativa del Estado de Oaxaca</w:t>
      </w:r>
      <w:r w:rsidR="006D5976" w:rsidRPr="00B66B63">
        <w:rPr>
          <w:rFonts w:ascii="Arial" w:hAnsi="Arial" w:cs="Arial"/>
          <w:bCs/>
          <w:iCs/>
          <w:sz w:val="26"/>
          <w:szCs w:val="26"/>
        </w:rPr>
        <w:t>; así como los diversos</w:t>
      </w:r>
      <w:r w:rsidR="006D5976" w:rsidRPr="00B66B63">
        <w:rPr>
          <w:rFonts w:ascii="Arial" w:hAnsi="Arial" w:cs="Arial"/>
          <w:bCs/>
          <w:iCs/>
          <w:sz w:val="26"/>
          <w:szCs w:val="26"/>
          <w:lang w:eastAsia="es-ES"/>
        </w:rPr>
        <w:t xml:space="preserve"> 125</w:t>
      </w:r>
      <w:r w:rsidR="006D5976" w:rsidRPr="00B66B63">
        <w:rPr>
          <w:rFonts w:ascii="Arial" w:hAnsi="Arial" w:cs="Arial"/>
          <w:bCs/>
          <w:iCs/>
          <w:sz w:val="26"/>
          <w:szCs w:val="26"/>
        </w:rPr>
        <w:t xml:space="preserve">, 127, 129, 130, fracción I, 131, 231, 236 y 238 de la Ley de Procedimiento y Justicia Administrativa para el Estado de Oaxaca, dado que se trata de </w:t>
      </w:r>
      <w:r w:rsidR="006D5976">
        <w:rPr>
          <w:rFonts w:ascii="Arial" w:hAnsi="Arial" w:cs="Arial"/>
          <w:bCs/>
          <w:iCs/>
          <w:sz w:val="26"/>
          <w:szCs w:val="26"/>
        </w:rPr>
        <w:t>un</w:t>
      </w:r>
      <w:r w:rsidR="006D5976" w:rsidRPr="00B66B63">
        <w:rPr>
          <w:rFonts w:ascii="Arial" w:hAnsi="Arial" w:cs="Arial"/>
          <w:bCs/>
          <w:iCs/>
          <w:sz w:val="26"/>
          <w:szCs w:val="26"/>
        </w:rPr>
        <w:t xml:space="preserve"> recurso de revisión interpuesto en contra de la </w:t>
      </w:r>
      <w:r w:rsidR="00611019">
        <w:rPr>
          <w:rFonts w:ascii="Arial" w:hAnsi="Arial" w:cs="Arial"/>
          <w:bCs/>
          <w:iCs/>
          <w:sz w:val="26"/>
          <w:szCs w:val="26"/>
        </w:rPr>
        <w:t>sentencia de cuatro de marzo de dos mil veintidós,</w:t>
      </w:r>
      <w:r w:rsidR="006D5976" w:rsidRPr="00B66B63">
        <w:rPr>
          <w:rFonts w:ascii="Arial" w:hAnsi="Arial" w:cs="Arial"/>
          <w:bCs/>
          <w:iCs/>
          <w:sz w:val="26"/>
          <w:szCs w:val="26"/>
        </w:rPr>
        <w:t xml:space="preserve"> dictada por la </w:t>
      </w:r>
      <w:r w:rsidR="00611019">
        <w:rPr>
          <w:rFonts w:ascii="Arial" w:hAnsi="Arial" w:cs="Arial"/>
          <w:bCs/>
          <w:iCs/>
          <w:sz w:val="26"/>
          <w:szCs w:val="26"/>
        </w:rPr>
        <w:t>Sexta</w:t>
      </w:r>
      <w:r w:rsidR="006D5976" w:rsidRPr="00B66B63">
        <w:rPr>
          <w:rFonts w:ascii="Arial" w:hAnsi="Arial" w:cs="Arial"/>
          <w:bCs/>
          <w:iCs/>
          <w:sz w:val="26"/>
          <w:szCs w:val="26"/>
        </w:rPr>
        <w:t xml:space="preserve"> Sala Unitaria de Primera Instancia de este Tribunal, en el expediente </w:t>
      </w:r>
      <w:r w:rsidR="00C71A21">
        <w:rPr>
          <w:rFonts w:ascii="Arial" w:hAnsi="Arial" w:cs="Arial"/>
          <w:b/>
          <w:bCs/>
          <w:iCs/>
          <w:sz w:val="26"/>
          <w:szCs w:val="26"/>
        </w:rPr>
        <w:t>0043/2021</w:t>
      </w:r>
      <w:r w:rsidR="006D5976">
        <w:rPr>
          <w:rFonts w:ascii="Arial" w:hAnsi="Arial" w:cs="Arial"/>
          <w:b/>
          <w:bCs/>
          <w:iCs/>
          <w:sz w:val="26"/>
          <w:szCs w:val="26"/>
        </w:rPr>
        <w:t>.</w:t>
      </w:r>
      <w:r w:rsidR="006D5976">
        <w:rPr>
          <w:rFonts w:ascii="Arial" w:hAnsi="Arial" w:cs="Arial"/>
          <w:sz w:val="26"/>
          <w:szCs w:val="26"/>
        </w:rPr>
        <w:t xml:space="preserve"> </w:t>
      </w:r>
      <w:r w:rsidR="00227245">
        <w:rPr>
          <w:rFonts w:ascii="Arial" w:hAnsi="Arial" w:cs="Arial"/>
          <w:sz w:val="26"/>
          <w:szCs w:val="26"/>
        </w:rPr>
        <w:t xml:space="preserve">- - - - - </w:t>
      </w:r>
    </w:p>
    <w:p w14:paraId="2E4A9DA7" w14:textId="232D5EEF" w:rsidR="000017DD" w:rsidRPr="00011CEC" w:rsidRDefault="000017DD" w:rsidP="00CE52F7">
      <w:pPr>
        <w:spacing w:before="12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227245">
        <w:rPr>
          <w:rFonts w:ascii="Arial" w:eastAsia="Times New Roman" w:hAnsi="Arial" w:cs="Arial"/>
          <w:b/>
          <w:bCs/>
          <w:sz w:val="26"/>
          <w:szCs w:val="26"/>
        </w:rPr>
        <w:t>.</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164618, publicada en el Semanario Judicial de la Federación y su Gaceta</w:t>
      </w:r>
      <w:r w:rsidR="007D18F5">
        <w:rPr>
          <w:rFonts w:ascii="Arial" w:eastAsia="Times New Roman" w:hAnsi="Arial" w:cs="Arial"/>
          <w:sz w:val="26"/>
          <w:szCs w:val="26"/>
        </w:rPr>
        <w:t>, Tomo XXXI, m</w:t>
      </w:r>
      <w:r w:rsidRPr="00011CEC">
        <w:rPr>
          <w:rFonts w:ascii="Arial" w:eastAsia="Times New Roman" w:hAnsi="Arial" w:cs="Arial"/>
          <w:sz w:val="26"/>
          <w:szCs w:val="26"/>
        </w:rPr>
        <w:t xml:space="preserve">ayo de 2010, visible a página 830, </w:t>
      </w:r>
      <w:r w:rsidRPr="00011CEC">
        <w:rPr>
          <w:rFonts w:ascii="Arial" w:eastAsia="Times New Roman" w:hAnsi="Arial" w:cs="Arial"/>
          <w:bCs/>
          <w:sz w:val="26"/>
          <w:szCs w:val="26"/>
        </w:rPr>
        <w:t xml:space="preserve">bajo el rubro y texto siguiente: </w:t>
      </w:r>
    </w:p>
    <w:p w14:paraId="7F8EDF2A" w14:textId="77777777" w:rsidR="000017DD" w:rsidRDefault="000017DD" w:rsidP="00227245">
      <w:pPr>
        <w:spacing w:before="120" w:after="0"/>
        <w:ind w:left="851" w:right="900"/>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w:t>
      </w:r>
      <w:r w:rsidRPr="00011CEC">
        <w:rPr>
          <w:rFonts w:ascii="Arial" w:eastAsia="Times New Roman" w:hAnsi="Arial" w:cs="Arial"/>
          <w:i/>
          <w:iCs/>
        </w:rPr>
        <w:lastRenderedPageBreak/>
        <w:t>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27792A63" w14:textId="77777777" w:rsidR="00ED49D8" w:rsidRPr="00011CEC" w:rsidRDefault="00ED49D8" w:rsidP="00227245">
      <w:pPr>
        <w:spacing w:after="120"/>
        <w:ind w:left="709" w:right="618"/>
        <w:jc w:val="both"/>
        <w:rPr>
          <w:rFonts w:ascii="Arial" w:eastAsia="Times New Roman" w:hAnsi="Arial" w:cs="Arial"/>
          <w:i/>
          <w:iCs/>
        </w:rPr>
      </w:pPr>
    </w:p>
    <w:p w14:paraId="287AC915" w14:textId="4DB182C6" w:rsidR="00760168" w:rsidRDefault="00F268B2" w:rsidP="00760168">
      <w:pPr>
        <w:widowControl w:val="0"/>
        <w:spacing w:before="120" w:after="0" w:line="360" w:lineRule="auto"/>
        <w:ind w:left="-142" w:right="17" w:firstLine="709"/>
        <w:jc w:val="both"/>
        <w:rPr>
          <w:rFonts w:ascii="Arial" w:eastAsia="Calibri" w:hAnsi="Arial" w:cs="Arial"/>
          <w:bCs/>
          <w:sz w:val="26"/>
          <w:szCs w:val="26"/>
        </w:rPr>
      </w:pPr>
      <w:r>
        <w:rPr>
          <w:rFonts w:ascii="Arial" w:eastAsia="Calibri" w:hAnsi="Arial" w:cs="Arial"/>
          <w:b/>
          <w:bCs/>
          <w:sz w:val="26"/>
          <w:szCs w:val="26"/>
        </w:rPr>
        <w:t xml:space="preserve">TERCERO. </w:t>
      </w:r>
      <w:r w:rsidR="00760168">
        <w:rPr>
          <w:rFonts w:ascii="Arial" w:eastAsia="Calibri" w:hAnsi="Arial" w:cs="Arial"/>
          <w:bCs/>
          <w:sz w:val="26"/>
          <w:szCs w:val="26"/>
        </w:rPr>
        <w:t xml:space="preserve">Manifiesta la autoridad recurrente en su agravio </w:t>
      </w:r>
      <w:r w:rsidR="00760168">
        <w:rPr>
          <w:rFonts w:ascii="Arial" w:eastAsia="Calibri" w:hAnsi="Arial" w:cs="Arial"/>
          <w:b/>
          <w:bCs/>
          <w:sz w:val="26"/>
          <w:szCs w:val="26"/>
        </w:rPr>
        <w:t xml:space="preserve">primero </w:t>
      </w:r>
      <w:r w:rsidR="00760168">
        <w:rPr>
          <w:rFonts w:ascii="Arial" w:eastAsia="Calibri" w:hAnsi="Arial" w:cs="Arial"/>
          <w:bCs/>
          <w:sz w:val="26"/>
          <w:szCs w:val="26"/>
        </w:rPr>
        <w:t xml:space="preserve">que le causa </w:t>
      </w:r>
      <w:r w:rsidR="00ED49D8">
        <w:rPr>
          <w:rFonts w:ascii="Arial" w:eastAsia="Calibri" w:hAnsi="Arial" w:cs="Arial"/>
          <w:bCs/>
          <w:sz w:val="26"/>
          <w:szCs w:val="26"/>
        </w:rPr>
        <w:t>perjuicio</w:t>
      </w:r>
      <w:r w:rsidR="00760168">
        <w:rPr>
          <w:rFonts w:ascii="Arial" w:eastAsia="Calibri" w:hAnsi="Arial" w:cs="Arial"/>
          <w:bCs/>
          <w:sz w:val="26"/>
          <w:szCs w:val="26"/>
        </w:rPr>
        <w:t xml:space="preserve"> la resolución combatida</w:t>
      </w:r>
      <w:r w:rsidR="00ED49D8">
        <w:rPr>
          <w:rFonts w:ascii="Arial" w:eastAsia="Calibri" w:hAnsi="Arial" w:cs="Arial"/>
          <w:bCs/>
          <w:sz w:val="26"/>
          <w:szCs w:val="26"/>
        </w:rPr>
        <w:t xml:space="preserve"> al </w:t>
      </w:r>
      <w:r w:rsidR="00760168">
        <w:rPr>
          <w:rFonts w:ascii="Arial" w:eastAsia="Calibri" w:hAnsi="Arial" w:cs="Arial"/>
          <w:bCs/>
          <w:sz w:val="26"/>
          <w:szCs w:val="26"/>
        </w:rPr>
        <w:t>declara</w:t>
      </w:r>
      <w:r w:rsidR="00ED49D8">
        <w:rPr>
          <w:rFonts w:ascii="Arial" w:eastAsia="Calibri" w:hAnsi="Arial" w:cs="Arial"/>
          <w:bCs/>
          <w:sz w:val="26"/>
          <w:szCs w:val="26"/>
        </w:rPr>
        <w:t>rse</w:t>
      </w:r>
      <w:r w:rsidR="00760168">
        <w:rPr>
          <w:rFonts w:ascii="Arial" w:eastAsia="Calibri" w:hAnsi="Arial" w:cs="Arial"/>
          <w:bCs/>
          <w:sz w:val="26"/>
          <w:szCs w:val="26"/>
        </w:rPr>
        <w:t xml:space="preserve"> la nulidad lisa y llana del oficio </w:t>
      </w:r>
      <w:r w:rsidR="00554B6E">
        <w:rPr>
          <w:rFonts w:ascii="Arial" w:eastAsia="Calibri" w:hAnsi="Arial" w:cs="Arial"/>
          <w:bCs/>
          <w:sz w:val="26"/>
          <w:szCs w:val="26"/>
        </w:rPr>
        <w:t>*******</w:t>
      </w:r>
      <w:r w:rsidR="00760168">
        <w:rPr>
          <w:rFonts w:ascii="Arial" w:eastAsia="Calibri" w:hAnsi="Arial" w:cs="Arial"/>
          <w:bCs/>
          <w:sz w:val="26"/>
          <w:szCs w:val="26"/>
        </w:rPr>
        <w:t xml:space="preserve">, </w:t>
      </w:r>
      <w:r w:rsidR="00ED49D8">
        <w:rPr>
          <w:rFonts w:ascii="Arial" w:eastAsia="Calibri" w:hAnsi="Arial" w:cs="Arial"/>
          <w:bCs/>
          <w:sz w:val="26"/>
          <w:szCs w:val="26"/>
        </w:rPr>
        <w:t>ya que</w:t>
      </w:r>
      <w:r w:rsidR="00760168">
        <w:rPr>
          <w:rFonts w:ascii="Arial" w:eastAsia="Calibri" w:hAnsi="Arial" w:cs="Arial"/>
          <w:bCs/>
          <w:sz w:val="26"/>
          <w:szCs w:val="26"/>
        </w:rPr>
        <w:t xml:space="preserve"> lo señalado en el considerando sexto carece de fundamentación y motivación, al referir la A quo que el artículo 49 de la Ley de Pensiones para los Trabajadores al Servicio del Ayuntamiento del Municipio de Oaxaca de Juárez, es </w:t>
      </w:r>
      <w:r w:rsidR="00760168" w:rsidRPr="00C71A21">
        <w:rPr>
          <w:rFonts w:ascii="Arial" w:eastAsia="Calibri" w:hAnsi="Arial" w:cs="Arial"/>
          <w:bCs/>
          <w:sz w:val="26"/>
          <w:szCs w:val="26"/>
        </w:rPr>
        <w:t>contrari</w:t>
      </w:r>
      <w:r w:rsidR="00C71A21" w:rsidRPr="00C71A21">
        <w:rPr>
          <w:rFonts w:ascii="Arial" w:eastAsia="Calibri" w:hAnsi="Arial" w:cs="Arial"/>
          <w:bCs/>
          <w:sz w:val="26"/>
          <w:szCs w:val="26"/>
        </w:rPr>
        <w:t>a</w:t>
      </w:r>
      <w:r w:rsidR="00760168" w:rsidRPr="00C71A21">
        <w:rPr>
          <w:rFonts w:ascii="Arial" w:eastAsia="Calibri" w:hAnsi="Arial" w:cs="Arial"/>
          <w:bCs/>
          <w:sz w:val="26"/>
          <w:szCs w:val="26"/>
        </w:rPr>
        <w:t xml:space="preserve"> a lo</w:t>
      </w:r>
      <w:r w:rsidR="00760168">
        <w:rPr>
          <w:rFonts w:ascii="Arial" w:eastAsia="Calibri" w:hAnsi="Arial" w:cs="Arial"/>
          <w:bCs/>
          <w:sz w:val="26"/>
          <w:szCs w:val="26"/>
        </w:rPr>
        <w:t xml:space="preserve"> establecido en el artículo 123 de la Constitución Política de los Estados Unidos Mexicanos, </w:t>
      </w:r>
      <w:r w:rsidR="00ED49D8">
        <w:rPr>
          <w:rFonts w:ascii="Arial" w:eastAsia="Calibri" w:hAnsi="Arial" w:cs="Arial"/>
          <w:bCs/>
          <w:sz w:val="26"/>
          <w:szCs w:val="26"/>
        </w:rPr>
        <w:t>al no</w:t>
      </w:r>
      <w:r w:rsidR="00760168">
        <w:rPr>
          <w:rFonts w:ascii="Arial" w:eastAsia="Calibri" w:hAnsi="Arial" w:cs="Arial"/>
          <w:bCs/>
          <w:sz w:val="26"/>
          <w:szCs w:val="26"/>
        </w:rPr>
        <w:t xml:space="preserve"> señala</w:t>
      </w:r>
      <w:r w:rsidR="00ED49D8">
        <w:rPr>
          <w:rFonts w:ascii="Arial" w:eastAsia="Calibri" w:hAnsi="Arial" w:cs="Arial"/>
          <w:bCs/>
          <w:sz w:val="26"/>
          <w:szCs w:val="26"/>
        </w:rPr>
        <w:t>rse</w:t>
      </w:r>
      <w:r w:rsidR="00760168">
        <w:rPr>
          <w:rFonts w:ascii="Arial" w:eastAsia="Calibri" w:hAnsi="Arial" w:cs="Arial"/>
          <w:bCs/>
          <w:sz w:val="26"/>
          <w:szCs w:val="26"/>
        </w:rPr>
        <w:t xml:space="preserve"> con precisión el momento en el cual empezará a correr el plazo de los tres años para hacer efectiva la prescripción</w:t>
      </w:r>
      <w:r w:rsidR="00B06968">
        <w:rPr>
          <w:rFonts w:ascii="Arial" w:eastAsia="Calibri" w:hAnsi="Arial" w:cs="Arial"/>
          <w:bCs/>
          <w:sz w:val="26"/>
          <w:szCs w:val="26"/>
        </w:rPr>
        <w:t xml:space="preserve">, </w:t>
      </w:r>
      <w:r w:rsidR="00ED49D8">
        <w:rPr>
          <w:rFonts w:ascii="Arial" w:eastAsia="Calibri" w:hAnsi="Arial" w:cs="Arial"/>
          <w:bCs/>
          <w:sz w:val="26"/>
          <w:szCs w:val="26"/>
        </w:rPr>
        <w:t xml:space="preserve">pues refiere que la A quo, no </w:t>
      </w:r>
      <w:r w:rsidR="00760168">
        <w:rPr>
          <w:rFonts w:ascii="Arial" w:eastAsia="Calibri" w:hAnsi="Arial" w:cs="Arial"/>
          <w:bCs/>
          <w:sz w:val="26"/>
          <w:szCs w:val="26"/>
        </w:rPr>
        <w:t xml:space="preserve">precisa a qué parte del artículo 123 se refiere o en cuál de sus incisos o fracciones establece el momento en que debe empezarse a computar la prescripción; </w:t>
      </w:r>
      <w:r w:rsidR="00B06968">
        <w:rPr>
          <w:rFonts w:ascii="Arial" w:eastAsia="Calibri" w:hAnsi="Arial" w:cs="Arial"/>
          <w:bCs/>
          <w:sz w:val="26"/>
          <w:szCs w:val="26"/>
        </w:rPr>
        <w:t xml:space="preserve">por tanto, indica que la Magistrada de la Primera Instancia, </w:t>
      </w:r>
      <w:r w:rsidR="00760168">
        <w:rPr>
          <w:rFonts w:ascii="Arial" w:eastAsia="Calibri" w:hAnsi="Arial" w:cs="Arial"/>
          <w:bCs/>
          <w:sz w:val="26"/>
          <w:szCs w:val="26"/>
        </w:rPr>
        <w:t>no establece con argumentos válidos para robustecer la afirmación que el artículo 49 es contrario a lo que previene el artículo 123 de la Constitución Federal.</w:t>
      </w:r>
      <w:r w:rsidR="00227245">
        <w:rPr>
          <w:rFonts w:ascii="Arial" w:eastAsia="Calibri" w:hAnsi="Arial" w:cs="Arial"/>
          <w:bCs/>
          <w:sz w:val="26"/>
          <w:szCs w:val="26"/>
        </w:rPr>
        <w:t xml:space="preserve"> - - - </w:t>
      </w:r>
      <w:r w:rsidR="00554B6E">
        <w:rPr>
          <w:rFonts w:ascii="Arial" w:eastAsia="Calibri" w:hAnsi="Arial" w:cs="Arial"/>
          <w:bCs/>
          <w:sz w:val="26"/>
          <w:szCs w:val="26"/>
        </w:rPr>
        <w:t>- - - - - - - - - -</w:t>
      </w:r>
    </w:p>
    <w:p w14:paraId="3BF54FC9" w14:textId="38CB519F" w:rsidR="00ED49D8" w:rsidRDefault="00760168" w:rsidP="00760168">
      <w:pPr>
        <w:widowControl w:val="0"/>
        <w:spacing w:before="120" w:after="0" w:line="360" w:lineRule="auto"/>
        <w:ind w:left="-142" w:right="18" w:firstLine="709"/>
        <w:jc w:val="both"/>
        <w:rPr>
          <w:rFonts w:ascii="Arial" w:eastAsia="Calibri" w:hAnsi="Arial" w:cs="Arial"/>
          <w:b/>
          <w:bCs/>
          <w:i/>
        </w:rPr>
      </w:pPr>
      <w:r>
        <w:rPr>
          <w:rFonts w:ascii="Arial" w:eastAsia="Calibri" w:hAnsi="Arial" w:cs="Arial"/>
          <w:bCs/>
          <w:sz w:val="26"/>
          <w:szCs w:val="26"/>
        </w:rPr>
        <w:t xml:space="preserve">En su agravio </w:t>
      </w:r>
      <w:r>
        <w:rPr>
          <w:rFonts w:ascii="Arial" w:eastAsia="Calibri" w:hAnsi="Arial" w:cs="Arial"/>
          <w:b/>
          <w:bCs/>
          <w:sz w:val="26"/>
          <w:szCs w:val="26"/>
        </w:rPr>
        <w:t xml:space="preserve">segundo </w:t>
      </w:r>
      <w:r>
        <w:rPr>
          <w:rFonts w:ascii="Arial" w:eastAsia="Calibri" w:hAnsi="Arial" w:cs="Arial"/>
          <w:bCs/>
          <w:sz w:val="26"/>
          <w:szCs w:val="26"/>
        </w:rPr>
        <w:t xml:space="preserve">expone la recurrente que </w:t>
      </w:r>
      <w:r w:rsidR="00B06968">
        <w:rPr>
          <w:rFonts w:ascii="Arial" w:eastAsia="Calibri" w:hAnsi="Arial" w:cs="Arial"/>
          <w:bCs/>
          <w:sz w:val="26"/>
          <w:szCs w:val="26"/>
        </w:rPr>
        <w:t xml:space="preserve">le causa perjuicio que la A quo resuelva que el artículo 49 de la Ley de Pensiones para los Trabajadores al Servicio del Ayuntamiento del Municipio de Oaxaca de Juárez, no señala con precisión el momento en el cual empezará a correr el plazo de tres años para hacer efectiva la prescripción, cuando claramente establece que: </w:t>
      </w:r>
      <w:r w:rsidR="00B06968">
        <w:rPr>
          <w:rFonts w:ascii="Arial" w:eastAsia="Calibri" w:hAnsi="Arial" w:cs="Arial"/>
          <w:b/>
          <w:bCs/>
          <w:i/>
          <w:sz w:val="24"/>
          <w:szCs w:val="24"/>
        </w:rPr>
        <w:t>“…tres años siguientes a la fecha en que hubieren sido exigibles…”</w:t>
      </w:r>
      <w:r w:rsidR="003F39F5">
        <w:rPr>
          <w:rFonts w:ascii="Arial" w:eastAsia="Calibri" w:hAnsi="Arial" w:cs="Arial"/>
          <w:b/>
          <w:bCs/>
          <w:i/>
          <w:sz w:val="24"/>
          <w:szCs w:val="24"/>
        </w:rPr>
        <w:t xml:space="preserve">, </w:t>
      </w:r>
      <w:r w:rsidR="003F39F5">
        <w:rPr>
          <w:rFonts w:ascii="Arial" w:eastAsia="Calibri" w:hAnsi="Arial" w:cs="Arial"/>
          <w:bCs/>
          <w:sz w:val="26"/>
          <w:szCs w:val="26"/>
        </w:rPr>
        <w:t>con lo cual, refiere que se tiene que de la interpretación literal de tal porción del citado numeral, el término de tres años correrá a partir del día siguiente en que se dé por terminada la relación laboral, pues es precisamente cuando se extingue el vínculo operario-patrón, cuando nace o se actualiza la acción para solicitar la devolución de las aportaciones que haya realizado el ex operario, con lo que sostiene, se tiene que sí existe parámetro objetivo para computar el inicio de los tres años para que opere la prescripci</w:t>
      </w:r>
      <w:r w:rsidR="00ED49D8">
        <w:rPr>
          <w:rFonts w:ascii="Arial" w:eastAsia="Calibri" w:hAnsi="Arial" w:cs="Arial"/>
          <w:bCs/>
          <w:sz w:val="26"/>
          <w:szCs w:val="26"/>
        </w:rPr>
        <w:t>ón,</w:t>
      </w:r>
      <w:r w:rsidR="000B165F">
        <w:rPr>
          <w:rFonts w:ascii="Arial" w:eastAsia="Calibri" w:hAnsi="Arial" w:cs="Arial"/>
          <w:bCs/>
          <w:sz w:val="26"/>
          <w:szCs w:val="26"/>
        </w:rPr>
        <w:t xml:space="preserve"> pues indica que si se hace una revisión de diversas leyes que establecen el término </w:t>
      </w:r>
      <w:r w:rsidR="000B165F">
        <w:rPr>
          <w:rFonts w:ascii="Arial" w:eastAsia="Calibri" w:hAnsi="Arial" w:cs="Arial"/>
          <w:b/>
          <w:bCs/>
          <w:i/>
          <w:sz w:val="24"/>
          <w:szCs w:val="24"/>
        </w:rPr>
        <w:t>“desde que sea exigible”</w:t>
      </w:r>
      <w:r w:rsidR="000B165F">
        <w:rPr>
          <w:rFonts w:ascii="Arial" w:eastAsia="Calibri" w:hAnsi="Arial" w:cs="Arial"/>
          <w:bCs/>
          <w:sz w:val="26"/>
          <w:szCs w:val="26"/>
        </w:rPr>
        <w:t xml:space="preserve">, teniendo por ejemplo el artículo 143 del Código Fiscal </w:t>
      </w:r>
      <w:r w:rsidR="000B165F">
        <w:rPr>
          <w:rFonts w:ascii="Arial" w:eastAsia="Calibri" w:hAnsi="Arial" w:cs="Arial"/>
          <w:bCs/>
          <w:sz w:val="26"/>
          <w:szCs w:val="26"/>
        </w:rPr>
        <w:lastRenderedPageBreak/>
        <w:t>de la Federación, precepto 298 de la Ley del Seguro Social y el 516 de la Ley Federal del Trabajo</w:t>
      </w:r>
      <w:r w:rsidR="00ED49D8">
        <w:rPr>
          <w:rFonts w:ascii="Arial" w:eastAsia="Calibri" w:hAnsi="Arial" w:cs="Arial"/>
          <w:bCs/>
          <w:sz w:val="26"/>
          <w:szCs w:val="26"/>
        </w:rPr>
        <w:t xml:space="preserve"> –los transcribe-</w:t>
      </w:r>
      <w:r w:rsidR="000B165F">
        <w:rPr>
          <w:rFonts w:ascii="Arial" w:eastAsia="Calibri" w:hAnsi="Arial" w:cs="Arial"/>
          <w:bCs/>
          <w:sz w:val="26"/>
          <w:szCs w:val="26"/>
        </w:rPr>
        <w:t xml:space="preserve">, </w:t>
      </w:r>
      <w:r w:rsidR="00666967">
        <w:rPr>
          <w:rFonts w:ascii="Arial" w:eastAsia="Calibri" w:hAnsi="Arial" w:cs="Arial"/>
          <w:bCs/>
          <w:sz w:val="26"/>
          <w:szCs w:val="26"/>
        </w:rPr>
        <w:t xml:space="preserve">se reitera que el momento en que se hace exigible, es el día siguiente de haberse actualizado la condición que hace nacer tal derecho o acción, lo cual es de explorado derecho en las diversas ramas del derecho. Señala como apoyo la jurisprudencia con registro digital 2007547 de rubro: </w:t>
      </w:r>
      <w:r w:rsidR="00666967">
        <w:rPr>
          <w:rFonts w:ascii="Arial" w:eastAsia="Calibri" w:hAnsi="Arial" w:cs="Arial"/>
          <w:b/>
          <w:bCs/>
          <w:i/>
        </w:rPr>
        <w:t>“SALDO A FAVOR. MOMENTO EN QUE ES EXIGIBLE SU DEVOLUCIÓN PARA EFECTOS DEL CÓMPUTO DEL PLAZO DE PRESCRIPCIÓN.”</w:t>
      </w:r>
      <w:r w:rsidR="00ED49D8">
        <w:rPr>
          <w:rFonts w:ascii="Arial" w:eastAsia="Calibri" w:hAnsi="Arial" w:cs="Arial"/>
          <w:b/>
          <w:bCs/>
          <w:i/>
        </w:rPr>
        <w:t>.</w:t>
      </w:r>
      <w:r w:rsidR="00227245">
        <w:rPr>
          <w:rFonts w:ascii="Arial" w:eastAsia="Calibri" w:hAnsi="Arial" w:cs="Arial"/>
          <w:b/>
          <w:bCs/>
          <w:i/>
        </w:rPr>
        <w:t xml:space="preserve"> </w:t>
      </w:r>
      <w:r w:rsidR="00227245" w:rsidRPr="00227245">
        <w:rPr>
          <w:rFonts w:ascii="Arial" w:eastAsia="Calibri" w:hAnsi="Arial" w:cs="Arial"/>
          <w:i/>
        </w:rPr>
        <w:t>- - - - - - - - - - - - - - - - - - - - - - - - - - -</w:t>
      </w:r>
    </w:p>
    <w:p w14:paraId="5C025C18" w14:textId="5B225946" w:rsidR="003F39F5" w:rsidRDefault="00ED49D8" w:rsidP="00760168">
      <w:pPr>
        <w:widowControl w:val="0"/>
        <w:spacing w:before="120" w:after="0" w:line="360" w:lineRule="auto"/>
        <w:ind w:left="-142" w:right="18" w:firstLine="709"/>
        <w:jc w:val="both"/>
        <w:rPr>
          <w:rFonts w:ascii="Arial" w:eastAsia="Calibri" w:hAnsi="Arial" w:cs="Arial"/>
          <w:bCs/>
          <w:sz w:val="26"/>
          <w:szCs w:val="26"/>
        </w:rPr>
      </w:pPr>
      <w:r>
        <w:rPr>
          <w:rFonts w:ascii="Arial" w:eastAsia="Calibri" w:hAnsi="Arial" w:cs="Arial"/>
          <w:bCs/>
          <w:sz w:val="26"/>
          <w:szCs w:val="26"/>
        </w:rPr>
        <w:t>E</w:t>
      </w:r>
      <w:r w:rsidR="00666967" w:rsidRPr="00666967">
        <w:rPr>
          <w:rFonts w:ascii="Arial" w:eastAsia="Calibri" w:hAnsi="Arial" w:cs="Arial"/>
          <w:bCs/>
          <w:sz w:val="26"/>
          <w:szCs w:val="26"/>
        </w:rPr>
        <w:t xml:space="preserve">n esas condiciones, expone que </w:t>
      </w:r>
      <w:r w:rsidR="00666967">
        <w:rPr>
          <w:rFonts w:ascii="Arial" w:eastAsia="Calibri" w:hAnsi="Arial" w:cs="Arial"/>
          <w:bCs/>
          <w:sz w:val="26"/>
          <w:szCs w:val="26"/>
        </w:rPr>
        <w:t>el vocablo “</w:t>
      </w:r>
      <w:r w:rsidR="00666967">
        <w:rPr>
          <w:rFonts w:ascii="Arial" w:eastAsia="Calibri" w:hAnsi="Arial" w:cs="Arial"/>
          <w:b/>
          <w:bCs/>
          <w:i/>
          <w:sz w:val="24"/>
          <w:szCs w:val="24"/>
        </w:rPr>
        <w:t xml:space="preserve">en que hubieren sido exigibles” </w:t>
      </w:r>
      <w:r w:rsidR="00666967">
        <w:rPr>
          <w:rFonts w:ascii="Arial" w:eastAsia="Calibri" w:hAnsi="Arial" w:cs="Arial"/>
          <w:bCs/>
          <w:sz w:val="26"/>
          <w:szCs w:val="26"/>
        </w:rPr>
        <w:t xml:space="preserve">prevenido en el artículo 49 de la </w:t>
      </w:r>
      <w:r w:rsidR="00666967" w:rsidRPr="00C71A21">
        <w:rPr>
          <w:rFonts w:ascii="Arial" w:eastAsia="Calibri" w:hAnsi="Arial" w:cs="Arial"/>
          <w:bCs/>
          <w:sz w:val="26"/>
          <w:szCs w:val="26"/>
        </w:rPr>
        <w:t xml:space="preserve">Ley de Pensiones </w:t>
      </w:r>
      <w:r w:rsidR="00C71A21" w:rsidRPr="00C71A21">
        <w:rPr>
          <w:rFonts w:ascii="Arial" w:eastAsia="Calibri" w:hAnsi="Arial" w:cs="Arial"/>
          <w:bCs/>
          <w:sz w:val="26"/>
          <w:szCs w:val="26"/>
        </w:rPr>
        <w:t xml:space="preserve">para los Trabajadores al Servicio del Ayuntamiento del Municipio de Oaxaca de Juárez, </w:t>
      </w:r>
      <w:r w:rsidR="00666967" w:rsidRPr="00C71A21">
        <w:rPr>
          <w:rFonts w:ascii="Arial" w:eastAsia="Calibri" w:hAnsi="Arial" w:cs="Arial"/>
          <w:bCs/>
          <w:sz w:val="26"/>
          <w:szCs w:val="26"/>
        </w:rPr>
        <w:t>es sufi</w:t>
      </w:r>
      <w:r w:rsidR="00666967">
        <w:rPr>
          <w:rFonts w:ascii="Arial" w:eastAsia="Calibri" w:hAnsi="Arial" w:cs="Arial"/>
          <w:bCs/>
          <w:sz w:val="26"/>
          <w:szCs w:val="26"/>
        </w:rPr>
        <w:t>ciente y con alcance para poder establecer el momento en que comienza a computarse el plazo de los tres años para que opere la prescripción.</w:t>
      </w:r>
      <w:r w:rsidR="00227245">
        <w:rPr>
          <w:rFonts w:ascii="Arial" w:eastAsia="Calibri" w:hAnsi="Arial" w:cs="Arial"/>
          <w:bCs/>
          <w:sz w:val="26"/>
          <w:szCs w:val="26"/>
        </w:rPr>
        <w:t xml:space="preserve"> - - - - - - - - - - - - - - - - - - - - - - - - - - - - - - - - - - - - - - - - - - - </w:t>
      </w:r>
    </w:p>
    <w:p w14:paraId="7AAC169C" w14:textId="1794E791" w:rsidR="00362ED6" w:rsidRDefault="00362ED6" w:rsidP="00760168">
      <w:pPr>
        <w:widowControl w:val="0"/>
        <w:spacing w:before="120" w:after="0" w:line="360" w:lineRule="auto"/>
        <w:ind w:left="-142" w:right="18" w:firstLine="709"/>
        <w:jc w:val="both"/>
        <w:rPr>
          <w:rFonts w:ascii="Arial" w:eastAsia="Calibri" w:hAnsi="Arial" w:cs="Arial"/>
          <w:bCs/>
          <w:sz w:val="26"/>
          <w:szCs w:val="26"/>
        </w:rPr>
      </w:pPr>
      <w:r>
        <w:rPr>
          <w:rFonts w:ascii="Arial" w:eastAsia="Calibri" w:hAnsi="Arial" w:cs="Arial"/>
          <w:bCs/>
          <w:sz w:val="26"/>
          <w:szCs w:val="26"/>
        </w:rPr>
        <w:t xml:space="preserve">Por último en su agravio </w:t>
      </w:r>
      <w:r>
        <w:rPr>
          <w:rFonts w:ascii="Arial" w:eastAsia="Calibri" w:hAnsi="Arial" w:cs="Arial"/>
          <w:b/>
          <w:bCs/>
          <w:sz w:val="26"/>
          <w:szCs w:val="26"/>
        </w:rPr>
        <w:t xml:space="preserve">tercero, </w:t>
      </w:r>
      <w:r>
        <w:rPr>
          <w:rFonts w:ascii="Arial" w:eastAsia="Calibri" w:hAnsi="Arial" w:cs="Arial"/>
          <w:bCs/>
          <w:sz w:val="26"/>
          <w:szCs w:val="26"/>
        </w:rPr>
        <w:t>manifiesta la autoridad recurrente que le causa perjuicio lo resuelto por la Primera Instancia, en atención que refiere que se actualizó una interpretación extensiva del artículo 49 de la Ley de Pensiones para los Trabajadores al Servicio del Ayuntamiento del Municipio de Oaxaca de Juárez, sin embargo señala que no pa</w:t>
      </w:r>
      <w:r w:rsidR="00ED49D8">
        <w:rPr>
          <w:rFonts w:ascii="Arial" w:eastAsia="Calibri" w:hAnsi="Arial" w:cs="Arial"/>
          <w:bCs/>
          <w:sz w:val="26"/>
          <w:szCs w:val="26"/>
        </w:rPr>
        <w:t>s</w:t>
      </w:r>
      <w:r>
        <w:rPr>
          <w:rFonts w:ascii="Arial" w:eastAsia="Calibri" w:hAnsi="Arial" w:cs="Arial"/>
          <w:bCs/>
          <w:sz w:val="26"/>
          <w:szCs w:val="26"/>
        </w:rPr>
        <w:t>a desapercibido, que la interpretación extensiva se refiere que cuando existan dos normas aplicables a un mismo caso, la autoridad debe aplicar la más favorable y en el presente caso, no existe una ley que se le aplique al caso concreto y que resulte más favorable al actor en el juicio natural.</w:t>
      </w:r>
      <w:r w:rsidR="00227245">
        <w:rPr>
          <w:rFonts w:ascii="Arial" w:eastAsia="Calibri" w:hAnsi="Arial" w:cs="Arial"/>
          <w:bCs/>
          <w:sz w:val="26"/>
          <w:szCs w:val="26"/>
        </w:rPr>
        <w:t xml:space="preserve"> - - - - - - - - - - - - - - - - - - - - - - - - - - - - - - - - - - - - - - - - - - - </w:t>
      </w:r>
    </w:p>
    <w:p w14:paraId="555C1E5D" w14:textId="3091FEE6" w:rsidR="00362ED6" w:rsidRPr="00362ED6" w:rsidRDefault="00362ED6" w:rsidP="00CE52F7">
      <w:pPr>
        <w:widowControl w:val="0"/>
        <w:spacing w:before="120" w:after="0" w:line="360" w:lineRule="auto"/>
        <w:ind w:left="-142" w:right="18" w:firstLine="709"/>
        <w:jc w:val="both"/>
        <w:rPr>
          <w:rFonts w:ascii="Arial" w:eastAsia="Calibri" w:hAnsi="Arial" w:cs="Arial"/>
          <w:bCs/>
          <w:sz w:val="26"/>
          <w:szCs w:val="26"/>
        </w:rPr>
      </w:pPr>
      <w:r>
        <w:rPr>
          <w:rFonts w:ascii="Arial" w:eastAsia="Calibri" w:hAnsi="Arial" w:cs="Arial"/>
          <w:bCs/>
          <w:sz w:val="26"/>
          <w:szCs w:val="26"/>
        </w:rPr>
        <w:t xml:space="preserve">Por tanto, argumenta que del análisis del contenido del artículo 49 de la Ley de Pensiones para los Trabajadores al Servicio del Ayuntamiento del Municipio de Oaxaca de Juárez, no admite una interpretación diversa a la que se le dio en el oficio número </w:t>
      </w:r>
      <w:r w:rsidR="00554B6E">
        <w:rPr>
          <w:rFonts w:ascii="Arial" w:eastAsia="Calibri" w:hAnsi="Arial" w:cs="Arial"/>
          <w:bCs/>
          <w:sz w:val="26"/>
          <w:szCs w:val="26"/>
        </w:rPr>
        <w:t>*******</w:t>
      </w:r>
      <w:r>
        <w:rPr>
          <w:rFonts w:ascii="Arial" w:eastAsia="Calibri" w:hAnsi="Arial" w:cs="Arial"/>
          <w:bCs/>
          <w:sz w:val="26"/>
          <w:szCs w:val="26"/>
        </w:rPr>
        <w:t>, de fecha seis de abril de dos mil veintiuno, máxime que no establece de forma alguna la norma que se contenga una protección más amplia a favor del actor.</w:t>
      </w:r>
      <w:r w:rsidR="00227245">
        <w:rPr>
          <w:rFonts w:ascii="Arial" w:eastAsia="Calibri" w:hAnsi="Arial" w:cs="Arial"/>
          <w:bCs/>
          <w:sz w:val="26"/>
          <w:szCs w:val="26"/>
        </w:rPr>
        <w:t xml:space="preserve"> - - - - - - - - - - - - - - - - - - - - - - - - - - - - - - - - - - - - - - - - - - </w:t>
      </w:r>
    </w:p>
    <w:p w14:paraId="6E3116B9" w14:textId="1236E3C4" w:rsidR="00366406" w:rsidRDefault="00366406" w:rsidP="00CE52F7">
      <w:pPr>
        <w:spacing w:before="120" w:after="0" w:line="360" w:lineRule="auto"/>
        <w:ind w:firstLine="708"/>
        <w:jc w:val="both"/>
        <w:rPr>
          <w:rFonts w:ascii="Arial" w:eastAsia="Calibri" w:hAnsi="Arial" w:cs="Arial"/>
          <w:bCs/>
          <w:sz w:val="26"/>
          <w:szCs w:val="26"/>
        </w:rPr>
      </w:pPr>
      <w:r w:rsidRPr="007A2E24">
        <w:rPr>
          <w:rFonts w:ascii="Arial" w:eastAsia="Calibri" w:hAnsi="Arial" w:cs="Arial"/>
          <w:b/>
          <w:bCs/>
          <w:sz w:val="26"/>
          <w:szCs w:val="26"/>
        </w:rPr>
        <w:t>De</w:t>
      </w:r>
      <w:r w:rsidRPr="007A2E24">
        <w:rPr>
          <w:rFonts w:ascii="Arial" w:eastAsia="Calibri" w:hAnsi="Arial" w:cs="Arial"/>
          <w:bCs/>
          <w:sz w:val="26"/>
          <w:szCs w:val="26"/>
        </w:rPr>
        <w:t xml:space="preserve"> las constancias que obran en el expediente principal remitido para la substanciación del presente asunto, con valor probatorio pleno en términos del artículo </w:t>
      </w:r>
      <w:r w:rsidRPr="007A2E24">
        <w:rPr>
          <w:rFonts w:ascii="Arial" w:hAnsi="Arial" w:cs="Arial"/>
          <w:color w:val="000000"/>
          <w:sz w:val="26"/>
          <w:szCs w:val="26"/>
        </w:rPr>
        <w:t>203</w:t>
      </w:r>
      <w:r w:rsidRPr="007A2E24">
        <w:rPr>
          <w:rStyle w:val="Refdenotaalpie"/>
          <w:rFonts w:ascii="Arial" w:hAnsi="Arial" w:cs="Arial"/>
          <w:color w:val="000000"/>
          <w:sz w:val="26"/>
          <w:szCs w:val="26"/>
        </w:rPr>
        <w:footnoteReference w:id="1"/>
      </w:r>
      <w:r w:rsidRPr="007A2E24">
        <w:rPr>
          <w:rFonts w:ascii="Arial" w:eastAsia="Calibri" w:hAnsi="Arial" w:cs="Arial"/>
          <w:bCs/>
          <w:sz w:val="26"/>
          <w:szCs w:val="26"/>
        </w:rPr>
        <w:t xml:space="preserve">, fracción I de la Ley de Procedimiento y </w:t>
      </w:r>
      <w:r w:rsidRPr="007A2E24">
        <w:rPr>
          <w:rFonts w:ascii="Arial" w:eastAsia="Calibri" w:hAnsi="Arial" w:cs="Arial"/>
          <w:bCs/>
          <w:sz w:val="26"/>
          <w:szCs w:val="26"/>
        </w:rPr>
        <w:lastRenderedPageBreak/>
        <w:t xml:space="preserve">Justicia Administrativa para el Estado de Oaxaca, a fojas </w:t>
      </w:r>
      <w:r>
        <w:rPr>
          <w:rFonts w:ascii="Arial" w:eastAsia="Calibri" w:hAnsi="Arial" w:cs="Arial"/>
          <w:bCs/>
          <w:sz w:val="26"/>
          <w:szCs w:val="26"/>
        </w:rPr>
        <w:t>cuarenta y ocho a cincuenta y dos</w:t>
      </w:r>
      <w:r w:rsidRPr="007A2E24">
        <w:rPr>
          <w:rFonts w:ascii="Arial" w:eastAsia="Calibri" w:hAnsi="Arial" w:cs="Arial"/>
          <w:bCs/>
          <w:sz w:val="26"/>
          <w:szCs w:val="26"/>
        </w:rPr>
        <w:t xml:space="preserve">, obra la sentencia dictada el </w:t>
      </w:r>
      <w:r>
        <w:rPr>
          <w:rFonts w:ascii="Arial" w:eastAsia="Calibri" w:hAnsi="Arial" w:cs="Arial"/>
          <w:bCs/>
          <w:sz w:val="26"/>
          <w:szCs w:val="26"/>
        </w:rPr>
        <w:t xml:space="preserve">cuatro de marzo de dos mil veintidós, la cual </w:t>
      </w:r>
      <w:r w:rsidRPr="007A2E24">
        <w:rPr>
          <w:rFonts w:ascii="Arial" w:eastAsia="Calibri" w:hAnsi="Arial" w:cs="Arial"/>
          <w:bCs/>
          <w:sz w:val="26"/>
          <w:szCs w:val="26"/>
        </w:rPr>
        <w:t xml:space="preserve">señala en su considerando </w:t>
      </w:r>
      <w:r>
        <w:rPr>
          <w:rFonts w:ascii="Arial" w:eastAsia="Calibri" w:hAnsi="Arial" w:cs="Arial"/>
          <w:bCs/>
          <w:sz w:val="26"/>
          <w:szCs w:val="26"/>
        </w:rPr>
        <w:t>SEXTO lo siguiente:</w:t>
      </w:r>
    </w:p>
    <w:p w14:paraId="5C85C080" w14:textId="7DC8954F" w:rsidR="00366406" w:rsidRDefault="00366406" w:rsidP="00227245">
      <w:pPr>
        <w:spacing w:before="120" w:after="0"/>
        <w:ind w:left="851" w:right="900"/>
        <w:jc w:val="both"/>
        <w:rPr>
          <w:rFonts w:ascii="Arial" w:eastAsia="Calibri" w:hAnsi="Arial" w:cs="Arial"/>
          <w:bCs/>
          <w:i/>
        </w:rPr>
      </w:pPr>
      <w:r>
        <w:rPr>
          <w:rFonts w:ascii="Arial" w:eastAsia="Calibri" w:hAnsi="Arial" w:cs="Arial"/>
          <w:bCs/>
          <w:i/>
        </w:rPr>
        <w:t>“</w:t>
      </w:r>
      <w:r>
        <w:rPr>
          <w:rFonts w:ascii="Arial" w:eastAsia="Calibri" w:hAnsi="Arial" w:cs="Arial"/>
          <w:b/>
          <w:bCs/>
          <w:i/>
        </w:rPr>
        <w:t xml:space="preserve">SEXTO. </w:t>
      </w:r>
      <w:r>
        <w:rPr>
          <w:rFonts w:ascii="Arial" w:eastAsia="Calibri" w:hAnsi="Arial" w:cs="Arial"/>
          <w:bCs/>
          <w:i/>
        </w:rPr>
        <w:t>[…]</w:t>
      </w:r>
    </w:p>
    <w:p w14:paraId="1314FC7A" w14:textId="6DEBF5B3" w:rsidR="00366406" w:rsidRDefault="00366406" w:rsidP="00227245">
      <w:pPr>
        <w:spacing w:after="120"/>
        <w:ind w:left="851" w:right="902"/>
        <w:jc w:val="both"/>
        <w:rPr>
          <w:rFonts w:ascii="Arial" w:eastAsia="Calibri" w:hAnsi="Arial" w:cs="Arial"/>
          <w:bCs/>
          <w:i/>
        </w:rPr>
      </w:pPr>
      <w:r>
        <w:rPr>
          <w:rFonts w:ascii="Arial" w:eastAsia="Calibri" w:hAnsi="Arial" w:cs="Arial"/>
          <w:bCs/>
          <w:i/>
        </w:rPr>
        <w:t xml:space="preserve">Ahora bien, mediante oficio </w:t>
      </w:r>
      <w:r w:rsidR="00554B6E">
        <w:rPr>
          <w:rFonts w:ascii="Arial" w:eastAsia="Calibri" w:hAnsi="Arial" w:cs="Arial"/>
          <w:b/>
          <w:bCs/>
          <w:i/>
        </w:rPr>
        <w:t>*******</w:t>
      </w:r>
      <w:r>
        <w:rPr>
          <w:rFonts w:ascii="Arial" w:eastAsia="Calibri" w:hAnsi="Arial" w:cs="Arial"/>
          <w:b/>
          <w:bCs/>
          <w:i/>
        </w:rPr>
        <w:t xml:space="preserve">, </w:t>
      </w:r>
      <w:r>
        <w:rPr>
          <w:rFonts w:ascii="Arial" w:eastAsia="Calibri" w:hAnsi="Arial" w:cs="Arial"/>
          <w:bCs/>
          <w:i/>
        </w:rPr>
        <w:t xml:space="preserve">de seis de abril de dos mil veintiuno, el Director de Pensiones del Municipio de Oaxaca de Juárez, dio contestación al escrito de la actora, en el que le indicó que era improcedente la devolución de las cantidades descontadas a su salario durante el periodo que laboró para el Ayuntamiento Municipal de Oaxaca de Juárez, en razón, que el artículo 49 de la Ley de Pensiones para los Trabajadores al Servicio del Ayuntamiento del Municipio de Oaxaca de Juárez, establecía que la devolución de los descuentos efectuados a favor del Fondo de Pensiones Municipal, deberían de ser reclamados dentro de los </w:t>
      </w:r>
      <w:r>
        <w:rPr>
          <w:rFonts w:ascii="Arial" w:eastAsia="Calibri" w:hAnsi="Arial" w:cs="Arial"/>
          <w:b/>
          <w:bCs/>
          <w:i/>
        </w:rPr>
        <w:t xml:space="preserve">tres años siguientes </w:t>
      </w:r>
      <w:r>
        <w:rPr>
          <w:rFonts w:ascii="Arial" w:eastAsia="Calibri" w:hAnsi="Arial" w:cs="Arial"/>
          <w:bCs/>
          <w:i/>
        </w:rPr>
        <w:t xml:space="preserve">a partir de la fecha que hubieran sido exigibles, pues de lo contrario prescribirían a favor de la Dirección de Pensiones Municipal; indicándole que </w:t>
      </w:r>
      <w:r>
        <w:rPr>
          <w:rFonts w:ascii="Arial" w:eastAsia="Calibri" w:hAnsi="Arial" w:cs="Arial"/>
          <w:b/>
          <w:bCs/>
          <w:i/>
        </w:rPr>
        <w:t xml:space="preserve">la última aportación al fondo de pensiones la realizó el treinta y uno de diciembre de dos mil dieciséis, </w:t>
      </w:r>
      <w:r>
        <w:rPr>
          <w:rFonts w:ascii="Arial" w:eastAsia="Calibri" w:hAnsi="Arial" w:cs="Arial"/>
          <w:bCs/>
          <w:i/>
        </w:rPr>
        <w:t xml:space="preserve">por lo que su término de tres años para solicitar su devolución, </w:t>
      </w:r>
      <w:r w:rsidRPr="00C71A21">
        <w:rPr>
          <w:rFonts w:ascii="Arial" w:eastAsia="Calibri" w:hAnsi="Arial" w:cs="Arial"/>
          <w:bCs/>
          <w:i/>
        </w:rPr>
        <w:t>conclu</w:t>
      </w:r>
      <w:r w:rsidR="00C71A21" w:rsidRPr="00C71A21">
        <w:rPr>
          <w:rFonts w:ascii="Arial" w:eastAsia="Calibri" w:hAnsi="Arial" w:cs="Arial"/>
          <w:bCs/>
          <w:i/>
        </w:rPr>
        <w:t>yó</w:t>
      </w:r>
      <w:r w:rsidRPr="00C71A21">
        <w:rPr>
          <w:rFonts w:ascii="Arial" w:eastAsia="Calibri" w:hAnsi="Arial" w:cs="Arial"/>
          <w:bCs/>
          <w:i/>
        </w:rPr>
        <w:t xml:space="preserve"> el</w:t>
      </w:r>
      <w:r>
        <w:rPr>
          <w:rFonts w:ascii="Arial" w:eastAsia="Calibri" w:hAnsi="Arial" w:cs="Arial"/>
          <w:bCs/>
          <w:i/>
        </w:rPr>
        <w:t xml:space="preserve"> </w:t>
      </w:r>
      <w:r>
        <w:rPr>
          <w:rFonts w:ascii="Arial" w:eastAsia="Calibri" w:hAnsi="Arial" w:cs="Arial"/>
          <w:b/>
          <w:bCs/>
          <w:i/>
        </w:rPr>
        <w:t xml:space="preserve">treinta y uno de diciembre de dos mil </w:t>
      </w:r>
      <w:r w:rsidRPr="009C75F3">
        <w:rPr>
          <w:rFonts w:ascii="Arial" w:eastAsia="Calibri" w:hAnsi="Arial" w:cs="Arial"/>
          <w:b/>
          <w:bCs/>
          <w:i/>
        </w:rPr>
        <w:t>diecinueve</w:t>
      </w:r>
      <w:r>
        <w:rPr>
          <w:rFonts w:ascii="Arial" w:eastAsia="Calibri" w:hAnsi="Arial" w:cs="Arial"/>
          <w:b/>
          <w:bCs/>
          <w:i/>
        </w:rPr>
        <w:t xml:space="preserve">, </w:t>
      </w:r>
      <w:r>
        <w:rPr>
          <w:rFonts w:ascii="Arial" w:eastAsia="Calibri" w:hAnsi="Arial" w:cs="Arial"/>
          <w:bCs/>
          <w:i/>
        </w:rPr>
        <w:t>y siendo que solicitó la devolución hasta el dieciséis de diciembre de dos mil veinte, dichas cantidades ya habían prescrito a favor de la Dirección de Pensiones Municipal.</w:t>
      </w:r>
    </w:p>
    <w:p w14:paraId="73764050" w14:textId="187C9B3E" w:rsidR="00366406" w:rsidRDefault="00366406" w:rsidP="00227245">
      <w:pPr>
        <w:spacing w:after="120"/>
        <w:ind w:left="851" w:right="902"/>
        <w:jc w:val="both"/>
        <w:rPr>
          <w:rFonts w:ascii="Arial" w:eastAsia="Calibri" w:hAnsi="Arial" w:cs="Arial"/>
          <w:bCs/>
          <w:i/>
        </w:rPr>
      </w:pPr>
      <w:r>
        <w:rPr>
          <w:rFonts w:ascii="Arial" w:eastAsia="Calibri" w:hAnsi="Arial" w:cs="Arial"/>
          <w:bCs/>
          <w:i/>
        </w:rPr>
        <w:tab/>
        <w:t>En ese sentido, el artículo 49, de la Ley de Pensiones para los Trabajadores al Servicio del Ayuntamiento del Municipio de Oaxaca de Juárez, establece:</w:t>
      </w:r>
    </w:p>
    <w:p w14:paraId="7F5C5A42" w14:textId="68F911CB" w:rsidR="00366406" w:rsidRDefault="00366406" w:rsidP="00227245">
      <w:pPr>
        <w:spacing w:after="120"/>
        <w:ind w:left="1418" w:right="1467"/>
        <w:jc w:val="both"/>
        <w:rPr>
          <w:rFonts w:ascii="Arial" w:eastAsia="Calibri" w:hAnsi="Arial" w:cs="Arial"/>
          <w:bCs/>
          <w:i/>
          <w:sz w:val="20"/>
          <w:szCs w:val="20"/>
        </w:rPr>
      </w:pPr>
      <w:r>
        <w:rPr>
          <w:rFonts w:ascii="Arial" w:eastAsia="Calibri" w:hAnsi="Arial" w:cs="Arial"/>
          <w:bCs/>
          <w:i/>
          <w:sz w:val="20"/>
          <w:szCs w:val="20"/>
        </w:rPr>
        <w:t>“</w:t>
      </w:r>
      <w:r>
        <w:rPr>
          <w:rFonts w:ascii="Arial" w:eastAsia="Calibri" w:hAnsi="Arial" w:cs="Arial"/>
          <w:b/>
          <w:bCs/>
          <w:i/>
          <w:sz w:val="20"/>
          <w:szCs w:val="20"/>
        </w:rPr>
        <w:t xml:space="preserve">ARTICULO 49.- </w:t>
      </w:r>
      <w:r>
        <w:rPr>
          <w:rFonts w:ascii="Arial" w:eastAsia="Calibri" w:hAnsi="Arial" w:cs="Arial"/>
          <w:bCs/>
          <w:i/>
          <w:sz w:val="20"/>
          <w:szCs w:val="20"/>
        </w:rPr>
        <w:t>El derecho a reclamar las pensiones caídas, las indemnizaciones globales y cualquier otra prestación en dinero a cargo de la Dirección, prescriben en el término de los tres años siguientes a la fecha en que hubieren sido exigibles, a favor de la propia Dirección.”</w:t>
      </w:r>
    </w:p>
    <w:p w14:paraId="362C7B94" w14:textId="4ADD0FB4" w:rsidR="00366406" w:rsidRDefault="00366406" w:rsidP="00227245">
      <w:pPr>
        <w:spacing w:after="120"/>
        <w:ind w:left="851" w:right="900"/>
        <w:jc w:val="both"/>
        <w:rPr>
          <w:rFonts w:ascii="Arial" w:eastAsia="Calibri" w:hAnsi="Arial" w:cs="Arial"/>
          <w:bCs/>
          <w:i/>
        </w:rPr>
      </w:pPr>
      <w:r>
        <w:rPr>
          <w:rFonts w:ascii="Arial" w:eastAsia="Calibri" w:hAnsi="Arial" w:cs="Arial"/>
          <w:bCs/>
          <w:i/>
        </w:rPr>
        <w:tab/>
        <w:t>El artículo transcrito refiere, que los trabajadores al servicio del Ayuntamiento del Municipio de Oaxaca de Juárez, tendrían el derecho a reclamar cualquier prestación en dinero a cargo de la Dirección de Pensiones, sin embargo dicha devolución deberá de solicitarse dentro del término de tres años siguientes a que hubieran sido exigible la devolución, pues en caso de no solicitarse, dicha cantidad prescribirá a favor de la Dirección de Pensiones, y por lo tanto, será improcedente la devolución de las cantidades descontadas.</w:t>
      </w:r>
    </w:p>
    <w:p w14:paraId="5BA7AE78" w14:textId="6E15528F" w:rsidR="00366406" w:rsidRDefault="00366406" w:rsidP="00227245">
      <w:pPr>
        <w:spacing w:after="120"/>
        <w:ind w:left="851" w:right="902"/>
        <w:jc w:val="both"/>
        <w:rPr>
          <w:rFonts w:ascii="Arial" w:eastAsia="Calibri" w:hAnsi="Arial" w:cs="Arial"/>
          <w:bCs/>
          <w:i/>
        </w:rPr>
      </w:pPr>
      <w:r>
        <w:rPr>
          <w:rFonts w:ascii="Arial" w:eastAsia="Calibri" w:hAnsi="Arial" w:cs="Arial"/>
          <w:bCs/>
          <w:i/>
        </w:rPr>
        <w:tab/>
        <w:t xml:space="preserve">En el presente caso, el </w:t>
      </w:r>
      <w:r w:rsidR="00A60C59">
        <w:rPr>
          <w:rFonts w:ascii="Arial" w:eastAsia="Calibri" w:hAnsi="Arial" w:cs="Arial"/>
          <w:bCs/>
          <w:i/>
        </w:rPr>
        <w:t xml:space="preserve">último descuento al salario del actor, fue efectuado el treinta y uno de diciembre de dos mil </w:t>
      </w:r>
      <w:r w:rsidR="00A60C59" w:rsidRPr="009C75F3">
        <w:rPr>
          <w:rFonts w:ascii="Arial" w:eastAsia="Calibri" w:hAnsi="Arial" w:cs="Arial"/>
          <w:bCs/>
          <w:i/>
        </w:rPr>
        <w:t>dieciséis</w:t>
      </w:r>
      <w:r w:rsidR="00A60C59">
        <w:rPr>
          <w:rFonts w:ascii="Arial" w:eastAsia="Calibri" w:hAnsi="Arial" w:cs="Arial"/>
          <w:bCs/>
          <w:i/>
        </w:rPr>
        <w:t>, por lo que a partir de esa fecha contaba con el término de tres años para solicitar la devolución de las cantidades descontadas a su pensión, los cuales concluyeron el treinta y uno de diciembre de dos mil diecinueve.</w:t>
      </w:r>
    </w:p>
    <w:p w14:paraId="430D3BAC" w14:textId="51E670E3" w:rsidR="00A60C59" w:rsidRDefault="00A60C59" w:rsidP="00227245">
      <w:pPr>
        <w:spacing w:after="120"/>
        <w:ind w:left="851" w:right="902"/>
        <w:jc w:val="both"/>
        <w:rPr>
          <w:rFonts w:ascii="Arial" w:eastAsia="Calibri" w:hAnsi="Arial" w:cs="Arial"/>
          <w:bCs/>
          <w:i/>
        </w:rPr>
      </w:pPr>
      <w:r>
        <w:rPr>
          <w:rFonts w:ascii="Arial" w:eastAsia="Calibri" w:hAnsi="Arial" w:cs="Arial"/>
          <w:bCs/>
          <w:i/>
        </w:rPr>
        <w:tab/>
        <w:t>Por lo que, en teoría, al no reclamar en tiempo la devolución de los descuentos efectuados, dichas cantidades pasaron a formar parte de manera definitiva del patrimonio de la Dirección de Pensiones del Municipio de Oaxaca de Juárez, Oaxaca.</w:t>
      </w:r>
    </w:p>
    <w:p w14:paraId="295F8E65" w14:textId="3DBE6A1E" w:rsidR="00A60C59" w:rsidRDefault="00A60C59" w:rsidP="00227245">
      <w:pPr>
        <w:spacing w:after="120"/>
        <w:ind w:left="851" w:right="900"/>
        <w:jc w:val="both"/>
        <w:rPr>
          <w:rFonts w:ascii="Arial" w:eastAsia="Calibri" w:hAnsi="Arial" w:cs="Arial"/>
          <w:bCs/>
          <w:i/>
        </w:rPr>
      </w:pPr>
      <w:r>
        <w:rPr>
          <w:rFonts w:ascii="Arial" w:eastAsia="Calibri" w:hAnsi="Arial" w:cs="Arial"/>
          <w:bCs/>
          <w:i/>
        </w:rPr>
        <w:tab/>
      </w:r>
      <w:r>
        <w:rPr>
          <w:rFonts w:ascii="Arial" w:eastAsia="Calibri" w:hAnsi="Arial" w:cs="Arial"/>
          <w:b/>
          <w:bCs/>
          <w:i/>
        </w:rPr>
        <w:t xml:space="preserve">Sin embargo, </w:t>
      </w:r>
      <w:r w:rsidR="004934EC">
        <w:rPr>
          <w:rFonts w:ascii="Arial" w:eastAsia="Calibri" w:hAnsi="Arial" w:cs="Arial"/>
          <w:bCs/>
          <w:i/>
        </w:rPr>
        <w:t>el artículo 1º de la Constitución Política de los Estados Unidos Mexicanos, indica:</w:t>
      </w:r>
    </w:p>
    <w:p w14:paraId="4CF9DC89" w14:textId="51BAE06A" w:rsidR="004934EC" w:rsidRPr="00227245" w:rsidRDefault="004934EC" w:rsidP="00227245">
      <w:pPr>
        <w:spacing w:after="120"/>
        <w:ind w:left="1418" w:right="1469"/>
        <w:jc w:val="both"/>
        <w:rPr>
          <w:rFonts w:ascii="Arial" w:eastAsia="Calibri" w:hAnsi="Arial" w:cs="Arial"/>
          <w:bCs/>
          <w:i/>
        </w:rPr>
      </w:pPr>
      <w:r w:rsidRPr="00227245">
        <w:rPr>
          <w:rFonts w:ascii="Arial" w:eastAsia="Calibri" w:hAnsi="Arial" w:cs="Arial"/>
          <w:b/>
          <w:bCs/>
          <w:i/>
        </w:rPr>
        <w:lastRenderedPageBreak/>
        <w:t xml:space="preserve">“…Artículo 1o. </w:t>
      </w:r>
      <w:r w:rsidRPr="00227245">
        <w:rPr>
          <w:rFonts w:ascii="Arial" w:eastAsia="Calibri" w:hAnsi="Arial" w:cs="Arial"/>
          <w:bCs/>
          <w:i/>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032230E8" w14:textId="4CC41E34" w:rsidR="004934EC" w:rsidRPr="00227245" w:rsidRDefault="004934EC" w:rsidP="00227245">
      <w:pPr>
        <w:spacing w:after="120"/>
        <w:ind w:left="1418" w:right="1469"/>
        <w:jc w:val="both"/>
        <w:rPr>
          <w:rFonts w:ascii="Arial" w:eastAsia="Calibri" w:hAnsi="Arial" w:cs="Arial"/>
          <w:bCs/>
          <w:i/>
        </w:rPr>
      </w:pPr>
      <w:r w:rsidRPr="00227245">
        <w:rPr>
          <w:rFonts w:ascii="Arial" w:eastAsia="Calibri" w:hAnsi="Arial" w:cs="Arial"/>
          <w:b/>
          <w:bCs/>
          <w:i/>
        </w:rPr>
        <w:tab/>
      </w:r>
      <w:r w:rsidRPr="00227245">
        <w:rPr>
          <w:rFonts w:ascii="Arial" w:eastAsia="Calibri" w:hAnsi="Arial" w:cs="Arial"/>
          <w:bCs/>
          <w:i/>
        </w:rPr>
        <w:t>Las normas relativas a los derechos humanos se interpretarán de conformidad con esta Constitución y con los tratados internacionales de la materia favoreciendo en todo tiempo a las personas la protección más amplia.</w:t>
      </w:r>
    </w:p>
    <w:p w14:paraId="56F69522" w14:textId="60FC52A1" w:rsidR="004934EC" w:rsidRPr="00227245" w:rsidRDefault="004934EC" w:rsidP="00227245">
      <w:pPr>
        <w:spacing w:after="120"/>
        <w:ind w:left="1418" w:right="1469"/>
        <w:jc w:val="both"/>
        <w:rPr>
          <w:rFonts w:ascii="Arial" w:eastAsia="Calibri" w:hAnsi="Arial" w:cs="Arial"/>
          <w:bCs/>
          <w:i/>
        </w:rPr>
      </w:pPr>
      <w:r w:rsidRPr="00227245">
        <w:rPr>
          <w:rFonts w:ascii="Arial" w:eastAsia="Calibri" w:hAnsi="Arial" w:cs="Arial"/>
          <w:bCs/>
          <w:i/>
        </w:rPr>
        <w:tab/>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14:paraId="4AFAE48C" w14:textId="09C1F617" w:rsidR="004934EC" w:rsidRDefault="001B2A5E" w:rsidP="00227245">
      <w:pPr>
        <w:spacing w:after="120"/>
        <w:ind w:left="851" w:right="902"/>
        <w:jc w:val="both"/>
        <w:rPr>
          <w:rFonts w:ascii="Arial" w:eastAsia="Calibri" w:hAnsi="Arial" w:cs="Arial"/>
          <w:bCs/>
          <w:i/>
        </w:rPr>
      </w:pPr>
      <w:r>
        <w:rPr>
          <w:rFonts w:ascii="Arial" w:eastAsia="Calibri" w:hAnsi="Arial" w:cs="Arial"/>
          <w:bCs/>
          <w:i/>
        </w:rPr>
        <w:tab/>
        <w:t>En ese sentido, esta Juzgadora considera que el artículo 49, de la Ley de Pensiones para los Trabajadores al Servicio del Ayuntamiento del Municipio de Oaxaca de Juárez, es contrario a lo establecido en el artículo 123, de la Constitución Política de los Estados Unidos Mexicanos, pues no señala con precisión el momento en el cual empezará a correr el plazo de tres años para hacer efectiva la prescripción, ya que únicamente se limita a señalar de manera genérica que dicho lapso se contará a partir de que dichas cantidades sean exigibles, así también, no contempla un aviso oportuno al trabajador o a sus beneficiarios, por lo tanto, genera una evidente incertidumbre jurídica en contra del trabajador, ante el desconocimiento de cuál es el momento idóneo para solicitar la devolución de los descuentos que le fueron hechos y de qué forma se va a computar ese plazo.</w:t>
      </w:r>
    </w:p>
    <w:p w14:paraId="3E2AC485" w14:textId="227C3139" w:rsidR="001B2A5E" w:rsidRDefault="001B2A5E" w:rsidP="00227245">
      <w:pPr>
        <w:spacing w:after="120"/>
        <w:ind w:left="851" w:right="902"/>
        <w:jc w:val="both"/>
        <w:rPr>
          <w:rFonts w:ascii="Arial" w:eastAsia="Calibri" w:hAnsi="Arial" w:cs="Arial"/>
          <w:bCs/>
          <w:i/>
        </w:rPr>
      </w:pPr>
      <w:r>
        <w:rPr>
          <w:rFonts w:ascii="Arial" w:eastAsia="Calibri" w:hAnsi="Arial" w:cs="Arial"/>
          <w:bCs/>
          <w:i/>
        </w:rPr>
        <w:tab/>
        <w:t xml:space="preserve">Por lo que, haciendo una interpretación extensiva del artículo 49, de la Ley de Pensiones para los Trabajadores al Servicio del Ayuntamiento del Municipio de Oaxaca de Juárez, a la luz del principio pro persona contemplado en el artículo 1º Constitucional, podemos concluir que este artículo señala que todo trabajador que se separe o sea separado de su empleo en el Ayuntamiento del Municipio de Oaxaca de Juárez, tendrá el derecho de que se le devuelvan las cantidades descontadas que se hubieran efectuado a favor del Fondo de Pensiones, sin establecerse un plazo determinado para reclamar la devolución </w:t>
      </w:r>
      <w:r w:rsidRPr="00C71A21">
        <w:rPr>
          <w:rFonts w:ascii="Arial" w:eastAsia="Calibri" w:hAnsi="Arial" w:cs="Arial"/>
          <w:bCs/>
          <w:i/>
        </w:rPr>
        <w:t>y si</w:t>
      </w:r>
      <w:r w:rsidR="00C71A21" w:rsidRPr="00C71A21">
        <w:rPr>
          <w:rFonts w:ascii="Arial" w:eastAsia="Calibri" w:hAnsi="Arial" w:cs="Arial"/>
          <w:bCs/>
          <w:i/>
        </w:rPr>
        <w:t>n</w:t>
      </w:r>
      <w:r w:rsidRPr="00C71A21">
        <w:rPr>
          <w:rFonts w:ascii="Arial" w:eastAsia="Calibri" w:hAnsi="Arial" w:cs="Arial"/>
          <w:bCs/>
          <w:i/>
        </w:rPr>
        <w:t xml:space="preserve"> exigir</w:t>
      </w:r>
      <w:r>
        <w:rPr>
          <w:rFonts w:ascii="Arial" w:eastAsia="Calibri" w:hAnsi="Arial" w:cs="Arial"/>
          <w:bCs/>
          <w:i/>
        </w:rPr>
        <w:t xml:space="preserve"> mayores requisitos que solicitarlo mediante escrito dirigido  la autoridad competente.</w:t>
      </w:r>
    </w:p>
    <w:p w14:paraId="124BAD3A" w14:textId="1AC19247" w:rsidR="00E248D7" w:rsidRDefault="00153870" w:rsidP="00227245">
      <w:pPr>
        <w:spacing w:after="120"/>
        <w:ind w:left="851" w:right="902"/>
        <w:jc w:val="both"/>
        <w:rPr>
          <w:rFonts w:ascii="Arial" w:eastAsia="Calibri" w:hAnsi="Arial" w:cs="Arial"/>
          <w:bCs/>
          <w:i/>
        </w:rPr>
      </w:pPr>
      <w:r>
        <w:rPr>
          <w:rFonts w:ascii="Arial" w:eastAsia="Calibri" w:hAnsi="Arial" w:cs="Arial"/>
          <w:bCs/>
          <w:i/>
        </w:rPr>
        <w:tab/>
        <w:t xml:space="preserve">De ahí, que en el presente asunto la </w:t>
      </w:r>
      <w:r>
        <w:rPr>
          <w:rFonts w:ascii="Arial" w:eastAsia="Calibri" w:hAnsi="Arial" w:cs="Arial"/>
          <w:b/>
          <w:bCs/>
          <w:i/>
        </w:rPr>
        <w:t xml:space="preserve">autoridad demandada, </w:t>
      </w:r>
      <w:r>
        <w:rPr>
          <w:rFonts w:ascii="Arial" w:eastAsia="Calibri" w:hAnsi="Arial" w:cs="Arial"/>
          <w:bCs/>
          <w:i/>
        </w:rPr>
        <w:t xml:space="preserve">debe aplicar de manera extensiva el artículo 49, de la Ley de Pensiones para los Trabajadores al Servicio del Ayuntamiento de Oaxaca de Juárez, por resultar más benéfico para el actor </w:t>
      </w:r>
      <w:r w:rsidR="00554B6E">
        <w:rPr>
          <w:rFonts w:ascii="Arial" w:eastAsia="Calibri" w:hAnsi="Arial" w:cs="Arial"/>
          <w:bCs/>
          <w:i/>
        </w:rPr>
        <w:t>*******</w:t>
      </w:r>
      <w:r>
        <w:rPr>
          <w:rFonts w:ascii="Arial" w:eastAsia="Calibri" w:hAnsi="Arial" w:cs="Arial"/>
          <w:bCs/>
          <w:i/>
        </w:rPr>
        <w:t xml:space="preserve">, ya que, no debemos de perder de vista, que las cantidades que le fueron descontadas al salario que percibió como trabajador en activo del Ayuntamiento Municipal de Oaxaca de Juárez, servirían para que en su momento se integrara la pensión por jubilación a la que resultare beneficiado, por lo que es indudable, que si dichas </w:t>
      </w:r>
      <w:r>
        <w:rPr>
          <w:rFonts w:ascii="Arial" w:eastAsia="Calibri" w:hAnsi="Arial" w:cs="Arial"/>
          <w:bCs/>
          <w:i/>
        </w:rPr>
        <w:lastRenderedPageBreak/>
        <w:t xml:space="preserve">cantidades no fueron utilizadas para la finalidad señalada, deben </w:t>
      </w:r>
      <w:r w:rsidR="00C71A21">
        <w:rPr>
          <w:rFonts w:ascii="Arial" w:eastAsia="Calibri" w:hAnsi="Arial" w:cs="Arial"/>
          <w:bCs/>
          <w:i/>
        </w:rPr>
        <w:t>de</w:t>
      </w:r>
      <w:r>
        <w:rPr>
          <w:rFonts w:ascii="Arial" w:eastAsia="Calibri" w:hAnsi="Arial" w:cs="Arial"/>
          <w:bCs/>
          <w:i/>
        </w:rPr>
        <w:t xml:space="preserve"> regresar al patrimonio del actor.</w:t>
      </w:r>
    </w:p>
    <w:p w14:paraId="45565666" w14:textId="65F6F5BE" w:rsidR="00153870" w:rsidRDefault="00A03C32" w:rsidP="00227245">
      <w:pPr>
        <w:spacing w:after="120"/>
        <w:ind w:left="851" w:right="902"/>
        <w:jc w:val="both"/>
        <w:rPr>
          <w:rFonts w:ascii="Arial" w:eastAsia="Calibri" w:hAnsi="Arial" w:cs="Arial"/>
          <w:bCs/>
          <w:i/>
        </w:rPr>
      </w:pPr>
      <w:r>
        <w:rPr>
          <w:rFonts w:ascii="Arial" w:eastAsia="Calibri" w:hAnsi="Arial" w:cs="Arial"/>
          <w:bCs/>
          <w:i/>
        </w:rPr>
        <w:tab/>
        <w:t xml:space="preserve">En consecuencia, resultan </w:t>
      </w:r>
      <w:r>
        <w:rPr>
          <w:rFonts w:ascii="Arial" w:eastAsia="Calibri" w:hAnsi="Arial" w:cs="Arial"/>
          <w:b/>
          <w:bCs/>
          <w:i/>
        </w:rPr>
        <w:t xml:space="preserve">fundados </w:t>
      </w:r>
      <w:r>
        <w:rPr>
          <w:rFonts w:ascii="Arial" w:eastAsia="Calibri" w:hAnsi="Arial" w:cs="Arial"/>
          <w:bCs/>
          <w:i/>
        </w:rPr>
        <w:t>los conceptos de impugnación de la parte actora, suplidos en sus deficiencias, pues la autoridad demandada fundó su determinación en un artículo incompatible con lo establecido en la Constitución Política de los Estados Unidos Mexicanos, con lo que se acredita una indebida fundamentación y motivación del acto administrativo impugnado, pues dicho artículo es inaplicable al presente asunto por las características específicas de éste que impiden su adecuación o encuadre.</w:t>
      </w:r>
    </w:p>
    <w:p w14:paraId="4E3E6EFC" w14:textId="2AB99E96" w:rsidR="00A03C32" w:rsidRPr="00A03C32" w:rsidRDefault="00A03C32" w:rsidP="00227245">
      <w:pPr>
        <w:spacing w:after="120"/>
        <w:ind w:left="851" w:right="902"/>
        <w:jc w:val="both"/>
        <w:rPr>
          <w:rFonts w:ascii="Arial" w:eastAsia="Calibri" w:hAnsi="Arial" w:cs="Arial"/>
          <w:bCs/>
          <w:i/>
        </w:rPr>
      </w:pPr>
      <w:r>
        <w:rPr>
          <w:rFonts w:ascii="Arial" w:eastAsia="Calibri" w:hAnsi="Arial" w:cs="Arial"/>
          <w:bCs/>
          <w:i/>
        </w:rPr>
        <w:tab/>
        <w:t xml:space="preserve">Por lo que, se declara la </w:t>
      </w:r>
      <w:r>
        <w:rPr>
          <w:rFonts w:ascii="Arial" w:eastAsia="Calibri" w:hAnsi="Arial" w:cs="Arial"/>
          <w:b/>
          <w:bCs/>
          <w:i/>
        </w:rPr>
        <w:t xml:space="preserve">NULIDAD </w:t>
      </w:r>
      <w:r>
        <w:rPr>
          <w:rFonts w:ascii="Arial" w:eastAsia="Calibri" w:hAnsi="Arial" w:cs="Arial"/>
          <w:bCs/>
          <w:i/>
        </w:rPr>
        <w:t xml:space="preserve">del oficio </w:t>
      </w:r>
      <w:r w:rsidR="00554B6E">
        <w:rPr>
          <w:rFonts w:ascii="Arial" w:eastAsia="Calibri" w:hAnsi="Arial" w:cs="Arial"/>
          <w:b/>
          <w:bCs/>
          <w:i/>
        </w:rPr>
        <w:t>*******</w:t>
      </w:r>
      <w:r>
        <w:rPr>
          <w:rFonts w:ascii="Arial" w:eastAsia="Calibri" w:hAnsi="Arial" w:cs="Arial"/>
          <w:b/>
          <w:bCs/>
          <w:i/>
        </w:rPr>
        <w:t xml:space="preserve">, </w:t>
      </w:r>
      <w:r>
        <w:rPr>
          <w:rFonts w:ascii="Arial" w:eastAsia="Calibri" w:hAnsi="Arial" w:cs="Arial"/>
          <w:bCs/>
          <w:i/>
        </w:rPr>
        <w:t xml:space="preserve">de seis de abril de dos mil veintiuno, </w:t>
      </w:r>
      <w:r>
        <w:rPr>
          <w:rFonts w:ascii="Arial" w:eastAsia="Calibri" w:hAnsi="Arial" w:cs="Arial"/>
          <w:b/>
          <w:bCs/>
          <w:i/>
        </w:rPr>
        <w:t xml:space="preserve">PARA EL EFECTO </w:t>
      </w:r>
      <w:r>
        <w:rPr>
          <w:rFonts w:ascii="Arial" w:eastAsia="Calibri" w:hAnsi="Arial" w:cs="Arial"/>
          <w:bCs/>
          <w:i/>
        </w:rPr>
        <w:t xml:space="preserve">de que la autoridad demandada </w:t>
      </w:r>
      <w:r>
        <w:rPr>
          <w:rFonts w:ascii="Arial" w:eastAsia="Calibri" w:hAnsi="Arial" w:cs="Arial"/>
          <w:b/>
          <w:bCs/>
          <w:i/>
        </w:rPr>
        <w:t xml:space="preserve">Director de Pensiones del Municipio de Oaxaca de Juárez, Oaxaca, </w:t>
      </w:r>
      <w:r>
        <w:rPr>
          <w:rFonts w:ascii="Arial" w:eastAsia="Calibri" w:hAnsi="Arial" w:cs="Arial"/>
          <w:bCs/>
          <w:i/>
        </w:rPr>
        <w:t xml:space="preserve">emita otro acto administrativo en el que aplique a favor del administrado la interpretación extensiva del artículo 49, de la Ley de Pensiones para los Trabajadores al Servicio del Ayuntamiento del Municipio de Oaxaca de Juárez, y realice la devolución al actor </w:t>
      </w:r>
      <w:r w:rsidR="00554B6E">
        <w:rPr>
          <w:rFonts w:ascii="Arial" w:eastAsia="Calibri" w:hAnsi="Arial" w:cs="Arial"/>
          <w:bCs/>
          <w:i/>
        </w:rPr>
        <w:t>*******</w:t>
      </w:r>
      <w:r w:rsidRPr="00C71A21">
        <w:rPr>
          <w:rFonts w:ascii="Arial" w:eastAsia="Calibri" w:hAnsi="Arial" w:cs="Arial"/>
          <w:bCs/>
          <w:i/>
        </w:rPr>
        <w:t>,</w:t>
      </w:r>
      <w:r w:rsidR="00C71A21" w:rsidRPr="00C71A21">
        <w:rPr>
          <w:rFonts w:ascii="Arial" w:eastAsia="Calibri" w:hAnsi="Arial" w:cs="Arial"/>
          <w:bCs/>
          <w:i/>
        </w:rPr>
        <w:t xml:space="preserve"> (sic)</w:t>
      </w:r>
      <w:r w:rsidRPr="00C71A21">
        <w:rPr>
          <w:rFonts w:ascii="Arial" w:eastAsia="Calibri" w:hAnsi="Arial" w:cs="Arial"/>
          <w:bCs/>
          <w:i/>
        </w:rPr>
        <w:t xml:space="preserve"> las</w:t>
      </w:r>
      <w:r>
        <w:rPr>
          <w:rFonts w:ascii="Arial" w:eastAsia="Calibri" w:hAnsi="Arial" w:cs="Arial"/>
          <w:bCs/>
          <w:i/>
        </w:rPr>
        <w:t xml:space="preserve"> cantidades descontadas a favor del Fondo de Pensiones Municipal durante el tiempo que laboró en el Ayuntamiento Municipal de Oaxaca de Juárez, Oaxaca.” </w:t>
      </w:r>
    </w:p>
    <w:p w14:paraId="23DD2C75" w14:textId="76978786" w:rsidR="00074BFD" w:rsidRDefault="0007155C" w:rsidP="00074BFD">
      <w:pPr>
        <w:spacing w:before="120" w:after="0" w:line="360" w:lineRule="auto"/>
        <w:ind w:firstLine="709"/>
        <w:jc w:val="both"/>
        <w:rPr>
          <w:rFonts w:ascii="Arial" w:eastAsia="Calibri" w:hAnsi="Arial" w:cs="Arial"/>
          <w:bCs/>
          <w:sz w:val="26"/>
          <w:szCs w:val="26"/>
        </w:rPr>
      </w:pPr>
      <w:r w:rsidRPr="00835227">
        <w:rPr>
          <w:rFonts w:ascii="Arial" w:eastAsia="Calibri" w:hAnsi="Arial" w:cs="Arial"/>
          <w:bCs/>
          <w:sz w:val="26"/>
          <w:szCs w:val="26"/>
        </w:rPr>
        <w:t xml:space="preserve">De la lectura a la determinación </w:t>
      </w:r>
      <w:r w:rsidR="00835227">
        <w:rPr>
          <w:rFonts w:ascii="Arial" w:eastAsia="Calibri" w:hAnsi="Arial" w:cs="Arial"/>
          <w:bCs/>
          <w:sz w:val="26"/>
          <w:szCs w:val="26"/>
        </w:rPr>
        <w:t xml:space="preserve">de la Primera Instancia, </w:t>
      </w:r>
      <w:r>
        <w:rPr>
          <w:rFonts w:ascii="Arial" w:eastAsia="Calibri" w:hAnsi="Arial" w:cs="Arial"/>
          <w:bCs/>
          <w:sz w:val="26"/>
          <w:szCs w:val="26"/>
        </w:rPr>
        <w:t xml:space="preserve">esta Sala Superior </w:t>
      </w:r>
      <w:r w:rsidR="000C2F73">
        <w:rPr>
          <w:rFonts w:ascii="Arial" w:eastAsia="Calibri" w:hAnsi="Arial" w:cs="Arial"/>
          <w:bCs/>
          <w:sz w:val="26"/>
          <w:szCs w:val="26"/>
        </w:rPr>
        <w:t xml:space="preserve">determina que resultan </w:t>
      </w:r>
      <w:r w:rsidR="000C2F73">
        <w:rPr>
          <w:rFonts w:ascii="Arial" w:eastAsia="Calibri" w:hAnsi="Arial" w:cs="Arial"/>
          <w:b/>
          <w:bCs/>
          <w:sz w:val="26"/>
          <w:szCs w:val="26"/>
        </w:rPr>
        <w:t xml:space="preserve">INFUNDADOS </w:t>
      </w:r>
      <w:r w:rsidR="000C2F73">
        <w:rPr>
          <w:rFonts w:ascii="Arial" w:eastAsia="Calibri" w:hAnsi="Arial" w:cs="Arial"/>
          <w:bCs/>
          <w:sz w:val="26"/>
          <w:szCs w:val="26"/>
        </w:rPr>
        <w:t>los agravios expuestos por la autoridad recurrente, pues</w:t>
      </w:r>
      <w:r>
        <w:rPr>
          <w:rFonts w:ascii="Arial" w:eastAsia="Calibri" w:hAnsi="Arial" w:cs="Arial"/>
          <w:bCs/>
          <w:sz w:val="26"/>
          <w:szCs w:val="26"/>
        </w:rPr>
        <w:t xml:space="preserve"> </w:t>
      </w:r>
      <w:r w:rsidR="00074BFD">
        <w:rPr>
          <w:rFonts w:ascii="Arial" w:eastAsia="Calibri" w:hAnsi="Arial" w:cs="Arial"/>
          <w:bCs/>
          <w:sz w:val="26"/>
          <w:szCs w:val="26"/>
        </w:rPr>
        <w:t xml:space="preserve">si bien la Magistrada de la Primera Instancia no señala el inciso o fracciones del artículo 123 de la Constitución Política de los Estados Unidos Mexicanos, que establece el momento en que debe empezar a computar la prescripción para solicitar la devolución de los descuentos a favor del Fondo de Pensiones, sí se señaló que el artículo 49 de la Ley de Pensiones para los Trabajadores al Servicio del Municipio de Oaxaca de Juárez, no establece un plazo determinado para reclamar dicha devolución, por lo que la autoridad demandada debería aplicar de manera extensiva </w:t>
      </w:r>
      <w:r w:rsidR="009B34D9">
        <w:rPr>
          <w:rFonts w:ascii="Arial" w:eastAsia="Calibri" w:hAnsi="Arial" w:cs="Arial"/>
          <w:bCs/>
          <w:sz w:val="26"/>
          <w:szCs w:val="26"/>
        </w:rPr>
        <w:t>el referido</w:t>
      </w:r>
      <w:r w:rsidR="00074BFD">
        <w:rPr>
          <w:rFonts w:ascii="Arial" w:eastAsia="Calibri" w:hAnsi="Arial" w:cs="Arial"/>
          <w:bCs/>
          <w:sz w:val="26"/>
          <w:szCs w:val="26"/>
        </w:rPr>
        <w:t xml:space="preserve"> precepto legal, al haberse efectuado dichos descuentos al salario que percibió el trabajador en activo en el Ayuntamiento del Municipio de Oaxaca de Juárez, descuentos que se hicieron para que en su momento se integraran a la pensión del trabajador y al no ser utilizadas para dicho fin, deben ser reintegrad</w:t>
      </w:r>
      <w:r w:rsidR="009B34D9">
        <w:rPr>
          <w:rFonts w:ascii="Arial" w:eastAsia="Calibri" w:hAnsi="Arial" w:cs="Arial"/>
          <w:bCs/>
          <w:sz w:val="26"/>
          <w:szCs w:val="26"/>
        </w:rPr>
        <w:t>as al patrimonio del trabajador.</w:t>
      </w:r>
      <w:r w:rsidR="00074BFD">
        <w:rPr>
          <w:rFonts w:ascii="Arial" w:eastAsia="Calibri" w:hAnsi="Arial" w:cs="Arial"/>
          <w:bCs/>
          <w:sz w:val="26"/>
          <w:szCs w:val="26"/>
        </w:rPr>
        <w:t xml:space="preserve"> </w:t>
      </w:r>
      <w:r w:rsidR="009B34D9">
        <w:rPr>
          <w:rFonts w:ascii="Arial" w:eastAsia="Calibri" w:hAnsi="Arial" w:cs="Arial"/>
          <w:bCs/>
          <w:sz w:val="26"/>
          <w:szCs w:val="26"/>
        </w:rPr>
        <w:t xml:space="preserve">- - - - - - - - - - - - </w:t>
      </w:r>
    </w:p>
    <w:p w14:paraId="6C416FC2" w14:textId="2DF2CBAF" w:rsidR="00A826FD" w:rsidRDefault="000C2F73" w:rsidP="00A826FD">
      <w:pPr>
        <w:spacing w:before="120" w:after="0" w:line="360" w:lineRule="auto"/>
        <w:ind w:firstLine="709"/>
        <w:jc w:val="both"/>
        <w:rPr>
          <w:rFonts w:ascii="Arial" w:eastAsia="Calibri" w:hAnsi="Arial" w:cs="Arial"/>
          <w:bCs/>
          <w:sz w:val="26"/>
          <w:szCs w:val="26"/>
        </w:rPr>
      </w:pPr>
      <w:r>
        <w:rPr>
          <w:rFonts w:ascii="Arial" w:eastAsia="Calibri" w:hAnsi="Arial" w:cs="Arial"/>
          <w:bCs/>
          <w:sz w:val="26"/>
          <w:szCs w:val="26"/>
        </w:rPr>
        <w:t>Asimismo, se indicó en la sentencia recurrida que</w:t>
      </w:r>
      <w:r w:rsidR="0007155C">
        <w:rPr>
          <w:rFonts w:ascii="Arial" w:eastAsia="Calibri" w:hAnsi="Arial" w:cs="Arial"/>
          <w:bCs/>
          <w:sz w:val="26"/>
          <w:szCs w:val="26"/>
        </w:rPr>
        <w:t xml:space="preserve"> atendiendo al texto del artículo 1 de la Constitución Federal y al principio pro homine,  </w:t>
      </w:r>
      <w:r w:rsidR="001D282F">
        <w:rPr>
          <w:rFonts w:ascii="Arial" w:eastAsia="Calibri" w:hAnsi="Arial" w:cs="Arial"/>
          <w:bCs/>
          <w:sz w:val="26"/>
          <w:szCs w:val="26"/>
        </w:rPr>
        <w:t xml:space="preserve">al tener todo trabajador el derecho a que se le devuelvan las cantidades que le fueron descontadas </w:t>
      </w:r>
      <w:r w:rsidR="00DC7EF2">
        <w:rPr>
          <w:rFonts w:ascii="Arial" w:eastAsia="Calibri" w:hAnsi="Arial" w:cs="Arial"/>
          <w:bCs/>
          <w:sz w:val="26"/>
          <w:szCs w:val="26"/>
        </w:rPr>
        <w:t xml:space="preserve">durante su actividad laboral </w:t>
      </w:r>
      <w:r w:rsidR="001D282F">
        <w:rPr>
          <w:rFonts w:ascii="Arial" w:eastAsia="Calibri" w:hAnsi="Arial" w:cs="Arial"/>
          <w:bCs/>
          <w:sz w:val="26"/>
          <w:szCs w:val="26"/>
        </w:rPr>
        <w:t xml:space="preserve">a favor del Fondo de Pensiones, </w:t>
      </w:r>
      <w:r w:rsidR="00084100">
        <w:rPr>
          <w:rFonts w:ascii="Arial" w:eastAsia="Calibri" w:hAnsi="Arial" w:cs="Arial"/>
          <w:bCs/>
          <w:sz w:val="26"/>
          <w:szCs w:val="26"/>
        </w:rPr>
        <w:t>y en virtud de que</w:t>
      </w:r>
      <w:r w:rsidR="00DC7EF2">
        <w:rPr>
          <w:rFonts w:ascii="Arial" w:eastAsia="Calibri" w:hAnsi="Arial" w:cs="Arial"/>
          <w:bCs/>
          <w:sz w:val="26"/>
          <w:szCs w:val="26"/>
        </w:rPr>
        <w:t xml:space="preserve"> </w:t>
      </w:r>
      <w:r w:rsidR="009A7257">
        <w:rPr>
          <w:rFonts w:ascii="Arial" w:eastAsia="Calibri" w:hAnsi="Arial" w:cs="Arial"/>
          <w:bCs/>
          <w:sz w:val="26"/>
          <w:szCs w:val="26"/>
        </w:rPr>
        <w:t xml:space="preserve">en </w:t>
      </w:r>
      <w:r w:rsidR="00DC7EF2">
        <w:rPr>
          <w:rFonts w:ascii="Arial" w:eastAsia="Calibri" w:hAnsi="Arial" w:cs="Arial"/>
          <w:bCs/>
          <w:sz w:val="26"/>
          <w:szCs w:val="26"/>
        </w:rPr>
        <w:t xml:space="preserve">el artículo 49 de la Ley de Pensiones para los Trabajadores al Servicio del Municipio de Oaxaca de Juárez, </w:t>
      </w:r>
      <w:r w:rsidR="00084100">
        <w:rPr>
          <w:rFonts w:ascii="Arial" w:eastAsia="Calibri" w:hAnsi="Arial" w:cs="Arial"/>
          <w:bCs/>
          <w:sz w:val="26"/>
          <w:szCs w:val="26"/>
        </w:rPr>
        <w:t xml:space="preserve"> </w:t>
      </w:r>
      <w:r w:rsidR="00084100">
        <w:rPr>
          <w:rFonts w:ascii="Arial" w:eastAsia="Calibri" w:hAnsi="Arial" w:cs="Arial"/>
          <w:bCs/>
          <w:sz w:val="26"/>
          <w:szCs w:val="26"/>
        </w:rPr>
        <w:lastRenderedPageBreak/>
        <w:t xml:space="preserve">no se exige mayor requisito que el presentar la solicitud por escrito a la autoridad competente, procedió a declarar la </w:t>
      </w:r>
      <w:r w:rsidR="00084100" w:rsidRPr="00DC7EF2">
        <w:rPr>
          <w:rFonts w:ascii="Arial" w:eastAsia="Calibri" w:hAnsi="Arial" w:cs="Arial"/>
          <w:b/>
          <w:bCs/>
          <w:sz w:val="26"/>
          <w:szCs w:val="26"/>
        </w:rPr>
        <w:t>nulidad</w:t>
      </w:r>
      <w:r w:rsidR="00084100">
        <w:rPr>
          <w:rFonts w:ascii="Arial" w:eastAsia="Calibri" w:hAnsi="Arial" w:cs="Arial"/>
          <w:bCs/>
          <w:sz w:val="26"/>
          <w:szCs w:val="26"/>
        </w:rPr>
        <w:t xml:space="preserve"> del oficio </w:t>
      </w:r>
      <w:r w:rsidR="00554B6E">
        <w:rPr>
          <w:rFonts w:ascii="Arial" w:eastAsia="Calibri" w:hAnsi="Arial" w:cs="Arial"/>
          <w:bCs/>
          <w:sz w:val="26"/>
          <w:szCs w:val="26"/>
        </w:rPr>
        <w:t>*******</w:t>
      </w:r>
      <w:r w:rsidR="00084100">
        <w:rPr>
          <w:rFonts w:ascii="Arial" w:eastAsia="Calibri" w:hAnsi="Arial" w:cs="Arial"/>
          <w:bCs/>
          <w:sz w:val="26"/>
          <w:szCs w:val="26"/>
        </w:rPr>
        <w:t xml:space="preserve"> de seis de abril de dos mil veintiuno, </w:t>
      </w:r>
      <w:r w:rsidR="00084100" w:rsidRPr="00DC7EF2">
        <w:rPr>
          <w:rFonts w:ascii="Arial" w:eastAsia="Calibri" w:hAnsi="Arial" w:cs="Arial"/>
          <w:b/>
          <w:bCs/>
          <w:sz w:val="26"/>
          <w:szCs w:val="26"/>
        </w:rPr>
        <w:t>para el efecto</w:t>
      </w:r>
      <w:r w:rsidR="00084100">
        <w:rPr>
          <w:rFonts w:ascii="Arial" w:eastAsia="Calibri" w:hAnsi="Arial" w:cs="Arial"/>
          <w:bCs/>
          <w:sz w:val="26"/>
          <w:szCs w:val="26"/>
        </w:rPr>
        <w:t xml:space="preserve"> de que la autoridad demandada</w:t>
      </w:r>
      <w:r w:rsidR="00DC7EF2">
        <w:rPr>
          <w:rFonts w:ascii="Arial" w:eastAsia="Calibri" w:hAnsi="Arial" w:cs="Arial"/>
          <w:bCs/>
          <w:sz w:val="26"/>
          <w:szCs w:val="26"/>
        </w:rPr>
        <w:t xml:space="preserve"> emita otro en el </w:t>
      </w:r>
      <w:r w:rsidR="00C71A21" w:rsidRPr="00C71A21">
        <w:rPr>
          <w:rFonts w:ascii="Arial" w:eastAsia="Calibri" w:hAnsi="Arial" w:cs="Arial"/>
          <w:bCs/>
          <w:sz w:val="26"/>
          <w:szCs w:val="26"/>
        </w:rPr>
        <w:t>que</w:t>
      </w:r>
      <w:r w:rsidR="00024EF1" w:rsidRPr="00C71A21">
        <w:rPr>
          <w:rFonts w:ascii="Arial" w:eastAsia="Calibri" w:hAnsi="Arial" w:cs="Arial"/>
          <w:bCs/>
          <w:sz w:val="26"/>
          <w:szCs w:val="26"/>
        </w:rPr>
        <w:t xml:space="preserve"> autorice</w:t>
      </w:r>
      <w:r w:rsidR="00DC7EF2" w:rsidRPr="00C71A21">
        <w:rPr>
          <w:rFonts w:ascii="Arial" w:eastAsia="Calibri" w:hAnsi="Arial" w:cs="Arial"/>
          <w:bCs/>
          <w:sz w:val="26"/>
          <w:szCs w:val="26"/>
        </w:rPr>
        <w:t xml:space="preserve"> la</w:t>
      </w:r>
      <w:r w:rsidR="00DC7EF2">
        <w:rPr>
          <w:rFonts w:ascii="Arial" w:eastAsia="Calibri" w:hAnsi="Arial" w:cs="Arial"/>
          <w:bCs/>
          <w:sz w:val="26"/>
          <w:szCs w:val="26"/>
        </w:rPr>
        <w:t xml:space="preserve"> devolución a </w:t>
      </w:r>
      <w:r w:rsidR="00554B6E">
        <w:rPr>
          <w:rFonts w:ascii="Arial" w:eastAsia="Calibri" w:hAnsi="Arial" w:cs="Arial"/>
          <w:b/>
          <w:bCs/>
          <w:sz w:val="26"/>
          <w:szCs w:val="26"/>
        </w:rPr>
        <w:t>*******</w:t>
      </w:r>
      <w:r w:rsidR="00DC7EF2">
        <w:rPr>
          <w:rFonts w:ascii="Arial" w:eastAsia="Calibri" w:hAnsi="Arial" w:cs="Arial"/>
          <w:b/>
          <w:bCs/>
          <w:sz w:val="26"/>
          <w:szCs w:val="26"/>
        </w:rPr>
        <w:t xml:space="preserve">, </w:t>
      </w:r>
      <w:r w:rsidR="00DC7EF2">
        <w:rPr>
          <w:rFonts w:ascii="Arial" w:eastAsia="Calibri" w:hAnsi="Arial" w:cs="Arial"/>
          <w:bCs/>
          <w:sz w:val="26"/>
          <w:szCs w:val="26"/>
        </w:rPr>
        <w:t xml:space="preserve">de las cantidades descontadas a favor del Fondo de Pensiones durante el tiempo que laboró en el Ayuntamiento Municipal de Oaxaca de Juárez, interpretando de forma extensiva lo señalado en el precepto 49 citado. - </w:t>
      </w:r>
    </w:p>
    <w:p w14:paraId="4A9C2353" w14:textId="0797C4BD" w:rsidR="00A826FD" w:rsidRDefault="00A826FD" w:rsidP="00A826FD">
      <w:pPr>
        <w:spacing w:before="120"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En consecuencia, la Magistrada de Primera Instancia, al declarar la nulidad lisa y llana del oficio </w:t>
      </w:r>
      <w:r w:rsidR="00554B6E">
        <w:rPr>
          <w:rFonts w:ascii="Arial" w:eastAsia="Calibri" w:hAnsi="Arial" w:cs="Arial"/>
          <w:bCs/>
          <w:sz w:val="26"/>
          <w:szCs w:val="26"/>
        </w:rPr>
        <w:t>*******</w:t>
      </w:r>
      <w:r>
        <w:rPr>
          <w:rFonts w:ascii="Arial" w:eastAsia="Calibri" w:hAnsi="Arial" w:cs="Arial"/>
          <w:bCs/>
          <w:sz w:val="26"/>
          <w:szCs w:val="26"/>
        </w:rPr>
        <w:t>, sí  cumpl</w:t>
      </w:r>
      <w:r w:rsidR="009A7257">
        <w:rPr>
          <w:rFonts w:ascii="Arial" w:eastAsia="Calibri" w:hAnsi="Arial" w:cs="Arial"/>
          <w:bCs/>
          <w:sz w:val="26"/>
          <w:szCs w:val="26"/>
        </w:rPr>
        <w:t xml:space="preserve">ió </w:t>
      </w:r>
      <w:r>
        <w:rPr>
          <w:rFonts w:ascii="Arial" w:eastAsia="Calibri" w:hAnsi="Arial" w:cs="Arial"/>
          <w:bCs/>
          <w:sz w:val="26"/>
          <w:szCs w:val="26"/>
        </w:rPr>
        <w:t>con lo dispuesto en el artículo 207, fracciones I y II</w:t>
      </w:r>
      <w:r>
        <w:rPr>
          <w:rStyle w:val="Refdenotaalpie"/>
          <w:rFonts w:ascii="Arial" w:eastAsia="Calibri" w:hAnsi="Arial" w:cs="Arial"/>
          <w:bCs/>
          <w:sz w:val="26"/>
          <w:szCs w:val="26"/>
        </w:rPr>
        <w:footnoteReference w:id="2"/>
      </w:r>
      <w:r>
        <w:rPr>
          <w:rFonts w:ascii="Arial" w:eastAsia="Calibri" w:hAnsi="Arial" w:cs="Arial"/>
          <w:bCs/>
          <w:sz w:val="26"/>
          <w:szCs w:val="26"/>
        </w:rPr>
        <w:t xml:space="preserve"> de la Ley de Procedimiento y Justicia Administrativa para el Estado de Oaxaca, al haber fijado con claridad y en forma precisa los puntos controvertidos, así como la exposición debidamente fundada y motivada de las consideraciones en las cuales basó su determinación.- - - - - - - - - - - - - - - - - -  - - - - - - - - - - - - - - - - -</w:t>
      </w:r>
    </w:p>
    <w:p w14:paraId="240B4440" w14:textId="3715CDE6" w:rsidR="00A826FD" w:rsidRPr="009406C5" w:rsidRDefault="00A826FD" w:rsidP="00A826FD">
      <w:pPr>
        <w:spacing w:before="120" w:after="0" w:line="360" w:lineRule="auto"/>
        <w:ind w:firstLine="709"/>
        <w:jc w:val="both"/>
        <w:rPr>
          <w:rFonts w:ascii="Arial" w:hAnsi="Arial" w:cs="Arial"/>
          <w:bCs/>
          <w:sz w:val="26"/>
          <w:szCs w:val="26"/>
        </w:rPr>
      </w:pPr>
      <w:r>
        <w:rPr>
          <w:rFonts w:ascii="Arial" w:eastAsia="Calibri" w:hAnsi="Arial" w:cs="Arial"/>
          <w:bCs/>
          <w:sz w:val="26"/>
          <w:szCs w:val="26"/>
        </w:rPr>
        <w:t xml:space="preserve">Se dice lo anterior, pues </w:t>
      </w:r>
      <w:r w:rsidRPr="00F81960">
        <w:rPr>
          <w:rFonts w:ascii="Arial" w:hAnsi="Arial" w:cs="Arial"/>
          <w:bCs/>
          <w:color w:val="000000"/>
          <w:sz w:val="26"/>
          <w:szCs w:val="26"/>
        </w:rPr>
        <w:t>de</w:t>
      </w:r>
      <w:r w:rsidRPr="00F81960">
        <w:rPr>
          <w:rFonts w:ascii="Arial" w:hAnsi="Arial" w:cs="Arial"/>
          <w:bCs/>
          <w:sz w:val="26"/>
          <w:szCs w:val="26"/>
        </w:rPr>
        <w:t xml:space="preserve">l análisis </w:t>
      </w:r>
      <w:r>
        <w:rPr>
          <w:rFonts w:ascii="Arial" w:hAnsi="Arial" w:cs="Arial"/>
          <w:bCs/>
          <w:sz w:val="26"/>
          <w:szCs w:val="26"/>
        </w:rPr>
        <w:t>al</w:t>
      </w:r>
      <w:r w:rsidRPr="00F81960">
        <w:rPr>
          <w:rFonts w:ascii="Arial" w:hAnsi="Arial" w:cs="Arial"/>
          <w:bCs/>
          <w:sz w:val="26"/>
          <w:szCs w:val="26"/>
        </w:rPr>
        <w:t xml:space="preserve"> artículo </w:t>
      </w:r>
      <w:r>
        <w:rPr>
          <w:rFonts w:ascii="Arial" w:eastAsia="Calibri" w:hAnsi="Arial" w:cs="Arial"/>
          <w:bCs/>
          <w:sz w:val="26"/>
          <w:szCs w:val="26"/>
        </w:rPr>
        <w:t>49 de la Ley de Pensiones para los Trabajadores al Servicio del Municipio de Oaxaca de Juárez</w:t>
      </w:r>
      <w:r w:rsidRPr="00F81960">
        <w:rPr>
          <w:rFonts w:ascii="Arial" w:hAnsi="Arial" w:cs="Arial"/>
          <w:bCs/>
          <w:sz w:val="26"/>
          <w:szCs w:val="26"/>
        </w:rPr>
        <w:t xml:space="preserve">, el cual </w:t>
      </w:r>
      <w:r w:rsidRPr="00F81960">
        <w:rPr>
          <w:rFonts w:ascii="Arial" w:hAnsi="Arial" w:cs="Arial"/>
          <w:bCs/>
          <w:color w:val="000000"/>
          <w:sz w:val="26"/>
          <w:szCs w:val="26"/>
        </w:rPr>
        <w:t xml:space="preserve">establece: </w:t>
      </w:r>
      <w:r w:rsidRPr="00DD34F3">
        <w:rPr>
          <w:rFonts w:ascii="Arial" w:hAnsi="Arial" w:cs="Arial"/>
          <w:b/>
          <w:bCs/>
          <w:i/>
        </w:rPr>
        <w:t>ARTÍCULO 49</w:t>
      </w:r>
      <w:r w:rsidRPr="00DD34F3">
        <w:rPr>
          <w:rFonts w:ascii="Arial" w:hAnsi="Arial" w:cs="Arial"/>
          <w:bCs/>
          <w:i/>
        </w:rPr>
        <w:t xml:space="preserve">.- </w:t>
      </w:r>
      <w:r w:rsidRPr="00DD34F3">
        <w:rPr>
          <w:rFonts w:ascii="Arial" w:eastAsia="Calibri" w:hAnsi="Arial" w:cs="Arial"/>
          <w:bCs/>
          <w:i/>
        </w:rPr>
        <w:t>El derecho a reclamar las pensiones caídas, las indemnizaciones globales y cualquier otra prestación en dinero a cargo de la Dirección, prescriben en el término de los tres años siguientes a la fecha en que hubieren sido exigibles, a favor de la propia Dirección.”</w:t>
      </w:r>
      <w:r w:rsidRPr="00DD34F3">
        <w:rPr>
          <w:rFonts w:ascii="Arial" w:hAnsi="Arial" w:cs="Arial"/>
          <w:bCs/>
          <w:i/>
        </w:rPr>
        <w:t>,</w:t>
      </w:r>
      <w:r w:rsidRPr="00F81960">
        <w:rPr>
          <w:rFonts w:ascii="Arial" w:hAnsi="Arial" w:cs="Arial"/>
          <w:bCs/>
          <w:i/>
        </w:rPr>
        <w:t xml:space="preserve"> </w:t>
      </w:r>
      <w:r w:rsidRPr="00F81960">
        <w:rPr>
          <w:rFonts w:ascii="Arial" w:hAnsi="Arial" w:cs="Arial"/>
          <w:bCs/>
          <w:sz w:val="26"/>
          <w:szCs w:val="26"/>
        </w:rPr>
        <w:t xml:space="preserve">se desprende que </w:t>
      </w:r>
      <w:r>
        <w:rPr>
          <w:rFonts w:ascii="Arial" w:hAnsi="Arial" w:cs="Arial"/>
          <w:bCs/>
          <w:sz w:val="26"/>
          <w:szCs w:val="26"/>
        </w:rPr>
        <w:t xml:space="preserve">efectivamente </w:t>
      </w:r>
      <w:r w:rsidRPr="00F81960">
        <w:rPr>
          <w:rFonts w:ascii="Arial" w:hAnsi="Arial" w:cs="Arial"/>
          <w:bCs/>
          <w:sz w:val="26"/>
          <w:szCs w:val="26"/>
        </w:rPr>
        <w:t xml:space="preserve">dicho precepto no señala con precisión: </w:t>
      </w:r>
      <w:r w:rsidRPr="00A826FD">
        <w:rPr>
          <w:rFonts w:ascii="Arial" w:hAnsi="Arial" w:cs="Arial"/>
          <w:b/>
          <w:bCs/>
          <w:sz w:val="26"/>
          <w:szCs w:val="26"/>
        </w:rPr>
        <w:t>1)</w:t>
      </w:r>
      <w:r w:rsidRPr="00F81960">
        <w:rPr>
          <w:rFonts w:ascii="Arial" w:hAnsi="Arial" w:cs="Arial"/>
          <w:bCs/>
          <w:sz w:val="26"/>
          <w:szCs w:val="26"/>
        </w:rPr>
        <w:t xml:space="preserve"> el momento en que comenzará a contar el plazo de prescripción extintiva para que el</w:t>
      </w:r>
      <w:r w:rsidRPr="00F81960">
        <w:rPr>
          <w:rFonts w:ascii="Arial" w:hAnsi="Arial" w:cs="Arial"/>
          <w:bCs/>
          <w:i/>
        </w:rPr>
        <w:t xml:space="preserve"> </w:t>
      </w:r>
      <w:r w:rsidRPr="00F81960">
        <w:rPr>
          <w:rFonts w:ascii="Arial" w:hAnsi="Arial" w:cs="Arial"/>
          <w:bCs/>
          <w:sz w:val="26"/>
          <w:szCs w:val="26"/>
        </w:rPr>
        <w:t>trabajador</w:t>
      </w:r>
      <w:r w:rsidRPr="009406C5">
        <w:rPr>
          <w:rFonts w:ascii="Arial" w:hAnsi="Arial" w:cs="Arial"/>
          <w:bCs/>
          <w:sz w:val="26"/>
          <w:szCs w:val="26"/>
        </w:rPr>
        <w:t xml:space="preserve"> o sus beneficiarios pierdan el derecho a disponer de los </w:t>
      </w:r>
      <w:r>
        <w:rPr>
          <w:rFonts w:ascii="Arial" w:hAnsi="Arial" w:cs="Arial"/>
          <w:bCs/>
          <w:sz w:val="26"/>
          <w:szCs w:val="26"/>
        </w:rPr>
        <w:t xml:space="preserve">recursos del fondo de pensiones; y, </w:t>
      </w:r>
      <w:r w:rsidRPr="00A826FD">
        <w:rPr>
          <w:rFonts w:ascii="Arial" w:hAnsi="Arial" w:cs="Arial"/>
          <w:b/>
          <w:bCs/>
          <w:sz w:val="26"/>
          <w:szCs w:val="26"/>
        </w:rPr>
        <w:t>2)</w:t>
      </w:r>
      <w:r>
        <w:rPr>
          <w:rFonts w:ascii="Arial" w:hAnsi="Arial" w:cs="Arial"/>
          <w:bCs/>
          <w:sz w:val="26"/>
          <w:szCs w:val="26"/>
        </w:rPr>
        <w:t xml:space="preserve"> el aviso </w:t>
      </w:r>
      <w:r w:rsidRPr="009406C5">
        <w:rPr>
          <w:rFonts w:ascii="Arial" w:hAnsi="Arial" w:cs="Arial"/>
          <w:bCs/>
          <w:sz w:val="26"/>
          <w:szCs w:val="26"/>
        </w:rPr>
        <w:t>oportun</w:t>
      </w:r>
      <w:r>
        <w:rPr>
          <w:rFonts w:ascii="Arial" w:hAnsi="Arial" w:cs="Arial"/>
          <w:bCs/>
          <w:sz w:val="26"/>
          <w:szCs w:val="26"/>
        </w:rPr>
        <w:t>o</w:t>
      </w:r>
      <w:r w:rsidRPr="009406C5">
        <w:rPr>
          <w:rFonts w:ascii="Arial" w:hAnsi="Arial" w:cs="Arial"/>
          <w:bCs/>
          <w:sz w:val="26"/>
          <w:szCs w:val="26"/>
        </w:rPr>
        <w:t xml:space="preserve"> al servidor público o sus beneficiarios a efecto de evitar que opere la prescripción de su derecho</w:t>
      </w:r>
      <w:r>
        <w:rPr>
          <w:rFonts w:ascii="Arial" w:hAnsi="Arial" w:cs="Arial"/>
          <w:bCs/>
          <w:sz w:val="26"/>
          <w:szCs w:val="26"/>
        </w:rPr>
        <w:t xml:space="preserve"> a disponer de los recursos aportados al F</w:t>
      </w:r>
      <w:r w:rsidRPr="009406C5">
        <w:rPr>
          <w:rFonts w:ascii="Arial" w:hAnsi="Arial" w:cs="Arial"/>
          <w:bCs/>
          <w:sz w:val="26"/>
          <w:szCs w:val="26"/>
        </w:rPr>
        <w:t xml:space="preserve">ondo de </w:t>
      </w:r>
      <w:r>
        <w:rPr>
          <w:rFonts w:ascii="Arial" w:hAnsi="Arial" w:cs="Arial"/>
          <w:bCs/>
          <w:sz w:val="26"/>
          <w:szCs w:val="26"/>
        </w:rPr>
        <w:t>P</w:t>
      </w:r>
      <w:r w:rsidRPr="009406C5">
        <w:rPr>
          <w:rFonts w:ascii="Arial" w:hAnsi="Arial" w:cs="Arial"/>
          <w:bCs/>
          <w:sz w:val="26"/>
          <w:szCs w:val="26"/>
        </w:rPr>
        <w:t>ensiones.</w:t>
      </w:r>
      <w:r>
        <w:rPr>
          <w:rFonts w:ascii="Arial" w:hAnsi="Arial" w:cs="Arial"/>
          <w:bCs/>
          <w:sz w:val="26"/>
          <w:szCs w:val="26"/>
        </w:rPr>
        <w:t xml:space="preserve">- - - - - - - - - - - - - - - - - - </w:t>
      </w:r>
      <w:r w:rsidR="00DD34F3">
        <w:rPr>
          <w:rFonts w:ascii="Arial" w:eastAsia="Calibri" w:hAnsi="Arial" w:cs="Arial"/>
          <w:bCs/>
          <w:sz w:val="26"/>
          <w:szCs w:val="26"/>
        </w:rPr>
        <w:t xml:space="preserve">- - - - - - - - - - - - - - - - - - - - - - - - - - </w:t>
      </w:r>
    </w:p>
    <w:p w14:paraId="79658C0D" w14:textId="6F72812F" w:rsidR="00CE52F7" w:rsidRDefault="00A826FD" w:rsidP="00C71A21">
      <w:pPr>
        <w:pStyle w:val="Prrafodelista"/>
        <w:spacing w:before="120" w:after="0" w:line="360" w:lineRule="auto"/>
        <w:ind w:left="0" w:right="51" w:firstLine="851"/>
        <w:contextualSpacing w:val="0"/>
        <w:jc w:val="both"/>
        <w:rPr>
          <w:rFonts w:ascii="Arial" w:hAnsi="Arial" w:cs="Arial"/>
          <w:bCs/>
          <w:sz w:val="26"/>
          <w:szCs w:val="26"/>
        </w:rPr>
      </w:pPr>
      <w:r>
        <w:rPr>
          <w:rFonts w:ascii="Arial" w:hAnsi="Arial" w:cs="Arial"/>
          <w:bCs/>
          <w:sz w:val="26"/>
          <w:szCs w:val="26"/>
        </w:rPr>
        <w:t>Por tanto, tal como lo conside</w:t>
      </w:r>
      <w:r w:rsidRPr="00FC36C5">
        <w:rPr>
          <w:rFonts w:ascii="Arial" w:hAnsi="Arial" w:cs="Arial"/>
          <w:bCs/>
          <w:sz w:val="26"/>
          <w:szCs w:val="26"/>
        </w:rPr>
        <w:t>r</w:t>
      </w:r>
      <w:r>
        <w:rPr>
          <w:rFonts w:ascii="Arial" w:hAnsi="Arial" w:cs="Arial"/>
          <w:bCs/>
          <w:sz w:val="26"/>
          <w:szCs w:val="26"/>
        </w:rPr>
        <w:t xml:space="preserve">ó la Primera Instancia </w:t>
      </w:r>
      <w:r w:rsidRPr="00FC36C5">
        <w:rPr>
          <w:rFonts w:ascii="Arial" w:hAnsi="Arial" w:cs="Arial"/>
          <w:bCs/>
          <w:sz w:val="26"/>
          <w:szCs w:val="26"/>
        </w:rPr>
        <w:t xml:space="preserve">al establecer </w:t>
      </w:r>
      <w:r>
        <w:rPr>
          <w:rFonts w:ascii="Arial" w:hAnsi="Arial" w:cs="Arial"/>
          <w:bCs/>
          <w:sz w:val="26"/>
          <w:szCs w:val="26"/>
        </w:rPr>
        <w:t xml:space="preserve">el artículo 49 </w:t>
      </w:r>
      <w:r>
        <w:rPr>
          <w:rFonts w:ascii="Arial" w:eastAsia="Calibri" w:hAnsi="Arial" w:cs="Arial"/>
          <w:bCs/>
          <w:sz w:val="26"/>
          <w:szCs w:val="26"/>
        </w:rPr>
        <w:t>de la Ley de Pensiones para los Trabajadores al Servicio del Municipio de Oaxaca de Juárez</w:t>
      </w:r>
      <w:r w:rsidRPr="00F81960">
        <w:rPr>
          <w:rFonts w:ascii="Arial" w:hAnsi="Arial" w:cs="Arial"/>
          <w:bCs/>
          <w:sz w:val="26"/>
          <w:szCs w:val="26"/>
        </w:rPr>
        <w:t xml:space="preserve">, </w:t>
      </w:r>
      <w:r w:rsidRPr="00FC36C5">
        <w:rPr>
          <w:rFonts w:ascii="Arial" w:hAnsi="Arial" w:cs="Arial"/>
          <w:bCs/>
          <w:sz w:val="26"/>
          <w:szCs w:val="26"/>
        </w:rPr>
        <w:t xml:space="preserve">un plazo de tres años para la prescripción del derecho a recibir </w:t>
      </w:r>
      <w:r w:rsidRPr="00A826FD">
        <w:rPr>
          <w:rFonts w:ascii="Arial" w:eastAsia="Calibri" w:hAnsi="Arial" w:cs="Arial"/>
          <w:bCs/>
          <w:sz w:val="26"/>
          <w:szCs w:val="26"/>
        </w:rPr>
        <w:t>las pensiones caídas, las indemnizaciones globales y cualquier otra prestación en dinero a cargo</w:t>
      </w:r>
      <w:r>
        <w:rPr>
          <w:rFonts w:ascii="Arial" w:eastAsia="Calibri" w:hAnsi="Arial" w:cs="Arial"/>
          <w:bCs/>
          <w:i/>
          <w:sz w:val="20"/>
          <w:szCs w:val="20"/>
        </w:rPr>
        <w:t xml:space="preserve"> </w:t>
      </w:r>
      <w:r w:rsidRPr="00FC36C5">
        <w:rPr>
          <w:rFonts w:ascii="Arial" w:hAnsi="Arial" w:cs="Arial"/>
          <w:bCs/>
          <w:sz w:val="26"/>
          <w:szCs w:val="26"/>
        </w:rPr>
        <w:t>del Fondo de Pensiones</w:t>
      </w:r>
      <w:r>
        <w:rPr>
          <w:rFonts w:ascii="Arial" w:hAnsi="Arial" w:cs="Arial"/>
          <w:bCs/>
          <w:sz w:val="26"/>
          <w:szCs w:val="26"/>
        </w:rPr>
        <w:t xml:space="preserve"> del Municipio de Oaxaca de Juárez</w:t>
      </w:r>
      <w:r w:rsidRPr="00FC36C5">
        <w:rPr>
          <w:rFonts w:ascii="Arial" w:hAnsi="Arial" w:cs="Arial"/>
          <w:bCs/>
          <w:sz w:val="26"/>
          <w:szCs w:val="26"/>
        </w:rPr>
        <w:t>, es violatorio de los derechos fundamentales de seguridad y certeza jurídica</w:t>
      </w:r>
      <w:r w:rsidRPr="007A66B9">
        <w:rPr>
          <w:rFonts w:ascii="Arial" w:hAnsi="Arial" w:cs="Arial"/>
          <w:bCs/>
          <w:sz w:val="26"/>
          <w:szCs w:val="26"/>
        </w:rPr>
        <w:t xml:space="preserve"> </w:t>
      </w:r>
      <w:r w:rsidRPr="007A66B9">
        <w:rPr>
          <w:rFonts w:ascii="Arial" w:hAnsi="Arial" w:cs="Arial"/>
          <w:bCs/>
          <w:sz w:val="26"/>
          <w:szCs w:val="26"/>
        </w:rPr>
        <w:lastRenderedPageBreak/>
        <w:t>contenido</w:t>
      </w:r>
      <w:r>
        <w:rPr>
          <w:rFonts w:ascii="Arial" w:hAnsi="Arial" w:cs="Arial"/>
          <w:bCs/>
          <w:sz w:val="26"/>
          <w:szCs w:val="26"/>
        </w:rPr>
        <w:t xml:space="preserve">s en </w:t>
      </w:r>
      <w:r w:rsidRPr="00A32245">
        <w:rPr>
          <w:rFonts w:ascii="Arial" w:hAnsi="Arial" w:cs="Arial"/>
          <w:bCs/>
          <w:sz w:val="26"/>
          <w:szCs w:val="26"/>
        </w:rPr>
        <w:t>los artículos 14</w:t>
      </w:r>
      <w:r w:rsidRPr="00A32245">
        <w:rPr>
          <w:rStyle w:val="Refdenotaalpie"/>
          <w:rFonts w:ascii="Arial" w:hAnsi="Arial" w:cs="Arial"/>
          <w:bCs/>
          <w:sz w:val="26"/>
          <w:szCs w:val="26"/>
        </w:rPr>
        <w:footnoteReference w:id="3"/>
      </w:r>
      <w:r w:rsidRPr="00A32245">
        <w:rPr>
          <w:rFonts w:ascii="Arial" w:hAnsi="Arial" w:cs="Arial"/>
          <w:bCs/>
          <w:sz w:val="26"/>
          <w:szCs w:val="26"/>
        </w:rPr>
        <w:t xml:space="preserve"> y 16</w:t>
      </w:r>
      <w:r w:rsidRPr="00A32245">
        <w:rPr>
          <w:rStyle w:val="Refdenotaalpie"/>
          <w:rFonts w:ascii="Arial" w:hAnsi="Arial" w:cs="Arial"/>
          <w:bCs/>
          <w:sz w:val="26"/>
          <w:szCs w:val="26"/>
        </w:rPr>
        <w:footnoteReference w:id="4"/>
      </w:r>
      <w:r w:rsidRPr="00A32245">
        <w:rPr>
          <w:rFonts w:ascii="Arial" w:hAnsi="Arial" w:cs="Arial"/>
          <w:bCs/>
          <w:sz w:val="26"/>
          <w:szCs w:val="26"/>
        </w:rPr>
        <w:t xml:space="preserve"> de la Constitución Política de los Estados Unidos Mexicanos, </w:t>
      </w:r>
      <w:r w:rsidR="00C71A21" w:rsidRPr="00C71A21">
        <w:rPr>
          <w:rFonts w:ascii="Arial" w:hAnsi="Arial" w:cs="Arial"/>
          <w:bCs/>
          <w:sz w:val="26"/>
          <w:szCs w:val="26"/>
        </w:rPr>
        <w:t xml:space="preserve">al no señalar con </w:t>
      </w:r>
      <w:r w:rsidR="00C71A21">
        <w:rPr>
          <w:rFonts w:ascii="Arial" w:hAnsi="Arial" w:cs="Arial"/>
          <w:bCs/>
          <w:sz w:val="26"/>
          <w:szCs w:val="26"/>
        </w:rPr>
        <w:t xml:space="preserve">precisión </w:t>
      </w:r>
      <w:r w:rsidR="00C71A21" w:rsidRPr="00F81960">
        <w:rPr>
          <w:rFonts w:ascii="Arial" w:hAnsi="Arial" w:cs="Arial"/>
          <w:bCs/>
          <w:sz w:val="26"/>
          <w:szCs w:val="26"/>
        </w:rPr>
        <w:t>el momento en que comenzará a contar el plazo de prescripción extintiva para que el</w:t>
      </w:r>
      <w:r w:rsidR="00C71A21" w:rsidRPr="00F81960">
        <w:rPr>
          <w:rFonts w:ascii="Arial" w:hAnsi="Arial" w:cs="Arial"/>
          <w:bCs/>
          <w:i/>
        </w:rPr>
        <w:t xml:space="preserve"> </w:t>
      </w:r>
      <w:r w:rsidR="00C71A21" w:rsidRPr="00F81960">
        <w:rPr>
          <w:rFonts w:ascii="Arial" w:hAnsi="Arial" w:cs="Arial"/>
          <w:bCs/>
          <w:sz w:val="26"/>
          <w:szCs w:val="26"/>
        </w:rPr>
        <w:t>trabajador</w:t>
      </w:r>
      <w:r w:rsidR="00C71A21" w:rsidRPr="009406C5">
        <w:rPr>
          <w:rFonts w:ascii="Arial" w:hAnsi="Arial" w:cs="Arial"/>
          <w:bCs/>
          <w:sz w:val="26"/>
          <w:szCs w:val="26"/>
        </w:rPr>
        <w:t xml:space="preserve"> pierda</w:t>
      </w:r>
      <w:r w:rsidR="00C71A21">
        <w:rPr>
          <w:rFonts w:ascii="Arial" w:hAnsi="Arial" w:cs="Arial"/>
          <w:bCs/>
          <w:sz w:val="26"/>
          <w:szCs w:val="26"/>
        </w:rPr>
        <w:t xml:space="preserve"> </w:t>
      </w:r>
      <w:r w:rsidR="00C71A21" w:rsidRPr="009406C5">
        <w:rPr>
          <w:rFonts w:ascii="Arial" w:hAnsi="Arial" w:cs="Arial"/>
          <w:bCs/>
          <w:sz w:val="26"/>
          <w:szCs w:val="26"/>
        </w:rPr>
        <w:t xml:space="preserve">el derecho a disponer de los </w:t>
      </w:r>
      <w:r w:rsidR="00C71A21">
        <w:rPr>
          <w:rFonts w:ascii="Arial" w:hAnsi="Arial" w:cs="Arial"/>
          <w:bCs/>
          <w:sz w:val="26"/>
          <w:szCs w:val="26"/>
        </w:rPr>
        <w:t xml:space="preserve">recursos del Fondo de Pensiones, o en su caso, el aviso </w:t>
      </w:r>
      <w:r w:rsidR="00C71A21" w:rsidRPr="009406C5">
        <w:rPr>
          <w:rFonts w:ascii="Arial" w:hAnsi="Arial" w:cs="Arial"/>
          <w:bCs/>
          <w:sz w:val="26"/>
          <w:szCs w:val="26"/>
        </w:rPr>
        <w:t>oportun</w:t>
      </w:r>
      <w:r w:rsidR="00C71A21">
        <w:rPr>
          <w:rFonts w:ascii="Arial" w:hAnsi="Arial" w:cs="Arial"/>
          <w:bCs/>
          <w:sz w:val="26"/>
          <w:szCs w:val="26"/>
        </w:rPr>
        <w:t>o</w:t>
      </w:r>
      <w:r w:rsidR="00C71A21" w:rsidRPr="009406C5">
        <w:rPr>
          <w:rFonts w:ascii="Arial" w:hAnsi="Arial" w:cs="Arial"/>
          <w:bCs/>
          <w:sz w:val="26"/>
          <w:szCs w:val="26"/>
        </w:rPr>
        <w:t xml:space="preserve"> al servidor a efecto de evitar que opere la prescripción de su derecho</w:t>
      </w:r>
      <w:r w:rsidR="00C71A21">
        <w:rPr>
          <w:rFonts w:ascii="Arial" w:hAnsi="Arial" w:cs="Arial"/>
          <w:bCs/>
          <w:sz w:val="26"/>
          <w:szCs w:val="26"/>
        </w:rPr>
        <w:t xml:space="preserve"> a disponer de dichos recursos y que</w:t>
      </w:r>
      <w:r w:rsidRPr="00A32245">
        <w:rPr>
          <w:rFonts w:ascii="Arial" w:hAnsi="Arial" w:cs="Arial"/>
          <w:bCs/>
          <w:sz w:val="26"/>
          <w:szCs w:val="26"/>
        </w:rPr>
        <w:t xml:space="preserve"> fueron descontad</w:t>
      </w:r>
      <w:r w:rsidR="00C71A21">
        <w:rPr>
          <w:rFonts w:ascii="Arial" w:hAnsi="Arial" w:cs="Arial"/>
          <w:bCs/>
          <w:sz w:val="26"/>
          <w:szCs w:val="26"/>
        </w:rPr>
        <w:t>o</w:t>
      </w:r>
      <w:r w:rsidRPr="00A32245">
        <w:rPr>
          <w:rFonts w:ascii="Arial" w:hAnsi="Arial" w:cs="Arial"/>
          <w:bCs/>
          <w:sz w:val="26"/>
          <w:szCs w:val="26"/>
        </w:rPr>
        <w:t>s de</w:t>
      </w:r>
      <w:r w:rsidR="00C71A21">
        <w:rPr>
          <w:rFonts w:ascii="Arial" w:hAnsi="Arial" w:cs="Arial"/>
          <w:bCs/>
          <w:sz w:val="26"/>
          <w:szCs w:val="26"/>
        </w:rPr>
        <w:t xml:space="preserve"> su</w:t>
      </w:r>
      <w:r w:rsidRPr="00A32245">
        <w:rPr>
          <w:rFonts w:ascii="Arial" w:hAnsi="Arial" w:cs="Arial"/>
          <w:bCs/>
          <w:sz w:val="26"/>
          <w:szCs w:val="26"/>
        </w:rPr>
        <w:t xml:space="preserve"> sueldo</w:t>
      </w:r>
      <w:r>
        <w:rPr>
          <w:rFonts w:ascii="Arial" w:hAnsi="Arial" w:cs="Arial"/>
          <w:bCs/>
          <w:sz w:val="26"/>
          <w:szCs w:val="26"/>
        </w:rPr>
        <w:t>.</w:t>
      </w:r>
      <w:r w:rsidR="00C71A21">
        <w:rPr>
          <w:rFonts w:ascii="Arial" w:hAnsi="Arial" w:cs="Arial"/>
          <w:bCs/>
          <w:sz w:val="26"/>
          <w:szCs w:val="26"/>
        </w:rPr>
        <w:t xml:space="preserve"> </w:t>
      </w:r>
      <w:r w:rsidR="00DD34F3">
        <w:rPr>
          <w:rFonts w:ascii="Arial" w:eastAsia="Calibri" w:hAnsi="Arial" w:cs="Arial"/>
          <w:bCs/>
          <w:sz w:val="26"/>
          <w:szCs w:val="26"/>
        </w:rPr>
        <w:t xml:space="preserve">- - - - - - - - - - - - - - - - - - - - - - - </w:t>
      </w:r>
    </w:p>
    <w:p w14:paraId="6DB65945" w14:textId="1DD23568" w:rsidR="00403FDC" w:rsidRDefault="00A826FD" w:rsidP="00C71A21">
      <w:pPr>
        <w:pStyle w:val="Prrafodelista"/>
        <w:spacing w:before="120" w:after="0" w:line="360" w:lineRule="auto"/>
        <w:ind w:left="0" w:right="51" w:firstLine="851"/>
        <w:contextualSpacing w:val="0"/>
        <w:jc w:val="both"/>
        <w:rPr>
          <w:rFonts w:ascii="Arial" w:hAnsi="Arial" w:cs="Arial"/>
          <w:bCs/>
          <w:sz w:val="26"/>
          <w:szCs w:val="26"/>
        </w:rPr>
      </w:pPr>
      <w:r w:rsidRPr="00A32245">
        <w:rPr>
          <w:rFonts w:ascii="Arial" w:hAnsi="Arial" w:cs="Arial"/>
          <w:bCs/>
          <w:sz w:val="26"/>
          <w:szCs w:val="26"/>
        </w:rPr>
        <w:t>Sirve de apoyo a lo anterior la Jurisprudencia</w:t>
      </w:r>
      <w:r w:rsidRPr="0064516F">
        <w:rPr>
          <w:rFonts w:ascii="Arial" w:hAnsi="Arial" w:cs="Arial"/>
          <w:bCs/>
          <w:sz w:val="26"/>
          <w:szCs w:val="26"/>
        </w:rPr>
        <w:t xml:space="preserve"> P./J. 158/2008 </w:t>
      </w:r>
      <w:r w:rsidR="00403FDC">
        <w:rPr>
          <w:rFonts w:ascii="Arial" w:hAnsi="Arial" w:cs="Arial"/>
          <w:bCs/>
          <w:sz w:val="26"/>
          <w:szCs w:val="26"/>
        </w:rPr>
        <w:t>con r</w:t>
      </w:r>
      <w:r w:rsidR="00403FDC" w:rsidRPr="008A1337">
        <w:rPr>
          <w:rStyle w:val="bold"/>
          <w:rFonts w:ascii="Arial" w:hAnsi="Arial" w:cs="Arial"/>
          <w:bCs/>
          <w:color w:val="000000"/>
          <w:sz w:val="26"/>
          <w:szCs w:val="26"/>
          <w:shd w:val="clear" w:color="auto" w:fill="FFFFFF"/>
        </w:rPr>
        <w:t>egistro digital:</w:t>
      </w:r>
      <w:r w:rsidR="00403FDC" w:rsidRPr="008A1337">
        <w:rPr>
          <w:rStyle w:val="bold"/>
          <w:rFonts w:ascii="Arial" w:hAnsi="Arial" w:cs="Arial"/>
          <w:b/>
          <w:bCs/>
          <w:color w:val="000000"/>
          <w:sz w:val="26"/>
          <w:szCs w:val="26"/>
          <w:shd w:val="clear" w:color="auto" w:fill="FFFFFF"/>
        </w:rPr>
        <w:t> </w:t>
      </w:r>
      <w:r w:rsidR="00403FDC" w:rsidRPr="008A1337">
        <w:rPr>
          <w:rFonts w:ascii="Arial" w:hAnsi="Arial" w:cs="Arial"/>
          <w:color w:val="000000"/>
          <w:sz w:val="26"/>
          <w:szCs w:val="26"/>
          <w:shd w:val="clear" w:color="auto" w:fill="FFFFFF"/>
        </w:rPr>
        <w:t>165969</w:t>
      </w:r>
      <w:r w:rsidR="00403FDC">
        <w:rPr>
          <w:rFonts w:ascii="Arial" w:hAnsi="Arial" w:cs="Arial"/>
          <w:color w:val="000000"/>
          <w:sz w:val="26"/>
          <w:szCs w:val="26"/>
          <w:shd w:val="clear" w:color="auto" w:fill="FFFFFF"/>
        </w:rPr>
        <w:t xml:space="preserve">, </w:t>
      </w:r>
      <w:r w:rsidRPr="0064516F">
        <w:rPr>
          <w:rFonts w:ascii="Arial" w:hAnsi="Arial" w:cs="Arial"/>
          <w:bCs/>
          <w:sz w:val="26"/>
          <w:szCs w:val="26"/>
        </w:rPr>
        <w:t xml:space="preserve">del Pleno de la Suprema Corte de Justicia de la Nación, publicada en la Novena Época del Semanario de la Federación y su Gaceta, tomo XXX, noviembre de 2009, página </w:t>
      </w:r>
      <w:r w:rsidR="00DD34F3">
        <w:rPr>
          <w:rFonts w:ascii="Arial" w:hAnsi="Arial" w:cs="Arial"/>
          <w:bCs/>
          <w:sz w:val="26"/>
          <w:szCs w:val="26"/>
        </w:rPr>
        <w:t xml:space="preserve">quince </w:t>
      </w:r>
      <w:r w:rsidR="00DD34F3" w:rsidRPr="0064516F">
        <w:rPr>
          <w:rFonts w:ascii="Arial" w:hAnsi="Arial" w:cs="Arial"/>
          <w:bCs/>
          <w:sz w:val="26"/>
          <w:szCs w:val="26"/>
        </w:rPr>
        <w:t>que</w:t>
      </w:r>
      <w:r w:rsidRPr="0064516F">
        <w:rPr>
          <w:rFonts w:ascii="Arial" w:hAnsi="Arial" w:cs="Arial"/>
          <w:bCs/>
          <w:sz w:val="26"/>
          <w:szCs w:val="26"/>
        </w:rPr>
        <w:t xml:space="preserve"> dispone lo siguiente:</w:t>
      </w:r>
    </w:p>
    <w:p w14:paraId="3C481464" w14:textId="5EA35A59" w:rsidR="00A826FD" w:rsidRPr="00DD34F3" w:rsidRDefault="00403FDC" w:rsidP="00DD34F3">
      <w:pPr>
        <w:tabs>
          <w:tab w:val="left" w:pos="7088"/>
        </w:tabs>
        <w:spacing w:after="240"/>
        <w:ind w:left="851" w:right="1183"/>
        <w:jc w:val="both"/>
        <w:rPr>
          <w:rFonts w:ascii="Arial" w:hAnsi="Arial" w:cs="Arial"/>
          <w:bCs/>
          <w:i/>
        </w:rPr>
      </w:pPr>
      <w:bookmarkStart w:id="0" w:name="_Hlk72758994"/>
      <w:r w:rsidRPr="00DD34F3">
        <w:rPr>
          <w:rFonts w:ascii="Arial" w:hAnsi="Arial" w:cs="Arial"/>
          <w:bCs/>
          <w:i/>
          <w:sz w:val="20"/>
          <w:szCs w:val="20"/>
        </w:rPr>
        <w:t xml:space="preserve"> </w:t>
      </w:r>
      <w:r w:rsidR="00A826FD" w:rsidRPr="00DD34F3">
        <w:rPr>
          <w:rFonts w:ascii="Arial" w:hAnsi="Arial" w:cs="Arial"/>
          <w:bCs/>
          <w:i/>
          <w:sz w:val="20"/>
          <w:szCs w:val="20"/>
        </w:rPr>
        <w:t>“</w:t>
      </w:r>
      <w:proofErr w:type="spellStart"/>
      <w:r w:rsidR="00A826FD" w:rsidRPr="00DD34F3">
        <w:rPr>
          <w:rFonts w:ascii="Arial" w:hAnsi="Arial" w:cs="Arial"/>
          <w:b/>
          <w:i/>
          <w:sz w:val="20"/>
          <w:szCs w:val="20"/>
        </w:rPr>
        <w:t>ISSSTE</w:t>
      </w:r>
      <w:proofErr w:type="spellEnd"/>
      <w:r w:rsidR="00A826FD" w:rsidRPr="00DD34F3">
        <w:rPr>
          <w:rFonts w:ascii="Arial" w:hAnsi="Arial" w:cs="Arial"/>
          <w:b/>
          <w:i/>
          <w:sz w:val="20"/>
          <w:szCs w:val="20"/>
        </w:rPr>
        <w:t xml:space="preserve">. EL ARTÍCULO 251 DE LA LEY RELATIVA, AL ESTABLECER UN PLAZO DE DIEZ AÑOS PARA LA </w:t>
      </w:r>
      <w:proofErr w:type="spellStart"/>
      <w:r w:rsidR="00A826FD" w:rsidRPr="00DD34F3">
        <w:rPr>
          <w:rFonts w:ascii="Arial" w:hAnsi="Arial" w:cs="Arial"/>
          <w:b/>
          <w:i/>
          <w:sz w:val="20"/>
          <w:szCs w:val="20"/>
        </w:rPr>
        <w:t>PRESCRIPCION</w:t>
      </w:r>
      <w:proofErr w:type="spellEnd"/>
      <w:r w:rsidR="00A826FD" w:rsidRPr="00DD34F3">
        <w:rPr>
          <w:rFonts w:ascii="Arial" w:hAnsi="Arial" w:cs="Arial"/>
          <w:b/>
          <w:i/>
          <w:sz w:val="20"/>
          <w:szCs w:val="20"/>
        </w:rPr>
        <w:t xml:space="preserve"> DEL DERECHO A RECIBIR LOS RECURSOS DE LA CUENTA INDIVIDUAL DEL TRABAJADOR SIN PRECISAR EL MOMENTO DE SU INICIO, ES VIOLATORIO DE LAS GARANTÍAS DE SEGURIDAD JURÍDICA Y SEGURIDAD </w:t>
      </w:r>
      <w:bookmarkEnd w:id="0"/>
      <w:r w:rsidR="00A826FD" w:rsidRPr="00DD34F3">
        <w:rPr>
          <w:rFonts w:ascii="Arial" w:hAnsi="Arial" w:cs="Arial"/>
          <w:b/>
          <w:i/>
          <w:sz w:val="20"/>
          <w:szCs w:val="20"/>
        </w:rPr>
        <w:t xml:space="preserve">SOCIAL (LEGISLACIÓN VIGENTE A PARTIR DEL 1o. DE ABRIL DE 2007). </w:t>
      </w:r>
      <w:r w:rsidR="00A826FD" w:rsidRPr="00DD34F3">
        <w:rPr>
          <w:rFonts w:ascii="Arial" w:hAnsi="Arial" w:cs="Arial"/>
          <w:i/>
          <w:sz w:val="20"/>
          <w:szCs w:val="20"/>
          <w:shd w:val="clear" w:color="auto" w:fill="FFFFFF"/>
        </w:rPr>
        <w:t>La Suprema Corte de Justicia de la Nación, en diversos precedentes ha reconocido que los principios de seguridad y certeza jurídica contenidos en los artículos </w:t>
      </w:r>
      <w:hyperlink r:id="rId8" w:history="1">
        <w:r w:rsidR="00A826FD" w:rsidRPr="00DD34F3">
          <w:rPr>
            <w:rFonts w:ascii="Arial" w:hAnsi="Arial" w:cs="Arial"/>
            <w:i/>
            <w:sz w:val="20"/>
            <w:szCs w:val="20"/>
            <w:shd w:val="clear" w:color="auto" w:fill="FFFFFF"/>
          </w:rPr>
          <w:t>14 y 16 de la Constitución Política de los Estados Unidos Mexicanos</w:t>
        </w:r>
      </w:hyperlink>
      <w:r w:rsidR="00A826FD" w:rsidRPr="00DD34F3">
        <w:rPr>
          <w:rFonts w:ascii="Arial" w:hAnsi="Arial" w:cs="Arial"/>
          <w:i/>
          <w:sz w:val="20"/>
          <w:szCs w:val="20"/>
          <w:shd w:val="clear" w:color="auto" w:fill="FFFFFF"/>
        </w:rPr>
        <w:t xml:space="preserve">, se respetan por las autoridades legislativas cuando las disposiciones de observancia general que crean, generan certidumbre a sus destinatarios sobre las consecuencias jurídicas de su conducta al ubicarse en cualquier hipótesis que contemple la norma, por lo que, cuando se confiere alguna facultad a una autoridad, estas garantías se cumplen, cuando acotan en la medida necesaria y razonable tal atribución, en forma tal que se impida a la autoridad </w:t>
      </w:r>
      <w:proofErr w:type="spellStart"/>
      <w:r w:rsidR="00A826FD" w:rsidRPr="00DD34F3">
        <w:rPr>
          <w:rFonts w:ascii="Arial" w:hAnsi="Arial" w:cs="Arial"/>
          <w:i/>
          <w:sz w:val="20"/>
          <w:szCs w:val="20"/>
          <w:shd w:val="clear" w:color="auto" w:fill="FFFFFF"/>
        </w:rPr>
        <w:t>aplicadora</w:t>
      </w:r>
      <w:proofErr w:type="spellEnd"/>
      <w:r w:rsidR="00A826FD" w:rsidRPr="00DD34F3">
        <w:rPr>
          <w:rFonts w:ascii="Arial" w:hAnsi="Arial" w:cs="Arial"/>
          <w:i/>
          <w:sz w:val="20"/>
          <w:szCs w:val="20"/>
          <w:shd w:val="clear" w:color="auto" w:fill="FFFFFF"/>
        </w:rPr>
        <w:t xml:space="preserve"> actuar de manera arbitraria o caprichosa. Por su parte, el sistema de cuentas individuales contenido en la </w:t>
      </w:r>
      <w:r w:rsidR="00A826FD" w:rsidRPr="00DD34F3">
        <w:rPr>
          <w:rFonts w:ascii="Arial" w:hAnsi="Arial" w:cs="Arial"/>
          <w:i/>
          <w:sz w:val="20"/>
          <w:szCs w:val="20"/>
        </w:rPr>
        <w:t>Ley</w:t>
      </w:r>
      <w:r w:rsidR="00A826FD" w:rsidRPr="00DD34F3">
        <w:rPr>
          <w:rFonts w:ascii="Arial" w:hAnsi="Arial" w:cs="Arial"/>
          <w:i/>
          <w:sz w:val="20"/>
          <w:szCs w:val="20"/>
          <w:shd w:val="clear" w:color="auto" w:fill="FFFFFF"/>
        </w:rPr>
        <w:t> del Instituto de Seguridad y Servicios Sociales de los Trabajadores del Estado, tiene como fin brindar certeza jurídica al </w:t>
      </w:r>
      <w:r w:rsidR="00A826FD" w:rsidRPr="00DD34F3">
        <w:rPr>
          <w:rFonts w:ascii="Arial" w:hAnsi="Arial" w:cs="Arial"/>
          <w:i/>
          <w:sz w:val="20"/>
          <w:szCs w:val="20"/>
        </w:rPr>
        <w:t>trabajador</w:t>
      </w:r>
      <w:r w:rsidR="00A826FD" w:rsidRPr="00DD34F3">
        <w:rPr>
          <w:rFonts w:ascii="Arial" w:hAnsi="Arial" w:cs="Arial"/>
          <w:i/>
          <w:sz w:val="20"/>
          <w:szCs w:val="20"/>
          <w:shd w:val="clear" w:color="auto" w:fill="FFFFFF"/>
        </w:rPr>
        <w:t> sobre los </w:t>
      </w:r>
      <w:r w:rsidR="00A826FD" w:rsidRPr="00DD34F3">
        <w:rPr>
          <w:rFonts w:ascii="Arial" w:hAnsi="Arial" w:cs="Arial"/>
          <w:i/>
          <w:sz w:val="20"/>
          <w:szCs w:val="20"/>
        </w:rPr>
        <w:t>recursos</w:t>
      </w:r>
      <w:r w:rsidR="00A826FD" w:rsidRPr="00DD34F3">
        <w:rPr>
          <w:rFonts w:ascii="Arial" w:hAnsi="Arial" w:cs="Arial"/>
          <w:i/>
          <w:sz w:val="20"/>
          <w:szCs w:val="20"/>
          <w:shd w:val="clear" w:color="auto" w:fill="FFFFFF"/>
        </w:rPr>
        <w:t> que pagarán su pensión, ya que la </w:t>
      </w:r>
      <w:r w:rsidR="00A826FD" w:rsidRPr="00DD34F3">
        <w:rPr>
          <w:rFonts w:ascii="Arial" w:hAnsi="Arial" w:cs="Arial"/>
          <w:i/>
          <w:sz w:val="20"/>
          <w:szCs w:val="20"/>
        </w:rPr>
        <w:t>cuenta</w:t>
      </w:r>
      <w:r w:rsidR="00A826FD" w:rsidRPr="00DD34F3">
        <w:rPr>
          <w:rFonts w:ascii="Arial" w:hAnsi="Arial" w:cs="Arial"/>
          <w:i/>
          <w:sz w:val="20"/>
          <w:szCs w:val="20"/>
          <w:shd w:val="clear" w:color="auto" w:fill="FFFFFF"/>
        </w:rPr>
        <w:t> </w:t>
      </w:r>
      <w:r w:rsidR="00A826FD" w:rsidRPr="00DD34F3">
        <w:rPr>
          <w:rFonts w:ascii="Arial" w:hAnsi="Arial" w:cs="Arial"/>
          <w:i/>
          <w:sz w:val="20"/>
          <w:szCs w:val="20"/>
        </w:rPr>
        <w:t>individual</w:t>
      </w:r>
      <w:r w:rsidR="00A826FD" w:rsidRPr="00DD34F3">
        <w:rPr>
          <w:rFonts w:ascii="Arial" w:hAnsi="Arial" w:cs="Arial"/>
          <w:i/>
          <w:sz w:val="20"/>
          <w:szCs w:val="20"/>
          <w:shd w:val="clear" w:color="auto" w:fill="FFFFFF"/>
        </w:rPr>
        <w:t> es de su propiedad; también se establecen distintas modalidades para que los asegurados puedan retirar los </w:t>
      </w:r>
      <w:r w:rsidR="00A826FD" w:rsidRPr="00DD34F3">
        <w:rPr>
          <w:rFonts w:ascii="Arial" w:hAnsi="Arial" w:cs="Arial"/>
          <w:i/>
          <w:sz w:val="20"/>
          <w:szCs w:val="20"/>
        </w:rPr>
        <w:t>recursos</w:t>
      </w:r>
      <w:r w:rsidR="00A826FD" w:rsidRPr="00DD34F3">
        <w:rPr>
          <w:rFonts w:ascii="Arial" w:hAnsi="Arial" w:cs="Arial"/>
          <w:i/>
          <w:sz w:val="20"/>
          <w:szCs w:val="20"/>
          <w:shd w:val="clear" w:color="auto" w:fill="FFFFFF"/>
        </w:rPr>
        <w:t> de dicha </w:t>
      </w:r>
      <w:r w:rsidR="00A826FD" w:rsidRPr="00DD34F3">
        <w:rPr>
          <w:rFonts w:ascii="Arial" w:hAnsi="Arial" w:cs="Arial"/>
          <w:i/>
          <w:sz w:val="20"/>
          <w:szCs w:val="20"/>
        </w:rPr>
        <w:t>cuenta</w:t>
      </w:r>
      <w:r w:rsidR="00A826FD" w:rsidRPr="00DD34F3">
        <w:rPr>
          <w:rFonts w:ascii="Arial" w:hAnsi="Arial" w:cs="Arial"/>
          <w:i/>
          <w:sz w:val="20"/>
          <w:szCs w:val="20"/>
          <w:shd w:val="clear" w:color="auto" w:fill="FFFFFF"/>
        </w:rPr>
        <w:t> </w:t>
      </w:r>
      <w:r w:rsidR="00A826FD" w:rsidRPr="00DD34F3">
        <w:rPr>
          <w:rFonts w:ascii="Arial" w:hAnsi="Arial" w:cs="Arial"/>
          <w:i/>
          <w:sz w:val="20"/>
          <w:szCs w:val="20"/>
        </w:rPr>
        <w:t>individual</w:t>
      </w:r>
      <w:r w:rsidR="00A826FD" w:rsidRPr="00DD34F3">
        <w:rPr>
          <w:rFonts w:ascii="Arial" w:hAnsi="Arial" w:cs="Arial"/>
          <w:i/>
          <w:sz w:val="20"/>
          <w:szCs w:val="20"/>
          <w:shd w:val="clear" w:color="auto" w:fill="FFFFFF"/>
        </w:rPr>
        <w:t>; sin embargo, el </w:t>
      </w:r>
      <w:r w:rsidR="00A826FD" w:rsidRPr="00DD34F3">
        <w:rPr>
          <w:rFonts w:ascii="Arial" w:hAnsi="Arial" w:cs="Arial"/>
          <w:i/>
          <w:sz w:val="20"/>
          <w:szCs w:val="20"/>
        </w:rPr>
        <w:t>artículo</w:t>
      </w:r>
      <w:r w:rsidR="00A826FD" w:rsidRPr="00DD34F3">
        <w:rPr>
          <w:rFonts w:ascii="Arial" w:hAnsi="Arial" w:cs="Arial"/>
          <w:i/>
          <w:sz w:val="20"/>
          <w:szCs w:val="20"/>
          <w:shd w:val="clear" w:color="auto" w:fill="FFFFFF"/>
        </w:rPr>
        <w:t> </w:t>
      </w:r>
      <w:hyperlink r:id="rId9" w:history="1">
        <w:r w:rsidR="00A826FD" w:rsidRPr="00DD34F3">
          <w:rPr>
            <w:rFonts w:ascii="Arial" w:hAnsi="Arial" w:cs="Arial"/>
            <w:i/>
            <w:sz w:val="20"/>
            <w:szCs w:val="20"/>
            <w:shd w:val="clear" w:color="auto" w:fill="FFFFFF"/>
          </w:rPr>
          <w:t>251</w:t>
        </w:r>
      </w:hyperlink>
      <w:r w:rsidR="00A826FD" w:rsidRPr="00DD34F3">
        <w:rPr>
          <w:rFonts w:ascii="Arial" w:hAnsi="Arial" w:cs="Arial"/>
          <w:i/>
          <w:sz w:val="20"/>
          <w:szCs w:val="20"/>
          <w:shd w:val="clear" w:color="auto" w:fill="FFFFFF"/>
        </w:rPr>
        <w:t> prevé que el </w:t>
      </w:r>
      <w:r w:rsidR="00A826FD" w:rsidRPr="00DD34F3">
        <w:rPr>
          <w:rFonts w:ascii="Arial" w:hAnsi="Arial" w:cs="Arial"/>
          <w:i/>
          <w:sz w:val="20"/>
          <w:szCs w:val="20"/>
        </w:rPr>
        <w:t>derecho</w:t>
      </w:r>
      <w:r w:rsidR="00A826FD" w:rsidRPr="00DD34F3">
        <w:rPr>
          <w:rFonts w:ascii="Arial" w:hAnsi="Arial" w:cs="Arial"/>
          <w:i/>
          <w:sz w:val="20"/>
          <w:szCs w:val="20"/>
          <w:shd w:val="clear" w:color="auto" w:fill="FFFFFF"/>
        </w:rPr>
        <w:t> a disponer de los mismos prescribirá a favor del Instituto en un </w:t>
      </w:r>
      <w:r w:rsidR="00A826FD" w:rsidRPr="00DD34F3">
        <w:rPr>
          <w:rFonts w:ascii="Arial" w:hAnsi="Arial" w:cs="Arial"/>
          <w:i/>
          <w:sz w:val="20"/>
          <w:szCs w:val="20"/>
        </w:rPr>
        <w:t>plazo</w:t>
      </w:r>
      <w:r w:rsidR="00A826FD" w:rsidRPr="00DD34F3">
        <w:rPr>
          <w:rFonts w:ascii="Arial" w:hAnsi="Arial" w:cs="Arial"/>
          <w:i/>
          <w:sz w:val="20"/>
          <w:szCs w:val="20"/>
          <w:shd w:val="clear" w:color="auto" w:fill="FFFFFF"/>
        </w:rPr>
        <w:t> de 10 </w:t>
      </w:r>
      <w:r w:rsidR="00A826FD" w:rsidRPr="00DD34F3">
        <w:rPr>
          <w:rFonts w:ascii="Arial" w:hAnsi="Arial" w:cs="Arial"/>
          <w:i/>
          <w:sz w:val="20"/>
          <w:szCs w:val="20"/>
        </w:rPr>
        <w:t>años</w:t>
      </w:r>
      <w:r w:rsidR="00A826FD" w:rsidRPr="00DD34F3">
        <w:rPr>
          <w:rFonts w:ascii="Arial" w:hAnsi="Arial" w:cs="Arial"/>
          <w:i/>
          <w:sz w:val="20"/>
          <w:szCs w:val="20"/>
          <w:shd w:val="clear" w:color="auto" w:fill="FFFFFF"/>
        </w:rPr>
        <w:t> a partir "de que sean exigibles", contraviniendo los mencionados principios de seguridad y certeza jurídica, al no señalar con precisión el </w:t>
      </w:r>
      <w:r w:rsidR="00A826FD" w:rsidRPr="00DD34F3">
        <w:rPr>
          <w:rFonts w:ascii="Arial" w:hAnsi="Arial" w:cs="Arial"/>
          <w:i/>
          <w:sz w:val="20"/>
          <w:szCs w:val="20"/>
        </w:rPr>
        <w:t>momento</w:t>
      </w:r>
      <w:r w:rsidR="00A826FD" w:rsidRPr="00DD34F3">
        <w:rPr>
          <w:rFonts w:ascii="Arial" w:hAnsi="Arial" w:cs="Arial"/>
          <w:i/>
          <w:sz w:val="20"/>
          <w:szCs w:val="20"/>
          <w:shd w:val="clear" w:color="auto" w:fill="FFFFFF"/>
        </w:rPr>
        <w:t> en que comenzará a contar dicho </w:t>
      </w:r>
      <w:r w:rsidR="00A826FD" w:rsidRPr="00DD34F3">
        <w:rPr>
          <w:rFonts w:ascii="Arial" w:hAnsi="Arial" w:cs="Arial"/>
          <w:i/>
          <w:sz w:val="20"/>
          <w:szCs w:val="20"/>
        </w:rPr>
        <w:t>plazo</w:t>
      </w:r>
      <w:r w:rsidR="00A826FD" w:rsidRPr="00DD34F3">
        <w:rPr>
          <w:rFonts w:ascii="Arial" w:hAnsi="Arial" w:cs="Arial"/>
          <w:i/>
          <w:sz w:val="20"/>
          <w:szCs w:val="20"/>
          <w:shd w:val="clear" w:color="auto" w:fill="FFFFFF"/>
        </w:rPr>
        <w:t> prescriptivo, aunado a que no prevé que se dé oportunamente algún aviso al asegurado o a sus beneficiarios, a efecto de evitar que opere la </w:t>
      </w:r>
      <w:r w:rsidR="00A826FD" w:rsidRPr="00DD34F3">
        <w:rPr>
          <w:rFonts w:ascii="Arial" w:hAnsi="Arial" w:cs="Arial"/>
          <w:i/>
          <w:sz w:val="20"/>
          <w:szCs w:val="20"/>
        </w:rPr>
        <w:t>prescripción</w:t>
      </w:r>
      <w:r w:rsidR="00A826FD" w:rsidRPr="00DD34F3">
        <w:rPr>
          <w:rFonts w:ascii="Arial" w:hAnsi="Arial" w:cs="Arial"/>
          <w:i/>
          <w:sz w:val="20"/>
          <w:szCs w:val="20"/>
          <w:shd w:val="clear" w:color="auto" w:fill="FFFFFF"/>
        </w:rPr>
        <w:t> de su </w:t>
      </w:r>
      <w:r w:rsidR="00A826FD" w:rsidRPr="00DD34F3">
        <w:rPr>
          <w:rFonts w:ascii="Arial" w:hAnsi="Arial" w:cs="Arial"/>
          <w:i/>
          <w:sz w:val="20"/>
          <w:szCs w:val="20"/>
        </w:rPr>
        <w:t>derecho</w:t>
      </w:r>
      <w:r w:rsidR="00A826FD" w:rsidRPr="00DD34F3">
        <w:rPr>
          <w:rFonts w:ascii="Arial" w:hAnsi="Arial" w:cs="Arial"/>
          <w:i/>
          <w:sz w:val="20"/>
          <w:szCs w:val="20"/>
          <w:shd w:val="clear" w:color="auto" w:fill="FFFFFF"/>
        </w:rPr>
        <w:t> a disponer de los </w:t>
      </w:r>
      <w:r w:rsidR="00A826FD" w:rsidRPr="00DD34F3">
        <w:rPr>
          <w:rFonts w:ascii="Arial" w:hAnsi="Arial" w:cs="Arial"/>
          <w:i/>
          <w:sz w:val="20"/>
          <w:szCs w:val="20"/>
        </w:rPr>
        <w:t>recursos</w:t>
      </w:r>
      <w:r w:rsidR="00A826FD" w:rsidRPr="00DD34F3">
        <w:rPr>
          <w:rFonts w:ascii="Arial" w:hAnsi="Arial" w:cs="Arial"/>
          <w:i/>
          <w:sz w:val="20"/>
          <w:szCs w:val="20"/>
          <w:shd w:val="clear" w:color="auto" w:fill="FFFFFF"/>
        </w:rPr>
        <w:t> de su </w:t>
      </w:r>
      <w:r w:rsidR="00A826FD" w:rsidRPr="00DD34F3">
        <w:rPr>
          <w:rFonts w:ascii="Arial" w:hAnsi="Arial" w:cs="Arial"/>
          <w:i/>
          <w:sz w:val="20"/>
          <w:szCs w:val="20"/>
        </w:rPr>
        <w:t>cuenta</w:t>
      </w:r>
      <w:r w:rsidR="00A826FD" w:rsidRPr="00DD34F3">
        <w:rPr>
          <w:rFonts w:ascii="Arial" w:hAnsi="Arial" w:cs="Arial"/>
          <w:i/>
          <w:sz w:val="20"/>
          <w:szCs w:val="20"/>
          <w:shd w:val="clear" w:color="auto" w:fill="FFFFFF"/>
        </w:rPr>
        <w:t> </w:t>
      </w:r>
      <w:r w:rsidR="00A826FD" w:rsidRPr="00DD34F3">
        <w:rPr>
          <w:rFonts w:ascii="Arial" w:hAnsi="Arial" w:cs="Arial"/>
          <w:i/>
          <w:sz w:val="20"/>
          <w:szCs w:val="20"/>
        </w:rPr>
        <w:t>individual</w:t>
      </w:r>
      <w:r w:rsidR="00A826FD" w:rsidRPr="00DD34F3">
        <w:rPr>
          <w:rFonts w:ascii="Arial" w:hAnsi="Arial" w:cs="Arial"/>
          <w:i/>
          <w:sz w:val="20"/>
          <w:szCs w:val="20"/>
          <w:shd w:val="clear" w:color="auto" w:fill="FFFFFF"/>
        </w:rPr>
        <w:t>, lo que evidencia la incertidumbre jurídica sobre el particular y la violación a la garantía de seguridad social que consagra el </w:t>
      </w:r>
      <w:r w:rsidR="00A826FD" w:rsidRPr="00DD34F3">
        <w:rPr>
          <w:rFonts w:ascii="Arial" w:hAnsi="Arial" w:cs="Arial"/>
          <w:i/>
          <w:sz w:val="20"/>
          <w:szCs w:val="20"/>
        </w:rPr>
        <w:t>artículo</w:t>
      </w:r>
      <w:r w:rsidR="00A826FD" w:rsidRPr="00DD34F3">
        <w:rPr>
          <w:rFonts w:ascii="Arial" w:hAnsi="Arial" w:cs="Arial"/>
          <w:i/>
          <w:sz w:val="20"/>
          <w:szCs w:val="20"/>
          <w:shd w:val="clear" w:color="auto" w:fill="FFFFFF"/>
        </w:rPr>
        <w:t> </w:t>
      </w:r>
      <w:hyperlink r:id="rId10" w:history="1">
        <w:r w:rsidR="00A826FD" w:rsidRPr="00DD34F3">
          <w:rPr>
            <w:rFonts w:ascii="Arial" w:hAnsi="Arial" w:cs="Arial"/>
            <w:i/>
            <w:sz w:val="20"/>
            <w:szCs w:val="20"/>
            <w:shd w:val="clear" w:color="auto" w:fill="FFFFFF"/>
          </w:rPr>
          <w:t xml:space="preserve">123, Apartado B, </w:t>
        </w:r>
        <w:r w:rsidR="00A826FD" w:rsidRPr="00DD34F3">
          <w:rPr>
            <w:rFonts w:ascii="Arial" w:hAnsi="Arial" w:cs="Arial"/>
            <w:i/>
            <w:sz w:val="20"/>
            <w:szCs w:val="20"/>
            <w:shd w:val="clear" w:color="auto" w:fill="FFFFFF"/>
          </w:rPr>
          <w:lastRenderedPageBreak/>
          <w:t>fracción XI, constitucional</w:t>
        </w:r>
      </w:hyperlink>
      <w:r w:rsidR="00A826FD" w:rsidRPr="00DD34F3">
        <w:rPr>
          <w:rFonts w:ascii="Arial" w:hAnsi="Arial" w:cs="Arial"/>
          <w:i/>
          <w:sz w:val="20"/>
          <w:szCs w:val="20"/>
          <w:shd w:val="clear" w:color="auto" w:fill="FFFFFF"/>
        </w:rPr>
        <w:t>, al privar a los trabajadores de disponer en su </w:t>
      </w:r>
      <w:r w:rsidR="00A826FD" w:rsidRPr="00DD34F3">
        <w:rPr>
          <w:rFonts w:ascii="Arial" w:hAnsi="Arial" w:cs="Arial"/>
          <w:i/>
          <w:sz w:val="20"/>
          <w:szCs w:val="20"/>
        </w:rPr>
        <w:t>momento</w:t>
      </w:r>
      <w:r w:rsidR="00A826FD" w:rsidRPr="00DD34F3">
        <w:rPr>
          <w:rFonts w:ascii="Arial" w:hAnsi="Arial" w:cs="Arial"/>
          <w:i/>
          <w:sz w:val="20"/>
          <w:szCs w:val="20"/>
          <w:shd w:val="clear" w:color="auto" w:fill="FFFFFF"/>
        </w:rPr>
        <w:t> de los </w:t>
      </w:r>
      <w:r w:rsidR="00A826FD" w:rsidRPr="00DD34F3">
        <w:rPr>
          <w:rFonts w:ascii="Arial" w:hAnsi="Arial" w:cs="Arial"/>
          <w:i/>
          <w:sz w:val="20"/>
          <w:szCs w:val="20"/>
        </w:rPr>
        <w:t>recursos</w:t>
      </w:r>
      <w:r w:rsidR="00A826FD" w:rsidRPr="00DD34F3">
        <w:rPr>
          <w:rFonts w:ascii="Arial" w:hAnsi="Arial" w:cs="Arial"/>
          <w:i/>
          <w:sz w:val="20"/>
          <w:szCs w:val="20"/>
          <w:shd w:val="clear" w:color="auto" w:fill="FFFFFF"/>
        </w:rPr>
        <w:t> acumulados en la referida </w:t>
      </w:r>
      <w:r w:rsidR="00A826FD" w:rsidRPr="00DD34F3">
        <w:rPr>
          <w:rFonts w:ascii="Arial" w:hAnsi="Arial" w:cs="Arial"/>
          <w:i/>
          <w:sz w:val="20"/>
          <w:szCs w:val="20"/>
        </w:rPr>
        <w:t>cuenta</w:t>
      </w:r>
      <w:r w:rsidR="00A826FD" w:rsidRPr="00DD34F3">
        <w:rPr>
          <w:rFonts w:ascii="Arial" w:hAnsi="Arial" w:cs="Arial"/>
          <w:i/>
          <w:sz w:val="20"/>
          <w:szCs w:val="20"/>
          <w:shd w:val="clear" w:color="auto" w:fill="FFFFFF"/>
        </w:rPr>
        <w:t> para contar con una pensión, máxime que el </w:t>
      </w:r>
      <w:r w:rsidR="00A826FD" w:rsidRPr="00DD34F3">
        <w:rPr>
          <w:rFonts w:ascii="Arial" w:hAnsi="Arial" w:cs="Arial"/>
          <w:i/>
          <w:sz w:val="20"/>
          <w:szCs w:val="20"/>
        </w:rPr>
        <w:t>derecho</w:t>
      </w:r>
      <w:r w:rsidR="00A826FD" w:rsidRPr="00DD34F3">
        <w:rPr>
          <w:rFonts w:ascii="Arial" w:hAnsi="Arial" w:cs="Arial"/>
          <w:i/>
          <w:sz w:val="20"/>
          <w:szCs w:val="20"/>
          <w:shd w:val="clear" w:color="auto" w:fill="FFFFFF"/>
        </w:rPr>
        <w:t> a ésta es imprescriptible.</w:t>
      </w:r>
      <w:r w:rsidR="00DD34F3">
        <w:rPr>
          <w:rFonts w:ascii="Arial" w:hAnsi="Arial" w:cs="Arial"/>
          <w:b/>
          <w:i/>
        </w:rPr>
        <w:t>”</w:t>
      </w:r>
    </w:p>
    <w:p w14:paraId="3F745979" w14:textId="383EB0D9" w:rsidR="00F268B2" w:rsidRPr="006E3E4B" w:rsidRDefault="00F268B2" w:rsidP="00F268B2">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
          <w:bCs/>
          <w:sz w:val="26"/>
          <w:szCs w:val="26"/>
        </w:rPr>
        <w:tab/>
      </w:r>
      <w:r w:rsidR="008A115E" w:rsidRPr="008A115E">
        <w:rPr>
          <w:rFonts w:ascii="Arial" w:eastAsia="Calibri" w:hAnsi="Arial" w:cs="Arial"/>
          <w:bCs/>
          <w:sz w:val="26"/>
          <w:szCs w:val="26"/>
        </w:rPr>
        <w:t>A</w:t>
      </w:r>
      <w:r w:rsidRPr="008A115E">
        <w:rPr>
          <w:rFonts w:ascii="Arial" w:eastAsia="Calibri" w:hAnsi="Arial" w:cs="Arial"/>
          <w:bCs/>
          <w:sz w:val="26"/>
          <w:szCs w:val="26"/>
        </w:rPr>
        <w:t>t</w:t>
      </w:r>
      <w:r>
        <w:rPr>
          <w:rFonts w:ascii="Arial" w:eastAsia="Calibri" w:hAnsi="Arial" w:cs="Arial"/>
          <w:bCs/>
          <w:sz w:val="26"/>
          <w:szCs w:val="26"/>
        </w:rPr>
        <w:t xml:space="preserve">endiendo a </w:t>
      </w:r>
      <w:r w:rsidR="007843EE">
        <w:rPr>
          <w:rFonts w:ascii="Arial" w:eastAsia="Calibri" w:hAnsi="Arial" w:cs="Arial"/>
          <w:bCs/>
          <w:sz w:val="26"/>
          <w:szCs w:val="26"/>
        </w:rPr>
        <w:t>lo anteriormente expuesto</w:t>
      </w:r>
      <w:r>
        <w:rPr>
          <w:rFonts w:ascii="Arial" w:eastAsia="Calibri" w:hAnsi="Arial" w:cs="Arial"/>
          <w:bCs/>
          <w:sz w:val="26"/>
          <w:szCs w:val="26"/>
        </w:rPr>
        <w:t>, procede</w:t>
      </w:r>
      <w:r>
        <w:rPr>
          <w:rFonts w:ascii="Arial" w:eastAsia="Calibri" w:hAnsi="Arial" w:cs="Arial"/>
          <w:b/>
          <w:bCs/>
          <w:sz w:val="26"/>
          <w:szCs w:val="26"/>
        </w:rPr>
        <w:t xml:space="preserve"> CONFIRMAR </w:t>
      </w:r>
      <w:r w:rsidR="007843EE">
        <w:rPr>
          <w:rFonts w:ascii="Arial" w:eastAsia="Calibri" w:hAnsi="Arial" w:cs="Arial"/>
          <w:sz w:val="26"/>
          <w:szCs w:val="26"/>
        </w:rPr>
        <w:t xml:space="preserve">la sentencia recurrida, por lo que, </w:t>
      </w:r>
      <w:r w:rsidRPr="006406CE">
        <w:rPr>
          <w:rFonts w:ascii="Arial" w:eastAsia="Calibri" w:hAnsi="Arial" w:cs="Arial"/>
          <w:sz w:val="26"/>
          <w:szCs w:val="26"/>
        </w:rPr>
        <w:t>con fundamento en los artículos 23</w:t>
      </w:r>
      <w:r w:rsidR="008A115E">
        <w:rPr>
          <w:rFonts w:ascii="Arial" w:eastAsia="Calibri" w:hAnsi="Arial" w:cs="Arial"/>
          <w:sz w:val="26"/>
          <w:szCs w:val="26"/>
        </w:rPr>
        <w:t>6</w:t>
      </w:r>
      <w:r w:rsidRPr="006406CE">
        <w:rPr>
          <w:rFonts w:ascii="Arial" w:eastAsia="Calibri" w:hAnsi="Arial" w:cs="Arial"/>
          <w:sz w:val="26"/>
          <w:szCs w:val="26"/>
        </w:rPr>
        <w:t xml:space="preserve"> y 238 de la Ley de Procedimiento y Justicia Administrativa para el Estado</w:t>
      </w:r>
      <w:r>
        <w:rPr>
          <w:rFonts w:ascii="Arial" w:eastAsia="Calibri" w:hAnsi="Arial" w:cs="Arial"/>
          <w:sz w:val="26"/>
          <w:szCs w:val="26"/>
        </w:rPr>
        <w:t xml:space="preserve"> de Oaxaca</w:t>
      </w:r>
      <w:r w:rsidRPr="006406CE">
        <w:rPr>
          <w:rFonts w:ascii="Arial" w:eastAsia="Calibri" w:hAnsi="Arial" w:cs="Arial"/>
          <w:sz w:val="26"/>
          <w:szCs w:val="26"/>
        </w:rPr>
        <w:t>, se</w:t>
      </w:r>
      <w:r>
        <w:rPr>
          <w:rFonts w:ascii="Arial" w:hAnsi="Arial" w:cs="Arial"/>
          <w:sz w:val="26"/>
          <w:szCs w:val="26"/>
        </w:rPr>
        <w:t>:</w:t>
      </w:r>
      <w:r w:rsidR="00DD34F3">
        <w:rPr>
          <w:rFonts w:ascii="Arial" w:hAnsi="Arial" w:cs="Arial"/>
          <w:sz w:val="26"/>
          <w:szCs w:val="26"/>
        </w:rPr>
        <w:t xml:space="preserve"> </w:t>
      </w:r>
      <w:r w:rsidR="00DD34F3">
        <w:rPr>
          <w:rFonts w:ascii="Arial" w:eastAsia="Calibri" w:hAnsi="Arial" w:cs="Arial"/>
          <w:bCs/>
          <w:sz w:val="26"/>
          <w:szCs w:val="26"/>
        </w:rPr>
        <w:t>- - - - - - - - - - - - - - - - - - - - - - - - - - - - - - - - - - - - - - - - -</w:t>
      </w:r>
    </w:p>
    <w:p w14:paraId="6D99487A" w14:textId="77777777" w:rsidR="00F268B2" w:rsidRPr="00DD34F3" w:rsidRDefault="00F268B2" w:rsidP="00F268B2">
      <w:pPr>
        <w:pStyle w:val="Sinespaciado"/>
        <w:spacing w:before="240" w:line="360" w:lineRule="auto"/>
        <w:jc w:val="center"/>
        <w:rPr>
          <w:rFonts w:ascii="Arial" w:hAnsi="Arial" w:cs="Arial"/>
          <w:b/>
          <w:sz w:val="26"/>
          <w:szCs w:val="26"/>
        </w:rPr>
      </w:pPr>
      <w:r w:rsidRPr="00DD34F3">
        <w:rPr>
          <w:rFonts w:ascii="Arial" w:hAnsi="Arial" w:cs="Arial"/>
          <w:b/>
          <w:sz w:val="26"/>
          <w:szCs w:val="26"/>
        </w:rPr>
        <w:t>R E S U E L V E</w:t>
      </w:r>
    </w:p>
    <w:p w14:paraId="2C7E6223" w14:textId="45F1C4E3" w:rsidR="00F268B2" w:rsidRDefault="00F268B2" w:rsidP="008A115E">
      <w:pPr>
        <w:pStyle w:val="Sinespaciado"/>
        <w:spacing w:before="12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sidRPr="00DD34F3">
        <w:rPr>
          <w:rFonts w:ascii="Arial" w:hAnsi="Arial" w:cs="Arial"/>
          <w:b/>
          <w:bCs/>
          <w:color w:val="000000"/>
          <w:sz w:val="26"/>
          <w:szCs w:val="26"/>
        </w:rPr>
        <w:t>.</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CONFIRMA </w:t>
      </w:r>
      <w:r w:rsidRPr="00867780">
        <w:rPr>
          <w:rFonts w:ascii="Arial" w:hAnsi="Arial" w:cs="Arial"/>
          <w:bCs/>
          <w:color w:val="000000"/>
          <w:sz w:val="26"/>
          <w:szCs w:val="26"/>
          <w:lang w:val="es-MX"/>
        </w:rPr>
        <w:t xml:space="preserve">la sentencia </w:t>
      </w:r>
      <w:r w:rsidR="008A115E">
        <w:rPr>
          <w:rFonts w:ascii="Arial" w:hAnsi="Arial" w:cs="Arial"/>
          <w:bCs/>
          <w:color w:val="000000"/>
          <w:sz w:val="26"/>
          <w:szCs w:val="26"/>
          <w:lang w:val="es-MX"/>
        </w:rPr>
        <w:t>de cuatro de marzo de dos mil veintidós</w:t>
      </w:r>
      <w:r>
        <w:rPr>
          <w:rFonts w:ascii="Arial" w:hAnsi="Arial" w:cs="Arial"/>
          <w:color w:val="000000"/>
          <w:sz w:val="26"/>
          <w:szCs w:val="26"/>
          <w:lang w:val="es-MX"/>
        </w:rPr>
        <w:t>, por las razones expuestas por esta Sala Superior en el considerando que antecede.</w:t>
      </w:r>
      <w:r w:rsidR="00DD34F3">
        <w:rPr>
          <w:rFonts w:ascii="Arial" w:hAnsi="Arial" w:cs="Arial"/>
          <w:color w:val="000000"/>
          <w:sz w:val="26"/>
          <w:szCs w:val="26"/>
          <w:lang w:val="es-MX"/>
        </w:rPr>
        <w:t xml:space="preserve"> </w:t>
      </w:r>
      <w:r w:rsidR="00DD34F3">
        <w:rPr>
          <w:rFonts w:ascii="Arial" w:eastAsia="Calibri" w:hAnsi="Arial" w:cs="Arial"/>
          <w:bCs/>
          <w:sz w:val="26"/>
          <w:szCs w:val="26"/>
        </w:rPr>
        <w:t xml:space="preserve">- - - - - - - - - - - - - - - - - - - - - - - - - - - - - - </w:t>
      </w:r>
    </w:p>
    <w:p w14:paraId="0787AF43" w14:textId="14542E91" w:rsidR="00F268B2" w:rsidRDefault="00F268B2" w:rsidP="008A115E">
      <w:pPr>
        <w:widowControl w:val="0"/>
        <w:tabs>
          <w:tab w:val="left" w:pos="0"/>
        </w:tabs>
        <w:spacing w:before="12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Sexta Sala Unitaria de Primera Instancia de este Tribunal y en su oportunidad archívese el presente cuaderno de revisión como asunto concluido.</w:t>
      </w:r>
      <w:r w:rsidR="00DD34F3">
        <w:rPr>
          <w:rFonts w:ascii="Arial" w:hAnsi="Arial" w:cs="Arial"/>
          <w:sz w:val="26"/>
          <w:szCs w:val="26"/>
        </w:rPr>
        <w:t xml:space="preserve">- - - - - - - - - - - - - - - - - - - </w:t>
      </w:r>
    </w:p>
    <w:p w14:paraId="7B5B48F2" w14:textId="2EE88D8E" w:rsidR="00F268B2" w:rsidRPr="00B32A93" w:rsidRDefault="00F268B2" w:rsidP="008A115E">
      <w:pPr>
        <w:spacing w:before="120" w:after="0" w:line="360" w:lineRule="auto"/>
        <w:ind w:firstLine="708"/>
        <w:jc w:val="both"/>
        <w:rPr>
          <w:rFonts w:ascii="Arial" w:hAnsi="Arial" w:cs="Arial"/>
          <w:sz w:val="26"/>
          <w:szCs w:val="26"/>
        </w:rPr>
      </w:pPr>
      <w:r w:rsidRPr="00B32A93">
        <w:rPr>
          <w:rFonts w:ascii="Arial" w:hAnsi="Arial" w:cs="Arial"/>
          <w:sz w:val="26"/>
          <w:szCs w:val="26"/>
        </w:rPr>
        <w:t>Por unanimidad de votos, lo resolvieron y firmaron los Magistrados Manuel Velasco Alc</w:t>
      </w:r>
      <w:r w:rsidR="008A115E">
        <w:rPr>
          <w:rFonts w:ascii="Arial" w:hAnsi="Arial" w:cs="Arial"/>
          <w:sz w:val="26"/>
          <w:szCs w:val="26"/>
        </w:rPr>
        <w:t>ántara</w:t>
      </w:r>
      <w:r w:rsidR="00CF340B">
        <w:rPr>
          <w:rFonts w:ascii="Arial" w:hAnsi="Arial" w:cs="Arial"/>
          <w:sz w:val="26"/>
          <w:szCs w:val="26"/>
        </w:rPr>
        <w:t>,</w:t>
      </w:r>
      <w:r w:rsidR="008A115E">
        <w:rPr>
          <w:rFonts w:ascii="Arial" w:hAnsi="Arial" w:cs="Arial"/>
          <w:sz w:val="26"/>
          <w:szCs w:val="26"/>
        </w:rPr>
        <w:t xml:space="preserve"> Raúl Palomares Palomino, Gloria del Carmen Camacho Meza</w:t>
      </w:r>
      <w:r w:rsidRPr="00B32A93">
        <w:rPr>
          <w:rFonts w:ascii="Arial" w:hAnsi="Arial" w:cs="Arial"/>
          <w:sz w:val="26"/>
          <w:szCs w:val="26"/>
        </w:rPr>
        <w:t xml:space="preserve"> </w:t>
      </w:r>
      <w:r w:rsidR="008A115E" w:rsidRPr="00B32A93">
        <w:rPr>
          <w:rFonts w:ascii="Arial" w:hAnsi="Arial" w:cs="Arial"/>
          <w:bCs/>
          <w:sz w:val="26"/>
          <w:szCs w:val="26"/>
        </w:rPr>
        <w:t>(ponente)</w:t>
      </w:r>
      <w:r w:rsidR="008A115E" w:rsidRPr="00B32A93">
        <w:rPr>
          <w:rFonts w:ascii="Arial" w:hAnsi="Arial" w:cs="Arial"/>
          <w:sz w:val="26"/>
          <w:szCs w:val="26"/>
        </w:rPr>
        <w:t xml:space="preserve">, </w:t>
      </w:r>
      <w:r w:rsidRPr="00B32A93">
        <w:rPr>
          <w:rFonts w:ascii="Arial" w:hAnsi="Arial" w:cs="Arial"/>
          <w:sz w:val="26"/>
          <w:szCs w:val="26"/>
        </w:rPr>
        <w:t>Paulo José Luis Tapia Palacios y Elías Cortés López, quienes actúan con el Licenciado Juan Edy García Coronado, Secretario General de Acuerdos de este Tribunal, que autoriz</w:t>
      </w:r>
      <w:r w:rsidR="008A115E">
        <w:rPr>
          <w:rFonts w:ascii="Arial" w:hAnsi="Arial" w:cs="Arial"/>
          <w:sz w:val="26"/>
          <w:szCs w:val="26"/>
        </w:rPr>
        <w:t xml:space="preserve">a y da fe. </w:t>
      </w:r>
      <w:r w:rsidR="00DD34F3">
        <w:rPr>
          <w:rFonts w:ascii="Arial" w:hAnsi="Arial" w:cs="Arial"/>
          <w:sz w:val="26"/>
          <w:szCs w:val="26"/>
        </w:rPr>
        <w:t xml:space="preserve">- - - - - - - - - - - - - - - - - - - - - - - - - - - - - - - - - - - - - - - - </w:t>
      </w:r>
    </w:p>
    <w:p w14:paraId="040CEEB2" w14:textId="77777777" w:rsidR="008A115E" w:rsidRDefault="008A115E" w:rsidP="00F268B2">
      <w:pPr>
        <w:tabs>
          <w:tab w:val="center" w:pos="4135"/>
          <w:tab w:val="left" w:pos="7515"/>
        </w:tabs>
        <w:spacing w:after="0" w:line="360" w:lineRule="auto"/>
        <w:jc w:val="center"/>
        <w:rPr>
          <w:rFonts w:ascii="Arial" w:hAnsi="Arial" w:cs="Arial"/>
          <w:sz w:val="26"/>
          <w:szCs w:val="26"/>
        </w:rPr>
      </w:pPr>
    </w:p>
    <w:p w14:paraId="5C62D54B" w14:textId="77777777" w:rsidR="00DD34F3" w:rsidRDefault="00DD34F3" w:rsidP="00DD34F3">
      <w:pPr>
        <w:tabs>
          <w:tab w:val="center" w:pos="4135"/>
          <w:tab w:val="left" w:pos="7515"/>
        </w:tabs>
        <w:spacing w:line="360" w:lineRule="auto"/>
        <w:jc w:val="both"/>
        <w:rPr>
          <w:rFonts w:ascii="Arial" w:eastAsia="Times New Roman" w:hAnsi="Arial" w:cs="Arial"/>
          <w:sz w:val="26"/>
          <w:szCs w:val="26"/>
        </w:rPr>
      </w:pPr>
    </w:p>
    <w:p w14:paraId="3BF9BD39" w14:textId="77777777" w:rsidR="00DD34F3" w:rsidRPr="00344445" w:rsidRDefault="00DD34F3" w:rsidP="00DD34F3">
      <w:pPr>
        <w:tabs>
          <w:tab w:val="center" w:pos="4135"/>
          <w:tab w:val="left" w:pos="7515"/>
        </w:tabs>
        <w:spacing w:line="360" w:lineRule="auto"/>
        <w:jc w:val="both"/>
        <w:rPr>
          <w:rFonts w:ascii="Arial" w:eastAsia="Times New Roman" w:hAnsi="Arial" w:cs="Arial"/>
          <w:sz w:val="26"/>
          <w:szCs w:val="26"/>
        </w:rPr>
      </w:pPr>
    </w:p>
    <w:p w14:paraId="7262522B" w14:textId="77777777" w:rsidR="00DD34F3" w:rsidRPr="00290DA6" w:rsidRDefault="00DD34F3" w:rsidP="00DD34F3">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40F73F32" w14:textId="77777777" w:rsidR="00DD34F3" w:rsidRDefault="00DD34F3" w:rsidP="00DD34F3">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68403981" w14:textId="77777777" w:rsidR="00DD34F3" w:rsidRDefault="00DD34F3" w:rsidP="00DD34F3">
      <w:pPr>
        <w:tabs>
          <w:tab w:val="center" w:pos="4135"/>
          <w:tab w:val="left" w:pos="7515"/>
        </w:tabs>
        <w:spacing w:line="360" w:lineRule="auto"/>
        <w:jc w:val="center"/>
        <w:rPr>
          <w:rFonts w:ascii="Arial" w:hAnsi="Arial" w:cs="Arial"/>
          <w:sz w:val="26"/>
          <w:szCs w:val="26"/>
        </w:rPr>
      </w:pPr>
    </w:p>
    <w:p w14:paraId="7963E690" w14:textId="77777777" w:rsidR="00DD34F3" w:rsidRDefault="00DD34F3" w:rsidP="00DD34F3">
      <w:pPr>
        <w:tabs>
          <w:tab w:val="center" w:pos="4135"/>
          <w:tab w:val="left" w:pos="7515"/>
        </w:tabs>
        <w:spacing w:line="360" w:lineRule="auto"/>
        <w:jc w:val="center"/>
        <w:rPr>
          <w:rFonts w:ascii="Arial" w:hAnsi="Arial" w:cs="Arial"/>
          <w:sz w:val="26"/>
          <w:szCs w:val="26"/>
        </w:rPr>
      </w:pPr>
    </w:p>
    <w:p w14:paraId="08912522" w14:textId="77777777" w:rsidR="00DD34F3" w:rsidRDefault="00DD34F3" w:rsidP="00DD34F3">
      <w:pPr>
        <w:tabs>
          <w:tab w:val="center" w:pos="4135"/>
          <w:tab w:val="left" w:pos="7515"/>
        </w:tabs>
        <w:spacing w:line="360" w:lineRule="auto"/>
        <w:jc w:val="center"/>
        <w:rPr>
          <w:rFonts w:ascii="Arial" w:hAnsi="Arial" w:cs="Arial"/>
          <w:sz w:val="26"/>
          <w:szCs w:val="26"/>
        </w:rPr>
      </w:pPr>
    </w:p>
    <w:p w14:paraId="12B9F1CA" w14:textId="76DD07D9" w:rsidR="00DD34F3" w:rsidRPr="00902ADB" w:rsidRDefault="00DD34F3" w:rsidP="00DD34F3">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09C177EE" w14:textId="77777777" w:rsidR="00DD34F3" w:rsidRDefault="00DD34F3" w:rsidP="00DD34F3">
      <w:pPr>
        <w:tabs>
          <w:tab w:val="left" w:pos="1925"/>
          <w:tab w:val="center" w:pos="4135"/>
        </w:tabs>
        <w:jc w:val="center"/>
        <w:rPr>
          <w:rFonts w:ascii="Arial" w:hAnsi="Arial" w:cs="Arial"/>
          <w:sz w:val="26"/>
          <w:szCs w:val="26"/>
        </w:rPr>
      </w:pPr>
    </w:p>
    <w:p w14:paraId="5E22A7C5" w14:textId="77777777" w:rsidR="00DD34F3" w:rsidRDefault="00DD34F3" w:rsidP="00DD34F3">
      <w:pPr>
        <w:tabs>
          <w:tab w:val="left" w:pos="1925"/>
          <w:tab w:val="center" w:pos="4135"/>
        </w:tabs>
        <w:jc w:val="center"/>
        <w:rPr>
          <w:rFonts w:ascii="Arial" w:hAnsi="Arial" w:cs="Arial"/>
          <w:sz w:val="26"/>
          <w:szCs w:val="26"/>
        </w:rPr>
      </w:pPr>
    </w:p>
    <w:p w14:paraId="728B2740" w14:textId="77777777" w:rsidR="00DD34F3" w:rsidRDefault="00DD34F3" w:rsidP="00DD34F3">
      <w:pPr>
        <w:tabs>
          <w:tab w:val="left" w:pos="1925"/>
          <w:tab w:val="center" w:pos="4135"/>
        </w:tabs>
        <w:jc w:val="center"/>
        <w:rPr>
          <w:rFonts w:ascii="Arial" w:hAnsi="Arial" w:cs="Arial"/>
          <w:sz w:val="26"/>
          <w:szCs w:val="26"/>
        </w:rPr>
      </w:pPr>
    </w:p>
    <w:p w14:paraId="5F6DB7A9" w14:textId="77777777" w:rsidR="00DD34F3" w:rsidRDefault="00DD34F3" w:rsidP="00DD34F3">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4DB35FA2" w14:textId="77777777" w:rsidR="00554B6E" w:rsidRDefault="00554B6E" w:rsidP="00554B6E">
      <w:pPr>
        <w:tabs>
          <w:tab w:val="left" w:pos="1925"/>
          <w:tab w:val="center" w:pos="4135"/>
        </w:tabs>
        <w:rPr>
          <w:rFonts w:ascii="Arial" w:hAnsi="Arial" w:cs="Arial"/>
          <w:sz w:val="26"/>
          <w:szCs w:val="26"/>
        </w:rPr>
      </w:pPr>
      <w:r>
        <w:rPr>
          <w:rFonts w:ascii="Arial" w:hAnsi="Arial" w:cs="Arial"/>
          <w:b/>
          <w:sz w:val="16"/>
          <w:szCs w:val="16"/>
        </w:rPr>
        <w:lastRenderedPageBreak/>
        <w:t>LAS PRESENTES FIRMAS CORRESPONDEN A LA RESO</w:t>
      </w:r>
      <w:bookmarkStart w:id="1" w:name="_GoBack"/>
      <w:bookmarkEnd w:id="1"/>
      <w:r>
        <w:rPr>
          <w:rFonts w:ascii="Arial" w:hAnsi="Arial" w:cs="Arial"/>
          <w:b/>
          <w:sz w:val="16"/>
          <w:szCs w:val="16"/>
        </w:rPr>
        <w:t>LUCIÓN DEL RECURSO DE REVISIÓN 0076/2022.</w:t>
      </w:r>
    </w:p>
    <w:p w14:paraId="3C31F48F" w14:textId="77777777" w:rsidR="00DD34F3" w:rsidRDefault="00DD34F3" w:rsidP="00DD34F3">
      <w:pPr>
        <w:tabs>
          <w:tab w:val="left" w:pos="1925"/>
          <w:tab w:val="center" w:pos="4135"/>
        </w:tabs>
        <w:rPr>
          <w:rFonts w:ascii="Arial" w:hAnsi="Arial" w:cs="Arial"/>
          <w:sz w:val="26"/>
          <w:szCs w:val="26"/>
        </w:rPr>
      </w:pPr>
    </w:p>
    <w:p w14:paraId="637FE677" w14:textId="77777777" w:rsidR="00DD34F3" w:rsidRDefault="00DD34F3" w:rsidP="00DD34F3">
      <w:pPr>
        <w:tabs>
          <w:tab w:val="left" w:pos="1925"/>
          <w:tab w:val="center" w:pos="4135"/>
        </w:tabs>
        <w:rPr>
          <w:rFonts w:ascii="Arial" w:hAnsi="Arial" w:cs="Arial"/>
          <w:sz w:val="26"/>
          <w:szCs w:val="26"/>
        </w:rPr>
      </w:pPr>
    </w:p>
    <w:p w14:paraId="3CB95F3D" w14:textId="77777777" w:rsidR="00DD34F3" w:rsidRDefault="00DD34F3" w:rsidP="00DD34F3">
      <w:pPr>
        <w:tabs>
          <w:tab w:val="left" w:pos="1925"/>
          <w:tab w:val="center" w:pos="4135"/>
        </w:tabs>
        <w:rPr>
          <w:rFonts w:ascii="Arial" w:hAnsi="Arial" w:cs="Arial"/>
          <w:sz w:val="26"/>
          <w:szCs w:val="26"/>
        </w:rPr>
      </w:pPr>
    </w:p>
    <w:p w14:paraId="2E87723D" w14:textId="77777777" w:rsidR="00DD34F3" w:rsidRDefault="00DD34F3" w:rsidP="00DD34F3">
      <w:pPr>
        <w:tabs>
          <w:tab w:val="left" w:pos="1925"/>
          <w:tab w:val="center" w:pos="4135"/>
        </w:tabs>
        <w:jc w:val="center"/>
        <w:rPr>
          <w:rFonts w:ascii="Arial" w:hAnsi="Arial" w:cs="Arial"/>
          <w:sz w:val="26"/>
          <w:szCs w:val="26"/>
        </w:rPr>
      </w:pPr>
    </w:p>
    <w:p w14:paraId="1D366827" w14:textId="77777777" w:rsidR="00DD34F3" w:rsidRDefault="00DD34F3" w:rsidP="00DD34F3">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4B46596A" w14:textId="77777777" w:rsidR="00DD34F3" w:rsidRDefault="00DD34F3" w:rsidP="00DD34F3">
      <w:pPr>
        <w:tabs>
          <w:tab w:val="center" w:pos="4135"/>
          <w:tab w:val="left" w:pos="7515"/>
        </w:tabs>
        <w:spacing w:line="360" w:lineRule="auto"/>
        <w:jc w:val="center"/>
        <w:rPr>
          <w:rFonts w:ascii="Arial" w:hAnsi="Arial" w:cs="Arial"/>
          <w:sz w:val="26"/>
          <w:szCs w:val="26"/>
        </w:rPr>
      </w:pPr>
    </w:p>
    <w:p w14:paraId="6AD8E56F" w14:textId="77777777" w:rsidR="00DD34F3" w:rsidRDefault="00DD34F3" w:rsidP="00DD34F3">
      <w:pPr>
        <w:tabs>
          <w:tab w:val="center" w:pos="4135"/>
          <w:tab w:val="left" w:pos="7515"/>
        </w:tabs>
        <w:spacing w:line="360" w:lineRule="auto"/>
        <w:jc w:val="center"/>
        <w:rPr>
          <w:rFonts w:ascii="Arial" w:hAnsi="Arial" w:cs="Arial"/>
          <w:sz w:val="26"/>
          <w:szCs w:val="26"/>
        </w:rPr>
      </w:pPr>
    </w:p>
    <w:p w14:paraId="1DE6C2D2" w14:textId="77777777" w:rsidR="00DD34F3" w:rsidRDefault="00DD34F3" w:rsidP="00DD34F3">
      <w:pPr>
        <w:tabs>
          <w:tab w:val="center" w:pos="4135"/>
          <w:tab w:val="left" w:pos="7515"/>
        </w:tabs>
        <w:spacing w:line="360" w:lineRule="auto"/>
        <w:jc w:val="center"/>
        <w:rPr>
          <w:rFonts w:ascii="Arial" w:hAnsi="Arial" w:cs="Arial"/>
          <w:sz w:val="26"/>
          <w:szCs w:val="26"/>
        </w:rPr>
      </w:pPr>
    </w:p>
    <w:p w14:paraId="38CCB08E" w14:textId="77777777" w:rsidR="00DD34F3" w:rsidRDefault="00DD34F3" w:rsidP="00DD34F3">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7F26B5A0" w14:textId="77777777" w:rsidR="00DD34F3" w:rsidRDefault="00DD34F3" w:rsidP="00DD34F3">
      <w:pPr>
        <w:tabs>
          <w:tab w:val="center" w:pos="4135"/>
          <w:tab w:val="left" w:pos="7515"/>
        </w:tabs>
        <w:spacing w:line="360" w:lineRule="auto"/>
        <w:rPr>
          <w:rFonts w:ascii="Arial" w:hAnsi="Arial" w:cs="Arial"/>
          <w:sz w:val="26"/>
          <w:szCs w:val="26"/>
        </w:rPr>
      </w:pPr>
    </w:p>
    <w:p w14:paraId="7568B67F" w14:textId="77777777" w:rsidR="00554B6E" w:rsidRDefault="00554B6E" w:rsidP="00DD34F3">
      <w:pPr>
        <w:tabs>
          <w:tab w:val="center" w:pos="4135"/>
          <w:tab w:val="left" w:pos="7515"/>
        </w:tabs>
        <w:spacing w:line="360" w:lineRule="auto"/>
        <w:rPr>
          <w:rFonts w:ascii="Arial" w:hAnsi="Arial" w:cs="Arial"/>
          <w:sz w:val="26"/>
          <w:szCs w:val="26"/>
        </w:rPr>
      </w:pPr>
    </w:p>
    <w:p w14:paraId="0B12A4DA" w14:textId="77777777" w:rsidR="00DD34F3" w:rsidRDefault="00DD34F3" w:rsidP="00DD34F3">
      <w:pPr>
        <w:tabs>
          <w:tab w:val="center" w:pos="4135"/>
          <w:tab w:val="left" w:pos="7515"/>
        </w:tabs>
        <w:spacing w:line="360" w:lineRule="auto"/>
        <w:rPr>
          <w:rFonts w:ascii="Arial" w:hAnsi="Arial" w:cs="Arial"/>
          <w:sz w:val="26"/>
          <w:szCs w:val="26"/>
        </w:rPr>
      </w:pPr>
    </w:p>
    <w:p w14:paraId="654AFE0F" w14:textId="77777777" w:rsidR="00DD34F3" w:rsidRPr="00290DA6" w:rsidRDefault="00DD34F3" w:rsidP="00DD34F3">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09016E81" w14:textId="77777777" w:rsidR="00DD34F3" w:rsidRDefault="00DD34F3" w:rsidP="00DD34F3">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16F8F14E" w14:textId="77777777" w:rsidR="00DD34F3" w:rsidRPr="00344445" w:rsidRDefault="00DD34F3" w:rsidP="00DD34F3">
      <w:pPr>
        <w:tabs>
          <w:tab w:val="center" w:pos="4135"/>
          <w:tab w:val="left" w:pos="7515"/>
        </w:tabs>
        <w:spacing w:after="0" w:line="240" w:lineRule="auto"/>
        <w:rPr>
          <w:rFonts w:ascii="Calibri" w:eastAsia="Times New Roman" w:hAnsi="Calibri" w:cs="Times New Roman"/>
        </w:rPr>
      </w:pPr>
    </w:p>
    <w:p w14:paraId="674DF7C7" w14:textId="77777777" w:rsidR="00DD34F3" w:rsidRDefault="00DD34F3" w:rsidP="00DD34F3">
      <w:pPr>
        <w:spacing w:line="360" w:lineRule="auto"/>
        <w:ind w:right="49"/>
        <w:jc w:val="center"/>
        <w:rPr>
          <w:sz w:val="26"/>
          <w:szCs w:val="26"/>
        </w:rPr>
      </w:pPr>
    </w:p>
    <w:p w14:paraId="50453FE0" w14:textId="0C98C8FA" w:rsidR="00BA258A" w:rsidRPr="003B6CF0" w:rsidRDefault="00BA258A" w:rsidP="00DD34F3">
      <w:pPr>
        <w:tabs>
          <w:tab w:val="center" w:pos="4135"/>
          <w:tab w:val="left" w:pos="7515"/>
        </w:tabs>
        <w:spacing w:after="0" w:line="240" w:lineRule="auto"/>
        <w:jc w:val="center"/>
      </w:pPr>
    </w:p>
    <w:sectPr w:rsidR="00BA258A" w:rsidRPr="003B6CF0" w:rsidSect="0024672A">
      <w:headerReference w:type="even" r:id="rId11"/>
      <w:headerReference w:type="default" r:id="rId12"/>
      <w:footerReference w:type="default" r:id="rId13"/>
      <w:headerReference w:type="first" r:id="rId14"/>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921066" w14:textId="77777777" w:rsidR="00CB19AF" w:rsidRDefault="00CB19AF">
      <w:pPr>
        <w:spacing w:after="0" w:line="240" w:lineRule="auto"/>
      </w:pPr>
      <w:r>
        <w:separator/>
      </w:r>
    </w:p>
  </w:endnote>
  <w:endnote w:type="continuationSeparator" w:id="0">
    <w:p w14:paraId="2DFB2F02" w14:textId="77777777" w:rsidR="00CB19AF" w:rsidRDefault="00CB1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1B2A5E" w:rsidRDefault="001B2A5E">
    <w:pPr>
      <w:pStyle w:val="Piedepgina"/>
      <w:jc w:val="center"/>
    </w:pPr>
  </w:p>
  <w:p w14:paraId="195FF414" w14:textId="77777777" w:rsidR="001B2A5E" w:rsidRDefault="001B2A5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D27149" w14:textId="77777777" w:rsidR="00CB19AF" w:rsidRDefault="00CB19AF">
      <w:pPr>
        <w:spacing w:after="0" w:line="240" w:lineRule="auto"/>
      </w:pPr>
      <w:r>
        <w:separator/>
      </w:r>
    </w:p>
  </w:footnote>
  <w:footnote w:type="continuationSeparator" w:id="0">
    <w:p w14:paraId="44A06F76" w14:textId="77777777" w:rsidR="00CB19AF" w:rsidRDefault="00CB19AF">
      <w:pPr>
        <w:spacing w:after="0" w:line="240" w:lineRule="auto"/>
      </w:pPr>
      <w:r>
        <w:continuationSeparator/>
      </w:r>
    </w:p>
  </w:footnote>
  <w:footnote w:id="1">
    <w:p w14:paraId="6C419B62" w14:textId="77777777" w:rsidR="001B2A5E" w:rsidRDefault="001B2A5E" w:rsidP="00366406">
      <w:pPr>
        <w:pStyle w:val="Textonotapie"/>
        <w:jc w:val="both"/>
      </w:pPr>
      <w:r>
        <w:rPr>
          <w:rStyle w:val="Refdenotaalpie"/>
        </w:rPr>
        <w:footnoteRef/>
      </w:r>
      <w:r>
        <w:t xml:space="preserve"> </w:t>
      </w:r>
      <w:r w:rsidRPr="008D0852">
        <w:rPr>
          <w:b/>
        </w:rPr>
        <w:t xml:space="preserve">ARTÍCULO 203.- </w:t>
      </w:r>
      <w:r>
        <w:t>La valoración de las pruebas se hará de acuerdo con las siguientes reglas:</w:t>
      </w:r>
    </w:p>
    <w:p w14:paraId="2BF2F943" w14:textId="77777777" w:rsidR="001B2A5E" w:rsidRDefault="001B2A5E" w:rsidP="00366406">
      <w:pPr>
        <w:pStyle w:val="Textonotapie"/>
        <w:jc w:val="both"/>
      </w:pPr>
      <w:r>
        <w:t xml:space="preserve">I. Harán prueba plena la confesión expresa de las partes y los actos contenidos en documentos públicos, si en éstos últimos se contienen declaraciones de verdad o manifestaciones de hechos de particulares; </w:t>
      </w:r>
    </w:p>
  </w:footnote>
  <w:footnote w:id="2">
    <w:p w14:paraId="63040496" w14:textId="77777777" w:rsidR="00A826FD" w:rsidRPr="00E4639C" w:rsidRDefault="00A826FD" w:rsidP="00A826FD">
      <w:pPr>
        <w:pStyle w:val="Textonotapie"/>
        <w:jc w:val="both"/>
        <w:rPr>
          <w:sz w:val="18"/>
          <w:szCs w:val="18"/>
        </w:rPr>
      </w:pPr>
      <w:r w:rsidRPr="00E4639C">
        <w:rPr>
          <w:rStyle w:val="Refdenotaalpie"/>
          <w:b/>
          <w:sz w:val="18"/>
          <w:szCs w:val="18"/>
        </w:rPr>
        <w:footnoteRef/>
      </w:r>
      <w:r w:rsidRPr="00E4639C">
        <w:rPr>
          <w:b/>
          <w:sz w:val="18"/>
          <w:szCs w:val="18"/>
        </w:rPr>
        <w:t xml:space="preserve"> ARTÍCULO 207</w:t>
      </w:r>
      <w:r w:rsidRPr="00E4639C">
        <w:rPr>
          <w:sz w:val="18"/>
          <w:szCs w:val="18"/>
        </w:rPr>
        <w:t>.- Las sentencias que emita el Tribunal, deberán de contener:</w:t>
      </w:r>
    </w:p>
    <w:p w14:paraId="2C30DBBD" w14:textId="77777777" w:rsidR="00A826FD" w:rsidRPr="00E4639C" w:rsidRDefault="00A826FD" w:rsidP="00A826FD">
      <w:pPr>
        <w:pStyle w:val="Textonotapie"/>
        <w:jc w:val="both"/>
        <w:rPr>
          <w:sz w:val="18"/>
          <w:szCs w:val="18"/>
        </w:rPr>
      </w:pPr>
      <w:r w:rsidRPr="00E4639C">
        <w:rPr>
          <w:sz w:val="18"/>
          <w:szCs w:val="18"/>
        </w:rPr>
        <w:t xml:space="preserve">I. La fijación clara y precisa de los puntos controvertidos, la exposición de las razones por las que, en su caso, se haga uso de la facultad para suplir la deficiencia de la queja, así como el examen y valoración de las pruebas que se hayan rendido; </w:t>
      </w:r>
    </w:p>
    <w:p w14:paraId="696AB50E" w14:textId="77777777" w:rsidR="00A826FD" w:rsidRPr="00E4639C" w:rsidRDefault="00A826FD" w:rsidP="00A826FD">
      <w:pPr>
        <w:pStyle w:val="Textonotapie"/>
        <w:jc w:val="both"/>
        <w:rPr>
          <w:sz w:val="18"/>
          <w:szCs w:val="18"/>
        </w:rPr>
      </w:pPr>
      <w:r w:rsidRPr="00E4639C">
        <w:rPr>
          <w:sz w:val="18"/>
          <w:szCs w:val="18"/>
        </w:rPr>
        <w:t>II. La exposición debidamente fundada y motivada de las consideraciones en que se basa la resolución;</w:t>
      </w:r>
    </w:p>
  </w:footnote>
  <w:footnote w:id="3">
    <w:p w14:paraId="0BA36891" w14:textId="77777777" w:rsidR="00A826FD" w:rsidRDefault="00A826FD" w:rsidP="00A826FD">
      <w:pPr>
        <w:pStyle w:val="Textonotapie"/>
        <w:jc w:val="both"/>
        <w:rPr>
          <w:rFonts w:ascii="Arial" w:hAnsi="Arial" w:cs="Arial"/>
          <w:color w:val="000000"/>
          <w:sz w:val="18"/>
          <w:szCs w:val="18"/>
          <w:shd w:val="clear" w:color="auto" w:fill="FFFFFF"/>
        </w:rPr>
      </w:pPr>
      <w:r>
        <w:rPr>
          <w:rStyle w:val="Refdenotaalpie"/>
        </w:rPr>
        <w:footnoteRef/>
      </w:r>
      <w:r>
        <w:t xml:space="preserve"> </w:t>
      </w:r>
      <w:r w:rsidRPr="001360B2">
        <w:rPr>
          <w:rFonts w:ascii="Arial" w:hAnsi="Arial" w:cs="Arial"/>
          <w:b/>
          <w:color w:val="000000"/>
          <w:sz w:val="18"/>
          <w:szCs w:val="18"/>
          <w:shd w:val="clear" w:color="auto" w:fill="FFFFFF"/>
        </w:rPr>
        <w:t>ARTÍCULO 14.-</w:t>
      </w:r>
      <w:r w:rsidRPr="001360B2">
        <w:rPr>
          <w:rFonts w:ascii="Arial" w:hAnsi="Arial" w:cs="Arial"/>
          <w:color w:val="000000"/>
          <w:sz w:val="18"/>
          <w:szCs w:val="18"/>
          <w:shd w:val="clear" w:color="auto" w:fill="FFFFFF"/>
        </w:rPr>
        <w:t xml:space="preserve"> A ninguna ley se dará efecto retroactivo en perjuicio de persona alguna.</w:t>
      </w:r>
      <w:r w:rsidRPr="001360B2">
        <w:rPr>
          <w:rFonts w:ascii="Arial" w:hAnsi="Arial" w:cs="Arial"/>
          <w:color w:val="000000"/>
          <w:sz w:val="18"/>
          <w:szCs w:val="18"/>
        </w:rPr>
        <w:br/>
      </w:r>
    </w:p>
    <w:p w14:paraId="16EF35EE" w14:textId="77777777" w:rsidR="00A826FD" w:rsidRPr="001360B2" w:rsidRDefault="00A826FD" w:rsidP="00A826FD">
      <w:pPr>
        <w:pStyle w:val="Textonotapie"/>
        <w:jc w:val="both"/>
        <w:rPr>
          <w:sz w:val="18"/>
          <w:szCs w:val="18"/>
        </w:rPr>
      </w:pPr>
      <w:r w:rsidRPr="001360B2">
        <w:rPr>
          <w:rFonts w:ascii="Arial" w:hAnsi="Arial" w:cs="Arial"/>
          <w:color w:val="000000"/>
          <w:sz w:val="18"/>
          <w:szCs w:val="18"/>
          <w:shd w:val="clear" w:color="auto" w:fill="FFFFFF"/>
        </w:rPr>
        <w:t>Nadie podrá ser privado de la libertad o de sus propiedades, posesiones o derechos, sino mediante juicio seguido ante los tribunales previamente establecidos, en el que se cumplan las formalidades esenciales del procedimiento y conforme a las Leyes expedidas con anterioridad al hecho.</w:t>
      </w:r>
      <w:r w:rsidRPr="001360B2">
        <w:rPr>
          <w:rFonts w:ascii="Arial" w:hAnsi="Arial" w:cs="Arial"/>
          <w:color w:val="000000"/>
          <w:sz w:val="18"/>
          <w:szCs w:val="18"/>
        </w:rPr>
        <w:br/>
      </w:r>
    </w:p>
  </w:footnote>
  <w:footnote w:id="4">
    <w:p w14:paraId="71F4A83A" w14:textId="77777777" w:rsidR="00A826FD" w:rsidRPr="0085415E" w:rsidRDefault="00A826FD" w:rsidP="00A826FD">
      <w:pPr>
        <w:pStyle w:val="Textonotapie"/>
        <w:jc w:val="both"/>
        <w:rPr>
          <w:sz w:val="18"/>
          <w:szCs w:val="18"/>
        </w:rPr>
      </w:pPr>
      <w:r>
        <w:rPr>
          <w:rStyle w:val="Refdenotaalpie"/>
        </w:rPr>
        <w:footnoteRef/>
      </w:r>
      <w:r>
        <w:t xml:space="preserve"> </w:t>
      </w:r>
      <w:r w:rsidRPr="0085415E">
        <w:rPr>
          <w:rFonts w:ascii="Arial" w:hAnsi="Arial" w:cs="Arial"/>
          <w:b/>
          <w:color w:val="000000"/>
          <w:sz w:val="18"/>
          <w:szCs w:val="18"/>
          <w:shd w:val="clear" w:color="auto" w:fill="FFFFFF"/>
        </w:rPr>
        <w:t>ARTÍCULO 16.</w:t>
      </w:r>
      <w:r w:rsidRPr="0085415E">
        <w:rPr>
          <w:rFonts w:ascii="Arial" w:hAnsi="Arial" w:cs="Arial"/>
          <w:color w:val="000000"/>
          <w:sz w:val="18"/>
          <w:szCs w:val="18"/>
          <w:shd w:val="clear" w:color="auto" w:fill="FFFFFF"/>
        </w:rPr>
        <w:t xml:space="preserve"> Nadie puede ser molestado en su persona, familia, domicilio, papeles o posesiones, sino en virtud de mandamiento escrito de la autoridad competente, que funde y motive la causa legal del procedimiento.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65CD262" w:rsidR="001B2A5E" w:rsidRDefault="00554B6E">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1B2A5E">
          <w:fldChar w:fldCharType="begin"/>
        </w:r>
        <w:r w:rsidR="001B2A5E">
          <w:instrText>PAGE   \* MERGEFORMAT</w:instrText>
        </w:r>
        <w:r w:rsidR="001B2A5E">
          <w:fldChar w:fldCharType="separate"/>
        </w:r>
        <w:r w:rsidRPr="00554B6E">
          <w:rPr>
            <w:noProof/>
            <w:lang w:val="es-ES"/>
          </w:rPr>
          <w:t>10</w:t>
        </w:r>
        <w:r w:rsidR="001B2A5E">
          <w:fldChar w:fldCharType="end"/>
        </w:r>
      </w:p>
    </w:sdtContent>
  </w:sdt>
  <w:p w14:paraId="0E68208C" w14:textId="77777777" w:rsidR="001B2A5E" w:rsidRDefault="001B2A5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7CC3577" w:rsidR="001B2A5E" w:rsidRDefault="00554B6E">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1B2A5E">
          <w:fldChar w:fldCharType="begin"/>
        </w:r>
        <w:r w:rsidR="001B2A5E">
          <w:instrText>PAGE   \* MERGEFORMAT</w:instrText>
        </w:r>
        <w:r w:rsidR="001B2A5E">
          <w:fldChar w:fldCharType="separate"/>
        </w:r>
        <w:r w:rsidRPr="00554B6E">
          <w:rPr>
            <w:noProof/>
            <w:lang w:val="es-ES"/>
          </w:rPr>
          <w:t>11</w:t>
        </w:r>
        <w:r w:rsidR="001B2A5E">
          <w:fldChar w:fldCharType="end"/>
        </w:r>
      </w:sdtContent>
    </w:sdt>
  </w:p>
  <w:p w14:paraId="51E22156" w14:textId="0BC69DE1" w:rsidR="001B2A5E" w:rsidRDefault="00554B6E"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7ECD9612" wp14:editId="49BA511D">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003261A" w14:textId="77777777" w:rsidR="00554B6E" w:rsidRDefault="00554B6E" w:rsidP="00554B6E">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CD9612"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3003261A" w14:textId="77777777" w:rsidR="00554B6E" w:rsidRDefault="00554B6E" w:rsidP="00554B6E">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1B2A5E"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1B2A5E" w:rsidRDefault="00554B6E">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6CC"/>
    <w:rsid w:val="000017DD"/>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4EF1"/>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48C"/>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5E9F"/>
    <w:rsid w:val="000675A4"/>
    <w:rsid w:val="00067B5A"/>
    <w:rsid w:val="00070777"/>
    <w:rsid w:val="00070AA4"/>
    <w:rsid w:val="0007155C"/>
    <w:rsid w:val="00071C6F"/>
    <w:rsid w:val="00071E8C"/>
    <w:rsid w:val="00071F15"/>
    <w:rsid w:val="000728B9"/>
    <w:rsid w:val="00073450"/>
    <w:rsid w:val="000737BF"/>
    <w:rsid w:val="00074A23"/>
    <w:rsid w:val="00074BFD"/>
    <w:rsid w:val="00074C62"/>
    <w:rsid w:val="000755A5"/>
    <w:rsid w:val="000756DE"/>
    <w:rsid w:val="00076647"/>
    <w:rsid w:val="00076CEA"/>
    <w:rsid w:val="00077661"/>
    <w:rsid w:val="00077DFD"/>
    <w:rsid w:val="00080A85"/>
    <w:rsid w:val="0008122B"/>
    <w:rsid w:val="0008141F"/>
    <w:rsid w:val="00083375"/>
    <w:rsid w:val="000837DB"/>
    <w:rsid w:val="00084100"/>
    <w:rsid w:val="00085132"/>
    <w:rsid w:val="0008514D"/>
    <w:rsid w:val="00085CA7"/>
    <w:rsid w:val="00085F74"/>
    <w:rsid w:val="00087470"/>
    <w:rsid w:val="000875DB"/>
    <w:rsid w:val="000900BD"/>
    <w:rsid w:val="000904A5"/>
    <w:rsid w:val="0009077C"/>
    <w:rsid w:val="00090D7D"/>
    <w:rsid w:val="000910E0"/>
    <w:rsid w:val="00091B93"/>
    <w:rsid w:val="00092EE6"/>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65F"/>
    <w:rsid w:val="000B1A06"/>
    <w:rsid w:val="000B1F22"/>
    <w:rsid w:val="000B2866"/>
    <w:rsid w:val="000B31B3"/>
    <w:rsid w:val="000B35EE"/>
    <w:rsid w:val="000B36E5"/>
    <w:rsid w:val="000B39C8"/>
    <w:rsid w:val="000B3B3B"/>
    <w:rsid w:val="000B40ED"/>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2F73"/>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D7F00"/>
    <w:rsid w:val="000E1E0D"/>
    <w:rsid w:val="000E343A"/>
    <w:rsid w:val="000E35E5"/>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083E"/>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BEB"/>
    <w:rsid w:val="00126EEE"/>
    <w:rsid w:val="00126EEF"/>
    <w:rsid w:val="00126F80"/>
    <w:rsid w:val="00127248"/>
    <w:rsid w:val="00127B1F"/>
    <w:rsid w:val="00127C05"/>
    <w:rsid w:val="00130500"/>
    <w:rsid w:val="0013065F"/>
    <w:rsid w:val="001312BC"/>
    <w:rsid w:val="00131911"/>
    <w:rsid w:val="00131BF3"/>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870"/>
    <w:rsid w:val="00153BE4"/>
    <w:rsid w:val="001542BE"/>
    <w:rsid w:val="00154490"/>
    <w:rsid w:val="00154591"/>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69B"/>
    <w:rsid w:val="001B17F6"/>
    <w:rsid w:val="001B2A5E"/>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282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4BCD"/>
    <w:rsid w:val="001F5050"/>
    <w:rsid w:val="001F625A"/>
    <w:rsid w:val="001F6B28"/>
    <w:rsid w:val="001F6C56"/>
    <w:rsid w:val="001F72DF"/>
    <w:rsid w:val="001F77D0"/>
    <w:rsid w:val="002007E6"/>
    <w:rsid w:val="002010A9"/>
    <w:rsid w:val="00201769"/>
    <w:rsid w:val="0020247E"/>
    <w:rsid w:val="002025FD"/>
    <w:rsid w:val="00203FD3"/>
    <w:rsid w:val="0020568B"/>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187C"/>
    <w:rsid w:val="00222A05"/>
    <w:rsid w:val="00222E1E"/>
    <w:rsid w:val="0022341D"/>
    <w:rsid w:val="0022360E"/>
    <w:rsid w:val="00223F75"/>
    <w:rsid w:val="00224412"/>
    <w:rsid w:val="002246DF"/>
    <w:rsid w:val="002248E9"/>
    <w:rsid w:val="00224CD0"/>
    <w:rsid w:val="00225069"/>
    <w:rsid w:val="00227245"/>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02"/>
    <w:rsid w:val="00256E7D"/>
    <w:rsid w:val="00256F27"/>
    <w:rsid w:val="00257816"/>
    <w:rsid w:val="00257C5E"/>
    <w:rsid w:val="00260433"/>
    <w:rsid w:val="0026116F"/>
    <w:rsid w:val="002614F4"/>
    <w:rsid w:val="002617F9"/>
    <w:rsid w:val="00262666"/>
    <w:rsid w:val="00262D7C"/>
    <w:rsid w:val="00263720"/>
    <w:rsid w:val="002641F2"/>
    <w:rsid w:val="00264AA1"/>
    <w:rsid w:val="00265161"/>
    <w:rsid w:val="00265F1B"/>
    <w:rsid w:val="002665A2"/>
    <w:rsid w:val="00267012"/>
    <w:rsid w:val="00267221"/>
    <w:rsid w:val="00270087"/>
    <w:rsid w:val="00270831"/>
    <w:rsid w:val="0027275E"/>
    <w:rsid w:val="00272A7D"/>
    <w:rsid w:val="00273171"/>
    <w:rsid w:val="00273266"/>
    <w:rsid w:val="002748AA"/>
    <w:rsid w:val="00275418"/>
    <w:rsid w:val="002805AC"/>
    <w:rsid w:val="00280919"/>
    <w:rsid w:val="00281661"/>
    <w:rsid w:val="00281D05"/>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2D70"/>
    <w:rsid w:val="002B3BA3"/>
    <w:rsid w:val="002B4040"/>
    <w:rsid w:val="002B5C09"/>
    <w:rsid w:val="002B5C82"/>
    <w:rsid w:val="002B5E81"/>
    <w:rsid w:val="002B6893"/>
    <w:rsid w:val="002B6B9D"/>
    <w:rsid w:val="002B6C19"/>
    <w:rsid w:val="002B6D0D"/>
    <w:rsid w:val="002B79C4"/>
    <w:rsid w:val="002C01BF"/>
    <w:rsid w:val="002C06FE"/>
    <w:rsid w:val="002C2259"/>
    <w:rsid w:val="002C3470"/>
    <w:rsid w:val="002C348A"/>
    <w:rsid w:val="002C39A6"/>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01"/>
    <w:rsid w:val="002D3CF1"/>
    <w:rsid w:val="002D3F79"/>
    <w:rsid w:val="002D413F"/>
    <w:rsid w:val="002D4B99"/>
    <w:rsid w:val="002D6E4D"/>
    <w:rsid w:val="002D724E"/>
    <w:rsid w:val="002D77BF"/>
    <w:rsid w:val="002D7BA0"/>
    <w:rsid w:val="002E00FE"/>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0FB"/>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5C04"/>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9F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2ED6"/>
    <w:rsid w:val="003633B9"/>
    <w:rsid w:val="003636DE"/>
    <w:rsid w:val="003646B9"/>
    <w:rsid w:val="003646E5"/>
    <w:rsid w:val="003652C6"/>
    <w:rsid w:val="003654A6"/>
    <w:rsid w:val="003660A9"/>
    <w:rsid w:val="00366406"/>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43F"/>
    <w:rsid w:val="003B0A5E"/>
    <w:rsid w:val="003B0AA1"/>
    <w:rsid w:val="003B0AB6"/>
    <w:rsid w:val="003B0AD5"/>
    <w:rsid w:val="003B0B21"/>
    <w:rsid w:val="003B16F0"/>
    <w:rsid w:val="003B210B"/>
    <w:rsid w:val="003B2BC1"/>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9F5"/>
    <w:rsid w:val="003F3E65"/>
    <w:rsid w:val="003F42FC"/>
    <w:rsid w:val="003F4833"/>
    <w:rsid w:val="003F4B68"/>
    <w:rsid w:val="003F51B0"/>
    <w:rsid w:val="003F532D"/>
    <w:rsid w:val="003F7A40"/>
    <w:rsid w:val="004003E7"/>
    <w:rsid w:val="00400CE8"/>
    <w:rsid w:val="00401B8F"/>
    <w:rsid w:val="00401FEB"/>
    <w:rsid w:val="004022FC"/>
    <w:rsid w:val="00402763"/>
    <w:rsid w:val="004027A1"/>
    <w:rsid w:val="00403FDC"/>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4FCD"/>
    <w:rsid w:val="0041540D"/>
    <w:rsid w:val="0041584F"/>
    <w:rsid w:val="00415924"/>
    <w:rsid w:val="004165A7"/>
    <w:rsid w:val="00416D45"/>
    <w:rsid w:val="00416F89"/>
    <w:rsid w:val="00417B7B"/>
    <w:rsid w:val="004211BE"/>
    <w:rsid w:val="0042205F"/>
    <w:rsid w:val="00423C26"/>
    <w:rsid w:val="00423E43"/>
    <w:rsid w:val="00424839"/>
    <w:rsid w:val="00424D35"/>
    <w:rsid w:val="004256FF"/>
    <w:rsid w:val="004258D6"/>
    <w:rsid w:val="004264F9"/>
    <w:rsid w:val="00426777"/>
    <w:rsid w:val="004269A6"/>
    <w:rsid w:val="00427031"/>
    <w:rsid w:val="00427142"/>
    <w:rsid w:val="00427899"/>
    <w:rsid w:val="00427DBB"/>
    <w:rsid w:val="00427FBB"/>
    <w:rsid w:val="00430399"/>
    <w:rsid w:val="00430E42"/>
    <w:rsid w:val="0043209C"/>
    <w:rsid w:val="004322A6"/>
    <w:rsid w:val="00432A71"/>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555"/>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4EC"/>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265C"/>
    <w:rsid w:val="004B4654"/>
    <w:rsid w:val="004B5540"/>
    <w:rsid w:val="004B5F62"/>
    <w:rsid w:val="004B6800"/>
    <w:rsid w:val="004B69CB"/>
    <w:rsid w:val="004B6B98"/>
    <w:rsid w:val="004B748E"/>
    <w:rsid w:val="004B7C5E"/>
    <w:rsid w:val="004C05E4"/>
    <w:rsid w:val="004C1578"/>
    <w:rsid w:val="004C1927"/>
    <w:rsid w:val="004C2276"/>
    <w:rsid w:val="004C3A42"/>
    <w:rsid w:val="004C415F"/>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B27"/>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2F0B"/>
    <w:rsid w:val="004F421C"/>
    <w:rsid w:val="004F4289"/>
    <w:rsid w:val="004F48BF"/>
    <w:rsid w:val="004F5821"/>
    <w:rsid w:val="004F674E"/>
    <w:rsid w:val="004F6C74"/>
    <w:rsid w:val="004F7B3C"/>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B6E"/>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5F"/>
    <w:rsid w:val="00561B8F"/>
    <w:rsid w:val="0056210B"/>
    <w:rsid w:val="00562D03"/>
    <w:rsid w:val="005632DA"/>
    <w:rsid w:val="00563692"/>
    <w:rsid w:val="00563B9C"/>
    <w:rsid w:val="00564488"/>
    <w:rsid w:val="0056508D"/>
    <w:rsid w:val="0056797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1B5D"/>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519"/>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8B5"/>
    <w:rsid w:val="005D4EDA"/>
    <w:rsid w:val="005D58F0"/>
    <w:rsid w:val="005D65FC"/>
    <w:rsid w:val="005D6747"/>
    <w:rsid w:val="005D6918"/>
    <w:rsid w:val="005E08EE"/>
    <w:rsid w:val="005E3A57"/>
    <w:rsid w:val="005E3BA2"/>
    <w:rsid w:val="005E40A8"/>
    <w:rsid w:val="005E521F"/>
    <w:rsid w:val="005E5F15"/>
    <w:rsid w:val="005E7897"/>
    <w:rsid w:val="005F0447"/>
    <w:rsid w:val="005F0996"/>
    <w:rsid w:val="005F1394"/>
    <w:rsid w:val="005F156F"/>
    <w:rsid w:val="005F1C5A"/>
    <w:rsid w:val="005F1D9F"/>
    <w:rsid w:val="005F2084"/>
    <w:rsid w:val="005F2179"/>
    <w:rsid w:val="005F286D"/>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1019"/>
    <w:rsid w:val="00614079"/>
    <w:rsid w:val="00614188"/>
    <w:rsid w:val="00615362"/>
    <w:rsid w:val="006157B6"/>
    <w:rsid w:val="00615A62"/>
    <w:rsid w:val="00615EBC"/>
    <w:rsid w:val="00616F1D"/>
    <w:rsid w:val="00616FA1"/>
    <w:rsid w:val="00617C77"/>
    <w:rsid w:val="00617E6C"/>
    <w:rsid w:val="0062006E"/>
    <w:rsid w:val="00620357"/>
    <w:rsid w:val="00620FB8"/>
    <w:rsid w:val="0062147F"/>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689"/>
    <w:rsid w:val="00656C6E"/>
    <w:rsid w:val="00660B82"/>
    <w:rsid w:val="0066116D"/>
    <w:rsid w:val="00663F47"/>
    <w:rsid w:val="00664AC4"/>
    <w:rsid w:val="00664FB0"/>
    <w:rsid w:val="0066505B"/>
    <w:rsid w:val="00665ACE"/>
    <w:rsid w:val="00666967"/>
    <w:rsid w:val="0066701C"/>
    <w:rsid w:val="006671D4"/>
    <w:rsid w:val="0066750D"/>
    <w:rsid w:val="00667F2F"/>
    <w:rsid w:val="00671338"/>
    <w:rsid w:val="00672CE0"/>
    <w:rsid w:val="00672F8D"/>
    <w:rsid w:val="006730DE"/>
    <w:rsid w:val="006730F3"/>
    <w:rsid w:val="00673B33"/>
    <w:rsid w:val="006741DA"/>
    <w:rsid w:val="006747AB"/>
    <w:rsid w:val="00676465"/>
    <w:rsid w:val="006775C4"/>
    <w:rsid w:val="0068056E"/>
    <w:rsid w:val="00680E31"/>
    <w:rsid w:val="00681AC1"/>
    <w:rsid w:val="00681EE7"/>
    <w:rsid w:val="00682165"/>
    <w:rsid w:val="00683178"/>
    <w:rsid w:val="0068325D"/>
    <w:rsid w:val="00684F50"/>
    <w:rsid w:val="00685785"/>
    <w:rsid w:val="0068638C"/>
    <w:rsid w:val="00686F6A"/>
    <w:rsid w:val="00687828"/>
    <w:rsid w:val="00687BEB"/>
    <w:rsid w:val="00691515"/>
    <w:rsid w:val="00692673"/>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976"/>
    <w:rsid w:val="006D5A11"/>
    <w:rsid w:val="006D668F"/>
    <w:rsid w:val="006E0406"/>
    <w:rsid w:val="006E09D6"/>
    <w:rsid w:val="006E0D0A"/>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168"/>
    <w:rsid w:val="00760AB6"/>
    <w:rsid w:val="00760DD6"/>
    <w:rsid w:val="00761447"/>
    <w:rsid w:val="00762460"/>
    <w:rsid w:val="00762B99"/>
    <w:rsid w:val="007656A2"/>
    <w:rsid w:val="00766389"/>
    <w:rsid w:val="007677CD"/>
    <w:rsid w:val="00767FE0"/>
    <w:rsid w:val="00770340"/>
    <w:rsid w:val="00770536"/>
    <w:rsid w:val="00770AC5"/>
    <w:rsid w:val="007711A1"/>
    <w:rsid w:val="007716CC"/>
    <w:rsid w:val="00771AF2"/>
    <w:rsid w:val="007722CF"/>
    <w:rsid w:val="00772E06"/>
    <w:rsid w:val="00773C44"/>
    <w:rsid w:val="00774396"/>
    <w:rsid w:val="007743DD"/>
    <w:rsid w:val="00775335"/>
    <w:rsid w:val="007758EE"/>
    <w:rsid w:val="00775BD0"/>
    <w:rsid w:val="0077723A"/>
    <w:rsid w:val="007779BF"/>
    <w:rsid w:val="00777B9A"/>
    <w:rsid w:val="00777CFA"/>
    <w:rsid w:val="00777F6C"/>
    <w:rsid w:val="007806D4"/>
    <w:rsid w:val="00781E84"/>
    <w:rsid w:val="00781EFF"/>
    <w:rsid w:val="00782019"/>
    <w:rsid w:val="007841D1"/>
    <w:rsid w:val="007843EE"/>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26"/>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18F5"/>
    <w:rsid w:val="007D303D"/>
    <w:rsid w:val="007D3939"/>
    <w:rsid w:val="007D3BCC"/>
    <w:rsid w:val="007D3CE0"/>
    <w:rsid w:val="007D404D"/>
    <w:rsid w:val="007D45CB"/>
    <w:rsid w:val="007D4645"/>
    <w:rsid w:val="007D5692"/>
    <w:rsid w:val="007D6461"/>
    <w:rsid w:val="007D6765"/>
    <w:rsid w:val="007D7816"/>
    <w:rsid w:val="007E1E1A"/>
    <w:rsid w:val="007E2481"/>
    <w:rsid w:val="007E3210"/>
    <w:rsid w:val="007E32FC"/>
    <w:rsid w:val="007E4266"/>
    <w:rsid w:val="007E4EA5"/>
    <w:rsid w:val="007E5A5C"/>
    <w:rsid w:val="007E5D1D"/>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3F24"/>
    <w:rsid w:val="008155CB"/>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411F"/>
    <w:rsid w:val="00835227"/>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15E"/>
    <w:rsid w:val="008A12C7"/>
    <w:rsid w:val="008A23DD"/>
    <w:rsid w:val="008A249E"/>
    <w:rsid w:val="008A3F4A"/>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820"/>
    <w:rsid w:val="008C7C52"/>
    <w:rsid w:val="008D1236"/>
    <w:rsid w:val="008D1EDE"/>
    <w:rsid w:val="008D2167"/>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95B"/>
    <w:rsid w:val="00921E9D"/>
    <w:rsid w:val="009220E0"/>
    <w:rsid w:val="0092244D"/>
    <w:rsid w:val="00922FD0"/>
    <w:rsid w:val="0092383C"/>
    <w:rsid w:val="00923A59"/>
    <w:rsid w:val="00923E83"/>
    <w:rsid w:val="00923FD8"/>
    <w:rsid w:val="009250CB"/>
    <w:rsid w:val="00925893"/>
    <w:rsid w:val="00926AC7"/>
    <w:rsid w:val="00926FCD"/>
    <w:rsid w:val="00927607"/>
    <w:rsid w:val="0093141F"/>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6B3"/>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5BAB"/>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A7257"/>
    <w:rsid w:val="009B0C38"/>
    <w:rsid w:val="009B1120"/>
    <w:rsid w:val="009B127F"/>
    <w:rsid w:val="009B147D"/>
    <w:rsid w:val="009B15EE"/>
    <w:rsid w:val="009B19C2"/>
    <w:rsid w:val="009B1EAF"/>
    <w:rsid w:val="009B229F"/>
    <w:rsid w:val="009B2AE4"/>
    <w:rsid w:val="009B30D4"/>
    <w:rsid w:val="009B34D9"/>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C75F3"/>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51FB"/>
    <w:rsid w:val="009E646B"/>
    <w:rsid w:val="009E7B07"/>
    <w:rsid w:val="009F050C"/>
    <w:rsid w:val="009F1587"/>
    <w:rsid w:val="009F344F"/>
    <w:rsid w:val="009F3537"/>
    <w:rsid w:val="009F3962"/>
    <w:rsid w:val="009F3A8E"/>
    <w:rsid w:val="009F3B12"/>
    <w:rsid w:val="009F4300"/>
    <w:rsid w:val="009F46F3"/>
    <w:rsid w:val="009F4CDD"/>
    <w:rsid w:val="009F52DB"/>
    <w:rsid w:val="009F5420"/>
    <w:rsid w:val="009F5F75"/>
    <w:rsid w:val="009F6D03"/>
    <w:rsid w:val="009F74A6"/>
    <w:rsid w:val="009F75C0"/>
    <w:rsid w:val="009F7671"/>
    <w:rsid w:val="00A00067"/>
    <w:rsid w:val="00A00501"/>
    <w:rsid w:val="00A01117"/>
    <w:rsid w:val="00A022D9"/>
    <w:rsid w:val="00A023EE"/>
    <w:rsid w:val="00A02F13"/>
    <w:rsid w:val="00A0357E"/>
    <w:rsid w:val="00A03C32"/>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47B"/>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5B7E"/>
    <w:rsid w:val="00A56094"/>
    <w:rsid w:val="00A5698E"/>
    <w:rsid w:val="00A56B70"/>
    <w:rsid w:val="00A575B4"/>
    <w:rsid w:val="00A608CD"/>
    <w:rsid w:val="00A60C59"/>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6FD"/>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EAE"/>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0F"/>
    <w:rsid w:val="00AB00F1"/>
    <w:rsid w:val="00AB0CE7"/>
    <w:rsid w:val="00AB11B8"/>
    <w:rsid w:val="00AB22DC"/>
    <w:rsid w:val="00AB3569"/>
    <w:rsid w:val="00AB45BF"/>
    <w:rsid w:val="00AB4803"/>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2EF"/>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574D"/>
    <w:rsid w:val="00B06968"/>
    <w:rsid w:val="00B0768C"/>
    <w:rsid w:val="00B10264"/>
    <w:rsid w:val="00B1212B"/>
    <w:rsid w:val="00B125A0"/>
    <w:rsid w:val="00B13177"/>
    <w:rsid w:val="00B132F0"/>
    <w:rsid w:val="00B13E8D"/>
    <w:rsid w:val="00B151C4"/>
    <w:rsid w:val="00B15852"/>
    <w:rsid w:val="00B161B4"/>
    <w:rsid w:val="00B16887"/>
    <w:rsid w:val="00B176C8"/>
    <w:rsid w:val="00B20379"/>
    <w:rsid w:val="00B2074B"/>
    <w:rsid w:val="00B211BD"/>
    <w:rsid w:val="00B21544"/>
    <w:rsid w:val="00B21AB1"/>
    <w:rsid w:val="00B228FA"/>
    <w:rsid w:val="00B22C23"/>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67CE"/>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678"/>
    <w:rsid w:val="00B64DB8"/>
    <w:rsid w:val="00B6596E"/>
    <w:rsid w:val="00B65D72"/>
    <w:rsid w:val="00B661AF"/>
    <w:rsid w:val="00B6786A"/>
    <w:rsid w:val="00B67AA4"/>
    <w:rsid w:val="00B7058E"/>
    <w:rsid w:val="00B70EC1"/>
    <w:rsid w:val="00B70F1D"/>
    <w:rsid w:val="00B7103E"/>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4F0"/>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26AE"/>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6DC2"/>
    <w:rsid w:val="00BD71F1"/>
    <w:rsid w:val="00BD74CF"/>
    <w:rsid w:val="00BE1BBE"/>
    <w:rsid w:val="00BE2C9F"/>
    <w:rsid w:val="00BE36D5"/>
    <w:rsid w:val="00BE4FDC"/>
    <w:rsid w:val="00BE6056"/>
    <w:rsid w:val="00BE6217"/>
    <w:rsid w:val="00BE6785"/>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0E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57C51"/>
    <w:rsid w:val="00C603A5"/>
    <w:rsid w:val="00C6124E"/>
    <w:rsid w:val="00C613CF"/>
    <w:rsid w:val="00C6230B"/>
    <w:rsid w:val="00C6257D"/>
    <w:rsid w:val="00C632FA"/>
    <w:rsid w:val="00C635D0"/>
    <w:rsid w:val="00C64273"/>
    <w:rsid w:val="00C65B9B"/>
    <w:rsid w:val="00C67249"/>
    <w:rsid w:val="00C67698"/>
    <w:rsid w:val="00C70952"/>
    <w:rsid w:val="00C70B81"/>
    <w:rsid w:val="00C71A21"/>
    <w:rsid w:val="00C724E4"/>
    <w:rsid w:val="00C732D8"/>
    <w:rsid w:val="00C7377B"/>
    <w:rsid w:val="00C737D7"/>
    <w:rsid w:val="00C73886"/>
    <w:rsid w:val="00C73BEE"/>
    <w:rsid w:val="00C73DC4"/>
    <w:rsid w:val="00C74D41"/>
    <w:rsid w:val="00C756FD"/>
    <w:rsid w:val="00C75775"/>
    <w:rsid w:val="00C75C57"/>
    <w:rsid w:val="00C76261"/>
    <w:rsid w:val="00C76A82"/>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A6EFF"/>
    <w:rsid w:val="00CB19AF"/>
    <w:rsid w:val="00CB1AC1"/>
    <w:rsid w:val="00CB26F2"/>
    <w:rsid w:val="00CB2A1D"/>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167D"/>
    <w:rsid w:val="00CE2476"/>
    <w:rsid w:val="00CE25CA"/>
    <w:rsid w:val="00CE2C77"/>
    <w:rsid w:val="00CE2CBA"/>
    <w:rsid w:val="00CE302C"/>
    <w:rsid w:val="00CE31BD"/>
    <w:rsid w:val="00CE449A"/>
    <w:rsid w:val="00CE4619"/>
    <w:rsid w:val="00CE4BF2"/>
    <w:rsid w:val="00CE52F7"/>
    <w:rsid w:val="00CE5E91"/>
    <w:rsid w:val="00CF01EA"/>
    <w:rsid w:val="00CF10EF"/>
    <w:rsid w:val="00CF1F53"/>
    <w:rsid w:val="00CF1FAE"/>
    <w:rsid w:val="00CF340B"/>
    <w:rsid w:val="00CF3BED"/>
    <w:rsid w:val="00CF4A6D"/>
    <w:rsid w:val="00CF593F"/>
    <w:rsid w:val="00CF5B89"/>
    <w:rsid w:val="00CF6510"/>
    <w:rsid w:val="00CF65E5"/>
    <w:rsid w:val="00CF66B8"/>
    <w:rsid w:val="00CF6971"/>
    <w:rsid w:val="00CF6D04"/>
    <w:rsid w:val="00CF7327"/>
    <w:rsid w:val="00CF74B2"/>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16A74"/>
    <w:rsid w:val="00D20368"/>
    <w:rsid w:val="00D2081D"/>
    <w:rsid w:val="00D209D8"/>
    <w:rsid w:val="00D20B6C"/>
    <w:rsid w:val="00D20DAB"/>
    <w:rsid w:val="00D2186C"/>
    <w:rsid w:val="00D21FA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22A"/>
    <w:rsid w:val="00D3635F"/>
    <w:rsid w:val="00D36532"/>
    <w:rsid w:val="00D367F9"/>
    <w:rsid w:val="00D37FBA"/>
    <w:rsid w:val="00D408D7"/>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AFD"/>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C7EF2"/>
    <w:rsid w:val="00DD016C"/>
    <w:rsid w:val="00DD054C"/>
    <w:rsid w:val="00DD0B1B"/>
    <w:rsid w:val="00DD1994"/>
    <w:rsid w:val="00DD1BAF"/>
    <w:rsid w:val="00DD2585"/>
    <w:rsid w:val="00DD2D97"/>
    <w:rsid w:val="00DD32BB"/>
    <w:rsid w:val="00DD34F3"/>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676"/>
    <w:rsid w:val="00DE1E31"/>
    <w:rsid w:val="00DE2C26"/>
    <w:rsid w:val="00DE2CFB"/>
    <w:rsid w:val="00DE414D"/>
    <w:rsid w:val="00DE4C11"/>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0746F"/>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0346"/>
    <w:rsid w:val="00E2102F"/>
    <w:rsid w:val="00E21CDD"/>
    <w:rsid w:val="00E21E11"/>
    <w:rsid w:val="00E233B1"/>
    <w:rsid w:val="00E233C9"/>
    <w:rsid w:val="00E23438"/>
    <w:rsid w:val="00E24415"/>
    <w:rsid w:val="00E248D7"/>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639C"/>
    <w:rsid w:val="00E47A30"/>
    <w:rsid w:val="00E50E09"/>
    <w:rsid w:val="00E51F3C"/>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262"/>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2AA5"/>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49D8"/>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5DC3"/>
    <w:rsid w:val="00EE71BF"/>
    <w:rsid w:val="00EE73E5"/>
    <w:rsid w:val="00EE7B44"/>
    <w:rsid w:val="00EE7D04"/>
    <w:rsid w:val="00EE7FB9"/>
    <w:rsid w:val="00EF09AC"/>
    <w:rsid w:val="00EF1431"/>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8B2"/>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3F55"/>
    <w:rsid w:val="00F44809"/>
    <w:rsid w:val="00F45459"/>
    <w:rsid w:val="00F461F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7C5"/>
    <w:rsid w:val="00F75D29"/>
    <w:rsid w:val="00F75F03"/>
    <w:rsid w:val="00F77624"/>
    <w:rsid w:val="00F804E8"/>
    <w:rsid w:val="00F80DF4"/>
    <w:rsid w:val="00F8181F"/>
    <w:rsid w:val="00F8258C"/>
    <w:rsid w:val="00F826FD"/>
    <w:rsid w:val="00F82BC8"/>
    <w:rsid w:val="00F82E77"/>
    <w:rsid w:val="00F836F6"/>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B46"/>
    <w:rsid w:val="00FA3C84"/>
    <w:rsid w:val="00FA46ED"/>
    <w:rsid w:val="00FA4A5E"/>
    <w:rsid w:val="00FA4B22"/>
    <w:rsid w:val="00FA5829"/>
    <w:rsid w:val="00FA746C"/>
    <w:rsid w:val="00FA7B8D"/>
    <w:rsid w:val="00FB0C83"/>
    <w:rsid w:val="00FB1043"/>
    <w:rsid w:val="00FB20F3"/>
    <w:rsid w:val="00FB43AC"/>
    <w:rsid w:val="00FB47EA"/>
    <w:rsid w:val="00FB567E"/>
    <w:rsid w:val="00FB5DA1"/>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0E0"/>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3CBC"/>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B0574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B0574D"/>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E772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A826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5F8F9C-6EF5-4FB0-BB55-2B732DD2F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11</Pages>
  <Words>4069</Words>
  <Characters>22382</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13</cp:revision>
  <cp:lastPrinted>2022-11-18T16:22:00Z</cp:lastPrinted>
  <dcterms:created xsi:type="dcterms:W3CDTF">2022-10-07T03:19:00Z</dcterms:created>
  <dcterms:modified xsi:type="dcterms:W3CDTF">2023-02-28T17:55:00Z</dcterms:modified>
</cp:coreProperties>
</file>