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0C05" w:rsidRPr="004B23F2" w:rsidRDefault="00550C05" w:rsidP="00A06194">
      <w:pPr>
        <w:pStyle w:val="Encabezado"/>
        <w:ind w:left="3261" w:hanging="4248"/>
        <w:jc w:val="both"/>
        <w:rPr>
          <w:rFonts w:ascii="Arial" w:hAnsi="Arial" w:cs="Arial"/>
          <w:b/>
          <w:sz w:val="26"/>
          <w:szCs w:val="26"/>
        </w:rPr>
      </w:pPr>
      <w:bookmarkStart w:id="0" w:name="_GoBack"/>
      <w:bookmarkEnd w:id="0"/>
      <w:r w:rsidRPr="004B23F2">
        <w:rPr>
          <w:rFonts w:ascii="Arial" w:hAnsi="Arial" w:cs="Arial"/>
          <w:b/>
          <w:sz w:val="26"/>
          <w:szCs w:val="26"/>
        </w:rPr>
        <w:tab/>
        <w:t>SEXTA SALA UNITARIA DE PRIMERA INSTANCIA DEL TRIBUNAL DE JUSTICIA ADMINISTRATIVA DEL ESTADO DE OAXACA.</w:t>
      </w:r>
    </w:p>
    <w:p w:rsidR="00550C05" w:rsidRPr="004B23F2" w:rsidRDefault="00550C05" w:rsidP="00A06194">
      <w:pPr>
        <w:pStyle w:val="Encabezado"/>
        <w:ind w:left="3261"/>
        <w:jc w:val="both"/>
        <w:rPr>
          <w:rFonts w:ascii="Arial" w:hAnsi="Arial" w:cs="Arial"/>
          <w:b/>
          <w:sz w:val="26"/>
          <w:szCs w:val="26"/>
        </w:rPr>
      </w:pPr>
    </w:p>
    <w:p w:rsidR="00550C05" w:rsidRPr="004B23F2" w:rsidRDefault="00550C05" w:rsidP="00A06194">
      <w:pPr>
        <w:pStyle w:val="Encabezado"/>
        <w:ind w:left="3261"/>
        <w:jc w:val="both"/>
        <w:rPr>
          <w:rFonts w:ascii="Arial" w:hAnsi="Arial" w:cs="Arial"/>
          <w:b/>
          <w:sz w:val="26"/>
          <w:szCs w:val="26"/>
        </w:rPr>
      </w:pPr>
      <w:r w:rsidRPr="004B23F2">
        <w:rPr>
          <w:rFonts w:ascii="Arial" w:hAnsi="Arial" w:cs="Arial"/>
          <w:b/>
          <w:sz w:val="26"/>
          <w:szCs w:val="26"/>
        </w:rPr>
        <w:t xml:space="preserve">EXPEDIENTE: </w:t>
      </w:r>
      <w:r w:rsidR="009E4FDE">
        <w:rPr>
          <w:rFonts w:ascii="Arial" w:hAnsi="Arial" w:cs="Arial"/>
          <w:b/>
          <w:sz w:val="26"/>
          <w:szCs w:val="26"/>
        </w:rPr>
        <w:t>78</w:t>
      </w:r>
      <w:r w:rsidRPr="004B23F2">
        <w:rPr>
          <w:rFonts w:ascii="Arial" w:hAnsi="Arial" w:cs="Arial"/>
          <w:b/>
          <w:sz w:val="26"/>
          <w:szCs w:val="26"/>
        </w:rPr>
        <w:t>/201</w:t>
      </w:r>
      <w:r w:rsidR="009175F8" w:rsidRPr="004B23F2">
        <w:rPr>
          <w:rFonts w:ascii="Arial" w:hAnsi="Arial" w:cs="Arial"/>
          <w:b/>
          <w:sz w:val="26"/>
          <w:szCs w:val="26"/>
        </w:rPr>
        <w:t>9</w:t>
      </w:r>
    </w:p>
    <w:p w:rsidR="00550C05" w:rsidRPr="004B23F2" w:rsidRDefault="00296542" w:rsidP="00A06194">
      <w:pPr>
        <w:pStyle w:val="Encabezado"/>
        <w:tabs>
          <w:tab w:val="clear" w:pos="4419"/>
          <w:tab w:val="clear" w:pos="8838"/>
          <w:tab w:val="left" w:pos="7095"/>
        </w:tabs>
        <w:ind w:left="3261"/>
        <w:jc w:val="both"/>
        <w:rPr>
          <w:rFonts w:ascii="Arial" w:hAnsi="Arial" w:cs="Arial"/>
          <w:b/>
          <w:sz w:val="26"/>
          <w:szCs w:val="26"/>
        </w:rPr>
      </w:pPr>
      <w:r>
        <w:rPr>
          <w:rFonts w:ascii="Arial" w:hAnsi="Arial" w:cs="Arial"/>
          <w:b/>
          <w:sz w:val="26"/>
          <w:szCs w:val="26"/>
        </w:rPr>
        <w:tab/>
      </w:r>
    </w:p>
    <w:p w:rsidR="00550C05" w:rsidRPr="004B23F2" w:rsidRDefault="00550C05" w:rsidP="00A06194">
      <w:pPr>
        <w:pStyle w:val="Encabezado"/>
        <w:ind w:left="3261"/>
        <w:rPr>
          <w:rFonts w:ascii="Arial" w:hAnsi="Arial" w:cs="Arial"/>
          <w:b/>
          <w:sz w:val="26"/>
          <w:szCs w:val="26"/>
        </w:rPr>
      </w:pPr>
      <w:r w:rsidRPr="004B23F2">
        <w:rPr>
          <w:rFonts w:ascii="Arial" w:hAnsi="Arial" w:cs="Arial"/>
          <w:b/>
          <w:sz w:val="26"/>
          <w:szCs w:val="26"/>
        </w:rPr>
        <w:t xml:space="preserve">ACTOR: </w:t>
      </w:r>
      <w:r w:rsidR="00A06194">
        <w:rPr>
          <w:rFonts w:ascii="Arial" w:hAnsi="Arial" w:cs="Arial"/>
          <w:b/>
          <w:sz w:val="26"/>
          <w:szCs w:val="26"/>
        </w:rPr>
        <w:t>**********</w:t>
      </w:r>
    </w:p>
    <w:p w:rsidR="00550C05" w:rsidRPr="004B23F2" w:rsidRDefault="00550C05" w:rsidP="00A06194">
      <w:pPr>
        <w:pStyle w:val="Encabezado"/>
        <w:ind w:left="3261"/>
        <w:jc w:val="both"/>
        <w:rPr>
          <w:rFonts w:ascii="Arial" w:hAnsi="Arial" w:cs="Arial"/>
          <w:b/>
          <w:sz w:val="26"/>
          <w:szCs w:val="26"/>
        </w:rPr>
      </w:pPr>
    </w:p>
    <w:p w:rsidR="00550C05" w:rsidRPr="004B23F2" w:rsidRDefault="00550C05" w:rsidP="00A06194">
      <w:pPr>
        <w:pStyle w:val="Encabezado"/>
        <w:ind w:left="3261"/>
        <w:jc w:val="both"/>
        <w:rPr>
          <w:rFonts w:ascii="Arial" w:hAnsi="Arial" w:cs="Arial"/>
          <w:b/>
          <w:sz w:val="26"/>
          <w:szCs w:val="26"/>
        </w:rPr>
      </w:pPr>
      <w:r w:rsidRPr="004B23F2">
        <w:rPr>
          <w:rFonts w:ascii="Arial" w:hAnsi="Arial" w:cs="Arial"/>
          <w:b/>
          <w:sz w:val="26"/>
          <w:szCs w:val="26"/>
        </w:rPr>
        <w:t xml:space="preserve">DEMANDADO: </w:t>
      </w:r>
      <w:r w:rsidR="009E4FDE">
        <w:rPr>
          <w:rFonts w:ascii="Arial" w:hAnsi="Arial" w:cs="Arial"/>
          <w:b/>
          <w:sz w:val="26"/>
          <w:szCs w:val="26"/>
        </w:rPr>
        <w:t xml:space="preserve">DIRECTOR GENERAL DE LA OFICINA </w:t>
      </w:r>
      <w:r w:rsidR="0018220D" w:rsidRPr="004B23F2">
        <w:rPr>
          <w:rFonts w:ascii="Arial" w:hAnsi="Arial" w:cs="Arial"/>
          <w:b/>
          <w:sz w:val="26"/>
          <w:szCs w:val="26"/>
        </w:rPr>
        <w:t>DE PENSIONES DEL ESTADO DE OAXACA</w:t>
      </w:r>
      <w:r w:rsidRPr="004B23F2">
        <w:rPr>
          <w:rFonts w:ascii="Arial" w:hAnsi="Arial" w:cs="Arial"/>
          <w:b/>
          <w:sz w:val="26"/>
          <w:szCs w:val="26"/>
        </w:rPr>
        <w:t>.</w:t>
      </w:r>
    </w:p>
    <w:p w:rsidR="00550C05" w:rsidRPr="004B23F2" w:rsidRDefault="00296542" w:rsidP="004B23F2">
      <w:pPr>
        <w:spacing w:before="240" w:after="0" w:line="360" w:lineRule="auto"/>
        <w:jc w:val="both"/>
        <w:rPr>
          <w:rFonts w:ascii="Arial" w:hAnsi="Arial" w:cs="Arial"/>
          <w:b/>
          <w:sz w:val="26"/>
          <w:szCs w:val="26"/>
        </w:rPr>
      </w:pPr>
      <w:r>
        <w:rPr>
          <w:rFonts w:ascii="Arial" w:hAnsi="Arial" w:cs="Arial"/>
          <w:b/>
          <w:sz w:val="26"/>
          <w:szCs w:val="26"/>
        </w:rPr>
        <w:t>OAXACA DE JUÁREZ, OAXACA A CUATRO</w:t>
      </w:r>
      <w:r w:rsidR="00550C05" w:rsidRPr="004B23F2">
        <w:rPr>
          <w:rFonts w:ascii="Arial" w:hAnsi="Arial" w:cs="Arial"/>
          <w:b/>
          <w:sz w:val="26"/>
          <w:szCs w:val="26"/>
        </w:rPr>
        <w:t xml:space="preserve"> DE </w:t>
      </w:r>
      <w:r w:rsidR="009E4FDE">
        <w:rPr>
          <w:rFonts w:ascii="Arial" w:hAnsi="Arial" w:cs="Arial"/>
          <w:b/>
          <w:sz w:val="26"/>
          <w:szCs w:val="26"/>
        </w:rPr>
        <w:t xml:space="preserve">FEBRERO </w:t>
      </w:r>
      <w:r w:rsidR="00550C05" w:rsidRPr="004B23F2">
        <w:rPr>
          <w:rFonts w:ascii="Arial" w:hAnsi="Arial" w:cs="Arial"/>
          <w:b/>
          <w:sz w:val="26"/>
          <w:szCs w:val="26"/>
        </w:rPr>
        <w:t xml:space="preserve">DE DOS MIL </w:t>
      </w:r>
      <w:r w:rsidR="007A5346" w:rsidRPr="004B23F2">
        <w:rPr>
          <w:rFonts w:ascii="Arial" w:hAnsi="Arial" w:cs="Arial"/>
          <w:b/>
          <w:sz w:val="26"/>
          <w:szCs w:val="26"/>
        </w:rPr>
        <w:t>VEINTE</w:t>
      </w:r>
      <w:r w:rsidR="00550C05" w:rsidRPr="004B23F2">
        <w:rPr>
          <w:rFonts w:ascii="Arial" w:hAnsi="Arial" w:cs="Arial"/>
          <w:b/>
          <w:sz w:val="26"/>
          <w:szCs w:val="26"/>
        </w:rPr>
        <w:t xml:space="preserve">.- - - - - - - - - - - - - - - - - - - - - - - - - - - - - - - - - - - - - </w:t>
      </w:r>
    </w:p>
    <w:p w:rsidR="00550C05" w:rsidRPr="004B23F2" w:rsidRDefault="00550C05" w:rsidP="004B23F2">
      <w:pPr>
        <w:spacing w:before="240" w:after="0" w:line="360" w:lineRule="auto"/>
        <w:ind w:firstLine="567"/>
        <w:jc w:val="both"/>
        <w:rPr>
          <w:rFonts w:ascii="Arial" w:hAnsi="Arial" w:cs="Arial"/>
          <w:b/>
          <w:sz w:val="26"/>
          <w:szCs w:val="26"/>
        </w:rPr>
      </w:pPr>
      <w:r w:rsidRPr="004B23F2">
        <w:rPr>
          <w:rFonts w:ascii="Arial" w:hAnsi="Arial" w:cs="Arial"/>
          <w:b/>
          <w:sz w:val="26"/>
          <w:szCs w:val="26"/>
        </w:rPr>
        <w:t xml:space="preserve">VISTOS, </w:t>
      </w:r>
      <w:r w:rsidRPr="004B23F2">
        <w:rPr>
          <w:rFonts w:ascii="Arial" w:hAnsi="Arial" w:cs="Arial"/>
          <w:sz w:val="26"/>
          <w:szCs w:val="26"/>
        </w:rPr>
        <w:t xml:space="preserve">para resolver los autos del juicio de nulidad de número </w:t>
      </w:r>
      <w:r w:rsidR="009E4FDE">
        <w:rPr>
          <w:rFonts w:ascii="Arial" w:hAnsi="Arial" w:cs="Arial"/>
          <w:b/>
          <w:sz w:val="26"/>
          <w:szCs w:val="26"/>
        </w:rPr>
        <w:t>78</w:t>
      </w:r>
      <w:r w:rsidRPr="004B23F2">
        <w:rPr>
          <w:rFonts w:ascii="Arial" w:hAnsi="Arial" w:cs="Arial"/>
          <w:b/>
          <w:sz w:val="26"/>
          <w:szCs w:val="26"/>
        </w:rPr>
        <w:t>/201</w:t>
      </w:r>
      <w:r w:rsidR="009175F8" w:rsidRPr="004B23F2">
        <w:rPr>
          <w:rFonts w:ascii="Arial" w:hAnsi="Arial" w:cs="Arial"/>
          <w:b/>
          <w:sz w:val="26"/>
          <w:szCs w:val="26"/>
        </w:rPr>
        <w:t>9</w:t>
      </w:r>
      <w:r w:rsidRPr="004B23F2">
        <w:rPr>
          <w:rFonts w:ascii="Arial" w:hAnsi="Arial" w:cs="Arial"/>
          <w:sz w:val="26"/>
          <w:szCs w:val="26"/>
        </w:rPr>
        <w:t xml:space="preserve">, promovido por </w:t>
      </w:r>
      <w:r w:rsidR="00A06194">
        <w:rPr>
          <w:rFonts w:ascii="Arial" w:hAnsi="Arial" w:cs="Arial"/>
          <w:b/>
          <w:sz w:val="26"/>
          <w:szCs w:val="26"/>
        </w:rPr>
        <w:t>**********</w:t>
      </w:r>
      <w:r w:rsidRPr="004B23F2">
        <w:rPr>
          <w:rFonts w:ascii="Arial" w:hAnsi="Arial" w:cs="Arial"/>
          <w:b/>
          <w:sz w:val="26"/>
          <w:szCs w:val="26"/>
        </w:rPr>
        <w:t xml:space="preserve">, </w:t>
      </w:r>
      <w:r w:rsidRPr="004B23F2">
        <w:rPr>
          <w:rFonts w:ascii="Arial" w:hAnsi="Arial" w:cs="Arial"/>
          <w:sz w:val="26"/>
          <w:szCs w:val="26"/>
        </w:rPr>
        <w:t>en contra de</w:t>
      </w:r>
      <w:r w:rsidR="009E4FDE">
        <w:rPr>
          <w:rFonts w:ascii="Arial" w:hAnsi="Arial" w:cs="Arial"/>
          <w:sz w:val="26"/>
          <w:szCs w:val="26"/>
        </w:rPr>
        <w:t xml:space="preserve">l </w:t>
      </w:r>
      <w:r w:rsidR="009E4FDE">
        <w:rPr>
          <w:rFonts w:ascii="Arial" w:hAnsi="Arial" w:cs="Arial"/>
          <w:b/>
          <w:sz w:val="26"/>
          <w:szCs w:val="26"/>
        </w:rPr>
        <w:t xml:space="preserve">DIRECTOR GENERAL DE LA OFICINA DE </w:t>
      </w:r>
      <w:r w:rsidR="0018220D" w:rsidRPr="004B23F2">
        <w:rPr>
          <w:rFonts w:ascii="Arial" w:hAnsi="Arial" w:cs="Arial"/>
          <w:b/>
          <w:sz w:val="26"/>
          <w:szCs w:val="26"/>
        </w:rPr>
        <w:t>PENSIONES DEL ESTADO DE OAXACA</w:t>
      </w:r>
      <w:r w:rsidRPr="00B766C7">
        <w:rPr>
          <w:rFonts w:ascii="Arial" w:hAnsi="Arial" w:cs="Arial"/>
          <w:sz w:val="26"/>
          <w:szCs w:val="26"/>
        </w:rPr>
        <w:t xml:space="preserve">.- - - - - - - - - - - </w:t>
      </w:r>
      <w:r w:rsidR="007A5346" w:rsidRPr="00B766C7">
        <w:rPr>
          <w:rFonts w:ascii="Arial" w:hAnsi="Arial" w:cs="Arial"/>
          <w:sz w:val="26"/>
          <w:szCs w:val="26"/>
        </w:rPr>
        <w:t>- - - - - - - - - - - -</w:t>
      </w:r>
      <w:r w:rsidR="0018220D" w:rsidRPr="00B766C7">
        <w:rPr>
          <w:rFonts w:ascii="Arial" w:hAnsi="Arial" w:cs="Arial"/>
          <w:sz w:val="26"/>
          <w:szCs w:val="26"/>
        </w:rPr>
        <w:t xml:space="preserve"> - - - - - - - - - - - - - - - </w:t>
      </w:r>
      <w:r w:rsidR="00296542">
        <w:rPr>
          <w:rFonts w:ascii="Arial" w:hAnsi="Arial" w:cs="Arial"/>
          <w:sz w:val="26"/>
          <w:szCs w:val="26"/>
        </w:rPr>
        <w:t xml:space="preserve">- - - - - </w:t>
      </w:r>
    </w:p>
    <w:p w:rsidR="00550C05" w:rsidRPr="004B23F2" w:rsidRDefault="00550C05" w:rsidP="004B23F2">
      <w:pPr>
        <w:spacing w:before="240" w:after="0" w:line="360" w:lineRule="auto"/>
        <w:jc w:val="center"/>
        <w:rPr>
          <w:rFonts w:ascii="Arial" w:hAnsi="Arial" w:cs="Arial"/>
          <w:b/>
          <w:sz w:val="26"/>
          <w:szCs w:val="26"/>
        </w:rPr>
      </w:pPr>
      <w:r w:rsidRPr="004B23F2">
        <w:rPr>
          <w:rFonts w:ascii="Arial" w:hAnsi="Arial" w:cs="Arial"/>
          <w:b/>
          <w:sz w:val="26"/>
          <w:szCs w:val="26"/>
        </w:rPr>
        <w:t>R E S U L T A N D O:</w:t>
      </w:r>
    </w:p>
    <w:p w:rsidR="009175F8" w:rsidRPr="004B23F2" w:rsidRDefault="00550C05" w:rsidP="004B23F2">
      <w:pPr>
        <w:spacing w:before="240" w:after="0" w:line="360" w:lineRule="auto"/>
        <w:ind w:firstLine="567"/>
        <w:jc w:val="both"/>
        <w:rPr>
          <w:rFonts w:ascii="Arial" w:hAnsi="Arial" w:cs="Arial"/>
          <w:sz w:val="26"/>
          <w:szCs w:val="26"/>
        </w:rPr>
      </w:pPr>
      <w:r w:rsidRPr="004B23F2">
        <w:rPr>
          <w:rFonts w:ascii="Arial" w:hAnsi="Arial" w:cs="Arial"/>
          <w:b/>
          <w:sz w:val="26"/>
          <w:szCs w:val="26"/>
        </w:rPr>
        <w:t xml:space="preserve">1. </w:t>
      </w:r>
      <w:r w:rsidRPr="004B23F2">
        <w:rPr>
          <w:rFonts w:ascii="Arial" w:hAnsi="Arial" w:cs="Arial"/>
          <w:sz w:val="26"/>
          <w:szCs w:val="26"/>
        </w:rPr>
        <w:t xml:space="preserve">Por escrito recibido el </w:t>
      </w:r>
      <w:r w:rsidR="009E4FDE">
        <w:rPr>
          <w:rFonts w:ascii="Arial" w:hAnsi="Arial" w:cs="Arial"/>
          <w:sz w:val="26"/>
          <w:szCs w:val="26"/>
        </w:rPr>
        <w:t xml:space="preserve">nueve de agosto </w:t>
      </w:r>
      <w:r w:rsidR="007A5346" w:rsidRPr="004B23F2">
        <w:rPr>
          <w:rFonts w:ascii="Arial" w:hAnsi="Arial" w:cs="Arial"/>
          <w:sz w:val="26"/>
          <w:szCs w:val="26"/>
        </w:rPr>
        <w:t xml:space="preserve">de </w:t>
      </w:r>
      <w:r w:rsidRPr="004B23F2">
        <w:rPr>
          <w:rFonts w:ascii="Arial" w:hAnsi="Arial" w:cs="Arial"/>
          <w:sz w:val="26"/>
          <w:szCs w:val="26"/>
        </w:rPr>
        <w:t xml:space="preserve">dos mil </w:t>
      </w:r>
      <w:r w:rsidR="009175F8" w:rsidRPr="004B23F2">
        <w:rPr>
          <w:rFonts w:ascii="Arial" w:hAnsi="Arial" w:cs="Arial"/>
          <w:sz w:val="26"/>
          <w:szCs w:val="26"/>
        </w:rPr>
        <w:t>diecinueve</w:t>
      </w:r>
      <w:r w:rsidRPr="004B23F2">
        <w:rPr>
          <w:rFonts w:ascii="Arial" w:hAnsi="Arial" w:cs="Arial"/>
          <w:sz w:val="26"/>
          <w:szCs w:val="26"/>
        </w:rPr>
        <w:t xml:space="preserve">, en Oficialía de Partes Común de este Tribunal, </w:t>
      </w:r>
      <w:r w:rsidR="00A06194">
        <w:rPr>
          <w:rFonts w:ascii="Arial" w:hAnsi="Arial" w:cs="Arial"/>
          <w:sz w:val="26"/>
          <w:szCs w:val="26"/>
        </w:rPr>
        <w:t>**********</w:t>
      </w:r>
      <w:r w:rsidR="007A5346" w:rsidRPr="004B23F2">
        <w:rPr>
          <w:rFonts w:ascii="Arial" w:hAnsi="Arial" w:cs="Arial"/>
          <w:sz w:val="26"/>
          <w:szCs w:val="26"/>
        </w:rPr>
        <w:t xml:space="preserve">, </w:t>
      </w:r>
      <w:r w:rsidRPr="004B23F2">
        <w:rPr>
          <w:rFonts w:ascii="Arial" w:hAnsi="Arial" w:cs="Arial"/>
          <w:sz w:val="26"/>
          <w:szCs w:val="26"/>
        </w:rPr>
        <w:t>demandó la nulidad lisa y llana de</w:t>
      </w:r>
      <w:r w:rsidR="009175F8" w:rsidRPr="004B23F2">
        <w:rPr>
          <w:rFonts w:ascii="Arial" w:hAnsi="Arial" w:cs="Arial"/>
          <w:sz w:val="26"/>
          <w:szCs w:val="26"/>
        </w:rPr>
        <w:t xml:space="preserve">l </w:t>
      </w:r>
      <w:r w:rsidR="0018220D" w:rsidRPr="004B23F2">
        <w:rPr>
          <w:rFonts w:ascii="Arial" w:hAnsi="Arial" w:cs="Arial"/>
          <w:sz w:val="26"/>
          <w:szCs w:val="26"/>
        </w:rPr>
        <w:t xml:space="preserve">oficio </w:t>
      </w:r>
      <w:r w:rsidR="00A06194">
        <w:rPr>
          <w:rFonts w:ascii="Arial" w:hAnsi="Arial" w:cs="Arial"/>
          <w:sz w:val="26"/>
          <w:szCs w:val="26"/>
        </w:rPr>
        <w:t>**********</w:t>
      </w:r>
      <w:r w:rsidR="0018220D" w:rsidRPr="004B23F2">
        <w:rPr>
          <w:rFonts w:ascii="Arial" w:hAnsi="Arial" w:cs="Arial"/>
          <w:sz w:val="26"/>
          <w:szCs w:val="26"/>
        </w:rPr>
        <w:t xml:space="preserve"> de </w:t>
      </w:r>
      <w:r w:rsidR="009E4FDE">
        <w:rPr>
          <w:rFonts w:ascii="Arial" w:hAnsi="Arial" w:cs="Arial"/>
          <w:sz w:val="26"/>
          <w:szCs w:val="26"/>
        </w:rPr>
        <w:t xml:space="preserve">dos de julio </w:t>
      </w:r>
      <w:r w:rsidR="0018220D" w:rsidRPr="004B23F2">
        <w:rPr>
          <w:rFonts w:ascii="Arial" w:hAnsi="Arial" w:cs="Arial"/>
          <w:sz w:val="26"/>
          <w:szCs w:val="26"/>
        </w:rPr>
        <w:t>de dos mil diecinueve, emitido por el Director General de la Oficina de Pensiones del Estado de Oaxaca</w:t>
      </w:r>
      <w:r w:rsidR="009175F8" w:rsidRPr="004B23F2">
        <w:rPr>
          <w:rFonts w:ascii="Arial" w:hAnsi="Arial" w:cs="Arial"/>
          <w:sz w:val="26"/>
          <w:szCs w:val="26"/>
        </w:rPr>
        <w:t xml:space="preserve">.- - - - - - - - - - - - - - - </w:t>
      </w:r>
      <w:r w:rsidR="00FC283F" w:rsidRPr="004B23F2">
        <w:rPr>
          <w:rFonts w:ascii="Arial" w:hAnsi="Arial" w:cs="Arial"/>
          <w:sz w:val="26"/>
          <w:szCs w:val="26"/>
        </w:rPr>
        <w:t xml:space="preserve">- - - - - - - - </w:t>
      </w:r>
      <w:r w:rsidR="009E4FDE">
        <w:rPr>
          <w:rFonts w:ascii="Arial" w:hAnsi="Arial" w:cs="Arial"/>
          <w:sz w:val="26"/>
          <w:szCs w:val="26"/>
        </w:rPr>
        <w:t xml:space="preserve">- - - - - </w:t>
      </w:r>
      <w:r w:rsidR="00296542">
        <w:rPr>
          <w:rFonts w:ascii="Arial" w:hAnsi="Arial" w:cs="Arial"/>
          <w:sz w:val="26"/>
          <w:szCs w:val="26"/>
        </w:rPr>
        <w:t xml:space="preserve">- - - - - - </w:t>
      </w:r>
    </w:p>
    <w:p w:rsidR="00550C05" w:rsidRPr="004B23F2" w:rsidRDefault="00550C05" w:rsidP="004B23F2">
      <w:pPr>
        <w:spacing w:before="240" w:after="0" w:line="360" w:lineRule="auto"/>
        <w:ind w:firstLine="567"/>
        <w:jc w:val="both"/>
        <w:rPr>
          <w:rFonts w:ascii="Arial" w:hAnsi="Arial" w:cs="Arial"/>
          <w:sz w:val="26"/>
          <w:szCs w:val="26"/>
        </w:rPr>
      </w:pPr>
      <w:r w:rsidRPr="004B23F2">
        <w:rPr>
          <w:rFonts w:ascii="Arial" w:hAnsi="Arial" w:cs="Arial"/>
          <w:b/>
          <w:sz w:val="26"/>
          <w:szCs w:val="26"/>
        </w:rPr>
        <w:t xml:space="preserve">2. </w:t>
      </w:r>
      <w:r w:rsidRPr="004B23F2">
        <w:rPr>
          <w:rFonts w:ascii="Arial" w:hAnsi="Arial" w:cs="Arial"/>
          <w:sz w:val="26"/>
          <w:szCs w:val="26"/>
        </w:rPr>
        <w:t xml:space="preserve">Por acuerdo de </w:t>
      </w:r>
      <w:r w:rsidR="009E4FDE">
        <w:rPr>
          <w:rFonts w:ascii="Arial" w:hAnsi="Arial" w:cs="Arial"/>
          <w:sz w:val="26"/>
          <w:szCs w:val="26"/>
        </w:rPr>
        <w:t xml:space="preserve">nueve de agosto </w:t>
      </w:r>
      <w:r w:rsidR="009175F8" w:rsidRPr="004B23F2">
        <w:rPr>
          <w:rFonts w:ascii="Arial" w:hAnsi="Arial" w:cs="Arial"/>
          <w:sz w:val="26"/>
          <w:szCs w:val="26"/>
        </w:rPr>
        <w:t xml:space="preserve">de dos mil diecinueve, se </w:t>
      </w:r>
      <w:r w:rsidR="00D34B85" w:rsidRPr="004B23F2">
        <w:rPr>
          <w:rFonts w:ascii="Arial" w:hAnsi="Arial" w:cs="Arial"/>
          <w:sz w:val="26"/>
          <w:szCs w:val="26"/>
        </w:rPr>
        <w:t xml:space="preserve">admitió a trámite </w:t>
      </w:r>
      <w:r w:rsidR="00FC283F" w:rsidRPr="004B23F2">
        <w:rPr>
          <w:rFonts w:ascii="Arial" w:hAnsi="Arial" w:cs="Arial"/>
          <w:sz w:val="26"/>
          <w:szCs w:val="26"/>
        </w:rPr>
        <w:t>la</w:t>
      </w:r>
      <w:r w:rsidR="00D34B85" w:rsidRPr="004B23F2">
        <w:rPr>
          <w:rFonts w:ascii="Arial" w:hAnsi="Arial" w:cs="Arial"/>
          <w:sz w:val="26"/>
          <w:szCs w:val="26"/>
        </w:rPr>
        <w:t xml:space="preserve"> demanda; se le tuvo por ofrecidas y admitidas sus pruebas;</w:t>
      </w:r>
      <w:r w:rsidR="00FC283F" w:rsidRPr="004B23F2">
        <w:rPr>
          <w:rFonts w:ascii="Arial" w:hAnsi="Arial" w:cs="Arial"/>
          <w:sz w:val="26"/>
          <w:szCs w:val="26"/>
        </w:rPr>
        <w:t xml:space="preserve"> </w:t>
      </w:r>
      <w:r w:rsidR="00D34B85" w:rsidRPr="004B23F2">
        <w:rPr>
          <w:rFonts w:ascii="Arial" w:hAnsi="Arial" w:cs="Arial"/>
          <w:sz w:val="26"/>
          <w:szCs w:val="26"/>
        </w:rPr>
        <w:t>se ordenó notificar, emplazar y correr traslado a la demandada, para que produjera su contestación</w:t>
      </w:r>
      <w:r w:rsidR="004D1D42" w:rsidRPr="004B23F2">
        <w:rPr>
          <w:rFonts w:ascii="Arial" w:hAnsi="Arial" w:cs="Arial"/>
          <w:sz w:val="26"/>
          <w:szCs w:val="26"/>
        </w:rPr>
        <w:t>.</w:t>
      </w:r>
      <w:r w:rsidR="00D34B85" w:rsidRPr="004B23F2">
        <w:rPr>
          <w:rFonts w:ascii="Arial" w:hAnsi="Arial" w:cs="Arial"/>
          <w:sz w:val="26"/>
          <w:szCs w:val="26"/>
        </w:rPr>
        <w:t xml:space="preserve">- - - - - - - - - - </w:t>
      </w:r>
      <w:r w:rsidR="0018220D" w:rsidRPr="004B23F2">
        <w:rPr>
          <w:rFonts w:ascii="Arial" w:hAnsi="Arial" w:cs="Arial"/>
          <w:sz w:val="26"/>
          <w:szCs w:val="26"/>
        </w:rPr>
        <w:t xml:space="preserve">- - - - - </w:t>
      </w:r>
    </w:p>
    <w:p w:rsidR="00550C05" w:rsidRDefault="00550C05" w:rsidP="004B23F2">
      <w:pPr>
        <w:spacing w:before="240" w:after="0" w:line="360" w:lineRule="auto"/>
        <w:ind w:firstLine="567"/>
        <w:jc w:val="both"/>
        <w:rPr>
          <w:rFonts w:ascii="Arial" w:hAnsi="Arial" w:cs="Arial"/>
          <w:sz w:val="26"/>
          <w:szCs w:val="26"/>
        </w:rPr>
      </w:pPr>
      <w:r w:rsidRPr="004B23F2">
        <w:rPr>
          <w:rFonts w:ascii="Arial" w:hAnsi="Arial" w:cs="Arial"/>
          <w:b/>
          <w:sz w:val="26"/>
          <w:szCs w:val="26"/>
        </w:rPr>
        <w:t xml:space="preserve">4. </w:t>
      </w:r>
      <w:r w:rsidRPr="004B23F2">
        <w:rPr>
          <w:rFonts w:ascii="Arial" w:hAnsi="Arial" w:cs="Arial"/>
          <w:sz w:val="26"/>
          <w:szCs w:val="26"/>
        </w:rPr>
        <w:t xml:space="preserve">Por </w:t>
      </w:r>
      <w:r w:rsidR="00D34B85" w:rsidRPr="004B23F2">
        <w:rPr>
          <w:rFonts w:ascii="Arial" w:hAnsi="Arial" w:cs="Arial"/>
          <w:sz w:val="26"/>
          <w:szCs w:val="26"/>
        </w:rPr>
        <w:t xml:space="preserve">auto de </w:t>
      </w:r>
      <w:r w:rsidR="009E4FDE">
        <w:rPr>
          <w:rFonts w:ascii="Arial" w:hAnsi="Arial" w:cs="Arial"/>
          <w:sz w:val="26"/>
          <w:szCs w:val="26"/>
        </w:rPr>
        <w:t xml:space="preserve">once de septiembre </w:t>
      </w:r>
      <w:r w:rsidR="00D34B85" w:rsidRPr="004B23F2">
        <w:rPr>
          <w:rFonts w:ascii="Arial" w:hAnsi="Arial" w:cs="Arial"/>
          <w:sz w:val="26"/>
          <w:szCs w:val="26"/>
        </w:rPr>
        <w:t>de dos mil diecinueve, se tuvo a la demandada dando contestación a la demanda, por expresadas su</w:t>
      </w:r>
      <w:r w:rsidR="001D0205" w:rsidRPr="004B23F2">
        <w:rPr>
          <w:rFonts w:ascii="Arial" w:hAnsi="Arial" w:cs="Arial"/>
          <w:sz w:val="26"/>
          <w:szCs w:val="26"/>
        </w:rPr>
        <w:t>s</w:t>
      </w:r>
      <w:r w:rsidR="00D34B85" w:rsidRPr="004B23F2">
        <w:rPr>
          <w:rFonts w:ascii="Arial" w:hAnsi="Arial" w:cs="Arial"/>
          <w:sz w:val="26"/>
          <w:szCs w:val="26"/>
        </w:rPr>
        <w:t xml:space="preserve"> excepciones y defensas y por ofrecidas y admitidas sus pruebas;</w:t>
      </w:r>
      <w:r w:rsidR="00FC283F" w:rsidRPr="004B23F2">
        <w:rPr>
          <w:rFonts w:ascii="Arial" w:hAnsi="Arial" w:cs="Arial"/>
          <w:sz w:val="26"/>
          <w:szCs w:val="26"/>
        </w:rPr>
        <w:t xml:space="preserve"> se </w:t>
      </w:r>
      <w:r w:rsidR="009E4FDE">
        <w:rPr>
          <w:rFonts w:ascii="Arial" w:hAnsi="Arial" w:cs="Arial"/>
          <w:sz w:val="26"/>
          <w:szCs w:val="26"/>
        </w:rPr>
        <w:t>hizo del conocimiento del cambio de titular de la Sala, concediéndose el término de tres días para que de encontrar motivo manifiesto lo hicieran del conocimiento</w:t>
      </w:r>
      <w:r w:rsidR="00EE52B7" w:rsidRPr="004B23F2">
        <w:rPr>
          <w:rFonts w:ascii="Arial" w:hAnsi="Arial" w:cs="Arial"/>
          <w:sz w:val="26"/>
          <w:szCs w:val="26"/>
        </w:rPr>
        <w:t>.</w:t>
      </w:r>
      <w:r w:rsidR="00D34B85" w:rsidRPr="004B23F2">
        <w:rPr>
          <w:rFonts w:ascii="Arial" w:hAnsi="Arial" w:cs="Arial"/>
          <w:sz w:val="26"/>
          <w:szCs w:val="26"/>
        </w:rPr>
        <w:t xml:space="preserve">- </w:t>
      </w:r>
      <w:r w:rsidR="00FC283F" w:rsidRPr="004B23F2">
        <w:rPr>
          <w:rFonts w:ascii="Arial" w:hAnsi="Arial" w:cs="Arial"/>
          <w:sz w:val="26"/>
          <w:szCs w:val="26"/>
        </w:rPr>
        <w:t xml:space="preserve">- - </w:t>
      </w:r>
      <w:r w:rsidR="00A06194">
        <w:rPr>
          <w:rFonts w:ascii="Arial" w:hAnsi="Arial" w:cs="Arial"/>
          <w:sz w:val="26"/>
          <w:szCs w:val="26"/>
        </w:rPr>
        <w:t>- - - - - - - - - - - - - - - - - - -</w:t>
      </w:r>
    </w:p>
    <w:p w:rsidR="009E4FDE" w:rsidRPr="009E4FDE" w:rsidRDefault="009E4FDE" w:rsidP="004B23F2">
      <w:pPr>
        <w:spacing w:before="240" w:after="0" w:line="360" w:lineRule="auto"/>
        <w:ind w:firstLine="567"/>
        <w:jc w:val="both"/>
        <w:rPr>
          <w:rFonts w:ascii="Arial" w:hAnsi="Arial" w:cs="Arial"/>
          <w:sz w:val="26"/>
          <w:szCs w:val="26"/>
        </w:rPr>
      </w:pPr>
      <w:r>
        <w:rPr>
          <w:rFonts w:ascii="Arial" w:hAnsi="Arial" w:cs="Arial"/>
          <w:b/>
          <w:sz w:val="26"/>
          <w:szCs w:val="26"/>
        </w:rPr>
        <w:t xml:space="preserve">5. </w:t>
      </w:r>
      <w:r>
        <w:rPr>
          <w:rFonts w:ascii="Arial" w:hAnsi="Arial" w:cs="Arial"/>
          <w:sz w:val="26"/>
          <w:szCs w:val="26"/>
        </w:rPr>
        <w:t xml:space="preserve">Por auto de diez de enero de dos mil veinte, se señaló fecha y hora para la celebración de la audiencia de ley.- - - - - - - - - - - - - - - </w:t>
      </w:r>
    </w:p>
    <w:p w:rsidR="00550C05" w:rsidRPr="004B23F2" w:rsidRDefault="009E4FDE" w:rsidP="004B23F2">
      <w:pPr>
        <w:spacing w:before="240" w:after="0" w:line="360" w:lineRule="auto"/>
        <w:ind w:firstLine="567"/>
        <w:jc w:val="both"/>
        <w:rPr>
          <w:rFonts w:ascii="Arial" w:hAnsi="Arial" w:cs="Arial"/>
          <w:sz w:val="26"/>
          <w:szCs w:val="26"/>
        </w:rPr>
      </w:pPr>
      <w:r>
        <w:rPr>
          <w:rFonts w:ascii="Arial" w:hAnsi="Arial" w:cs="Arial"/>
          <w:b/>
          <w:sz w:val="26"/>
          <w:szCs w:val="26"/>
        </w:rPr>
        <w:t>6</w:t>
      </w:r>
      <w:r w:rsidR="00550C05" w:rsidRPr="004B23F2">
        <w:rPr>
          <w:rFonts w:ascii="Arial" w:hAnsi="Arial" w:cs="Arial"/>
          <w:b/>
          <w:sz w:val="26"/>
          <w:szCs w:val="26"/>
        </w:rPr>
        <w:t xml:space="preserve">. </w:t>
      </w:r>
      <w:r w:rsidR="00550C05" w:rsidRPr="004B23F2">
        <w:rPr>
          <w:rFonts w:ascii="Arial" w:hAnsi="Arial" w:cs="Arial"/>
          <w:sz w:val="26"/>
          <w:szCs w:val="26"/>
        </w:rPr>
        <w:t xml:space="preserve">Finalmente, el </w:t>
      </w:r>
      <w:r>
        <w:rPr>
          <w:rFonts w:ascii="Arial" w:hAnsi="Arial" w:cs="Arial"/>
          <w:sz w:val="26"/>
          <w:szCs w:val="26"/>
        </w:rPr>
        <w:t xml:space="preserve">quince de enero </w:t>
      </w:r>
      <w:r w:rsidR="00FC283F" w:rsidRPr="004B23F2">
        <w:rPr>
          <w:rFonts w:ascii="Arial" w:hAnsi="Arial" w:cs="Arial"/>
          <w:sz w:val="26"/>
          <w:szCs w:val="26"/>
        </w:rPr>
        <w:t xml:space="preserve">de dos mil </w:t>
      </w:r>
      <w:r>
        <w:rPr>
          <w:rFonts w:ascii="Arial" w:hAnsi="Arial" w:cs="Arial"/>
          <w:sz w:val="26"/>
          <w:szCs w:val="26"/>
        </w:rPr>
        <w:t>veinte</w:t>
      </w:r>
      <w:r w:rsidR="00550C05" w:rsidRPr="004B23F2">
        <w:rPr>
          <w:rFonts w:ascii="Arial" w:hAnsi="Arial" w:cs="Arial"/>
          <w:sz w:val="26"/>
          <w:szCs w:val="26"/>
        </w:rPr>
        <w:t xml:space="preserve">, se llevó a cabo la audiencia final, sin comparecencia de las partes ni persona </w:t>
      </w:r>
      <w:r w:rsidR="00550C05" w:rsidRPr="004B23F2">
        <w:rPr>
          <w:rFonts w:ascii="Arial" w:hAnsi="Arial" w:cs="Arial"/>
          <w:sz w:val="26"/>
          <w:szCs w:val="26"/>
        </w:rPr>
        <w:lastRenderedPageBreak/>
        <w:t>alguna que legalmente las representara; se desahogaron las pruebas de las par</w:t>
      </w:r>
      <w:r w:rsidR="00A5042D" w:rsidRPr="004B23F2">
        <w:rPr>
          <w:rFonts w:ascii="Arial" w:hAnsi="Arial" w:cs="Arial"/>
          <w:sz w:val="26"/>
          <w:szCs w:val="26"/>
        </w:rPr>
        <w:t>t</w:t>
      </w:r>
      <w:r w:rsidR="00550C05" w:rsidRPr="004B23F2">
        <w:rPr>
          <w:rFonts w:ascii="Arial" w:hAnsi="Arial" w:cs="Arial"/>
          <w:sz w:val="26"/>
          <w:szCs w:val="26"/>
        </w:rPr>
        <w:t>es, s</w:t>
      </w:r>
      <w:r w:rsidR="00FC283F" w:rsidRPr="004B23F2">
        <w:rPr>
          <w:rFonts w:ascii="Arial" w:hAnsi="Arial" w:cs="Arial"/>
          <w:sz w:val="26"/>
          <w:szCs w:val="26"/>
        </w:rPr>
        <w:t>e abrió el periodo de alegatos</w:t>
      </w:r>
      <w:r w:rsidR="00A5042D" w:rsidRPr="004B23F2">
        <w:rPr>
          <w:rFonts w:ascii="Arial" w:hAnsi="Arial" w:cs="Arial"/>
          <w:sz w:val="26"/>
          <w:szCs w:val="26"/>
        </w:rPr>
        <w:t xml:space="preserve">; se dio por concluido y cerrada la etapa procesal; </w:t>
      </w:r>
      <w:r w:rsidR="00550C05" w:rsidRPr="004B23F2">
        <w:rPr>
          <w:rFonts w:ascii="Arial" w:hAnsi="Arial" w:cs="Arial"/>
          <w:sz w:val="26"/>
          <w:szCs w:val="26"/>
        </w:rPr>
        <w:t xml:space="preserve">y, por último se citó a las partes para oír sentencia.- - - - - - - - - - - </w:t>
      </w:r>
      <w:r w:rsidR="00296542">
        <w:rPr>
          <w:rFonts w:ascii="Arial" w:hAnsi="Arial" w:cs="Arial"/>
          <w:sz w:val="26"/>
          <w:szCs w:val="26"/>
        </w:rPr>
        <w:t>- - - - - - - - -</w:t>
      </w:r>
      <w:r w:rsidR="00A06194">
        <w:rPr>
          <w:rFonts w:ascii="Arial" w:hAnsi="Arial" w:cs="Arial"/>
          <w:sz w:val="26"/>
          <w:szCs w:val="26"/>
        </w:rPr>
        <w:t xml:space="preserve"> - - - - - - - - - - - - - - - - - - - - - -</w:t>
      </w:r>
    </w:p>
    <w:p w:rsidR="00550C05" w:rsidRPr="004B23F2" w:rsidRDefault="00550C05" w:rsidP="004B23F2">
      <w:pPr>
        <w:spacing w:before="240" w:after="0" w:line="360" w:lineRule="auto"/>
        <w:jc w:val="center"/>
        <w:rPr>
          <w:rFonts w:ascii="Arial" w:hAnsi="Arial" w:cs="Arial"/>
          <w:b/>
          <w:sz w:val="26"/>
          <w:szCs w:val="26"/>
        </w:rPr>
      </w:pPr>
      <w:r w:rsidRPr="004B23F2">
        <w:rPr>
          <w:rFonts w:ascii="Arial" w:hAnsi="Arial" w:cs="Arial"/>
          <w:b/>
          <w:sz w:val="26"/>
          <w:szCs w:val="26"/>
        </w:rPr>
        <w:t>C O N S I D E R A N D O:</w:t>
      </w:r>
    </w:p>
    <w:p w:rsidR="00550C05" w:rsidRPr="004B23F2" w:rsidRDefault="00550C05" w:rsidP="004B23F2">
      <w:pPr>
        <w:spacing w:before="240" w:after="0" w:line="360" w:lineRule="auto"/>
        <w:ind w:right="-93" w:firstLine="567"/>
        <w:jc w:val="both"/>
        <w:rPr>
          <w:rFonts w:ascii="Arial" w:hAnsi="Arial" w:cs="Arial"/>
          <w:sz w:val="26"/>
          <w:szCs w:val="26"/>
        </w:rPr>
      </w:pPr>
      <w:r w:rsidRPr="004B23F2">
        <w:rPr>
          <w:rFonts w:ascii="Arial" w:hAnsi="Arial" w:cs="Arial"/>
          <w:b/>
          <w:sz w:val="26"/>
          <w:szCs w:val="26"/>
        </w:rPr>
        <w:t xml:space="preserve">PRIMERO.- </w:t>
      </w:r>
      <w:r w:rsidRPr="004B23F2">
        <w:rPr>
          <w:rFonts w:ascii="Arial" w:hAnsi="Arial" w:cs="Arial"/>
          <w:sz w:val="26"/>
          <w:szCs w:val="26"/>
        </w:rPr>
        <w:t xml:space="preserve">Esta Sexta Sala Unitaria del Tribunal de Justicia Administrativa del Estado de Oaxaca, es competente para conocer del presente asunto en términos de lo dispuesto por </w:t>
      </w:r>
      <w:r w:rsidR="00A5042D" w:rsidRPr="004B23F2">
        <w:rPr>
          <w:rFonts w:ascii="Arial" w:hAnsi="Arial" w:cs="Arial"/>
          <w:color w:val="000000"/>
          <w:sz w:val="26"/>
          <w:szCs w:val="26"/>
        </w:rPr>
        <w:t xml:space="preserve">los artículos 114 QUÁTER de la Constitución Política del Estado Libre y Soberano de Oaxaca; 1 párrafo segundo, 2 párrafos primero y cuarto, 4 fracción VIII, </w:t>
      </w:r>
      <w:r w:rsidR="009F2D5F" w:rsidRPr="004B23F2">
        <w:rPr>
          <w:rFonts w:ascii="Arial" w:hAnsi="Arial" w:cs="Arial"/>
          <w:color w:val="000000"/>
          <w:sz w:val="26"/>
          <w:szCs w:val="26"/>
        </w:rPr>
        <w:t>3</w:t>
      </w:r>
      <w:r w:rsidR="00A5042D" w:rsidRPr="004B23F2">
        <w:rPr>
          <w:rFonts w:ascii="Arial" w:hAnsi="Arial" w:cs="Arial"/>
          <w:color w:val="000000"/>
          <w:sz w:val="26"/>
          <w:szCs w:val="26"/>
        </w:rPr>
        <w:t xml:space="preserve">3, </w:t>
      </w:r>
      <w:r w:rsidR="009F2D5F" w:rsidRPr="004B23F2">
        <w:rPr>
          <w:rFonts w:ascii="Arial" w:hAnsi="Arial" w:cs="Arial"/>
          <w:color w:val="000000"/>
          <w:sz w:val="26"/>
          <w:szCs w:val="26"/>
        </w:rPr>
        <w:t>35</w:t>
      </w:r>
      <w:r w:rsidR="00A5042D" w:rsidRPr="004B23F2">
        <w:rPr>
          <w:rFonts w:ascii="Arial" w:hAnsi="Arial" w:cs="Arial"/>
          <w:color w:val="000000"/>
          <w:sz w:val="26"/>
          <w:szCs w:val="26"/>
        </w:rPr>
        <w:t xml:space="preserve"> fracción I</w:t>
      </w:r>
      <w:r w:rsidR="009F2D5F" w:rsidRPr="004B23F2">
        <w:rPr>
          <w:rFonts w:ascii="Arial" w:hAnsi="Arial" w:cs="Arial"/>
          <w:color w:val="000000"/>
          <w:sz w:val="26"/>
          <w:szCs w:val="26"/>
        </w:rPr>
        <w:t xml:space="preserve"> y</w:t>
      </w:r>
      <w:r w:rsidR="00A5042D" w:rsidRPr="004B23F2">
        <w:rPr>
          <w:rFonts w:ascii="Arial" w:hAnsi="Arial" w:cs="Arial"/>
          <w:color w:val="000000"/>
          <w:sz w:val="26"/>
          <w:szCs w:val="26"/>
        </w:rPr>
        <w:t xml:space="preserve"> </w:t>
      </w:r>
      <w:r w:rsidR="009F2D5F" w:rsidRPr="004B23F2">
        <w:rPr>
          <w:rFonts w:ascii="Arial" w:hAnsi="Arial" w:cs="Arial"/>
          <w:color w:val="000000"/>
          <w:sz w:val="26"/>
          <w:szCs w:val="26"/>
        </w:rPr>
        <w:t>36</w:t>
      </w:r>
      <w:r w:rsidR="00A5042D" w:rsidRPr="004B23F2">
        <w:rPr>
          <w:rFonts w:ascii="Arial" w:hAnsi="Arial" w:cs="Arial"/>
          <w:color w:val="000000"/>
          <w:sz w:val="26"/>
          <w:szCs w:val="26"/>
        </w:rPr>
        <w:t xml:space="preserve"> fracción I de la Ley Orgánica del Tribunal de Justicia Administrativa del Estado de Oaxaca, publicada en el Periódico Oficial del Estado de Oaxaca, el siete de noviembre de dos mil diecinueve; así como los diversos </w:t>
      </w:r>
      <w:r w:rsidRPr="004B23F2">
        <w:rPr>
          <w:rFonts w:ascii="Arial" w:hAnsi="Arial" w:cs="Arial"/>
          <w:color w:val="000000"/>
          <w:sz w:val="26"/>
          <w:szCs w:val="26"/>
        </w:rPr>
        <w:t xml:space="preserve">118, 119, </w:t>
      </w:r>
      <w:r w:rsidR="00220810" w:rsidRPr="004B23F2">
        <w:rPr>
          <w:rFonts w:ascii="Arial" w:hAnsi="Arial" w:cs="Arial"/>
          <w:color w:val="000000"/>
          <w:sz w:val="26"/>
          <w:szCs w:val="26"/>
        </w:rPr>
        <w:t>120 fracción I y 133</w:t>
      </w:r>
      <w:r w:rsidRPr="004B23F2">
        <w:rPr>
          <w:rFonts w:ascii="Arial" w:hAnsi="Arial" w:cs="Arial"/>
          <w:color w:val="000000"/>
          <w:sz w:val="26"/>
          <w:szCs w:val="26"/>
        </w:rPr>
        <w:t xml:space="preserve"> </w:t>
      </w:r>
      <w:r w:rsidR="00220810" w:rsidRPr="004B23F2">
        <w:rPr>
          <w:rFonts w:ascii="Arial" w:hAnsi="Arial" w:cs="Arial"/>
          <w:color w:val="000000"/>
          <w:sz w:val="26"/>
          <w:szCs w:val="26"/>
        </w:rPr>
        <w:t xml:space="preserve">fracción I </w:t>
      </w:r>
      <w:r w:rsidRPr="004B23F2">
        <w:rPr>
          <w:rFonts w:ascii="Arial" w:hAnsi="Arial" w:cs="Arial"/>
          <w:color w:val="000000"/>
          <w:sz w:val="26"/>
          <w:szCs w:val="26"/>
        </w:rPr>
        <w:t>de la Ley de Procedimiento y Justicia Administrativa para el Estado de Oaxaca</w:t>
      </w:r>
      <w:r w:rsidRPr="004B23F2">
        <w:rPr>
          <w:rFonts w:ascii="Arial" w:hAnsi="Arial" w:cs="Arial"/>
          <w:sz w:val="26"/>
          <w:szCs w:val="26"/>
        </w:rPr>
        <w:t xml:space="preserve">, por tratarse de un juicio de nulidad promovido en contra de una autoridad administrativa de carácter estatal.- - - </w:t>
      </w:r>
      <w:r w:rsidR="00A5042D" w:rsidRPr="004B23F2">
        <w:rPr>
          <w:rFonts w:ascii="Arial" w:hAnsi="Arial" w:cs="Arial"/>
          <w:sz w:val="26"/>
          <w:szCs w:val="26"/>
        </w:rPr>
        <w:t xml:space="preserve">- </w:t>
      </w:r>
      <w:r w:rsidR="00296542">
        <w:rPr>
          <w:rFonts w:ascii="Arial" w:hAnsi="Arial" w:cs="Arial"/>
          <w:sz w:val="26"/>
          <w:szCs w:val="26"/>
        </w:rPr>
        <w:t xml:space="preserve">- - - - - </w:t>
      </w:r>
    </w:p>
    <w:p w:rsidR="00B66E88" w:rsidRPr="004B23F2" w:rsidRDefault="00550C05" w:rsidP="004B23F2">
      <w:pPr>
        <w:tabs>
          <w:tab w:val="left" w:pos="6946"/>
        </w:tabs>
        <w:spacing w:before="240" w:after="0" w:line="360" w:lineRule="auto"/>
        <w:ind w:right="-93" w:firstLine="567"/>
        <w:jc w:val="both"/>
        <w:rPr>
          <w:rFonts w:ascii="Arial" w:hAnsi="Arial" w:cs="Arial"/>
          <w:b/>
          <w:sz w:val="26"/>
          <w:szCs w:val="26"/>
        </w:rPr>
      </w:pPr>
      <w:r w:rsidRPr="004B23F2">
        <w:rPr>
          <w:rFonts w:ascii="Arial" w:hAnsi="Arial" w:cs="Arial"/>
          <w:b/>
          <w:sz w:val="26"/>
          <w:szCs w:val="26"/>
        </w:rPr>
        <w:t xml:space="preserve">SEGUNDO.- </w:t>
      </w:r>
      <w:r w:rsidRPr="004B23F2">
        <w:rPr>
          <w:rFonts w:ascii="Arial" w:hAnsi="Arial" w:cs="Arial"/>
          <w:sz w:val="26"/>
          <w:szCs w:val="26"/>
        </w:rPr>
        <w:t xml:space="preserve">La </w:t>
      </w:r>
      <w:r w:rsidRPr="004B23F2">
        <w:rPr>
          <w:rFonts w:ascii="Arial" w:hAnsi="Arial" w:cs="Arial"/>
          <w:b/>
          <w:sz w:val="26"/>
          <w:szCs w:val="26"/>
        </w:rPr>
        <w:t xml:space="preserve">personalidad </w:t>
      </w:r>
      <w:r w:rsidRPr="004B23F2">
        <w:rPr>
          <w:rFonts w:ascii="Arial" w:hAnsi="Arial" w:cs="Arial"/>
          <w:sz w:val="26"/>
          <w:szCs w:val="26"/>
        </w:rPr>
        <w:t xml:space="preserve">de las partes quedó acreditada, </w:t>
      </w:r>
      <w:r w:rsidR="009E4FDE">
        <w:rPr>
          <w:rFonts w:ascii="Arial" w:hAnsi="Arial" w:cs="Arial"/>
          <w:sz w:val="26"/>
          <w:szCs w:val="26"/>
        </w:rPr>
        <w:t xml:space="preserve">la actora </w:t>
      </w:r>
      <w:r w:rsidR="00B66E88" w:rsidRPr="004B23F2">
        <w:rPr>
          <w:rFonts w:ascii="Arial" w:hAnsi="Arial" w:cs="Arial"/>
          <w:sz w:val="26"/>
          <w:szCs w:val="26"/>
        </w:rPr>
        <w:t>promovió el juicio por propio derecho, y la autoridad demandada acreditó su personería en términos del artículo 151</w:t>
      </w:r>
      <w:r w:rsidR="00B66E88" w:rsidRPr="004B23F2">
        <w:rPr>
          <w:rStyle w:val="Refdenotaalpie"/>
          <w:rFonts w:ascii="Arial" w:hAnsi="Arial" w:cs="Arial"/>
          <w:sz w:val="26"/>
          <w:szCs w:val="26"/>
        </w:rPr>
        <w:footnoteReference w:id="1"/>
      </w:r>
      <w:r w:rsidR="00B66E88" w:rsidRPr="004B23F2">
        <w:rPr>
          <w:rFonts w:ascii="Arial" w:hAnsi="Arial" w:cs="Arial"/>
          <w:sz w:val="26"/>
          <w:szCs w:val="26"/>
        </w:rPr>
        <w:t xml:space="preserve"> de la Ley de Procedimiento y Justicia Administ</w:t>
      </w:r>
      <w:r w:rsidR="009E4FDE">
        <w:rPr>
          <w:rFonts w:ascii="Arial" w:hAnsi="Arial" w:cs="Arial"/>
          <w:sz w:val="26"/>
          <w:szCs w:val="26"/>
        </w:rPr>
        <w:t>rativa para el Estado de Oaxaca</w:t>
      </w:r>
      <w:r w:rsidR="00B66E88" w:rsidRPr="004B23F2">
        <w:rPr>
          <w:rFonts w:ascii="Arial" w:hAnsi="Arial" w:cs="Arial"/>
          <w:sz w:val="26"/>
          <w:szCs w:val="26"/>
        </w:rPr>
        <w:t xml:space="preserve">.- - - </w:t>
      </w:r>
    </w:p>
    <w:p w:rsidR="00230553" w:rsidRPr="004B23F2" w:rsidRDefault="00550C05" w:rsidP="004B23F2">
      <w:pPr>
        <w:tabs>
          <w:tab w:val="left" w:pos="6946"/>
        </w:tabs>
        <w:spacing w:before="240" w:after="0" w:line="360" w:lineRule="auto"/>
        <w:ind w:right="-93" w:firstLine="567"/>
        <w:jc w:val="both"/>
        <w:rPr>
          <w:rFonts w:ascii="Arial" w:hAnsi="Arial" w:cs="Arial"/>
          <w:sz w:val="26"/>
          <w:szCs w:val="26"/>
        </w:rPr>
      </w:pPr>
      <w:r w:rsidRPr="004B23F2">
        <w:rPr>
          <w:rFonts w:ascii="Arial" w:hAnsi="Arial" w:cs="Arial"/>
          <w:b/>
          <w:sz w:val="26"/>
          <w:szCs w:val="26"/>
        </w:rPr>
        <w:t>TERCERO. Causales de Improcedencia y Sobreseimiento</w:t>
      </w:r>
      <w:r w:rsidRPr="004B23F2">
        <w:rPr>
          <w:rFonts w:ascii="Arial" w:hAnsi="Arial" w:cs="Arial"/>
          <w:sz w:val="26"/>
          <w:szCs w:val="26"/>
        </w:rPr>
        <w:t>. Considerando que son de orden público y de estudio preferente a cualquier otra cuestión y derivado del imperioso estudio oficioso que especifica el artículo 161 última parte</w:t>
      </w:r>
      <w:r w:rsidRPr="004B23F2">
        <w:rPr>
          <w:rStyle w:val="Refdenotaalpie"/>
          <w:rFonts w:ascii="Arial" w:hAnsi="Arial" w:cs="Arial"/>
          <w:sz w:val="26"/>
          <w:szCs w:val="26"/>
        </w:rPr>
        <w:footnoteReference w:id="2"/>
      </w:r>
      <w:r w:rsidRPr="004B23F2">
        <w:rPr>
          <w:rFonts w:ascii="Arial" w:hAnsi="Arial" w:cs="Arial"/>
          <w:sz w:val="26"/>
          <w:szCs w:val="26"/>
        </w:rPr>
        <w:t xml:space="preserve"> de la Ley de la materia respecto a dichas causales, </w:t>
      </w:r>
      <w:r w:rsidR="00230553" w:rsidRPr="004B23F2">
        <w:rPr>
          <w:rFonts w:ascii="Arial" w:hAnsi="Arial" w:cs="Arial"/>
          <w:sz w:val="26"/>
          <w:szCs w:val="26"/>
        </w:rPr>
        <w:t xml:space="preserve">esta Sala advierte que en el presente caso concreto no se actualiza causal de improcedencia ni sobreseimiento, consecuentemente, </w:t>
      </w:r>
      <w:r w:rsidR="00230553" w:rsidRPr="004B23F2">
        <w:rPr>
          <w:rFonts w:ascii="Arial" w:hAnsi="Arial" w:cs="Arial"/>
          <w:b/>
          <w:sz w:val="26"/>
          <w:szCs w:val="26"/>
        </w:rPr>
        <w:t>no se sobresee</w:t>
      </w:r>
      <w:r w:rsidR="00230553" w:rsidRPr="004B23F2">
        <w:rPr>
          <w:rFonts w:ascii="Arial" w:hAnsi="Arial" w:cs="Arial"/>
          <w:sz w:val="26"/>
          <w:szCs w:val="26"/>
        </w:rPr>
        <w:t xml:space="preserve"> el juicio. - - - - - - - - - - - - - - - - - - </w:t>
      </w:r>
    </w:p>
    <w:p w:rsidR="00550C05" w:rsidRPr="004B23F2" w:rsidRDefault="00550C05" w:rsidP="004B23F2">
      <w:pPr>
        <w:spacing w:before="240" w:after="0" w:line="360" w:lineRule="auto"/>
        <w:ind w:firstLine="567"/>
        <w:jc w:val="both"/>
        <w:rPr>
          <w:rFonts w:ascii="Arial" w:hAnsi="Arial" w:cs="Arial"/>
          <w:sz w:val="26"/>
          <w:szCs w:val="26"/>
        </w:rPr>
      </w:pPr>
      <w:r w:rsidRPr="004B23F2">
        <w:rPr>
          <w:rFonts w:ascii="Arial" w:hAnsi="Arial" w:cs="Arial"/>
          <w:b/>
          <w:sz w:val="26"/>
          <w:szCs w:val="26"/>
        </w:rPr>
        <w:t xml:space="preserve">CUARTO. </w:t>
      </w:r>
      <w:r w:rsidRPr="004B23F2">
        <w:rPr>
          <w:rFonts w:ascii="Arial" w:hAnsi="Arial" w:cs="Arial"/>
          <w:sz w:val="26"/>
          <w:szCs w:val="26"/>
        </w:rPr>
        <w:t xml:space="preserve">No se transcriben los conceptos de impugnación vertidos, mismos que se tienen por reproducidos en este apartado, ya que con ello no se vulnera disposición expresa alguna de la Ley de </w:t>
      </w:r>
      <w:r w:rsidRPr="004B23F2">
        <w:rPr>
          <w:rFonts w:ascii="Arial" w:hAnsi="Arial" w:cs="Arial"/>
          <w:sz w:val="26"/>
          <w:szCs w:val="26"/>
        </w:rPr>
        <w:lastRenderedPageBreak/>
        <w:t>Procedimiento y Justicia Administrativa para el Estado de Oaxaca, que imponga tal obligación, ni se trasgrede derecho alguno de las partes. 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p>
    <w:p w:rsidR="00550C05" w:rsidRPr="004B23F2" w:rsidRDefault="00550C05" w:rsidP="004B23F2">
      <w:pPr>
        <w:spacing w:before="240" w:after="0" w:line="360" w:lineRule="auto"/>
        <w:ind w:left="1134" w:right="616"/>
        <w:jc w:val="both"/>
        <w:rPr>
          <w:rFonts w:ascii="Arial" w:hAnsi="Arial" w:cs="Arial"/>
          <w:sz w:val="26"/>
          <w:szCs w:val="26"/>
        </w:rPr>
      </w:pPr>
      <w:r w:rsidRPr="004B23F2">
        <w:rPr>
          <w:rFonts w:ascii="Arial" w:hAnsi="Arial" w:cs="Arial"/>
          <w:sz w:val="26"/>
          <w:szCs w:val="26"/>
        </w:rPr>
        <w:t>“</w:t>
      </w:r>
      <w:r w:rsidRPr="004B23F2">
        <w:rPr>
          <w:rFonts w:ascii="Arial" w:hAnsi="Arial" w:cs="Arial"/>
          <w:b/>
          <w:i/>
          <w:sz w:val="26"/>
          <w:szCs w:val="26"/>
        </w:rPr>
        <w:t>CONCEPTOS DE VIOLACION. NO ES OBLIGATORIO TRANSCRIBIRLOS EN LA SENTENCIA</w:t>
      </w:r>
      <w:r w:rsidRPr="004B23F2">
        <w:rPr>
          <w:rFonts w:ascii="Arial" w:hAnsi="Arial" w:cs="Arial"/>
          <w:sz w:val="26"/>
          <w:szCs w:val="26"/>
        </w:rPr>
        <w:t xml:space="preserve">. </w:t>
      </w:r>
      <w:r w:rsidRPr="004B23F2">
        <w:rPr>
          <w:rFonts w:ascii="Arial" w:hAnsi="Arial" w:cs="Arial"/>
          <w:i/>
          <w:sz w:val="26"/>
          <w:szCs w:val="26"/>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4B23F2">
        <w:rPr>
          <w:rFonts w:ascii="Arial" w:hAnsi="Arial" w:cs="Arial"/>
          <w:sz w:val="26"/>
          <w:szCs w:val="26"/>
        </w:rPr>
        <w:t>.”</w:t>
      </w:r>
    </w:p>
    <w:p w:rsidR="00FF2F01" w:rsidRDefault="00550C05" w:rsidP="004B23F2">
      <w:pPr>
        <w:spacing w:before="240" w:after="0" w:line="360" w:lineRule="auto"/>
        <w:ind w:firstLine="567"/>
        <w:jc w:val="both"/>
        <w:rPr>
          <w:rFonts w:ascii="Arial" w:hAnsi="Arial" w:cs="Arial"/>
          <w:sz w:val="26"/>
          <w:szCs w:val="26"/>
        </w:rPr>
      </w:pPr>
      <w:r w:rsidRPr="004B23F2">
        <w:rPr>
          <w:rFonts w:ascii="Arial" w:hAnsi="Arial" w:cs="Arial"/>
          <w:b/>
          <w:sz w:val="26"/>
          <w:szCs w:val="26"/>
        </w:rPr>
        <w:t xml:space="preserve">QUINTO. </w:t>
      </w:r>
      <w:r w:rsidR="00FF2F01">
        <w:rPr>
          <w:rFonts w:ascii="Arial" w:hAnsi="Arial" w:cs="Arial"/>
          <w:sz w:val="26"/>
          <w:szCs w:val="26"/>
        </w:rPr>
        <w:t xml:space="preserve">La actora </w:t>
      </w:r>
      <w:r w:rsidR="00A06194">
        <w:rPr>
          <w:rFonts w:ascii="Arial" w:hAnsi="Arial" w:cs="Arial"/>
          <w:sz w:val="26"/>
          <w:szCs w:val="26"/>
        </w:rPr>
        <w:t>**********</w:t>
      </w:r>
      <w:r w:rsidR="00FF2F01">
        <w:rPr>
          <w:rFonts w:ascii="Arial" w:hAnsi="Arial" w:cs="Arial"/>
          <w:sz w:val="26"/>
          <w:szCs w:val="26"/>
        </w:rPr>
        <w:t xml:space="preserve">, </w:t>
      </w:r>
      <w:r w:rsidRPr="004B23F2">
        <w:rPr>
          <w:rFonts w:ascii="Arial" w:hAnsi="Arial" w:cs="Arial"/>
          <w:sz w:val="26"/>
          <w:szCs w:val="26"/>
        </w:rPr>
        <w:t xml:space="preserve">demandó la nulidad </w:t>
      </w:r>
      <w:r w:rsidR="00911747" w:rsidRPr="004B23F2">
        <w:rPr>
          <w:rFonts w:ascii="Arial" w:hAnsi="Arial" w:cs="Arial"/>
          <w:sz w:val="26"/>
          <w:szCs w:val="26"/>
        </w:rPr>
        <w:t xml:space="preserve">del </w:t>
      </w:r>
      <w:r w:rsidR="00B66E88" w:rsidRPr="004B23F2">
        <w:rPr>
          <w:rFonts w:ascii="Arial" w:hAnsi="Arial" w:cs="Arial"/>
          <w:sz w:val="26"/>
          <w:szCs w:val="26"/>
        </w:rPr>
        <w:t xml:space="preserve">oficio </w:t>
      </w:r>
      <w:r w:rsidR="00A06194">
        <w:rPr>
          <w:rFonts w:ascii="Arial" w:hAnsi="Arial" w:cs="Arial"/>
          <w:sz w:val="26"/>
          <w:szCs w:val="26"/>
        </w:rPr>
        <w:t>**********</w:t>
      </w:r>
      <w:r w:rsidR="00B66E88" w:rsidRPr="004B23F2">
        <w:rPr>
          <w:rFonts w:ascii="Arial" w:hAnsi="Arial" w:cs="Arial"/>
          <w:sz w:val="26"/>
          <w:szCs w:val="26"/>
        </w:rPr>
        <w:t xml:space="preserve"> de </w:t>
      </w:r>
      <w:r w:rsidR="00FF2F01">
        <w:rPr>
          <w:rFonts w:ascii="Arial" w:hAnsi="Arial" w:cs="Arial"/>
          <w:sz w:val="26"/>
          <w:szCs w:val="26"/>
        </w:rPr>
        <w:t xml:space="preserve">dos de </w:t>
      </w:r>
      <w:r w:rsidR="00B66E88" w:rsidRPr="004B23F2">
        <w:rPr>
          <w:rFonts w:ascii="Arial" w:hAnsi="Arial" w:cs="Arial"/>
          <w:sz w:val="26"/>
          <w:szCs w:val="26"/>
        </w:rPr>
        <w:t xml:space="preserve">julio de dos mil diecinueve, emitido </w:t>
      </w:r>
      <w:r w:rsidR="00911747" w:rsidRPr="004B23F2">
        <w:rPr>
          <w:rFonts w:ascii="Arial" w:hAnsi="Arial" w:cs="Arial"/>
          <w:sz w:val="26"/>
          <w:szCs w:val="26"/>
        </w:rPr>
        <w:t xml:space="preserve">por </w:t>
      </w:r>
      <w:r w:rsidR="00B66E88" w:rsidRPr="004B23F2">
        <w:rPr>
          <w:rFonts w:ascii="Arial" w:hAnsi="Arial" w:cs="Arial"/>
          <w:sz w:val="26"/>
          <w:szCs w:val="26"/>
        </w:rPr>
        <w:t>el Director General de la Oficina de Pensiones</w:t>
      </w:r>
      <w:r w:rsidR="00911747" w:rsidRPr="004B23F2">
        <w:rPr>
          <w:rFonts w:ascii="Arial" w:hAnsi="Arial" w:cs="Arial"/>
          <w:sz w:val="26"/>
          <w:szCs w:val="26"/>
        </w:rPr>
        <w:t xml:space="preserve"> del Estado</w:t>
      </w:r>
      <w:r w:rsidR="004B23F2">
        <w:rPr>
          <w:rFonts w:ascii="Arial" w:hAnsi="Arial" w:cs="Arial"/>
          <w:sz w:val="26"/>
          <w:szCs w:val="26"/>
        </w:rPr>
        <w:t xml:space="preserve">, alegando que </w:t>
      </w:r>
      <w:r w:rsidR="00FF2F01">
        <w:rPr>
          <w:rFonts w:ascii="Arial" w:hAnsi="Arial" w:cs="Arial"/>
          <w:sz w:val="26"/>
          <w:szCs w:val="26"/>
        </w:rPr>
        <w:t>la negativa de la autoridad demandada para devolverle los descuentos hechos al fondo de pensiones correspondientes a los meses de agosto de dos mil diecisiete a marzo de dos mil diecinueve, es violatorio de sus derechos fundamentales, porque a pesar de la existencia de la jurisprudencia que establece que la aportación del 9% es inconvencional e inconstitucional; también aduce que la autoridad dejo de lado lo dispuesto por el artículo 63 de la Ley de Pensiones para los Trabajadores del Gobierno del Estado de Oaxaca, en el que se establece que la devolución de descuentos procede siempre que sean reclamados dentro de los tres años siguientes a que hubieran sido exigibles, sin que se actualice el consentimiento que aduce la demandada, porque solicitó la devolución por escrito.</w:t>
      </w:r>
    </w:p>
    <w:p w:rsidR="00B440DA" w:rsidRPr="004B23F2" w:rsidRDefault="00E74DAE" w:rsidP="00D85B0D">
      <w:pPr>
        <w:pStyle w:val="Sinespaciado"/>
        <w:spacing w:before="240" w:line="360" w:lineRule="auto"/>
        <w:ind w:firstLine="708"/>
        <w:jc w:val="both"/>
        <w:rPr>
          <w:rFonts w:ascii="Arial" w:hAnsi="Arial" w:cs="Arial"/>
          <w:sz w:val="26"/>
          <w:szCs w:val="26"/>
        </w:rPr>
      </w:pPr>
      <w:r w:rsidRPr="004B23F2">
        <w:rPr>
          <w:rFonts w:ascii="Arial" w:hAnsi="Arial" w:cs="Arial"/>
          <w:sz w:val="26"/>
          <w:szCs w:val="26"/>
        </w:rPr>
        <w:t>Por su parte la demanda</w:t>
      </w:r>
      <w:r w:rsidR="00CF47D1">
        <w:rPr>
          <w:rFonts w:ascii="Arial" w:hAnsi="Arial" w:cs="Arial"/>
          <w:sz w:val="26"/>
          <w:szCs w:val="26"/>
        </w:rPr>
        <w:t>da</w:t>
      </w:r>
      <w:r w:rsidRPr="004B23F2">
        <w:rPr>
          <w:rFonts w:ascii="Arial" w:hAnsi="Arial" w:cs="Arial"/>
          <w:sz w:val="26"/>
          <w:szCs w:val="26"/>
        </w:rPr>
        <w:t xml:space="preserve"> aduce, que el acto impugnado se encuentra debidamente fundado y motivado, al cumplir con los </w:t>
      </w:r>
      <w:r w:rsidRPr="004B23F2">
        <w:rPr>
          <w:rFonts w:ascii="Arial" w:hAnsi="Arial" w:cs="Arial"/>
          <w:sz w:val="26"/>
          <w:szCs w:val="26"/>
        </w:rPr>
        <w:lastRenderedPageBreak/>
        <w:t>elementos y requisitos de validez que establece el artículo 17 de la Ley de Procedimiento y Justicia Administrativa para el Estado de Oaxaca; sin que le asista derecho al actor para solicitar la nulida</w:t>
      </w:r>
      <w:r w:rsidR="00B440DA" w:rsidRPr="004B23F2">
        <w:rPr>
          <w:rFonts w:ascii="Arial" w:hAnsi="Arial" w:cs="Arial"/>
          <w:sz w:val="26"/>
          <w:szCs w:val="26"/>
        </w:rPr>
        <w:t>d</w:t>
      </w:r>
      <w:r w:rsidRPr="004B23F2">
        <w:rPr>
          <w:rFonts w:ascii="Arial" w:hAnsi="Arial" w:cs="Arial"/>
          <w:sz w:val="26"/>
          <w:szCs w:val="26"/>
        </w:rPr>
        <w:t xml:space="preserve"> de la resolución,</w:t>
      </w:r>
      <w:r w:rsidR="00B440DA" w:rsidRPr="004B23F2">
        <w:rPr>
          <w:rFonts w:ascii="Arial" w:hAnsi="Arial" w:cs="Arial"/>
          <w:sz w:val="26"/>
          <w:szCs w:val="26"/>
        </w:rPr>
        <w:t xml:space="preserve"> porque cumple cabalmente con los elementos y requisitos de validez, como lo establece el artículo 16 de la Constitución Política de los Estados Unidos Mexicanos</w:t>
      </w:r>
      <w:r w:rsidR="00CC0CB4" w:rsidRPr="004B23F2">
        <w:rPr>
          <w:rFonts w:ascii="Arial" w:hAnsi="Arial" w:cs="Arial"/>
          <w:sz w:val="26"/>
          <w:szCs w:val="26"/>
        </w:rPr>
        <w:t xml:space="preserve">; porque </w:t>
      </w:r>
      <w:r w:rsidR="00D85B0D">
        <w:rPr>
          <w:rFonts w:ascii="Arial" w:hAnsi="Arial" w:cs="Arial"/>
          <w:sz w:val="26"/>
          <w:szCs w:val="26"/>
        </w:rPr>
        <w:t>en el se citaron con precisión los artículos de los cuales deriva, los fundamentos legales, los motivos, las razones y consideraciones de hecho y derecho que lo justifican</w:t>
      </w:r>
      <w:r w:rsidR="004B23F2">
        <w:rPr>
          <w:rFonts w:ascii="Arial" w:hAnsi="Arial" w:cs="Arial"/>
          <w:sz w:val="26"/>
          <w:szCs w:val="26"/>
        </w:rPr>
        <w:t>.</w:t>
      </w:r>
    </w:p>
    <w:p w:rsidR="004B23F2" w:rsidRPr="004B23F2" w:rsidRDefault="00CF47D1" w:rsidP="004B23F2">
      <w:pPr>
        <w:spacing w:before="240" w:after="0" w:line="360" w:lineRule="auto"/>
        <w:ind w:firstLine="567"/>
        <w:jc w:val="both"/>
        <w:rPr>
          <w:rFonts w:ascii="Arial" w:hAnsi="Arial" w:cs="Arial"/>
          <w:sz w:val="26"/>
          <w:szCs w:val="26"/>
        </w:rPr>
      </w:pPr>
      <w:r>
        <w:rPr>
          <w:rFonts w:ascii="Arial" w:hAnsi="Arial" w:cs="Arial"/>
          <w:sz w:val="26"/>
          <w:szCs w:val="26"/>
        </w:rPr>
        <w:t>D</w:t>
      </w:r>
      <w:r w:rsidR="00D85B0D">
        <w:rPr>
          <w:rFonts w:ascii="Arial" w:hAnsi="Arial" w:cs="Arial"/>
          <w:sz w:val="26"/>
          <w:szCs w:val="26"/>
        </w:rPr>
        <w:t>el análisis al oficio impugnado</w:t>
      </w:r>
      <w:r w:rsidR="00B766C7">
        <w:rPr>
          <w:rFonts w:ascii="Arial" w:hAnsi="Arial" w:cs="Arial"/>
          <w:sz w:val="26"/>
          <w:szCs w:val="26"/>
        </w:rPr>
        <w:t xml:space="preserve"> </w:t>
      </w:r>
      <w:r w:rsidR="00A06194">
        <w:rPr>
          <w:rFonts w:ascii="Arial" w:hAnsi="Arial" w:cs="Arial"/>
          <w:sz w:val="26"/>
          <w:szCs w:val="26"/>
        </w:rPr>
        <w:t>**********</w:t>
      </w:r>
      <w:r w:rsidR="004B23F2" w:rsidRPr="004B23F2">
        <w:rPr>
          <w:rFonts w:ascii="Arial" w:hAnsi="Arial" w:cs="Arial"/>
          <w:sz w:val="26"/>
          <w:szCs w:val="26"/>
        </w:rPr>
        <w:t xml:space="preserve"> de </w:t>
      </w:r>
      <w:r w:rsidR="00D85B0D">
        <w:rPr>
          <w:rFonts w:ascii="Arial" w:hAnsi="Arial" w:cs="Arial"/>
          <w:sz w:val="26"/>
          <w:szCs w:val="26"/>
        </w:rPr>
        <w:t xml:space="preserve">dos de julio </w:t>
      </w:r>
      <w:r w:rsidR="004B23F2" w:rsidRPr="004B23F2">
        <w:rPr>
          <w:rFonts w:ascii="Arial" w:hAnsi="Arial" w:cs="Arial"/>
          <w:sz w:val="26"/>
          <w:szCs w:val="26"/>
        </w:rPr>
        <w:t xml:space="preserve">de dos mil diecinueve, </w:t>
      </w:r>
      <w:r w:rsidR="00D2485E">
        <w:rPr>
          <w:rFonts w:ascii="Arial" w:hAnsi="Arial" w:cs="Arial"/>
          <w:sz w:val="26"/>
          <w:szCs w:val="26"/>
        </w:rPr>
        <w:t>al que se le otorga pleno valor probatorio conforme lo previsto por el artículo 203 fracción I</w:t>
      </w:r>
      <w:r w:rsidR="00D2485E">
        <w:rPr>
          <w:rStyle w:val="Refdenotaalpie"/>
          <w:rFonts w:ascii="Arial" w:hAnsi="Arial" w:cs="Arial"/>
          <w:sz w:val="26"/>
          <w:szCs w:val="26"/>
        </w:rPr>
        <w:footnoteReference w:id="3"/>
      </w:r>
      <w:r w:rsidR="00D2485E">
        <w:rPr>
          <w:rFonts w:ascii="Arial" w:hAnsi="Arial" w:cs="Arial"/>
          <w:sz w:val="26"/>
          <w:szCs w:val="26"/>
        </w:rPr>
        <w:t xml:space="preserve"> de la Ley de Procedimiento y Justicia Administrativa para el Estado de Oaxaca, al tratarse de un documento público, emitido por autoridad en ejercicio de sus facultades, </w:t>
      </w:r>
      <w:r w:rsidR="00D85B0D">
        <w:rPr>
          <w:rFonts w:ascii="Arial" w:hAnsi="Arial" w:cs="Arial"/>
          <w:sz w:val="26"/>
          <w:szCs w:val="26"/>
        </w:rPr>
        <w:t xml:space="preserve">se advierte que la autoridad demandada, </w:t>
      </w:r>
      <w:r w:rsidR="004B23F2">
        <w:rPr>
          <w:rFonts w:ascii="Arial" w:hAnsi="Arial" w:cs="Arial"/>
          <w:sz w:val="26"/>
          <w:szCs w:val="26"/>
        </w:rPr>
        <w:t>determinó</w:t>
      </w:r>
      <w:r w:rsidR="004B23F2" w:rsidRPr="004B23F2">
        <w:rPr>
          <w:rFonts w:ascii="Arial" w:hAnsi="Arial" w:cs="Arial"/>
          <w:sz w:val="26"/>
          <w:szCs w:val="26"/>
        </w:rPr>
        <w:t>:</w:t>
      </w:r>
    </w:p>
    <w:p w:rsidR="004B23F2" w:rsidRPr="00D85B0D" w:rsidRDefault="004B23F2" w:rsidP="00D85B0D">
      <w:pPr>
        <w:spacing w:before="240" w:after="0" w:line="360" w:lineRule="auto"/>
        <w:ind w:left="1134" w:right="616"/>
        <w:jc w:val="both"/>
        <w:rPr>
          <w:rFonts w:ascii="Arial" w:hAnsi="Arial" w:cs="Arial"/>
          <w:i/>
          <w:sz w:val="24"/>
          <w:szCs w:val="24"/>
        </w:rPr>
      </w:pPr>
      <w:r w:rsidRPr="004B23F2">
        <w:rPr>
          <w:rFonts w:ascii="Arial" w:hAnsi="Arial" w:cs="Arial"/>
          <w:sz w:val="26"/>
          <w:szCs w:val="26"/>
        </w:rPr>
        <w:t>“</w:t>
      </w:r>
      <w:r w:rsidR="00D85B0D">
        <w:rPr>
          <w:rFonts w:ascii="Arial" w:hAnsi="Arial" w:cs="Arial"/>
          <w:i/>
          <w:sz w:val="24"/>
          <w:szCs w:val="24"/>
        </w:rPr>
        <w:t xml:space="preserve">Respecto de la devolución de los descuentos realizados a su pensión por jubilación que se le hicieron a durante los meses de </w:t>
      </w:r>
      <w:r w:rsidR="00D85B0D" w:rsidRPr="00305436">
        <w:rPr>
          <w:rFonts w:ascii="Arial" w:hAnsi="Arial" w:cs="Arial"/>
          <w:b/>
          <w:i/>
          <w:sz w:val="24"/>
          <w:szCs w:val="24"/>
          <w:u w:val="single"/>
        </w:rPr>
        <w:t>agosto de dos mil diecisiete a marzo del dos mil diecinueve</w:t>
      </w:r>
      <w:r w:rsidR="00D85B0D">
        <w:rPr>
          <w:rFonts w:ascii="Arial" w:hAnsi="Arial" w:cs="Arial"/>
          <w:b/>
          <w:i/>
          <w:sz w:val="24"/>
          <w:szCs w:val="24"/>
        </w:rPr>
        <w:t xml:space="preserve">, </w:t>
      </w:r>
      <w:r w:rsidR="00D85B0D">
        <w:rPr>
          <w:rFonts w:ascii="Arial" w:hAnsi="Arial" w:cs="Arial"/>
          <w:i/>
          <w:sz w:val="24"/>
          <w:szCs w:val="24"/>
        </w:rPr>
        <w:t xml:space="preserve">estos se iniciaron por concepto denominado ´202 FDO DE PENSIONES´, por lo que desde esa fecha tuvo conocimiento de los referidos descuentos, ya que se le pagaba puntualmente y de manera ininterrumpida, mes con mes junto con todas las prestaciones inherentes a la misma, además es preciso señalarle a usted, que una vez le (sic) fue notificada la ejecutoria de amparo de fecha ocho de mayo de dos mil diecinueve, radicada en el expediente </w:t>
      </w:r>
      <w:r w:rsidR="00A06194">
        <w:rPr>
          <w:rFonts w:ascii="Arial" w:hAnsi="Arial" w:cs="Arial"/>
          <w:b/>
          <w:i/>
          <w:sz w:val="24"/>
          <w:szCs w:val="24"/>
        </w:rPr>
        <w:t>***********</w:t>
      </w:r>
      <w:r w:rsidR="00D85B0D">
        <w:rPr>
          <w:rFonts w:ascii="Arial" w:hAnsi="Arial" w:cs="Arial"/>
          <w:b/>
          <w:i/>
          <w:sz w:val="24"/>
          <w:szCs w:val="24"/>
        </w:rPr>
        <w:t xml:space="preserve">, Mesa V-A, </w:t>
      </w:r>
      <w:r w:rsidR="00D85B0D">
        <w:rPr>
          <w:rFonts w:ascii="Arial" w:hAnsi="Arial" w:cs="Arial"/>
          <w:i/>
          <w:sz w:val="24"/>
          <w:szCs w:val="24"/>
        </w:rPr>
        <w:t xml:space="preserve">del Juzgado Decimoprimero de Distrito en el Estado, debió de manifestar su inconformidad y solicitar la devolución de dichos descuentos lo cual usted no hizo y no reclamo el pago de dichos descuentos en el momento procesal oportuno para ello, esto lleva a concluir que se evidencia su consentimiento tácito, porque no obstante al conocer el oficio de cumplimiento, por lo cual soslayó su reclamación, más aún que desde el día catorce de junio del </w:t>
      </w:r>
      <w:r w:rsidR="00D85B0D">
        <w:rPr>
          <w:rFonts w:ascii="Arial" w:hAnsi="Arial" w:cs="Arial"/>
          <w:i/>
          <w:sz w:val="24"/>
          <w:szCs w:val="24"/>
        </w:rPr>
        <w:lastRenderedPageBreak/>
        <w:t>dos mil diecisiete, fuel (sic) legalmente notificada</w:t>
      </w:r>
      <w:r w:rsidR="00305436">
        <w:rPr>
          <w:rFonts w:ascii="Arial" w:hAnsi="Arial" w:cs="Arial"/>
          <w:i/>
          <w:sz w:val="24"/>
          <w:szCs w:val="24"/>
        </w:rPr>
        <w:t xml:space="preserve"> del </w:t>
      </w:r>
      <w:r w:rsidR="00A06194">
        <w:rPr>
          <w:rFonts w:ascii="Arial" w:hAnsi="Arial" w:cs="Arial"/>
          <w:b/>
          <w:i/>
          <w:sz w:val="24"/>
          <w:szCs w:val="24"/>
        </w:rPr>
        <w:t>**********</w:t>
      </w:r>
      <w:r w:rsidR="00305436">
        <w:rPr>
          <w:rFonts w:ascii="Arial" w:hAnsi="Arial" w:cs="Arial"/>
          <w:b/>
          <w:i/>
          <w:sz w:val="24"/>
          <w:szCs w:val="24"/>
        </w:rPr>
        <w:t xml:space="preserve"> </w:t>
      </w:r>
      <w:r w:rsidR="00305436">
        <w:rPr>
          <w:rFonts w:ascii="Arial" w:hAnsi="Arial" w:cs="Arial"/>
          <w:i/>
          <w:sz w:val="24"/>
          <w:szCs w:val="24"/>
        </w:rPr>
        <w:t>de fecha 05 de junio del 2017, mediante el cual se le informo los fundamentos legales con los cuales se otorgó su jubilación de lo que se determina que el conocimiento de los descuentos y su devolución son actos consentidos tácitamente por usted, de ahí que no s posible obsequiar su petición como procedente.</w:t>
      </w:r>
      <w:r w:rsidRPr="00B17F08">
        <w:rPr>
          <w:rFonts w:ascii="Arial" w:hAnsi="Arial" w:cs="Arial"/>
          <w:i/>
          <w:sz w:val="26"/>
          <w:szCs w:val="26"/>
        </w:rPr>
        <w:t>”</w:t>
      </w:r>
    </w:p>
    <w:p w:rsidR="00CF47D1" w:rsidRPr="00CF47D1" w:rsidRDefault="00B766C7" w:rsidP="00CF47D1">
      <w:pPr>
        <w:spacing w:before="240" w:after="0" w:line="360" w:lineRule="auto"/>
        <w:ind w:firstLine="567"/>
        <w:jc w:val="both"/>
        <w:rPr>
          <w:rFonts w:ascii="Arial" w:hAnsi="Arial" w:cs="Arial"/>
          <w:sz w:val="26"/>
          <w:szCs w:val="26"/>
        </w:rPr>
      </w:pPr>
      <w:r>
        <w:rPr>
          <w:rFonts w:ascii="Arial" w:hAnsi="Arial" w:cs="Arial"/>
          <w:sz w:val="26"/>
          <w:szCs w:val="26"/>
        </w:rPr>
        <w:t>De esta transcripción se advierte que como lo arguye l</w:t>
      </w:r>
      <w:r w:rsidR="00305436">
        <w:rPr>
          <w:rFonts w:ascii="Arial" w:hAnsi="Arial" w:cs="Arial"/>
          <w:sz w:val="26"/>
          <w:szCs w:val="26"/>
        </w:rPr>
        <w:t>a</w:t>
      </w:r>
      <w:r>
        <w:rPr>
          <w:rFonts w:ascii="Arial" w:hAnsi="Arial" w:cs="Arial"/>
          <w:sz w:val="26"/>
          <w:szCs w:val="26"/>
        </w:rPr>
        <w:t xml:space="preserve"> actor</w:t>
      </w:r>
      <w:r w:rsidR="00305436">
        <w:rPr>
          <w:rFonts w:ascii="Arial" w:hAnsi="Arial" w:cs="Arial"/>
          <w:sz w:val="26"/>
          <w:szCs w:val="26"/>
        </w:rPr>
        <w:t>a</w:t>
      </w:r>
      <w:r>
        <w:rPr>
          <w:rFonts w:ascii="Arial" w:hAnsi="Arial" w:cs="Arial"/>
          <w:sz w:val="26"/>
          <w:szCs w:val="26"/>
        </w:rPr>
        <w:t xml:space="preserve">, la </w:t>
      </w:r>
      <w:r w:rsidR="00305436">
        <w:rPr>
          <w:rFonts w:ascii="Arial" w:hAnsi="Arial" w:cs="Arial"/>
          <w:sz w:val="26"/>
          <w:szCs w:val="26"/>
        </w:rPr>
        <w:t xml:space="preserve">determinación de negarle la devolución solicitada, se basó en la consideración de que tales descuentos los consintió tácitamente desde el cinco de junio de dos mil diecisiete, fecha en que fue notificada de los fundamentos legales con los cuales se otorgó su jubilación; eludiendo con ello, tomar en consideración lo dispuesto por el artículo 63 de la Ley de pensiones para los Trabajadores del Gobierno del Estado de Oaxaca, </w:t>
      </w:r>
      <w:r w:rsidR="00CF47D1" w:rsidRPr="00CF47D1">
        <w:rPr>
          <w:rFonts w:ascii="Arial" w:hAnsi="Arial" w:cs="Arial"/>
          <w:sz w:val="26"/>
          <w:szCs w:val="26"/>
        </w:rPr>
        <w:t>que a la letra dice:</w:t>
      </w:r>
    </w:p>
    <w:p w:rsidR="00CF47D1" w:rsidRDefault="00CF47D1" w:rsidP="00CF47D1">
      <w:pPr>
        <w:spacing w:after="0"/>
        <w:ind w:left="1134" w:right="616"/>
        <w:jc w:val="both"/>
        <w:rPr>
          <w:rFonts w:ascii="Arial" w:hAnsi="Arial" w:cs="Arial"/>
        </w:rPr>
      </w:pPr>
      <w:r w:rsidRPr="00CF47D1">
        <w:rPr>
          <w:rFonts w:ascii="Arial" w:hAnsi="Arial" w:cs="Arial"/>
          <w:sz w:val="26"/>
          <w:szCs w:val="26"/>
        </w:rPr>
        <w:t>“</w:t>
      </w:r>
      <w:r w:rsidRPr="00CF47D1">
        <w:rPr>
          <w:rFonts w:ascii="Arial" w:hAnsi="Arial" w:cs="Arial"/>
          <w:b/>
          <w:sz w:val="24"/>
          <w:szCs w:val="24"/>
        </w:rPr>
        <w:t xml:space="preserve">ARTÍCULO 63.- </w:t>
      </w:r>
      <w:r w:rsidRPr="00CF47D1">
        <w:rPr>
          <w:rFonts w:ascii="Arial" w:hAnsi="Arial" w:cs="Arial"/>
          <w:i/>
          <w:sz w:val="24"/>
          <w:szCs w:val="24"/>
        </w:rPr>
        <w:t>Las prestaciones caídas, la devolución de descuentos, los intereses y cualquiera prestación a cargo del Fondo de Pensiones, que no se reclame dentro de los tres años siguientes a la fecha en que hubieren sido exigibles, prescribirán  a favor de dicho Fondo, a excepción de lo previsto por el artículo 39 de esta Ley</w:t>
      </w:r>
      <w:r w:rsidRPr="00CF47D1">
        <w:rPr>
          <w:rFonts w:ascii="Arial" w:hAnsi="Arial" w:cs="Arial"/>
          <w:sz w:val="26"/>
          <w:szCs w:val="26"/>
        </w:rPr>
        <w:t>”</w:t>
      </w:r>
    </w:p>
    <w:p w:rsidR="006F78BE" w:rsidRDefault="00CF47D1" w:rsidP="00CF47D1">
      <w:pPr>
        <w:spacing w:before="240" w:after="0" w:line="360" w:lineRule="auto"/>
        <w:ind w:firstLine="708"/>
        <w:jc w:val="both"/>
        <w:rPr>
          <w:rFonts w:ascii="Arial" w:hAnsi="Arial" w:cs="Arial"/>
          <w:sz w:val="26"/>
          <w:szCs w:val="26"/>
        </w:rPr>
      </w:pPr>
      <w:r>
        <w:rPr>
          <w:rFonts w:ascii="Arial" w:hAnsi="Arial" w:cs="Arial"/>
          <w:sz w:val="26"/>
          <w:szCs w:val="26"/>
        </w:rPr>
        <w:t>De lo anterior, se evidencia sólo aquellas prestaciones caídas, devolución de descuentos, intereses y cualquier prestación a cargo del Fondo de Pensiones que no se reclamen dentro de los tres años siguientes a la fecha en que se hicieren exigibles, prescribirán, lo que en el caso no acontece</w:t>
      </w:r>
      <w:r w:rsidR="006F78BE">
        <w:rPr>
          <w:rFonts w:ascii="Arial" w:hAnsi="Arial" w:cs="Arial"/>
          <w:sz w:val="26"/>
          <w:szCs w:val="26"/>
        </w:rPr>
        <w:t>, porque la actora solicitó la devolución mediante escrito de diecisiete de junio de dos mil diecinueve, de los descuentos que le fueron efectuados de agosto de dos mil diecisiete a marzo de dos mil diecinueve, esto es, de agosto de dos mil diecisiete, al diecisiete de junio de dos mil diecinueve, no han transcurrido los tres años que refiere el artículos en comento, por lo que la razón dada por la demandada, resulta incorrecta e infundada.</w:t>
      </w:r>
    </w:p>
    <w:p w:rsidR="006F78BE" w:rsidRDefault="006F78BE" w:rsidP="006F78BE">
      <w:pPr>
        <w:spacing w:before="240" w:after="0" w:line="360" w:lineRule="auto"/>
        <w:ind w:firstLine="708"/>
        <w:jc w:val="both"/>
        <w:rPr>
          <w:rFonts w:ascii="Arial" w:hAnsi="Arial" w:cs="Arial"/>
          <w:sz w:val="26"/>
          <w:szCs w:val="26"/>
        </w:rPr>
      </w:pPr>
      <w:r>
        <w:rPr>
          <w:rFonts w:ascii="Arial" w:hAnsi="Arial" w:cs="Arial"/>
          <w:sz w:val="26"/>
          <w:szCs w:val="26"/>
        </w:rPr>
        <w:t xml:space="preserve">Aunado a esto, es de establecerse que </w:t>
      </w:r>
      <w:r w:rsidR="00CF47D1" w:rsidRPr="006F78BE">
        <w:rPr>
          <w:rFonts w:ascii="Arial" w:hAnsi="Arial" w:cs="Arial"/>
          <w:sz w:val="26"/>
          <w:szCs w:val="26"/>
        </w:rPr>
        <w:t xml:space="preserve">el descuento del monto de 9% </w:t>
      </w:r>
      <w:r>
        <w:rPr>
          <w:rFonts w:ascii="Arial" w:hAnsi="Arial" w:cs="Arial"/>
          <w:sz w:val="26"/>
          <w:szCs w:val="26"/>
        </w:rPr>
        <w:t xml:space="preserve">de pensión </w:t>
      </w:r>
      <w:r w:rsidR="00CF47D1" w:rsidRPr="006F78BE">
        <w:rPr>
          <w:rFonts w:ascii="Arial" w:hAnsi="Arial" w:cs="Arial"/>
          <w:sz w:val="26"/>
          <w:szCs w:val="26"/>
        </w:rPr>
        <w:t>fund</w:t>
      </w:r>
      <w:r>
        <w:rPr>
          <w:rFonts w:ascii="Arial" w:hAnsi="Arial" w:cs="Arial"/>
          <w:sz w:val="26"/>
          <w:szCs w:val="26"/>
        </w:rPr>
        <w:t xml:space="preserve">ada </w:t>
      </w:r>
      <w:r w:rsidR="00CF47D1" w:rsidRPr="006F78BE">
        <w:rPr>
          <w:rFonts w:ascii="Arial" w:hAnsi="Arial" w:cs="Arial"/>
          <w:sz w:val="26"/>
          <w:szCs w:val="26"/>
        </w:rPr>
        <w:t>en los artículos 6º fracción III, 18 párrafo Segundo y  Octavo Transitorio de la Ley de Pensiones para los Trabajadores del Gobierno del Estado de Oaxaca, fueron declarados inconvencionales e inconstitucionales</w:t>
      </w:r>
      <w:r>
        <w:rPr>
          <w:rFonts w:ascii="Arial" w:hAnsi="Arial" w:cs="Arial"/>
          <w:sz w:val="26"/>
          <w:szCs w:val="26"/>
        </w:rPr>
        <w:t xml:space="preserve">; como se establece en </w:t>
      </w:r>
      <w:r w:rsidR="00CF47D1" w:rsidRPr="006F78BE">
        <w:rPr>
          <w:rFonts w:ascii="Arial" w:hAnsi="Arial" w:cs="Arial"/>
          <w:sz w:val="26"/>
          <w:szCs w:val="26"/>
        </w:rPr>
        <w:t>la Jurisprudencia de la Décima Época, sustentada por el Tribunal Colegiado en materias de Trabajo y Administrat</w:t>
      </w:r>
      <w:r>
        <w:rPr>
          <w:rFonts w:ascii="Arial" w:hAnsi="Arial" w:cs="Arial"/>
          <w:sz w:val="26"/>
          <w:szCs w:val="26"/>
        </w:rPr>
        <w:t xml:space="preserve">ivas del Décimo </w:t>
      </w:r>
      <w:r>
        <w:rPr>
          <w:rFonts w:ascii="Arial" w:hAnsi="Arial" w:cs="Arial"/>
          <w:sz w:val="26"/>
          <w:szCs w:val="26"/>
        </w:rPr>
        <w:lastRenderedPageBreak/>
        <w:t xml:space="preserve">Tercer Circuito, publicada </w:t>
      </w:r>
      <w:r w:rsidR="00CF47D1" w:rsidRPr="006F78BE">
        <w:rPr>
          <w:rFonts w:ascii="Arial" w:hAnsi="Arial" w:cs="Arial"/>
          <w:sz w:val="26"/>
          <w:szCs w:val="26"/>
        </w:rPr>
        <w:t xml:space="preserve">en la Gaceta del Semanario Judicial de la Federación, Libro 11, </w:t>
      </w:r>
      <w:r>
        <w:rPr>
          <w:rFonts w:ascii="Arial" w:hAnsi="Arial" w:cs="Arial"/>
          <w:sz w:val="26"/>
          <w:szCs w:val="26"/>
        </w:rPr>
        <w:t>o</w:t>
      </w:r>
      <w:r w:rsidR="00CF47D1" w:rsidRPr="006F78BE">
        <w:rPr>
          <w:rFonts w:ascii="Arial" w:hAnsi="Arial" w:cs="Arial"/>
          <w:sz w:val="26"/>
          <w:szCs w:val="26"/>
        </w:rPr>
        <w:t xml:space="preserve">ctubre de 2014, Tomo III, visible </w:t>
      </w:r>
      <w:r>
        <w:rPr>
          <w:rFonts w:ascii="Arial" w:hAnsi="Arial" w:cs="Arial"/>
          <w:sz w:val="26"/>
          <w:szCs w:val="26"/>
        </w:rPr>
        <w:t>a</w:t>
      </w:r>
      <w:r w:rsidR="00CF47D1" w:rsidRPr="006F78BE">
        <w:rPr>
          <w:rFonts w:ascii="Arial" w:hAnsi="Arial" w:cs="Arial"/>
          <w:sz w:val="26"/>
          <w:szCs w:val="26"/>
        </w:rPr>
        <w:t xml:space="preserve"> página 2512, </w:t>
      </w:r>
      <w:r>
        <w:rPr>
          <w:rFonts w:ascii="Arial" w:hAnsi="Arial" w:cs="Arial"/>
          <w:sz w:val="26"/>
          <w:szCs w:val="26"/>
        </w:rPr>
        <w:t xml:space="preserve">de </w:t>
      </w:r>
      <w:r w:rsidR="00CF47D1" w:rsidRPr="006F78BE">
        <w:rPr>
          <w:rFonts w:ascii="Arial" w:hAnsi="Arial" w:cs="Arial"/>
          <w:sz w:val="26"/>
          <w:szCs w:val="26"/>
        </w:rPr>
        <w:t>rubro y texto siguiente</w:t>
      </w:r>
      <w:r>
        <w:rPr>
          <w:rFonts w:ascii="Arial" w:hAnsi="Arial" w:cs="Arial"/>
          <w:sz w:val="26"/>
          <w:szCs w:val="26"/>
        </w:rPr>
        <w:t>.</w:t>
      </w:r>
    </w:p>
    <w:p w:rsidR="00DE3CA4" w:rsidRPr="00DE3CA4" w:rsidRDefault="00DE3CA4" w:rsidP="00343286">
      <w:pPr>
        <w:pStyle w:val="Textonotapie"/>
        <w:spacing w:before="240"/>
        <w:ind w:left="1134" w:right="616"/>
        <w:jc w:val="both"/>
        <w:rPr>
          <w:rFonts w:ascii="Arial" w:hAnsi="Arial" w:cs="Arial"/>
          <w:sz w:val="24"/>
          <w:szCs w:val="24"/>
        </w:rPr>
      </w:pPr>
      <w:r w:rsidRPr="00DE3CA4">
        <w:rPr>
          <w:rFonts w:ascii="Arial" w:hAnsi="Arial" w:cs="Arial"/>
          <w:bCs/>
          <w:color w:val="3F3F3F"/>
          <w:sz w:val="26"/>
          <w:szCs w:val="26"/>
          <w:shd w:val="clear" w:color="auto" w:fill="FFFFFF"/>
        </w:rPr>
        <w:t>“</w:t>
      </w:r>
      <w:r w:rsidRPr="00DE3CA4">
        <w:rPr>
          <w:rFonts w:ascii="Arial" w:hAnsi="Arial" w:cs="Arial"/>
          <w:b/>
          <w:bCs/>
          <w:color w:val="3F3F3F"/>
          <w:sz w:val="24"/>
          <w:szCs w:val="24"/>
          <w:shd w:val="clear" w:color="auto" w:fill="FFFFFF"/>
        </w:rPr>
        <w:t>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AL DESATENDER LOS ARTÍCULOS 26, NUMERAL 3 Y 67, INCISO B), DEL CONVENIO NÚMERO 102 DE LA ORGANIZACIÓN INTERNACIONAL DEL TRABAJO Y VIOLAR EL DERECHO HUMANO A LA IGUALDAD.</w:t>
      </w:r>
      <w:r>
        <w:rPr>
          <w:rFonts w:ascii="Arial" w:hAnsi="Arial" w:cs="Arial"/>
          <w:b/>
          <w:bCs/>
          <w:color w:val="3F3F3F"/>
          <w:sz w:val="24"/>
          <w:szCs w:val="24"/>
          <w:shd w:val="clear" w:color="auto" w:fill="FFFFFF"/>
        </w:rPr>
        <w:t xml:space="preserve"> L</w:t>
      </w:r>
      <w:r w:rsidRPr="00DE3CA4">
        <w:rPr>
          <w:rFonts w:ascii="Arial" w:hAnsi="Arial" w:cs="Arial"/>
          <w:color w:val="3F3F3F"/>
          <w:sz w:val="24"/>
          <w:szCs w:val="24"/>
          <w:shd w:val="clear" w:color="auto" w:fill="FFFFFF"/>
        </w:rPr>
        <w:t>os Trabajadores del Gobierno del Estado de Oaxaca, publicada mediante Decreto Número 885 en el Periódico Oficial de dicha entidad federativa el 28 de enero de 2012, conforme a los cuales, quienes adquieran el carácter de jubilados deben aportar el 9% de su pensión para incrementar el fondo de pensiones, desatienden los artículos 26, punto 3 y 67, inciso b), del Convenio Número 102 de la Organización Internacional del Trabajo, relativo a la Norma Mínima de la Seguridad Social, los cuales autorizan dos casos de afectación: a) en el supuesto de prestaciones de vejez, se suspende cuando se ejerzan actividades remuneradas o se reduce cuando las ganancias del beneficiario excedan de un valor prescrito; y, b) respecto de pagos periódicos, se reduce en la medida en que los demás Los artículos 6, fracción III, 18, párrafo segundo y octavo transitorio de la Ley de Pensiones para recursos de la familia del beneficiario excedan de sumas apreciables fijadas por las autoridades competentes, de conformidad con reglas prescritas. Lo anterior, porque si bien es cierto que la norma internacional, en su dimensión caracterizada como derecho humano a la seguridad social, autoriza la fijación de dichos topes, también lo es que la cuota regulada por el legislador local no encuadra en las hipótesis permitidas señaladas, ya que se traduce en un descuento indebido del monto de la pensión jubilatoria, encaminado a constituir el fondo monetario con el que se cubrirá ésta, por lo cual los preceptos indicados son inconvencionales. Asimismo, violan el derecho humano a la igualdad, al dejar de tomar en cuenta que el jubilado ya aportó cuotas durante su vida laboral para gozar del beneficio respectivo y, por ende, se le da el trato de trabajador en activo.</w:t>
      </w:r>
    </w:p>
    <w:p w:rsidR="007731DD" w:rsidRDefault="00DE3CA4" w:rsidP="00DE3CA4">
      <w:pPr>
        <w:spacing w:before="240" w:line="360" w:lineRule="auto"/>
        <w:ind w:firstLine="567"/>
        <w:jc w:val="both"/>
        <w:rPr>
          <w:rFonts w:ascii="Arial" w:hAnsi="Arial" w:cs="Arial"/>
          <w:sz w:val="26"/>
          <w:szCs w:val="26"/>
        </w:rPr>
      </w:pPr>
      <w:r>
        <w:rPr>
          <w:rFonts w:ascii="Arial" w:hAnsi="Arial" w:cs="Arial"/>
          <w:sz w:val="26"/>
          <w:szCs w:val="26"/>
        </w:rPr>
        <w:t xml:space="preserve">De acuerdo a lo anteriormente puntualizado, conforme lo estatuido por el </w:t>
      </w:r>
      <w:r w:rsidR="004B23F2" w:rsidRPr="004B23F2">
        <w:rPr>
          <w:rFonts w:ascii="Arial" w:hAnsi="Arial" w:cs="Arial"/>
          <w:sz w:val="26"/>
          <w:szCs w:val="26"/>
        </w:rPr>
        <w:t>artículo 17 fracción V</w:t>
      </w:r>
      <w:r w:rsidR="004B23F2" w:rsidRPr="004B23F2">
        <w:rPr>
          <w:rStyle w:val="Refdenotaalpie"/>
          <w:rFonts w:ascii="Arial" w:hAnsi="Arial" w:cs="Arial"/>
          <w:sz w:val="26"/>
          <w:szCs w:val="26"/>
        </w:rPr>
        <w:footnoteReference w:id="4"/>
      </w:r>
      <w:r>
        <w:rPr>
          <w:rFonts w:ascii="Arial" w:hAnsi="Arial" w:cs="Arial"/>
          <w:sz w:val="26"/>
          <w:szCs w:val="26"/>
        </w:rPr>
        <w:t xml:space="preserve"> </w:t>
      </w:r>
      <w:r w:rsidRPr="004B23F2">
        <w:rPr>
          <w:rFonts w:ascii="Arial" w:hAnsi="Arial" w:cs="Arial"/>
          <w:sz w:val="26"/>
          <w:szCs w:val="26"/>
        </w:rPr>
        <w:t>de la Ley de Procedimiento y Justicia Administrativa para el Estado de Oaxaca</w:t>
      </w:r>
      <w:r w:rsidR="004B23F2" w:rsidRPr="004B23F2">
        <w:rPr>
          <w:rFonts w:ascii="Arial" w:hAnsi="Arial" w:cs="Arial"/>
          <w:sz w:val="26"/>
          <w:szCs w:val="26"/>
        </w:rPr>
        <w:t xml:space="preserve">, </w:t>
      </w:r>
      <w:r>
        <w:rPr>
          <w:rFonts w:ascii="Arial" w:hAnsi="Arial" w:cs="Arial"/>
          <w:sz w:val="26"/>
          <w:szCs w:val="26"/>
        </w:rPr>
        <w:t xml:space="preserve">que establece </w:t>
      </w:r>
      <w:r w:rsidR="004B23F2" w:rsidRPr="004B23F2">
        <w:rPr>
          <w:rFonts w:ascii="Arial" w:hAnsi="Arial" w:cs="Arial"/>
          <w:sz w:val="26"/>
          <w:szCs w:val="26"/>
        </w:rPr>
        <w:t xml:space="preserve">como </w:t>
      </w:r>
      <w:r>
        <w:rPr>
          <w:rFonts w:ascii="Arial" w:hAnsi="Arial" w:cs="Arial"/>
          <w:sz w:val="26"/>
          <w:szCs w:val="26"/>
        </w:rPr>
        <w:lastRenderedPageBreak/>
        <w:t xml:space="preserve">uno de los </w:t>
      </w:r>
      <w:r w:rsidR="004B23F2" w:rsidRPr="004B23F2">
        <w:rPr>
          <w:rFonts w:ascii="Arial" w:hAnsi="Arial" w:cs="Arial"/>
          <w:sz w:val="26"/>
          <w:szCs w:val="26"/>
        </w:rPr>
        <w:t>requisit</w:t>
      </w:r>
      <w:r>
        <w:rPr>
          <w:rFonts w:ascii="Arial" w:hAnsi="Arial" w:cs="Arial"/>
          <w:sz w:val="26"/>
          <w:szCs w:val="26"/>
        </w:rPr>
        <w:t xml:space="preserve">os de validez del </w:t>
      </w:r>
      <w:r w:rsidR="004B23F2" w:rsidRPr="004B23F2">
        <w:rPr>
          <w:rFonts w:ascii="Arial" w:hAnsi="Arial" w:cs="Arial"/>
          <w:sz w:val="26"/>
          <w:szCs w:val="26"/>
        </w:rPr>
        <w:t xml:space="preserve">acto administrativo, que debe estar fundado y motivado; </w:t>
      </w:r>
      <w:r w:rsidR="00343286">
        <w:rPr>
          <w:rFonts w:ascii="Arial" w:hAnsi="Arial" w:cs="Arial"/>
          <w:sz w:val="26"/>
          <w:szCs w:val="26"/>
        </w:rPr>
        <w:t xml:space="preserve">se patentiza que </w:t>
      </w:r>
      <w:r>
        <w:rPr>
          <w:rFonts w:ascii="Arial" w:hAnsi="Arial" w:cs="Arial"/>
          <w:sz w:val="26"/>
          <w:szCs w:val="26"/>
        </w:rPr>
        <w:t xml:space="preserve">en el caso </w:t>
      </w:r>
      <w:r w:rsidR="00343286">
        <w:rPr>
          <w:rFonts w:ascii="Arial" w:hAnsi="Arial" w:cs="Arial"/>
          <w:sz w:val="26"/>
          <w:szCs w:val="26"/>
        </w:rPr>
        <w:t>no acontece</w:t>
      </w:r>
      <w:r w:rsidR="004B23F2" w:rsidRPr="004B23F2">
        <w:rPr>
          <w:rFonts w:ascii="Arial" w:hAnsi="Arial" w:cs="Arial"/>
          <w:sz w:val="26"/>
          <w:szCs w:val="26"/>
        </w:rPr>
        <w:t>.</w:t>
      </w:r>
    </w:p>
    <w:p w:rsidR="004B23F2" w:rsidRPr="004B23F2" w:rsidRDefault="007731DD" w:rsidP="00DE3CA4">
      <w:pPr>
        <w:spacing w:before="240" w:line="360" w:lineRule="auto"/>
        <w:ind w:firstLine="567"/>
        <w:jc w:val="both"/>
        <w:rPr>
          <w:rFonts w:ascii="Arial" w:eastAsia="Times New Roman" w:hAnsi="Arial" w:cs="Arial"/>
          <w:noProof/>
          <w:sz w:val="26"/>
          <w:szCs w:val="26"/>
          <w:lang w:eastAsia="es-MX"/>
        </w:rPr>
      </w:pPr>
      <w:r>
        <w:rPr>
          <w:rFonts w:ascii="Arial" w:eastAsia="Times New Roman" w:hAnsi="Arial" w:cs="Arial"/>
          <w:sz w:val="26"/>
          <w:szCs w:val="26"/>
          <w:lang w:eastAsia="es-MX"/>
        </w:rPr>
        <w:t>S</w:t>
      </w:r>
      <w:r w:rsidR="004B23F2" w:rsidRPr="004B23F2">
        <w:rPr>
          <w:rFonts w:ascii="Arial" w:eastAsia="Times New Roman" w:hAnsi="Arial" w:cs="Arial"/>
          <w:sz w:val="26"/>
          <w:szCs w:val="26"/>
          <w:lang w:eastAsia="es-MX"/>
        </w:rPr>
        <w:t>irve de apoyo la Jurisprudencia, emitida por el Pleno de la Suprema Corte de Justicia de la Nación, publicada en el Semanario Judicial de la Federación y su Gaceta, Octava Época, número 64, abril de 1993, página 43</w:t>
      </w:r>
      <w:r>
        <w:rPr>
          <w:rFonts w:ascii="Arial" w:eastAsia="Times New Roman" w:hAnsi="Arial" w:cs="Arial"/>
          <w:sz w:val="26"/>
          <w:szCs w:val="26"/>
          <w:lang w:eastAsia="es-MX"/>
        </w:rPr>
        <w:t>, de rubro y texto siguientes</w:t>
      </w:r>
      <w:r w:rsidR="004B23F2" w:rsidRPr="004B23F2">
        <w:rPr>
          <w:rFonts w:ascii="Arial" w:eastAsia="Times New Roman" w:hAnsi="Arial" w:cs="Arial"/>
          <w:sz w:val="26"/>
          <w:szCs w:val="26"/>
          <w:lang w:eastAsia="es-MX"/>
        </w:rPr>
        <w:t>:</w:t>
      </w:r>
    </w:p>
    <w:p w:rsidR="004B23F2" w:rsidRPr="004B23F2" w:rsidRDefault="004B23F2" w:rsidP="007731DD">
      <w:pPr>
        <w:spacing w:after="0" w:line="360" w:lineRule="auto"/>
        <w:ind w:left="1134" w:right="616"/>
        <w:jc w:val="both"/>
        <w:rPr>
          <w:rFonts w:ascii="Arial" w:eastAsia="Times New Roman" w:hAnsi="Arial" w:cs="Arial"/>
          <w:i/>
          <w:noProof/>
          <w:sz w:val="26"/>
          <w:szCs w:val="26"/>
          <w:lang w:eastAsia="es-MX"/>
        </w:rPr>
      </w:pPr>
      <w:r w:rsidRPr="004B23F2">
        <w:rPr>
          <w:rFonts w:ascii="Arial" w:eastAsia="Times New Roman" w:hAnsi="Arial" w:cs="Arial"/>
          <w:i/>
          <w:noProof/>
          <w:sz w:val="26"/>
          <w:szCs w:val="26"/>
          <w:lang w:eastAsia="es-MX"/>
        </w:rPr>
        <w:t>“</w:t>
      </w:r>
      <w:r w:rsidRPr="007731DD">
        <w:rPr>
          <w:rFonts w:ascii="Arial" w:eastAsia="Times New Roman" w:hAnsi="Arial" w:cs="Arial"/>
          <w:b/>
          <w:i/>
          <w:noProof/>
          <w:sz w:val="24"/>
          <w:szCs w:val="24"/>
          <w:lang w:eastAsia="es-MX"/>
        </w:rPr>
        <w:t>FUNDAMENTACION Y MOTIVACION DE LOS ACTOS ADMINISTRATIVOS.</w:t>
      </w:r>
      <w:r w:rsidR="007731DD" w:rsidRPr="007731DD">
        <w:rPr>
          <w:rFonts w:ascii="Arial" w:eastAsia="Times New Roman" w:hAnsi="Arial" w:cs="Arial"/>
          <w:b/>
          <w:i/>
          <w:noProof/>
          <w:sz w:val="24"/>
          <w:szCs w:val="24"/>
          <w:lang w:eastAsia="es-MX"/>
        </w:rPr>
        <w:t xml:space="preserve"> </w:t>
      </w:r>
      <w:r w:rsidRPr="007731DD">
        <w:rPr>
          <w:rFonts w:ascii="Arial" w:eastAsia="Times New Roman" w:hAnsi="Arial" w:cs="Arial"/>
          <w:i/>
          <w:noProof/>
          <w:sz w:val="24"/>
          <w:szCs w:val="24"/>
          <w:lang w:eastAsia="es-MX"/>
        </w:rPr>
        <w:t>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r w:rsidRPr="004B23F2">
        <w:rPr>
          <w:rFonts w:ascii="Arial" w:eastAsia="Times New Roman" w:hAnsi="Arial" w:cs="Arial"/>
          <w:i/>
          <w:noProof/>
          <w:sz w:val="26"/>
          <w:szCs w:val="26"/>
          <w:lang w:eastAsia="es-MX"/>
        </w:rPr>
        <w:t>”.</w:t>
      </w:r>
    </w:p>
    <w:p w:rsidR="004B23F2" w:rsidRPr="004B23F2" w:rsidRDefault="004B23F2" w:rsidP="00343286">
      <w:pPr>
        <w:spacing w:before="240" w:after="0" w:line="360" w:lineRule="auto"/>
        <w:ind w:firstLine="567"/>
        <w:jc w:val="both"/>
        <w:rPr>
          <w:rFonts w:ascii="Arial" w:hAnsi="Arial" w:cs="Arial"/>
          <w:noProof/>
          <w:sz w:val="26"/>
          <w:szCs w:val="26"/>
        </w:rPr>
      </w:pPr>
      <w:r w:rsidRPr="004B23F2">
        <w:rPr>
          <w:rFonts w:ascii="Arial" w:hAnsi="Arial" w:cs="Arial"/>
          <w:noProof/>
          <w:sz w:val="26"/>
          <w:szCs w:val="26"/>
        </w:rPr>
        <w:t xml:space="preserve">Por </w:t>
      </w:r>
      <w:r w:rsidR="007731DD">
        <w:rPr>
          <w:rFonts w:ascii="Arial" w:hAnsi="Arial" w:cs="Arial"/>
          <w:noProof/>
          <w:sz w:val="26"/>
          <w:szCs w:val="26"/>
        </w:rPr>
        <w:t xml:space="preserve">todo </w:t>
      </w:r>
      <w:r w:rsidRPr="004B23F2">
        <w:rPr>
          <w:rFonts w:ascii="Arial" w:hAnsi="Arial" w:cs="Arial"/>
          <w:noProof/>
          <w:sz w:val="26"/>
          <w:szCs w:val="26"/>
        </w:rPr>
        <w:t>lo anterior</w:t>
      </w:r>
      <w:r w:rsidR="007731DD">
        <w:rPr>
          <w:rFonts w:ascii="Arial" w:hAnsi="Arial" w:cs="Arial"/>
          <w:noProof/>
          <w:sz w:val="26"/>
          <w:szCs w:val="26"/>
        </w:rPr>
        <w:t>mente relatado</w:t>
      </w:r>
      <w:r w:rsidRPr="004B23F2">
        <w:rPr>
          <w:rFonts w:ascii="Arial" w:hAnsi="Arial" w:cs="Arial"/>
          <w:noProof/>
          <w:sz w:val="26"/>
          <w:szCs w:val="26"/>
        </w:rPr>
        <w:t xml:space="preserve">, </w:t>
      </w:r>
      <w:r w:rsidR="007731DD">
        <w:rPr>
          <w:rFonts w:ascii="Arial" w:hAnsi="Arial" w:cs="Arial"/>
          <w:noProof/>
          <w:sz w:val="26"/>
          <w:szCs w:val="26"/>
        </w:rPr>
        <w:t xml:space="preserve">es procedente </w:t>
      </w:r>
      <w:r w:rsidRPr="004B23F2">
        <w:rPr>
          <w:rFonts w:ascii="Arial" w:hAnsi="Arial" w:cs="Arial"/>
          <w:noProof/>
          <w:sz w:val="26"/>
          <w:szCs w:val="26"/>
        </w:rPr>
        <w:t xml:space="preserve">declarar la </w:t>
      </w:r>
      <w:r w:rsidRPr="004B23F2">
        <w:rPr>
          <w:rFonts w:ascii="Arial" w:hAnsi="Arial" w:cs="Arial"/>
          <w:b/>
          <w:noProof/>
          <w:sz w:val="26"/>
          <w:szCs w:val="26"/>
        </w:rPr>
        <w:t xml:space="preserve">NULIDAD </w:t>
      </w:r>
      <w:r w:rsidRPr="007731DD">
        <w:rPr>
          <w:rFonts w:ascii="Arial" w:hAnsi="Arial" w:cs="Arial"/>
          <w:noProof/>
          <w:sz w:val="26"/>
          <w:szCs w:val="26"/>
        </w:rPr>
        <w:t xml:space="preserve">del </w:t>
      </w:r>
      <w:r w:rsidR="00343286">
        <w:rPr>
          <w:rFonts w:ascii="Arial" w:hAnsi="Arial" w:cs="Arial"/>
          <w:noProof/>
          <w:sz w:val="26"/>
          <w:szCs w:val="26"/>
        </w:rPr>
        <w:t xml:space="preserve">oficio </w:t>
      </w:r>
      <w:r w:rsidR="00A06194">
        <w:rPr>
          <w:rFonts w:ascii="Arial" w:hAnsi="Arial" w:cs="Arial"/>
          <w:b/>
          <w:sz w:val="26"/>
          <w:szCs w:val="26"/>
        </w:rPr>
        <w:t>**********</w:t>
      </w:r>
      <w:r w:rsidRPr="004B23F2">
        <w:rPr>
          <w:rFonts w:ascii="Arial" w:hAnsi="Arial" w:cs="Arial"/>
          <w:b/>
          <w:sz w:val="26"/>
          <w:szCs w:val="26"/>
        </w:rPr>
        <w:t xml:space="preserve">, </w:t>
      </w:r>
      <w:r w:rsidRPr="004B23F2">
        <w:rPr>
          <w:rFonts w:ascii="Arial" w:hAnsi="Arial" w:cs="Arial"/>
          <w:sz w:val="26"/>
          <w:szCs w:val="26"/>
        </w:rPr>
        <w:t xml:space="preserve">de </w:t>
      </w:r>
      <w:r w:rsidR="007731DD">
        <w:rPr>
          <w:rFonts w:ascii="Arial" w:hAnsi="Arial" w:cs="Arial"/>
          <w:sz w:val="26"/>
          <w:szCs w:val="26"/>
        </w:rPr>
        <w:t>d</w:t>
      </w:r>
      <w:r w:rsidR="00343286">
        <w:rPr>
          <w:rFonts w:ascii="Arial" w:hAnsi="Arial" w:cs="Arial"/>
          <w:sz w:val="26"/>
          <w:szCs w:val="26"/>
        </w:rPr>
        <w:t>os</w:t>
      </w:r>
      <w:r w:rsidR="007731DD">
        <w:rPr>
          <w:rFonts w:ascii="Arial" w:hAnsi="Arial" w:cs="Arial"/>
          <w:sz w:val="26"/>
          <w:szCs w:val="26"/>
        </w:rPr>
        <w:t xml:space="preserve"> de julio </w:t>
      </w:r>
      <w:r w:rsidRPr="004B23F2">
        <w:rPr>
          <w:rFonts w:ascii="Arial" w:hAnsi="Arial" w:cs="Arial"/>
          <w:sz w:val="26"/>
          <w:szCs w:val="26"/>
        </w:rPr>
        <w:t xml:space="preserve">de dos mil diecinueve, </w:t>
      </w:r>
      <w:r w:rsidRPr="004B23F2">
        <w:rPr>
          <w:rFonts w:ascii="Arial" w:hAnsi="Arial" w:cs="Arial"/>
          <w:sz w:val="26"/>
          <w:szCs w:val="26"/>
        </w:rPr>
        <w:lastRenderedPageBreak/>
        <w:t>signado por el</w:t>
      </w:r>
      <w:r w:rsidRPr="004B23F2">
        <w:rPr>
          <w:rFonts w:ascii="Arial" w:hAnsi="Arial" w:cs="Arial"/>
          <w:b/>
          <w:sz w:val="26"/>
          <w:szCs w:val="26"/>
        </w:rPr>
        <w:t xml:space="preserve"> </w:t>
      </w:r>
      <w:r w:rsidRPr="007731DD">
        <w:rPr>
          <w:rFonts w:ascii="Arial" w:hAnsi="Arial" w:cs="Arial"/>
          <w:sz w:val="26"/>
          <w:szCs w:val="26"/>
        </w:rPr>
        <w:t>Director General de la Oficina de Pensiones del Gobierno del Estado de Oaxaca,</w:t>
      </w:r>
      <w:r w:rsidR="007731DD">
        <w:rPr>
          <w:rFonts w:ascii="Arial" w:hAnsi="Arial" w:cs="Arial"/>
          <w:b/>
          <w:sz w:val="26"/>
          <w:szCs w:val="26"/>
        </w:rPr>
        <w:t xml:space="preserve"> PARA EL EFECTO </w:t>
      </w:r>
      <w:r w:rsidR="007731DD">
        <w:rPr>
          <w:rFonts w:ascii="Arial" w:hAnsi="Arial" w:cs="Arial"/>
          <w:sz w:val="26"/>
          <w:szCs w:val="26"/>
        </w:rPr>
        <w:t xml:space="preserve">de que </w:t>
      </w:r>
      <w:r w:rsidR="00343286">
        <w:rPr>
          <w:rFonts w:ascii="Arial" w:hAnsi="Arial" w:cs="Arial"/>
          <w:sz w:val="26"/>
          <w:szCs w:val="26"/>
        </w:rPr>
        <w:t xml:space="preserve">dicha autoridad </w:t>
      </w:r>
      <w:r w:rsidR="007731DD" w:rsidRPr="007731DD">
        <w:rPr>
          <w:rFonts w:ascii="Arial" w:hAnsi="Arial" w:cs="Arial"/>
          <w:b/>
          <w:sz w:val="26"/>
          <w:szCs w:val="26"/>
        </w:rPr>
        <w:t>EMITA</w:t>
      </w:r>
      <w:r w:rsidR="007731DD" w:rsidRPr="004B23F2">
        <w:rPr>
          <w:rFonts w:ascii="Arial" w:hAnsi="Arial" w:cs="Arial"/>
          <w:sz w:val="26"/>
          <w:szCs w:val="26"/>
        </w:rPr>
        <w:t xml:space="preserve"> </w:t>
      </w:r>
      <w:r w:rsidRPr="004B23F2">
        <w:rPr>
          <w:rFonts w:ascii="Arial" w:hAnsi="Arial" w:cs="Arial"/>
          <w:sz w:val="26"/>
          <w:szCs w:val="26"/>
        </w:rPr>
        <w:t xml:space="preserve">otro en su lugar, donde </w:t>
      </w:r>
      <w:r w:rsidR="00343286">
        <w:rPr>
          <w:rFonts w:ascii="Arial" w:hAnsi="Arial" w:cs="Arial"/>
          <w:sz w:val="26"/>
          <w:szCs w:val="26"/>
        </w:rPr>
        <w:t>ordene la devolución de los descuentos realizados del 9% al fondo de de pensiones de la actora, correspondientes a los meses de agosto de dos mil diecisiete a marzo de dos mil diecinueve</w:t>
      </w:r>
      <w:r w:rsidRPr="004B23F2">
        <w:rPr>
          <w:rFonts w:ascii="Arial" w:hAnsi="Arial" w:cs="Arial"/>
          <w:sz w:val="26"/>
          <w:szCs w:val="26"/>
        </w:rPr>
        <w:t xml:space="preserve">.- - - - - - - - - - - - </w:t>
      </w:r>
      <w:r w:rsidR="008929D9">
        <w:rPr>
          <w:rFonts w:ascii="Arial" w:hAnsi="Arial" w:cs="Arial"/>
          <w:sz w:val="26"/>
          <w:szCs w:val="26"/>
        </w:rPr>
        <w:t>- - - - - - - - - - - - - - -</w:t>
      </w:r>
      <w:r w:rsidR="00A06194">
        <w:rPr>
          <w:rFonts w:ascii="Arial" w:hAnsi="Arial" w:cs="Arial"/>
          <w:sz w:val="26"/>
          <w:szCs w:val="26"/>
        </w:rPr>
        <w:t xml:space="preserve"> - -</w:t>
      </w:r>
    </w:p>
    <w:p w:rsidR="004B23F2" w:rsidRPr="004B23F2" w:rsidRDefault="004B23F2" w:rsidP="00DB71D3">
      <w:pPr>
        <w:spacing w:before="240" w:after="0" w:line="360" w:lineRule="auto"/>
        <w:ind w:right="49" w:firstLine="567"/>
        <w:jc w:val="both"/>
        <w:rPr>
          <w:rFonts w:ascii="Arial" w:hAnsi="Arial" w:cs="Arial"/>
          <w:sz w:val="26"/>
          <w:szCs w:val="26"/>
        </w:rPr>
      </w:pPr>
      <w:r w:rsidRPr="004B23F2">
        <w:rPr>
          <w:rFonts w:ascii="Arial" w:hAnsi="Arial" w:cs="Arial"/>
          <w:sz w:val="26"/>
          <w:szCs w:val="26"/>
        </w:rPr>
        <w:t>Por lo expuesto y con fundamento en los artículos 207, 208 fracciones II y VI</w:t>
      </w:r>
      <w:r w:rsidR="007731DD">
        <w:rPr>
          <w:rFonts w:ascii="Arial" w:hAnsi="Arial" w:cs="Arial"/>
          <w:sz w:val="26"/>
          <w:szCs w:val="26"/>
        </w:rPr>
        <w:t xml:space="preserve">; así como </w:t>
      </w:r>
      <w:r w:rsidRPr="004B23F2">
        <w:rPr>
          <w:rFonts w:ascii="Arial" w:hAnsi="Arial" w:cs="Arial"/>
          <w:sz w:val="26"/>
          <w:szCs w:val="26"/>
        </w:rPr>
        <w:t>209 de Ley de Procedimiento y Justicia Administrativa para el Estado de Oaxaca, se;</w:t>
      </w:r>
    </w:p>
    <w:p w:rsidR="004B23F2" w:rsidRPr="004B23F2" w:rsidRDefault="004B23F2" w:rsidP="004B23F2">
      <w:pPr>
        <w:spacing w:after="0" w:line="360" w:lineRule="auto"/>
        <w:ind w:right="49"/>
        <w:jc w:val="center"/>
        <w:rPr>
          <w:rFonts w:ascii="Arial" w:eastAsia="Times New Roman" w:hAnsi="Arial" w:cs="Arial"/>
          <w:b/>
          <w:sz w:val="26"/>
          <w:szCs w:val="26"/>
          <w:lang w:eastAsia="es-MX"/>
        </w:rPr>
      </w:pPr>
      <w:r w:rsidRPr="004B23F2">
        <w:rPr>
          <w:rFonts w:ascii="Arial" w:eastAsia="Times New Roman" w:hAnsi="Arial" w:cs="Arial"/>
          <w:b/>
          <w:sz w:val="26"/>
          <w:szCs w:val="26"/>
          <w:lang w:eastAsia="es-MX"/>
        </w:rPr>
        <w:t>R E S U E L V E:</w:t>
      </w:r>
    </w:p>
    <w:p w:rsidR="004B23F2" w:rsidRPr="004B23F2" w:rsidRDefault="004B23F2" w:rsidP="007731DD">
      <w:pPr>
        <w:spacing w:before="240" w:after="0" w:line="360" w:lineRule="auto"/>
        <w:ind w:right="49" w:firstLine="567"/>
        <w:jc w:val="both"/>
        <w:rPr>
          <w:rFonts w:ascii="Arial" w:eastAsia="Times New Roman" w:hAnsi="Arial" w:cs="Arial"/>
          <w:sz w:val="26"/>
          <w:szCs w:val="26"/>
          <w:lang w:eastAsia="es-MX"/>
        </w:rPr>
      </w:pPr>
      <w:r w:rsidRPr="004B23F2">
        <w:rPr>
          <w:rFonts w:ascii="Arial" w:eastAsia="Times New Roman" w:hAnsi="Arial" w:cs="Arial"/>
          <w:b/>
          <w:sz w:val="26"/>
          <w:szCs w:val="26"/>
          <w:lang w:eastAsia="es-MX"/>
        </w:rPr>
        <w:t>PRIMERO.-</w:t>
      </w:r>
      <w:r w:rsidRPr="004B23F2">
        <w:rPr>
          <w:rFonts w:ascii="Arial" w:eastAsia="Times New Roman" w:hAnsi="Arial" w:cs="Arial"/>
          <w:sz w:val="26"/>
          <w:szCs w:val="26"/>
          <w:lang w:eastAsia="es-MX"/>
        </w:rPr>
        <w:t xml:space="preserve"> Esta Sexta Sala Unitaria fue competente para conocer y resolver del presente asunto - - - - - - - - - - - - - - - - - - - - - </w:t>
      </w:r>
    </w:p>
    <w:p w:rsidR="00DB71D3" w:rsidRDefault="004B23F2" w:rsidP="00DB71D3">
      <w:pPr>
        <w:spacing w:before="240" w:after="0" w:line="360" w:lineRule="auto"/>
        <w:ind w:right="49" w:firstLine="567"/>
        <w:jc w:val="both"/>
        <w:rPr>
          <w:rFonts w:ascii="Arial" w:eastAsia="Times New Roman" w:hAnsi="Arial" w:cs="Arial"/>
          <w:sz w:val="26"/>
          <w:szCs w:val="26"/>
          <w:lang w:eastAsia="es-MX"/>
        </w:rPr>
      </w:pPr>
      <w:r w:rsidRPr="004B23F2">
        <w:rPr>
          <w:rFonts w:ascii="Arial" w:eastAsia="Times New Roman" w:hAnsi="Arial" w:cs="Arial"/>
          <w:b/>
          <w:sz w:val="26"/>
          <w:szCs w:val="26"/>
          <w:lang w:eastAsia="es-MX"/>
        </w:rPr>
        <w:t>SEGUNDO.</w:t>
      </w:r>
      <w:r w:rsidRPr="004B23F2">
        <w:rPr>
          <w:rFonts w:ascii="Arial" w:eastAsia="Times New Roman" w:hAnsi="Arial" w:cs="Arial"/>
          <w:sz w:val="26"/>
          <w:szCs w:val="26"/>
          <w:lang w:eastAsia="es-MX"/>
        </w:rPr>
        <w:t xml:space="preserve"> No se actualizaron causales de improcedencia por lo que no se sobresee el juicio. -  - - - - - - - - - - - - - - - - - - - -</w:t>
      </w:r>
      <w:r w:rsidR="008929D9">
        <w:rPr>
          <w:rFonts w:ascii="Arial" w:eastAsia="Times New Roman" w:hAnsi="Arial" w:cs="Arial"/>
          <w:sz w:val="26"/>
          <w:szCs w:val="26"/>
          <w:lang w:eastAsia="es-MX"/>
        </w:rPr>
        <w:t xml:space="preserve"> - - - - - - </w:t>
      </w:r>
    </w:p>
    <w:p w:rsidR="004B23F2" w:rsidRPr="004B23F2" w:rsidRDefault="004B23F2" w:rsidP="00DB71D3">
      <w:pPr>
        <w:spacing w:before="240" w:after="0" w:line="360" w:lineRule="auto"/>
        <w:ind w:right="49" w:firstLine="708"/>
        <w:jc w:val="both"/>
        <w:rPr>
          <w:rFonts w:ascii="Arial" w:hAnsi="Arial" w:cs="Arial"/>
          <w:sz w:val="26"/>
          <w:szCs w:val="26"/>
        </w:rPr>
      </w:pPr>
      <w:r w:rsidRPr="004B23F2">
        <w:rPr>
          <w:rFonts w:ascii="Arial" w:hAnsi="Arial" w:cs="Arial"/>
          <w:b/>
          <w:sz w:val="26"/>
          <w:szCs w:val="26"/>
        </w:rPr>
        <w:t xml:space="preserve">TERCERO. </w:t>
      </w:r>
      <w:r w:rsidRPr="004B23F2">
        <w:rPr>
          <w:rFonts w:ascii="Arial" w:hAnsi="Arial" w:cs="Arial"/>
          <w:sz w:val="26"/>
          <w:szCs w:val="26"/>
        </w:rPr>
        <w:t xml:space="preserve">Se declara la </w:t>
      </w:r>
      <w:r w:rsidR="007731DD" w:rsidRPr="004B23F2">
        <w:rPr>
          <w:rFonts w:ascii="Arial" w:hAnsi="Arial" w:cs="Arial"/>
          <w:b/>
          <w:noProof/>
          <w:sz w:val="26"/>
          <w:szCs w:val="26"/>
        </w:rPr>
        <w:t xml:space="preserve">NULIDAD </w:t>
      </w:r>
      <w:r w:rsidR="00343286" w:rsidRPr="007731DD">
        <w:rPr>
          <w:rFonts w:ascii="Arial" w:hAnsi="Arial" w:cs="Arial"/>
          <w:noProof/>
          <w:sz w:val="26"/>
          <w:szCs w:val="26"/>
        </w:rPr>
        <w:t xml:space="preserve">del </w:t>
      </w:r>
      <w:r w:rsidR="00343286">
        <w:rPr>
          <w:rFonts w:ascii="Arial" w:hAnsi="Arial" w:cs="Arial"/>
          <w:noProof/>
          <w:sz w:val="26"/>
          <w:szCs w:val="26"/>
        </w:rPr>
        <w:t xml:space="preserve">oficio </w:t>
      </w:r>
      <w:r w:rsidR="00A06194">
        <w:rPr>
          <w:rFonts w:ascii="Arial" w:hAnsi="Arial" w:cs="Arial"/>
          <w:b/>
          <w:sz w:val="26"/>
          <w:szCs w:val="26"/>
        </w:rPr>
        <w:t>**********</w:t>
      </w:r>
      <w:r w:rsidR="00343286" w:rsidRPr="004B23F2">
        <w:rPr>
          <w:rFonts w:ascii="Arial" w:hAnsi="Arial" w:cs="Arial"/>
          <w:b/>
          <w:sz w:val="26"/>
          <w:szCs w:val="26"/>
        </w:rPr>
        <w:t xml:space="preserve">, </w:t>
      </w:r>
      <w:r w:rsidR="00343286" w:rsidRPr="004B23F2">
        <w:rPr>
          <w:rFonts w:ascii="Arial" w:hAnsi="Arial" w:cs="Arial"/>
          <w:sz w:val="26"/>
          <w:szCs w:val="26"/>
        </w:rPr>
        <w:t xml:space="preserve">de </w:t>
      </w:r>
      <w:r w:rsidR="00343286">
        <w:rPr>
          <w:rFonts w:ascii="Arial" w:hAnsi="Arial" w:cs="Arial"/>
          <w:sz w:val="26"/>
          <w:szCs w:val="26"/>
        </w:rPr>
        <w:t xml:space="preserve">dos de julio </w:t>
      </w:r>
      <w:r w:rsidR="00343286" w:rsidRPr="004B23F2">
        <w:rPr>
          <w:rFonts w:ascii="Arial" w:hAnsi="Arial" w:cs="Arial"/>
          <w:sz w:val="26"/>
          <w:szCs w:val="26"/>
        </w:rPr>
        <w:t>de dos mil diecinueve, signado por el</w:t>
      </w:r>
      <w:r w:rsidR="00343286" w:rsidRPr="004B23F2">
        <w:rPr>
          <w:rFonts w:ascii="Arial" w:hAnsi="Arial" w:cs="Arial"/>
          <w:b/>
          <w:sz w:val="26"/>
          <w:szCs w:val="26"/>
        </w:rPr>
        <w:t xml:space="preserve"> </w:t>
      </w:r>
      <w:r w:rsidR="00343286" w:rsidRPr="007731DD">
        <w:rPr>
          <w:rFonts w:ascii="Arial" w:hAnsi="Arial" w:cs="Arial"/>
          <w:sz w:val="26"/>
          <w:szCs w:val="26"/>
        </w:rPr>
        <w:t>Director General de la Oficina de Pensiones del Gobierno del Estado de Oaxaca,</w:t>
      </w:r>
      <w:r w:rsidR="00343286">
        <w:rPr>
          <w:rFonts w:ascii="Arial" w:hAnsi="Arial" w:cs="Arial"/>
          <w:b/>
          <w:sz w:val="26"/>
          <w:szCs w:val="26"/>
        </w:rPr>
        <w:t xml:space="preserve"> PARA EL EFECTO </w:t>
      </w:r>
      <w:r w:rsidR="00343286">
        <w:rPr>
          <w:rFonts w:ascii="Arial" w:hAnsi="Arial" w:cs="Arial"/>
          <w:sz w:val="26"/>
          <w:szCs w:val="26"/>
        </w:rPr>
        <w:t xml:space="preserve">de que dicha autoridad </w:t>
      </w:r>
      <w:r w:rsidR="00343286" w:rsidRPr="007731DD">
        <w:rPr>
          <w:rFonts w:ascii="Arial" w:hAnsi="Arial" w:cs="Arial"/>
          <w:b/>
          <w:sz w:val="26"/>
          <w:szCs w:val="26"/>
        </w:rPr>
        <w:t>EMITA</w:t>
      </w:r>
      <w:r w:rsidR="00343286" w:rsidRPr="004B23F2">
        <w:rPr>
          <w:rFonts w:ascii="Arial" w:hAnsi="Arial" w:cs="Arial"/>
          <w:sz w:val="26"/>
          <w:szCs w:val="26"/>
        </w:rPr>
        <w:t xml:space="preserve"> otro en su lugar, donde </w:t>
      </w:r>
      <w:r w:rsidR="00343286">
        <w:rPr>
          <w:rFonts w:ascii="Arial" w:hAnsi="Arial" w:cs="Arial"/>
          <w:sz w:val="26"/>
          <w:szCs w:val="26"/>
        </w:rPr>
        <w:t>ordene la devolución de los descuentos realizados del 9% al fondo de de pensiones de la actora, correspondientes a los meses de agosto de dos mil diecisiete a marzo de dos mil diecinueve</w:t>
      </w:r>
      <w:r w:rsidRPr="004B23F2">
        <w:rPr>
          <w:rFonts w:ascii="Arial" w:hAnsi="Arial" w:cs="Arial"/>
          <w:sz w:val="26"/>
          <w:szCs w:val="26"/>
        </w:rPr>
        <w:t xml:space="preserve">.- - - - - - - </w:t>
      </w:r>
    </w:p>
    <w:p w:rsidR="004B23F2" w:rsidRPr="004B23F2" w:rsidRDefault="004B23F2" w:rsidP="00DB71D3">
      <w:pPr>
        <w:spacing w:before="240" w:after="0" w:line="360" w:lineRule="auto"/>
        <w:ind w:right="49" w:firstLine="567"/>
        <w:jc w:val="both"/>
        <w:rPr>
          <w:rFonts w:ascii="Arial" w:eastAsia="Times New Roman" w:hAnsi="Arial" w:cs="Arial"/>
          <w:b/>
          <w:sz w:val="26"/>
          <w:szCs w:val="26"/>
          <w:lang w:eastAsia="es-MX"/>
        </w:rPr>
      </w:pPr>
      <w:r w:rsidRPr="004B23F2">
        <w:rPr>
          <w:rFonts w:ascii="Arial" w:eastAsia="Times New Roman" w:hAnsi="Arial" w:cs="Arial"/>
          <w:b/>
          <w:sz w:val="26"/>
          <w:szCs w:val="26"/>
          <w:lang w:eastAsia="es-MX"/>
        </w:rPr>
        <w:t>CUARTO.</w:t>
      </w:r>
      <w:r w:rsidR="00343286">
        <w:rPr>
          <w:rFonts w:ascii="Arial" w:eastAsia="Times New Roman" w:hAnsi="Arial" w:cs="Arial"/>
          <w:b/>
          <w:sz w:val="26"/>
          <w:szCs w:val="26"/>
          <w:lang w:eastAsia="es-MX"/>
        </w:rPr>
        <w:t xml:space="preserve">- NOTIFÍQUESE PERSONALMENTE AL </w:t>
      </w:r>
      <w:r w:rsidRPr="004B23F2">
        <w:rPr>
          <w:rFonts w:ascii="Arial" w:eastAsia="Times New Roman" w:hAnsi="Arial" w:cs="Arial"/>
          <w:b/>
          <w:sz w:val="26"/>
          <w:szCs w:val="26"/>
          <w:lang w:eastAsia="es-MX"/>
        </w:rPr>
        <w:t>ACTOR Y POR OFICIO A LA AUTORIDAD DEMANDADA</w:t>
      </w:r>
      <w:r w:rsidRPr="004B23F2">
        <w:rPr>
          <w:rFonts w:ascii="Arial" w:eastAsia="Times New Roman" w:hAnsi="Arial" w:cs="Arial"/>
          <w:sz w:val="26"/>
          <w:szCs w:val="26"/>
          <w:lang w:eastAsia="es-MX"/>
        </w:rPr>
        <w:t>, con fundamento en los artículos 172 fracción I y 173 fracciones I y II, de la Ley de Procedimiento y Justicia Administrativa para el Estado de Oaxaca</w:t>
      </w:r>
      <w:r w:rsidR="007731DD">
        <w:rPr>
          <w:rFonts w:ascii="Arial" w:eastAsia="Times New Roman" w:hAnsi="Arial" w:cs="Arial"/>
          <w:sz w:val="26"/>
          <w:szCs w:val="26"/>
          <w:lang w:eastAsia="es-MX"/>
        </w:rPr>
        <w:t>.</w:t>
      </w:r>
      <w:r w:rsidRPr="004B23F2">
        <w:rPr>
          <w:rFonts w:ascii="Arial" w:eastAsia="Times New Roman" w:hAnsi="Arial" w:cs="Arial"/>
          <w:b/>
          <w:iCs/>
          <w:sz w:val="26"/>
          <w:szCs w:val="26"/>
          <w:lang w:eastAsia="es-MX"/>
        </w:rPr>
        <w:t>- CÚMPLASE</w:t>
      </w:r>
      <w:r w:rsidRPr="004B23F2">
        <w:rPr>
          <w:rFonts w:ascii="Arial" w:eastAsia="Times New Roman" w:hAnsi="Arial" w:cs="Arial"/>
          <w:sz w:val="26"/>
          <w:szCs w:val="26"/>
          <w:lang w:eastAsia="es-MX"/>
        </w:rPr>
        <w:t xml:space="preserve">. - - - - - - - - </w:t>
      </w:r>
      <w:r w:rsidR="008929D9">
        <w:rPr>
          <w:rFonts w:ascii="Arial" w:eastAsia="Times New Roman" w:hAnsi="Arial" w:cs="Arial"/>
          <w:sz w:val="26"/>
          <w:szCs w:val="26"/>
          <w:lang w:eastAsia="es-MX"/>
        </w:rPr>
        <w:t>- - - - - - -</w:t>
      </w:r>
      <w:r w:rsidR="00A06194">
        <w:rPr>
          <w:rFonts w:ascii="Arial" w:eastAsia="Times New Roman" w:hAnsi="Arial" w:cs="Arial"/>
          <w:sz w:val="26"/>
          <w:szCs w:val="26"/>
          <w:lang w:eastAsia="es-MX"/>
        </w:rPr>
        <w:t xml:space="preserve"> - - - - - - - - - - - - - - - - - - - - - - - - - </w:t>
      </w:r>
    </w:p>
    <w:p w:rsidR="00550C05" w:rsidRPr="004B23F2" w:rsidRDefault="00550C05" w:rsidP="00DB71D3">
      <w:pPr>
        <w:spacing w:before="240" w:after="0" w:line="360" w:lineRule="auto"/>
        <w:ind w:right="49" w:firstLine="708"/>
        <w:jc w:val="both"/>
        <w:rPr>
          <w:rFonts w:ascii="Arial" w:hAnsi="Arial" w:cs="Arial"/>
          <w:sz w:val="26"/>
          <w:szCs w:val="26"/>
        </w:rPr>
      </w:pPr>
      <w:r w:rsidRPr="004B23F2">
        <w:rPr>
          <w:rFonts w:ascii="Arial" w:hAnsi="Arial" w:cs="Arial"/>
          <w:sz w:val="26"/>
          <w:szCs w:val="26"/>
        </w:rPr>
        <w:t xml:space="preserve">Así lo resolvió y firmó el Titular de la Sexta Sala Unitaria de Primera Instancia  del Tribunal de Justicia Administrativa del Estado de Oaxaca, Magistrado Enrique Pacheco Martínez, quien actúa ante la Licenciada Amparo Arias Rivas, Secretaria de Acuerdos, que autoriza y da fe.- - - - - - - </w:t>
      </w:r>
      <w:r w:rsidR="008929D9">
        <w:rPr>
          <w:rFonts w:ascii="Arial" w:hAnsi="Arial" w:cs="Arial"/>
          <w:sz w:val="26"/>
          <w:szCs w:val="26"/>
        </w:rPr>
        <w:t>- - - - - - - -</w:t>
      </w:r>
      <w:r w:rsidR="00A06194">
        <w:rPr>
          <w:rFonts w:ascii="Arial" w:hAnsi="Arial" w:cs="Arial"/>
          <w:sz w:val="26"/>
          <w:szCs w:val="26"/>
        </w:rPr>
        <w:t xml:space="preserve"> - - - - - - - - - - - - - - - - - - - - - - - -</w:t>
      </w:r>
    </w:p>
    <w:sectPr w:rsidR="00550C05" w:rsidRPr="004B23F2" w:rsidSect="00A06194">
      <w:headerReference w:type="default" r:id="rId8"/>
      <w:pgSz w:w="12240" w:h="20160" w:code="5"/>
      <w:pgMar w:top="1440" w:right="1440"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290C" w:rsidRDefault="0041290C" w:rsidP="009D4B0E">
      <w:pPr>
        <w:spacing w:after="0" w:line="240" w:lineRule="auto"/>
      </w:pPr>
      <w:r>
        <w:separator/>
      </w:r>
    </w:p>
  </w:endnote>
  <w:endnote w:type="continuationSeparator" w:id="0">
    <w:p w:rsidR="0041290C" w:rsidRDefault="0041290C" w:rsidP="009D4B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290C" w:rsidRDefault="0041290C" w:rsidP="009D4B0E">
      <w:pPr>
        <w:spacing w:after="0" w:line="240" w:lineRule="auto"/>
      </w:pPr>
      <w:r>
        <w:separator/>
      </w:r>
    </w:p>
  </w:footnote>
  <w:footnote w:type="continuationSeparator" w:id="0">
    <w:p w:rsidR="0041290C" w:rsidRDefault="0041290C" w:rsidP="009D4B0E">
      <w:pPr>
        <w:spacing w:after="0" w:line="240" w:lineRule="auto"/>
      </w:pPr>
      <w:r>
        <w:continuationSeparator/>
      </w:r>
    </w:p>
  </w:footnote>
  <w:footnote w:id="1">
    <w:p w:rsidR="00CF47D1" w:rsidRPr="00271AF8" w:rsidRDefault="00CF47D1" w:rsidP="00B66E88">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rsidR="00CF47D1" w:rsidRDefault="00CF47D1" w:rsidP="00550C05">
      <w:pPr>
        <w:pStyle w:val="Textonotapie"/>
      </w:pPr>
      <w:r>
        <w:rPr>
          <w:rStyle w:val="Refdenotaalpie"/>
        </w:rPr>
        <w:footnoteRef/>
      </w:r>
      <w:r>
        <w:t xml:space="preserve"> “</w:t>
      </w:r>
      <w:r>
        <w:rPr>
          <w:b/>
        </w:rPr>
        <w:t xml:space="preserve">ARTÍCULO 161.- </w:t>
      </w:r>
      <w:r>
        <w:t>…</w:t>
      </w:r>
    </w:p>
    <w:p w:rsidR="00CF47D1" w:rsidRDefault="00CF47D1" w:rsidP="00550C05">
      <w:pPr>
        <w:pStyle w:val="Textonotapie"/>
      </w:pPr>
      <w:r>
        <w:t xml:space="preserve">   …</w:t>
      </w:r>
    </w:p>
    <w:p w:rsidR="00CF47D1" w:rsidRPr="00271AF8" w:rsidRDefault="00CF47D1" w:rsidP="00550C05">
      <w:pPr>
        <w:pStyle w:val="Textonotapie"/>
      </w:pPr>
      <w:r>
        <w:t xml:space="preserve">   Las causales de improcedencia deben ser examinadas de oficio.”</w:t>
      </w:r>
    </w:p>
  </w:footnote>
  <w:footnote w:id="3">
    <w:p w:rsidR="00D2485E" w:rsidRDefault="00D2485E">
      <w:pPr>
        <w:pStyle w:val="Textonotapie"/>
      </w:pPr>
      <w:r>
        <w:rPr>
          <w:rStyle w:val="Refdenotaalpie"/>
        </w:rPr>
        <w:footnoteRef/>
      </w:r>
      <w:r>
        <w:t xml:space="preserve"> “</w:t>
      </w:r>
      <w:r>
        <w:rPr>
          <w:b/>
        </w:rPr>
        <w:t xml:space="preserve">ARTÍCULO 203.- </w:t>
      </w:r>
      <w:r>
        <w:t>La valoración de las pruebas se hará de acuerdo con las siguientes reglas:</w:t>
      </w:r>
    </w:p>
    <w:p w:rsidR="00D2485E" w:rsidRDefault="00D2485E">
      <w:pPr>
        <w:pStyle w:val="Textonotapie"/>
      </w:pPr>
      <w:r>
        <w:t xml:space="preserve">   I Harán prueba plena la confesión expresa de las partes y los actos contenidos en documentos público, si en éstos últimos se contienen declaraciones de verdad o manifestaciones de hechos de particulares; y</w:t>
      </w:r>
    </w:p>
    <w:p w:rsidR="00D2485E" w:rsidRPr="00D2485E" w:rsidRDefault="00D2485E">
      <w:pPr>
        <w:pStyle w:val="Textonotapie"/>
      </w:pPr>
      <w:r>
        <w:t xml:space="preserve">   …”</w:t>
      </w:r>
    </w:p>
  </w:footnote>
  <w:footnote w:id="4">
    <w:p w:rsidR="00CF47D1" w:rsidRPr="008F4D26" w:rsidRDefault="00CF47D1" w:rsidP="004B23F2">
      <w:pPr>
        <w:pStyle w:val="Textonotapie"/>
        <w:rPr>
          <w:rFonts w:ascii="Arial" w:hAnsi="Arial" w:cs="Arial"/>
          <w:sz w:val="16"/>
          <w:szCs w:val="16"/>
        </w:rPr>
      </w:pPr>
      <w:r w:rsidRPr="008F4D26">
        <w:rPr>
          <w:rStyle w:val="Refdenotaalpie"/>
          <w:rFonts w:ascii="Arial" w:hAnsi="Arial" w:cs="Arial"/>
          <w:sz w:val="16"/>
          <w:szCs w:val="16"/>
        </w:rPr>
        <w:footnoteRef/>
      </w:r>
      <w:r w:rsidRPr="008F4D26">
        <w:rPr>
          <w:rFonts w:ascii="Arial" w:hAnsi="Arial" w:cs="Arial"/>
          <w:sz w:val="16"/>
          <w:szCs w:val="16"/>
        </w:rPr>
        <w:t xml:space="preserve"> </w:t>
      </w:r>
      <w:r w:rsidRPr="008F4D26">
        <w:rPr>
          <w:rFonts w:ascii="Arial" w:hAnsi="Arial" w:cs="Arial"/>
          <w:b/>
          <w:bCs/>
          <w:sz w:val="16"/>
          <w:szCs w:val="16"/>
        </w:rPr>
        <w:t xml:space="preserve">ARTICULO 7.- </w:t>
      </w:r>
      <w:r w:rsidRPr="008F4D26">
        <w:rPr>
          <w:rFonts w:ascii="Arial" w:hAnsi="Arial" w:cs="Arial"/>
          <w:sz w:val="16"/>
          <w:szCs w:val="16"/>
        </w:rPr>
        <w:t>Son elementos y requisitos de validez del acto administrativo:</w:t>
      </w:r>
    </w:p>
    <w:p w:rsidR="00CF47D1" w:rsidRPr="008F4D26" w:rsidRDefault="00CF47D1" w:rsidP="004B23F2">
      <w:pPr>
        <w:pStyle w:val="Textonotapie"/>
        <w:rPr>
          <w:rFonts w:ascii="Arial" w:hAnsi="Arial" w:cs="Arial"/>
          <w:sz w:val="16"/>
          <w:szCs w:val="16"/>
        </w:rPr>
      </w:pPr>
      <w:r w:rsidRPr="008F4D26">
        <w:rPr>
          <w:rFonts w:ascii="Arial" w:hAnsi="Arial" w:cs="Arial"/>
          <w:sz w:val="16"/>
          <w:szCs w:val="16"/>
        </w:rPr>
        <w:t>….</w:t>
      </w:r>
    </w:p>
    <w:p w:rsidR="00CF47D1" w:rsidRPr="00194992" w:rsidRDefault="00CF47D1" w:rsidP="004B23F2">
      <w:pPr>
        <w:pStyle w:val="Textonotapie"/>
        <w:rPr>
          <w:rFonts w:ascii="Arial" w:hAnsi="Arial" w:cs="Arial"/>
          <w:sz w:val="16"/>
          <w:szCs w:val="16"/>
        </w:rPr>
      </w:pPr>
      <w:r w:rsidRPr="008F4D26">
        <w:rPr>
          <w:rFonts w:ascii="Arial" w:hAnsi="Arial" w:cs="Arial"/>
          <w:sz w:val="16"/>
          <w:szCs w:val="16"/>
        </w:rPr>
        <w:t>V. Estar fundado y motivado;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5FB9" w:rsidRDefault="00A06194" w:rsidP="00A06194">
    <w:pPr>
      <w:pStyle w:val="Encabezado"/>
    </w:pPr>
    <w:r>
      <w:rPr>
        <w:noProof/>
        <w:lang w:eastAsia="es-MX"/>
      </w:rPr>
      <mc:AlternateContent>
        <mc:Choice Requires="wps">
          <w:drawing>
            <wp:anchor distT="45720" distB="45720" distL="114300" distR="114300" simplePos="0" relativeHeight="251659264" behindDoc="0" locked="0" layoutInCell="1" allowOverlap="1" wp14:anchorId="08A37CDC" wp14:editId="02F9AC76">
              <wp:simplePos x="0" y="0"/>
              <wp:positionH relativeFrom="column">
                <wp:posOffset>-1574800</wp:posOffset>
              </wp:positionH>
              <wp:positionV relativeFrom="paragraph">
                <wp:posOffset>235585</wp:posOffset>
              </wp:positionV>
              <wp:extent cx="1504950" cy="1404620"/>
              <wp:effectExtent l="0" t="0" r="19050" b="2413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950" cy="1404620"/>
                      </a:xfrm>
                      <a:prstGeom prst="rect">
                        <a:avLst/>
                      </a:prstGeom>
                      <a:solidFill>
                        <a:srgbClr val="FFFFFF"/>
                      </a:solidFill>
                      <a:ln w="9525">
                        <a:solidFill>
                          <a:srgbClr val="000000"/>
                        </a:solidFill>
                        <a:miter lim="800000"/>
                        <a:headEnd/>
                        <a:tailEnd/>
                      </a:ln>
                    </wps:spPr>
                    <wps:txbx>
                      <w:txbxContent>
                        <w:p w:rsidR="00A06194" w:rsidRDefault="00A06194" w:rsidP="00A06194">
                          <w:pPr>
                            <w:rPr>
                              <w:rFonts w:ascii="Arial" w:hAnsi="Arial" w:cs="Arial"/>
                              <w:b/>
                              <w:color w:val="0070C0"/>
                              <w:szCs w:val="18"/>
                            </w:rPr>
                          </w:pPr>
                          <w:r>
                            <w:rPr>
                              <w:rFonts w:ascii="Arial" w:hAnsi="Arial" w:cs="Arial"/>
                              <w:b/>
                              <w:color w:val="0070C0"/>
                              <w:szCs w:val="18"/>
                            </w:rPr>
                            <w:t xml:space="preserve">DATOS </w:t>
                          </w:r>
                        </w:p>
                        <w:p w:rsidR="00A06194" w:rsidRDefault="00A06194" w:rsidP="00A06194">
                          <w:pPr>
                            <w:rPr>
                              <w:rFonts w:ascii="Arial" w:hAnsi="Arial" w:cs="Arial"/>
                              <w:b/>
                              <w:color w:val="0070C0"/>
                              <w:szCs w:val="18"/>
                            </w:rPr>
                          </w:pPr>
                          <w:r>
                            <w:rPr>
                              <w:rFonts w:ascii="Arial" w:hAnsi="Arial" w:cs="Arial"/>
                              <w:b/>
                              <w:color w:val="0070C0"/>
                              <w:szCs w:val="18"/>
                            </w:rPr>
                            <w:t>PERSONALES</w:t>
                          </w:r>
                        </w:p>
                        <w:p w:rsidR="00A06194" w:rsidRDefault="00A06194" w:rsidP="00A06194">
                          <w:pPr>
                            <w:rPr>
                              <w:rFonts w:ascii="Arial" w:hAnsi="Arial" w:cs="Arial"/>
                              <w:b/>
                              <w:color w:val="0070C0"/>
                              <w:szCs w:val="18"/>
                            </w:rPr>
                          </w:pPr>
                          <w:r>
                            <w:rPr>
                              <w:rFonts w:ascii="Arial" w:hAnsi="Arial" w:cs="Arial"/>
                              <w:b/>
                              <w:color w:val="0070C0"/>
                              <w:szCs w:val="18"/>
                            </w:rPr>
                            <w:t>PROTEGIDOS</w:t>
                          </w:r>
                        </w:p>
                        <w:p w:rsidR="00A06194" w:rsidRDefault="00A06194" w:rsidP="00A06194">
                          <w:pPr>
                            <w:rPr>
                              <w:rFonts w:ascii="Arial" w:hAnsi="Arial" w:cs="Arial"/>
                              <w:b/>
                              <w:color w:val="0070C0"/>
                              <w:szCs w:val="18"/>
                            </w:rPr>
                          </w:pPr>
                          <w:r>
                            <w:rPr>
                              <w:rFonts w:ascii="Arial" w:hAnsi="Arial" w:cs="Arial"/>
                              <w:b/>
                              <w:color w:val="0070C0"/>
                              <w:szCs w:val="18"/>
                            </w:rPr>
                            <w:t>POR EL</w:t>
                          </w:r>
                        </w:p>
                        <w:p w:rsidR="00A06194" w:rsidRDefault="00A06194" w:rsidP="00A06194">
                          <w:pPr>
                            <w:rPr>
                              <w:rFonts w:ascii="Arial" w:hAnsi="Arial" w:cs="Arial"/>
                              <w:b/>
                              <w:color w:val="0070C0"/>
                              <w:szCs w:val="18"/>
                            </w:rPr>
                          </w:pPr>
                          <w:r>
                            <w:rPr>
                              <w:rFonts w:ascii="Arial" w:hAnsi="Arial" w:cs="Arial"/>
                              <w:b/>
                              <w:color w:val="0070C0"/>
                              <w:szCs w:val="18"/>
                            </w:rPr>
                            <w:t>ARTÍCULO 116</w:t>
                          </w:r>
                        </w:p>
                        <w:p w:rsidR="00A06194" w:rsidRDefault="00A06194" w:rsidP="00A06194">
                          <w:pPr>
                            <w:rPr>
                              <w:rFonts w:ascii="Arial" w:hAnsi="Arial" w:cs="Arial"/>
                              <w:b/>
                              <w:color w:val="0070C0"/>
                              <w:szCs w:val="18"/>
                            </w:rPr>
                          </w:pPr>
                          <w:r>
                            <w:rPr>
                              <w:rFonts w:ascii="Arial" w:hAnsi="Arial" w:cs="Arial"/>
                              <w:b/>
                              <w:color w:val="0070C0"/>
                              <w:szCs w:val="18"/>
                            </w:rPr>
                            <w:t>DE LA LGTAIP</w:t>
                          </w:r>
                        </w:p>
                        <w:p w:rsidR="00A06194" w:rsidRDefault="00A06194" w:rsidP="00A06194">
                          <w:pPr>
                            <w:rPr>
                              <w:rFonts w:ascii="Arial" w:hAnsi="Arial" w:cs="Arial"/>
                              <w:b/>
                              <w:color w:val="0070C0"/>
                              <w:szCs w:val="18"/>
                            </w:rPr>
                          </w:pPr>
                          <w:r>
                            <w:rPr>
                              <w:rFonts w:ascii="Arial" w:hAnsi="Arial" w:cs="Arial"/>
                              <w:b/>
                              <w:color w:val="0070C0"/>
                              <w:szCs w:val="18"/>
                            </w:rPr>
                            <w:t>Y ARTÍCULO 56</w:t>
                          </w:r>
                        </w:p>
                        <w:p w:rsidR="00A06194" w:rsidRDefault="00A06194" w:rsidP="00A06194">
                          <w:r>
                            <w:rPr>
                              <w:rFonts w:ascii="Arial" w:hAnsi="Arial" w:cs="Arial"/>
                              <w:b/>
                              <w:color w:val="0070C0"/>
                              <w:szCs w:val="18"/>
                            </w:rPr>
                            <w:t>DE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8A37CDC" id="_x0000_t202" coordsize="21600,21600" o:spt="202" path="m,l,21600r21600,l21600,xe">
              <v:stroke joinstyle="miter"/>
              <v:path gradientshapeok="t" o:connecttype="rect"/>
            </v:shapetype>
            <v:shape id="Cuadro de texto 2" o:spid="_x0000_s1026" type="#_x0000_t202" style="position:absolute;margin-left:-124pt;margin-top:18.55pt;width:118.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">
              <v:textbox style="mso-fit-shape-to-text:t">
                <w:txbxContent>
                  <w:p w:rsidR="00A06194" w:rsidRDefault="00A06194" w:rsidP="00A06194">
                    <w:pPr>
                      <w:rPr>
                        <w:rFonts w:ascii="Arial" w:hAnsi="Arial" w:cs="Arial"/>
                        <w:b/>
                        <w:color w:val="0070C0"/>
                        <w:szCs w:val="18"/>
                      </w:rPr>
                    </w:pPr>
                    <w:r>
                      <w:rPr>
                        <w:rFonts w:ascii="Arial" w:hAnsi="Arial" w:cs="Arial"/>
                        <w:b/>
                        <w:color w:val="0070C0"/>
                        <w:szCs w:val="18"/>
                      </w:rPr>
                      <w:t xml:space="preserve">DATOS </w:t>
                    </w:r>
                  </w:p>
                  <w:p w:rsidR="00A06194" w:rsidRDefault="00A06194" w:rsidP="00A06194">
                    <w:pPr>
                      <w:rPr>
                        <w:rFonts w:ascii="Arial" w:hAnsi="Arial" w:cs="Arial"/>
                        <w:b/>
                        <w:color w:val="0070C0"/>
                        <w:szCs w:val="18"/>
                      </w:rPr>
                    </w:pPr>
                    <w:r>
                      <w:rPr>
                        <w:rFonts w:ascii="Arial" w:hAnsi="Arial" w:cs="Arial"/>
                        <w:b/>
                        <w:color w:val="0070C0"/>
                        <w:szCs w:val="18"/>
                      </w:rPr>
                      <w:t>PERSONALES</w:t>
                    </w:r>
                  </w:p>
                  <w:p w:rsidR="00A06194" w:rsidRDefault="00A06194" w:rsidP="00A06194">
                    <w:pPr>
                      <w:rPr>
                        <w:rFonts w:ascii="Arial" w:hAnsi="Arial" w:cs="Arial"/>
                        <w:b/>
                        <w:color w:val="0070C0"/>
                        <w:szCs w:val="18"/>
                      </w:rPr>
                    </w:pPr>
                    <w:r>
                      <w:rPr>
                        <w:rFonts w:ascii="Arial" w:hAnsi="Arial" w:cs="Arial"/>
                        <w:b/>
                        <w:color w:val="0070C0"/>
                        <w:szCs w:val="18"/>
                      </w:rPr>
                      <w:t>PROTEGIDOS</w:t>
                    </w:r>
                  </w:p>
                  <w:p w:rsidR="00A06194" w:rsidRDefault="00A06194" w:rsidP="00A06194">
                    <w:pPr>
                      <w:rPr>
                        <w:rFonts w:ascii="Arial" w:hAnsi="Arial" w:cs="Arial"/>
                        <w:b/>
                        <w:color w:val="0070C0"/>
                        <w:szCs w:val="18"/>
                      </w:rPr>
                    </w:pPr>
                    <w:r>
                      <w:rPr>
                        <w:rFonts w:ascii="Arial" w:hAnsi="Arial" w:cs="Arial"/>
                        <w:b/>
                        <w:color w:val="0070C0"/>
                        <w:szCs w:val="18"/>
                      </w:rPr>
                      <w:t>POR EL</w:t>
                    </w:r>
                  </w:p>
                  <w:p w:rsidR="00A06194" w:rsidRDefault="00A06194" w:rsidP="00A06194">
                    <w:pPr>
                      <w:rPr>
                        <w:rFonts w:ascii="Arial" w:hAnsi="Arial" w:cs="Arial"/>
                        <w:b/>
                        <w:color w:val="0070C0"/>
                        <w:szCs w:val="18"/>
                      </w:rPr>
                    </w:pPr>
                    <w:r>
                      <w:rPr>
                        <w:rFonts w:ascii="Arial" w:hAnsi="Arial" w:cs="Arial"/>
                        <w:b/>
                        <w:color w:val="0070C0"/>
                        <w:szCs w:val="18"/>
                      </w:rPr>
                      <w:t>ARTÍCULO 116</w:t>
                    </w:r>
                  </w:p>
                  <w:p w:rsidR="00A06194" w:rsidRDefault="00A06194" w:rsidP="00A06194">
                    <w:pPr>
                      <w:rPr>
                        <w:rFonts w:ascii="Arial" w:hAnsi="Arial" w:cs="Arial"/>
                        <w:b/>
                        <w:color w:val="0070C0"/>
                        <w:szCs w:val="18"/>
                      </w:rPr>
                    </w:pPr>
                    <w:r>
                      <w:rPr>
                        <w:rFonts w:ascii="Arial" w:hAnsi="Arial" w:cs="Arial"/>
                        <w:b/>
                        <w:color w:val="0070C0"/>
                        <w:szCs w:val="18"/>
                      </w:rPr>
                      <w:t>DE LA LGTAIP</w:t>
                    </w:r>
                  </w:p>
                  <w:p w:rsidR="00A06194" w:rsidRDefault="00A06194" w:rsidP="00A06194">
                    <w:pPr>
                      <w:rPr>
                        <w:rFonts w:ascii="Arial" w:hAnsi="Arial" w:cs="Arial"/>
                        <w:b/>
                        <w:color w:val="0070C0"/>
                        <w:szCs w:val="18"/>
                      </w:rPr>
                    </w:pPr>
                    <w:r>
                      <w:rPr>
                        <w:rFonts w:ascii="Arial" w:hAnsi="Arial" w:cs="Arial"/>
                        <w:b/>
                        <w:color w:val="0070C0"/>
                        <w:szCs w:val="18"/>
                      </w:rPr>
                      <w:t>Y ARTÍCULO 56</w:t>
                    </w:r>
                  </w:p>
                  <w:p w:rsidR="00A06194" w:rsidRDefault="00A06194" w:rsidP="00A06194">
                    <w:r>
                      <w:rPr>
                        <w:rFonts w:ascii="Arial" w:hAnsi="Arial" w:cs="Arial"/>
                        <w:b/>
                        <w:color w:val="0070C0"/>
                        <w:szCs w:val="18"/>
                      </w:rPr>
                      <w:t>DE LA LTAIPEO</w:t>
                    </w:r>
                  </w:p>
                </w:txbxContent>
              </v:textbox>
              <w10:wrap type="square"/>
            </v:shape>
          </w:pict>
        </mc:Fallback>
      </mc:AlternateContent>
    </w:r>
  </w:p>
  <w:p w:rsidR="00CF47D1" w:rsidRDefault="00CF47D1">
    <w:pPr>
      <w:pStyle w:val="Encabezad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424E4E"/>
    <w:multiLevelType w:val="hybridMultilevel"/>
    <w:tmpl w:val="1E1EEB4A"/>
    <w:lvl w:ilvl="0" w:tplc="9B3A7DFE">
      <w:start w:val="10"/>
      <w:numFmt w:val="bullet"/>
      <w:lvlText w:val="-"/>
      <w:lvlJc w:val="left"/>
      <w:pPr>
        <w:ind w:left="1068" w:hanging="360"/>
      </w:pPr>
      <w:rPr>
        <w:rFonts w:ascii="Arial" w:eastAsiaTheme="minorHAnsi" w:hAnsi="Aria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
    <w:nsid w:val="258C2615"/>
    <w:multiLevelType w:val="hybridMultilevel"/>
    <w:tmpl w:val="A66265F6"/>
    <w:lvl w:ilvl="0" w:tplc="3604C8B0">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2EB34239"/>
    <w:multiLevelType w:val="hybridMultilevel"/>
    <w:tmpl w:val="6ACCB454"/>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3">
    <w:nsid w:val="41CF6F31"/>
    <w:multiLevelType w:val="hybridMultilevel"/>
    <w:tmpl w:val="09AE9B28"/>
    <w:lvl w:ilvl="0" w:tplc="EBBE95A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nsid w:val="41FD36CC"/>
    <w:multiLevelType w:val="hybridMultilevel"/>
    <w:tmpl w:val="DDB042A4"/>
    <w:lvl w:ilvl="0" w:tplc="EBBE95AA">
      <w:start w:val="1"/>
      <w:numFmt w:val="lowerLetter"/>
      <w:lvlText w:val="%1)"/>
      <w:lvlJc w:val="left"/>
      <w:pPr>
        <w:ind w:left="1068"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43C06BF4"/>
    <w:multiLevelType w:val="hybridMultilevel"/>
    <w:tmpl w:val="B28666A0"/>
    <w:lvl w:ilvl="0" w:tplc="87487270">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nsid w:val="64DF7F63"/>
    <w:multiLevelType w:val="hybridMultilevel"/>
    <w:tmpl w:val="AAC02A2C"/>
    <w:lvl w:ilvl="0" w:tplc="3C06311C">
      <w:start w:val="1"/>
      <w:numFmt w:val="upperRoman"/>
      <w:lvlText w:val="%1."/>
      <w:lvlJc w:val="left"/>
      <w:pPr>
        <w:ind w:left="858" w:hanging="720"/>
      </w:pPr>
      <w:rPr>
        <w:rFonts w:ascii="Arial" w:eastAsia="Arial" w:hAnsi="Arial" w:cs="Arial" w:hint="default"/>
        <w:b/>
        <w:bCs/>
        <w:spacing w:val="-26"/>
        <w:w w:val="99"/>
        <w:sz w:val="24"/>
        <w:szCs w:val="24"/>
        <w:lang w:val="es-ES" w:eastAsia="es-ES" w:bidi="es-ES"/>
      </w:rPr>
    </w:lvl>
    <w:lvl w:ilvl="1" w:tplc="769E2E04">
      <w:numFmt w:val="bullet"/>
      <w:lvlText w:val="•"/>
      <w:lvlJc w:val="left"/>
      <w:pPr>
        <w:ind w:left="1786" w:hanging="720"/>
      </w:pPr>
      <w:rPr>
        <w:rFonts w:hint="default"/>
        <w:lang w:val="es-ES" w:eastAsia="es-ES" w:bidi="es-ES"/>
      </w:rPr>
    </w:lvl>
    <w:lvl w:ilvl="2" w:tplc="B16C1626">
      <w:numFmt w:val="bullet"/>
      <w:lvlText w:val="•"/>
      <w:lvlJc w:val="left"/>
      <w:pPr>
        <w:ind w:left="2712" w:hanging="720"/>
      </w:pPr>
      <w:rPr>
        <w:rFonts w:hint="default"/>
        <w:lang w:val="es-ES" w:eastAsia="es-ES" w:bidi="es-ES"/>
      </w:rPr>
    </w:lvl>
    <w:lvl w:ilvl="3" w:tplc="FB4AE0E8">
      <w:numFmt w:val="bullet"/>
      <w:lvlText w:val="•"/>
      <w:lvlJc w:val="left"/>
      <w:pPr>
        <w:ind w:left="3638" w:hanging="720"/>
      </w:pPr>
      <w:rPr>
        <w:rFonts w:hint="default"/>
        <w:lang w:val="es-ES" w:eastAsia="es-ES" w:bidi="es-ES"/>
      </w:rPr>
    </w:lvl>
    <w:lvl w:ilvl="4" w:tplc="C730FFDC">
      <w:numFmt w:val="bullet"/>
      <w:lvlText w:val="•"/>
      <w:lvlJc w:val="left"/>
      <w:pPr>
        <w:ind w:left="4564" w:hanging="720"/>
      </w:pPr>
      <w:rPr>
        <w:rFonts w:hint="default"/>
        <w:lang w:val="es-ES" w:eastAsia="es-ES" w:bidi="es-ES"/>
      </w:rPr>
    </w:lvl>
    <w:lvl w:ilvl="5" w:tplc="52700452">
      <w:numFmt w:val="bullet"/>
      <w:lvlText w:val="•"/>
      <w:lvlJc w:val="left"/>
      <w:pPr>
        <w:ind w:left="5491" w:hanging="720"/>
      </w:pPr>
      <w:rPr>
        <w:rFonts w:hint="default"/>
        <w:lang w:val="es-ES" w:eastAsia="es-ES" w:bidi="es-ES"/>
      </w:rPr>
    </w:lvl>
    <w:lvl w:ilvl="6" w:tplc="F6AA7E54">
      <w:numFmt w:val="bullet"/>
      <w:lvlText w:val="•"/>
      <w:lvlJc w:val="left"/>
      <w:pPr>
        <w:ind w:left="6417" w:hanging="720"/>
      </w:pPr>
      <w:rPr>
        <w:rFonts w:hint="default"/>
        <w:lang w:val="es-ES" w:eastAsia="es-ES" w:bidi="es-ES"/>
      </w:rPr>
    </w:lvl>
    <w:lvl w:ilvl="7" w:tplc="DDC0AB2E">
      <w:numFmt w:val="bullet"/>
      <w:lvlText w:val="•"/>
      <w:lvlJc w:val="left"/>
      <w:pPr>
        <w:ind w:left="7343" w:hanging="720"/>
      </w:pPr>
      <w:rPr>
        <w:rFonts w:hint="default"/>
        <w:lang w:val="es-ES" w:eastAsia="es-ES" w:bidi="es-ES"/>
      </w:rPr>
    </w:lvl>
    <w:lvl w:ilvl="8" w:tplc="A64884DA">
      <w:numFmt w:val="bullet"/>
      <w:lvlText w:val="•"/>
      <w:lvlJc w:val="left"/>
      <w:pPr>
        <w:ind w:left="8269" w:hanging="720"/>
      </w:pPr>
      <w:rPr>
        <w:rFonts w:hint="default"/>
        <w:lang w:val="es-ES" w:eastAsia="es-ES" w:bidi="es-ES"/>
      </w:rPr>
    </w:lvl>
  </w:abstractNum>
  <w:abstractNum w:abstractNumId="7">
    <w:nsid w:val="7B9A05D7"/>
    <w:multiLevelType w:val="hybridMultilevel"/>
    <w:tmpl w:val="6D6AF998"/>
    <w:lvl w:ilvl="0" w:tplc="FA4CF92A">
      <w:start w:val="10"/>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5"/>
  </w:num>
  <w:num w:numId="4">
    <w:abstractNumId w:val="3"/>
  </w:num>
  <w:num w:numId="5">
    <w:abstractNumId w:val="2"/>
  </w:num>
  <w:num w:numId="6">
    <w:abstractNumId w:val="4"/>
  </w:num>
  <w:num w:numId="7">
    <w:abstractNumId w:val="1"/>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4B0E"/>
    <w:rsid w:val="000026E8"/>
    <w:rsid w:val="00004CDD"/>
    <w:rsid w:val="00005CE2"/>
    <w:rsid w:val="00006B82"/>
    <w:rsid w:val="00007DD5"/>
    <w:rsid w:val="00011125"/>
    <w:rsid w:val="0001491C"/>
    <w:rsid w:val="00015045"/>
    <w:rsid w:val="00024773"/>
    <w:rsid w:val="000262FA"/>
    <w:rsid w:val="00026984"/>
    <w:rsid w:val="00027DC0"/>
    <w:rsid w:val="00030698"/>
    <w:rsid w:val="000339B0"/>
    <w:rsid w:val="00036A0F"/>
    <w:rsid w:val="00044972"/>
    <w:rsid w:val="00047315"/>
    <w:rsid w:val="0005024B"/>
    <w:rsid w:val="00052DBE"/>
    <w:rsid w:val="0005750A"/>
    <w:rsid w:val="00061C4E"/>
    <w:rsid w:val="00061DAD"/>
    <w:rsid w:val="00062984"/>
    <w:rsid w:val="0006351F"/>
    <w:rsid w:val="00064AF0"/>
    <w:rsid w:val="00064B5D"/>
    <w:rsid w:val="000700CE"/>
    <w:rsid w:val="00087676"/>
    <w:rsid w:val="00096226"/>
    <w:rsid w:val="000964AB"/>
    <w:rsid w:val="000A1682"/>
    <w:rsid w:val="000A3DCB"/>
    <w:rsid w:val="000B4BE2"/>
    <w:rsid w:val="000B682A"/>
    <w:rsid w:val="000B7BA5"/>
    <w:rsid w:val="000C46FE"/>
    <w:rsid w:val="000D3E0C"/>
    <w:rsid w:val="000D5F62"/>
    <w:rsid w:val="000D6059"/>
    <w:rsid w:val="000D7D92"/>
    <w:rsid w:val="000E2532"/>
    <w:rsid w:val="000E2640"/>
    <w:rsid w:val="000E35F6"/>
    <w:rsid w:val="000E66B5"/>
    <w:rsid w:val="000F01C7"/>
    <w:rsid w:val="000F2B3A"/>
    <w:rsid w:val="000F39AB"/>
    <w:rsid w:val="00103B4B"/>
    <w:rsid w:val="00107D46"/>
    <w:rsid w:val="00110EA2"/>
    <w:rsid w:val="00110FBB"/>
    <w:rsid w:val="00111C19"/>
    <w:rsid w:val="00114142"/>
    <w:rsid w:val="00122987"/>
    <w:rsid w:val="00124387"/>
    <w:rsid w:val="0012545F"/>
    <w:rsid w:val="00126983"/>
    <w:rsid w:val="001343EF"/>
    <w:rsid w:val="00134422"/>
    <w:rsid w:val="0013514C"/>
    <w:rsid w:val="00136799"/>
    <w:rsid w:val="001377BF"/>
    <w:rsid w:val="001428C4"/>
    <w:rsid w:val="001430DF"/>
    <w:rsid w:val="00143BCC"/>
    <w:rsid w:val="00143CFF"/>
    <w:rsid w:val="00144516"/>
    <w:rsid w:val="00147B61"/>
    <w:rsid w:val="00151521"/>
    <w:rsid w:val="001532E0"/>
    <w:rsid w:val="0015733A"/>
    <w:rsid w:val="001578E7"/>
    <w:rsid w:val="001604AA"/>
    <w:rsid w:val="0016164C"/>
    <w:rsid w:val="00165BE6"/>
    <w:rsid w:val="00166349"/>
    <w:rsid w:val="00166B4B"/>
    <w:rsid w:val="001704DA"/>
    <w:rsid w:val="001707DA"/>
    <w:rsid w:val="00174553"/>
    <w:rsid w:val="00181A80"/>
    <w:rsid w:val="0018220D"/>
    <w:rsid w:val="00185009"/>
    <w:rsid w:val="00185C40"/>
    <w:rsid w:val="00191BAF"/>
    <w:rsid w:val="00191BEA"/>
    <w:rsid w:val="00193417"/>
    <w:rsid w:val="00193F7A"/>
    <w:rsid w:val="00194437"/>
    <w:rsid w:val="001A1354"/>
    <w:rsid w:val="001A1A96"/>
    <w:rsid w:val="001A3799"/>
    <w:rsid w:val="001A3E9C"/>
    <w:rsid w:val="001A4B85"/>
    <w:rsid w:val="001A51FC"/>
    <w:rsid w:val="001B3D76"/>
    <w:rsid w:val="001B4354"/>
    <w:rsid w:val="001B45AD"/>
    <w:rsid w:val="001C3149"/>
    <w:rsid w:val="001C3B72"/>
    <w:rsid w:val="001C40C5"/>
    <w:rsid w:val="001C4ECE"/>
    <w:rsid w:val="001D0205"/>
    <w:rsid w:val="001D4630"/>
    <w:rsid w:val="001D4AF2"/>
    <w:rsid w:val="001D5168"/>
    <w:rsid w:val="001D5737"/>
    <w:rsid w:val="001D5A01"/>
    <w:rsid w:val="001D5E82"/>
    <w:rsid w:val="001E227F"/>
    <w:rsid w:val="001E2FDD"/>
    <w:rsid w:val="001E791C"/>
    <w:rsid w:val="001F0243"/>
    <w:rsid w:val="001F0AA4"/>
    <w:rsid w:val="001F2549"/>
    <w:rsid w:val="001F280E"/>
    <w:rsid w:val="001F2F3B"/>
    <w:rsid w:val="001F3732"/>
    <w:rsid w:val="001F710A"/>
    <w:rsid w:val="00204D7B"/>
    <w:rsid w:val="0020615D"/>
    <w:rsid w:val="00206F4D"/>
    <w:rsid w:val="002070CD"/>
    <w:rsid w:val="00210EDA"/>
    <w:rsid w:val="00212E2A"/>
    <w:rsid w:val="002140CB"/>
    <w:rsid w:val="002147C1"/>
    <w:rsid w:val="00214C97"/>
    <w:rsid w:val="00216382"/>
    <w:rsid w:val="00220810"/>
    <w:rsid w:val="002304C7"/>
    <w:rsid w:val="00230553"/>
    <w:rsid w:val="00232394"/>
    <w:rsid w:val="00234324"/>
    <w:rsid w:val="002354D4"/>
    <w:rsid w:val="002401D9"/>
    <w:rsid w:val="00245873"/>
    <w:rsid w:val="00251F85"/>
    <w:rsid w:val="00255F2C"/>
    <w:rsid w:val="002573AE"/>
    <w:rsid w:val="002631E2"/>
    <w:rsid w:val="0026513F"/>
    <w:rsid w:val="00265CF4"/>
    <w:rsid w:val="00267073"/>
    <w:rsid w:val="00271368"/>
    <w:rsid w:val="00271A3C"/>
    <w:rsid w:val="002758B3"/>
    <w:rsid w:val="00277A5F"/>
    <w:rsid w:val="002807A7"/>
    <w:rsid w:val="00283D9B"/>
    <w:rsid w:val="00284930"/>
    <w:rsid w:val="00284D2B"/>
    <w:rsid w:val="00284FAE"/>
    <w:rsid w:val="002875B3"/>
    <w:rsid w:val="00287B46"/>
    <w:rsid w:val="00290F7A"/>
    <w:rsid w:val="0029107A"/>
    <w:rsid w:val="00293967"/>
    <w:rsid w:val="00296542"/>
    <w:rsid w:val="00296822"/>
    <w:rsid w:val="0029745F"/>
    <w:rsid w:val="00297BC2"/>
    <w:rsid w:val="002A0621"/>
    <w:rsid w:val="002A2081"/>
    <w:rsid w:val="002A6DE8"/>
    <w:rsid w:val="002B207B"/>
    <w:rsid w:val="002B23E9"/>
    <w:rsid w:val="002B346B"/>
    <w:rsid w:val="002B54E7"/>
    <w:rsid w:val="002B552D"/>
    <w:rsid w:val="002C154C"/>
    <w:rsid w:val="002C35CA"/>
    <w:rsid w:val="002C3BCD"/>
    <w:rsid w:val="002D1C1F"/>
    <w:rsid w:val="002D1DFF"/>
    <w:rsid w:val="002D6EEC"/>
    <w:rsid w:val="002D7D95"/>
    <w:rsid w:val="002D7E3C"/>
    <w:rsid w:val="002E6F47"/>
    <w:rsid w:val="002E7D49"/>
    <w:rsid w:val="003007D2"/>
    <w:rsid w:val="003026EA"/>
    <w:rsid w:val="003027B0"/>
    <w:rsid w:val="00305436"/>
    <w:rsid w:val="00305A9F"/>
    <w:rsid w:val="00306F7C"/>
    <w:rsid w:val="0031158C"/>
    <w:rsid w:val="00314955"/>
    <w:rsid w:val="00316213"/>
    <w:rsid w:val="00317364"/>
    <w:rsid w:val="00317744"/>
    <w:rsid w:val="003213C7"/>
    <w:rsid w:val="00322B33"/>
    <w:rsid w:val="0032743F"/>
    <w:rsid w:val="00335A7C"/>
    <w:rsid w:val="00337AEA"/>
    <w:rsid w:val="00343286"/>
    <w:rsid w:val="0034462C"/>
    <w:rsid w:val="00344954"/>
    <w:rsid w:val="00346BA2"/>
    <w:rsid w:val="003522AA"/>
    <w:rsid w:val="003534BB"/>
    <w:rsid w:val="0035386D"/>
    <w:rsid w:val="00353F9D"/>
    <w:rsid w:val="00354DF7"/>
    <w:rsid w:val="00355419"/>
    <w:rsid w:val="00362F0A"/>
    <w:rsid w:val="00364420"/>
    <w:rsid w:val="00367A2E"/>
    <w:rsid w:val="00373109"/>
    <w:rsid w:val="0037373C"/>
    <w:rsid w:val="003743E9"/>
    <w:rsid w:val="00375CDD"/>
    <w:rsid w:val="00376D36"/>
    <w:rsid w:val="00376E81"/>
    <w:rsid w:val="003771B5"/>
    <w:rsid w:val="00380DC8"/>
    <w:rsid w:val="003842F3"/>
    <w:rsid w:val="0038485F"/>
    <w:rsid w:val="00393598"/>
    <w:rsid w:val="003A11F2"/>
    <w:rsid w:val="003A44B8"/>
    <w:rsid w:val="003A768F"/>
    <w:rsid w:val="003B1CAB"/>
    <w:rsid w:val="003B3FE0"/>
    <w:rsid w:val="003B4FFC"/>
    <w:rsid w:val="003B740A"/>
    <w:rsid w:val="003C1B67"/>
    <w:rsid w:val="003C2AB3"/>
    <w:rsid w:val="003C57A6"/>
    <w:rsid w:val="003C7E7F"/>
    <w:rsid w:val="003D29B1"/>
    <w:rsid w:val="003D2C7D"/>
    <w:rsid w:val="003E1368"/>
    <w:rsid w:val="003E2295"/>
    <w:rsid w:val="003E2E5A"/>
    <w:rsid w:val="003E5091"/>
    <w:rsid w:val="003E5A1F"/>
    <w:rsid w:val="003E5D05"/>
    <w:rsid w:val="003E6718"/>
    <w:rsid w:val="003E73DD"/>
    <w:rsid w:val="003E768C"/>
    <w:rsid w:val="003F21E5"/>
    <w:rsid w:val="003F2CC0"/>
    <w:rsid w:val="003F71E1"/>
    <w:rsid w:val="003F790C"/>
    <w:rsid w:val="003F7986"/>
    <w:rsid w:val="0040373F"/>
    <w:rsid w:val="00411994"/>
    <w:rsid w:val="0041290C"/>
    <w:rsid w:val="00414FE8"/>
    <w:rsid w:val="00417099"/>
    <w:rsid w:val="00417216"/>
    <w:rsid w:val="004225BA"/>
    <w:rsid w:val="004228C2"/>
    <w:rsid w:val="00427B3D"/>
    <w:rsid w:val="00433109"/>
    <w:rsid w:val="00433E39"/>
    <w:rsid w:val="00436355"/>
    <w:rsid w:val="00436EAA"/>
    <w:rsid w:val="00437EDE"/>
    <w:rsid w:val="0044384A"/>
    <w:rsid w:val="004464FC"/>
    <w:rsid w:val="004526A2"/>
    <w:rsid w:val="004535DC"/>
    <w:rsid w:val="004540FE"/>
    <w:rsid w:val="00461158"/>
    <w:rsid w:val="004626BD"/>
    <w:rsid w:val="00466D12"/>
    <w:rsid w:val="00475F3A"/>
    <w:rsid w:val="00476ACE"/>
    <w:rsid w:val="004779E3"/>
    <w:rsid w:val="00480E16"/>
    <w:rsid w:val="0048217F"/>
    <w:rsid w:val="004866E0"/>
    <w:rsid w:val="004875C6"/>
    <w:rsid w:val="00487CE3"/>
    <w:rsid w:val="00490C78"/>
    <w:rsid w:val="004912AC"/>
    <w:rsid w:val="00493AE3"/>
    <w:rsid w:val="00496546"/>
    <w:rsid w:val="00496E05"/>
    <w:rsid w:val="004A12B0"/>
    <w:rsid w:val="004A483D"/>
    <w:rsid w:val="004A4CCD"/>
    <w:rsid w:val="004B0691"/>
    <w:rsid w:val="004B081E"/>
    <w:rsid w:val="004B23F2"/>
    <w:rsid w:val="004B401E"/>
    <w:rsid w:val="004B590D"/>
    <w:rsid w:val="004C026A"/>
    <w:rsid w:val="004C0BCE"/>
    <w:rsid w:val="004C27F3"/>
    <w:rsid w:val="004C3810"/>
    <w:rsid w:val="004C41FD"/>
    <w:rsid w:val="004C4C94"/>
    <w:rsid w:val="004D0C04"/>
    <w:rsid w:val="004D1D42"/>
    <w:rsid w:val="004D32A7"/>
    <w:rsid w:val="004E0C4F"/>
    <w:rsid w:val="004F2B25"/>
    <w:rsid w:val="004F40EA"/>
    <w:rsid w:val="004F7A70"/>
    <w:rsid w:val="005042C6"/>
    <w:rsid w:val="005044D6"/>
    <w:rsid w:val="005135D0"/>
    <w:rsid w:val="00514A2E"/>
    <w:rsid w:val="005157C0"/>
    <w:rsid w:val="00515846"/>
    <w:rsid w:val="00515A8F"/>
    <w:rsid w:val="00515FAF"/>
    <w:rsid w:val="005239A6"/>
    <w:rsid w:val="005240F9"/>
    <w:rsid w:val="00524DD3"/>
    <w:rsid w:val="005268BA"/>
    <w:rsid w:val="00530A0F"/>
    <w:rsid w:val="00532E71"/>
    <w:rsid w:val="00532F43"/>
    <w:rsid w:val="00534B32"/>
    <w:rsid w:val="00535988"/>
    <w:rsid w:val="00540A24"/>
    <w:rsid w:val="00541B51"/>
    <w:rsid w:val="005436F1"/>
    <w:rsid w:val="00550C05"/>
    <w:rsid w:val="0056580A"/>
    <w:rsid w:val="00566B86"/>
    <w:rsid w:val="005706F7"/>
    <w:rsid w:val="00570B41"/>
    <w:rsid w:val="005738A9"/>
    <w:rsid w:val="005739B2"/>
    <w:rsid w:val="00576FFB"/>
    <w:rsid w:val="0057705B"/>
    <w:rsid w:val="0058185F"/>
    <w:rsid w:val="005820CB"/>
    <w:rsid w:val="00583D96"/>
    <w:rsid w:val="005878A9"/>
    <w:rsid w:val="005901DE"/>
    <w:rsid w:val="00592A8F"/>
    <w:rsid w:val="00594272"/>
    <w:rsid w:val="0059609A"/>
    <w:rsid w:val="005968A6"/>
    <w:rsid w:val="005970CF"/>
    <w:rsid w:val="005A0F96"/>
    <w:rsid w:val="005A2BDC"/>
    <w:rsid w:val="005A3FEF"/>
    <w:rsid w:val="005B04C8"/>
    <w:rsid w:val="005B1EA7"/>
    <w:rsid w:val="005B451D"/>
    <w:rsid w:val="005B59E4"/>
    <w:rsid w:val="005B66C9"/>
    <w:rsid w:val="005B6CD0"/>
    <w:rsid w:val="005C0E5A"/>
    <w:rsid w:val="005C158F"/>
    <w:rsid w:val="005C2F2D"/>
    <w:rsid w:val="005D092A"/>
    <w:rsid w:val="005D0CAA"/>
    <w:rsid w:val="005D1F28"/>
    <w:rsid w:val="005E0703"/>
    <w:rsid w:val="005E1F0A"/>
    <w:rsid w:val="005F13BA"/>
    <w:rsid w:val="005F1B07"/>
    <w:rsid w:val="005F35EB"/>
    <w:rsid w:val="005F3A71"/>
    <w:rsid w:val="005F58E9"/>
    <w:rsid w:val="00600893"/>
    <w:rsid w:val="00605B14"/>
    <w:rsid w:val="0060692D"/>
    <w:rsid w:val="00607BF2"/>
    <w:rsid w:val="006111DD"/>
    <w:rsid w:val="00612272"/>
    <w:rsid w:val="0061447A"/>
    <w:rsid w:val="0061453A"/>
    <w:rsid w:val="00615DC1"/>
    <w:rsid w:val="00617D60"/>
    <w:rsid w:val="00623C7E"/>
    <w:rsid w:val="0062715D"/>
    <w:rsid w:val="00627DD6"/>
    <w:rsid w:val="00635189"/>
    <w:rsid w:val="00635D3F"/>
    <w:rsid w:val="00637921"/>
    <w:rsid w:val="00640144"/>
    <w:rsid w:val="006404BE"/>
    <w:rsid w:val="00641C1B"/>
    <w:rsid w:val="0064359D"/>
    <w:rsid w:val="00643BD5"/>
    <w:rsid w:val="0064671D"/>
    <w:rsid w:val="00646C6B"/>
    <w:rsid w:val="00650482"/>
    <w:rsid w:val="00651A02"/>
    <w:rsid w:val="00653F12"/>
    <w:rsid w:val="0065580B"/>
    <w:rsid w:val="00655CAA"/>
    <w:rsid w:val="00657991"/>
    <w:rsid w:val="006621FC"/>
    <w:rsid w:val="00663E37"/>
    <w:rsid w:val="00664AEC"/>
    <w:rsid w:val="00667376"/>
    <w:rsid w:val="00672869"/>
    <w:rsid w:val="006732DE"/>
    <w:rsid w:val="00674F2F"/>
    <w:rsid w:val="00675487"/>
    <w:rsid w:val="006765C5"/>
    <w:rsid w:val="006769AE"/>
    <w:rsid w:val="006776CA"/>
    <w:rsid w:val="00677921"/>
    <w:rsid w:val="0068315D"/>
    <w:rsid w:val="00683D45"/>
    <w:rsid w:val="0068680B"/>
    <w:rsid w:val="00686BBE"/>
    <w:rsid w:val="00695D58"/>
    <w:rsid w:val="00697176"/>
    <w:rsid w:val="006974BE"/>
    <w:rsid w:val="00697AF5"/>
    <w:rsid w:val="006B12F1"/>
    <w:rsid w:val="006B1623"/>
    <w:rsid w:val="006B19FE"/>
    <w:rsid w:val="006B3DFD"/>
    <w:rsid w:val="006B3F7F"/>
    <w:rsid w:val="006B49FD"/>
    <w:rsid w:val="006C050F"/>
    <w:rsid w:val="006C2B12"/>
    <w:rsid w:val="006C5A90"/>
    <w:rsid w:val="006C7A08"/>
    <w:rsid w:val="006D09D3"/>
    <w:rsid w:val="006D169F"/>
    <w:rsid w:val="006D1822"/>
    <w:rsid w:val="006D3EA0"/>
    <w:rsid w:val="006D4BDA"/>
    <w:rsid w:val="006E0D34"/>
    <w:rsid w:val="006E48A7"/>
    <w:rsid w:val="006F0E22"/>
    <w:rsid w:val="006F3B56"/>
    <w:rsid w:val="006F6728"/>
    <w:rsid w:val="006F78BE"/>
    <w:rsid w:val="007029F9"/>
    <w:rsid w:val="00703232"/>
    <w:rsid w:val="00710DAF"/>
    <w:rsid w:val="00712856"/>
    <w:rsid w:val="00712A5E"/>
    <w:rsid w:val="007150B9"/>
    <w:rsid w:val="00721510"/>
    <w:rsid w:val="007226EC"/>
    <w:rsid w:val="00722E96"/>
    <w:rsid w:val="007314F8"/>
    <w:rsid w:val="00733282"/>
    <w:rsid w:val="00733C70"/>
    <w:rsid w:val="00734AC3"/>
    <w:rsid w:val="007373C0"/>
    <w:rsid w:val="00744320"/>
    <w:rsid w:val="007456A2"/>
    <w:rsid w:val="00747B22"/>
    <w:rsid w:val="007513DC"/>
    <w:rsid w:val="00752CB1"/>
    <w:rsid w:val="007568C3"/>
    <w:rsid w:val="007574A8"/>
    <w:rsid w:val="007574B4"/>
    <w:rsid w:val="00760015"/>
    <w:rsid w:val="007606C7"/>
    <w:rsid w:val="007626BF"/>
    <w:rsid w:val="00770AEC"/>
    <w:rsid w:val="00770D21"/>
    <w:rsid w:val="00771917"/>
    <w:rsid w:val="00771BBC"/>
    <w:rsid w:val="007731DD"/>
    <w:rsid w:val="00781184"/>
    <w:rsid w:val="007866A5"/>
    <w:rsid w:val="00787BCC"/>
    <w:rsid w:val="00787C86"/>
    <w:rsid w:val="00792C2D"/>
    <w:rsid w:val="00793696"/>
    <w:rsid w:val="00794644"/>
    <w:rsid w:val="00795C1A"/>
    <w:rsid w:val="00795E64"/>
    <w:rsid w:val="007977D6"/>
    <w:rsid w:val="007A5346"/>
    <w:rsid w:val="007A5FB9"/>
    <w:rsid w:val="007B04A2"/>
    <w:rsid w:val="007B1499"/>
    <w:rsid w:val="007B59FF"/>
    <w:rsid w:val="007B6A86"/>
    <w:rsid w:val="007B6BE8"/>
    <w:rsid w:val="007B6FB1"/>
    <w:rsid w:val="007C5A8B"/>
    <w:rsid w:val="007D303F"/>
    <w:rsid w:val="007D655C"/>
    <w:rsid w:val="007E2D47"/>
    <w:rsid w:val="007E58A5"/>
    <w:rsid w:val="007E60C0"/>
    <w:rsid w:val="007E634C"/>
    <w:rsid w:val="007F3B53"/>
    <w:rsid w:val="007F60D9"/>
    <w:rsid w:val="007F6A13"/>
    <w:rsid w:val="007F701F"/>
    <w:rsid w:val="00800A89"/>
    <w:rsid w:val="0080321F"/>
    <w:rsid w:val="00806BF3"/>
    <w:rsid w:val="0080789C"/>
    <w:rsid w:val="00810D87"/>
    <w:rsid w:val="00812179"/>
    <w:rsid w:val="0081340C"/>
    <w:rsid w:val="0081363C"/>
    <w:rsid w:val="00814042"/>
    <w:rsid w:val="00816164"/>
    <w:rsid w:val="00817BF8"/>
    <w:rsid w:val="008200A5"/>
    <w:rsid w:val="00820EF9"/>
    <w:rsid w:val="00822DBE"/>
    <w:rsid w:val="008262F6"/>
    <w:rsid w:val="0082681E"/>
    <w:rsid w:val="008309D2"/>
    <w:rsid w:val="00830AAE"/>
    <w:rsid w:val="00833674"/>
    <w:rsid w:val="00834028"/>
    <w:rsid w:val="008351AC"/>
    <w:rsid w:val="008405CB"/>
    <w:rsid w:val="00844E72"/>
    <w:rsid w:val="00846528"/>
    <w:rsid w:val="00846DA7"/>
    <w:rsid w:val="00846FDB"/>
    <w:rsid w:val="00850508"/>
    <w:rsid w:val="00854BAC"/>
    <w:rsid w:val="0085575D"/>
    <w:rsid w:val="00856C95"/>
    <w:rsid w:val="008604D1"/>
    <w:rsid w:val="0086130C"/>
    <w:rsid w:val="0086352E"/>
    <w:rsid w:val="008644E4"/>
    <w:rsid w:val="00871147"/>
    <w:rsid w:val="00872E1F"/>
    <w:rsid w:val="00874EAF"/>
    <w:rsid w:val="00875C53"/>
    <w:rsid w:val="00880CC6"/>
    <w:rsid w:val="00880E87"/>
    <w:rsid w:val="008816D5"/>
    <w:rsid w:val="00883CC2"/>
    <w:rsid w:val="00890143"/>
    <w:rsid w:val="00891B0B"/>
    <w:rsid w:val="008929D9"/>
    <w:rsid w:val="00892B5E"/>
    <w:rsid w:val="0089406E"/>
    <w:rsid w:val="008947E1"/>
    <w:rsid w:val="00895648"/>
    <w:rsid w:val="00895C9B"/>
    <w:rsid w:val="00897A48"/>
    <w:rsid w:val="008A2F53"/>
    <w:rsid w:val="008A2FE3"/>
    <w:rsid w:val="008A39CB"/>
    <w:rsid w:val="008B0760"/>
    <w:rsid w:val="008B1416"/>
    <w:rsid w:val="008B1D31"/>
    <w:rsid w:val="008B20B1"/>
    <w:rsid w:val="008B599A"/>
    <w:rsid w:val="008C2A23"/>
    <w:rsid w:val="008D0591"/>
    <w:rsid w:val="008D06A5"/>
    <w:rsid w:val="008D11CD"/>
    <w:rsid w:val="008D321F"/>
    <w:rsid w:val="008D3609"/>
    <w:rsid w:val="008D4631"/>
    <w:rsid w:val="008D5F8C"/>
    <w:rsid w:val="008E2050"/>
    <w:rsid w:val="008E5651"/>
    <w:rsid w:val="008E5C1B"/>
    <w:rsid w:val="008F557D"/>
    <w:rsid w:val="0090155E"/>
    <w:rsid w:val="009056A5"/>
    <w:rsid w:val="00907E14"/>
    <w:rsid w:val="009101AC"/>
    <w:rsid w:val="00910CAD"/>
    <w:rsid w:val="00910CEF"/>
    <w:rsid w:val="00911747"/>
    <w:rsid w:val="00911768"/>
    <w:rsid w:val="00916123"/>
    <w:rsid w:val="009175F8"/>
    <w:rsid w:val="00921A40"/>
    <w:rsid w:val="00922BEA"/>
    <w:rsid w:val="00923B42"/>
    <w:rsid w:val="0092547F"/>
    <w:rsid w:val="009271E6"/>
    <w:rsid w:val="00930456"/>
    <w:rsid w:val="009311A6"/>
    <w:rsid w:val="009322B6"/>
    <w:rsid w:val="00932418"/>
    <w:rsid w:val="00934BA2"/>
    <w:rsid w:val="0093690E"/>
    <w:rsid w:val="009409E7"/>
    <w:rsid w:val="0094243C"/>
    <w:rsid w:val="0094465F"/>
    <w:rsid w:val="00944722"/>
    <w:rsid w:val="00945D5D"/>
    <w:rsid w:val="00946E26"/>
    <w:rsid w:val="00947CB1"/>
    <w:rsid w:val="00951B16"/>
    <w:rsid w:val="00952C5B"/>
    <w:rsid w:val="00961B3F"/>
    <w:rsid w:val="00961FCC"/>
    <w:rsid w:val="00962106"/>
    <w:rsid w:val="009623DE"/>
    <w:rsid w:val="00966FEA"/>
    <w:rsid w:val="00970991"/>
    <w:rsid w:val="00974D4A"/>
    <w:rsid w:val="0097502D"/>
    <w:rsid w:val="00982B4A"/>
    <w:rsid w:val="009833D9"/>
    <w:rsid w:val="00985AEC"/>
    <w:rsid w:val="00987D17"/>
    <w:rsid w:val="00990146"/>
    <w:rsid w:val="009935EE"/>
    <w:rsid w:val="009943F3"/>
    <w:rsid w:val="009953D1"/>
    <w:rsid w:val="00995FB3"/>
    <w:rsid w:val="00996613"/>
    <w:rsid w:val="009A100F"/>
    <w:rsid w:val="009A11CD"/>
    <w:rsid w:val="009A2C91"/>
    <w:rsid w:val="009A5C49"/>
    <w:rsid w:val="009A7FB7"/>
    <w:rsid w:val="009B0D0C"/>
    <w:rsid w:val="009B540A"/>
    <w:rsid w:val="009C46C6"/>
    <w:rsid w:val="009C6AE4"/>
    <w:rsid w:val="009C7245"/>
    <w:rsid w:val="009D04F0"/>
    <w:rsid w:val="009D4B0E"/>
    <w:rsid w:val="009D6A8E"/>
    <w:rsid w:val="009D6FB7"/>
    <w:rsid w:val="009D7CFC"/>
    <w:rsid w:val="009E08AC"/>
    <w:rsid w:val="009E0B3A"/>
    <w:rsid w:val="009E1C88"/>
    <w:rsid w:val="009E2A26"/>
    <w:rsid w:val="009E4FDE"/>
    <w:rsid w:val="009E5D95"/>
    <w:rsid w:val="009E6194"/>
    <w:rsid w:val="009E7028"/>
    <w:rsid w:val="009F0A5B"/>
    <w:rsid w:val="009F2D5F"/>
    <w:rsid w:val="009F3890"/>
    <w:rsid w:val="009F610C"/>
    <w:rsid w:val="009F7B10"/>
    <w:rsid w:val="00A03134"/>
    <w:rsid w:val="00A04626"/>
    <w:rsid w:val="00A05015"/>
    <w:rsid w:val="00A05185"/>
    <w:rsid w:val="00A0606C"/>
    <w:rsid w:val="00A06194"/>
    <w:rsid w:val="00A118E0"/>
    <w:rsid w:val="00A15C47"/>
    <w:rsid w:val="00A16B87"/>
    <w:rsid w:val="00A2158E"/>
    <w:rsid w:val="00A2173D"/>
    <w:rsid w:val="00A2237A"/>
    <w:rsid w:val="00A3000F"/>
    <w:rsid w:val="00A32EB9"/>
    <w:rsid w:val="00A32FDA"/>
    <w:rsid w:val="00A4002A"/>
    <w:rsid w:val="00A5042D"/>
    <w:rsid w:val="00A50C77"/>
    <w:rsid w:val="00A51154"/>
    <w:rsid w:val="00A54FCC"/>
    <w:rsid w:val="00A66CC2"/>
    <w:rsid w:val="00A67029"/>
    <w:rsid w:val="00A67E7F"/>
    <w:rsid w:val="00A70C1D"/>
    <w:rsid w:val="00A7127F"/>
    <w:rsid w:val="00A72830"/>
    <w:rsid w:val="00A7328B"/>
    <w:rsid w:val="00A74746"/>
    <w:rsid w:val="00A75234"/>
    <w:rsid w:val="00A83A06"/>
    <w:rsid w:val="00A870A7"/>
    <w:rsid w:val="00A87698"/>
    <w:rsid w:val="00A877C0"/>
    <w:rsid w:val="00A918A6"/>
    <w:rsid w:val="00A92706"/>
    <w:rsid w:val="00A92F86"/>
    <w:rsid w:val="00A97314"/>
    <w:rsid w:val="00A973BD"/>
    <w:rsid w:val="00AA0F25"/>
    <w:rsid w:val="00AA0F64"/>
    <w:rsid w:val="00AB10E3"/>
    <w:rsid w:val="00AB35AD"/>
    <w:rsid w:val="00AB3B54"/>
    <w:rsid w:val="00AB4EC9"/>
    <w:rsid w:val="00AB5D2E"/>
    <w:rsid w:val="00AB6DC5"/>
    <w:rsid w:val="00AB7AC6"/>
    <w:rsid w:val="00AC1994"/>
    <w:rsid w:val="00AD552F"/>
    <w:rsid w:val="00AD5BA2"/>
    <w:rsid w:val="00AD67FF"/>
    <w:rsid w:val="00AE3427"/>
    <w:rsid w:val="00AE3F6C"/>
    <w:rsid w:val="00AE7CD3"/>
    <w:rsid w:val="00AF08B1"/>
    <w:rsid w:val="00AF1B4A"/>
    <w:rsid w:val="00AF1EBA"/>
    <w:rsid w:val="00AF30A9"/>
    <w:rsid w:val="00AF353F"/>
    <w:rsid w:val="00B00B84"/>
    <w:rsid w:val="00B013FE"/>
    <w:rsid w:val="00B03260"/>
    <w:rsid w:val="00B04AFE"/>
    <w:rsid w:val="00B052B3"/>
    <w:rsid w:val="00B0582F"/>
    <w:rsid w:val="00B0642B"/>
    <w:rsid w:val="00B0768C"/>
    <w:rsid w:val="00B111A4"/>
    <w:rsid w:val="00B121CC"/>
    <w:rsid w:val="00B17F08"/>
    <w:rsid w:val="00B3002D"/>
    <w:rsid w:val="00B327C6"/>
    <w:rsid w:val="00B4205B"/>
    <w:rsid w:val="00B43D64"/>
    <w:rsid w:val="00B440DA"/>
    <w:rsid w:val="00B464F4"/>
    <w:rsid w:val="00B51CFC"/>
    <w:rsid w:val="00B52E13"/>
    <w:rsid w:val="00B531C1"/>
    <w:rsid w:val="00B54594"/>
    <w:rsid w:val="00B57F42"/>
    <w:rsid w:val="00B623EF"/>
    <w:rsid w:val="00B6257F"/>
    <w:rsid w:val="00B63E45"/>
    <w:rsid w:val="00B65770"/>
    <w:rsid w:val="00B66E88"/>
    <w:rsid w:val="00B674A9"/>
    <w:rsid w:val="00B67E97"/>
    <w:rsid w:val="00B7469B"/>
    <w:rsid w:val="00B757D9"/>
    <w:rsid w:val="00B758C6"/>
    <w:rsid w:val="00B766C7"/>
    <w:rsid w:val="00B76B25"/>
    <w:rsid w:val="00B76E73"/>
    <w:rsid w:val="00B802AB"/>
    <w:rsid w:val="00B805AE"/>
    <w:rsid w:val="00B85637"/>
    <w:rsid w:val="00B86D8F"/>
    <w:rsid w:val="00B86F49"/>
    <w:rsid w:val="00B8705D"/>
    <w:rsid w:val="00B8724C"/>
    <w:rsid w:val="00B87DA9"/>
    <w:rsid w:val="00B90021"/>
    <w:rsid w:val="00B91928"/>
    <w:rsid w:val="00B928C5"/>
    <w:rsid w:val="00B97883"/>
    <w:rsid w:val="00BA0111"/>
    <w:rsid w:val="00BA2437"/>
    <w:rsid w:val="00BA7E97"/>
    <w:rsid w:val="00BB0B4E"/>
    <w:rsid w:val="00BB2537"/>
    <w:rsid w:val="00BB7DE7"/>
    <w:rsid w:val="00BC1E6D"/>
    <w:rsid w:val="00BC2FAE"/>
    <w:rsid w:val="00BC4636"/>
    <w:rsid w:val="00BC56A4"/>
    <w:rsid w:val="00BD38D0"/>
    <w:rsid w:val="00BE2AAB"/>
    <w:rsid w:val="00BE3D98"/>
    <w:rsid w:val="00BE4944"/>
    <w:rsid w:val="00BE7283"/>
    <w:rsid w:val="00BE7364"/>
    <w:rsid w:val="00BF19A6"/>
    <w:rsid w:val="00BF33BB"/>
    <w:rsid w:val="00BF4578"/>
    <w:rsid w:val="00BF49A4"/>
    <w:rsid w:val="00BF6570"/>
    <w:rsid w:val="00BF6B1C"/>
    <w:rsid w:val="00C00F14"/>
    <w:rsid w:val="00C02BE4"/>
    <w:rsid w:val="00C05CC0"/>
    <w:rsid w:val="00C06679"/>
    <w:rsid w:val="00C10CAB"/>
    <w:rsid w:val="00C13591"/>
    <w:rsid w:val="00C21723"/>
    <w:rsid w:val="00C24443"/>
    <w:rsid w:val="00C24F63"/>
    <w:rsid w:val="00C25EDB"/>
    <w:rsid w:val="00C300F3"/>
    <w:rsid w:val="00C31F56"/>
    <w:rsid w:val="00C367F8"/>
    <w:rsid w:val="00C462B1"/>
    <w:rsid w:val="00C519C2"/>
    <w:rsid w:val="00C53B92"/>
    <w:rsid w:val="00C61217"/>
    <w:rsid w:val="00C621C5"/>
    <w:rsid w:val="00C62F3D"/>
    <w:rsid w:val="00C6746B"/>
    <w:rsid w:val="00C70E01"/>
    <w:rsid w:val="00C717DD"/>
    <w:rsid w:val="00C73E2A"/>
    <w:rsid w:val="00C7686D"/>
    <w:rsid w:val="00C90148"/>
    <w:rsid w:val="00C9046E"/>
    <w:rsid w:val="00C94361"/>
    <w:rsid w:val="00C967F9"/>
    <w:rsid w:val="00C97328"/>
    <w:rsid w:val="00CA30E0"/>
    <w:rsid w:val="00CA51C4"/>
    <w:rsid w:val="00CA58AB"/>
    <w:rsid w:val="00CA59BD"/>
    <w:rsid w:val="00CB17FB"/>
    <w:rsid w:val="00CB6136"/>
    <w:rsid w:val="00CB6C07"/>
    <w:rsid w:val="00CC06E9"/>
    <w:rsid w:val="00CC0CB4"/>
    <w:rsid w:val="00CC3468"/>
    <w:rsid w:val="00CC3E12"/>
    <w:rsid w:val="00CC5CE1"/>
    <w:rsid w:val="00CD0522"/>
    <w:rsid w:val="00CD3C41"/>
    <w:rsid w:val="00CD57E2"/>
    <w:rsid w:val="00CD7C7B"/>
    <w:rsid w:val="00CE2FBD"/>
    <w:rsid w:val="00CE7229"/>
    <w:rsid w:val="00CF0815"/>
    <w:rsid w:val="00CF1EED"/>
    <w:rsid w:val="00CF3BD3"/>
    <w:rsid w:val="00CF3D45"/>
    <w:rsid w:val="00CF47D1"/>
    <w:rsid w:val="00CF4E62"/>
    <w:rsid w:val="00CF6653"/>
    <w:rsid w:val="00CF6D72"/>
    <w:rsid w:val="00D04D0E"/>
    <w:rsid w:val="00D061F1"/>
    <w:rsid w:val="00D07735"/>
    <w:rsid w:val="00D12011"/>
    <w:rsid w:val="00D14398"/>
    <w:rsid w:val="00D14FAB"/>
    <w:rsid w:val="00D15AF8"/>
    <w:rsid w:val="00D15CC4"/>
    <w:rsid w:val="00D21BDF"/>
    <w:rsid w:val="00D2250C"/>
    <w:rsid w:val="00D22754"/>
    <w:rsid w:val="00D2485E"/>
    <w:rsid w:val="00D26138"/>
    <w:rsid w:val="00D2662A"/>
    <w:rsid w:val="00D33D4F"/>
    <w:rsid w:val="00D34B85"/>
    <w:rsid w:val="00D34D91"/>
    <w:rsid w:val="00D41FED"/>
    <w:rsid w:val="00D42FA5"/>
    <w:rsid w:val="00D453F9"/>
    <w:rsid w:val="00D471FA"/>
    <w:rsid w:val="00D47F08"/>
    <w:rsid w:val="00D52C7B"/>
    <w:rsid w:val="00D52F4A"/>
    <w:rsid w:val="00D5536C"/>
    <w:rsid w:val="00D55D2F"/>
    <w:rsid w:val="00D62E4D"/>
    <w:rsid w:val="00D67673"/>
    <w:rsid w:val="00D74DD1"/>
    <w:rsid w:val="00D765E2"/>
    <w:rsid w:val="00D81FFC"/>
    <w:rsid w:val="00D8324C"/>
    <w:rsid w:val="00D85B0D"/>
    <w:rsid w:val="00D91005"/>
    <w:rsid w:val="00D9606D"/>
    <w:rsid w:val="00D97DD1"/>
    <w:rsid w:val="00DA2C8E"/>
    <w:rsid w:val="00DA551F"/>
    <w:rsid w:val="00DA644E"/>
    <w:rsid w:val="00DA65E1"/>
    <w:rsid w:val="00DA7169"/>
    <w:rsid w:val="00DB085A"/>
    <w:rsid w:val="00DB0970"/>
    <w:rsid w:val="00DB12F9"/>
    <w:rsid w:val="00DB71D3"/>
    <w:rsid w:val="00DC0F16"/>
    <w:rsid w:val="00DC4842"/>
    <w:rsid w:val="00DC6895"/>
    <w:rsid w:val="00DC6BC3"/>
    <w:rsid w:val="00DC7AFA"/>
    <w:rsid w:val="00DD0A94"/>
    <w:rsid w:val="00DD3246"/>
    <w:rsid w:val="00DD3A1E"/>
    <w:rsid w:val="00DD5994"/>
    <w:rsid w:val="00DE1BFB"/>
    <w:rsid w:val="00DE2F16"/>
    <w:rsid w:val="00DE3369"/>
    <w:rsid w:val="00DE3CA4"/>
    <w:rsid w:val="00DE455E"/>
    <w:rsid w:val="00DE4CBC"/>
    <w:rsid w:val="00DE70D5"/>
    <w:rsid w:val="00DE7E9E"/>
    <w:rsid w:val="00DF1F05"/>
    <w:rsid w:val="00DF4741"/>
    <w:rsid w:val="00DF5951"/>
    <w:rsid w:val="00DF5ED4"/>
    <w:rsid w:val="00E029C3"/>
    <w:rsid w:val="00E03293"/>
    <w:rsid w:val="00E07662"/>
    <w:rsid w:val="00E07ADE"/>
    <w:rsid w:val="00E169C4"/>
    <w:rsid w:val="00E209D2"/>
    <w:rsid w:val="00E261B9"/>
    <w:rsid w:val="00E2784A"/>
    <w:rsid w:val="00E32451"/>
    <w:rsid w:val="00E334AA"/>
    <w:rsid w:val="00E40854"/>
    <w:rsid w:val="00E459A5"/>
    <w:rsid w:val="00E461AC"/>
    <w:rsid w:val="00E466B3"/>
    <w:rsid w:val="00E504B0"/>
    <w:rsid w:val="00E50CBC"/>
    <w:rsid w:val="00E51445"/>
    <w:rsid w:val="00E527EA"/>
    <w:rsid w:val="00E532E6"/>
    <w:rsid w:val="00E565EA"/>
    <w:rsid w:val="00E6154E"/>
    <w:rsid w:val="00E64155"/>
    <w:rsid w:val="00E67416"/>
    <w:rsid w:val="00E7079F"/>
    <w:rsid w:val="00E709B8"/>
    <w:rsid w:val="00E74DAE"/>
    <w:rsid w:val="00E7549D"/>
    <w:rsid w:val="00E76AE9"/>
    <w:rsid w:val="00E81F98"/>
    <w:rsid w:val="00E83904"/>
    <w:rsid w:val="00E85602"/>
    <w:rsid w:val="00E85BE8"/>
    <w:rsid w:val="00E874D1"/>
    <w:rsid w:val="00E9087A"/>
    <w:rsid w:val="00E90D45"/>
    <w:rsid w:val="00E949C6"/>
    <w:rsid w:val="00E958C5"/>
    <w:rsid w:val="00E95C56"/>
    <w:rsid w:val="00E975A6"/>
    <w:rsid w:val="00EA08BE"/>
    <w:rsid w:val="00EA2282"/>
    <w:rsid w:val="00EA2E26"/>
    <w:rsid w:val="00EA3A66"/>
    <w:rsid w:val="00EA4C16"/>
    <w:rsid w:val="00EA6242"/>
    <w:rsid w:val="00EA690A"/>
    <w:rsid w:val="00EA7871"/>
    <w:rsid w:val="00EB0435"/>
    <w:rsid w:val="00EB100C"/>
    <w:rsid w:val="00EB1C81"/>
    <w:rsid w:val="00EB4030"/>
    <w:rsid w:val="00EB5015"/>
    <w:rsid w:val="00EB6534"/>
    <w:rsid w:val="00EB6E86"/>
    <w:rsid w:val="00EC0251"/>
    <w:rsid w:val="00EC1500"/>
    <w:rsid w:val="00EC3952"/>
    <w:rsid w:val="00EC67CE"/>
    <w:rsid w:val="00EC6A19"/>
    <w:rsid w:val="00ED0831"/>
    <w:rsid w:val="00ED350C"/>
    <w:rsid w:val="00ED406E"/>
    <w:rsid w:val="00EE2BC4"/>
    <w:rsid w:val="00EE4817"/>
    <w:rsid w:val="00EE52B7"/>
    <w:rsid w:val="00EE7A3F"/>
    <w:rsid w:val="00EF046D"/>
    <w:rsid w:val="00EF3318"/>
    <w:rsid w:val="00EF3EA4"/>
    <w:rsid w:val="00EF4906"/>
    <w:rsid w:val="00EF7B77"/>
    <w:rsid w:val="00F05546"/>
    <w:rsid w:val="00F102D5"/>
    <w:rsid w:val="00F10ECC"/>
    <w:rsid w:val="00F11C2F"/>
    <w:rsid w:val="00F14DF9"/>
    <w:rsid w:val="00F23A3D"/>
    <w:rsid w:val="00F2583D"/>
    <w:rsid w:val="00F30F7E"/>
    <w:rsid w:val="00F34125"/>
    <w:rsid w:val="00F40DD5"/>
    <w:rsid w:val="00F40EBC"/>
    <w:rsid w:val="00F42C86"/>
    <w:rsid w:val="00F61FD5"/>
    <w:rsid w:val="00F73C4D"/>
    <w:rsid w:val="00F809E9"/>
    <w:rsid w:val="00F82943"/>
    <w:rsid w:val="00F84766"/>
    <w:rsid w:val="00F879AE"/>
    <w:rsid w:val="00F95524"/>
    <w:rsid w:val="00F9636E"/>
    <w:rsid w:val="00FA3BB3"/>
    <w:rsid w:val="00FA482F"/>
    <w:rsid w:val="00FA61CB"/>
    <w:rsid w:val="00FA6AEE"/>
    <w:rsid w:val="00FA7286"/>
    <w:rsid w:val="00FB1244"/>
    <w:rsid w:val="00FB19C5"/>
    <w:rsid w:val="00FB5622"/>
    <w:rsid w:val="00FB5D7C"/>
    <w:rsid w:val="00FC283F"/>
    <w:rsid w:val="00FC5D8B"/>
    <w:rsid w:val="00FC6D06"/>
    <w:rsid w:val="00FD294A"/>
    <w:rsid w:val="00FD2CC9"/>
    <w:rsid w:val="00FD4309"/>
    <w:rsid w:val="00FD73F7"/>
    <w:rsid w:val="00FE065D"/>
    <w:rsid w:val="00FE0F22"/>
    <w:rsid w:val="00FE2557"/>
    <w:rsid w:val="00FE551C"/>
    <w:rsid w:val="00FE7C89"/>
    <w:rsid w:val="00FF1776"/>
    <w:rsid w:val="00FF2F0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18FAC9E5-7696-4DDA-8C9B-8331E4619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6FB1"/>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D4B0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D4B0E"/>
  </w:style>
  <w:style w:type="paragraph" w:styleId="Textonotapie">
    <w:name w:val="footnote text"/>
    <w:basedOn w:val="Normal"/>
    <w:link w:val="TextonotapieCar"/>
    <w:uiPriority w:val="99"/>
    <w:unhideWhenUsed/>
    <w:rsid w:val="009D4B0E"/>
    <w:pPr>
      <w:spacing w:after="0" w:line="240" w:lineRule="auto"/>
    </w:pPr>
    <w:rPr>
      <w:sz w:val="20"/>
      <w:szCs w:val="20"/>
    </w:rPr>
  </w:style>
  <w:style w:type="character" w:customStyle="1" w:styleId="TextonotapieCar">
    <w:name w:val="Texto nota pie Car"/>
    <w:basedOn w:val="Fuentedeprrafopredeter"/>
    <w:link w:val="Textonotapie"/>
    <w:uiPriority w:val="99"/>
    <w:rsid w:val="009D4B0E"/>
    <w:rPr>
      <w:sz w:val="20"/>
      <w:szCs w:val="20"/>
    </w:rPr>
  </w:style>
  <w:style w:type="character" w:styleId="Refdenotaalpie">
    <w:name w:val="footnote reference"/>
    <w:basedOn w:val="Fuentedeprrafopredeter"/>
    <w:uiPriority w:val="99"/>
    <w:unhideWhenUsed/>
    <w:rsid w:val="009D4B0E"/>
    <w:rPr>
      <w:vertAlign w:val="superscript"/>
    </w:rPr>
  </w:style>
  <w:style w:type="paragraph" w:styleId="Prrafodelista">
    <w:name w:val="List Paragraph"/>
    <w:basedOn w:val="Normal"/>
    <w:uiPriority w:val="1"/>
    <w:qFormat/>
    <w:rsid w:val="00515FAF"/>
    <w:pPr>
      <w:ind w:left="720"/>
      <w:contextualSpacing/>
    </w:pPr>
  </w:style>
  <w:style w:type="paragraph" w:styleId="Textodeglobo">
    <w:name w:val="Balloon Text"/>
    <w:basedOn w:val="Normal"/>
    <w:link w:val="TextodegloboCar"/>
    <w:uiPriority w:val="99"/>
    <w:semiHidden/>
    <w:unhideWhenUsed/>
    <w:rsid w:val="0019443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94437"/>
    <w:rPr>
      <w:rFonts w:ascii="Segoe UI" w:hAnsi="Segoe UI" w:cs="Segoe UI"/>
      <w:sz w:val="18"/>
      <w:szCs w:val="18"/>
    </w:rPr>
  </w:style>
  <w:style w:type="character" w:styleId="Hipervnculo">
    <w:name w:val="Hyperlink"/>
    <w:basedOn w:val="Fuentedeprrafopredeter"/>
    <w:uiPriority w:val="99"/>
    <w:unhideWhenUsed/>
    <w:rsid w:val="00651A02"/>
    <w:rPr>
      <w:color w:val="0563C1" w:themeColor="hyperlink"/>
      <w:u w:val="single"/>
    </w:rPr>
  </w:style>
  <w:style w:type="paragraph" w:styleId="Piedepgina">
    <w:name w:val="footer"/>
    <w:basedOn w:val="Normal"/>
    <w:link w:val="PiedepginaCar"/>
    <w:uiPriority w:val="99"/>
    <w:unhideWhenUsed/>
    <w:rsid w:val="00683D4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83D45"/>
  </w:style>
  <w:style w:type="table" w:styleId="Tablaconcuadrcula">
    <w:name w:val="Table Grid"/>
    <w:basedOn w:val="Tablanormal"/>
    <w:uiPriority w:val="39"/>
    <w:rsid w:val="00F102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bl-encabezado-negro">
    <w:name w:val="lbl-encabezado-negro"/>
    <w:basedOn w:val="Fuentedeprrafopredeter"/>
    <w:rsid w:val="007B6BE8"/>
  </w:style>
  <w:style w:type="character" w:styleId="Refdecomentario">
    <w:name w:val="annotation reference"/>
    <w:basedOn w:val="Fuentedeprrafopredeter"/>
    <w:uiPriority w:val="99"/>
    <w:semiHidden/>
    <w:unhideWhenUsed/>
    <w:rsid w:val="00697AF5"/>
    <w:rPr>
      <w:sz w:val="16"/>
      <w:szCs w:val="16"/>
    </w:rPr>
  </w:style>
  <w:style w:type="paragraph" w:styleId="Textocomentario">
    <w:name w:val="annotation text"/>
    <w:basedOn w:val="Normal"/>
    <w:link w:val="TextocomentarioCar"/>
    <w:uiPriority w:val="99"/>
    <w:semiHidden/>
    <w:unhideWhenUsed/>
    <w:rsid w:val="00697AF5"/>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97AF5"/>
    <w:rPr>
      <w:sz w:val="20"/>
      <w:szCs w:val="20"/>
    </w:rPr>
  </w:style>
  <w:style w:type="paragraph" w:styleId="Asuntodelcomentario">
    <w:name w:val="annotation subject"/>
    <w:basedOn w:val="Textocomentario"/>
    <w:next w:val="Textocomentario"/>
    <w:link w:val="AsuntodelcomentarioCar"/>
    <w:uiPriority w:val="99"/>
    <w:semiHidden/>
    <w:unhideWhenUsed/>
    <w:rsid w:val="00697AF5"/>
    <w:rPr>
      <w:b/>
      <w:bCs/>
    </w:rPr>
  </w:style>
  <w:style w:type="character" w:customStyle="1" w:styleId="AsuntodelcomentarioCar">
    <w:name w:val="Asunto del comentario Car"/>
    <w:basedOn w:val="TextocomentarioCar"/>
    <w:link w:val="Asuntodelcomentario"/>
    <w:uiPriority w:val="99"/>
    <w:semiHidden/>
    <w:rsid w:val="00697AF5"/>
    <w:rPr>
      <w:b/>
      <w:bCs/>
      <w:sz w:val="20"/>
      <w:szCs w:val="20"/>
    </w:rPr>
  </w:style>
  <w:style w:type="paragraph" w:styleId="Sinespaciado">
    <w:name w:val="No Spacing"/>
    <w:uiPriority w:val="1"/>
    <w:qFormat/>
    <w:rsid w:val="005C158F"/>
    <w:pPr>
      <w:spacing w:after="0" w:line="240" w:lineRule="auto"/>
    </w:pPr>
  </w:style>
  <w:style w:type="paragraph" w:styleId="Textoindependiente">
    <w:name w:val="Body Text"/>
    <w:basedOn w:val="Normal"/>
    <w:link w:val="TextoindependienteCar"/>
    <w:uiPriority w:val="1"/>
    <w:qFormat/>
    <w:rsid w:val="001F2F3B"/>
    <w:pPr>
      <w:widowControl w:val="0"/>
      <w:autoSpaceDE w:val="0"/>
      <w:autoSpaceDN w:val="0"/>
      <w:spacing w:after="0" w:line="240" w:lineRule="auto"/>
    </w:pPr>
    <w:rPr>
      <w:rFonts w:ascii="Arial" w:eastAsia="Arial" w:hAnsi="Arial" w:cs="Arial"/>
      <w:sz w:val="24"/>
      <w:szCs w:val="24"/>
      <w:lang w:val="es-ES" w:eastAsia="es-ES" w:bidi="es-ES"/>
    </w:rPr>
  </w:style>
  <w:style w:type="character" w:customStyle="1" w:styleId="TextoindependienteCar">
    <w:name w:val="Texto independiente Car"/>
    <w:basedOn w:val="Fuentedeprrafopredeter"/>
    <w:link w:val="Textoindependiente"/>
    <w:uiPriority w:val="1"/>
    <w:rsid w:val="001F2F3B"/>
    <w:rPr>
      <w:rFonts w:ascii="Arial" w:eastAsia="Arial" w:hAnsi="Arial" w:cs="Arial"/>
      <w:sz w:val="24"/>
      <w:szCs w:val="24"/>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5985575">
      <w:bodyDiv w:val="1"/>
      <w:marLeft w:val="0"/>
      <w:marRight w:val="0"/>
      <w:marTop w:val="0"/>
      <w:marBottom w:val="0"/>
      <w:divBdr>
        <w:top w:val="none" w:sz="0" w:space="0" w:color="auto"/>
        <w:left w:val="none" w:sz="0" w:space="0" w:color="auto"/>
        <w:bottom w:val="none" w:sz="0" w:space="0" w:color="auto"/>
        <w:right w:val="none" w:sz="0" w:space="0" w:color="auto"/>
      </w:divBdr>
      <w:divsChild>
        <w:div w:id="1210724786">
          <w:marLeft w:val="0"/>
          <w:marRight w:val="0"/>
          <w:marTop w:val="0"/>
          <w:marBottom w:val="0"/>
          <w:divBdr>
            <w:top w:val="none" w:sz="0" w:space="0" w:color="auto"/>
            <w:left w:val="none" w:sz="0" w:space="0" w:color="auto"/>
            <w:bottom w:val="none" w:sz="0" w:space="0" w:color="auto"/>
            <w:right w:val="none" w:sz="0" w:space="0" w:color="auto"/>
          </w:divBdr>
        </w:div>
      </w:divsChild>
    </w:div>
    <w:div w:id="783615967">
      <w:bodyDiv w:val="1"/>
      <w:marLeft w:val="0"/>
      <w:marRight w:val="0"/>
      <w:marTop w:val="0"/>
      <w:marBottom w:val="0"/>
      <w:divBdr>
        <w:top w:val="none" w:sz="0" w:space="0" w:color="auto"/>
        <w:left w:val="none" w:sz="0" w:space="0" w:color="auto"/>
        <w:bottom w:val="none" w:sz="0" w:space="0" w:color="auto"/>
        <w:right w:val="none" w:sz="0" w:space="0" w:color="auto"/>
      </w:divBdr>
    </w:div>
    <w:div w:id="1021664148">
      <w:bodyDiv w:val="1"/>
      <w:marLeft w:val="0"/>
      <w:marRight w:val="0"/>
      <w:marTop w:val="0"/>
      <w:marBottom w:val="0"/>
      <w:divBdr>
        <w:top w:val="none" w:sz="0" w:space="0" w:color="auto"/>
        <w:left w:val="none" w:sz="0" w:space="0" w:color="auto"/>
        <w:bottom w:val="none" w:sz="0" w:space="0" w:color="auto"/>
        <w:right w:val="none" w:sz="0" w:space="0" w:color="auto"/>
      </w:divBdr>
      <w:divsChild>
        <w:div w:id="907114122">
          <w:marLeft w:val="0"/>
          <w:marRight w:val="0"/>
          <w:marTop w:val="0"/>
          <w:marBottom w:val="0"/>
          <w:divBdr>
            <w:top w:val="none" w:sz="0" w:space="0" w:color="auto"/>
            <w:left w:val="none" w:sz="0" w:space="0" w:color="auto"/>
            <w:bottom w:val="none" w:sz="0" w:space="0" w:color="auto"/>
            <w:right w:val="none" w:sz="0" w:space="0" w:color="auto"/>
          </w:divBdr>
        </w:div>
      </w:divsChild>
    </w:div>
    <w:div w:id="1065447724">
      <w:bodyDiv w:val="1"/>
      <w:marLeft w:val="0"/>
      <w:marRight w:val="0"/>
      <w:marTop w:val="0"/>
      <w:marBottom w:val="0"/>
      <w:divBdr>
        <w:top w:val="none" w:sz="0" w:space="0" w:color="auto"/>
        <w:left w:val="none" w:sz="0" w:space="0" w:color="auto"/>
        <w:bottom w:val="none" w:sz="0" w:space="0" w:color="auto"/>
        <w:right w:val="none" w:sz="0" w:space="0" w:color="auto"/>
      </w:divBdr>
      <w:divsChild>
        <w:div w:id="1311788993">
          <w:marLeft w:val="0"/>
          <w:marRight w:val="0"/>
          <w:marTop w:val="0"/>
          <w:marBottom w:val="0"/>
          <w:divBdr>
            <w:top w:val="none" w:sz="0" w:space="0" w:color="auto"/>
            <w:left w:val="none" w:sz="0" w:space="0" w:color="auto"/>
            <w:bottom w:val="none" w:sz="0" w:space="0" w:color="auto"/>
            <w:right w:val="none" w:sz="0" w:space="0" w:color="auto"/>
          </w:divBdr>
        </w:div>
      </w:divsChild>
    </w:div>
    <w:div w:id="1114909877">
      <w:bodyDiv w:val="1"/>
      <w:marLeft w:val="0"/>
      <w:marRight w:val="0"/>
      <w:marTop w:val="0"/>
      <w:marBottom w:val="0"/>
      <w:divBdr>
        <w:top w:val="none" w:sz="0" w:space="0" w:color="auto"/>
        <w:left w:val="none" w:sz="0" w:space="0" w:color="auto"/>
        <w:bottom w:val="none" w:sz="0" w:space="0" w:color="auto"/>
        <w:right w:val="none" w:sz="0" w:space="0" w:color="auto"/>
      </w:divBdr>
      <w:divsChild>
        <w:div w:id="82067385">
          <w:marLeft w:val="0"/>
          <w:marRight w:val="0"/>
          <w:marTop w:val="0"/>
          <w:marBottom w:val="0"/>
          <w:divBdr>
            <w:top w:val="none" w:sz="0" w:space="0" w:color="auto"/>
            <w:left w:val="none" w:sz="0" w:space="0" w:color="auto"/>
            <w:bottom w:val="none" w:sz="0" w:space="0" w:color="auto"/>
            <w:right w:val="none" w:sz="0" w:space="0" w:color="auto"/>
          </w:divBdr>
        </w:div>
      </w:divsChild>
    </w:div>
    <w:div w:id="1172640306">
      <w:bodyDiv w:val="1"/>
      <w:marLeft w:val="0"/>
      <w:marRight w:val="0"/>
      <w:marTop w:val="0"/>
      <w:marBottom w:val="0"/>
      <w:divBdr>
        <w:top w:val="none" w:sz="0" w:space="0" w:color="auto"/>
        <w:left w:val="none" w:sz="0" w:space="0" w:color="auto"/>
        <w:bottom w:val="none" w:sz="0" w:space="0" w:color="auto"/>
        <w:right w:val="none" w:sz="0" w:space="0" w:color="auto"/>
      </w:divBdr>
    </w:div>
    <w:div w:id="1183401673">
      <w:bodyDiv w:val="1"/>
      <w:marLeft w:val="0"/>
      <w:marRight w:val="0"/>
      <w:marTop w:val="0"/>
      <w:marBottom w:val="0"/>
      <w:divBdr>
        <w:top w:val="none" w:sz="0" w:space="0" w:color="auto"/>
        <w:left w:val="none" w:sz="0" w:space="0" w:color="auto"/>
        <w:bottom w:val="none" w:sz="0" w:space="0" w:color="auto"/>
        <w:right w:val="none" w:sz="0" w:space="0" w:color="auto"/>
      </w:divBdr>
      <w:divsChild>
        <w:div w:id="2001499279">
          <w:marLeft w:val="0"/>
          <w:marRight w:val="0"/>
          <w:marTop w:val="0"/>
          <w:marBottom w:val="0"/>
          <w:divBdr>
            <w:top w:val="none" w:sz="0" w:space="0" w:color="auto"/>
            <w:left w:val="none" w:sz="0" w:space="0" w:color="auto"/>
            <w:bottom w:val="none" w:sz="0" w:space="0" w:color="auto"/>
            <w:right w:val="none" w:sz="0" w:space="0" w:color="auto"/>
          </w:divBdr>
        </w:div>
      </w:divsChild>
    </w:div>
    <w:div w:id="1248492574">
      <w:bodyDiv w:val="1"/>
      <w:marLeft w:val="0"/>
      <w:marRight w:val="0"/>
      <w:marTop w:val="0"/>
      <w:marBottom w:val="0"/>
      <w:divBdr>
        <w:top w:val="none" w:sz="0" w:space="0" w:color="auto"/>
        <w:left w:val="none" w:sz="0" w:space="0" w:color="auto"/>
        <w:bottom w:val="none" w:sz="0" w:space="0" w:color="auto"/>
        <w:right w:val="none" w:sz="0" w:space="0" w:color="auto"/>
      </w:divBdr>
    </w:div>
    <w:div w:id="1281378320">
      <w:bodyDiv w:val="1"/>
      <w:marLeft w:val="0"/>
      <w:marRight w:val="0"/>
      <w:marTop w:val="0"/>
      <w:marBottom w:val="0"/>
      <w:divBdr>
        <w:top w:val="none" w:sz="0" w:space="0" w:color="auto"/>
        <w:left w:val="none" w:sz="0" w:space="0" w:color="auto"/>
        <w:bottom w:val="none" w:sz="0" w:space="0" w:color="auto"/>
        <w:right w:val="none" w:sz="0" w:space="0" w:color="auto"/>
      </w:divBdr>
      <w:divsChild>
        <w:div w:id="57628667">
          <w:marLeft w:val="0"/>
          <w:marRight w:val="0"/>
          <w:marTop w:val="0"/>
          <w:marBottom w:val="0"/>
          <w:divBdr>
            <w:top w:val="none" w:sz="0" w:space="0" w:color="auto"/>
            <w:left w:val="none" w:sz="0" w:space="0" w:color="auto"/>
            <w:bottom w:val="none" w:sz="0" w:space="0" w:color="auto"/>
            <w:right w:val="none" w:sz="0" w:space="0" w:color="auto"/>
          </w:divBdr>
        </w:div>
      </w:divsChild>
    </w:div>
    <w:div w:id="1404915075">
      <w:bodyDiv w:val="1"/>
      <w:marLeft w:val="0"/>
      <w:marRight w:val="0"/>
      <w:marTop w:val="0"/>
      <w:marBottom w:val="0"/>
      <w:divBdr>
        <w:top w:val="none" w:sz="0" w:space="0" w:color="auto"/>
        <w:left w:val="none" w:sz="0" w:space="0" w:color="auto"/>
        <w:bottom w:val="none" w:sz="0" w:space="0" w:color="auto"/>
        <w:right w:val="none" w:sz="0" w:space="0" w:color="auto"/>
      </w:divBdr>
      <w:divsChild>
        <w:div w:id="2050301946">
          <w:marLeft w:val="0"/>
          <w:marRight w:val="0"/>
          <w:marTop w:val="0"/>
          <w:marBottom w:val="0"/>
          <w:divBdr>
            <w:top w:val="none" w:sz="0" w:space="0" w:color="auto"/>
            <w:left w:val="none" w:sz="0" w:space="0" w:color="auto"/>
            <w:bottom w:val="none" w:sz="0" w:space="0" w:color="auto"/>
            <w:right w:val="none" w:sz="0" w:space="0" w:color="auto"/>
          </w:divBdr>
        </w:div>
      </w:divsChild>
    </w:div>
    <w:div w:id="1908567719">
      <w:bodyDiv w:val="1"/>
      <w:marLeft w:val="0"/>
      <w:marRight w:val="0"/>
      <w:marTop w:val="0"/>
      <w:marBottom w:val="0"/>
      <w:divBdr>
        <w:top w:val="none" w:sz="0" w:space="0" w:color="auto"/>
        <w:left w:val="none" w:sz="0" w:space="0" w:color="auto"/>
        <w:bottom w:val="none" w:sz="0" w:space="0" w:color="auto"/>
        <w:right w:val="none" w:sz="0" w:space="0" w:color="auto"/>
      </w:divBdr>
    </w:div>
    <w:div w:id="1918392182">
      <w:bodyDiv w:val="1"/>
      <w:marLeft w:val="0"/>
      <w:marRight w:val="0"/>
      <w:marTop w:val="0"/>
      <w:marBottom w:val="0"/>
      <w:divBdr>
        <w:top w:val="none" w:sz="0" w:space="0" w:color="auto"/>
        <w:left w:val="none" w:sz="0" w:space="0" w:color="auto"/>
        <w:bottom w:val="none" w:sz="0" w:space="0" w:color="auto"/>
        <w:right w:val="none" w:sz="0" w:space="0" w:color="auto"/>
      </w:divBdr>
      <w:divsChild>
        <w:div w:id="804935399">
          <w:marLeft w:val="0"/>
          <w:marRight w:val="0"/>
          <w:marTop w:val="0"/>
          <w:marBottom w:val="0"/>
          <w:divBdr>
            <w:top w:val="none" w:sz="0" w:space="0" w:color="auto"/>
            <w:left w:val="none" w:sz="0" w:space="0" w:color="auto"/>
            <w:bottom w:val="none" w:sz="0" w:space="0" w:color="auto"/>
            <w:right w:val="none" w:sz="0" w:space="0" w:color="auto"/>
          </w:divBdr>
        </w:div>
      </w:divsChild>
    </w:div>
    <w:div w:id="2115592101">
      <w:bodyDiv w:val="1"/>
      <w:marLeft w:val="0"/>
      <w:marRight w:val="0"/>
      <w:marTop w:val="0"/>
      <w:marBottom w:val="0"/>
      <w:divBdr>
        <w:top w:val="none" w:sz="0" w:space="0" w:color="auto"/>
        <w:left w:val="none" w:sz="0" w:space="0" w:color="auto"/>
        <w:bottom w:val="none" w:sz="0" w:space="0" w:color="auto"/>
        <w:right w:val="none" w:sz="0" w:space="0" w:color="auto"/>
      </w:divBdr>
      <w:divsChild>
        <w:div w:id="16561079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B38664-FC0B-4DED-91CE-0EB4E659FA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2682</Words>
  <Characters>14751</Characters>
  <Application>Microsoft Office Word</Application>
  <DocSecurity>0</DocSecurity>
  <Lines>122</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17399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Lic. Cristina</cp:lastModifiedBy>
  <cp:revision>2</cp:revision>
  <cp:lastPrinted>2019-12-03T15:19:00Z</cp:lastPrinted>
  <dcterms:created xsi:type="dcterms:W3CDTF">2020-08-06T15:46:00Z</dcterms:created>
  <dcterms:modified xsi:type="dcterms:W3CDTF">2020-08-06T15:46:00Z</dcterms:modified>
</cp:coreProperties>
</file>