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2C3C9" w14:textId="77777777" w:rsidR="00EA73CE" w:rsidRDefault="00EA73CE" w:rsidP="000666A7">
      <w:pPr>
        <w:ind w:right="-234"/>
        <w:jc w:val="center"/>
        <w:rPr>
          <w:rFonts w:ascii="Arial" w:hAnsi="Arial" w:cs="Arial"/>
          <w:b/>
          <w:bCs/>
          <w:sz w:val="24"/>
          <w:szCs w:val="24"/>
        </w:rPr>
      </w:pPr>
    </w:p>
    <w:p w14:paraId="39658836" w14:textId="77777777" w:rsidR="000666A7" w:rsidRPr="00CB4863" w:rsidRDefault="000666A7" w:rsidP="000666A7">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07274EAC" w14:textId="77777777" w:rsidR="000666A7" w:rsidRPr="00CB4863" w:rsidRDefault="000666A7" w:rsidP="000666A7">
      <w:pPr>
        <w:tabs>
          <w:tab w:val="left" w:pos="6480"/>
        </w:tabs>
        <w:jc w:val="right"/>
        <w:rPr>
          <w:sz w:val="24"/>
          <w:szCs w:val="24"/>
        </w:rPr>
      </w:pPr>
    </w:p>
    <w:p w14:paraId="00749A7C" w14:textId="3235230B" w:rsidR="000666A7" w:rsidRDefault="000666A7" w:rsidP="00AE711B">
      <w:pPr>
        <w:rPr>
          <w:rFonts w:ascii="Arial" w:hAnsi="Arial" w:cs="Arial"/>
          <w:b/>
          <w:bCs/>
          <w:sz w:val="24"/>
          <w:szCs w:val="24"/>
        </w:rPr>
      </w:pPr>
      <w:r w:rsidRPr="00CB4863">
        <w:rPr>
          <w:rFonts w:ascii="Arial" w:hAnsi="Arial" w:cs="Arial"/>
          <w:b/>
          <w:bCs/>
          <w:sz w:val="24"/>
          <w:szCs w:val="24"/>
        </w:rPr>
        <w:t>Oaxaca de Juárez, Oaxaca, 1</w:t>
      </w:r>
      <w:r>
        <w:rPr>
          <w:rFonts w:ascii="Arial" w:hAnsi="Arial" w:cs="Arial"/>
          <w:b/>
          <w:bCs/>
          <w:sz w:val="24"/>
          <w:szCs w:val="24"/>
        </w:rPr>
        <w:t>9</w:t>
      </w:r>
      <w:r w:rsidRPr="00CB4863">
        <w:rPr>
          <w:rFonts w:ascii="Arial" w:hAnsi="Arial" w:cs="Arial"/>
          <w:b/>
          <w:bCs/>
          <w:sz w:val="24"/>
          <w:szCs w:val="24"/>
        </w:rPr>
        <w:t xml:space="preserve"> de </w:t>
      </w:r>
      <w:r>
        <w:rPr>
          <w:rFonts w:ascii="Arial" w:hAnsi="Arial" w:cs="Arial"/>
          <w:b/>
          <w:bCs/>
          <w:sz w:val="24"/>
          <w:szCs w:val="24"/>
        </w:rPr>
        <w:t>septiembre</w:t>
      </w:r>
      <w:r w:rsidRPr="00CB4863">
        <w:rPr>
          <w:rFonts w:ascii="Arial" w:hAnsi="Arial" w:cs="Arial"/>
          <w:b/>
          <w:bCs/>
          <w:sz w:val="24"/>
          <w:szCs w:val="24"/>
        </w:rPr>
        <w:t xml:space="preserve"> de 202</w:t>
      </w:r>
      <w:r>
        <w:rPr>
          <w:rFonts w:ascii="Arial" w:hAnsi="Arial" w:cs="Arial"/>
          <w:b/>
          <w:bCs/>
          <w:sz w:val="24"/>
          <w:szCs w:val="24"/>
        </w:rPr>
        <w:t>2</w:t>
      </w:r>
      <w:r w:rsidRPr="00CB4863">
        <w:rPr>
          <w:rFonts w:ascii="Arial" w:hAnsi="Arial" w:cs="Arial"/>
          <w:b/>
          <w:bCs/>
          <w:sz w:val="24"/>
          <w:szCs w:val="24"/>
        </w:rPr>
        <w:t>.</w:t>
      </w:r>
    </w:p>
    <w:p w14:paraId="3B8E2394" w14:textId="77777777" w:rsidR="00AE711B" w:rsidRPr="00AE711B" w:rsidRDefault="00AE711B" w:rsidP="00AE711B">
      <w:pPr>
        <w:rPr>
          <w:rFonts w:ascii="Arial" w:hAnsi="Arial" w:cs="Arial"/>
          <w:b/>
          <w:bCs/>
          <w:sz w:val="24"/>
          <w:szCs w:val="24"/>
        </w:rPr>
      </w:pPr>
    </w:p>
    <w:p w14:paraId="73194515" w14:textId="56F7C2A6" w:rsidR="000666A7" w:rsidRPr="00CB4863" w:rsidRDefault="000666A7" w:rsidP="00AE711B">
      <w:pPr>
        <w:tabs>
          <w:tab w:val="left" w:pos="6480"/>
        </w:tabs>
        <w:jc w:val="center"/>
        <w:rPr>
          <w:rFonts w:ascii="Arial" w:hAnsi="Arial" w:cs="Arial"/>
          <w:b/>
          <w:bCs/>
          <w:sz w:val="24"/>
          <w:szCs w:val="24"/>
        </w:rPr>
      </w:pPr>
      <w:r w:rsidRPr="00CB4863">
        <w:rPr>
          <w:rFonts w:ascii="Arial" w:hAnsi="Arial" w:cs="Arial"/>
          <w:b/>
          <w:bCs/>
          <w:sz w:val="24"/>
          <w:szCs w:val="24"/>
        </w:rPr>
        <w:t>A S U N T O</w:t>
      </w:r>
      <w:bookmarkStart w:id="0" w:name="_GoBack"/>
      <w:bookmarkEnd w:id="0"/>
    </w:p>
    <w:p w14:paraId="2B7C1B4C" w14:textId="6C0F0F88" w:rsidR="000666A7" w:rsidRPr="00CB4863" w:rsidRDefault="000666A7" w:rsidP="000666A7">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D22A46">
        <w:rPr>
          <w:rFonts w:ascii="Arial" w:hAnsi="Arial" w:cs="Arial"/>
          <w:b/>
          <w:bCs/>
          <w:sz w:val="24"/>
          <w:szCs w:val="24"/>
        </w:rPr>
        <w:t>008</w:t>
      </w:r>
      <w:r w:rsidRPr="00CB4863">
        <w:rPr>
          <w:rFonts w:ascii="Arial" w:hAnsi="Arial" w:cs="Arial"/>
          <w:b/>
          <w:bCs/>
          <w:sz w:val="24"/>
          <w:szCs w:val="24"/>
        </w:rPr>
        <w:t>/202</w:t>
      </w:r>
      <w:r w:rsidR="00D22A46">
        <w:rPr>
          <w:rFonts w:ascii="Arial" w:hAnsi="Arial" w:cs="Arial"/>
          <w:b/>
          <w:bCs/>
          <w:sz w:val="24"/>
          <w:szCs w:val="24"/>
        </w:rPr>
        <w:t>2</w:t>
      </w:r>
      <w:r w:rsidRPr="00CB4863">
        <w:rPr>
          <w:rFonts w:ascii="Arial" w:hAnsi="Arial" w:cs="Arial"/>
          <w:sz w:val="24"/>
          <w:szCs w:val="24"/>
        </w:rPr>
        <w:t xml:space="preserve">, con motivo de la demanda interpuesta por </w:t>
      </w:r>
      <w:r w:rsidR="00AE711B">
        <w:rPr>
          <w:rFonts w:ascii="Arial" w:hAnsi="Arial" w:cs="Arial"/>
          <w:b/>
          <w:bCs/>
          <w:sz w:val="24"/>
          <w:szCs w:val="24"/>
        </w:rPr>
        <w:t>**********</w:t>
      </w:r>
      <w:r w:rsidRPr="00CB4863">
        <w:rPr>
          <w:rFonts w:ascii="Arial" w:hAnsi="Arial" w:cs="Arial"/>
          <w:sz w:val="24"/>
          <w:szCs w:val="24"/>
        </w:rPr>
        <w:t xml:space="preserve"> en contra del </w:t>
      </w:r>
      <w:r w:rsidR="00D22A46">
        <w:rPr>
          <w:rFonts w:ascii="Arial" w:hAnsi="Arial" w:cs="Arial"/>
          <w:b/>
          <w:sz w:val="24"/>
          <w:szCs w:val="24"/>
        </w:rPr>
        <w:t>Consejo Directivo de Pensiones del Estado de Oaxaca, a través de su representante el Director General de la Oficina de Pensiones del Gobierno del Estado de Oaxaca</w:t>
      </w:r>
      <w:r w:rsidRPr="00CB4863">
        <w:rPr>
          <w:rFonts w:ascii="Arial" w:hAnsi="Arial" w:cs="Arial"/>
          <w:sz w:val="24"/>
          <w:szCs w:val="24"/>
        </w:rPr>
        <w:t>.</w:t>
      </w:r>
    </w:p>
    <w:p w14:paraId="532FFA9D" w14:textId="77777777" w:rsidR="000666A7" w:rsidRPr="00212BF7" w:rsidRDefault="000666A7" w:rsidP="000666A7">
      <w:pPr>
        <w:rPr>
          <w:rFonts w:ascii="Arial" w:hAnsi="Arial" w:cs="Arial"/>
          <w:sz w:val="24"/>
          <w:szCs w:val="24"/>
        </w:rPr>
      </w:pPr>
    </w:p>
    <w:p w14:paraId="72AE483A" w14:textId="77777777" w:rsidR="000666A7" w:rsidRDefault="000666A7" w:rsidP="000666A7">
      <w:pPr>
        <w:jc w:val="center"/>
        <w:rPr>
          <w:rFonts w:ascii="Arial" w:hAnsi="Arial" w:cs="Arial"/>
          <w:b/>
          <w:bCs/>
          <w:sz w:val="24"/>
          <w:szCs w:val="24"/>
        </w:rPr>
      </w:pPr>
      <w:r w:rsidRPr="00212BF7">
        <w:rPr>
          <w:rFonts w:ascii="Arial" w:hAnsi="Arial" w:cs="Arial"/>
          <w:b/>
          <w:bCs/>
          <w:sz w:val="24"/>
          <w:szCs w:val="24"/>
        </w:rPr>
        <w:t xml:space="preserve">R E S U L T A N D O </w:t>
      </w:r>
    </w:p>
    <w:p w14:paraId="2315C831" w14:textId="77777777" w:rsidR="000666A7" w:rsidRPr="00212BF7" w:rsidRDefault="000666A7" w:rsidP="000666A7">
      <w:pPr>
        <w:jc w:val="center"/>
        <w:rPr>
          <w:rFonts w:ascii="Arial" w:hAnsi="Arial" w:cs="Arial"/>
          <w:b/>
          <w:bCs/>
          <w:sz w:val="24"/>
          <w:szCs w:val="24"/>
        </w:rPr>
      </w:pPr>
    </w:p>
    <w:p w14:paraId="15ADC1AA" w14:textId="1EAAC020" w:rsidR="000666A7" w:rsidRPr="00212BF7" w:rsidRDefault="000666A7" w:rsidP="005B0BAC">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D22A46">
        <w:rPr>
          <w:rFonts w:ascii="Arial" w:hAnsi="Arial" w:cs="Arial"/>
          <w:sz w:val="24"/>
          <w:szCs w:val="24"/>
        </w:rPr>
        <w:t xml:space="preserve">uno de marzo de dos mil </w:t>
      </w:r>
      <w:r w:rsidR="004E1366">
        <w:rPr>
          <w:rFonts w:ascii="Arial" w:hAnsi="Arial" w:cs="Arial"/>
          <w:sz w:val="24"/>
          <w:szCs w:val="24"/>
        </w:rPr>
        <w:t>veintidós</w:t>
      </w:r>
      <w:r w:rsidRPr="00212BF7">
        <w:rPr>
          <w:rFonts w:ascii="Arial" w:hAnsi="Arial" w:cs="Arial"/>
          <w:sz w:val="24"/>
          <w:szCs w:val="24"/>
        </w:rPr>
        <w:t xml:space="preserve">, ante la oficialía de partes común de este Tribunal, </w:t>
      </w:r>
      <w:r w:rsidR="00AE711B">
        <w:rPr>
          <w:rFonts w:ascii="Arial" w:hAnsi="Arial" w:cs="Arial"/>
          <w:sz w:val="24"/>
          <w:szCs w:val="24"/>
        </w:rPr>
        <w:t xml:space="preserve">********** </w:t>
      </w:r>
      <w:r w:rsidRPr="00212BF7">
        <w:rPr>
          <w:rFonts w:ascii="Arial" w:hAnsi="Arial" w:cs="Arial"/>
          <w:sz w:val="24"/>
          <w:szCs w:val="24"/>
        </w:rPr>
        <w:t xml:space="preserve">demandó </w:t>
      </w:r>
      <w:r w:rsidRPr="00CB4863">
        <w:rPr>
          <w:rFonts w:ascii="Arial" w:hAnsi="Arial" w:cs="Arial"/>
          <w:sz w:val="24"/>
          <w:szCs w:val="24"/>
        </w:rPr>
        <w:t>del</w:t>
      </w:r>
      <w:r w:rsidRPr="00CB4863">
        <w:rPr>
          <w:rFonts w:ascii="Arial" w:hAnsi="Arial" w:cs="Arial"/>
          <w:b/>
          <w:sz w:val="24"/>
          <w:szCs w:val="24"/>
        </w:rPr>
        <w:t xml:space="preserve"> </w:t>
      </w:r>
      <w:r w:rsidRPr="00CB4863">
        <w:rPr>
          <w:rFonts w:ascii="Arial" w:hAnsi="Arial" w:cs="Arial"/>
          <w:bCs/>
          <w:sz w:val="24"/>
          <w:szCs w:val="24"/>
        </w:rPr>
        <w:t xml:space="preserve">Consejo Directivo de Pensiones del Estado, </w:t>
      </w:r>
      <w:r w:rsidR="00D22A46">
        <w:rPr>
          <w:rFonts w:ascii="Arial" w:hAnsi="Arial" w:cs="Arial"/>
          <w:bCs/>
          <w:sz w:val="24"/>
          <w:szCs w:val="24"/>
        </w:rPr>
        <w:t xml:space="preserve">a </w:t>
      </w:r>
      <w:r w:rsidR="004E1366">
        <w:rPr>
          <w:rFonts w:ascii="Arial" w:hAnsi="Arial" w:cs="Arial"/>
          <w:bCs/>
          <w:sz w:val="24"/>
          <w:szCs w:val="24"/>
        </w:rPr>
        <w:t>través</w:t>
      </w:r>
      <w:r w:rsidR="00D22A46">
        <w:rPr>
          <w:rFonts w:ascii="Arial" w:hAnsi="Arial" w:cs="Arial"/>
          <w:bCs/>
          <w:sz w:val="24"/>
          <w:szCs w:val="24"/>
        </w:rPr>
        <w:t xml:space="preserve"> de su representante el</w:t>
      </w:r>
      <w:r w:rsidRPr="00CB4863">
        <w:rPr>
          <w:rFonts w:ascii="Arial" w:hAnsi="Arial" w:cs="Arial"/>
          <w:bCs/>
          <w:sz w:val="24"/>
          <w:szCs w:val="24"/>
        </w:rPr>
        <w:t xml:space="preserve"> Director </w:t>
      </w:r>
      <w:r w:rsidR="00B0208C" w:rsidRPr="00CB4863">
        <w:rPr>
          <w:rFonts w:ascii="Arial" w:hAnsi="Arial" w:cs="Arial"/>
          <w:bCs/>
          <w:sz w:val="24"/>
          <w:szCs w:val="24"/>
        </w:rPr>
        <w:t>General de</w:t>
      </w:r>
      <w:r w:rsidRPr="00CB4863">
        <w:rPr>
          <w:rFonts w:ascii="Arial" w:hAnsi="Arial" w:cs="Arial"/>
          <w:bCs/>
          <w:sz w:val="24"/>
          <w:szCs w:val="24"/>
        </w:rPr>
        <w:t xml:space="preserve"> la Oficina de Pensiones del Gobierno </w:t>
      </w:r>
      <w:r w:rsidR="00B0208C" w:rsidRPr="00CB4863">
        <w:rPr>
          <w:rFonts w:ascii="Arial" w:hAnsi="Arial" w:cs="Arial"/>
          <w:bCs/>
          <w:sz w:val="24"/>
          <w:szCs w:val="24"/>
        </w:rPr>
        <w:t>del Estado</w:t>
      </w:r>
      <w:r w:rsidRPr="00CB4863">
        <w:rPr>
          <w:rFonts w:ascii="Arial" w:hAnsi="Arial" w:cs="Arial"/>
          <w:bCs/>
          <w:sz w:val="24"/>
          <w:szCs w:val="24"/>
        </w:rPr>
        <w:t xml:space="preserve"> de Oaxaca, </w:t>
      </w:r>
      <w:r w:rsidRPr="00CB4863">
        <w:rPr>
          <w:rFonts w:ascii="Arial" w:hAnsi="Arial" w:cs="Arial"/>
          <w:sz w:val="24"/>
          <w:szCs w:val="24"/>
        </w:rPr>
        <w:t xml:space="preserve">la </w:t>
      </w:r>
      <w:r w:rsidR="00B0208C" w:rsidRPr="00CB4863">
        <w:rPr>
          <w:rFonts w:ascii="Arial" w:hAnsi="Arial" w:cs="Arial"/>
          <w:sz w:val="24"/>
          <w:szCs w:val="24"/>
        </w:rPr>
        <w:t>nulidad</w:t>
      </w:r>
      <w:r w:rsidR="00B0208C" w:rsidRPr="00212BF7">
        <w:rPr>
          <w:rFonts w:ascii="Arial" w:hAnsi="Arial" w:cs="Arial"/>
          <w:sz w:val="24"/>
          <w:szCs w:val="24"/>
        </w:rPr>
        <w:t xml:space="preserve"> </w:t>
      </w:r>
      <w:r w:rsidR="00B0208C">
        <w:rPr>
          <w:rFonts w:ascii="Arial" w:hAnsi="Arial" w:cs="Arial"/>
          <w:sz w:val="24"/>
          <w:szCs w:val="24"/>
        </w:rPr>
        <w:t>del</w:t>
      </w:r>
      <w:r>
        <w:rPr>
          <w:rFonts w:ascii="Arial" w:hAnsi="Arial" w:cs="Arial"/>
          <w:sz w:val="24"/>
          <w:szCs w:val="24"/>
        </w:rPr>
        <w:t xml:space="preserve"> </w:t>
      </w:r>
      <w:r w:rsidR="004E1366">
        <w:rPr>
          <w:rFonts w:ascii="Arial" w:hAnsi="Arial" w:cs="Arial"/>
          <w:sz w:val="24"/>
          <w:szCs w:val="24"/>
        </w:rPr>
        <w:t xml:space="preserve">oficio número </w:t>
      </w:r>
      <w:r w:rsidR="00AE711B">
        <w:rPr>
          <w:rFonts w:ascii="Arial" w:hAnsi="Arial" w:cs="Arial"/>
          <w:sz w:val="24"/>
          <w:szCs w:val="24"/>
        </w:rPr>
        <w:t>**********</w:t>
      </w:r>
      <w:r w:rsidR="005B0BAC">
        <w:rPr>
          <w:rFonts w:ascii="Arial" w:hAnsi="Arial" w:cs="Arial"/>
          <w:sz w:val="24"/>
          <w:szCs w:val="24"/>
        </w:rPr>
        <w:t xml:space="preserve"> </w:t>
      </w:r>
      <w:r>
        <w:rPr>
          <w:rFonts w:ascii="Arial" w:hAnsi="Arial" w:cs="Arial"/>
          <w:sz w:val="24"/>
          <w:szCs w:val="24"/>
        </w:rPr>
        <w:t>de</w:t>
      </w:r>
      <w:r w:rsidR="005B0BAC">
        <w:rPr>
          <w:rFonts w:ascii="Arial" w:hAnsi="Arial" w:cs="Arial"/>
          <w:sz w:val="24"/>
          <w:szCs w:val="24"/>
        </w:rPr>
        <w:t xml:space="preserve"> fecha</w:t>
      </w:r>
      <w:r>
        <w:rPr>
          <w:rFonts w:ascii="Arial" w:hAnsi="Arial" w:cs="Arial"/>
          <w:sz w:val="24"/>
          <w:szCs w:val="24"/>
        </w:rPr>
        <w:t xml:space="preserve"> </w:t>
      </w:r>
      <w:r w:rsidR="005B0BAC">
        <w:rPr>
          <w:rFonts w:ascii="Arial" w:hAnsi="Arial" w:cs="Arial"/>
          <w:sz w:val="24"/>
          <w:szCs w:val="24"/>
        </w:rPr>
        <w:t xml:space="preserve">uno de julio de dos mil </w:t>
      </w:r>
      <w:r w:rsidR="00007EA1">
        <w:rPr>
          <w:rFonts w:ascii="Arial" w:hAnsi="Arial" w:cs="Arial"/>
          <w:sz w:val="24"/>
          <w:szCs w:val="24"/>
        </w:rPr>
        <w:t>veintiuno</w:t>
      </w:r>
      <w:r w:rsidRPr="00212BF7">
        <w:rPr>
          <w:rFonts w:ascii="Arial" w:hAnsi="Arial" w:cs="Arial"/>
          <w:sz w:val="24"/>
          <w:szCs w:val="24"/>
        </w:rPr>
        <w:t>; demanda que por razón de turno tocó conocer a esta Primera Sala Unitaria de Primera Instancia del Tribunal de Justicia Administrativa del Estado.</w:t>
      </w:r>
    </w:p>
    <w:p w14:paraId="45EB63A2" w14:textId="3E619618" w:rsidR="000666A7" w:rsidRPr="00212BF7" w:rsidRDefault="000666A7" w:rsidP="000666A7">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w:t>
      </w:r>
      <w:r w:rsidR="002808AE">
        <w:rPr>
          <w:rFonts w:ascii="Arial" w:hAnsi="Arial" w:cs="Arial"/>
          <w:sz w:val="24"/>
          <w:szCs w:val="24"/>
        </w:rPr>
        <w:t xml:space="preserve">nueve </w:t>
      </w:r>
      <w:r w:rsidR="007F5041">
        <w:rPr>
          <w:rFonts w:ascii="Arial" w:hAnsi="Arial" w:cs="Arial"/>
          <w:sz w:val="24"/>
          <w:szCs w:val="24"/>
        </w:rPr>
        <w:t>de marzo de dos mil veintidós</w:t>
      </w:r>
      <w:r w:rsidRPr="00212BF7">
        <w:rPr>
          <w:rFonts w:ascii="Arial" w:hAnsi="Arial" w:cs="Arial"/>
          <w:sz w:val="24"/>
          <w:szCs w:val="24"/>
        </w:rPr>
        <w:t>, se admitió a trámite  la demanda de referencia, y ordenó correrle traslado a la autoridad</w:t>
      </w:r>
      <w:r w:rsidR="00007EA1">
        <w:rPr>
          <w:rFonts w:ascii="Arial" w:hAnsi="Arial" w:cs="Arial"/>
          <w:sz w:val="24"/>
          <w:szCs w:val="24"/>
        </w:rPr>
        <w:t xml:space="preserve"> </w:t>
      </w:r>
      <w:r w:rsidRPr="00212BF7">
        <w:rPr>
          <w:rFonts w:ascii="Arial" w:hAnsi="Arial" w:cs="Arial"/>
          <w:sz w:val="24"/>
          <w:szCs w:val="24"/>
        </w:rPr>
        <w:t>enjuiciada para que diera</w:t>
      </w:r>
      <w:r>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725A25A0" w14:textId="40C7F9C6" w:rsidR="000666A7" w:rsidRPr="00212BF7" w:rsidRDefault="000666A7" w:rsidP="000666A7">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312CA8">
        <w:rPr>
          <w:rFonts w:ascii="Arial" w:hAnsi="Arial" w:cs="Arial"/>
          <w:sz w:val="24"/>
          <w:szCs w:val="24"/>
        </w:rPr>
        <w:t xml:space="preserve">ocho de junio de dos </w:t>
      </w:r>
      <w:r w:rsidR="009B01CE">
        <w:rPr>
          <w:rFonts w:ascii="Arial" w:hAnsi="Arial" w:cs="Arial"/>
          <w:sz w:val="24"/>
          <w:szCs w:val="24"/>
        </w:rPr>
        <w:t>mil veintidós</w:t>
      </w:r>
      <w:r w:rsidRPr="00212BF7">
        <w:rPr>
          <w:rFonts w:ascii="Arial" w:hAnsi="Arial" w:cs="Arial"/>
          <w:sz w:val="24"/>
          <w:szCs w:val="24"/>
        </w:rPr>
        <w:t xml:space="preserve"> se tuvo </w:t>
      </w:r>
      <w:r>
        <w:rPr>
          <w:rFonts w:ascii="Arial" w:hAnsi="Arial" w:cs="Arial"/>
          <w:sz w:val="24"/>
          <w:szCs w:val="24"/>
        </w:rPr>
        <w:t xml:space="preserve">a la autoridad </w:t>
      </w:r>
      <w:r w:rsidRPr="009B01CE">
        <w:rPr>
          <w:rFonts w:ascii="Arial" w:hAnsi="Arial" w:cs="Arial"/>
          <w:sz w:val="24"/>
          <w:szCs w:val="24"/>
        </w:rPr>
        <w:t xml:space="preserve">demandada </w:t>
      </w:r>
      <w:r w:rsidR="009B01CE" w:rsidRPr="009B01CE">
        <w:rPr>
          <w:rFonts w:ascii="Arial" w:hAnsi="Arial" w:cs="Arial"/>
          <w:b/>
          <w:sz w:val="24"/>
          <w:szCs w:val="24"/>
        </w:rPr>
        <w:t xml:space="preserve">Consejo Directivo de Pensiones del Estado, a través </w:t>
      </w:r>
      <w:r w:rsidR="009B01CE" w:rsidRPr="009B01CE">
        <w:rPr>
          <w:rFonts w:ascii="Arial" w:hAnsi="Arial" w:cs="Arial"/>
          <w:b/>
          <w:sz w:val="24"/>
          <w:szCs w:val="24"/>
        </w:rPr>
        <w:lastRenderedPageBreak/>
        <w:t>de su representante el Director General de la Oficina de Pensiones del Gobierno del Estado de Oaxaca</w:t>
      </w:r>
      <w:r>
        <w:rPr>
          <w:rFonts w:ascii="Arial" w:hAnsi="Arial" w:cs="Arial"/>
          <w:sz w:val="24"/>
          <w:szCs w:val="24"/>
        </w:rPr>
        <w:t xml:space="preserve"> contestando </w:t>
      </w:r>
      <w:r w:rsidRPr="00212BF7">
        <w:rPr>
          <w:rFonts w:ascii="Arial" w:hAnsi="Arial" w:cs="Arial"/>
          <w:sz w:val="24"/>
          <w:szCs w:val="24"/>
        </w:rPr>
        <w:t>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6346C382" w14:textId="5D8C2F55" w:rsidR="000666A7" w:rsidRPr="00212BF7" w:rsidRDefault="000666A7" w:rsidP="0057554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575544">
        <w:rPr>
          <w:rFonts w:ascii="Arial" w:hAnsi="Arial" w:cs="Arial"/>
          <w:sz w:val="24"/>
          <w:szCs w:val="24"/>
        </w:rPr>
        <w:t>nueve de agosto del dos mil veintidós</w:t>
      </w:r>
      <w:r w:rsidRPr="00212BF7">
        <w:rPr>
          <w:rFonts w:ascii="Arial" w:hAnsi="Arial" w:cs="Arial"/>
          <w:sz w:val="24"/>
          <w:szCs w:val="24"/>
        </w:rPr>
        <w:t>,</w:t>
      </w:r>
      <w:r>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sidR="00007EA1">
        <w:rPr>
          <w:rFonts w:ascii="Arial" w:hAnsi="Arial" w:cs="Arial"/>
          <w:sz w:val="24"/>
          <w:szCs w:val="24"/>
        </w:rPr>
        <w:t xml:space="preserve"> actora presentó</w:t>
      </w:r>
      <w:r>
        <w:rPr>
          <w:rFonts w:ascii="Arial" w:hAnsi="Arial" w:cs="Arial"/>
          <w:sz w:val="24"/>
          <w:szCs w:val="24"/>
        </w:rPr>
        <w:t xml:space="preserve"> escrito de alegatos, el cual se agregó para los efectos correspondientes, no así la autoridad demandada</w:t>
      </w:r>
      <w:r w:rsidRPr="00212BF7">
        <w:rPr>
          <w:rFonts w:ascii="Arial" w:hAnsi="Arial" w:cs="Arial"/>
          <w:sz w:val="24"/>
          <w:szCs w:val="24"/>
        </w:rPr>
        <w:t xml:space="preserve"> </w:t>
      </w:r>
      <w:r>
        <w:rPr>
          <w:rFonts w:ascii="Arial" w:hAnsi="Arial" w:cs="Arial"/>
          <w:sz w:val="24"/>
          <w:szCs w:val="24"/>
        </w:rPr>
        <w:t>pues no presentó</w:t>
      </w:r>
      <w:r w:rsidRPr="00212BF7">
        <w:rPr>
          <w:rFonts w:ascii="Arial" w:hAnsi="Arial" w:cs="Arial"/>
          <w:sz w:val="24"/>
          <w:szCs w:val="24"/>
        </w:rPr>
        <w:t xml:space="preserve"> escrito alguno,</w:t>
      </w:r>
      <w:r>
        <w:rPr>
          <w:rFonts w:ascii="Arial" w:hAnsi="Arial" w:cs="Arial"/>
          <w:sz w:val="24"/>
          <w:szCs w:val="24"/>
        </w:rPr>
        <w:t xml:space="preserve"> por lo que se tuvo por fenecido su derecho; y se </w:t>
      </w:r>
      <w:r w:rsidRPr="00212BF7">
        <w:rPr>
          <w:rFonts w:ascii="Arial" w:hAnsi="Arial" w:cs="Arial"/>
          <w:sz w:val="24"/>
          <w:szCs w:val="24"/>
        </w:rPr>
        <w:t>cerr</w:t>
      </w:r>
      <w:r>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2CC73FC6" w14:textId="77777777" w:rsidR="000666A7" w:rsidRPr="00212BF7" w:rsidRDefault="000666A7" w:rsidP="000666A7">
      <w:pPr>
        <w:jc w:val="center"/>
        <w:rPr>
          <w:rFonts w:ascii="Arial" w:hAnsi="Arial" w:cs="Arial"/>
          <w:b/>
          <w:bCs/>
          <w:sz w:val="24"/>
          <w:szCs w:val="24"/>
        </w:rPr>
      </w:pPr>
      <w:r w:rsidRPr="00212BF7">
        <w:rPr>
          <w:rFonts w:ascii="Arial" w:hAnsi="Arial" w:cs="Arial"/>
          <w:b/>
          <w:bCs/>
          <w:sz w:val="24"/>
          <w:szCs w:val="24"/>
        </w:rPr>
        <w:t xml:space="preserve">C O N S I D E R A N D O </w:t>
      </w:r>
    </w:p>
    <w:p w14:paraId="72E657D5" w14:textId="77777777" w:rsidR="000666A7" w:rsidRPr="00212BF7" w:rsidRDefault="000666A7" w:rsidP="000666A7">
      <w:pPr>
        <w:jc w:val="center"/>
        <w:rPr>
          <w:rFonts w:ascii="Arial" w:hAnsi="Arial" w:cs="Arial"/>
          <w:sz w:val="24"/>
          <w:szCs w:val="24"/>
        </w:rPr>
      </w:pPr>
    </w:p>
    <w:p w14:paraId="09C47C78" w14:textId="77777777" w:rsidR="000666A7" w:rsidRPr="00212BF7" w:rsidRDefault="000666A7" w:rsidP="000666A7">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51E7C542" w14:textId="77777777" w:rsidR="000666A7" w:rsidRPr="00212BF7" w:rsidRDefault="000666A7" w:rsidP="000666A7">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4387619F" w14:textId="6D0DFA81" w:rsidR="000666A7" w:rsidRPr="00312EBA" w:rsidRDefault="000666A7" w:rsidP="000666A7">
      <w:pPr>
        <w:spacing w:line="360" w:lineRule="auto"/>
        <w:ind w:firstLine="567"/>
        <w:jc w:val="both"/>
        <w:rPr>
          <w:rFonts w:ascii="Arial" w:hAnsi="Arial" w:cs="Arial"/>
          <w:sz w:val="24"/>
          <w:szCs w:val="24"/>
        </w:rPr>
      </w:pPr>
      <w:r w:rsidRPr="00312EBA">
        <w:rPr>
          <w:rFonts w:ascii="Arial" w:hAnsi="Arial" w:cs="Arial"/>
          <w:b/>
          <w:bCs/>
          <w:sz w:val="24"/>
          <w:szCs w:val="24"/>
        </w:rPr>
        <w:lastRenderedPageBreak/>
        <w:t>TERCERO.</w:t>
      </w:r>
      <w:r w:rsidRPr="00312EBA">
        <w:rPr>
          <w:rFonts w:ascii="Arial" w:hAnsi="Arial" w:cs="Arial"/>
          <w:sz w:val="24"/>
          <w:szCs w:val="24"/>
        </w:rPr>
        <w:t xml:space="preserve">  </w:t>
      </w:r>
      <w:r w:rsidRPr="00312EBA">
        <w:rPr>
          <w:rFonts w:ascii="Arial" w:hAnsi="Arial" w:cs="Arial"/>
          <w:b/>
          <w:bCs/>
          <w:sz w:val="24"/>
          <w:szCs w:val="24"/>
        </w:rPr>
        <w:t>Acreditación del acto impugnado.</w:t>
      </w:r>
      <w:r w:rsidRPr="00312EBA">
        <w:rPr>
          <w:rFonts w:ascii="Arial" w:hAnsi="Arial" w:cs="Arial"/>
          <w:sz w:val="24"/>
          <w:szCs w:val="24"/>
        </w:rPr>
        <w:t xml:space="preserve"> Lo es el oficio número </w:t>
      </w:r>
      <w:r w:rsidR="00AE711B">
        <w:rPr>
          <w:rFonts w:ascii="Arial" w:hAnsi="Arial" w:cs="Arial"/>
          <w:sz w:val="24"/>
          <w:szCs w:val="24"/>
        </w:rPr>
        <w:t>**********</w:t>
      </w:r>
      <w:r w:rsidRPr="00312EBA">
        <w:rPr>
          <w:rFonts w:ascii="Arial" w:hAnsi="Arial" w:cs="Arial"/>
          <w:sz w:val="24"/>
          <w:szCs w:val="24"/>
        </w:rPr>
        <w:t xml:space="preserve">, de fecha </w:t>
      </w:r>
      <w:r w:rsidR="00196E89" w:rsidRPr="00312EBA">
        <w:rPr>
          <w:rFonts w:ascii="Arial" w:hAnsi="Arial" w:cs="Arial"/>
          <w:sz w:val="24"/>
          <w:szCs w:val="24"/>
        </w:rPr>
        <w:t xml:space="preserve">uno de julio de dos mil veintiuno </w:t>
      </w:r>
      <w:r w:rsidRPr="00312EBA">
        <w:rPr>
          <w:rFonts w:ascii="Arial" w:hAnsi="Arial" w:cs="Arial"/>
          <w:sz w:val="24"/>
          <w:szCs w:val="24"/>
        </w:rPr>
        <w:t xml:space="preserve">emitido por el Director General de la Oficina de Pensiones del Estado de Oaxaca, cuya copia certificada por notario público número </w:t>
      </w:r>
      <w:r w:rsidR="00007EA1">
        <w:rPr>
          <w:rFonts w:ascii="Arial" w:hAnsi="Arial" w:cs="Arial"/>
          <w:sz w:val="24"/>
          <w:szCs w:val="24"/>
        </w:rPr>
        <w:t>cuarenta</w:t>
      </w:r>
      <w:r w:rsidRPr="00312EBA">
        <w:rPr>
          <w:rFonts w:ascii="Arial" w:hAnsi="Arial" w:cs="Arial"/>
          <w:sz w:val="24"/>
          <w:szCs w:val="24"/>
        </w:rPr>
        <w:t xml:space="preserve"> </w:t>
      </w:r>
      <w:r w:rsidR="00007EA1">
        <w:rPr>
          <w:rFonts w:ascii="Arial" w:hAnsi="Arial" w:cs="Arial"/>
          <w:sz w:val="24"/>
          <w:szCs w:val="24"/>
        </w:rPr>
        <w:t>en el</w:t>
      </w:r>
      <w:r w:rsidRPr="00312EBA">
        <w:rPr>
          <w:rFonts w:ascii="Arial" w:hAnsi="Arial" w:cs="Arial"/>
          <w:sz w:val="24"/>
          <w:szCs w:val="24"/>
        </w:rPr>
        <w:t xml:space="preserve"> Estado de Oaxaca, obra a foja </w:t>
      </w:r>
      <w:r w:rsidR="00007EA1">
        <w:rPr>
          <w:rFonts w:ascii="Arial" w:hAnsi="Arial" w:cs="Arial"/>
          <w:sz w:val="24"/>
          <w:szCs w:val="24"/>
        </w:rPr>
        <w:t>11</w:t>
      </w:r>
      <w:r w:rsidRPr="00312EBA">
        <w:rPr>
          <w:rFonts w:ascii="Arial" w:hAnsi="Arial" w:cs="Arial"/>
          <w:sz w:val="24"/>
          <w:szCs w:val="24"/>
        </w:rPr>
        <w:t xml:space="preserve"> del expediente al rubro indicado, con valor probatorio pleno en términos de lo dispuesto por el artículo 203 fracción I</w:t>
      </w:r>
      <w:r w:rsidRPr="00312EBA">
        <w:rPr>
          <w:rStyle w:val="Refdenotaalpie"/>
          <w:rFonts w:ascii="Arial" w:hAnsi="Arial" w:cs="Arial"/>
          <w:sz w:val="24"/>
          <w:szCs w:val="24"/>
        </w:rPr>
        <w:footnoteReference w:id="3"/>
      </w:r>
      <w:r w:rsidRPr="00312EBA">
        <w:rPr>
          <w:rFonts w:ascii="Arial" w:hAnsi="Arial" w:cs="Arial"/>
          <w:sz w:val="24"/>
          <w:szCs w:val="24"/>
        </w:rPr>
        <w:t xml:space="preserve"> de la Ley de Procedimiento arriba señalada; también reconocida por la autoridad demandada de forma expresa en su contestación a foja </w:t>
      </w:r>
      <w:r w:rsidR="0076607B" w:rsidRPr="00312EBA">
        <w:rPr>
          <w:rFonts w:ascii="Arial" w:hAnsi="Arial" w:cs="Arial"/>
          <w:sz w:val="24"/>
          <w:szCs w:val="24"/>
        </w:rPr>
        <w:t>29</w:t>
      </w:r>
      <w:r w:rsidRPr="00312EBA">
        <w:rPr>
          <w:rFonts w:ascii="Arial" w:hAnsi="Arial" w:cs="Arial"/>
          <w:sz w:val="24"/>
          <w:szCs w:val="24"/>
        </w:rPr>
        <w:t>, por lo que esta Sala tiene por acreditado el acto impugnado.</w:t>
      </w:r>
    </w:p>
    <w:p w14:paraId="3BB8F923" w14:textId="5D8118D9" w:rsidR="000666A7" w:rsidRDefault="000666A7" w:rsidP="000666A7">
      <w:pPr>
        <w:spacing w:after="0" w:line="360" w:lineRule="auto"/>
        <w:ind w:right="49" w:firstLine="567"/>
        <w:jc w:val="both"/>
        <w:rPr>
          <w:rFonts w:ascii="Arial" w:hAnsi="Arial" w:cs="Arial"/>
          <w:sz w:val="24"/>
          <w:szCs w:val="24"/>
          <w:shd w:val="clear" w:color="auto" w:fill="FFFFFF"/>
        </w:rPr>
      </w:pPr>
      <w:r w:rsidRPr="00312EBA">
        <w:rPr>
          <w:rFonts w:ascii="Arial" w:hAnsi="Arial" w:cs="Arial"/>
          <w:b/>
          <w:bCs/>
          <w:sz w:val="24"/>
          <w:szCs w:val="24"/>
        </w:rPr>
        <w:t>CUARTO. Objeción de pruebas.</w:t>
      </w:r>
      <w:r w:rsidRPr="00312EBA">
        <w:rPr>
          <w:rFonts w:ascii="Arial" w:hAnsi="Arial" w:cs="Arial"/>
          <w:sz w:val="24"/>
          <w:szCs w:val="24"/>
        </w:rPr>
        <w:t xml:space="preserve"> Se advierte que la autoridad demandada objeto las pruebas ofrecidas por la parte actora en cuanto a su contenido, alcance y valor probatorio que pudieran tener; sin embargo, </w:t>
      </w:r>
      <w:r w:rsidRPr="00312EBA">
        <w:rPr>
          <w:rFonts w:ascii="Arial" w:hAnsi="Arial" w:cs="Arial"/>
          <w:sz w:val="24"/>
          <w:szCs w:val="24"/>
          <w:shd w:val="clear" w:color="auto" w:fill="FFFFFF"/>
        </w:rPr>
        <w:t>sus argumentos fueron insuficientes para combatir por qué a las pruebas ofrecidas por la parte actora no se les debía otorgar valor probatorio, tampoco evidenció alguna ilegalidad que pudieran tener como tampoco aporto elemento alguno para poder desvirtuarlas, de ahí que no es procedente su objeción.</w:t>
      </w:r>
    </w:p>
    <w:p w14:paraId="3CA32608" w14:textId="77777777" w:rsidR="00E01BD8" w:rsidRPr="00EE63BF" w:rsidRDefault="00E01BD8" w:rsidP="000666A7">
      <w:pPr>
        <w:spacing w:after="0" w:line="360" w:lineRule="auto"/>
        <w:ind w:right="49" w:firstLine="567"/>
        <w:jc w:val="both"/>
        <w:rPr>
          <w:rFonts w:ascii="Arial" w:hAnsi="Arial" w:cs="Arial"/>
          <w:sz w:val="24"/>
          <w:szCs w:val="24"/>
          <w:shd w:val="clear" w:color="auto" w:fill="FFFFFF"/>
        </w:rPr>
      </w:pPr>
    </w:p>
    <w:p w14:paraId="10C5B5F5" w14:textId="5C0DBC77" w:rsidR="00F81146" w:rsidRDefault="000666A7" w:rsidP="00140FF9">
      <w:pPr>
        <w:spacing w:line="360" w:lineRule="auto"/>
        <w:ind w:firstLine="567"/>
        <w:jc w:val="both"/>
        <w:rPr>
          <w:rFonts w:ascii="Arial" w:eastAsia="Times New Roman" w:hAnsi="Arial" w:cs="Arial"/>
          <w:b/>
          <w:sz w:val="24"/>
          <w:szCs w:val="24"/>
        </w:rPr>
      </w:pPr>
      <w:r>
        <w:rPr>
          <w:rFonts w:ascii="Arial" w:hAnsi="Arial" w:cs="Arial"/>
          <w:b/>
          <w:bCs/>
          <w:sz w:val="24"/>
          <w:szCs w:val="24"/>
        </w:rPr>
        <w:t>QUINTO</w:t>
      </w:r>
      <w:r w:rsidRPr="002459A6">
        <w:rPr>
          <w:rFonts w:ascii="Arial" w:hAnsi="Arial" w:cs="Arial"/>
          <w:b/>
          <w:bCs/>
          <w:sz w:val="24"/>
          <w:szCs w:val="24"/>
        </w:rPr>
        <w:t>.</w:t>
      </w:r>
      <w:r w:rsidRPr="002459A6">
        <w:rPr>
          <w:rFonts w:ascii="Arial" w:hAnsi="Arial" w:cs="Arial"/>
          <w:sz w:val="24"/>
          <w:szCs w:val="24"/>
        </w:rPr>
        <w:t xml:space="preserve"> </w:t>
      </w:r>
      <w:r w:rsidRPr="002459A6">
        <w:rPr>
          <w:rFonts w:ascii="Arial" w:hAnsi="Arial" w:cs="Arial"/>
          <w:b/>
          <w:bCs/>
          <w:sz w:val="24"/>
          <w:szCs w:val="24"/>
        </w:rPr>
        <w:t>Causales de improcedencia y sobreseimiento</w:t>
      </w:r>
      <w:r w:rsidRPr="002459A6">
        <w:rPr>
          <w:rFonts w:ascii="Arial" w:hAnsi="Arial" w:cs="Arial"/>
          <w:sz w:val="24"/>
          <w:szCs w:val="24"/>
        </w:rPr>
        <w:t xml:space="preserve">. </w:t>
      </w:r>
      <w:bookmarkStart w:id="1" w:name="_Hlk114057171"/>
      <w:r w:rsidRPr="009B0E2F">
        <w:rPr>
          <w:rFonts w:ascii="Arial" w:eastAsia="Times New Roman" w:hAnsi="Arial" w:cs="Arial"/>
          <w:sz w:val="24"/>
          <w:szCs w:val="24"/>
        </w:rPr>
        <w:t xml:space="preserve">Son de orden público y de estudio preferente a cualquier otra cuestión; </w:t>
      </w:r>
      <w:r w:rsidR="007265C0" w:rsidRPr="00144D56">
        <w:rPr>
          <w:rFonts w:ascii="Arial" w:hAnsi="Arial" w:cs="Arial"/>
          <w:sz w:val="24"/>
          <w:szCs w:val="24"/>
        </w:rPr>
        <w:t xml:space="preserve">se advierte que la autoridad demanda refiere  que es improcedente el presente juicio toda vez que se trata  de actos consumados de un modo irreparable, actos consentidos y </w:t>
      </w:r>
      <w:r w:rsidR="00167417">
        <w:rPr>
          <w:rFonts w:ascii="Arial" w:hAnsi="Arial" w:cs="Arial"/>
          <w:sz w:val="24"/>
          <w:szCs w:val="24"/>
        </w:rPr>
        <w:t>que de las constancias de autos apareciere claramente que no existe el acto reclamado</w:t>
      </w:r>
      <w:r w:rsidR="007265C0" w:rsidRPr="00144D56">
        <w:rPr>
          <w:rFonts w:ascii="Arial" w:hAnsi="Arial" w:cs="Arial"/>
          <w:sz w:val="24"/>
          <w:szCs w:val="24"/>
        </w:rPr>
        <w:t xml:space="preserve">, de acuerdo a las fracciones V, VI y </w:t>
      </w:r>
      <w:r w:rsidR="00167417">
        <w:rPr>
          <w:rFonts w:ascii="Arial" w:hAnsi="Arial" w:cs="Arial"/>
          <w:sz w:val="24"/>
          <w:szCs w:val="24"/>
        </w:rPr>
        <w:t>I</w:t>
      </w:r>
      <w:r w:rsidR="007265C0" w:rsidRPr="00144D56">
        <w:rPr>
          <w:rFonts w:ascii="Arial" w:hAnsi="Arial" w:cs="Arial"/>
          <w:sz w:val="24"/>
          <w:szCs w:val="24"/>
        </w:rPr>
        <w:t>X del artículo 1</w:t>
      </w:r>
      <w:r w:rsidR="007265C0">
        <w:rPr>
          <w:rFonts w:ascii="Arial" w:hAnsi="Arial" w:cs="Arial"/>
          <w:sz w:val="24"/>
          <w:szCs w:val="24"/>
        </w:rPr>
        <w:t>6</w:t>
      </w:r>
      <w:r w:rsidR="007265C0" w:rsidRPr="00144D56">
        <w:rPr>
          <w:rFonts w:ascii="Arial" w:hAnsi="Arial" w:cs="Arial"/>
          <w:sz w:val="24"/>
          <w:szCs w:val="24"/>
        </w:rPr>
        <w:t>1</w:t>
      </w:r>
      <w:r w:rsidR="007265C0" w:rsidRPr="00144D56">
        <w:rPr>
          <w:rStyle w:val="Refdenotaalpie"/>
          <w:rFonts w:ascii="Arial" w:hAnsi="Arial" w:cs="Arial"/>
          <w:sz w:val="24"/>
          <w:szCs w:val="24"/>
        </w:rPr>
        <w:footnoteReference w:id="4"/>
      </w:r>
      <w:r w:rsidR="007265C0" w:rsidRPr="00144D56">
        <w:rPr>
          <w:rFonts w:ascii="Arial" w:hAnsi="Arial" w:cs="Arial"/>
          <w:sz w:val="24"/>
          <w:szCs w:val="24"/>
        </w:rPr>
        <w:t xml:space="preserve"> de la materia; sin embargo, </w:t>
      </w:r>
      <w:r w:rsidR="00167417">
        <w:rPr>
          <w:rFonts w:ascii="Arial" w:hAnsi="Arial" w:cs="Arial"/>
          <w:sz w:val="24"/>
          <w:szCs w:val="24"/>
        </w:rPr>
        <w:t>aun cuando las menciona ninguna</w:t>
      </w:r>
      <w:r w:rsidR="00167417" w:rsidRPr="00167417">
        <w:rPr>
          <w:rFonts w:ascii="Arial" w:hAnsi="Arial" w:cs="Arial"/>
          <w:sz w:val="24"/>
          <w:szCs w:val="24"/>
        </w:rPr>
        <w:t xml:space="preserve"> de las disposiciones previstas en el artículo 161 de la Ley de Procedimiento y Justicia Administrativa para el Estado de Oaxaca, </w:t>
      </w:r>
      <w:r w:rsidR="00167417">
        <w:rPr>
          <w:rFonts w:ascii="Arial" w:hAnsi="Arial" w:cs="Arial"/>
          <w:sz w:val="24"/>
          <w:szCs w:val="24"/>
        </w:rPr>
        <w:t xml:space="preserve">se actualiza </w:t>
      </w:r>
      <w:r w:rsidR="00167417" w:rsidRPr="00167417">
        <w:rPr>
          <w:rFonts w:ascii="Arial" w:hAnsi="Arial" w:cs="Arial"/>
          <w:sz w:val="24"/>
          <w:szCs w:val="24"/>
        </w:rPr>
        <w:t>consecuentemente, no se sobresee el juicio.</w:t>
      </w:r>
      <w:bookmarkEnd w:id="1"/>
    </w:p>
    <w:p w14:paraId="12FC39C2" w14:textId="2A897FC8" w:rsidR="00F81146" w:rsidRPr="00312EBA" w:rsidRDefault="00312EBA" w:rsidP="00312EBA">
      <w:pPr>
        <w:spacing w:before="240" w:line="360" w:lineRule="auto"/>
        <w:ind w:right="-93" w:firstLine="709"/>
        <w:jc w:val="both"/>
        <w:rPr>
          <w:rFonts w:ascii="Arial" w:hAnsi="Arial" w:cs="Arial"/>
          <w:sz w:val="24"/>
          <w:szCs w:val="24"/>
        </w:rPr>
      </w:pPr>
      <w:r>
        <w:rPr>
          <w:rFonts w:ascii="Arial" w:hAnsi="Arial" w:cs="Arial"/>
          <w:b/>
          <w:bCs/>
          <w:sz w:val="24"/>
          <w:szCs w:val="24"/>
        </w:rPr>
        <w:t>SEXTO</w:t>
      </w:r>
      <w:r w:rsidR="00A86797" w:rsidRPr="003F5648">
        <w:rPr>
          <w:rFonts w:ascii="Arial" w:hAnsi="Arial" w:cs="Arial"/>
          <w:b/>
          <w:bCs/>
          <w:sz w:val="24"/>
          <w:szCs w:val="24"/>
        </w:rPr>
        <w:t xml:space="preserve">. </w:t>
      </w:r>
      <w:r w:rsidR="00A86797">
        <w:rPr>
          <w:rFonts w:ascii="Arial" w:hAnsi="Arial" w:cs="Arial"/>
          <w:sz w:val="24"/>
          <w:szCs w:val="24"/>
        </w:rPr>
        <w:t xml:space="preserve">A continuación, se examinarán las </w:t>
      </w:r>
      <w:r w:rsidR="00A86797" w:rsidRPr="000A427B">
        <w:rPr>
          <w:rFonts w:ascii="Arial" w:hAnsi="Arial" w:cs="Arial"/>
          <w:b/>
          <w:bCs/>
          <w:sz w:val="24"/>
          <w:szCs w:val="24"/>
        </w:rPr>
        <w:t>excepciones</w:t>
      </w:r>
      <w:r w:rsidR="00A86797">
        <w:rPr>
          <w:rFonts w:ascii="Arial" w:hAnsi="Arial" w:cs="Arial"/>
          <w:sz w:val="24"/>
          <w:szCs w:val="24"/>
        </w:rPr>
        <w:t xml:space="preserve"> propuestas por las autoridades demandadas:</w:t>
      </w:r>
    </w:p>
    <w:p w14:paraId="7FAB1D8E" w14:textId="3600D6A7" w:rsidR="00A86797" w:rsidRPr="00732F1C" w:rsidRDefault="00A86797" w:rsidP="000666A7">
      <w:pPr>
        <w:spacing w:line="360" w:lineRule="auto"/>
        <w:ind w:firstLine="567"/>
        <w:jc w:val="both"/>
        <w:rPr>
          <w:rFonts w:ascii="Arial" w:eastAsia="Times New Roman" w:hAnsi="Arial" w:cs="Arial"/>
          <w:bCs/>
          <w:sz w:val="24"/>
          <w:szCs w:val="24"/>
        </w:rPr>
      </w:pPr>
      <w:r>
        <w:rPr>
          <w:rFonts w:ascii="Arial" w:eastAsia="Times New Roman" w:hAnsi="Arial" w:cs="Arial"/>
          <w:b/>
          <w:sz w:val="24"/>
          <w:szCs w:val="24"/>
        </w:rPr>
        <w:t>a) La de falta de acción y de derecho:</w:t>
      </w:r>
      <w:r w:rsidR="00732F1C">
        <w:rPr>
          <w:rFonts w:ascii="Arial" w:eastAsia="Times New Roman" w:hAnsi="Arial" w:cs="Arial"/>
          <w:b/>
          <w:sz w:val="24"/>
          <w:szCs w:val="24"/>
        </w:rPr>
        <w:t xml:space="preserve"> </w:t>
      </w:r>
      <w:r w:rsidR="00732F1C">
        <w:rPr>
          <w:rFonts w:ascii="Arial" w:eastAsia="Times New Roman" w:hAnsi="Arial" w:cs="Arial"/>
          <w:bCs/>
          <w:sz w:val="24"/>
          <w:szCs w:val="24"/>
        </w:rPr>
        <w:t xml:space="preserve">Que le asiste a la parte actora para solicitar se le paguen las prestaciones demás a la pensión por jubilación </w:t>
      </w:r>
      <w:r w:rsidR="00732F1C">
        <w:rPr>
          <w:rFonts w:ascii="Arial" w:eastAsia="Times New Roman" w:hAnsi="Arial" w:cs="Arial"/>
          <w:bCs/>
          <w:sz w:val="24"/>
          <w:szCs w:val="24"/>
        </w:rPr>
        <w:lastRenderedPageBreak/>
        <w:t xml:space="preserve">que le corresponde, conforme lo establece el oficio </w:t>
      </w:r>
      <w:r w:rsidR="00AE711B">
        <w:rPr>
          <w:rFonts w:ascii="Arial" w:eastAsia="Times New Roman" w:hAnsi="Arial" w:cs="Arial"/>
          <w:bCs/>
          <w:sz w:val="24"/>
          <w:szCs w:val="24"/>
        </w:rPr>
        <w:t>**********</w:t>
      </w:r>
      <w:r w:rsidR="00732F1C">
        <w:rPr>
          <w:rFonts w:ascii="Arial" w:eastAsia="Times New Roman" w:hAnsi="Arial" w:cs="Arial"/>
          <w:bCs/>
          <w:sz w:val="24"/>
          <w:szCs w:val="24"/>
        </w:rPr>
        <w:t xml:space="preserve"> de fecha uno de julio del año dos mil veintiuno.</w:t>
      </w:r>
      <w:r w:rsidR="00167417">
        <w:rPr>
          <w:rFonts w:ascii="Arial" w:eastAsia="Times New Roman" w:hAnsi="Arial" w:cs="Arial"/>
          <w:bCs/>
          <w:sz w:val="24"/>
          <w:szCs w:val="24"/>
        </w:rPr>
        <w:t xml:space="preserve"> La</w:t>
      </w:r>
      <w:r w:rsidR="00167417" w:rsidRPr="00167417">
        <w:rPr>
          <w:rFonts w:ascii="Arial" w:eastAsia="Times New Roman" w:hAnsi="Arial" w:cs="Arial"/>
          <w:bCs/>
          <w:sz w:val="24"/>
          <w:szCs w:val="24"/>
        </w:rPr>
        <w:t xml:space="preserve"> </w:t>
      </w:r>
      <w:r w:rsidR="00167417">
        <w:rPr>
          <w:rFonts w:ascii="Arial" w:eastAsia="Times New Roman" w:hAnsi="Arial" w:cs="Arial"/>
          <w:bCs/>
          <w:sz w:val="24"/>
          <w:szCs w:val="24"/>
        </w:rPr>
        <w:t>cual no procede</w:t>
      </w:r>
      <w:r w:rsidR="00167417" w:rsidRPr="00167417">
        <w:rPr>
          <w:rFonts w:ascii="Arial" w:eastAsia="Times New Roman" w:hAnsi="Arial" w:cs="Arial"/>
          <w:bCs/>
          <w:sz w:val="24"/>
          <w:szCs w:val="24"/>
        </w:rPr>
        <w:t xml:space="preserve"> en virtud de que como ya expresó la parte actora acreditó su interés legítimo y jurídico para comparecer a juicio derivado del oficio </w:t>
      </w:r>
      <w:r w:rsidR="00167417">
        <w:rPr>
          <w:rFonts w:ascii="Arial" w:eastAsia="Times New Roman" w:hAnsi="Arial" w:cs="Arial"/>
          <w:bCs/>
          <w:sz w:val="24"/>
          <w:szCs w:val="24"/>
        </w:rPr>
        <w:t xml:space="preserve">arriba mencionado </w:t>
      </w:r>
      <w:r w:rsidR="00167417" w:rsidRPr="00167417">
        <w:rPr>
          <w:rFonts w:ascii="Arial" w:eastAsia="Times New Roman" w:hAnsi="Arial" w:cs="Arial"/>
          <w:bCs/>
          <w:sz w:val="24"/>
          <w:szCs w:val="24"/>
        </w:rPr>
        <w:t xml:space="preserve">que contiene el dictamen de jubilación. </w:t>
      </w:r>
    </w:p>
    <w:p w14:paraId="521E4FC9" w14:textId="11B91F6B" w:rsidR="00F81146" w:rsidRPr="00D90838" w:rsidRDefault="00A86797" w:rsidP="00D90838">
      <w:pPr>
        <w:spacing w:line="360" w:lineRule="auto"/>
        <w:ind w:firstLine="567"/>
        <w:jc w:val="both"/>
        <w:rPr>
          <w:rFonts w:ascii="Arial" w:eastAsia="Times New Roman" w:hAnsi="Arial" w:cs="Arial"/>
          <w:bCs/>
          <w:sz w:val="24"/>
          <w:szCs w:val="24"/>
        </w:rPr>
      </w:pPr>
      <w:r>
        <w:rPr>
          <w:rFonts w:ascii="Arial" w:eastAsia="Times New Roman" w:hAnsi="Arial" w:cs="Arial"/>
          <w:b/>
          <w:sz w:val="24"/>
          <w:szCs w:val="24"/>
        </w:rPr>
        <w:t>b) La de falsedad de los hechos en que se funda su demanda la parte actora</w:t>
      </w:r>
      <w:r w:rsidR="00732F1C">
        <w:rPr>
          <w:rFonts w:ascii="Arial" w:eastAsia="Times New Roman" w:hAnsi="Arial" w:cs="Arial"/>
          <w:b/>
          <w:sz w:val="24"/>
          <w:szCs w:val="24"/>
        </w:rPr>
        <w:t>:</w:t>
      </w:r>
      <w:r w:rsidR="00BC5348">
        <w:rPr>
          <w:rFonts w:ascii="Arial" w:eastAsia="Times New Roman" w:hAnsi="Arial" w:cs="Arial"/>
          <w:b/>
          <w:sz w:val="24"/>
          <w:szCs w:val="24"/>
        </w:rPr>
        <w:t xml:space="preserve"> </w:t>
      </w:r>
      <w:r w:rsidR="00312EBA" w:rsidRPr="00312EBA">
        <w:rPr>
          <w:rFonts w:ascii="Arial" w:eastAsia="Times New Roman" w:hAnsi="Arial" w:cs="Arial"/>
          <w:bCs/>
          <w:sz w:val="24"/>
          <w:szCs w:val="24"/>
        </w:rPr>
        <w:t xml:space="preserve">Mismas que la autoridad </w:t>
      </w:r>
      <w:r w:rsidR="00312EBA">
        <w:rPr>
          <w:rFonts w:ascii="Arial" w:eastAsia="Times New Roman" w:hAnsi="Arial" w:cs="Arial"/>
          <w:bCs/>
          <w:sz w:val="24"/>
          <w:szCs w:val="24"/>
        </w:rPr>
        <w:t>considera</w:t>
      </w:r>
      <w:r w:rsidR="00312EBA" w:rsidRPr="00312EBA">
        <w:rPr>
          <w:rFonts w:ascii="Arial" w:eastAsia="Times New Roman" w:hAnsi="Arial" w:cs="Arial"/>
          <w:bCs/>
          <w:sz w:val="24"/>
          <w:szCs w:val="24"/>
        </w:rPr>
        <w:t xml:space="preserve"> que son falsos lo hechos narrados en el escrito de demanda de la parte actora</w:t>
      </w:r>
      <w:r w:rsidR="00167417" w:rsidRPr="00167417">
        <w:rPr>
          <w:rFonts w:ascii="Arial" w:eastAsia="Times New Roman" w:hAnsi="Arial" w:cs="Arial"/>
          <w:bCs/>
          <w:sz w:val="24"/>
          <w:szCs w:val="24"/>
        </w:rPr>
        <w:t>.</w:t>
      </w:r>
      <w:r w:rsidR="00167417" w:rsidRPr="00167417">
        <w:rPr>
          <w:rFonts w:ascii="Arial" w:eastAsia="Times New Roman" w:hAnsi="Arial" w:cs="Arial"/>
          <w:sz w:val="24"/>
          <w:szCs w:val="24"/>
        </w:rPr>
        <w:t xml:space="preserve"> Esta excepción </w:t>
      </w:r>
      <w:r w:rsidR="00167417" w:rsidRPr="00167417">
        <w:rPr>
          <w:rFonts w:ascii="Arial" w:hAnsi="Arial" w:cs="Arial"/>
          <w:sz w:val="24"/>
          <w:szCs w:val="24"/>
        </w:rPr>
        <w:t>no se actualiza</w:t>
      </w:r>
      <w:r w:rsidRPr="00167417">
        <w:rPr>
          <w:rFonts w:ascii="Arial" w:hAnsi="Arial" w:cs="Arial"/>
          <w:sz w:val="24"/>
          <w:szCs w:val="24"/>
        </w:rPr>
        <w:t>,</w:t>
      </w:r>
      <w:r w:rsidRPr="0019186C">
        <w:rPr>
          <w:rFonts w:ascii="Arial" w:hAnsi="Arial" w:cs="Arial"/>
          <w:sz w:val="24"/>
          <w:szCs w:val="24"/>
        </w:rPr>
        <w:t xml:space="preserve"> dado que es</w:t>
      </w:r>
      <w:r w:rsidR="00167417">
        <w:rPr>
          <w:rFonts w:ascii="Arial" w:hAnsi="Arial" w:cs="Arial"/>
          <w:sz w:val="24"/>
          <w:szCs w:val="24"/>
        </w:rPr>
        <w:t>e punto</w:t>
      </w:r>
      <w:r w:rsidRPr="0019186C">
        <w:rPr>
          <w:rFonts w:ascii="Arial" w:hAnsi="Arial" w:cs="Arial"/>
          <w:sz w:val="24"/>
          <w:szCs w:val="24"/>
        </w:rPr>
        <w:t xml:space="preserve"> </w:t>
      </w:r>
      <w:r w:rsidR="00167417">
        <w:rPr>
          <w:rFonts w:ascii="Arial" w:hAnsi="Arial" w:cs="Arial"/>
          <w:sz w:val="24"/>
          <w:szCs w:val="24"/>
        </w:rPr>
        <w:t>es de fondo</w:t>
      </w:r>
      <w:r w:rsidRPr="0019186C">
        <w:rPr>
          <w:rFonts w:ascii="Arial" w:hAnsi="Arial" w:cs="Arial"/>
          <w:sz w:val="24"/>
          <w:szCs w:val="24"/>
        </w:rPr>
        <w:t>.</w:t>
      </w:r>
      <w:r w:rsidR="00167417">
        <w:rPr>
          <w:rFonts w:ascii="Arial" w:hAnsi="Arial" w:cs="Arial"/>
          <w:sz w:val="24"/>
          <w:szCs w:val="24"/>
        </w:rPr>
        <w:t xml:space="preserve"> </w:t>
      </w:r>
      <w:r w:rsidR="00D90838" w:rsidRPr="00167417">
        <w:rPr>
          <w:rFonts w:ascii="Arial" w:eastAsia="Times New Roman" w:hAnsi="Arial" w:cs="Arial"/>
          <w:bCs/>
          <w:sz w:val="24"/>
          <w:szCs w:val="24"/>
        </w:rPr>
        <w:t>En consecuencia al ser improcedentes dichas excepciones y defensas, se procede al estudio del fondo.</w:t>
      </w:r>
    </w:p>
    <w:p w14:paraId="5B7AB093" w14:textId="41988323" w:rsidR="000666A7" w:rsidRPr="00C40CA5" w:rsidRDefault="00EA73CE" w:rsidP="00312EBA">
      <w:pPr>
        <w:spacing w:after="0" w:line="360" w:lineRule="auto"/>
        <w:ind w:firstLine="567"/>
        <w:jc w:val="both"/>
        <w:rPr>
          <w:rFonts w:ascii="Arial" w:hAnsi="Arial" w:cs="Arial"/>
          <w:sz w:val="24"/>
          <w:szCs w:val="24"/>
        </w:rPr>
      </w:pPr>
      <w:r>
        <w:rPr>
          <w:rFonts w:ascii="Arial" w:hAnsi="Arial" w:cs="Arial"/>
          <w:b/>
          <w:bCs/>
          <w:sz w:val="24"/>
          <w:szCs w:val="24"/>
        </w:rPr>
        <w:t>SÉ</w:t>
      </w:r>
      <w:r w:rsidR="00312EBA">
        <w:rPr>
          <w:rFonts w:ascii="Arial" w:hAnsi="Arial" w:cs="Arial"/>
          <w:b/>
          <w:bCs/>
          <w:sz w:val="24"/>
          <w:szCs w:val="24"/>
        </w:rPr>
        <w:t>PTIMO</w:t>
      </w:r>
      <w:r w:rsidR="000666A7" w:rsidRPr="00604C4C">
        <w:rPr>
          <w:rFonts w:ascii="Arial" w:hAnsi="Arial" w:cs="Arial"/>
          <w:b/>
          <w:bCs/>
          <w:sz w:val="24"/>
          <w:szCs w:val="24"/>
        </w:rPr>
        <w:t>. Fijación de la Litis.</w:t>
      </w:r>
      <w:r w:rsidR="000666A7" w:rsidRPr="00604C4C">
        <w:rPr>
          <w:rFonts w:ascii="Arial" w:hAnsi="Arial" w:cs="Arial"/>
          <w:sz w:val="24"/>
          <w:szCs w:val="24"/>
        </w:rPr>
        <w:t xml:space="preserve"> </w:t>
      </w:r>
      <w:r w:rsidR="000666A7" w:rsidRPr="00F73CF2">
        <w:rPr>
          <w:rFonts w:ascii="Arial" w:hAnsi="Arial" w:cs="Arial"/>
          <w:bCs/>
          <w:sz w:val="24"/>
          <w:szCs w:val="24"/>
        </w:rPr>
        <w:t xml:space="preserve">La parte actora, demandó la nulidad del oficio </w:t>
      </w:r>
      <w:r w:rsidR="00AE711B">
        <w:rPr>
          <w:rFonts w:ascii="Arial" w:hAnsi="Arial" w:cs="Arial"/>
          <w:bCs/>
          <w:sz w:val="24"/>
          <w:szCs w:val="24"/>
        </w:rPr>
        <w:t>**********</w:t>
      </w:r>
      <w:r w:rsidR="000666A7" w:rsidRPr="00F73CF2">
        <w:rPr>
          <w:rFonts w:ascii="Arial" w:hAnsi="Arial" w:cs="Arial"/>
          <w:bCs/>
          <w:sz w:val="24"/>
          <w:szCs w:val="24"/>
        </w:rPr>
        <w:t xml:space="preserve">, de fecha </w:t>
      </w:r>
      <w:r w:rsidR="00196E89">
        <w:rPr>
          <w:rFonts w:ascii="Arial" w:hAnsi="Arial" w:cs="Arial"/>
          <w:bCs/>
          <w:sz w:val="24"/>
          <w:szCs w:val="24"/>
        </w:rPr>
        <w:t xml:space="preserve">uno de julio de dos mil veintiuno </w:t>
      </w:r>
      <w:r w:rsidR="000666A7" w:rsidRPr="00F73CF2">
        <w:rPr>
          <w:rFonts w:ascii="Arial" w:hAnsi="Arial" w:cs="Arial"/>
          <w:bCs/>
          <w:sz w:val="24"/>
          <w:szCs w:val="24"/>
        </w:rPr>
        <w:t xml:space="preserve">, emitido por el </w:t>
      </w:r>
      <w:r w:rsidR="009B01CE" w:rsidRPr="00CB4863">
        <w:rPr>
          <w:rFonts w:ascii="Arial" w:hAnsi="Arial" w:cs="Arial"/>
          <w:bCs/>
          <w:sz w:val="24"/>
          <w:szCs w:val="24"/>
        </w:rPr>
        <w:t xml:space="preserve">Consejo Directivo de Pensiones del Estado, </w:t>
      </w:r>
      <w:r w:rsidR="009B01CE">
        <w:rPr>
          <w:rFonts w:ascii="Arial" w:hAnsi="Arial" w:cs="Arial"/>
          <w:bCs/>
          <w:sz w:val="24"/>
          <w:szCs w:val="24"/>
        </w:rPr>
        <w:t>a través de su representante el</w:t>
      </w:r>
      <w:r w:rsidR="009B01CE" w:rsidRPr="00CB4863">
        <w:rPr>
          <w:rFonts w:ascii="Arial" w:hAnsi="Arial" w:cs="Arial"/>
          <w:bCs/>
          <w:sz w:val="24"/>
          <w:szCs w:val="24"/>
        </w:rPr>
        <w:t xml:space="preserve"> Director General de la Oficina de Pensiones del Gobierno del Estado de Oaxaca</w:t>
      </w:r>
      <w:r w:rsidR="000666A7" w:rsidRPr="00F73CF2">
        <w:rPr>
          <w:rFonts w:ascii="Arial" w:hAnsi="Arial" w:cs="Arial"/>
          <w:bCs/>
          <w:sz w:val="24"/>
          <w:szCs w:val="24"/>
        </w:rPr>
        <w:t>, manifiesta que dicho acto es</w:t>
      </w:r>
      <w:r w:rsidR="000666A7" w:rsidRPr="00604C4C">
        <w:rPr>
          <w:rFonts w:ascii="Arial" w:hAnsi="Arial" w:cs="Arial"/>
          <w:sz w:val="24"/>
          <w:szCs w:val="24"/>
        </w:rPr>
        <w:t xml:space="preserve"> ilegal, dado que la autoridad demandada consideró únicamente su sueldo base, sin incluir  las demás prestaciones a las que tiene derecho como trabajadora</w:t>
      </w:r>
      <w:r w:rsidR="005461C9">
        <w:rPr>
          <w:rFonts w:ascii="Arial" w:hAnsi="Arial" w:cs="Arial"/>
          <w:sz w:val="24"/>
          <w:szCs w:val="24"/>
        </w:rPr>
        <w:t xml:space="preserve"> de confianza</w:t>
      </w:r>
      <w:r w:rsidR="000666A7" w:rsidRPr="00604C4C">
        <w:rPr>
          <w:rFonts w:ascii="Arial" w:hAnsi="Arial" w:cs="Arial"/>
          <w:sz w:val="24"/>
          <w:szCs w:val="24"/>
        </w:rPr>
        <w:t xml:space="preserve">, tal y como lo establece el </w:t>
      </w:r>
      <w:r w:rsidR="000666A7" w:rsidRPr="001053D1">
        <w:rPr>
          <w:rFonts w:ascii="Arial" w:hAnsi="Arial" w:cs="Arial"/>
          <w:sz w:val="24"/>
          <w:szCs w:val="24"/>
        </w:rPr>
        <w:t>artículo 54 de la Ley de Pensiones para los Trabajadores del Gobierno del Estado de Oaxaca</w:t>
      </w:r>
      <w:r w:rsidR="005461C9" w:rsidRPr="001053D1">
        <w:rPr>
          <w:rFonts w:ascii="Arial" w:hAnsi="Arial" w:cs="Arial"/>
          <w:sz w:val="24"/>
          <w:szCs w:val="24"/>
        </w:rPr>
        <w:t xml:space="preserve"> reformado mediante decreto número 2770 de 23 de octubre de 2021</w:t>
      </w:r>
      <w:r w:rsidR="00BF5BF3" w:rsidRPr="001053D1">
        <w:rPr>
          <w:rFonts w:ascii="Arial" w:hAnsi="Arial" w:cs="Arial"/>
          <w:sz w:val="24"/>
          <w:szCs w:val="24"/>
        </w:rPr>
        <w:t xml:space="preserve"> publicado en el Periódico Oficial del Estado de Oaxaca</w:t>
      </w:r>
      <w:r w:rsidR="000666A7" w:rsidRPr="001053D1">
        <w:rPr>
          <w:rFonts w:ascii="Arial" w:hAnsi="Arial" w:cs="Arial"/>
          <w:sz w:val="24"/>
          <w:szCs w:val="24"/>
        </w:rPr>
        <w:t>;  por lo que dicha determinación</w:t>
      </w:r>
      <w:r w:rsidR="000666A7" w:rsidRPr="00604C4C">
        <w:rPr>
          <w:rFonts w:ascii="Arial" w:hAnsi="Arial" w:cs="Arial"/>
          <w:sz w:val="24"/>
          <w:szCs w:val="24"/>
        </w:rPr>
        <w:t xml:space="preserve">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w:t>
      </w:r>
      <w:r w:rsidR="00BF5BF3">
        <w:rPr>
          <w:rFonts w:ascii="Arial" w:hAnsi="Arial" w:cs="Arial"/>
          <w:sz w:val="24"/>
          <w:szCs w:val="24"/>
        </w:rPr>
        <w:t>, día de las madres</w:t>
      </w:r>
      <w:r w:rsidR="000666A7" w:rsidRPr="00604C4C">
        <w:rPr>
          <w:rFonts w:ascii="Arial" w:hAnsi="Arial" w:cs="Arial"/>
          <w:sz w:val="24"/>
          <w:szCs w:val="24"/>
        </w:rPr>
        <w:t xml:space="preserve"> y canasta navideña. Asimismo, que carece de la debida fundamentación y motivación, violando su derecho humano a la seguridad jurídica contenido en el artículo 16 de la Constitución Federal, lo cual </w:t>
      </w:r>
      <w:r w:rsidR="000666A7" w:rsidRPr="002459A6">
        <w:rPr>
          <w:rFonts w:ascii="Arial" w:hAnsi="Arial" w:cs="Arial"/>
          <w:sz w:val="24"/>
          <w:szCs w:val="24"/>
        </w:rPr>
        <w:t>es discriminatorio.</w:t>
      </w:r>
      <w:r w:rsidR="000666A7" w:rsidRPr="002459A6">
        <w:rPr>
          <w:rFonts w:ascii="Arial" w:hAnsi="Arial" w:cs="Arial"/>
          <w:b/>
          <w:sz w:val="24"/>
          <w:szCs w:val="24"/>
        </w:rPr>
        <w:t xml:space="preserve">  </w:t>
      </w:r>
    </w:p>
    <w:p w14:paraId="0CD4E7F3" w14:textId="77777777" w:rsidR="000666A7" w:rsidRPr="00C40CA5" w:rsidRDefault="000666A7" w:rsidP="000666A7">
      <w:pPr>
        <w:spacing w:after="0" w:line="360" w:lineRule="auto"/>
        <w:jc w:val="both"/>
        <w:rPr>
          <w:rFonts w:ascii="Arial" w:hAnsi="Arial" w:cs="Arial"/>
          <w:sz w:val="24"/>
          <w:szCs w:val="24"/>
        </w:rPr>
      </w:pPr>
    </w:p>
    <w:p w14:paraId="5ED30202" w14:textId="770E0881" w:rsidR="000666A7" w:rsidRPr="00C40CA5" w:rsidRDefault="000666A7" w:rsidP="000666A7">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AE711B">
        <w:rPr>
          <w:rFonts w:ascii="Arial" w:hAnsi="Arial" w:cs="Arial"/>
          <w:sz w:val="24"/>
          <w:szCs w:val="24"/>
        </w:rPr>
        <w:t>**********</w:t>
      </w:r>
      <w:r w:rsidRPr="00C40CA5">
        <w:rPr>
          <w:rFonts w:ascii="Arial" w:hAnsi="Arial" w:cs="Arial"/>
          <w:sz w:val="24"/>
          <w:szCs w:val="24"/>
        </w:rPr>
        <w:t xml:space="preserve">, de fecha </w:t>
      </w:r>
      <w:r w:rsidR="00196E89">
        <w:rPr>
          <w:rFonts w:ascii="Arial" w:hAnsi="Arial" w:cs="Arial"/>
          <w:sz w:val="24"/>
          <w:szCs w:val="24"/>
        </w:rPr>
        <w:t>uno de julio de dos mil veintiuno</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6000F16C" w14:textId="77777777" w:rsidR="000666A7" w:rsidRPr="00C40CA5" w:rsidRDefault="000666A7" w:rsidP="000666A7">
      <w:pPr>
        <w:spacing w:after="0" w:line="360" w:lineRule="auto"/>
        <w:ind w:firstLine="567"/>
        <w:jc w:val="both"/>
        <w:rPr>
          <w:rFonts w:ascii="Arial" w:hAnsi="Arial" w:cs="Arial"/>
          <w:color w:val="FF0000"/>
          <w:sz w:val="24"/>
          <w:szCs w:val="24"/>
        </w:rPr>
      </w:pPr>
    </w:p>
    <w:p w14:paraId="1F3AAF40" w14:textId="0F9DAF68" w:rsidR="000666A7" w:rsidRPr="00C40CA5" w:rsidRDefault="000666A7" w:rsidP="000666A7">
      <w:pPr>
        <w:spacing w:after="0" w:line="360" w:lineRule="auto"/>
        <w:ind w:firstLine="567"/>
        <w:jc w:val="both"/>
        <w:rPr>
          <w:rFonts w:ascii="Arial" w:hAnsi="Arial" w:cs="Arial"/>
          <w:sz w:val="24"/>
          <w:szCs w:val="24"/>
        </w:rPr>
      </w:pPr>
      <w:r w:rsidRPr="00C40CA5">
        <w:rPr>
          <w:rFonts w:ascii="Arial" w:hAnsi="Arial" w:cs="Arial"/>
          <w:sz w:val="24"/>
          <w:szCs w:val="24"/>
        </w:rPr>
        <w:lastRenderedPageBreak/>
        <w:t xml:space="preserve">Así como que </w:t>
      </w:r>
      <w:r w:rsidR="00BF5BF3">
        <w:rPr>
          <w:rFonts w:ascii="Arial" w:hAnsi="Arial" w:cs="Arial"/>
          <w:sz w:val="24"/>
          <w:szCs w:val="24"/>
        </w:rPr>
        <w:t xml:space="preserve">a </w:t>
      </w:r>
      <w:r w:rsidRPr="00C40CA5">
        <w:rPr>
          <w:rFonts w:ascii="Arial" w:hAnsi="Arial" w:cs="Arial"/>
          <w:sz w:val="24"/>
          <w:szCs w:val="24"/>
        </w:rPr>
        <w:t>l</w:t>
      </w:r>
      <w:r w:rsidR="00BF5BF3">
        <w:rPr>
          <w:rFonts w:ascii="Arial" w:hAnsi="Arial" w:cs="Arial"/>
          <w:sz w:val="24"/>
          <w:szCs w:val="24"/>
        </w:rPr>
        <w:t>a administrada</w:t>
      </w:r>
      <w:r w:rsidRPr="00C40CA5">
        <w:rPr>
          <w:rFonts w:ascii="Arial" w:hAnsi="Arial" w:cs="Arial"/>
          <w:sz w:val="24"/>
          <w:szCs w:val="24"/>
        </w:rPr>
        <w:t xml:space="preserve"> no le asiste la razón para solicitar nulidad de la resolución administrativa  dictada por el Consejo Directivo de la Oficina de Pensiones del Estado de Oaxaca en el oficio </w:t>
      </w:r>
      <w:r w:rsidR="00AE711B">
        <w:rPr>
          <w:rFonts w:ascii="Arial" w:hAnsi="Arial" w:cs="Arial"/>
          <w:sz w:val="24"/>
          <w:szCs w:val="24"/>
        </w:rPr>
        <w:t>**********</w:t>
      </w:r>
      <w:r w:rsidRPr="00C40CA5">
        <w:rPr>
          <w:rFonts w:ascii="Arial" w:hAnsi="Arial" w:cs="Arial"/>
          <w:sz w:val="24"/>
          <w:szCs w:val="24"/>
        </w:rPr>
        <w:t>, pues dicho acto cumple cabalmente con los elementos y requisitos que la ley de Procedimiento y Justicia Administrativa para el Estado de Oaxaca</w:t>
      </w:r>
      <w:r w:rsidR="00BF5BF3">
        <w:rPr>
          <w:rFonts w:ascii="Arial" w:hAnsi="Arial" w:cs="Arial"/>
          <w:sz w:val="24"/>
          <w:szCs w:val="24"/>
        </w:rPr>
        <w:t xml:space="preserve"> señala</w:t>
      </w:r>
      <w:r w:rsidRPr="00C40CA5">
        <w:rPr>
          <w:rFonts w:ascii="Arial" w:hAnsi="Arial" w:cs="Arial"/>
          <w:sz w:val="24"/>
          <w:szCs w:val="24"/>
        </w:rPr>
        <w:t xml:space="preserve">; es decir  como lo estable el artículo 16 de la Constitución, ya que se fundó y motivo, dando las razones y consideraciones de hecho y de derecho que lo justifican. </w:t>
      </w:r>
    </w:p>
    <w:p w14:paraId="2961FD1F" w14:textId="77777777" w:rsidR="000666A7" w:rsidRPr="00C40CA5" w:rsidRDefault="000666A7" w:rsidP="000666A7">
      <w:pPr>
        <w:spacing w:after="0" w:line="360" w:lineRule="auto"/>
        <w:jc w:val="both"/>
        <w:rPr>
          <w:rFonts w:ascii="Arial" w:hAnsi="Arial" w:cs="Arial"/>
          <w:sz w:val="24"/>
          <w:szCs w:val="24"/>
        </w:rPr>
      </w:pPr>
    </w:p>
    <w:p w14:paraId="2F38640E" w14:textId="77777777" w:rsidR="000666A7" w:rsidRDefault="000666A7" w:rsidP="000666A7">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w:t>
      </w:r>
      <w:r>
        <w:rPr>
          <w:rFonts w:ascii="Arial" w:hAnsi="Arial" w:cs="Arial"/>
          <w:sz w:val="24"/>
          <w:szCs w:val="24"/>
        </w:rPr>
        <w:t xml:space="preserve"> </w:t>
      </w:r>
      <w:r w:rsidRPr="00C40CA5">
        <w:rPr>
          <w:rFonts w:ascii="Arial" w:hAnsi="Arial" w:cs="Arial"/>
          <w:sz w:val="24"/>
          <w:szCs w:val="24"/>
        </w:rPr>
        <w:t>l</w:t>
      </w:r>
      <w:r>
        <w:rPr>
          <w:rFonts w:ascii="Arial" w:hAnsi="Arial" w:cs="Arial"/>
          <w:sz w:val="24"/>
          <w:szCs w:val="24"/>
        </w:rPr>
        <w:t>a</w:t>
      </w:r>
      <w:r w:rsidRPr="00C40CA5">
        <w:rPr>
          <w:rFonts w:ascii="Arial" w:hAnsi="Arial" w:cs="Arial"/>
          <w:sz w:val="24"/>
          <w:szCs w:val="24"/>
        </w:rPr>
        <w:t xml:space="preserve"> ahora actor</w:t>
      </w:r>
      <w:r>
        <w:rPr>
          <w:rFonts w:ascii="Arial" w:hAnsi="Arial" w:cs="Arial"/>
          <w:sz w:val="24"/>
          <w:szCs w:val="24"/>
        </w:rPr>
        <w:t>a</w:t>
      </w:r>
      <w:r w:rsidRPr="00C40CA5">
        <w:rPr>
          <w:rFonts w:ascii="Arial" w:hAnsi="Arial" w:cs="Arial"/>
          <w:sz w:val="24"/>
          <w:szCs w:val="24"/>
        </w:rPr>
        <w:t xml:space="preserve">,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2163461A" w14:textId="77777777" w:rsidR="000666A7" w:rsidRPr="00EE63BF" w:rsidRDefault="000666A7" w:rsidP="000666A7">
      <w:pPr>
        <w:spacing w:after="0" w:line="360" w:lineRule="auto"/>
        <w:ind w:firstLine="567"/>
        <w:jc w:val="both"/>
        <w:rPr>
          <w:rFonts w:ascii="Arial" w:hAnsi="Arial" w:cs="Arial"/>
          <w:sz w:val="24"/>
          <w:szCs w:val="24"/>
        </w:rPr>
      </w:pPr>
    </w:p>
    <w:p w14:paraId="78852530" w14:textId="38C6FBC4" w:rsidR="000666A7" w:rsidRPr="00F51123" w:rsidRDefault="00EA73CE" w:rsidP="000666A7">
      <w:pPr>
        <w:spacing w:before="240" w:after="0" w:line="360" w:lineRule="auto"/>
        <w:ind w:firstLine="567"/>
        <w:jc w:val="both"/>
        <w:rPr>
          <w:rFonts w:ascii="Arial" w:hAnsi="Arial" w:cs="Arial"/>
          <w:b/>
          <w:bCs/>
          <w:sz w:val="24"/>
          <w:szCs w:val="24"/>
        </w:rPr>
      </w:pPr>
      <w:r w:rsidRPr="00EA73CE">
        <w:rPr>
          <w:rFonts w:ascii="Arial" w:hAnsi="Arial" w:cs="Arial"/>
          <w:b/>
          <w:bCs/>
          <w:sz w:val="24"/>
          <w:szCs w:val="24"/>
        </w:rPr>
        <w:t>OCTAVO</w:t>
      </w:r>
      <w:r w:rsidR="000666A7" w:rsidRPr="00EA73CE">
        <w:rPr>
          <w:rFonts w:ascii="Arial" w:hAnsi="Arial" w:cs="Arial"/>
          <w:b/>
          <w:bCs/>
          <w:sz w:val="24"/>
          <w:szCs w:val="24"/>
        </w:rPr>
        <w:t xml:space="preserve">. Estudio del Fondo del Asunto. </w:t>
      </w:r>
      <w:r w:rsidR="000666A7" w:rsidRPr="00EA73CE">
        <w:rPr>
          <w:rFonts w:ascii="Arial" w:hAnsi="Arial" w:cs="Arial"/>
          <w:sz w:val="24"/>
          <w:szCs w:val="24"/>
        </w:rPr>
        <w:t>Como ya se expresó la parte actora</w:t>
      </w:r>
      <w:r w:rsidR="000666A7" w:rsidRPr="00EA73CE">
        <w:rPr>
          <w:rFonts w:ascii="Arial" w:hAnsi="Arial" w:cs="Arial"/>
          <w:b/>
          <w:bCs/>
          <w:sz w:val="24"/>
          <w:szCs w:val="24"/>
        </w:rPr>
        <w:t xml:space="preserve"> </w:t>
      </w:r>
      <w:r w:rsidR="00AE711B">
        <w:rPr>
          <w:rFonts w:ascii="Arial" w:hAnsi="Arial" w:cs="Arial"/>
          <w:b/>
          <w:sz w:val="24"/>
          <w:szCs w:val="26"/>
        </w:rPr>
        <w:t>**********</w:t>
      </w:r>
      <w:r w:rsidR="000666A7" w:rsidRPr="00EA73CE">
        <w:rPr>
          <w:rFonts w:ascii="Arial" w:hAnsi="Arial" w:cs="Arial"/>
          <w:sz w:val="24"/>
          <w:szCs w:val="26"/>
        </w:rPr>
        <w:t xml:space="preserve">, demandó la nulidad del dictamen de jubilación, contenido en el oficio número </w:t>
      </w:r>
      <w:r w:rsidR="00AE711B">
        <w:rPr>
          <w:rFonts w:ascii="Arial" w:hAnsi="Arial" w:cs="Arial"/>
          <w:b/>
          <w:sz w:val="24"/>
          <w:szCs w:val="26"/>
        </w:rPr>
        <w:t>**********</w:t>
      </w:r>
      <w:r w:rsidR="000666A7" w:rsidRPr="00EA73CE">
        <w:rPr>
          <w:rFonts w:ascii="Arial" w:hAnsi="Arial" w:cs="Arial"/>
          <w:sz w:val="24"/>
          <w:szCs w:val="26"/>
        </w:rPr>
        <w:t xml:space="preserve"> de </w:t>
      </w:r>
      <w:r w:rsidR="00196E89" w:rsidRPr="00EA73CE">
        <w:rPr>
          <w:rFonts w:ascii="Arial" w:hAnsi="Arial" w:cs="Arial"/>
          <w:sz w:val="24"/>
          <w:szCs w:val="26"/>
        </w:rPr>
        <w:t>un</w:t>
      </w:r>
      <w:r w:rsidR="001053D1" w:rsidRPr="00EA73CE">
        <w:rPr>
          <w:rFonts w:ascii="Arial" w:hAnsi="Arial" w:cs="Arial"/>
          <w:sz w:val="24"/>
          <w:szCs w:val="26"/>
        </w:rPr>
        <w:t>o de julio de dos mil veintiuno</w:t>
      </w:r>
      <w:r w:rsidR="000666A7" w:rsidRPr="00EA73CE">
        <w:rPr>
          <w:rFonts w:ascii="Arial" w:hAnsi="Arial" w:cs="Arial"/>
          <w:sz w:val="24"/>
          <w:szCs w:val="26"/>
        </w:rPr>
        <w:t>,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w:t>
      </w:r>
      <w:r w:rsidR="000666A7" w:rsidRPr="00F51123">
        <w:rPr>
          <w:rFonts w:ascii="Arial" w:hAnsi="Arial" w:cs="Arial"/>
          <w:sz w:val="24"/>
          <w:szCs w:val="26"/>
        </w:rPr>
        <w:t xml:space="preserve">, quinquenios, aguinaldo, estimulo del día del jubilado, día de las madres, canasta navideña; así como las demás percepciones que le corresponde al salario integrado que percibía </w:t>
      </w:r>
      <w:r w:rsidR="000666A7" w:rsidRPr="00F51123">
        <w:rPr>
          <w:rFonts w:ascii="Arial" w:hAnsi="Arial" w:cs="Arial"/>
          <w:sz w:val="24"/>
          <w:szCs w:val="26"/>
        </w:rPr>
        <w:lastRenderedPageBreak/>
        <w:t>de manera ordinaria y permanente siendo así un trato discriminatorio el que recibe en cuanto al cálculo de su pensión,</w:t>
      </w:r>
      <w:r w:rsidR="001053D1">
        <w:rPr>
          <w:rFonts w:ascii="Arial" w:hAnsi="Arial" w:cs="Arial"/>
          <w:sz w:val="24"/>
          <w:szCs w:val="26"/>
        </w:rPr>
        <w:t xml:space="preserve"> pues aun cuando fue empleada</w:t>
      </w:r>
      <w:r w:rsidR="000666A7" w:rsidRPr="00F51123">
        <w:rPr>
          <w:rFonts w:ascii="Arial" w:hAnsi="Arial" w:cs="Arial"/>
          <w:sz w:val="24"/>
          <w:szCs w:val="26"/>
        </w:rPr>
        <w:t xml:space="preserve"> de confianza, tiene derecho a que se considere a su favor los conceptos aludidos, pues tiene derecho a recibir un trato igual a los trabajadores de base; que por ello la resolución impugnada trasgrede en su perjuicio lo dispuesto por el artículo 1 de la Constitución Política de los Estados Unidos Mexicanos. </w:t>
      </w:r>
    </w:p>
    <w:p w14:paraId="26F0A929" w14:textId="7D7F4A03" w:rsidR="000666A7" w:rsidRPr="00F51123" w:rsidRDefault="000666A7" w:rsidP="000666A7">
      <w:pPr>
        <w:spacing w:before="240" w:after="0" w:line="360" w:lineRule="auto"/>
        <w:ind w:firstLine="567"/>
        <w:jc w:val="both"/>
        <w:rPr>
          <w:rFonts w:ascii="Arial" w:hAnsi="Arial" w:cs="Arial"/>
          <w:i/>
          <w:sz w:val="24"/>
          <w:szCs w:val="26"/>
        </w:rPr>
      </w:pPr>
      <w:r w:rsidRPr="00F51123">
        <w:rPr>
          <w:rFonts w:ascii="Arial" w:hAnsi="Arial" w:cs="Arial"/>
          <w:sz w:val="24"/>
          <w:szCs w:val="26"/>
        </w:rPr>
        <w:t xml:space="preserve">Del análisis del oficio número </w:t>
      </w:r>
      <w:r w:rsidR="00AE711B">
        <w:rPr>
          <w:rFonts w:ascii="Arial" w:hAnsi="Arial" w:cs="Arial"/>
          <w:b/>
          <w:sz w:val="24"/>
          <w:szCs w:val="26"/>
        </w:rPr>
        <w:t>**********</w:t>
      </w:r>
      <w:r w:rsidRPr="00F51123">
        <w:rPr>
          <w:rFonts w:ascii="Arial" w:hAnsi="Arial" w:cs="Arial"/>
          <w:sz w:val="24"/>
          <w:szCs w:val="26"/>
        </w:rPr>
        <w:t xml:space="preserve"> de </w:t>
      </w:r>
      <w:r w:rsidR="00196E89">
        <w:rPr>
          <w:rFonts w:ascii="Arial" w:hAnsi="Arial" w:cs="Arial"/>
          <w:sz w:val="24"/>
          <w:szCs w:val="26"/>
        </w:rPr>
        <w:t>uno de julio de dos mil veintiuno</w:t>
      </w:r>
      <w:r w:rsidRPr="00F51123">
        <w:rPr>
          <w:rFonts w:ascii="Arial" w:hAnsi="Arial" w:cs="Arial"/>
          <w:sz w:val="24"/>
          <w:szCs w:val="26"/>
        </w:rPr>
        <w:t>, se advierte que el Consejo Directivo de Pensiones del Estado de Oaxaca, al resolver la pensión por jubilación de la actora, indicó que la fijación de su pensión se determinó tomando únicamente en consideración el sueldo base de un Agente de</w:t>
      </w:r>
      <w:r w:rsidR="00D72952">
        <w:rPr>
          <w:rFonts w:ascii="Arial" w:hAnsi="Arial" w:cs="Arial"/>
          <w:sz w:val="24"/>
          <w:szCs w:val="26"/>
        </w:rPr>
        <w:t>l</w:t>
      </w:r>
      <w:r w:rsidRPr="00F51123">
        <w:rPr>
          <w:rFonts w:ascii="Arial" w:hAnsi="Arial" w:cs="Arial"/>
          <w:sz w:val="24"/>
          <w:szCs w:val="26"/>
        </w:rPr>
        <w:t xml:space="preserve"> Ministerio Público, eludiendo los conceptos que prevé el artículo 54 fracción I de la Ley de Pensiones para los Trabajadores del Gobierno del Estado, el cual establece: </w:t>
      </w:r>
    </w:p>
    <w:p w14:paraId="2264C3FE" w14:textId="77777777" w:rsidR="000534BC" w:rsidRPr="000534BC" w:rsidRDefault="000666A7" w:rsidP="000534BC">
      <w:pPr>
        <w:spacing w:before="240" w:after="0"/>
        <w:ind w:left="1134" w:right="616"/>
        <w:jc w:val="both"/>
        <w:rPr>
          <w:rFonts w:ascii="Arial" w:hAnsi="Arial" w:cs="Arial"/>
          <w:b/>
          <w:i/>
          <w:szCs w:val="24"/>
        </w:rPr>
      </w:pPr>
      <w:r w:rsidRPr="00F51123">
        <w:rPr>
          <w:rFonts w:ascii="Arial" w:hAnsi="Arial" w:cs="Arial"/>
          <w:i/>
          <w:sz w:val="24"/>
          <w:szCs w:val="26"/>
        </w:rPr>
        <w:t>“</w:t>
      </w:r>
      <w:r w:rsidR="000534BC" w:rsidRPr="000534BC">
        <w:rPr>
          <w:rFonts w:ascii="Arial" w:hAnsi="Arial" w:cs="Arial"/>
          <w:b/>
          <w:i/>
          <w:szCs w:val="24"/>
        </w:rPr>
        <w:t xml:space="preserve">ARTÍCULO 54.- Al monto resultante de la pensión señalada en el artículo anterior, se integrarán las prestaciones siguientes: </w:t>
      </w:r>
    </w:p>
    <w:p w14:paraId="0A00A3D7" w14:textId="48DB5BFD" w:rsidR="000666A7" w:rsidRPr="00F51123" w:rsidRDefault="000534BC" w:rsidP="000534BC">
      <w:pPr>
        <w:spacing w:before="240" w:after="0"/>
        <w:ind w:left="1134" w:right="616"/>
        <w:jc w:val="both"/>
        <w:rPr>
          <w:rFonts w:ascii="Arial" w:hAnsi="Arial" w:cs="Arial"/>
          <w:i/>
          <w:szCs w:val="24"/>
        </w:rPr>
      </w:pPr>
      <w:r w:rsidRPr="000534BC">
        <w:rPr>
          <w:rFonts w:ascii="Arial" w:hAnsi="Arial" w:cs="Arial"/>
          <w:b/>
          <w:i/>
          <w:szCs w:val="24"/>
        </w:rPr>
        <w:t xml:space="preserve">I. Jubilados: tratándose solo de aquéllos que fueron trabajadores de base o confianza se integrarán la previsión social múltiple, despensa, vida cara, quinquenios, aguinaldo, estímulo del día del jubilado, día de las madres y canasta navideña </w:t>
      </w:r>
      <w:r w:rsidR="000666A7" w:rsidRPr="00F51123">
        <w:rPr>
          <w:rFonts w:ascii="Arial" w:hAnsi="Arial" w:cs="Arial"/>
          <w:i/>
          <w:szCs w:val="24"/>
        </w:rPr>
        <w:t>(…)”</w:t>
      </w:r>
    </w:p>
    <w:p w14:paraId="559A3636" w14:textId="216B7CED" w:rsidR="000666A7" w:rsidRPr="00F51123" w:rsidRDefault="000666A7" w:rsidP="000666A7">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Dicho artículo señala, que los </w:t>
      </w:r>
      <w:r w:rsidRPr="00F51123">
        <w:rPr>
          <w:rFonts w:ascii="Arial" w:hAnsi="Arial" w:cs="Arial"/>
          <w:b/>
          <w:sz w:val="24"/>
          <w:szCs w:val="26"/>
        </w:rPr>
        <w:t>trabajadores jubilados de base</w:t>
      </w:r>
      <w:r w:rsidR="000534BC">
        <w:rPr>
          <w:rFonts w:ascii="Arial" w:hAnsi="Arial" w:cs="Arial"/>
          <w:b/>
          <w:sz w:val="24"/>
          <w:szCs w:val="26"/>
        </w:rPr>
        <w:t xml:space="preserve"> y confianza</w:t>
      </w:r>
      <w:r w:rsidRPr="00F51123">
        <w:rPr>
          <w:rFonts w:ascii="Arial" w:hAnsi="Arial" w:cs="Arial"/>
          <w:b/>
          <w:sz w:val="24"/>
          <w:szCs w:val="26"/>
        </w:rPr>
        <w:t xml:space="preserv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w:t>
      </w:r>
      <w:r w:rsidR="000534BC" w:rsidRPr="00F51123">
        <w:rPr>
          <w:rFonts w:ascii="Arial" w:hAnsi="Arial" w:cs="Arial"/>
          <w:sz w:val="24"/>
          <w:szCs w:val="26"/>
        </w:rPr>
        <w:t>refirié</w:t>
      </w:r>
      <w:r w:rsidR="000534BC">
        <w:rPr>
          <w:rFonts w:ascii="Arial" w:hAnsi="Arial" w:cs="Arial"/>
          <w:sz w:val="24"/>
          <w:szCs w:val="26"/>
        </w:rPr>
        <w:t>ndose</w:t>
      </w:r>
      <w:r w:rsidRPr="00F51123">
        <w:rPr>
          <w:rFonts w:ascii="Arial" w:hAnsi="Arial" w:cs="Arial"/>
          <w:sz w:val="24"/>
          <w:szCs w:val="26"/>
        </w:rPr>
        <w:t xml:space="preserve"> expresamente a los </w:t>
      </w:r>
      <w:r w:rsidRPr="00F51123">
        <w:rPr>
          <w:rFonts w:ascii="Arial" w:hAnsi="Arial" w:cs="Arial"/>
          <w:b/>
          <w:sz w:val="24"/>
          <w:szCs w:val="26"/>
        </w:rPr>
        <w:t>trabajadores jubilados de confianza</w:t>
      </w:r>
      <w:r w:rsidR="000534BC">
        <w:rPr>
          <w:rFonts w:ascii="Arial" w:hAnsi="Arial" w:cs="Arial"/>
          <w:b/>
          <w:sz w:val="24"/>
          <w:szCs w:val="26"/>
        </w:rPr>
        <w:t xml:space="preserve">, </w:t>
      </w:r>
      <w:r w:rsidR="000534BC" w:rsidRPr="000534BC">
        <w:rPr>
          <w:rFonts w:ascii="Arial" w:hAnsi="Arial" w:cs="Arial"/>
          <w:bCs/>
          <w:sz w:val="24"/>
          <w:szCs w:val="26"/>
        </w:rPr>
        <w:t>sin distinción alguna.</w:t>
      </w:r>
    </w:p>
    <w:p w14:paraId="181E9DEC" w14:textId="7652F754" w:rsidR="000666A7" w:rsidRPr="00F51123" w:rsidRDefault="000534BC" w:rsidP="000666A7">
      <w:pPr>
        <w:spacing w:before="240" w:after="0" w:line="360" w:lineRule="auto"/>
        <w:ind w:firstLine="567"/>
        <w:jc w:val="both"/>
        <w:rPr>
          <w:rFonts w:ascii="Arial" w:hAnsi="Arial" w:cs="Arial"/>
          <w:sz w:val="24"/>
          <w:szCs w:val="26"/>
        </w:rPr>
      </w:pPr>
      <w:r>
        <w:rPr>
          <w:rFonts w:ascii="Arial" w:hAnsi="Arial" w:cs="Arial"/>
          <w:sz w:val="24"/>
          <w:szCs w:val="26"/>
        </w:rPr>
        <w:t>Así mismo</w:t>
      </w:r>
      <w:r w:rsidR="000666A7" w:rsidRPr="00F51123">
        <w:rPr>
          <w:rFonts w:ascii="Arial" w:hAnsi="Arial" w:cs="Arial"/>
          <w:sz w:val="24"/>
          <w:szCs w:val="26"/>
        </w:rPr>
        <w:t>, resulta trascendental tomar en cuenta lo dispuesto por el artículo 1° de la Constitución Política de los Estados Unidos Mexicanos, que en sus párrafos primero, segundo y quinto establece:</w:t>
      </w:r>
    </w:p>
    <w:p w14:paraId="699D1437" w14:textId="77777777" w:rsidR="000666A7" w:rsidRPr="00F51123" w:rsidRDefault="000666A7" w:rsidP="000666A7">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A1D65A3" w14:textId="77777777" w:rsidR="000666A7" w:rsidRPr="00F51123" w:rsidRDefault="000666A7" w:rsidP="000666A7">
      <w:pPr>
        <w:spacing w:after="0"/>
        <w:ind w:left="567" w:right="616" w:firstLine="567"/>
        <w:jc w:val="both"/>
        <w:rPr>
          <w:rFonts w:ascii="Arial" w:hAnsi="Arial" w:cs="Arial"/>
          <w:i/>
        </w:rPr>
      </w:pPr>
    </w:p>
    <w:p w14:paraId="64D0E804" w14:textId="77777777" w:rsidR="000666A7" w:rsidRPr="00F51123" w:rsidRDefault="000666A7" w:rsidP="000666A7">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3D61DE6F" w14:textId="77777777" w:rsidR="000666A7" w:rsidRPr="00F51123" w:rsidRDefault="000666A7" w:rsidP="000666A7">
      <w:pPr>
        <w:spacing w:after="0"/>
        <w:ind w:left="1134" w:right="616"/>
        <w:jc w:val="both"/>
        <w:rPr>
          <w:rFonts w:ascii="Arial" w:hAnsi="Arial" w:cs="Arial"/>
          <w:i/>
        </w:rPr>
      </w:pPr>
      <w:r w:rsidRPr="00F51123">
        <w:rPr>
          <w:rFonts w:ascii="Arial" w:hAnsi="Arial" w:cs="Arial"/>
          <w:i/>
        </w:rPr>
        <w:t>(…)</w:t>
      </w:r>
    </w:p>
    <w:p w14:paraId="6E9F2143" w14:textId="77777777" w:rsidR="000666A7" w:rsidRPr="00F51123" w:rsidRDefault="000666A7" w:rsidP="000666A7">
      <w:pPr>
        <w:tabs>
          <w:tab w:val="left" w:pos="8222"/>
        </w:tabs>
        <w:spacing w:before="240" w:after="0"/>
        <w:ind w:left="1134" w:right="616"/>
        <w:jc w:val="both"/>
        <w:rPr>
          <w:rFonts w:ascii="Arial" w:hAnsi="Arial" w:cs="Arial"/>
          <w:i/>
        </w:rPr>
      </w:pPr>
      <w:r w:rsidRPr="00F51123">
        <w:rPr>
          <w:rFonts w:ascii="Arial" w:hAnsi="Arial" w:cs="Arial"/>
          <w:i/>
        </w:rPr>
        <w:lastRenderedPageBreak/>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69CBF87B" w14:textId="15980BAC" w:rsidR="000666A7" w:rsidRPr="00F51123" w:rsidRDefault="000666A7" w:rsidP="000666A7">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Pr>
          <w:rFonts w:ascii="Arial" w:hAnsi="Arial" w:cs="Arial"/>
          <w:sz w:val="24"/>
          <w:szCs w:val="26"/>
        </w:rPr>
        <w:t xml:space="preserve"> como lo alega la parte actora</w:t>
      </w:r>
      <w:r w:rsidRPr="00F51123">
        <w:rPr>
          <w:rFonts w:ascii="Arial" w:hAnsi="Arial" w:cs="Arial"/>
          <w:sz w:val="24"/>
          <w:szCs w:val="26"/>
        </w:rPr>
        <w:t xml:space="preserve"> por lo </w:t>
      </w:r>
      <w:r w:rsidR="003D6C3A" w:rsidRPr="00F51123">
        <w:rPr>
          <w:rFonts w:ascii="Arial" w:hAnsi="Arial" w:cs="Arial"/>
          <w:sz w:val="24"/>
          <w:szCs w:val="26"/>
        </w:rPr>
        <w:t>que,</w:t>
      </w:r>
      <w:r w:rsidRPr="00F51123">
        <w:rPr>
          <w:rFonts w:ascii="Arial" w:hAnsi="Arial" w:cs="Arial"/>
          <w:sz w:val="24"/>
          <w:szCs w:val="26"/>
        </w:rPr>
        <w:t xml:space="preserve"> para el efecto de cumplimentar dicha consagración constitucional, en la materia que se analiza (pensión por jubilación) al aplicarse la Ley de Pensiones para resolver al respecto, esta debe </w:t>
      </w:r>
      <w:r w:rsidR="000534BC">
        <w:rPr>
          <w:rFonts w:ascii="Arial" w:hAnsi="Arial" w:cs="Arial"/>
          <w:sz w:val="24"/>
          <w:szCs w:val="26"/>
        </w:rPr>
        <w:t>aplicarse</w:t>
      </w:r>
      <w:r w:rsidRPr="00F51123">
        <w:rPr>
          <w:rFonts w:ascii="Arial" w:hAnsi="Arial" w:cs="Arial"/>
          <w:sz w:val="24"/>
          <w:szCs w:val="26"/>
        </w:rPr>
        <w:t xml:space="preserve"> de forma amplia en el sentido que más beneficia a la solicitante de la jubilación.</w:t>
      </w:r>
    </w:p>
    <w:p w14:paraId="51086B50" w14:textId="77777777" w:rsidR="000666A7" w:rsidRPr="00F51123" w:rsidRDefault="000666A7" w:rsidP="000666A7">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Pr="00F51123">
        <w:rPr>
          <w:rFonts w:ascii="Arial" w:hAnsi="Arial" w:cs="Arial"/>
          <w:sz w:val="24"/>
          <w:szCs w:val="26"/>
        </w:rPr>
        <w:t xml:space="preserve">, tomando en consideración el artículo 54 fracción I de la Ley de Pensiones para los Trabajadores del Gobierno del Estado de Oaxaca, y con la finalidad de otorgar el mayor beneficio al solicitante de la pensión, al resolverse lo correspondiente, dicho artículo 54, debe realizarse de </w:t>
      </w:r>
      <w:r w:rsidRPr="00F51123">
        <w:rPr>
          <w:rFonts w:ascii="Arial" w:hAnsi="Arial" w:cs="Arial"/>
          <w:b/>
          <w:sz w:val="24"/>
          <w:szCs w:val="26"/>
        </w:rPr>
        <w:t>forma extensiva,</w:t>
      </w:r>
      <w:r w:rsidRPr="00F51123">
        <w:rPr>
          <w:rFonts w:ascii="Arial" w:hAnsi="Arial" w:cs="Arial"/>
          <w:sz w:val="24"/>
          <w:szCs w:val="26"/>
        </w:rPr>
        <w:t xml:space="preserve"> para no transgredir derechos humanos, </w:t>
      </w:r>
      <w:r w:rsidRPr="00F51123">
        <w:rPr>
          <w:rFonts w:ascii="Arial" w:hAnsi="Arial" w:cs="Arial"/>
          <w:b/>
          <w:sz w:val="24"/>
          <w:szCs w:val="26"/>
        </w:rPr>
        <w:t>otorgando</w:t>
      </w:r>
      <w:r w:rsidRPr="00F51123">
        <w:rPr>
          <w:rFonts w:ascii="Arial" w:hAnsi="Arial" w:cs="Arial"/>
          <w:sz w:val="24"/>
          <w:szCs w:val="26"/>
        </w:rPr>
        <w:t xml:space="preserve"> la protección más amplia  a la que tienen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F51123">
        <w:rPr>
          <w:rFonts w:ascii="Arial" w:hAnsi="Arial" w:cs="Arial"/>
          <w:b/>
          <w:sz w:val="24"/>
          <w:szCs w:val="26"/>
        </w:rPr>
        <w:t>principio pro-persona.</w:t>
      </w:r>
    </w:p>
    <w:p w14:paraId="4B09B3BA" w14:textId="77777777" w:rsidR="000666A7" w:rsidRPr="00F51123" w:rsidRDefault="000666A7" w:rsidP="000666A7">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4E40D457" w14:textId="77777777" w:rsidR="000666A7" w:rsidRPr="00F51123" w:rsidRDefault="000666A7" w:rsidP="000666A7">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w:t>
      </w:r>
      <w:r w:rsidRPr="00F51123">
        <w:rPr>
          <w:rFonts w:ascii="Arial" w:hAnsi="Arial" w:cs="Arial"/>
          <w:i/>
        </w:rPr>
        <w:lastRenderedPageBreak/>
        <w:t xml:space="preserve">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F51123">
        <w:rPr>
          <w:rFonts w:ascii="Arial" w:hAnsi="Arial" w:cs="Arial"/>
          <w:i/>
        </w:rPr>
        <w:t>pro</w:t>
      </w:r>
      <w:proofErr w:type="spellEnd"/>
      <w:r w:rsidRPr="00F51123">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281EEB6B" w14:textId="2438CBAC" w:rsidR="000666A7" w:rsidRPr="00F51123" w:rsidRDefault="000666A7" w:rsidP="000666A7">
      <w:pPr>
        <w:spacing w:before="240" w:after="0" w:line="360" w:lineRule="auto"/>
        <w:ind w:firstLine="567"/>
        <w:jc w:val="both"/>
        <w:rPr>
          <w:rFonts w:ascii="Arial" w:hAnsi="Arial" w:cs="Arial"/>
          <w:sz w:val="24"/>
          <w:szCs w:val="26"/>
        </w:rPr>
      </w:pPr>
      <w:r w:rsidRPr="00F51123">
        <w:rPr>
          <w:rFonts w:ascii="Arial" w:hAnsi="Arial" w:cs="Arial"/>
          <w:sz w:val="24"/>
          <w:szCs w:val="26"/>
        </w:rPr>
        <w:t>En atención a las consideraciones plasmadas y a los criterios citados, resulta evidente, que la determinación contenida en el oficio</w:t>
      </w:r>
      <w:r w:rsidRPr="00F51123">
        <w:rPr>
          <w:rFonts w:ascii="Arial" w:hAnsi="Arial" w:cs="Arial"/>
          <w:b/>
          <w:sz w:val="24"/>
          <w:szCs w:val="26"/>
        </w:rPr>
        <w:t xml:space="preserve"> </w:t>
      </w:r>
      <w:r w:rsidR="00AE711B">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196E89">
        <w:rPr>
          <w:rFonts w:ascii="Arial" w:hAnsi="Arial" w:cs="Arial"/>
          <w:sz w:val="24"/>
          <w:szCs w:val="26"/>
        </w:rPr>
        <w:t>un</w:t>
      </w:r>
      <w:r w:rsidR="0025699C">
        <w:rPr>
          <w:rFonts w:ascii="Arial" w:hAnsi="Arial" w:cs="Arial"/>
          <w:sz w:val="24"/>
          <w:szCs w:val="26"/>
        </w:rPr>
        <w:t>o de julio de dos mil veintiuno</w:t>
      </w:r>
      <w:r w:rsidRPr="00F51123">
        <w:rPr>
          <w:rFonts w:ascii="Arial" w:hAnsi="Arial" w:cs="Arial"/>
          <w:sz w:val="24"/>
          <w:szCs w:val="26"/>
        </w:rPr>
        <w:t xml:space="preserve">, emitido por </w:t>
      </w:r>
      <w:r w:rsidRPr="00F51123">
        <w:rPr>
          <w:rFonts w:ascii="Arial" w:hAnsi="Arial" w:cs="Arial"/>
          <w:b/>
          <w:sz w:val="24"/>
          <w:szCs w:val="26"/>
        </w:rPr>
        <w:t xml:space="preserve">el Director General de la Oficina de Pensiones del Gobierno del Estado de Oaxaca, </w:t>
      </w:r>
      <w:r w:rsidRPr="00F51123">
        <w:rPr>
          <w:rFonts w:ascii="Arial" w:hAnsi="Arial" w:cs="Arial"/>
          <w:sz w:val="24"/>
          <w:szCs w:val="26"/>
        </w:rPr>
        <w:t>al ejecutar el acuerdo del Consejo Directivo de la Oficina indicada, dejó de considerar y hacer una interpretación adecuada del artículo 54 fracción I de la Ley de Pensiones para los Trabajadores del Gobierno del Estado, pues al interpretarla de forma restringida, negó a la actora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F51123">
        <w:rPr>
          <w:rFonts w:ascii="Arial" w:hAnsi="Arial" w:cs="Arial"/>
          <w:i/>
          <w:szCs w:val="24"/>
        </w:rPr>
        <w:t>Todas las personas son iguales ante la ley. En consecuencia, tienen derecho, sin discriminación, a igual protección de la ley</w:t>
      </w:r>
      <w:r w:rsidRPr="00F51123">
        <w:rPr>
          <w:rFonts w:ascii="Arial" w:hAnsi="Arial" w:cs="Arial"/>
          <w:sz w:val="24"/>
          <w:szCs w:val="26"/>
        </w:rPr>
        <w:t>”.</w:t>
      </w:r>
    </w:p>
    <w:p w14:paraId="073AB754" w14:textId="7B44E110" w:rsidR="000666A7" w:rsidRDefault="000666A7" w:rsidP="0032759E">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F51123">
        <w:rPr>
          <w:rFonts w:ascii="Arial" w:hAnsi="Arial" w:cs="Arial"/>
          <w:b/>
          <w:sz w:val="24"/>
          <w:szCs w:val="26"/>
        </w:rPr>
        <w:t>ordenar</w:t>
      </w:r>
      <w:r w:rsidRPr="00F51123">
        <w:rPr>
          <w:rFonts w:ascii="Arial" w:hAnsi="Arial" w:cs="Arial"/>
          <w:sz w:val="24"/>
          <w:szCs w:val="26"/>
        </w:rPr>
        <w:t xml:space="preserve"> a la autoridad demandada, </w:t>
      </w:r>
      <w:r w:rsidRPr="00F51123">
        <w:rPr>
          <w:rFonts w:ascii="Arial" w:hAnsi="Arial" w:cs="Arial"/>
          <w:b/>
          <w:sz w:val="24"/>
          <w:szCs w:val="26"/>
        </w:rPr>
        <w:t xml:space="preserve">realice </w:t>
      </w:r>
      <w:r w:rsidRPr="00F51123">
        <w:rPr>
          <w:rFonts w:ascii="Arial" w:hAnsi="Arial" w:cs="Arial"/>
          <w:sz w:val="24"/>
          <w:szCs w:val="26"/>
          <w:u w:val="single"/>
        </w:rPr>
        <w:t xml:space="preserve">una interpretación extensiva del artículo 54 fracción I de la Ley de Pensiones para los Trabajadores del Gobierno del Estado de Oaxaca, </w:t>
      </w:r>
      <w:r w:rsidRPr="00F51123">
        <w:rPr>
          <w:rFonts w:ascii="Arial" w:hAnsi="Arial" w:cs="Arial"/>
          <w:noProof/>
          <w:sz w:val="24"/>
          <w:szCs w:val="26"/>
          <w:u w:val="single"/>
        </w:rPr>
        <w:t>en beneficio de la parte actora</w:t>
      </w:r>
      <w:r w:rsidRPr="00F51123">
        <w:rPr>
          <w:rFonts w:ascii="Arial" w:hAnsi="Arial" w:cs="Arial"/>
          <w:noProof/>
          <w:sz w:val="24"/>
          <w:szCs w:val="26"/>
        </w:rPr>
        <w:t>, de tal forma que se le otorgue</w:t>
      </w:r>
      <w:r w:rsidRPr="00F51123">
        <w:rPr>
          <w:rFonts w:ascii="Arial" w:hAnsi="Arial" w:cs="Arial"/>
          <w:b/>
          <w:noProof/>
          <w:sz w:val="24"/>
          <w:szCs w:val="26"/>
        </w:rPr>
        <w:t xml:space="preserve"> </w:t>
      </w:r>
      <w:r w:rsidRPr="00F51123">
        <w:rPr>
          <w:rFonts w:ascii="Arial" w:hAnsi="Arial" w:cs="Arial"/>
          <w:noProof/>
          <w:sz w:val="24"/>
          <w:szCs w:val="26"/>
        </w:rPr>
        <w:t xml:space="preserve">el pago de pensión por jubilación, incluyendo el </w:t>
      </w:r>
      <w:r w:rsidRPr="00F51123">
        <w:rPr>
          <w:rFonts w:ascii="Arial" w:hAnsi="Arial" w:cs="Arial"/>
          <w:b/>
          <w:bCs/>
          <w:noProof/>
          <w:sz w:val="24"/>
          <w:szCs w:val="26"/>
        </w:rPr>
        <w:t>sueldo base</w:t>
      </w:r>
      <w:r w:rsidRPr="00F51123">
        <w:rPr>
          <w:rFonts w:ascii="Arial" w:hAnsi="Arial" w:cs="Arial"/>
          <w:noProof/>
          <w:sz w:val="24"/>
          <w:szCs w:val="26"/>
        </w:rPr>
        <w:t xml:space="preserve">, así como las mismas prestaciones otorgadas para los </w:t>
      </w:r>
      <w:r w:rsidRPr="00F51123">
        <w:rPr>
          <w:rFonts w:ascii="Arial" w:hAnsi="Arial" w:cs="Arial"/>
          <w:b/>
          <w:bCs/>
          <w:noProof/>
          <w:sz w:val="24"/>
          <w:szCs w:val="26"/>
        </w:rPr>
        <w:t>trabajadores de base</w:t>
      </w:r>
      <w:r w:rsidRPr="00F51123">
        <w:rPr>
          <w:rFonts w:ascii="Arial" w:hAnsi="Arial" w:cs="Arial"/>
          <w:noProof/>
          <w:sz w:val="24"/>
          <w:szCs w:val="26"/>
        </w:rPr>
        <w:t xml:space="preserve"> consistentes en: la previsión social múltiple, despensa, vida cara, quinquenios, aguinaldo, estímulo del día del jubilado, día de las madres y canasta navideña. </w:t>
      </w:r>
      <w:r>
        <w:rPr>
          <w:rFonts w:ascii="Arial" w:hAnsi="Arial" w:cs="Arial"/>
          <w:noProof/>
          <w:sz w:val="24"/>
          <w:szCs w:val="26"/>
        </w:rPr>
        <w:t xml:space="preserve">    </w:t>
      </w:r>
    </w:p>
    <w:p w14:paraId="4A827A04" w14:textId="60E46153" w:rsidR="00EA73CE" w:rsidRDefault="00EA73CE" w:rsidP="00EA73CE">
      <w:pPr>
        <w:spacing w:before="240" w:after="0" w:line="360" w:lineRule="auto"/>
        <w:ind w:firstLine="567"/>
        <w:jc w:val="both"/>
        <w:rPr>
          <w:rFonts w:ascii="Arial" w:hAnsi="Arial" w:cs="Arial"/>
          <w:noProof/>
          <w:sz w:val="24"/>
          <w:szCs w:val="26"/>
        </w:rPr>
      </w:pPr>
      <w:r>
        <w:rPr>
          <w:rFonts w:ascii="Arial" w:hAnsi="Arial" w:cs="Arial"/>
          <w:noProof/>
          <w:sz w:val="24"/>
          <w:szCs w:val="26"/>
        </w:rPr>
        <w:lastRenderedPageBreak/>
        <w:t>Ahora bien</w:t>
      </w:r>
      <w:r w:rsidRPr="00E10706">
        <w:rPr>
          <w:rFonts w:ascii="Arial" w:hAnsi="Arial" w:cs="Arial"/>
          <w:noProof/>
          <w:sz w:val="24"/>
          <w:szCs w:val="26"/>
        </w:rPr>
        <w:t>,</w:t>
      </w:r>
      <w:r>
        <w:rPr>
          <w:rFonts w:ascii="Arial" w:hAnsi="Arial" w:cs="Arial"/>
          <w:noProof/>
          <w:sz w:val="24"/>
          <w:szCs w:val="26"/>
        </w:rPr>
        <w:t>cabe señalar que</w:t>
      </w:r>
      <w:r w:rsidRPr="00E10706">
        <w:rPr>
          <w:rFonts w:ascii="Arial" w:hAnsi="Arial" w:cs="Arial"/>
          <w:noProof/>
          <w:sz w:val="24"/>
          <w:szCs w:val="26"/>
        </w:rPr>
        <w:t xml:space="preserve"> la pensión por jubilación</w:t>
      </w:r>
      <w:r>
        <w:rPr>
          <w:rFonts w:ascii="Arial" w:hAnsi="Arial" w:cs="Arial"/>
          <w:noProof/>
          <w:sz w:val="24"/>
          <w:szCs w:val="26"/>
        </w:rPr>
        <w:t>,</w:t>
      </w:r>
      <w:r w:rsidRPr="00E10706">
        <w:rPr>
          <w:rFonts w:ascii="Arial" w:hAnsi="Arial" w:cs="Arial"/>
          <w:noProof/>
          <w:sz w:val="24"/>
          <w:szCs w:val="26"/>
        </w:rPr>
        <w:t xml:space="preserve"> se conforma por las prestaciones contempladas en el artículo 54 fracción I, de la ley antes señalada que son: </w:t>
      </w:r>
      <w:r w:rsidRPr="00E10706">
        <w:rPr>
          <w:rFonts w:ascii="Arial" w:hAnsi="Arial" w:cs="Arial"/>
          <w:i/>
          <w:iCs/>
          <w:noProof/>
          <w:sz w:val="24"/>
          <w:szCs w:val="26"/>
        </w:rPr>
        <w:t xml:space="preserve">“la previsión social múltiple, despensa, vida cara, </w:t>
      </w:r>
      <w:r w:rsidRPr="00EE63BF">
        <w:rPr>
          <w:rFonts w:ascii="Arial" w:hAnsi="Arial" w:cs="Arial"/>
          <w:i/>
          <w:iCs/>
          <w:noProof/>
          <w:sz w:val="24"/>
          <w:szCs w:val="26"/>
        </w:rPr>
        <w:t>quinquenios, aguinaldo, estímulo del día del jubilado, día de las madres y canasta navideña”</w:t>
      </w:r>
      <w:r w:rsidRPr="00EE63BF">
        <w:rPr>
          <w:rFonts w:ascii="Arial" w:hAnsi="Arial" w:cs="Arial"/>
          <w:noProof/>
          <w:sz w:val="24"/>
          <w:szCs w:val="26"/>
        </w:rPr>
        <w:t xml:space="preserve">; dentro de las cuales como se aprecia no se encuentran las percepciones consistentes en A.S.R.S.P.J (clave 50) y A.S.R.S.P.J (C), que se observan en </w:t>
      </w:r>
      <w:r>
        <w:rPr>
          <w:rFonts w:ascii="Arial" w:hAnsi="Arial" w:cs="Arial"/>
          <w:noProof/>
          <w:sz w:val="24"/>
          <w:szCs w:val="26"/>
        </w:rPr>
        <w:t xml:space="preserve">el talon </w:t>
      </w:r>
      <w:r w:rsidRPr="00EE63BF">
        <w:rPr>
          <w:rFonts w:ascii="Arial" w:hAnsi="Arial" w:cs="Arial"/>
          <w:noProof/>
          <w:sz w:val="24"/>
          <w:szCs w:val="26"/>
        </w:rPr>
        <w:t>d</w:t>
      </w:r>
      <w:r>
        <w:rPr>
          <w:rFonts w:ascii="Arial" w:hAnsi="Arial" w:cs="Arial"/>
          <w:noProof/>
          <w:sz w:val="24"/>
          <w:szCs w:val="26"/>
        </w:rPr>
        <w:t>e pago de la parte actora visto</w:t>
      </w:r>
      <w:r w:rsidRPr="00EE63BF">
        <w:rPr>
          <w:rFonts w:ascii="Arial" w:hAnsi="Arial" w:cs="Arial"/>
          <w:noProof/>
          <w:sz w:val="24"/>
          <w:szCs w:val="26"/>
        </w:rPr>
        <w:t xml:space="preserve"> a</w:t>
      </w:r>
      <w:r>
        <w:rPr>
          <w:rFonts w:ascii="Arial" w:hAnsi="Arial" w:cs="Arial"/>
          <w:noProof/>
          <w:sz w:val="24"/>
          <w:szCs w:val="26"/>
        </w:rPr>
        <w:t xml:space="preserve"> foja</w:t>
      </w:r>
      <w:r w:rsidRPr="00EE63BF">
        <w:rPr>
          <w:rFonts w:ascii="Arial" w:hAnsi="Arial" w:cs="Arial"/>
          <w:noProof/>
          <w:sz w:val="24"/>
          <w:szCs w:val="26"/>
        </w:rPr>
        <w:t xml:space="preserve"> </w:t>
      </w:r>
      <w:r>
        <w:rPr>
          <w:rFonts w:ascii="Arial" w:hAnsi="Arial" w:cs="Arial"/>
          <w:noProof/>
          <w:sz w:val="24"/>
          <w:szCs w:val="26"/>
        </w:rPr>
        <w:t xml:space="preserve">13 del presente expediente, al </w:t>
      </w:r>
      <w:r w:rsidRPr="00EE63BF">
        <w:rPr>
          <w:rFonts w:ascii="Arial" w:hAnsi="Arial" w:cs="Arial"/>
          <w:noProof/>
          <w:sz w:val="24"/>
          <w:szCs w:val="26"/>
        </w:rPr>
        <w:t>que se les otorga valor probatorio pleno, de conformidad con el artículo 203, fracción I, de la Ley de Procedimiento y Justicia Administrativa para el Estado de Oaxaca;  esto es así, porque son prestaciones a las que s</w:t>
      </w:r>
      <w:r>
        <w:rPr>
          <w:rFonts w:ascii="Arial" w:hAnsi="Arial" w:cs="Arial"/>
          <w:noProof/>
          <w:sz w:val="24"/>
          <w:szCs w:val="26"/>
        </w:rPr>
        <w:t>ó</w:t>
      </w:r>
      <w:r w:rsidRPr="00EE63BF">
        <w:rPr>
          <w:rFonts w:ascii="Arial" w:hAnsi="Arial" w:cs="Arial"/>
          <w:noProof/>
          <w:sz w:val="24"/>
          <w:szCs w:val="26"/>
        </w:rPr>
        <w:t>lo tienen derecho los trabajadores que todav</w:t>
      </w:r>
      <w:r>
        <w:rPr>
          <w:rFonts w:ascii="Arial" w:hAnsi="Arial" w:cs="Arial"/>
          <w:noProof/>
          <w:sz w:val="24"/>
          <w:szCs w:val="26"/>
        </w:rPr>
        <w:t>í</w:t>
      </w:r>
      <w:r w:rsidRPr="00EE63BF">
        <w:rPr>
          <w:rFonts w:ascii="Arial" w:hAnsi="Arial" w:cs="Arial"/>
          <w:noProof/>
          <w:sz w:val="24"/>
          <w:szCs w:val="26"/>
        </w:rPr>
        <w:t xml:space="preserve">a se encuentran activos, ya que les son otorgadas a cambio del trabajo que se encuentran realizando, situación que en este caso ya no se actualiza, en razón que la parte actora actualmente está jubilada, conforme a lo establecido en la Ley de Pensiones para los Trabajadores del Gobierno del Estado de Oaxaca que </w:t>
      </w:r>
      <w:r w:rsidRPr="00E10706">
        <w:rPr>
          <w:rFonts w:ascii="Arial" w:hAnsi="Arial" w:cs="Arial"/>
          <w:noProof/>
          <w:sz w:val="24"/>
          <w:szCs w:val="26"/>
        </w:rPr>
        <w:t>es la ley que reglamenta el régimen de seguridad social que garantiza el bienestar de los jubilados</w:t>
      </w:r>
      <w:r>
        <w:rPr>
          <w:rFonts w:ascii="Arial" w:hAnsi="Arial" w:cs="Arial"/>
          <w:noProof/>
          <w:sz w:val="24"/>
          <w:szCs w:val="26"/>
        </w:rPr>
        <w:t>; esto se debe a que la pensión por jubilación no sustituye de manera íntegra y equivalente el ingreso de los trabajadores en activo; teniendo como sustento para ello, la jurisprudencia de la Décima Época, con número de registro 2008509, de la Segunda Sala, publicada en el Seminario Judicial de la Federación y su Gaceta; Libro 15, Febrero de 2015, Tomo II de rubro y texto siguiente:</w:t>
      </w:r>
    </w:p>
    <w:p w14:paraId="0A8FCAFE" w14:textId="77777777" w:rsidR="00EA73CE" w:rsidRPr="00EA73CE" w:rsidRDefault="00EA73CE" w:rsidP="00EA73CE">
      <w:pPr>
        <w:pStyle w:val="NormalWeb"/>
        <w:shd w:val="clear" w:color="auto" w:fill="FFFFFF"/>
        <w:spacing w:line="276" w:lineRule="auto"/>
        <w:ind w:left="567" w:right="758"/>
        <w:jc w:val="both"/>
        <w:rPr>
          <w:rFonts w:ascii="Arial" w:hAnsi="Arial" w:cs="Arial"/>
          <w:b/>
          <w:bCs/>
          <w:i/>
          <w:iCs/>
          <w:sz w:val="22"/>
          <w:szCs w:val="22"/>
        </w:rPr>
      </w:pPr>
      <w:r w:rsidRPr="00EA73CE">
        <w:rPr>
          <w:rFonts w:ascii="Arial" w:hAnsi="Arial" w:cs="Arial"/>
          <w:b/>
          <w:bCs/>
          <w:i/>
          <w:iCs/>
          <w:sz w:val="22"/>
          <w:szCs w:val="22"/>
        </w:rPr>
        <w:t xml:space="preserve">“PENSIONES. LA EXCLUSIÓN DE ALGUNAS PRESTACIONES QUE ORDINARIAMENTE PERCIBE EL TRABAJADOR EN ACTIVO EN EL SALARIO BASE DE COTIZACIÓN, NO VULNERA POR SÍ SOLA EL DERECHO A UNA VIDA DIGNA, A LA SALUD Y A LA ALIMENTACIÓN. </w:t>
      </w:r>
      <w:r w:rsidRPr="00EA73CE">
        <w:rPr>
          <w:rFonts w:ascii="Arial" w:hAnsi="Arial" w:cs="Arial"/>
          <w:i/>
          <w:iCs/>
          <w:sz w:val="22"/>
          <w:szCs w:val="22"/>
        </w:rPr>
        <w:t>Las normas constitucionales y convencionales que reconocen y protegen el derecho a la seguridad social no exigen que la pensión sustituya de manera íntegra y equivalente el ingreso de los trabajadores en activo, sino que fijan las bases mínimas para la integración de planes de seguridad social sostenibles que permiten prevenir y compensarles por la pérdida o disminución de su capacidad de ganancia, por lo que no es exigible que la sustitución del ingreso en esos casos sea plena. Por esa misma razón, las disposiciones legales que son acordes al derecho a la seguridad social, de las que deriva la exclusión de algunas prestaciones en particular que percibía el trabajador en activo en el salario base para calcular la cuota pensionaria no implican, por sí solas, el incumplimiento de la obligación del Estado de garantizar un nivel de vida adecuado, correlativo a los derechos humanos a una vida digna, a la salud y a la alimentación, reconocidos en el artículo </w:t>
      </w:r>
      <w:hyperlink r:id="rId6" w:history="1">
        <w:r w:rsidRPr="00EA73CE">
          <w:rPr>
            <w:rStyle w:val="Hipervnculo"/>
            <w:rFonts w:ascii="Arial" w:eastAsia="PMingLiU" w:hAnsi="Arial" w:cs="Arial"/>
            <w:b/>
            <w:bCs/>
            <w:i/>
            <w:iCs/>
            <w:color w:val="auto"/>
            <w:sz w:val="22"/>
            <w:szCs w:val="22"/>
          </w:rPr>
          <w:t>4o. de la Constitución Política de los Estados Unidos Mexicanos</w:t>
        </w:r>
      </w:hyperlink>
      <w:r w:rsidRPr="00EA73CE">
        <w:rPr>
          <w:rFonts w:ascii="Arial" w:hAnsi="Arial" w:cs="Arial"/>
          <w:i/>
          <w:iCs/>
          <w:sz w:val="22"/>
          <w:szCs w:val="22"/>
        </w:rPr>
        <w:t> y en los instrumentos internacionales, entre otros, en los artículos </w:t>
      </w:r>
      <w:hyperlink r:id="rId7" w:history="1">
        <w:r w:rsidRPr="00EA73CE">
          <w:rPr>
            <w:rStyle w:val="Hipervnculo"/>
            <w:rFonts w:ascii="Arial" w:eastAsia="PMingLiU" w:hAnsi="Arial" w:cs="Arial"/>
            <w:b/>
            <w:bCs/>
            <w:i/>
            <w:iCs/>
            <w:color w:val="auto"/>
            <w:sz w:val="22"/>
            <w:szCs w:val="22"/>
          </w:rPr>
          <w:t>11, numeral 1 y 12, numeral 1, del Pacto Internacional de Derechos Económicos, Sociales y Culturales</w:t>
        </w:r>
      </w:hyperlink>
      <w:r w:rsidRPr="00EA73CE">
        <w:rPr>
          <w:rFonts w:ascii="Arial" w:hAnsi="Arial" w:cs="Arial"/>
          <w:i/>
          <w:iCs/>
          <w:sz w:val="22"/>
          <w:szCs w:val="22"/>
        </w:rPr>
        <w:t>, así como </w:t>
      </w:r>
      <w:hyperlink r:id="rId8" w:history="1">
        <w:r w:rsidRPr="00EA73CE">
          <w:rPr>
            <w:rStyle w:val="Hipervnculo"/>
            <w:rFonts w:ascii="Arial" w:eastAsia="PMingLiU" w:hAnsi="Arial" w:cs="Arial"/>
            <w:b/>
            <w:bCs/>
            <w:i/>
            <w:iCs/>
            <w:color w:val="auto"/>
            <w:sz w:val="22"/>
            <w:szCs w:val="22"/>
          </w:rPr>
          <w:t xml:space="preserve">10, numeral </w:t>
        </w:r>
        <w:r w:rsidRPr="00EA73CE">
          <w:rPr>
            <w:rStyle w:val="Hipervnculo"/>
            <w:rFonts w:ascii="Arial" w:eastAsia="PMingLiU" w:hAnsi="Arial" w:cs="Arial"/>
            <w:b/>
            <w:bCs/>
            <w:i/>
            <w:iCs/>
            <w:color w:val="auto"/>
            <w:sz w:val="22"/>
            <w:szCs w:val="22"/>
          </w:rPr>
          <w:lastRenderedPageBreak/>
          <w:t>1 y 12, numeral 1, del Protocolo Adicional a la Convención Americana sobre Derechos Humanos en Materia de Derechos Económicos, Sociales y Culturales</w:t>
        </w:r>
      </w:hyperlink>
      <w:r w:rsidRPr="00EA73CE">
        <w:rPr>
          <w:rFonts w:ascii="Arial" w:hAnsi="Arial" w:cs="Arial"/>
          <w:i/>
          <w:iCs/>
          <w:sz w:val="22"/>
          <w:szCs w:val="22"/>
        </w:rPr>
        <w:t>.”</w:t>
      </w:r>
    </w:p>
    <w:p w14:paraId="78615EE5" w14:textId="2B5678EB" w:rsidR="00EA73CE" w:rsidRPr="00F51123" w:rsidRDefault="00EA73CE" w:rsidP="00EA73CE">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 Asimismo, el  </w:t>
      </w:r>
      <w:r w:rsidRPr="00F51123">
        <w:rPr>
          <w:rFonts w:ascii="Arial" w:hAnsi="Arial" w:cs="Arial"/>
          <w:noProof/>
          <w:sz w:val="24"/>
          <w:szCs w:val="26"/>
        </w:rPr>
        <w:t xml:space="preserve">artículo 54, </w:t>
      </w:r>
      <w:r>
        <w:rPr>
          <w:rFonts w:ascii="Arial" w:hAnsi="Arial" w:cs="Arial"/>
          <w:noProof/>
          <w:sz w:val="24"/>
          <w:szCs w:val="26"/>
        </w:rPr>
        <w:t xml:space="preserve"> en su </w:t>
      </w:r>
      <w:r w:rsidRPr="00F51123">
        <w:rPr>
          <w:rFonts w:ascii="Arial" w:hAnsi="Arial" w:cs="Arial"/>
          <w:noProof/>
          <w:sz w:val="24"/>
          <w:szCs w:val="26"/>
        </w:rPr>
        <w:t>párrafo tercero</w:t>
      </w:r>
      <w:r w:rsidRPr="00F51123">
        <w:rPr>
          <w:rStyle w:val="Refdenotaalpie"/>
          <w:rFonts w:ascii="Arial" w:hAnsi="Arial" w:cs="Arial"/>
          <w:noProof/>
          <w:sz w:val="24"/>
          <w:szCs w:val="26"/>
        </w:rPr>
        <w:footnoteReference w:id="5"/>
      </w:r>
      <w:r w:rsidRPr="00F51123">
        <w:rPr>
          <w:rFonts w:ascii="Arial" w:hAnsi="Arial" w:cs="Arial"/>
          <w:noProof/>
          <w:sz w:val="24"/>
          <w:szCs w:val="26"/>
        </w:rPr>
        <w:t xml:space="preserve">, </w:t>
      </w:r>
      <w:r>
        <w:rPr>
          <w:rFonts w:ascii="Arial" w:hAnsi="Arial" w:cs="Arial"/>
          <w:noProof/>
          <w:sz w:val="24"/>
          <w:szCs w:val="26"/>
        </w:rPr>
        <w:t xml:space="preserve">indica que los montos de las prestaciones no debe ser superior a los que se les otorgan a los trabajadores activos, pues es inexacto que la jubilación siga siendo el salario que percibía la parte actora, pues desde el momento que éste es jubilado, termina su relación de trabajo; es por eso que no ha lugar al pago de las percepciones referentes al </w:t>
      </w:r>
      <w:r w:rsidRPr="00F51123">
        <w:rPr>
          <w:rFonts w:ascii="Arial" w:hAnsi="Arial" w:cs="Arial"/>
          <w:noProof/>
          <w:sz w:val="24"/>
          <w:szCs w:val="26"/>
        </w:rPr>
        <w:t>A.S.R.S.P.J (clave 50)</w:t>
      </w:r>
      <w:r>
        <w:rPr>
          <w:rFonts w:ascii="Arial" w:hAnsi="Arial" w:cs="Arial"/>
          <w:noProof/>
          <w:sz w:val="24"/>
          <w:szCs w:val="26"/>
        </w:rPr>
        <w:t xml:space="preserve"> y A.S.R.S.P.J (C); tiene apoyo en las tesis aisladas de la Séptima y Quinta Época con números de registro </w:t>
      </w:r>
      <w:r w:rsidRPr="009F2B90">
        <w:rPr>
          <w:rFonts w:ascii="Arial" w:hAnsi="Arial" w:cs="Arial"/>
          <w:b/>
          <w:bCs/>
          <w:noProof/>
          <w:sz w:val="24"/>
          <w:szCs w:val="26"/>
        </w:rPr>
        <w:t>242563</w:t>
      </w:r>
      <w:r w:rsidRPr="009F2B90">
        <w:rPr>
          <w:rStyle w:val="Refdenotaalpie"/>
          <w:rFonts w:ascii="Arial" w:hAnsi="Arial" w:cs="Arial"/>
          <w:b/>
          <w:bCs/>
          <w:noProof/>
          <w:sz w:val="24"/>
          <w:szCs w:val="26"/>
        </w:rPr>
        <w:footnoteReference w:id="6"/>
      </w:r>
      <w:r>
        <w:rPr>
          <w:rFonts w:ascii="Arial" w:hAnsi="Arial" w:cs="Arial"/>
          <w:noProof/>
          <w:sz w:val="24"/>
          <w:szCs w:val="26"/>
        </w:rPr>
        <w:t xml:space="preserve"> y </w:t>
      </w:r>
      <w:r w:rsidRPr="009F2B90">
        <w:rPr>
          <w:rFonts w:ascii="Arial" w:hAnsi="Arial" w:cs="Arial"/>
          <w:b/>
          <w:bCs/>
          <w:noProof/>
          <w:sz w:val="24"/>
          <w:szCs w:val="26"/>
        </w:rPr>
        <w:t>366574</w:t>
      </w:r>
      <w:r>
        <w:rPr>
          <w:rStyle w:val="Refdenotaalpie"/>
          <w:rFonts w:ascii="Arial" w:hAnsi="Arial" w:cs="Arial"/>
          <w:b/>
          <w:bCs/>
          <w:noProof/>
          <w:sz w:val="24"/>
          <w:szCs w:val="26"/>
        </w:rPr>
        <w:footnoteReference w:id="7"/>
      </w:r>
      <w:r>
        <w:rPr>
          <w:rFonts w:ascii="Arial" w:hAnsi="Arial" w:cs="Arial"/>
          <w:noProof/>
          <w:sz w:val="24"/>
          <w:szCs w:val="26"/>
        </w:rPr>
        <w:t xml:space="preserve"> respectivamente.     </w:t>
      </w:r>
    </w:p>
    <w:p w14:paraId="7297CB95" w14:textId="0280DC91" w:rsidR="000666A7" w:rsidRPr="00F51123" w:rsidRDefault="000666A7" w:rsidP="000666A7">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Pr>
          <w:rFonts w:ascii="Arial" w:hAnsi="Arial" w:cs="Arial"/>
          <w:noProof/>
          <w:sz w:val="24"/>
          <w:szCs w:val="26"/>
        </w:rPr>
        <w:t xml:space="preserve"> de las prestaciones contempladas en el artículo 54, fracción I, de la Ley de Pensiones para los Trabajadores del Gobierno del Estado de Oaxaca</w:t>
      </w:r>
      <w:r w:rsidRPr="00F51123">
        <w:rPr>
          <w:rFonts w:ascii="Arial" w:hAnsi="Arial" w:cs="Arial"/>
          <w:noProof/>
          <w:sz w:val="24"/>
          <w:szCs w:val="26"/>
        </w:rPr>
        <w:t xml:space="preserve">, a la actora </w:t>
      </w:r>
      <w:r w:rsidR="00AE711B">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 y en lo subsecuente.</w:t>
      </w:r>
    </w:p>
    <w:p w14:paraId="34EB7C54" w14:textId="77777777" w:rsidR="000666A7" w:rsidRPr="00F51123" w:rsidRDefault="000666A7" w:rsidP="000666A7">
      <w:pPr>
        <w:spacing w:before="240" w:line="360" w:lineRule="auto"/>
        <w:ind w:firstLine="567"/>
        <w:jc w:val="both"/>
        <w:rPr>
          <w:rFonts w:ascii="Arial" w:hAnsi="Arial" w:cs="Arial"/>
          <w:sz w:val="24"/>
          <w:szCs w:val="26"/>
        </w:rPr>
      </w:pPr>
      <w:r w:rsidRPr="00F51123">
        <w:rPr>
          <w:rFonts w:ascii="Arial" w:hAnsi="Arial" w:cs="Arial"/>
          <w:sz w:val="24"/>
          <w:szCs w:val="26"/>
        </w:rPr>
        <w:t>De acuerdo a lo anteriormente puntualizado, conforme lo estatuido por el artículo 17 fracción V</w:t>
      </w:r>
      <w:r w:rsidRPr="00F51123">
        <w:rPr>
          <w:rStyle w:val="Refdenotaalpie"/>
          <w:rFonts w:ascii="Arial" w:hAnsi="Arial" w:cs="Arial"/>
          <w:sz w:val="24"/>
          <w:szCs w:val="26"/>
        </w:rPr>
        <w:footnoteReference w:id="8"/>
      </w:r>
      <w:r w:rsidRPr="00F51123">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p>
    <w:p w14:paraId="490D6161" w14:textId="77777777" w:rsidR="000666A7" w:rsidRPr="00F51123" w:rsidRDefault="000666A7" w:rsidP="000666A7">
      <w:pPr>
        <w:spacing w:before="240" w:line="360" w:lineRule="auto"/>
        <w:ind w:firstLine="567"/>
        <w:jc w:val="both"/>
        <w:rPr>
          <w:rFonts w:ascii="Arial" w:eastAsia="Times New Roman" w:hAnsi="Arial" w:cs="Arial"/>
          <w:noProof/>
          <w:sz w:val="24"/>
          <w:szCs w:val="26"/>
        </w:rPr>
      </w:pPr>
      <w:r w:rsidRPr="00F51123">
        <w:rPr>
          <w:rFonts w:ascii="Arial" w:eastAsia="Times New Roman" w:hAnsi="Arial" w:cs="Arial"/>
          <w:sz w:val="24"/>
          <w:szCs w:val="26"/>
        </w:rPr>
        <w:lastRenderedPageBreak/>
        <w:t>Sirve de apoyo la Jurisprudencia, emitida por el Pleno de la Suprema Corte de Justicia de la Nación, publicada en el Semanario Judicial de la Federación y su Gaceta, Octava Época, número 64, abril de 1993, página 43, de rubro y texto siguientes:</w:t>
      </w:r>
    </w:p>
    <w:p w14:paraId="215DAF4A" w14:textId="77777777" w:rsidR="000666A7" w:rsidRPr="00F51123" w:rsidRDefault="000666A7" w:rsidP="000666A7">
      <w:pPr>
        <w:spacing w:after="0"/>
        <w:ind w:left="709" w:right="452"/>
        <w:jc w:val="both"/>
        <w:rPr>
          <w:rFonts w:ascii="Arial" w:eastAsia="Times New Roman" w:hAnsi="Arial" w:cs="Arial"/>
          <w:i/>
          <w:noProof/>
          <w:sz w:val="24"/>
          <w:szCs w:val="26"/>
        </w:rPr>
      </w:pPr>
      <w:r w:rsidRPr="00F51123">
        <w:rPr>
          <w:rFonts w:ascii="Arial" w:eastAsia="Times New Roman" w:hAnsi="Arial" w:cs="Arial"/>
          <w:i/>
          <w:noProof/>
          <w:sz w:val="24"/>
          <w:szCs w:val="26"/>
        </w:rPr>
        <w:t>“</w:t>
      </w:r>
      <w:r w:rsidRPr="00F51123">
        <w:rPr>
          <w:rFonts w:ascii="Arial" w:eastAsia="Times New Roman" w:hAnsi="Arial" w:cs="Arial"/>
          <w:b/>
          <w:i/>
          <w:noProof/>
          <w:szCs w:val="24"/>
        </w:rPr>
        <w:t xml:space="preserve">FUNDAMENTACION Y MOTIVACION DE LOS ACTOS ADMINISTRATIVOS. </w:t>
      </w:r>
      <w:r w:rsidRPr="00F51123">
        <w:rPr>
          <w:rFonts w:ascii="Arial" w:eastAsia="Times New Roman" w:hAnsi="Arial" w:cs="Arial"/>
          <w:i/>
          <w:noProof/>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F51123">
        <w:rPr>
          <w:rFonts w:ascii="Arial" w:eastAsia="Times New Roman" w:hAnsi="Arial" w:cs="Arial"/>
          <w:i/>
          <w:noProof/>
          <w:sz w:val="24"/>
          <w:szCs w:val="26"/>
        </w:rPr>
        <w:t>”.</w:t>
      </w:r>
    </w:p>
    <w:p w14:paraId="785B0F0B" w14:textId="5227E8D5" w:rsidR="0032759E" w:rsidRDefault="000666A7" w:rsidP="0032759E">
      <w:pPr>
        <w:spacing w:before="24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AE711B">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196E89">
        <w:rPr>
          <w:rFonts w:ascii="Arial" w:hAnsi="Arial" w:cs="Arial"/>
          <w:sz w:val="24"/>
          <w:szCs w:val="26"/>
        </w:rPr>
        <w:t>un</w:t>
      </w:r>
      <w:r w:rsidR="00EA73CE">
        <w:rPr>
          <w:rFonts w:ascii="Arial" w:hAnsi="Arial" w:cs="Arial"/>
          <w:sz w:val="24"/>
          <w:szCs w:val="26"/>
        </w:rPr>
        <w:t>o de julio de dos mil veintiuno</w:t>
      </w:r>
      <w:r w:rsidRPr="00F51123">
        <w:rPr>
          <w:rFonts w:ascii="Arial" w:hAnsi="Arial" w:cs="Arial"/>
          <w:sz w:val="24"/>
          <w:szCs w:val="26"/>
        </w:rPr>
        <w:t>,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Gobierno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incluya el sueldo base </w:t>
      </w:r>
      <w:r w:rsidRPr="00F51123">
        <w:rPr>
          <w:rFonts w:ascii="Arial" w:hAnsi="Arial" w:cs="Arial"/>
          <w:bCs/>
          <w:sz w:val="24"/>
          <w:szCs w:val="26"/>
        </w:rPr>
        <w:t>y</w:t>
      </w:r>
      <w:r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 fracción I de la Ley de P</w:t>
      </w:r>
      <w:r w:rsidRPr="00F51123">
        <w:rPr>
          <w:rFonts w:ascii="Arial" w:hAnsi="Arial" w:cs="Arial"/>
          <w:sz w:val="24"/>
          <w:szCs w:val="26"/>
        </w:rPr>
        <w:t xml:space="preserve">ensiones para los Trabajadores del Estado de Oaxaca, aplicando el principio pro-persona para el mayor beneficio a la parte actora; </w:t>
      </w:r>
      <w:r w:rsidRPr="00F51123">
        <w:rPr>
          <w:rFonts w:ascii="Arial" w:hAnsi="Arial" w:cs="Arial"/>
          <w:b/>
          <w:sz w:val="24"/>
          <w:szCs w:val="26"/>
        </w:rPr>
        <w:t xml:space="preserve">b) </w:t>
      </w:r>
      <w:r w:rsidRPr="00F51123">
        <w:rPr>
          <w:rFonts w:ascii="Arial" w:hAnsi="Arial" w:cs="Arial"/>
          <w:sz w:val="24"/>
          <w:szCs w:val="26"/>
        </w:rPr>
        <w:t xml:space="preserve">otorgue una pensión a la actora,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a las que tiene derecho, consistentes en previsión social múltiple, despensa, vida cara, quinquenios, aguinaldos, estímulos del día del jubilado, día de las madres y canasta navideña;</w:t>
      </w:r>
      <w:r>
        <w:rPr>
          <w:rFonts w:ascii="Arial" w:hAnsi="Arial" w:cs="Arial"/>
          <w:sz w:val="24"/>
          <w:szCs w:val="26"/>
        </w:rPr>
        <w:t xml:space="preserve"> </w:t>
      </w:r>
      <w:r w:rsidR="00EA73CE">
        <w:rPr>
          <w:rFonts w:ascii="Arial" w:hAnsi="Arial" w:cs="Arial"/>
          <w:sz w:val="24"/>
          <w:szCs w:val="26"/>
        </w:rPr>
        <w:t xml:space="preserve">y </w:t>
      </w:r>
      <w:r w:rsidRPr="00F51123">
        <w:rPr>
          <w:rFonts w:ascii="Arial" w:hAnsi="Arial" w:cs="Arial"/>
          <w:b/>
          <w:sz w:val="24"/>
          <w:szCs w:val="26"/>
        </w:rPr>
        <w:t xml:space="preserve">c) </w:t>
      </w:r>
      <w:r w:rsidRPr="00F51123">
        <w:rPr>
          <w:rFonts w:ascii="Arial" w:hAnsi="Arial" w:cs="Arial"/>
          <w:sz w:val="24"/>
          <w:szCs w:val="26"/>
        </w:rPr>
        <w:t>realice el pago de dichas prestaciones con efectos retroactivos a la fecha en la que la actora obtuvo la categoría de jubilada</w:t>
      </w:r>
      <w:r w:rsidR="00EA73CE">
        <w:rPr>
          <w:rFonts w:ascii="Arial" w:hAnsi="Arial" w:cs="Arial"/>
          <w:sz w:val="24"/>
          <w:szCs w:val="26"/>
        </w:rPr>
        <w:t>.</w:t>
      </w:r>
    </w:p>
    <w:p w14:paraId="5957DF25" w14:textId="5A5FB95A" w:rsidR="00EA73CE" w:rsidRPr="0032759E" w:rsidRDefault="00EA73CE" w:rsidP="00EA73CE">
      <w:pPr>
        <w:spacing w:line="360" w:lineRule="auto"/>
        <w:ind w:firstLine="567"/>
        <w:jc w:val="both"/>
        <w:rPr>
          <w:rFonts w:ascii="Arial" w:hAnsi="Arial" w:cs="Arial"/>
          <w:sz w:val="24"/>
          <w:szCs w:val="26"/>
        </w:rPr>
      </w:pPr>
      <w:r>
        <w:rPr>
          <w:rFonts w:ascii="Arial" w:hAnsi="Arial" w:cs="Arial"/>
          <w:noProof/>
          <w:sz w:val="24"/>
          <w:szCs w:val="26"/>
        </w:rPr>
        <w:lastRenderedPageBreak/>
        <w:t xml:space="preserve">No ha lugar al pago de las percepciones referentes al </w:t>
      </w:r>
      <w:r w:rsidRPr="00F51123">
        <w:rPr>
          <w:rFonts w:ascii="Arial" w:hAnsi="Arial" w:cs="Arial"/>
          <w:noProof/>
          <w:sz w:val="24"/>
          <w:szCs w:val="26"/>
        </w:rPr>
        <w:t>A.S.R.S.P.J (clave 50)</w:t>
      </w:r>
      <w:r>
        <w:rPr>
          <w:rFonts w:ascii="Arial" w:hAnsi="Arial" w:cs="Arial"/>
          <w:noProof/>
          <w:sz w:val="24"/>
          <w:szCs w:val="26"/>
        </w:rPr>
        <w:t xml:space="preserve"> y A.S.R.S.P.J (C), por los motivos ya expuestos en este considerando</w:t>
      </w:r>
      <w:r>
        <w:rPr>
          <w:rFonts w:ascii="Arial" w:hAnsi="Arial" w:cs="Arial"/>
          <w:sz w:val="24"/>
          <w:szCs w:val="26"/>
        </w:rPr>
        <w:t>.</w:t>
      </w:r>
      <w:r w:rsidRPr="00F51123">
        <w:rPr>
          <w:rFonts w:ascii="Arial" w:hAnsi="Arial" w:cs="Arial"/>
          <w:sz w:val="24"/>
          <w:szCs w:val="26"/>
        </w:rPr>
        <w:t xml:space="preserve"> </w:t>
      </w:r>
    </w:p>
    <w:p w14:paraId="4D49C566" w14:textId="77777777" w:rsidR="000666A7" w:rsidRPr="00F51123" w:rsidRDefault="000666A7" w:rsidP="000666A7">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Pr>
          <w:rFonts w:ascii="Arial" w:hAnsi="Arial" w:cs="Arial"/>
          <w:sz w:val="24"/>
          <w:szCs w:val="24"/>
        </w:rPr>
        <w:t>:</w:t>
      </w:r>
    </w:p>
    <w:p w14:paraId="41BEEAA4" w14:textId="248B2A4E" w:rsidR="000666A7" w:rsidRPr="00F51123" w:rsidRDefault="000666A7" w:rsidP="00EA73CE">
      <w:pPr>
        <w:jc w:val="center"/>
        <w:rPr>
          <w:rFonts w:ascii="Arial" w:hAnsi="Arial" w:cs="Arial"/>
          <w:b/>
          <w:bCs/>
          <w:sz w:val="24"/>
          <w:szCs w:val="24"/>
        </w:rPr>
      </w:pPr>
      <w:r w:rsidRPr="00F51123">
        <w:rPr>
          <w:rFonts w:ascii="Arial" w:hAnsi="Arial" w:cs="Arial"/>
          <w:b/>
          <w:bCs/>
          <w:sz w:val="24"/>
          <w:szCs w:val="24"/>
        </w:rPr>
        <w:t>R E S U E L V E</w:t>
      </w:r>
    </w:p>
    <w:p w14:paraId="2B6EC5DC" w14:textId="72DEA140" w:rsidR="000666A7" w:rsidRPr="00A60316" w:rsidRDefault="000666A7" w:rsidP="00A60316">
      <w:pPr>
        <w:spacing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1F8D1A92" w14:textId="175A00D5" w:rsidR="000666A7" w:rsidRPr="00A60316" w:rsidRDefault="000666A7" w:rsidP="00A60316">
      <w:pPr>
        <w:spacing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75C28CA6" w14:textId="4F34A89B" w:rsidR="000666A7" w:rsidRPr="00F51123" w:rsidRDefault="000666A7" w:rsidP="00A60316">
      <w:pPr>
        <w:spacing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AE711B">
        <w:rPr>
          <w:rFonts w:ascii="Arial" w:hAnsi="Arial" w:cs="Arial"/>
          <w:sz w:val="24"/>
          <w:szCs w:val="24"/>
        </w:rPr>
        <w:t>**********</w:t>
      </w:r>
      <w:r w:rsidRPr="00F51123">
        <w:rPr>
          <w:rFonts w:ascii="Arial" w:hAnsi="Arial" w:cs="Arial"/>
          <w:sz w:val="24"/>
          <w:szCs w:val="24"/>
        </w:rPr>
        <w:t xml:space="preserve"> de fecha </w:t>
      </w:r>
      <w:r w:rsidR="00196E89">
        <w:rPr>
          <w:rFonts w:ascii="Arial" w:hAnsi="Arial" w:cs="Arial"/>
          <w:sz w:val="24"/>
          <w:szCs w:val="24"/>
        </w:rPr>
        <w:t xml:space="preserve">uno de julio de dos mil </w:t>
      </w:r>
      <w:r w:rsidR="00F50608">
        <w:rPr>
          <w:rFonts w:ascii="Arial" w:hAnsi="Arial" w:cs="Arial"/>
          <w:sz w:val="24"/>
          <w:szCs w:val="24"/>
        </w:rPr>
        <w:t>veintiuno,</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 xml:space="preserve">de que la autoridad demandada o la que resulte competente emita otro, a favor de la actora </w:t>
      </w:r>
      <w:r w:rsidR="00AE711B">
        <w:rPr>
          <w:rFonts w:ascii="Arial" w:hAnsi="Arial" w:cs="Arial"/>
          <w:b/>
          <w:bCs/>
          <w:sz w:val="24"/>
          <w:szCs w:val="24"/>
        </w:rPr>
        <w:t>**********</w:t>
      </w:r>
      <w:r w:rsidRPr="00F51123">
        <w:rPr>
          <w:rFonts w:ascii="Arial" w:hAnsi="Arial" w:cs="Arial"/>
          <w:sz w:val="24"/>
          <w:szCs w:val="24"/>
        </w:rPr>
        <w:t xml:space="preserve">, conforme a los términos establecidos y precisados en el considerando </w:t>
      </w:r>
      <w:r w:rsidR="0025699C">
        <w:rPr>
          <w:rFonts w:ascii="Arial" w:hAnsi="Arial" w:cs="Arial"/>
          <w:sz w:val="24"/>
          <w:szCs w:val="24"/>
        </w:rPr>
        <w:t>octavo</w:t>
      </w:r>
      <w:r w:rsidRPr="00F51123">
        <w:rPr>
          <w:rFonts w:ascii="Arial" w:hAnsi="Arial" w:cs="Arial"/>
          <w:sz w:val="24"/>
          <w:szCs w:val="24"/>
        </w:rPr>
        <w:t xml:space="preserve"> de la presente sentencia. </w:t>
      </w:r>
    </w:p>
    <w:p w14:paraId="22446FA5" w14:textId="661F5149" w:rsidR="000666A7" w:rsidRDefault="000666A7" w:rsidP="00A60316">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Cuarto. Notifíquese personalmente a la</w:t>
      </w:r>
      <w:r w:rsidR="0025699C">
        <w:rPr>
          <w:rFonts w:ascii="Arial" w:eastAsia="Times New Roman" w:hAnsi="Arial" w:cs="Arial"/>
          <w:b/>
          <w:sz w:val="24"/>
          <w:szCs w:val="24"/>
        </w:rPr>
        <w:t xml:space="preserve"> parte actora y por oficio a la autoridad demandada</w:t>
      </w:r>
      <w:r w:rsidRPr="00F51123">
        <w:rPr>
          <w:rFonts w:ascii="Arial" w:eastAsia="Times New Roman" w:hAnsi="Arial" w:cs="Arial"/>
          <w:sz w:val="24"/>
          <w:szCs w:val="24"/>
        </w:rPr>
        <w:t xml:space="preserve">, con fundamento en los artículos 172 </w:t>
      </w:r>
      <w:proofErr w:type="gramStart"/>
      <w:r w:rsidRPr="00F51123">
        <w:rPr>
          <w:rFonts w:ascii="Arial" w:eastAsia="Times New Roman" w:hAnsi="Arial" w:cs="Arial"/>
          <w:sz w:val="24"/>
          <w:szCs w:val="24"/>
        </w:rPr>
        <w:t>fracción</w:t>
      </w:r>
      <w:proofErr w:type="gramEnd"/>
      <w:r w:rsidRPr="00F51123">
        <w:rPr>
          <w:rFonts w:ascii="Arial" w:eastAsia="Times New Roman" w:hAnsi="Arial" w:cs="Arial"/>
          <w:sz w:val="24"/>
          <w:szCs w:val="24"/>
        </w:rPr>
        <w:t xml:space="preserve">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5A7E581A" w14:textId="77777777" w:rsidR="0025699C" w:rsidRPr="00A60316" w:rsidRDefault="0025699C" w:rsidP="00A60316">
      <w:pPr>
        <w:spacing w:after="0" w:line="360" w:lineRule="auto"/>
        <w:ind w:right="49" w:firstLine="567"/>
        <w:jc w:val="both"/>
        <w:rPr>
          <w:rFonts w:ascii="Arial" w:eastAsia="Times New Roman" w:hAnsi="Arial" w:cs="Arial"/>
          <w:b/>
          <w:sz w:val="24"/>
          <w:szCs w:val="24"/>
        </w:rPr>
      </w:pPr>
    </w:p>
    <w:p w14:paraId="5A119E93" w14:textId="694ED33A" w:rsidR="00A1196F" w:rsidRPr="00A60316" w:rsidRDefault="000666A7" w:rsidP="00A60316">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sectPr w:rsidR="00A1196F" w:rsidRPr="00A60316" w:rsidSect="00E10706">
      <w:headerReference w:type="even" r:id="rId9"/>
      <w:headerReference w:type="default" r:id="rId10"/>
      <w:footerReference w:type="default" r:id="rId11"/>
      <w:headerReference w:type="first" r:id="rId12"/>
      <w:pgSz w:w="12240" w:h="20160" w:code="5"/>
      <w:pgMar w:top="567" w:right="1134"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777ED" w14:textId="77777777" w:rsidR="00E27915" w:rsidRDefault="00E27915" w:rsidP="000666A7">
      <w:pPr>
        <w:spacing w:after="0" w:line="240" w:lineRule="auto"/>
      </w:pPr>
      <w:r>
        <w:separator/>
      </w:r>
    </w:p>
  </w:endnote>
  <w:endnote w:type="continuationSeparator" w:id="0">
    <w:p w14:paraId="5AF71281" w14:textId="77777777" w:rsidR="00E27915" w:rsidRDefault="00E27915" w:rsidP="0006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453271"/>
      <w:docPartObj>
        <w:docPartGallery w:val="Page Numbers (Bottom of Page)"/>
        <w:docPartUnique/>
      </w:docPartObj>
    </w:sdtPr>
    <w:sdtEndPr/>
    <w:sdtContent>
      <w:p w14:paraId="24DCA630" w14:textId="175E8910" w:rsidR="00692DB3" w:rsidRDefault="00692DB3">
        <w:pPr>
          <w:pStyle w:val="Piedepgina"/>
          <w:jc w:val="center"/>
        </w:pPr>
        <w:r>
          <w:fldChar w:fldCharType="begin"/>
        </w:r>
        <w:r>
          <w:instrText>PAGE   \* MERGEFORMAT</w:instrText>
        </w:r>
        <w:r>
          <w:fldChar w:fldCharType="separate"/>
        </w:r>
        <w:r w:rsidR="00AE711B" w:rsidRPr="00AE711B">
          <w:rPr>
            <w:noProof/>
            <w:lang w:val="es-ES"/>
          </w:rPr>
          <w:t>12</w:t>
        </w:r>
        <w:r>
          <w:fldChar w:fldCharType="end"/>
        </w:r>
      </w:p>
    </w:sdtContent>
  </w:sdt>
  <w:p w14:paraId="3C5BE622" w14:textId="77777777" w:rsidR="00A360DF" w:rsidRDefault="00E279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3F656" w14:textId="77777777" w:rsidR="00E27915" w:rsidRDefault="00E27915" w:rsidP="000666A7">
      <w:pPr>
        <w:spacing w:after="0" w:line="240" w:lineRule="auto"/>
      </w:pPr>
      <w:r>
        <w:separator/>
      </w:r>
    </w:p>
  </w:footnote>
  <w:footnote w:type="continuationSeparator" w:id="0">
    <w:p w14:paraId="71A03021" w14:textId="77777777" w:rsidR="00E27915" w:rsidRDefault="00E27915" w:rsidP="000666A7">
      <w:pPr>
        <w:spacing w:after="0" w:line="240" w:lineRule="auto"/>
      </w:pPr>
      <w:r>
        <w:continuationSeparator/>
      </w:r>
    </w:p>
  </w:footnote>
  <w:footnote w:id="1">
    <w:p w14:paraId="2236EA32" w14:textId="77777777" w:rsidR="000666A7" w:rsidRDefault="000666A7" w:rsidP="000666A7">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FC3579B" w14:textId="77777777" w:rsidR="000666A7" w:rsidRPr="005B4F51" w:rsidRDefault="000666A7" w:rsidP="000666A7">
      <w:pPr>
        <w:autoSpaceDE w:val="0"/>
        <w:autoSpaceDN w:val="0"/>
        <w:adjustRightInd w:val="0"/>
        <w:spacing w:after="0" w:line="240" w:lineRule="auto"/>
        <w:rPr>
          <w:rFonts w:ascii="Arial" w:hAnsi="Arial" w:cs="Arial"/>
          <w:color w:val="000000"/>
        </w:rPr>
      </w:pPr>
    </w:p>
  </w:footnote>
  <w:footnote w:id="2">
    <w:p w14:paraId="7404AE2C" w14:textId="77777777" w:rsidR="000666A7" w:rsidRDefault="000666A7" w:rsidP="000666A7">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29AB828" w14:textId="4F1F83CF" w:rsidR="000666A7" w:rsidRDefault="000666A7" w:rsidP="000666A7">
      <w:pPr>
        <w:autoSpaceDE w:val="0"/>
        <w:autoSpaceDN w:val="0"/>
        <w:adjustRightInd w:val="0"/>
        <w:spacing w:after="0" w:line="240" w:lineRule="auto"/>
        <w:rPr>
          <w:rFonts w:ascii="Arial" w:hAnsi="Arial" w:cs="Arial"/>
          <w:color w:val="000000"/>
          <w:sz w:val="16"/>
          <w:szCs w:val="16"/>
        </w:rPr>
      </w:pPr>
    </w:p>
    <w:p w14:paraId="0710881A" w14:textId="77777777" w:rsidR="005750E6" w:rsidRPr="005B4F51" w:rsidRDefault="005750E6" w:rsidP="000666A7">
      <w:pPr>
        <w:autoSpaceDE w:val="0"/>
        <w:autoSpaceDN w:val="0"/>
        <w:adjustRightInd w:val="0"/>
        <w:spacing w:after="0" w:line="240" w:lineRule="auto"/>
        <w:rPr>
          <w:rFonts w:ascii="Arial" w:hAnsi="Arial" w:cs="Arial"/>
          <w:color w:val="000000"/>
          <w:sz w:val="16"/>
          <w:szCs w:val="16"/>
        </w:rPr>
      </w:pPr>
    </w:p>
  </w:footnote>
  <w:footnote w:id="3">
    <w:p w14:paraId="3497BF35" w14:textId="77777777" w:rsidR="000666A7" w:rsidRPr="009F02A1" w:rsidRDefault="000666A7" w:rsidP="000666A7">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3C8F24A7" w14:textId="77777777" w:rsidR="000666A7" w:rsidRPr="009F02A1" w:rsidRDefault="000666A7" w:rsidP="000666A7">
      <w:pPr>
        <w:autoSpaceDE w:val="0"/>
        <w:autoSpaceDN w:val="0"/>
        <w:adjustRightInd w:val="0"/>
        <w:spacing w:after="0" w:line="240" w:lineRule="auto"/>
        <w:rPr>
          <w:rFonts w:ascii="Arial" w:hAnsi="Arial" w:cs="Arial"/>
          <w:color w:val="000000"/>
          <w:sz w:val="16"/>
          <w:szCs w:val="16"/>
        </w:rPr>
      </w:pPr>
    </w:p>
    <w:p w14:paraId="5A7DF0AF" w14:textId="77777777" w:rsidR="000666A7" w:rsidRPr="009F02A1" w:rsidRDefault="000666A7" w:rsidP="000666A7">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29AB65E3" w14:textId="77777777" w:rsidR="007265C0" w:rsidRPr="005A5750" w:rsidRDefault="007265C0" w:rsidP="007265C0">
      <w:pPr>
        <w:pStyle w:val="Textonotapie"/>
        <w:jc w:val="both"/>
        <w:rPr>
          <w:sz w:val="16"/>
          <w:szCs w:val="16"/>
        </w:rPr>
      </w:pPr>
      <w:r w:rsidRPr="005A5750">
        <w:rPr>
          <w:rStyle w:val="Refdenotaalpie"/>
          <w:sz w:val="16"/>
          <w:szCs w:val="16"/>
        </w:rPr>
        <w:footnoteRef/>
      </w:r>
      <w:r w:rsidRPr="005A5750">
        <w:rPr>
          <w:sz w:val="16"/>
          <w:szCs w:val="16"/>
        </w:rPr>
        <w:t xml:space="preserve"> ARTÍCULO 161.- Es improcedente el juicio ante el Tribunal contra actos: …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w:t>
      </w:r>
      <w:proofErr w:type="gramStart"/>
      <w:r w:rsidRPr="005A5750">
        <w:rPr>
          <w:sz w:val="16"/>
          <w:szCs w:val="16"/>
        </w:rPr>
        <w:t>;  …</w:t>
      </w:r>
      <w:proofErr w:type="gramEnd"/>
      <w:r w:rsidRPr="005A5750">
        <w:rPr>
          <w:sz w:val="16"/>
          <w:szCs w:val="16"/>
        </w:rPr>
        <w:t xml:space="preserve">  X.- en los demás casos en que la improcedencia resulte de alguna disposición de esta Ley o de cualquiera otra de naturaleza fiscal o administrativa.</w:t>
      </w:r>
    </w:p>
  </w:footnote>
  <w:footnote w:id="5">
    <w:p w14:paraId="2C3B4374" w14:textId="77777777" w:rsidR="00EA73CE" w:rsidRPr="00A70EC6" w:rsidRDefault="00EA73CE" w:rsidP="00EA73CE">
      <w:pPr>
        <w:pStyle w:val="Textonotapie"/>
        <w:jc w:val="both"/>
        <w:rPr>
          <w:rFonts w:ascii="Arial" w:hAnsi="Arial" w:cs="Arial"/>
          <w:sz w:val="16"/>
          <w:szCs w:val="16"/>
        </w:rPr>
      </w:pPr>
      <w:r w:rsidRPr="00A70EC6">
        <w:rPr>
          <w:rStyle w:val="Refdenotaalpie"/>
          <w:rFonts w:ascii="Arial" w:hAnsi="Arial" w:cs="Arial"/>
          <w:sz w:val="16"/>
          <w:szCs w:val="16"/>
        </w:rPr>
        <w:footnoteRef/>
      </w:r>
      <w:r w:rsidRPr="00A70EC6">
        <w:rPr>
          <w:rFonts w:ascii="Arial" w:hAnsi="Arial" w:cs="Arial"/>
          <w:sz w:val="16"/>
          <w:szCs w:val="16"/>
        </w:rPr>
        <w:t xml:space="preserve"> </w:t>
      </w:r>
      <w:r w:rsidRPr="00A70EC6">
        <w:rPr>
          <w:rFonts w:ascii="Arial" w:hAnsi="Arial" w:cs="Arial"/>
          <w:b/>
          <w:bCs/>
          <w:sz w:val="16"/>
          <w:szCs w:val="16"/>
        </w:rPr>
        <w:t>Artículo 54</w:t>
      </w:r>
      <w:r w:rsidRPr="00A70EC6">
        <w:rPr>
          <w:rFonts w:ascii="Arial" w:hAnsi="Arial" w:cs="Arial"/>
          <w:sz w:val="16"/>
          <w:szCs w:val="16"/>
        </w:rPr>
        <w:t>. (…)</w:t>
      </w:r>
    </w:p>
    <w:p w14:paraId="78977D79" w14:textId="77777777" w:rsidR="00EA73CE" w:rsidRPr="00A70EC6" w:rsidRDefault="00EA73CE" w:rsidP="00EA73CE">
      <w:pPr>
        <w:pStyle w:val="Textonotapie"/>
        <w:jc w:val="both"/>
        <w:rPr>
          <w:rFonts w:ascii="Arial" w:hAnsi="Arial" w:cs="Arial"/>
          <w:sz w:val="16"/>
          <w:szCs w:val="16"/>
        </w:rPr>
      </w:pPr>
      <w:r w:rsidRPr="00A70EC6">
        <w:rPr>
          <w:rFonts w:ascii="Arial" w:hAnsi="Arial" w:cs="Arial"/>
          <w:sz w:val="16"/>
          <w:szCs w:val="16"/>
        </w:rPr>
        <w:t xml:space="preserve">Los montos de las prestaciones señaladas en las fracciones anteriores serán determinados por acuerdo del Consejo Directivo, </w:t>
      </w:r>
      <w:r w:rsidRPr="00A70EC6">
        <w:rPr>
          <w:rFonts w:ascii="Arial" w:hAnsi="Arial" w:cs="Arial"/>
          <w:sz w:val="16"/>
          <w:szCs w:val="16"/>
          <w:u w:val="single"/>
        </w:rPr>
        <w:t>mismos que no deberán ser superiores a los montos que se otorguen a los trabajadores</w:t>
      </w:r>
      <w:r w:rsidRPr="00A70EC6">
        <w:rPr>
          <w:rFonts w:ascii="Arial" w:hAnsi="Arial" w:cs="Arial"/>
          <w:b/>
          <w:bCs/>
          <w:sz w:val="16"/>
          <w:szCs w:val="16"/>
        </w:rPr>
        <w:t xml:space="preserve"> activos</w:t>
      </w:r>
      <w:r w:rsidRPr="00A70EC6">
        <w:rPr>
          <w:rFonts w:ascii="Arial" w:hAnsi="Arial" w:cs="Arial"/>
          <w:sz w:val="16"/>
          <w:szCs w:val="16"/>
        </w:rPr>
        <w:t>. (…)</w:t>
      </w:r>
    </w:p>
    <w:p w14:paraId="66B57DF8" w14:textId="77777777" w:rsidR="00EA73CE" w:rsidRPr="00A70EC6" w:rsidRDefault="00EA73CE" w:rsidP="00EA73CE">
      <w:pPr>
        <w:pStyle w:val="Textonotapie"/>
      </w:pPr>
    </w:p>
    <w:p w14:paraId="5BAE8C67" w14:textId="77777777" w:rsidR="00EA73CE" w:rsidRDefault="00EA73CE" w:rsidP="00EA73CE">
      <w:pPr>
        <w:pStyle w:val="Textonotapie"/>
      </w:pPr>
    </w:p>
    <w:p w14:paraId="524D282E" w14:textId="77777777" w:rsidR="00EA73CE" w:rsidRDefault="00EA73CE" w:rsidP="00EA73CE">
      <w:pPr>
        <w:pStyle w:val="Textonotapie"/>
      </w:pPr>
    </w:p>
  </w:footnote>
  <w:footnote w:id="6">
    <w:p w14:paraId="750B419A" w14:textId="77777777" w:rsidR="00EA73CE" w:rsidRPr="009F2B90" w:rsidRDefault="00EA73CE" w:rsidP="00EA73CE">
      <w:pPr>
        <w:pStyle w:val="Textonotapie"/>
        <w:jc w:val="both"/>
        <w:rPr>
          <w:rFonts w:ascii="Arial" w:hAnsi="Arial" w:cs="Arial"/>
          <w:sz w:val="16"/>
          <w:szCs w:val="16"/>
        </w:rPr>
      </w:pPr>
      <w:r w:rsidRPr="009F2B90">
        <w:rPr>
          <w:rStyle w:val="Refdenotaalpie"/>
          <w:rFonts w:ascii="Arial" w:hAnsi="Arial" w:cs="Arial"/>
          <w:sz w:val="16"/>
          <w:szCs w:val="16"/>
        </w:rPr>
        <w:footnoteRef/>
      </w:r>
      <w:r w:rsidRPr="009F2B90">
        <w:rPr>
          <w:rFonts w:ascii="Arial" w:hAnsi="Arial" w:cs="Arial"/>
          <w:sz w:val="16"/>
          <w:szCs w:val="16"/>
        </w:rPr>
        <w:t xml:space="preserve"> Instancia: Cuarta Sala; Materia(s): Laboral; Fuente: Semanario Judicial de la Federación; Volumen 217-228, Quinta Parte, página 37</w:t>
      </w:r>
      <w:r w:rsidRPr="00E10706">
        <w:rPr>
          <w:rFonts w:ascii="Arial" w:hAnsi="Arial" w:cs="Arial"/>
          <w:b/>
          <w:bCs/>
          <w:sz w:val="16"/>
          <w:szCs w:val="16"/>
        </w:rPr>
        <w:t>.</w:t>
      </w:r>
      <w:r w:rsidRPr="009F2B90">
        <w:rPr>
          <w:rFonts w:ascii="Arial" w:hAnsi="Arial" w:cs="Arial"/>
          <w:b/>
          <w:bCs/>
          <w:sz w:val="16"/>
          <w:szCs w:val="16"/>
        </w:rPr>
        <w:t xml:space="preserve"> </w:t>
      </w:r>
      <w:r>
        <w:rPr>
          <w:rFonts w:ascii="Arial" w:hAnsi="Arial" w:cs="Arial"/>
          <w:b/>
          <w:bCs/>
          <w:sz w:val="16"/>
          <w:szCs w:val="16"/>
        </w:rPr>
        <w:t>“</w:t>
      </w:r>
      <w:r w:rsidRPr="009F2B90">
        <w:rPr>
          <w:rFonts w:ascii="Arial" w:hAnsi="Arial" w:cs="Arial"/>
          <w:b/>
          <w:bCs/>
          <w:sz w:val="16"/>
          <w:szCs w:val="16"/>
        </w:rPr>
        <w:t>JUBILACION, PENSION POR, Y SALARIO. NO SON EQUIPARABLES</w:t>
      </w:r>
      <w:r w:rsidRPr="009F2B90">
        <w:rPr>
          <w:rFonts w:ascii="Arial" w:hAnsi="Arial" w:cs="Arial"/>
          <w:sz w:val="16"/>
          <w:szCs w:val="16"/>
        </w:rPr>
        <w:t>. El salario y la pensión por jubilación no son equiparables, por no tener idéntica naturaleza jurídica. El salario se define por el artículo 82 de la ley laboral como "la retribución que debe pagar el patrón al trabajador por su trabajo"; la pensión jubilatoria, sin estar definida por la ley, se conceptúa como la cuantía o importe de lo que por disposición contractual y sin la prestación de un trabajo, se percibe por la actividad desplegada por el trabajador hasta antes de la jubilación. La distinción consiste en el origen de ambas prestaciones: la obligación de pagar un salario procede de la ley y de los servicios prestados; la pensión jubilatoria deriva de disposiciones contractuales al respecto. Por otra parte, la jubilación presupone una separación del trabajo y el salario implica la prestación de servicios mientras está vigente la relación laboral.”</w:t>
      </w:r>
    </w:p>
    <w:p w14:paraId="4BE0A96E" w14:textId="77777777" w:rsidR="00EA73CE" w:rsidRDefault="00EA73CE" w:rsidP="00EA73CE">
      <w:pPr>
        <w:pStyle w:val="Textonotapie"/>
        <w:jc w:val="both"/>
      </w:pPr>
    </w:p>
  </w:footnote>
  <w:footnote w:id="7">
    <w:p w14:paraId="04D0BDCD" w14:textId="77777777" w:rsidR="00EA73CE" w:rsidRPr="009F2B90" w:rsidRDefault="00EA73CE" w:rsidP="00EA73CE">
      <w:pPr>
        <w:autoSpaceDE w:val="0"/>
        <w:autoSpaceDN w:val="0"/>
        <w:adjustRightInd w:val="0"/>
        <w:spacing w:after="0" w:line="240" w:lineRule="auto"/>
        <w:jc w:val="both"/>
        <w:rPr>
          <w:rFonts w:ascii="Times New Roman" w:hAnsi="Times New Roman" w:cs="Times New Roman"/>
          <w:sz w:val="24"/>
          <w:szCs w:val="24"/>
        </w:rPr>
      </w:pPr>
      <w:r>
        <w:rPr>
          <w:rStyle w:val="Refdenotaalpie"/>
        </w:rPr>
        <w:footnoteRef/>
      </w:r>
      <w:r>
        <w:t xml:space="preserve"> </w:t>
      </w:r>
      <w:r w:rsidRPr="00E10706">
        <w:rPr>
          <w:rFonts w:ascii="Arial" w:hAnsi="Arial" w:cs="Arial"/>
          <w:color w:val="000000"/>
          <w:sz w:val="16"/>
          <w:szCs w:val="16"/>
        </w:rPr>
        <w:t>Instancia: Cuarta Sala</w:t>
      </w:r>
      <w:r w:rsidRPr="00E10706">
        <w:rPr>
          <w:rFonts w:ascii="Arial" w:hAnsi="Arial" w:cs="Arial"/>
          <w:sz w:val="16"/>
          <w:szCs w:val="16"/>
        </w:rPr>
        <w:t xml:space="preserve">; </w:t>
      </w:r>
      <w:r w:rsidRPr="00E10706">
        <w:rPr>
          <w:rFonts w:ascii="Arial" w:hAnsi="Arial" w:cs="Arial"/>
          <w:color w:val="000000"/>
          <w:sz w:val="16"/>
          <w:szCs w:val="16"/>
        </w:rPr>
        <w:t>Materia(s): Laboral</w:t>
      </w:r>
      <w:r w:rsidRPr="00E10706">
        <w:rPr>
          <w:rFonts w:ascii="Arial" w:hAnsi="Arial" w:cs="Arial"/>
          <w:sz w:val="16"/>
          <w:szCs w:val="16"/>
        </w:rPr>
        <w:t xml:space="preserve">; </w:t>
      </w:r>
      <w:r w:rsidRPr="00E10706">
        <w:rPr>
          <w:rFonts w:ascii="Arial" w:hAnsi="Arial" w:cs="Arial"/>
          <w:color w:val="000000"/>
          <w:sz w:val="16"/>
          <w:szCs w:val="16"/>
        </w:rPr>
        <w:t>Fuente:</w:t>
      </w:r>
      <w:r w:rsidRPr="00E10706">
        <w:rPr>
          <w:rFonts w:ascii="Arial" w:hAnsi="Arial" w:cs="Arial"/>
          <w:b/>
          <w:bCs/>
          <w:color w:val="000000"/>
          <w:sz w:val="16"/>
          <w:szCs w:val="16"/>
        </w:rPr>
        <w:t xml:space="preserve"> </w:t>
      </w:r>
      <w:r w:rsidRPr="00E10706">
        <w:rPr>
          <w:rFonts w:ascii="Arial" w:hAnsi="Arial" w:cs="Arial"/>
          <w:color w:val="000000"/>
          <w:sz w:val="16"/>
          <w:szCs w:val="16"/>
        </w:rPr>
        <w:t>Semanario Judicial de la</w:t>
      </w:r>
      <w:r>
        <w:rPr>
          <w:rFonts w:ascii="Arial" w:hAnsi="Arial" w:cs="Arial"/>
          <w:color w:val="000000"/>
          <w:sz w:val="16"/>
          <w:szCs w:val="16"/>
        </w:rPr>
        <w:t xml:space="preserve"> </w:t>
      </w:r>
      <w:r w:rsidRPr="00E10706">
        <w:rPr>
          <w:rFonts w:ascii="Arial" w:hAnsi="Arial" w:cs="Arial"/>
          <w:color w:val="000000"/>
          <w:sz w:val="16"/>
          <w:szCs w:val="16"/>
        </w:rPr>
        <w:t>Federación.</w:t>
      </w:r>
      <w:r>
        <w:rPr>
          <w:rFonts w:ascii="Arial" w:hAnsi="Arial" w:cs="Arial"/>
          <w:color w:val="000000"/>
          <w:sz w:val="16"/>
          <w:szCs w:val="16"/>
        </w:rPr>
        <w:t xml:space="preserve"> </w:t>
      </w:r>
      <w:r w:rsidRPr="00E10706">
        <w:rPr>
          <w:rFonts w:ascii="Arial" w:hAnsi="Arial" w:cs="Arial"/>
          <w:color w:val="000000"/>
          <w:sz w:val="16"/>
          <w:szCs w:val="16"/>
        </w:rPr>
        <w:t>Tomo CXXVII, página</w:t>
      </w:r>
      <w:r>
        <w:rPr>
          <w:rFonts w:ascii="Arial" w:hAnsi="Arial" w:cs="Arial"/>
          <w:color w:val="000000"/>
          <w:sz w:val="16"/>
          <w:szCs w:val="16"/>
        </w:rPr>
        <w:t xml:space="preserve"> </w:t>
      </w:r>
      <w:r w:rsidRPr="00E10706">
        <w:rPr>
          <w:rFonts w:ascii="Arial" w:hAnsi="Arial" w:cs="Arial"/>
          <w:color w:val="000000"/>
          <w:sz w:val="16"/>
          <w:szCs w:val="16"/>
        </w:rPr>
        <w:t>424</w:t>
      </w:r>
      <w:r>
        <w:rPr>
          <w:rFonts w:ascii="Arial" w:hAnsi="Arial" w:cs="Arial"/>
          <w:color w:val="000000"/>
          <w:sz w:val="16"/>
          <w:szCs w:val="16"/>
        </w:rPr>
        <w:t>.</w:t>
      </w:r>
      <w:r w:rsidRPr="00E10706">
        <w:rPr>
          <w:b/>
          <w:bCs/>
        </w:rPr>
        <w:t xml:space="preserve"> “</w:t>
      </w:r>
      <w:r w:rsidRPr="00E10706">
        <w:rPr>
          <w:rFonts w:ascii="Arial" w:hAnsi="Arial" w:cs="Arial"/>
          <w:b/>
          <w:bCs/>
          <w:sz w:val="16"/>
          <w:szCs w:val="16"/>
        </w:rPr>
        <w:t>JUBILACION, PENSION DE. NO ES SALARIO.</w:t>
      </w:r>
      <w:r w:rsidRPr="00E10706">
        <w:rPr>
          <w:rFonts w:ascii="Arial" w:hAnsi="Arial" w:cs="Arial"/>
          <w:sz w:val="16"/>
          <w:szCs w:val="16"/>
        </w:rPr>
        <w:t xml:space="preserve"> </w:t>
      </w:r>
      <w:r w:rsidRPr="009F2B90">
        <w:rPr>
          <w:rFonts w:ascii="Arial" w:hAnsi="Arial" w:cs="Arial"/>
          <w:sz w:val="16"/>
          <w:szCs w:val="16"/>
        </w:rPr>
        <w:t>Es inexacto que la pensión jubilatoria sea el salario que sigue percibiendo el trabajador después de</w:t>
      </w:r>
      <w:r>
        <w:rPr>
          <w:rFonts w:ascii="Arial" w:hAnsi="Arial" w:cs="Arial"/>
          <w:sz w:val="16"/>
          <w:szCs w:val="16"/>
        </w:rPr>
        <w:t xml:space="preserve"> </w:t>
      </w:r>
      <w:r w:rsidRPr="009F2B90">
        <w:rPr>
          <w:rFonts w:ascii="Arial" w:hAnsi="Arial" w:cs="Arial"/>
          <w:sz w:val="16"/>
          <w:szCs w:val="16"/>
        </w:rPr>
        <w:t>su jubilación, ya que desde el momento en que éste es jubilado, termina la relación de trabajo y sólo</w:t>
      </w:r>
      <w:r>
        <w:rPr>
          <w:rFonts w:ascii="Arial" w:hAnsi="Arial" w:cs="Arial"/>
          <w:sz w:val="16"/>
          <w:szCs w:val="16"/>
        </w:rPr>
        <w:t xml:space="preserve"> </w:t>
      </w:r>
      <w:r w:rsidRPr="009F2B90">
        <w:rPr>
          <w:rFonts w:ascii="Arial" w:hAnsi="Arial" w:cs="Arial"/>
          <w:sz w:val="16"/>
          <w:szCs w:val="16"/>
        </w:rPr>
        <w:t>subsiste, en su favor, el derecho a percibir la pensión que se haya fijado en los términos del contrato</w:t>
      </w:r>
      <w:r>
        <w:rPr>
          <w:rFonts w:ascii="Arial" w:hAnsi="Arial" w:cs="Arial"/>
          <w:sz w:val="16"/>
          <w:szCs w:val="16"/>
        </w:rPr>
        <w:t xml:space="preserve"> </w:t>
      </w:r>
      <w:r w:rsidRPr="009F2B90">
        <w:rPr>
          <w:rFonts w:ascii="Arial" w:hAnsi="Arial" w:cs="Arial"/>
          <w:sz w:val="16"/>
          <w:szCs w:val="16"/>
        </w:rPr>
        <w:t>colectivo de trabajo y, a cargo del patrón, la obligación correlativa de cubrir esas prestaciones, las</w:t>
      </w:r>
      <w:r>
        <w:rPr>
          <w:rFonts w:ascii="Arial" w:hAnsi="Arial" w:cs="Arial"/>
          <w:sz w:val="16"/>
          <w:szCs w:val="16"/>
        </w:rPr>
        <w:t xml:space="preserve"> </w:t>
      </w:r>
      <w:r w:rsidRPr="009F2B90">
        <w:rPr>
          <w:rFonts w:ascii="Arial" w:hAnsi="Arial" w:cs="Arial"/>
          <w:sz w:val="16"/>
          <w:szCs w:val="16"/>
        </w:rPr>
        <w:t>que no constituyen salario en ninguna de sus formas, pues siendo éste, por definición, la</w:t>
      </w:r>
      <w:r>
        <w:rPr>
          <w:rFonts w:ascii="Arial" w:hAnsi="Arial" w:cs="Arial"/>
          <w:sz w:val="16"/>
          <w:szCs w:val="16"/>
        </w:rPr>
        <w:t xml:space="preserve"> </w:t>
      </w:r>
      <w:r w:rsidRPr="009F2B90">
        <w:rPr>
          <w:rFonts w:ascii="Arial" w:hAnsi="Arial" w:cs="Arial"/>
          <w:sz w:val="16"/>
          <w:szCs w:val="16"/>
        </w:rPr>
        <w:t>compensación que recibe el trabajador a cambio de sus servicios, no puede existir cuando éstos</w:t>
      </w:r>
      <w:r>
        <w:rPr>
          <w:rFonts w:ascii="Arial" w:hAnsi="Arial" w:cs="Arial"/>
          <w:sz w:val="16"/>
          <w:szCs w:val="16"/>
        </w:rPr>
        <w:t xml:space="preserve"> </w:t>
      </w:r>
      <w:r w:rsidRPr="009F2B90">
        <w:rPr>
          <w:rFonts w:ascii="Arial" w:hAnsi="Arial" w:cs="Arial"/>
          <w:sz w:val="16"/>
          <w:szCs w:val="16"/>
        </w:rPr>
        <w:t>han dejado de prestarse como consecuencia de la jubilación.</w:t>
      </w:r>
      <w:r>
        <w:rPr>
          <w:rFonts w:ascii="Arial" w:hAnsi="Arial" w:cs="Arial"/>
          <w:sz w:val="16"/>
          <w:szCs w:val="16"/>
        </w:rPr>
        <w:t>”</w:t>
      </w:r>
    </w:p>
    <w:p w14:paraId="570E16F8" w14:textId="77777777" w:rsidR="00EA73CE" w:rsidRDefault="00EA73CE" w:rsidP="00EA73CE">
      <w:pPr>
        <w:pStyle w:val="Textonotapie"/>
      </w:pPr>
    </w:p>
  </w:footnote>
  <w:footnote w:id="8">
    <w:p w14:paraId="439FA8BD" w14:textId="77777777" w:rsidR="000666A7" w:rsidRPr="008F4D26" w:rsidRDefault="000666A7" w:rsidP="000666A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5F19242A" w14:textId="77777777" w:rsidR="000666A7" w:rsidRPr="008F4D26" w:rsidRDefault="000666A7" w:rsidP="000666A7">
      <w:pPr>
        <w:pStyle w:val="Textonotapie"/>
        <w:rPr>
          <w:rFonts w:ascii="Arial" w:hAnsi="Arial" w:cs="Arial"/>
          <w:sz w:val="16"/>
          <w:szCs w:val="16"/>
        </w:rPr>
      </w:pPr>
      <w:r w:rsidRPr="008F4D26">
        <w:rPr>
          <w:rFonts w:ascii="Arial" w:hAnsi="Arial" w:cs="Arial"/>
          <w:sz w:val="16"/>
          <w:szCs w:val="16"/>
        </w:rPr>
        <w:t>….</w:t>
      </w:r>
    </w:p>
    <w:p w14:paraId="628D405D" w14:textId="77777777" w:rsidR="000666A7" w:rsidRPr="00194992" w:rsidRDefault="000666A7" w:rsidP="000666A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22A95E6" w14:textId="77777777" w:rsidR="00A360DF" w:rsidRDefault="00E27915">
        <w:pPr>
          <w:pStyle w:val="Encabezado"/>
          <w:jc w:val="center"/>
        </w:pPr>
        <w:r>
          <w:rPr>
            <w:noProof/>
          </w:rPr>
          <w:pict w14:anchorId="5FEB1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50392E">
          <w:fldChar w:fldCharType="begin"/>
        </w:r>
        <w:r w:rsidR="0050392E">
          <w:instrText>PAGE   \* MERGEFORMAT</w:instrText>
        </w:r>
        <w:r w:rsidR="0050392E">
          <w:fldChar w:fldCharType="separate"/>
        </w:r>
        <w:r w:rsidR="0050392E" w:rsidRPr="005347D8">
          <w:rPr>
            <w:noProof/>
            <w:lang w:val="es-ES"/>
          </w:rPr>
          <w:t>12</w:t>
        </w:r>
        <w:r w:rsidR="0050392E">
          <w:fldChar w:fldCharType="end"/>
        </w:r>
      </w:p>
    </w:sdtContent>
  </w:sdt>
  <w:p w14:paraId="66C58712" w14:textId="77777777" w:rsidR="00A360DF" w:rsidRDefault="00E2791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7F8DF" w14:textId="140E261F" w:rsidR="0051494B" w:rsidRDefault="0050392E"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0666A7">
      <w:rPr>
        <w:rFonts w:ascii="Century Schoolbook" w:hAnsi="Century Schoolbook" w:cs="Arial"/>
        <w:b/>
        <w:bCs/>
      </w:rPr>
      <w:t>008</w:t>
    </w:r>
    <w:r w:rsidRPr="00B61D83">
      <w:rPr>
        <w:rFonts w:ascii="Century Schoolbook" w:hAnsi="Century Schoolbook" w:cs="Arial"/>
        <w:b/>
        <w:bCs/>
      </w:rPr>
      <w:t>/202</w:t>
    </w:r>
    <w:r w:rsidR="000666A7">
      <w:rPr>
        <w:rFonts w:ascii="Century Schoolbook" w:hAnsi="Century Schoolbook" w:cs="Arial"/>
        <w:b/>
        <w:bCs/>
      </w:rPr>
      <w:t>2</w:t>
    </w:r>
  </w:p>
  <w:p w14:paraId="5388C1E0" w14:textId="77777777" w:rsidR="006C63C6" w:rsidRDefault="006C63C6" w:rsidP="006C63C6">
    <w:pPr>
      <w:pStyle w:val="Encabezado"/>
      <w:jc w:val="center"/>
      <w:rPr>
        <w:rFonts w:ascii="Arial" w:hAnsi="Arial" w:cs="Arial"/>
        <w:b/>
        <w:color w:val="0070C0"/>
      </w:rPr>
    </w:pPr>
  </w:p>
  <w:p w14:paraId="1B33416E" w14:textId="408284C5" w:rsidR="0051494B" w:rsidRPr="006C63C6" w:rsidRDefault="006C63C6" w:rsidP="006C63C6">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1861D835" w14:textId="77777777" w:rsidR="00A360DF" w:rsidRDefault="00E27915" w:rsidP="0051494B">
    <w:pPr>
      <w:pStyle w:val="Encabezado"/>
      <w:jc w:val="center"/>
    </w:pPr>
    <w:r>
      <w:rPr>
        <w:noProof/>
      </w:rPr>
      <w:pict w14:anchorId="5932F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50392E" w:rsidRPr="007112DA">
      <w:rPr>
        <w:noProof/>
        <w:sz w:val="22"/>
        <w:szCs w:val="22"/>
        <w:lang w:eastAsia="es-MX"/>
      </w:rPr>
      <mc:AlternateContent>
        <mc:Choice Requires="wpg">
          <w:drawing>
            <wp:anchor distT="0" distB="0" distL="114300" distR="114300" simplePos="0" relativeHeight="251659264" behindDoc="0" locked="0" layoutInCell="1" allowOverlap="1" wp14:anchorId="592CD675" wp14:editId="282C272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DA95E2"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8312C" w14:textId="77777777" w:rsidR="00A360DF" w:rsidRDefault="00E27915">
    <w:pPr>
      <w:pStyle w:val="Encabezado"/>
    </w:pPr>
    <w:r>
      <w:rPr>
        <w:noProof/>
      </w:rPr>
      <w:pict w14:anchorId="13104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A7"/>
    <w:rsid w:val="00007EA1"/>
    <w:rsid w:val="00010572"/>
    <w:rsid w:val="00036167"/>
    <w:rsid w:val="000534BC"/>
    <w:rsid w:val="000666A7"/>
    <w:rsid w:val="000C4632"/>
    <w:rsid w:val="000F6908"/>
    <w:rsid w:val="001053D1"/>
    <w:rsid w:val="00140FF9"/>
    <w:rsid w:val="00167417"/>
    <w:rsid w:val="00196E89"/>
    <w:rsid w:val="0025699C"/>
    <w:rsid w:val="002808AE"/>
    <w:rsid w:val="00312CA8"/>
    <w:rsid w:val="00312EBA"/>
    <w:rsid w:val="0032759E"/>
    <w:rsid w:val="003701A3"/>
    <w:rsid w:val="003D6C3A"/>
    <w:rsid w:val="00481590"/>
    <w:rsid w:val="004E1366"/>
    <w:rsid w:val="004E18E5"/>
    <w:rsid w:val="0050392E"/>
    <w:rsid w:val="005461C9"/>
    <w:rsid w:val="005750E6"/>
    <w:rsid w:val="00575544"/>
    <w:rsid w:val="005B0BAC"/>
    <w:rsid w:val="00692DB3"/>
    <w:rsid w:val="006A27C5"/>
    <w:rsid w:val="006B4611"/>
    <w:rsid w:val="006C63C6"/>
    <w:rsid w:val="007265C0"/>
    <w:rsid w:val="00732F1C"/>
    <w:rsid w:val="0076607B"/>
    <w:rsid w:val="007F5041"/>
    <w:rsid w:val="009B01CE"/>
    <w:rsid w:val="00A1196F"/>
    <w:rsid w:val="00A60316"/>
    <w:rsid w:val="00A86797"/>
    <w:rsid w:val="00AE711B"/>
    <w:rsid w:val="00B0208C"/>
    <w:rsid w:val="00BC5348"/>
    <w:rsid w:val="00BE68B8"/>
    <w:rsid w:val="00BF5BF3"/>
    <w:rsid w:val="00D22A46"/>
    <w:rsid w:val="00D72952"/>
    <w:rsid w:val="00D90838"/>
    <w:rsid w:val="00E01BD8"/>
    <w:rsid w:val="00E27915"/>
    <w:rsid w:val="00EA73CE"/>
    <w:rsid w:val="00F12A4A"/>
    <w:rsid w:val="00F50608"/>
    <w:rsid w:val="00F81146"/>
    <w:rsid w:val="00FA0C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FA5C711"/>
  <w15:chartTrackingRefBased/>
  <w15:docId w15:val="{0EC40935-654B-42B6-B098-C75B67F2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6A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666A7"/>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666A7"/>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0666A7"/>
    <w:pPr>
      <w:spacing w:after="0" w:line="240" w:lineRule="auto"/>
    </w:pPr>
    <w:rPr>
      <w:sz w:val="20"/>
      <w:szCs w:val="20"/>
    </w:rPr>
  </w:style>
  <w:style w:type="character" w:customStyle="1" w:styleId="TextonotapieCar">
    <w:name w:val="Texto nota pie Car"/>
    <w:basedOn w:val="Fuentedeprrafopredeter"/>
    <w:link w:val="Textonotapie"/>
    <w:uiPriority w:val="99"/>
    <w:rsid w:val="000666A7"/>
    <w:rPr>
      <w:rFonts w:eastAsiaTheme="minorEastAsia"/>
      <w:sz w:val="20"/>
      <w:szCs w:val="20"/>
      <w:lang w:eastAsia="es-MX"/>
    </w:rPr>
  </w:style>
  <w:style w:type="character" w:styleId="Refdenotaalpie">
    <w:name w:val="footnote reference"/>
    <w:basedOn w:val="Fuentedeprrafopredeter"/>
    <w:uiPriority w:val="99"/>
    <w:unhideWhenUsed/>
    <w:rsid w:val="000666A7"/>
    <w:rPr>
      <w:vertAlign w:val="superscript"/>
    </w:rPr>
  </w:style>
  <w:style w:type="paragraph" w:styleId="Piedepgina">
    <w:name w:val="footer"/>
    <w:basedOn w:val="Normal"/>
    <w:link w:val="PiedepginaCar"/>
    <w:uiPriority w:val="99"/>
    <w:unhideWhenUsed/>
    <w:rsid w:val="000666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66A7"/>
    <w:rPr>
      <w:rFonts w:eastAsiaTheme="minorEastAsia"/>
      <w:lang w:eastAsia="es-MX"/>
    </w:rPr>
  </w:style>
  <w:style w:type="character" w:styleId="Hipervnculo">
    <w:name w:val="Hyperlink"/>
    <w:basedOn w:val="Fuentedeprrafopredeter"/>
    <w:uiPriority w:val="99"/>
    <w:semiHidden/>
    <w:unhideWhenUsed/>
    <w:rsid w:val="000666A7"/>
    <w:rPr>
      <w:color w:val="0000FF"/>
      <w:u w:val="single"/>
    </w:rPr>
  </w:style>
  <w:style w:type="paragraph" w:styleId="NormalWeb">
    <w:name w:val="Normal (Web)"/>
    <w:basedOn w:val="Normal"/>
    <w:uiPriority w:val="99"/>
    <w:unhideWhenUsed/>
    <w:rsid w:val="000666A7"/>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692D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2DB3"/>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79336">
      <w:bodyDiv w:val="1"/>
      <w:marLeft w:val="0"/>
      <w:marRight w:val="0"/>
      <w:marTop w:val="0"/>
      <w:marBottom w:val="0"/>
      <w:divBdr>
        <w:top w:val="none" w:sz="0" w:space="0" w:color="auto"/>
        <w:left w:val="none" w:sz="0" w:space="0" w:color="auto"/>
        <w:bottom w:val="none" w:sz="0" w:space="0" w:color="auto"/>
        <w:right w:val="none" w:sz="0" w:space="0" w:color="auto"/>
      </w:divBdr>
    </w:div>
    <w:div w:id="380787164">
      <w:bodyDiv w:val="1"/>
      <w:marLeft w:val="0"/>
      <w:marRight w:val="0"/>
      <w:marTop w:val="0"/>
      <w:marBottom w:val="0"/>
      <w:divBdr>
        <w:top w:val="none" w:sz="0" w:space="0" w:color="auto"/>
        <w:left w:val="none" w:sz="0" w:space="0" w:color="auto"/>
        <w:bottom w:val="none" w:sz="0" w:space="0" w:color="auto"/>
        <w:right w:val="none" w:sz="0" w:space="0" w:color="auto"/>
      </w:divBdr>
    </w:div>
    <w:div w:id="1575630106">
      <w:bodyDiv w:val="1"/>
      <w:marLeft w:val="0"/>
      <w:marRight w:val="0"/>
      <w:marTop w:val="0"/>
      <w:marBottom w:val="0"/>
      <w:divBdr>
        <w:top w:val="none" w:sz="0" w:space="0" w:color="auto"/>
        <w:left w:val="none" w:sz="0" w:space="0" w:color="auto"/>
        <w:bottom w:val="none" w:sz="0" w:space="0" w:color="auto"/>
        <w:right w:val="none" w:sz="0" w:space="0" w:color="auto"/>
      </w:divBdr>
    </w:div>
    <w:div w:id="199756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563</TotalTime>
  <Pages>12</Pages>
  <Words>4384</Words>
  <Characters>24118</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13</cp:revision>
  <cp:lastPrinted>2023-01-10T17:15:00Z</cp:lastPrinted>
  <dcterms:created xsi:type="dcterms:W3CDTF">2022-09-14T15:10:00Z</dcterms:created>
  <dcterms:modified xsi:type="dcterms:W3CDTF">2023-01-10T17:15:00Z</dcterms:modified>
</cp:coreProperties>
</file>