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B4AFB0" w14:textId="77777777" w:rsidR="00D8434A" w:rsidRDefault="00D8434A" w:rsidP="007C7A1C">
      <w:pPr>
        <w:numPr>
          <w:ilvl w:val="1"/>
          <w:numId w:val="0"/>
        </w:numPr>
        <w:spacing w:after="160" w:line="360" w:lineRule="auto"/>
        <w:jc w:val="center"/>
        <w:rPr>
          <w:rFonts w:ascii="Arial" w:eastAsia="Times New Roman" w:hAnsi="Arial" w:cs="Arial"/>
          <w:b/>
          <w:bCs/>
          <w:color w:val="000000"/>
          <w:spacing w:val="15"/>
          <w:sz w:val="24"/>
          <w:szCs w:val="24"/>
          <w:lang w:eastAsia="en-US"/>
        </w:rPr>
      </w:pPr>
    </w:p>
    <w:p w14:paraId="770829EC" w14:textId="77777777" w:rsidR="007C7A1C" w:rsidRPr="00512412" w:rsidRDefault="007C7A1C" w:rsidP="007C7A1C">
      <w:pPr>
        <w:numPr>
          <w:ilvl w:val="1"/>
          <w:numId w:val="0"/>
        </w:numPr>
        <w:spacing w:after="160" w:line="360" w:lineRule="auto"/>
        <w:jc w:val="center"/>
        <w:rPr>
          <w:rFonts w:ascii="Arial" w:eastAsia="Times New Roman" w:hAnsi="Arial" w:cs="Arial"/>
          <w:b/>
          <w:bCs/>
          <w:color w:val="000000"/>
          <w:spacing w:val="15"/>
          <w:sz w:val="24"/>
          <w:szCs w:val="24"/>
          <w:lang w:eastAsia="en-US"/>
        </w:rPr>
      </w:pPr>
      <w:r w:rsidRPr="00512412">
        <w:rPr>
          <w:rFonts w:ascii="Arial" w:eastAsia="Times New Roman" w:hAnsi="Arial" w:cs="Arial"/>
          <w:b/>
          <w:bCs/>
          <w:color w:val="000000"/>
          <w:spacing w:val="15"/>
          <w:sz w:val="24"/>
          <w:szCs w:val="24"/>
          <w:lang w:eastAsia="en-US"/>
        </w:rPr>
        <w:t>PRIMERA SALA UNITARIA DE PRIMERA INSTANCIA DEL TRIBUNAL DE JUSTICIA ADMINISTRATIVA DEL ESTADO DE OAXACA.</w:t>
      </w:r>
    </w:p>
    <w:p w14:paraId="0F3D2D5C" w14:textId="77777777" w:rsidR="007C7A1C" w:rsidRPr="00512412" w:rsidRDefault="007C7A1C" w:rsidP="007C7A1C">
      <w:pPr>
        <w:tabs>
          <w:tab w:val="left" w:pos="6480"/>
        </w:tabs>
        <w:spacing w:after="160" w:line="360" w:lineRule="auto"/>
        <w:jc w:val="right"/>
        <w:rPr>
          <w:rFonts w:ascii="Calibri" w:eastAsia="Calibri" w:hAnsi="Calibri" w:cs="Times New Roman"/>
          <w:sz w:val="24"/>
          <w:szCs w:val="24"/>
          <w:lang w:eastAsia="en-US"/>
        </w:rPr>
      </w:pPr>
    </w:p>
    <w:p w14:paraId="3901E82E" w14:textId="1FC46483" w:rsidR="007C7A1C" w:rsidRPr="00512412" w:rsidRDefault="007C7A1C" w:rsidP="007C7A1C">
      <w:pPr>
        <w:spacing w:after="160" w:line="360" w:lineRule="auto"/>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Oaxaca de Juárez, Oaxaca, </w:t>
      </w:r>
      <w:r w:rsidR="00AC24D4">
        <w:rPr>
          <w:rFonts w:ascii="Arial" w:eastAsia="Calibri" w:hAnsi="Arial" w:cs="Arial"/>
          <w:b/>
          <w:bCs/>
          <w:sz w:val="24"/>
          <w:szCs w:val="24"/>
          <w:lang w:eastAsia="en-US"/>
        </w:rPr>
        <w:t>1</w:t>
      </w:r>
      <w:r w:rsidR="00280B62">
        <w:rPr>
          <w:rFonts w:ascii="Arial" w:eastAsia="Calibri" w:hAnsi="Arial" w:cs="Arial"/>
          <w:b/>
          <w:bCs/>
          <w:sz w:val="24"/>
          <w:szCs w:val="24"/>
          <w:lang w:eastAsia="en-US"/>
        </w:rPr>
        <w:t>8</w:t>
      </w:r>
      <w:r w:rsidR="00AC24D4">
        <w:rPr>
          <w:rFonts w:ascii="Arial" w:eastAsia="Calibri" w:hAnsi="Arial" w:cs="Arial"/>
          <w:b/>
          <w:bCs/>
          <w:sz w:val="24"/>
          <w:szCs w:val="24"/>
          <w:lang w:eastAsia="en-US"/>
        </w:rPr>
        <w:t xml:space="preserve"> de noviembre de 2022</w:t>
      </w:r>
      <w:r w:rsidRPr="00512412">
        <w:rPr>
          <w:rFonts w:ascii="Arial" w:eastAsia="Calibri" w:hAnsi="Arial" w:cs="Arial"/>
          <w:b/>
          <w:bCs/>
          <w:sz w:val="24"/>
          <w:szCs w:val="24"/>
          <w:lang w:eastAsia="en-US"/>
        </w:rPr>
        <w:t>.</w:t>
      </w:r>
    </w:p>
    <w:p w14:paraId="19350AAC" w14:textId="77777777" w:rsidR="007C7A1C" w:rsidRPr="00512412" w:rsidRDefault="007C7A1C" w:rsidP="007C7A1C">
      <w:pPr>
        <w:tabs>
          <w:tab w:val="left" w:pos="6480"/>
        </w:tabs>
        <w:spacing w:after="160" w:line="360" w:lineRule="auto"/>
        <w:rPr>
          <w:rFonts w:ascii="Calibri" w:eastAsia="Calibri" w:hAnsi="Calibri" w:cs="Times New Roman"/>
          <w:sz w:val="24"/>
          <w:szCs w:val="24"/>
          <w:lang w:eastAsia="en-US"/>
        </w:rPr>
      </w:pPr>
    </w:p>
    <w:p w14:paraId="22E739C9" w14:textId="77777777" w:rsidR="007C7A1C" w:rsidRPr="00512412" w:rsidRDefault="007C7A1C" w:rsidP="007C7A1C">
      <w:pPr>
        <w:tabs>
          <w:tab w:val="left" w:pos="6480"/>
        </w:tabs>
        <w:spacing w:after="160" w:line="360"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A S U N T O</w:t>
      </w:r>
    </w:p>
    <w:p w14:paraId="1BA08A92" w14:textId="107D429C" w:rsidR="007C7A1C" w:rsidRDefault="007C7A1C" w:rsidP="007C7A1C">
      <w:pPr>
        <w:tabs>
          <w:tab w:val="left" w:pos="284"/>
          <w:tab w:val="left" w:pos="426"/>
          <w:tab w:val="right" w:pos="9072"/>
        </w:tabs>
        <w:spacing w:after="0" w:line="360" w:lineRule="auto"/>
        <w:ind w:right="-234" w:firstLine="567"/>
        <w:jc w:val="both"/>
        <w:rPr>
          <w:rFonts w:ascii="Arial" w:hAnsi="Arial" w:cs="Arial"/>
          <w:b/>
          <w:sz w:val="24"/>
          <w:szCs w:val="24"/>
        </w:rPr>
      </w:pPr>
      <w:r w:rsidRPr="00512412">
        <w:rPr>
          <w:rFonts w:ascii="Arial" w:hAnsi="Arial" w:cs="Arial"/>
          <w:sz w:val="24"/>
          <w:szCs w:val="24"/>
        </w:rPr>
        <w:t xml:space="preserve">Se emite sentencia en el juicio de nulidad de número </w:t>
      </w:r>
      <w:r w:rsidR="00AC24D4">
        <w:rPr>
          <w:rFonts w:ascii="Arial" w:hAnsi="Arial" w:cs="Arial"/>
          <w:b/>
          <w:sz w:val="24"/>
          <w:szCs w:val="24"/>
        </w:rPr>
        <w:t>00</w:t>
      </w:r>
      <w:r w:rsidR="00280B62">
        <w:rPr>
          <w:rFonts w:ascii="Arial" w:hAnsi="Arial" w:cs="Arial"/>
          <w:b/>
          <w:sz w:val="24"/>
          <w:szCs w:val="24"/>
        </w:rPr>
        <w:t>82</w:t>
      </w:r>
      <w:r w:rsidRPr="00512412">
        <w:rPr>
          <w:rFonts w:ascii="Arial" w:hAnsi="Arial" w:cs="Arial"/>
          <w:b/>
          <w:sz w:val="24"/>
          <w:szCs w:val="24"/>
        </w:rPr>
        <w:t>/20</w:t>
      </w:r>
      <w:r w:rsidR="007751BD">
        <w:rPr>
          <w:rFonts w:ascii="Arial" w:hAnsi="Arial" w:cs="Arial"/>
          <w:b/>
          <w:sz w:val="24"/>
          <w:szCs w:val="24"/>
        </w:rPr>
        <w:t>2</w:t>
      </w:r>
      <w:r w:rsidR="0003411E">
        <w:rPr>
          <w:rFonts w:ascii="Arial" w:hAnsi="Arial" w:cs="Arial"/>
          <w:b/>
          <w:sz w:val="24"/>
          <w:szCs w:val="24"/>
        </w:rPr>
        <w:t>1</w:t>
      </w:r>
      <w:r w:rsidRPr="00512412">
        <w:rPr>
          <w:rFonts w:ascii="Arial" w:hAnsi="Arial" w:cs="Arial"/>
          <w:sz w:val="24"/>
          <w:szCs w:val="24"/>
        </w:rPr>
        <w:t>, promovido por</w:t>
      </w:r>
      <w:r w:rsidRPr="00512412">
        <w:rPr>
          <w:rFonts w:ascii="Arial" w:hAnsi="Arial" w:cs="Arial"/>
          <w:b/>
          <w:sz w:val="24"/>
          <w:szCs w:val="24"/>
        </w:rPr>
        <w:t xml:space="preserve"> </w:t>
      </w:r>
      <w:r w:rsidR="00D8434A">
        <w:rPr>
          <w:rFonts w:ascii="Arial" w:hAnsi="Arial" w:cs="Arial"/>
          <w:b/>
          <w:sz w:val="24"/>
          <w:szCs w:val="24"/>
        </w:rPr>
        <w:t>**********</w:t>
      </w:r>
      <w:r w:rsidR="007751BD">
        <w:rPr>
          <w:rFonts w:ascii="Arial" w:hAnsi="Arial" w:cs="Arial"/>
          <w:b/>
          <w:sz w:val="24"/>
          <w:szCs w:val="24"/>
        </w:rPr>
        <w:t xml:space="preserve"> </w:t>
      </w:r>
      <w:r w:rsidRPr="00512412">
        <w:rPr>
          <w:rFonts w:ascii="Arial" w:hAnsi="Arial" w:cs="Arial"/>
          <w:sz w:val="24"/>
          <w:szCs w:val="24"/>
        </w:rPr>
        <w:t>en contra de</w:t>
      </w:r>
      <w:r w:rsidR="00280B62">
        <w:rPr>
          <w:rFonts w:ascii="Arial" w:hAnsi="Arial" w:cs="Arial"/>
          <w:sz w:val="24"/>
          <w:szCs w:val="24"/>
        </w:rPr>
        <w:t xml:space="preserve">l </w:t>
      </w:r>
      <w:r w:rsidR="00280B62">
        <w:rPr>
          <w:rFonts w:ascii="Arial" w:hAnsi="Arial" w:cs="Arial"/>
          <w:b/>
          <w:bCs/>
          <w:sz w:val="24"/>
          <w:szCs w:val="24"/>
        </w:rPr>
        <w:t>POLICÍA VÍAL ESTATAL APV 261</w:t>
      </w:r>
      <w:r w:rsidR="007751BD">
        <w:rPr>
          <w:rFonts w:ascii="Arial" w:hAnsi="Arial" w:cs="Arial"/>
          <w:b/>
          <w:bCs/>
          <w:sz w:val="24"/>
          <w:szCs w:val="24"/>
        </w:rPr>
        <w:t xml:space="preserve">. </w:t>
      </w:r>
      <w:r w:rsidRPr="00512412">
        <w:rPr>
          <w:rFonts w:ascii="Arial" w:hAnsi="Arial" w:cs="Arial"/>
          <w:b/>
          <w:sz w:val="24"/>
          <w:szCs w:val="24"/>
        </w:rPr>
        <w:t xml:space="preserve"> </w:t>
      </w:r>
    </w:p>
    <w:p w14:paraId="475056CC" w14:textId="77777777" w:rsidR="003A730F" w:rsidRDefault="003A730F" w:rsidP="007C7A1C">
      <w:pPr>
        <w:tabs>
          <w:tab w:val="left" w:pos="284"/>
          <w:tab w:val="left" w:pos="426"/>
          <w:tab w:val="right" w:pos="9072"/>
        </w:tabs>
        <w:spacing w:after="0" w:line="360" w:lineRule="auto"/>
        <w:ind w:right="-234" w:firstLine="567"/>
        <w:jc w:val="both"/>
        <w:rPr>
          <w:rFonts w:ascii="Arial" w:hAnsi="Arial" w:cs="Arial"/>
          <w:b/>
          <w:sz w:val="24"/>
          <w:szCs w:val="24"/>
        </w:rPr>
      </w:pPr>
    </w:p>
    <w:p w14:paraId="752A6775" w14:textId="77777777" w:rsidR="003A730F" w:rsidRPr="00512412" w:rsidRDefault="003A730F" w:rsidP="003A730F">
      <w:pPr>
        <w:spacing w:after="160" w:line="360"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R E S U L T A N D O </w:t>
      </w:r>
    </w:p>
    <w:p w14:paraId="76CFF56D" w14:textId="0B2B5147" w:rsidR="003A730F" w:rsidRPr="00512412" w:rsidRDefault="003A730F" w:rsidP="003A730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1°.</w:t>
      </w:r>
      <w:r w:rsidRPr="00512412">
        <w:rPr>
          <w:rFonts w:ascii="Arial" w:eastAsia="Calibri" w:hAnsi="Arial" w:cs="Arial"/>
          <w:sz w:val="24"/>
          <w:szCs w:val="24"/>
          <w:lang w:eastAsia="en-US"/>
        </w:rPr>
        <w:t xml:space="preserve"> Mediante escrito presentado </w:t>
      </w:r>
      <w:r>
        <w:rPr>
          <w:rFonts w:ascii="Arial" w:eastAsia="Calibri" w:hAnsi="Arial" w:cs="Arial"/>
          <w:sz w:val="24"/>
          <w:szCs w:val="24"/>
          <w:lang w:eastAsia="en-US"/>
        </w:rPr>
        <w:t xml:space="preserve">el día </w:t>
      </w:r>
      <w:r w:rsidR="00280B62">
        <w:rPr>
          <w:rFonts w:ascii="Arial" w:eastAsia="Calibri" w:hAnsi="Arial" w:cs="Arial"/>
          <w:sz w:val="24"/>
          <w:szCs w:val="24"/>
          <w:lang w:eastAsia="en-US"/>
        </w:rPr>
        <w:t>veinte de octubre de dos mil veintiuno</w:t>
      </w:r>
      <w:r w:rsidR="00513C70">
        <w:rPr>
          <w:rFonts w:ascii="Arial" w:eastAsia="Calibri" w:hAnsi="Arial" w:cs="Arial"/>
          <w:sz w:val="24"/>
          <w:szCs w:val="24"/>
          <w:lang w:eastAsia="en-US"/>
        </w:rPr>
        <w:t xml:space="preserve">, </w:t>
      </w:r>
      <w:r w:rsidR="00D8434A">
        <w:rPr>
          <w:rFonts w:ascii="Arial" w:hAnsi="Arial" w:cs="Arial"/>
          <w:bCs/>
          <w:sz w:val="24"/>
          <w:szCs w:val="24"/>
        </w:rPr>
        <w:t>**********</w:t>
      </w:r>
      <w:r w:rsidR="00AC24D4">
        <w:rPr>
          <w:rFonts w:ascii="Arial" w:hAnsi="Arial" w:cs="Arial"/>
          <w:bCs/>
          <w:sz w:val="24"/>
          <w:szCs w:val="24"/>
        </w:rPr>
        <w:t xml:space="preserve"> </w:t>
      </w:r>
      <w:r>
        <w:rPr>
          <w:rFonts w:ascii="Arial" w:eastAsia="Calibri" w:hAnsi="Arial" w:cs="Arial"/>
          <w:sz w:val="24"/>
          <w:szCs w:val="24"/>
          <w:lang w:eastAsia="en-US"/>
        </w:rPr>
        <w:t xml:space="preserve">demandó </w:t>
      </w:r>
      <w:r w:rsidRPr="006E6EB1">
        <w:rPr>
          <w:rFonts w:ascii="Arial" w:eastAsia="Calibri" w:hAnsi="Arial" w:cs="Arial"/>
          <w:sz w:val="24"/>
          <w:szCs w:val="24"/>
          <w:lang w:eastAsia="en-US"/>
        </w:rPr>
        <w:t>la nulidad d</w:t>
      </w:r>
      <w:r w:rsidR="007751BD">
        <w:rPr>
          <w:rFonts w:ascii="Arial" w:eastAsia="Calibri" w:hAnsi="Arial" w:cs="Arial"/>
          <w:sz w:val="24"/>
          <w:szCs w:val="24"/>
          <w:lang w:eastAsia="en-US"/>
        </w:rPr>
        <w:t>el</w:t>
      </w:r>
      <w:r w:rsidR="00280B62">
        <w:rPr>
          <w:rFonts w:ascii="Arial" w:eastAsia="Calibri" w:hAnsi="Arial" w:cs="Arial"/>
          <w:sz w:val="24"/>
          <w:szCs w:val="24"/>
          <w:lang w:eastAsia="en-US"/>
        </w:rPr>
        <w:t xml:space="preserve"> acta de infracción con número de folio </w:t>
      </w:r>
      <w:r w:rsidR="00D8434A">
        <w:rPr>
          <w:rFonts w:ascii="Arial" w:eastAsia="Calibri" w:hAnsi="Arial" w:cs="Arial"/>
          <w:sz w:val="24"/>
          <w:szCs w:val="24"/>
          <w:lang w:eastAsia="en-US"/>
        </w:rPr>
        <w:t>**********</w:t>
      </w:r>
      <w:r w:rsidR="00280B62">
        <w:rPr>
          <w:rFonts w:ascii="Arial" w:eastAsia="Calibri" w:hAnsi="Arial" w:cs="Arial"/>
          <w:sz w:val="24"/>
          <w:szCs w:val="24"/>
          <w:lang w:eastAsia="en-US"/>
        </w:rPr>
        <w:t xml:space="preserve"> de fecha quince de julio de dos mil veintiuno</w:t>
      </w:r>
      <w:r w:rsidRPr="00512412">
        <w:rPr>
          <w:rFonts w:ascii="Arial" w:eastAsia="Calibri" w:hAnsi="Arial" w:cs="Arial"/>
          <w:sz w:val="24"/>
          <w:szCs w:val="24"/>
          <w:lang w:eastAsia="en-US"/>
        </w:rPr>
        <w:t>, demanda que por razón de turno tocó conocer a esta Primera Sala Unitaria de Primera Instancia del Tribunal de Justicia Administrativa del Estado.</w:t>
      </w:r>
    </w:p>
    <w:p w14:paraId="2307559A" w14:textId="2A9E43BA" w:rsidR="003A730F" w:rsidRDefault="003A730F" w:rsidP="003A730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2°.</w:t>
      </w:r>
      <w:r w:rsidRPr="00512412">
        <w:rPr>
          <w:rFonts w:ascii="Arial" w:eastAsia="Calibri" w:hAnsi="Arial" w:cs="Arial"/>
          <w:sz w:val="24"/>
          <w:szCs w:val="24"/>
          <w:lang w:eastAsia="en-US"/>
        </w:rPr>
        <w:t xml:space="preserve"> Por acuerdo del</w:t>
      </w:r>
      <w:r>
        <w:rPr>
          <w:rFonts w:ascii="Arial" w:eastAsia="Calibri" w:hAnsi="Arial" w:cs="Arial"/>
          <w:sz w:val="24"/>
          <w:szCs w:val="24"/>
          <w:lang w:eastAsia="en-US"/>
        </w:rPr>
        <w:t xml:space="preserve"> </w:t>
      </w:r>
      <w:r w:rsidR="00280B62">
        <w:rPr>
          <w:rFonts w:ascii="Arial" w:eastAsia="Calibri" w:hAnsi="Arial" w:cs="Arial"/>
          <w:sz w:val="24"/>
          <w:szCs w:val="24"/>
          <w:lang w:eastAsia="en-US"/>
        </w:rPr>
        <w:t>veinte de octubre de dos mil veintiuno</w:t>
      </w:r>
      <w:r w:rsidRPr="00512412">
        <w:rPr>
          <w:rFonts w:ascii="Arial" w:eastAsia="Calibri" w:hAnsi="Arial" w:cs="Arial"/>
          <w:sz w:val="24"/>
          <w:szCs w:val="24"/>
          <w:lang w:eastAsia="en-US"/>
        </w:rPr>
        <w:t>, se admitió a trámite  la demanda en comentó, ordenándose  correr traslado a la autorida</w:t>
      </w:r>
      <w:r w:rsidR="00513C70">
        <w:rPr>
          <w:rFonts w:ascii="Arial" w:eastAsia="Calibri" w:hAnsi="Arial" w:cs="Arial"/>
          <w:sz w:val="24"/>
          <w:szCs w:val="24"/>
          <w:lang w:eastAsia="en-US"/>
        </w:rPr>
        <w:t>d</w:t>
      </w:r>
      <w:r w:rsidRPr="00512412">
        <w:rPr>
          <w:rFonts w:ascii="Arial" w:eastAsia="Calibri" w:hAnsi="Arial" w:cs="Arial"/>
          <w:sz w:val="24"/>
          <w:szCs w:val="24"/>
          <w:lang w:eastAsia="en-US"/>
        </w:rPr>
        <w:t xml:space="preserve"> enjuiciada para que diera contestación  a la misma dentro del término de nueve días hábiles siguientes a aquel en que surtiera efectos la notificación correspondiente, con el apercibimiento de que en caso de no hacerlo este Tribunal l</w:t>
      </w:r>
      <w:r w:rsidR="00513C70">
        <w:rPr>
          <w:rFonts w:ascii="Arial" w:eastAsia="Calibri" w:hAnsi="Arial" w:cs="Arial"/>
          <w:sz w:val="24"/>
          <w:szCs w:val="24"/>
          <w:lang w:eastAsia="en-US"/>
        </w:rPr>
        <w:t>a</w:t>
      </w:r>
      <w:r w:rsidRPr="00512412">
        <w:rPr>
          <w:rFonts w:ascii="Arial" w:eastAsia="Calibri" w:hAnsi="Arial" w:cs="Arial"/>
          <w:sz w:val="24"/>
          <w:szCs w:val="24"/>
          <w:lang w:eastAsia="en-US"/>
        </w:rPr>
        <w:t xml:space="preserve"> tendría por contestando en sentido afirmativo  y también que en  caso de no referirse a todos los hechos planteados en la demanda se le tendrían por ciertos, salvo prueba en contrario; en otro aspecto y de las pruebas ofrecidas se  tuvieron por admitidas las señaladas en el acuerdo mencionado.</w:t>
      </w:r>
    </w:p>
    <w:p w14:paraId="6B6BCA49" w14:textId="05DAAB9E" w:rsidR="003A730F" w:rsidRDefault="003A730F" w:rsidP="003A730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3°.</w:t>
      </w:r>
      <w:r w:rsidRPr="00512412">
        <w:rPr>
          <w:rFonts w:ascii="Arial" w:eastAsia="Calibri" w:hAnsi="Arial" w:cs="Arial"/>
          <w:sz w:val="24"/>
          <w:szCs w:val="24"/>
          <w:lang w:eastAsia="en-US"/>
        </w:rPr>
        <w:t xml:space="preserve"> Por acuerdo de </w:t>
      </w:r>
      <w:r w:rsidR="00280B62">
        <w:rPr>
          <w:rFonts w:ascii="Arial" w:eastAsia="Calibri" w:hAnsi="Arial" w:cs="Arial"/>
          <w:sz w:val="24"/>
          <w:szCs w:val="24"/>
          <w:lang w:eastAsia="en-US"/>
        </w:rPr>
        <w:t>once de octubre de</w:t>
      </w:r>
      <w:r w:rsidR="006B1484">
        <w:rPr>
          <w:rFonts w:ascii="Arial" w:eastAsia="Calibri" w:hAnsi="Arial" w:cs="Arial"/>
          <w:sz w:val="24"/>
          <w:szCs w:val="24"/>
          <w:lang w:eastAsia="en-US"/>
        </w:rPr>
        <w:t xml:space="preserve"> dos mil veintidós</w:t>
      </w:r>
      <w:r w:rsidRPr="00512412">
        <w:rPr>
          <w:rFonts w:ascii="Arial" w:eastAsia="Calibri" w:hAnsi="Arial" w:cs="Arial"/>
          <w:sz w:val="24"/>
          <w:szCs w:val="24"/>
          <w:lang w:eastAsia="en-US"/>
        </w:rPr>
        <w:t xml:space="preserve"> se tuvo </w:t>
      </w:r>
      <w:r w:rsidR="00280B62">
        <w:rPr>
          <w:rFonts w:ascii="Arial" w:eastAsia="Calibri" w:hAnsi="Arial" w:cs="Arial"/>
          <w:sz w:val="24"/>
          <w:szCs w:val="24"/>
          <w:lang w:eastAsia="en-US"/>
        </w:rPr>
        <w:t>a la autoridad demandada</w:t>
      </w:r>
      <w:r w:rsidRPr="00171708">
        <w:rPr>
          <w:rFonts w:ascii="Arial" w:eastAsia="Calibri" w:hAnsi="Arial" w:cs="Arial"/>
          <w:sz w:val="24"/>
          <w:szCs w:val="24"/>
          <w:lang w:eastAsia="en-US"/>
        </w:rPr>
        <w:t xml:space="preserve"> contestando la demanda de nulidad y se tuvieron por admitidas las pruebas ofrecidas por la autoridad demandada.</w:t>
      </w:r>
      <w:r w:rsidR="00FB303C">
        <w:rPr>
          <w:rFonts w:ascii="Arial" w:eastAsia="Calibri" w:hAnsi="Arial" w:cs="Arial"/>
          <w:sz w:val="24"/>
          <w:szCs w:val="24"/>
          <w:lang w:eastAsia="en-US"/>
        </w:rPr>
        <w:t xml:space="preserve"> </w:t>
      </w:r>
    </w:p>
    <w:p w14:paraId="219A7C67" w14:textId="73690F5A" w:rsidR="003A730F" w:rsidRDefault="003A730F" w:rsidP="003A730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4°.</w:t>
      </w:r>
      <w:r w:rsidRPr="00512412">
        <w:rPr>
          <w:rFonts w:ascii="Arial" w:eastAsia="Calibri" w:hAnsi="Arial" w:cs="Arial"/>
          <w:sz w:val="24"/>
          <w:szCs w:val="24"/>
          <w:lang w:eastAsia="en-US"/>
        </w:rPr>
        <w:t xml:space="preserve"> </w:t>
      </w:r>
      <w:r w:rsidR="006B1484">
        <w:rPr>
          <w:rFonts w:ascii="Arial" w:eastAsia="Calibri" w:hAnsi="Arial" w:cs="Arial"/>
          <w:sz w:val="24"/>
          <w:szCs w:val="24"/>
          <w:lang w:eastAsia="en-US"/>
        </w:rPr>
        <w:t xml:space="preserve">Por acuerdo de fecha once de octubre de dos mil veintidós se fijaron las once horas del </w:t>
      </w:r>
      <w:r w:rsidR="00280B62">
        <w:rPr>
          <w:rFonts w:ascii="Arial" w:eastAsia="Calibri" w:hAnsi="Arial" w:cs="Arial"/>
          <w:sz w:val="24"/>
          <w:szCs w:val="24"/>
          <w:lang w:eastAsia="en-US"/>
        </w:rPr>
        <w:t>veintisiete</w:t>
      </w:r>
      <w:r w:rsidR="006B1484">
        <w:rPr>
          <w:rFonts w:ascii="Arial" w:eastAsia="Calibri" w:hAnsi="Arial" w:cs="Arial"/>
          <w:sz w:val="24"/>
          <w:szCs w:val="24"/>
          <w:lang w:eastAsia="en-US"/>
        </w:rPr>
        <w:t xml:space="preserve"> de octubre de dos mil veintidós </w:t>
      </w:r>
      <w:r w:rsidR="00280B62">
        <w:rPr>
          <w:rFonts w:ascii="Arial" w:eastAsia="Calibri" w:hAnsi="Arial" w:cs="Arial"/>
          <w:sz w:val="24"/>
          <w:szCs w:val="24"/>
          <w:lang w:eastAsia="en-US"/>
        </w:rPr>
        <w:t xml:space="preserve">para que tuviera verificativo la Audiencia Final </w:t>
      </w:r>
      <w:r w:rsidR="006B1484">
        <w:rPr>
          <w:rFonts w:ascii="Arial" w:eastAsia="Calibri" w:hAnsi="Arial" w:cs="Arial"/>
          <w:sz w:val="24"/>
          <w:szCs w:val="24"/>
          <w:lang w:eastAsia="en-US"/>
        </w:rPr>
        <w:t>mism</w:t>
      </w:r>
      <w:r w:rsidR="00280B62">
        <w:rPr>
          <w:rFonts w:ascii="Arial" w:eastAsia="Calibri" w:hAnsi="Arial" w:cs="Arial"/>
          <w:sz w:val="24"/>
          <w:szCs w:val="24"/>
          <w:lang w:eastAsia="en-US"/>
        </w:rPr>
        <w:t xml:space="preserve">a </w:t>
      </w:r>
      <w:r w:rsidR="006B1484">
        <w:rPr>
          <w:rFonts w:ascii="Arial" w:eastAsia="Calibri" w:hAnsi="Arial" w:cs="Arial"/>
          <w:sz w:val="24"/>
          <w:szCs w:val="24"/>
          <w:lang w:eastAsia="en-US"/>
        </w:rPr>
        <w:t>que se celebró e</w:t>
      </w:r>
      <w:r w:rsidR="003C1EC7">
        <w:rPr>
          <w:rFonts w:ascii="Arial" w:eastAsia="Calibri" w:hAnsi="Arial" w:cs="Arial"/>
          <w:sz w:val="24"/>
          <w:szCs w:val="24"/>
          <w:lang w:eastAsia="en-US"/>
        </w:rPr>
        <w:t xml:space="preserve">l día señalado </w:t>
      </w:r>
      <w:r w:rsidR="0085386F">
        <w:rPr>
          <w:rFonts w:ascii="Arial" w:eastAsia="Calibri" w:hAnsi="Arial" w:cs="Arial"/>
          <w:sz w:val="24"/>
          <w:szCs w:val="24"/>
          <w:lang w:eastAsia="en-US"/>
        </w:rPr>
        <w:t xml:space="preserve">donde </w:t>
      </w:r>
      <w:r>
        <w:rPr>
          <w:rFonts w:ascii="Arial" w:eastAsia="Calibri" w:hAnsi="Arial" w:cs="Arial"/>
          <w:sz w:val="24"/>
          <w:szCs w:val="24"/>
          <w:lang w:eastAsia="en-US"/>
        </w:rPr>
        <w:t>se hizo constar</w:t>
      </w:r>
      <w:r w:rsidR="0085386F">
        <w:rPr>
          <w:rFonts w:ascii="Arial" w:eastAsia="Calibri" w:hAnsi="Arial" w:cs="Arial"/>
          <w:sz w:val="24"/>
          <w:szCs w:val="24"/>
          <w:lang w:eastAsia="en-US"/>
        </w:rPr>
        <w:t xml:space="preserve"> que no se encontraron presentes las partes ni persona alguna que legalmente las representara</w:t>
      </w:r>
      <w:r w:rsidRPr="00512412">
        <w:rPr>
          <w:rFonts w:ascii="Arial" w:eastAsia="Calibri" w:hAnsi="Arial" w:cs="Arial"/>
          <w:sz w:val="24"/>
          <w:szCs w:val="24"/>
          <w:lang w:eastAsia="en-US"/>
        </w:rPr>
        <w:t xml:space="preserve">; en el periodo de pruebas se tuvieron por </w:t>
      </w:r>
      <w:r w:rsidRPr="00512412">
        <w:rPr>
          <w:rFonts w:ascii="Arial" w:eastAsia="Calibri" w:hAnsi="Arial" w:cs="Arial"/>
          <w:sz w:val="24"/>
          <w:szCs w:val="24"/>
          <w:lang w:eastAsia="en-US"/>
        </w:rPr>
        <w:lastRenderedPageBreak/>
        <w:t xml:space="preserve">desahogadas por su propia y especial naturaleza las pruebas ofrecidas por las partes; en el periodo de alegatos se hizo constar </w:t>
      </w:r>
      <w:r w:rsidR="0085386F">
        <w:rPr>
          <w:rFonts w:ascii="Arial" w:eastAsia="Calibri" w:hAnsi="Arial" w:cs="Arial"/>
          <w:sz w:val="24"/>
          <w:szCs w:val="24"/>
          <w:lang w:eastAsia="en-US"/>
        </w:rPr>
        <w:t>que las partes no presentaron escritos de alegatos</w:t>
      </w:r>
      <w:r>
        <w:rPr>
          <w:rFonts w:ascii="Arial" w:eastAsia="Calibri" w:hAnsi="Arial" w:cs="Arial"/>
          <w:sz w:val="24"/>
          <w:szCs w:val="24"/>
          <w:lang w:eastAsia="en-US"/>
        </w:rPr>
        <w:t xml:space="preserve"> por lo que se les tuvo por perdido su derecho </w:t>
      </w:r>
      <w:r w:rsidRPr="00512412">
        <w:rPr>
          <w:rFonts w:ascii="Arial" w:eastAsia="Calibri" w:hAnsi="Arial" w:cs="Arial"/>
          <w:sz w:val="24"/>
          <w:szCs w:val="24"/>
          <w:lang w:eastAsia="en-US"/>
        </w:rPr>
        <w:t>y se cerró dicho periodo quedando el asunto integrado y en estado de resolución, finalmente se emite sentencia en los siguientes términos:</w:t>
      </w:r>
    </w:p>
    <w:p w14:paraId="3D48B7CA" w14:textId="77777777" w:rsidR="0085386F" w:rsidRPr="00512412" w:rsidRDefault="0085386F" w:rsidP="0085386F">
      <w:pPr>
        <w:spacing w:after="160" w:line="360"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C O N S I D E R A N D O </w:t>
      </w:r>
    </w:p>
    <w:p w14:paraId="364191BE" w14:textId="77777777" w:rsidR="0085386F" w:rsidRPr="00512412" w:rsidRDefault="0085386F" w:rsidP="0085386F">
      <w:pPr>
        <w:spacing w:after="160" w:line="360" w:lineRule="auto"/>
        <w:ind w:firstLine="709"/>
        <w:jc w:val="both"/>
        <w:rPr>
          <w:rFonts w:ascii="Arial" w:eastAsia="Calibri" w:hAnsi="Arial" w:cs="Arial"/>
          <w:sz w:val="24"/>
          <w:szCs w:val="24"/>
          <w:lang w:eastAsia="en-US"/>
        </w:rPr>
      </w:pPr>
      <w:r w:rsidRPr="00512412">
        <w:rPr>
          <w:rFonts w:ascii="Arial" w:eastAsia="Calibri" w:hAnsi="Arial" w:cs="Arial"/>
          <w:b/>
          <w:bCs/>
          <w:sz w:val="24"/>
          <w:szCs w:val="24"/>
          <w:lang w:eastAsia="en-US"/>
        </w:rPr>
        <w:t>PRIMERO.</w:t>
      </w:r>
      <w:r w:rsidRPr="00512412">
        <w:rPr>
          <w:rFonts w:ascii="Arial" w:eastAsia="Calibri" w:hAnsi="Arial" w:cs="Arial"/>
          <w:sz w:val="24"/>
          <w:szCs w:val="24"/>
          <w:lang w:eastAsia="en-US"/>
        </w:rPr>
        <w:t xml:space="preserve">  Esta Primera Sala Unitaria de Primera Instancia del Tribunal de Justicia Administrativa del Estado de Oaxaca, es </w:t>
      </w:r>
      <w:r w:rsidRPr="00512412">
        <w:rPr>
          <w:rFonts w:ascii="Arial" w:eastAsia="Calibri" w:hAnsi="Arial" w:cs="Arial"/>
          <w:b/>
          <w:bCs/>
          <w:sz w:val="24"/>
          <w:szCs w:val="24"/>
          <w:lang w:eastAsia="en-US"/>
        </w:rPr>
        <w:t>competente</w:t>
      </w:r>
      <w:r w:rsidRPr="00512412">
        <w:rPr>
          <w:rFonts w:ascii="Arial" w:eastAsia="Calibri" w:hAnsi="Arial" w:cs="Arial"/>
          <w:sz w:val="24"/>
          <w:szCs w:val="24"/>
          <w:lang w:eastAsia="en-US"/>
        </w:rPr>
        <w:t xml:space="preserve"> para conocer y resolver del presente juicio de nulidad, de conformidad a lo establecido en el artículo 114 Quáter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512412">
        <w:rPr>
          <w:rFonts w:ascii="Arial" w:eastAsia="Calibri" w:hAnsi="Arial" w:cs="Arial"/>
          <w:b/>
          <w:sz w:val="24"/>
          <w:szCs w:val="24"/>
          <w:lang w:eastAsia="en-US"/>
        </w:rPr>
        <w:t xml:space="preserve">carácter </w:t>
      </w:r>
      <w:r>
        <w:rPr>
          <w:rFonts w:ascii="Arial" w:eastAsia="Calibri" w:hAnsi="Arial" w:cs="Arial"/>
          <w:b/>
          <w:sz w:val="24"/>
          <w:szCs w:val="24"/>
          <w:lang w:eastAsia="en-US"/>
        </w:rPr>
        <w:t>estatal</w:t>
      </w:r>
      <w:r w:rsidRPr="00512412">
        <w:rPr>
          <w:rFonts w:ascii="Arial" w:eastAsia="Calibri" w:hAnsi="Arial" w:cs="Arial"/>
          <w:sz w:val="24"/>
          <w:szCs w:val="24"/>
          <w:lang w:eastAsia="en-US"/>
        </w:rPr>
        <w:t xml:space="preserve">. </w:t>
      </w:r>
    </w:p>
    <w:p w14:paraId="0C80F779" w14:textId="77777777" w:rsidR="0085386F" w:rsidRPr="00512412" w:rsidRDefault="0085386F" w:rsidP="0085386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SEGUNDO.</w:t>
      </w:r>
      <w:r w:rsidRPr="00512412">
        <w:rPr>
          <w:rFonts w:ascii="Arial" w:eastAsia="Calibri" w:hAnsi="Arial" w:cs="Arial"/>
          <w:sz w:val="24"/>
          <w:szCs w:val="24"/>
          <w:lang w:eastAsia="en-US"/>
        </w:rPr>
        <w:t xml:space="preserve"> </w:t>
      </w:r>
      <w:r w:rsidRPr="00512412">
        <w:rPr>
          <w:rFonts w:ascii="Arial" w:eastAsia="Calibri" w:hAnsi="Arial" w:cs="Arial"/>
          <w:b/>
          <w:bCs/>
          <w:sz w:val="24"/>
          <w:szCs w:val="24"/>
          <w:lang w:eastAsia="en-US"/>
        </w:rPr>
        <w:t xml:space="preserve">Personalidad. </w:t>
      </w:r>
      <w:r w:rsidRPr="00512412">
        <w:rPr>
          <w:rFonts w:ascii="Arial" w:eastAsia="Calibri" w:hAnsi="Arial" w:cs="Arial"/>
          <w:sz w:val="24"/>
          <w:szCs w:val="24"/>
          <w:lang w:eastAsia="en-US"/>
        </w:rPr>
        <w:t xml:space="preserve"> La personalidad de las partes se tuvo acreditada de conformidad con los artículos 150</w:t>
      </w:r>
      <w:r w:rsidRPr="00512412">
        <w:rPr>
          <w:rFonts w:ascii="Arial" w:eastAsia="Calibri" w:hAnsi="Arial" w:cs="Arial"/>
          <w:sz w:val="24"/>
          <w:szCs w:val="24"/>
          <w:vertAlign w:val="superscript"/>
          <w:lang w:eastAsia="en-US"/>
        </w:rPr>
        <w:footnoteReference w:id="1"/>
      </w:r>
      <w:r w:rsidRPr="00512412">
        <w:rPr>
          <w:rFonts w:ascii="Arial" w:eastAsia="Calibri" w:hAnsi="Arial" w:cs="Arial"/>
          <w:sz w:val="24"/>
          <w:szCs w:val="24"/>
          <w:lang w:eastAsia="en-US"/>
        </w:rPr>
        <w:t xml:space="preserve"> y 151</w:t>
      </w:r>
      <w:r w:rsidRPr="00512412">
        <w:rPr>
          <w:rFonts w:ascii="Arial" w:eastAsia="Calibri" w:hAnsi="Arial" w:cs="Arial"/>
          <w:sz w:val="24"/>
          <w:szCs w:val="24"/>
          <w:vertAlign w:val="superscript"/>
          <w:lang w:eastAsia="en-US"/>
        </w:rPr>
        <w:footnoteReference w:id="2"/>
      </w:r>
      <w:r w:rsidRPr="00512412">
        <w:rPr>
          <w:rFonts w:ascii="Arial" w:eastAsia="Calibri" w:hAnsi="Arial" w:cs="Arial"/>
          <w:sz w:val="24"/>
          <w:szCs w:val="24"/>
          <w:lang w:eastAsia="en-US"/>
        </w:rPr>
        <w:t xml:space="preserve"> de la Ley de Procedimiento y Justicia Administrativa.</w:t>
      </w:r>
    </w:p>
    <w:p w14:paraId="1D9EEE29" w14:textId="1A596513" w:rsidR="00D83CC1" w:rsidRDefault="00D83CC1" w:rsidP="00D83CC1">
      <w:pPr>
        <w:spacing w:after="160" w:line="360" w:lineRule="auto"/>
        <w:ind w:firstLine="567"/>
        <w:jc w:val="both"/>
        <w:rPr>
          <w:rFonts w:ascii="Arial" w:hAnsi="Arial" w:cs="Arial"/>
          <w:sz w:val="24"/>
          <w:szCs w:val="24"/>
        </w:rPr>
      </w:pPr>
      <w:r w:rsidRPr="006D319D">
        <w:rPr>
          <w:rFonts w:ascii="Arial" w:eastAsia="Calibri" w:hAnsi="Arial" w:cs="Arial"/>
          <w:b/>
          <w:bCs/>
          <w:sz w:val="24"/>
          <w:szCs w:val="24"/>
          <w:lang w:eastAsia="en-US"/>
        </w:rPr>
        <w:t>TERCERO.</w:t>
      </w:r>
      <w:r w:rsidRPr="006D319D">
        <w:rPr>
          <w:rFonts w:ascii="Arial" w:eastAsia="Calibri" w:hAnsi="Arial" w:cs="Arial"/>
          <w:sz w:val="24"/>
          <w:szCs w:val="24"/>
          <w:lang w:eastAsia="en-US"/>
        </w:rPr>
        <w:t xml:space="preserve">  </w:t>
      </w:r>
      <w:r w:rsidRPr="006D319D">
        <w:rPr>
          <w:rFonts w:ascii="Arial" w:eastAsia="Calibri" w:hAnsi="Arial" w:cs="Arial"/>
          <w:b/>
          <w:bCs/>
          <w:sz w:val="24"/>
          <w:szCs w:val="24"/>
          <w:lang w:eastAsia="en-US"/>
        </w:rPr>
        <w:t>Acreditación del acto impugnado.</w:t>
      </w:r>
      <w:r w:rsidRPr="006D319D">
        <w:rPr>
          <w:rFonts w:ascii="Arial" w:eastAsia="Calibri" w:hAnsi="Arial" w:cs="Arial"/>
          <w:sz w:val="24"/>
          <w:szCs w:val="24"/>
          <w:lang w:eastAsia="en-US"/>
        </w:rPr>
        <w:t xml:space="preserve"> </w:t>
      </w:r>
      <w:r w:rsidRPr="006D319D">
        <w:rPr>
          <w:rFonts w:ascii="Arial" w:hAnsi="Arial" w:cs="Arial"/>
          <w:sz w:val="24"/>
          <w:szCs w:val="24"/>
        </w:rPr>
        <w:t xml:space="preserve"> El acto impugnado lo es</w:t>
      </w:r>
      <w:r w:rsidR="003C1EC7">
        <w:rPr>
          <w:rFonts w:ascii="Arial" w:hAnsi="Arial" w:cs="Arial"/>
          <w:sz w:val="24"/>
          <w:szCs w:val="24"/>
        </w:rPr>
        <w:t xml:space="preserve"> el </w:t>
      </w:r>
      <w:r w:rsidR="00226899">
        <w:rPr>
          <w:rFonts w:ascii="Arial" w:hAnsi="Arial" w:cs="Arial"/>
          <w:sz w:val="24"/>
          <w:szCs w:val="24"/>
        </w:rPr>
        <w:t xml:space="preserve">acta de infracción con número de folio </w:t>
      </w:r>
      <w:r w:rsidR="00D8434A">
        <w:rPr>
          <w:rFonts w:ascii="Arial" w:hAnsi="Arial" w:cs="Arial"/>
          <w:sz w:val="24"/>
          <w:szCs w:val="24"/>
        </w:rPr>
        <w:t xml:space="preserve">********** </w:t>
      </w:r>
      <w:r w:rsidR="00226899">
        <w:rPr>
          <w:rFonts w:ascii="Arial" w:hAnsi="Arial" w:cs="Arial"/>
          <w:sz w:val="24"/>
          <w:szCs w:val="24"/>
        </w:rPr>
        <w:t>de fecha quince de julio de dos mil veintiuno</w:t>
      </w:r>
      <w:r w:rsidRPr="00163663">
        <w:rPr>
          <w:rFonts w:ascii="Arial" w:hAnsi="Arial" w:cs="Arial"/>
          <w:sz w:val="24"/>
          <w:szCs w:val="24"/>
        </w:rPr>
        <w:t xml:space="preserve">, que obra </w:t>
      </w:r>
      <w:r>
        <w:rPr>
          <w:rFonts w:ascii="Arial" w:hAnsi="Arial" w:cs="Arial"/>
          <w:sz w:val="24"/>
          <w:szCs w:val="24"/>
        </w:rPr>
        <w:t xml:space="preserve">de </w:t>
      </w:r>
      <w:r w:rsidR="00BA14C6">
        <w:rPr>
          <w:rFonts w:ascii="Arial" w:hAnsi="Arial" w:cs="Arial"/>
          <w:sz w:val="24"/>
          <w:szCs w:val="24"/>
        </w:rPr>
        <w:t xml:space="preserve">foja </w:t>
      </w:r>
      <w:r w:rsidR="00226899">
        <w:rPr>
          <w:rFonts w:ascii="Arial" w:hAnsi="Arial" w:cs="Arial"/>
          <w:sz w:val="24"/>
          <w:szCs w:val="24"/>
        </w:rPr>
        <w:t>ocho</w:t>
      </w:r>
      <w:r w:rsidRPr="00163663">
        <w:rPr>
          <w:rFonts w:ascii="Arial" w:hAnsi="Arial" w:cs="Arial"/>
          <w:sz w:val="24"/>
          <w:szCs w:val="24"/>
        </w:rPr>
        <w:t xml:space="preserve"> del expediente en que</w:t>
      </w:r>
      <w:r w:rsidRPr="006D319D">
        <w:rPr>
          <w:rFonts w:ascii="Arial" w:hAnsi="Arial" w:cs="Arial"/>
          <w:sz w:val="24"/>
          <w:szCs w:val="24"/>
        </w:rPr>
        <w:t xml:space="preserve"> se actúa, aportada por la parte actora, a la cual se le concede valor probatorio pleno de conformidad con el artículo 203 fracción I</w:t>
      </w:r>
      <w:r w:rsidRPr="006D319D">
        <w:rPr>
          <w:rStyle w:val="Refdenotaalpie"/>
          <w:rFonts w:ascii="Arial" w:hAnsi="Arial" w:cs="Arial"/>
          <w:sz w:val="24"/>
          <w:szCs w:val="24"/>
        </w:rPr>
        <w:footnoteReference w:id="3"/>
      </w:r>
      <w:r w:rsidRPr="006D319D">
        <w:rPr>
          <w:rFonts w:ascii="Arial" w:hAnsi="Arial" w:cs="Arial"/>
          <w:sz w:val="24"/>
          <w:szCs w:val="24"/>
        </w:rPr>
        <w:t xml:space="preserve"> de la Ley de </w:t>
      </w:r>
      <w:r>
        <w:rPr>
          <w:rFonts w:ascii="Arial" w:hAnsi="Arial" w:cs="Arial"/>
          <w:sz w:val="24"/>
          <w:szCs w:val="24"/>
        </w:rPr>
        <w:t xml:space="preserve">Procedimiento y </w:t>
      </w:r>
      <w:r w:rsidRPr="006D319D">
        <w:rPr>
          <w:rFonts w:ascii="Arial" w:hAnsi="Arial" w:cs="Arial"/>
          <w:sz w:val="24"/>
          <w:szCs w:val="24"/>
        </w:rPr>
        <w:t xml:space="preserve">Justicia Administrativa para el Estado de Oaxaca, al ser expedida por una autoridad, en la que constan manifestaciones expresas de haberla emitido al contestar la demanda, en el expediente natural y relacionándola con la totalidad de sus </w:t>
      </w:r>
      <w:r>
        <w:rPr>
          <w:rFonts w:ascii="Arial" w:hAnsi="Arial" w:cs="Arial"/>
          <w:sz w:val="24"/>
          <w:szCs w:val="24"/>
        </w:rPr>
        <w:t>expresiones. De manera que dicha</w:t>
      </w:r>
      <w:r w:rsidRPr="006D319D">
        <w:rPr>
          <w:rFonts w:ascii="Arial" w:hAnsi="Arial" w:cs="Arial"/>
          <w:sz w:val="24"/>
          <w:szCs w:val="24"/>
        </w:rPr>
        <w:t xml:space="preserve"> documental pública es el medio de convicción, que se tiene por acreditada la existencia del acto impugnado. </w:t>
      </w:r>
    </w:p>
    <w:p w14:paraId="73C61101" w14:textId="4B304E0E" w:rsidR="00226899" w:rsidRDefault="00D83CC1" w:rsidP="003A730F">
      <w:pPr>
        <w:spacing w:after="160" w:line="360" w:lineRule="auto"/>
        <w:ind w:firstLine="567"/>
        <w:jc w:val="both"/>
        <w:rPr>
          <w:rFonts w:ascii="Arial" w:hAnsi="Arial" w:cs="Arial"/>
          <w:sz w:val="24"/>
          <w:szCs w:val="24"/>
        </w:rPr>
      </w:pPr>
      <w:r>
        <w:rPr>
          <w:rFonts w:ascii="Arial" w:eastAsia="Calibri" w:hAnsi="Arial" w:cs="Arial"/>
          <w:b/>
          <w:bCs/>
          <w:sz w:val="24"/>
          <w:szCs w:val="24"/>
          <w:lang w:eastAsia="en-US"/>
        </w:rPr>
        <w:lastRenderedPageBreak/>
        <w:t xml:space="preserve">CUARTO. </w:t>
      </w:r>
      <w:r w:rsidR="0085386F" w:rsidRPr="00512412">
        <w:rPr>
          <w:rFonts w:ascii="Arial" w:eastAsia="Calibri" w:hAnsi="Arial" w:cs="Arial"/>
          <w:b/>
          <w:bCs/>
          <w:sz w:val="24"/>
          <w:szCs w:val="24"/>
          <w:lang w:eastAsia="en-US"/>
        </w:rPr>
        <w:t>Fijación de la Litis.</w:t>
      </w:r>
      <w:r w:rsidR="0085386F" w:rsidRPr="00512412">
        <w:rPr>
          <w:rFonts w:ascii="Arial" w:eastAsia="Calibri" w:hAnsi="Arial" w:cs="Arial"/>
          <w:sz w:val="24"/>
          <w:szCs w:val="24"/>
          <w:lang w:eastAsia="en-US"/>
        </w:rPr>
        <w:t xml:space="preserve"> </w:t>
      </w:r>
      <w:r w:rsidR="0085386F" w:rsidRPr="00577F18">
        <w:rPr>
          <w:rFonts w:ascii="Arial" w:hAnsi="Arial" w:cs="Arial"/>
          <w:sz w:val="24"/>
          <w:szCs w:val="24"/>
        </w:rPr>
        <w:t xml:space="preserve">El litigio surge </w:t>
      </w:r>
      <w:r w:rsidR="0085386F">
        <w:rPr>
          <w:rFonts w:ascii="Arial" w:hAnsi="Arial" w:cs="Arial"/>
          <w:sz w:val="24"/>
          <w:szCs w:val="24"/>
        </w:rPr>
        <w:t xml:space="preserve">derivado del planteamiento de ilegalidad que hace la parte actora </w:t>
      </w:r>
      <w:r w:rsidR="003C1EC7">
        <w:rPr>
          <w:rFonts w:ascii="Arial" w:hAnsi="Arial" w:cs="Arial"/>
          <w:sz w:val="24"/>
          <w:szCs w:val="24"/>
        </w:rPr>
        <w:t xml:space="preserve">respecto al </w:t>
      </w:r>
      <w:r w:rsidR="00226899">
        <w:rPr>
          <w:rFonts w:ascii="Arial" w:hAnsi="Arial" w:cs="Arial"/>
          <w:sz w:val="24"/>
          <w:szCs w:val="24"/>
        </w:rPr>
        <w:t xml:space="preserve">acta de infracción con número de folio </w:t>
      </w:r>
      <w:r w:rsidR="00D8434A">
        <w:rPr>
          <w:rFonts w:ascii="Arial" w:hAnsi="Arial" w:cs="Arial"/>
          <w:sz w:val="24"/>
          <w:szCs w:val="24"/>
        </w:rPr>
        <w:t xml:space="preserve">********** </w:t>
      </w:r>
      <w:r w:rsidR="00226899">
        <w:rPr>
          <w:rFonts w:ascii="Arial" w:hAnsi="Arial" w:cs="Arial"/>
          <w:sz w:val="24"/>
          <w:szCs w:val="24"/>
        </w:rPr>
        <w:t>de fecha quince de julio de dos mil veintiuno</w:t>
      </w:r>
      <w:r w:rsidR="003C1EC7">
        <w:rPr>
          <w:rFonts w:ascii="Arial" w:hAnsi="Arial" w:cs="Arial"/>
          <w:sz w:val="24"/>
          <w:szCs w:val="24"/>
        </w:rPr>
        <w:t xml:space="preserve">, de donde argumenta que no resulta legal </w:t>
      </w:r>
      <w:r w:rsidR="007C49D1">
        <w:rPr>
          <w:rFonts w:ascii="Arial" w:hAnsi="Arial" w:cs="Arial"/>
          <w:sz w:val="24"/>
          <w:szCs w:val="24"/>
        </w:rPr>
        <w:t xml:space="preserve">pues </w:t>
      </w:r>
      <w:r w:rsidR="006B1484">
        <w:rPr>
          <w:rFonts w:ascii="Arial" w:hAnsi="Arial" w:cs="Arial"/>
          <w:sz w:val="24"/>
          <w:szCs w:val="24"/>
        </w:rPr>
        <w:t>se encuentra indebidamente fundad</w:t>
      </w:r>
      <w:r w:rsidR="00226899">
        <w:rPr>
          <w:rFonts w:ascii="Arial" w:hAnsi="Arial" w:cs="Arial"/>
          <w:sz w:val="24"/>
          <w:szCs w:val="24"/>
        </w:rPr>
        <w:t xml:space="preserve">a y motivada en cuanto a la competencia territorial y material de la autoridad emisora así como que es omisa en motivar adecuadamente </w:t>
      </w:r>
      <w:r w:rsidR="00277B68">
        <w:rPr>
          <w:rFonts w:ascii="Arial" w:hAnsi="Arial" w:cs="Arial"/>
          <w:sz w:val="24"/>
          <w:szCs w:val="24"/>
        </w:rPr>
        <w:t>las razones particulares que sustenten su emisión.</w:t>
      </w:r>
    </w:p>
    <w:p w14:paraId="753B0B7A" w14:textId="242F143D" w:rsidR="007C49D1" w:rsidRDefault="007C49D1" w:rsidP="003A730F">
      <w:pPr>
        <w:spacing w:after="160" w:line="360" w:lineRule="auto"/>
        <w:ind w:firstLine="567"/>
        <w:jc w:val="both"/>
        <w:rPr>
          <w:rFonts w:ascii="Arial" w:hAnsi="Arial" w:cs="Arial"/>
          <w:sz w:val="24"/>
          <w:szCs w:val="24"/>
        </w:rPr>
      </w:pPr>
      <w:r>
        <w:rPr>
          <w:rFonts w:ascii="Arial" w:hAnsi="Arial" w:cs="Arial"/>
          <w:sz w:val="24"/>
          <w:szCs w:val="24"/>
        </w:rPr>
        <w:t>Por su parte la autoridad demandada manifiesta que el acto impugnado se encuentra revestido de legalidad al haber sido fundado y motivado debidamente máxime que fue emitido por un funcionario competente</w:t>
      </w:r>
    </w:p>
    <w:p w14:paraId="1D668CDD" w14:textId="78E504AB" w:rsidR="00BA14C6" w:rsidRDefault="00BA14C6" w:rsidP="00BA14C6">
      <w:pPr>
        <w:spacing w:after="160" w:line="360" w:lineRule="auto"/>
        <w:ind w:firstLine="567"/>
        <w:jc w:val="both"/>
        <w:rPr>
          <w:rFonts w:ascii="Arial" w:hAnsi="Arial" w:cs="Arial"/>
          <w:sz w:val="24"/>
          <w:szCs w:val="24"/>
        </w:rPr>
      </w:pPr>
      <w:r>
        <w:rPr>
          <w:rFonts w:ascii="Arial" w:eastAsia="Calibri" w:hAnsi="Arial" w:cs="Arial"/>
          <w:b/>
          <w:bCs/>
          <w:sz w:val="24"/>
          <w:szCs w:val="24"/>
          <w:lang w:eastAsia="en-US"/>
        </w:rPr>
        <w:t>QUINTO</w:t>
      </w:r>
      <w:r w:rsidRPr="00512412">
        <w:rPr>
          <w:rFonts w:ascii="Arial" w:eastAsia="Calibri" w:hAnsi="Arial" w:cs="Arial"/>
          <w:b/>
          <w:bCs/>
          <w:sz w:val="24"/>
          <w:szCs w:val="24"/>
          <w:lang w:eastAsia="en-US"/>
        </w:rPr>
        <w:t>. Causales de improcedencia y sobreseimiento.</w:t>
      </w:r>
      <w:r w:rsidRPr="00512412">
        <w:rPr>
          <w:rFonts w:ascii="Arial" w:eastAsia="Calibri" w:hAnsi="Arial" w:cs="Arial"/>
          <w:sz w:val="24"/>
          <w:szCs w:val="24"/>
          <w:lang w:eastAsia="en-US"/>
        </w:rPr>
        <w:t xml:space="preserve"> </w:t>
      </w:r>
      <w:r w:rsidRPr="00937F4C">
        <w:rPr>
          <w:rFonts w:ascii="Arial" w:hAnsi="Arial" w:cs="Arial"/>
          <w:sz w:val="24"/>
          <w:szCs w:val="24"/>
        </w:rPr>
        <w:t>De un estudio oficioso de las causales de improcedencia y sobreseimiento del juicio,  que estipula el artículo 161 in fine de la Ley de la materia, se advierte que no existe una causal de improcedencia ni sobreseimiento para conocer el fondo del presente juicio.</w:t>
      </w:r>
    </w:p>
    <w:p w14:paraId="2E7CE99F" w14:textId="0B1C08A3" w:rsidR="003F5A16" w:rsidRDefault="003F5A16" w:rsidP="007C7A1C">
      <w:pPr>
        <w:tabs>
          <w:tab w:val="left" w:pos="284"/>
          <w:tab w:val="left" w:pos="426"/>
          <w:tab w:val="right" w:pos="9072"/>
        </w:tabs>
        <w:spacing w:after="0" w:line="360" w:lineRule="auto"/>
        <w:ind w:right="-234" w:firstLine="567"/>
        <w:jc w:val="both"/>
        <w:rPr>
          <w:rFonts w:ascii="Arial" w:hAnsi="Arial" w:cs="Arial"/>
          <w:sz w:val="24"/>
          <w:szCs w:val="24"/>
        </w:rPr>
      </w:pPr>
      <w:r>
        <w:rPr>
          <w:rFonts w:ascii="Arial" w:hAnsi="Arial" w:cs="Arial"/>
          <w:b/>
          <w:sz w:val="24"/>
          <w:szCs w:val="24"/>
        </w:rPr>
        <w:t xml:space="preserve">SEXTO. </w:t>
      </w:r>
      <w:r w:rsidRPr="00512412">
        <w:rPr>
          <w:rFonts w:ascii="Arial" w:eastAsia="Calibri" w:hAnsi="Arial" w:cs="Arial"/>
          <w:b/>
          <w:bCs/>
          <w:sz w:val="24"/>
          <w:szCs w:val="24"/>
          <w:lang w:eastAsia="en-US"/>
        </w:rPr>
        <w:t xml:space="preserve">Estudio del Fondo del Asunto. </w:t>
      </w:r>
      <w:r w:rsidRPr="00AE3452">
        <w:rPr>
          <w:rFonts w:ascii="Arial" w:hAnsi="Arial" w:cs="Arial"/>
          <w:sz w:val="24"/>
          <w:szCs w:val="24"/>
        </w:rPr>
        <w:t xml:space="preserve">Son </w:t>
      </w:r>
      <w:r w:rsidRPr="00AE3452">
        <w:rPr>
          <w:rFonts w:ascii="Arial" w:hAnsi="Arial" w:cs="Arial"/>
          <w:b/>
          <w:bCs/>
          <w:sz w:val="24"/>
          <w:szCs w:val="24"/>
        </w:rPr>
        <w:t>fundados</w:t>
      </w:r>
      <w:r w:rsidRPr="00AE3452">
        <w:rPr>
          <w:rFonts w:ascii="Arial" w:hAnsi="Arial" w:cs="Arial"/>
          <w:sz w:val="24"/>
          <w:szCs w:val="24"/>
        </w:rPr>
        <w:t xml:space="preserve"> los conceptos de impugnación esgrimidos por la parte actora, </w:t>
      </w:r>
      <w:r>
        <w:rPr>
          <w:rFonts w:ascii="Arial" w:hAnsi="Arial" w:cs="Arial"/>
          <w:sz w:val="24"/>
          <w:szCs w:val="24"/>
        </w:rPr>
        <w:t xml:space="preserve">respecto a la ilegalidad del </w:t>
      </w:r>
      <w:r w:rsidR="00277B68">
        <w:rPr>
          <w:rFonts w:ascii="Arial" w:hAnsi="Arial" w:cs="Arial"/>
          <w:sz w:val="24"/>
          <w:szCs w:val="24"/>
        </w:rPr>
        <w:t xml:space="preserve">acta de infracción con número de folio </w:t>
      </w:r>
      <w:r w:rsidR="00D8434A">
        <w:rPr>
          <w:rFonts w:ascii="Arial" w:hAnsi="Arial" w:cs="Arial"/>
          <w:sz w:val="24"/>
          <w:szCs w:val="24"/>
        </w:rPr>
        <w:t>**********</w:t>
      </w:r>
      <w:r w:rsidR="00277B68">
        <w:rPr>
          <w:rFonts w:ascii="Arial" w:hAnsi="Arial" w:cs="Arial"/>
          <w:sz w:val="24"/>
          <w:szCs w:val="24"/>
        </w:rPr>
        <w:t xml:space="preserve"> de fecha quince de julio de dos mil veintiuno</w:t>
      </w:r>
      <w:r w:rsidR="00A36029">
        <w:rPr>
          <w:rFonts w:ascii="Arial" w:hAnsi="Arial" w:cs="Arial"/>
          <w:sz w:val="24"/>
          <w:szCs w:val="24"/>
        </w:rPr>
        <w:t>.</w:t>
      </w:r>
    </w:p>
    <w:p w14:paraId="093217AF" w14:textId="3E782A44" w:rsidR="00343500" w:rsidRDefault="00343500" w:rsidP="00343500">
      <w:pPr>
        <w:spacing w:after="160"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La parte actora refirió en lo medular que el acto administrativo es ilegal en virtud de que no fue emitido cumpliendo con los requisitos de validez que deben tener los actos administrativos, pues si bien cita el supuesto precepto normativo aplicable para la imposición de sanciones, no así realiza en análisis lógico jurídico para exponer por qué la conducta del actor es en efecto sancionable. Mientras que la autoridad demandada sostiene la legalidad del fundamento y motivo del acto impugnado.</w:t>
      </w:r>
    </w:p>
    <w:p w14:paraId="63EDB96C" w14:textId="77777777" w:rsidR="00343500" w:rsidRPr="00CE328A" w:rsidRDefault="00343500" w:rsidP="00343500">
      <w:pPr>
        <w:spacing w:after="160"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Por ello es menester verificar si el acto administrativo impugnado cumple o no con los requisitos de validez que deben revestir los actos administrativos.</w:t>
      </w:r>
    </w:p>
    <w:p w14:paraId="31EF5CF2" w14:textId="77777777" w:rsidR="00343500" w:rsidRPr="00CE328A" w:rsidRDefault="00343500" w:rsidP="00343500">
      <w:pPr>
        <w:spacing w:after="160" w:line="360" w:lineRule="auto"/>
        <w:ind w:firstLine="567"/>
        <w:jc w:val="both"/>
        <w:rPr>
          <w:rFonts w:ascii="Arial" w:hAnsi="Arial" w:cs="Arial"/>
          <w:bCs/>
          <w:sz w:val="24"/>
          <w:szCs w:val="24"/>
        </w:rPr>
      </w:pPr>
      <w:r>
        <w:rPr>
          <w:rFonts w:ascii="Arial" w:eastAsia="Calibri" w:hAnsi="Arial" w:cs="Arial"/>
          <w:sz w:val="24"/>
          <w:szCs w:val="24"/>
          <w:lang w:eastAsia="en-US"/>
        </w:rPr>
        <w:t>Así pues, de</w:t>
      </w:r>
      <w:r w:rsidRPr="00CE328A">
        <w:rPr>
          <w:rFonts w:ascii="Arial" w:eastAsia="Calibri" w:hAnsi="Arial" w:cs="Arial"/>
          <w:sz w:val="24"/>
          <w:szCs w:val="24"/>
          <w:lang w:eastAsia="en-US"/>
        </w:rPr>
        <w:t xml:space="preserve"> una lectura integral del acto impugnado, al cual se le ha dado valor probatorio pleno de conformidad con el precepto 203 fracción I de la Ley de la materia, en la parte que interesa, se advierte que la autoridad aquí demandada asentó siguiente en el apartado de </w:t>
      </w:r>
      <w:r w:rsidRPr="00CE328A">
        <w:rPr>
          <w:rFonts w:ascii="Arial" w:hAnsi="Arial" w:cs="Arial"/>
          <w:bCs/>
          <w:sz w:val="24"/>
          <w:szCs w:val="24"/>
        </w:rPr>
        <w:t>“</w:t>
      </w:r>
      <w:r w:rsidRPr="00CE328A">
        <w:rPr>
          <w:rFonts w:ascii="Arial" w:hAnsi="Arial" w:cs="Arial"/>
          <w:bCs/>
          <w:i/>
          <w:sz w:val="24"/>
          <w:szCs w:val="24"/>
        </w:rPr>
        <w:t>OBSERVACIONES</w:t>
      </w:r>
      <w:r w:rsidRPr="00CE328A">
        <w:rPr>
          <w:rFonts w:ascii="Arial" w:hAnsi="Arial" w:cs="Arial"/>
          <w:bCs/>
          <w:sz w:val="24"/>
          <w:szCs w:val="24"/>
        </w:rPr>
        <w:t>” indicó:</w:t>
      </w:r>
    </w:p>
    <w:p w14:paraId="74B494C9" w14:textId="6400ABB0" w:rsidR="00610349" w:rsidRPr="00343500" w:rsidRDefault="00343500" w:rsidP="00343500">
      <w:pPr>
        <w:tabs>
          <w:tab w:val="left" w:pos="284"/>
          <w:tab w:val="left" w:pos="709"/>
          <w:tab w:val="right" w:pos="9072"/>
        </w:tabs>
        <w:spacing w:after="0" w:line="360" w:lineRule="auto"/>
        <w:ind w:left="1134" w:right="-234"/>
        <w:jc w:val="both"/>
        <w:rPr>
          <w:rFonts w:ascii="Arial Narrow" w:eastAsia="Calibri" w:hAnsi="Arial Narrow" w:cs="Arial"/>
          <w:sz w:val="24"/>
          <w:szCs w:val="24"/>
          <w:lang w:eastAsia="en-US"/>
        </w:rPr>
      </w:pPr>
      <w:r w:rsidRPr="00343500">
        <w:rPr>
          <w:rFonts w:ascii="Arial Narrow" w:eastAsia="Calibri" w:hAnsi="Arial Narrow" w:cs="Arial"/>
          <w:sz w:val="24"/>
          <w:szCs w:val="24"/>
          <w:lang w:eastAsia="en-US"/>
        </w:rPr>
        <w:t>Conforme lo establecido en los artículos 18 fracción i de la Ley de tránsito y vialidad del Estado de O…</w:t>
      </w:r>
    </w:p>
    <w:p w14:paraId="330D440C" w14:textId="73906879" w:rsidR="00343500" w:rsidRPr="00BD69EA" w:rsidRDefault="00343500" w:rsidP="00343500">
      <w:pPr>
        <w:spacing w:after="160" w:line="360" w:lineRule="auto"/>
        <w:ind w:right="49" w:firstLine="567"/>
        <w:jc w:val="both"/>
        <w:rPr>
          <w:rFonts w:ascii="Arial Narrow" w:hAnsi="Arial Narrow" w:cs="Arial"/>
          <w:bCs/>
          <w:i/>
          <w:iCs/>
          <w:sz w:val="24"/>
          <w:szCs w:val="24"/>
        </w:rPr>
      </w:pPr>
      <w:r>
        <w:rPr>
          <w:rFonts w:ascii="Arial" w:hAnsi="Arial" w:cs="Arial"/>
          <w:bCs/>
          <w:sz w:val="24"/>
          <w:szCs w:val="24"/>
        </w:rPr>
        <w:t xml:space="preserve">Por otra parte en el apartado de motivo de la infracción se limitó a subrayar la opción </w:t>
      </w:r>
      <w:r>
        <w:rPr>
          <w:rFonts w:ascii="Arial Narrow" w:hAnsi="Arial Narrow" w:cs="Arial"/>
          <w:bCs/>
          <w:i/>
          <w:iCs/>
          <w:sz w:val="24"/>
          <w:szCs w:val="24"/>
        </w:rPr>
        <w:t>manejar los conductores estando distraídos con el teléfono celular.</w:t>
      </w:r>
    </w:p>
    <w:p w14:paraId="047E50DC" w14:textId="770945F9" w:rsidR="00343500" w:rsidRDefault="00343500" w:rsidP="00343500">
      <w:pPr>
        <w:spacing w:before="240" w:after="0" w:line="360" w:lineRule="auto"/>
        <w:ind w:firstLine="567"/>
        <w:jc w:val="both"/>
        <w:rPr>
          <w:rFonts w:ascii="Arial" w:eastAsia="Calibri" w:hAnsi="Arial" w:cs="Arial"/>
          <w:sz w:val="24"/>
          <w:szCs w:val="24"/>
          <w:lang w:eastAsia="en-US"/>
        </w:rPr>
      </w:pPr>
      <w:r w:rsidRPr="00BD69EA">
        <w:rPr>
          <w:rFonts w:ascii="Arial" w:eastAsia="Calibri" w:hAnsi="Arial" w:cs="Arial"/>
          <w:sz w:val="24"/>
          <w:szCs w:val="24"/>
          <w:lang w:eastAsia="en-US"/>
        </w:rPr>
        <w:lastRenderedPageBreak/>
        <w:t xml:space="preserve">Luego entonces con lo anterior transcrito, se evidencia la falta de la debida fundamentación y motivación del acta de infracción impugnada, </w:t>
      </w:r>
      <w:r>
        <w:rPr>
          <w:rFonts w:ascii="Arial" w:eastAsia="Calibri" w:hAnsi="Arial" w:cs="Arial"/>
          <w:sz w:val="24"/>
          <w:szCs w:val="24"/>
          <w:lang w:eastAsia="en-US"/>
        </w:rPr>
        <w:t xml:space="preserve">la autoridad emisora citó de forma somera los artículos 18 y 158 de la Ley de Tránsito. Sin embargo como es de explorado derecho los artículos en cita contienen una multitud de preceptos normativos diversos aplicables a situaciones jurídicas y de hecho. Por lo tanto se deben considerar como </w:t>
      </w:r>
      <w:r>
        <w:rPr>
          <w:rFonts w:ascii="Arial" w:eastAsia="Calibri" w:hAnsi="Arial" w:cs="Arial"/>
          <w:b/>
          <w:bCs/>
          <w:sz w:val="24"/>
          <w:szCs w:val="24"/>
          <w:lang w:eastAsia="en-US"/>
        </w:rPr>
        <w:t>normas complejas</w:t>
      </w:r>
      <w:r>
        <w:rPr>
          <w:rFonts w:ascii="Arial" w:eastAsia="Calibri" w:hAnsi="Arial" w:cs="Arial"/>
          <w:sz w:val="24"/>
          <w:szCs w:val="24"/>
          <w:lang w:eastAsia="en-US"/>
        </w:rPr>
        <w:t xml:space="preserve"> cuyo requisito indispensable resulta la cita específica del precepto normativo exactamente aplicable al caso concreto. </w:t>
      </w:r>
    </w:p>
    <w:p w14:paraId="5B2E95E5" w14:textId="77777777" w:rsidR="00343500" w:rsidRDefault="00343500" w:rsidP="00343500">
      <w:pPr>
        <w:spacing w:before="240" w:after="0"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Lo anterior a decir de la siguiente Jurisprudencia</w:t>
      </w:r>
      <w:r>
        <w:rPr>
          <w:rStyle w:val="Refdenotaalpie"/>
          <w:rFonts w:ascii="Arial" w:eastAsia="Calibri" w:hAnsi="Arial" w:cs="Arial"/>
          <w:sz w:val="24"/>
          <w:szCs w:val="24"/>
          <w:lang w:eastAsia="en-US"/>
        </w:rPr>
        <w:footnoteReference w:id="4"/>
      </w:r>
      <w:r>
        <w:rPr>
          <w:rFonts w:ascii="Arial" w:eastAsia="Calibri" w:hAnsi="Arial" w:cs="Arial"/>
          <w:sz w:val="24"/>
          <w:szCs w:val="24"/>
          <w:lang w:eastAsia="en-US"/>
        </w:rPr>
        <w:t xml:space="preserve">: </w:t>
      </w:r>
    </w:p>
    <w:p w14:paraId="2539667B" w14:textId="77777777" w:rsidR="00343500" w:rsidRDefault="00343500" w:rsidP="00343500">
      <w:pPr>
        <w:spacing w:before="240" w:after="0" w:line="360" w:lineRule="auto"/>
        <w:ind w:firstLine="567"/>
        <w:jc w:val="both"/>
        <w:rPr>
          <w:rFonts w:ascii="Arial" w:eastAsia="Calibri" w:hAnsi="Arial" w:cs="Arial"/>
          <w:sz w:val="24"/>
          <w:szCs w:val="24"/>
          <w:lang w:eastAsia="en-US"/>
        </w:rPr>
      </w:pPr>
    </w:p>
    <w:p w14:paraId="261D52EE" w14:textId="77777777" w:rsidR="00343500" w:rsidRPr="00861DEA" w:rsidRDefault="00343500" w:rsidP="00343500">
      <w:pPr>
        <w:ind w:left="1418"/>
        <w:jc w:val="both"/>
        <w:rPr>
          <w:rFonts w:ascii="Arial Narrow" w:hAnsi="Arial Narrow" w:cs="Arial"/>
          <w:sz w:val="24"/>
          <w:szCs w:val="24"/>
        </w:rPr>
      </w:pPr>
      <w:r w:rsidRPr="00861DEA">
        <w:rPr>
          <w:rFonts w:ascii="Arial Narrow" w:hAnsi="Arial Narrow" w:cs="Arial"/>
          <w:b/>
          <w:sz w:val="24"/>
          <w:szCs w:val="24"/>
        </w:rPr>
        <w:t>NORMAS COMPLEJAS. SU NATURALEZA DEPENDE DE LA PLURALIDAD DE HIPÓTESIS QUE LAS COMPONEN.</w:t>
      </w:r>
      <w:r w:rsidRPr="00861DEA">
        <w:rPr>
          <w:rFonts w:ascii="Arial Narrow" w:hAnsi="Arial Narrow" w:cs="Arial"/>
          <w:sz w:val="24"/>
          <w:szCs w:val="24"/>
        </w:rPr>
        <w:t xml:space="preserve"> </w:t>
      </w:r>
    </w:p>
    <w:p w14:paraId="4E032A8F" w14:textId="77777777" w:rsidR="00343500" w:rsidRPr="00861DEA" w:rsidRDefault="00343500" w:rsidP="00343500">
      <w:pPr>
        <w:ind w:left="1418"/>
        <w:jc w:val="both"/>
        <w:rPr>
          <w:rFonts w:ascii="Arial Narrow" w:hAnsi="Arial Narrow" w:cs="Arial"/>
          <w:sz w:val="24"/>
          <w:szCs w:val="24"/>
          <w:u w:val="single"/>
        </w:rPr>
      </w:pPr>
      <w:r w:rsidRPr="00861DEA">
        <w:rPr>
          <w:rFonts w:ascii="Arial Narrow" w:hAnsi="Arial Narrow" w:cs="Arial"/>
          <w:sz w:val="24"/>
          <w:szCs w:val="24"/>
        </w:rPr>
        <w:t>De conformidad con la jurisprudencia 2a./J. 115/2005 de la Segunda Sala de la Suprema Corte de Justicia de la Nación, publicada en el Semanario Judicial de la Federación y su Gaceta, Novena Época, Tomo XXII, septiembre de 2005, página 310, de rubro: "</w:t>
      </w:r>
      <w:r w:rsidRPr="00861DEA">
        <w:rPr>
          <w:rFonts w:ascii="Arial Narrow" w:hAnsi="Arial Narrow" w:cs="Arial"/>
          <w:b/>
          <w:sz w:val="24"/>
          <w:szCs w:val="24"/>
        </w:rPr>
        <w:t>COMPETENCIA DE LAS AUTORIDADES ADMINISTRATIVAS</w:t>
      </w:r>
      <w:r w:rsidRPr="00861DEA">
        <w:rPr>
          <w:rFonts w:ascii="Arial Narrow" w:hAnsi="Arial Narrow" w:cs="Arial"/>
          <w:sz w:val="24"/>
          <w:szCs w:val="24"/>
        </w:rPr>
        <w:t xml:space="preserve">. EL MANDAMIENTO ESCRITO QUE CONTIENE EL ACTO DE MOLESTIA A PARTICULARES </w:t>
      </w:r>
      <w:r w:rsidRPr="00861DEA">
        <w:rPr>
          <w:rFonts w:ascii="Arial Narrow" w:hAnsi="Arial Narrow" w:cs="Arial"/>
          <w:b/>
          <w:sz w:val="24"/>
          <w:szCs w:val="24"/>
        </w:rPr>
        <w:t>DEBE FUNDARSE EN EL PRECEPTO LEGAL QUE LES OTORGUE LA ATRIBUCIÓN EJERCIDA, CITANDO EL APARTADO, FRACCIÓN, INCISO O SUBINCISO, Y EN CASO DE QUE NO LOS CONTENGA, SI SE TRATA DE UNA NORMA COMPLEJA, HABRÁ DE TRANSCRIBIRSE LA PARTE CORRESPONDIENTE."</w:t>
      </w:r>
      <w:r w:rsidRPr="00861DEA">
        <w:rPr>
          <w:rFonts w:ascii="Arial Narrow" w:hAnsi="Arial Narrow" w:cs="Arial"/>
          <w:sz w:val="24"/>
          <w:szCs w:val="24"/>
        </w:rPr>
        <w:t xml:space="preserve">, </w:t>
      </w:r>
      <w:r w:rsidRPr="00861DEA">
        <w:rPr>
          <w:rFonts w:ascii="Arial Narrow" w:hAnsi="Arial Narrow" w:cs="Arial"/>
          <w:b/>
          <w:i/>
          <w:sz w:val="24"/>
          <w:szCs w:val="24"/>
          <w:u w:val="single"/>
        </w:rPr>
        <w:t>una norma compleja es aquella que incluye diversos elementos competenciales O Establece Una Pluralidad De Competencias o facultades que constituyan aspectos independientes unos de otros</w:t>
      </w:r>
      <w:r w:rsidRPr="00861DEA">
        <w:rPr>
          <w:rFonts w:ascii="Arial Narrow" w:hAnsi="Arial Narrow" w:cs="Arial"/>
          <w:sz w:val="24"/>
          <w:szCs w:val="24"/>
        </w:rPr>
        <w:t xml:space="preserve">, de manera que para estimarse correcta la fundamentación de un acto de autoridad que se apoye en un precepto de tal naturaleza es necesaria la cita precisa del apartado, fracción, inciso o subinciso que otorgue la atribución ejercida o, si no los contiene, </w:t>
      </w:r>
      <w:r w:rsidRPr="00861DEA">
        <w:rPr>
          <w:rFonts w:ascii="Arial Narrow" w:hAnsi="Arial Narrow" w:cs="Arial"/>
          <w:b/>
          <w:sz w:val="24"/>
          <w:szCs w:val="24"/>
        </w:rPr>
        <w:t>LA TRANSCRIPCIÓN DEL TEXTO CORRESPONDIENTE.</w:t>
      </w:r>
      <w:r w:rsidRPr="00861DEA">
        <w:rPr>
          <w:rFonts w:ascii="Arial Narrow" w:hAnsi="Arial Narrow" w:cs="Arial"/>
          <w:sz w:val="24"/>
          <w:szCs w:val="24"/>
        </w:rPr>
        <w:t xml:space="preserve"> Por tanto, la naturaleza de una norma compleja </w:t>
      </w:r>
      <w:r w:rsidRPr="00861DEA">
        <w:rPr>
          <w:rFonts w:ascii="Arial Narrow" w:hAnsi="Arial Narrow" w:cs="Arial"/>
          <w:sz w:val="24"/>
          <w:szCs w:val="24"/>
          <w:u w:val="single"/>
        </w:rPr>
        <w:t>depende de la pluralidad de hipótesis que la componen, porque el particular no tiene la certeza a cuál de ellas se refiere el acto que le perjudica.</w:t>
      </w:r>
    </w:p>
    <w:p w14:paraId="430CECBD" w14:textId="77777777" w:rsidR="00343500" w:rsidRDefault="00343500" w:rsidP="00343500">
      <w:pPr>
        <w:spacing w:after="160" w:line="360" w:lineRule="auto"/>
        <w:ind w:firstLine="567"/>
        <w:jc w:val="both"/>
        <w:rPr>
          <w:rFonts w:ascii="Arial" w:eastAsia="Calibri" w:hAnsi="Arial" w:cs="Arial"/>
          <w:sz w:val="24"/>
          <w:szCs w:val="24"/>
          <w:lang w:eastAsia="en-US"/>
        </w:rPr>
      </w:pPr>
    </w:p>
    <w:p w14:paraId="606FDE52" w14:textId="5D5F7F32" w:rsidR="00343500" w:rsidRPr="0051494B" w:rsidRDefault="00343500" w:rsidP="00343500">
      <w:pPr>
        <w:spacing w:after="160" w:line="360" w:lineRule="auto"/>
        <w:ind w:firstLine="567"/>
        <w:jc w:val="both"/>
        <w:rPr>
          <w:rFonts w:ascii="Arial" w:eastAsia="Calibri" w:hAnsi="Arial" w:cs="Arial"/>
          <w:i/>
          <w:iCs/>
          <w:sz w:val="24"/>
          <w:szCs w:val="24"/>
          <w:lang w:eastAsia="en-US"/>
        </w:rPr>
      </w:pPr>
      <w:r>
        <w:rPr>
          <w:rFonts w:ascii="Arial" w:eastAsia="Calibri" w:hAnsi="Arial" w:cs="Arial"/>
          <w:sz w:val="24"/>
          <w:szCs w:val="24"/>
          <w:lang w:eastAsia="en-US"/>
        </w:rPr>
        <w:t>En esa línea argumentativa</w:t>
      </w:r>
      <w:r w:rsidRPr="0051494B">
        <w:rPr>
          <w:rFonts w:ascii="Arial" w:eastAsia="Calibri" w:hAnsi="Arial" w:cs="Arial"/>
          <w:sz w:val="24"/>
          <w:szCs w:val="24"/>
          <w:lang w:eastAsia="en-US"/>
        </w:rPr>
        <w:t xml:space="preserve">, se desprende que si bien la autoridad demandada al levantar el acta de infracción, citó dispositivos legales que consideró fueron transgredidos por el actor </w:t>
      </w:r>
      <w:r w:rsidR="00D8434A">
        <w:rPr>
          <w:rFonts w:ascii="Arial" w:eastAsia="Calibri" w:hAnsi="Arial" w:cs="Arial"/>
          <w:sz w:val="24"/>
          <w:szCs w:val="24"/>
          <w:lang w:eastAsia="en-US"/>
        </w:rPr>
        <w:t>**********</w:t>
      </w:r>
      <w:r w:rsidRPr="0051494B">
        <w:rPr>
          <w:rFonts w:ascii="Arial" w:eastAsia="Calibri" w:hAnsi="Arial" w:cs="Arial"/>
          <w:sz w:val="24"/>
          <w:szCs w:val="24"/>
          <w:lang w:eastAsia="en-US"/>
        </w:rPr>
        <w:t>, estos no señalan</w:t>
      </w:r>
      <w:r>
        <w:rPr>
          <w:rFonts w:ascii="Arial" w:eastAsia="Calibri" w:hAnsi="Arial" w:cs="Arial"/>
          <w:sz w:val="24"/>
          <w:szCs w:val="24"/>
          <w:lang w:eastAsia="en-US"/>
        </w:rPr>
        <w:t xml:space="preserve"> con precisión </w:t>
      </w:r>
      <w:r w:rsidRPr="0051494B">
        <w:rPr>
          <w:rFonts w:ascii="Arial" w:eastAsia="Calibri" w:hAnsi="Arial" w:cs="Arial"/>
          <w:sz w:val="24"/>
          <w:szCs w:val="24"/>
          <w:lang w:eastAsia="en-US"/>
        </w:rPr>
        <w:t>la conducta o falta que supuestamente cometió,</w:t>
      </w:r>
      <w:r>
        <w:rPr>
          <w:rFonts w:ascii="Arial" w:eastAsia="Calibri" w:hAnsi="Arial" w:cs="Arial"/>
          <w:sz w:val="24"/>
          <w:szCs w:val="24"/>
          <w:lang w:eastAsia="en-US"/>
        </w:rPr>
        <w:t xml:space="preserve"> </w:t>
      </w:r>
      <w:r w:rsidRPr="0051494B">
        <w:rPr>
          <w:rFonts w:ascii="Arial" w:eastAsia="Calibri" w:hAnsi="Arial" w:cs="Arial"/>
          <w:sz w:val="24"/>
          <w:szCs w:val="24"/>
          <w:lang w:eastAsia="en-US"/>
        </w:rPr>
        <w:t xml:space="preserve">así como omitió señalar </w:t>
      </w:r>
      <w:r>
        <w:rPr>
          <w:rFonts w:ascii="Arial" w:eastAsia="Calibri" w:hAnsi="Arial" w:cs="Arial"/>
          <w:sz w:val="24"/>
          <w:szCs w:val="24"/>
          <w:lang w:eastAsia="en-US"/>
        </w:rPr>
        <w:t>de manera detallada</w:t>
      </w:r>
      <w:r w:rsidRPr="0051494B">
        <w:rPr>
          <w:rFonts w:ascii="Arial" w:eastAsia="Calibri" w:hAnsi="Arial" w:cs="Arial"/>
          <w:sz w:val="24"/>
          <w:szCs w:val="24"/>
          <w:lang w:eastAsia="en-US"/>
        </w:rPr>
        <w:t xml:space="preserve">, las circunstancias especiales, razones particulares o causas inmediatas que tomó en consideración para la emisión del acto, con las cuales se tipificara que la parte actora precisamente incurrió en conducta infractora, así como carece también de un señalamiento expreso </w:t>
      </w:r>
      <w:r w:rsidRPr="0051494B">
        <w:rPr>
          <w:rFonts w:ascii="Arial" w:eastAsia="Calibri" w:hAnsi="Arial" w:cs="Arial"/>
          <w:sz w:val="24"/>
          <w:szCs w:val="24"/>
          <w:lang w:eastAsia="en-US"/>
        </w:rPr>
        <w:lastRenderedPageBreak/>
        <w:t>y motivación de las sanciones consecuentes. Esta conducta omisa de la autoridad demandada encuadra en la fracción V del artículo 17</w:t>
      </w:r>
      <w:r w:rsidRPr="0051494B">
        <w:rPr>
          <w:rFonts w:ascii="Arial" w:eastAsia="Calibri" w:hAnsi="Arial" w:cs="Arial"/>
          <w:sz w:val="24"/>
          <w:szCs w:val="24"/>
          <w:vertAlign w:val="superscript"/>
          <w:lang w:eastAsia="en-US"/>
        </w:rPr>
        <w:footnoteReference w:id="5"/>
      </w:r>
      <w:r w:rsidRPr="0051494B">
        <w:rPr>
          <w:rFonts w:ascii="Arial" w:eastAsia="Calibri" w:hAnsi="Arial" w:cs="Arial"/>
          <w:sz w:val="24"/>
          <w:szCs w:val="24"/>
          <w:lang w:eastAsia="en-US"/>
        </w:rPr>
        <w:t xml:space="preserve"> de la Ley de Procedimiento y Justicia Administrativa para el Estado de Oaxaca, pues se trata de un elemento de validez que debe revestir todo acto administrativo, como el aquí impugnado, por lo que resulta </w:t>
      </w:r>
      <w:r w:rsidRPr="0051494B">
        <w:rPr>
          <w:rFonts w:ascii="Arial" w:eastAsia="Calibri" w:hAnsi="Arial" w:cs="Arial"/>
          <w:b/>
          <w:sz w:val="24"/>
          <w:szCs w:val="24"/>
          <w:lang w:eastAsia="en-US"/>
        </w:rPr>
        <w:t>ilegal.</w:t>
      </w:r>
      <w:r w:rsidRPr="0051494B">
        <w:rPr>
          <w:rFonts w:ascii="Arial" w:eastAsia="Calibri" w:hAnsi="Arial" w:cs="Arial"/>
          <w:sz w:val="24"/>
          <w:szCs w:val="24"/>
          <w:lang w:eastAsia="en-US"/>
        </w:rPr>
        <w:t xml:space="preserve"> </w:t>
      </w:r>
    </w:p>
    <w:p w14:paraId="34FB064B" w14:textId="77777777" w:rsidR="00343500" w:rsidRPr="0051494B" w:rsidRDefault="00343500" w:rsidP="00343500">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 xml:space="preserve">Esto es así, pues el artículo 16 Constitucional, establece una obligación para las autoridades, en el sentido de que deben fundar y motivar sus actos; entendiendo por fundamentación, expresar las normas legales aplicables al caso, y por motivación señalar las circunstancias especiales o razones particulares que lo llevaron a concluir que los hechos encuadran en la hipótesis legal aplicable al caso. </w:t>
      </w:r>
    </w:p>
    <w:p w14:paraId="1D2D489C" w14:textId="77777777" w:rsidR="00343500" w:rsidRPr="0051494B" w:rsidRDefault="00343500" w:rsidP="00343500">
      <w:pPr>
        <w:tabs>
          <w:tab w:val="right" w:pos="8789"/>
        </w:tabs>
        <w:spacing w:after="0" w:line="259" w:lineRule="auto"/>
        <w:ind w:firstLine="567"/>
        <w:jc w:val="both"/>
        <w:rPr>
          <w:rFonts w:ascii="Arial" w:eastAsia="Calibri" w:hAnsi="Arial" w:cs="Arial"/>
          <w:lang w:eastAsia="en-US"/>
        </w:rPr>
      </w:pPr>
    </w:p>
    <w:p w14:paraId="6D474895" w14:textId="77777777" w:rsidR="00343500" w:rsidRPr="0051494B" w:rsidRDefault="00343500" w:rsidP="00343500">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Tienen aplicación a la presente resolución la jurisprudencia con número de registro 170307, emitida por los Tribunales Colegiados de Circuito, publicada en el Seminario Judicial de la Federación y su Gaceta, Novena Época, Tomo XXVII, febrero de 2008, página 1964 que para su mejor compresión se transcribe:</w:t>
      </w:r>
      <w:r w:rsidRPr="0051494B">
        <w:rPr>
          <w:rFonts w:ascii="Arial" w:eastAsia="Calibri" w:hAnsi="Arial" w:cs="Arial"/>
          <w:noProof/>
          <w:sz w:val="24"/>
          <w:szCs w:val="24"/>
          <w:lang w:eastAsia="en-US"/>
        </w:rPr>
        <w:t xml:space="preserve">     </w:t>
      </w:r>
      <w:r w:rsidRPr="0051494B">
        <w:rPr>
          <w:rFonts w:ascii="Arial" w:eastAsia="Calibri" w:hAnsi="Arial" w:cs="Arial"/>
          <w:sz w:val="24"/>
          <w:szCs w:val="24"/>
          <w:lang w:eastAsia="en-US"/>
        </w:rPr>
        <w:t xml:space="preserve">   </w:t>
      </w:r>
    </w:p>
    <w:p w14:paraId="62B87A02" w14:textId="77777777" w:rsidR="00343500" w:rsidRPr="0051494B" w:rsidRDefault="00343500" w:rsidP="00343500">
      <w:pPr>
        <w:tabs>
          <w:tab w:val="right" w:pos="8789"/>
        </w:tabs>
        <w:spacing w:after="0" w:line="259" w:lineRule="auto"/>
        <w:ind w:left="1134" w:right="616"/>
        <w:jc w:val="both"/>
        <w:rPr>
          <w:rFonts w:ascii="Arial" w:eastAsia="Calibri" w:hAnsi="Arial" w:cs="Arial"/>
          <w:i/>
          <w:lang w:eastAsia="en-US"/>
        </w:rPr>
      </w:pPr>
    </w:p>
    <w:p w14:paraId="5A2D7E8F" w14:textId="77777777" w:rsidR="00343500" w:rsidRPr="00BF29B5" w:rsidRDefault="00343500" w:rsidP="00343500">
      <w:pPr>
        <w:tabs>
          <w:tab w:val="right" w:pos="8789"/>
        </w:tabs>
        <w:spacing w:after="0" w:line="259" w:lineRule="auto"/>
        <w:jc w:val="both"/>
        <w:rPr>
          <w:rFonts w:ascii="Arial Narrow" w:eastAsia="Calibri" w:hAnsi="Arial Narrow" w:cs="Arial"/>
          <w:b/>
          <w:i/>
          <w:sz w:val="24"/>
          <w:szCs w:val="24"/>
          <w:lang w:eastAsia="en-US"/>
        </w:rPr>
      </w:pPr>
    </w:p>
    <w:p w14:paraId="1E5D1A01" w14:textId="77777777" w:rsidR="00343500" w:rsidRPr="00BF29B5" w:rsidRDefault="00343500" w:rsidP="00343500">
      <w:pPr>
        <w:autoSpaceDE w:val="0"/>
        <w:autoSpaceDN w:val="0"/>
        <w:adjustRightInd w:val="0"/>
        <w:spacing w:after="0" w:line="240" w:lineRule="auto"/>
        <w:ind w:left="567" w:right="758"/>
        <w:jc w:val="both"/>
        <w:rPr>
          <w:rFonts w:ascii="Arial Narrow" w:eastAsia="Calibri" w:hAnsi="Arial Narrow" w:cs="Arial"/>
          <w:color w:val="000000"/>
          <w:sz w:val="24"/>
          <w:szCs w:val="24"/>
          <w:lang w:eastAsia="en-US"/>
        </w:rPr>
      </w:pPr>
      <w:r w:rsidRPr="00BF29B5">
        <w:rPr>
          <w:rFonts w:ascii="Arial Narrow" w:eastAsia="Calibri" w:hAnsi="Arial Narrow" w:cs="Arial"/>
          <w:b/>
          <w:bCs/>
          <w:color w:val="000000"/>
          <w:sz w:val="24"/>
          <w:szCs w:val="24"/>
          <w:lang w:eastAsia="en-US"/>
        </w:rPr>
        <w:t>FUNDAMENTACIÓN Y MOTIVACIÓN. LA DIFERENCIA ENTRE LA FALTA Y LA INDEBIDA SATISFACCIÓN DE AMBOS REQUISITOS CONSTITUCIONALES TRASCIENDE AL ORDEN EN QUE DEBEN ESTUDIARSE LOS CONCEPTOS DE VIOLACIÓN Y A LOS EFECTOS DEL FALLO PROTECTOR.</w:t>
      </w:r>
      <w:r w:rsidRPr="00BF29B5">
        <w:rPr>
          <w:rFonts w:ascii="Arial Narrow" w:eastAsia="Calibri" w:hAnsi="Arial Narrow" w:cs="Arial"/>
          <w:color w:val="000000"/>
          <w:sz w:val="24"/>
          <w:szCs w:val="24"/>
          <w:lang w:eastAsia="en-US"/>
        </w:rPr>
        <w:t xml:space="preserve"> </w:t>
      </w:r>
    </w:p>
    <w:p w14:paraId="74BB5AF9" w14:textId="77777777" w:rsidR="00343500" w:rsidRPr="00BF29B5" w:rsidRDefault="00343500" w:rsidP="00343500">
      <w:pPr>
        <w:autoSpaceDE w:val="0"/>
        <w:autoSpaceDN w:val="0"/>
        <w:adjustRightInd w:val="0"/>
        <w:spacing w:after="0" w:line="240" w:lineRule="auto"/>
        <w:ind w:left="567" w:right="758"/>
        <w:jc w:val="both"/>
        <w:rPr>
          <w:rFonts w:ascii="Arial Narrow" w:eastAsia="Calibri" w:hAnsi="Arial Narrow" w:cs="Arial"/>
          <w:color w:val="000000"/>
          <w:sz w:val="24"/>
          <w:szCs w:val="24"/>
          <w:lang w:eastAsia="en-US"/>
        </w:rPr>
      </w:pPr>
    </w:p>
    <w:p w14:paraId="529DEEA7" w14:textId="77777777" w:rsidR="00343500" w:rsidRPr="00BF29B5" w:rsidRDefault="00343500" w:rsidP="00343500">
      <w:pPr>
        <w:autoSpaceDE w:val="0"/>
        <w:autoSpaceDN w:val="0"/>
        <w:adjustRightInd w:val="0"/>
        <w:spacing w:after="0" w:line="240" w:lineRule="auto"/>
        <w:ind w:left="567" w:right="758"/>
        <w:jc w:val="both"/>
        <w:rPr>
          <w:rFonts w:ascii="Arial Narrow" w:eastAsia="Calibri" w:hAnsi="Arial Narrow" w:cs="Arial"/>
          <w:color w:val="000000"/>
          <w:sz w:val="24"/>
          <w:szCs w:val="24"/>
          <w:lang w:eastAsia="en-US"/>
        </w:rPr>
      </w:pPr>
      <w:r w:rsidRPr="00BF29B5">
        <w:rPr>
          <w:rFonts w:ascii="Arial Narrow" w:eastAsia="Calibri" w:hAnsi="Arial Narrow" w:cs="Arial"/>
          <w:color w:val="000000"/>
          <w:sz w:val="24"/>
          <w:szCs w:val="24"/>
          <w:lang w:eastAsia="en-US"/>
        </w:rPr>
        <w:t xml:space="preserve">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w:t>
      </w:r>
      <w:r w:rsidRPr="00BF29B5">
        <w:rPr>
          <w:rFonts w:ascii="Arial Narrow" w:eastAsia="Calibri" w:hAnsi="Arial Narrow" w:cs="Arial"/>
          <w:color w:val="000000"/>
          <w:sz w:val="24"/>
          <w:szCs w:val="24"/>
          <w:lang w:eastAsia="en-US"/>
        </w:rPr>
        <w:lastRenderedPageBreak/>
        <w:t>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p>
    <w:p w14:paraId="0FD9619A" w14:textId="77777777" w:rsidR="00343500" w:rsidRPr="0051494B" w:rsidRDefault="00343500" w:rsidP="00343500">
      <w:pPr>
        <w:autoSpaceDE w:val="0"/>
        <w:autoSpaceDN w:val="0"/>
        <w:adjustRightInd w:val="0"/>
        <w:spacing w:after="0" w:line="240" w:lineRule="auto"/>
        <w:rPr>
          <w:rFonts w:ascii="NimbusSanL" w:eastAsia="Calibri" w:hAnsi="NimbusSanL" w:cs="NimbusSanL"/>
          <w:color w:val="000000"/>
          <w:sz w:val="24"/>
          <w:szCs w:val="24"/>
          <w:lang w:eastAsia="en-US"/>
        </w:rPr>
      </w:pPr>
    </w:p>
    <w:p w14:paraId="2181F7C3" w14:textId="77777777" w:rsidR="00343500" w:rsidRPr="0051494B" w:rsidRDefault="00343500" w:rsidP="00343500">
      <w:pPr>
        <w:tabs>
          <w:tab w:val="right" w:pos="8789"/>
        </w:tabs>
        <w:spacing w:after="0" w:line="259" w:lineRule="auto"/>
        <w:jc w:val="both"/>
        <w:rPr>
          <w:rFonts w:ascii="Arial" w:eastAsia="Calibri" w:hAnsi="Arial" w:cs="Arial"/>
          <w:color w:val="FF0000"/>
          <w:lang w:eastAsia="en-US"/>
        </w:rPr>
      </w:pPr>
    </w:p>
    <w:p w14:paraId="120AAAC4" w14:textId="77777777" w:rsidR="00343500" w:rsidRPr="0051494B" w:rsidRDefault="00343500" w:rsidP="00343500">
      <w:pPr>
        <w:tabs>
          <w:tab w:val="right" w:pos="8789"/>
        </w:tabs>
        <w:spacing w:after="0" w:line="360" w:lineRule="auto"/>
        <w:ind w:firstLine="567"/>
        <w:jc w:val="both"/>
        <w:rPr>
          <w:rFonts w:ascii="Arial" w:eastAsia="Calibri" w:hAnsi="Arial" w:cs="Arial"/>
          <w:noProof/>
          <w:sz w:val="24"/>
          <w:szCs w:val="24"/>
          <w:lang w:eastAsia="en-US"/>
        </w:rPr>
      </w:pPr>
      <w:r w:rsidRPr="0051494B">
        <w:rPr>
          <w:rFonts w:ascii="Arial" w:eastAsia="Calibri" w:hAnsi="Arial" w:cs="Arial"/>
          <w:sz w:val="24"/>
          <w:szCs w:val="24"/>
          <w:lang w:eastAsia="en-US"/>
        </w:rPr>
        <w:t>Este criterio también se sostiene en la Jurisprudencia de número 173565, emitida por los Tribunales Colegiados de Circuito, publicada en el Semanario Judicial de la Federación y su Gaceta, Novena Época, tomo XXV, enero de 2007, página 2127:</w:t>
      </w:r>
      <w:r w:rsidRPr="0051494B">
        <w:rPr>
          <w:rFonts w:ascii="Arial" w:eastAsia="Calibri" w:hAnsi="Arial" w:cs="Arial"/>
          <w:noProof/>
          <w:sz w:val="24"/>
          <w:szCs w:val="24"/>
          <w:lang w:eastAsia="en-US"/>
        </w:rPr>
        <w:t xml:space="preserve">     </w:t>
      </w:r>
    </w:p>
    <w:p w14:paraId="3E45DA26" w14:textId="77777777" w:rsidR="00343500" w:rsidRPr="0051494B" w:rsidRDefault="00343500" w:rsidP="00343500">
      <w:pPr>
        <w:tabs>
          <w:tab w:val="right" w:pos="8789"/>
        </w:tabs>
        <w:spacing w:after="0" w:line="259" w:lineRule="auto"/>
        <w:jc w:val="both"/>
        <w:rPr>
          <w:rFonts w:ascii="Arial" w:eastAsia="Calibri" w:hAnsi="Arial" w:cs="Arial"/>
          <w:b/>
          <w:noProof/>
          <w:lang w:eastAsia="en-US"/>
        </w:rPr>
      </w:pPr>
    </w:p>
    <w:p w14:paraId="18CEBF72" w14:textId="77777777" w:rsidR="00343500" w:rsidRPr="00BF29B5" w:rsidRDefault="00343500" w:rsidP="00343500">
      <w:pPr>
        <w:autoSpaceDE w:val="0"/>
        <w:autoSpaceDN w:val="0"/>
        <w:adjustRightInd w:val="0"/>
        <w:spacing w:after="0" w:line="240" w:lineRule="auto"/>
        <w:ind w:left="567" w:right="758"/>
        <w:jc w:val="both"/>
        <w:rPr>
          <w:rFonts w:ascii="Arial Narrow" w:eastAsia="Calibri" w:hAnsi="Arial Narrow" w:cs="Arial"/>
          <w:color w:val="000000"/>
          <w:sz w:val="24"/>
          <w:szCs w:val="24"/>
          <w:lang w:eastAsia="en-US"/>
        </w:rPr>
      </w:pPr>
      <w:r w:rsidRPr="00BF29B5">
        <w:rPr>
          <w:rFonts w:ascii="Arial Narrow" w:eastAsia="Calibri" w:hAnsi="Arial Narrow" w:cs="Arial"/>
          <w:b/>
          <w:bCs/>
          <w:color w:val="000000"/>
          <w:sz w:val="24"/>
          <w:szCs w:val="24"/>
          <w:lang w:eastAsia="en-US"/>
        </w:rPr>
        <w:t>FUNDAMENTACIÓN Y MOTIVACIÓN. SU DISTINCIÓN ENTRE SU FALTA Y CUANDO ES INDEBIDA.</w:t>
      </w:r>
      <w:r w:rsidRPr="00BF29B5">
        <w:rPr>
          <w:rFonts w:ascii="Arial Narrow" w:eastAsia="Calibri" w:hAnsi="Arial Narrow" w:cs="Arial"/>
          <w:color w:val="000000"/>
          <w:sz w:val="24"/>
          <w:szCs w:val="24"/>
          <w:lang w:eastAsia="en-US"/>
        </w:rPr>
        <w:t xml:space="preserve"> </w:t>
      </w:r>
    </w:p>
    <w:p w14:paraId="4E933182" w14:textId="77777777" w:rsidR="00343500" w:rsidRPr="00BF29B5" w:rsidRDefault="00343500" w:rsidP="00343500">
      <w:pPr>
        <w:autoSpaceDE w:val="0"/>
        <w:autoSpaceDN w:val="0"/>
        <w:adjustRightInd w:val="0"/>
        <w:spacing w:after="0" w:line="240" w:lineRule="auto"/>
        <w:ind w:left="567" w:right="758"/>
        <w:jc w:val="both"/>
        <w:rPr>
          <w:rFonts w:ascii="Arial Narrow" w:eastAsia="Calibri" w:hAnsi="Arial Narrow" w:cs="Arial"/>
          <w:color w:val="000000"/>
          <w:sz w:val="24"/>
          <w:szCs w:val="24"/>
          <w:lang w:eastAsia="en-US"/>
        </w:rPr>
      </w:pPr>
    </w:p>
    <w:p w14:paraId="7FDF31CC" w14:textId="77777777" w:rsidR="00343500" w:rsidRPr="00BF29B5" w:rsidRDefault="00343500" w:rsidP="00343500">
      <w:pPr>
        <w:autoSpaceDE w:val="0"/>
        <w:autoSpaceDN w:val="0"/>
        <w:adjustRightInd w:val="0"/>
        <w:spacing w:after="0" w:line="240" w:lineRule="auto"/>
        <w:ind w:left="567" w:right="758"/>
        <w:jc w:val="both"/>
        <w:rPr>
          <w:rFonts w:ascii="Arial Narrow" w:eastAsia="Calibri" w:hAnsi="Arial Narrow" w:cs="Arial"/>
          <w:color w:val="000000"/>
          <w:sz w:val="24"/>
          <w:szCs w:val="24"/>
          <w:lang w:eastAsia="en-US"/>
        </w:rPr>
      </w:pPr>
      <w:r w:rsidRPr="00BF29B5">
        <w:rPr>
          <w:rFonts w:ascii="Arial Narrow" w:eastAsia="Calibri" w:hAnsi="Arial Narrow" w:cs="Arial"/>
          <w:color w:val="000000"/>
          <w:sz w:val="24"/>
          <w:szCs w:val="24"/>
          <w:lang w:eastAsia="en-US"/>
        </w:rPr>
        <w:t>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30865CB1" w14:textId="77777777" w:rsidR="00343500" w:rsidRPr="0051494B" w:rsidRDefault="00343500" w:rsidP="00343500">
      <w:pPr>
        <w:tabs>
          <w:tab w:val="right" w:pos="8789"/>
        </w:tabs>
        <w:spacing w:after="0" w:line="259" w:lineRule="auto"/>
        <w:ind w:left="567" w:right="758"/>
        <w:jc w:val="both"/>
        <w:rPr>
          <w:rFonts w:ascii="Arial" w:eastAsia="Calibri" w:hAnsi="Arial" w:cs="Arial"/>
          <w:b/>
          <w:i/>
          <w:noProof/>
          <w:lang w:eastAsia="en-US"/>
        </w:rPr>
      </w:pPr>
    </w:p>
    <w:p w14:paraId="3F4634CD" w14:textId="03647CD6" w:rsidR="00610349" w:rsidRDefault="00610349" w:rsidP="00CF04E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45E6DDA1" w14:textId="114735B3" w:rsidR="00EC3B62" w:rsidRDefault="00EC3B62" w:rsidP="00CF04E4">
      <w:pPr>
        <w:tabs>
          <w:tab w:val="left" w:pos="284"/>
          <w:tab w:val="left" w:pos="426"/>
          <w:tab w:val="right" w:pos="9072"/>
        </w:tabs>
        <w:spacing w:after="0" w:line="360" w:lineRule="auto"/>
        <w:ind w:right="-234" w:firstLine="567"/>
        <w:jc w:val="both"/>
        <w:rPr>
          <w:rFonts w:ascii="Arial" w:hAnsi="Arial" w:cs="Arial"/>
          <w:sz w:val="24"/>
          <w:szCs w:val="24"/>
        </w:rPr>
      </w:pPr>
      <w:r>
        <w:rPr>
          <w:rFonts w:ascii="Arial" w:eastAsia="Calibri" w:hAnsi="Arial" w:cs="Arial"/>
          <w:sz w:val="24"/>
          <w:szCs w:val="24"/>
          <w:lang w:eastAsia="en-US"/>
        </w:rPr>
        <w:t xml:space="preserve">En tales términos </w:t>
      </w:r>
      <w:r w:rsidR="00C3197C">
        <w:rPr>
          <w:rFonts w:ascii="Arial" w:eastAsia="Calibri" w:hAnsi="Arial" w:cs="Arial"/>
          <w:sz w:val="24"/>
          <w:szCs w:val="24"/>
          <w:lang w:eastAsia="en-US"/>
        </w:rPr>
        <w:t>es</w:t>
      </w:r>
      <w:r>
        <w:rPr>
          <w:rFonts w:ascii="Arial" w:eastAsia="Calibri" w:hAnsi="Arial" w:cs="Arial"/>
          <w:sz w:val="24"/>
          <w:szCs w:val="24"/>
          <w:lang w:eastAsia="en-US"/>
        </w:rPr>
        <w:t xml:space="preserve"> procede</w:t>
      </w:r>
      <w:r w:rsidR="00C3197C">
        <w:rPr>
          <w:rFonts w:ascii="Arial" w:eastAsia="Calibri" w:hAnsi="Arial" w:cs="Arial"/>
          <w:sz w:val="24"/>
          <w:szCs w:val="24"/>
          <w:lang w:eastAsia="en-US"/>
        </w:rPr>
        <w:t>nte</w:t>
      </w:r>
      <w:r>
        <w:rPr>
          <w:rFonts w:ascii="Arial" w:eastAsia="Calibri" w:hAnsi="Arial" w:cs="Arial"/>
          <w:sz w:val="24"/>
          <w:szCs w:val="24"/>
          <w:lang w:eastAsia="en-US"/>
        </w:rPr>
        <w:t xml:space="preserve"> declarar la </w:t>
      </w:r>
      <w:r>
        <w:rPr>
          <w:rFonts w:ascii="Arial" w:eastAsia="Calibri" w:hAnsi="Arial" w:cs="Arial"/>
          <w:b/>
          <w:bCs/>
          <w:sz w:val="24"/>
          <w:szCs w:val="24"/>
          <w:lang w:eastAsia="en-US"/>
        </w:rPr>
        <w:t xml:space="preserve">NULIDAD LISA Y LLANA </w:t>
      </w:r>
      <w:r>
        <w:rPr>
          <w:rFonts w:ascii="Arial" w:eastAsia="Calibri" w:hAnsi="Arial" w:cs="Arial"/>
          <w:sz w:val="24"/>
          <w:szCs w:val="24"/>
          <w:lang w:eastAsia="en-US"/>
        </w:rPr>
        <w:t xml:space="preserve">del </w:t>
      </w:r>
      <w:r w:rsidR="00277B68">
        <w:rPr>
          <w:rFonts w:ascii="Arial" w:hAnsi="Arial" w:cs="Arial"/>
          <w:sz w:val="24"/>
          <w:szCs w:val="24"/>
        </w:rPr>
        <w:t xml:space="preserve">acta de infracción con número de folio </w:t>
      </w:r>
      <w:r w:rsidR="00D8434A">
        <w:rPr>
          <w:rFonts w:ascii="Arial" w:hAnsi="Arial" w:cs="Arial"/>
          <w:sz w:val="24"/>
          <w:szCs w:val="24"/>
        </w:rPr>
        <w:t>**********</w:t>
      </w:r>
      <w:r w:rsidR="00277B68">
        <w:rPr>
          <w:rFonts w:ascii="Arial" w:hAnsi="Arial" w:cs="Arial"/>
          <w:sz w:val="24"/>
          <w:szCs w:val="24"/>
        </w:rPr>
        <w:t xml:space="preserve"> de fecha quince de julio de dos mil veintiuno</w:t>
      </w:r>
      <w:r>
        <w:rPr>
          <w:rFonts w:ascii="Arial" w:hAnsi="Arial" w:cs="Arial"/>
          <w:sz w:val="24"/>
          <w:szCs w:val="24"/>
        </w:rPr>
        <w:t>, en términos de la siguiente Jurisprudencia</w:t>
      </w:r>
      <w:r>
        <w:rPr>
          <w:rStyle w:val="Refdenotaalpie"/>
          <w:rFonts w:ascii="Arial" w:hAnsi="Arial" w:cs="Arial"/>
          <w:sz w:val="24"/>
          <w:szCs w:val="24"/>
        </w:rPr>
        <w:footnoteReference w:id="6"/>
      </w:r>
      <w:r>
        <w:rPr>
          <w:rFonts w:ascii="Arial" w:hAnsi="Arial" w:cs="Arial"/>
          <w:sz w:val="24"/>
          <w:szCs w:val="24"/>
        </w:rPr>
        <w:t xml:space="preserve">: </w:t>
      </w:r>
    </w:p>
    <w:p w14:paraId="51B284B6" w14:textId="6EDB32CC" w:rsidR="00EC3B62" w:rsidRPr="00EC3B62" w:rsidRDefault="00EC3B62" w:rsidP="00CF04E4">
      <w:pPr>
        <w:tabs>
          <w:tab w:val="left" w:pos="284"/>
          <w:tab w:val="left" w:pos="426"/>
          <w:tab w:val="right" w:pos="9072"/>
        </w:tabs>
        <w:spacing w:after="0" w:line="360" w:lineRule="auto"/>
        <w:ind w:right="-234" w:firstLine="567"/>
        <w:jc w:val="both"/>
        <w:rPr>
          <w:rFonts w:ascii="Arial" w:hAnsi="Arial" w:cs="Arial"/>
          <w:b/>
          <w:bCs/>
          <w:sz w:val="24"/>
          <w:szCs w:val="24"/>
        </w:rPr>
      </w:pPr>
    </w:p>
    <w:p w14:paraId="0B7D2D05" w14:textId="77777777" w:rsidR="00EC3B62" w:rsidRPr="00EC3B62" w:rsidRDefault="00EC3B62" w:rsidP="00EC3B62">
      <w:pPr>
        <w:tabs>
          <w:tab w:val="left" w:pos="284"/>
          <w:tab w:val="left" w:pos="851"/>
          <w:tab w:val="right" w:pos="9072"/>
        </w:tabs>
        <w:spacing w:after="0" w:line="360" w:lineRule="auto"/>
        <w:ind w:left="1134" w:right="-234"/>
        <w:jc w:val="both"/>
        <w:rPr>
          <w:rFonts w:ascii="Arial Narrow" w:hAnsi="Arial Narrow" w:cs="Arial"/>
          <w:b/>
          <w:bCs/>
          <w:sz w:val="24"/>
          <w:szCs w:val="24"/>
        </w:rPr>
      </w:pPr>
      <w:r w:rsidRPr="00EC3B62">
        <w:rPr>
          <w:rFonts w:ascii="Arial Narrow" w:hAnsi="Arial Narrow" w:cs="Arial"/>
          <w:b/>
          <w:bCs/>
          <w:sz w:val="24"/>
          <w:szCs w:val="24"/>
        </w:rPr>
        <w:lastRenderedPageBreak/>
        <w:t>NULIDAD DE LAS RESOLUCIONES ADMINISTRATIVAS. SENTIDO AMPLIO DEL CONCEPTO Y EFECTOS DE LA DECRETADA EN EL JUICIO CONTENCIOSO ADMINISTRATIVO FEDERAL.</w:t>
      </w:r>
    </w:p>
    <w:p w14:paraId="70D8E78E" w14:textId="77777777" w:rsidR="00EC3B62" w:rsidRPr="00EC3B62" w:rsidRDefault="00EC3B62" w:rsidP="00EC3B62">
      <w:pPr>
        <w:tabs>
          <w:tab w:val="left" w:pos="284"/>
          <w:tab w:val="left" w:pos="851"/>
          <w:tab w:val="right" w:pos="9072"/>
        </w:tabs>
        <w:spacing w:after="0" w:line="360" w:lineRule="auto"/>
        <w:ind w:left="1134" w:right="-234"/>
        <w:jc w:val="both"/>
        <w:rPr>
          <w:rFonts w:ascii="Arial Narrow" w:hAnsi="Arial Narrow" w:cs="Arial"/>
          <w:sz w:val="24"/>
          <w:szCs w:val="24"/>
        </w:rPr>
      </w:pPr>
    </w:p>
    <w:p w14:paraId="4C3813EB" w14:textId="77777777" w:rsidR="00EC3B62" w:rsidRPr="00EC3B62" w:rsidRDefault="00EC3B62" w:rsidP="00EC3B62">
      <w:pPr>
        <w:tabs>
          <w:tab w:val="left" w:pos="284"/>
          <w:tab w:val="left" w:pos="851"/>
          <w:tab w:val="right" w:pos="9072"/>
        </w:tabs>
        <w:spacing w:after="0" w:line="360" w:lineRule="auto"/>
        <w:ind w:left="1134" w:right="-234"/>
        <w:jc w:val="both"/>
        <w:rPr>
          <w:rFonts w:ascii="Arial Narrow" w:hAnsi="Arial Narrow" w:cs="Arial"/>
          <w:sz w:val="24"/>
          <w:szCs w:val="24"/>
        </w:rPr>
      </w:pPr>
      <w:r w:rsidRPr="00EC3B62">
        <w:rPr>
          <w:rFonts w:ascii="Arial Narrow" w:hAnsi="Arial Narrow" w:cs="Arial"/>
          <w:sz w:val="24"/>
          <w:szCs w:val="24"/>
        </w:rPr>
        <w:t xml:space="preserve">La nulidad de las resoluciones administrativas debe entenderse en sentido amplio, esto es, como la consecuencia de una declaración jurisdiccional que priva de valor y eficacia a las decisiones afectadas por alguna causa de ilegalidad. Así, la nulidad implica, tanto una declaración, como una sanción jurídica múltiple y consecuente; de ahí que estos efectos se adjudican a la resolución ilícita, pero también a sus consecuencias (conducta, resultado de acción u omisión y restauración del orden jurídico, entre otras). Además, el concepto genérico de dicha nulidad, en razón de sus variantes o modalidades, debe apreciarse en un contexto sistémico, complejo y comprensivo de múltiples factores y repercusiones pertinentes y conformes a casos concretos. En estas condiciones, la declaratoria y su trascendencia son el resultado de las etapas del control judicial respectivo, a saber: I) determinación de alguna causa de ilegalidad prevista en el artículo 51 de la Ley Federal de Procedimiento Contencioso Administrativo; II) declaración de invalidez o nulidad de la resolución, acorde con la trascendencia del vicio identificado, conforme al artículo 52 del ordenamiento citado; III) precisión de las ineficacias atribuibles a la resolución y sus consecuencias, en razón de los excesos o deficiencias que conlleven, tanto en el ámbito jurídico como en el fáctico, lo cual abarca a la propia decisión y a las secuelas que resulten incididas; y, IV) restauración plena de la legalidad y modalidades de cumplimiento, en términos del precepto 57 de la misma ley. Ahora, la declaratoria aludida puede implicar: A) la emisión de un nuevo acto en el que se subsanen los vicios de ilegalidad detectados (ya sean formales, procedimentales o de fondo, que deriven del ejercicio de facultades regladas o en respuesta a una instancia promovida por un particular); B) libertad para ejercer facultades, ya sea que confiera cierto arbitrio (con libertad para apreciar o adjudicar consecuencias) o de naturaleza netamente discrecional de la autoridad, actualizándose un supuesto de nulidad (lisa y llana), con la alternativa para dictar otro acto, purgando infracciones o consecuencias, aunque sujeto al plazo legalmente establecido (cuatro meses o un mes para la vía sumaria); C) la nulidad lisa y llana o absoluta, que imposibilita a la autoridad demandada para reiterar aspectos cuando, efectiva y puntualmente, sean cosa juzgada o temas decididos definitivamente; o, D) precisar medidas de reparación, indemnización o restitución acordes con la lesión o agravio causado a derechos específicos. De lo anterior se advierte que el concepto alusivo a la declaratoria de invalidez –nulidad– puede ser ambiguo y hasta confuso, por coincidir en la supresión de un acto de autoridad; sin embargo, los efectos de esa declaratoria dependerán del grado de ilegalidad detectado, el contexto en el que se originaron y </w:t>
      </w:r>
      <w:r w:rsidRPr="00EC3B62">
        <w:rPr>
          <w:rFonts w:ascii="Arial Narrow" w:hAnsi="Arial Narrow" w:cs="Arial"/>
          <w:sz w:val="24"/>
          <w:szCs w:val="24"/>
        </w:rPr>
        <w:lastRenderedPageBreak/>
        <w:t>las consecuencias o alternativas asignadas por la ley, y no únicamente de la denominación adoptada por el órgano jurisdiccional que la declare, como incluso lo prevé el numeral 57 indicado, al señalar que los efectos ahí previstos se producirán "aun en el caso de que la sentencia declare la nulidad en forma lisa y llana".</w:t>
      </w:r>
    </w:p>
    <w:p w14:paraId="6A38B830" w14:textId="77777777" w:rsidR="00EC3B62" w:rsidRDefault="00EC3B62" w:rsidP="00CF04E4">
      <w:pPr>
        <w:tabs>
          <w:tab w:val="left" w:pos="284"/>
          <w:tab w:val="left" w:pos="426"/>
          <w:tab w:val="right" w:pos="9072"/>
        </w:tabs>
        <w:spacing w:after="0" w:line="360" w:lineRule="auto"/>
        <w:ind w:right="-234" w:firstLine="567"/>
        <w:jc w:val="both"/>
        <w:rPr>
          <w:rFonts w:ascii="Arial" w:hAnsi="Arial" w:cs="Arial"/>
          <w:sz w:val="24"/>
          <w:szCs w:val="24"/>
        </w:rPr>
      </w:pPr>
    </w:p>
    <w:p w14:paraId="1830672D" w14:textId="77777777" w:rsidR="002B375F" w:rsidRPr="00512412" w:rsidRDefault="002B375F" w:rsidP="002B375F">
      <w:pPr>
        <w:spacing w:line="360" w:lineRule="auto"/>
        <w:ind w:firstLine="567"/>
        <w:jc w:val="both"/>
        <w:rPr>
          <w:rFonts w:ascii="Arial" w:hAnsi="Arial" w:cs="Arial"/>
          <w:sz w:val="24"/>
          <w:szCs w:val="24"/>
        </w:rPr>
      </w:pPr>
      <w:r w:rsidRPr="00512412">
        <w:rPr>
          <w:rFonts w:ascii="Arial" w:hAnsi="Arial" w:cs="Arial"/>
          <w:sz w:val="24"/>
          <w:szCs w:val="24"/>
        </w:rPr>
        <w:t xml:space="preserve">Por lo expuesto y con fundamento en los artículos 207, y 209 de la Ley de Procedimiento y Justicia Administrativa para el Estado de Oaxaca se; </w:t>
      </w:r>
    </w:p>
    <w:p w14:paraId="13F2DF4D" w14:textId="77777777" w:rsidR="002B375F" w:rsidRPr="00512412" w:rsidRDefault="002B375F" w:rsidP="002B375F">
      <w:pPr>
        <w:tabs>
          <w:tab w:val="right" w:pos="9072"/>
        </w:tabs>
        <w:spacing w:after="0" w:line="360" w:lineRule="auto"/>
        <w:ind w:right="-234"/>
        <w:rPr>
          <w:rFonts w:ascii="Arial" w:hAnsi="Arial" w:cs="Arial"/>
          <w:b/>
          <w:sz w:val="24"/>
          <w:szCs w:val="24"/>
        </w:rPr>
      </w:pPr>
    </w:p>
    <w:p w14:paraId="676D380E" w14:textId="77777777" w:rsidR="002B375F" w:rsidRPr="00512412" w:rsidRDefault="002B375F" w:rsidP="002B375F">
      <w:pPr>
        <w:tabs>
          <w:tab w:val="right" w:pos="9072"/>
        </w:tabs>
        <w:spacing w:after="0" w:line="360" w:lineRule="auto"/>
        <w:ind w:right="-234" w:firstLine="708"/>
        <w:jc w:val="center"/>
        <w:rPr>
          <w:rFonts w:ascii="Arial" w:hAnsi="Arial" w:cs="Arial"/>
          <w:b/>
          <w:sz w:val="24"/>
          <w:szCs w:val="24"/>
        </w:rPr>
      </w:pPr>
      <w:r w:rsidRPr="00512412">
        <w:rPr>
          <w:rFonts w:ascii="Arial" w:hAnsi="Arial" w:cs="Arial"/>
          <w:b/>
          <w:sz w:val="24"/>
          <w:szCs w:val="24"/>
        </w:rPr>
        <w:t>R E S U E L V E:</w:t>
      </w:r>
    </w:p>
    <w:p w14:paraId="640C5BEF" w14:textId="77777777" w:rsidR="002B375F" w:rsidRPr="00512412" w:rsidRDefault="002B375F" w:rsidP="002B375F">
      <w:pPr>
        <w:tabs>
          <w:tab w:val="right" w:pos="9072"/>
        </w:tabs>
        <w:spacing w:after="0" w:line="360" w:lineRule="auto"/>
        <w:ind w:right="-234" w:firstLine="708"/>
        <w:rPr>
          <w:rFonts w:ascii="Arial" w:hAnsi="Arial" w:cs="Arial"/>
          <w:b/>
          <w:sz w:val="24"/>
          <w:szCs w:val="24"/>
        </w:rPr>
      </w:pPr>
    </w:p>
    <w:p w14:paraId="492FBA6A" w14:textId="77777777" w:rsidR="002B375F" w:rsidRPr="00512412" w:rsidRDefault="002B375F" w:rsidP="002B375F">
      <w:pPr>
        <w:tabs>
          <w:tab w:val="right" w:pos="9072"/>
        </w:tabs>
        <w:spacing w:after="0" w:line="360" w:lineRule="auto"/>
        <w:ind w:right="-234" w:firstLine="567"/>
        <w:jc w:val="both"/>
        <w:rPr>
          <w:rFonts w:ascii="Arial" w:hAnsi="Arial" w:cs="Arial"/>
          <w:sz w:val="24"/>
          <w:szCs w:val="24"/>
        </w:rPr>
      </w:pPr>
      <w:r w:rsidRPr="00512412">
        <w:rPr>
          <w:rFonts w:ascii="Arial" w:hAnsi="Arial" w:cs="Arial"/>
          <w:b/>
          <w:sz w:val="24"/>
          <w:szCs w:val="24"/>
        </w:rPr>
        <w:t>PRIMERO.</w:t>
      </w:r>
      <w:r w:rsidRPr="00512412">
        <w:rPr>
          <w:rFonts w:ascii="Arial" w:hAnsi="Arial" w:cs="Arial"/>
          <w:sz w:val="24"/>
          <w:szCs w:val="24"/>
        </w:rPr>
        <w:t xml:space="preserve"> Esta Primera Sala Unitaria fue competente para conocer y resolver del presente asunto. </w:t>
      </w:r>
    </w:p>
    <w:p w14:paraId="470F3F23" w14:textId="77777777" w:rsidR="002B375F" w:rsidRPr="00512412" w:rsidRDefault="002B375F" w:rsidP="002B375F">
      <w:pPr>
        <w:tabs>
          <w:tab w:val="right" w:pos="9072"/>
        </w:tabs>
        <w:spacing w:after="0" w:line="360" w:lineRule="auto"/>
        <w:ind w:right="-234" w:firstLine="567"/>
        <w:jc w:val="both"/>
        <w:rPr>
          <w:rFonts w:ascii="Arial" w:hAnsi="Arial" w:cs="Arial"/>
          <w:sz w:val="24"/>
          <w:szCs w:val="24"/>
        </w:rPr>
      </w:pPr>
    </w:p>
    <w:p w14:paraId="2EF5F842" w14:textId="77777777" w:rsidR="002B375F" w:rsidRPr="00512412" w:rsidRDefault="002B375F" w:rsidP="002B375F">
      <w:pPr>
        <w:tabs>
          <w:tab w:val="right" w:pos="9072"/>
        </w:tabs>
        <w:spacing w:after="0" w:line="360" w:lineRule="auto"/>
        <w:ind w:right="-234" w:firstLine="567"/>
        <w:jc w:val="both"/>
        <w:rPr>
          <w:rFonts w:ascii="Arial" w:hAnsi="Arial" w:cs="Arial"/>
          <w:b/>
          <w:sz w:val="24"/>
          <w:szCs w:val="24"/>
        </w:rPr>
      </w:pPr>
      <w:r w:rsidRPr="00512412">
        <w:rPr>
          <w:rFonts w:ascii="Arial" w:hAnsi="Arial" w:cs="Arial"/>
          <w:b/>
          <w:sz w:val="24"/>
          <w:szCs w:val="24"/>
        </w:rPr>
        <w:t xml:space="preserve">SEGUNDO. </w:t>
      </w:r>
      <w:r w:rsidRPr="00512412">
        <w:rPr>
          <w:rFonts w:ascii="Arial" w:hAnsi="Arial" w:cs="Arial"/>
          <w:sz w:val="24"/>
          <w:szCs w:val="24"/>
        </w:rPr>
        <w:t xml:space="preserve">La personería de las partes quedó acreditada. </w:t>
      </w:r>
    </w:p>
    <w:p w14:paraId="2D41CDF3" w14:textId="77777777" w:rsidR="002B375F" w:rsidRPr="00512412" w:rsidRDefault="002B375F" w:rsidP="002B375F">
      <w:pPr>
        <w:tabs>
          <w:tab w:val="right" w:pos="9072"/>
        </w:tabs>
        <w:spacing w:after="0" w:line="360" w:lineRule="auto"/>
        <w:ind w:right="-234" w:firstLine="567"/>
        <w:jc w:val="both"/>
        <w:rPr>
          <w:rFonts w:ascii="Arial" w:hAnsi="Arial" w:cs="Arial"/>
          <w:b/>
          <w:sz w:val="24"/>
          <w:szCs w:val="24"/>
        </w:rPr>
      </w:pPr>
    </w:p>
    <w:p w14:paraId="5A6E4C73" w14:textId="0486303F" w:rsidR="002B375F" w:rsidRDefault="002B375F" w:rsidP="002B375F">
      <w:pPr>
        <w:spacing w:after="0" w:line="360" w:lineRule="auto"/>
        <w:ind w:firstLine="567"/>
        <w:jc w:val="both"/>
        <w:rPr>
          <w:rFonts w:ascii="Arial" w:hAnsi="Arial" w:cs="Arial"/>
          <w:bCs/>
          <w:sz w:val="24"/>
          <w:szCs w:val="24"/>
        </w:rPr>
      </w:pPr>
      <w:r w:rsidRPr="00512412">
        <w:rPr>
          <w:rFonts w:ascii="Arial" w:hAnsi="Arial" w:cs="Arial"/>
          <w:b/>
          <w:sz w:val="24"/>
          <w:szCs w:val="24"/>
        </w:rPr>
        <w:t xml:space="preserve">TERCERO. </w:t>
      </w:r>
      <w:r w:rsidRPr="00512412">
        <w:rPr>
          <w:rFonts w:ascii="Arial" w:hAnsi="Arial" w:cs="Arial"/>
          <w:sz w:val="24"/>
          <w:szCs w:val="24"/>
        </w:rPr>
        <w:t xml:space="preserve">Se </w:t>
      </w:r>
      <w:r>
        <w:rPr>
          <w:rFonts w:ascii="Arial" w:hAnsi="Arial" w:cs="Arial"/>
          <w:sz w:val="24"/>
          <w:szCs w:val="24"/>
        </w:rPr>
        <w:t xml:space="preserve">declara la </w:t>
      </w:r>
      <w:r>
        <w:rPr>
          <w:rFonts w:ascii="Arial" w:hAnsi="Arial" w:cs="Arial"/>
          <w:b/>
          <w:bCs/>
          <w:sz w:val="24"/>
          <w:szCs w:val="24"/>
        </w:rPr>
        <w:t>NULIDAD</w:t>
      </w:r>
      <w:r w:rsidR="00FB0384">
        <w:rPr>
          <w:rFonts w:ascii="Arial" w:hAnsi="Arial" w:cs="Arial"/>
          <w:b/>
          <w:bCs/>
          <w:sz w:val="24"/>
          <w:szCs w:val="24"/>
        </w:rPr>
        <w:t xml:space="preserve"> LISA Y LLANA</w:t>
      </w:r>
      <w:r w:rsidRPr="00512412">
        <w:rPr>
          <w:rFonts w:ascii="Arial" w:hAnsi="Arial" w:cs="Arial"/>
          <w:b/>
          <w:bCs/>
          <w:sz w:val="24"/>
          <w:szCs w:val="24"/>
        </w:rPr>
        <w:t xml:space="preserve"> </w:t>
      </w:r>
      <w:r w:rsidR="00EC3B62">
        <w:rPr>
          <w:rFonts w:ascii="Arial" w:eastAsia="Calibri" w:hAnsi="Arial" w:cs="Arial"/>
          <w:sz w:val="24"/>
          <w:szCs w:val="24"/>
          <w:lang w:eastAsia="en-US"/>
        </w:rPr>
        <w:t xml:space="preserve">del </w:t>
      </w:r>
      <w:r w:rsidR="00343500">
        <w:rPr>
          <w:rFonts w:ascii="Arial" w:hAnsi="Arial" w:cs="Arial"/>
          <w:sz w:val="24"/>
          <w:szCs w:val="24"/>
        </w:rPr>
        <w:t xml:space="preserve">acta de infracción con número de folio </w:t>
      </w:r>
      <w:r w:rsidR="00D8434A">
        <w:rPr>
          <w:rFonts w:ascii="Arial" w:hAnsi="Arial" w:cs="Arial"/>
          <w:sz w:val="24"/>
          <w:szCs w:val="24"/>
        </w:rPr>
        <w:t>**********</w:t>
      </w:r>
      <w:bookmarkStart w:id="0" w:name="_GoBack"/>
      <w:bookmarkEnd w:id="0"/>
      <w:r w:rsidR="00343500">
        <w:rPr>
          <w:rFonts w:ascii="Arial" w:hAnsi="Arial" w:cs="Arial"/>
          <w:sz w:val="24"/>
          <w:szCs w:val="24"/>
        </w:rPr>
        <w:t xml:space="preserve"> de fecha quince de julio de dos mil veintiuno </w:t>
      </w:r>
      <w:r w:rsidR="00EC3B62">
        <w:rPr>
          <w:rFonts w:ascii="Arial" w:hAnsi="Arial" w:cs="Arial"/>
          <w:sz w:val="24"/>
          <w:szCs w:val="24"/>
        </w:rPr>
        <w:t>por las razones expuestas</w:t>
      </w:r>
      <w:r>
        <w:rPr>
          <w:rFonts w:ascii="Arial" w:hAnsi="Arial" w:cs="Arial"/>
          <w:bCs/>
          <w:sz w:val="24"/>
          <w:szCs w:val="24"/>
        </w:rPr>
        <w:t xml:space="preserve"> en el considerando </w:t>
      </w:r>
      <w:r w:rsidR="00FB0883">
        <w:rPr>
          <w:rFonts w:ascii="Arial" w:hAnsi="Arial" w:cs="Arial"/>
          <w:bCs/>
          <w:sz w:val="24"/>
          <w:szCs w:val="24"/>
        </w:rPr>
        <w:t>SEXTO</w:t>
      </w:r>
      <w:r>
        <w:rPr>
          <w:rFonts w:ascii="Arial" w:hAnsi="Arial" w:cs="Arial"/>
          <w:bCs/>
          <w:sz w:val="24"/>
          <w:szCs w:val="24"/>
        </w:rPr>
        <w:t xml:space="preserve"> de la presente resolución.</w:t>
      </w:r>
    </w:p>
    <w:p w14:paraId="7C1BBEAB" w14:textId="77777777" w:rsidR="002B375F" w:rsidRPr="00512412" w:rsidRDefault="002B375F" w:rsidP="002B375F">
      <w:pPr>
        <w:spacing w:after="0" w:line="360" w:lineRule="auto"/>
        <w:ind w:firstLine="567"/>
        <w:jc w:val="both"/>
        <w:rPr>
          <w:rFonts w:ascii="Arial" w:hAnsi="Arial" w:cs="Arial"/>
          <w:sz w:val="24"/>
          <w:szCs w:val="24"/>
        </w:rPr>
      </w:pPr>
    </w:p>
    <w:p w14:paraId="4F70F251" w14:textId="0EE25A0A" w:rsidR="002B375F" w:rsidRPr="00512412" w:rsidRDefault="002B375F" w:rsidP="002B375F">
      <w:pPr>
        <w:spacing w:after="0" w:line="360" w:lineRule="auto"/>
        <w:ind w:right="49" w:firstLine="567"/>
        <w:jc w:val="both"/>
        <w:rPr>
          <w:rFonts w:ascii="Arial" w:eastAsia="Times New Roman" w:hAnsi="Arial" w:cs="Arial"/>
          <w:sz w:val="24"/>
          <w:szCs w:val="24"/>
        </w:rPr>
      </w:pPr>
      <w:r w:rsidRPr="00512412">
        <w:rPr>
          <w:rFonts w:ascii="Arial" w:eastAsia="Times New Roman" w:hAnsi="Arial" w:cs="Arial"/>
          <w:b/>
          <w:sz w:val="24"/>
          <w:szCs w:val="24"/>
        </w:rPr>
        <w:t>CUARTO. Notifíquese personalmente a la parte actora y por oficio a la autoridad demandada</w:t>
      </w:r>
      <w:r w:rsidRPr="00512412">
        <w:rPr>
          <w:rFonts w:ascii="Arial" w:eastAsia="Times New Roman" w:hAnsi="Arial" w:cs="Arial"/>
          <w:sz w:val="24"/>
          <w:szCs w:val="24"/>
        </w:rPr>
        <w:t>, con fundamento en los artículos 172 fracción I y 173 fracciones I y II, de la Ley de Procedimiento y Justicia Administrativa para el Estado de Oaxaca,</w:t>
      </w:r>
      <w:r w:rsidRPr="00512412">
        <w:rPr>
          <w:rFonts w:ascii="Arial" w:eastAsia="Times New Roman" w:hAnsi="Arial" w:cs="Arial"/>
          <w:b/>
          <w:iCs/>
          <w:sz w:val="24"/>
          <w:szCs w:val="24"/>
        </w:rPr>
        <w:t xml:space="preserve"> - CÚMPLASE</w:t>
      </w:r>
      <w:r w:rsidRPr="00512412">
        <w:rPr>
          <w:rFonts w:ascii="Arial" w:eastAsia="Times New Roman" w:hAnsi="Arial" w:cs="Arial"/>
          <w:sz w:val="24"/>
          <w:szCs w:val="24"/>
        </w:rPr>
        <w:t xml:space="preserve">. </w:t>
      </w:r>
    </w:p>
    <w:p w14:paraId="3B0CE970" w14:textId="77777777" w:rsidR="002B375F" w:rsidRPr="00512412" w:rsidRDefault="002B375F" w:rsidP="002B375F">
      <w:pPr>
        <w:spacing w:after="0" w:line="360" w:lineRule="auto"/>
        <w:ind w:right="49" w:firstLine="567"/>
        <w:jc w:val="both"/>
        <w:rPr>
          <w:rFonts w:ascii="Arial" w:eastAsia="Times New Roman" w:hAnsi="Arial" w:cs="Arial"/>
          <w:b/>
          <w:sz w:val="24"/>
          <w:szCs w:val="24"/>
        </w:rPr>
      </w:pPr>
    </w:p>
    <w:p w14:paraId="7964499F" w14:textId="77777777" w:rsidR="002B375F" w:rsidRPr="00512412" w:rsidRDefault="002B375F" w:rsidP="002B375F">
      <w:pPr>
        <w:spacing w:after="0" w:line="360" w:lineRule="auto"/>
        <w:ind w:right="49" w:firstLine="567"/>
        <w:jc w:val="both"/>
        <w:rPr>
          <w:rFonts w:ascii="Arial" w:eastAsia="Times New Roman" w:hAnsi="Arial" w:cs="Arial"/>
          <w:b/>
          <w:sz w:val="24"/>
          <w:szCs w:val="24"/>
          <w:lang w:val="es-ES"/>
        </w:rPr>
      </w:pPr>
      <w:r w:rsidRPr="00512412">
        <w:rPr>
          <w:rFonts w:ascii="Arial" w:eastAsia="Times New Roman" w:hAnsi="Arial" w:cs="Arial"/>
          <w:sz w:val="24"/>
          <w:szCs w:val="24"/>
        </w:rPr>
        <w:t>Así lo resolvió y firmó el Titular de la Primera Sala Unitaria de Primera Instancia del Tribunal de Justicia Administrativa del Estado de Oaxaca, Magistrado Abraham Santiago Soriano, quien actúa con el Licenciado Christian Mauricio Morales Morales, Secretario de Acuerdos, que autoriza y da fe.</w:t>
      </w:r>
    </w:p>
    <w:sectPr w:rsidR="002B375F" w:rsidRPr="00512412"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28D9CE" w14:textId="77777777" w:rsidR="00FE7E4C" w:rsidRDefault="00FE7E4C">
      <w:pPr>
        <w:spacing w:after="0" w:line="240" w:lineRule="auto"/>
      </w:pPr>
      <w:r>
        <w:separator/>
      </w:r>
    </w:p>
  </w:endnote>
  <w:endnote w:type="continuationSeparator" w:id="0">
    <w:p w14:paraId="73FC1EE3" w14:textId="77777777" w:rsidR="00FE7E4C" w:rsidRDefault="00FE7E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NimbusSanL">
    <w:altName w:val="Calibri"/>
    <w:panose1 w:val="00000000000000000000"/>
    <w:charset w:val="00"/>
    <w:family w:val="auto"/>
    <w:notTrueType/>
    <w:pitch w:val="default"/>
    <w:sig w:usb0="00000003" w:usb1="00000000" w:usb2="00000000" w:usb3="00000000" w:csb0="00000001" w:csb1="00000000"/>
  </w:font>
  <w:font w:name="Century Schoolbook">
    <w:altName w:val="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360DF" w:rsidRDefault="00A360DF">
    <w:pPr>
      <w:pStyle w:val="Piedepgina"/>
      <w:jc w:val="center"/>
    </w:pPr>
  </w:p>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1A0E87" w14:textId="77777777" w:rsidR="00FE7E4C" w:rsidRDefault="00FE7E4C">
      <w:pPr>
        <w:spacing w:after="0" w:line="240" w:lineRule="auto"/>
      </w:pPr>
      <w:r>
        <w:separator/>
      </w:r>
    </w:p>
  </w:footnote>
  <w:footnote w:type="continuationSeparator" w:id="0">
    <w:p w14:paraId="4F0BEBC1" w14:textId="77777777" w:rsidR="00FE7E4C" w:rsidRDefault="00FE7E4C">
      <w:pPr>
        <w:spacing w:after="0" w:line="240" w:lineRule="auto"/>
      </w:pPr>
      <w:r>
        <w:continuationSeparator/>
      </w:r>
    </w:p>
  </w:footnote>
  <w:footnote w:id="1">
    <w:p w14:paraId="4AA2A171" w14:textId="77777777" w:rsidR="0085386F" w:rsidRDefault="0085386F" w:rsidP="0085386F">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5C1846A3" w14:textId="77777777" w:rsidR="0085386F" w:rsidRPr="005B4F51" w:rsidRDefault="0085386F" w:rsidP="0085386F">
      <w:pPr>
        <w:autoSpaceDE w:val="0"/>
        <w:autoSpaceDN w:val="0"/>
        <w:adjustRightInd w:val="0"/>
        <w:spacing w:after="0" w:line="240" w:lineRule="auto"/>
        <w:jc w:val="both"/>
        <w:rPr>
          <w:rFonts w:ascii="Arial" w:hAnsi="Arial" w:cs="Arial"/>
          <w:color w:val="000000"/>
        </w:rPr>
      </w:pPr>
    </w:p>
  </w:footnote>
  <w:footnote w:id="2">
    <w:p w14:paraId="2A5ACC35" w14:textId="77777777" w:rsidR="0085386F" w:rsidRDefault="0085386F" w:rsidP="0085386F">
      <w:pPr>
        <w:autoSpaceDE w:val="0"/>
        <w:autoSpaceDN w:val="0"/>
        <w:adjustRightInd w:val="0"/>
        <w:spacing w:after="0" w:line="240" w:lineRule="auto"/>
        <w:jc w:val="both"/>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7858E3CB" w14:textId="77777777" w:rsidR="0085386F" w:rsidRPr="005B4F51" w:rsidRDefault="0085386F" w:rsidP="0085386F">
      <w:pPr>
        <w:autoSpaceDE w:val="0"/>
        <w:autoSpaceDN w:val="0"/>
        <w:adjustRightInd w:val="0"/>
        <w:spacing w:after="0" w:line="240" w:lineRule="auto"/>
        <w:rPr>
          <w:rFonts w:ascii="Arial" w:hAnsi="Arial" w:cs="Arial"/>
          <w:color w:val="000000"/>
          <w:sz w:val="16"/>
          <w:szCs w:val="16"/>
        </w:rPr>
      </w:pPr>
    </w:p>
  </w:footnote>
  <w:footnote w:id="3">
    <w:p w14:paraId="67FAF33D" w14:textId="77777777" w:rsidR="00D83CC1" w:rsidRDefault="00D83CC1" w:rsidP="00D83CC1">
      <w:pPr>
        <w:widowControl w:val="0"/>
        <w:autoSpaceDE w:val="0"/>
        <w:autoSpaceDN w:val="0"/>
        <w:adjustRightInd w:val="0"/>
        <w:spacing w:line="360" w:lineRule="auto"/>
        <w:ind w:right="-234"/>
        <w:jc w:val="both"/>
        <w:rPr>
          <w:rFonts w:ascii="Arial" w:hAnsi="Arial" w:cs="Arial"/>
          <w:sz w:val="16"/>
          <w:szCs w:val="16"/>
        </w:rPr>
      </w:pPr>
      <w:r w:rsidRPr="000F129A">
        <w:rPr>
          <w:rStyle w:val="Refdenotaalpie"/>
          <w:rFonts w:ascii="Arial" w:hAnsi="Arial" w:cs="Arial"/>
          <w:sz w:val="16"/>
          <w:szCs w:val="16"/>
        </w:rPr>
        <w:footnoteRef/>
      </w:r>
      <w:r w:rsidRPr="000F129A">
        <w:rPr>
          <w:rFonts w:ascii="Arial" w:hAnsi="Arial" w:cs="Arial"/>
          <w:sz w:val="16"/>
          <w:szCs w:val="16"/>
        </w:rPr>
        <w:t xml:space="preserve"> </w:t>
      </w:r>
      <w:r>
        <w:rPr>
          <w:rFonts w:ascii="Arial" w:hAnsi="Arial" w:cs="Arial"/>
          <w:sz w:val="16"/>
          <w:szCs w:val="16"/>
        </w:rPr>
        <w:t>“</w:t>
      </w:r>
      <w:r w:rsidRPr="000F129A">
        <w:rPr>
          <w:rFonts w:ascii="Arial" w:hAnsi="Arial" w:cs="Arial"/>
          <w:b/>
          <w:bCs/>
          <w:color w:val="000000"/>
          <w:spacing w:val="-6"/>
          <w:sz w:val="16"/>
          <w:szCs w:val="16"/>
        </w:rPr>
        <w:t>A</w:t>
      </w:r>
      <w:r w:rsidRPr="000F129A">
        <w:rPr>
          <w:rFonts w:ascii="Arial" w:hAnsi="Arial" w:cs="Arial"/>
          <w:b/>
          <w:bCs/>
          <w:color w:val="000000"/>
          <w:spacing w:val="1"/>
          <w:sz w:val="16"/>
          <w:szCs w:val="16"/>
        </w:rPr>
        <w:t>R</w:t>
      </w:r>
      <w:r w:rsidRPr="000F129A">
        <w:rPr>
          <w:rFonts w:ascii="Arial" w:hAnsi="Arial" w:cs="Arial"/>
          <w:b/>
          <w:bCs/>
          <w:color w:val="000000"/>
          <w:sz w:val="16"/>
          <w:szCs w:val="16"/>
        </w:rPr>
        <w:t>TÍCULO</w:t>
      </w:r>
      <w:r w:rsidRPr="000F129A">
        <w:rPr>
          <w:rFonts w:ascii="Arial" w:hAnsi="Arial" w:cs="Arial"/>
          <w:b/>
          <w:bCs/>
          <w:color w:val="000000"/>
          <w:spacing w:val="2"/>
          <w:sz w:val="16"/>
          <w:szCs w:val="16"/>
        </w:rPr>
        <w:t xml:space="preserve"> </w:t>
      </w:r>
      <w:r>
        <w:rPr>
          <w:rFonts w:ascii="Arial" w:hAnsi="Arial" w:cs="Arial"/>
          <w:b/>
          <w:bCs/>
          <w:color w:val="000000"/>
          <w:sz w:val="16"/>
          <w:szCs w:val="16"/>
        </w:rPr>
        <w:t>203</w:t>
      </w:r>
      <w:r w:rsidRPr="000F129A">
        <w:rPr>
          <w:rFonts w:ascii="Arial" w:hAnsi="Arial" w:cs="Arial"/>
          <w:b/>
          <w:bCs/>
          <w:color w:val="000000"/>
          <w:spacing w:val="1"/>
          <w:sz w:val="16"/>
          <w:szCs w:val="16"/>
        </w:rPr>
        <w:t>.</w:t>
      </w:r>
      <w:r w:rsidRPr="000F129A">
        <w:rPr>
          <w:rFonts w:ascii="Arial" w:hAnsi="Arial" w:cs="Arial"/>
          <w:b/>
          <w:bCs/>
          <w:color w:val="000000"/>
          <w:sz w:val="16"/>
          <w:szCs w:val="16"/>
        </w:rPr>
        <w:t xml:space="preserve">- </w:t>
      </w:r>
      <w:r w:rsidRPr="000F129A">
        <w:rPr>
          <w:rFonts w:ascii="Arial" w:hAnsi="Arial" w:cs="Arial"/>
          <w:color w:val="000000"/>
          <w:sz w:val="16"/>
          <w:szCs w:val="16"/>
        </w:rPr>
        <w:t>La</w:t>
      </w:r>
      <w:r w:rsidRPr="000F129A">
        <w:rPr>
          <w:rFonts w:ascii="Arial" w:hAnsi="Arial" w:cs="Arial"/>
          <w:color w:val="000000"/>
          <w:spacing w:val="1"/>
          <w:sz w:val="16"/>
          <w:szCs w:val="16"/>
        </w:rPr>
        <w:t xml:space="preserve"> </w:t>
      </w:r>
      <w:r w:rsidRPr="000F129A">
        <w:rPr>
          <w:rFonts w:ascii="Arial" w:hAnsi="Arial" w:cs="Arial"/>
          <w:color w:val="000000"/>
          <w:spacing w:val="-2"/>
          <w:sz w:val="16"/>
          <w:szCs w:val="16"/>
        </w:rPr>
        <w:t>v</w:t>
      </w:r>
      <w:r w:rsidRPr="000F129A">
        <w:rPr>
          <w:rFonts w:ascii="Arial" w:hAnsi="Arial" w:cs="Arial"/>
          <w:color w:val="000000"/>
          <w:sz w:val="16"/>
          <w:szCs w:val="16"/>
        </w:rPr>
        <w:t>a</w:t>
      </w:r>
      <w:r w:rsidRPr="000F129A">
        <w:rPr>
          <w:rFonts w:ascii="Arial" w:hAnsi="Arial" w:cs="Arial"/>
          <w:color w:val="000000"/>
          <w:spacing w:val="-1"/>
          <w:sz w:val="16"/>
          <w:szCs w:val="16"/>
        </w:rPr>
        <w:t>l</w:t>
      </w:r>
      <w:r w:rsidRPr="000F129A">
        <w:rPr>
          <w:rFonts w:ascii="Arial" w:hAnsi="Arial" w:cs="Arial"/>
          <w:color w:val="000000"/>
          <w:sz w:val="16"/>
          <w:szCs w:val="16"/>
        </w:rPr>
        <w:t>orac</w:t>
      </w:r>
      <w:r w:rsidRPr="000F129A">
        <w:rPr>
          <w:rFonts w:ascii="Arial" w:hAnsi="Arial" w:cs="Arial"/>
          <w:color w:val="000000"/>
          <w:spacing w:val="-1"/>
          <w:sz w:val="16"/>
          <w:szCs w:val="16"/>
        </w:rPr>
        <w:t>i</w:t>
      </w:r>
      <w:r w:rsidRPr="000F129A">
        <w:rPr>
          <w:rFonts w:ascii="Arial" w:hAnsi="Arial" w:cs="Arial"/>
          <w:color w:val="000000"/>
          <w:sz w:val="16"/>
          <w:szCs w:val="16"/>
        </w:rPr>
        <w:t>ón</w:t>
      </w:r>
      <w:r w:rsidRPr="000F129A">
        <w:rPr>
          <w:rFonts w:ascii="Arial" w:hAnsi="Arial" w:cs="Arial"/>
          <w:color w:val="000000"/>
          <w:spacing w:val="1"/>
          <w:sz w:val="16"/>
          <w:szCs w:val="16"/>
        </w:rPr>
        <w:t xml:space="preserve"> </w:t>
      </w:r>
      <w:r w:rsidRPr="000F129A">
        <w:rPr>
          <w:rFonts w:ascii="Arial" w:hAnsi="Arial" w:cs="Arial"/>
          <w:color w:val="000000"/>
          <w:sz w:val="16"/>
          <w:szCs w:val="16"/>
        </w:rPr>
        <w:t>de</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as</w:t>
      </w:r>
      <w:r w:rsidRPr="000F129A">
        <w:rPr>
          <w:rFonts w:ascii="Arial" w:hAnsi="Arial" w:cs="Arial"/>
          <w:color w:val="000000"/>
          <w:spacing w:val="-2"/>
          <w:sz w:val="16"/>
          <w:szCs w:val="16"/>
        </w:rPr>
        <w:t xml:space="preserve"> </w:t>
      </w:r>
      <w:r w:rsidRPr="000F129A">
        <w:rPr>
          <w:rFonts w:ascii="Arial" w:hAnsi="Arial" w:cs="Arial"/>
          <w:color w:val="000000"/>
          <w:sz w:val="16"/>
          <w:szCs w:val="16"/>
        </w:rPr>
        <w:t>prueb</w:t>
      </w:r>
      <w:r w:rsidRPr="000F129A">
        <w:rPr>
          <w:rFonts w:ascii="Arial" w:hAnsi="Arial" w:cs="Arial"/>
          <w:color w:val="000000"/>
          <w:spacing w:val="-1"/>
          <w:sz w:val="16"/>
          <w:szCs w:val="16"/>
        </w:rPr>
        <w:t>a</w:t>
      </w:r>
      <w:r w:rsidRPr="000F129A">
        <w:rPr>
          <w:rFonts w:ascii="Arial" w:hAnsi="Arial" w:cs="Arial"/>
          <w:color w:val="000000"/>
          <w:sz w:val="16"/>
          <w:szCs w:val="16"/>
        </w:rPr>
        <w:t>s</w:t>
      </w:r>
      <w:r w:rsidRPr="000F129A">
        <w:rPr>
          <w:rFonts w:ascii="Arial" w:hAnsi="Arial" w:cs="Arial"/>
          <w:color w:val="000000"/>
          <w:spacing w:val="-1"/>
          <w:sz w:val="16"/>
          <w:szCs w:val="16"/>
        </w:rPr>
        <w:t xml:space="preserve"> </w:t>
      </w:r>
      <w:r w:rsidRPr="000F129A">
        <w:rPr>
          <w:rFonts w:ascii="Arial" w:hAnsi="Arial" w:cs="Arial"/>
          <w:color w:val="000000"/>
          <w:spacing w:val="-2"/>
          <w:sz w:val="16"/>
          <w:szCs w:val="16"/>
        </w:rPr>
        <w:t>s</w:t>
      </w:r>
      <w:r w:rsidRPr="000F129A">
        <w:rPr>
          <w:rFonts w:ascii="Arial" w:hAnsi="Arial" w:cs="Arial"/>
          <w:color w:val="000000"/>
          <w:sz w:val="16"/>
          <w:szCs w:val="16"/>
        </w:rPr>
        <w:t>e ha</w:t>
      </w:r>
      <w:r w:rsidRPr="000F129A">
        <w:rPr>
          <w:rFonts w:ascii="Arial" w:hAnsi="Arial" w:cs="Arial"/>
          <w:color w:val="000000"/>
          <w:spacing w:val="1"/>
          <w:sz w:val="16"/>
          <w:szCs w:val="16"/>
        </w:rPr>
        <w:t>r</w:t>
      </w:r>
      <w:r w:rsidRPr="000F129A">
        <w:rPr>
          <w:rFonts w:ascii="Arial" w:hAnsi="Arial" w:cs="Arial"/>
          <w:color w:val="000000"/>
          <w:sz w:val="16"/>
          <w:szCs w:val="16"/>
        </w:rPr>
        <w:t>á  de</w:t>
      </w:r>
      <w:r w:rsidRPr="000F129A">
        <w:rPr>
          <w:rFonts w:ascii="Arial" w:hAnsi="Arial" w:cs="Arial"/>
          <w:color w:val="000000"/>
          <w:spacing w:val="-2"/>
          <w:sz w:val="16"/>
          <w:szCs w:val="16"/>
        </w:rPr>
        <w:t xml:space="preserve"> </w:t>
      </w:r>
      <w:r w:rsidRPr="000F129A">
        <w:rPr>
          <w:rFonts w:ascii="Arial" w:hAnsi="Arial" w:cs="Arial"/>
          <w:color w:val="000000"/>
          <w:sz w:val="16"/>
          <w:szCs w:val="16"/>
        </w:rPr>
        <w:t>ac</w:t>
      </w:r>
      <w:r w:rsidRPr="000F129A">
        <w:rPr>
          <w:rFonts w:ascii="Arial" w:hAnsi="Arial" w:cs="Arial"/>
          <w:color w:val="000000"/>
          <w:spacing w:val="-1"/>
          <w:sz w:val="16"/>
          <w:szCs w:val="16"/>
        </w:rPr>
        <w:t>u</w:t>
      </w:r>
      <w:r w:rsidRPr="000F129A">
        <w:rPr>
          <w:rFonts w:ascii="Arial" w:hAnsi="Arial" w:cs="Arial"/>
          <w:color w:val="000000"/>
          <w:sz w:val="16"/>
          <w:szCs w:val="16"/>
        </w:rPr>
        <w:t>erdo</w:t>
      </w:r>
      <w:r w:rsidRPr="000F129A">
        <w:rPr>
          <w:rFonts w:ascii="Arial" w:hAnsi="Arial" w:cs="Arial"/>
          <w:color w:val="000000"/>
          <w:spacing w:val="-1"/>
          <w:sz w:val="16"/>
          <w:szCs w:val="16"/>
        </w:rPr>
        <w:t xml:space="preserve"> </w:t>
      </w:r>
      <w:r w:rsidRPr="000F129A">
        <w:rPr>
          <w:rFonts w:ascii="Arial" w:hAnsi="Arial" w:cs="Arial"/>
          <w:color w:val="000000"/>
          <w:sz w:val="16"/>
          <w:szCs w:val="16"/>
        </w:rPr>
        <w:t>con</w:t>
      </w:r>
      <w:r w:rsidRPr="000F129A">
        <w:rPr>
          <w:rFonts w:ascii="Arial" w:hAnsi="Arial" w:cs="Arial"/>
          <w:color w:val="000000"/>
          <w:spacing w:val="-2"/>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as s</w:t>
      </w:r>
      <w:r w:rsidRPr="000F129A">
        <w:rPr>
          <w:rFonts w:ascii="Arial" w:hAnsi="Arial" w:cs="Arial"/>
          <w:color w:val="000000"/>
          <w:spacing w:val="-3"/>
          <w:sz w:val="16"/>
          <w:szCs w:val="16"/>
        </w:rPr>
        <w:t>i</w:t>
      </w:r>
      <w:r w:rsidRPr="000F129A">
        <w:rPr>
          <w:rFonts w:ascii="Arial" w:hAnsi="Arial" w:cs="Arial"/>
          <w:color w:val="000000"/>
          <w:spacing w:val="2"/>
          <w:sz w:val="16"/>
          <w:szCs w:val="16"/>
        </w:rPr>
        <w:t>g</w:t>
      </w:r>
      <w:r w:rsidRPr="000F129A">
        <w:rPr>
          <w:rFonts w:ascii="Arial" w:hAnsi="Arial" w:cs="Arial"/>
          <w:color w:val="000000"/>
          <w:sz w:val="16"/>
          <w:szCs w:val="16"/>
        </w:rPr>
        <w:t>u</w:t>
      </w:r>
      <w:r w:rsidRPr="000F129A">
        <w:rPr>
          <w:rFonts w:ascii="Arial" w:hAnsi="Arial" w:cs="Arial"/>
          <w:color w:val="000000"/>
          <w:spacing w:val="-1"/>
          <w:sz w:val="16"/>
          <w:szCs w:val="16"/>
        </w:rPr>
        <w:t>i</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z w:val="16"/>
          <w:szCs w:val="16"/>
        </w:rPr>
        <w:t>es</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r</w:t>
      </w:r>
      <w:r w:rsidRPr="000F129A">
        <w:rPr>
          <w:rFonts w:ascii="Arial" w:hAnsi="Arial" w:cs="Arial"/>
          <w:color w:val="000000"/>
          <w:spacing w:val="-3"/>
          <w:sz w:val="16"/>
          <w:szCs w:val="16"/>
        </w:rPr>
        <w:t>e</w:t>
      </w:r>
      <w:r w:rsidRPr="000F129A">
        <w:rPr>
          <w:rFonts w:ascii="Arial" w:hAnsi="Arial" w:cs="Arial"/>
          <w:color w:val="000000"/>
          <w:spacing w:val="2"/>
          <w:sz w:val="16"/>
          <w:szCs w:val="16"/>
        </w:rPr>
        <w:t>g</w:t>
      </w:r>
      <w:r w:rsidRPr="000F129A">
        <w:rPr>
          <w:rFonts w:ascii="Arial" w:hAnsi="Arial" w:cs="Arial"/>
          <w:color w:val="000000"/>
          <w:spacing w:val="-1"/>
          <w:sz w:val="16"/>
          <w:szCs w:val="16"/>
        </w:rPr>
        <w:t>l</w:t>
      </w:r>
      <w:r w:rsidRPr="000F129A">
        <w:rPr>
          <w:rFonts w:ascii="Arial" w:hAnsi="Arial" w:cs="Arial"/>
          <w:color w:val="000000"/>
          <w:sz w:val="16"/>
          <w:szCs w:val="16"/>
        </w:rPr>
        <w:t>as</w:t>
      </w:r>
      <w:r w:rsidRPr="000F129A">
        <w:rPr>
          <w:rFonts w:ascii="Arial" w:hAnsi="Arial" w:cs="Arial"/>
          <w:sz w:val="16"/>
          <w:szCs w:val="16"/>
        </w:rPr>
        <w:t xml:space="preserve">  :  </w:t>
      </w:r>
    </w:p>
    <w:p w14:paraId="21526838" w14:textId="77777777" w:rsidR="00D83CC1" w:rsidRPr="000F129A" w:rsidRDefault="00D83CC1" w:rsidP="00D83CC1">
      <w:pPr>
        <w:widowControl w:val="0"/>
        <w:autoSpaceDE w:val="0"/>
        <w:autoSpaceDN w:val="0"/>
        <w:adjustRightInd w:val="0"/>
        <w:spacing w:line="360" w:lineRule="auto"/>
        <w:ind w:right="-234"/>
        <w:jc w:val="both"/>
        <w:rPr>
          <w:rFonts w:ascii="Arial" w:hAnsi="Arial" w:cs="Arial"/>
          <w:color w:val="000000"/>
          <w:sz w:val="16"/>
          <w:szCs w:val="16"/>
        </w:rPr>
      </w:pPr>
      <w:r w:rsidRPr="000F129A">
        <w:rPr>
          <w:rFonts w:ascii="Arial" w:hAnsi="Arial" w:cs="Arial"/>
          <w:color w:val="000000"/>
          <w:spacing w:val="1"/>
          <w:sz w:val="16"/>
          <w:szCs w:val="16"/>
        </w:rPr>
        <w:t>I</w:t>
      </w:r>
      <w:r w:rsidRPr="000F129A">
        <w:rPr>
          <w:rFonts w:ascii="Arial" w:hAnsi="Arial" w:cs="Arial"/>
          <w:color w:val="000000"/>
          <w:sz w:val="16"/>
          <w:szCs w:val="16"/>
        </w:rPr>
        <w:t xml:space="preserve">.     </w:t>
      </w:r>
      <w:r w:rsidRPr="000F129A">
        <w:rPr>
          <w:rFonts w:ascii="Arial" w:hAnsi="Arial" w:cs="Arial"/>
          <w:color w:val="000000"/>
          <w:spacing w:val="9"/>
          <w:sz w:val="16"/>
          <w:szCs w:val="16"/>
        </w:rPr>
        <w:t xml:space="preserve"> </w:t>
      </w:r>
      <w:r w:rsidRPr="000F129A">
        <w:rPr>
          <w:rFonts w:ascii="Arial" w:hAnsi="Arial" w:cs="Arial"/>
          <w:color w:val="000000"/>
          <w:spacing w:val="-1"/>
          <w:sz w:val="16"/>
          <w:szCs w:val="16"/>
        </w:rPr>
        <w:t>H</w:t>
      </w:r>
      <w:r w:rsidRPr="000F129A">
        <w:rPr>
          <w:rFonts w:ascii="Arial" w:hAnsi="Arial" w:cs="Arial"/>
          <w:color w:val="000000"/>
          <w:sz w:val="16"/>
          <w:szCs w:val="16"/>
        </w:rPr>
        <w:t xml:space="preserve">arán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prueba </w:t>
      </w:r>
      <w:r w:rsidRPr="000F129A">
        <w:rPr>
          <w:rFonts w:ascii="Arial" w:hAnsi="Arial" w:cs="Arial"/>
          <w:color w:val="000000"/>
          <w:spacing w:val="1"/>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l</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z w:val="16"/>
          <w:szCs w:val="16"/>
        </w:rPr>
        <w:t xml:space="preserve">a </w:t>
      </w:r>
      <w:r w:rsidRPr="000F129A">
        <w:rPr>
          <w:rFonts w:ascii="Arial" w:hAnsi="Arial" w:cs="Arial"/>
          <w:color w:val="000000"/>
          <w:spacing w:val="2"/>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 xml:space="preserve">a </w:t>
      </w:r>
      <w:r w:rsidRPr="000F129A">
        <w:rPr>
          <w:rFonts w:ascii="Arial" w:hAnsi="Arial" w:cs="Arial"/>
          <w:color w:val="000000"/>
          <w:spacing w:val="2"/>
          <w:sz w:val="16"/>
          <w:szCs w:val="16"/>
        </w:rPr>
        <w:t xml:space="preserve"> </w:t>
      </w:r>
      <w:r w:rsidRPr="000F129A">
        <w:rPr>
          <w:rFonts w:ascii="Arial" w:hAnsi="Arial" w:cs="Arial"/>
          <w:color w:val="000000"/>
          <w:sz w:val="16"/>
          <w:szCs w:val="16"/>
        </w:rPr>
        <w:t>co</w:t>
      </w:r>
      <w:r w:rsidRPr="000F129A">
        <w:rPr>
          <w:rFonts w:ascii="Arial" w:hAnsi="Arial" w:cs="Arial"/>
          <w:color w:val="000000"/>
          <w:spacing w:val="-3"/>
          <w:sz w:val="16"/>
          <w:szCs w:val="16"/>
        </w:rPr>
        <w:t>n</w:t>
      </w:r>
      <w:r w:rsidRPr="000F129A">
        <w:rPr>
          <w:rFonts w:ascii="Arial" w:hAnsi="Arial" w:cs="Arial"/>
          <w:color w:val="000000"/>
          <w:spacing w:val="3"/>
          <w:sz w:val="16"/>
          <w:szCs w:val="16"/>
        </w:rPr>
        <w:t>f</w:t>
      </w:r>
      <w:r w:rsidRPr="000F129A">
        <w:rPr>
          <w:rFonts w:ascii="Arial" w:hAnsi="Arial" w:cs="Arial"/>
          <w:color w:val="000000"/>
          <w:sz w:val="16"/>
          <w:szCs w:val="16"/>
        </w:rPr>
        <w:t>es</w:t>
      </w:r>
      <w:r w:rsidRPr="000F129A">
        <w:rPr>
          <w:rFonts w:ascii="Arial" w:hAnsi="Arial" w:cs="Arial"/>
          <w:color w:val="000000"/>
          <w:spacing w:val="-1"/>
          <w:sz w:val="16"/>
          <w:szCs w:val="16"/>
        </w:rPr>
        <w:t>i</w:t>
      </w:r>
      <w:r w:rsidRPr="000F129A">
        <w:rPr>
          <w:rFonts w:ascii="Arial" w:hAnsi="Arial" w:cs="Arial"/>
          <w:color w:val="000000"/>
          <w:sz w:val="16"/>
          <w:szCs w:val="16"/>
        </w:rPr>
        <w:t xml:space="preserve">ón </w:t>
      </w:r>
      <w:r w:rsidRPr="000F129A">
        <w:rPr>
          <w:rFonts w:ascii="Arial" w:hAnsi="Arial" w:cs="Arial"/>
          <w:color w:val="000000"/>
          <w:spacing w:val="1"/>
          <w:sz w:val="16"/>
          <w:szCs w:val="16"/>
        </w:rPr>
        <w:t xml:space="preserve"> </w:t>
      </w:r>
      <w:r w:rsidRPr="000F129A">
        <w:rPr>
          <w:rFonts w:ascii="Arial" w:hAnsi="Arial" w:cs="Arial"/>
          <w:color w:val="000000"/>
          <w:sz w:val="16"/>
          <w:szCs w:val="16"/>
        </w:rPr>
        <w:t>e</w:t>
      </w:r>
      <w:r w:rsidRPr="000F129A">
        <w:rPr>
          <w:rFonts w:ascii="Arial" w:hAnsi="Arial" w:cs="Arial"/>
          <w:color w:val="000000"/>
          <w:spacing w:val="-3"/>
          <w:sz w:val="16"/>
          <w:szCs w:val="16"/>
        </w:rPr>
        <w:t>x</w:t>
      </w:r>
      <w:r w:rsidRPr="000F129A">
        <w:rPr>
          <w:rFonts w:ascii="Arial" w:hAnsi="Arial" w:cs="Arial"/>
          <w:color w:val="000000"/>
          <w:sz w:val="16"/>
          <w:szCs w:val="16"/>
        </w:rPr>
        <w:t xml:space="preserve">presa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de </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 xml:space="preserve">as </w:t>
      </w:r>
      <w:r w:rsidRPr="000F129A">
        <w:rPr>
          <w:rFonts w:ascii="Arial" w:hAnsi="Arial" w:cs="Arial"/>
          <w:color w:val="000000"/>
          <w:spacing w:val="2"/>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a</w:t>
      </w:r>
      <w:r w:rsidRPr="000F129A">
        <w:rPr>
          <w:rFonts w:ascii="Arial" w:hAnsi="Arial" w:cs="Arial"/>
          <w:color w:val="000000"/>
          <w:spacing w:val="1"/>
          <w:sz w:val="16"/>
          <w:szCs w:val="16"/>
        </w:rPr>
        <w:t>rt</w:t>
      </w:r>
      <w:r w:rsidRPr="000F129A">
        <w:rPr>
          <w:rFonts w:ascii="Arial" w:hAnsi="Arial" w:cs="Arial"/>
          <w:color w:val="000000"/>
          <w:sz w:val="16"/>
          <w:szCs w:val="16"/>
        </w:rPr>
        <w:t xml:space="preserve">es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y  </w:t>
      </w:r>
      <w:r w:rsidRPr="000F129A">
        <w:rPr>
          <w:rFonts w:ascii="Arial" w:hAnsi="Arial" w:cs="Arial"/>
          <w:color w:val="000000"/>
          <w:spacing w:val="-1"/>
          <w:sz w:val="16"/>
          <w:szCs w:val="16"/>
        </w:rPr>
        <w:t>l</w:t>
      </w:r>
      <w:r w:rsidRPr="000F129A">
        <w:rPr>
          <w:rFonts w:ascii="Arial" w:hAnsi="Arial" w:cs="Arial"/>
          <w:color w:val="000000"/>
          <w:sz w:val="16"/>
          <w:szCs w:val="16"/>
        </w:rPr>
        <w:t xml:space="preserve">os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actos </w:t>
      </w:r>
      <w:r w:rsidRPr="000F129A">
        <w:rPr>
          <w:rFonts w:ascii="Arial" w:hAnsi="Arial" w:cs="Arial"/>
          <w:color w:val="000000"/>
          <w:spacing w:val="2"/>
          <w:sz w:val="16"/>
          <w:szCs w:val="16"/>
        </w:rPr>
        <w:t xml:space="preserve"> </w:t>
      </w:r>
      <w:r w:rsidRPr="000F129A">
        <w:rPr>
          <w:rFonts w:ascii="Arial" w:hAnsi="Arial" w:cs="Arial"/>
          <w:color w:val="000000"/>
          <w:sz w:val="16"/>
          <w:szCs w:val="16"/>
        </w:rPr>
        <w:t>co</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z w:val="16"/>
          <w:szCs w:val="16"/>
        </w:rPr>
        <w:t>e</w:t>
      </w:r>
      <w:r w:rsidRPr="000F129A">
        <w:rPr>
          <w:rFonts w:ascii="Arial" w:hAnsi="Arial" w:cs="Arial"/>
          <w:color w:val="000000"/>
          <w:spacing w:val="-1"/>
          <w:sz w:val="16"/>
          <w:szCs w:val="16"/>
        </w:rPr>
        <w:t>ni</w:t>
      </w:r>
      <w:r w:rsidRPr="000F129A">
        <w:rPr>
          <w:rFonts w:ascii="Arial" w:hAnsi="Arial" w:cs="Arial"/>
          <w:color w:val="000000"/>
          <w:sz w:val="16"/>
          <w:szCs w:val="16"/>
        </w:rPr>
        <w:t>d</w:t>
      </w:r>
      <w:r w:rsidRPr="000F129A">
        <w:rPr>
          <w:rFonts w:ascii="Arial" w:hAnsi="Arial" w:cs="Arial"/>
          <w:color w:val="000000"/>
          <w:spacing w:val="-1"/>
          <w:sz w:val="16"/>
          <w:szCs w:val="16"/>
        </w:rPr>
        <w:t>o</w:t>
      </w:r>
      <w:r w:rsidRPr="000F129A">
        <w:rPr>
          <w:rFonts w:ascii="Arial" w:hAnsi="Arial" w:cs="Arial"/>
          <w:color w:val="000000"/>
          <w:sz w:val="16"/>
          <w:szCs w:val="16"/>
        </w:rPr>
        <w:t xml:space="preserve">s </w:t>
      </w:r>
      <w:r w:rsidRPr="000F129A">
        <w:rPr>
          <w:rFonts w:ascii="Arial" w:hAnsi="Arial" w:cs="Arial"/>
          <w:color w:val="000000"/>
          <w:spacing w:val="2"/>
          <w:sz w:val="16"/>
          <w:szCs w:val="16"/>
        </w:rPr>
        <w:t xml:space="preserve"> </w:t>
      </w:r>
      <w:r w:rsidRPr="000F129A">
        <w:rPr>
          <w:rFonts w:ascii="Arial" w:hAnsi="Arial" w:cs="Arial"/>
          <w:color w:val="000000"/>
          <w:spacing w:val="-3"/>
          <w:sz w:val="16"/>
          <w:szCs w:val="16"/>
        </w:rPr>
        <w:t>e</w:t>
      </w:r>
      <w:r w:rsidRPr="000F129A">
        <w:rPr>
          <w:rFonts w:ascii="Arial" w:hAnsi="Arial" w:cs="Arial"/>
          <w:color w:val="000000"/>
          <w:sz w:val="16"/>
          <w:szCs w:val="16"/>
        </w:rPr>
        <w:t>n d</w:t>
      </w:r>
      <w:r w:rsidRPr="000F129A">
        <w:rPr>
          <w:rFonts w:ascii="Arial" w:hAnsi="Arial" w:cs="Arial"/>
          <w:color w:val="000000"/>
          <w:spacing w:val="-1"/>
          <w:sz w:val="16"/>
          <w:szCs w:val="16"/>
        </w:rPr>
        <w:t>o</w:t>
      </w:r>
      <w:r w:rsidRPr="000F129A">
        <w:rPr>
          <w:rFonts w:ascii="Arial" w:hAnsi="Arial" w:cs="Arial"/>
          <w:color w:val="000000"/>
          <w:sz w:val="16"/>
          <w:szCs w:val="16"/>
        </w:rPr>
        <w:t>cumen</w:t>
      </w:r>
      <w:r w:rsidRPr="000F129A">
        <w:rPr>
          <w:rFonts w:ascii="Arial" w:hAnsi="Arial" w:cs="Arial"/>
          <w:color w:val="000000"/>
          <w:spacing w:val="1"/>
          <w:sz w:val="16"/>
          <w:szCs w:val="16"/>
        </w:rPr>
        <w:t>t</w:t>
      </w:r>
      <w:r w:rsidRPr="000F129A">
        <w:rPr>
          <w:rFonts w:ascii="Arial" w:hAnsi="Arial" w:cs="Arial"/>
          <w:color w:val="000000"/>
          <w:spacing w:val="-3"/>
          <w:sz w:val="16"/>
          <w:szCs w:val="16"/>
        </w:rPr>
        <w:t>o</w:t>
      </w:r>
      <w:r w:rsidRPr="000F129A">
        <w:rPr>
          <w:rFonts w:ascii="Arial" w:hAnsi="Arial" w:cs="Arial"/>
          <w:color w:val="000000"/>
          <w:sz w:val="16"/>
          <w:szCs w:val="16"/>
        </w:rPr>
        <w:t>s</w:t>
      </w:r>
      <w:r w:rsidRPr="000F129A">
        <w:rPr>
          <w:rFonts w:ascii="Arial" w:hAnsi="Arial" w:cs="Arial"/>
          <w:color w:val="000000"/>
          <w:spacing w:val="5"/>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ú</w:t>
      </w:r>
      <w:r w:rsidRPr="000F129A">
        <w:rPr>
          <w:rFonts w:ascii="Arial" w:hAnsi="Arial" w:cs="Arial"/>
          <w:color w:val="000000"/>
          <w:sz w:val="16"/>
          <w:szCs w:val="16"/>
        </w:rPr>
        <w:t>b</w:t>
      </w:r>
      <w:r w:rsidRPr="000F129A">
        <w:rPr>
          <w:rFonts w:ascii="Arial" w:hAnsi="Arial" w:cs="Arial"/>
          <w:color w:val="000000"/>
          <w:spacing w:val="-1"/>
          <w:sz w:val="16"/>
          <w:szCs w:val="16"/>
        </w:rPr>
        <w:t>li</w:t>
      </w:r>
      <w:r w:rsidRPr="000F129A">
        <w:rPr>
          <w:rFonts w:ascii="Arial" w:hAnsi="Arial" w:cs="Arial"/>
          <w:color w:val="000000"/>
          <w:sz w:val="16"/>
          <w:szCs w:val="16"/>
        </w:rPr>
        <w:t>cos,</w:t>
      </w:r>
      <w:r w:rsidRPr="000F129A">
        <w:rPr>
          <w:rFonts w:ascii="Arial" w:hAnsi="Arial" w:cs="Arial"/>
          <w:color w:val="000000"/>
          <w:spacing w:val="4"/>
          <w:sz w:val="16"/>
          <w:szCs w:val="16"/>
        </w:rPr>
        <w:t xml:space="preserve"> </w:t>
      </w:r>
      <w:r w:rsidRPr="000F129A">
        <w:rPr>
          <w:rFonts w:ascii="Arial" w:hAnsi="Arial" w:cs="Arial"/>
          <w:color w:val="000000"/>
          <w:sz w:val="16"/>
          <w:szCs w:val="16"/>
        </w:rPr>
        <w:t>si</w:t>
      </w:r>
      <w:r w:rsidRPr="000F129A">
        <w:rPr>
          <w:rFonts w:ascii="Arial" w:hAnsi="Arial" w:cs="Arial"/>
          <w:color w:val="000000"/>
          <w:spacing w:val="4"/>
          <w:sz w:val="16"/>
          <w:szCs w:val="16"/>
        </w:rPr>
        <w:t xml:space="preserve"> </w:t>
      </w:r>
      <w:r w:rsidRPr="000F129A">
        <w:rPr>
          <w:rFonts w:ascii="Arial" w:hAnsi="Arial" w:cs="Arial"/>
          <w:color w:val="000000"/>
          <w:sz w:val="16"/>
          <w:szCs w:val="16"/>
        </w:rPr>
        <w:t>en</w:t>
      </w:r>
      <w:r w:rsidRPr="000F129A">
        <w:rPr>
          <w:rFonts w:ascii="Arial" w:hAnsi="Arial" w:cs="Arial"/>
          <w:color w:val="000000"/>
          <w:spacing w:val="5"/>
          <w:sz w:val="16"/>
          <w:szCs w:val="16"/>
        </w:rPr>
        <w:t xml:space="preserve"> </w:t>
      </w:r>
      <w:r w:rsidRPr="000F129A">
        <w:rPr>
          <w:rFonts w:ascii="Arial" w:hAnsi="Arial" w:cs="Arial"/>
          <w:color w:val="000000"/>
          <w:sz w:val="16"/>
          <w:szCs w:val="16"/>
        </w:rPr>
        <w:t>éstos</w:t>
      </w:r>
      <w:r w:rsidRPr="000F129A">
        <w:rPr>
          <w:rFonts w:ascii="Arial" w:hAnsi="Arial" w:cs="Arial"/>
          <w:color w:val="000000"/>
          <w:spacing w:val="3"/>
          <w:sz w:val="16"/>
          <w:szCs w:val="16"/>
        </w:rPr>
        <w:t xml:space="preserve"> </w:t>
      </w:r>
      <w:r w:rsidRPr="000F129A">
        <w:rPr>
          <w:rFonts w:ascii="Arial" w:hAnsi="Arial" w:cs="Arial"/>
          <w:color w:val="000000"/>
          <w:sz w:val="16"/>
          <w:szCs w:val="16"/>
        </w:rPr>
        <w:t>ú</w:t>
      </w:r>
      <w:r w:rsidRPr="000F129A">
        <w:rPr>
          <w:rFonts w:ascii="Arial" w:hAnsi="Arial" w:cs="Arial"/>
          <w:color w:val="000000"/>
          <w:spacing w:val="-1"/>
          <w:sz w:val="16"/>
          <w:szCs w:val="16"/>
        </w:rPr>
        <w:t>l</w:t>
      </w:r>
      <w:r w:rsidRPr="000F129A">
        <w:rPr>
          <w:rFonts w:ascii="Arial" w:hAnsi="Arial" w:cs="Arial"/>
          <w:color w:val="000000"/>
          <w:spacing w:val="1"/>
          <w:sz w:val="16"/>
          <w:szCs w:val="16"/>
        </w:rPr>
        <w:t>t</w:t>
      </w:r>
      <w:r w:rsidRPr="000F129A">
        <w:rPr>
          <w:rFonts w:ascii="Arial" w:hAnsi="Arial" w:cs="Arial"/>
          <w:color w:val="000000"/>
          <w:spacing w:val="-1"/>
          <w:sz w:val="16"/>
          <w:szCs w:val="16"/>
        </w:rPr>
        <w:t>i</w:t>
      </w:r>
      <w:r w:rsidRPr="000F129A">
        <w:rPr>
          <w:rFonts w:ascii="Arial" w:hAnsi="Arial" w:cs="Arial"/>
          <w:color w:val="000000"/>
          <w:spacing w:val="1"/>
          <w:sz w:val="16"/>
          <w:szCs w:val="16"/>
        </w:rPr>
        <w:t>m</w:t>
      </w:r>
      <w:r w:rsidRPr="000F129A">
        <w:rPr>
          <w:rFonts w:ascii="Arial" w:hAnsi="Arial" w:cs="Arial"/>
          <w:color w:val="000000"/>
          <w:sz w:val="16"/>
          <w:szCs w:val="16"/>
        </w:rPr>
        <w:t>os se</w:t>
      </w:r>
      <w:r w:rsidRPr="000F129A">
        <w:rPr>
          <w:rFonts w:ascii="Arial" w:hAnsi="Arial" w:cs="Arial"/>
          <w:color w:val="000000"/>
          <w:spacing w:val="5"/>
          <w:sz w:val="16"/>
          <w:szCs w:val="16"/>
        </w:rPr>
        <w:t xml:space="preserve"> </w:t>
      </w:r>
      <w:r w:rsidRPr="000F129A">
        <w:rPr>
          <w:rFonts w:ascii="Arial" w:hAnsi="Arial" w:cs="Arial"/>
          <w:color w:val="000000"/>
          <w:sz w:val="16"/>
          <w:szCs w:val="16"/>
        </w:rPr>
        <w:t>co</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pacing w:val="-1"/>
          <w:sz w:val="16"/>
          <w:szCs w:val="16"/>
        </w:rPr>
        <w:t>i</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z w:val="16"/>
          <w:szCs w:val="16"/>
        </w:rPr>
        <w:t>en</w:t>
      </w:r>
      <w:r w:rsidRPr="000F129A">
        <w:rPr>
          <w:rFonts w:ascii="Arial" w:hAnsi="Arial" w:cs="Arial"/>
          <w:color w:val="000000"/>
          <w:spacing w:val="5"/>
          <w:sz w:val="16"/>
          <w:szCs w:val="16"/>
        </w:rPr>
        <w:t xml:space="preserve"> </w:t>
      </w:r>
      <w:r w:rsidRPr="000F129A">
        <w:rPr>
          <w:rFonts w:ascii="Arial" w:hAnsi="Arial" w:cs="Arial"/>
          <w:color w:val="000000"/>
          <w:sz w:val="16"/>
          <w:szCs w:val="16"/>
        </w:rPr>
        <w:t>d</w:t>
      </w:r>
      <w:r w:rsidRPr="000F129A">
        <w:rPr>
          <w:rFonts w:ascii="Arial" w:hAnsi="Arial" w:cs="Arial"/>
          <w:color w:val="000000"/>
          <w:spacing w:val="-1"/>
          <w:sz w:val="16"/>
          <w:szCs w:val="16"/>
        </w:rPr>
        <w:t>e</w:t>
      </w:r>
      <w:r w:rsidRPr="000F129A">
        <w:rPr>
          <w:rFonts w:ascii="Arial" w:hAnsi="Arial" w:cs="Arial"/>
          <w:color w:val="000000"/>
          <w:sz w:val="16"/>
          <w:szCs w:val="16"/>
        </w:rPr>
        <w:t>c</w:t>
      </w:r>
      <w:r w:rsidRPr="000F129A">
        <w:rPr>
          <w:rFonts w:ascii="Arial" w:hAnsi="Arial" w:cs="Arial"/>
          <w:color w:val="000000"/>
          <w:spacing w:val="-1"/>
          <w:sz w:val="16"/>
          <w:szCs w:val="16"/>
        </w:rPr>
        <w:t>l</w:t>
      </w:r>
      <w:r w:rsidRPr="000F129A">
        <w:rPr>
          <w:rFonts w:ascii="Arial" w:hAnsi="Arial" w:cs="Arial"/>
          <w:color w:val="000000"/>
          <w:spacing w:val="-3"/>
          <w:sz w:val="16"/>
          <w:szCs w:val="16"/>
        </w:rPr>
        <w:t>a</w:t>
      </w:r>
      <w:r w:rsidRPr="000F129A">
        <w:rPr>
          <w:rFonts w:ascii="Arial" w:hAnsi="Arial" w:cs="Arial"/>
          <w:color w:val="000000"/>
          <w:spacing w:val="1"/>
          <w:sz w:val="16"/>
          <w:szCs w:val="16"/>
        </w:rPr>
        <w:t>r</w:t>
      </w:r>
      <w:r w:rsidRPr="000F129A">
        <w:rPr>
          <w:rFonts w:ascii="Arial" w:hAnsi="Arial" w:cs="Arial"/>
          <w:color w:val="000000"/>
          <w:sz w:val="16"/>
          <w:szCs w:val="16"/>
        </w:rPr>
        <w:t>ac</w:t>
      </w:r>
      <w:r w:rsidRPr="000F129A">
        <w:rPr>
          <w:rFonts w:ascii="Arial" w:hAnsi="Arial" w:cs="Arial"/>
          <w:color w:val="000000"/>
          <w:spacing w:val="-1"/>
          <w:sz w:val="16"/>
          <w:szCs w:val="16"/>
        </w:rPr>
        <w:t>i</w:t>
      </w:r>
      <w:r w:rsidRPr="000F129A">
        <w:rPr>
          <w:rFonts w:ascii="Arial" w:hAnsi="Arial" w:cs="Arial"/>
          <w:color w:val="000000"/>
          <w:spacing w:val="4"/>
          <w:sz w:val="16"/>
          <w:szCs w:val="16"/>
        </w:rPr>
        <w:t>o</w:t>
      </w:r>
      <w:r w:rsidRPr="000F129A">
        <w:rPr>
          <w:rFonts w:ascii="Arial" w:hAnsi="Arial" w:cs="Arial"/>
          <w:color w:val="000000"/>
          <w:sz w:val="16"/>
          <w:szCs w:val="16"/>
        </w:rPr>
        <w:t>n</w:t>
      </w:r>
      <w:r w:rsidRPr="000F129A">
        <w:rPr>
          <w:rFonts w:ascii="Arial" w:hAnsi="Arial" w:cs="Arial"/>
          <w:color w:val="000000"/>
          <w:spacing w:val="-1"/>
          <w:sz w:val="16"/>
          <w:szCs w:val="16"/>
        </w:rPr>
        <w:t>e</w:t>
      </w:r>
      <w:r w:rsidRPr="000F129A">
        <w:rPr>
          <w:rFonts w:ascii="Arial" w:hAnsi="Arial" w:cs="Arial"/>
          <w:color w:val="000000"/>
          <w:sz w:val="16"/>
          <w:szCs w:val="16"/>
        </w:rPr>
        <w:t>s</w:t>
      </w:r>
      <w:r w:rsidRPr="000F129A">
        <w:rPr>
          <w:rFonts w:ascii="Arial" w:hAnsi="Arial" w:cs="Arial"/>
          <w:color w:val="000000"/>
          <w:spacing w:val="5"/>
          <w:sz w:val="16"/>
          <w:szCs w:val="16"/>
        </w:rPr>
        <w:t xml:space="preserve"> </w:t>
      </w:r>
      <w:r w:rsidRPr="000F129A">
        <w:rPr>
          <w:rFonts w:ascii="Arial" w:hAnsi="Arial" w:cs="Arial"/>
          <w:color w:val="000000"/>
          <w:sz w:val="16"/>
          <w:szCs w:val="16"/>
        </w:rPr>
        <w:t>de</w:t>
      </w:r>
      <w:r w:rsidRPr="000F129A">
        <w:rPr>
          <w:rFonts w:ascii="Arial" w:hAnsi="Arial" w:cs="Arial"/>
          <w:color w:val="000000"/>
          <w:spacing w:val="5"/>
          <w:sz w:val="16"/>
          <w:szCs w:val="16"/>
        </w:rPr>
        <w:t xml:space="preserve"> </w:t>
      </w:r>
      <w:r w:rsidRPr="000F129A">
        <w:rPr>
          <w:rFonts w:ascii="Arial" w:hAnsi="Arial" w:cs="Arial"/>
          <w:color w:val="000000"/>
          <w:spacing w:val="-2"/>
          <w:sz w:val="16"/>
          <w:szCs w:val="16"/>
        </w:rPr>
        <w:t>v</w:t>
      </w:r>
      <w:r w:rsidRPr="000F129A">
        <w:rPr>
          <w:rFonts w:ascii="Arial" w:hAnsi="Arial" w:cs="Arial"/>
          <w:color w:val="000000"/>
          <w:sz w:val="16"/>
          <w:szCs w:val="16"/>
        </w:rPr>
        <w:t>erdad</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o </w:t>
      </w:r>
      <w:r w:rsidRPr="000F129A">
        <w:rPr>
          <w:rFonts w:ascii="Arial" w:hAnsi="Arial" w:cs="Arial"/>
          <w:color w:val="000000"/>
          <w:spacing w:val="1"/>
          <w:sz w:val="16"/>
          <w:szCs w:val="16"/>
        </w:rPr>
        <w:t>m</w:t>
      </w:r>
      <w:r w:rsidRPr="000F129A">
        <w:rPr>
          <w:rFonts w:ascii="Arial" w:hAnsi="Arial" w:cs="Arial"/>
          <w:color w:val="000000"/>
          <w:sz w:val="16"/>
          <w:szCs w:val="16"/>
        </w:rPr>
        <w:t>a</w:t>
      </w:r>
      <w:r w:rsidRPr="000F129A">
        <w:rPr>
          <w:rFonts w:ascii="Arial" w:hAnsi="Arial" w:cs="Arial"/>
          <w:color w:val="000000"/>
          <w:spacing w:val="-1"/>
          <w:sz w:val="16"/>
          <w:szCs w:val="16"/>
        </w:rPr>
        <w:t>n</w:t>
      </w:r>
      <w:r w:rsidRPr="000F129A">
        <w:rPr>
          <w:rFonts w:ascii="Arial" w:hAnsi="Arial" w:cs="Arial"/>
          <w:color w:val="000000"/>
          <w:spacing w:val="-3"/>
          <w:sz w:val="16"/>
          <w:szCs w:val="16"/>
        </w:rPr>
        <w:t>i</w:t>
      </w:r>
      <w:r w:rsidRPr="000F129A">
        <w:rPr>
          <w:rFonts w:ascii="Arial" w:hAnsi="Arial" w:cs="Arial"/>
          <w:color w:val="000000"/>
          <w:spacing w:val="3"/>
          <w:sz w:val="16"/>
          <w:szCs w:val="16"/>
        </w:rPr>
        <w:t>f</w:t>
      </w:r>
      <w:r w:rsidRPr="000F129A">
        <w:rPr>
          <w:rFonts w:ascii="Arial" w:hAnsi="Arial" w:cs="Arial"/>
          <w:color w:val="000000"/>
          <w:sz w:val="16"/>
          <w:szCs w:val="16"/>
        </w:rPr>
        <w:t>e</w:t>
      </w:r>
      <w:r w:rsidRPr="000F129A">
        <w:rPr>
          <w:rFonts w:ascii="Arial" w:hAnsi="Arial" w:cs="Arial"/>
          <w:color w:val="000000"/>
          <w:spacing w:val="-3"/>
          <w:sz w:val="16"/>
          <w:szCs w:val="16"/>
        </w:rPr>
        <w:t>s</w:t>
      </w:r>
      <w:r w:rsidRPr="000F129A">
        <w:rPr>
          <w:rFonts w:ascii="Arial" w:hAnsi="Arial" w:cs="Arial"/>
          <w:color w:val="000000"/>
          <w:spacing w:val="1"/>
          <w:sz w:val="16"/>
          <w:szCs w:val="16"/>
        </w:rPr>
        <w:t>t</w:t>
      </w:r>
      <w:r w:rsidRPr="000F129A">
        <w:rPr>
          <w:rFonts w:ascii="Arial" w:hAnsi="Arial" w:cs="Arial"/>
          <w:color w:val="000000"/>
          <w:sz w:val="16"/>
          <w:szCs w:val="16"/>
        </w:rPr>
        <w:t>ac</w:t>
      </w:r>
      <w:r w:rsidRPr="000F129A">
        <w:rPr>
          <w:rFonts w:ascii="Arial" w:hAnsi="Arial" w:cs="Arial"/>
          <w:color w:val="000000"/>
          <w:spacing w:val="-1"/>
          <w:sz w:val="16"/>
          <w:szCs w:val="16"/>
        </w:rPr>
        <w:t>i</w:t>
      </w:r>
      <w:r w:rsidRPr="000F129A">
        <w:rPr>
          <w:rFonts w:ascii="Arial" w:hAnsi="Arial" w:cs="Arial"/>
          <w:color w:val="000000"/>
          <w:sz w:val="16"/>
          <w:szCs w:val="16"/>
        </w:rPr>
        <w:t>o</w:t>
      </w:r>
      <w:r w:rsidRPr="000F129A">
        <w:rPr>
          <w:rFonts w:ascii="Arial" w:hAnsi="Arial" w:cs="Arial"/>
          <w:color w:val="000000"/>
          <w:spacing w:val="-1"/>
          <w:sz w:val="16"/>
          <w:szCs w:val="16"/>
        </w:rPr>
        <w:t>n</w:t>
      </w:r>
      <w:r w:rsidRPr="000F129A">
        <w:rPr>
          <w:rFonts w:ascii="Arial" w:hAnsi="Arial" w:cs="Arial"/>
          <w:color w:val="000000"/>
          <w:sz w:val="16"/>
          <w:szCs w:val="16"/>
        </w:rPr>
        <w:t>es de</w:t>
      </w:r>
      <w:r w:rsidRPr="000F129A">
        <w:rPr>
          <w:rFonts w:ascii="Arial" w:hAnsi="Arial" w:cs="Arial"/>
          <w:color w:val="000000"/>
          <w:spacing w:val="-1"/>
          <w:sz w:val="16"/>
          <w:szCs w:val="16"/>
        </w:rPr>
        <w:t xml:space="preserve"> </w:t>
      </w:r>
      <w:r w:rsidRPr="000F129A">
        <w:rPr>
          <w:rFonts w:ascii="Arial" w:hAnsi="Arial" w:cs="Arial"/>
          <w:color w:val="000000"/>
          <w:sz w:val="16"/>
          <w:szCs w:val="16"/>
        </w:rPr>
        <w:t>h</w:t>
      </w:r>
      <w:r w:rsidRPr="000F129A">
        <w:rPr>
          <w:rFonts w:ascii="Arial" w:hAnsi="Arial" w:cs="Arial"/>
          <w:color w:val="000000"/>
          <w:spacing w:val="-1"/>
          <w:sz w:val="16"/>
          <w:szCs w:val="16"/>
        </w:rPr>
        <w:t>e</w:t>
      </w:r>
      <w:r w:rsidRPr="000F129A">
        <w:rPr>
          <w:rFonts w:ascii="Arial" w:hAnsi="Arial" w:cs="Arial"/>
          <w:color w:val="000000"/>
          <w:sz w:val="16"/>
          <w:szCs w:val="16"/>
        </w:rPr>
        <w:t>c</w:t>
      </w:r>
      <w:r w:rsidRPr="000F129A">
        <w:rPr>
          <w:rFonts w:ascii="Arial" w:hAnsi="Arial" w:cs="Arial"/>
          <w:color w:val="000000"/>
          <w:spacing w:val="-3"/>
          <w:sz w:val="16"/>
          <w:szCs w:val="16"/>
        </w:rPr>
        <w:t>h</w:t>
      </w:r>
      <w:r w:rsidRPr="000F129A">
        <w:rPr>
          <w:rFonts w:ascii="Arial" w:hAnsi="Arial" w:cs="Arial"/>
          <w:color w:val="000000"/>
          <w:sz w:val="16"/>
          <w:szCs w:val="16"/>
        </w:rPr>
        <w:t>os de</w:t>
      </w:r>
      <w:r w:rsidRPr="000F129A">
        <w:rPr>
          <w:rFonts w:ascii="Arial" w:hAnsi="Arial" w:cs="Arial"/>
          <w:color w:val="000000"/>
          <w:spacing w:val="1"/>
          <w:sz w:val="16"/>
          <w:szCs w:val="16"/>
        </w:rPr>
        <w:t xml:space="preserve"> </w:t>
      </w:r>
      <w:r w:rsidRPr="000F129A">
        <w:rPr>
          <w:rFonts w:ascii="Arial" w:hAnsi="Arial" w:cs="Arial"/>
          <w:color w:val="000000"/>
          <w:sz w:val="16"/>
          <w:szCs w:val="16"/>
        </w:rPr>
        <w:t>p</w:t>
      </w:r>
      <w:r w:rsidRPr="000F129A">
        <w:rPr>
          <w:rFonts w:ascii="Arial" w:hAnsi="Arial" w:cs="Arial"/>
          <w:color w:val="000000"/>
          <w:spacing w:val="-3"/>
          <w:sz w:val="16"/>
          <w:szCs w:val="16"/>
        </w:rPr>
        <w:t>a</w:t>
      </w:r>
      <w:r w:rsidRPr="000F129A">
        <w:rPr>
          <w:rFonts w:ascii="Arial" w:hAnsi="Arial" w:cs="Arial"/>
          <w:color w:val="000000"/>
          <w:spacing w:val="1"/>
          <w:sz w:val="16"/>
          <w:szCs w:val="16"/>
        </w:rPr>
        <w:t>rt</w:t>
      </w:r>
      <w:r w:rsidRPr="000F129A">
        <w:rPr>
          <w:rFonts w:ascii="Arial" w:hAnsi="Arial" w:cs="Arial"/>
          <w:color w:val="000000"/>
          <w:spacing w:val="-1"/>
          <w:sz w:val="16"/>
          <w:szCs w:val="16"/>
        </w:rPr>
        <w:t>i</w:t>
      </w:r>
      <w:r w:rsidRPr="000F129A">
        <w:rPr>
          <w:rFonts w:ascii="Arial" w:hAnsi="Arial" w:cs="Arial"/>
          <w:color w:val="000000"/>
          <w:sz w:val="16"/>
          <w:szCs w:val="16"/>
        </w:rPr>
        <w:t>cu</w:t>
      </w:r>
      <w:r w:rsidRPr="000F129A">
        <w:rPr>
          <w:rFonts w:ascii="Arial" w:hAnsi="Arial" w:cs="Arial"/>
          <w:color w:val="000000"/>
          <w:spacing w:val="-1"/>
          <w:sz w:val="16"/>
          <w:szCs w:val="16"/>
        </w:rPr>
        <w:t>l</w:t>
      </w:r>
      <w:r w:rsidRPr="000F129A">
        <w:rPr>
          <w:rFonts w:ascii="Arial" w:hAnsi="Arial" w:cs="Arial"/>
          <w:color w:val="000000"/>
          <w:sz w:val="16"/>
          <w:szCs w:val="16"/>
        </w:rPr>
        <w:t>are</w:t>
      </w:r>
      <w:r w:rsidRPr="000F129A">
        <w:rPr>
          <w:rFonts w:ascii="Arial" w:hAnsi="Arial" w:cs="Arial"/>
          <w:color w:val="000000"/>
          <w:spacing w:val="-2"/>
          <w:sz w:val="16"/>
          <w:szCs w:val="16"/>
        </w:rPr>
        <w:t>s</w:t>
      </w:r>
      <w:r w:rsidRPr="000F129A">
        <w:rPr>
          <w:rFonts w:ascii="Arial" w:hAnsi="Arial" w:cs="Arial"/>
          <w:color w:val="000000"/>
          <w:sz w:val="16"/>
          <w:szCs w:val="16"/>
        </w:rPr>
        <w:t>,</w:t>
      </w:r>
      <w:r w:rsidRPr="000F129A">
        <w:rPr>
          <w:rFonts w:ascii="Arial" w:hAnsi="Arial" w:cs="Arial"/>
          <w:color w:val="000000"/>
          <w:spacing w:val="2"/>
          <w:sz w:val="16"/>
          <w:szCs w:val="16"/>
        </w:rPr>
        <w:t xml:space="preserve"> </w:t>
      </w:r>
      <w:r w:rsidRPr="000F129A">
        <w:rPr>
          <w:rFonts w:ascii="Arial" w:hAnsi="Arial" w:cs="Arial"/>
          <w:color w:val="000000"/>
          <w:sz w:val="16"/>
          <w:szCs w:val="16"/>
        </w:rPr>
        <w:t>y</w:t>
      </w:r>
      <w:r>
        <w:rPr>
          <w:rFonts w:ascii="Arial" w:hAnsi="Arial" w:cs="Arial"/>
          <w:color w:val="000000"/>
          <w:sz w:val="16"/>
          <w:szCs w:val="16"/>
        </w:rPr>
        <w:t xml:space="preserve"> (…)”</w:t>
      </w:r>
    </w:p>
    <w:p w14:paraId="7174E5E3" w14:textId="77777777" w:rsidR="00D83CC1" w:rsidRDefault="00D83CC1" w:rsidP="00D83CC1">
      <w:pPr>
        <w:pStyle w:val="Textonotapie"/>
      </w:pPr>
    </w:p>
  </w:footnote>
  <w:footnote w:id="4">
    <w:p w14:paraId="71AF7A62" w14:textId="77777777" w:rsidR="00343500" w:rsidRDefault="00343500" w:rsidP="00343500">
      <w:pPr>
        <w:pStyle w:val="Textonotapie"/>
      </w:pPr>
      <w:r>
        <w:rPr>
          <w:rStyle w:val="Refdenotaalpie"/>
        </w:rPr>
        <w:footnoteRef/>
      </w:r>
      <w:r>
        <w:t xml:space="preserve"> </w:t>
      </w:r>
      <w:r w:rsidRPr="00861DEA">
        <w:rPr>
          <w:rFonts w:ascii="Arial" w:hAnsi="Arial" w:cs="Arial"/>
          <w:sz w:val="16"/>
          <w:szCs w:val="16"/>
        </w:rPr>
        <w:t>Época: Décima Época, Registro: 159997, Instancia: Tribunales Colegiados de Circuito, Tipo de Tesis: Jurisprudencia, Fuente: Semanario Judicial de la Federación y su Gaceta, Libro XI, Agosto de 2012, Tomo 2, Materia(s): Constitucional, Administrativa, Tesis: I.7o.A. J/65 (9a.), Página: 1244</w:t>
      </w:r>
    </w:p>
  </w:footnote>
  <w:footnote w:id="5">
    <w:p w14:paraId="3EB0DADD" w14:textId="77777777" w:rsidR="00343500" w:rsidRDefault="00343500" w:rsidP="00343500">
      <w:pPr>
        <w:pStyle w:val="Textonotapie"/>
        <w:jc w:val="both"/>
        <w:rPr>
          <w:rFonts w:ascii="Arial" w:hAnsi="Arial" w:cs="Arial"/>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w:t>
      </w:r>
      <w:r>
        <w:rPr>
          <w:rFonts w:ascii="Arial" w:hAnsi="Arial" w:cs="Arial"/>
          <w:sz w:val="16"/>
          <w:szCs w:val="16"/>
        </w:rPr>
        <w:t>“</w:t>
      </w:r>
      <w:r w:rsidRPr="00D23FEF">
        <w:rPr>
          <w:rFonts w:ascii="Arial" w:hAnsi="Arial" w:cs="Arial"/>
          <w:sz w:val="16"/>
          <w:szCs w:val="16"/>
        </w:rPr>
        <w:t xml:space="preserve">ARTÍCULO </w:t>
      </w:r>
      <w:r>
        <w:rPr>
          <w:rFonts w:ascii="Arial" w:hAnsi="Arial" w:cs="Arial"/>
          <w:sz w:val="16"/>
          <w:szCs w:val="16"/>
        </w:rPr>
        <w:t>1</w:t>
      </w:r>
      <w:r w:rsidRPr="00D23FEF">
        <w:rPr>
          <w:rFonts w:ascii="Arial" w:hAnsi="Arial" w:cs="Arial"/>
          <w:sz w:val="16"/>
          <w:szCs w:val="16"/>
        </w:rPr>
        <w:t>7.- “Son elementos y requisitos de validez del acto administrativo: … V. Estar fundado y motivado...”</w:t>
      </w:r>
    </w:p>
    <w:p w14:paraId="21C9196B" w14:textId="77777777" w:rsidR="00343500" w:rsidRPr="00B61A4A" w:rsidRDefault="00343500" w:rsidP="00343500">
      <w:pPr>
        <w:pStyle w:val="Textonotapie"/>
        <w:jc w:val="both"/>
        <w:rPr>
          <w:sz w:val="16"/>
          <w:szCs w:val="16"/>
        </w:rPr>
      </w:pPr>
    </w:p>
  </w:footnote>
  <w:footnote w:id="6">
    <w:p w14:paraId="3DBF711D" w14:textId="56F78420" w:rsidR="00EC3B62" w:rsidRDefault="00EC3B62" w:rsidP="00EC3B62">
      <w:pPr>
        <w:pStyle w:val="temp"/>
        <w:shd w:val="clear" w:color="auto" w:fill="FFFFFF"/>
        <w:spacing w:before="0" w:beforeAutospacing="0" w:after="0" w:afterAutospacing="0"/>
        <w:jc w:val="both"/>
        <w:rPr>
          <w:rFonts w:ascii="Calibri" w:hAnsi="Calibri" w:cs="Calibri"/>
          <w:color w:val="212529"/>
          <w:sz w:val="26"/>
          <w:szCs w:val="26"/>
        </w:rPr>
      </w:pPr>
      <w:r>
        <w:rPr>
          <w:rStyle w:val="Refdenotaalpie"/>
        </w:rPr>
        <w:footnoteRef/>
      </w:r>
      <w:r>
        <w:t xml:space="preserve"> </w:t>
      </w:r>
      <w:r w:rsidRPr="00EC3B62">
        <w:rPr>
          <w:rStyle w:val="bold"/>
          <w:rFonts w:ascii="Arial" w:eastAsia="PMingLiU" w:hAnsi="Arial" w:cs="Arial"/>
          <w:color w:val="212529"/>
          <w:sz w:val="20"/>
          <w:szCs w:val="20"/>
        </w:rPr>
        <w:t>Registro digital: </w:t>
      </w:r>
      <w:r w:rsidRPr="00EC3B62">
        <w:rPr>
          <w:rFonts w:ascii="Arial" w:hAnsi="Arial" w:cs="Arial"/>
          <w:color w:val="212529"/>
          <w:sz w:val="20"/>
          <w:szCs w:val="20"/>
        </w:rPr>
        <w:t xml:space="preserve">2020803, </w:t>
      </w:r>
      <w:r w:rsidRPr="00EC3B62">
        <w:rPr>
          <w:rStyle w:val="bold"/>
          <w:rFonts w:ascii="Arial" w:eastAsia="PMingLiU" w:hAnsi="Arial" w:cs="Arial"/>
          <w:color w:val="212529"/>
          <w:sz w:val="20"/>
          <w:szCs w:val="20"/>
        </w:rPr>
        <w:t>Instancia: </w:t>
      </w:r>
      <w:r w:rsidRPr="00EC3B62">
        <w:rPr>
          <w:rFonts w:ascii="Arial" w:hAnsi="Arial" w:cs="Arial"/>
          <w:color w:val="212529"/>
          <w:sz w:val="20"/>
          <w:szCs w:val="20"/>
        </w:rPr>
        <w:t xml:space="preserve">Tribunales Colegiados de Circuito, </w:t>
      </w:r>
      <w:r w:rsidRPr="00EC3B62">
        <w:rPr>
          <w:rStyle w:val="bold"/>
          <w:rFonts w:ascii="Arial" w:eastAsia="PMingLiU" w:hAnsi="Arial" w:cs="Arial"/>
          <w:color w:val="212529"/>
          <w:sz w:val="20"/>
          <w:szCs w:val="20"/>
        </w:rPr>
        <w:t>Décima Época, Materia(s): </w:t>
      </w:r>
      <w:r w:rsidRPr="00EC3B62">
        <w:rPr>
          <w:rFonts w:ascii="Arial" w:hAnsi="Arial" w:cs="Arial"/>
          <w:color w:val="212529"/>
          <w:sz w:val="20"/>
          <w:szCs w:val="20"/>
        </w:rPr>
        <w:t xml:space="preserve">Administrativa, </w:t>
      </w:r>
      <w:r w:rsidRPr="00EC3B62">
        <w:rPr>
          <w:rStyle w:val="bold"/>
          <w:rFonts w:ascii="Arial" w:eastAsia="PMingLiU" w:hAnsi="Arial" w:cs="Arial"/>
          <w:color w:val="212529"/>
          <w:sz w:val="20"/>
          <w:szCs w:val="20"/>
        </w:rPr>
        <w:t>Tesis: </w:t>
      </w:r>
      <w:r w:rsidRPr="00EC3B62">
        <w:rPr>
          <w:rFonts w:ascii="Arial" w:hAnsi="Arial" w:cs="Arial"/>
          <w:color w:val="212529"/>
          <w:sz w:val="20"/>
          <w:szCs w:val="20"/>
        </w:rPr>
        <w:t xml:space="preserve">I.4o.A. J/4 (10a.), </w:t>
      </w:r>
      <w:r w:rsidRPr="00EC3B62">
        <w:rPr>
          <w:rStyle w:val="bold"/>
          <w:rFonts w:ascii="Arial" w:eastAsia="PMingLiU" w:hAnsi="Arial" w:cs="Arial"/>
          <w:color w:val="212529"/>
          <w:sz w:val="20"/>
          <w:szCs w:val="20"/>
        </w:rPr>
        <w:t>Fuente: </w:t>
      </w:r>
      <w:r w:rsidRPr="00EC3B62">
        <w:rPr>
          <w:rFonts w:ascii="Arial" w:hAnsi="Arial" w:cs="Arial"/>
          <w:color w:val="212529"/>
          <w:sz w:val="20"/>
          <w:szCs w:val="20"/>
        </w:rPr>
        <w:t xml:space="preserve">Gaceta del Semanario Judicial de la Federación, </w:t>
      </w:r>
      <w:r w:rsidRPr="00EC3B62">
        <w:rPr>
          <w:rStyle w:val="ng-star-inserted"/>
          <w:rFonts w:ascii="Arial" w:hAnsi="Arial" w:cs="Arial"/>
          <w:color w:val="212529"/>
          <w:sz w:val="20"/>
          <w:szCs w:val="20"/>
        </w:rPr>
        <w:t xml:space="preserve">Libro 71, Octubre de 2019, Tomo IV, página 3350, </w:t>
      </w:r>
      <w:r w:rsidRPr="00EC3B62">
        <w:rPr>
          <w:rStyle w:val="bold"/>
          <w:rFonts w:ascii="Arial" w:eastAsia="PMingLiU" w:hAnsi="Arial" w:cs="Arial"/>
          <w:color w:val="212529"/>
          <w:sz w:val="20"/>
          <w:szCs w:val="20"/>
        </w:rPr>
        <w:t>Tipo: </w:t>
      </w:r>
      <w:r w:rsidRPr="00EC3B62">
        <w:rPr>
          <w:rFonts w:ascii="Arial" w:hAnsi="Arial" w:cs="Arial"/>
          <w:color w:val="212529"/>
          <w:sz w:val="20"/>
          <w:szCs w:val="20"/>
        </w:rPr>
        <w:t>Jurisprudencia</w:t>
      </w:r>
    </w:p>
    <w:p w14:paraId="7BC0ED81" w14:textId="7463431E" w:rsidR="00EC3B62" w:rsidRDefault="00EC3B62">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A360DF" w:rsidRDefault="00FE7E4C">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D8434A" w:rsidRPr="00D8434A">
          <w:rPr>
            <w:noProof/>
            <w:lang w:val="es-ES"/>
          </w:rPr>
          <w:t>8</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A2AACA2" w:rsidR="00A360DF" w:rsidRDefault="00FE7E4C">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A360DF">
          <w:fldChar w:fldCharType="begin"/>
        </w:r>
        <w:r w:rsidR="00A360DF">
          <w:instrText>PAGE   \* MERGEFORMAT</w:instrText>
        </w:r>
        <w:r w:rsidR="00A360DF">
          <w:fldChar w:fldCharType="separate"/>
        </w:r>
        <w:r w:rsidR="00D8434A" w:rsidRPr="00D8434A">
          <w:rPr>
            <w:noProof/>
            <w:lang w:val="es-ES"/>
          </w:rPr>
          <w:t>7</w:t>
        </w:r>
        <w:r w:rsidR="00A360DF">
          <w:fldChar w:fldCharType="end"/>
        </w:r>
        <w:r w:rsidR="007C7A1C">
          <w:t xml:space="preserve">                                                                       </w:t>
        </w:r>
        <w:r w:rsidR="007C7A1C" w:rsidRPr="007C7A1C">
          <w:rPr>
            <w:rFonts w:ascii="Century Schoolbook" w:hAnsi="Century Schoolbook" w:cs="Arial"/>
          </w:rPr>
          <w:t xml:space="preserve"> </w:t>
        </w:r>
        <w:r w:rsidR="007C7A1C" w:rsidRPr="00B61D83">
          <w:rPr>
            <w:rFonts w:ascii="Century Schoolbook" w:hAnsi="Century Schoolbook" w:cs="Arial"/>
          </w:rPr>
          <w:t>JUICIO DE NULIDAD</w:t>
        </w:r>
        <w:r w:rsidR="007C7A1C" w:rsidRPr="00B61D83">
          <w:rPr>
            <w:rFonts w:ascii="Century Schoolbook" w:hAnsi="Century Schoolbook" w:cs="Arial"/>
            <w:b/>
            <w:bCs/>
          </w:rPr>
          <w:t xml:space="preserve"> </w:t>
        </w:r>
        <w:r w:rsidR="00AC24D4">
          <w:rPr>
            <w:rFonts w:ascii="Century Schoolbook" w:hAnsi="Century Schoolbook" w:cs="Arial"/>
            <w:b/>
            <w:bCs/>
          </w:rPr>
          <w:t>00</w:t>
        </w:r>
        <w:r w:rsidR="00280B62">
          <w:rPr>
            <w:rFonts w:ascii="Century Schoolbook" w:hAnsi="Century Schoolbook" w:cs="Arial"/>
            <w:b/>
            <w:bCs/>
          </w:rPr>
          <w:t>82</w:t>
        </w:r>
        <w:r w:rsidR="007C7A1C">
          <w:rPr>
            <w:rFonts w:ascii="Century Schoolbook" w:hAnsi="Century Schoolbook" w:cs="Arial"/>
            <w:b/>
            <w:bCs/>
          </w:rPr>
          <w:t>/20</w:t>
        </w:r>
        <w:r w:rsidR="007751BD">
          <w:rPr>
            <w:rFonts w:ascii="Century Schoolbook" w:hAnsi="Century Schoolbook" w:cs="Arial"/>
            <w:b/>
            <w:bCs/>
          </w:rPr>
          <w:t>2</w:t>
        </w:r>
        <w:r w:rsidR="00280B62">
          <w:rPr>
            <w:rFonts w:ascii="Century Schoolbook" w:hAnsi="Century Schoolbook" w:cs="Arial"/>
            <w:b/>
            <w:bCs/>
          </w:rPr>
          <w:t>1</w:t>
        </w:r>
      </w:sdtContent>
    </w:sdt>
  </w:p>
  <w:p w14:paraId="09421347" w14:textId="77777777" w:rsidR="00D8434A" w:rsidRDefault="00D8434A" w:rsidP="00927607">
    <w:pPr>
      <w:pStyle w:val="Encabezado"/>
      <w:tabs>
        <w:tab w:val="left" w:pos="142"/>
      </w:tabs>
      <w:ind w:left="284"/>
      <w:rPr>
        <w:rFonts w:ascii="Arial" w:hAnsi="Arial" w:cs="Arial"/>
        <w:b/>
        <w:color w:val="0070C0"/>
      </w:rPr>
    </w:pPr>
  </w:p>
  <w:p w14:paraId="51E22156" w14:textId="5151CE52" w:rsidR="00A360DF" w:rsidRDefault="00D8434A" w:rsidP="00D8434A">
    <w:pPr>
      <w:pStyle w:val="Encabezado"/>
      <w:tabs>
        <w:tab w:val="left" w:pos="142"/>
      </w:tabs>
      <w:ind w:left="284"/>
      <w:jc w:val="center"/>
    </w:pPr>
    <w:r>
      <w:rPr>
        <w:rFonts w:ascii="Arial" w:hAnsi="Arial" w:cs="Arial"/>
        <w:b/>
        <w:color w:val="0070C0"/>
      </w:rPr>
      <w:t xml:space="preserve">DATOS PERSONALES PROTEGIDOS POR EL ARTÍCULO 116 DE LA LGTAIP Y ARTÍCULO 61 DE LA LTAIPBGEO </w:t>
    </w:r>
    <w:r w:rsidR="00A360DF"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FE7E4C">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nsid w:val="79DD6A9E"/>
    <w:multiLevelType w:val="hybridMultilevel"/>
    <w:tmpl w:val="12662930"/>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15"/>
  </w:num>
  <w:num w:numId="2">
    <w:abstractNumId w:val="5"/>
  </w:num>
  <w:num w:numId="3">
    <w:abstractNumId w:val="2"/>
  </w:num>
  <w:num w:numId="4">
    <w:abstractNumId w:val="11"/>
  </w:num>
  <w:num w:numId="5">
    <w:abstractNumId w:val="14"/>
  </w:num>
  <w:num w:numId="6">
    <w:abstractNumId w:val="9"/>
  </w:num>
  <w:num w:numId="7">
    <w:abstractNumId w:val="8"/>
  </w:num>
  <w:num w:numId="8">
    <w:abstractNumId w:val="4"/>
  </w:num>
  <w:num w:numId="9">
    <w:abstractNumId w:val="7"/>
  </w:num>
  <w:num w:numId="10">
    <w:abstractNumId w:val="10"/>
  </w:num>
  <w:num w:numId="11">
    <w:abstractNumId w:val="12"/>
  </w:num>
  <w:num w:numId="12">
    <w:abstractNumId w:val="3"/>
  </w:num>
  <w:num w:numId="13">
    <w:abstractNumId w:val="6"/>
  </w:num>
  <w:num w:numId="14">
    <w:abstractNumId w:val="0"/>
  </w:num>
  <w:num w:numId="15">
    <w:abstractNumId w:val="13"/>
  </w:num>
  <w:num w:numId="16">
    <w:abstractNumId w:val="1"/>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5D9"/>
    <w:rsid w:val="00025BEB"/>
    <w:rsid w:val="000262A2"/>
    <w:rsid w:val="000264DD"/>
    <w:rsid w:val="00026C11"/>
    <w:rsid w:val="000306D4"/>
    <w:rsid w:val="00030BAF"/>
    <w:rsid w:val="00031F8E"/>
    <w:rsid w:val="000324B9"/>
    <w:rsid w:val="000329BA"/>
    <w:rsid w:val="00032D83"/>
    <w:rsid w:val="000330FB"/>
    <w:rsid w:val="000338EE"/>
    <w:rsid w:val="0003411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77C"/>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97A65"/>
    <w:rsid w:val="000A084D"/>
    <w:rsid w:val="000A0E5E"/>
    <w:rsid w:val="000A12C0"/>
    <w:rsid w:val="000A1491"/>
    <w:rsid w:val="000A17DF"/>
    <w:rsid w:val="000A200A"/>
    <w:rsid w:val="000A2550"/>
    <w:rsid w:val="000A27AC"/>
    <w:rsid w:val="000A335C"/>
    <w:rsid w:val="000A33D9"/>
    <w:rsid w:val="000A33F5"/>
    <w:rsid w:val="000A5266"/>
    <w:rsid w:val="000A5540"/>
    <w:rsid w:val="000A578F"/>
    <w:rsid w:val="000A58B5"/>
    <w:rsid w:val="000A5D36"/>
    <w:rsid w:val="000A5FA8"/>
    <w:rsid w:val="000A65DB"/>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838"/>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2E9A"/>
    <w:rsid w:val="0017568D"/>
    <w:rsid w:val="00175C14"/>
    <w:rsid w:val="001761CB"/>
    <w:rsid w:val="0017651E"/>
    <w:rsid w:val="001778B4"/>
    <w:rsid w:val="001779CB"/>
    <w:rsid w:val="00177B53"/>
    <w:rsid w:val="00181DB0"/>
    <w:rsid w:val="001826D0"/>
    <w:rsid w:val="0018345B"/>
    <w:rsid w:val="0018356C"/>
    <w:rsid w:val="0018358B"/>
    <w:rsid w:val="0018454F"/>
    <w:rsid w:val="001846BB"/>
    <w:rsid w:val="001854BD"/>
    <w:rsid w:val="00185DC5"/>
    <w:rsid w:val="00186701"/>
    <w:rsid w:val="00186FB3"/>
    <w:rsid w:val="00186FE8"/>
    <w:rsid w:val="0018765B"/>
    <w:rsid w:val="00192287"/>
    <w:rsid w:val="001923AE"/>
    <w:rsid w:val="001924B2"/>
    <w:rsid w:val="00193379"/>
    <w:rsid w:val="00194B7B"/>
    <w:rsid w:val="001951A3"/>
    <w:rsid w:val="00195583"/>
    <w:rsid w:val="001A0745"/>
    <w:rsid w:val="001A1302"/>
    <w:rsid w:val="001A16CC"/>
    <w:rsid w:val="001A18E1"/>
    <w:rsid w:val="001A2144"/>
    <w:rsid w:val="001A2E1D"/>
    <w:rsid w:val="001A2FDB"/>
    <w:rsid w:val="001A3755"/>
    <w:rsid w:val="001A4127"/>
    <w:rsid w:val="001A4E1C"/>
    <w:rsid w:val="001A554E"/>
    <w:rsid w:val="001A6EBE"/>
    <w:rsid w:val="001A6F68"/>
    <w:rsid w:val="001A77FB"/>
    <w:rsid w:val="001B009D"/>
    <w:rsid w:val="001B035C"/>
    <w:rsid w:val="001B046F"/>
    <w:rsid w:val="001B13DB"/>
    <w:rsid w:val="001B17F6"/>
    <w:rsid w:val="001B341D"/>
    <w:rsid w:val="001B3A10"/>
    <w:rsid w:val="001B3B5C"/>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50"/>
    <w:rsid w:val="001F5F15"/>
    <w:rsid w:val="001F625A"/>
    <w:rsid w:val="001F6B28"/>
    <w:rsid w:val="001F6C56"/>
    <w:rsid w:val="001F72DF"/>
    <w:rsid w:val="001F77D0"/>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6899"/>
    <w:rsid w:val="00227445"/>
    <w:rsid w:val="00227471"/>
    <w:rsid w:val="00230D10"/>
    <w:rsid w:val="00231036"/>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2A6C"/>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77B68"/>
    <w:rsid w:val="002805AC"/>
    <w:rsid w:val="00280919"/>
    <w:rsid w:val="00280B62"/>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706"/>
    <w:rsid w:val="002B375F"/>
    <w:rsid w:val="002B3BA3"/>
    <w:rsid w:val="002B4040"/>
    <w:rsid w:val="002B5C09"/>
    <w:rsid w:val="002B5C82"/>
    <w:rsid w:val="002B6893"/>
    <w:rsid w:val="002B6B9D"/>
    <w:rsid w:val="002B6C19"/>
    <w:rsid w:val="002B6D0D"/>
    <w:rsid w:val="002B76FB"/>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55CF"/>
    <w:rsid w:val="00326AF6"/>
    <w:rsid w:val="00326D5E"/>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500"/>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9022E"/>
    <w:rsid w:val="00390CDE"/>
    <w:rsid w:val="003919A3"/>
    <w:rsid w:val="00392B20"/>
    <w:rsid w:val="00392BA3"/>
    <w:rsid w:val="00394516"/>
    <w:rsid w:val="003961E1"/>
    <w:rsid w:val="003974F9"/>
    <w:rsid w:val="003A0AA1"/>
    <w:rsid w:val="003A0FE5"/>
    <w:rsid w:val="003A24EC"/>
    <w:rsid w:val="003A3EA0"/>
    <w:rsid w:val="003A6262"/>
    <w:rsid w:val="003A645D"/>
    <w:rsid w:val="003A730F"/>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6A3"/>
    <w:rsid w:val="003B4BAF"/>
    <w:rsid w:val="003B5111"/>
    <w:rsid w:val="003B57C3"/>
    <w:rsid w:val="003B609E"/>
    <w:rsid w:val="003B6581"/>
    <w:rsid w:val="003B6C7E"/>
    <w:rsid w:val="003B79F9"/>
    <w:rsid w:val="003C0293"/>
    <w:rsid w:val="003C0DF1"/>
    <w:rsid w:val="003C1936"/>
    <w:rsid w:val="003C1EC7"/>
    <w:rsid w:val="003C268F"/>
    <w:rsid w:val="003C2E68"/>
    <w:rsid w:val="003C32DC"/>
    <w:rsid w:val="003C32FC"/>
    <w:rsid w:val="003C42AD"/>
    <w:rsid w:val="003C4C9F"/>
    <w:rsid w:val="003C5D9D"/>
    <w:rsid w:val="003C7036"/>
    <w:rsid w:val="003C7781"/>
    <w:rsid w:val="003C7FA5"/>
    <w:rsid w:val="003D0C96"/>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5A16"/>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002"/>
    <w:rsid w:val="00417B7B"/>
    <w:rsid w:val="004211BE"/>
    <w:rsid w:val="0042205F"/>
    <w:rsid w:val="00423C26"/>
    <w:rsid w:val="00423E43"/>
    <w:rsid w:val="00424839"/>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A65"/>
    <w:rsid w:val="00444F46"/>
    <w:rsid w:val="0044520F"/>
    <w:rsid w:val="00445E7B"/>
    <w:rsid w:val="00445F77"/>
    <w:rsid w:val="004468EC"/>
    <w:rsid w:val="00446A05"/>
    <w:rsid w:val="00446B69"/>
    <w:rsid w:val="004502C5"/>
    <w:rsid w:val="004509CE"/>
    <w:rsid w:val="00451498"/>
    <w:rsid w:val="004515BE"/>
    <w:rsid w:val="00452B43"/>
    <w:rsid w:val="00454957"/>
    <w:rsid w:val="004557F7"/>
    <w:rsid w:val="00455A62"/>
    <w:rsid w:val="00456294"/>
    <w:rsid w:val="004572E7"/>
    <w:rsid w:val="00457778"/>
    <w:rsid w:val="00457FE0"/>
    <w:rsid w:val="004606DA"/>
    <w:rsid w:val="00461033"/>
    <w:rsid w:val="00461308"/>
    <w:rsid w:val="00461FB3"/>
    <w:rsid w:val="0046279F"/>
    <w:rsid w:val="00463325"/>
    <w:rsid w:val="004639C1"/>
    <w:rsid w:val="00463D48"/>
    <w:rsid w:val="00464148"/>
    <w:rsid w:val="004647B9"/>
    <w:rsid w:val="00464F06"/>
    <w:rsid w:val="004652D5"/>
    <w:rsid w:val="00465B25"/>
    <w:rsid w:val="00465BF5"/>
    <w:rsid w:val="004668E6"/>
    <w:rsid w:val="004673D5"/>
    <w:rsid w:val="0047274B"/>
    <w:rsid w:val="00472B3D"/>
    <w:rsid w:val="00472D90"/>
    <w:rsid w:val="00473EB5"/>
    <w:rsid w:val="0047647A"/>
    <w:rsid w:val="004771E5"/>
    <w:rsid w:val="00477357"/>
    <w:rsid w:val="00477E07"/>
    <w:rsid w:val="004804CF"/>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5F16"/>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3C70"/>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45C2"/>
    <w:rsid w:val="005F4ECF"/>
    <w:rsid w:val="005F52FF"/>
    <w:rsid w:val="005F569A"/>
    <w:rsid w:val="005F6073"/>
    <w:rsid w:val="005F6196"/>
    <w:rsid w:val="005F61B4"/>
    <w:rsid w:val="005F6454"/>
    <w:rsid w:val="005F7759"/>
    <w:rsid w:val="005F7852"/>
    <w:rsid w:val="0060041C"/>
    <w:rsid w:val="0060055A"/>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349"/>
    <w:rsid w:val="00610C46"/>
    <w:rsid w:val="00614079"/>
    <w:rsid w:val="00614188"/>
    <w:rsid w:val="00614691"/>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B16"/>
    <w:rsid w:val="00651275"/>
    <w:rsid w:val="00652231"/>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1D6E"/>
    <w:rsid w:val="00672CE0"/>
    <w:rsid w:val="00672F8D"/>
    <w:rsid w:val="006730DE"/>
    <w:rsid w:val="006730F3"/>
    <w:rsid w:val="00673B33"/>
    <w:rsid w:val="006747AB"/>
    <w:rsid w:val="00675466"/>
    <w:rsid w:val="00676465"/>
    <w:rsid w:val="006775C4"/>
    <w:rsid w:val="0068056E"/>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0D09"/>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484"/>
    <w:rsid w:val="006B1B86"/>
    <w:rsid w:val="006B208B"/>
    <w:rsid w:val="006B3C7A"/>
    <w:rsid w:val="006B454E"/>
    <w:rsid w:val="006B462B"/>
    <w:rsid w:val="006B46C9"/>
    <w:rsid w:val="006B4FD6"/>
    <w:rsid w:val="006B511B"/>
    <w:rsid w:val="006B5508"/>
    <w:rsid w:val="006B5F34"/>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5742"/>
    <w:rsid w:val="006E58AF"/>
    <w:rsid w:val="006E632E"/>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2A54"/>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BC1"/>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293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5137"/>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1BD"/>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313D"/>
    <w:rsid w:val="007C3B2E"/>
    <w:rsid w:val="007C405D"/>
    <w:rsid w:val="007C49D1"/>
    <w:rsid w:val="007C4D7C"/>
    <w:rsid w:val="007C5545"/>
    <w:rsid w:val="007C587A"/>
    <w:rsid w:val="007C5FD2"/>
    <w:rsid w:val="007C79F5"/>
    <w:rsid w:val="007C7A1C"/>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88E"/>
    <w:rsid w:val="00824B51"/>
    <w:rsid w:val="00825DF2"/>
    <w:rsid w:val="00826459"/>
    <w:rsid w:val="008264A3"/>
    <w:rsid w:val="00826F27"/>
    <w:rsid w:val="008270BC"/>
    <w:rsid w:val="008309C8"/>
    <w:rsid w:val="008309F3"/>
    <w:rsid w:val="008312B3"/>
    <w:rsid w:val="0083287B"/>
    <w:rsid w:val="00832A83"/>
    <w:rsid w:val="00832D2B"/>
    <w:rsid w:val="00833114"/>
    <w:rsid w:val="00835668"/>
    <w:rsid w:val="008357D2"/>
    <w:rsid w:val="008370CF"/>
    <w:rsid w:val="00837CEF"/>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386F"/>
    <w:rsid w:val="00854886"/>
    <w:rsid w:val="00855029"/>
    <w:rsid w:val="0085507C"/>
    <w:rsid w:val="0085563E"/>
    <w:rsid w:val="00860053"/>
    <w:rsid w:val="008601DA"/>
    <w:rsid w:val="00861653"/>
    <w:rsid w:val="00861978"/>
    <w:rsid w:val="00861C16"/>
    <w:rsid w:val="008625C0"/>
    <w:rsid w:val="00863418"/>
    <w:rsid w:val="008634C5"/>
    <w:rsid w:val="00863FB1"/>
    <w:rsid w:val="00864F72"/>
    <w:rsid w:val="00865B42"/>
    <w:rsid w:val="00866DED"/>
    <w:rsid w:val="00866DF0"/>
    <w:rsid w:val="008672F5"/>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5D8C"/>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67F9"/>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8DA"/>
    <w:rsid w:val="00913C08"/>
    <w:rsid w:val="00915282"/>
    <w:rsid w:val="0091567A"/>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231"/>
    <w:rsid w:val="009829E2"/>
    <w:rsid w:val="00983525"/>
    <w:rsid w:val="009844CE"/>
    <w:rsid w:val="00984590"/>
    <w:rsid w:val="00984F92"/>
    <w:rsid w:val="00984FB7"/>
    <w:rsid w:val="009855CB"/>
    <w:rsid w:val="00985932"/>
    <w:rsid w:val="009868FC"/>
    <w:rsid w:val="00986D58"/>
    <w:rsid w:val="00986D6A"/>
    <w:rsid w:val="00990013"/>
    <w:rsid w:val="00990D44"/>
    <w:rsid w:val="00991E94"/>
    <w:rsid w:val="00992712"/>
    <w:rsid w:val="00993E7E"/>
    <w:rsid w:val="0099690A"/>
    <w:rsid w:val="00997136"/>
    <w:rsid w:val="009971A7"/>
    <w:rsid w:val="00997965"/>
    <w:rsid w:val="00997BBE"/>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29"/>
    <w:rsid w:val="00A360DF"/>
    <w:rsid w:val="00A36936"/>
    <w:rsid w:val="00A37129"/>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2CC"/>
    <w:rsid w:val="00A537AD"/>
    <w:rsid w:val="00A54A2D"/>
    <w:rsid w:val="00A54AAC"/>
    <w:rsid w:val="00A55915"/>
    <w:rsid w:val="00A55A68"/>
    <w:rsid w:val="00A56094"/>
    <w:rsid w:val="00A5698E"/>
    <w:rsid w:val="00A56B70"/>
    <w:rsid w:val="00A575B4"/>
    <w:rsid w:val="00A608CD"/>
    <w:rsid w:val="00A60A4A"/>
    <w:rsid w:val="00A64280"/>
    <w:rsid w:val="00A64C7D"/>
    <w:rsid w:val="00A64E0F"/>
    <w:rsid w:val="00A654A2"/>
    <w:rsid w:val="00A654DF"/>
    <w:rsid w:val="00A655E9"/>
    <w:rsid w:val="00A66CB2"/>
    <w:rsid w:val="00A67461"/>
    <w:rsid w:val="00A703F5"/>
    <w:rsid w:val="00A71119"/>
    <w:rsid w:val="00A72E3D"/>
    <w:rsid w:val="00A72EE1"/>
    <w:rsid w:val="00A7300D"/>
    <w:rsid w:val="00A73B00"/>
    <w:rsid w:val="00A746E4"/>
    <w:rsid w:val="00A761F4"/>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4D4"/>
    <w:rsid w:val="00AC2548"/>
    <w:rsid w:val="00AC3C32"/>
    <w:rsid w:val="00AC3DB8"/>
    <w:rsid w:val="00AD100C"/>
    <w:rsid w:val="00AD2540"/>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62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165"/>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4C6"/>
    <w:rsid w:val="00BA1836"/>
    <w:rsid w:val="00BA18D4"/>
    <w:rsid w:val="00BA224E"/>
    <w:rsid w:val="00BA258A"/>
    <w:rsid w:val="00BA2A3D"/>
    <w:rsid w:val="00BA31EF"/>
    <w:rsid w:val="00BA3677"/>
    <w:rsid w:val="00BA3973"/>
    <w:rsid w:val="00BA42E0"/>
    <w:rsid w:val="00BA5246"/>
    <w:rsid w:val="00BA59AD"/>
    <w:rsid w:val="00BA6343"/>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6C7"/>
    <w:rsid w:val="00BC088B"/>
    <w:rsid w:val="00BC1305"/>
    <w:rsid w:val="00BC15C0"/>
    <w:rsid w:val="00BC2587"/>
    <w:rsid w:val="00BC26C1"/>
    <w:rsid w:val="00BC342A"/>
    <w:rsid w:val="00BC40F2"/>
    <w:rsid w:val="00BC45CE"/>
    <w:rsid w:val="00BC4F3D"/>
    <w:rsid w:val="00BC59CF"/>
    <w:rsid w:val="00BC64CE"/>
    <w:rsid w:val="00BC68AD"/>
    <w:rsid w:val="00BC7112"/>
    <w:rsid w:val="00BD0C00"/>
    <w:rsid w:val="00BD0DA0"/>
    <w:rsid w:val="00BD0DD3"/>
    <w:rsid w:val="00BD3693"/>
    <w:rsid w:val="00BD438C"/>
    <w:rsid w:val="00BD4433"/>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B6B"/>
    <w:rsid w:val="00C25A02"/>
    <w:rsid w:val="00C26147"/>
    <w:rsid w:val="00C268F6"/>
    <w:rsid w:val="00C27D1A"/>
    <w:rsid w:val="00C31200"/>
    <w:rsid w:val="00C3197C"/>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C2F"/>
    <w:rsid w:val="00C43B8F"/>
    <w:rsid w:val="00C44980"/>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F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5DB"/>
    <w:rsid w:val="00C85611"/>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B1AC1"/>
    <w:rsid w:val="00CB26F2"/>
    <w:rsid w:val="00CB2BAE"/>
    <w:rsid w:val="00CB3166"/>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6ED4"/>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04E4"/>
    <w:rsid w:val="00CF10EF"/>
    <w:rsid w:val="00CF1F53"/>
    <w:rsid w:val="00CF1FAE"/>
    <w:rsid w:val="00CF3BED"/>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0D"/>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DBA"/>
    <w:rsid w:val="00D30EC7"/>
    <w:rsid w:val="00D33362"/>
    <w:rsid w:val="00D33C0D"/>
    <w:rsid w:val="00D34C41"/>
    <w:rsid w:val="00D35BC6"/>
    <w:rsid w:val="00D3635F"/>
    <w:rsid w:val="00D36532"/>
    <w:rsid w:val="00D367F9"/>
    <w:rsid w:val="00D3760F"/>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2F2"/>
    <w:rsid w:val="00D83CC1"/>
    <w:rsid w:val="00D8434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58"/>
    <w:rsid w:val="00DA4B87"/>
    <w:rsid w:val="00DA5129"/>
    <w:rsid w:val="00DA54E7"/>
    <w:rsid w:val="00DA5795"/>
    <w:rsid w:val="00DA5945"/>
    <w:rsid w:val="00DA63A9"/>
    <w:rsid w:val="00DA717D"/>
    <w:rsid w:val="00DA7986"/>
    <w:rsid w:val="00DA7A5F"/>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FA1"/>
    <w:rsid w:val="00DF5862"/>
    <w:rsid w:val="00DF5E93"/>
    <w:rsid w:val="00DF66BB"/>
    <w:rsid w:val="00DF7D55"/>
    <w:rsid w:val="00DF7F94"/>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51B8"/>
    <w:rsid w:val="00E35EC1"/>
    <w:rsid w:val="00E35F95"/>
    <w:rsid w:val="00E3623E"/>
    <w:rsid w:val="00E36893"/>
    <w:rsid w:val="00E369E0"/>
    <w:rsid w:val="00E36F87"/>
    <w:rsid w:val="00E36FAF"/>
    <w:rsid w:val="00E37775"/>
    <w:rsid w:val="00E37879"/>
    <w:rsid w:val="00E4029A"/>
    <w:rsid w:val="00E410B5"/>
    <w:rsid w:val="00E41D4A"/>
    <w:rsid w:val="00E41DFA"/>
    <w:rsid w:val="00E4205C"/>
    <w:rsid w:val="00E42264"/>
    <w:rsid w:val="00E42D1E"/>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3B62"/>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1DF7"/>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384"/>
    <w:rsid w:val="00FB0883"/>
    <w:rsid w:val="00FB0C83"/>
    <w:rsid w:val="00FB1043"/>
    <w:rsid w:val="00FB20F3"/>
    <w:rsid w:val="00FB303C"/>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520C"/>
    <w:rsid w:val="00FE65C5"/>
    <w:rsid w:val="00FE6DA0"/>
    <w:rsid w:val="00FE7E4C"/>
    <w:rsid w:val="00FF0C49"/>
    <w:rsid w:val="00FF0FDB"/>
    <w:rsid w:val="00FF1282"/>
    <w:rsid w:val="00FF1339"/>
    <w:rsid w:val="00FF1682"/>
    <w:rsid w:val="00FF33D3"/>
    <w:rsid w:val="00FF424C"/>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EC3B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EC3B62"/>
  </w:style>
  <w:style w:type="character" w:customStyle="1" w:styleId="ng-star-inserted">
    <w:name w:val="ng-star-inserted"/>
    <w:basedOn w:val="Fuentedeprrafopredeter"/>
    <w:rsid w:val="00EC3B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56328">
      <w:bodyDiv w:val="1"/>
      <w:marLeft w:val="0"/>
      <w:marRight w:val="0"/>
      <w:marTop w:val="0"/>
      <w:marBottom w:val="0"/>
      <w:divBdr>
        <w:top w:val="none" w:sz="0" w:space="0" w:color="auto"/>
        <w:left w:val="none" w:sz="0" w:space="0" w:color="auto"/>
        <w:bottom w:val="none" w:sz="0" w:space="0" w:color="auto"/>
        <w:right w:val="none" w:sz="0" w:space="0" w:color="auto"/>
      </w:divBdr>
      <w:divsChild>
        <w:div w:id="1502044577">
          <w:marLeft w:val="0"/>
          <w:marRight w:val="0"/>
          <w:marTop w:val="0"/>
          <w:marBottom w:val="0"/>
          <w:divBdr>
            <w:top w:val="none" w:sz="0" w:space="0" w:color="auto"/>
            <w:left w:val="none" w:sz="0" w:space="0" w:color="auto"/>
            <w:bottom w:val="none" w:sz="0" w:space="0" w:color="auto"/>
            <w:right w:val="none" w:sz="0" w:space="0" w:color="auto"/>
          </w:divBdr>
        </w:div>
        <w:div w:id="2070687117">
          <w:marLeft w:val="0"/>
          <w:marRight w:val="0"/>
          <w:marTop w:val="0"/>
          <w:marBottom w:val="0"/>
          <w:divBdr>
            <w:top w:val="none" w:sz="0" w:space="0" w:color="auto"/>
            <w:left w:val="none" w:sz="0" w:space="0" w:color="auto"/>
            <w:bottom w:val="none" w:sz="0" w:space="0" w:color="auto"/>
            <w:right w:val="none" w:sz="0" w:space="0" w:color="auto"/>
          </w:divBdr>
        </w:div>
        <w:div w:id="100689194">
          <w:marLeft w:val="0"/>
          <w:marRight w:val="0"/>
          <w:marTop w:val="0"/>
          <w:marBottom w:val="0"/>
          <w:divBdr>
            <w:top w:val="none" w:sz="0" w:space="0" w:color="auto"/>
            <w:left w:val="none" w:sz="0" w:space="0" w:color="auto"/>
            <w:bottom w:val="none" w:sz="0" w:space="0" w:color="auto"/>
            <w:right w:val="none" w:sz="0" w:space="0" w:color="auto"/>
          </w:divBdr>
        </w:div>
        <w:div w:id="867062016">
          <w:marLeft w:val="0"/>
          <w:marRight w:val="0"/>
          <w:marTop w:val="0"/>
          <w:marBottom w:val="0"/>
          <w:divBdr>
            <w:top w:val="none" w:sz="0" w:space="0" w:color="auto"/>
            <w:left w:val="none" w:sz="0" w:space="0" w:color="auto"/>
            <w:bottom w:val="none" w:sz="0" w:space="0" w:color="auto"/>
            <w:right w:val="none" w:sz="0" w:space="0" w:color="auto"/>
          </w:divBdr>
        </w:div>
        <w:div w:id="109936111">
          <w:marLeft w:val="0"/>
          <w:marRight w:val="0"/>
          <w:marTop w:val="0"/>
          <w:marBottom w:val="0"/>
          <w:divBdr>
            <w:top w:val="none" w:sz="0" w:space="0" w:color="auto"/>
            <w:left w:val="none" w:sz="0" w:space="0" w:color="auto"/>
            <w:bottom w:val="none" w:sz="0" w:space="0" w:color="auto"/>
            <w:right w:val="none" w:sz="0" w:space="0" w:color="auto"/>
          </w:divBdr>
        </w:div>
        <w:div w:id="1913346727">
          <w:marLeft w:val="0"/>
          <w:marRight w:val="0"/>
          <w:marTop w:val="0"/>
          <w:marBottom w:val="0"/>
          <w:divBdr>
            <w:top w:val="none" w:sz="0" w:space="0" w:color="auto"/>
            <w:left w:val="none" w:sz="0" w:space="0" w:color="auto"/>
            <w:bottom w:val="none" w:sz="0" w:space="0" w:color="auto"/>
            <w:right w:val="none" w:sz="0" w:space="0" w:color="auto"/>
          </w:divBdr>
        </w:div>
        <w:div w:id="1703288417">
          <w:marLeft w:val="0"/>
          <w:marRight w:val="0"/>
          <w:marTop w:val="0"/>
          <w:marBottom w:val="0"/>
          <w:divBdr>
            <w:top w:val="none" w:sz="0" w:space="0" w:color="auto"/>
            <w:left w:val="none" w:sz="0" w:space="0" w:color="auto"/>
            <w:bottom w:val="none" w:sz="0" w:space="0" w:color="auto"/>
            <w:right w:val="none" w:sz="0" w:space="0" w:color="auto"/>
          </w:divBdr>
        </w:div>
      </w:divsChild>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15383763">
      <w:bodyDiv w:val="1"/>
      <w:marLeft w:val="0"/>
      <w:marRight w:val="0"/>
      <w:marTop w:val="0"/>
      <w:marBottom w:val="0"/>
      <w:divBdr>
        <w:top w:val="none" w:sz="0" w:space="0" w:color="auto"/>
        <w:left w:val="none" w:sz="0" w:space="0" w:color="auto"/>
        <w:bottom w:val="none" w:sz="0" w:space="0" w:color="auto"/>
        <w:right w:val="none" w:sz="0" w:space="0" w:color="auto"/>
      </w:divBdr>
    </w:div>
    <w:div w:id="39721487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952639311">
      <w:bodyDiv w:val="1"/>
      <w:marLeft w:val="0"/>
      <w:marRight w:val="0"/>
      <w:marTop w:val="0"/>
      <w:marBottom w:val="0"/>
      <w:divBdr>
        <w:top w:val="none" w:sz="0" w:space="0" w:color="auto"/>
        <w:left w:val="none" w:sz="0" w:space="0" w:color="auto"/>
        <w:bottom w:val="none" w:sz="0" w:space="0" w:color="auto"/>
        <w:right w:val="none" w:sz="0" w:space="0" w:color="auto"/>
      </w:divBdr>
    </w:div>
    <w:div w:id="1056390180">
      <w:bodyDiv w:val="1"/>
      <w:marLeft w:val="0"/>
      <w:marRight w:val="0"/>
      <w:marTop w:val="0"/>
      <w:marBottom w:val="0"/>
      <w:divBdr>
        <w:top w:val="none" w:sz="0" w:space="0" w:color="auto"/>
        <w:left w:val="none" w:sz="0" w:space="0" w:color="auto"/>
        <w:bottom w:val="none" w:sz="0" w:space="0" w:color="auto"/>
        <w:right w:val="none" w:sz="0" w:space="0" w:color="auto"/>
      </w:divBdr>
      <w:divsChild>
        <w:div w:id="2007661744">
          <w:marLeft w:val="0"/>
          <w:marRight w:val="0"/>
          <w:marTop w:val="0"/>
          <w:marBottom w:val="0"/>
          <w:divBdr>
            <w:top w:val="none" w:sz="0" w:space="0" w:color="auto"/>
            <w:left w:val="none" w:sz="0" w:space="0" w:color="auto"/>
            <w:bottom w:val="none" w:sz="0" w:space="0" w:color="auto"/>
            <w:right w:val="none" w:sz="0" w:space="0" w:color="auto"/>
          </w:divBdr>
        </w:div>
        <w:div w:id="630980832">
          <w:marLeft w:val="0"/>
          <w:marRight w:val="0"/>
          <w:marTop w:val="0"/>
          <w:marBottom w:val="0"/>
          <w:divBdr>
            <w:top w:val="none" w:sz="0" w:space="0" w:color="auto"/>
            <w:left w:val="none" w:sz="0" w:space="0" w:color="auto"/>
            <w:bottom w:val="none" w:sz="0" w:space="0" w:color="auto"/>
            <w:right w:val="none" w:sz="0" w:space="0" w:color="auto"/>
          </w:divBdr>
        </w:div>
        <w:div w:id="345864755">
          <w:marLeft w:val="0"/>
          <w:marRight w:val="0"/>
          <w:marTop w:val="0"/>
          <w:marBottom w:val="0"/>
          <w:divBdr>
            <w:top w:val="none" w:sz="0" w:space="0" w:color="auto"/>
            <w:left w:val="none" w:sz="0" w:space="0" w:color="auto"/>
            <w:bottom w:val="none" w:sz="0" w:space="0" w:color="auto"/>
            <w:right w:val="none" w:sz="0" w:space="0" w:color="auto"/>
          </w:divBdr>
        </w:div>
        <w:div w:id="456030216">
          <w:marLeft w:val="0"/>
          <w:marRight w:val="0"/>
          <w:marTop w:val="0"/>
          <w:marBottom w:val="0"/>
          <w:divBdr>
            <w:top w:val="none" w:sz="0" w:space="0" w:color="auto"/>
            <w:left w:val="none" w:sz="0" w:space="0" w:color="auto"/>
            <w:bottom w:val="none" w:sz="0" w:space="0" w:color="auto"/>
            <w:right w:val="none" w:sz="0" w:space="0" w:color="auto"/>
          </w:divBdr>
        </w:div>
        <w:div w:id="1837455201">
          <w:marLeft w:val="0"/>
          <w:marRight w:val="0"/>
          <w:marTop w:val="0"/>
          <w:marBottom w:val="0"/>
          <w:divBdr>
            <w:top w:val="none" w:sz="0" w:space="0" w:color="auto"/>
            <w:left w:val="none" w:sz="0" w:space="0" w:color="auto"/>
            <w:bottom w:val="none" w:sz="0" w:space="0" w:color="auto"/>
            <w:right w:val="none" w:sz="0" w:space="0" w:color="auto"/>
          </w:divBdr>
        </w:div>
        <w:div w:id="1432357515">
          <w:marLeft w:val="0"/>
          <w:marRight w:val="0"/>
          <w:marTop w:val="0"/>
          <w:marBottom w:val="0"/>
          <w:divBdr>
            <w:top w:val="none" w:sz="0" w:space="0" w:color="auto"/>
            <w:left w:val="none" w:sz="0" w:space="0" w:color="auto"/>
            <w:bottom w:val="none" w:sz="0" w:space="0" w:color="auto"/>
            <w:right w:val="none" w:sz="0" w:space="0" w:color="auto"/>
          </w:divBdr>
        </w:div>
        <w:div w:id="2038310362">
          <w:marLeft w:val="0"/>
          <w:marRight w:val="0"/>
          <w:marTop w:val="0"/>
          <w:marBottom w:val="0"/>
          <w:divBdr>
            <w:top w:val="none" w:sz="0" w:space="0" w:color="auto"/>
            <w:left w:val="none" w:sz="0" w:space="0" w:color="auto"/>
            <w:bottom w:val="none" w:sz="0" w:space="0" w:color="auto"/>
            <w:right w:val="none" w:sz="0" w:space="0" w:color="auto"/>
          </w:divBdr>
        </w:div>
      </w:divsChild>
    </w:div>
    <w:div w:id="127555186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06143360">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58641926">
      <w:bodyDiv w:val="1"/>
      <w:marLeft w:val="0"/>
      <w:marRight w:val="0"/>
      <w:marTop w:val="0"/>
      <w:marBottom w:val="0"/>
      <w:divBdr>
        <w:top w:val="none" w:sz="0" w:space="0" w:color="auto"/>
        <w:left w:val="none" w:sz="0" w:space="0" w:color="auto"/>
        <w:bottom w:val="none" w:sz="0" w:space="0" w:color="auto"/>
        <w:right w:val="none" w:sz="0" w:space="0" w:color="auto"/>
      </w:divBdr>
    </w:div>
    <w:div w:id="1653556248">
      <w:bodyDiv w:val="1"/>
      <w:marLeft w:val="0"/>
      <w:marRight w:val="0"/>
      <w:marTop w:val="0"/>
      <w:marBottom w:val="0"/>
      <w:divBdr>
        <w:top w:val="none" w:sz="0" w:space="0" w:color="auto"/>
        <w:left w:val="none" w:sz="0" w:space="0" w:color="auto"/>
        <w:bottom w:val="none" w:sz="0" w:space="0" w:color="auto"/>
        <w:right w:val="none" w:sz="0" w:space="0" w:color="auto"/>
      </w:divBdr>
    </w:div>
    <w:div w:id="2096198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95D381-0FD6-4ABD-8416-15E78D7AC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Pages>
  <Words>3046</Words>
  <Characters>16757</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4</cp:revision>
  <cp:lastPrinted>2023-04-11T15:56:00Z</cp:lastPrinted>
  <dcterms:created xsi:type="dcterms:W3CDTF">2022-11-23T18:02:00Z</dcterms:created>
  <dcterms:modified xsi:type="dcterms:W3CDTF">2023-04-11T15:58:00Z</dcterms:modified>
</cp:coreProperties>
</file>