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7C7A1C">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7C7A1C">
      <w:pPr>
        <w:tabs>
          <w:tab w:val="left" w:pos="6480"/>
        </w:tabs>
        <w:spacing w:after="160" w:line="360" w:lineRule="auto"/>
        <w:jc w:val="right"/>
        <w:rPr>
          <w:rFonts w:ascii="Calibri" w:eastAsia="Calibri" w:hAnsi="Calibri" w:cs="Times New Roman"/>
          <w:sz w:val="24"/>
          <w:szCs w:val="24"/>
          <w:lang w:eastAsia="en-US"/>
        </w:rPr>
      </w:pPr>
    </w:p>
    <w:p w14:paraId="3901E82E" w14:textId="152CB985" w:rsidR="007C7A1C" w:rsidRPr="00512412" w:rsidRDefault="007C7A1C" w:rsidP="007C7A1C">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7751BD">
        <w:rPr>
          <w:rFonts w:ascii="Arial" w:eastAsia="Calibri" w:hAnsi="Arial" w:cs="Arial"/>
          <w:b/>
          <w:bCs/>
          <w:sz w:val="24"/>
          <w:szCs w:val="24"/>
          <w:lang w:eastAsia="en-US"/>
        </w:rPr>
        <w:t>26</w:t>
      </w:r>
      <w:r w:rsidRPr="00512412">
        <w:rPr>
          <w:rFonts w:ascii="Arial" w:eastAsia="Calibri" w:hAnsi="Arial" w:cs="Arial"/>
          <w:b/>
          <w:bCs/>
          <w:sz w:val="24"/>
          <w:szCs w:val="24"/>
          <w:lang w:eastAsia="en-US"/>
        </w:rPr>
        <w:t xml:space="preserve"> de octubre 2022.</w:t>
      </w:r>
    </w:p>
    <w:p w14:paraId="19350AAC" w14:textId="77777777" w:rsidR="007C7A1C" w:rsidRPr="00512412" w:rsidRDefault="007C7A1C" w:rsidP="007C7A1C">
      <w:pPr>
        <w:tabs>
          <w:tab w:val="left" w:pos="6480"/>
        </w:tabs>
        <w:spacing w:after="160" w:line="360" w:lineRule="auto"/>
        <w:rPr>
          <w:rFonts w:ascii="Calibri" w:eastAsia="Calibri" w:hAnsi="Calibri" w:cs="Times New Roman"/>
          <w:sz w:val="24"/>
          <w:szCs w:val="24"/>
          <w:lang w:eastAsia="en-US"/>
        </w:rPr>
      </w:pPr>
    </w:p>
    <w:p w14:paraId="22E739C9" w14:textId="77777777" w:rsidR="007C7A1C" w:rsidRPr="00512412" w:rsidRDefault="007C7A1C" w:rsidP="007C7A1C">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0FB455D1" w:rsidR="007C7A1C" w:rsidRDefault="007C7A1C" w:rsidP="007C7A1C">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Pr>
          <w:rFonts w:ascii="Arial" w:hAnsi="Arial" w:cs="Arial"/>
          <w:b/>
          <w:sz w:val="24"/>
          <w:szCs w:val="24"/>
        </w:rPr>
        <w:t>00</w:t>
      </w:r>
      <w:r w:rsidR="007751BD">
        <w:rPr>
          <w:rFonts w:ascii="Arial" w:hAnsi="Arial" w:cs="Arial"/>
          <w:b/>
          <w:sz w:val="24"/>
          <w:szCs w:val="24"/>
        </w:rPr>
        <w:t>83</w:t>
      </w:r>
      <w:r w:rsidRPr="00512412">
        <w:rPr>
          <w:rFonts w:ascii="Arial" w:hAnsi="Arial" w:cs="Arial"/>
          <w:b/>
          <w:sz w:val="24"/>
          <w:szCs w:val="24"/>
        </w:rPr>
        <w:t>/20</w:t>
      </w:r>
      <w:r w:rsidR="007751BD">
        <w:rPr>
          <w:rFonts w:ascii="Arial" w:hAnsi="Arial" w:cs="Arial"/>
          <w:b/>
          <w:sz w:val="24"/>
          <w:szCs w:val="24"/>
        </w:rPr>
        <w:t>21</w:t>
      </w:r>
      <w:r w:rsidRPr="00512412">
        <w:rPr>
          <w:rFonts w:ascii="Arial" w:hAnsi="Arial" w:cs="Arial"/>
          <w:sz w:val="24"/>
          <w:szCs w:val="24"/>
        </w:rPr>
        <w:t>, promovido por</w:t>
      </w:r>
      <w:r w:rsidRPr="00512412">
        <w:rPr>
          <w:rFonts w:ascii="Arial" w:hAnsi="Arial" w:cs="Arial"/>
          <w:b/>
          <w:sz w:val="24"/>
          <w:szCs w:val="24"/>
        </w:rPr>
        <w:t xml:space="preserve"> </w:t>
      </w:r>
      <w:r w:rsidR="00FF4FF1">
        <w:rPr>
          <w:rFonts w:ascii="Arial" w:hAnsi="Arial" w:cs="Arial"/>
          <w:b/>
          <w:sz w:val="24"/>
          <w:szCs w:val="24"/>
        </w:rPr>
        <w:t>**********</w:t>
      </w:r>
      <w:r w:rsidR="007751BD">
        <w:rPr>
          <w:rFonts w:ascii="Arial" w:hAnsi="Arial" w:cs="Arial"/>
          <w:b/>
          <w:sz w:val="24"/>
          <w:szCs w:val="24"/>
        </w:rPr>
        <w:t xml:space="preserve"> </w:t>
      </w:r>
      <w:r w:rsidR="007751BD">
        <w:rPr>
          <w:rFonts w:ascii="Arial" w:hAnsi="Arial" w:cs="Arial"/>
          <w:bCs/>
          <w:sz w:val="24"/>
          <w:szCs w:val="24"/>
        </w:rPr>
        <w:t xml:space="preserve">en su carácter de Apoderado Legal de </w:t>
      </w:r>
      <w:r w:rsidR="00FF4FF1">
        <w:rPr>
          <w:rFonts w:ascii="Arial" w:hAnsi="Arial" w:cs="Arial"/>
          <w:b/>
          <w:sz w:val="24"/>
          <w:szCs w:val="24"/>
        </w:rPr>
        <w:t>**********</w:t>
      </w:r>
      <w:r w:rsidRPr="00512412">
        <w:rPr>
          <w:rFonts w:ascii="Arial" w:hAnsi="Arial" w:cs="Arial"/>
          <w:sz w:val="24"/>
          <w:szCs w:val="24"/>
        </w:rPr>
        <w:t>, en contra de</w:t>
      </w:r>
      <w:r w:rsidR="007751BD">
        <w:rPr>
          <w:rFonts w:ascii="Arial" w:hAnsi="Arial" w:cs="Arial"/>
          <w:sz w:val="24"/>
          <w:szCs w:val="24"/>
        </w:rPr>
        <w:t xml:space="preserve"> </w:t>
      </w:r>
      <w:r w:rsidRPr="00512412">
        <w:rPr>
          <w:rFonts w:ascii="Arial" w:hAnsi="Arial" w:cs="Arial"/>
          <w:sz w:val="24"/>
          <w:szCs w:val="24"/>
        </w:rPr>
        <w:t>l</w:t>
      </w:r>
      <w:r w:rsidR="007751BD">
        <w:rPr>
          <w:rFonts w:ascii="Arial" w:hAnsi="Arial" w:cs="Arial"/>
          <w:sz w:val="24"/>
          <w:szCs w:val="24"/>
        </w:rPr>
        <w:t>a</w:t>
      </w:r>
      <w:r w:rsidRPr="00512412">
        <w:rPr>
          <w:rFonts w:ascii="Arial" w:hAnsi="Arial" w:cs="Arial"/>
          <w:sz w:val="24"/>
          <w:szCs w:val="24"/>
        </w:rPr>
        <w:t xml:space="preserve"> </w:t>
      </w:r>
      <w:r w:rsidR="007751BD">
        <w:rPr>
          <w:rFonts w:ascii="Arial" w:hAnsi="Arial" w:cs="Arial"/>
          <w:b/>
          <w:bCs/>
          <w:sz w:val="24"/>
          <w:szCs w:val="24"/>
        </w:rPr>
        <w:t xml:space="preserve">COORDINADORA TÉCNICA DE INGRESOS DE LA SECRETARÍA DE FINANZAS DEL PODER EJECUTIVO DEL ESTADO. </w:t>
      </w:r>
      <w:r w:rsidRPr="00512412">
        <w:rPr>
          <w:rFonts w:ascii="Arial" w:hAnsi="Arial" w:cs="Arial"/>
          <w:b/>
          <w:sz w:val="24"/>
          <w:szCs w:val="24"/>
        </w:rPr>
        <w:t xml:space="preserve"> </w:t>
      </w:r>
    </w:p>
    <w:p w14:paraId="475056CC" w14:textId="77777777" w:rsidR="003A730F" w:rsidRDefault="003A730F" w:rsidP="007C7A1C">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3A730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0B0832DC" w:rsidR="003A730F" w:rsidRPr="00512412"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7751BD">
        <w:rPr>
          <w:rFonts w:ascii="Arial" w:eastAsia="Calibri" w:hAnsi="Arial" w:cs="Arial"/>
          <w:sz w:val="24"/>
          <w:szCs w:val="24"/>
          <w:lang w:eastAsia="en-US"/>
        </w:rPr>
        <w:t>veintisiete de octubre de dos mil veintiuno</w:t>
      </w:r>
      <w:r w:rsidR="00513C70">
        <w:rPr>
          <w:rFonts w:ascii="Arial" w:eastAsia="Calibri" w:hAnsi="Arial" w:cs="Arial"/>
          <w:sz w:val="24"/>
          <w:szCs w:val="24"/>
          <w:lang w:eastAsia="en-US"/>
        </w:rPr>
        <w:t xml:space="preserve">, </w:t>
      </w:r>
      <w:r w:rsidR="00FF4FF1">
        <w:rPr>
          <w:rFonts w:ascii="Arial" w:hAnsi="Arial" w:cs="Arial"/>
          <w:bCs/>
          <w:sz w:val="24"/>
          <w:szCs w:val="24"/>
        </w:rPr>
        <w:t>**********</w:t>
      </w:r>
      <w:r w:rsidR="007751BD">
        <w:rPr>
          <w:rFonts w:ascii="Arial" w:hAnsi="Arial" w:cs="Arial"/>
          <w:b/>
          <w:sz w:val="24"/>
          <w:szCs w:val="24"/>
        </w:rPr>
        <w:t xml:space="preserve"> </w:t>
      </w:r>
      <w:r w:rsidR="007751BD">
        <w:rPr>
          <w:rFonts w:ascii="Arial" w:hAnsi="Arial" w:cs="Arial"/>
          <w:bCs/>
          <w:sz w:val="24"/>
          <w:szCs w:val="24"/>
        </w:rPr>
        <w:t xml:space="preserve">en su carácter de Apoderado Legal de </w:t>
      </w:r>
      <w:r w:rsidR="00FF4FF1">
        <w:rPr>
          <w:rFonts w:ascii="Arial" w:hAnsi="Arial" w:cs="Arial"/>
          <w:bCs/>
          <w:sz w:val="24"/>
          <w:szCs w:val="24"/>
        </w:rPr>
        <w:t>**********</w:t>
      </w:r>
      <w:r>
        <w:rPr>
          <w:rFonts w:ascii="Arial" w:eastAsia="Calibri" w:hAnsi="Arial" w:cs="Arial"/>
          <w:sz w:val="24"/>
          <w:szCs w:val="24"/>
          <w:lang w:eastAsia="en-US"/>
        </w:rPr>
        <w:t xml:space="preserve"> demandó </w:t>
      </w:r>
      <w:r w:rsidRPr="006E6EB1">
        <w:rPr>
          <w:rFonts w:ascii="Arial" w:eastAsia="Calibri" w:hAnsi="Arial" w:cs="Arial"/>
          <w:sz w:val="24"/>
          <w:szCs w:val="24"/>
          <w:lang w:eastAsia="en-US"/>
        </w:rPr>
        <w:t>la nulidad d</w:t>
      </w:r>
      <w:r w:rsidR="007751BD">
        <w:rPr>
          <w:rFonts w:ascii="Arial" w:eastAsia="Calibri" w:hAnsi="Arial" w:cs="Arial"/>
          <w:sz w:val="24"/>
          <w:szCs w:val="24"/>
          <w:lang w:eastAsia="en-US"/>
        </w:rPr>
        <w:t>el Requerimiento de Obligaciones omitidas en materia de Impuesto Sobre Erogaciones por Remuneraciones al Trabajo Personal de fecha quince de abril de dos mil veintiuno</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4C8EED1E"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FB303C">
        <w:rPr>
          <w:rFonts w:ascii="Arial" w:eastAsia="Calibri" w:hAnsi="Arial" w:cs="Arial"/>
          <w:sz w:val="24"/>
          <w:szCs w:val="24"/>
          <w:lang w:eastAsia="en-US"/>
        </w:rPr>
        <w:t>veintiocho de octubre de dos mil veintiuno</w:t>
      </w:r>
      <w:r w:rsidRPr="00512412">
        <w:rPr>
          <w:rFonts w:ascii="Arial" w:eastAsia="Calibri" w:hAnsi="Arial" w:cs="Arial"/>
          <w:sz w:val="24"/>
          <w:szCs w:val="24"/>
          <w:lang w:eastAsia="en-US"/>
        </w:rPr>
        <w:t>, se admitió a trámite  la demanda en comentó, ordenándose  correr traslado a la autorida</w:t>
      </w:r>
      <w:r w:rsidR="00513C70">
        <w:rPr>
          <w:rFonts w:ascii="Arial" w:eastAsia="Calibri" w:hAnsi="Arial" w:cs="Arial"/>
          <w:sz w:val="24"/>
          <w:szCs w:val="24"/>
          <w:lang w:eastAsia="en-US"/>
        </w:rPr>
        <w:t>d</w:t>
      </w:r>
      <w:r w:rsidRPr="00512412">
        <w:rPr>
          <w:rFonts w:ascii="Arial" w:eastAsia="Calibri" w:hAnsi="Arial" w:cs="Arial"/>
          <w:sz w:val="24"/>
          <w:szCs w:val="24"/>
          <w:lang w:eastAsia="en-US"/>
        </w:rPr>
        <w:t xml:space="preserve"> enjuiciada para que diera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 en otro aspecto y de las pruebas ofrecidas se  tuvieron por admitidas las señaladas en el acuerdo mencionado.</w:t>
      </w:r>
    </w:p>
    <w:p w14:paraId="6B6BCA49" w14:textId="2E579DB3"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FB303C">
        <w:rPr>
          <w:rFonts w:ascii="Arial" w:eastAsia="Calibri" w:hAnsi="Arial" w:cs="Arial"/>
          <w:sz w:val="24"/>
          <w:szCs w:val="24"/>
          <w:lang w:eastAsia="en-US"/>
        </w:rPr>
        <w:t>quince de diciembre</w:t>
      </w:r>
      <w:r w:rsidR="00513C70">
        <w:rPr>
          <w:rFonts w:ascii="Arial" w:eastAsia="Calibri" w:hAnsi="Arial" w:cs="Arial"/>
          <w:sz w:val="24"/>
          <w:szCs w:val="24"/>
          <w:lang w:eastAsia="en-US"/>
        </w:rPr>
        <w:t xml:space="preserve"> dos mil veintiuno</w:t>
      </w:r>
      <w:r w:rsidRPr="00512412">
        <w:rPr>
          <w:rFonts w:ascii="Arial" w:eastAsia="Calibri" w:hAnsi="Arial" w:cs="Arial"/>
          <w:sz w:val="24"/>
          <w:szCs w:val="24"/>
          <w:lang w:eastAsia="en-US"/>
        </w:rPr>
        <w:t xml:space="preserve"> se tuvo </w:t>
      </w:r>
      <w:r w:rsidRPr="00171708">
        <w:rPr>
          <w:rFonts w:ascii="Arial" w:eastAsia="Calibri" w:hAnsi="Arial" w:cs="Arial"/>
          <w:sz w:val="24"/>
          <w:szCs w:val="24"/>
          <w:lang w:eastAsia="en-US"/>
        </w:rPr>
        <w:t>a</w:t>
      </w:r>
      <w:r w:rsidR="00513C70">
        <w:rPr>
          <w:rFonts w:ascii="Arial" w:eastAsia="Calibri" w:hAnsi="Arial" w:cs="Arial"/>
          <w:sz w:val="24"/>
          <w:szCs w:val="24"/>
          <w:lang w:eastAsia="en-US"/>
        </w:rPr>
        <w:t xml:space="preserve">l </w:t>
      </w:r>
      <w:r w:rsidR="00FB303C">
        <w:rPr>
          <w:rFonts w:ascii="Arial" w:eastAsia="Calibri" w:hAnsi="Arial" w:cs="Arial"/>
          <w:sz w:val="24"/>
          <w:szCs w:val="24"/>
          <w:lang w:eastAsia="en-US"/>
        </w:rPr>
        <w:t>Director de lo Contencioso de la Procuraduría Fiscal dependiente de la Subsecretaría de Ingresos de la Secretaría de Finanzas del Poder Ejecutivo del Estado</w:t>
      </w:r>
      <w:r w:rsidRPr="00171708">
        <w:rPr>
          <w:rFonts w:ascii="Arial" w:eastAsia="Calibri" w:hAnsi="Arial" w:cs="Arial"/>
          <w:sz w:val="24"/>
          <w:szCs w:val="24"/>
          <w:lang w:eastAsia="en-US"/>
        </w:rPr>
        <w:t>, contestando la demanda de nulidad y se tuvieron por admitidas las pruebas ofrecidas por la autoridad demandada.</w:t>
      </w:r>
      <w:r w:rsidR="00FB303C">
        <w:rPr>
          <w:rFonts w:ascii="Arial" w:eastAsia="Calibri" w:hAnsi="Arial" w:cs="Arial"/>
          <w:sz w:val="24"/>
          <w:szCs w:val="24"/>
          <w:lang w:eastAsia="en-US"/>
        </w:rPr>
        <w:t xml:space="preserve"> Así mismo se designaron las trece horas del día siete de abril de dos mil veintidós para que tuviera verificativo la Audiencia Final</w:t>
      </w:r>
      <w:r w:rsidR="003C1EC7">
        <w:rPr>
          <w:rFonts w:ascii="Arial" w:eastAsia="Calibri" w:hAnsi="Arial" w:cs="Arial"/>
          <w:sz w:val="24"/>
          <w:szCs w:val="24"/>
          <w:lang w:eastAsia="en-US"/>
        </w:rPr>
        <w:t>.</w:t>
      </w:r>
    </w:p>
    <w:p w14:paraId="219A7C67" w14:textId="21D27DEC"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lastRenderedPageBreak/>
        <w:t>4°.</w:t>
      </w:r>
      <w:r w:rsidRPr="00512412">
        <w:rPr>
          <w:rFonts w:ascii="Arial" w:eastAsia="Calibri" w:hAnsi="Arial" w:cs="Arial"/>
          <w:sz w:val="24"/>
          <w:szCs w:val="24"/>
          <w:lang w:eastAsia="en-US"/>
        </w:rPr>
        <w:t xml:space="preserve"> </w:t>
      </w:r>
      <w:r w:rsidR="003C1EC7">
        <w:rPr>
          <w:rFonts w:ascii="Arial" w:eastAsia="Calibri" w:hAnsi="Arial" w:cs="Arial"/>
          <w:sz w:val="24"/>
          <w:szCs w:val="24"/>
          <w:lang w:eastAsia="en-US"/>
        </w:rPr>
        <w:t>El día señalado se celebró</w:t>
      </w:r>
      <w:r>
        <w:rPr>
          <w:rFonts w:ascii="Arial" w:eastAsia="Calibri" w:hAnsi="Arial" w:cs="Arial"/>
          <w:sz w:val="24"/>
          <w:szCs w:val="24"/>
          <w:lang w:eastAsia="en-US"/>
        </w:rPr>
        <w:t xml:space="preserve"> la Audiencia Final, </w:t>
      </w:r>
      <w:r w:rsidR="0085386F">
        <w:rPr>
          <w:rFonts w:ascii="Arial" w:eastAsia="Calibri" w:hAnsi="Arial" w:cs="Arial"/>
          <w:sz w:val="24"/>
          <w:szCs w:val="24"/>
          <w:lang w:eastAsia="en-US"/>
        </w:rPr>
        <w:t xml:space="preserve">donde </w:t>
      </w:r>
      <w:r>
        <w:rPr>
          <w:rFonts w:ascii="Arial" w:eastAsia="Calibri" w:hAnsi="Arial" w:cs="Arial"/>
          <w:sz w:val="24"/>
          <w:szCs w:val="24"/>
          <w:lang w:eastAsia="en-US"/>
        </w:rPr>
        <w:t>se hizo constar</w:t>
      </w:r>
      <w:r w:rsidR="0085386F">
        <w:rPr>
          <w:rFonts w:ascii="Arial" w:eastAsia="Calibri" w:hAnsi="Arial" w:cs="Arial"/>
          <w:sz w:val="24"/>
          <w:szCs w:val="24"/>
          <w:lang w:eastAsia="en-US"/>
        </w:rPr>
        <w:t xml:space="preserve"> que no se encontraron presentes las partes ni persona alguna que legalmente las representara</w:t>
      </w:r>
      <w:r w:rsidRPr="00512412">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85386F">
        <w:rPr>
          <w:rFonts w:ascii="Arial" w:eastAsia="Calibri" w:hAnsi="Arial" w:cs="Arial"/>
          <w:sz w:val="24"/>
          <w:szCs w:val="24"/>
          <w:lang w:eastAsia="en-US"/>
        </w:rPr>
        <w:t>que las partes no presentaron escritos de alegatos</w:t>
      </w:r>
      <w:r>
        <w:rPr>
          <w:rFonts w:ascii="Arial" w:eastAsia="Calibri" w:hAnsi="Arial" w:cs="Arial"/>
          <w:sz w:val="24"/>
          <w:szCs w:val="24"/>
          <w:lang w:eastAsia="en-US"/>
        </w:rPr>
        <w:t xml:space="preserve"> por lo que se les tuvo por perdido su derecho </w:t>
      </w:r>
      <w:r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3D48B7CA" w14:textId="77777777" w:rsidR="0085386F" w:rsidRPr="00512412" w:rsidRDefault="0085386F" w:rsidP="0085386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29BF9846" w14:textId="77777777" w:rsidR="0085386F" w:rsidRPr="00512412" w:rsidRDefault="0085386F" w:rsidP="0085386F">
      <w:pPr>
        <w:spacing w:after="160" w:line="360" w:lineRule="auto"/>
        <w:jc w:val="center"/>
        <w:rPr>
          <w:rFonts w:ascii="Arial" w:eastAsia="Calibri" w:hAnsi="Arial" w:cs="Arial"/>
          <w:sz w:val="24"/>
          <w:szCs w:val="24"/>
          <w:lang w:eastAsia="en-US"/>
        </w:rPr>
      </w:pPr>
    </w:p>
    <w:p w14:paraId="364191BE" w14:textId="77777777" w:rsidR="0085386F" w:rsidRPr="00512412" w:rsidRDefault="0085386F" w:rsidP="0085386F">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0C80F779" w14:textId="77777777" w:rsidR="0085386F" w:rsidRPr="00512412" w:rsidRDefault="0085386F" w:rsidP="0085386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p>
    <w:p w14:paraId="1D9EEE29" w14:textId="431D3FF0" w:rsidR="00D83CC1" w:rsidRDefault="00D83CC1" w:rsidP="00D83CC1">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3C1EC7">
        <w:rPr>
          <w:rFonts w:ascii="Arial" w:hAnsi="Arial" w:cs="Arial"/>
          <w:sz w:val="24"/>
          <w:szCs w:val="24"/>
        </w:rPr>
        <w:t xml:space="preserve"> el Requerimiento de Obligaciones Omitidas en Materia del Impuesto Sobre Erogaciones por Remuneraciones al Trabajo Personal con número de control </w:t>
      </w:r>
      <w:r w:rsidR="00FF4FF1">
        <w:rPr>
          <w:rFonts w:ascii="Arial" w:hAnsi="Arial" w:cs="Arial"/>
          <w:sz w:val="24"/>
          <w:szCs w:val="24"/>
        </w:rPr>
        <w:t>**********</w:t>
      </w:r>
      <w:r w:rsidR="003C1EC7">
        <w:rPr>
          <w:rFonts w:ascii="Arial" w:hAnsi="Arial" w:cs="Arial"/>
          <w:sz w:val="24"/>
          <w:szCs w:val="24"/>
        </w:rPr>
        <w:t xml:space="preserve"> de fecha quince de abril de dos mil veintiuno</w:t>
      </w:r>
      <w:r w:rsidRPr="00163663">
        <w:rPr>
          <w:rFonts w:ascii="Arial" w:hAnsi="Arial" w:cs="Arial"/>
          <w:sz w:val="24"/>
          <w:szCs w:val="24"/>
        </w:rPr>
        <w:t xml:space="preserve">, que obra </w:t>
      </w:r>
      <w:r>
        <w:rPr>
          <w:rFonts w:ascii="Arial" w:hAnsi="Arial" w:cs="Arial"/>
          <w:sz w:val="24"/>
          <w:szCs w:val="24"/>
        </w:rPr>
        <w:t xml:space="preserve">de </w:t>
      </w:r>
      <w:r w:rsidR="00BA14C6">
        <w:rPr>
          <w:rFonts w:ascii="Arial" w:hAnsi="Arial" w:cs="Arial"/>
          <w:sz w:val="24"/>
          <w:szCs w:val="24"/>
        </w:rPr>
        <w:t xml:space="preserve">foja </w:t>
      </w:r>
      <w:r w:rsidR="003C1EC7">
        <w:rPr>
          <w:rFonts w:ascii="Arial" w:hAnsi="Arial" w:cs="Arial"/>
          <w:sz w:val="24"/>
          <w:szCs w:val="24"/>
        </w:rPr>
        <w:t>cuarenta</w:t>
      </w:r>
      <w:r w:rsidRPr="00163663">
        <w:rPr>
          <w:rFonts w:ascii="Arial" w:hAnsi="Arial" w:cs="Arial"/>
          <w:sz w:val="24"/>
          <w:szCs w:val="24"/>
        </w:rPr>
        <w:t xml:space="preserve"> del expediente en que</w:t>
      </w:r>
      <w:r w:rsidRPr="006D319D">
        <w:rPr>
          <w:rFonts w:ascii="Arial" w:hAnsi="Arial" w:cs="Arial"/>
          <w:sz w:val="24"/>
          <w:szCs w:val="24"/>
        </w:rPr>
        <w:t xml:space="preserve"> se actúa, aportada por la parte actora, a la cual se le concede valor probatorio pleno de conformidad con el artículo 203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 xml:space="preserve">Justicia Administrativa para el Estado </w:t>
      </w:r>
      <w:r w:rsidRPr="006D319D">
        <w:rPr>
          <w:rFonts w:ascii="Arial" w:hAnsi="Arial" w:cs="Arial"/>
          <w:sz w:val="24"/>
          <w:szCs w:val="24"/>
        </w:rPr>
        <w:lastRenderedPageBreak/>
        <w:t xml:space="preserve">de Oaxaca, al ser expedida por una autoridad, en la que constan manifestaciones expresas de haberla emitido al contestar la demanda, en el expediente natural y relacionándola con la totalidad de sus </w:t>
      </w:r>
      <w:r>
        <w:rPr>
          <w:rFonts w:ascii="Arial" w:hAnsi="Arial" w:cs="Arial"/>
          <w:sz w:val="24"/>
          <w:szCs w:val="24"/>
        </w:rPr>
        <w:t>expresiones. De manera que dicha</w:t>
      </w:r>
      <w:r w:rsidRPr="006D319D">
        <w:rPr>
          <w:rFonts w:ascii="Arial" w:hAnsi="Arial" w:cs="Arial"/>
          <w:sz w:val="24"/>
          <w:szCs w:val="24"/>
        </w:rPr>
        <w:t xml:space="preserve"> documental pública es el medio de convicción, que se tiene por acreditada la existencia del acto impugnado. </w:t>
      </w:r>
    </w:p>
    <w:p w14:paraId="1797A12B" w14:textId="7F6D88FA" w:rsidR="003C1EC7" w:rsidRDefault="00D83CC1" w:rsidP="003A730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 xml:space="preserve">respecto al Requerimiento de Obligaciones Omitidas en Materia del Impuesto Sobre Erogaciones por Remuneraciones al Trabajo Personal con número de control </w:t>
      </w:r>
      <w:r w:rsidR="00FF4FF1">
        <w:rPr>
          <w:rFonts w:ascii="Arial" w:hAnsi="Arial" w:cs="Arial"/>
          <w:sz w:val="24"/>
          <w:szCs w:val="24"/>
        </w:rPr>
        <w:t>**********</w:t>
      </w:r>
      <w:r w:rsidR="003C1EC7">
        <w:rPr>
          <w:rFonts w:ascii="Arial" w:hAnsi="Arial" w:cs="Arial"/>
          <w:sz w:val="24"/>
          <w:szCs w:val="24"/>
        </w:rPr>
        <w:t xml:space="preserve"> de fecha quince de abril de dos mil veintiuno, de donde argumenta que no resulta legal </w:t>
      </w:r>
      <w:r w:rsidR="007C49D1">
        <w:rPr>
          <w:rFonts w:ascii="Arial" w:hAnsi="Arial" w:cs="Arial"/>
          <w:sz w:val="24"/>
          <w:szCs w:val="24"/>
        </w:rPr>
        <w:t>pues niega de forma lisa y llana haber estado obligado a realizar los pagos en materia del impuesto de referencia. Que omite la cita del artículo 113 del Código Fiscal, así como que fueron omisos en concederle el plazo de quince días para manifestar lo que a su derecho convenga, y en general que se encuentra indebidamente fundado y motivado.</w:t>
      </w:r>
    </w:p>
    <w:p w14:paraId="753B0B7A" w14:textId="044074FE" w:rsidR="007C49D1" w:rsidRDefault="007C49D1" w:rsidP="003A730F">
      <w:pPr>
        <w:spacing w:after="160" w:line="360" w:lineRule="auto"/>
        <w:ind w:firstLine="567"/>
        <w:jc w:val="both"/>
        <w:rPr>
          <w:rFonts w:ascii="Arial" w:hAnsi="Arial" w:cs="Arial"/>
          <w:sz w:val="24"/>
          <w:szCs w:val="24"/>
        </w:rPr>
      </w:pPr>
      <w:r>
        <w:rPr>
          <w:rFonts w:ascii="Arial" w:hAnsi="Arial" w:cs="Arial"/>
          <w:sz w:val="24"/>
          <w:szCs w:val="24"/>
        </w:rPr>
        <w:t>Por su parte la autoridad demandada manifiesta que el acto impugnado se encuentra revestido de legalidad al haber sido fundado y motivado debidamente máxime que fue emitido por un funcionario competente.</w:t>
      </w:r>
    </w:p>
    <w:p w14:paraId="1D668CDD" w14:textId="2A883C22" w:rsidR="00BA14C6" w:rsidRDefault="00BA14C6" w:rsidP="00BA14C6">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w:t>
      </w:r>
    </w:p>
    <w:p w14:paraId="2E7CE99F" w14:textId="5DBC6C2F" w:rsidR="003F5A16" w:rsidRDefault="003F5A16"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Pr="00AE3452">
        <w:rPr>
          <w:rFonts w:ascii="Arial" w:hAnsi="Arial" w:cs="Arial"/>
          <w:sz w:val="24"/>
          <w:szCs w:val="24"/>
        </w:rPr>
        <w:t xml:space="preserve">Son </w:t>
      </w:r>
      <w:r w:rsidRPr="00AE3452">
        <w:rPr>
          <w:rFonts w:ascii="Arial" w:hAnsi="Arial" w:cs="Arial"/>
          <w:b/>
          <w:bCs/>
          <w:sz w:val="24"/>
          <w:szCs w:val="24"/>
        </w:rPr>
        <w:t>fundados</w:t>
      </w:r>
      <w:r w:rsidRPr="00AE3452">
        <w:rPr>
          <w:rFonts w:ascii="Arial" w:hAnsi="Arial" w:cs="Arial"/>
          <w:sz w:val="24"/>
          <w:szCs w:val="24"/>
        </w:rPr>
        <w:t xml:space="preserve"> los conceptos de impugnación esgrimidos por la parte actora, </w:t>
      </w:r>
      <w:r>
        <w:rPr>
          <w:rFonts w:ascii="Arial" w:hAnsi="Arial" w:cs="Arial"/>
          <w:sz w:val="24"/>
          <w:szCs w:val="24"/>
        </w:rPr>
        <w:t xml:space="preserve">respecto a la ilegalidad del </w:t>
      </w:r>
      <w:r w:rsidR="007C49D1">
        <w:rPr>
          <w:rFonts w:ascii="Arial" w:hAnsi="Arial" w:cs="Arial"/>
          <w:sz w:val="24"/>
          <w:szCs w:val="24"/>
        </w:rPr>
        <w:t xml:space="preserve">Requerimiento de Obligaciones Omitidas en Materia del Impuesto Sobre Erogaciones por Remuneraciones al Trabajo Personal con número de control </w:t>
      </w:r>
      <w:r w:rsidR="00FF4FF1">
        <w:rPr>
          <w:rFonts w:ascii="Arial" w:hAnsi="Arial" w:cs="Arial"/>
          <w:sz w:val="24"/>
          <w:szCs w:val="24"/>
        </w:rPr>
        <w:t>**********</w:t>
      </w:r>
      <w:r w:rsidR="007C49D1">
        <w:rPr>
          <w:rFonts w:ascii="Arial" w:hAnsi="Arial" w:cs="Arial"/>
          <w:sz w:val="24"/>
          <w:szCs w:val="24"/>
        </w:rPr>
        <w:t xml:space="preserve"> de fecha quince de abril de dos mil veintiuno</w:t>
      </w:r>
      <w:r w:rsidR="00A36029">
        <w:rPr>
          <w:rFonts w:ascii="Arial" w:hAnsi="Arial" w:cs="Arial"/>
          <w:sz w:val="24"/>
          <w:szCs w:val="24"/>
        </w:rPr>
        <w:t>.</w:t>
      </w:r>
    </w:p>
    <w:p w14:paraId="465838C9" w14:textId="0ED1E63C" w:rsidR="003F5A16" w:rsidRDefault="00A36029"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En su concepto de impugnación PRIMERO el actor expuso lo siguiente: </w:t>
      </w:r>
      <w:r w:rsidR="00702A54">
        <w:rPr>
          <w:rFonts w:ascii="Arial" w:eastAsia="Calibri" w:hAnsi="Arial" w:cs="Arial"/>
          <w:sz w:val="24"/>
          <w:szCs w:val="24"/>
          <w:lang w:eastAsia="en-US"/>
        </w:rPr>
        <w:tab/>
      </w:r>
    </w:p>
    <w:p w14:paraId="257A48DE" w14:textId="5F4A218C" w:rsidR="00A36029" w:rsidRDefault="00A36029"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39F5DAD7" w14:textId="658C6DFC" w:rsidR="00A36029" w:rsidRPr="00A36029" w:rsidRDefault="00A36029" w:rsidP="00A36029">
      <w:pPr>
        <w:tabs>
          <w:tab w:val="left" w:pos="284"/>
          <w:tab w:val="left" w:pos="851"/>
          <w:tab w:val="right" w:pos="9072"/>
        </w:tabs>
        <w:spacing w:after="0" w:line="360" w:lineRule="auto"/>
        <w:ind w:left="1134" w:right="-234"/>
        <w:jc w:val="both"/>
        <w:rPr>
          <w:rFonts w:ascii="Arial Narrow" w:eastAsia="Calibri" w:hAnsi="Arial Narrow" w:cs="Arial"/>
          <w:sz w:val="24"/>
          <w:szCs w:val="24"/>
          <w:lang w:eastAsia="en-US"/>
        </w:rPr>
      </w:pPr>
      <w:r>
        <w:rPr>
          <w:rFonts w:ascii="Arial Narrow" w:eastAsia="Calibri" w:hAnsi="Arial Narrow" w:cs="Arial"/>
          <w:b/>
          <w:bCs/>
          <w:sz w:val="24"/>
          <w:szCs w:val="24"/>
          <w:u w:val="single"/>
          <w:lang w:eastAsia="en-US"/>
        </w:rPr>
        <w:t xml:space="preserve">NIEGO LISA Y LLANAMENTE </w:t>
      </w:r>
      <w:r>
        <w:rPr>
          <w:rFonts w:ascii="Arial Narrow" w:eastAsia="Calibri" w:hAnsi="Arial Narrow" w:cs="Arial"/>
          <w:sz w:val="24"/>
          <w:szCs w:val="24"/>
          <w:lang w:eastAsia="en-US"/>
        </w:rPr>
        <w:t>que en fecha 1 de enero de 2013 mi representada se haya inscrito en el Registro Estatal del Contribuyente, como lo afirma la autoridad recurrida, y que haya elaborado formulario múltiple con la obligación de impuesto sobre nómina cuya denominación actual es impuesto sobre erogaciones por remuneraciones al trabajo personal (…)</w:t>
      </w:r>
    </w:p>
    <w:p w14:paraId="3C27D9AB" w14:textId="5FD65747" w:rsidR="00CF04E4" w:rsidRDefault="00CF04E4"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3B255E86" w14:textId="45CDF57C" w:rsidR="00A36029" w:rsidRDefault="00A36029"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De su lectura se advierte que la parte actora negó de manera lisa y llana que su representada se encontrara obligada al entero del impuesto en atención </w:t>
      </w:r>
      <w:r>
        <w:rPr>
          <w:rFonts w:ascii="Arial" w:eastAsia="Calibri" w:hAnsi="Arial" w:cs="Arial"/>
          <w:sz w:val="24"/>
          <w:szCs w:val="24"/>
          <w:lang w:eastAsia="en-US"/>
        </w:rPr>
        <w:lastRenderedPageBreak/>
        <w:t xml:space="preserve">a que contrario a lo expuesto en el acto impugnado, no se inscribió en el Registro Estatal de Contribuyentes el día 01 de enero de 2013. </w:t>
      </w:r>
    </w:p>
    <w:p w14:paraId="094F7669" w14:textId="5BACD5DA" w:rsidR="00A36029" w:rsidRDefault="00BA6343"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De tal guisa que el artículo 183 de la Ley de Procedimiento y Justicia Administrativa</w:t>
      </w:r>
      <w:r w:rsidR="00BD4433">
        <w:rPr>
          <w:rFonts w:ascii="Arial" w:eastAsia="Calibri" w:hAnsi="Arial" w:cs="Arial"/>
          <w:sz w:val="24"/>
          <w:szCs w:val="24"/>
          <w:lang w:eastAsia="en-US"/>
        </w:rPr>
        <w:t xml:space="preserve"> para el Estado de Oaxaca</w:t>
      </w:r>
      <w:r>
        <w:rPr>
          <w:rFonts w:ascii="Arial" w:eastAsia="Calibri" w:hAnsi="Arial" w:cs="Arial"/>
          <w:sz w:val="24"/>
          <w:szCs w:val="24"/>
          <w:lang w:eastAsia="en-US"/>
        </w:rPr>
        <w:t xml:space="preserve"> establece lo siguiente: </w:t>
      </w:r>
    </w:p>
    <w:p w14:paraId="1CE46A15" w14:textId="77777777" w:rsidR="00BA6343" w:rsidRDefault="00BA6343" w:rsidP="00CF04E4">
      <w:pPr>
        <w:tabs>
          <w:tab w:val="left" w:pos="284"/>
          <w:tab w:val="left" w:pos="426"/>
          <w:tab w:val="right" w:pos="9072"/>
        </w:tabs>
        <w:spacing w:after="0" w:line="360" w:lineRule="auto"/>
        <w:ind w:right="-234" w:firstLine="567"/>
        <w:jc w:val="both"/>
      </w:pPr>
    </w:p>
    <w:p w14:paraId="335F7870" w14:textId="77777777" w:rsidR="00BA6343" w:rsidRPr="00BA6343" w:rsidRDefault="00BA6343" w:rsidP="00BA6343">
      <w:pPr>
        <w:tabs>
          <w:tab w:val="left" w:pos="284"/>
          <w:tab w:val="left" w:pos="993"/>
          <w:tab w:val="right" w:pos="9072"/>
        </w:tabs>
        <w:spacing w:after="0" w:line="360" w:lineRule="auto"/>
        <w:ind w:left="1134" w:right="-234"/>
        <w:jc w:val="both"/>
        <w:rPr>
          <w:rFonts w:ascii="Arial Narrow" w:hAnsi="Arial Narrow"/>
          <w:sz w:val="24"/>
          <w:szCs w:val="24"/>
        </w:rPr>
      </w:pPr>
      <w:r w:rsidRPr="00BA6343">
        <w:rPr>
          <w:rFonts w:ascii="Arial Narrow" w:hAnsi="Arial Narrow"/>
          <w:b/>
          <w:bCs/>
          <w:sz w:val="24"/>
          <w:szCs w:val="24"/>
        </w:rPr>
        <w:t>ARTÍCULO 183.-</w:t>
      </w:r>
      <w:r w:rsidRPr="00BA6343">
        <w:rPr>
          <w:rFonts w:ascii="Arial Narrow" w:hAnsi="Arial Narrow"/>
          <w:sz w:val="24"/>
          <w:szCs w:val="24"/>
        </w:rPr>
        <w:t xml:space="preserve"> 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 </w:t>
      </w:r>
    </w:p>
    <w:p w14:paraId="30AFC18F" w14:textId="77777777" w:rsidR="00BA6343" w:rsidRPr="00BA6343" w:rsidRDefault="00BA6343" w:rsidP="00BA6343">
      <w:pPr>
        <w:tabs>
          <w:tab w:val="left" w:pos="284"/>
          <w:tab w:val="left" w:pos="993"/>
          <w:tab w:val="right" w:pos="9072"/>
        </w:tabs>
        <w:spacing w:after="0" w:line="360" w:lineRule="auto"/>
        <w:ind w:left="1134" w:right="-234"/>
        <w:jc w:val="both"/>
        <w:rPr>
          <w:rFonts w:ascii="Arial Narrow" w:hAnsi="Arial Narrow"/>
          <w:sz w:val="24"/>
          <w:szCs w:val="24"/>
        </w:rPr>
      </w:pPr>
    </w:p>
    <w:p w14:paraId="08A15FAD" w14:textId="77777777" w:rsidR="00BA6343" w:rsidRPr="00BA6343" w:rsidRDefault="00BA6343" w:rsidP="00BA6343">
      <w:pPr>
        <w:tabs>
          <w:tab w:val="left" w:pos="284"/>
          <w:tab w:val="left" w:pos="993"/>
          <w:tab w:val="right" w:pos="9072"/>
        </w:tabs>
        <w:spacing w:after="0" w:line="360" w:lineRule="auto"/>
        <w:ind w:left="1134" w:right="-234"/>
        <w:jc w:val="both"/>
        <w:rPr>
          <w:rFonts w:ascii="Arial Narrow" w:hAnsi="Arial Narrow"/>
          <w:sz w:val="24"/>
          <w:szCs w:val="24"/>
        </w:rPr>
      </w:pPr>
      <w:r w:rsidRPr="00BA6343">
        <w:rPr>
          <w:rFonts w:ascii="Arial Narrow" w:hAnsi="Arial Narrow"/>
          <w:sz w:val="24"/>
          <w:szCs w:val="24"/>
        </w:rPr>
        <w:t xml:space="preserve">Si la parte demandada no produce su contestación dentro del término legal, de oficio, se declarará la preclusión del derecho correspondiente, teniendo por contestada la demanda en sentido afirmativo, salvo prueba en contrario. </w:t>
      </w:r>
    </w:p>
    <w:p w14:paraId="01CB9565" w14:textId="77777777" w:rsidR="00BA6343" w:rsidRPr="00BA6343" w:rsidRDefault="00BA6343" w:rsidP="00BA6343">
      <w:pPr>
        <w:tabs>
          <w:tab w:val="left" w:pos="284"/>
          <w:tab w:val="left" w:pos="993"/>
          <w:tab w:val="right" w:pos="9072"/>
        </w:tabs>
        <w:spacing w:after="0" w:line="360" w:lineRule="auto"/>
        <w:ind w:left="1134" w:right="-234"/>
        <w:jc w:val="both"/>
        <w:rPr>
          <w:rFonts w:ascii="Arial Narrow" w:hAnsi="Arial Narrow"/>
          <w:sz w:val="24"/>
          <w:szCs w:val="24"/>
        </w:rPr>
      </w:pPr>
    </w:p>
    <w:p w14:paraId="743D9BC7" w14:textId="77777777" w:rsidR="00BA6343" w:rsidRPr="00BA6343" w:rsidRDefault="00BA6343" w:rsidP="00BA6343">
      <w:pPr>
        <w:tabs>
          <w:tab w:val="left" w:pos="284"/>
          <w:tab w:val="left" w:pos="993"/>
          <w:tab w:val="right" w:pos="9072"/>
        </w:tabs>
        <w:spacing w:after="0" w:line="360" w:lineRule="auto"/>
        <w:ind w:left="1134" w:right="-234"/>
        <w:jc w:val="both"/>
        <w:rPr>
          <w:rFonts w:ascii="Arial Narrow" w:hAnsi="Arial Narrow"/>
          <w:sz w:val="24"/>
          <w:szCs w:val="24"/>
        </w:rPr>
      </w:pPr>
      <w:r w:rsidRPr="00BA6343">
        <w:rPr>
          <w:rFonts w:ascii="Arial Narrow" w:hAnsi="Arial Narrow"/>
          <w:sz w:val="24"/>
          <w:szCs w:val="24"/>
          <w:u w:val="single"/>
        </w:rPr>
        <w:t>Si al producir en tiempo la contestación de la demanda, la parte demandada no se refiere a todos y cada uno de los hechos de la misma, los omitidos se considerarán presuntivamente ciertos, salvo prueba en contrario</w:t>
      </w:r>
      <w:r w:rsidRPr="00BA6343">
        <w:rPr>
          <w:rFonts w:ascii="Arial Narrow" w:hAnsi="Arial Narrow"/>
          <w:sz w:val="24"/>
          <w:szCs w:val="24"/>
        </w:rPr>
        <w:t xml:space="preserve">. </w:t>
      </w:r>
    </w:p>
    <w:p w14:paraId="3A209174" w14:textId="77777777" w:rsidR="00BA6343" w:rsidRPr="00BA6343" w:rsidRDefault="00BA6343" w:rsidP="00BA6343">
      <w:pPr>
        <w:tabs>
          <w:tab w:val="left" w:pos="284"/>
          <w:tab w:val="left" w:pos="993"/>
          <w:tab w:val="right" w:pos="9072"/>
        </w:tabs>
        <w:spacing w:after="0" w:line="360" w:lineRule="auto"/>
        <w:ind w:left="1134" w:right="-234"/>
        <w:jc w:val="both"/>
        <w:rPr>
          <w:rFonts w:ascii="Arial Narrow" w:hAnsi="Arial Narrow"/>
          <w:sz w:val="24"/>
          <w:szCs w:val="24"/>
        </w:rPr>
      </w:pPr>
    </w:p>
    <w:p w14:paraId="106AAF17" w14:textId="7A8E24A4" w:rsidR="00BA6343" w:rsidRPr="00BA6343" w:rsidRDefault="00BA6343" w:rsidP="00BA6343">
      <w:pPr>
        <w:tabs>
          <w:tab w:val="left" w:pos="284"/>
          <w:tab w:val="left" w:pos="993"/>
          <w:tab w:val="right" w:pos="9072"/>
        </w:tabs>
        <w:spacing w:after="0" w:line="360" w:lineRule="auto"/>
        <w:ind w:left="1134" w:right="-234"/>
        <w:jc w:val="both"/>
        <w:rPr>
          <w:rFonts w:ascii="Arial Narrow" w:eastAsia="Calibri" w:hAnsi="Arial Narrow" w:cs="Arial"/>
          <w:sz w:val="28"/>
          <w:szCs w:val="28"/>
          <w:lang w:eastAsia="en-US"/>
        </w:rPr>
      </w:pPr>
      <w:r w:rsidRPr="00BA6343">
        <w:rPr>
          <w:rFonts w:ascii="Arial Narrow" w:hAnsi="Arial Narrow"/>
          <w:sz w:val="24"/>
          <w:szCs w:val="24"/>
        </w:rPr>
        <w:t>El plazo para contestar la ampliación de la demanda será de cinco días hábiles, contados a partir del siguiente a aquél en que surta efectos la notificación del acuerdo que la admita.</w:t>
      </w:r>
    </w:p>
    <w:p w14:paraId="029DDEB1" w14:textId="77777777" w:rsidR="00A36029" w:rsidRDefault="00A36029"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05556284" w14:textId="7D2A4D0B" w:rsidR="00A36029" w:rsidRDefault="00BA6343"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En efecto el artículo en comento establece la obligación de la autoridad para que cuando produzca su contestación de demanda, lo haga pronunciándose respecto a todos y cada uno de los hechos vertidos por la parte actora. </w:t>
      </w:r>
    </w:p>
    <w:p w14:paraId="5ADA8F2A" w14:textId="6749CBAF" w:rsidR="00BA6343" w:rsidRDefault="00BA6343"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Empero la demandada respecto a la negativa lisa y llana del actor se pronunció en los siguientes términos: </w:t>
      </w:r>
    </w:p>
    <w:p w14:paraId="1517DCD5" w14:textId="4F7F8C34" w:rsidR="00BA6343" w:rsidRDefault="00BA6343"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6B3282E6" w14:textId="515A37B5" w:rsidR="00BA6343" w:rsidRPr="004639C1" w:rsidRDefault="004639C1" w:rsidP="00BA6343">
      <w:pPr>
        <w:tabs>
          <w:tab w:val="left" w:pos="284"/>
          <w:tab w:val="left" w:pos="993"/>
          <w:tab w:val="right" w:pos="9072"/>
        </w:tabs>
        <w:spacing w:after="0" w:line="360" w:lineRule="auto"/>
        <w:ind w:left="1134" w:right="-234"/>
        <w:jc w:val="both"/>
        <w:rPr>
          <w:rFonts w:ascii="Arial Narrow" w:eastAsia="Calibri" w:hAnsi="Arial Narrow" w:cs="Arial"/>
          <w:sz w:val="24"/>
          <w:szCs w:val="24"/>
          <w:lang w:eastAsia="en-US"/>
        </w:rPr>
      </w:pPr>
      <w:r w:rsidRPr="004639C1">
        <w:rPr>
          <w:rFonts w:ascii="Arial Narrow" w:eastAsia="Calibri" w:hAnsi="Arial Narrow" w:cs="Arial"/>
          <w:sz w:val="24"/>
          <w:szCs w:val="24"/>
          <w:lang w:eastAsia="en-US"/>
        </w:rPr>
        <w:t xml:space="preserve">De </w:t>
      </w:r>
      <w:r w:rsidRPr="004639C1">
        <w:rPr>
          <w:rFonts w:ascii="Arial Narrow" w:eastAsia="Calibri" w:hAnsi="Arial Narrow" w:cs="Arial"/>
          <w:b/>
          <w:bCs/>
          <w:sz w:val="24"/>
          <w:szCs w:val="24"/>
          <w:lang w:eastAsia="en-US"/>
        </w:rPr>
        <w:t>INFUNDADO</w:t>
      </w:r>
      <w:r w:rsidRPr="004639C1">
        <w:rPr>
          <w:rFonts w:ascii="Arial Narrow" w:eastAsia="Calibri" w:hAnsi="Arial Narrow" w:cs="Arial"/>
          <w:sz w:val="24"/>
          <w:szCs w:val="24"/>
          <w:lang w:eastAsia="en-US"/>
        </w:rPr>
        <w:t xml:space="preserve"> </w:t>
      </w:r>
      <w:r>
        <w:rPr>
          <w:rFonts w:ascii="Arial Narrow" w:eastAsia="Calibri" w:hAnsi="Arial Narrow" w:cs="Arial"/>
          <w:sz w:val="24"/>
          <w:szCs w:val="24"/>
          <w:lang w:eastAsia="en-US"/>
        </w:rPr>
        <w:t xml:space="preserve">debe calificar, lo que mi deponente controvierte al señalar medularmente que la fecha en que mi representada la ubicó como sujeto obligado del Impuesto Sobre Erogaciones por Remuneraciones al Trabajo personal, es incorrecta; sin embargo la parte actora pierde de vista que </w:t>
      </w:r>
      <w:r>
        <w:rPr>
          <w:rFonts w:ascii="Arial Narrow" w:eastAsia="Calibri" w:hAnsi="Arial Narrow" w:cs="Arial"/>
          <w:sz w:val="24"/>
          <w:szCs w:val="24"/>
          <w:u w:val="single"/>
          <w:lang w:eastAsia="en-US"/>
        </w:rPr>
        <w:t xml:space="preserve">con motivo de la entrada en vigor de la Ley Estatal de Hacienda mediante Decreto 1385, publicado en el Periódico Oficial del Estado de Oaxaca el 15 de diciembre de 2012, el Impuesto Sobre Nóminas cambió de denominación a Impuesto Sobre erogaciones por Remuneraciones al Trabajo Personal, por tal razón se encuentra inscrita en el Impuesto sobre erogaciones por Remuneración al Trabajo Personal </w:t>
      </w:r>
      <w:r>
        <w:rPr>
          <w:rFonts w:ascii="Arial Narrow" w:eastAsia="Calibri" w:hAnsi="Arial Narrow" w:cs="Arial"/>
          <w:sz w:val="24"/>
          <w:szCs w:val="24"/>
          <w:lang w:eastAsia="en-US"/>
        </w:rPr>
        <w:t xml:space="preserve">a partir de esa fecha. </w:t>
      </w:r>
    </w:p>
    <w:p w14:paraId="694D773A" w14:textId="5BE3CD8D" w:rsidR="00BA6343" w:rsidRDefault="00BA6343"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D518020" w14:textId="7F19BBC2" w:rsidR="00BA6343" w:rsidRDefault="004639C1"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lastRenderedPageBreak/>
        <w:t>Sin embargo</w:t>
      </w:r>
      <w:r w:rsidR="00F315B6">
        <w:rPr>
          <w:rFonts w:ascii="Arial" w:eastAsia="Calibri" w:hAnsi="Arial" w:cs="Arial"/>
          <w:sz w:val="24"/>
          <w:szCs w:val="24"/>
          <w:lang w:eastAsia="en-US"/>
        </w:rPr>
        <w:t>,</w:t>
      </w:r>
      <w:r>
        <w:rPr>
          <w:rFonts w:ascii="Arial" w:eastAsia="Calibri" w:hAnsi="Arial" w:cs="Arial"/>
          <w:sz w:val="24"/>
          <w:szCs w:val="24"/>
          <w:lang w:eastAsia="en-US"/>
        </w:rPr>
        <w:t xml:space="preserve"> tal manifestación es </w:t>
      </w:r>
      <w:r w:rsidR="00BD4433">
        <w:rPr>
          <w:rFonts w:ascii="Arial" w:eastAsia="Calibri" w:hAnsi="Arial" w:cs="Arial"/>
          <w:sz w:val="24"/>
          <w:szCs w:val="24"/>
          <w:lang w:eastAsia="en-US"/>
        </w:rPr>
        <w:t xml:space="preserve">insuficiente para cumplir a cabalidad con lo establecido en el artículo 183 de la Ley de Procedimiento y Justicia Administrativa para el Estado de Oaxaca, pues la negativa lisa y llana esgrimida por la parte actora hace referencia a que no es sujeto obligado al impuesto de referencia. </w:t>
      </w:r>
    </w:p>
    <w:p w14:paraId="205A91B3" w14:textId="22BCBCAD" w:rsidR="00BD4433" w:rsidRDefault="00BD4433"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Por tanto</w:t>
      </w:r>
      <w:r w:rsidR="00F315B6">
        <w:rPr>
          <w:rFonts w:ascii="Arial" w:eastAsia="Calibri" w:hAnsi="Arial" w:cs="Arial"/>
          <w:sz w:val="24"/>
          <w:szCs w:val="24"/>
          <w:lang w:eastAsia="en-US"/>
        </w:rPr>
        <w:t>,</w:t>
      </w:r>
      <w:r>
        <w:rPr>
          <w:rFonts w:ascii="Arial" w:eastAsia="Calibri" w:hAnsi="Arial" w:cs="Arial"/>
          <w:sz w:val="24"/>
          <w:szCs w:val="24"/>
          <w:lang w:eastAsia="en-US"/>
        </w:rPr>
        <w:t xml:space="preserve"> es menester invocar el contenido de los artículos 63 y 64 de la Ley Estatal de Hacienda vigente que a la letra dispone: </w:t>
      </w:r>
    </w:p>
    <w:p w14:paraId="1DD1E354" w14:textId="180AD48D" w:rsidR="00BD4433" w:rsidRDefault="00BD4433"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79CD3B17"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r w:rsidRPr="00BD4433">
        <w:rPr>
          <w:rFonts w:ascii="Arial Narrow" w:eastAsia="Calibri" w:hAnsi="Arial Narrow" w:cs="Arial"/>
          <w:b/>
          <w:bCs/>
          <w:sz w:val="24"/>
          <w:szCs w:val="24"/>
          <w:lang w:eastAsia="en-US"/>
        </w:rPr>
        <w:t xml:space="preserve">ARTÍCULO 63. </w:t>
      </w:r>
      <w:r w:rsidRPr="00BD4433">
        <w:rPr>
          <w:rFonts w:ascii="Arial Narrow" w:eastAsia="Calibri" w:hAnsi="Arial Narrow" w:cs="Arial"/>
          <w:sz w:val="24"/>
          <w:szCs w:val="24"/>
          <w:lang w:eastAsia="en-US"/>
        </w:rPr>
        <w:t>Son objeto de este impuesto:</w:t>
      </w:r>
    </w:p>
    <w:p w14:paraId="5160CF6D"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p>
    <w:p w14:paraId="0A025BFF"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r w:rsidRPr="00BD4433">
        <w:rPr>
          <w:rFonts w:ascii="Arial Narrow" w:eastAsia="Calibri" w:hAnsi="Arial Narrow" w:cs="Arial"/>
          <w:sz w:val="24"/>
          <w:szCs w:val="24"/>
          <w:lang w:eastAsia="en-US"/>
        </w:rPr>
        <w:t>I.</w:t>
      </w:r>
      <w:r w:rsidRPr="00BD4433">
        <w:rPr>
          <w:rFonts w:ascii="Arial Narrow" w:eastAsia="Calibri" w:hAnsi="Arial Narrow" w:cs="Arial"/>
          <w:sz w:val="24"/>
          <w:szCs w:val="24"/>
          <w:lang w:eastAsia="en-US"/>
        </w:rPr>
        <w:tab/>
        <w:t>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14:paraId="178FFF7C"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p>
    <w:p w14:paraId="0A48F438"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r w:rsidRPr="00BD4433">
        <w:rPr>
          <w:rFonts w:ascii="Arial Narrow" w:eastAsia="Calibri" w:hAnsi="Arial Narrow" w:cs="Arial"/>
          <w:sz w:val="24"/>
          <w:szCs w:val="24"/>
          <w:lang w:eastAsia="en-US"/>
        </w:rPr>
        <w:t>II.</w:t>
      </w:r>
      <w:r w:rsidRPr="00BD4433">
        <w:rPr>
          <w:rFonts w:ascii="Arial Narrow" w:eastAsia="Calibri" w:hAnsi="Arial Narrow" w:cs="Arial"/>
          <w:sz w:val="24"/>
          <w:szCs w:val="24"/>
          <w:lang w:eastAsia="en-US"/>
        </w:rPr>
        <w:tab/>
        <w:t xml:space="preserve">Las erogaciones en efectivo o en especie, por concepto de remuneraciones al trabajo personal, por los servicios prestados dentro del territorio del estado, </w:t>
      </w:r>
      <w:proofErr w:type="spellStart"/>
      <w:r w:rsidRPr="00BD4433">
        <w:rPr>
          <w:rFonts w:ascii="Arial Narrow" w:eastAsia="Calibri" w:hAnsi="Arial Narrow" w:cs="Arial"/>
          <w:sz w:val="24"/>
          <w:szCs w:val="24"/>
          <w:lang w:eastAsia="en-US"/>
        </w:rPr>
        <w:t>aún</w:t>
      </w:r>
      <w:proofErr w:type="spellEnd"/>
      <w:r w:rsidRPr="00BD4433">
        <w:rPr>
          <w:rFonts w:ascii="Arial Narrow" w:eastAsia="Calibri" w:hAnsi="Arial Narrow" w:cs="Arial"/>
          <w:sz w:val="24"/>
          <w:szCs w:val="24"/>
          <w:lang w:eastAsia="en-US"/>
        </w:rPr>
        <w:t xml:space="preserve"> cuando los prestadores del servicio o los beneficiarios del mismo, o ambos, tengan su domicilio fiscal fuera de éste.</w:t>
      </w:r>
    </w:p>
    <w:p w14:paraId="2BCDB65A"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p>
    <w:p w14:paraId="0DD96268"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r w:rsidRPr="00BD4433">
        <w:rPr>
          <w:rFonts w:ascii="Arial Narrow" w:eastAsia="Calibri" w:hAnsi="Arial Narrow" w:cs="Arial"/>
          <w:sz w:val="24"/>
          <w:szCs w:val="24"/>
          <w:lang w:eastAsia="en-US"/>
        </w:rPr>
        <w:t>Para los efectos de este impuesto quedan comprendidas en el concepto de 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p>
    <w:p w14:paraId="67A0DCBC"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p>
    <w:p w14:paraId="214117E7"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r w:rsidRPr="00BD4433">
        <w:rPr>
          <w:rFonts w:ascii="Arial Narrow" w:eastAsia="Calibri" w:hAnsi="Arial Narrow" w:cs="Arial"/>
          <w:sz w:val="24"/>
          <w:szCs w:val="24"/>
          <w:lang w:eastAsia="en-US"/>
        </w:rPr>
        <w:t>Lo anterior, sin perjuicio de las excepciones señaladas en el artículo 67 de esta ley.</w:t>
      </w:r>
    </w:p>
    <w:p w14:paraId="593EB935"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p>
    <w:p w14:paraId="5653FA3F"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r w:rsidRPr="00BD4433">
        <w:rPr>
          <w:rFonts w:ascii="Arial Narrow" w:eastAsia="Calibri" w:hAnsi="Arial Narrow" w:cs="Arial"/>
          <w:sz w:val="24"/>
          <w:szCs w:val="24"/>
          <w:lang w:eastAsia="en-US"/>
        </w:rPr>
        <w:t xml:space="preserve">En el caso de la fracción primera de este artículo, las personas físicas, morales o unidades económicas que contraten la prestación de servicios con personas domiciliadas dentro o fuera del territorio del Estado, cuando ello implique la </w:t>
      </w:r>
      <w:r w:rsidRPr="00BD4433">
        <w:rPr>
          <w:rFonts w:ascii="Arial Narrow" w:eastAsia="Calibri" w:hAnsi="Arial Narrow" w:cs="Arial"/>
          <w:sz w:val="24"/>
          <w:szCs w:val="24"/>
          <w:lang w:eastAsia="en-US"/>
        </w:rPr>
        <w:lastRenderedPageBreak/>
        <w:t>contratación de trabajadores y el servicio personal se preste en los términos de dicha fracción, estarán obligadas a retener y a enterar el impuesto que corresponda de conformidad con lo previsto en el presente Capítulo.</w:t>
      </w:r>
    </w:p>
    <w:p w14:paraId="6EB4347A"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p>
    <w:p w14:paraId="7288E030" w14:textId="1EEE041A" w:rsid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r w:rsidRPr="00BD4433">
        <w:rPr>
          <w:rFonts w:ascii="Arial Narrow" w:eastAsia="Calibri" w:hAnsi="Arial Narrow" w:cs="Arial"/>
          <w:sz w:val="24"/>
          <w:szCs w:val="24"/>
          <w:lang w:eastAsia="en-US"/>
        </w:rPr>
        <w:t>En el caso de la fracción II de este artículo, las personas físicas, morales o unidades económicas que contraten la prestación de servicios con personas domiciliadas fuera del territorio del Estado, cuando el servicio personal se preste en los términos de la misma</w:t>
      </w:r>
      <w:r>
        <w:rPr>
          <w:rFonts w:ascii="Arial Narrow" w:eastAsia="Calibri" w:hAnsi="Arial Narrow" w:cs="Arial"/>
          <w:sz w:val="24"/>
          <w:szCs w:val="24"/>
          <w:lang w:eastAsia="en-US"/>
        </w:rPr>
        <w:t xml:space="preserve"> </w:t>
      </w:r>
      <w:r w:rsidRPr="00BD4433">
        <w:rPr>
          <w:rFonts w:ascii="Arial Narrow" w:eastAsia="Calibri" w:hAnsi="Arial Narrow" w:cs="Arial"/>
          <w:sz w:val="24"/>
          <w:szCs w:val="24"/>
          <w:lang w:eastAsia="en-US"/>
        </w:rPr>
        <w:t>fracción, estarán obligadas a enterar el impuesto que corresponda de conformidad con lo previsto en el presente Capítulo</w:t>
      </w:r>
      <w:r>
        <w:rPr>
          <w:rFonts w:ascii="Arial Narrow" w:eastAsia="Calibri" w:hAnsi="Arial Narrow" w:cs="Arial"/>
          <w:sz w:val="24"/>
          <w:szCs w:val="24"/>
          <w:lang w:eastAsia="en-US"/>
        </w:rPr>
        <w:t>.</w:t>
      </w:r>
    </w:p>
    <w:p w14:paraId="2C201A43" w14:textId="669C3462" w:rsid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p>
    <w:p w14:paraId="570135E2"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r w:rsidRPr="00BD4433">
        <w:rPr>
          <w:rFonts w:ascii="Arial Narrow" w:eastAsia="Calibri" w:hAnsi="Arial Narrow" w:cs="Arial"/>
          <w:b/>
          <w:bCs/>
          <w:sz w:val="24"/>
          <w:szCs w:val="24"/>
          <w:lang w:eastAsia="en-US"/>
        </w:rPr>
        <w:t>ARTÍCULO 64.</w:t>
      </w:r>
      <w:r w:rsidRPr="00BD4433">
        <w:rPr>
          <w:rFonts w:ascii="Arial Narrow" w:eastAsia="Calibri" w:hAnsi="Arial Narrow" w:cs="Arial"/>
          <w:sz w:val="24"/>
          <w:szCs w:val="24"/>
          <w:lang w:eastAsia="en-US"/>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14:paraId="647D0B5F" w14:textId="77777777"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p>
    <w:p w14:paraId="11928EB6" w14:textId="0724BCFF" w:rsidR="00BD4433" w:rsidRPr="00BD4433" w:rsidRDefault="00BD4433" w:rsidP="00BD4433">
      <w:pPr>
        <w:tabs>
          <w:tab w:val="left" w:pos="284"/>
          <w:tab w:val="left" w:pos="1134"/>
          <w:tab w:val="right" w:pos="9072"/>
        </w:tabs>
        <w:spacing w:after="0" w:line="360" w:lineRule="auto"/>
        <w:ind w:left="1276" w:right="-234"/>
        <w:jc w:val="both"/>
        <w:rPr>
          <w:rFonts w:ascii="Arial Narrow" w:eastAsia="Calibri" w:hAnsi="Arial Narrow" w:cs="Arial"/>
          <w:sz w:val="24"/>
          <w:szCs w:val="24"/>
          <w:lang w:eastAsia="en-US"/>
        </w:rPr>
      </w:pPr>
      <w:r w:rsidRPr="00BD4433">
        <w:rPr>
          <w:rFonts w:ascii="Arial Narrow" w:eastAsia="Calibri" w:hAnsi="Arial Narrow" w:cs="Arial"/>
          <w:sz w:val="24"/>
          <w:szCs w:val="24"/>
          <w:lang w:eastAsia="en-US"/>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r w:rsidR="009138DA">
        <w:rPr>
          <w:rFonts w:ascii="Arial Narrow" w:eastAsia="Calibri" w:hAnsi="Arial Narrow" w:cs="Arial"/>
          <w:sz w:val="24"/>
          <w:szCs w:val="24"/>
          <w:lang w:eastAsia="en-US"/>
        </w:rPr>
        <w:t xml:space="preserve"> (…)</w:t>
      </w:r>
    </w:p>
    <w:p w14:paraId="6FB115D5" w14:textId="77777777" w:rsidR="00BA6343" w:rsidRDefault="00BA6343"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0920D186" w14:textId="75377C18" w:rsidR="009138DA" w:rsidRDefault="009138DA"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Los artículos supra citados establecen el objeto y los sujetos obligados al pago del Impuesto Sobre Nómina en los términos de la Ley Estatal de Hacienda vigente en el Estado, de donde se desprende que en el presente juicio es obligación de la autoridad demandada </w:t>
      </w:r>
      <w:r>
        <w:rPr>
          <w:rFonts w:ascii="Arial" w:eastAsia="Calibri" w:hAnsi="Arial" w:cs="Arial"/>
          <w:b/>
          <w:bCs/>
          <w:sz w:val="24"/>
          <w:szCs w:val="24"/>
          <w:lang w:eastAsia="en-US"/>
        </w:rPr>
        <w:t>acreditar que la parte actora es sujeto obligado al pago del impuesto</w:t>
      </w:r>
      <w:r>
        <w:rPr>
          <w:rFonts w:ascii="Arial" w:eastAsia="Calibri" w:hAnsi="Arial" w:cs="Arial"/>
          <w:sz w:val="24"/>
          <w:szCs w:val="24"/>
          <w:lang w:eastAsia="en-US"/>
        </w:rPr>
        <w:t xml:space="preserve">, pues por un lado la parte actora lo negó de manera lisa y llana y por el otro esa obligación se encuentra inserta en el artículo 183 de la Ley de Procedimiento y Justicia Administrativa para el Estado de Oaxaca, al referir que las autoridades demandadas deberán contestar todos y cada uno de los hechos controvertidos. </w:t>
      </w:r>
    </w:p>
    <w:p w14:paraId="6CA08A8B" w14:textId="7417E233" w:rsidR="009138DA" w:rsidRDefault="009138DA"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Lo anterior es procedente pues es de explorado derecho que las negativas lisas y llanas hechas por los administrados conllevan la carga de la prueba a la contraparte, pues lo contrario implicaría la </w:t>
      </w:r>
      <w:r w:rsidR="00EC3B62">
        <w:rPr>
          <w:rFonts w:ascii="Arial" w:eastAsia="Calibri" w:hAnsi="Arial" w:cs="Arial"/>
          <w:sz w:val="24"/>
          <w:szCs w:val="24"/>
          <w:lang w:eastAsia="en-US"/>
        </w:rPr>
        <w:t>demostración de hechos negativos tal y como se desprende de la lectura de la siguiente Tesis</w:t>
      </w:r>
      <w:r w:rsidR="00EC3B62">
        <w:rPr>
          <w:rStyle w:val="Refdenotaalpie"/>
          <w:rFonts w:ascii="Arial" w:eastAsia="Calibri" w:hAnsi="Arial" w:cs="Arial"/>
          <w:sz w:val="24"/>
          <w:szCs w:val="24"/>
          <w:lang w:eastAsia="en-US"/>
        </w:rPr>
        <w:footnoteReference w:id="4"/>
      </w:r>
      <w:r w:rsidR="00EC3B62">
        <w:rPr>
          <w:rFonts w:ascii="Arial" w:eastAsia="Calibri" w:hAnsi="Arial" w:cs="Arial"/>
          <w:sz w:val="24"/>
          <w:szCs w:val="24"/>
          <w:lang w:eastAsia="en-US"/>
        </w:rPr>
        <w:t xml:space="preserve">: </w:t>
      </w:r>
    </w:p>
    <w:p w14:paraId="34A019B3" w14:textId="6B390B0C" w:rsidR="00EC3B62" w:rsidRDefault="00EC3B62"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057646D" w14:textId="77777777" w:rsidR="00EC3B62" w:rsidRPr="00EC3B62" w:rsidRDefault="00EC3B62" w:rsidP="00EC3B62">
      <w:pPr>
        <w:tabs>
          <w:tab w:val="left" w:pos="284"/>
          <w:tab w:val="left" w:pos="1134"/>
          <w:tab w:val="right" w:pos="9072"/>
        </w:tabs>
        <w:spacing w:after="0" w:line="360" w:lineRule="auto"/>
        <w:ind w:left="1134" w:right="-234"/>
        <w:jc w:val="both"/>
        <w:rPr>
          <w:rFonts w:ascii="Arial Narrow" w:eastAsia="Calibri" w:hAnsi="Arial Narrow" w:cs="Arial"/>
          <w:b/>
          <w:bCs/>
          <w:sz w:val="24"/>
          <w:szCs w:val="24"/>
          <w:lang w:eastAsia="en-US"/>
        </w:rPr>
      </w:pPr>
      <w:r w:rsidRPr="00EC3B62">
        <w:rPr>
          <w:rFonts w:ascii="Arial Narrow" w:eastAsia="Calibri" w:hAnsi="Arial Narrow" w:cs="Arial"/>
          <w:b/>
          <w:bCs/>
          <w:sz w:val="24"/>
          <w:szCs w:val="24"/>
          <w:lang w:eastAsia="en-US"/>
        </w:rPr>
        <w:lastRenderedPageBreak/>
        <w:t>NEGATIVA LISA Y LLANA DE LOS HECHOS QUE MOTIVARON EL ACTO O RESOLUCIÓN IMPUGNADA EN EL JUICIO CONTENCIOSO ADMINISTRATIVO FEDERAL. NO PUEDE CONSIDERARSE ASÍ LA QUE SE CONTRADICE CON LOS ANEXOS DE LA DEMANDA.</w:t>
      </w:r>
    </w:p>
    <w:p w14:paraId="73B486CE" w14:textId="77777777" w:rsidR="00EC3B62" w:rsidRPr="00EC3B62" w:rsidRDefault="00EC3B62" w:rsidP="00EC3B62">
      <w:pPr>
        <w:tabs>
          <w:tab w:val="left" w:pos="284"/>
          <w:tab w:val="left" w:pos="1134"/>
          <w:tab w:val="right" w:pos="9072"/>
        </w:tabs>
        <w:spacing w:after="0" w:line="360" w:lineRule="auto"/>
        <w:ind w:left="1134" w:right="-234"/>
        <w:jc w:val="both"/>
        <w:rPr>
          <w:rFonts w:ascii="Arial Narrow" w:eastAsia="Calibri" w:hAnsi="Arial Narrow" w:cs="Arial"/>
          <w:sz w:val="24"/>
          <w:szCs w:val="24"/>
          <w:lang w:eastAsia="en-US"/>
        </w:rPr>
      </w:pPr>
    </w:p>
    <w:p w14:paraId="0669BED4" w14:textId="168A0CF8" w:rsidR="00EC3B62" w:rsidRPr="00EC3B62" w:rsidRDefault="00EC3B62" w:rsidP="00EC3B62">
      <w:pPr>
        <w:tabs>
          <w:tab w:val="left" w:pos="284"/>
          <w:tab w:val="left" w:pos="1134"/>
          <w:tab w:val="right" w:pos="9072"/>
        </w:tabs>
        <w:spacing w:after="0" w:line="360" w:lineRule="auto"/>
        <w:ind w:left="1134" w:right="-234"/>
        <w:jc w:val="both"/>
        <w:rPr>
          <w:rFonts w:ascii="Arial Narrow" w:eastAsia="Calibri" w:hAnsi="Arial Narrow" w:cs="Arial"/>
          <w:sz w:val="24"/>
          <w:szCs w:val="24"/>
          <w:lang w:eastAsia="en-US"/>
        </w:rPr>
      </w:pPr>
      <w:r w:rsidRPr="00EC3B62">
        <w:rPr>
          <w:rFonts w:ascii="Arial Narrow" w:eastAsia="Calibri" w:hAnsi="Arial Narrow" w:cs="Arial"/>
          <w:sz w:val="24"/>
          <w:szCs w:val="24"/>
          <w:lang w:eastAsia="en-US"/>
        </w:rPr>
        <w:t>El artículo 42 de la Ley Federal de Procedimiento Contencioso Administrativo establece, entre otras cosas, que los actos y resoluciones emitidos por las autoridades administrativas gozan de la presunción de legalidad, a menos que el afectado por éstos niegue lisa y llanamente los hechos que los motivaron; de lo anterior se sigue que para estar en condiciones de averiguar si se actualiza la presunción legal referida, es necesario definir cuándo estamos en presencia de una negativa como la que se precisa en dicho numeral. Para ello, debe considerarse que una negativa lisa y llana -también conocida como simple, porque se trata de una mera negación de los hechos señalados por la autoridad- sí es capaz de arrojar la carga de la prueba en perjuicio de la contraparte, pues de lo contrario obligaría a quien la formula a demostrar hechos negativos; en cambio, cuando incluye cortapisas, explicaciones o justificaciones, no puede calificarse así, sino como calificada, toda vez que encierra la afirmación implícita de otros hechos, lo cual acontece cuando en la demanda en el juicio contencioso administrativo federal se expresa una negativa simple de los hechos que motivaron el acto o resolución impugnada, que se contradice con los anexos de aquélla, por incluirse en ellos algunos argumentos tendentes a evidenciar la legalidad de la conducta reprochada, pues, en esas condiciones, la negación respectiva deberá considerarse como calificada. Es así, porque resulta de explorado derecho que la demanda y demás documentos que la acompañan, constituyen un todo que debe interpretarse integralmente, para desentrañar la verdadera intención del promovente; pensar lo contrario, implicaría desnaturalizar por completo la esencia del numeral 42 citado, en la medida en que, sin acreditarse la existencia de una auténtica negativa simple, podría arrojarse indebidamente la carga probatoria a la autoridad demandada.</w:t>
      </w:r>
    </w:p>
    <w:p w14:paraId="073EB99E" w14:textId="0C6387F1" w:rsidR="009138DA" w:rsidRDefault="009138DA" w:rsidP="00F315B6">
      <w:pPr>
        <w:tabs>
          <w:tab w:val="left" w:pos="284"/>
          <w:tab w:val="left" w:pos="426"/>
          <w:tab w:val="right" w:pos="9072"/>
        </w:tabs>
        <w:spacing w:after="0" w:line="360" w:lineRule="auto"/>
        <w:ind w:right="-234"/>
        <w:jc w:val="both"/>
        <w:rPr>
          <w:rFonts w:ascii="Arial" w:eastAsia="Calibri" w:hAnsi="Arial" w:cs="Arial"/>
          <w:sz w:val="24"/>
          <w:szCs w:val="24"/>
          <w:lang w:eastAsia="en-US"/>
        </w:rPr>
      </w:pPr>
    </w:p>
    <w:p w14:paraId="6C2628C4" w14:textId="1448EF77" w:rsidR="009138DA" w:rsidRDefault="009138DA"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Más aún que</w:t>
      </w:r>
      <w:r w:rsidR="00F315B6">
        <w:rPr>
          <w:rFonts w:ascii="Arial" w:eastAsia="Calibri" w:hAnsi="Arial" w:cs="Arial"/>
          <w:sz w:val="24"/>
          <w:szCs w:val="24"/>
          <w:lang w:eastAsia="en-US"/>
        </w:rPr>
        <w:t>,</w:t>
      </w:r>
      <w:r>
        <w:rPr>
          <w:rFonts w:ascii="Arial" w:eastAsia="Calibri" w:hAnsi="Arial" w:cs="Arial"/>
          <w:sz w:val="24"/>
          <w:szCs w:val="24"/>
          <w:lang w:eastAsia="en-US"/>
        </w:rPr>
        <w:t xml:space="preserve"> de las pruebas ofrecidas por la autoridad demandada, se advierte que </w:t>
      </w:r>
      <w:r w:rsidR="00EC3B62">
        <w:rPr>
          <w:rFonts w:ascii="Arial" w:eastAsia="Calibri" w:hAnsi="Arial" w:cs="Arial"/>
          <w:sz w:val="24"/>
          <w:szCs w:val="24"/>
          <w:lang w:eastAsia="en-US"/>
        </w:rPr>
        <w:t xml:space="preserve">en ningún momento acreditó por medio de convicción alguno que la parte actora fuera precisamente un sujeto obligado al </w:t>
      </w:r>
      <w:r w:rsidR="00EC3B62" w:rsidRPr="00EC3B62">
        <w:rPr>
          <w:rFonts w:ascii="Arial" w:eastAsia="Calibri" w:hAnsi="Arial" w:cs="Arial"/>
          <w:sz w:val="24"/>
          <w:szCs w:val="24"/>
          <w:lang w:eastAsia="en-US"/>
        </w:rPr>
        <w:t xml:space="preserve">Impuesto Sobre Erogaciones </w:t>
      </w:r>
      <w:r w:rsidR="00EC3B62">
        <w:rPr>
          <w:rFonts w:ascii="Arial" w:eastAsia="Calibri" w:hAnsi="Arial" w:cs="Arial"/>
          <w:sz w:val="24"/>
          <w:szCs w:val="24"/>
          <w:lang w:eastAsia="en-US"/>
        </w:rPr>
        <w:t>p</w:t>
      </w:r>
      <w:r w:rsidR="00EC3B62" w:rsidRPr="00EC3B62">
        <w:rPr>
          <w:rFonts w:ascii="Arial" w:eastAsia="Calibri" w:hAnsi="Arial" w:cs="Arial"/>
          <w:sz w:val="24"/>
          <w:szCs w:val="24"/>
          <w:lang w:eastAsia="en-US"/>
        </w:rPr>
        <w:t xml:space="preserve">or Remuneraciones </w:t>
      </w:r>
      <w:r w:rsidR="00EC3B62">
        <w:rPr>
          <w:rFonts w:ascii="Arial" w:eastAsia="Calibri" w:hAnsi="Arial" w:cs="Arial"/>
          <w:sz w:val="24"/>
          <w:szCs w:val="24"/>
          <w:lang w:eastAsia="en-US"/>
        </w:rPr>
        <w:t>a</w:t>
      </w:r>
      <w:r w:rsidR="00EC3B62" w:rsidRPr="00EC3B62">
        <w:rPr>
          <w:rFonts w:ascii="Arial" w:eastAsia="Calibri" w:hAnsi="Arial" w:cs="Arial"/>
          <w:sz w:val="24"/>
          <w:szCs w:val="24"/>
          <w:lang w:eastAsia="en-US"/>
        </w:rPr>
        <w:t>l Trabajo Personal</w:t>
      </w:r>
      <w:r w:rsidR="00EC3B62">
        <w:rPr>
          <w:rFonts w:ascii="Arial" w:eastAsia="Calibri" w:hAnsi="Arial" w:cs="Arial"/>
          <w:sz w:val="24"/>
          <w:szCs w:val="24"/>
          <w:lang w:eastAsia="en-US"/>
        </w:rPr>
        <w:t xml:space="preserve">, que se reitera, correspondía a su obligación procesal. </w:t>
      </w:r>
    </w:p>
    <w:p w14:paraId="45E6DDA1" w14:textId="2D7E67BA"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En tales términos toda vez que la autoridad demandada no acreditó su carga probatoria en el sentido de demostrar que la parte actora era sujeto obligado al pago del </w:t>
      </w:r>
      <w:r w:rsidRPr="00EC3B62">
        <w:rPr>
          <w:rFonts w:ascii="Arial" w:eastAsia="Calibri" w:hAnsi="Arial" w:cs="Arial"/>
          <w:sz w:val="24"/>
          <w:szCs w:val="24"/>
          <w:lang w:eastAsia="en-US"/>
        </w:rPr>
        <w:t xml:space="preserve">Impuesto Sobre Erogaciones </w:t>
      </w:r>
      <w:r>
        <w:rPr>
          <w:rFonts w:ascii="Arial" w:eastAsia="Calibri" w:hAnsi="Arial" w:cs="Arial"/>
          <w:sz w:val="24"/>
          <w:szCs w:val="24"/>
          <w:lang w:eastAsia="en-US"/>
        </w:rPr>
        <w:t>p</w:t>
      </w:r>
      <w:r w:rsidRPr="00EC3B62">
        <w:rPr>
          <w:rFonts w:ascii="Arial" w:eastAsia="Calibri" w:hAnsi="Arial" w:cs="Arial"/>
          <w:sz w:val="24"/>
          <w:szCs w:val="24"/>
          <w:lang w:eastAsia="en-US"/>
        </w:rPr>
        <w:t xml:space="preserve">or Remuneraciones </w:t>
      </w:r>
      <w:r>
        <w:rPr>
          <w:rFonts w:ascii="Arial" w:eastAsia="Calibri" w:hAnsi="Arial" w:cs="Arial"/>
          <w:sz w:val="24"/>
          <w:szCs w:val="24"/>
          <w:lang w:eastAsia="en-US"/>
        </w:rPr>
        <w:t>a</w:t>
      </w:r>
      <w:r w:rsidRPr="00EC3B62">
        <w:rPr>
          <w:rFonts w:ascii="Arial" w:eastAsia="Calibri" w:hAnsi="Arial" w:cs="Arial"/>
          <w:sz w:val="24"/>
          <w:szCs w:val="24"/>
          <w:lang w:eastAsia="en-US"/>
        </w:rPr>
        <w:t>l Trabajo Personal</w:t>
      </w:r>
      <w:r>
        <w:rPr>
          <w:rFonts w:ascii="Arial" w:eastAsia="Calibri" w:hAnsi="Arial" w:cs="Arial"/>
          <w:sz w:val="24"/>
          <w:szCs w:val="24"/>
          <w:lang w:eastAsia="en-US"/>
        </w:rPr>
        <w:t xml:space="preserve">, considerando que el actor lo había negado de forma lisa y llana es que procede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w:t>
      </w:r>
      <w:r>
        <w:rPr>
          <w:rFonts w:ascii="Arial" w:hAnsi="Arial" w:cs="Arial"/>
          <w:sz w:val="24"/>
          <w:szCs w:val="24"/>
        </w:rPr>
        <w:t xml:space="preserve">Requerimiento de Obligaciones Omitidas en Materia del Impuesto Sobre Erogaciones por </w:t>
      </w:r>
      <w:r>
        <w:rPr>
          <w:rFonts w:ascii="Arial" w:hAnsi="Arial" w:cs="Arial"/>
          <w:sz w:val="24"/>
          <w:szCs w:val="24"/>
        </w:rPr>
        <w:lastRenderedPageBreak/>
        <w:t xml:space="preserve">Remuneraciones al Trabajo Personal con número de control </w:t>
      </w:r>
      <w:r w:rsidR="00FF4FF1">
        <w:rPr>
          <w:rFonts w:ascii="Arial" w:hAnsi="Arial" w:cs="Arial"/>
          <w:sz w:val="24"/>
          <w:szCs w:val="24"/>
        </w:rPr>
        <w:t>**********</w:t>
      </w:r>
      <w:r>
        <w:rPr>
          <w:rFonts w:ascii="Arial" w:hAnsi="Arial" w:cs="Arial"/>
          <w:sz w:val="24"/>
          <w:szCs w:val="24"/>
        </w:rPr>
        <w:t xml:space="preserve"> de fecha quince de abril de dos mil veintiuno, en términos de la siguiente Jurisprudencia</w:t>
      </w:r>
      <w:r>
        <w:rPr>
          <w:rStyle w:val="Refdenotaalpie"/>
          <w:rFonts w:ascii="Arial" w:hAnsi="Arial" w:cs="Arial"/>
          <w:sz w:val="24"/>
          <w:szCs w:val="24"/>
        </w:rPr>
        <w:footnoteReference w:id="5"/>
      </w:r>
      <w:r>
        <w:rPr>
          <w:rFonts w:ascii="Arial" w:hAnsi="Arial" w:cs="Arial"/>
          <w:sz w:val="24"/>
          <w:szCs w:val="24"/>
        </w:rPr>
        <w:t xml:space="preserve">: </w:t>
      </w:r>
    </w:p>
    <w:p w14:paraId="51B284B6" w14:textId="6EDB32CC" w:rsidR="00EC3B62" w:rsidRPr="00EC3B62" w:rsidRDefault="00EC3B62" w:rsidP="00CF04E4">
      <w:pPr>
        <w:tabs>
          <w:tab w:val="left" w:pos="284"/>
          <w:tab w:val="left" w:pos="426"/>
          <w:tab w:val="right" w:pos="9072"/>
        </w:tabs>
        <w:spacing w:after="0" w:line="360" w:lineRule="auto"/>
        <w:ind w:right="-234" w:firstLine="567"/>
        <w:jc w:val="both"/>
        <w:rPr>
          <w:rFonts w:ascii="Arial" w:hAnsi="Arial" w:cs="Arial"/>
          <w:b/>
          <w:bCs/>
          <w:sz w:val="24"/>
          <w:szCs w:val="24"/>
        </w:rPr>
      </w:pPr>
    </w:p>
    <w:p w14:paraId="0B7D2D05" w14:textId="77777777" w:rsidR="00EC3B62" w:rsidRPr="00EC3B62" w:rsidRDefault="00EC3B62" w:rsidP="00EC3B62">
      <w:pPr>
        <w:tabs>
          <w:tab w:val="left" w:pos="284"/>
          <w:tab w:val="left" w:pos="851"/>
          <w:tab w:val="right" w:pos="9072"/>
        </w:tabs>
        <w:spacing w:after="0" w:line="360" w:lineRule="auto"/>
        <w:ind w:left="1134" w:right="-234"/>
        <w:jc w:val="both"/>
        <w:rPr>
          <w:rFonts w:ascii="Arial Narrow" w:hAnsi="Arial Narrow" w:cs="Arial"/>
          <w:b/>
          <w:bCs/>
          <w:sz w:val="24"/>
          <w:szCs w:val="24"/>
        </w:rPr>
      </w:pPr>
      <w:r w:rsidRPr="00EC3B62">
        <w:rPr>
          <w:rFonts w:ascii="Arial Narrow" w:hAnsi="Arial Narrow" w:cs="Arial"/>
          <w:b/>
          <w:bCs/>
          <w:sz w:val="24"/>
          <w:szCs w:val="24"/>
        </w:rPr>
        <w:t>NULIDAD DE LAS RESOLUCIONES ADMINISTRATIVAS. SENTIDO AMPLIO DEL CONCEPTO Y EFECTOS DE LA DECRETADA EN EL JUICIO CONTENCIOSO ADMINISTRATIVO FEDERAL.</w:t>
      </w:r>
    </w:p>
    <w:p w14:paraId="70D8E78E" w14:textId="77777777" w:rsidR="00EC3B62" w:rsidRPr="00EC3B62" w:rsidRDefault="00EC3B62" w:rsidP="00EC3B62">
      <w:pPr>
        <w:tabs>
          <w:tab w:val="left" w:pos="284"/>
          <w:tab w:val="left" w:pos="851"/>
          <w:tab w:val="right" w:pos="9072"/>
        </w:tabs>
        <w:spacing w:after="0" w:line="360" w:lineRule="auto"/>
        <w:ind w:left="1134" w:right="-234"/>
        <w:jc w:val="both"/>
        <w:rPr>
          <w:rFonts w:ascii="Arial Narrow" w:hAnsi="Arial Narrow" w:cs="Arial"/>
          <w:sz w:val="24"/>
          <w:szCs w:val="24"/>
        </w:rPr>
      </w:pPr>
    </w:p>
    <w:p w14:paraId="4C3813EB" w14:textId="77777777" w:rsidR="00EC3B62" w:rsidRPr="00EC3B62" w:rsidRDefault="00EC3B62" w:rsidP="00EC3B62">
      <w:pPr>
        <w:tabs>
          <w:tab w:val="left" w:pos="284"/>
          <w:tab w:val="left" w:pos="851"/>
          <w:tab w:val="right" w:pos="9072"/>
        </w:tabs>
        <w:spacing w:after="0" w:line="360" w:lineRule="auto"/>
        <w:ind w:left="1134" w:right="-234"/>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artículo 51 de la Ley Federal de Procedimiento Contencioso Administrativo; II) declaración de invalidez o nulidad de la resolución, acorde con la trascendencia del vicio identificado, conforme al artículo 52 del ordenamiento citado; III) precisión de las ineficacias atribuibles a la resolución y sus consecuencias, en razón de los excesos o deficiencias que conlleven, tanto en el ámbito jurídico como en el fáctico, lo cual abarca a la propia decisión y a las secuelas que 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w:t>
      </w:r>
      <w:r w:rsidRPr="00EC3B62">
        <w:rPr>
          <w:rFonts w:ascii="Arial Narrow" w:hAnsi="Arial Narrow" w:cs="Arial"/>
          <w:sz w:val="24"/>
          <w:szCs w:val="24"/>
        </w:rPr>
        <w:lastRenderedPageBreak/>
        <w:t>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6A38B830" w14:textId="77777777"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p>
    <w:p w14:paraId="1830672D" w14:textId="77777777" w:rsidR="002B375F" w:rsidRPr="00512412" w:rsidRDefault="002B375F" w:rsidP="002B375F">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2B375F">
      <w:pPr>
        <w:tabs>
          <w:tab w:val="right" w:pos="9072"/>
        </w:tabs>
        <w:spacing w:after="0" w:line="360" w:lineRule="auto"/>
        <w:ind w:right="-234"/>
        <w:rPr>
          <w:rFonts w:ascii="Arial" w:hAnsi="Arial" w:cs="Arial"/>
          <w:b/>
          <w:sz w:val="24"/>
          <w:szCs w:val="24"/>
        </w:rPr>
      </w:pPr>
    </w:p>
    <w:p w14:paraId="676D380E" w14:textId="77777777" w:rsidR="002B375F" w:rsidRPr="00512412" w:rsidRDefault="002B375F" w:rsidP="002B375F">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2B375F">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p>
    <w:p w14:paraId="5A6E4C73" w14:textId="62ED7843" w:rsidR="002B375F" w:rsidRDefault="002B375F" w:rsidP="002B375F">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Pr>
          <w:rFonts w:ascii="Arial" w:hAnsi="Arial" w:cs="Arial"/>
          <w:b/>
          <w:bCs/>
          <w:sz w:val="24"/>
          <w:szCs w:val="24"/>
        </w:rPr>
        <w:t>NULIDAD</w:t>
      </w:r>
      <w:r w:rsidR="00F315B6">
        <w:rPr>
          <w:rFonts w:ascii="Arial" w:hAnsi="Arial" w:cs="Arial"/>
          <w:b/>
          <w:bCs/>
          <w:sz w:val="24"/>
          <w:szCs w:val="24"/>
        </w:rPr>
        <w:t xml:space="preserve">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EC3B62">
        <w:rPr>
          <w:rFonts w:ascii="Arial" w:hAnsi="Arial" w:cs="Arial"/>
          <w:sz w:val="24"/>
          <w:szCs w:val="24"/>
        </w:rPr>
        <w:t xml:space="preserve">Requerimiento de Obligaciones Omitidas en Materia del Impuesto Sobre Erogaciones por Remuneraciones al Trabajo Personal con número de control </w:t>
      </w:r>
      <w:r w:rsidR="00FF4FF1">
        <w:rPr>
          <w:rFonts w:ascii="Arial" w:hAnsi="Arial" w:cs="Arial"/>
          <w:sz w:val="24"/>
          <w:szCs w:val="24"/>
        </w:rPr>
        <w:t>**********</w:t>
      </w:r>
      <w:r w:rsidR="00EC3B62">
        <w:rPr>
          <w:rFonts w:ascii="Arial" w:hAnsi="Arial" w:cs="Arial"/>
          <w:sz w:val="24"/>
          <w:szCs w:val="24"/>
        </w:rPr>
        <w:t xml:space="preserve"> de fecha quince de abril de dos mil veintiuno por las razones expuestas</w:t>
      </w:r>
      <w:r>
        <w:rPr>
          <w:rFonts w:ascii="Arial" w:hAnsi="Arial" w:cs="Arial"/>
          <w:bCs/>
          <w:sz w:val="24"/>
          <w:szCs w:val="24"/>
        </w:rPr>
        <w:t xml:space="preserve"> en el considerando SEXTO de la presente resolución.</w:t>
      </w:r>
    </w:p>
    <w:p w14:paraId="7C1BBEAB" w14:textId="77777777" w:rsidR="002B375F" w:rsidRPr="00512412" w:rsidRDefault="002B375F" w:rsidP="002B375F">
      <w:pPr>
        <w:spacing w:after="0" w:line="360" w:lineRule="auto"/>
        <w:ind w:firstLine="567"/>
        <w:jc w:val="both"/>
        <w:rPr>
          <w:rFonts w:ascii="Arial" w:hAnsi="Arial" w:cs="Arial"/>
          <w:sz w:val="24"/>
          <w:szCs w:val="24"/>
        </w:rPr>
      </w:pPr>
    </w:p>
    <w:p w14:paraId="4F70F251" w14:textId="0EE25A0A" w:rsidR="002B375F" w:rsidRPr="00512412" w:rsidRDefault="002B375F" w:rsidP="002B375F">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t>CUARTO. Notifíquese personalmente a la parte actora y por oficio a la autoridad demandada</w:t>
      </w:r>
      <w:r w:rsidRPr="00512412">
        <w:rPr>
          <w:rFonts w:ascii="Arial" w:eastAsia="Times New Roman" w:hAnsi="Arial" w:cs="Arial"/>
          <w:sz w:val="24"/>
          <w:szCs w:val="24"/>
        </w:rPr>
        <w:t>, con fundamento en los artículos 172 fracción I y 173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2B375F">
      <w:pPr>
        <w:spacing w:after="0" w:line="360" w:lineRule="auto"/>
        <w:ind w:right="49" w:firstLine="567"/>
        <w:jc w:val="both"/>
        <w:rPr>
          <w:rFonts w:ascii="Arial" w:eastAsia="Times New Roman" w:hAnsi="Arial" w:cs="Arial"/>
          <w:b/>
          <w:sz w:val="24"/>
          <w:szCs w:val="24"/>
        </w:rPr>
      </w:pPr>
    </w:p>
    <w:p w14:paraId="7964499F" w14:textId="2B6FFA05" w:rsidR="002B375F" w:rsidRPr="00512412" w:rsidRDefault="002B375F" w:rsidP="002B375F">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r w:rsidR="00F315B6">
        <w:rPr>
          <w:rFonts w:ascii="Arial" w:eastAsia="Times New Roman" w:hAnsi="Arial" w:cs="Arial"/>
          <w:sz w:val="24"/>
          <w:szCs w:val="24"/>
        </w:rPr>
        <w:t xml:space="preserve"> - - - - - - - - - - - - - - - - - - - - - - - - - - </w:t>
      </w:r>
      <w:bookmarkStart w:id="0" w:name="_GoBack"/>
      <w:bookmarkEnd w:id="0"/>
      <w:r w:rsidR="00F315B6">
        <w:rPr>
          <w:rFonts w:ascii="Arial" w:eastAsia="Times New Roman" w:hAnsi="Arial" w:cs="Arial"/>
          <w:sz w:val="24"/>
          <w:szCs w:val="24"/>
        </w:rPr>
        <w:t>- - - - - - - - - - - - - - - - - - - - - - - - - -</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374F0F" w14:textId="77777777" w:rsidR="00D62014" w:rsidRDefault="00D62014">
      <w:pPr>
        <w:spacing w:after="0" w:line="240" w:lineRule="auto"/>
      </w:pPr>
      <w:r>
        <w:separator/>
      </w:r>
    </w:p>
  </w:endnote>
  <w:endnote w:type="continuationSeparator" w:id="0">
    <w:p w14:paraId="4E996711" w14:textId="77777777" w:rsidR="00D62014" w:rsidRDefault="00D62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63EB19" w14:textId="77777777" w:rsidR="00D62014" w:rsidRDefault="00D62014">
      <w:pPr>
        <w:spacing w:after="0" w:line="240" w:lineRule="auto"/>
      </w:pPr>
      <w:r>
        <w:separator/>
      </w:r>
    </w:p>
  </w:footnote>
  <w:footnote w:type="continuationSeparator" w:id="0">
    <w:p w14:paraId="441BD185" w14:textId="77777777" w:rsidR="00D62014" w:rsidRDefault="00D62014">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04DFDE5D" w14:textId="0C67B08D" w:rsidR="00EC3B62" w:rsidRPr="00F315B6" w:rsidRDefault="00EC3B62" w:rsidP="00F315B6">
      <w:pPr>
        <w:pStyle w:val="Textonotapie"/>
        <w:jc w:val="both"/>
      </w:pPr>
      <w:r>
        <w:rPr>
          <w:rStyle w:val="Refdenotaalpie"/>
        </w:rPr>
        <w:footnoteRef/>
      </w:r>
      <w:r>
        <w:t xml:space="preserve"> </w:t>
      </w:r>
      <w:r w:rsidRPr="00F315B6">
        <w:rPr>
          <w:rFonts w:cs="Arial"/>
          <w:sz w:val="16"/>
          <w:szCs w:val="16"/>
        </w:rPr>
        <w:t>Registro digital: 2007895, Instancia: Tribunales Colegiados de Circuito, Décima Época, Materia(s): Administrativa, Tesis: (III Región</w:t>
      </w:r>
      <w:proofErr w:type="gramStart"/>
      <w:r w:rsidRPr="00F315B6">
        <w:rPr>
          <w:rFonts w:cs="Arial"/>
          <w:sz w:val="16"/>
          <w:szCs w:val="16"/>
        </w:rPr>
        <w:t>)4o.52</w:t>
      </w:r>
      <w:proofErr w:type="gramEnd"/>
      <w:r w:rsidRPr="00F315B6">
        <w:rPr>
          <w:rFonts w:cs="Arial"/>
          <w:sz w:val="16"/>
          <w:szCs w:val="16"/>
        </w:rPr>
        <w:t xml:space="preserve"> A (10a.), Fuente: Gaceta del Semanario Judicial de la Federación, Libro 12, Noviembre de 2014, Tomo IV, página 3001</w:t>
      </w:r>
      <w:r w:rsidR="00F315B6">
        <w:rPr>
          <w:rFonts w:cs="Arial"/>
          <w:sz w:val="16"/>
          <w:szCs w:val="16"/>
        </w:rPr>
        <w:t>.</w:t>
      </w:r>
    </w:p>
    <w:p w14:paraId="534DA614" w14:textId="2D795AA3" w:rsidR="00EC3B62" w:rsidRPr="00F315B6" w:rsidRDefault="00EC3B62" w:rsidP="00F315B6">
      <w:pPr>
        <w:pStyle w:val="Textonotapie"/>
        <w:jc w:val="both"/>
      </w:pPr>
    </w:p>
  </w:footnote>
  <w:footnote w:id="5">
    <w:p w14:paraId="3DBF711D" w14:textId="56F78420" w:rsidR="00EC3B62" w:rsidRPr="00F315B6" w:rsidRDefault="00EC3B62" w:rsidP="00EC3B62">
      <w:pPr>
        <w:pStyle w:val="temp"/>
        <w:shd w:val="clear" w:color="auto" w:fill="FFFFFF"/>
        <w:spacing w:before="0" w:beforeAutospacing="0" w:after="0" w:afterAutospacing="0"/>
        <w:jc w:val="both"/>
        <w:rPr>
          <w:rFonts w:asciiTheme="minorHAnsi" w:hAnsiTheme="minorHAnsi" w:cs="Calibri"/>
          <w:color w:val="212529"/>
          <w:sz w:val="16"/>
          <w:szCs w:val="16"/>
        </w:rPr>
      </w:pPr>
      <w:r>
        <w:rPr>
          <w:rStyle w:val="Refdenotaalpie"/>
        </w:rPr>
        <w:footnoteRef/>
      </w:r>
      <w:r>
        <w:t xml:space="preserve"> </w:t>
      </w:r>
      <w:r w:rsidRPr="00F315B6">
        <w:rPr>
          <w:rStyle w:val="bold"/>
          <w:rFonts w:asciiTheme="minorHAnsi" w:eastAsia="PMingLiU" w:hAnsiTheme="minorHAnsi" w:cs="Arial"/>
          <w:color w:val="212529"/>
          <w:sz w:val="16"/>
          <w:szCs w:val="16"/>
        </w:rPr>
        <w:t>Registro digital: </w:t>
      </w:r>
      <w:r w:rsidRPr="00F315B6">
        <w:rPr>
          <w:rFonts w:asciiTheme="minorHAnsi" w:hAnsiTheme="minorHAnsi" w:cs="Arial"/>
          <w:color w:val="212529"/>
          <w:sz w:val="16"/>
          <w:szCs w:val="16"/>
        </w:rPr>
        <w:t xml:space="preserve">2020803, </w:t>
      </w:r>
      <w:r w:rsidRPr="00F315B6">
        <w:rPr>
          <w:rStyle w:val="bold"/>
          <w:rFonts w:asciiTheme="minorHAnsi" w:eastAsia="PMingLiU" w:hAnsiTheme="minorHAnsi" w:cs="Arial"/>
          <w:color w:val="212529"/>
          <w:sz w:val="16"/>
          <w:szCs w:val="16"/>
        </w:rPr>
        <w:t>Instancia: </w:t>
      </w:r>
      <w:r w:rsidRPr="00F315B6">
        <w:rPr>
          <w:rFonts w:asciiTheme="minorHAnsi" w:hAnsiTheme="minorHAnsi" w:cs="Arial"/>
          <w:color w:val="212529"/>
          <w:sz w:val="16"/>
          <w:szCs w:val="16"/>
        </w:rPr>
        <w:t xml:space="preserve">Tribunales Colegiados de Circuito, </w:t>
      </w:r>
      <w:r w:rsidRPr="00F315B6">
        <w:rPr>
          <w:rStyle w:val="bold"/>
          <w:rFonts w:asciiTheme="minorHAnsi" w:eastAsia="PMingLiU" w:hAnsiTheme="minorHAnsi" w:cs="Arial"/>
          <w:color w:val="212529"/>
          <w:sz w:val="16"/>
          <w:szCs w:val="16"/>
        </w:rPr>
        <w:t>Décima Época, Materia(s): </w:t>
      </w:r>
      <w:r w:rsidRPr="00F315B6">
        <w:rPr>
          <w:rFonts w:asciiTheme="minorHAnsi" w:hAnsiTheme="minorHAnsi" w:cs="Arial"/>
          <w:color w:val="212529"/>
          <w:sz w:val="16"/>
          <w:szCs w:val="16"/>
        </w:rPr>
        <w:t xml:space="preserve">Administrativa, </w:t>
      </w:r>
      <w:r w:rsidRPr="00F315B6">
        <w:rPr>
          <w:rStyle w:val="bold"/>
          <w:rFonts w:asciiTheme="minorHAnsi" w:eastAsia="PMingLiU" w:hAnsiTheme="minorHAnsi" w:cs="Arial"/>
          <w:color w:val="212529"/>
          <w:sz w:val="16"/>
          <w:szCs w:val="16"/>
        </w:rPr>
        <w:t>Tesis: </w:t>
      </w:r>
      <w:r w:rsidRPr="00F315B6">
        <w:rPr>
          <w:rFonts w:asciiTheme="minorHAnsi" w:hAnsiTheme="minorHAnsi" w:cs="Arial"/>
          <w:color w:val="212529"/>
          <w:sz w:val="16"/>
          <w:szCs w:val="16"/>
        </w:rPr>
        <w:t xml:space="preserve">I.4o.A. J/4 (10a.), </w:t>
      </w:r>
      <w:r w:rsidRPr="00F315B6">
        <w:rPr>
          <w:rStyle w:val="bold"/>
          <w:rFonts w:asciiTheme="minorHAnsi" w:eastAsia="PMingLiU" w:hAnsiTheme="minorHAnsi" w:cs="Arial"/>
          <w:color w:val="212529"/>
          <w:sz w:val="16"/>
          <w:szCs w:val="16"/>
        </w:rPr>
        <w:t>Fuente: </w:t>
      </w:r>
      <w:r w:rsidRPr="00F315B6">
        <w:rPr>
          <w:rFonts w:asciiTheme="minorHAnsi" w:hAnsiTheme="minorHAnsi" w:cs="Arial"/>
          <w:color w:val="212529"/>
          <w:sz w:val="16"/>
          <w:szCs w:val="16"/>
        </w:rPr>
        <w:t xml:space="preserve">Gaceta del Semanario Judicial de la Federación, </w:t>
      </w:r>
      <w:r w:rsidRPr="00F315B6">
        <w:rPr>
          <w:rStyle w:val="ng-star-inserted"/>
          <w:rFonts w:asciiTheme="minorHAnsi" w:hAnsiTheme="minorHAnsi" w:cs="Arial"/>
          <w:color w:val="212529"/>
          <w:sz w:val="16"/>
          <w:szCs w:val="16"/>
        </w:rPr>
        <w:t xml:space="preserve">Libro 71, Octubre de 2019, Tomo IV, página 3350, </w:t>
      </w:r>
      <w:r w:rsidRPr="00F315B6">
        <w:rPr>
          <w:rStyle w:val="bold"/>
          <w:rFonts w:asciiTheme="minorHAnsi" w:eastAsia="PMingLiU" w:hAnsiTheme="minorHAnsi" w:cs="Arial"/>
          <w:color w:val="212529"/>
          <w:sz w:val="16"/>
          <w:szCs w:val="16"/>
        </w:rPr>
        <w:t>Tipo: </w:t>
      </w:r>
      <w:r w:rsidRPr="00F315B6">
        <w:rPr>
          <w:rFonts w:asciiTheme="minorHAnsi" w:hAnsiTheme="minorHAnsi" w:cs="Arial"/>
          <w:color w:val="212529"/>
          <w:sz w:val="16"/>
          <w:szCs w:val="16"/>
        </w:rPr>
        <w:t>Jurisprudencia</w:t>
      </w:r>
    </w:p>
    <w:p w14:paraId="7BC0ED81" w14:textId="7463431E" w:rsidR="00EC3B62" w:rsidRDefault="00EC3B62">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D6201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FF4FF1" w:rsidRPr="00FF4FF1">
          <w:rPr>
            <w:noProof/>
            <w:lang w:val="es-ES"/>
          </w:rPr>
          <w:t>8</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09DB890" w:rsidR="00A360DF" w:rsidRDefault="00FF4FF1">
    <w:pPr>
      <w:pStyle w:val="Encabezado"/>
      <w:jc w:val="center"/>
    </w:pPr>
    <w:r w:rsidRPr="008E7C35">
      <w:rPr>
        <w:rFonts w:eastAsiaTheme="minorHAnsi"/>
        <w:noProof/>
      </w:rPr>
      <mc:AlternateContent>
        <mc:Choice Requires="wps">
          <w:drawing>
            <wp:anchor distT="0" distB="0" distL="114300" distR="114300" simplePos="0" relativeHeight="251667456" behindDoc="1" locked="0" layoutInCell="1" allowOverlap="1" wp14:anchorId="6DBE67F1" wp14:editId="4CBFD2AA">
              <wp:simplePos x="0" y="0"/>
              <wp:positionH relativeFrom="leftMargin">
                <wp:posOffset>38100</wp:posOffset>
              </wp:positionH>
              <wp:positionV relativeFrom="paragraph">
                <wp:posOffset>-393065</wp:posOffset>
              </wp:positionV>
              <wp:extent cx="1028700" cy="9906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8700" cy="990600"/>
                      </a:xfrm>
                      <a:prstGeom prst="rect">
                        <a:avLst/>
                      </a:prstGeom>
                      <a:solidFill>
                        <a:sysClr val="window" lastClr="FFFFFF"/>
                      </a:solidFill>
                      <a:ln w="6350">
                        <a:solidFill>
                          <a:prstClr val="black"/>
                        </a:solidFill>
                      </a:ln>
                      <a:effectLst/>
                    </wps:spPr>
                    <wps:txbx>
                      <w:txbxContent>
                        <w:p w14:paraId="18E4C414" w14:textId="77777777" w:rsidR="00FF4FF1" w:rsidRDefault="00FF4FF1" w:rsidP="00FF4FF1">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BE67F1" id="_x0000_t202" coordsize="21600,21600" o:spt="202" path="m,l,21600r21600,l21600,xe">
              <v:stroke joinstyle="miter"/>
              <v:path gradientshapeok="t" o:connecttype="rect"/>
            </v:shapetype>
            <v:shape id="Cuadro de texto 1" o:spid="_x0000_s1026" type="#_x0000_t202" style="position:absolute;left:0;text-align:left;margin-left:3pt;margin-top:-30.95pt;width:81pt;height:78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" fillcolor="window" strokeweight=".5pt">
              <v:path arrowok="t"/>
              <v:textbox>
                <w:txbxContent>
                  <w:p w14:paraId="18E4C414" w14:textId="77777777" w:rsidR="00FF4FF1" w:rsidRDefault="00FF4FF1" w:rsidP="00FF4FF1">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D62014">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Pr="00FF4FF1">
          <w:rPr>
            <w:noProof/>
            <w:lang w:val="es-ES"/>
          </w:rPr>
          <w:t>7</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7751BD">
          <w:rPr>
            <w:rFonts w:ascii="Century Schoolbook" w:hAnsi="Century Schoolbook" w:cs="Arial"/>
            <w:b/>
            <w:bCs/>
          </w:rPr>
          <w:t>0083</w:t>
        </w:r>
        <w:r w:rsidR="007C7A1C">
          <w:rPr>
            <w:rFonts w:ascii="Century Schoolbook" w:hAnsi="Century Schoolbook" w:cs="Arial"/>
            <w:b/>
            <w:bCs/>
          </w:rPr>
          <w:t>/20</w:t>
        </w:r>
        <w:r w:rsidR="007751BD">
          <w:rPr>
            <w:rFonts w:ascii="Century Schoolbook" w:hAnsi="Century Schoolbook" w:cs="Arial"/>
            <w:b/>
            <w:bCs/>
          </w:rPr>
          <w:t>21</w:t>
        </w:r>
      </w:sdtContent>
    </w:sdt>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D6201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9E"/>
    <w:rsid w:val="003B6581"/>
    <w:rsid w:val="003B6C7E"/>
    <w:rsid w:val="003B79F9"/>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014"/>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5B6"/>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4FF1"/>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034D6-6E53-430A-A9CF-EB06CEB91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3315</Words>
  <Characters>18233</Characters>
  <Application>Microsoft Office Word</Application>
  <DocSecurity>0</DocSecurity>
  <Lines>151</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3</cp:revision>
  <cp:lastPrinted>2022-10-27T15:31:00Z</cp:lastPrinted>
  <dcterms:created xsi:type="dcterms:W3CDTF">2022-10-27T15:32:00Z</dcterms:created>
  <dcterms:modified xsi:type="dcterms:W3CDTF">2023-10-25T00:58:00Z</dcterms:modified>
</cp:coreProperties>
</file>