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0000001" w14:textId="77777777" w:rsidR="001540EC" w:rsidRDefault="00BE3F92">
      <w:pPr>
        <w:pBdr>
          <w:top w:val="nil"/>
          <w:left w:val="nil"/>
          <w:bottom w:val="nil"/>
          <w:right w:val="nil"/>
          <w:between w:val="nil"/>
        </w:pBdr>
        <w:tabs>
          <w:tab w:val="center" w:pos="4419"/>
          <w:tab w:val="right" w:pos="883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SEXTA SALA UNITARIA DE PRIMERA INSTANCIA DEL TRIBUNAL DE JUSTICIA ADMINISTRATIVA DEL ESTADO DE OAXACA.</w:t>
      </w:r>
    </w:p>
    <w:p w14:paraId="00000002" w14:textId="77777777" w:rsidR="001540EC" w:rsidRDefault="001540EC">
      <w:pPr>
        <w:pBdr>
          <w:top w:val="nil"/>
          <w:left w:val="nil"/>
          <w:bottom w:val="nil"/>
          <w:right w:val="nil"/>
          <w:between w:val="nil"/>
        </w:pBdr>
        <w:tabs>
          <w:tab w:val="center" w:pos="4419"/>
          <w:tab w:val="right" w:pos="8838"/>
        </w:tabs>
        <w:spacing w:after="0" w:line="240" w:lineRule="auto"/>
        <w:ind w:left="4248"/>
        <w:jc w:val="both"/>
        <w:rPr>
          <w:rFonts w:ascii="Arial" w:eastAsia="Arial" w:hAnsi="Arial" w:cs="Arial"/>
          <w:b/>
          <w:color w:val="000000"/>
          <w:sz w:val="24"/>
          <w:szCs w:val="24"/>
        </w:rPr>
      </w:pPr>
    </w:p>
    <w:p w14:paraId="00000003" w14:textId="6AA52D46" w:rsidR="001540EC" w:rsidRDefault="00BE3F92">
      <w:pPr>
        <w:pBdr>
          <w:top w:val="nil"/>
          <w:left w:val="nil"/>
          <w:bottom w:val="nil"/>
          <w:right w:val="nil"/>
          <w:between w:val="nil"/>
        </w:pBdr>
        <w:tabs>
          <w:tab w:val="center" w:pos="4419"/>
          <w:tab w:val="right" w:pos="8838"/>
        </w:tabs>
        <w:spacing w:after="0" w:line="240" w:lineRule="auto"/>
        <w:ind w:left="2832" w:right="-93" w:firstLine="570"/>
        <w:jc w:val="both"/>
        <w:rPr>
          <w:rFonts w:ascii="Arial" w:eastAsia="Arial" w:hAnsi="Arial" w:cs="Arial"/>
          <w:b/>
          <w:color w:val="000000"/>
          <w:sz w:val="24"/>
          <w:szCs w:val="24"/>
        </w:rPr>
      </w:pPr>
      <w:r>
        <w:rPr>
          <w:rFonts w:ascii="Arial" w:eastAsia="Arial" w:hAnsi="Arial" w:cs="Arial"/>
          <w:b/>
          <w:color w:val="000000"/>
          <w:sz w:val="24"/>
          <w:szCs w:val="24"/>
        </w:rPr>
        <w:t xml:space="preserve">EXPEDIENTE: </w:t>
      </w:r>
      <w:r w:rsidR="008503FB">
        <w:rPr>
          <w:rFonts w:ascii="Arial" w:eastAsia="Arial" w:hAnsi="Arial" w:cs="Arial"/>
          <w:color w:val="000000"/>
          <w:sz w:val="24"/>
          <w:szCs w:val="24"/>
        </w:rPr>
        <w:t>0086</w:t>
      </w:r>
      <w:r>
        <w:rPr>
          <w:rFonts w:ascii="Arial" w:eastAsia="Arial" w:hAnsi="Arial" w:cs="Arial"/>
          <w:color w:val="000000"/>
          <w:sz w:val="24"/>
          <w:szCs w:val="24"/>
        </w:rPr>
        <w:t>/2019</w:t>
      </w:r>
    </w:p>
    <w:p w14:paraId="00000004" w14:textId="77777777" w:rsidR="001540EC" w:rsidRDefault="001540EC">
      <w:pPr>
        <w:pBdr>
          <w:top w:val="nil"/>
          <w:left w:val="nil"/>
          <w:bottom w:val="nil"/>
          <w:right w:val="nil"/>
          <w:between w:val="nil"/>
        </w:pBdr>
        <w:tabs>
          <w:tab w:val="center" w:pos="4419"/>
          <w:tab w:val="right" w:pos="8838"/>
          <w:tab w:val="center" w:pos="8931"/>
        </w:tabs>
        <w:spacing w:after="0" w:line="240" w:lineRule="auto"/>
        <w:jc w:val="both"/>
        <w:rPr>
          <w:rFonts w:ascii="Arial" w:eastAsia="Arial" w:hAnsi="Arial" w:cs="Arial"/>
          <w:b/>
          <w:color w:val="000000"/>
          <w:sz w:val="24"/>
          <w:szCs w:val="24"/>
        </w:rPr>
      </w:pPr>
    </w:p>
    <w:p w14:paraId="00000005" w14:textId="047A66DA" w:rsidR="001540EC" w:rsidRDefault="00BE3F92">
      <w:pPr>
        <w:pBdr>
          <w:top w:val="nil"/>
          <w:left w:val="nil"/>
          <w:bottom w:val="nil"/>
          <w:right w:val="nil"/>
          <w:between w:val="nil"/>
        </w:pBdr>
        <w:tabs>
          <w:tab w:val="center" w:pos="4419"/>
          <w:tab w:val="right" w:pos="8838"/>
        </w:tabs>
        <w:spacing w:after="0" w:line="240" w:lineRule="auto"/>
        <w:ind w:left="3402"/>
        <w:jc w:val="both"/>
        <w:rPr>
          <w:rFonts w:ascii="Arial" w:eastAsia="Arial" w:hAnsi="Arial" w:cs="Arial"/>
          <w:color w:val="FF0000"/>
          <w:sz w:val="24"/>
          <w:szCs w:val="24"/>
        </w:rPr>
      </w:pPr>
      <w:r>
        <w:rPr>
          <w:rFonts w:ascii="Arial" w:eastAsia="Arial" w:hAnsi="Arial" w:cs="Arial"/>
          <w:b/>
          <w:color w:val="000000"/>
          <w:sz w:val="24"/>
          <w:szCs w:val="24"/>
        </w:rPr>
        <w:t xml:space="preserve">ACTOR: </w:t>
      </w:r>
      <w:r w:rsidR="00171999">
        <w:rPr>
          <w:rFonts w:ascii="Arial" w:eastAsia="Arial" w:hAnsi="Arial" w:cs="Arial"/>
          <w:color w:val="FF0000"/>
          <w:sz w:val="24"/>
          <w:szCs w:val="24"/>
        </w:rPr>
        <w:t>**********</w:t>
      </w:r>
      <w:r w:rsidR="0096080F">
        <w:rPr>
          <w:rFonts w:ascii="Arial" w:eastAsia="Arial" w:hAnsi="Arial" w:cs="Arial"/>
          <w:color w:val="FF0000"/>
          <w:sz w:val="24"/>
          <w:szCs w:val="24"/>
        </w:rPr>
        <w:t>.</w:t>
      </w:r>
    </w:p>
    <w:p w14:paraId="00000006" w14:textId="77777777" w:rsidR="001540EC" w:rsidRDefault="001540EC">
      <w:pPr>
        <w:pBdr>
          <w:top w:val="nil"/>
          <w:left w:val="nil"/>
          <w:bottom w:val="nil"/>
          <w:right w:val="nil"/>
          <w:between w:val="nil"/>
        </w:pBdr>
        <w:tabs>
          <w:tab w:val="center" w:pos="4419"/>
          <w:tab w:val="right" w:pos="8838"/>
        </w:tabs>
        <w:spacing w:after="0" w:line="240" w:lineRule="auto"/>
        <w:ind w:left="4248"/>
        <w:jc w:val="both"/>
        <w:rPr>
          <w:rFonts w:ascii="Arial" w:eastAsia="Arial" w:hAnsi="Arial" w:cs="Arial"/>
          <w:b/>
          <w:color w:val="000000"/>
          <w:sz w:val="24"/>
          <w:szCs w:val="24"/>
        </w:rPr>
      </w:pPr>
    </w:p>
    <w:p w14:paraId="00000007" w14:textId="0EB6A1AF" w:rsidR="001540EC" w:rsidRDefault="00BE3F92">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color w:val="000000"/>
          <w:sz w:val="24"/>
          <w:szCs w:val="24"/>
        </w:rPr>
      </w:pPr>
      <w:r>
        <w:rPr>
          <w:rFonts w:ascii="Arial" w:eastAsia="Arial" w:hAnsi="Arial" w:cs="Arial"/>
          <w:b/>
          <w:color w:val="000000"/>
          <w:sz w:val="24"/>
          <w:szCs w:val="24"/>
        </w:rPr>
        <w:t xml:space="preserve">DEMANDADA: </w:t>
      </w:r>
      <w:r w:rsidR="008503FB">
        <w:rPr>
          <w:rFonts w:ascii="Arial" w:eastAsia="Arial" w:hAnsi="Arial" w:cs="Arial"/>
          <w:color w:val="000000"/>
          <w:sz w:val="24"/>
          <w:szCs w:val="24"/>
        </w:rPr>
        <w:t>COORDINADOR DE ADMINISTRACIÓN Y FINANZAS DEL MUNICIPIO DE OAXACA DE JUÁREZ Y OTROS.</w:t>
      </w:r>
    </w:p>
    <w:p w14:paraId="00000008" w14:textId="77777777" w:rsidR="001540EC" w:rsidRDefault="001540EC">
      <w:pPr>
        <w:pBdr>
          <w:top w:val="nil"/>
          <w:left w:val="nil"/>
          <w:bottom w:val="nil"/>
          <w:right w:val="nil"/>
          <w:between w:val="nil"/>
        </w:pBdr>
        <w:tabs>
          <w:tab w:val="center" w:pos="4419"/>
          <w:tab w:val="right" w:pos="8838"/>
          <w:tab w:val="center" w:pos="-1418"/>
        </w:tabs>
        <w:spacing w:after="0" w:line="240" w:lineRule="auto"/>
        <w:ind w:left="3540"/>
        <w:jc w:val="both"/>
        <w:rPr>
          <w:rFonts w:ascii="Arial" w:eastAsia="Arial" w:hAnsi="Arial" w:cs="Arial"/>
          <w:b/>
          <w:color w:val="000000"/>
          <w:sz w:val="24"/>
          <w:szCs w:val="24"/>
        </w:rPr>
      </w:pPr>
    </w:p>
    <w:p w14:paraId="00000009" w14:textId="77777777" w:rsidR="001540EC" w:rsidRDefault="00BE3F92">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MAGISTRADA: MAESTRA CAMELIA GASPAR MARTÍNEZ.</w:t>
      </w:r>
    </w:p>
    <w:p w14:paraId="0000000A" w14:textId="77777777" w:rsidR="001540EC" w:rsidRDefault="001540EC">
      <w:pPr>
        <w:pBdr>
          <w:top w:val="nil"/>
          <w:left w:val="nil"/>
          <w:bottom w:val="nil"/>
          <w:right w:val="nil"/>
          <w:between w:val="nil"/>
        </w:pBdr>
        <w:tabs>
          <w:tab w:val="center" w:pos="4419"/>
          <w:tab w:val="right" w:pos="8838"/>
          <w:tab w:val="center" w:pos="-1418"/>
        </w:tabs>
        <w:spacing w:after="0" w:line="240" w:lineRule="auto"/>
        <w:ind w:left="3540"/>
        <w:jc w:val="both"/>
        <w:rPr>
          <w:rFonts w:ascii="Arial" w:eastAsia="Arial" w:hAnsi="Arial" w:cs="Arial"/>
          <w:b/>
          <w:color w:val="000000"/>
          <w:sz w:val="24"/>
          <w:szCs w:val="24"/>
        </w:rPr>
      </w:pPr>
    </w:p>
    <w:p w14:paraId="0000000B" w14:textId="77777777" w:rsidR="001540EC" w:rsidRDefault="00BE3F92">
      <w:pPr>
        <w:pBdr>
          <w:top w:val="nil"/>
          <w:left w:val="nil"/>
          <w:bottom w:val="nil"/>
          <w:right w:val="nil"/>
          <w:between w:val="nil"/>
        </w:pBdr>
        <w:tabs>
          <w:tab w:val="center" w:pos="4419"/>
          <w:tab w:val="right" w:pos="8838"/>
          <w:tab w:val="center" w:pos="-1418"/>
        </w:tabs>
        <w:spacing w:after="0" w:line="240" w:lineRule="auto"/>
        <w:ind w:left="3402"/>
        <w:jc w:val="both"/>
        <w:rPr>
          <w:rFonts w:ascii="Arial" w:eastAsia="Arial" w:hAnsi="Arial" w:cs="Arial"/>
          <w:b/>
          <w:color w:val="000000"/>
          <w:sz w:val="24"/>
          <w:szCs w:val="24"/>
        </w:rPr>
      </w:pPr>
      <w:r>
        <w:rPr>
          <w:rFonts w:ascii="Arial" w:eastAsia="Arial" w:hAnsi="Arial" w:cs="Arial"/>
          <w:b/>
          <w:color w:val="000000"/>
          <w:sz w:val="24"/>
          <w:szCs w:val="24"/>
        </w:rPr>
        <w:t>SECRETARIO: LICENCIADO RENATO GABRIEL IBÁÑEZ CASTELLANOS.</w:t>
      </w:r>
    </w:p>
    <w:p w14:paraId="0000000C" w14:textId="77777777" w:rsidR="001540EC" w:rsidRDefault="001540EC">
      <w:pPr>
        <w:spacing w:after="0" w:line="360" w:lineRule="auto"/>
        <w:jc w:val="both"/>
        <w:rPr>
          <w:rFonts w:ascii="Arial" w:eastAsia="Arial" w:hAnsi="Arial" w:cs="Arial"/>
          <w:b/>
          <w:sz w:val="24"/>
          <w:szCs w:val="24"/>
        </w:rPr>
      </w:pPr>
    </w:p>
    <w:p w14:paraId="0000000D" w14:textId="46A95E37" w:rsidR="001540EC" w:rsidRDefault="00BE3F92">
      <w:pPr>
        <w:pBdr>
          <w:top w:val="nil"/>
          <w:left w:val="nil"/>
          <w:bottom w:val="nil"/>
          <w:right w:val="nil"/>
          <w:between w:val="nil"/>
        </w:pBdr>
        <w:tabs>
          <w:tab w:val="center" w:pos="4419"/>
          <w:tab w:val="right" w:pos="8838"/>
        </w:tabs>
        <w:spacing w:after="0" w:line="360" w:lineRule="auto"/>
        <w:jc w:val="both"/>
        <w:rPr>
          <w:rFonts w:ascii="Arial" w:eastAsia="Arial" w:hAnsi="Arial" w:cs="Arial"/>
          <w:b/>
          <w:color w:val="000000"/>
          <w:sz w:val="24"/>
          <w:szCs w:val="24"/>
        </w:rPr>
      </w:pPr>
      <w:r>
        <w:rPr>
          <w:rFonts w:ascii="Arial" w:eastAsia="Arial" w:hAnsi="Arial" w:cs="Arial"/>
          <w:b/>
          <w:color w:val="000000"/>
          <w:sz w:val="24"/>
          <w:szCs w:val="24"/>
        </w:rPr>
        <w:t xml:space="preserve">OAXACA DE JUÁREZ, OAXACA A </w:t>
      </w:r>
      <w:r w:rsidR="00CD452F">
        <w:rPr>
          <w:rFonts w:ascii="Arial" w:eastAsia="Arial" w:hAnsi="Arial" w:cs="Arial"/>
          <w:b/>
          <w:color w:val="000000"/>
          <w:sz w:val="24"/>
          <w:szCs w:val="24"/>
        </w:rPr>
        <w:t xml:space="preserve">VEINTICINCO DE FEBRERO </w:t>
      </w:r>
      <w:r>
        <w:rPr>
          <w:rFonts w:ascii="Arial" w:eastAsia="Arial" w:hAnsi="Arial" w:cs="Arial"/>
          <w:b/>
          <w:color w:val="000000"/>
          <w:sz w:val="24"/>
          <w:szCs w:val="24"/>
        </w:rPr>
        <w:t xml:space="preserve"> DE DOS MIL VEINTIDÓS. - - - - - - - - - - - - - - - - - - - - - - - - - - - - - - - - </w:t>
      </w:r>
      <w:r w:rsidR="00CD452F">
        <w:rPr>
          <w:rFonts w:ascii="Arial" w:eastAsia="Arial" w:hAnsi="Arial" w:cs="Arial"/>
          <w:b/>
          <w:color w:val="000000"/>
          <w:sz w:val="24"/>
          <w:szCs w:val="24"/>
        </w:rPr>
        <w:t>- - - - - - - - - - - -</w:t>
      </w:r>
    </w:p>
    <w:p w14:paraId="0000000E" w14:textId="2F32145C" w:rsidR="001540EC" w:rsidRDefault="00BE3F92">
      <w:pPr>
        <w:spacing w:before="240" w:after="0" w:line="360" w:lineRule="auto"/>
        <w:ind w:firstLine="567"/>
        <w:jc w:val="both"/>
        <w:rPr>
          <w:rFonts w:ascii="Arial" w:eastAsia="Arial" w:hAnsi="Arial" w:cs="Arial"/>
          <w:sz w:val="24"/>
          <w:szCs w:val="24"/>
        </w:rPr>
      </w:pPr>
      <w:r>
        <w:rPr>
          <w:rFonts w:ascii="Arial" w:eastAsia="Arial" w:hAnsi="Arial" w:cs="Arial"/>
          <w:b/>
          <w:sz w:val="24"/>
          <w:szCs w:val="24"/>
        </w:rPr>
        <w:t xml:space="preserve">VISTOS, </w:t>
      </w:r>
      <w:r>
        <w:rPr>
          <w:rFonts w:ascii="Arial" w:eastAsia="Arial" w:hAnsi="Arial" w:cs="Arial"/>
          <w:sz w:val="24"/>
          <w:szCs w:val="24"/>
        </w:rPr>
        <w:t xml:space="preserve">para resolver los autos del juicio de nulidad de número </w:t>
      </w:r>
      <w:r w:rsidR="008503FB">
        <w:rPr>
          <w:rFonts w:ascii="Arial" w:eastAsia="Arial" w:hAnsi="Arial" w:cs="Arial"/>
          <w:b/>
          <w:sz w:val="24"/>
          <w:szCs w:val="24"/>
        </w:rPr>
        <w:t>0086</w:t>
      </w:r>
      <w:r>
        <w:rPr>
          <w:rFonts w:ascii="Arial" w:eastAsia="Arial" w:hAnsi="Arial" w:cs="Arial"/>
          <w:b/>
          <w:sz w:val="24"/>
          <w:szCs w:val="24"/>
        </w:rPr>
        <w:t>/2019,</w:t>
      </w:r>
      <w:r>
        <w:rPr>
          <w:rFonts w:ascii="Arial" w:eastAsia="Arial" w:hAnsi="Arial" w:cs="Arial"/>
          <w:sz w:val="24"/>
          <w:szCs w:val="24"/>
        </w:rPr>
        <w:t xml:space="preserve"> promovido por </w:t>
      </w:r>
      <w:r w:rsidR="00171999">
        <w:rPr>
          <w:rFonts w:ascii="Arial" w:eastAsia="Arial" w:hAnsi="Arial" w:cs="Arial"/>
          <w:b/>
          <w:color w:val="FF0000"/>
          <w:sz w:val="24"/>
          <w:szCs w:val="24"/>
        </w:rPr>
        <w:t>**********</w:t>
      </w:r>
      <w:r>
        <w:rPr>
          <w:rFonts w:ascii="Arial" w:eastAsia="Arial" w:hAnsi="Arial" w:cs="Arial"/>
          <w:b/>
          <w:sz w:val="24"/>
          <w:szCs w:val="24"/>
        </w:rPr>
        <w:t xml:space="preserve"> </w:t>
      </w:r>
      <w:r>
        <w:rPr>
          <w:rFonts w:ascii="Arial" w:eastAsia="Arial" w:hAnsi="Arial" w:cs="Arial"/>
          <w:sz w:val="24"/>
          <w:szCs w:val="24"/>
        </w:rPr>
        <w:t xml:space="preserve">en contra del </w:t>
      </w:r>
      <w:r w:rsidR="008503FB">
        <w:rPr>
          <w:rFonts w:ascii="Arial" w:eastAsia="Arial" w:hAnsi="Arial" w:cs="Arial"/>
          <w:b/>
          <w:sz w:val="24"/>
          <w:szCs w:val="24"/>
        </w:rPr>
        <w:t xml:space="preserve">COORDINADOR DE FINANZAS Y ADMINISTRACIÓN, </w:t>
      </w:r>
      <w:r w:rsidR="008503FB">
        <w:rPr>
          <w:rFonts w:ascii="Arial" w:eastAsia="Arial" w:hAnsi="Arial" w:cs="Arial"/>
          <w:sz w:val="24"/>
          <w:szCs w:val="24"/>
        </w:rPr>
        <w:t xml:space="preserve">de la </w:t>
      </w:r>
      <w:r w:rsidR="008503FB">
        <w:rPr>
          <w:rFonts w:ascii="Arial" w:eastAsia="Arial" w:hAnsi="Arial" w:cs="Arial"/>
          <w:b/>
          <w:sz w:val="24"/>
          <w:szCs w:val="24"/>
        </w:rPr>
        <w:t>TESORERA MUNICIPAL</w:t>
      </w:r>
      <w:r w:rsidR="008503FB">
        <w:rPr>
          <w:rFonts w:ascii="Arial" w:eastAsia="Arial" w:hAnsi="Arial" w:cs="Arial"/>
          <w:sz w:val="24"/>
          <w:szCs w:val="24"/>
        </w:rPr>
        <w:t xml:space="preserve">, y de la </w:t>
      </w:r>
      <w:r w:rsidR="008503FB">
        <w:rPr>
          <w:rFonts w:ascii="Arial" w:eastAsia="Arial" w:hAnsi="Arial" w:cs="Arial"/>
          <w:b/>
          <w:sz w:val="24"/>
          <w:szCs w:val="24"/>
        </w:rPr>
        <w:t xml:space="preserve">RECAUDACIÓN DE RENTAS DEPENDIENTE DE LA TESORERÍA MUNICIPAL, AUTORIDADES DEL MUNICIPIO DE OAXACA DE JUÁREZ, </w:t>
      </w:r>
      <w:proofErr w:type="gramStart"/>
      <w:r w:rsidR="008503FB">
        <w:rPr>
          <w:rFonts w:ascii="Arial" w:eastAsia="Arial" w:hAnsi="Arial" w:cs="Arial"/>
          <w:b/>
          <w:sz w:val="24"/>
          <w:szCs w:val="24"/>
        </w:rPr>
        <w:t>OAXACA</w:t>
      </w:r>
      <w:r>
        <w:rPr>
          <w:rFonts w:ascii="Arial" w:eastAsia="Arial" w:hAnsi="Arial" w:cs="Arial"/>
          <w:sz w:val="24"/>
          <w:szCs w:val="24"/>
        </w:rPr>
        <w:t>.-</w:t>
      </w:r>
      <w:proofErr w:type="gramEnd"/>
      <w:r>
        <w:rPr>
          <w:rFonts w:ascii="Arial" w:eastAsia="Arial" w:hAnsi="Arial" w:cs="Arial"/>
          <w:sz w:val="24"/>
          <w:szCs w:val="24"/>
        </w:rPr>
        <w:t xml:space="preserve"> - - - - - - - - - - - - - - - - - -</w:t>
      </w:r>
      <w:r w:rsidR="008503FB">
        <w:rPr>
          <w:rFonts w:ascii="Arial" w:eastAsia="Arial" w:hAnsi="Arial" w:cs="Arial"/>
          <w:sz w:val="24"/>
          <w:szCs w:val="24"/>
        </w:rPr>
        <w:t xml:space="preserve"> - - - - - - - - - - - - - - - - - - - - </w:t>
      </w:r>
    </w:p>
    <w:p w14:paraId="0000000F" w14:textId="77777777" w:rsidR="001540EC" w:rsidRDefault="00BE3F92">
      <w:pPr>
        <w:spacing w:before="240" w:after="0" w:line="360" w:lineRule="auto"/>
        <w:jc w:val="center"/>
        <w:rPr>
          <w:rFonts w:ascii="Arial" w:eastAsia="Arial" w:hAnsi="Arial" w:cs="Arial"/>
          <w:b/>
          <w:sz w:val="24"/>
          <w:szCs w:val="24"/>
        </w:rPr>
      </w:pPr>
      <w:r>
        <w:rPr>
          <w:rFonts w:ascii="Arial" w:eastAsia="Arial" w:hAnsi="Arial" w:cs="Arial"/>
          <w:b/>
          <w:sz w:val="24"/>
          <w:szCs w:val="24"/>
        </w:rPr>
        <w:t>A N T E C E D E N T E S</w:t>
      </w:r>
    </w:p>
    <w:p w14:paraId="00000011" w14:textId="77327C54" w:rsidR="001540EC" w:rsidRDefault="00BE3F92" w:rsidP="006776DA">
      <w:pPr>
        <w:spacing w:before="240" w:line="360" w:lineRule="auto"/>
        <w:ind w:firstLine="567"/>
        <w:jc w:val="both"/>
        <w:rPr>
          <w:rFonts w:ascii="Arial" w:eastAsia="Arial" w:hAnsi="Arial" w:cs="Arial"/>
          <w:sz w:val="24"/>
          <w:szCs w:val="24"/>
        </w:rPr>
      </w:pPr>
      <w:r>
        <w:rPr>
          <w:rFonts w:ascii="Arial" w:eastAsia="Arial" w:hAnsi="Arial" w:cs="Arial"/>
          <w:b/>
          <w:sz w:val="24"/>
          <w:szCs w:val="24"/>
        </w:rPr>
        <w:t xml:space="preserve">PRIMERO. </w:t>
      </w:r>
      <w:r>
        <w:rPr>
          <w:rFonts w:ascii="Arial" w:eastAsia="Arial" w:hAnsi="Arial" w:cs="Arial"/>
          <w:sz w:val="24"/>
          <w:szCs w:val="24"/>
        </w:rPr>
        <w:t xml:space="preserve">Por auto de </w:t>
      </w:r>
      <w:r w:rsidR="00A73B80">
        <w:rPr>
          <w:rFonts w:ascii="Arial" w:eastAsia="Arial" w:hAnsi="Arial" w:cs="Arial"/>
          <w:sz w:val="24"/>
          <w:szCs w:val="24"/>
        </w:rPr>
        <w:t xml:space="preserve">veintisiete de agosto de dos mil diecinueve, </w:t>
      </w:r>
      <w:r>
        <w:rPr>
          <w:rFonts w:ascii="Arial" w:eastAsia="Arial" w:hAnsi="Arial" w:cs="Arial"/>
          <w:sz w:val="24"/>
          <w:szCs w:val="24"/>
        </w:rPr>
        <w:t xml:space="preserve">se </w:t>
      </w:r>
      <w:r>
        <w:rPr>
          <w:rFonts w:ascii="Arial" w:eastAsia="Arial" w:hAnsi="Arial" w:cs="Arial"/>
          <w:b/>
          <w:sz w:val="24"/>
          <w:szCs w:val="24"/>
        </w:rPr>
        <w:t xml:space="preserve">admitió </w:t>
      </w:r>
      <w:r>
        <w:rPr>
          <w:rFonts w:ascii="Arial" w:eastAsia="Arial" w:hAnsi="Arial" w:cs="Arial"/>
          <w:sz w:val="24"/>
          <w:szCs w:val="24"/>
        </w:rPr>
        <w:t xml:space="preserve">a trámite su demanda de nulidad </w:t>
      </w:r>
      <w:r w:rsidR="006776DA">
        <w:rPr>
          <w:rFonts w:ascii="Arial" w:eastAsia="Arial" w:hAnsi="Arial" w:cs="Arial"/>
          <w:sz w:val="24"/>
          <w:szCs w:val="24"/>
        </w:rPr>
        <w:t>del acto</w:t>
      </w:r>
      <w:r w:rsidR="00171999">
        <w:rPr>
          <w:rFonts w:ascii="Arial" w:eastAsia="Arial" w:hAnsi="Arial" w:cs="Arial"/>
          <w:sz w:val="24"/>
          <w:szCs w:val="24"/>
        </w:rPr>
        <w:t>r</w:t>
      </w:r>
      <w:r w:rsidR="006776DA">
        <w:rPr>
          <w:rFonts w:ascii="Arial" w:eastAsia="Arial" w:hAnsi="Arial" w:cs="Arial"/>
          <w:sz w:val="24"/>
          <w:szCs w:val="24"/>
        </w:rPr>
        <w:t xml:space="preserve">, </w:t>
      </w:r>
      <w:r>
        <w:rPr>
          <w:rFonts w:ascii="Arial" w:eastAsia="Arial" w:hAnsi="Arial" w:cs="Arial"/>
          <w:sz w:val="24"/>
          <w:szCs w:val="24"/>
        </w:rPr>
        <w:t xml:space="preserve">en contra del </w:t>
      </w:r>
      <w:r w:rsidR="006776DA">
        <w:rPr>
          <w:rFonts w:ascii="Arial" w:eastAsia="Arial" w:hAnsi="Arial" w:cs="Arial"/>
          <w:sz w:val="24"/>
          <w:szCs w:val="24"/>
        </w:rPr>
        <w:t xml:space="preserve">Coordinador de Finanzas y Administración, </w:t>
      </w:r>
      <w:r w:rsidR="00DE0778">
        <w:rPr>
          <w:rFonts w:ascii="Arial" w:eastAsia="Arial" w:hAnsi="Arial" w:cs="Arial"/>
          <w:sz w:val="24"/>
          <w:szCs w:val="24"/>
        </w:rPr>
        <w:t xml:space="preserve">de la </w:t>
      </w:r>
      <w:r w:rsidR="006776DA">
        <w:rPr>
          <w:rFonts w:ascii="Arial" w:eastAsia="Arial" w:hAnsi="Arial" w:cs="Arial"/>
          <w:sz w:val="24"/>
          <w:szCs w:val="24"/>
        </w:rPr>
        <w:t xml:space="preserve">Tesorera Municipal y </w:t>
      </w:r>
      <w:r w:rsidR="00DE0778">
        <w:rPr>
          <w:rFonts w:ascii="Arial" w:eastAsia="Arial" w:hAnsi="Arial" w:cs="Arial"/>
          <w:sz w:val="24"/>
          <w:szCs w:val="24"/>
        </w:rPr>
        <w:t>de la</w:t>
      </w:r>
      <w:r w:rsidR="006776DA">
        <w:rPr>
          <w:rFonts w:ascii="Arial" w:eastAsia="Arial" w:hAnsi="Arial" w:cs="Arial"/>
          <w:sz w:val="24"/>
          <w:szCs w:val="24"/>
        </w:rPr>
        <w:t xml:space="preserve"> Recaudación de Rentas </w:t>
      </w:r>
      <w:r w:rsidR="00DE0778">
        <w:rPr>
          <w:rFonts w:ascii="Arial" w:eastAsia="Arial" w:hAnsi="Arial" w:cs="Arial"/>
          <w:sz w:val="24"/>
          <w:szCs w:val="24"/>
        </w:rPr>
        <w:t>dependiente de la Tesorería Municipal</w:t>
      </w:r>
      <w:r>
        <w:rPr>
          <w:rFonts w:ascii="Arial" w:eastAsia="Arial" w:hAnsi="Arial" w:cs="Arial"/>
          <w:sz w:val="24"/>
          <w:szCs w:val="24"/>
        </w:rPr>
        <w:t>, autoridades de</w:t>
      </w:r>
      <w:r w:rsidR="00DE0778">
        <w:rPr>
          <w:rFonts w:ascii="Arial" w:eastAsia="Arial" w:hAnsi="Arial" w:cs="Arial"/>
          <w:sz w:val="24"/>
          <w:szCs w:val="24"/>
        </w:rPr>
        <w:t>l Municipio de Oaxaca de Juárez, Oaxaca</w:t>
      </w:r>
      <w:r>
        <w:rPr>
          <w:rFonts w:ascii="Arial" w:eastAsia="Arial" w:hAnsi="Arial" w:cs="Arial"/>
          <w:sz w:val="24"/>
          <w:szCs w:val="24"/>
        </w:rPr>
        <w:t>; por lo que, se ordenó notificar, emplazar y correr traslado a dichas autoridades, para que dentro del plazo de nueve días hábiles produjeran su contestación, con el apercibimiento, que de no hacerlo dentro del plazo concedido, se les tendría contestando la demanda en sentido afirmativo, y de no referirse a todos los hechos, se le tendrían como ciertos.</w:t>
      </w:r>
    </w:p>
    <w:p w14:paraId="00000012" w14:textId="11B2672A" w:rsidR="001540EC" w:rsidRDefault="00E947E9">
      <w:pPr>
        <w:spacing w:after="200" w:line="360" w:lineRule="auto"/>
        <w:ind w:right="51" w:firstLine="567"/>
        <w:jc w:val="both"/>
        <w:rPr>
          <w:rFonts w:ascii="Arial" w:eastAsia="Arial" w:hAnsi="Arial" w:cs="Arial"/>
          <w:sz w:val="24"/>
          <w:szCs w:val="24"/>
        </w:rPr>
      </w:pPr>
      <w:r>
        <w:rPr>
          <w:rFonts w:ascii="Arial" w:eastAsia="Arial" w:hAnsi="Arial" w:cs="Arial"/>
          <w:b/>
          <w:sz w:val="24"/>
          <w:szCs w:val="24"/>
        </w:rPr>
        <w:t>SEGUNDO</w:t>
      </w:r>
      <w:r w:rsidR="00BE3F92">
        <w:rPr>
          <w:rFonts w:ascii="Arial" w:eastAsia="Arial" w:hAnsi="Arial" w:cs="Arial"/>
          <w:b/>
          <w:sz w:val="24"/>
          <w:szCs w:val="24"/>
        </w:rPr>
        <w:t xml:space="preserve">. </w:t>
      </w:r>
      <w:r w:rsidR="00BE3F92">
        <w:rPr>
          <w:rFonts w:ascii="Arial" w:eastAsia="Arial" w:hAnsi="Arial" w:cs="Arial"/>
          <w:sz w:val="24"/>
          <w:szCs w:val="24"/>
        </w:rPr>
        <w:t xml:space="preserve">Mediante proveído de </w:t>
      </w:r>
      <w:r w:rsidR="00DE0778">
        <w:rPr>
          <w:rFonts w:ascii="Arial" w:eastAsia="Arial" w:hAnsi="Arial" w:cs="Arial"/>
          <w:sz w:val="24"/>
          <w:szCs w:val="24"/>
        </w:rPr>
        <w:t>cuatro de marzo de dos mil veinte</w:t>
      </w:r>
      <w:r w:rsidR="00602C1F">
        <w:rPr>
          <w:rFonts w:ascii="Arial" w:eastAsia="Arial" w:hAnsi="Arial" w:cs="Arial"/>
          <w:sz w:val="24"/>
          <w:szCs w:val="24"/>
        </w:rPr>
        <w:t xml:space="preserve">, la </w:t>
      </w:r>
      <w:r w:rsidR="00602C1F">
        <w:rPr>
          <w:rFonts w:ascii="Arial" w:eastAsia="Arial" w:hAnsi="Arial" w:cs="Arial"/>
          <w:b/>
          <w:sz w:val="24"/>
          <w:szCs w:val="24"/>
        </w:rPr>
        <w:t>Tesorera Municipal y la Jefa de Recaudación, ambas del Municipio de Oaxaca de Juárez, Oaxaca</w:t>
      </w:r>
      <w:r w:rsidR="00793180">
        <w:rPr>
          <w:rFonts w:ascii="Arial" w:eastAsia="Arial" w:hAnsi="Arial" w:cs="Arial"/>
          <w:sz w:val="24"/>
          <w:szCs w:val="24"/>
        </w:rPr>
        <w:t>, contestaron</w:t>
      </w:r>
      <w:r w:rsidR="00BE3F92">
        <w:rPr>
          <w:rFonts w:ascii="Arial" w:eastAsia="Arial" w:hAnsi="Arial" w:cs="Arial"/>
          <w:sz w:val="24"/>
          <w:szCs w:val="24"/>
        </w:rPr>
        <w:t xml:space="preserve"> la demand</w:t>
      </w:r>
      <w:r w:rsidR="00793180">
        <w:rPr>
          <w:rFonts w:ascii="Arial" w:eastAsia="Arial" w:hAnsi="Arial" w:cs="Arial"/>
          <w:sz w:val="24"/>
          <w:szCs w:val="24"/>
        </w:rPr>
        <w:t xml:space="preserve">a de nulidad, </w:t>
      </w:r>
      <w:r w:rsidR="00BE3F92">
        <w:rPr>
          <w:rFonts w:ascii="Arial" w:eastAsia="Arial" w:hAnsi="Arial" w:cs="Arial"/>
          <w:sz w:val="24"/>
          <w:szCs w:val="24"/>
        </w:rPr>
        <w:t xml:space="preserve">por lo que, se ordenó correr traslado a la parte actora, </w:t>
      </w:r>
      <w:r w:rsidR="00793180">
        <w:rPr>
          <w:rFonts w:ascii="Arial" w:eastAsia="Arial" w:hAnsi="Arial" w:cs="Arial"/>
          <w:sz w:val="24"/>
          <w:szCs w:val="24"/>
        </w:rPr>
        <w:t>para los efectos legale</w:t>
      </w:r>
      <w:r>
        <w:rPr>
          <w:rFonts w:ascii="Arial" w:eastAsia="Arial" w:hAnsi="Arial" w:cs="Arial"/>
          <w:sz w:val="24"/>
          <w:szCs w:val="24"/>
        </w:rPr>
        <w:t>s correspondientes.</w:t>
      </w:r>
    </w:p>
    <w:p w14:paraId="0CCF9499" w14:textId="6986C2CF" w:rsidR="00F22448" w:rsidRDefault="00F22448">
      <w:pPr>
        <w:spacing w:after="200" w:line="360" w:lineRule="auto"/>
        <w:ind w:right="51" w:firstLine="567"/>
        <w:jc w:val="both"/>
        <w:rPr>
          <w:rFonts w:ascii="Arial" w:eastAsia="Arial" w:hAnsi="Arial" w:cs="Arial"/>
          <w:sz w:val="24"/>
          <w:szCs w:val="24"/>
        </w:rPr>
      </w:pPr>
      <w:r>
        <w:rPr>
          <w:rFonts w:ascii="Arial" w:eastAsia="Arial" w:hAnsi="Arial" w:cs="Arial"/>
          <w:b/>
          <w:sz w:val="24"/>
          <w:szCs w:val="24"/>
        </w:rPr>
        <w:t xml:space="preserve">TERCERO. </w:t>
      </w:r>
      <w:r>
        <w:rPr>
          <w:rFonts w:ascii="Arial" w:eastAsia="Arial" w:hAnsi="Arial" w:cs="Arial"/>
          <w:sz w:val="24"/>
          <w:szCs w:val="24"/>
        </w:rPr>
        <w:t>Por acuerdo de veintinueve de septiembre de dos mil veintiuno, se señaló día y hora para la celebración de la Audiencia Final.</w:t>
      </w:r>
    </w:p>
    <w:p w14:paraId="00000016" w14:textId="09BCB389" w:rsidR="001540EC" w:rsidRPr="00F22448" w:rsidRDefault="00F22448" w:rsidP="00F22448">
      <w:pPr>
        <w:spacing w:after="200" w:line="360" w:lineRule="auto"/>
        <w:ind w:right="51" w:firstLine="567"/>
        <w:jc w:val="both"/>
        <w:rPr>
          <w:rFonts w:ascii="Arial" w:eastAsia="Arial" w:hAnsi="Arial" w:cs="Arial"/>
          <w:b/>
          <w:sz w:val="24"/>
          <w:szCs w:val="24"/>
        </w:rPr>
      </w:pPr>
      <w:r>
        <w:rPr>
          <w:rFonts w:ascii="Arial" w:eastAsia="Arial" w:hAnsi="Arial" w:cs="Arial"/>
          <w:b/>
          <w:sz w:val="24"/>
          <w:szCs w:val="24"/>
        </w:rPr>
        <w:lastRenderedPageBreak/>
        <w:t xml:space="preserve">CUARTO. </w:t>
      </w:r>
      <w:r w:rsidR="00BE3F92">
        <w:rPr>
          <w:rFonts w:ascii="Arial" w:eastAsia="Arial" w:hAnsi="Arial" w:cs="Arial"/>
          <w:sz w:val="24"/>
          <w:szCs w:val="24"/>
        </w:rPr>
        <w:t xml:space="preserve">Finalmente, el </w:t>
      </w:r>
      <w:r>
        <w:rPr>
          <w:rFonts w:ascii="Arial" w:eastAsia="Arial" w:hAnsi="Arial" w:cs="Arial"/>
          <w:sz w:val="24"/>
          <w:szCs w:val="24"/>
        </w:rPr>
        <w:t>tres de diciembre</w:t>
      </w:r>
      <w:r w:rsidR="00BE3F92">
        <w:rPr>
          <w:rFonts w:ascii="Arial" w:eastAsia="Arial" w:hAnsi="Arial" w:cs="Arial"/>
          <w:sz w:val="24"/>
          <w:szCs w:val="24"/>
        </w:rPr>
        <w:t xml:space="preserve"> de dos mil veintiuno, se llevó a cabo la audiencia final, sin comparecencia de las partes ni persona alguna que legalmente las representara; se desahogaron las pruebas ofrecidas, se abrió el periodo de alegatos, en el que se dio cuenta que ninguna de las partes presentaron escrito de alegatos, por lo que se declaró por precluido su derecho correspondiente; declarándose cerrada la etapa de instrucción; y, por último se citó para oír sentencia.</w:t>
      </w:r>
    </w:p>
    <w:p w14:paraId="00000017" w14:textId="5E11A9A1" w:rsidR="001540EC" w:rsidRDefault="005815D6">
      <w:pPr>
        <w:spacing w:before="240" w:after="0" w:line="360" w:lineRule="auto"/>
        <w:ind w:firstLine="567"/>
        <w:jc w:val="both"/>
        <w:rPr>
          <w:rFonts w:ascii="Arial" w:eastAsia="Arial" w:hAnsi="Arial" w:cs="Arial"/>
          <w:sz w:val="24"/>
          <w:szCs w:val="24"/>
        </w:rPr>
      </w:pPr>
      <w:r>
        <w:rPr>
          <w:rFonts w:ascii="Arial" w:eastAsia="Arial" w:hAnsi="Arial" w:cs="Arial"/>
          <w:b/>
          <w:sz w:val="24"/>
          <w:szCs w:val="24"/>
        </w:rPr>
        <w:t>QUINTO</w:t>
      </w:r>
      <w:r w:rsidR="00BE3F92">
        <w:rPr>
          <w:rFonts w:ascii="Arial" w:eastAsia="Arial" w:hAnsi="Arial" w:cs="Arial"/>
          <w:b/>
          <w:sz w:val="24"/>
          <w:szCs w:val="24"/>
        </w:rPr>
        <w:t xml:space="preserve">. </w:t>
      </w:r>
      <w:r>
        <w:rPr>
          <w:rFonts w:ascii="Arial" w:eastAsia="Arial" w:hAnsi="Arial" w:cs="Arial"/>
          <w:sz w:val="24"/>
          <w:szCs w:val="24"/>
        </w:rPr>
        <w:t>Por auto de uno</w:t>
      </w:r>
      <w:r w:rsidR="00BE3F92">
        <w:rPr>
          <w:rFonts w:ascii="Arial" w:eastAsia="Arial" w:hAnsi="Arial" w:cs="Arial"/>
          <w:sz w:val="24"/>
          <w:szCs w:val="24"/>
        </w:rPr>
        <w:t xml:space="preserve"> de diciembre de dos mil veintiuno, se le comunicó a las partes, la designación de la Maestra Camelia Gaspar Martínez, como Magistrada del Tribunal de Justicia Administrativa del Estado de Oaxaca y su adscripción como Titular de esta Sexta Sala Unitaria de Primera Instancia; por lo que, se ordenó dar vista a las partes para que dentro del término de tres días hábiles, manifestaran si existía algún impedimento para que la titular de esta Sala resolviera el fondo del asunto. Por lo tanto, una vez notificadas las partes, se ordenó turnar el expediente para el dictado de la sentencia definitiva, misma que ahora se pronuncia.- - - </w:t>
      </w:r>
      <w:r w:rsidR="0096080F">
        <w:rPr>
          <w:rFonts w:ascii="Arial" w:eastAsia="Arial" w:hAnsi="Arial" w:cs="Arial"/>
          <w:sz w:val="24"/>
          <w:szCs w:val="24"/>
        </w:rPr>
        <w:t xml:space="preserve">- - - - - - - - - - - - - - - - - - - - - - - - - - - - - - -  </w:t>
      </w:r>
    </w:p>
    <w:p w14:paraId="00000018" w14:textId="77777777" w:rsidR="001540EC" w:rsidRDefault="00BE3F92">
      <w:pPr>
        <w:pBdr>
          <w:top w:val="nil"/>
          <w:left w:val="nil"/>
          <w:bottom w:val="nil"/>
          <w:right w:val="nil"/>
          <w:between w:val="nil"/>
        </w:pBdr>
        <w:tabs>
          <w:tab w:val="center" w:pos="4419"/>
          <w:tab w:val="right" w:pos="8838"/>
        </w:tabs>
        <w:spacing w:before="240" w:after="0" w:line="240" w:lineRule="auto"/>
        <w:ind w:left="4248" w:hanging="4248"/>
        <w:jc w:val="center"/>
        <w:rPr>
          <w:rFonts w:ascii="Arial" w:eastAsia="Arial" w:hAnsi="Arial" w:cs="Arial"/>
          <w:b/>
          <w:color w:val="000000"/>
          <w:sz w:val="24"/>
          <w:szCs w:val="24"/>
        </w:rPr>
      </w:pPr>
      <w:r>
        <w:rPr>
          <w:rFonts w:ascii="Arial" w:eastAsia="Arial" w:hAnsi="Arial" w:cs="Arial"/>
          <w:b/>
          <w:color w:val="000000"/>
          <w:sz w:val="24"/>
          <w:szCs w:val="24"/>
        </w:rPr>
        <w:t>C O N S I D E R A N D O</w:t>
      </w:r>
    </w:p>
    <w:p w14:paraId="00000019" w14:textId="77777777" w:rsidR="001540EC" w:rsidRDefault="00BE3F92">
      <w:pPr>
        <w:spacing w:before="240" w:after="0" w:line="360" w:lineRule="auto"/>
        <w:ind w:right="-93" w:firstLine="567"/>
        <w:jc w:val="both"/>
        <w:rPr>
          <w:rFonts w:ascii="Arial" w:eastAsia="Arial" w:hAnsi="Arial" w:cs="Arial"/>
          <w:sz w:val="24"/>
          <w:szCs w:val="24"/>
        </w:rPr>
      </w:pPr>
      <w:r>
        <w:rPr>
          <w:rFonts w:ascii="Arial" w:eastAsia="Arial" w:hAnsi="Arial" w:cs="Arial"/>
          <w:b/>
          <w:sz w:val="24"/>
          <w:szCs w:val="24"/>
        </w:rPr>
        <w:t xml:space="preserve">PRIMERO. Competencia. </w:t>
      </w:r>
      <w:r>
        <w:rPr>
          <w:rFonts w:ascii="Arial" w:eastAsia="Arial" w:hAnsi="Arial" w:cs="Arial"/>
          <w:sz w:val="24"/>
          <w:szCs w:val="24"/>
        </w:rPr>
        <w:t xml:space="preserve">Esta Sexta Sala Unitaria del Tribunal de Justicia Administrativa del Estado de Oaxaca, es competente para conocer y resolver el presente asunto en términos de lo dispuesto por </w:t>
      </w:r>
      <w:r>
        <w:rPr>
          <w:rFonts w:ascii="Arial" w:eastAsia="Arial" w:hAnsi="Arial" w:cs="Arial"/>
          <w:color w:val="000000"/>
          <w:sz w:val="24"/>
          <w:szCs w:val="24"/>
        </w:rPr>
        <w:t>los artículos 116 fracción V de la Constitución Política de los Estados Unidos Mexicanos, 114 QUÁTER de la Constitución Política del Estado Libre y Soberano de Oaxaca; 1 párrafo segundo, 2 párrafos primero y cuarto, 4 fracción VIII, 33, 35 fracción I y 36 fracción I de la Ley Orgánica del Tribunal de Justicia Administrativa del Estado de Oaxaca, publicada en el Periódico Oficial del Estado de Oaxaca, el siete de noviembre de dos mil diecinueve; así como los diversos 118, 119, 120 fracción I y 133 fracción II de la Ley de Procedimiento y Justicia Administrativa para el Estado de Oaxaca</w:t>
      </w:r>
      <w:r>
        <w:rPr>
          <w:rFonts w:ascii="Arial" w:eastAsia="Arial" w:hAnsi="Arial" w:cs="Arial"/>
          <w:sz w:val="24"/>
          <w:szCs w:val="24"/>
        </w:rPr>
        <w:t>, por tratarse de un juicio de nulidad promovido en contra de una autoridad administrativa de carácter fiscal estatal.</w:t>
      </w:r>
    </w:p>
    <w:p w14:paraId="0000001A" w14:textId="4F2D4F42" w:rsidR="001540EC" w:rsidRDefault="00BE3F92">
      <w:pPr>
        <w:tabs>
          <w:tab w:val="left" w:pos="6946"/>
        </w:tabs>
        <w:spacing w:before="240" w:line="360" w:lineRule="auto"/>
        <w:ind w:right="-93" w:firstLine="567"/>
        <w:jc w:val="both"/>
        <w:rPr>
          <w:rFonts w:ascii="Arial" w:eastAsia="Arial" w:hAnsi="Arial" w:cs="Arial"/>
          <w:sz w:val="24"/>
          <w:szCs w:val="24"/>
        </w:rPr>
      </w:pPr>
      <w:r>
        <w:rPr>
          <w:rFonts w:ascii="Arial" w:eastAsia="Arial" w:hAnsi="Arial" w:cs="Arial"/>
          <w:b/>
          <w:sz w:val="24"/>
          <w:szCs w:val="24"/>
        </w:rPr>
        <w:t xml:space="preserve">SEGUNDO. Personalidad. </w:t>
      </w:r>
      <w:r>
        <w:rPr>
          <w:rFonts w:ascii="Arial" w:eastAsia="Arial" w:hAnsi="Arial" w:cs="Arial"/>
          <w:sz w:val="24"/>
          <w:szCs w:val="24"/>
        </w:rPr>
        <w:t xml:space="preserve">La </w:t>
      </w:r>
      <w:r>
        <w:rPr>
          <w:rFonts w:ascii="Arial" w:eastAsia="Arial" w:hAnsi="Arial" w:cs="Arial"/>
          <w:b/>
          <w:sz w:val="24"/>
          <w:szCs w:val="24"/>
        </w:rPr>
        <w:t xml:space="preserve">personalidad </w:t>
      </w:r>
      <w:r>
        <w:rPr>
          <w:rFonts w:ascii="Arial" w:eastAsia="Arial" w:hAnsi="Arial" w:cs="Arial"/>
          <w:sz w:val="24"/>
          <w:szCs w:val="24"/>
        </w:rPr>
        <w:t>de las partes quedó acreditada en autos, toda vez que la parte actora promueve el juicio de nulidad por su propio derecho, conforme lo previsto por el artículo 148 de la Ley de Procedimiento y Justicia Administrativa para el Estado de Oaxaca; y la personalidad de la</w:t>
      </w:r>
      <w:r w:rsidR="005815D6">
        <w:rPr>
          <w:rFonts w:ascii="Arial" w:eastAsia="Arial" w:hAnsi="Arial" w:cs="Arial"/>
          <w:sz w:val="24"/>
          <w:szCs w:val="24"/>
        </w:rPr>
        <w:t>s</w:t>
      </w:r>
      <w:r>
        <w:rPr>
          <w:rFonts w:ascii="Arial" w:eastAsia="Arial" w:hAnsi="Arial" w:cs="Arial"/>
          <w:sz w:val="24"/>
          <w:szCs w:val="24"/>
        </w:rPr>
        <w:t xml:space="preserve"> autoridad</w:t>
      </w:r>
      <w:r w:rsidR="005815D6">
        <w:rPr>
          <w:rFonts w:ascii="Arial" w:eastAsia="Arial" w:hAnsi="Arial" w:cs="Arial"/>
          <w:sz w:val="24"/>
          <w:szCs w:val="24"/>
        </w:rPr>
        <w:t>es</w:t>
      </w:r>
      <w:r>
        <w:rPr>
          <w:rFonts w:ascii="Arial" w:eastAsia="Arial" w:hAnsi="Arial" w:cs="Arial"/>
          <w:sz w:val="24"/>
          <w:szCs w:val="24"/>
        </w:rPr>
        <w:t xml:space="preserve"> demandada</w:t>
      </w:r>
      <w:r w:rsidR="005815D6">
        <w:rPr>
          <w:rFonts w:ascii="Arial" w:eastAsia="Arial" w:hAnsi="Arial" w:cs="Arial"/>
          <w:sz w:val="24"/>
          <w:szCs w:val="24"/>
        </w:rPr>
        <w:t>s</w:t>
      </w:r>
      <w:r>
        <w:rPr>
          <w:rFonts w:ascii="Arial" w:eastAsia="Arial" w:hAnsi="Arial" w:cs="Arial"/>
          <w:sz w:val="24"/>
          <w:szCs w:val="24"/>
        </w:rPr>
        <w:t xml:space="preserve"> </w:t>
      </w:r>
      <w:r w:rsidR="005815D6">
        <w:rPr>
          <w:rFonts w:ascii="Arial" w:eastAsia="Arial" w:hAnsi="Arial" w:cs="Arial"/>
          <w:sz w:val="24"/>
          <w:szCs w:val="24"/>
        </w:rPr>
        <w:t xml:space="preserve">Tesorera Municipal y </w:t>
      </w:r>
      <w:r w:rsidR="00D667F9">
        <w:rPr>
          <w:rFonts w:ascii="Arial" w:eastAsia="Arial" w:hAnsi="Arial" w:cs="Arial"/>
          <w:sz w:val="24"/>
          <w:szCs w:val="24"/>
        </w:rPr>
        <w:t xml:space="preserve">Jefa de Recaudación, autoridades del Municipio de Oaxaca de Juárez, </w:t>
      </w:r>
      <w:r>
        <w:rPr>
          <w:rFonts w:ascii="Arial" w:eastAsia="Arial" w:hAnsi="Arial" w:cs="Arial"/>
          <w:sz w:val="24"/>
          <w:szCs w:val="24"/>
        </w:rPr>
        <w:t>no fue impugnada, acreditándose así en términos del artículo 151</w:t>
      </w:r>
      <w:r>
        <w:rPr>
          <w:rFonts w:ascii="Arial" w:eastAsia="Arial" w:hAnsi="Arial" w:cs="Arial"/>
          <w:sz w:val="24"/>
          <w:szCs w:val="24"/>
          <w:vertAlign w:val="superscript"/>
        </w:rPr>
        <w:footnoteReference w:id="1"/>
      </w:r>
      <w:r>
        <w:rPr>
          <w:rFonts w:ascii="Arial" w:eastAsia="Arial" w:hAnsi="Arial" w:cs="Arial"/>
          <w:sz w:val="24"/>
          <w:szCs w:val="24"/>
        </w:rPr>
        <w:t xml:space="preserve"> de la Ley en cita.</w:t>
      </w:r>
    </w:p>
    <w:p w14:paraId="0000001B" w14:textId="77777777" w:rsidR="001540EC" w:rsidRDefault="00BE3F92">
      <w:pPr>
        <w:spacing w:line="360" w:lineRule="auto"/>
        <w:ind w:right="51" w:firstLine="567"/>
        <w:jc w:val="both"/>
        <w:rPr>
          <w:rFonts w:ascii="Arial" w:eastAsia="Arial" w:hAnsi="Arial" w:cs="Arial"/>
          <w:sz w:val="24"/>
          <w:szCs w:val="24"/>
        </w:rPr>
      </w:pPr>
      <w:r>
        <w:rPr>
          <w:rFonts w:ascii="Arial" w:eastAsia="Arial" w:hAnsi="Arial" w:cs="Arial"/>
          <w:b/>
          <w:sz w:val="24"/>
          <w:szCs w:val="24"/>
        </w:rPr>
        <w:lastRenderedPageBreak/>
        <w:t>TERCERO. Causales de</w:t>
      </w:r>
      <w:r>
        <w:rPr>
          <w:rFonts w:ascii="Arial" w:eastAsia="Arial" w:hAnsi="Arial" w:cs="Arial"/>
          <w:sz w:val="24"/>
          <w:szCs w:val="24"/>
        </w:rPr>
        <w:t xml:space="preserve"> </w:t>
      </w:r>
      <w:r>
        <w:rPr>
          <w:rFonts w:ascii="Arial" w:eastAsia="Arial" w:hAnsi="Arial" w:cs="Arial"/>
          <w:b/>
          <w:sz w:val="24"/>
          <w:szCs w:val="24"/>
        </w:rPr>
        <w:t xml:space="preserve">improcedencia y sobreseimiento. </w:t>
      </w:r>
      <w:r>
        <w:rPr>
          <w:rFonts w:ascii="Arial" w:eastAsia="Arial" w:hAnsi="Arial" w:cs="Arial"/>
          <w:sz w:val="24"/>
          <w:szCs w:val="24"/>
        </w:rPr>
        <w:t>Ahora bien, las causales de improcedencia y sobreseimiento tienen el carácter de presupuestos procesales que deben colmarse previo al dictado de la determinación de fondo; es así, ya que el análisis de las pretensiones solo puede emprenderse si el proceso se ha tramitado conforme a los lineamientos establecidos en la Ley, de lo contrario el juzgador se vería impedido para resolver la controversia sometida a su jurisdicción. Esto, porque conforme al artículo 17 párrafo segundo de la Constitución Política de los Estados Unidos Mexicanos</w:t>
      </w:r>
      <w:r>
        <w:rPr>
          <w:rFonts w:ascii="Arial" w:eastAsia="Arial" w:hAnsi="Arial" w:cs="Arial"/>
          <w:sz w:val="24"/>
          <w:szCs w:val="24"/>
          <w:vertAlign w:val="superscript"/>
        </w:rPr>
        <w:footnoteReference w:id="2"/>
      </w:r>
      <w:r>
        <w:rPr>
          <w:rFonts w:ascii="Arial" w:eastAsia="Arial" w:hAnsi="Arial" w:cs="Arial"/>
          <w:sz w:val="24"/>
          <w:szCs w:val="24"/>
        </w:rPr>
        <w:t>, es el deber de las autoridades ajustarse a los mecanismos jurídicos establecidos por el legislador para el ejercicio de jurisdicción.</w:t>
      </w:r>
    </w:p>
    <w:p w14:paraId="0000001C" w14:textId="77777777" w:rsidR="001540EC" w:rsidRDefault="00BE3F92">
      <w:pPr>
        <w:spacing w:line="360" w:lineRule="auto"/>
        <w:ind w:right="51" w:firstLine="567"/>
        <w:jc w:val="both"/>
        <w:rPr>
          <w:rFonts w:ascii="Arial" w:eastAsia="Arial" w:hAnsi="Arial" w:cs="Arial"/>
          <w:sz w:val="24"/>
          <w:szCs w:val="24"/>
        </w:rPr>
      </w:pPr>
      <w:r>
        <w:rPr>
          <w:rFonts w:ascii="Arial" w:eastAsia="Arial" w:hAnsi="Arial" w:cs="Arial"/>
          <w:sz w:val="24"/>
          <w:szCs w:val="24"/>
        </w:rPr>
        <w:t>Por esta razón, se estima que las causales de improcedencia y sobreseimiento del juicio, al ser de orden público, debe estudiarse de oficio aun cuando las partes no lo hayan propuesto a la resolutora, ya que, de actualizarse las hipótesis normativas, ello impide la resolución de fondo del asunto y deberá decretarse su sobreseimiento, en términos de los artículos 161 y 162, de la Ley de la materia.</w:t>
      </w:r>
    </w:p>
    <w:p w14:paraId="184686FF" w14:textId="727A68D7" w:rsidR="00D667F9" w:rsidRPr="00D667F9" w:rsidRDefault="00142ADF">
      <w:pPr>
        <w:spacing w:line="360" w:lineRule="auto"/>
        <w:ind w:right="51" w:firstLine="567"/>
        <w:jc w:val="both"/>
        <w:rPr>
          <w:rFonts w:ascii="Arial" w:eastAsia="Arial" w:hAnsi="Arial" w:cs="Arial"/>
          <w:sz w:val="24"/>
          <w:szCs w:val="24"/>
        </w:rPr>
      </w:pPr>
      <w:r>
        <w:rPr>
          <w:rFonts w:ascii="Arial" w:eastAsia="Arial" w:hAnsi="Arial" w:cs="Arial"/>
          <w:sz w:val="24"/>
          <w:szCs w:val="24"/>
        </w:rPr>
        <w:t>Ahora bien</w:t>
      </w:r>
      <w:r w:rsidR="00D667F9">
        <w:rPr>
          <w:rFonts w:ascii="Arial" w:eastAsia="Arial" w:hAnsi="Arial" w:cs="Arial"/>
          <w:sz w:val="24"/>
          <w:szCs w:val="24"/>
        </w:rPr>
        <w:t xml:space="preserve">, las autoridades demandadas </w:t>
      </w:r>
      <w:r w:rsidR="00D667F9">
        <w:rPr>
          <w:rFonts w:ascii="Arial" w:eastAsia="Arial" w:hAnsi="Arial" w:cs="Arial"/>
          <w:b/>
          <w:sz w:val="24"/>
          <w:szCs w:val="24"/>
        </w:rPr>
        <w:t xml:space="preserve">Tesorera Municipal y </w:t>
      </w:r>
      <w:proofErr w:type="gramStart"/>
      <w:r w:rsidR="00D667F9">
        <w:rPr>
          <w:rFonts w:ascii="Arial" w:eastAsia="Arial" w:hAnsi="Arial" w:cs="Arial"/>
          <w:b/>
          <w:sz w:val="24"/>
          <w:szCs w:val="24"/>
        </w:rPr>
        <w:t>Jefa</w:t>
      </w:r>
      <w:proofErr w:type="gramEnd"/>
      <w:r w:rsidR="00D667F9">
        <w:rPr>
          <w:rFonts w:ascii="Arial" w:eastAsia="Arial" w:hAnsi="Arial" w:cs="Arial"/>
          <w:b/>
          <w:sz w:val="24"/>
          <w:szCs w:val="24"/>
        </w:rPr>
        <w:t xml:space="preserve"> de Recaudación, ambas del Municipio de Oaxaca de Juárez, Oaxaca</w:t>
      </w:r>
      <w:r w:rsidR="00D667F9">
        <w:rPr>
          <w:rFonts w:ascii="Arial" w:eastAsia="Arial" w:hAnsi="Arial" w:cs="Arial"/>
          <w:sz w:val="24"/>
          <w:szCs w:val="24"/>
        </w:rPr>
        <w:t xml:space="preserve">, indican que el acto impugnado, consistente en el recibo de pago </w:t>
      </w:r>
      <w:r w:rsidR="00171999">
        <w:rPr>
          <w:rFonts w:ascii="Arial" w:eastAsia="Arial" w:hAnsi="Arial" w:cs="Arial"/>
          <w:sz w:val="24"/>
          <w:szCs w:val="24"/>
        </w:rPr>
        <w:t>**********</w:t>
      </w:r>
      <w:r w:rsidR="00D667F9">
        <w:rPr>
          <w:rFonts w:ascii="Arial" w:eastAsia="Arial" w:hAnsi="Arial" w:cs="Arial"/>
          <w:sz w:val="24"/>
          <w:szCs w:val="24"/>
        </w:rPr>
        <w:t>, de once de julio de dos mil diecinueve, no constituye una resolución impugnable mediante juicio contencioso administrativo ante este Tribunal</w:t>
      </w:r>
      <w:r>
        <w:rPr>
          <w:rFonts w:ascii="Arial" w:eastAsia="Arial" w:hAnsi="Arial" w:cs="Arial"/>
          <w:sz w:val="24"/>
          <w:szCs w:val="24"/>
        </w:rPr>
        <w:t>.</w:t>
      </w:r>
    </w:p>
    <w:p w14:paraId="0000001D" w14:textId="77777777" w:rsidR="001540EC" w:rsidRDefault="00BE3F92">
      <w:pPr>
        <w:spacing w:line="360" w:lineRule="auto"/>
        <w:ind w:right="51" w:firstLine="567"/>
        <w:jc w:val="both"/>
        <w:rPr>
          <w:rFonts w:ascii="Arial" w:eastAsia="Arial" w:hAnsi="Arial" w:cs="Arial"/>
          <w:sz w:val="24"/>
          <w:szCs w:val="24"/>
        </w:rPr>
      </w:pPr>
      <w:r>
        <w:rPr>
          <w:rFonts w:ascii="Arial" w:eastAsia="Arial" w:hAnsi="Arial" w:cs="Arial"/>
          <w:sz w:val="24"/>
          <w:szCs w:val="24"/>
        </w:rPr>
        <w:t>En ese sentido, el artículo 133 fracción II, de la Ley de Procedimiento y Justicia Administrativa para el Estado, señala:</w:t>
      </w:r>
    </w:p>
    <w:p w14:paraId="0000001E" w14:textId="77777777" w:rsidR="001540EC" w:rsidRDefault="00BE3F92">
      <w:pPr>
        <w:spacing w:line="240" w:lineRule="auto"/>
        <w:ind w:left="567" w:right="333" w:firstLine="567"/>
        <w:jc w:val="both"/>
        <w:rPr>
          <w:rFonts w:ascii="Arial" w:eastAsia="Arial" w:hAnsi="Arial" w:cs="Arial"/>
          <w:i/>
          <w:sz w:val="24"/>
          <w:szCs w:val="24"/>
        </w:rPr>
      </w:pPr>
      <w:r>
        <w:rPr>
          <w:rFonts w:ascii="Arial" w:eastAsia="Arial" w:hAnsi="Arial" w:cs="Arial"/>
          <w:b/>
          <w:i/>
          <w:sz w:val="24"/>
          <w:szCs w:val="24"/>
        </w:rPr>
        <w:t>“ARTÍCULO 133.-</w:t>
      </w:r>
      <w:r>
        <w:rPr>
          <w:rFonts w:ascii="Arial" w:eastAsia="Arial" w:hAnsi="Arial" w:cs="Arial"/>
          <w:i/>
          <w:sz w:val="24"/>
          <w:szCs w:val="24"/>
        </w:rPr>
        <w:t xml:space="preserve"> Las Salas Unitarias del Tribunal son competentes para conocer y resolver los juicios que se promuevan en contra de:</w:t>
      </w:r>
    </w:p>
    <w:p w14:paraId="0000001F" w14:textId="77777777" w:rsidR="001540EC" w:rsidRDefault="00BE3F92">
      <w:pPr>
        <w:spacing w:line="240" w:lineRule="auto"/>
        <w:ind w:left="567" w:right="333" w:firstLine="567"/>
        <w:jc w:val="both"/>
        <w:rPr>
          <w:rFonts w:ascii="Arial" w:eastAsia="Arial" w:hAnsi="Arial" w:cs="Arial"/>
          <w:i/>
          <w:sz w:val="24"/>
          <w:szCs w:val="24"/>
        </w:rPr>
      </w:pPr>
      <w:r>
        <w:rPr>
          <w:rFonts w:ascii="Arial" w:eastAsia="Arial" w:hAnsi="Arial" w:cs="Arial"/>
          <w:i/>
          <w:sz w:val="24"/>
          <w:szCs w:val="24"/>
        </w:rPr>
        <w:t>(…)</w:t>
      </w:r>
    </w:p>
    <w:p w14:paraId="00000020" w14:textId="77777777" w:rsidR="001540EC" w:rsidRDefault="00BE3F92">
      <w:pPr>
        <w:spacing w:line="240" w:lineRule="auto"/>
        <w:ind w:left="567" w:right="333" w:firstLine="567"/>
        <w:jc w:val="both"/>
        <w:rPr>
          <w:rFonts w:ascii="Arial" w:eastAsia="Arial" w:hAnsi="Arial" w:cs="Arial"/>
          <w:i/>
          <w:sz w:val="24"/>
          <w:szCs w:val="24"/>
        </w:rPr>
      </w:pPr>
      <w:r>
        <w:rPr>
          <w:rFonts w:ascii="Arial" w:eastAsia="Arial" w:hAnsi="Arial" w:cs="Arial"/>
          <w:i/>
          <w:sz w:val="24"/>
          <w:szCs w:val="24"/>
        </w:rPr>
        <w:t>II. Las resoluciones dictadas por las autoridades fiscales, estatales, municipales y de sus órganos descentralizados y desconcentrados, en que se determine la existencia de una obligación fiscal, se fije ésta en cantidad líquida o se den las bases para su liquidación, nieguen la devolución de cantidades que procedan conforme a la ley o cualquiera otra que cause agravios de carácter fiscal;”</w:t>
      </w:r>
    </w:p>
    <w:p w14:paraId="00000021" w14:textId="5747324F" w:rsidR="001540EC" w:rsidRDefault="00BE3F92">
      <w:pPr>
        <w:spacing w:line="360" w:lineRule="auto"/>
        <w:ind w:right="51" w:firstLine="567"/>
        <w:jc w:val="both"/>
        <w:rPr>
          <w:rFonts w:ascii="Arial" w:eastAsia="Arial" w:hAnsi="Arial" w:cs="Arial"/>
          <w:sz w:val="24"/>
          <w:szCs w:val="24"/>
        </w:rPr>
      </w:pPr>
      <w:r>
        <w:rPr>
          <w:rFonts w:ascii="Arial" w:eastAsia="Arial" w:hAnsi="Arial" w:cs="Arial"/>
          <w:sz w:val="24"/>
          <w:szCs w:val="24"/>
        </w:rPr>
        <w:t>El artículo transcrito, señala una de las hipótesis de procedencia del juicio de nulidad, siendo que las Salas Unitarias del Tribunal de Justicia Administrativa, conocerán de las resoluciones emitidas por las autoridades fiscales estatales</w:t>
      </w:r>
      <w:r w:rsidR="00142ADF">
        <w:rPr>
          <w:rFonts w:ascii="Arial" w:eastAsia="Arial" w:hAnsi="Arial" w:cs="Arial"/>
          <w:sz w:val="24"/>
          <w:szCs w:val="24"/>
        </w:rPr>
        <w:t xml:space="preserve"> o municipales</w:t>
      </w:r>
      <w:r>
        <w:rPr>
          <w:rFonts w:ascii="Arial" w:eastAsia="Arial" w:hAnsi="Arial" w:cs="Arial"/>
          <w:sz w:val="24"/>
          <w:szCs w:val="24"/>
        </w:rPr>
        <w:t xml:space="preserve">. Sin embargo, dicha resolución debe de reunir </w:t>
      </w:r>
      <w:r>
        <w:rPr>
          <w:rFonts w:ascii="Arial" w:eastAsia="Arial" w:hAnsi="Arial" w:cs="Arial"/>
          <w:sz w:val="24"/>
          <w:szCs w:val="24"/>
        </w:rPr>
        <w:lastRenderedPageBreak/>
        <w:t xml:space="preserve">las siguientes características: </w:t>
      </w:r>
      <w:r>
        <w:rPr>
          <w:rFonts w:ascii="Arial" w:eastAsia="Arial" w:hAnsi="Arial" w:cs="Arial"/>
          <w:b/>
          <w:sz w:val="24"/>
          <w:szCs w:val="24"/>
        </w:rPr>
        <w:t xml:space="preserve">a) </w:t>
      </w:r>
      <w:r>
        <w:rPr>
          <w:rFonts w:ascii="Arial" w:eastAsia="Arial" w:hAnsi="Arial" w:cs="Arial"/>
          <w:sz w:val="24"/>
          <w:szCs w:val="24"/>
        </w:rPr>
        <w:t xml:space="preserve">determinar la existencia de una obligación fiscal; </w:t>
      </w:r>
      <w:r>
        <w:rPr>
          <w:rFonts w:ascii="Arial" w:eastAsia="Arial" w:hAnsi="Arial" w:cs="Arial"/>
          <w:b/>
          <w:sz w:val="24"/>
          <w:szCs w:val="24"/>
        </w:rPr>
        <w:t xml:space="preserve">b) </w:t>
      </w:r>
      <w:r>
        <w:rPr>
          <w:rFonts w:ascii="Arial" w:eastAsia="Arial" w:hAnsi="Arial" w:cs="Arial"/>
          <w:sz w:val="24"/>
          <w:szCs w:val="24"/>
        </w:rPr>
        <w:t xml:space="preserve">la obligación esté determinada en una cantidad líquida, o en su caso, se den bases para su liquidación; </w:t>
      </w:r>
      <w:r>
        <w:rPr>
          <w:rFonts w:ascii="Arial" w:eastAsia="Arial" w:hAnsi="Arial" w:cs="Arial"/>
          <w:b/>
          <w:sz w:val="24"/>
          <w:szCs w:val="24"/>
        </w:rPr>
        <w:t xml:space="preserve">c) </w:t>
      </w:r>
      <w:r>
        <w:rPr>
          <w:rFonts w:ascii="Arial" w:eastAsia="Arial" w:hAnsi="Arial" w:cs="Arial"/>
          <w:sz w:val="24"/>
          <w:szCs w:val="24"/>
        </w:rPr>
        <w:t xml:space="preserve">se niegue la devolución de las cantidades que procedan conforme a la ley; y </w:t>
      </w:r>
      <w:r>
        <w:rPr>
          <w:rFonts w:ascii="Arial" w:eastAsia="Arial" w:hAnsi="Arial" w:cs="Arial"/>
          <w:b/>
          <w:sz w:val="24"/>
          <w:szCs w:val="24"/>
        </w:rPr>
        <w:t xml:space="preserve">d) </w:t>
      </w:r>
      <w:r>
        <w:rPr>
          <w:rFonts w:ascii="Arial" w:eastAsia="Arial" w:hAnsi="Arial" w:cs="Arial"/>
          <w:sz w:val="24"/>
          <w:szCs w:val="24"/>
        </w:rPr>
        <w:t>cualquiera otra que cause agravios en materia fiscal.</w:t>
      </w:r>
    </w:p>
    <w:p w14:paraId="00000022" w14:textId="77777777" w:rsidR="001540EC" w:rsidRDefault="00BE3F92">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Lo anterior, pues para que un acto pueda ser susceptible de ser impugnado ante este Tribunal, este debe tener la característica de ser un acto definitivo, es decir, que el acto refleje la voluntad última o definitiva por parte de la autoridad demandada, en virtud de que, sólo este tipo de actos son los que causan agravios a la esfera jurídica de los gobernados. </w:t>
      </w:r>
    </w:p>
    <w:p w14:paraId="00000023" w14:textId="77777777" w:rsidR="001540EC" w:rsidRDefault="00BE3F92">
      <w:pPr>
        <w:spacing w:line="360" w:lineRule="auto"/>
        <w:ind w:right="51" w:firstLine="567"/>
        <w:jc w:val="both"/>
        <w:rPr>
          <w:rFonts w:ascii="Arial" w:eastAsia="Arial" w:hAnsi="Arial" w:cs="Arial"/>
          <w:sz w:val="24"/>
          <w:szCs w:val="24"/>
        </w:rPr>
      </w:pPr>
      <w:r>
        <w:rPr>
          <w:rFonts w:ascii="Arial" w:eastAsia="Arial" w:hAnsi="Arial" w:cs="Arial"/>
          <w:sz w:val="24"/>
          <w:szCs w:val="24"/>
        </w:rPr>
        <w:t>Ese producto final o última voluntad, a que se hace referencia, se expresa de dos formas: a) como última resolución dictada para poner fin a un procedimiento; o b) como manifestación aislada que por su naturaleza y características no requiere de procedimientos que le antecedan para poder reflejar la última voluntad o voluntad definitiva de la administración pública.</w:t>
      </w:r>
    </w:p>
    <w:p w14:paraId="00000024" w14:textId="1CD777E1" w:rsidR="001540EC" w:rsidRDefault="00BE3F92">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Así, tratándose, de resoluciones definitivas que culminan un procedimiento administrativo, las fases de dicho procedimiento o actos de naturaleza </w:t>
      </w:r>
      <w:proofErr w:type="spellStart"/>
      <w:r>
        <w:rPr>
          <w:rFonts w:ascii="Arial" w:eastAsia="Arial" w:hAnsi="Arial" w:cs="Arial"/>
          <w:sz w:val="24"/>
          <w:szCs w:val="24"/>
        </w:rPr>
        <w:t>interprocedimental</w:t>
      </w:r>
      <w:proofErr w:type="spellEnd"/>
      <w:r>
        <w:rPr>
          <w:rFonts w:ascii="Arial" w:eastAsia="Arial" w:hAnsi="Arial" w:cs="Arial"/>
          <w:sz w:val="24"/>
          <w:szCs w:val="24"/>
        </w:rPr>
        <w:t xml:space="preserve"> no podrán considerarse “</w:t>
      </w:r>
      <w:r w:rsidR="000367DB">
        <w:rPr>
          <w:rFonts w:ascii="Arial" w:eastAsia="Arial" w:hAnsi="Arial" w:cs="Arial"/>
          <w:sz w:val="24"/>
          <w:szCs w:val="24"/>
        </w:rPr>
        <w:t>resoluciones definitivas” en el entendido</w:t>
      </w:r>
      <w:r>
        <w:rPr>
          <w:rFonts w:ascii="Arial" w:eastAsia="Arial" w:hAnsi="Arial" w:cs="Arial"/>
          <w:sz w:val="24"/>
          <w:szCs w:val="24"/>
        </w:rPr>
        <w:t xml:space="preserve"> que éste sólo puede serlo el fallo con el que culmine dicho procedimiento excluyéndose a las actuaciones instrumentales que conforman el procedimiento administrativo, entendido como el conjunto de actos realizados conforme a determinadas normas, que tienen unidad entre sí y buscan una finalidad que para este caso es precisamente la producción de la resolución administrativa definitiva cuyo objeto consiste a su vez en crear efectos jurídicos.</w:t>
      </w:r>
    </w:p>
    <w:p w14:paraId="00000025" w14:textId="77777777" w:rsidR="001540EC" w:rsidRDefault="00BE3F92">
      <w:pPr>
        <w:spacing w:line="360" w:lineRule="auto"/>
        <w:ind w:right="51" w:firstLine="567"/>
        <w:jc w:val="both"/>
        <w:rPr>
          <w:rFonts w:ascii="Arial" w:eastAsia="Arial" w:hAnsi="Arial" w:cs="Arial"/>
          <w:sz w:val="24"/>
          <w:szCs w:val="24"/>
        </w:rPr>
      </w:pPr>
      <w:r>
        <w:rPr>
          <w:rFonts w:ascii="Arial" w:eastAsia="Arial" w:hAnsi="Arial" w:cs="Arial"/>
          <w:sz w:val="24"/>
          <w:szCs w:val="24"/>
        </w:rPr>
        <w:t>De manera que no se generará agravio alguno para el gobernado, hasta en tanto la administración pública no establezca expresamente por medio de la autoridad a quien competa decidirla en el orden jurídico a que tenga lugar, y solamente cuando la resolución de que se trata adquiere esa firmeza.</w:t>
      </w:r>
    </w:p>
    <w:p w14:paraId="00000026" w14:textId="77777777" w:rsidR="001540EC" w:rsidRDefault="00BE3F92">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La generación de esta situación, en combinación con la </w:t>
      </w:r>
      <w:proofErr w:type="spellStart"/>
      <w:r>
        <w:rPr>
          <w:rFonts w:ascii="Arial" w:eastAsia="Arial" w:hAnsi="Arial" w:cs="Arial"/>
          <w:sz w:val="24"/>
          <w:szCs w:val="24"/>
        </w:rPr>
        <w:t>causación</w:t>
      </w:r>
      <w:proofErr w:type="spellEnd"/>
      <w:r>
        <w:rPr>
          <w:rFonts w:ascii="Arial" w:eastAsia="Arial" w:hAnsi="Arial" w:cs="Arial"/>
          <w:sz w:val="24"/>
          <w:szCs w:val="24"/>
        </w:rPr>
        <w:t xml:space="preserve"> de un agravio objetivo son las características de la resolución definitiva para efectos del juicio contencioso administrativo, lo que dará lugar al nacimiento del interés requerido para acudir a la vía en comento.</w:t>
      </w:r>
    </w:p>
    <w:p w14:paraId="00000027" w14:textId="49FA379F" w:rsidR="001540EC" w:rsidRDefault="00BE3F92">
      <w:pPr>
        <w:spacing w:line="360" w:lineRule="auto"/>
        <w:ind w:right="51" w:firstLine="567"/>
        <w:jc w:val="both"/>
        <w:rPr>
          <w:rFonts w:ascii="Arial" w:eastAsia="Arial" w:hAnsi="Arial" w:cs="Arial"/>
          <w:sz w:val="24"/>
          <w:szCs w:val="24"/>
        </w:rPr>
      </w:pPr>
      <w:r>
        <w:rPr>
          <w:rFonts w:ascii="Arial" w:eastAsia="Arial" w:hAnsi="Arial" w:cs="Arial"/>
          <w:sz w:val="24"/>
          <w:szCs w:val="24"/>
        </w:rPr>
        <w:t xml:space="preserve">En el caso concreto, el acto que impugna el actor no reúne </w:t>
      </w:r>
      <w:r w:rsidR="000A4CF6">
        <w:rPr>
          <w:rFonts w:ascii="Arial" w:eastAsia="Arial" w:hAnsi="Arial" w:cs="Arial"/>
          <w:sz w:val="24"/>
          <w:szCs w:val="24"/>
        </w:rPr>
        <w:t>los requisitos exigido</w:t>
      </w:r>
      <w:r>
        <w:rPr>
          <w:rFonts w:ascii="Arial" w:eastAsia="Arial" w:hAnsi="Arial" w:cs="Arial"/>
          <w:sz w:val="24"/>
          <w:szCs w:val="24"/>
        </w:rPr>
        <w:t>s por el artículo 133 fracción II, de la Ley de la Materia, por lo que no le causa un agravio para que pueda acudir al presente juicio de nulidad.</w:t>
      </w:r>
    </w:p>
    <w:p w14:paraId="5F9457D5" w14:textId="09498D6B" w:rsidR="000A4CF6" w:rsidRPr="000A4CF6" w:rsidRDefault="00BE3F92" w:rsidP="000A4CF6">
      <w:pPr>
        <w:widowControl w:val="0"/>
        <w:autoSpaceDE w:val="0"/>
        <w:autoSpaceDN w:val="0"/>
        <w:adjustRightInd w:val="0"/>
        <w:spacing w:line="360" w:lineRule="auto"/>
        <w:ind w:firstLine="567"/>
        <w:jc w:val="both"/>
        <w:rPr>
          <w:rFonts w:ascii="Arial" w:hAnsi="Arial" w:cs="Arial"/>
          <w:sz w:val="24"/>
          <w:szCs w:val="24"/>
          <w:lang w:val="es-ES_tradnl"/>
        </w:rPr>
      </w:pPr>
      <w:bookmarkStart w:id="0" w:name="_heading=h.gjdgxs" w:colFirst="0" w:colLast="0"/>
      <w:bookmarkEnd w:id="0"/>
      <w:r w:rsidRPr="000A4CF6">
        <w:rPr>
          <w:rFonts w:ascii="Arial" w:eastAsia="Arial" w:hAnsi="Arial" w:cs="Arial"/>
          <w:sz w:val="24"/>
          <w:szCs w:val="24"/>
        </w:rPr>
        <w:t xml:space="preserve">Esto es así, </w:t>
      </w:r>
      <w:r w:rsidR="008921CF">
        <w:rPr>
          <w:rFonts w:ascii="Arial" w:hAnsi="Arial" w:cs="Arial"/>
          <w:sz w:val="24"/>
          <w:szCs w:val="24"/>
          <w:lang w:val="es-ES_tradnl"/>
        </w:rPr>
        <w:t>ya que el administrado impugna la nulidad</w:t>
      </w:r>
      <w:r w:rsidR="000A4CF6" w:rsidRPr="000A4CF6">
        <w:rPr>
          <w:rFonts w:ascii="Arial" w:hAnsi="Arial" w:cs="Arial"/>
          <w:sz w:val="24"/>
          <w:szCs w:val="24"/>
          <w:lang w:val="es-ES_tradnl"/>
        </w:rPr>
        <w:t xml:space="preserve"> del recibo de pago </w:t>
      </w:r>
      <w:r w:rsidR="008921CF">
        <w:rPr>
          <w:rFonts w:ascii="Arial" w:eastAsia="Arial" w:hAnsi="Arial" w:cs="Arial"/>
          <w:sz w:val="24"/>
          <w:szCs w:val="24"/>
        </w:rPr>
        <w:t xml:space="preserve">recibo de pago </w:t>
      </w:r>
      <w:r w:rsidR="00171999">
        <w:rPr>
          <w:rFonts w:ascii="Arial" w:eastAsia="Arial" w:hAnsi="Arial" w:cs="Arial"/>
          <w:color w:val="FF0000"/>
          <w:sz w:val="24"/>
          <w:szCs w:val="24"/>
        </w:rPr>
        <w:t>**********</w:t>
      </w:r>
      <w:r w:rsidR="008921CF">
        <w:rPr>
          <w:rFonts w:ascii="Arial" w:eastAsia="Arial" w:hAnsi="Arial" w:cs="Arial"/>
          <w:sz w:val="24"/>
          <w:szCs w:val="24"/>
        </w:rPr>
        <w:t>, de once de julio de dos mil diecinueve</w:t>
      </w:r>
      <w:r w:rsidR="000A4CF6" w:rsidRPr="000A4CF6">
        <w:rPr>
          <w:rFonts w:ascii="Arial" w:hAnsi="Arial" w:cs="Arial"/>
          <w:sz w:val="24"/>
          <w:szCs w:val="24"/>
          <w:lang w:val="es-ES_tradnl"/>
        </w:rPr>
        <w:t xml:space="preserve">, expedido a nombre de </w:t>
      </w:r>
      <w:r w:rsidR="00171999">
        <w:rPr>
          <w:rFonts w:ascii="Arial" w:hAnsi="Arial" w:cs="Arial"/>
          <w:color w:val="FF0000"/>
          <w:sz w:val="24"/>
          <w:szCs w:val="24"/>
          <w:lang w:val="es-ES_tradnl"/>
        </w:rPr>
        <w:t>**********</w:t>
      </w:r>
      <w:r w:rsidR="000A4CF6" w:rsidRPr="000A4CF6">
        <w:rPr>
          <w:rFonts w:ascii="Arial" w:hAnsi="Arial" w:cs="Arial"/>
          <w:sz w:val="24"/>
          <w:szCs w:val="24"/>
          <w:lang w:val="es-ES_tradnl"/>
        </w:rPr>
        <w:t xml:space="preserve">, por la Tesorería Municipal a través de la Unidad de </w:t>
      </w:r>
      <w:r w:rsidR="000A4CF6" w:rsidRPr="000A4CF6">
        <w:rPr>
          <w:rFonts w:ascii="Arial" w:hAnsi="Arial" w:cs="Arial"/>
          <w:sz w:val="24"/>
          <w:szCs w:val="24"/>
          <w:lang w:val="es-ES_tradnl"/>
        </w:rPr>
        <w:lastRenderedPageBreak/>
        <w:t>Recaudación de rentas del Municipio de Oaxaca de Juárez, Oaxaca, por la cantidad de $</w:t>
      </w:r>
      <w:r w:rsidR="008921CF">
        <w:rPr>
          <w:rFonts w:ascii="Arial" w:hAnsi="Arial" w:cs="Arial"/>
          <w:sz w:val="24"/>
          <w:szCs w:val="24"/>
          <w:lang w:val="es-ES_tradnl"/>
        </w:rPr>
        <w:t>1,622.00 (</w:t>
      </w:r>
      <w:proofErr w:type="gramStart"/>
      <w:r w:rsidR="008921CF">
        <w:rPr>
          <w:rFonts w:ascii="Arial" w:hAnsi="Arial" w:cs="Arial"/>
          <w:sz w:val="24"/>
          <w:szCs w:val="24"/>
          <w:lang w:val="es-ES_tradnl"/>
        </w:rPr>
        <w:t>un mil seiscientos veintidós pesos</w:t>
      </w:r>
      <w:proofErr w:type="gramEnd"/>
      <w:r w:rsidR="008921CF">
        <w:rPr>
          <w:rFonts w:ascii="Arial" w:hAnsi="Arial" w:cs="Arial"/>
          <w:sz w:val="24"/>
          <w:szCs w:val="24"/>
          <w:lang w:val="es-ES_tradnl"/>
        </w:rPr>
        <w:t xml:space="preserve"> 00/100 M.N.)</w:t>
      </w:r>
    </w:p>
    <w:p w14:paraId="58FA5D5F" w14:textId="3C6486B1" w:rsidR="000A4CF6" w:rsidRPr="000A4CF6" w:rsidRDefault="000A4CF6" w:rsidP="000A4CF6">
      <w:pPr>
        <w:widowControl w:val="0"/>
        <w:autoSpaceDE w:val="0"/>
        <w:autoSpaceDN w:val="0"/>
        <w:adjustRightInd w:val="0"/>
        <w:spacing w:line="360" w:lineRule="auto"/>
        <w:ind w:firstLine="567"/>
        <w:jc w:val="both"/>
        <w:rPr>
          <w:rFonts w:ascii="Arial" w:hAnsi="Arial" w:cs="Arial"/>
          <w:sz w:val="24"/>
          <w:szCs w:val="24"/>
          <w:lang w:val="es-ES_tradnl"/>
        </w:rPr>
      </w:pPr>
      <w:r w:rsidRPr="000A4CF6">
        <w:rPr>
          <w:rFonts w:ascii="Arial" w:hAnsi="Arial" w:cs="Arial"/>
          <w:sz w:val="24"/>
          <w:szCs w:val="24"/>
          <w:lang w:val="es-ES_tradnl"/>
        </w:rPr>
        <w:t>Así, el acto impugnado no constituye el producto final o última manifestación de la voluntad de la autoridad municipal, por lo que no se trata de una resolución definitiva que haga procedente el juicio en esta materia; pues si bien es cierto, dicho documento ampara el enter</w:t>
      </w:r>
      <w:r w:rsidR="008921CF">
        <w:rPr>
          <w:rFonts w:ascii="Arial" w:hAnsi="Arial" w:cs="Arial"/>
          <w:sz w:val="24"/>
          <w:szCs w:val="24"/>
          <w:lang w:val="es-ES_tradnl"/>
        </w:rPr>
        <w:t>o vinculado al pago por los conceptos de M061 POR CIRCULAR SIN PLACA, CORRA M MOTOS, FONDO DE FOMENTO SOCIAL, TURÍSTICO, GAST, REDONDEO</w:t>
      </w:r>
      <w:r w:rsidRPr="000A4CF6">
        <w:rPr>
          <w:rFonts w:ascii="Arial" w:hAnsi="Arial" w:cs="Arial"/>
          <w:sz w:val="24"/>
          <w:szCs w:val="24"/>
          <w:lang w:val="es-ES_tradnl"/>
        </w:rPr>
        <w:t>, también lo es que la Ley de Procedimiento y Justicia Administrativa para el Estado prevé que el juicio administrativo procede  contra resoluciones definitivas, carácter que no le es atribuible a los comprobantes de pago.</w:t>
      </w:r>
    </w:p>
    <w:p w14:paraId="17DCDAEF" w14:textId="067C0013" w:rsidR="000A4CF6" w:rsidRPr="000A4CF6" w:rsidRDefault="000A4CF6" w:rsidP="008921CF">
      <w:pPr>
        <w:widowControl w:val="0"/>
        <w:autoSpaceDE w:val="0"/>
        <w:autoSpaceDN w:val="0"/>
        <w:adjustRightInd w:val="0"/>
        <w:spacing w:line="360" w:lineRule="auto"/>
        <w:ind w:firstLine="567"/>
        <w:jc w:val="both"/>
        <w:rPr>
          <w:rFonts w:ascii="Arial" w:hAnsi="Arial" w:cs="Arial"/>
          <w:sz w:val="24"/>
          <w:szCs w:val="24"/>
          <w:lang w:val="es-ES_tradnl"/>
        </w:rPr>
      </w:pPr>
      <w:r w:rsidRPr="000A4CF6">
        <w:rPr>
          <w:rFonts w:ascii="Arial" w:hAnsi="Arial" w:cs="Arial"/>
          <w:sz w:val="24"/>
          <w:szCs w:val="24"/>
          <w:lang w:val="es-ES_tradnl"/>
        </w:rPr>
        <w:t>De lo antes expuesto, se desprende que los recibos o comprobantes de pago, no constituyen resoluciones definitivas, toda vez que la obligación tributaria respecto a</w:t>
      </w:r>
      <w:r w:rsidR="008921CF">
        <w:rPr>
          <w:rFonts w:ascii="Arial" w:hAnsi="Arial" w:cs="Arial"/>
          <w:sz w:val="24"/>
          <w:szCs w:val="24"/>
          <w:lang w:val="es-ES_tradnl"/>
        </w:rPr>
        <w:t xml:space="preserve"> </w:t>
      </w:r>
      <w:r w:rsidRPr="000A4CF6">
        <w:rPr>
          <w:rFonts w:ascii="Arial" w:hAnsi="Arial" w:cs="Arial"/>
          <w:sz w:val="24"/>
          <w:szCs w:val="24"/>
          <w:lang w:val="es-ES_tradnl"/>
        </w:rPr>
        <w:t>l</w:t>
      </w:r>
      <w:r w:rsidR="008921CF">
        <w:rPr>
          <w:rFonts w:ascii="Arial" w:hAnsi="Arial" w:cs="Arial"/>
          <w:sz w:val="24"/>
          <w:szCs w:val="24"/>
          <w:lang w:val="es-ES_tradnl"/>
        </w:rPr>
        <w:t>os</w:t>
      </w:r>
      <w:r w:rsidRPr="000A4CF6">
        <w:rPr>
          <w:rFonts w:ascii="Arial" w:hAnsi="Arial" w:cs="Arial"/>
          <w:sz w:val="24"/>
          <w:szCs w:val="24"/>
          <w:lang w:val="es-ES_tradnl"/>
        </w:rPr>
        <w:t xml:space="preserve"> concepto</w:t>
      </w:r>
      <w:r w:rsidR="008921CF">
        <w:rPr>
          <w:rFonts w:ascii="Arial" w:hAnsi="Arial" w:cs="Arial"/>
          <w:sz w:val="24"/>
          <w:szCs w:val="24"/>
          <w:lang w:val="es-ES_tradnl"/>
        </w:rPr>
        <w:t>s de M061 POR CIRCULAR SIN PLACA, CORRA M MOTOS, FONDO DE FOMENTO SOCIAL, TURÍSTICO, GAST, REDONDEO</w:t>
      </w:r>
      <w:r w:rsidRPr="000A4CF6">
        <w:rPr>
          <w:rFonts w:ascii="Arial" w:hAnsi="Arial" w:cs="Arial"/>
          <w:sz w:val="24"/>
          <w:szCs w:val="24"/>
          <w:lang w:val="es-ES_tradnl"/>
        </w:rPr>
        <w:t>, surgió en el momento en que se realizó la situación de hecho o derecho que de acuerdo con la ley dio origen a la misma, por lo que, la exi</w:t>
      </w:r>
      <w:r w:rsidR="008921CF">
        <w:rPr>
          <w:rFonts w:ascii="Arial" w:hAnsi="Arial" w:cs="Arial"/>
          <w:sz w:val="24"/>
          <w:szCs w:val="24"/>
          <w:lang w:val="es-ES_tradnl"/>
        </w:rPr>
        <w:t>gencia de pagar dichos montos</w:t>
      </w:r>
      <w:r w:rsidRPr="000A4CF6">
        <w:rPr>
          <w:rFonts w:ascii="Arial" w:hAnsi="Arial" w:cs="Arial"/>
          <w:sz w:val="24"/>
          <w:szCs w:val="24"/>
          <w:lang w:val="es-ES_tradnl"/>
        </w:rPr>
        <w:t xml:space="preserve"> nació con anterioridad y el recibo de pago simplemente acredita el cumplimiento de la obligación tributaria a cargo del contribuyente por tales conceptos.</w:t>
      </w:r>
    </w:p>
    <w:p w14:paraId="0EC7B900" w14:textId="77777777" w:rsidR="000A4CF6" w:rsidRPr="008921CF" w:rsidRDefault="000A4CF6" w:rsidP="000A4CF6">
      <w:pPr>
        <w:widowControl w:val="0"/>
        <w:autoSpaceDE w:val="0"/>
        <w:autoSpaceDN w:val="0"/>
        <w:adjustRightInd w:val="0"/>
        <w:spacing w:line="360" w:lineRule="auto"/>
        <w:ind w:firstLine="567"/>
        <w:jc w:val="both"/>
        <w:rPr>
          <w:rFonts w:ascii="Arial" w:hAnsi="Arial" w:cs="Arial"/>
          <w:b/>
          <w:sz w:val="24"/>
          <w:szCs w:val="24"/>
          <w:lang w:val="es-ES_tradnl"/>
        </w:rPr>
      </w:pPr>
      <w:r w:rsidRPr="000A4CF6">
        <w:rPr>
          <w:rFonts w:ascii="Arial" w:hAnsi="Arial" w:cs="Arial"/>
          <w:sz w:val="24"/>
          <w:szCs w:val="24"/>
          <w:lang w:val="es-ES_tradnl"/>
        </w:rPr>
        <w:t xml:space="preserve">Así, el recibo de pago es el documento en el que se contienen los elementos que acreditan el entero de la obligación tributaria a cargo del contribuyente, de tal forma que se trata del documento idóneo para demostrar el cumplimiento de la obligación fiscal, </w:t>
      </w:r>
      <w:r w:rsidRPr="008921CF">
        <w:rPr>
          <w:rFonts w:ascii="Arial" w:hAnsi="Arial" w:cs="Arial"/>
          <w:b/>
          <w:sz w:val="24"/>
          <w:szCs w:val="24"/>
          <w:lang w:val="es-ES_tradnl"/>
        </w:rPr>
        <w:t>pero no para demostrar que la autoridad hacendaria hubiere realizado la determinación, liquidación y cobro de la contribución.</w:t>
      </w:r>
    </w:p>
    <w:p w14:paraId="1F10F4FE" w14:textId="77777777" w:rsidR="000A4CF6" w:rsidRPr="000A4CF6" w:rsidRDefault="000A4CF6" w:rsidP="000A4CF6">
      <w:pPr>
        <w:widowControl w:val="0"/>
        <w:autoSpaceDE w:val="0"/>
        <w:autoSpaceDN w:val="0"/>
        <w:adjustRightInd w:val="0"/>
        <w:spacing w:line="360" w:lineRule="auto"/>
        <w:ind w:firstLine="567"/>
        <w:jc w:val="both"/>
        <w:rPr>
          <w:rFonts w:ascii="Arial" w:hAnsi="Arial" w:cs="Arial"/>
          <w:sz w:val="24"/>
          <w:szCs w:val="24"/>
          <w:lang w:val="es-ES_tradnl"/>
        </w:rPr>
      </w:pPr>
      <w:r w:rsidRPr="000A4CF6">
        <w:rPr>
          <w:rFonts w:ascii="Arial" w:hAnsi="Arial" w:cs="Arial"/>
          <w:sz w:val="24"/>
          <w:szCs w:val="24"/>
          <w:lang w:val="es-ES_tradnl"/>
        </w:rPr>
        <w:t>Sin que pueda considerarse que el recibo oficial de pago implica y representa la liquidación y cobro de la contribución por parte de la autoridad demandada, y que es esto último lo que representa al acto impugnado en el juicio de nulidad; ya que el recibo de pago ofrecido como prueba por el promovente, no desprende la actitud positiva, voluntaria y directa por parte de las autoridades demandadas en relación con la determinación, cálculo o exigencia coactiva del tributo, sino que solo se acredita la existencia del pago consignado en el recibo oficial, con la consecuente conducta pasiva de la Tesorería Municipal al solo recibir el pago y expedir el comprobante correspondiente.</w:t>
      </w:r>
    </w:p>
    <w:p w14:paraId="68936C65" w14:textId="77777777" w:rsidR="000A4CF6" w:rsidRPr="000A4CF6" w:rsidRDefault="000A4CF6" w:rsidP="000A4CF6">
      <w:pPr>
        <w:widowControl w:val="0"/>
        <w:autoSpaceDE w:val="0"/>
        <w:autoSpaceDN w:val="0"/>
        <w:adjustRightInd w:val="0"/>
        <w:spacing w:line="360" w:lineRule="auto"/>
        <w:ind w:firstLine="567"/>
        <w:jc w:val="both"/>
        <w:rPr>
          <w:rFonts w:ascii="Arial" w:hAnsi="Arial" w:cs="Arial"/>
          <w:sz w:val="24"/>
          <w:szCs w:val="24"/>
          <w:lang w:val="es-ES_tradnl"/>
        </w:rPr>
      </w:pPr>
      <w:r w:rsidRPr="000A4CF6">
        <w:rPr>
          <w:rFonts w:ascii="Arial" w:hAnsi="Arial" w:cs="Arial"/>
          <w:sz w:val="24"/>
          <w:szCs w:val="24"/>
          <w:lang w:val="es-ES_tradnl"/>
        </w:rPr>
        <w:t xml:space="preserve">Sirve de apoyo a lo anterior la Jurisprudencia con número de Registro digital: </w:t>
      </w:r>
      <w:proofErr w:type="gramStart"/>
      <w:r w:rsidRPr="000A4CF6">
        <w:rPr>
          <w:rFonts w:ascii="Arial" w:hAnsi="Arial" w:cs="Arial"/>
          <w:sz w:val="24"/>
          <w:szCs w:val="24"/>
          <w:lang w:val="es-ES_tradnl"/>
        </w:rPr>
        <w:t>161068,  sustentada</w:t>
      </w:r>
      <w:proofErr w:type="gramEnd"/>
      <w:r w:rsidRPr="000A4CF6">
        <w:rPr>
          <w:rFonts w:ascii="Arial" w:hAnsi="Arial" w:cs="Arial"/>
          <w:sz w:val="24"/>
          <w:szCs w:val="24"/>
          <w:lang w:val="es-ES_tradnl"/>
        </w:rPr>
        <w:t xml:space="preserve"> por la Segunda Sala de la Suprema Corte de Justicia de la Nación, Tesis: 2a./J. 140/2011, visible en el Semanario Judicial </w:t>
      </w:r>
      <w:r w:rsidRPr="000A4CF6">
        <w:rPr>
          <w:rFonts w:ascii="Arial" w:hAnsi="Arial" w:cs="Arial"/>
          <w:sz w:val="24"/>
          <w:szCs w:val="24"/>
          <w:lang w:val="es-ES_tradnl"/>
        </w:rPr>
        <w:lastRenderedPageBreak/>
        <w:t>de la Federación y su Gaceta. Tomo XXXIV, Septiembre de 2011, página 1290, con el rubro y texto siguiente:</w:t>
      </w:r>
    </w:p>
    <w:p w14:paraId="7AB23A66" w14:textId="77777777" w:rsidR="000A4CF6" w:rsidRPr="000A4CF6" w:rsidRDefault="000A4CF6" w:rsidP="000A4CF6">
      <w:pPr>
        <w:widowControl w:val="0"/>
        <w:autoSpaceDE w:val="0"/>
        <w:autoSpaceDN w:val="0"/>
        <w:adjustRightInd w:val="0"/>
        <w:spacing w:line="276" w:lineRule="auto"/>
        <w:ind w:left="567" w:right="335" w:firstLine="567"/>
        <w:jc w:val="both"/>
        <w:rPr>
          <w:rFonts w:ascii="Arial" w:hAnsi="Arial" w:cs="Arial"/>
          <w:i/>
          <w:sz w:val="24"/>
          <w:szCs w:val="24"/>
          <w:lang w:val="es-ES_tradnl"/>
        </w:rPr>
      </w:pPr>
      <w:r w:rsidRPr="000A4CF6">
        <w:rPr>
          <w:rFonts w:ascii="Arial" w:hAnsi="Arial" w:cs="Arial"/>
          <w:i/>
          <w:sz w:val="24"/>
          <w:szCs w:val="24"/>
          <w:lang w:val="es-ES_tradnl"/>
        </w:rPr>
        <w:t>“</w:t>
      </w:r>
      <w:r w:rsidRPr="000A4CF6">
        <w:rPr>
          <w:rFonts w:ascii="Arial" w:hAnsi="Arial" w:cs="Arial"/>
          <w:b/>
          <w:i/>
          <w:sz w:val="24"/>
          <w:szCs w:val="24"/>
          <w:lang w:val="es-ES_tradnl"/>
        </w:rPr>
        <w:t>IMPUESTO SOBRE TRANSMISIONES PATRIMONIALES DE BIENES MUEBLES. EL RECIBO DE PAGO NO CONSTITUYE RESOLUCIÓN DEFINITIVA PARA EFECTOS DE LA PROCEDENCIA DEL JUICIO ADMINISTRATIVO (LEGISLACIÓN DEL ESTADO DE JALISCO).</w:t>
      </w:r>
      <w:r w:rsidRPr="000A4CF6">
        <w:rPr>
          <w:rFonts w:ascii="Arial" w:hAnsi="Arial" w:cs="Arial"/>
          <w:i/>
          <w:sz w:val="24"/>
          <w:szCs w:val="24"/>
          <w:lang w:val="es-ES_tradnl"/>
        </w:rPr>
        <w:t xml:space="preserve"> La contribución citada está regulada en la Ley de Hacienda del Estado de Jalisco, de cuyo contenido deriva que constituye un impuesto que recae concretamente sobre la transmisión de la propiedad de bienes muebles o derechos sobre ellos cuya determinación, retención y entero corren, entre otros, a cargo del notario público que protocolizó el acto jurídico que motivó la </w:t>
      </w:r>
      <w:proofErr w:type="spellStart"/>
      <w:r w:rsidRPr="000A4CF6">
        <w:rPr>
          <w:rFonts w:ascii="Arial" w:hAnsi="Arial" w:cs="Arial"/>
          <w:i/>
          <w:sz w:val="24"/>
          <w:szCs w:val="24"/>
          <w:lang w:val="es-ES_tradnl"/>
        </w:rPr>
        <w:t>causación</w:t>
      </w:r>
      <w:proofErr w:type="spellEnd"/>
      <w:r w:rsidRPr="000A4CF6">
        <w:rPr>
          <w:rFonts w:ascii="Arial" w:hAnsi="Arial" w:cs="Arial"/>
          <w:i/>
          <w:sz w:val="24"/>
          <w:szCs w:val="24"/>
          <w:lang w:val="es-ES_tradnl"/>
        </w:rPr>
        <w:t xml:space="preserve"> del impuesto. Ahora bien, el recibo de pago de esa contribución no constituye resolución definitiva impugnable ante el Tribunal de lo Administrativo de esa entidad federativa, porque si bien es cierto que ampara el entero vinculado con el cumplimiento de una obligación fiscal, también lo es que la Ley de Justicia Administrativa prevé que el juicio administrativo procede contra resoluciones definitivas; carácter que no es atribuible al comprobante de pago aludido, porque la Secretaría de Finanzas local se reserva la facultad de intervenir, de oficio o a petición de parte, cuando advierta que el valor de operación consignado en el documento de que se trate, o en el avalúo pericial, conforme al cual se calculó la base del impuesto, sea notoriamente inferior al que le correspondería como valor real, supuesto en el que podrá practicar avalúo con los elementos de que disponga; y, además, porque contra dicha determinación procede el recurso de revocación cuya interposición es obligatoria antes de instar la vía administrativa, en términos del artículo 197 del Código Fiscal de esa entidad federativa.”</w:t>
      </w:r>
    </w:p>
    <w:p w14:paraId="227767D9" w14:textId="77777777" w:rsidR="000A4CF6" w:rsidRPr="000A4CF6" w:rsidRDefault="000A4CF6" w:rsidP="000A4CF6">
      <w:pPr>
        <w:widowControl w:val="0"/>
        <w:autoSpaceDE w:val="0"/>
        <w:autoSpaceDN w:val="0"/>
        <w:adjustRightInd w:val="0"/>
        <w:spacing w:line="360" w:lineRule="auto"/>
        <w:ind w:firstLine="567"/>
        <w:jc w:val="both"/>
        <w:rPr>
          <w:rFonts w:ascii="Arial" w:hAnsi="Arial" w:cs="Arial"/>
          <w:sz w:val="24"/>
          <w:szCs w:val="24"/>
          <w:lang w:val="es-ES_tradnl"/>
        </w:rPr>
      </w:pPr>
      <w:r w:rsidRPr="000A4CF6">
        <w:rPr>
          <w:rFonts w:ascii="Arial" w:hAnsi="Arial" w:cs="Arial"/>
          <w:sz w:val="24"/>
          <w:szCs w:val="24"/>
          <w:lang w:val="es-ES_tradnl"/>
        </w:rPr>
        <w:t>Así mismo, la Jurisprudencia con número de Registro digital: 168248, sustentada por la Segunda Sala de la Suprema Corte de Justicia de la Nación, Novena Época, Materias(s): Administrativa, Tesis: 2a./J. 182/2008, visible en el Semanario Judicial de la Federación y su Gaceta. Tomo XXVIII, Diciembre de 2008, página 294, con el rubro y texto siguiente:</w:t>
      </w:r>
    </w:p>
    <w:p w14:paraId="59D7AEFF" w14:textId="77777777" w:rsidR="000A4CF6" w:rsidRPr="000A4CF6" w:rsidRDefault="000A4CF6" w:rsidP="000A4CF6">
      <w:pPr>
        <w:widowControl w:val="0"/>
        <w:autoSpaceDE w:val="0"/>
        <w:autoSpaceDN w:val="0"/>
        <w:adjustRightInd w:val="0"/>
        <w:spacing w:line="276" w:lineRule="auto"/>
        <w:ind w:left="567" w:right="476" w:firstLine="567"/>
        <w:jc w:val="both"/>
        <w:rPr>
          <w:rFonts w:ascii="Arial" w:hAnsi="Arial" w:cs="Arial"/>
          <w:i/>
          <w:sz w:val="24"/>
          <w:szCs w:val="24"/>
          <w:lang w:val="es-ES_tradnl"/>
        </w:rPr>
      </w:pPr>
      <w:r w:rsidRPr="000A4CF6">
        <w:rPr>
          <w:rFonts w:ascii="Arial" w:hAnsi="Arial" w:cs="Arial"/>
          <w:i/>
          <w:sz w:val="24"/>
          <w:szCs w:val="24"/>
          <w:lang w:val="es-ES_tradnl"/>
        </w:rPr>
        <w:t>“</w:t>
      </w:r>
      <w:r w:rsidRPr="000A4CF6">
        <w:rPr>
          <w:rFonts w:ascii="Arial" w:hAnsi="Arial" w:cs="Arial"/>
          <w:b/>
          <w:i/>
          <w:sz w:val="24"/>
          <w:szCs w:val="24"/>
          <w:lang w:val="es-ES_tradnl"/>
        </w:rPr>
        <w:t>TENENCIA O USO DE VEHÍCULOS. EL RECIBO DE PAGO RELATIVO NO CONSTITUYE UN ACTO DE AUTORIDAD PARA LOS EFECTOS DEL JUICIO DE AMPARO.</w:t>
      </w:r>
      <w:r w:rsidRPr="000A4CF6">
        <w:rPr>
          <w:rFonts w:ascii="Arial" w:hAnsi="Arial" w:cs="Arial"/>
          <w:i/>
          <w:sz w:val="24"/>
          <w:szCs w:val="24"/>
          <w:lang w:val="es-ES_tradnl"/>
        </w:rPr>
        <w:t xml:space="preserve"> La Suprema Corte de Justicia de la Nación ha sostenido que el recibo de pago de un tributo no constituye un acto de autoridad para los efectos del juicio de amparo, pues lo único que acredita es la existencia de un acto de </w:t>
      </w:r>
      <w:proofErr w:type="spellStart"/>
      <w:r w:rsidRPr="000A4CF6">
        <w:rPr>
          <w:rFonts w:ascii="Arial" w:hAnsi="Arial" w:cs="Arial"/>
          <w:i/>
          <w:sz w:val="24"/>
          <w:szCs w:val="24"/>
          <w:lang w:val="es-ES_tradnl"/>
        </w:rPr>
        <w:t>autoaplicación</w:t>
      </w:r>
      <w:proofErr w:type="spellEnd"/>
      <w:r w:rsidRPr="000A4CF6">
        <w:rPr>
          <w:rFonts w:ascii="Arial" w:hAnsi="Arial" w:cs="Arial"/>
          <w:i/>
          <w:sz w:val="24"/>
          <w:szCs w:val="24"/>
          <w:lang w:val="es-ES_tradnl"/>
        </w:rPr>
        <w:t xml:space="preserve"> de la ley relativa. Asimismo, ha precisado que el recibo de pago del impuesto sobre tenencia o uso de vehículos solamente constituye el medio idóneo para acreditar el cumplimiento de la obligación correspondiente, pero no un acto de autoridad imputable a la autoridad fiscal. Conforme a lo anterior, las circunstancias particulares que hayan provocado el pago del impuesto indicado, consistentes en que al contribuyente, al acudir ante la autoridad a realizar algún trámite administrativo vinculado con la circulación del automóvil, se le haya determinado un adeudo por concepto de tenencia o uso de vehículos condicionando la </w:t>
      </w:r>
      <w:r w:rsidRPr="000A4CF6">
        <w:rPr>
          <w:rFonts w:ascii="Arial" w:hAnsi="Arial" w:cs="Arial"/>
          <w:i/>
          <w:sz w:val="24"/>
          <w:szCs w:val="24"/>
          <w:lang w:val="es-ES_tradnl"/>
        </w:rPr>
        <w:lastRenderedPageBreak/>
        <w:t>prestación del servicio administrativo al pago correspondiente, en cumplimiento de la Ley del Impuesto sobre Tenencia o Uso de Vehículos, no desnaturaliza al recibo de pago en sí mismo, convirtiéndolo en esas circunstancias en un acto de autoridad para los efectos del juicio de amparo, sino que éste sigue conservando la naturaleza de un mero medio para acreditar el cumplimiento de la obligación tributaria. Lo anterior no implica desconocer que la negativa de la autoridad de proporcionar los servicios administrativos vinculados con la circulación de vehículos, por existir un adeudo relacionado con el impuesto aludido, así como la determinación del monto a pagar, son actos de autoridad para efectos del juicio de amparo.”</w:t>
      </w:r>
    </w:p>
    <w:p w14:paraId="42614B32" w14:textId="77777777" w:rsidR="000A4CF6" w:rsidRPr="000A4CF6" w:rsidRDefault="000A4CF6" w:rsidP="000A4CF6">
      <w:pPr>
        <w:widowControl w:val="0"/>
        <w:autoSpaceDE w:val="0"/>
        <w:autoSpaceDN w:val="0"/>
        <w:adjustRightInd w:val="0"/>
        <w:spacing w:line="360" w:lineRule="auto"/>
        <w:ind w:firstLine="567"/>
        <w:jc w:val="both"/>
        <w:rPr>
          <w:rFonts w:ascii="Arial" w:hAnsi="Arial" w:cs="Arial"/>
          <w:sz w:val="24"/>
          <w:szCs w:val="24"/>
          <w:lang w:val="es-ES_tradnl"/>
        </w:rPr>
      </w:pPr>
      <w:r w:rsidRPr="000A4CF6">
        <w:rPr>
          <w:rFonts w:ascii="Arial" w:hAnsi="Arial" w:cs="Arial"/>
          <w:sz w:val="24"/>
          <w:szCs w:val="24"/>
          <w:lang w:val="es-ES_tradnl"/>
        </w:rPr>
        <w:t>Al efecto, es necesario precisar que no es impedimento que las Jurisprudencias citadas, se refieran a impuestos diferentes al del presente asunto, toda vez que para efectos de esta determinación, lo relevante es el criterio interpretativo sustentado por dichas jurisprudencias, en relación a los recibos de pago correspondientes al pago de impuestos, los que constituyen solo el comprobante del cumplimento de la obligación tributaria a cargo del particular, sin que por ello deba considerárseles resoluciones definitivas que expresen la voluntad activa y positiva de la autoridad.</w:t>
      </w:r>
    </w:p>
    <w:p w14:paraId="1C2F7A44" w14:textId="0450BD3D" w:rsidR="00250CA4" w:rsidRPr="005C0158" w:rsidRDefault="000A4CF6" w:rsidP="005C0158">
      <w:pPr>
        <w:widowControl w:val="0"/>
        <w:autoSpaceDE w:val="0"/>
        <w:autoSpaceDN w:val="0"/>
        <w:adjustRightInd w:val="0"/>
        <w:spacing w:line="360" w:lineRule="auto"/>
        <w:ind w:firstLine="567"/>
        <w:jc w:val="both"/>
        <w:rPr>
          <w:rFonts w:ascii="Arial" w:eastAsia="Arial" w:hAnsi="Arial" w:cs="Arial"/>
          <w:sz w:val="24"/>
          <w:szCs w:val="24"/>
        </w:rPr>
      </w:pPr>
      <w:r w:rsidRPr="000A4CF6">
        <w:rPr>
          <w:rFonts w:ascii="Arial" w:hAnsi="Arial" w:cs="Arial"/>
          <w:sz w:val="24"/>
          <w:szCs w:val="24"/>
          <w:lang w:val="es-ES_tradnl"/>
        </w:rPr>
        <w:t xml:space="preserve">En consecuencia, al haberse establecido que el recibo oficial de pago </w:t>
      </w:r>
      <w:r w:rsidR="00171999">
        <w:rPr>
          <w:rFonts w:ascii="Arial" w:eastAsia="Arial" w:hAnsi="Arial" w:cs="Arial"/>
          <w:color w:val="FF0000"/>
          <w:sz w:val="24"/>
          <w:szCs w:val="24"/>
        </w:rPr>
        <w:t>**********</w:t>
      </w:r>
      <w:r w:rsidR="005C0158">
        <w:rPr>
          <w:rFonts w:ascii="Arial" w:eastAsia="Arial" w:hAnsi="Arial" w:cs="Arial"/>
          <w:sz w:val="24"/>
          <w:szCs w:val="24"/>
        </w:rPr>
        <w:t>, de once de julio de dos mil diecinueve</w:t>
      </w:r>
      <w:r w:rsidR="005C0158" w:rsidRPr="000A4CF6">
        <w:rPr>
          <w:rFonts w:ascii="Arial" w:hAnsi="Arial" w:cs="Arial"/>
          <w:sz w:val="24"/>
          <w:szCs w:val="24"/>
          <w:lang w:val="es-ES_tradnl"/>
        </w:rPr>
        <w:t xml:space="preserve">, expedido a nombre de </w:t>
      </w:r>
      <w:r w:rsidR="00171999">
        <w:rPr>
          <w:rFonts w:ascii="Arial" w:hAnsi="Arial" w:cs="Arial"/>
          <w:color w:val="FF0000"/>
          <w:sz w:val="24"/>
          <w:szCs w:val="24"/>
          <w:lang w:val="es-ES_tradnl"/>
        </w:rPr>
        <w:t>**********</w:t>
      </w:r>
      <w:r w:rsidR="005C0158" w:rsidRPr="000A4CF6">
        <w:rPr>
          <w:rFonts w:ascii="Arial" w:hAnsi="Arial" w:cs="Arial"/>
          <w:sz w:val="24"/>
          <w:szCs w:val="24"/>
          <w:lang w:val="es-ES_tradnl"/>
        </w:rPr>
        <w:t>, por la Tesorería Municipal a través de la Unidad de Recaudación de rentas del Municipio de Oaxaca de Juárez, Oaxaca, por la cantidad de $</w:t>
      </w:r>
      <w:r w:rsidR="005C0158">
        <w:rPr>
          <w:rFonts w:ascii="Arial" w:hAnsi="Arial" w:cs="Arial"/>
          <w:sz w:val="24"/>
          <w:szCs w:val="24"/>
          <w:lang w:val="es-ES_tradnl"/>
        </w:rPr>
        <w:t>1,622.00 (un mil seiscientos veintidós pesos 00/100 M.N.)</w:t>
      </w:r>
      <w:r w:rsidRPr="000A4CF6">
        <w:rPr>
          <w:rFonts w:ascii="Arial" w:hAnsi="Arial" w:cs="Arial"/>
          <w:sz w:val="24"/>
          <w:szCs w:val="24"/>
          <w:lang w:val="es-ES_tradnl"/>
        </w:rPr>
        <w:t>, no es un acto impugnable para efectos del juicio contencioso administrativo</w:t>
      </w:r>
      <w:r w:rsidR="00250CA4">
        <w:rPr>
          <w:rFonts w:ascii="Arial" w:eastAsia="Arial" w:hAnsi="Arial" w:cs="Arial"/>
          <w:sz w:val="24"/>
          <w:szCs w:val="24"/>
        </w:rPr>
        <w:t xml:space="preserve">, se actualiza la causal de improcedencia prevista en el artículo 161 fracción X, en relación con el diverso 133, fracción II, de la Ley de Procedimiento y Justicia Administrativa del Estado, por lo que, con fundamento en el artículo 162, fracción II, de la Ley citada, </w:t>
      </w:r>
      <w:r w:rsidR="00250CA4">
        <w:rPr>
          <w:rFonts w:ascii="Arial" w:eastAsia="Arial" w:hAnsi="Arial" w:cs="Arial"/>
          <w:b/>
          <w:sz w:val="24"/>
          <w:szCs w:val="24"/>
        </w:rPr>
        <w:t>SE SOBRESEE EL JUICIO.</w:t>
      </w:r>
    </w:p>
    <w:p w14:paraId="0000005C" w14:textId="4C39CAD7" w:rsidR="001540EC" w:rsidRDefault="008B0B36" w:rsidP="005C0158">
      <w:pPr>
        <w:spacing w:line="360" w:lineRule="auto"/>
        <w:ind w:right="51" w:firstLine="567"/>
        <w:jc w:val="both"/>
        <w:rPr>
          <w:rFonts w:ascii="Arial" w:eastAsia="Arial" w:hAnsi="Arial" w:cs="Arial"/>
          <w:sz w:val="24"/>
          <w:szCs w:val="24"/>
        </w:rPr>
      </w:pPr>
      <w:r>
        <w:rPr>
          <w:rFonts w:ascii="Arial" w:eastAsia="Arial" w:hAnsi="Arial" w:cs="Arial"/>
          <w:b/>
          <w:sz w:val="24"/>
          <w:szCs w:val="24"/>
        </w:rPr>
        <w:t xml:space="preserve">CUARTO. </w:t>
      </w:r>
      <w:r w:rsidR="00BE3F92">
        <w:rPr>
          <w:rFonts w:ascii="Arial" w:eastAsia="Arial" w:hAnsi="Arial" w:cs="Arial"/>
          <w:sz w:val="24"/>
          <w:szCs w:val="24"/>
        </w:rPr>
        <w:t>Como se ha sobreseído el juicio respec</w:t>
      </w:r>
      <w:r w:rsidR="000367DB">
        <w:rPr>
          <w:rFonts w:ascii="Arial" w:eastAsia="Arial" w:hAnsi="Arial" w:cs="Arial"/>
          <w:sz w:val="24"/>
          <w:szCs w:val="24"/>
        </w:rPr>
        <w:t>to de los actos impugnados, esta</w:t>
      </w:r>
      <w:r w:rsidR="00BE3F92">
        <w:rPr>
          <w:rFonts w:ascii="Arial" w:eastAsia="Arial" w:hAnsi="Arial" w:cs="Arial"/>
          <w:sz w:val="24"/>
          <w:szCs w:val="24"/>
        </w:rPr>
        <w:t xml:space="preserve"> juzgador</w:t>
      </w:r>
      <w:r w:rsidR="000367DB">
        <w:rPr>
          <w:rFonts w:ascii="Arial" w:eastAsia="Arial" w:hAnsi="Arial" w:cs="Arial"/>
          <w:sz w:val="24"/>
          <w:szCs w:val="24"/>
        </w:rPr>
        <w:t>a se encuentra impedida</w:t>
      </w:r>
      <w:r w:rsidR="00BE3F92">
        <w:rPr>
          <w:rFonts w:ascii="Arial" w:eastAsia="Arial" w:hAnsi="Arial" w:cs="Arial"/>
          <w:sz w:val="24"/>
          <w:szCs w:val="24"/>
        </w:rPr>
        <w:t xml:space="preserve"> para entrar al fondo del asunto planteado, es decir, analizar los conceptos de impugnación expresados por la parte actora en su escrito de demanda.</w:t>
      </w:r>
    </w:p>
    <w:p w14:paraId="0000005D" w14:textId="77777777" w:rsidR="001540EC" w:rsidRDefault="001540EC">
      <w:pPr>
        <w:spacing w:after="0" w:line="360" w:lineRule="auto"/>
        <w:ind w:firstLine="567"/>
        <w:jc w:val="both"/>
        <w:rPr>
          <w:rFonts w:ascii="Arial" w:eastAsia="Arial" w:hAnsi="Arial" w:cs="Arial"/>
          <w:sz w:val="10"/>
          <w:szCs w:val="10"/>
        </w:rPr>
      </w:pPr>
    </w:p>
    <w:p w14:paraId="0000005E" w14:textId="77777777" w:rsidR="001540EC" w:rsidRDefault="00BE3F92">
      <w:pPr>
        <w:spacing w:after="0" w:line="360" w:lineRule="auto"/>
        <w:ind w:firstLine="567"/>
        <w:jc w:val="both"/>
        <w:rPr>
          <w:rFonts w:ascii="Arial" w:eastAsia="Arial" w:hAnsi="Arial" w:cs="Arial"/>
          <w:sz w:val="24"/>
          <w:szCs w:val="24"/>
        </w:rPr>
      </w:pPr>
      <w:r>
        <w:rPr>
          <w:rFonts w:ascii="Arial" w:eastAsia="Arial" w:hAnsi="Arial" w:cs="Arial"/>
          <w:sz w:val="24"/>
          <w:szCs w:val="24"/>
        </w:rPr>
        <w:t>Sirve de referencia la jurisprudencia de la Suprema Corte de Justicia de la Nación con número de registro: 185227, de la Novena Época, Instancia: Tribunales Colegiados de Circuito, Fuente: Semanario Judicial de la Federación y su Gaceta, Tomo XVII, Enero de 2003, Materia(s): Administrativa, Tesis: VI.2o.A. J/4, página: 1601, con el rubro y texto siguientes:</w:t>
      </w:r>
    </w:p>
    <w:p w14:paraId="0000005F" w14:textId="77777777" w:rsidR="001540EC" w:rsidRDefault="001540EC">
      <w:pPr>
        <w:spacing w:after="0"/>
        <w:ind w:left="567"/>
        <w:jc w:val="both"/>
        <w:rPr>
          <w:rFonts w:ascii="Arial" w:eastAsia="Arial" w:hAnsi="Arial" w:cs="Arial"/>
          <w:sz w:val="14"/>
          <w:szCs w:val="14"/>
        </w:rPr>
      </w:pPr>
    </w:p>
    <w:p w14:paraId="00000060" w14:textId="77777777" w:rsidR="001540EC" w:rsidRDefault="00BE3F92">
      <w:pPr>
        <w:ind w:left="567" w:right="425"/>
        <w:jc w:val="both"/>
        <w:rPr>
          <w:rFonts w:ascii="Arial" w:eastAsia="Arial" w:hAnsi="Arial" w:cs="Arial"/>
          <w:i/>
        </w:rPr>
      </w:pPr>
      <w:r>
        <w:rPr>
          <w:rFonts w:ascii="Arial" w:eastAsia="Arial" w:hAnsi="Arial" w:cs="Arial"/>
          <w:i/>
        </w:rPr>
        <w:t>“</w:t>
      </w:r>
      <w:r>
        <w:rPr>
          <w:rFonts w:ascii="Arial" w:eastAsia="Arial" w:hAnsi="Arial" w:cs="Arial"/>
          <w:b/>
          <w:i/>
        </w:rPr>
        <w:t xml:space="preserve">CONCEPTOS DE ANULACIÓN. LA FALTA DE SU ANÁLISIS POR LA SALA FISCAL NO RESULTA ILEGAL, SI SE SOBRESEYÓ EN EL </w:t>
      </w:r>
      <w:r>
        <w:rPr>
          <w:rFonts w:ascii="Arial" w:eastAsia="Arial" w:hAnsi="Arial" w:cs="Arial"/>
          <w:b/>
          <w:i/>
        </w:rPr>
        <w:lastRenderedPageBreak/>
        <w:t>JUICIO DE NULIDAD</w:t>
      </w:r>
      <w:r>
        <w:rPr>
          <w:rFonts w:ascii="Arial" w:eastAsia="Arial" w:hAnsi="Arial" w:cs="Arial"/>
          <w:i/>
        </w:rPr>
        <w:t>. Cuando en la sentencia reclamada se sobresee en el juicio de origen, la Sala Fiscal se libera de la obligación de abordar el examen de los conceptos de nulidad, toda vez que aunque es verdad, acorde al artículo 237 del Código Fiscal de la Federación, las Salas del Tribunal Federal de Justicia Fiscal y Administrativa deben "examinar en su conjunto los agravios y causales de ilegalidad, así como los demás razonamientos de las partes, a fin de resolver la cuestión efectivamente planteada", ello sólo acontece en el caso de que la sentencia se ocupe del fondo del asunto, mas no si se decreta el sobreseimiento, pues en este último supuesto se excluye la posibilidad de que la autoridad responsable emprenda algún estudio sustancial sobre el particular.”</w:t>
      </w:r>
    </w:p>
    <w:p w14:paraId="00000061" w14:textId="77777777" w:rsidR="001540EC" w:rsidRDefault="00BE3F92">
      <w:pPr>
        <w:tabs>
          <w:tab w:val="left" w:pos="567"/>
        </w:tabs>
        <w:spacing w:line="360" w:lineRule="auto"/>
        <w:ind w:right="51" w:firstLine="709"/>
        <w:jc w:val="both"/>
        <w:rPr>
          <w:rFonts w:ascii="Arial" w:eastAsia="Arial" w:hAnsi="Arial" w:cs="Arial"/>
          <w:sz w:val="24"/>
          <w:szCs w:val="24"/>
        </w:rPr>
      </w:pPr>
      <w:r>
        <w:rPr>
          <w:rFonts w:ascii="Arial" w:eastAsia="Arial" w:hAnsi="Arial" w:cs="Arial"/>
          <w:sz w:val="24"/>
          <w:szCs w:val="24"/>
        </w:rPr>
        <w:t xml:space="preserve">En mérito de lo expuesto y con fundamento en los artículos 161, fracción X, 162 fracción II y 207, de la Ley de Procedimiento y Justicia Administrativa para el Estado de Oaxaca, se: - - - - - - - - - - - - - - - - - - - - - - - </w:t>
      </w:r>
    </w:p>
    <w:p w14:paraId="00000062" w14:textId="77777777" w:rsidR="001540EC" w:rsidRDefault="00BE3F92">
      <w:pPr>
        <w:spacing w:before="240" w:after="0" w:line="360" w:lineRule="auto"/>
        <w:ind w:right="49" w:firstLine="708"/>
        <w:jc w:val="center"/>
        <w:rPr>
          <w:rFonts w:ascii="Arial" w:eastAsia="Arial" w:hAnsi="Arial" w:cs="Arial"/>
          <w:b/>
          <w:sz w:val="24"/>
          <w:szCs w:val="24"/>
        </w:rPr>
      </w:pPr>
      <w:r>
        <w:rPr>
          <w:rFonts w:ascii="Arial" w:eastAsia="Arial" w:hAnsi="Arial" w:cs="Arial"/>
          <w:b/>
          <w:sz w:val="24"/>
          <w:szCs w:val="24"/>
        </w:rPr>
        <w:t>R E S U E L V E</w:t>
      </w:r>
    </w:p>
    <w:p w14:paraId="00000063" w14:textId="77777777" w:rsidR="001540EC" w:rsidRDefault="00BE3F92">
      <w:pPr>
        <w:spacing w:before="240" w:after="0" w:line="360" w:lineRule="auto"/>
        <w:ind w:right="49" w:firstLine="567"/>
        <w:jc w:val="both"/>
        <w:rPr>
          <w:rFonts w:ascii="Arial" w:eastAsia="Arial" w:hAnsi="Arial" w:cs="Arial"/>
          <w:sz w:val="24"/>
          <w:szCs w:val="24"/>
        </w:rPr>
      </w:pPr>
      <w:r>
        <w:rPr>
          <w:rFonts w:ascii="Arial" w:eastAsia="Arial" w:hAnsi="Arial" w:cs="Arial"/>
          <w:b/>
          <w:sz w:val="24"/>
          <w:szCs w:val="24"/>
        </w:rPr>
        <w:t>PRIMERO.</w:t>
      </w:r>
      <w:r>
        <w:rPr>
          <w:rFonts w:ascii="Arial" w:eastAsia="Arial" w:hAnsi="Arial" w:cs="Arial"/>
          <w:sz w:val="24"/>
          <w:szCs w:val="24"/>
        </w:rPr>
        <w:t xml:space="preserve"> Esta Sexta Sala Unitaria de este Tribunal de Justicia Administrativa para el Estado de Oaxaca, </w:t>
      </w:r>
      <w:r>
        <w:rPr>
          <w:rFonts w:ascii="Arial" w:eastAsia="Arial" w:hAnsi="Arial" w:cs="Arial"/>
          <w:b/>
          <w:sz w:val="24"/>
          <w:szCs w:val="24"/>
        </w:rPr>
        <w:t>es competente</w:t>
      </w:r>
      <w:r>
        <w:rPr>
          <w:rFonts w:ascii="Arial" w:eastAsia="Arial" w:hAnsi="Arial" w:cs="Arial"/>
          <w:sz w:val="24"/>
          <w:szCs w:val="24"/>
        </w:rPr>
        <w:t xml:space="preserve"> para conocer y resolver del presente asunto. - - - - - - - - - - - - - - - - - - - - - - - - - - - - - - - - - - </w:t>
      </w:r>
    </w:p>
    <w:p w14:paraId="00000064" w14:textId="1434545F" w:rsidR="001540EC" w:rsidRDefault="00BE3F92">
      <w:pPr>
        <w:spacing w:before="240" w:line="360" w:lineRule="auto"/>
        <w:ind w:right="49" w:firstLine="567"/>
        <w:jc w:val="both"/>
        <w:rPr>
          <w:rFonts w:ascii="Arial" w:eastAsia="Arial" w:hAnsi="Arial" w:cs="Arial"/>
          <w:sz w:val="24"/>
          <w:szCs w:val="24"/>
        </w:rPr>
      </w:pPr>
      <w:r>
        <w:rPr>
          <w:rFonts w:ascii="Arial" w:eastAsia="Arial" w:hAnsi="Arial" w:cs="Arial"/>
          <w:b/>
          <w:sz w:val="24"/>
          <w:szCs w:val="24"/>
        </w:rPr>
        <w:t>SEGUNDO.</w:t>
      </w:r>
      <w:r>
        <w:rPr>
          <w:rFonts w:ascii="Arial" w:eastAsia="Arial" w:hAnsi="Arial" w:cs="Arial"/>
          <w:sz w:val="24"/>
          <w:szCs w:val="24"/>
        </w:rPr>
        <w:t xml:space="preserve"> </w:t>
      </w:r>
      <w:r>
        <w:rPr>
          <w:rFonts w:ascii="Arial" w:eastAsia="Arial" w:hAnsi="Arial" w:cs="Arial"/>
          <w:b/>
          <w:sz w:val="24"/>
          <w:szCs w:val="24"/>
        </w:rPr>
        <w:t>La personalidad</w:t>
      </w:r>
      <w:r>
        <w:rPr>
          <w:rFonts w:ascii="Arial" w:eastAsia="Arial" w:hAnsi="Arial" w:cs="Arial"/>
          <w:sz w:val="24"/>
          <w:szCs w:val="24"/>
        </w:rPr>
        <w:t xml:space="preserve"> de las partes quedó acreditada en autos.- </w:t>
      </w:r>
    </w:p>
    <w:p w14:paraId="00000065" w14:textId="3F18D3FE" w:rsidR="001540EC" w:rsidRDefault="00BE3F92">
      <w:pPr>
        <w:spacing w:line="360" w:lineRule="auto"/>
        <w:ind w:right="51" w:firstLine="567"/>
        <w:jc w:val="both"/>
        <w:rPr>
          <w:rFonts w:ascii="Arial" w:eastAsia="Arial" w:hAnsi="Arial" w:cs="Arial"/>
          <w:color w:val="000000"/>
          <w:sz w:val="24"/>
          <w:szCs w:val="24"/>
        </w:rPr>
      </w:pPr>
      <w:r>
        <w:rPr>
          <w:rFonts w:ascii="Arial" w:eastAsia="Arial" w:hAnsi="Arial" w:cs="Arial"/>
          <w:b/>
          <w:sz w:val="24"/>
          <w:szCs w:val="24"/>
        </w:rPr>
        <w:t xml:space="preserve">TERCERO. </w:t>
      </w:r>
      <w:r>
        <w:rPr>
          <w:rFonts w:ascii="Arial" w:eastAsia="Arial" w:hAnsi="Arial" w:cs="Arial"/>
          <w:sz w:val="24"/>
          <w:szCs w:val="24"/>
        </w:rPr>
        <w:t>Al actualizarse</w:t>
      </w:r>
      <w:r>
        <w:rPr>
          <w:rFonts w:ascii="Arial" w:eastAsia="Arial" w:hAnsi="Arial" w:cs="Arial"/>
          <w:b/>
          <w:sz w:val="24"/>
          <w:szCs w:val="24"/>
        </w:rPr>
        <w:t xml:space="preserve"> </w:t>
      </w:r>
      <w:r>
        <w:rPr>
          <w:rFonts w:ascii="Arial" w:eastAsia="Arial" w:hAnsi="Arial" w:cs="Arial"/>
          <w:color w:val="000000"/>
          <w:sz w:val="24"/>
          <w:szCs w:val="24"/>
        </w:rPr>
        <w:t>la causal de improcedencia prevista en la fracción X del artículo 161, en relación co</w:t>
      </w:r>
      <w:r w:rsidR="005C0158">
        <w:rPr>
          <w:rFonts w:ascii="Arial" w:eastAsia="Arial" w:hAnsi="Arial" w:cs="Arial"/>
          <w:color w:val="000000"/>
          <w:sz w:val="24"/>
          <w:szCs w:val="24"/>
        </w:rPr>
        <w:t xml:space="preserve">n la fracción II del artículo 162, y 133 fracción </w:t>
      </w:r>
      <w:r>
        <w:rPr>
          <w:rFonts w:ascii="Arial" w:eastAsia="Arial" w:hAnsi="Arial" w:cs="Arial"/>
          <w:color w:val="000000"/>
          <w:sz w:val="24"/>
          <w:szCs w:val="24"/>
        </w:rPr>
        <w:t xml:space="preserve">II, de la Ley de la materia, se ordena </w:t>
      </w:r>
      <w:r>
        <w:rPr>
          <w:rFonts w:ascii="Arial" w:eastAsia="Arial" w:hAnsi="Arial" w:cs="Arial"/>
          <w:b/>
          <w:color w:val="000000"/>
          <w:sz w:val="24"/>
          <w:szCs w:val="24"/>
        </w:rPr>
        <w:t>SOBRESEER EL JUICIO</w:t>
      </w:r>
      <w:r>
        <w:rPr>
          <w:rFonts w:ascii="Arial" w:eastAsia="Arial" w:hAnsi="Arial" w:cs="Arial"/>
          <w:color w:val="000000"/>
          <w:sz w:val="24"/>
          <w:szCs w:val="24"/>
        </w:rPr>
        <w:t>, como se determinó en el considerando</w:t>
      </w:r>
      <w:r>
        <w:rPr>
          <w:rFonts w:ascii="Arial" w:eastAsia="Arial" w:hAnsi="Arial" w:cs="Arial"/>
          <w:b/>
          <w:color w:val="000000"/>
          <w:sz w:val="24"/>
          <w:szCs w:val="24"/>
        </w:rPr>
        <w:t xml:space="preserve"> tercero</w:t>
      </w:r>
      <w:r>
        <w:rPr>
          <w:rFonts w:ascii="Arial" w:eastAsia="Arial" w:hAnsi="Arial" w:cs="Arial"/>
          <w:color w:val="000000"/>
          <w:sz w:val="24"/>
          <w:szCs w:val="24"/>
        </w:rPr>
        <w:t xml:space="preserve"> de esta sentencia. - </w:t>
      </w:r>
      <w:r w:rsidR="005C0158">
        <w:rPr>
          <w:rFonts w:ascii="Arial" w:eastAsia="Arial" w:hAnsi="Arial" w:cs="Arial"/>
          <w:color w:val="000000"/>
          <w:sz w:val="24"/>
          <w:szCs w:val="24"/>
        </w:rPr>
        <w:t xml:space="preserve">- - - - - - - - - - - </w:t>
      </w:r>
    </w:p>
    <w:p w14:paraId="00000066" w14:textId="77777777" w:rsidR="001540EC" w:rsidRDefault="00BE3F92">
      <w:pPr>
        <w:widowControl w:val="0"/>
        <w:spacing w:line="360" w:lineRule="auto"/>
        <w:ind w:right="51" w:firstLine="567"/>
        <w:jc w:val="both"/>
        <w:rPr>
          <w:rFonts w:ascii="Arial" w:eastAsia="Arial" w:hAnsi="Arial" w:cs="Arial"/>
          <w:sz w:val="24"/>
          <w:szCs w:val="24"/>
        </w:rPr>
      </w:pPr>
      <w:r>
        <w:rPr>
          <w:rFonts w:ascii="Arial" w:eastAsia="Arial" w:hAnsi="Arial" w:cs="Arial"/>
          <w:b/>
          <w:sz w:val="24"/>
          <w:szCs w:val="24"/>
        </w:rPr>
        <w:t>CUARTO.</w:t>
      </w:r>
      <w:r>
        <w:rPr>
          <w:rFonts w:ascii="Arial" w:eastAsia="Arial" w:hAnsi="Arial" w:cs="Arial"/>
          <w:sz w:val="24"/>
          <w:szCs w:val="24"/>
        </w:rPr>
        <w:t xml:space="preserve"> Al sobreseerse el juicio, esta autoridad jurisdiccional se encuentra impedido para entrar al fondo del asunto como quedo precisado en el considerando </w:t>
      </w:r>
      <w:r>
        <w:rPr>
          <w:rFonts w:ascii="Arial" w:eastAsia="Arial" w:hAnsi="Arial" w:cs="Arial"/>
          <w:b/>
          <w:sz w:val="24"/>
          <w:szCs w:val="24"/>
        </w:rPr>
        <w:t>cuarto</w:t>
      </w:r>
      <w:r>
        <w:rPr>
          <w:rFonts w:ascii="Arial" w:eastAsia="Arial" w:hAnsi="Arial" w:cs="Arial"/>
          <w:sz w:val="24"/>
          <w:szCs w:val="24"/>
        </w:rPr>
        <w:t xml:space="preserve"> de esta sentencia. - - - - - - - - - - - - - - - - - - - - - - - </w:t>
      </w:r>
    </w:p>
    <w:p w14:paraId="00000067" w14:textId="77777777" w:rsidR="001540EC" w:rsidRDefault="00BE3F92">
      <w:pPr>
        <w:spacing w:before="240" w:line="360" w:lineRule="auto"/>
        <w:ind w:right="49" w:firstLine="567"/>
        <w:jc w:val="both"/>
        <w:rPr>
          <w:rFonts w:ascii="Arial" w:eastAsia="Arial" w:hAnsi="Arial" w:cs="Arial"/>
          <w:sz w:val="24"/>
          <w:szCs w:val="24"/>
        </w:rPr>
      </w:pPr>
      <w:r>
        <w:rPr>
          <w:rFonts w:ascii="Arial" w:eastAsia="Arial" w:hAnsi="Arial" w:cs="Arial"/>
          <w:b/>
          <w:sz w:val="24"/>
          <w:szCs w:val="24"/>
        </w:rPr>
        <w:t xml:space="preserve">QUINTO. </w:t>
      </w:r>
      <w:r>
        <w:rPr>
          <w:rFonts w:ascii="Arial" w:eastAsia="Arial" w:hAnsi="Arial" w:cs="Arial"/>
          <w:sz w:val="24"/>
          <w:szCs w:val="24"/>
        </w:rPr>
        <w:t xml:space="preserve">Con fundamento en los artículos 172 fracción I y 173 fracciones I y II, de la Ley de Procedimiento y Justicia Administrativa para el Estado de Oaxaca, </w:t>
      </w:r>
      <w:r>
        <w:rPr>
          <w:rFonts w:ascii="Arial" w:eastAsia="Arial" w:hAnsi="Arial" w:cs="Arial"/>
          <w:b/>
          <w:sz w:val="24"/>
          <w:szCs w:val="24"/>
        </w:rPr>
        <w:t xml:space="preserve">NOTIFÍQUESE </w:t>
      </w:r>
      <w:r>
        <w:rPr>
          <w:rFonts w:ascii="Arial" w:eastAsia="Arial" w:hAnsi="Arial" w:cs="Arial"/>
          <w:sz w:val="24"/>
          <w:szCs w:val="24"/>
        </w:rPr>
        <w:t>personalmente a la parte actora</w:t>
      </w:r>
      <w:r>
        <w:rPr>
          <w:rFonts w:ascii="Arial" w:eastAsia="Arial" w:hAnsi="Arial" w:cs="Arial"/>
          <w:b/>
          <w:sz w:val="24"/>
          <w:szCs w:val="24"/>
        </w:rPr>
        <w:t xml:space="preserve"> </w:t>
      </w:r>
      <w:r>
        <w:rPr>
          <w:rFonts w:ascii="Arial" w:eastAsia="Arial" w:hAnsi="Arial" w:cs="Arial"/>
          <w:sz w:val="24"/>
          <w:szCs w:val="24"/>
        </w:rPr>
        <w:t>y por oficio a las autoridades demandadas.</w:t>
      </w:r>
      <w:r>
        <w:rPr>
          <w:rFonts w:ascii="Arial" w:eastAsia="Arial" w:hAnsi="Arial" w:cs="Arial"/>
          <w:b/>
          <w:sz w:val="24"/>
          <w:szCs w:val="24"/>
        </w:rPr>
        <w:t xml:space="preserve"> CÚMPLASE</w:t>
      </w:r>
      <w:r>
        <w:rPr>
          <w:rFonts w:ascii="Arial" w:eastAsia="Arial" w:hAnsi="Arial" w:cs="Arial"/>
          <w:sz w:val="24"/>
          <w:szCs w:val="24"/>
        </w:rPr>
        <w:t xml:space="preserve">. - - - - - - - - - - - - - - - - - - </w:t>
      </w:r>
    </w:p>
    <w:p w14:paraId="00000068" w14:textId="36898726" w:rsidR="001540EC" w:rsidRDefault="00BE3F92">
      <w:pPr>
        <w:spacing w:after="0" w:line="360" w:lineRule="auto"/>
        <w:ind w:right="49" w:firstLine="708"/>
        <w:jc w:val="both"/>
        <w:rPr>
          <w:rFonts w:ascii="Arial" w:eastAsia="Arial" w:hAnsi="Arial" w:cs="Arial"/>
          <w:sz w:val="24"/>
          <w:szCs w:val="24"/>
        </w:rPr>
      </w:pPr>
      <w:r>
        <w:rPr>
          <w:rFonts w:ascii="Arial" w:eastAsia="Arial" w:hAnsi="Arial" w:cs="Arial"/>
          <w:sz w:val="24"/>
          <w:szCs w:val="24"/>
        </w:rPr>
        <w:t xml:space="preserve">Así lo resolvió y firma la Maestra Camelia Gaspar Martínez, Magistrada Titular de la Sexta Sala Unitaria de Primera Instancia del Tribunal de Justicia Administrativa del Estado de Oaxaca, quien actúa con el Licenciado Renato Gabriel Ibáñez Castellanos, Secretario de Acuerdos de esta Sala, que autoriza y da fe.- - - - - - - - - - - - - - - - - - - - - - - - - - - - - - - - - </w:t>
      </w:r>
      <w:r w:rsidR="005C0158">
        <w:rPr>
          <w:rFonts w:ascii="Arial" w:eastAsia="Arial" w:hAnsi="Arial" w:cs="Arial"/>
          <w:sz w:val="24"/>
          <w:szCs w:val="24"/>
        </w:rPr>
        <w:t xml:space="preserve">- - - - - - - - - - - - - - - - - - </w:t>
      </w:r>
    </w:p>
    <w:sectPr w:rsidR="001540EC">
      <w:headerReference w:type="default" r:id="rId7"/>
      <w:pgSz w:w="12240" w:h="20160"/>
      <w:pgMar w:top="1276" w:right="1701" w:bottom="1701" w:left="2268" w:header="709" w:footer="141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ACC333" w14:textId="77777777" w:rsidR="005A4447" w:rsidRDefault="005A4447">
      <w:pPr>
        <w:spacing w:after="0" w:line="240" w:lineRule="auto"/>
      </w:pPr>
      <w:r>
        <w:separator/>
      </w:r>
    </w:p>
  </w:endnote>
  <w:endnote w:type="continuationSeparator" w:id="0">
    <w:p w14:paraId="3755AEE6" w14:textId="77777777" w:rsidR="005A4447" w:rsidRDefault="005A444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DA29080" w14:textId="77777777" w:rsidR="005A4447" w:rsidRDefault="005A4447">
      <w:pPr>
        <w:spacing w:after="0" w:line="240" w:lineRule="auto"/>
      </w:pPr>
      <w:r>
        <w:separator/>
      </w:r>
    </w:p>
  </w:footnote>
  <w:footnote w:type="continuationSeparator" w:id="0">
    <w:p w14:paraId="7D89EE2C" w14:textId="77777777" w:rsidR="005A4447" w:rsidRDefault="005A4447">
      <w:pPr>
        <w:spacing w:after="0" w:line="240" w:lineRule="auto"/>
      </w:pPr>
      <w:r>
        <w:continuationSeparator/>
      </w:r>
    </w:p>
  </w:footnote>
  <w:footnote w:id="1">
    <w:p w14:paraId="00000069" w14:textId="77777777" w:rsidR="001540EC" w:rsidRDefault="00BE3F92">
      <w:pPr>
        <w:pBdr>
          <w:top w:val="nil"/>
          <w:left w:val="nil"/>
          <w:bottom w:val="nil"/>
          <w:right w:val="nil"/>
          <w:between w:val="nil"/>
        </w:pBdr>
        <w:spacing w:after="0" w:line="240" w:lineRule="auto"/>
        <w:jc w:val="both"/>
        <w:rPr>
          <w:color w:val="000000"/>
          <w:sz w:val="20"/>
          <w:szCs w:val="20"/>
        </w:rPr>
      </w:pPr>
      <w:r>
        <w:rPr>
          <w:vertAlign w:val="superscript"/>
        </w:rPr>
        <w:footnoteRef/>
      </w:r>
      <w:r>
        <w:rPr>
          <w:b/>
          <w:color w:val="000000"/>
          <w:sz w:val="20"/>
          <w:szCs w:val="20"/>
        </w:rPr>
        <w:t xml:space="preserve">ARTÍCULO 151.- </w:t>
      </w:r>
      <w:r>
        <w:rPr>
          <w:color w:val="000000"/>
          <w:sz w:val="20"/>
          <w:szCs w:val="20"/>
        </w:rPr>
        <w:t>En el procedimiento la personalidad de la autoridad demandada se tendrá por acreditada; sin embargo, en caso de que esta sea impugnada deberá exhibir copia debidamente certificada del documento relativo al nombramiento que le fue conferido, y del documento en el que conste que rindió la protesta de ley.</w:t>
      </w:r>
    </w:p>
  </w:footnote>
  <w:footnote w:id="2">
    <w:p w14:paraId="0000006A" w14:textId="77777777" w:rsidR="001540EC" w:rsidRDefault="00BE3F92">
      <w:pPr>
        <w:pBdr>
          <w:top w:val="nil"/>
          <w:left w:val="nil"/>
          <w:bottom w:val="nil"/>
          <w:right w:val="nil"/>
          <w:between w:val="nil"/>
        </w:pBdr>
        <w:spacing w:after="0" w:line="240" w:lineRule="auto"/>
        <w:jc w:val="both"/>
        <w:rPr>
          <w:b/>
          <w:color w:val="000000"/>
          <w:sz w:val="20"/>
          <w:szCs w:val="20"/>
        </w:rPr>
      </w:pPr>
      <w:r>
        <w:rPr>
          <w:vertAlign w:val="superscript"/>
        </w:rPr>
        <w:footnoteRef/>
      </w:r>
      <w:r>
        <w:rPr>
          <w:color w:val="000000"/>
          <w:sz w:val="20"/>
          <w:szCs w:val="20"/>
        </w:rPr>
        <w:t xml:space="preserve"> </w:t>
      </w:r>
      <w:r>
        <w:rPr>
          <w:b/>
          <w:color w:val="000000"/>
          <w:sz w:val="20"/>
          <w:szCs w:val="20"/>
        </w:rPr>
        <w:t>ARTÍCULO 17.- (…)</w:t>
      </w:r>
    </w:p>
    <w:p w14:paraId="0000006B" w14:textId="77777777" w:rsidR="001540EC" w:rsidRDefault="00BE3F92">
      <w:pPr>
        <w:pBdr>
          <w:top w:val="nil"/>
          <w:left w:val="nil"/>
          <w:bottom w:val="nil"/>
          <w:right w:val="nil"/>
          <w:between w:val="nil"/>
        </w:pBdr>
        <w:spacing w:after="0" w:line="240" w:lineRule="auto"/>
        <w:jc w:val="both"/>
        <w:rPr>
          <w:color w:val="000000"/>
          <w:sz w:val="20"/>
          <w:szCs w:val="20"/>
        </w:rPr>
      </w:pPr>
      <w:r>
        <w:rPr>
          <w:color w:val="000000"/>
          <w:sz w:val="20"/>
          <w:szCs w:val="20"/>
        </w:rPr>
        <w:t>Toda persona tiene derecho a que se le administre justicia por tribunales que estarán expeditos para impartirla en los plazos y términos que fijen las leyes, emitiendo sus resoluciones de manera pronta, completa e imparcial. Su servicio será gratuito, quedando, en consecuencia, prohibidas las costas judiciales.</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00006C" w14:textId="52F2F9C5" w:rsidR="001540EC" w:rsidRDefault="00047762">
    <w:pPr>
      <w:pBdr>
        <w:top w:val="nil"/>
        <w:left w:val="nil"/>
        <w:bottom w:val="nil"/>
        <w:right w:val="nil"/>
        <w:between w:val="nil"/>
      </w:pBdr>
      <w:tabs>
        <w:tab w:val="center" w:pos="4419"/>
        <w:tab w:val="right" w:pos="8838"/>
      </w:tabs>
      <w:spacing w:after="0" w:line="240" w:lineRule="auto"/>
      <w:jc w:val="center"/>
      <w:rPr>
        <w:color w:val="000000"/>
      </w:rPr>
    </w:pPr>
    <w:r>
      <w:rPr>
        <w:noProof/>
        <w:color w:val="000000"/>
      </w:rPr>
      <w:drawing>
        <wp:anchor distT="0" distB="0" distL="114300" distR="114300" simplePos="0" relativeHeight="251658240" behindDoc="0" locked="0" layoutInCell="1" allowOverlap="1" wp14:anchorId="53964BC6" wp14:editId="489E9C46">
          <wp:simplePos x="0" y="0"/>
          <wp:positionH relativeFrom="leftMargin">
            <wp:posOffset>144780</wp:posOffset>
          </wp:positionH>
          <wp:positionV relativeFrom="paragraph">
            <wp:posOffset>845185</wp:posOffset>
          </wp:positionV>
          <wp:extent cx="1038225" cy="1028700"/>
          <wp:effectExtent l="0" t="0" r="9525"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38225" cy="1028700"/>
                  </a:xfrm>
                  <a:prstGeom prst="rect">
                    <a:avLst/>
                  </a:prstGeom>
                  <a:noFill/>
                </pic:spPr>
              </pic:pic>
            </a:graphicData>
          </a:graphic>
        </wp:anchor>
      </w:drawing>
    </w:r>
    <w:r w:rsidR="00BE3F92">
      <w:rPr>
        <w:color w:val="000000"/>
      </w:rPr>
      <w:fldChar w:fldCharType="begin"/>
    </w:r>
    <w:r w:rsidR="00BE3F92">
      <w:rPr>
        <w:color w:val="000000"/>
      </w:rPr>
      <w:instrText>PAGE</w:instrText>
    </w:r>
    <w:r w:rsidR="00BE3F92">
      <w:rPr>
        <w:color w:val="000000"/>
      </w:rPr>
      <w:fldChar w:fldCharType="separate"/>
    </w:r>
    <w:r w:rsidR="00CD452F">
      <w:rPr>
        <w:noProof/>
        <w:color w:val="000000"/>
      </w:rPr>
      <w:t>8</w:t>
    </w:r>
    <w:r w:rsidR="00BE3F92">
      <w:rPr>
        <w:color w:val="000000"/>
      </w:rPr>
      <w:fldChar w:fldCharType="end"/>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540EC"/>
    <w:rsid w:val="000367DB"/>
    <w:rsid w:val="00047762"/>
    <w:rsid w:val="000A4CF6"/>
    <w:rsid w:val="00142ADF"/>
    <w:rsid w:val="001540EC"/>
    <w:rsid w:val="00163B27"/>
    <w:rsid w:val="00171999"/>
    <w:rsid w:val="00250CA4"/>
    <w:rsid w:val="00280E8F"/>
    <w:rsid w:val="00281C3C"/>
    <w:rsid w:val="002C5620"/>
    <w:rsid w:val="00524B52"/>
    <w:rsid w:val="005815D6"/>
    <w:rsid w:val="005A4447"/>
    <w:rsid w:val="005C0158"/>
    <w:rsid w:val="00602C1F"/>
    <w:rsid w:val="006776DA"/>
    <w:rsid w:val="00740381"/>
    <w:rsid w:val="00793180"/>
    <w:rsid w:val="007B2BA5"/>
    <w:rsid w:val="008503FB"/>
    <w:rsid w:val="008921CF"/>
    <w:rsid w:val="008B0B36"/>
    <w:rsid w:val="00943644"/>
    <w:rsid w:val="0096080F"/>
    <w:rsid w:val="009E7F43"/>
    <w:rsid w:val="00A00A61"/>
    <w:rsid w:val="00A73B80"/>
    <w:rsid w:val="00AE5BB4"/>
    <w:rsid w:val="00BE3F92"/>
    <w:rsid w:val="00CA689A"/>
    <w:rsid w:val="00CD452F"/>
    <w:rsid w:val="00D667F9"/>
    <w:rsid w:val="00DE0778"/>
    <w:rsid w:val="00E7301E"/>
    <w:rsid w:val="00E947E9"/>
    <w:rsid w:val="00F03D56"/>
    <w:rsid w:val="00F22448"/>
    <w:rsid w:val="00FD31E2"/>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1B334B6"/>
  <w15:docId w15:val="{BBA3D5CA-B2A9-4169-A194-AD5E846C0A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Calibri"/>
        <w:sz w:val="22"/>
        <w:szCs w:val="22"/>
        <w:lang w:val="es-MX" w:eastAsia="es-MX"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B6FB1"/>
  </w:style>
  <w:style w:type="paragraph" w:styleId="Ttulo1">
    <w:name w:val="heading 1"/>
    <w:basedOn w:val="Normal"/>
    <w:next w:val="Normal"/>
    <w:pPr>
      <w:keepNext/>
      <w:keepLines/>
      <w:spacing w:before="480" w:after="120"/>
      <w:outlineLvl w:val="0"/>
    </w:pPr>
    <w:rPr>
      <w:b/>
      <w:sz w:val="48"/>
      <w:szCs w:val="48"/>
    </w:rPr>
  </w:style>
  <w:style w:type="paragraph" w:styleId="Ttulo2">
    <w:name w:val="heading 2"/>
    <w:basedOn w:val="Normal"/>
    <w:next w:val="Normal"/>
    <w:pPr>
      <w:keepNext/>
      <w:keepLines/>
      <w:spacing w:before="360" w:after="80"/>
      <w:outlineLvl w:val="1"/>
    </w:pPr>
    <w:rPr>
      <w:b/>
      <w:sz w:val="36"/>
      <w:szCs w:val="36"/>
    </w:rPr>
  </w:style>
  <w:style w:type="paragraph" w:styleId="Ttulo3">
    <w:name w:val="heading 3"/>
    <w:basedOn w:val="Normal"/>
    <w:next w:val="Normal"/>
    <w:pPr>
      <w:keepNext/>
      <w:keepLines/>
      <w:spacing w:before="280" w:after="80"/>
      <w:outlineLvl w:val="2"/>
    </w:pPr>
    <w:rPr>
      <w:b/>
      <w:sz w:val="28"/>
      <w:szCs w:val="28"/>
    </w:rPr>
  </w:style>
  <w:style w:type="paragraph" w:styleId="Ttulo4">
    <w:name w:val="heading 4"/>
    <w:basedOn w:val="Normal"/>
    <w:next w:val="Normal"/>
    <w:pPr>
      <w:keepNext/>
      <w:keepLines/>
      <w:spacing w:before="240" w:after="40"/>
      <w:outlineLvl w:val="3"/>
    </w:pPr>
    <w:rPr>
      <w:b/>
      <w:sz w:val="24"/>
      <w:szCs w:val="24"/>
    </w:rPr>
  </w:style>
  <w:style w:type="paragraph" w:styleId="Ttulo5">
    <w:name w:val="heading 5"/>
    <w:basedOn w:val="Normal"/>
    <w:next w:val="Normal"/>
    <w:pPr>
      <w:keepNext/>
      <w:keepLines/>
      <w:spacing w:before="220" w:after="40"/>
      <w:outlineLvl w:val="4"/>
    </w:pPr>
    <w:rPr>
      <w:b/>
    </w:rPr>
  </w:style>
  <w:style w:type="paragraph" w:styleId="Ttulo6">
    <w:name w:val="heading 6"/>
    <w:basedOn w:val="Normal"/>
    <w:next w:val="Normal"/>
    <w:pPr>
      <w:keepNext/>
      <w:keepLines/>
      <w:spacing w:before="200" w:after="40"/>
      <w:outlineLvl w:val="5"/>
    </w:pPr>
    <w:rPr>
      <w:b/>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tblPr>
      <w:tblCellMar>
        <w:top w:w="0" w:type="dxa"/>
        <w:left w:w="0" w:type="dxa"/>
        <w:bottom w:w="0" w:type="dxa"/>
        <w:right w:w="0" w:type="dxa"/>
      </w:tblCellMar>
    </w:tblPr>
  </w:style>
  <w:style w:type="paragraph" w:styleId="Ttulo">
    <w:name w:val="Title"/>
    <w:basedOn w:val="Normal"/>
    <w:next w:val="Normal"/>
    <w:pPr>
      <w:keepNext/>
      <w:keepLines/>
      <w:spacing w:before="480" w:after="120"/>
    </w:pPr>
    <w:rPr>
      <w:b/>
      <w:sz w:val="72"/>
      <w:szCs w:val="72"/>
    </w:rPr>
  </w:style>
  <w:style w:type="paragraph" w:styleId="Encabezado">
    <w:name w:val="header"/>
    <w:basedOn w:val="Normal"/>
    <w:link w:val="EncabezadoCar"/>
    <w:uiPriority w:val="99"/>
    <w:unhideWhenUsed/>
    <w:rsid w:val="009D4B0E"/>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9D4B0E"/>
  </w:style>
  <w:style w:type="paragraph" w:styleId="Textonotapie">
    <w:name w:val="footnote text"/>
    <w:basedOn w:val="Normal"/>
    <w:link w:val="TextonotapieCar"/>
    <w:uiPriority w:val="99"/>
    <w:unhideWhenUsed/>
    <w:rsid w:val="009D4B0E"/>
    <w:pPr>
      <w:spacing w:after="0" w:line="240" w:lineRule="auto"/>
    </w:pPr>
    <w:rPr>
      <w:sz w:val="20"/>
      <w:szCs w:val="20"/>
    </w:rPr>
  </w:style>
  <w:style w:type="character" w:customStyle="1" w:styleId="TextonotapieCar">
    <w:name w:val="Texto nota pie Car"/>
    <w:basedOn w:val="Fuentedeprrafopredeter"/>
    <w:link w:val="Textonotapie"/>
    <w:uiPriority w:val="99"/>
    <w:rsid w:val="009D4B0E"/>
    <w:rPr>
      <w:sz w:val="20"/>
      <w:szCs w:val="20"/>
    </w:rPr>
  </w:style>
  <w:style w:type="character" w:styleId="Refdenotaalpie">
    <w:name w:val="footnote reference"/>
    <w:basedOn w:val="Fuentedeprrafopredeter"/>
    <w:uiPriority w:val="99"/>
    <w:semiHidden/>
    <w:unhideWhenUsed/>
    <w:rsid w:val="009D4B0E"/>
    <w:rPr>
      <w:vertAlign w:val="superscript"/>
    </w:rPr>
  </w:style>
  <w:style w:type="paragraph" w:styleId="Prrafodelista">
    <w:name w:val="List Paragraph"/>
    <w:basedOn w:val="Normal"/>
    <w:uiPriority w:val="34"/>
    <w:qFormat/>
    <w:rsid w:val="00515FAF"/>
    <w:pPr>
      <w:ind w:left="720"/>
      <w:contextualSpacing/>
    </w:pPr>
  </w:style>
  <w:style w:type="paragraph" w:styleId="Textodeglobo">
    <w:name w:val="Balloon Text"/>
    <w:basedOn w:val="Normal"/>
    <w:link w:val="TextodegloboCar"/>
    <w:uiPriority w:val="99"/>
    <w:semiHidden/>
    <w:unhideWhenUsed/>
    <w:rsid w:val="00194437"/>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194437"/>
    <w:rPr>
      <w:rFonts w:ascii="Segoe UI" w:hAnsi="Segoe UI" w:cs="Segoe UI"/>
      <w:sz w:val="18"/>
      <w:szCs w:val="18"/>
    </w:rPr>
  </w:style>
  <w:style w:type="character" w:styleId="Hipervnculo">
    <w:name w:val="Hyperlink"/>
    <w:basedOn w:val="Fuentedeprrafopredeter"/>
    <w:uiPriority w:val="99"/>
    <w:unhideWhenUsed/>
    <w:rsid w:val="00651A02"/>
    <w:rPr>
      <w:color w:val="0563C1" w:themeColor="hyperlink"/>
      <w:u w:val="single"/>
    </w:rPr>
  </w:style>
  <w:style w:type="paragraph" w:styleId="Piedepgina">
    <w:name w:val="footer"/>
    <w:basedOn w:val="Normal"/>
    <w:link w:val="PiedepginaCar"/>
    <w:uiPriority w:val="99"/>
    <w:unhideWhenUsed/>
    <w:rsid w:val="00683D45"/>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683D45"/>
  </w:style>
  <w:style w:type="table" w:styleId="Tablaconcuadrcula">
    <w:name w:val="Table Grid"/>
    <w:basedOn w:val="Tablanormal"/>
    <w:uiPriority w:val="39"/>
    <w:rsid w:val="00F102D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bl-encabezado-negro">
    <w:name w:val="lbl-encabezado-negro"/>
    <w:basedOn w:val="Fuentedeprrafopredeter"/>
    <w:rsid w:val="007B6BE8"/>
  </w:style>
  <w:style w:type="character" w:styleId="Refdecomentario">
    <w:name w:val="annotation reference"/>
    <w:basedOn w:val="Fuentedeprrafopredeter"/>
    <w:uiPriority w:val="99"/>
    <w:semiHidden/>
    <w:unhideWhenUsed/>
    <w:rsid w:val="00697AF5"/>
    <w:rPr>
      <w:sz w:val="16"/>
      <w:szCs w:val="16"/>
    </w:rPr>
  </w:style>
  <w:style w:type="paragraph" w:styleId="Textocomentario">
    <w:name w:val="annotation text"/>
    <w:basedOn w:val="Normal"/>
    <w:link w:val="TextocomentarioCar"/>
    <w:uiPriority w:val="99"/>
    <w:semiHidden/>
    <w:unhideWhenUsed/>
    <w:rsid w:val="00697AF5"/>
    <w:pPr>
      <w:spacing w:line="240" w:lineRule="auto"/>
    </w:pPr>
    <w:rPr>
      <w:sz w:val="20"/>
      <w:szCs w:val="20"/>
    </w:rPr>
  </w:style>
  <w:style w:type="character" w:customStyle="1" w:styleId="TextocomentarioCar">
    <w:name w:val="Texto comentario Car"/>
    <w:basedOn w:val="Fuentedeprrafopredeter"/>
    <w:link w:val="Textocomentario"/>
    <w:uiPriority w:val="99"/>
    <w:semiHidden/>
    <w:rsid w:val="00697AF5"/>
    <w:rPr>
      <w:sz w:val="20"/>
      <w:szCs w:val="20"/>
    </w:rPr>
  </w:style>
  <w:style w:type="paragraph" w:styleId="Asuntodelcomentario">
    <w:name w:val="annotation subject"/>
    <w:basedOn w:val="Textocomentario"/>
    <w:next w:val="Textocomentario"/>
    <w:link w:val="AsuntodelcomentarioCar"/>
    <w:uiPriority w:val="99"/>
    <w:semiHidden/>
    <w:unhideWhenUsed/>
    <w:rsid w:val="00697AF5"/>
    <w:rPr>
      <w:b/>
      <w:bCs/>
    </w:rPr>
  </w:style>
  <w:style w:type="character" w:customStyle="1" w:styleId="AsuntodelcomentarioCar">
    <w:name w:val="Asunto del comentario Car"/>
    <w:basedOn w:val="TextocomentarioCar"/>
    <w:link w:val="Asuntodelcomentario"/>
    <w:uiPriority w:val="99"/>
    <w:semiHidden/>
    <w:rsid w:val="00697AF5"/>
    <w:rPr>
      <w:b/>
      <w:bCs/>
      <w:sz w:val="20"/>
      <w:szCs w:val="20"/>
    </w:rPr>
  </w:style>
  <w:style w:type="paragraph" w:styleId="Sinespaciado">
    <w:name w:val="No Spacing"/>
    <w:uiPriority w:val="1"/>
    <w:qFormat/>
    <w:rsid w:val="005C158F"/>
    <w:pPr>
      <w:spacing w:after="0" w:line="240" w:lineRule="auto"/>
    </w:pPr>
  </w:style>
  <w:style w:type="paragraph" w:customStyle="1" w:styleId="corte4fondo">
    <w:name w:val="corte4 fondo"/>
    <w:basedOn w:val="Normal"/>
    <w:link w:val="corte4fondoCar"/>
    <w:rsid w:val="008425BE"/>
    <w:pPr>
      <w:spacing w:after="0" w:line="360" w:lineRule="auto"/>
      <w:ind w:firstLine="709"/>
      <w:jc w:val="both"/>
    </w:pPr>
    <w:rPr>
      <w:rFonts w:ascii="Arial" w:eastAsia="Times New Roman" w:hAnsi="Arial" w:cs="Times New Roman"/>
      <w:sz w:val="30"/>
      <w:szCs w:val="20"/>
      <w:lang w:val="es-ES_tradnl" w:eastAsia="x-none"/>
    </w:rPr>
  </w:style>
  <w:style w:type="character" w:customStyle="1" w:styleId="corte4fondoCar">
    <w:name w:val="corte4 fondo Car"/>
    <w:link w:val="corte4fondo"/>
    <w:rsid w:val="008425BE"/>
    <w:rPr>
      <w:rFonts w:ascii="Arial" w:eastAsia="Times New Roman" w:hAnsi="Arial" w:cs="Times New Roman"/>
      <w:sz w:val="30"/>
      <w:szCs w:val="20"/>
      <w:lang w:val="es-ES_tradnl" w:eastAsia="x-none"/>
    </w:rPr>
  </w:style>
  <w:style w:type="paragraph" w:customStyle="1" w:styleId="corte3centro">
    <w:name w:val="corte3 centro"/>
    <w:basedOn w:val="Normal"/>
    <w:link w:val="corte3centroCar"/>
    <w:rsid w:val="002A7141"/>
    <w:pPr>
      <w:spacing w:after="0" w:line="360" w:lineRule="auto"/>
      <w:jc w:val="center"/>
    </w:pPr>
    <w:rPr>
      <w:rFonts w:ascii="Arial" w:eastAsia="Times New Roman" w:hAnsi="Arial" w:cs="Times New Roman"/>
      <w:b/>
      <w:sz w:val="30"/>
      <w:szCs w:val="20"/>
      <w:lang w:val="es-ES_tradnl" w:eastAsia="x-none"/>
    </w:rPr>
  </w:style>
  <w:style w:type="character" w:customStyle="1" w:styleId="corte3centroCar">
    <w:name w:val="corte3 centro Car"/>
    <w:link w:val="corte3centro"/>
    <w:rsid w:val="002A7141"/>
    <w:rPr>
      <w:rFonts w:ascii="Arial" w:eastAsia="Times New Roman" w:hAnsi="Arial" w:cs="Times New Roman"/>
      <w:b/>
      <w:sz w:val="30"/>
      <w:szCs w:val="20"/>
      <w:lang w:val="es-ES_tradnl" w:eastAsia="x-none"/>
    </w:rPr>
  </w:style>
  <w:style w:type="table" w:customStyle="1" w:styleId="Tablaconcuadrcula1">
    <w:name w:val="Tabla con cuadrícula1"/>
    <w:basedOn w:val="Tablanormal"/>
    <w:next w:val="Tablaconcuadrcula"/>
    <w:uiPriority w:val="59"/>
    <w:rsid w:val="002A71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Subttulo">
    <w:name w:val="Subtitle"/>
    <w:basedOn w:val="Normal"/>
    <w:next w:val="Normal"/>
    <w:pPr>
      <w:keepNext/>
      <w:keepLines/>
      <w:spacing w:before="360" w:after="80"/>
    </w:pPr>
    <w:rPr>
      <w:rFonts w:ascii="Georgia" w:eastAsia="Georgia" w:hAnsi="Georgia" w:cs="Georgia"/>
      <w:i/>
      <w:color w:val="666666"/>
      <w:sz w:val="48"/>
      <w:szCs w:val="4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go:docsCustomData xmlns:go="http://customooxmlschemas.google.com/" roundtripDataSignature="AMtx7miYEs4IzYwucHh7bqNOrM1sMoZKnw==">AMUW2mUqdkURvfkhLAbTGopgxXau0f6qPIdDhmHzsBjR03L6jzeIPhKbTHfNj4vff0miXuPZSC+Jdgbf4YdU0ytjclTVR4n4MZHRUmjolUhAzGeL3Jx2MIeInWtgv2lpC9fUpIU+35gSCuJX2Y7gsSCFyPNPAy3kcYf8l8fktlSaBktG4y7Kxc/OUzmqltpQ27tQIw1Juc3q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612</TotalTime>
  <Pages>8</Pages>
  <Words>3234</Words>
  <Characters>17791</Characters>
  <Application>Microsoft Office Word</Application>
  <DocSecurity>0</DocSecurity>
  <Lines>148</Lines>
  <Paragraphs>41</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20984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TCAC</dc:creator>
  <cp:lastModifiedBy>Fernando</cp:lastModifiedBy>
  <cp:revision>20</cp:revision>
  <dcterms:created xsi:type="dcterms:W3CDTF">2019-11-19T04:46:00Z</dcterms:created>
  <dcterms:modified xsi:type="dcterms:W3CDTF">2022-07-15T01:28:00Z</dcterms:modified>
</cp:coreProperties>
</file>