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63AE11AB"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TRIBUNAL DE JUSTICIA ADMINISTRATIVA DEL ESTADO DE OAXACA.</w:t>
      </w:r>
    </w:p>
    <w:p w14:paraId="27E8C622"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2805C73E"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r w:rsidRPr="00BB1B71">
        <w:rPr>
          <w:rFonts w:ascii="Arial" w:eastAsia="Times New Roman" w:hAnsi="Arial" w:cs="Arial"/>
          <w:b/>
          <w:sz w:val="24"/>
          <w:szCs w:val="24"/>
          <w:lang w:val="es-ES_tradnl" w:eastAsia="es-ES"/>
        </w:rPr>
        <w:t>SEXTA SALA UNITARIA DE PRIMERA INSTANCIA.</w:t>
      </w:r>
    </w:p>
    <w:p w14:paraId="00B9548B"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60ED02C1" w14:textId="77777777" w:rsidR="001C4867" w:rsidRPr="00BB1B71" w:rsidRDefault="001C4867" w:rsidP="001C4867">
      <w:pPr>
        <w:spacing w:after="0"/>
        <w:ind w:left="3686" w:right="51"/>
        <w:jc w:val="both"/>
        <w:rPr>
          <w:rFonts w:ascii="Arial" w:eastAsia="Times New Roman" w:hAnsi="Arial" w:cs="Arial"/>
          <w:bCs/>
          <w:sz w:val="24"/>
          <w:szCs w:val="24"/>
          <w:lang w:val="es-ES_tradnl" w:eastAsia="es-ES"/>
        </w:rPr>
      </w:pPr>
      <w:r w:rsidRPr="00BB1B71">
        <w:rPr>
          <w:rFonts w:ascii="Arial" w:eastAsia="Times New Roman" w:hAnsi="Arial" w:cs="Arial"/>
          <w:b/>
          <w:sz w:val="24"/>
          <w:szCs w:val="24"/>
          <w:lang w:val="es-ES_tradnl" w:eastAsia="es-ES"/>
        </w:rPr>
        <w:t xml:space="preserve">JUICIO DE NULIDAD: </w:t>
      </w:r>
      <w:r w:rsidR="00380EFB" w:rsidRPr="00380EFB">
        <w:rPr>
          <w:rFonts w:ascii="Arial" w:eastAsia="Times New Roman" w:hAnsi="Arial" w:cs="Arial"/>
          <w:sz w:val="24"/>
          <w:szCs w:val="24"/>
          <w:lang w:val="es-ES_tradnl" w:eastAsia="es-ES"/>
        </w:rPr>
        <w:t>0</w:t>
      </w:r>
      <w:r w:rsidR="00695FC9">
        <w:rPr>
          <w:rFonts w:ascii="Arial" w:eastAsia="Times New Roman" w:hAnsi="Arial" w:cs="Arial"/>
          <w:sz w:val="24"/>
          <w:szCs w:val="24"/>
          <w:lang w:val="es-ES_tradnl" w:eastAsia="es-ES"/>
        </w:rPr>
        <w:t>088</w:t>
      </w:r>
      <w:r w:rsidR="00432E9E" w:rsidRPr="00432E9E">
        <w:rPr>
          <w:rFonts w:ascii="Arial" w:eastAsia="Times New Roman" w:hAnsi="Arial" w:cs="Arial"/>
          <w:bCs/>
          <w:sz w:val="24"/>
          <w:szCs w:val="24"/>
          <w:lang w:val="es-ES_tradnl" w:eastAsia="es-ES"/>
        </w:rPr>
        <w:t>/</w:t>
      </w:r>
      <w:r w:rsidR="00695FC9">
        <w:rPr>
          <w:rFonts w:ascii="Arial" w:eastAsia="Times New Roman" w:hAnsi="Arial" w:cs="Arial"/>
          <w:bCs/>
          <w:sz w:val="24"/>
          <w:szCs w:val="24"/>
          <w:lang w:val="es-ES_tradnl" w:eastAsia="es-ES"/>
        </w:rPr>
        <w:t>2020</w:t>
      </w:r>
      <w:r w:rsidRPr="00BB1B71">
        <w:rPr>
          <w:rFonts w:ascii="Arial" w:eastAsia="Times New Roman" w:hAnsi="Arial" w:cs="Arial"/>
          <w:bCs/>
          <w:sz w:val="24"/>
          <w:szCs w:val="24"/>
          <w:lang w:val="es-ES_tradnl" w:eastAsia="es-ES"/>
        </w:rPr>
        <w:t xml:space="preserve">. </w:t>
      </w:r>
    </w:p>
    <w:p w14:paraId="7F8F9109" w14:textId="77777777" w:rsidR="001C4867" w:rsidRPr="00BB1B71" w:rsidRDefault="001C4867" w:rsidP="001C4867">
      <w:pPr>
        <w:spacing w:after="0"/>
        <w:ind w:left="3686" w:right="51"/>
        <w:jc w:val="both"/>
        <w:rPr>
          <w:rFonts w:ascii="Arial" w:eastAsia="Times New Roman" w:hAnsi="Arial" w:cs="Arial"/>
          <w:b/>
          <w:sz w:val="24"/>
          <w:szCs w:val="24"/>
          <w:lang w:val="es-ES_tradnl" w:eastAsia="es-ES"/>
        </w:rPr>
      </w:pPr>
    </w:p>
    <w:p w14:paraId="41BBF34A" w14:textId="5B5FF0DE" w:rsidR="001C4867" w:rsidRPr="00773A89"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ACTOR: </w:t>
      </w:r>
      <w:r w:rsidR="00DE4FCF">
        <w:rPr>
          <w:rFonts w:ascii="Arial" w:eastAsia="Times New Roman" w:hAnsi="Arial" w:cs="Arial"/>
          <w:color w:val="FF0000"/>
          <w:sz w:val="24"/>
          <w:szCs w:val="24"/>
          <w:lang w:val="es-ES_tradnl" w:eastAsia="es-ES"/>
        </w:rPr>
        <w:t>**********</w:t>
      </w:r>
      <w:r w:rsidR="009A19A0">
        <w:rPr>
          <w:rFonts w:ascii="Arial" w:eastAsia="Times New Roman" w:hAnsi="Arial" w:cs="Arial"/>
          <w:color w:val="FF0000"/>
          <w:sz w:val="24"/>
          <w:szCs w:val="24"/>
          <w:lang w:val="es-ES_tradnl" w:eastAsia="es-ES"/>
        </w:rPr>
        <w:t>.</w:t>
      </w:r>
    </w:p>
    <w:p w14:paraId="627142CF" w14:textId="77777777" w:rsidR="001C4867" w:rsidRPr="00BB1B71" w:rsidRDefault="001C4867" w:rsidP="001C4867">
      <w:pPr>
        <w:spacing w:after="0"/>
        <w:ind w:left="3686" w:right="51"/>
        <w:jc w:val="both"/>
        <w:rPr>
          <w:rFonts w:ascii="Arial" w:eastAsia="Times New Roman" w:hAnsi="Arial" w:cs="Arial"/>
          <w:sz w:val="24"/>
          <w:szCs w:val="24"/>
          <w:lang w:val="es-ES_tradnl" w:eastAsia="es-ES"/>
        </w:rPr>
      </w:pPr>
    </w:p>
    <w:p w14:paraId="2E1CF2BD" w14:textId="77777777" w:rsidR="001C4867" w:rsidRDefault="001C4867" w:rsidP="001C4867">
      <w:pPr>
        <w:spacing w:after="0"/>
        <w:ind w:left="3686" w:right="51"/>
        <w:jc w:val="both"/>
        <w:rPr>
          <w:rFonts w:ascii="Arial" w:eastAsia="Times New Roman" w:hAnsi="Arial" w:cs="Arial"/>
          <w:sz w:val="24"/>
          <w:szCs w:val="24"/>
          <w:lang w:val="es-ES_tradnl" w:eastAsia="es-ES"/>
        </w:rPr>
      </w:pPr>
      <w:r w:rsidRPr="00BB1B71">
        <w:rPr>
          <w:rFonts w:ascii="Arial" w:eastAsia="Times New Roman" w:hAnsi="Arial" w:cs="Arial"/>
          <w:b/>
          <w:sz w:val="24"/>
          <w:szCs w:val="24"/>
          <w:lang w:val="es-ES_tradnl" w:eastAsia="es-ES"/>
        </w:rPr>
        <w:t xml:space="preserve">AUTORIDAD DEMANDADA: </w:t>
      </w:r>
      <w:bookmarkStart w:id="0" w:name="_Hlk49769963"/>
      <w:r w:rsidR="009A19A0">
        <w:rPr>
          <w:rFonts w:ascii="Arial" w:eastAsia="Times New Roman" w:hAnsi="Arial" w:cs="Arial"/>
          <w:sz w:val="24"/>
          <w:szCs w:val="24"/>
          <w:lang w:val="es-ES_tradnl" w:eastAsia="es-ES"/>
        </w:rPr>
        <w:t>AYUNTAMIENTO DE SAN FRANCISCO TELIXTLAHUACA, ETLA</w:t>
      </w:r>
      <w:bookmarkEnd w:id="0"/>
      <w:r w:rsidRPr="00BB1B71">
        <w:rPr>
          <w:rFonts w:ascii="Arial" w:eastAsia="Times New Roman" w:hAnsi="Arial" w:cs="Arial"/>
          <w:sz w:val="24"/>
          <w:szCs w:val="24"/>
          <w:lang w:val="es-ES_tradnl" w:eastAsia="es-ES"/>
        </w:rPr>
        <w:t>.</w:t>
      </w:r>
    </w:p>
    <w:p w14:paraId="279919F3" w14:textId="77777777" w:rsidR="00EA0AF9" w:rsidRDefault="00EA0AF9" w:rsidP="001C4867">
      <w:pPr>
        <w:spacing w:after="0"/>
        <w:ind w:left="3686" w:right="51"/>
        <w:jc w:val="both"/>
        <w:rPr>
          <w:rFonts w:ascii="Arial" w:eastAsia="Times New Roman" w:hAnsi="Arial" w:cs="Arial"/>
          <w:sz w:val="24"/>
          <w:szCs w:val="24"/>
          <w:lang w:val="es-ES_tradnl" w:eastAsia="es-ES"/>
        </w:rPr>
      </w:pPr>
    </w:p>
    <w:p w14:paraId="37853839"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r w:rsidRPr="000D7E3C">
        <w:rPr>
          <w:rFonts w:ascii="Arial" w:hAnsi="Arial" w:cs="Arial"/>
          <w:b/>
          <w:sz w:val="24"/>
          <w:szCs w:val="24"/>
        </w:rPr>
        <w:t>MAGISTRADA: MAESTRA CAMELIA GASPAR MARTÍNEZ.</w:t>
      </w:r>
    </w:p>
    <w:p w14:paraId="0CCABE59" w14:textId="77777777" w:rsidR="00EA0AF9" w:rsidRPr="00240D1C" w:rsidRDefault="00EA0AF9" w:rsidP="00EA0AF9">
      <w:pPr>
        <w:pStyle w:val="Encabezado"/>
        <w:tabs>
          <w:tab w:val="clear" w:pos="4419"/>
          <w:tab w:val="clear" w:pos="8838"/>
          <w:tab w:val="center" w:pos="-1418"/>
        </w:tabs>
        <w:ind w:left="3686"/>
        <w:jc w:val="both"/>
        <w:rPr>
          <w:rFonts w:ascii="Arial" w:hAnsi="Arial" w:cs="Arial"/>
          <w:b/>
          <w:sz w:val="24"/>
          <w:szCs w:val="24"/>
        </w:rPr>
      </w:pPr>
    </w:p>
    <w:p w14:paraId="58F5156D" w14:textId="77777777" w:rsidR="00EA0AF9" w:rsidRDefault="00EA0AF9" w:rsidP="00EA0AF9">
      <w:pPr>
        <w:pStyle w:val="Encabezado"/>
        <w:tabs>
          <w:tab w:val="clear" w:pos="4419"/>
          <w:tab w:val="clear" w:pos="8838"/>
          <w:tab w:val="center" w:pos="-1418"/>
        </w:tabs>
        <w:ind w:left="3686"/>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Pr>
          <w:rFonts w:ascii="Arial" w:hAnsi="Arial" w:cs="Arial"/>
          <w:bCs/>
          <w:sz w:val="24"/>
          <w:szCs w:val="24"/>
        </w:rPr>
        <w:t>.</w:t>
      </w:r>
    </w:p>
    <w:p w14:paraId="4D43E02C" w14:textId="77777777" w:rsidR="001C4867" w:rsidRPr="00BB1B71" w:rsidRDefault="001C4867" w:rsidP="001C4867">
      <w:pPr>
        <w:spacing w:after="0"/>
        <w:ind w:left="3969" w:right="51"/>
        <w:jc w:val="both"/>
        <w:rPr>
          <w:rFonts w:ascii="Arial" w:eastAsia="Times New Roman" w:hAnsi="Arial" w:cs="Arial"/>
          <w:sz w:val="24"/>
          <w:szCs w:val="24"/>
          <w:lang w:val="es-ES_tradnl" w:eastAsia="es-ES"/>
        </w:rPr>
      </w:pPr>
    </w:p>
    <w:p w14:paraId="3FFBCF34" w14:textId="77777777" w:rsidR="001C4867" w:rsidRPr="00BB1B71" w:rsidRDefault="001C4867" w:rsidP="001C4867">
      <w:pPr>
        <w:widowControl w:val="0"/>
        <w:spacing w:after="0" w:line="240" w:lineRule="auto"/>
        <w:ind w:right="51"/>
        <w:rPr>
          <w:rFonts w:ascii="Arial" w:eastAsia="Times New Roman" w:hAnsi="Arial" w:cs="Arial"/>
          <w:color w:val="FF0000"/>
          <w:sz w:val="24"/>
          <w:szCs w:val="24"/>
          <w:lang w:val="es-ES" w:eastAsia="es-ES"/>
        </w:rPr>
      </w:pPr>
    </w:p>
    <w:p w14:paraId="3A48C1DA" w14:textId="77777777" w:rsidR="001C4867" w:rsidRPr="00BB1B71" w:rsidRDefault="00F153C9" w:rsidP="001C4867">
      <w:pPr>
        <w:widowControl w:val="0"/>
        <w:spacing w:line="360" w:lineRule="auto"/>
        <w:ind w:right="51" w:firstLine="567"/>
        <w:jc w:val="both"/>
        <w:rPr>
          <w:rFonts w:ascii="Arial" w:eastAsia="Times New Roman" w:hAnsi="Arial" w:cs="Arial"/>
          <w:b/>
          <w:sz w:val="24"/>
          <w:szCs w:val="24"/>
          <w:lang w:val="es-ES" w:eastAsia="es-ES"/>
        </w:rPr>
      </w:pPr>
      <w:r w:rsidRPr="00BB1B71">
        <w:rPr>
          <w:rFonts w:ascii="Arial" w:eastAsia="Times New Roman" w:hAnsi="Arial" w:cs="Arial"/>
          <w:b/>
          <w:sz w:val="24"/>
          <w:szCs w:val="24"/>
          <w:lang w:val="es-ES" w:eastAsia="es-ES"/>
        </w:rPr>
        <w:t xml:space="preserve">OAXACA DE JUÁREZ, OAXACA, </w:t>
      </w:r>
      <w:r w:rsidR="00695FC9">
        <w:rPr>
          <w:rFonts w:ascii="Arial" w:eastAsia="Times New Roman" w:hAnsi="Arial" w:cs="Arial"/>
          <w:b/>
          <w:sz w:val="24"/>
          <w:szCs w:val="24"/>
          <w:lang w:val="es-ES" w:eastAsia="es-ES"/>
        </w:rPr>
        <w:t>CATORCE</w:t>
      </w:r>
      <w:r w:rsidR="009A19A0">
        <w:rPr>
          <w:rFonts w:ascii="Arial" w:eastAsia="Times New Roman" w:hAnsi="Arial" w:cs="Arial"/>
          <w:b/>
          <w:sz w:val="24"/>
          <w:szCs w:val="24"/>
          <w:lang w:val="es-ES" w:eastAsia="es-ES"/>
        </w:rPr>
        <w:t xml:space="preserve"> DE JUNIO</w:t>
      </w:r>
      <w:r w:rsidR="002F388E" w:rsidRPr="00BB1B71">
        <w:rPr>
          <w:rFonts w:ascii="Arial" w:eastAsia="Times New Roman" w:hAnsi="Arial" w:cs="Arial"/>
          <w:b/>
          <w:sz w:val="24"/>
          <w:szCs w:val="24"/>
          <w:lang w:val="es-ES" w:eastAsia="es-ES"/>
        </w:rPr>
        <w:t xml:space="preserve"> </w:t>
      </w:r>
      <w:r w:rsidR="002F388E">
        <w:rPr>
          <w:rFonts w:ascii="Arial" w:eastAsia="Times New Roman" w:hAnsi="Arial" w:cs="Arial"/>
          <w:b/>
          <w:sz w:val="24"/>
          <w:szCs w:val="24"/>
          <w:lang w:val="es-ES" w:eastAsia="es-ES"/>
        </w:rPr>
        <w:t>DE DOS MIL VEINTIDÓS</w:t>
      </w:r>
      <w:r w:rsidR="00183FEE">
        <w:rPr>
          <w:rFonts w:ascii="Arial" w:eastAsia="Times New Roman" w:hAnsi="Arial" w:cs="Arial"/>
          <w:b/>
          <w:sz w:val="24"/>
          <w:szCs w:val="24"/>
          <w:lang w:val="es-ES" w:eastAsia="es-ES"/>
        </w:rPr>
        <w:t xml:space="preserve">. - - - - - - - - - - - - - - - - - - - - - - - - - - - - - - - - - - - - - - - - - - - - - - - - - - </w:t>
      </w:r>
    </w:p>
    <w:p w14:paraId="1441985F" w14:textId="77535202" w:rsidR="001C4867" w:rsidRPr="00BB1B71" w:rsidRDefault="001C4867" w:rsidP="001C4867">
      <w:pPr>
        <w:widowControl w:val="0"/>
        <w:spacing w:line="360" w:lineRule="auto"/>
        <w:ind w:right="51" w:firstLine="567"/>
        <w:jc w:val="both"/>
        <w:rPr>
          <w:rFonts w:ascii="Arial" w:eastAsia="Times New Roman" w:hAnsi="Arial" w:cs="Arial"/>
          <w:sz w:val="24"/>
          <w:szCs w:val="24"/>
          <w:lang w:val="es-ES" w:eastAsia="es-ES"/>
        </w:rPr>
      </w:pPr>
      <w:r w:rsidRPr="00BB1B71">
        <w:rPr>
          <w:rFonts w:ascii="Arial" w:eastAsia="Times New Roman" w:hAnsi="Arial" w:cs="Arial"/>
          <w:b/>
          <w:sz w:val="24"/>
          <w:szCs w:val="24"/>
          <w:lang w:val="es-ES_tradnl" w:eastAsia="es-ES"/>
        </w:rPr>
        <w:t xml:space="preserve">V I S T O S, </w:t>
      </w:r>
      <w:r w:rsidRPr="00BB1B71">
        <w:rPr>
          <w:rFonts w:ascii="Arial" w:eastAsia="Times New Roman" w:hAnsi="Arial" w:cs="Arial"/>
          <w:sz w:val="24"/>
          <w:szCs w:val="24"/>
          <w:lang w:val="es-ES_tradnl" w:eastAsia="es-ES"/>
        </w:rPr>
        <w:t xml:space="preserve">para resolver los autos del juicio de nulidad número </w:t>
      </w:r>
      <w:r w:rsidR="00380EFB" w:rsidRPr="00380EFB">
        <w:rPr>
          <w:rFonts w:ascii="Arial" w:eastAsia="Times New Roman" w:hAnsi="Arial" w:cs="Arial"/>
          <w:b/>
          <w:sz w:val="24"/>
          <w:szCs w:val="24"/>
          <w:lang w:val="es-ES_tradnl" w:eastAsia="es-ES"/>
        </w:rPr>
        <w:t>0</w:t>
      </w:r>
      <w:r w:rsidR="00695FC9">
        <w:rPr>
          <w:rFonts w:ascii="Arial" w:eastAsia="Times New Roman" w:hAnsi="Arial" w:cs="Arial"/>
          <w:b/>
          <w:bCs/>
          <w:sz w:val="24"/>
          <w:szCs w:val="24"/>
          <w:lang w:val="es-ES_tradnl" w:eastAsia="es-ES"/>
        </w:rPr>
        <w:t>088/2020</w:t>
      </w:r>
      <w:r w:rsidR="007D1554">
        <w:rPr>
          <w:rFonts w:ascii="Arial" w:eastAsia="Times New Roman" w:hAnsi="Arial" w:cs="Arial"/>
          <w:sz w:val="24"/>
          <w:szCs w:val="24"/>
          <w:lang w:val="es-ES_tradnl" w:eastAsia="es-ES"/>
        </w:rPr>
        <w:t xml:space="preserve">, interpuesto por </w:t>
      </w:r>
      <w:r w:rsidR="00DE4FCF">
        <w:rPr>
          <w:rFonts w:ascii="Arial" w:eastAsia="Times New Roman" w:hAnsi="Arial" w:cs="Arial"/>
          <w:color w:val="FF0000"/>
          <w:sz w:val="24"/>
          <w:szCs w:val="24"/>
          <w:lang w:val="es-ES_tradnl" w:eastAsia="es-ES"/>
        </w:rPr>
        <w:t>**********</w:t>
      </w:r>
      <w:r w:rsidR="009A19A0">
        <w:rPr>
          <w:rFonts w:ascii="Arial" w:eastAsia="Times New Roman" w:hAnsi="Arial" w:cs="Arial"/>
          <w:sz w:val="24"/>
          <w:szCs w:val="24"/>
          <w:lang w:val="es-ES_tradnl" w:eastAsia="es-ES"/>
        </w:rPr>
        <w:t xml:space="preserve">, en contra del </w:t>
      </w:r>
      <w:r w:rsidR="009A19A0" w:rsidRPr="009A19A0">
        <w:rPr>
          <w:rFonts w:ascii="Arial" w:eastAsia="Times New Roman" w:hAnsi="Arial" w:cs="Arial"/>
          <w:b/>
          <w:sz w:val="24"/>
          <w:szCs w:val="24"/>
          <w:lang w:val="es-ES_tradnl" w:eastAsia="es-ES"/>
        </w:rPr>
        <w:t>AYUNTAMIENTO DE SAN FRANCISCO TELIXTLAHUACA, ETLA</w:t>
      </w:r>
      <w:r w:rsidRPr="00BB1B71">
        <w:rPr>
          <w:rFonts w:ascii="Arial" w:eastAsia="Times New Roman" w:hAnsi="Arial" w:cs="Arial"/>
          <w:sz w:val="24"/>
          <w:szCs w:val="24"/>
          <w:lang w:val="es-ES_tradnl" w:eastAsia="es-ES"/>
        </w:rPr>
        <w:t xml:space="preserve">, y; </w:t>
      </w:r>
    </w:p>
    <w:p w14:paraId="337F35A0" w14:textId="77777777" w:rsidR="001C4867" w:rsidRPr="00BB1B71" w:rsidRDefault="00380EFB" w:rsidP="001C4867">
      <w:pPr>
        <w:spacing w:line="360" w:lineRule="auto"/>
        <w:jc w:val="center"/>
        <w:rPr>
          <w:rFonts w:ascii="Arial" w:hAnsi="Arial" w:cs="Arial"/>
          <w:b/>
          <w:spacing w:val="-3"/>
          <w:sz w:val="24"/>
          <w:szCs w:val="24"/>
          <w:lang w:val="es-ES_tradnl"/>
        </w:rPr>
      </w:pPr>
      <w:r>
        <w:rPr>
          <w:rFonts w:ascii="Arial" w:hAnsi="Arial" w:cs="Arial"/>
          <w:b/>
          <w:sz w:val="24"/>
          <w:szCs w:val="24"/>
        </w:rPr>
        <w:t>A N T E C E D E N T E S</w:t>
      </w:r>
      <w:r w:rsidR="001C4867" w:rsidRPr="00BB1B71">
        <w:rPr>
          <w:rFonts w:ascii="Arial" w:hAnsi="Arial" w:cs="Arial"/>
          <w:b/>
          <w:spacing w:val="-3"/>
          <w:sz w:val="24"/>
          <w:szCs w:val="24"/>
          <w:lang w:val="es-ES_tradnl"/>
        </w:rPr>
        <w:t>:</w:t>
      </w:r>
    </w:p>
    <w:p w14:paraId="32390F0C" w14:textId="6EEDD171" w:rsidR="00B00DD7" w:rsidRDefault="00DE4FCF" w:rsidP="001C4867">
      <w:pPr>
        <w:spacing w:line="360" w:lineRule="auto"/>
        <w:ind w:firstLine="567"/>
        <w:jc w:val="both"/>
        <w:rPr>
          <w:rFonts w:ascii="Arial" w:hAnsi="Arial" w:cs="Arial"/>
          <w:bCs/>
          <w:spacing w:val="-3"/>
          <w:sz w:val="24"/>
          <w:szCs w:val="24"/>
          <w:lang w:val="es-ES_tradnl"/>
        </w:rPr>
      </w:pPr>
      <w:r w:rsidRPr="00BB1B71">
        <w:rPr>
          <w:rFonts w:ascii="Arial" w:hAnsi="Arial" w:cs="Arial"/>
          <w:b/>
          <w:spacing w:val="-3"/>
          <w:sz w:val="24"/>
          <w:szCs w:val="24"/>
          <w:lang w:val="es-ES_tradnl"/>
        </w:rPr>
        <w:t>PRIMERO. -</w:t>
      </w:r>
      <w:r w:rsidR="001C4867" w:rsidRPr="00BB1B71">
        <w:rPr>
          <w:rFonts w:ascii="Arial" w:hAnsi="Arial" w:cs="Arial"/>
          <w:b/>
          <w:spacing w:val="-3"/>
          <w:sz w:val="24"/>
          <w:szCs w:val="24"/>
          <w:lang w:val="es-ES_tradnl"/>
        </w:rPr>
        <w:t xml:space="preserve"> </w:t>
      </w:r>
      <w:r w:rsidR="009A19A0">
        <w:rPr>
          <w:rFonts w:ascii="Arial" w:hAnsi="Arial" w:cs="Arial"/>
          <w:bCs/>
          <w:spacing w:val="-3"/>
          <w:sz w:val="24"/>
          <w:szCs w:val="24"/>
          <w:lang w:val="es-ES_tradnl"/>
        </w:rPr>
        <w:t>Con fecha once de febrero</w:t>
      </w:r>
      <w:r w:rsidR="007D1554">
        <w:rPr>
          <w:rFonts w:ascii="Arial" w:hAnsi="Arial" w:cs="Arial"/>
          <w:bCs/>
          <w:spacing w:val="-3"/>
          <w:sz w:val="24"/>
          <w:szCs w:val="24"/>
          <w:lang w:val="es-ES_tradnl"/>
        </w:rPr>
        <w:t xml:space="preserve"> de dos mil diecinueve</w:t>
      </w:r>
      <w:r w:rsidR="009A19A0">
        <w:rPr>
          <w:rFonts w:ascii="Arial" w:hAnsi="Arial" w:cs="Arial"/>
          <w:bCs/>
          <w:spacing w:val="-3"/>
          <w:sz w:val="24"/>
          <w:szCs w:val="24"/>
          <w:lang w:val="es-ES_tradnl"/>
        </w:rPr>
        <w:t xml:space="preserve"> los</w:t>
      </w:r>
      <w:r w:rsidR="00A20362">
        <w:rPr>
          <w:rFonts w:ascii="Arial" w:hAnsi="Arial" w:cs="Arial"/>
          <w:bCs/>
          <w:spacing w:val="-3"/>
          <w:sz w:val="24"/>
          <w:szCs w:val="24"/>
          <w:lang w:val="es-ES_tradnl"/>
        </w:rPr>
        <w:t xml:space="preserve"> C</w:t>
      </w:r>
      <w:r w:rsidR="009A19A0">
        <w:rPr>
          <w:rFonts w:ascii="Arial" w:hAnsi="Arial" w:cs="Arial"/>
          <w:bCs/>
          <w:spacing w:val="-3"/>
          <w:sz w:val="24"/>
          <w:szCs w:val="24"/>
          <w:lang w:val="es-ES_tradnl"/>
        </w:rPr>
        <w:t>C</w:t>
      </w:r>
      <w:r w:rsidR="00A20362">
        <w:rPr>
          <w:rFonts w:ascii="Arial" w:hAnsi="Arial" w:cs="Arial"/>
          <w:bCs/>
          <w:spacing w:val="-3"/>
          <w:sz w:val="24"/>
          <w:szCs w:val="24"/>
          <w:lang w:val="es-ES_tradnl"/>
        </w:rPr>
        <w:t>.</w:t>
      </w:r>
      <w:r w:rsidR="001C4867" w:rsidRPr="00BB1B71">
        <w:rPr>
          <w:rFonts w:ascii="Arial" w:hAnsi="Arial" w:cs="Arial"/>
          <w:bCs/>
          <w:spacing w:val="-3"/>
          <w:sz w:val="24"/>
          <w:szCs w:val="24"/>
          <w:lang w:val="es-ES_tradnl"/>
        </w:rPr>
        <w:t xml:space="preserve"> </w:t>
      </w:r>
      <w:r>
        <w:rPr>
          <w:rFonts w:ascii="Arial" w:eastAsia="Times New Roman" w:hAnsi="Arial" w:cs="Arial"/>
          <w:color w:val="FF0000"/>
          <w:sz w:val="24"/>
          <w:szCs w:val="24"/>
          <w:lang w:val="es-ES_tradnl" w:eastAsia="es-ES"/>
        </w:rPr>
        <w:t>**********</w:t>
      </w:r>
      <w:r w:rsidR="00CC1CE7">
        <w:rPr>
          <w:rFonts w:ascii="Arial" w:eastAsia="Times New Roman" w:hAnsi="Arial" w:cs="Arial"/>
          <w:sz w:val="24"/>
          <w:szCs w:val="24"/>
          <w:lang w:val="es-ES_tradnl" w:eastAsia="es-ES"/>
        </w:rPr>
        <w:t>, por su propio derecho</w:t>
      </w:r>
      <w:r w:rsidR="002F388E">
        <w:rPr>
          <w:rFonts w:ascii="Arial" w:hAnsi="Arial" w:cs="Arial"/>
          <w:bCs/>
          <w:spacing w:val="-3"/>
          <w:sz w:val="24"/>
          <w:szCs w:val="24"/>
          <w:lang w:val="es-ES_tradnl"/>
        </w:rPr>
        <w:t xml:space="preserve">, </w:t>
      </w:r>
      <w:r w:rsidR="00CC1CE7">
        <w:rPr>
          <w:rFonts w:ascii="Arial" w:hAnsi="Arial" w:cs="Arial"/>
          <w:bCs/>
          <w:spacing w:val="-3"/>
          <w:sz w:val="24"/>
          <w:szCs w:val="24"/>
          <w:lang w:val="es-ES_tradnl"/>
        </w:rPr>
        <w:t>presentaron</w:t>
      </w:r>
      <w:r w:rsidR="001C4867" w:rsidRPr="00BB1B71">
        <w:rPr>
          <w:rFonts w:ascii="Arial" w:hAnsi="Arial" w:cs="Arial"/>
          <w:bCs/>
          <w:spacing w:val="-3"/>
          <w:sz w:val="24"/>
          <w:szCs w:val="24"/>
          <w:lang w:val="es-ES_tradnl"/>
        </w:rPr>
        <w:t xml:space="preserve"> en la Oficialía de</w:t>
      </w:r>
      <w:r w:rsidR="002F388E">
        <w:rPr>
          <w:rFonts w:ascii="Arial" w:hAnsi="Arial" w:cs="Arial"/>
          <w:bCs/>
          <w:spacing w:val="-3"/>
          <w:sz w:val="24"/>
          <w:szCs w:val="24"/>
          <w:lang w:val="es-ES_tradnl"/>
        </w:rPr>
        <w:t xml:space="preserve"> Partes Común de e</w:t>
      </w:r>
      <w:r w:rsidR="00D80C5E">
        <w:rPr>
          <w:rFonts w:ascii="Arial" w:hAnsi="Arial" w:cs="Arial"/>
          <w:bCs/>
          <w:spacing w:val="-3"/>
          <w:sz w:val="24"/>
          <w:szCs w:val="24"/>
          <w:lang w:val="es-ES_tradnl"/>
        </w:rPr>
        <w:t>ste Tribunal escrito de demanda</w:t>
      </w:r>
      <w:r w:rsidR="002F388E">
        <w:rPr>
          <w:rFonts w:ascii="Arial" w:hAnsi="Arial" w:cs="Arial"/>
          <w:bCs/>
          <w:spacing w:val="-3"/>
          <w:sz w:val="24"/>
          <w:szCs w:val="24"/>
          <w:lang w:val="es-ES_tradnl"/>
        </w:rPr>
        <w:t xml:space="preserve"> en contra</w:t>
      </w:r>
      <w:r w:rsidR="001C4867" w:rsidRPr="00BB1B71">
        <w:rPr>
          <w:rFonts w:ascii="Arial" w:hAnsi="Arial" w:cs="Arial"/>
          <w:bCs/>
          <w:spacing w:val="-3"/>
          <w:sz w:val="24"/>
          <w:szCs w:val="24"/>
          <w:lang w:val="es-ES_tradnl"/>
        </w:rPr>
        <w:t xml:space="preserve"> </w:t>
      </w:r>
      <w:r w:rsidR="00CC1CE7">
        <w:rPr>
          <w:rFonts w:ascii="Arial" w:eastAsia="Arial" w:hAnsi="Arial" w:cs="Arial"/>
          <w:sz w:val="24"/>
          <w:szCs w:val="24"/>
        </w:rPr>
        <w:t xml:space="preserve">de la </w:t>
      </w:r>
      <w:proofErr w:type="gramStart"/>
      <w:r w:rsidR="00CC1CE7">
        <w:rPr>
          <w:rFonts w:ascii="Arial" w:eastAsia="Arial" w:hAnsi="Arial" w:cs="Arial"/>
          <w:sz w:val="24"/>
          <w:szCs w:val="24"/>
        </w:rPr>
        <w:t>Presidenta</w:t>
      </w:r>
      <w:proofErr w:type="gramEnd"/>
      <w:r w:rsidR="00CC1CE7">
        <w:rPr>
          <w:rFonts w:ascii="Arial" w:eastAsia="Arial" w:hAnsi="Arial" w:cs="Arial"/>
          <w:sz w:val="24"/>
          <w:szCs w:val="24"/>
        </w:rPr>
        <w:t xml:space="preserve"> Municipal </w:t>
      </w:r>
      <w:r w:rsidR="00FF27CA">
        <w:rPr>
          <w:rFonts w:ascii="Arial" w:eastAsia="Arial" w:hAnsi="Arial" w:cs="Arial"/>
          <w:sz w:val="24"/>
          <w:szCs w:val="24"/>
        </w:rPr>
        <w:t xml:space="preserve">y </w:t>
      </w:r>
      <w:r w:rsidR="00CC1CE7">
        <w:rPr>
          <w:rFonts w:ascii="Arial" w:eastAsia="Arial" w:hAnsi="Arial" w:cs="Arial"/>
          <w:sz w:val="24"/>
          <w:szCs w:val="24"/>
        </w:rPr>
        <w:t xml:space="preserve">del </w:t>
      </w:r>
      <w:r w:rsidR="00FF27CA">
        <w:rPr>
          <w:rFonts w:ascii="Arial" w:eastAsia="Arial" w:hAnsi="Arial" w:cs="Arial"/>
          <w:sz w:val="24"/>
          <w:szCs w:val="24"/>
        </w:rPr>
        <w:t xml:space="preserve">H. </w:t>
      </w:r>
      <w:r w:rsidR="00CC1CE7">
        <w:rPr>
          <w:rFonts w:ascii="Arial" w:eastAsia="Arial" w:hAnsi="Arial" w:cs="Arial"/>
          <w:sz w:val="24"/>
          <w:szCs w:val="24"/>
        </w:rPr>
        <w:t>Ayuntamiento Constitucional de Santa Francisco Telixtlahuaca, Etla, Oaxaca por</w:t>
      </w:r>
      <w:r w:rsidR="00CC1CE7">
        <w:rPr>
          <w:rFonts w:ascii="Arial" w:hAnsi="Arial" w:cs="Arial"/>
          <w:bCs/>
          <w:spacing w:val="-3"/>
          <w:sz w:val="24"/>
          <w:szCs w:val="24"/>
          <w:lang w:val="es-ES_tradnl"/>
        </w:rPr>
        <w:t xml:space="preserve"> despido verbal</w:t>
      </w:r>
      <w:r w:rsidR="00AD6569">
        <w:rPr>
          <w:rFonts w:ascii="Arial" w:hAnsi="Arial" w:cs="Arial"/>
          <w:bCs/>
          <w:spacing w:val="-3"/>
          <w:sz w:val="24"/>
          <w:szCs w:val="24"/>
          <w:lang w:val="es-ES_tradnl"/>
        </w:rPr>
        <w:t>.</w:t>
      </w:r>
    </w:p>
    <w:p w14:paraId="5203039E" w14:textId="77777777" w:rsidR="001C4867" w:rsidRPr="00BB1B71" w:rsidRDefault="00875701" w:rsidP="001C4867">
      <w:pPr>
        <w:spacing w:line="360" w:lineRule="auto"/>
        <w:ind w:firstLine="567"/>
        <w:jc w:val="both"/>
        <w:rPr>
          <w:rFonts w:ascii="Arial" w:hAnsi="Arial" w:cs="Arial"/>
          <w:bCs/>
          <w:spacing w:val="-3"/>
          <w:sz w:val="24"/>
          <w:szCs w:val="24"/>
          <w:lang w:val="es-ES_tradnl"/>
        </w:rPr>
      </w:pPr>
      <w:r w:rsidRPr="00875701">
        <w:rPr>
          <w:rFonts w:ascii="Arial" w:hAnsi="Arial" w:cs="Arial"/>
          <w:b/>
          <w:bCs/>
          <w:spacing w:val="-3"/>
          <w:sz w:val="24"/>
          <w:szCs w:val="24"/>
          <w:lang w:val="es-ES_tradnl"/>
        </w:rPr>
        <w:t>SEGUNDO.-</w:t>
      </w:r>
      <w:r>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sidR="00C150D4">
        <w:rPr>
          <w:rFonts w:ascii="Arial" w:hAnsi="Arial" w:cs="Arial"/>
          <w:bCs/>
          <w:spacing w:val="-3"/>
          <w:sz w:val="24"/>
          <w:szCs w:val="24"/>
          <w:lang w:val="es-ES_tradnl"/>
        </w:rPr>
        <w:t xml:space="preserve">acuerdo de </w:t>
      </w:r>
      <w:r w:rsidR="00012C47">
        <w:rPr>
          <w:rFonts w:ascii="Arial" w:hAnsi="Arial" w:cs="Arial"/>
          <w:bCs/>
          <w:spacing w:val="-3"/>
          <w:sz w:val="24"/>
          <w:szCs w:val="24"/>
          <w:lang w:val="es-ES_tradnl"/>
        </w:rPr>
        <w:t>doce de febrero</w:t>
      </w:r>
      <w:r w:rsidR="00CC1CE7">
        <w:rPr>
          <w:rFonts w:ascii="Arial" w:hAnsi="Arial" w:cs="Arial"/>
          <w:bCs/>
          <w:spacing w:val="-3"/>
          <w:sz w:val="24"/>
          <w:szCs w:val="24"/>
          <w:lang w:val="es-ES_tradnl"/>
        </w:rPr>
        <w:t xml:space="preserve"> de dos mil dieci</w:t>
      </w:r>
      <w:r w:rsidR="00012C47">
        <w:rPr>
          <w:rFonts w:ascii="Arial" w:hAnsi="Arial" w:cs="Arial"/>
          <w:bCs/>
          <w:spacing w:val="-3"/>
          <w:sz w:val="24"/>
          <w:szCs w:val="24"/>
          <w:lang w:val="es-ES_tradnl"/>
        </w:rPr>
        <w:t>nueve</w:t>
      </w:r>
      <w:r w:rsidR="00CC1CE7">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se admitió a trámite la demanda, ordenándose notificar, emplazar y correr traslado a la autoridad demandada, para que produjera su contestación en los términos de ley. </w:t>
      </w:r>
    </w:p>
    <w:p w14:paraId="58AEB072" w14:textId="77777777" w:rsidR="00F76724" w:rsidRDefault="00875701" w:rsidP="001C4867">
      <w:pPr>
        <w:spacing w:line="360" w:lineRule="auto"/>
        <w:ind w:firstLine="567"/>
        <w:jc w:val="both"/>
        <w:rPr>
          <w:rFonts w:ascii="Arial" w:hAnsi="Arial" w:cs="Arial"/>
          <w:bCs/>
          <w:spacing w:val="-3"/>
          <w:sz w:val="24"/>
          <w:szCs w:val="24"/>
          <w:lang w:val="es-ES_tradnl"/>
        </w:rPr>
      </w:pPr>
      <w:r>
        <w:rPr>
          <w:rFonts w:ascii="Arial" w:hAnsi="Arial" w:cs="Arial"/>
          <w:b/>
          <w:spacing w:val="-3"/>
          <w:sz w:val="24"/>
          <w:szCs w:val="24"/>
          <w:lang w:val="es-ES_tradnl"/>
        </w:rPr>
        <w:t>TERCER</w:t>
      </w:r>
      <w:r w:rsidR="001C4867" w:rsidRPr="00BB1B71">
        <w:rPr>
          <w:rFonts w:ascii="Arial" w:hAnsi="Arial" w:cs="Arial"/>
          <w:b/>
          <w:spacing w:val="-3"/>
          <w:sz w:val="24"/>
          <w:szCs w:val="24"/>
          <w:lang w:val="es-ES_tradnl"/>
        </w:rPr>
        <w:t>O.-</w:t>
      </w:r>
      <w:r w:rsidR="001C4867" w:rsidRPr="00BB1B71">
        <w:rPr>
          <w:rFonts w:ascii="Arial" w:hAnsi="Arial" w:cs="Arial"/>
          <w:bCs/>
          <w:spacing w:val="-3"/>
          <w:sz w:val="24"/>
          <w:szCs w:val="24"/>
          <w:lang w:val="es-ES_tradnl"/>
        </w:rPr>
        <w:t xml:space="preserve"> </w:t>
      </w:r>
      <w:r w:rsidR="00E62D02">
        <w:rPr>
          <w:rFonts w:ascii="Arial" w:hAnsi="Arial" w:cs="Arial"/>
          <w:bCs/>
          <w:spacing w:val="-3"/>
          <w:sz w:val="24"/>
          <w:szCs w:val="24"/>
          <w:lang w:val="es-ES_tradnl"/>
        </w:rPr>
        <w:t>Mediante o</w:t>
      </w:r>
      <w:r w:rsidR="00C150D4">
        <w:rPr>
          <w:rFonts w:ascii="Arial" w:hAnsi="Arial" w:cs="Arial"/>
          <w:bCs/>
          <w:spacing w:val="-3"/>
          <w:sz w:val="24"/>
          <w:szCs w:val="24"/>
          <w:lang w:val="es-ES_tradnl"/>
        </w:rPr>
        <w:t>ficio</w:t>
      </w:r>
      <w:r w:rsidR="00FF27CA">
        <w:rPr>
          <w:rFonts w:ascii="Arial" w:hAnsi="Arial" w:cs="Arial"/>
          <w:bCs/>
          <w:spacing w:val="-3"/>
          <w:sz w:val="24"/>
          <w:szCs w:val="24"/>
          <w:lang w:val="es-ES_tradnl"/>
        </w:rPr>
        <w:t xml:space="preserve"> sin </w:t>
      </w:r>
      <w:r w:rsidR="00C150D4">
        <w:rPr>
          <w:rFonts w:ascii="Arial" w:hAnsi="Arial" w:cs="Arial"/>
          <w:bCs/>
          <w:spacing w:val="-3"/>
          <w:sz w:val="24"/>
          <w:szCs w:val="24"/>
          <w:lang w:val="es-ES_tradnl"/>
        </w:rPr>
        <w:t>número</w:t>
      </w:r>
      <w:r w:rsidR="00FF27CA">
        <w:rPr>
          <w:rFonts w:ascii="Arial" w:hAnsi="Arial" w:cs="Arial"/>
          <w:bCs/>
          <w:spacing w:val="-3"/>
          <w:sz w:val="24"/>
          <w:szCs w:val="24"/>
          <w:lang w:val="es-ES_tradnl"/>
        </w:rPr>
        <w:t xml:space="preserve"> de</w:t>
      </w:r>
      <w:r>
        <w:rPr>
          <w:rFonts w:ascii="Arial" w:hAnsi="Arial" w:cs="Arial"/>
          <w:bCs/>
          <w:spacing w:val="-3"/>
          <w:sz w:val="24"/>
          <w:szCs w:val="24"/>
          <w:lang w:val="es-ES_tradnl"/>
        </w:rPr>
        <w:t xml:space="preserve"> </w:t>
      </w:r>
      <w:r w:rsidR="00012C47">
        <w:rPr>
          <w:rFonts w:ascii="Arial" w:hAnsi="Arial" w:cs="Arial"/>
          <w:bCs/>
          <w:spacing w:val="-3"/>
          <w:sz w:val="24"/>
          <w:szCs w:val="24"/>
          <w:lang w:val="es-ES_tradnl"/>
        </w:rPr>
        <w:t>diecinueve de marzo</w:t>
      </w:r>
      <w:r w:rsidR="00FF27CA">
        <w:rPr>
          <w:rFonts w:ascii="Arial" w:hAnsi="Arial" w:cs="Arial"/>
          <w:bCs/>
          <w:spacing w:val="-3"/>
          <w:sz w:val="24"/>
          <w:szCs w:val="24"/>
          <w:lang w:val="es-ES_tradnl"/>
        </w:rPr>
        <w:t xml:space="preserve"> de dos mil diecinueve</w:t>
      </w:r>
      <w:r w:rsidR="00E62D02">
        <w:rPr>
          <w:rFonts w:ascii="Arial" w:hAnsi="Arial" w:cs="Arial"/>
          <w:bCs/>
          <w:spacing w:val="-3"/>
          <w:sz w:val="24"/>
          <w:szCs w:val="24"/>
          <w:lang w:val="es-ES_tradnl"/>
        </w:rPr>
        <w:t xml:space="preserve">, la </w:t>
      </w:r>
      <w:r w:rsidR="00FF27CA">
        <w:rPr>
          <w:rFonts w:ascii="Arial" w:hAnsi="Arial" w:cs="Arial"/>
          <w:bCs/>
          <w:spacing w:val="-3"/>
          <w:sz w:val="24"/>
          <w:szCs w:val="24"/>
          <w:lang w:val="es-ES_tradnl"/>
        </w:rPr>
        <w:t>Presidenta Municip</w:t>
      </w:r>
      <w:r w:rsidR="00012C47">
        <w:rPr>
          <w:rFonts w:ascii="Arial" w:hAnsi="Arial" w:cs="Arial"/>
          <w:bCs/>
          <w:spacing w:val="-3"/>
          <w:sz w:val="24"/>
          <w:szCs w:val="24"/>
          <w:lang w:val="es-ES_tradnl"/>
        </w:rPr>
        <w:t>al</w:t>
      </w:r>
      <w:r w:rsidR="00FF27CA">
        <w:rPr>
          <w:rFonts w:ascii="Arial" w:hAnsi="Arial" w:cs="Arial"/>
          <w:bCs/>
          <w:spacing w:val="-3"/>
          <w:sz w:val="24"/>
          <w:szCs w:val="24"/>
          <w:lang w:val="es-ES_tradnl"/>
        </w:rPr>
        <w:t xml:space="preserve"> del H. Ayuntamiento de San Francisco Teli</w:t>
      </w:r>
      <w:r w:rsidR="00012C47">
        <w:rPr>
          <w:rFonts w:ascii="Arial" w:hAnsi="Arial" w:cs="Arial"/>
          <w:bCs/>
          <w:spacing w:val="-3"/>
          <w:sz w:val="24"/>
          <w:szCs w:val="24"/>
          <w:lang w:val="es-ES_tradnl"/>
        </w:rPr>
        <w:t>xtlahuaca, Etla, Oaxaca, produj</w:t>
      </w:r>
      <w:r w:rsidR="00FF27CA">
        <w:rPr>
          <w:rFonts w:ascii="Arial" w:hAnsi="Arial" w:cs="Arial"/>
          <w:bCs/>
          <w:spacing w:val="-3"/>
          <w:sz w:val="24"/>
          <w:szCs w:val="24"/>
          <w:lang w:val="es-ES_tradnl"/>
        </w:rPr>
        <w:t>o</w:t>
      </w:r>
      <w:r w:rsidR="00E62D02">
        <w:rPr>
          <w:rFonts w:ascii="Arial" w:hAnsi="Arial" w:cs="Arial"/>
          <w:bCs/>
          <w:spacing w:val="-3"/>
          <w:sz w:val="24"/>
          <w:szCs w:val="24"/>
          <w:lang w:val="es-ES_tradnl"/>
        </w:rPr>
        <w:t xml:space="preserve"> su contestación de demanda.</w:t>
      </w:r>
    </w:p>
    <w:p w14:paraId="40B3DC68" w14:textId="77777777" w:rsidR="00F153C9" w:rsidRPr="00BB1B71" w:rsidRDefault="00F76724" w:rsidP="001C4867">
      <w:pPr>
        <w:spacing w:line="360" w:lineRule="auto"/>
        <w:ind w:firstLine="567"/>
        <w:jc w:val="both"/>
        <w:rPr>
          <w:rFonts w:ascii="Arial" w:hAnsi="Arial" w:cs="Arial"/>
          <w:bCs/>
          <w:spacing w:val="-3"/>
          <w:sz w:val="24"/>
          <w:szCs w:val="24"/>
          <w:lang w:val="es-ES_tradnl"/>
        </w:rPr>
      </w:pPr>
      <w:r w:rsidRPr="00F76724">
        <w:rPr>
          <w:rFonts w:ascii="Arial" w:hAnsi="Arial" w:cs="Arial"/>
          <w:b/>
          <w:bCs/>
          <w:spacing w:val="-3"/>
          <w:sz w:val="24"/>
          <w:szCs w:val="24"/>
          <w:lang w:val="es-ES_tradnl"/>
        </w:rPr>
        <w:t>CUARTO.-</w:t>
      </w:r>
      <w:r w:rsidR="00E62D02">
        <w:rPr>
          <w:rFonts w:ascii="Arial" w:hAnsi="Arial" w:cs="Arial"/>
          <w:bCs/>
          <w:spacing w:val="-3"/>
          <w:sz w:val="24"/>
          <w:szCs w:val="24"/>
          <w:lang w:val="es-ES_tradnl"/>
        </w:rPr>
        <w:t xml:space="preserve"> </w:t>
      </w:r>
      <w:r w:rsidR="001C4867" w:rsidRPr="00BB1B71">
        <w:rPr>
          <w:rFonts w:ascii="Arial" w:hAnsi="Arial" w:cs="Arial"/>
          <w:bCs/>
          <w:spacing w:val="-3"/>
          <w:sz w:val="24"/>
          <w:szCs w:val="24"/>
          <w:lang w:val="es-ES_tradnl"/>
        </w:rPr>
        <w:t xml:space="preserve">Por </w:t>
      </w:r>
      <w:r>
        <w:rPr>
          <w:rFonts w:ascii="Arial" w:hAnsi="Arial" w:cs="Arial"/>
          <w:bCs/>
          <w:spacing w:val="-3"/>
          <w:sz w:val="24"/>
          <w:szCs w:val="24"/>
          <w:lang w:val="es-ES_tradnl"/>
        </w:rPr>
        <w:t>auto</w:t>
      </w:r>
      <w:r w:rsidR="001C4867" w:rsidRPr="00BB1B71">
        <w:rPr>
          <w:rFonts w:ascii="Arial" w:hAnsi="Arial" w:cs="Arial"/>
          <w:bCs/>
          <w:spacing w:val="-3"/>
          <w:sz w:val="24"/>
          <w:szCs w:val="24"/>
          <w:lang w:val="es-ES_tradnl"/>
        </w:rPr>
        <w:t xml:space="preserve"> de fecha </w:t>
      </w:r>
      <w:r w:rsidR="002C4A68">
        <w:rPr>
          <w:rFonts w:ascii="Arial" w:hAnsi="Arial" w:cs="Arial"/>
          <w:bCs/>
          <w:spacing w:val="-3"/>
          <w:sz w:val="24"/>
          <w:szCs w:val="24"/>
          <w:lang w:val="es-ES_tradnl"/>
        </w:rPr>
        <w:t xml:space="preserve">uno de abril </w:t>
      </w:r>
      <w:r>
        <w:rPr>
          <w:rFonts w:ascii="Arial" w:hAnsi="Arial" w:cs="Arial"/>
          <w:bCs/>
          <w:spacing w:val="-3"/>
          <w:sz w:val="24"/>
          <w:szCs w:val="24"/>
          <w:lang w:val="es-ES_tradnl"/>
        </w:rPr>
        <w:t xml:space="preserve">de dos mil </w:t>
      </w:r>
      <w:r w:rsidR="00C150D4">
        <w:rPr>
          <w:rFonts w:ascii="Arial" w:hAnsi="Arial" w:cs="Arial"/>
          <w:bCs/>
          <w:spacing w:val="-3"/>
          <w:sz w:val="24"/>
          <w:szCs w:val="24"/>
          <w:lang w:val="es-ES_tradnl"/>
        </w:rPr>
        <w:t>diecinueve</w:t>
      </w:r>
      <w:r w:rsidR="002C4A68">
        <w:rPr>
          <w:rFonts w:ascii="Arial" w:hAnsi="Arial" w:cs="Arial"/>
          <w:bCs/>
          <w:spacing w:val="-3"/>
          <w:sz w:val="24"/>
          <w:szCs w:val="24"/>
          <w:lang w:val="es-ES_tradnl"/>
        </w:rPr>
        <w:t xml:space="preserve">, se declaró precluido el derecho de la autoridad demandada para </w:t>
      </w:r>
      <w:r w:rsidR="00E46AFE">
        <w:rPr>
          <w:rFonts w:ascii="Arial" w:hAnsi="Arial" w:cs="Arial"/>
          <w:bCs/>
          <w:spacing w:val="-3"/>
          <w:sz w:val="24"/>
          <w:szCs w:val="24"/>
          <w:lang w:val="es-ES_tradnl"/>
        </w:rPr>
        <w:t>contesta</w:t>
      </w:r>
      <w:r w:rsidR="002C4A68">
        <w:rPr>
          <w:rFonts w:ascii="Arial" w:hAnsi="Arial" w:cs="Arial"/>
          <w:bCs/>
          <w:spacing w:val="-3"/>
          <w:sz w:val="24"/>
          <w:szCs w:val="24"/>
          <w:lang w:val="es-ES_tradnl"/>
        </w:rPr>
        <w:t>r</w:t>
      </w:r>
      <w:r w:rsidR="001C4867" w:rsidRPr="00BB1B71">
        <w:rPr>
          <w:rFonts w:ascii="Arial" w:hAnsi="Arial" w:cs="Arial"/>
          <w:bCs/>
          <w:spacing w:val="-3"/>
          <w:sz w:val="24"/>
          <w:szCs w:val="24"/>
          <w:lang w:val="es-ES_tradnl"/>
        </w:rPr>
        <w:t xml:space="preserve"> la demanda.</w:t>
      </w:r>
    </w:p>
    <w:p w14:paraId="4F1B5733" w14:textId="77777777" w:rsidR="002C4A68" w:rsidRDefault="001F4C6A" w:rsidP="00EC41FD">
      <w:pPr>
        <w:spacing w:line="360" w:lineRule="auto"/>
        <w:ind w:firstLine="567"/>
        <w:jc w:val="both"/>
        <w:rPr>
          <w:rFonts w:ascii="Arial" w:hAnsi="Arial" w:cs="Arial"/>
          <w:bCs/>
          <w:spacing w:val="-3"/>
          <w:sz w:val="24"/>
          <w:szCs w:val="24"/>
          <w:lang w:val="es-ES_tradnl"/>
        </w:rPr>
      </w:pPr>
      <w:r>
        <w:rPr>
          <w:rFonts w:ascii="Arial" w:hAnsi="Arial" w:cs="Arial"/>
          <w:b/>
          <w:spacing w:val="-3"/>
          <w:sz w:val="24"/>
          <w:szCs w:val="24"/>
          <w:lang w:val="es-ES_tradnl"/>
        </w:rPr>
        <w:t>QUINTO</w:t>
      </w:r>
      <w:r w:rsidR="001C4867" w:rsidRPr="00BB1B71">
        <w:rPr>
          <w:rFonts w:ascii="Arial" w:hAnsi="Arial" w:cs="Arial"/>
          <w:b/>
          <w:spacing w:val="-3"/>
          <w:sz w:val="24"/>
          <w:szCs w:val="24"/>
          <w:lang w:val="es-ES_tradnl"/>
        </w:rPr>
        <w:t>.-</w:t>
      </w:r>
      <w:r w:rsidR="001C4867" w:rsidRPr="00BB1B71">
        <w:rPr>
          <w:rFonts w:ascii="Arial" w:hAnsi="Arial" w:cs="Arial"/>
          <w:bCs/>
          <w:spacing w:val="-3"/>
          <w:sz w:val="24"/>
          <w:szCs w:val="24"/>
          <w:lang w:val="es-ES_tradnl"/>
        </w:rPr>
        <w:t xml:space="preserve"> </w:t>
      </w:r>
      <w:r w:rsidR="002C4A68">
        <w:rPr>
          <w:rFonts w:ascii="Arial" w:hAnsi="Arial" w:cs="Arial"/>
          <w:bCs/>
          <w:spacing w:val="-3"/>
          <w:sz w:val="24"/>
          <w:szCs w:val="24"/>
          <w:lang w:val="es-ES_tradnl"/>
        </w:rPr>
        <w:t>Mediante oficio presentado en Oficialía de Partes Común de este Tribunal el veintiocho de mayo de dos mil diecinueve la autoridad demandada interpuso recurso de revisión en contra del auto de uno de abril del mismo año.</w:t>
      </w:r>
    </w:p>
    <w:p w14:paraId="66ED1C10" w14:textId="77777777" w:rsidR="002C4A68" w:rsidRDefault="002C4A68" w:rsidP="00EC41FD">
      <w:pPr>
        <w:spacing w:line="360" w:lineRule="auto"/>
        <w:ind w:firstLine="567"/>
        <w:jc w:val="both"/>
        <w:rPr>
          <w:rFonts w:ascii="Arial" w:hAnsi="Arial" w:cs="Arial"/>
          <w:bCs/>
          <w:spacing w:val="-3"/>
          <w:sz w:val="24"/>
          <w:szCs w:val="24"/>
          <w:lang w:val="es-ES_tradnl"/>
        </w:rPr>
      </w:pPr>
      <w:r w:rsidRPr="002C4A68">
        <w:rPr>
          <w:rFonts w:ascii="Arial" w:hAnsi="Arial" w:cs="Arial"/>
          <w:b/>
          <w:bCs/>
          <w:spacing w:val="-3"/>
          <w:sz w:val="24"/>
          <w:szCs w:val="24"/>
          <w:lang w:val="es-ES_tradnl"/>
        </w:rPr>
        <w:lastRenderedPageBreak/>
        <w:t>SEXTO</w:t>
      </w:r>
      <w:r>
        <w:rPr>
          <w:rFonts w:ascii="Arial" w:hAnsi="Arial" w:cs="Arial"/>
          <w:bCs/>
          <w:spacing w:val="-3"/>
          <w:sz w:val="24"/>
          <w:szCs w:val="24"/>
          <w:lang w:val="es-ES_tradnl"/>
        </w:rPr>
        <w:t>.- Con fecha quince de enero de dos mil veinte</w:t>
      </w:r>
      <w:r w:rsidR="00D32386">
        <w:rPr>
          <w:rFonts w:ascii="Arial" w:hAnsi="Arial" w:cs="Arial"/>
          <w:bCs/>
          <w:spacing w:val="-3"/>
          <w:sz w:val="24"/>
          <w:szCs w:val="24"/>
          <w:lang w:val="es-ES_tradnl"/>
        </w:rPr>
        <w:t xml:space="preserve"> el Pleno de la Sala Superior de este Tribunal desechó por extemporáneo el recurso de revisión 186/2019 interpuesto por la autoridad demandada.</w:t>
      </w:r>
    </w:p>
    <w:p w14:paraId="315A782A" w14:textId="77777777" w:rsidR="00D71EF8" w:rsidRDefault="00D71EF8" w:rsidP="00D71EF8">
      <w:pPr>
        <w:tabs>
          <w:tab w:val="left" w:pos="2777"/>
        </w:tabs>
        <w:spacing w:line="360" w:lineRule="auto"/>
        <w:ind w:firstLine="567"/>
        <w:jc w:val="both"/>
        <w:rPr>
          <w:rFonts w:ascii="Arial" w:hAnsi="Arial" w:cs="Arial"/>
          <w:bCs/>
          <w:spacing w:val="-3"/>
          <w:sz w:val="24"/>
          <w:szCs w:val="24"/>
          <w:lang w:val="es-ES_tradnl"/>
        </w:rPr>
      </w:pPr>
      <w:r w:rsidRPr="00D71EF8">
        <w:rPr>
          <w:rFonts w:ascii="Arial" w:hAnsi="Arial" w:cs="Arial"/>
          <w:b/>
          <w:bCs/>
          <w:spacing w:val="-3"/>
          <w:sz w:val="24"/>
          <w:szCs w:val="24"/>
          <w:lang w:val="es-ES_tradnl"/>
        </w:rPr>
        <w:t>SÉPTIMO.-</w:t>
      </w:r>
      <w:r>
        <w:rPr>
          <w:rFonts w:ascii="Arial" w:hAnsi="Arial" w:cs="Arial"/>
          <w:bCs/>
          <w:spacing w:val="-3"/>
          <w:sz w:val="24"/>
          <w:szCs w:val="24"/>
          <w:lang w:val="es-ES_tradnl"/>
        </w:rPr>
        <w:t xml:space="preserve"> Con fecha cinco de noviembre de dos mil veintiuno se celebró la audiencia testimonial de la prueba ofrecida por los actores.</w:t>
      </w:r>
    </w:p>
    <w:p w14:paraId="76C0C1BD" w14:textId="77777777" w:rsidR="00B35954" w:rsidRDefault="0001339E" w:rsidP="00EC41FD">
      <w:pPr>
        <w:spacing w:line="360" w:lineRule="auto"/>
        <w:ind w:firstLine="567"/>
        <w:jc w:val="both"/>
        <w:rPr>
          <w:rFonts w:ascii="Arial" w:hAnsi="Arial" w:cs="Arial"/>
          <w:bCs/>
          <w:spacing w:val="-3"/>
          <w:sz w:val="24"/>
          <w:szCs w:val="24"/>
          <w:lang w:val="es-ES_tradnl"/>
        </w:rPr>
      </w:pPr>
      <w:r w:rsidRPr="00B259D5">
        <w:rPr>
          <w:rFonts w:ascii="Arial" w:hAnsi="Arial" w:cs="Arial"/>
          <w:b/>
          <w:bCs/>
          <w:spacing w:val="-3"/>
          <w:sz w:val="24"/>
          <w:szCs w:val="24"/>
          <w:lang w:val="es-ES_tradnl"/>
        </w:rPr>
        <w:t>OCTAVO.-</w:t>
      </w:r>
      <w:r w:rsidR="00A31004">
        <w:rPr>
          <w:rFonts w:ascii="Arial" w:hAnsi="Arial" w:cs="Arial"/>
          <w:bCs/>
          <w:spacing w:val="-3"/>
          <w:sz w:val="24"/>
          <w:szCs w:val="24"/>
          <w:lang w:val="es-ES_tradnl"/>
        </w:rPr>
        <w:t xml:space="preserve"> </w:t>
      </w:r>
      <w:r w:rsidR="00E2208C">
        <w:rPr>
          <w:rFonts w:ascii="Arial" w:hAnsi="Arial" w:cs="Arial"/>
          <w:bCs/>
          <w:spacing w:val="-3"/>
          <w:sz w:val="24"/>
          <w:szCs w:val="24"/>
          <w:lang w:val="es-ES_tradnl"/>
        </w:rPr>
        <w:t>En</w:t>
      </w:r>
      <w:r w:rsidR="00B07C1F">
        <w:rPr>
          <w:rFonts w:ascii="Arial" w:hAnsi="Arial" w:cs="Arial"/>
          <w:bCs/>
          <w:spacing w:val="-3"/>
          <w:sz w:val="24"/>
          <w:szCs w:val="24"/>
          <w:lang w:val="es-ES_tradnl"/>
        </w:rPr>
        <w:t xml:space="preserve"> acta levantada el </w:t>
      </w:r>
      <w:r w:rsidR="005C69CF">
        <w:rPr>
          <w:rFonts w:ascii="Arial" w:hAnsi="Arial" w:cs="Arial"/>
          <w:bCs/>
          <w:spacing w:val="-3"/>
          <w:sz w:val="24"/>
          <w:szCs w:val="24"/>
          <w:lang w:val="es-ES_tradnl"/>
        </w:rPr>
        <w:t xml:space="preserve">veinticuatro de mayo </w:t>
      </w:r>
      <w:r w:rsidR="00E2208C">
        <w:rPr>
          <w:rFonts w:ascii="Arial" w:hAnsi="Arial" w:cs="Arial"/>
          <w:bCs/>
          <w:spacing w:val="-3"/>
          <w:sz w:val="24"/>
          <w:szCs w:val="24"/>
          <w:lang w:val="es-ES_tradnl"/>
        </w:rPr>
        <w:t>de dos mil veintidós</w:t>
      </w:r>
      <w:r w:rsidR="00F667CC">
        <w:rPr>
          <w:rFonts w:ascii="Arial" w:hAnsi="Arial" w:cs="Arial"/>
          <w:bCs/>
          <w:spacing w:val="-3"/>
          <w:sz w:val="24"/>
          <w:szCs w:val="24"/>
          <w:lang w:val="es-ES_tradnl"/>
        </w:rPr>
        <w:t xml:space="preserve"> se celebró</w:t>
      </w:r>
      <w:r w:rsidR="00B07C1F">
        <w:rPr>
          <w:rFonts w:ascii="Arial" w:hAnsi="Arial" w:cs="Arial"/>
          <w:bCs/>
          <w:spacing w:val="-3"/>
          <w:sz w:val="24"/>
          <w:szCs w:val="24"/>
          <w:lang w:val="es-ES_tradnl"/>
        </w:rPr>
        <w:t xml:space="preserve"> </w:t>
      </w:r>
      <w:r w:rsidR="00F667CC">
        <w:rPr>
          <w:rFonts w:ascii="Arial" w:hAnsi="Arial" w:cs="Arial"/>
          <w:bCs/>
          <w:spacing w:val="-3"/>
          <w:sz w:val="24"/>
          <w:szCs w:val="24"/>
          <w:lang w:val="es-ES_tradnl"/>
        </w:rPr>
        <w:t>la audi</w:t>
      </w:r>
      <w:r w:rsidR="00B07C1F">
        <w:rPr>
          <w:rFonts w:ascii="Arial" w:hAnsi="Arial" w:cs="Arial"/>
          <w:bCs/>
          <w:spacing w:val="-3"/>
          <w:sz w:val="24"/>
          <w:szCs w:val="24"/>
          <w:lang w:val="es-ES_tradnl"/>
        </w:rPr>
        <w:t>e</w:t>
      </w:r>
      <w:r w:rsidR="00F667CC">
        <w:rPr>
          <w:rFonts w:ascii="Arial" w:hAnsi="Arial" w:cs="Arial"/>
          <w:bCs/>
          <w:spacing w:val="-3"/>
          <w:sz w:val="24"/>
          <w:szCs w:val="24"/>
          <w:lang w:val="es-ES_tradnl"/>
        </w:rPr>
        <w:t>ncia</w:t>
      </w:r>
      <w:r w:rsidR="00B07C1F">
        <w:rPr>
          <w:rFonts w:ascii="Arial" w:hAnsi="Arial" w:cs="Arial"/>
          <w:bCs/>
          <w:spacing w:val="-3"/>
          <w:sz w:val="24"/>
          <w:szCs w:val="24"/>
          <w:lang w:val="es-ES_tradnl"/>
        </w:rPr>
        <w:t xml:space="preserve"> fi</w:t>
      </w:r>
      <w:r w:rsidR="00F667CC">
        <w:rPr>
          <w:rFonts w:ascii="Arial" w:hAnsi="Arial" w:cs="Arial"/>
          <w:bCs/>
          <w:spacing w:val="-3"/>
          <w:sz w:val="24"/>
          <w:szCs w:val="24"/>
          <w:lang w:val="es-ES_tradnl"/>
        </w:rPr>
        <w:t>n</w:t>
      </w:r>
      <w:r w:rsidR="00B07C1F">
        <w:rPr>
          <w:rFonts w:ascii="Arial" w:hAnsi="Arial" w:cs="Arial"/>
          <w:bCs/>
          <w:spacing w:val="-3"/>
          <w:sz w:val="24"/>
          <w:szCs w:val="24"/>
          <w:lang w:val="es-ES_tradnl"/>
        </w:rPr>
        <w:t>al en el juicio, por lo que se emite la presente sen</w:t>
      </w:r>
      <w:r w:rsidR="00F667CC">
        <w:rPr>
          <w:rFonts w:ascii="Arial" w:hAnsi="Arial" w:cs="Arial"/>
          <w:bCs/>
          <w:spacing w:val="-3"/>
          <w:sz w:val="24"/>
          <w:szCs w:val="24"/>
          <w:lang w:val="es-ES_tradnl"/>
        </w:rPr>
        <w:t>ten</w:t>
      </w:r>
      <w:r w:rsidR="00B07C1F">
        <w:rPr>
          <w:rFonts w:ascii="Arial" w:hAnsi="Arial" w:cs="Arial"/>
          <w:bCs/>
          <w:spacing w:val="-3"/>
          <w:sz w:val="24"/>
          <w:szCs w:val="24"/>
          <w:lang w:val="es-ES_tradnl"/>
        </w:rPr>
        <w:t>cia, y;</w:t>
      </w:r>
      <w:r w:rsidR="00556738">
        <w:rPr>
          <w:rFonts w:ascii="Arial" w:hAnsi="Arial" w:cs="Arial"/>
          <w:bCs/>
          <w:spacing w:val="-3"/>
          <w:sz w:val="24"/>
          <w:szCs w:val="24"/>
          <w:lang w:val="es-ES_tradnl"/>
        </w:rPr>
        <w:t xml:space="preserve"> </w:t>
      </w:r>
    </w:p>
    <w:p w14:paraId="5BD571BC" w14:textId="77777777" w:rsidR="001C4867" w:rsidRPr="00BB1B71" w:rsidRDefault="001C4867" w:rsidP="001C4867">
      <w:pPr>
        <w:spacing w:line="360" w:lineRule="auto"/>
        <w:jc w:val="both"/>
        <w:rPr>
          <w:rFonts w:ascii="Arial" w:hAnsi="Arial" w:cs="Arial"/>
          <w:b/>
          <w:spacing w:val="-3"/>
          <w:sz w:val="24"/>
          <w:szCs w:val="24"/>
          <w:lang w:val="es-ES_tradnl"/>
        </w:rPr>
      </w:pP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r>
      <w:r w:rsidRPr="00BB1B71">
        <w:rPr>
          <w:rFonts w:ascii="Arial" w:hAnsi="Arial" w:cs="Arial"/>
          <w:b/>
          <w:spacing w:val="-3"/>
          <w:sz w:val="24"/>
          <w:szCs w:val="24"/>
          <w:lang w:val="es-ES_tradnl"/>
        </w:rPr>
        <w:tab/>
        <w:t>C O N S I D E R A N D O:</w:t>
      </w:r>
    </w:p>
    <w:p w14:paraId="26791FBA" w14:textId="77777777" w:rsidR="008E2FAE" w:rsidRDefault="001C4867" w:rsidP="008E2FAE">
      <w:pPr>
        <w:spacing w:line="360" w:lineRule="auto"/>
        <w:ind w:firstLine="567"/>
        <w:jc w:val="both"/>
        <w:rPr>
          <w:rFonts w:ascii="Arial" w:hAnsi="Arial" w:cs="Arial"/>
          <w:bCs/>
          <w:snapToGrid w:val="0"/>
          <w:sz w:val="24"/>
          <w:szCs w:val="24"/>
        </w:rPr>
      </w:pPr>
      <w:r w:rsidRPr="00BB1B71">
        <w:rPr>
          <w:rFonts w:ascii="Arial" w:hAnsi="Arial" w:cs="Arial"/>
          <w:b/>
          <w:sz w:val="24"/>
          <w:szCs w:val="24"/>
        </w:rPr>
        <w:t xml:space="preserve">PRIMERO. </w:t>
      </w:r>
      <w:r w:rsidR="008E2FAE">
        <w:rPr>
          <w:rFonts w:ascii="Arial" w:hAnsi="Arial" w:cs="Arial"/>
          <w:b/>
          <w:snapToGrid w:val="0"/>
          <w:sz w:val="24"/>
          <w:szCs w:val="24"/>
        </w:rPr>
        <w:t xml:space="preserve">Personalidad. </w:t>
      </w:r>
      <w:r w:rsidR="008E2FAE" w:rsidRPr="00BB1B71">
        <w:rPr>
          <w:rFonts w:ascii="Arial" w:hAnsi="Arial" w:cs="Arial"/>
          <w:bCs/>
          <w:snapToGrid w:val="0"/>
          <w:sz w:val="24"/>
          <w:szCs w:val="24"/>
        </w:rPr>
        <w:t>La personalidad de las partes quedó acr</w:t>
      </w:r>
      <w:r w:rsidR="008E2FAE">
        <w:rPr>
          <w:rFonts w:ascii="Arial" w:hAnsi="Arial" w:cs="Arial"/>
          <w:bCs/>
          <w:snapToGrid w:val="0"/>
          <w:sz w:val="24"/>
          <w:szCs w:val="24"/>
        </w:rPr>
        <w:t>editada en autos en términos de los</w:t>
      </w:r>
      <w:r w:rsidR="008E2FAE" w:rsidRPr="00BB1B71">
        <w:rPr>
          <w:rFonts w:ascii="Arial" w:hAnsi="Arial" w:cs="Arial"/>
          <w:bCs/>
          <w:snapToGrid w:val="0"/>
          <w:sz w:val="24"/>
          <w:szCs w:val="24"/>
        </w:rPr>
        <w:t xml:space="preserve"> artículo</w:t>
      </w:r>
      <w:r w:rsidR="008E2FAE">
        <w:rPr>
          <w:rFonts w:ascii="Arial" w:hAnsi="Arial" w:cs="Arial"/>
          <w:bCs/>
          <w:snapToGrid w:val="0"/>
          <w:sz w:val="24"/>
          <w:szCs w:val="24"/>
        </w:rPr>
        <w:t>s</w:t>
      </w:r>
      <w:r w:rsidR="008E2FAE" w:rsidRPr="00BB1B71">
        <w:rPr>
          <w:rFonts w:ascii="Arial" w:hAnsi="Arial" w:cs="Arial"/>
          <w:bCs/>
          <w:snapToGrid w:val="0"/>
          <w:sz w:val="24"/>
          <w:szCs w:val="24"/>
        </w:rPr>
        <w:t xml:space="preserve"> 148 y 151 de la Ley de Procedimiento y Justicia Administrativa para el Estado de Oaxaca</w:t>
      </w:r>
      <w:r w:rsidR="008E2FAE">
        <w:rPr>
          <w:rFonts w:ascii="Arial" w:hAnsi="Arial" w:cs="Arial"/>
          <w:bCs/>
          <w:snapToGrid w:val="0"/>
          <w:sz w:val="24"/>
          <w:szCs w:val="24"/>
        </w:rPr>
        <w:t>.</w:t>
      </w:r>
    </w:p>
    <w:p w14:paraId="0FC2E1AA" w14:textId="77777777" w:rsidR="008E2FAE" w:rsidRPr="00EC491A" w:rsidRDefault="000B6588" w:rsidP="008E2FAE">
      <w:pPr>
        <w:spacing w:after="160" w:line="360" w:lineRule="auto"/>
        <w:ind w:firstLine="567"/>
        <w:jc w:val="both"/>
        <w:rPr>
          <w:rFonts w:ascii="Arial" w:eastAsia="Times New Roman" w:hAnsi="Arial" w:cs="Arial"/>
          <w:sz w:val="24"/>
          <w:szCs w:val="24"/>
          <w:lang w:val="es-ES_tradnl" w:eastAsia="es-ES"/>
        </w:rPr>
      </w:pPr>
      <w:r w:rsidRPr="000B6588">
        <w:rPr>
          <w:rFonts w:ascii="Arial" w:hAnsi="Arial" w:cs="Arial"/>
          <w:b/>
          <w:bCs/>
          <w:snapToGrid w:val="0"/>
          <w:sz w:val="24"/>
          <w:szCs w:val="24"/>
        </w:rPr>
        <w:t>SEGUNDO.</w:t>
      </w:r>
      <w:r>
        <w:rPr>
          <w:rFonts w:ascii="Arial" w:hAnsi="Arial" w:cs="Arial"/>
          <w:bCs/>
          <w:snapToGrid w:val="0"/>
          <w:sz w:val="24"/>
          <w:szCs w:val="24"/>
        </w:rPr>
        <w:t xml:space="preserve">- </w:t>
      </w:r>
      <w:r w:rsidR="008E2FAE" w:rsidRPr="00EC491A">
        <w:rPr>
          <w:rFonts w:ascii="Arial" w:eastAsia="Times New Roman" w:hAnsi="Arial" w:cs="Arial"/>
          <w:b/>
          <w:sz w:val="24"/>
          <w:szCs w:val="24"/>
          <w:lang w:val="es-ES_tradnl" w:eastAsia="es-ES"/>
        </w:rPr>
        <w:t>Causales de</w:t>
      </w:r>
      <w:r w:rsidR="008E2FAE" w:rsidRPr="00EC491A">
        <w:rPr>
          <w:rFonts w:ascii="Arial" w:eastAsia="Times New Roman" w:hAnsi="Arial" w:cs="Arial"/>
          <w:sz w:val="24"/>
          <w:szCs w:val="24"/>
          <w:lang w:val="es-ES_tradnl" w:eastAsia="es-ES"/>
        </w:rPr>
        <w:t xml:space="preserve"> </w:t>
      </w:r>
      <w:r w:rsidR="008E2FAE" w:rsidRPr="00EC491A">
        <w:rPr>
          <w:rFonts w:ascii="Arial" w:eastAsia="Times New Roman" w:hAnsi="Arial" w:cs="Arial"/>
          <w:b/>
          <w:sz w:val="24"/>
          <w:szCs w:val="24"/>
          <w:lang w:val="es-ES_tradnl" w:eastAsia="es-ES"/>
        </w:rPr>
        <w:t xml:space="preserve">improcedencia y sobreseimiento. </w:t>
      </w:r>
      <w:r w:rsidR="008E2FAE" w:rsidRPr="00EC491A">
        <w:rPr>
          <w:rFonts w:ascii="Arial" w:eastAsia="Times New Roman" w:hAnsi="Arial" w:cs="Arial"/>
          <w:sz w:val="24"/>
          <w:szCs w:val="24"/>
          <w:lang w:val="es-ES_tradnl" w:eastAsia="es-ES"/>
        </w:rPr>
        <w:t>Por ser</w:t>
      </w:r>
      <w:r w:rsidR="008E2FAE" w:rsidRPr="00EC491A">
        <w:rPr>
          <w:rFonts w:ascii="Arial" w:eastAsia="Times New Roman" w:hAnsi="Arial" w:cs="Arial"/>
          <w:b/>
          <w:sz w:val="24"/>
          <w:szCs w:val="24"/>
          <w:lang w:val="es-ES_tradnl" w:eastAsia="es-ES"/>
        </w:rPr>
        <w:t xml:space="preserve"> </w:t>
      </w:r>
      <w:r w:rsidR="008E2FAE" w:rsidRPr="00EC491A">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008E2FAE" w:rsidRPr="00EC491A">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sidR="008E2FAE" w:rsidRPr="00EC491A">
        <w:rPr>
          <w:rFonts w:ascii="Arial" w:eastAsia="Times New Roman" w:hAnsi="Arial" w:cs="Arial"/>
          <w:sz w:val="24"/>
          <w:szCs w:val="24"/>
          <w:lang w:val="es-ES_tradnl" w:eastAsia="es-ES"/>
        </w:rPr>
        <w:t xml:space="preserve"> de la Ley de Procedimiento y Justici</w:t>
      </w:r>
      <w:r w:rsidR="008E2FAE">
        <w:rPr>
          <w:rFonts w:ascii="Arial" w:eastAsia="Times New Roman" w:hAnsi="Arial" w:cs="Arial"/>
          <w:sz w:val="24"/>
          <w:szCs w:val="24"/>
          <w:lang w:val="es-ES_tradnl" w:eastAsia="es-ES"/>
        </w:rPr>
        <w:t>a Administrativa para el Estado, se procede al estudio de las mismas.</w:t>
      </w:r>
    </w:p>
    <w:p w14:paraId="4257E7FC" w14:textId="2DC75445" w:rsidR="008E2FAE" w:rsidRDefault="00C16E14" w:rsidP="00AC292A">
      <w:pPr>
        <w:spacing w:line="360" w:lineRule="auto"/>
        <w:ind w:right="51" w:firstLine="567"/>
        <w:jc w:val="both"/>
        <w:rPr>
          <w:rFonts w:ascii="Arial" w:eastAsia="Arial" w:hAnsi="Arial" w:cs="Arial"/>
          <w:sz w:val="24"/>
          <w:szCs w:val="24"/>
        </w:rPr>
      </w:pPr>
      <w:r>
        <w:rPr>
          <w:rFonts w:ascii="Arial" w:hAnsi="Arial" w:cs="Arial"/>
          <w:bCs/>
          <w:snapToGrid w:val="0"/>
          <w:sz w:val="24"/>
          <w:szCs w:val="24"/>
        </w:rPr>
        <w:t xml:space="preserve">Como se refirió en el antecedente PRIMERO de esta resolución, los CC. </w:t>
      </w:r>
      <w:r w:rsidR="00DE4FCF">
        <w:rPr>
          <w:rFonts w:ascii="Arial" w:eastAsia="Times New Roman" w:hAnsi="Arial" w:cs="Arial"/>
          <w:color w:val="FF0000"/>
          <w:sz w:val="24"/>
          <w:szCs w:val="24"/>
          <w:lang w:val="es-ES_tradnl" w:eastAsia="es-ES"/>
        </w:rPr>
        <w:t>**********</w:t>
      </w:r>
      <w:r w:rsidR="00A86BB8">
        <w:rPr>
          <w:rFonts w:ascii="Arial" w:hAnsi="Arial" w:cs="Arial"/>
          <w:bCs/>
          <w:snapToGrid w:val="0"/>
          <w:sz w:val="24"/>
          <w:szCs w:val="24"/>
        </w:rPr>
        <w:t xml:space="preserve"> </w:t>
      </w:r>
      <w:r>
        <w:rPr>
          <w:rFonts w:ascii="Arial" w:hAnsi="Arial" w:cs="Arial"/>
          <w:bCs/>
          <w:snapToGrid w:val="0"/>
          <w:sz w:val="24"/>
          <w:szCs w:val="24"/>
        </w:rPr>
        <w:t xml:space="preserve">comparecieron a </w:t>
      </w:r>
      <w:r w:rsidR="00AC292A">
        <w:rPr>
          <w:rFonts w:ascii="Arial" w:hAnsi="Arial" w:cs="Arial"/>
          <w:bCs/>
          <w:snapToGrid w:val="0"/>
          <w:sz w:val="24"/>
          <w:szCs w:val="24"/>
        </w:rPr>
        <w:t xml:space="preserve">juicio a demandar la nulidad del despido verbal atribuido a la </w:t>
      </w:r>
      <w:proofErr w:type="gramStart"/>
      <w:r w:rsidR="00AC292A">
        <w:rPr>
          <w:rFonts w:ascii="Arial" w:hAnsi="Arial" w:cs="Arial"/>
          <w:bCs/>
          <w:snapToGrid w:val="0"/>
          <w:sz w:val="24"/>
          <w:szCs w:val="24"/>
        </w:rPr>
        <w:t>Presidenta</w:t>
      </w:r>
      <w:proofErr w:type="gramEnd"/>
      <w:r w:rsidR="00AC292A">
        <w:rPr>
          <w:rFonts w:ascii="Arial" w:hAnsi="Arial" w:cs="Arial"/>
          <w:bCs/>
          <w:snapToGrid w:val="0"/>
          <w:sz w:val="24"/>
          <w:szCs w:val="24"/>
        </w:rPr>
        <w:t xml:space="preserve"> del </w:t>
      </w:r>
      <w:r w:rsidR="00AC292A">
        <w:rPr>
          <w:rFonts w:ascii="Arial" w:eastAsia="Arial" w:hAnsi="Arial" w:cs="Arial"/>
          <w:sz w:val="24"/>
          <w:szCs w:val="24"/>
        </w:rPr>
        <w:t>H. Ayuntamiento Constitucional de Santa Francisco Telixtlahuaca, Etla.</w:t>
      </w:r>
    </w:p>
    <w:p w14:paraId="416B9559" w14:textId="77777777" w:rsidR="00EA48DD" w:rsidRDefault="00FC2064" w:rsidP="00AC292A">
      <w:pPr>
        <w:spacing w:line="360" w:lineRule="auto"/>
        <w:ind w:right="51" w:firstLine="567"/>
        <w:jc w:val="both"/>
        <w:rPr>
          <w:rFonts w:ascii="Arial" w:eastAsia="Arial" w:hAnsi="Arial" w:cs="Arial"/>
          <w:sz w:val="24"/>
          <w:szCs w:val="24"/>
        </w:rPr>
      </w:pPr>
      <w:r>
        <w:rPr>
          <w:rFonts w:ascii="Arial" w:eastAsia="Arial" w:hAnsi="Arial" w:cs="Arial"/>
          <w:sz w:val="24"/>
          <w:szCs w:val="24"/>
        </w:rPr>
        <w:t>En este tenor,</w:t>
      </w:r>
      <w:r w:rsidR="00CA47D2">
        <w:rPr>
          <w:rFonts w:ascii="Arial" w:eastAsia="Arial" w:hAnsi="Arial" w:cs="Arial"/>
          <w:sz w:val="24"/>
          <w:szCs w:val="24"/>
        </w:rPr>
        <w:t xml:space="preserve"> a efecto de determinar la competencia de este Tribunal para resolver sobre el acto impugnado,</w:t>
      </w:r>
      <w:r>
        <w:rPr>
          <w:rFonts w:ascii="Arial" w:eastAsia="Arial" w:hAnsi="Arial" w:cs="Arial"/>
          <w:sz w:val="24"/>
          <w:szCs w:val="24"/>
        </w:rPr>
        <w:t xml:space="preserve"> es menester realizar el análisis de los artículos</w:t>
      </w:r>
      <w:r w:rsidR="001440A1">
        <w:rPr>
          <w:rFonts w:ascii="Arial" w:eastAsia="Arial" w:hAnsi="Arial" w:cs="Arial"/>
          <w:sz w:val="24"/>
          <w:szCs w:val="24"/>
        </w:rPr>
        <w:t xml:space="preserve"> </w:t>
      </w:r>
      <w:r w:rsidR="00EA48DD">
        <w:rPr>
          <w:rFonts w:ascii="Arial" w:eastAsia="Arial" w:hAnsi="Arial" w:cs="Arial"/>
          <w:sz w:val="24"/>
          <w:szCs w:val="24"/>
        </w:rPr>
        <w:t>de la Ley de Procedimiento y Justicia Administrativa para el Esta</w:t>
      </w:r>
      <w:r w:rsidR="001440A1">
        <w:rPr>
          <w:rFonts w:ascii="Arial" w:eastAsia="Arial" w:hAnsi="Arial" w:cs="Arial"/>
          <w:sz w:val="24"/>
          <w:szCs w:val="24"/>
        </w:rPr>
        <w:t>d</w:t>
      </w:r>
      <w:r w:rsidR="00EA48DD">
        <w:rPr>
          <w:rFonts w:ascii="Arial" w:eastAsia="Arial" w:hAnsi="Arial" w:cs="Arial"/>
          <w:sz w:val="24"/>
          <w:szCs w:val="24"/>
        </w:rPr>
        <w:t>o de Oaxaca</w:t>
      </w:r>
      <w:r>
        <w:rPr>
          <w:rFonts w:ascii="Arial" w:eastAsia="Arial" w:hAnsi="Arial" w:cs="Arial"/>
          <w:sz w:val="24"/>
          <w:szCs w:val="24"/>
        </w:rPr>
        <w:t xml:space="preserve"> que enseguida se transcriben:</w:t>
      </w:r>
    </w:p>
    <w:p w14:paraId="574D5943" w14:textId="77777777" w:rsidR="00EA48DD" w:rsidRPr="00BF6392" w:rsidRDefault="001440A1" w:rsidP="00BF6392">
      <w:pPr>
        <w:spacing w:after="0" w:line="240" w:lineRule="auto"/>
        <w:ind w:left="567" w:right="332"/>
        <w:jc w:val="both"/>
        <w:rPr>
          <w:rFonts w:ascii="Arial" w:eastAsia="Arial" w:hAnsi="Arial" w:cs="Arial"/>
        </w:rPr>
      </w:pPr>
      <w:r w:rsidRPr="006748AD">
        <w:rPr>
          <w:rFonts w:ascii="Arial" w:eastAsia="Arial" w:hAnsi="Arial" w:cs="Arial"/>
          <w:b/>
          <w:bCs/>
        </w:rPr>
        <w:t xml:space="preserve">ARTÍCULO 1.- </w:t>
      </w:r>
      <w:r w:rsidRPr="006748AD">
        <w:rPr>
          <w:rFonts w:ascii="Arial" w:eastAsia="Arial" w:hAnsi="Arial" w:cs="Arial"/>
        </w:rPr>
        <w:t>L</w:t>
      </w:r>
      <w:r w:rsidRPr="00BF6392">
        <w:rPr>
          <w:rFonts w:ascii="Arial" w:eastAsia="Arial" w:hAnsi="Arial" w:cs="Arial"/>
        </w:rPr>
        <w:t>a presente Ley es de orden público y de interés social, se aplicará en todo el Estado de Oaxaca en los actos administrativos y los procedimientos que desarrollen las Dependencias del Poder Ejecutivo del Gobierno del Estado, Entidades Paraestatales y Órganos Desconcentrados de la Administración Pública Estatal; cuando estas emitan una resolución administrativa de cualquier naturaleza; por los Ayuntamientos de los Municipios del Estado de Oaxaca, por las Dependencias de estos y por sus Entidades Paramunicipales. De igual forma regulará la organización y funcionamiento del Tribunal de Justicia Administrativa del Estado de Oaxaca y la impartición de la Justicia Administrativa en el Estado de Oaxaca.</w:t>
      </w:r>
    </w:p>
    <w:p w14:paraId="4D6648B0" w14:textId="77777777" w:rsidR="00C12848" w:rsidRDefault="00C12848" w:rsidP="00BF6392">
      <w:pPr>
        <w:autoSpaceDE w:val="0"/>
        <w:autoSpaceDN w:val="0"/>
        <w:adjustRightInd w:val="0"/>
        <w:spacing w:after="0" w:line="240" w:lineRule="auto"/>
        <w:ind w:left="567" w:right="332"/>
        <w:jc w:val="both"/>
        <w:rPr>
          <w:rFonts w:ascii="Arial" w:hAnsi="Arial" w:cs="Arial"/>
        </w:rPr>
      </w:pPr>
    </w:p>
    <w:p w14:paraId="67FF709C" w14:textId="77777777" w:rsidR="00EA48DD" w:rsidRPr="00BF6392" w:rsidRDefault="001440A1" w:rsidP="00BF6392">
      <w:pPr>
        <w:autoSpaceDE w:val="0"/>
        <w:autoSpaceDN w:val="0"/>
        <w:adjustRightInd w:val="0"/>
        <w:spacing w:after="0" w:line="240" w:lineRule="auto"/>
        <w:ind w:left="567" w:right="332"/>
        <w:jc w:val="both"/>
        <w:rPr>
          <w:rFonts w:ascii="Arial" w:eastAsia="Arial" w:hAnsi="Arial" w:cs="Arial"/>
        </w:rPr>
      </w:pPr>
      <w:r w:rsidRPr="00BF6392">
        <w:rPr>
          <w:rFonts w:ascii="Arial" w:hAnsi="Arial" w:cs="Arial"/>
        </w:rPr>
        <w:t xml:space="preserve">La presente Ley no será aplicable a las materias de carácter electoral, de justicia agraria y laboral, resoluciones administrativas que tengan relación con la defensa de los derechos humanos, con las actividades desarrolladas por la Universidad Autónoma “Benito Juárez” de Oaxaca; ni por las dictadas por la Fiscalía General de Estado en ejercicio de sus funciones constitucionales de investigación de los delitos o de la representación social, ni con los conflictos suscitados entre los integrantes de los Ayuntamientos, así mismo tampoco se aplicará a los actos </w:t>
      </w:r>
      <w:r w:rsidRPr="00BF6392">
        <w:rPr>
          <w:rFonts w:ascii="Arial" w:hAnsi="Arial" w:cs="Arial"/>
        </w:rPr>
        <w:lastRenderedPageBreak/>
        <w:t>desplegados por la Comisión Estatal de Arbitraje Médico de Oaxaca, ni por la elección de las autoridades auxiliares de carácter municipal.</w:t>
      </w:r>
    </w:p>
    <w:p w14:paraId="4D90075C" w14:textId="77777777" w:rsidR="001440A1" w:rsidRPr="00BF6392" w:rsidRDefault="001440A1" w:rsidP="00BF6392">
      <w:pPr>
        <w:spacing w:after="0" w:line="240" w:lineRule="auto"/>
        <w:ind w:left="567" w:right="332"/>
        <w:jc w:val="both"/>
        <w:rPr>
          <w:rFonts w:ascii="Arial" w:eastAsia="Arial" w:hAnsi="Arial" w:cs="Arial"/>
        </w:rPr>
      </w:pPr>
    </w:p>
    <w:p w14:paraId="29772379" w14:textId="77777777" w:rsidR="001440A1" w:rsidRPr="00BF6392" w:rsidRDefault="001440A1" w:rsidP="00BF6392">
      <w:pPr>
        <w:spacing w:after="0" w:line="240" w:lineRule="auto"/>
        <w:ind w:left="567" w:right="332"/>
        <w:jc w:val="both"/>
        <w:rPr>
          <w:rFonts w:ascii="Arial" w:eastAsia="Arial" w:hAnsi="Arial" w:cs="Arial"/>
        </w:rPr>
      </w:pPr>
      <w:r w:rsidRPr="006748AD">
        <w:rPr>
          <w:rFonts w:ascii="Arial" w:eastAsia="Arial" w:hAnsi="Arial" w:cs="Arial"/>
          <w:b/>
          <w:bCs/>
        </w:rPr>
        <w:t>ARTÍCULO 2.-</w:t>
      </w:r>
      <w:r w:rsidRPr="00BF6392">
        <w:rPr>
          <w:rFonts w:ascii="Arial" w:eastAsia="Arial" w:hAnsi="Arial" w:cs="Arial"/>
          <w:b/>
          <w:bCs/>
        </w:rPr>
        <w:t xml:space="preserve"> </w:t>
      </w:r>
      <w:r w:rsidRPr="00BF6392">
        <w:rPr>
          <w:rFonts w:ascii="Arial" w:eastAsia="Arial" w:hAnsi="Arial" w:cs="Arial"/>
        </w:rPr>
        <w:t>Para los efectos de la presente Ley se entiende por:</w:t>
      </w:r>
    </w:p>
    <w:p w14:paraId="5A98A4A2" w14:textId="77777777" w:rsidR="00C12848" w:rsidRDefault="00C12848" w:rsidP="00BF6392">
      <w:pPr>
        <w:spacing w:after="0" w:line="240" w:lineRule="auto"/>
        <w:ind w:left="567" w:right="332"/>
        <w:jc w:val="both"/>
        <w:rPr>
          <w:rFonts w:ascii="Arial" w:eastAsia="Arial" w:hAnsi="Arial" w:cs="Arial"/>
        </w:rPr>
      </w:pPr>
    </w:p>
    <w:p w14:paraId="2CF0C63A" w14:textId="77777777" w:rsidR="001440A1" w:rsidRPr="00BF6392" w:rsidRDefault="001440A1" w:rsidP="00BF6392">
      <w:pPr>
        <w:spacing w:after="0" w:line="240" w:lineRule="auto"/>
        <w:ind w:left="567" w:right="332"/>
        <w:jc w:val="both"/>
        <w:rPr>
          <w:rFonts w:ascii="Arial" w:eastAsia="Arial" w:hAnsi="Arial" w:cs="Arial"/>
        </w:rPr>
      </w:pPr>
      <w:r w:rsidRPr="00BF6392">
        <w:rPr>
          <w:rFonts w:ascii="Arial" w:eastAsia="Arial" w:hAnsi="Arial" w:cs="Arial"/>
        </w:rPr>
        <w:t xml:space="preserve">I. </w:t>
      </w:r>
      <w:r w:rsidRPr="00BF6392">
        <w:rPr>
          <w:rFonts w:ascii="Arial" w:eastAsia="Arial" w:hAnsi="Arial" w:cs="Arial"/>
          <w:b/>
          <w:bCs/>
        </w:rPr>
        <w:t>Acto Administrativo</w:t>
      </w:r>
      <w:r w:rsidRPr="00BF6392">
        <w:rPr>
          <w:rFonts w:ascii="Arial" w:eastAsia="Arial" w:hAnsi="Arial" w:cs="Arial"/>
        </w:rPr>
        <w:t>: la declaración unilateral de voluntad, externa y de carácter individual, emanada del Poder Ejecutivo del Estado, sus Dependencias, Entidades Paraestatales y Órganos Desconcentrados de la Administración Pública Estatal, así como de los Ayuntamientos, sus Dependencias y por sus Entidades Paramunicipales, que tiene por objeto crear, transmitir, modificar o extinguir una situación jurídica concreta.</w:t>
      </w:r>
    </w:p>
    <w:p w14:paraId="2BF15DB6" w14:textId="77777777" w:rsidR="001440A1" w:rsidRPr="00BF6392" w:rsidRDefault="001440A1" w:rsidP="00BF6392">
      <w:pPr>
        <w:spacing w:after="0" w:line="240" w:lineRule="auto"/>
        <w:ind w:left="567" w:right="332"/>
        <w:jc w:val="both"/>
        <w:rPr>
          <w:rFonts w:ascii="Arial" w:eastAsia="Arial" w:hAnsi="Arial" w:cs="Arial"/>
        </w:rPr>
      </w:pPr>
      <w:r w:rsidRPr="00BF6392">
        <w:rPr>
          <w:rFonts w:ascii="Arial" w:eastAsia="Arial" w:hAnsi="Arial" w:cs="Arial"/>
        </w:rPr>
        <w:t>(…)</w:t>
      </w:r>
    </w:p>
    <w:p w14:paraId="65A4E342" w14:textId="77777777" w:rsidR="00C12848" w:rsidRDefault="00C12848" w:rsidP="00BF6392">
      <w:pPr>
        <w:autoSpaceDE w:val="0"/>
        <w:autoSpaceDN w:val="0"/>
        <w:adjustRightInd w:val="0"/>
        <w:spacing w:after="0" w:line="240" w:lineRule="auto"/>
        <w:ind w:left="567" w:right="332"/>
        <w:jc w:val="both"/>
        <w:rPr>
          <w:rFonts w:ascii="Arial" w:hAnsi="Arial" w:cs="Arial"/>
        </w:rPr>
      </w:pPr>
    </w:p>
    <w:p w14:paraId="01AF5A82" w14:textId="77777777" w:rsidR="001440A1" w:rsidRPr="00BF6392" w:rsidRDefault="001440A1"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 xml:space="preserve">IV. </w:t>
      </w:r>
      <w:r w:rsidRPr="00BF6392">
        <w:rPr>
          <w:rFonts w:ascii="Arial" w:hAnsi="Arial" w:cs="Arial"/>
          <w:b/>
          <w:bCs/>
        </w:rPr>
        <w:t xml:space="preserve">Autoridad: </w:t>
      </w:r>
      <w:r w:rsidRPr="00BF6392">
        <w:rPr>
          <w:rFonts w:ascii="Arial" w:hAnsi="Arial" w:cs="Arial"/>
        </w:rPr>
        <w:t>La que dicta, ordena, ejecuta o trata de cumplir determinaciones de naturaleza administrativa, creando, modificando o extinguiendo situaciones de derecho con fundamento en la Ley o instrumento jurídico con el que habitualmente actúa, o en su decreto o instrumento de creación y que da origen al cumplimiento de la presente Ley o a ser parte en el Procedimiento Contencioso Administrativo;</w:t>
      </w:r>
    </w:p>
    <w:p w14:paraId="3F2FE68C"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p>
    <w:p w14:paraId="2BAC60FB"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2A185E">
        <w:rPr>
          <w:rFonts w:ascii="Arial" w:hAnsi="Arial" w:cs="Arial"/>
          <w:b/>
          <w:bCs/>
        </w:rPr>
        <w:t>ARTÍCULO 133.</w:t>
      </w:r>
      <w:r w:rsidRPr="00BF6392">
        <w:rPr>
          <w:rFonts w:ascii="Arial" w:hAnsi="Arial" w:cs="Arial"/>
          <w:b/>
          <w:bCs/>
        </w:rPr>
        <w:t xml:space="preserve">- </w:t>
      </w:r>
      <w:r w:rsidRPr="00BF6392">
        <w:rPr>
          <w:rFonts w:ascii="Arial" w:hAnsi="Arial" w:cs="Arial"/>
        </w:rPr>
        <w:t>Las Salas Unitarias del Tribunal son competentes para conocer y resolver los juicios que se promuevan en contra de:</w:t>
      </w:r>
    </w:p>
    <w:p w14:paraId="0F1138AE"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p>
    <w:p w14:paraId="22B8273B"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I. 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17 de ésta ley;</w:t>
      </w:r>
    </w:p>
    <w:p w14:paraId="0DC5C8DF"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p>
    <w:p w14:paraId="77B7BC98" w14:textId="77777777" w:rsidR="001440A1" w:rsidRPr="00BF6392" w:rsidRDefault="00121917" w:rsidP="00BF6392">
      <w:pPr>
        <w:autoSpaceDE w:val="0"/>
        <w:autoSpaceDN w:val="0"/>
        <w:adjustRightInd w:val="0"/>
        <w:spacing w:after="0" w:line="240" w:lineRule="auto"/>
        <w:ind w:left="567" w:right="332"/>
        <w:jc w:val="both"/>
        <w:rPr>
          <w:rFonts w:ascii="Arial" w:eastAsia="Arial" w:hAnsi="Arial" w:cs="Arial"/>
        </w:rPr>
      </w:pPr>
      <w:r w:rsidRPr="00BF6392">
        <w:rPr>
          <w:rFonts w:ascii="Arial" w:hAnsi="Arial" w:cs="Arial"/>
        </w:rPr>
        <w:t>II. 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14:paraId="5ECB0C27" w14:textId="77777777" w:rsidR="001440A1" w:rsidRPr="00BF6392" w:rsidRDefault="001440A1" w:rsidP="00BF6392">
      <w:pPr>
        <w:spacing w:after="0" w:line="240" w:lineRule="auto"/>
        <w:ind w:left="567" w:right="332"/>
        <w:jc w:val="both"/>
        <w:rPr>
          <w:rFonts w:ascii="Arial" w:eastAsia="Arial" w:hAnsi="Arial" w:cs="Arial"/>
        </w:rPr>
      </w:pPr>
    </w:p>
    <w:p w14:paraId="2E9E149A"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III. Las resoluciones en materia de responsabilidad administrativa;</w:t>
      </w:r>
    </w:p>
    <w:p w14:paraId="01892906" w14:textId="77777777" w:rsidR="00291436" w:rsidRPr="00BF6392" w:rsidRDefault="00291436" w:rsidP="00BF6392">
      <w:pPr>
        <w:autoSpaceDE w:val="0"/>
        <w:autoSpaceDN w:val="0"/>
        <w:adjustRightInd w:val="0"/>
        <w:spacing w:after="0" w:line="240" w:lineRule="auto"/>
        <w:ind w:left="567" w:right="332"/>
        <w:jc w:val="both"/>
        <w:rPr>
          <w:rFonts w:ascii="Arial" w:hAnsi="Arial" w:cs="Arial"/>
        </w:rPr>
      </w:pPr>
    </w:p>
    <w:p w14:paraId="05F76CD4"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IV. Las resoluciones que se dicten sobre interpretación y cumplimiento de contratos</w:t>
      </w:r>
      <w:r w:rsidR="00291436" w:rsidRPr="00BF6392">
        <w:rPr>
          <w:rFonts w:ascii="Arial" w:hAnsi="Arial" w:cs="Arial"/>
        </w:rPr>
        <w:t xml:space="preserve"> </w:t>
      </w:r>
      <w:r w:rsidRPr="00BF6392">
        <w:rPr>
          <w:rFonts w:ascii="Arial" w:hAnsi="Arial" w:cs="Arial"/>
        </w:rPr>
        <w:t>celebrados con la administración pública estatal y municipal;</w:t>
      </w:r>
    </w:p>
    <w:p w14:paraId="0016A37D" w14:textId="77777777" w:rsidR="00291436" w:rsidRPr="00BF6392" w:rsidRDefault="00291436" w:rsidP="00BF6392">
      <w:pPr>
        <w:autoSpaceDE w:val="0"/>
        <w:autoSpaceDN w:val="0"/>
        <w:adjustRightInd w:val="0"/>
        <w:spacing w:after="0" w:line="240" w:lineRule="auto"/>
        <w:ind w:left="567" w:right="332"/>
        <w:jc w:val="both"/>
        <w:rPr>
          <w:rFonts w:ascii="Arial" w:hAnsi="Arial" w:cs="Arial"/>
        </w:rPr>
      </w:pPr>
    </w:p>
    <w:p w14:paraId="7F8AA04C" w14:textId="77777777" w:rsidR="00121917" w:rsidRPr="0006283A"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 xml:space="preserve">V. </w:t>
      </w:r>
      <w:r w:rsidRPr="0006283A">
        <w:rPr>
          <w:rFonts w:ascii="Arial" w:hAnsi="Arial" w:cs="Arial"/>
        </w:rPr>
        <w:t>Los actos fiscales o administrativos que impliquen una resolución negativa ficta,</w:t>
      </w:r>
      <w:r w:rsidR="00291436" w:rsidRPr="0006283A">
        <w:rPr>
          <w:rFonts w:ascii="Arial" w:hAnsi="Arial" w:cs="Arial"/>
        </w:rPr>
        <w:t xml:space="preserve"> </w:t>
      </w:r>
      <w:r w:rsidRPr="0006283A">
        <w:rPr>
          <w:rFonts w:ascii="Arial" w:hAnsi="Arial" w:cs="Arial"/>
        </w:rPr>
        <w:t>configurándose ésta cuando las promociones o peticiones que se formulen ante las</w:t>
      </w:r>
      <w:r w:rsidR="00291436" w:rsidRPr="0006283A">
        <w:rPr>
          <w:rFonts w:ascii="Arial" w:hAnsi="Arial" w:cs="Arial"/>
        </w:rPr>
        <w:t xml:space="preserve"> </w:t>
      </w:r>
      <w:r w:rsidRPr="0006283A">
        <w:rPr>
          <w:rFonts w:ascii="Arial" w:hAnsi="Arial" w:cs="Arial"/>
        </w:rPr>
        <w:t>autoridades no sean resueltas en los plazos que la ley o reglamento fijen o a falta de</w:t>
      </w:r>
      <w:r w:rsidR="00291436" w:rsidRPr="0006283A">
        <w:rPr>
          <w:rFonts w:ascii="Arial" w:hAnsi="Arial" w:cs="Arial"/>
        </w:rPr>
        <w:t xml:space="preserve"> </w:t>
      </w:r>
      <w:r w:rsidRPr="0006283A">
        <w:rPr>
          <w:rFonts w:ascii="Arial" w:hAnsi="Arial" w:cs="Arial"/>
        </w:rPr>
        <w:t>dicho plazo en noventa días naturales; En el caso de positiva ficta, que emane de otra</w:t>
      </w:r>
      <w:r w:rsidR="00291436" w:rsidRPr="0006283A">
        <w:rPr>
          <w:rFonts w:ascii="Arial" w:hAnsi="Arial" w:cs="Arial"/>
        </w:rPr>
        <w:t xml:space="preserve"> </w:t>
      </w:r>
      <w:r w:rsidRPr="0006283A">
        <w:rPr>
          <w:rFonts w:ascii="Arial" w:hAnsi="Arial" w:cs="Arial"/>
        </w:rPr>
        <w:t>autoridad distinta a la fiscal, bastará que el actor presente su petición, apegada al</w:t>
      </w:r>
      <w:r w:rsidR="00291436" w:rsidRPr="0006283A">
        <w:rPr>
          <w:rFonts w:ascii="Arial" w:hAnsi="Arial" w:cs="Arial"/>
        </w:rPr>
        <w:t xml:space="preserve"> </w:t>
      </w:r>
      <w:r w:rsidRPr="0006283A">
        <w:rPr>
          <w:rFonts w:ascii="Arial" w:hAnsi="Arial" w:cs="Arial"/>
        </w:rPr>
        <w:t>artículo 13 de la Constitución Política del Estado Libre y Soberano de Oaxaca, y</w:t>
      </w:r>
      <w:r w:rsidR="00291436" w:rsidRPr="0006283A">
        <w:rPr>
          <w:rFonts w:ascii="Arial" w:hAnsi="Arial" w:cs="Arial"/>
        </w:rPr>
        <w:t xml:space="preserve"> </w:t>
      </w:r>
      <w:r w:rsidRPr="0006283A">
        <w:rPr>
          <w:rFonts w:ascii="Arial" w:hAnsi="Arial" w:cs="Arial"/>
        </w:rPr>
        <w:t>acredite con el sello de la oficina o por cualquier otro medio, que fue recibida por la</w:t>
      </w:r>
      <w:r w:rsidR="00291436" w:rsidRPr="0006283A">
        <w:rPr>
          <w:rFonts w:ascii="Arial" w:hAnsi="Arial" w:cs="Arial"/>
        </w:rPr>
        <w:t xml:space="preserve"> </w:t>
      </w:r>
      <w:r w:rsidRPr="0006283A">
        <w:rPr>
          <w:rFonts w:ascii="Arial" w:hAnsi="Arial" w:cs="Arial"/>
        </w:rPr>
        <w:t>demandada; y esta no dio satisfacción al Derecho de Petición, el Tribunal declarará</w:t>
      </w:r>
      <w:r w:rsidR="004B5898" w:rsidRPr="0006283A">
        <w:rPr>
          <w:rFonts w:ascii="Arial" w:hAnsi="Arial" w:cs="Arial"/>
        </w:rPr>
        <w:t xml:space="preserve"> </w:t>
      </w:r>
      <w:r w:rsidRPr="0006283A">
        <w:rPr>
          <w:rFonts w:ascii="Arial" w:hAnsi="Arial" w:cs="Arial"/>
        </w:rPr>
        <w:t>la existencia o inexistencia de la positiva ficta;</w:t>
      </w:r>
    </w:p>
    <w:p w14:paraId="043472C9" w14:textId="77777777" w:rsidR="004B5898" w:rsidRPr="0006283A" w:rsidRDefault="004B5898" w:rsidP="00BF6392">
      <w:pPr>
        <w:autoSpaceDE w:val="0"/>
        <w:autoSpaceDN w:val="0"/>
        <w:adjustRightInd w:val="0"/>
        <w:spacing w:after="0" w:line="240" w:lineRule="auto"/>
        <w:ind w:left="567" w:right="332"/>
        <w:jc w:val="both"/>
        <w:rPr>
          <w:rFonts w:ascii="Arial" w:hAnsi="Arial" w:cs="Arial"/>
        </w:rPr>
      </w:pPr>
    </w:p>
    <w:p w14:paraId="6B243959"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VI. Las resoluciones administrativas y fiscales favorables a los particulares que se</w:t>
      </w:r>
      <w:r w:rsidR="004B5898" w:rsidRPr="00BF6392">
        <w:rPr>
          <w:rFonts w:ascii="Arial" w:hAnsi="Arial" w:cs="Arial"/>
        </w:rPr>
        <w:t xml:space="preserve"> </w:t>
      </w:r>
      <w:r w:rsidRPr="00BF6392">
        <w:rPr>
          <w:rFonts w:ascii="Arial" w:hAnsi="Arial" w:cs="Arial"/>
        </w:rPr>
        <w:t>promuevan por las autoridades para que puedan ser modificadas o nulificadas;</w:t>
      </w:r>
    </w:p>
    <w:p w14:paraId="67B8EB3D" w14:textId="77777777" w:rsidR="004B5898" w:rsidRPr="00BF6392" w:rsidRDefault="004B5898" w:rsidP="00BF6392">
      <w:pPr>
        <w:autoSpaceDE w:val="0"/>
        <w:autoSpaceDN w:val="0"/>
        <w:adjustRightInd w:val="0"/>
        <w:spacing w:after="0" w:line="240" w:lineRule="auto"/>
        <w:ind w:left="567" w:right="332"/>
        <w:jc w:val="both"/>
        <w:rPr>
          <w:rFonts w:ascii="Arial" w:hAnsi="Arial" w:cs="Arial"/>
        </w:rPr>
      </w:pPr>
    </w:p>
    <w:p w14:paraId="3C25702E"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VII. Las resoluciones que se dicten negando a los particulares la indemnización a que se</w:t>
      </w:r>
      <w:r w:rsidR="004B5898" w:rsidRPr="00BF6392">
        <w:rPr>
          <w:rFonts w:ascii="Arial" w:hAnsi="Arial" w:cs="Arial"/>
        </w:rPr>
        <w:t xml:space="preserve"> </w:t>
      </w:r>
      <w:r w:rsidRPr="00BF6392">
        <w:rPr>
          <w:rFonts w:ascii="Arial" w:hAnsi="Arial" w:cs="Arial"/>
        </w:rPr>
        <w:t>refiere la Ley de Responsabilidades de los Servidores Públicos del Estado y</w:t>
      </w:r>
      <w:r w:rsidR="004B5898" w:rsidRPr="00BF6392">
        <w:rPr>
          <w:rFonts w:ascii="Arial" w:hAnsi="Arial" w:cs="Arial"/>
        </w:rPr>
        <w:t xml:space="preserve"> </w:t>
      </w:r>
      <w:r w:rsidRPr="00BF6392">
        <w:rPr>
          <w:rFonts w:ascii="Arial" w:hAnsi="Arial" w:cs="Arial"/>
        </w:rPr>
        <w:t>Municipios de Oaxaca, o en los términos del último párrafo del Artículo 109 de la</w:t>
      </w:r>
      <w:r w:rsidR="004B5898" w:rsidRPr="00BF6392">
        <w:rPr>
          <w:rFonts w:ascii="Arial" w:hAnsi="Arial" w:cs="Arial"/>
        </w:rPr>
        <w:t xml:space="preserve"> </w:t>
      </w:r>
      <w:r w:rsidRPr="00BF6392">
        <w:rPr>
          <w:rFonts w:ascii="Arial" w:hAnsi="Arial" w:cs="Arial"/>
        </w:rPr>
        <w:t>Constitución Política de los Estados Unidos Mexicanos;</w:t>
      </w:r>
    </w:p>
    <w:p w14:paraId="034D7992" w14:textId="77777777" w:rsidR="004B5898" w:rsidRPr="00BF6392" w:rsidRDefault="004B5898" w:rsidP="00BF6392">
      <w:pPr>
        <w:autoSpaceDE w:val="0"/>
        <w:autoSpaceDN w:val="0"/>
        <w:adjustRightInd w:val="0"/>
        <w:spacing w:after="0" w:line="240" w:lineRule="auto"/>
        <w:ind w:left="567" w:right="332"/>
        <w:jc w:val="both"/>
        <w:rPr>
          <w:rFonts w:ascii="Arial" w:hAnsi="Arial" w:cs="Arial"/>
        </w:rPr>
      </w:pPr>
    </w:p>
    <w:p w14:paraId="4E3D75E2"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VIII. El procedimiento administrativo de ejecución cuando el afectado en dicho</w:t>
      </w:r>
      <w:r w:rsidR="004B5898" w:rsidRPr="00BF6392">
        <w:rPr>
          <w:rFonts w:ascii="Arial" w:hAnsi="Arial" w:cs="Arial"/>
        </w:rPr>
        <w:t xml:space="preserve"> </w:t>
      </w:r>
      <w:r w:rsidRPr="00BF6392">
        <w:rPr>
          <w:rFonts w:ascii="Arial" w:hAnsi="Arial" w:cs="Arial"/>
        </w:rPr>
        <w:t>procedimiento opte por no interponer el recurso ordinario ante las autoridades</w:t>
      </w:r>
      <w:r w:rsidR="004B5898" w:rsidRPr="00BF6392">
        <w:rPr>
          <w:rFonts w:ascii="Arial" w:hAnsi="Arial" w:cs="Arial"/>
        </w:rPr>
        <w:t xml:space="preserve"> </w:t>
      </w:r>
      <w:r w:rsidRPr="00BF6392">
        <w:rPr>
          <w:rFonts w:ascii="Arial" w:hAnsi="Arial" w:cs="Arial"/>
        </w:rPr>
        <w:t>competentes y cuando afirme:</w:t>
      </w:r>
    </w:p>
    <w:p w14:paraId="26E04083" w14:textId="77777777" w:rsidR="004B5898" w:rsidRPr="00BF6392" w:rsidRDefault="004B5898" w:rsidP="00BF6392">
      <w:pPr>
        <w:autoSpaceDE w:val="0"/>
        <w:autoSpaceDN w:val="0"/>
        <w:adjustRightInd w:val="0"/>
        <w:spacing w:after="0" w:line="240" w:lineRule="auto"/>
        <w:ind w:left="567" w:right="332"/>
        <w:jc w:val="both"/>
        <w:rPr>
          <w:rFonts w:ascii="Arial" w:hAnsi="Arial" w:cs="Arial"/>
        </w:rPr>
      </w:pPr>
    </w:p>
    <w:p w14:paraId="0417B12B"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a) Que el crédito que le exige se ha extinguido legalmente;</w:t>
      </w:r>
    </w:p>
    <w:p w14:paraId="1BF46E5A" w14:textId="77777777" w:rsidR="004B5898" w:rsidRPr="00BF6392" w:rsidRDefault="004B5898" w:rsidP="00BF6392">
      <w:pPr>
        <w:autoSpaceDE w:val="0"/>
        <w:autoSpaceDN w:val="0"/>
        <w:adjustRightInd w:val="0"/>
        <w:spacing w:after="0" w:line="240" w:lineRule="auto"/>
        <w:ind w:left="567" w:right="332"/>
        <w:jc w:val="both"/>
        <w:rPr>
          <w:rFonts w:ascii="Arial" w:hAnsi="Arial" w:cs="Arial"/>
        </w:rPr>
      </w:pPr>
    </w:p>
    <w:p w14:paraId="0B3A4139"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b) Que el monto del crédito es inferior al exigible;</w:t>
      </w:r>
    </w:p>
    <w:p w14:paraId="54E4E8F8" w14:textId="77777777" w:rsidR="004B5898" w:rsidRPr="00BF6392" w:rsidRDefault="004B5898" w:rsidP="00BF6392">
      <w:pPr>
        <w:autoSpaceDE w:val="0"/>
        <w:autoSpaceDN w:val="0"/>
        <w:adjustRightInd w:val="0"/>
        <w:spacing w:after="0" w:line="240" w:lineRule="auto"/>
        <w:ind w:left="567" w:right="332"/>
        <w:jc w:val="both"/>
        <w:rPr>
          <w:rFonts w:ascii="Arial" w:hAnsi="Arial" w:cs="Arial"/>
        </w:rPr>
      </w:pPr>
    </w:p>
    <w:p w14:paraId="6CCA53F3"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lastRenderedPageBreak/>
        <w:t>c) Que es poseedor, a título de propietario, del bien embargado; y</w:t>
      </w:r>
    </w:p>
    <w:p w14:paraId="290373A9" w14:textId="77777777" w:rsidR="004B5898" w:rsidRPr="00BF6392" w:rsidRDefault="004B5898" w:rsidP="00BF6392">
      <w:pPr>
        <w:autoSpaceDE w:val="0"/>
        <w:autoSpaceDN w:val="0"/>
        <w:adjustRightInd w:val="0"/>
        <w:spacing w:after="0" w:line="240" w:lineRule="auto"/>
        <w:ind w:left="567" w:right="332"/>
        <w:jc w:val="both"/>
        <w:rPr>
          <w:rFonts w:ascii="Arial" w:hAnsi="Arial" w:cs="Arial"/>
        </w:rPr>
      </w:pPr>
    </w:p>
    <w:p w14:paraId="0478E0E8"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d) Que el procedimiento coactivo no se ajuste a la ley. En este caso, la oposición no se</w:t>
      </w:r>
      <w:r w:rsidR="004B5898" w:rsidRPr="00BF6392">
        <w:rPr>
          <w:rFonts w:ascii="Arial" w:hAnsi="Arial" w:cs="Arial"/>
        </w:rPr>
        <w:t xml:space="preserve"> </w:t>
      </w:r>
      <w:r w:rsidRPr="00BF6392">
        <w:rPr>
          <w:rFonts w:ascii="Arial" w:hAnsi="Arial" w:cs="Arial"/>
        </w:rPr>
        <w:t>podrá hacer valer, sino contra la resolución que apruebe el remate; salvo que se trate</w:t>
      </w:r>
      <w:r w:rsidR="004B5898" w:rsidRPr="00BF6392">
        <w:rPr>
          <w:rFonts w:ascii="Arial" w:hAnsi="Arial" w:cs="Arial"/>
        </w:rPr>
        <w:t xml:space="preserve"> </w:t>
      </w:r>
      <w:r w:rsidRPr="00BF6392">
        <w:rPr>
          <w:rFonts w:ascii="Arial" w:hAnsi="Arial" w:cs="Arial"/>
        </w:rPr>
        <w:t>de resoluciones cuya ejecución material sea imposible reparación.</w:t>
      </w:r>
    </w:p>
    <w:p w14:paraId="2C58D4D6" w14:textId="77777777" w:rsidR="004B5898" w:rsidRPr="00BF6392" w:rsidRDefault="004B5898" w:rsidP="00BF6392">
      <w:pPr>
        <w:autoSpaceDE w:val="0"/>
        <w:autoSpaceDN w:val="0"/>
        <w:adjustRightInd w:val="0"/>
        <w:spacing w:after="0" w:line="240" w:lineRule="auto"/>
        <w:ind w:left="567" w:right="332"/>
        <w:jc w:val="both"/>
        <w:rPr>
          <w:rFonts w:ascii="Arial" w:hAnsi="Arial" w:cs="Arial"/>
        </w:rPr>
      </w:pPr>
    </w:p>
    <w:p w14:paraId="66E9E431"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IX. Conocerá del recurso de queja, procediendo en los términos de esta Ley;</w:t>
      </w:r>
    </w:p>
    <w:p w14:paraId="35E40C76" w14:textId="77777777" w:rsidR="004B5898" w:rsidRPr="00BF6392" w:rsidRDefault="004B5898" w:rsidP="00BF6392">
      <w:pPr>
        <w:autoSpaceDE w:val="0"/>
        <w:autoSpaceDN w:val="0"/>
        <w:adjustRightInd w:val="0"/>
        <w:spacing w:after="0" w:line="240" w:lineRule="auto"/>
        <w:ind w:left="567" w:right="332"/>
        <w:jc w:val="both"/>
        <w:rPr>
          <w:rFonts w:ascii="Arial" w:hAnsi="Arial" w:cs="Arial"/>
        </w:rPr>
      </w:pPr>
    </w:p>
    <w:p w14:paraId="08BECA7C" w14:textId="77777777" w:rsidR="00121917"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X. Del resarcimiento de daños y perjuicios que las autoridades administrativas deban</w:t>
      </w:r>
      <w:r w:rsidR="004B5898" w:rsidRPr="00BF6392">
        <w:rPr>
          <w:rFonts w:ascii="Arial" w:hAnsi="Arial" w:cs="Arial"/>
        </w:rPr>
        <w:t xml:space="preserve"> </w:t>
      </w:r>
      <w:r w:rsidRPr="00BF6392">
        <w:rPr>
          <w:rFonts w:ascii="Arial" w:hAnsi="Arial" w:cs="Arial"/>
        </w:rPr>
        <w:t>pagar a los particulares, cuando aquellas, por la ejecución de obras, o por</w:t>
      </w:r>
      <w:r w:rsidR="004B5898" w:rsidRPr="00BF6392">
        <w:rPr>
          <w:rFonts w:ascii="Arial" w:hAnsi="Arial" w:cs="Arial"/>
        </w:rPr>
        <w:t xml:space="preserve"> </w:t>
      </w:r>
      <w:r w:rsidRPr="00BF6392">
        <w:rPr>
          <w:rFonts w:ascii="Arial" w:hAnsi="Arial" w:cs="Arial"/>
        </w:rPr>
        <w:t>irresponsabilidad en el incumplimiento de sus obligaciones, le causen a un particular</w:t>
      </w:r>
      <w:r w:rsidR="004B5898" w:rsidRPr="00BF6392">
        <w:rPr>
          <w:rFonts w:ascii="Arial" w:hAnsi="Arial" w:cs="Arial"/>
        </w:rPr>
        <w:t xml:space="preserve"> </w:t>
      </w:r>
      <w:r w:rsidRPr="00BF6392">
        <w:rPr>
          <w:rFonts w:ascii="Arial" w:hAnsi="Arial" w:cs="Arial"/>
        </w:rPr>
        <w:t>un menoscabo en su patrimonio pecuniario o moral;</w:t>
      </w:r>
    </w:p>
    <w:p w14:paraId="1A6AB2B1" w14:textId="77777777" w:rsidR="004B5898" w:rsidRPr="00BF6392" w:rsidRDefault="004B5898" w:rsidP="00BF6392">
      <w:pPr>
        <w:autoSpaceDE w:val="0"/>
        <w:autoSpaceDN w:val="0"/>
        <w:adjustRightInd w:val="0"/>
        <w:spacing w:after="0" w:line="240" w:lineRule="auto"/>
        <w:ind w:left="567" w:right="332"/>
        <w:jc w:val="both"/>
        <w:rPr>
          <w:rFonts w:ascii="Arial" w:hAnsi="Arial" w:cs="Arial"/>
        </w:rPr>
      </w:pPr>
    </w:p>
    <w:p w14:paraId="0A55FA42" w14:textId="77777777" w:rsidR="006F32AB" w:rsidRPr="00BF6392" w:rsidRDefault="00121917"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XI. De la legalidad o nulidad de remates, subastas o similares, embargos y pretensiones</w:t>
      </w:r>
      <w:r w:rsidR="004B5898" w:rsidRPr="00BF6392">
        <w:rPr>
          <w:rFonts w:ascii="Arial" w:hAnsi="Arial" w:cs="Arial"/>
        </w:rPr>
        <w:t xml:space="preserve"> </w:t>
      </w:r>
      <w:r w:rsidRPr="00BF6392">
        <w:rPr>
          <w:rFonts w:ascii="Arial" w:hAnsi="Arial" w:cs="Arial"/>
        </w:rPr>
        <w:t>de requerimiento dictadas por autoridades diversas a las del Pode</w:t>
      </w:r>
      <w:r w:rsidR="004B5898" w:rsidRPr="00BF6392">
        <w:rPr>
          <w:rFonts w:ascii="Arial" w:hAnsi="Arial" w:cs="Arial"/>
        </w:rPr>
        <w:t xml:space="preserve">r Judicial del Estado; </w:t>
      </w:r>
      <w:r w:rsidRPr="00BF6392">
        <w:rPr>
          <w:rFonts w:ascii="Arial" w:hAnsi="Arial" w:cs="Arial"/>
        </w:rPr>
        <w:t>y</w:t>
      </w:r>
    </w:p>
    <w:p w14:paraId="1F6E742B" w14:textId="77777777" w:rsidR="00252AD8" w:rsidRPr="00BF6392" w:rsidRDefault="00252AD8" w:rsidP="00BF6392">
      <w:pPr>
        <w:spacing w:after="0" w:line="240" w:lineRule="auto"/>
        <w:ind w:left="567" w:right="332"/>
        <w:jc w:val="both"/>
        <w:rPr>
          <w:rFonts w:ascii="Arial" w:eastAsia="Arial" w:hAnsi="Arial" w:cs="Arial"/>
        </w:rPr>
      </w:pPr>
    </w:p>
    <w:p w14:paraId="6B6B6651" w14:textId="77777777" w:rsidR="004B5898" w:rsidRPr="00BF6392" w:rsidRDefault="00F80BCE" w:rsidP="00BF6392">
      <w:pPr>
        <w:spacing w:after="0" w:line="240" w:lineRule="auto"/>
        <w:ind w:left="567" w:right="332"/>
        <w:jc w:val="both"/>
        <w:rPr>
          <w:rFonts w:ascii="Arial" w:eastAsia="Arial" w:hAnsi="Arial" w:cs="Arial"/>
        </w:rPr>
      </w:pPr>
      <w:r w:rsidRPr="00BF6392">
        <w:rPr>
          <w:rFonts w:ascii="Arial" w:eastAsia="Arial" w:hAnsi="Arial" w:cs="Arial"/>
        </w:rPr>
        <w:t>XII. De los asuntos cuya resolución esté reservada al Tribunal conforme a lo dispuesto por ésta u otras leyes.</w:t>
      </w:r>
    </w:p>
    <w:p w14:paraId="12412352" w14:textId="77777777" w:rsidR="00C12848" w:rsidRDefault="00C12848" w:rsidP="00BF6392">
      <w:pPr>
        <w:autoSpaceDE w:val="0"/>
        <w:autoSpaceDN w:val="0"/>
        <w:adjustRightInd w:val="0"/>
        <w:spacing w:after="0" w:line="240" w:lineRule="auto"/>
        <w:ind w:left="567" w:right="332"/>
        <w:jc w:val="both"/>
        <w:rPr>
          <w:rFonts w:ascii="Arial" w:hAnsi="Arial" w:cs="Arial"/>
          <w:b/>
          <w:bCs/>
        </w:rPr>
      </w:pPr>
    </w:p>
    <w:p w14:paraId="67F4B7DC" w14:textId="77777777" w:rsidR="004B5898" w:rsidRPr="00BF6392" w:rsidRDefault="00F80BCE" w:rsidP="00BF6392">
      <w:pPr>
        <w:autoSpaceDE w:val="0"/>
        <w:autoSpaceDN w:val="0"/>
        <w:adjustRightInd w:val="0"/>
        <w:spacing w:after="0" w:line="240" w:lineRule="auto"/>
        <w:ind w:left="567" w:right="332"/>
        <w:jc w:val="both"/>
        <w:rPr>
          <w:rFonts w:ascii="Arial" w:hAnsi="Arial" w:cs="Arial"/>
        </w:rPr>
      </w:pPr>
      <w:r w:rsidRPr="002A185E">
        <w:rPr>
          <w:rFonts w:ascii="Arial" w:hAnsi="Arial" w:cs="Arial"/>
          <w:b/>
          <w:bCs/>
        </w:rPr>
        <w:t xml:space="preserve">ARTÍCULO 149.- </w:t>
      </w:r>
      <w:r w:rsidRPr="002A185E">
        <w:rPr>
          <w:rFonts w:ascii="Arial" w:hAnsi="Arial" w:cs="Arial"/>
        </w:rPr>
        <w:t>El juic</w:t>
      </w:r>
      <w:r w:rsidRPr="00BF6392">
        <w:rPr>
          <w:rFonts w:ascii="Arial" w:hAnsi="Arial" w:cs="Arial"/>
        </w:rPr>
        <w:t>io ante el Tribunal será de estricto derecho, pero se deberá suplir la deficiencia de la queja siempre que se trate del administrado.</w:t>
      </w:r>
    </w:p>
    <w:p w14:paraId="323E602B" w14:textId="77777777" w:rsidR="007D3B96" w:rsidRPr="00BF6392" w:rsidRDefault="007D3B96" w:rsidP="00BF6392">
      <w:pPr>
        <w:autoSpaceDE w:val="0"/>
        <w:autoSpaceDN w:val="0"/>
        <w:adjustRightInd w:val="0"/>
        <w:spacing w:after="0" w:line="240" w:lineRule="auto"/>
        <w:ind w:left="567" w:right="332"/>
        <w:jc w:val="both"/>
        <w:rPr>
          <w:rFonts w:ascii="Arial" w:hAnsi="Arial" w:cs="Arial"/>
        </w:rPr>
      </w:pPr>
    </w:p>
    <w:p w14:paraId="1DFC2505" w14:textId="77777777" w:rsidR="007D3B96" w:rsidRPr="00BF6392" w:rsidRDefault="003D7F22"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b/>
          <w:bCs/>
        </w:rPr>
        <w:t xml:space="preserve">ARTÍCULO 177.- </w:t>
      </w:r>
      <w:r w:rsidRPr="00BF6392">
        <w:rPr>
          <w:rFonts w:ascii="Arial" w:hAnsi="Arial" w:cs="Arial"/>
        </w:rPr>
        <w:t>El escrito de demanda deberá contener:</w:t>
      </w:r>
    </w:p>
    <w:p w14:paraId="6D24EAA9" w14:textId="77777777" w:rsidR="007D3B96" w:rsidRPr="00BF6392" w:rsidRDefault="003D7F22"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w:t>
      </w:r>
    </w:p>
    <w:p w14:paraId="3C4B37ED" w14:textId="77777777" w:rsidR="00C12848" w:rsidRDefault="00C12848" w:rsidP="00BF6392">
      <w:pPr>
        <w:autoSpaceDE w:val="0"/>
        <w:autoSpaceDN w:val="0"/>
        <w:adjustRightInd w:val="0"/>
        <w:spacing w:after="0" w:line="240" w:lineRule="auto"/>
        <w:ind w:left="567" w:right="332"/>
        <w:jc w:val="both"/>
        <w:rPr>
          <w:rFonts w:ascii="Arial" w:hAnsi="Arial" w:cs="Arial"/>
        </w:rPr>
      </w:pPr>
    </w:p>
    <w:p w14:paraId="2CAD538B" w14:textId="77777777" w:rsidR="003D7F22" w:rsidRPr="00BF6392" w:rsidRDefault="003D7F22"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IV. La resolución o acto administrativo que se impugna;</w:t>
      </w:r>
    </w:p>
    <w:p w14:paraId="106ACA2D" w14:textId="77777777" w:rsidR="00C12848" w:rsidRDefault="00C12848" w:rsidP="00BF6392">
      <w:pPr>
        <w:autoSpaceDE w:val="0"/>
        <w:autoSpaceDN w:val="0"/>
        <w:adjustRightInd w:val="0"/>
        <w:spacing w:after="0" w:line="240" w:lineRule="auto"/>
        <w:ind w:left="567" w:right="332"/>
        <w:jc w:val="both"/>
        <w:rPr>
          <w:rFonts w:ascii="Arial" w:hAnsi="Arial" w:cs="Arial"/>
          <w:b/>
          <w:bCs/>
        </w:rPr>
      </w:pPr>
    </w:p>
    <w:p w14:paraId="6BDAC92E" w14:textId="77777777" w:rsidR="003D7F22" w:rsidRPr="00BF6392" w:rsidRDefault="003D7F22"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b/>
          <w:bCs/>
        </w:rPr>
        <w:t xml:space="preserve">ARTÍCULO 178.- </w:t>
      </w:r>
      <w:r w:rsidRPr="00BF6392">
        <w:rPr>
          <w:rFonts w:ascii="Arial" w:hAnsi="Arial" w:cs="Arial"/>
        </w:rPr>
        <w:t>A la demanda deberán anexarse:</w:t>
      </w:r>
    </w:p>
    <w:p w14:paraId="4364E9B0" w14:textId="77777777" w:rsidR="007D3B96" w:rsidRPr="00BF6392" w:rsidRDefault="003D7F22"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w:t>
      </w:r>
    </w:p>
    <w:p w14:paraId="1165E812" w14:textId="77777777" w:rsidR="00C12848" w:rsidRDefault="00C12848" w:rsidP="00BF6392">
      <w:pPr>
        <w:autoSpaceDE w:val="0"/>
        <w:autoSpaceDN w:val="0"/>
        <w:adjustRightInd w:val="0"/>
        <w:spacing w:after="0" w:line="240" w:lineRule="auto"/>
        <w:ind w:left="567" w:right="332"/>
        <w:jc w:val="both"/>
        <w:rPr>
          <w:rFonts w:ascii="Arial" w:hAnsi="Arial" w:cs="Arial"/>
        </w:rPr>
      </w:pPr>
    </w:p>
    <w:p w14:paraId="0D84B9EF" w14:textId="77777777" w:rsidR="003D7F22" w:rsidRDefault="003D7F22" w:rsidP="00BF6392">
      <w:pPr>
        <w:autoSpaceDE w:val="0"/>
        <w:autoSpaceDN w:val="0"/>
        <w:adjustRightInd w:val="0"/>
        <w:spacing w:after="0" w:line="240" w:lineRule="auto"/>
        <w:ind w:left="567" w:right="332"/>
        <w:jc w:val="both"/>
        <w:rPr>
          <w:rFonts w:ascii="Arial" w:hAnsi="Arial" w:cs="Arial"/>
        </w:rPr>
      </w:pPr>
      <w:r w:rsidRPr="00BF6392">
        <w:rPr>
          <w:rFonts w:ascii="Arial" w:hAnsi="Arial" w:cs="Arial"/>
        </w:rPr>
        <w:t>II. Los documentos en que conste el acto impugnado y su notificación, cuando los tenga a su disposición el actor; o bien, señalar el lugar donde se encuentren, si no pudiera obtener copias certificadas de los mismos;</w:t>
      </w:r>
    </w:p>
    <w:p w14:paraId="37DDAC90" w14:textId="77777777" w:rsidR="0065412A" w:rsidRDefault="0065412A" w:rsidP="00234A80">
      <w:pPr>
        <w:tabs>
          <w:tab w:val="left" w:pos="8505"/>
        </w:tabs>
        <w:autoSpaceDE w:val="0"/>
        <w:autoSpaceDN w:val="0"/>
        <w:adjustRightInd w:val="0"/>
        <w:spacing w:after="0" w:line="240" w:lineRule="auto"/>
        <w:ind w:left="567" w:right="335"/>
        <w:jc w:val="both"/>
        <w:rPr>
          <w:rFonts w:ascii="Arial" w:hAnsi="Arial" w:cs="Arial"/>
        </w:rPr>
      </w:pPr>
    </w:p>
    <w:p w14:paraId="4E31E6A1" w14:textId="77777777" w:rsidR="004B5898" w:rsidRDefault="00234A80" w:rsidP="00234A80">
      <w:pPr>
        <w:tabs>
          <w:tab w:val="left" w:pos="8505"/>
        </w:tabs>
        <w:autoSpaceDE w:val="0"/>
        <w:autoSpaceDN w:val="0"/>
        <w:adjustRightInd w:val="0"/>
        <w:spacing w:after="0" w:line="240" w:lineRule="auto"/>
        <w:ind w:left="567" w:right="335"/>
        <w:jc w:val="both"/>
        <w:rPr>
          <w:rFonts w:ascii="Arial" w:eastAsia="Arial" w:hAnsi="Arial" w:cs="Arial"/>
          <w:sz w:val="24"/>
          <w:szCs w:val="24"/>
        </w:rPr>
      </w:pPr>
      <w:r>
        <w:rPr>
          <w:rFonts w:ascii="Arial" w:hAnsi="Arial" w:cs="Arial"/>
          <w:b/>
          <w:bCs/>
        </w:rPr>
        <w:t xml:space="preserve">ARTÍCULO 179.- </w:t>
      </w:r>
      <w:r>
        <w:rPr>
          <w:rFonts w:ascii="Arial" w:hAnsi="Arial" w:cs="Arial"/>
        </w:rPr>
        <w:t>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p>
    <w:p w14:paraId="6B6991EA" w14:textId="77777777" w:rsidR="00234A80" w:rsidRDefault="00234A80" w:rsidP="00C02A9D">
      <w:pPr>
        <w:spacing w:line="360" w:lineRule="auto"/>
        <w:ind w:right="51" w:firstLine="567"/>
        <w:jc w:val="both"/>
        <w:rPr>
          <w:rFonts w:ascii="Arial" w:eastAsia="Arial" w:hAnsi="Arial" w:cs="Arial"/>
          <w:sz w:val="24"/>
          <w:szCs w:val="24"/>
        </w:rPr>
      </w:pPr>
    </w:p>
    <w:p w14:paraId="4C0FBFA2" w14:textId="77777777" w:rsidR="00C02A9D" w:rsidRDefault="00C02A9D" w:rsidP="00C02A9D">
      <w:pPr>
        <w:spacing w:line="360" w:lineRule="auto"/>
        <w:ind w:right="51" w:firstLine="567"/>
        <w:jc w:val="both"/>
        <w:rPr>
          <w:rFonts w:ascii="Arial" w:eastAsia="Arial" w:hAnsi="Arial" w:cs="Arial"/>
          <w:sz w:val="24"/>
          <w:szCs w:val="24"/>
        </w:rPr>
      </w:pPr>
      <w:r>
        <w:rPr>
          <w:rFonts w:ascii="Arial" w:eastAsia="Arial" w:hAnsi="Arial" w:cs="Arial"/>
          <w:sz w:val="24"/>
          <w:szCs w:val="24"/>
        </w:rPr>
        <w:t>De conformidad con dichos preceptos legales, e</w:t>
      </w:r>
      <w:r w:rsidR="00496C93">
        <w:rPr>
          <w:rFonts w:ascii="Arial" w:eastAsia="Arial" w:hAnsi="Arial" w:cs="Arial"/>
          <w:sz w:val="24"/>
          <w:szCs w:val="24"/>
        </w:rPr>
        <w:t>l juicio ante este</w:t>
      </w:r>
      <w:r w:rsidRPr="00C02A9D">
        <w:rPr>
          <w:rFonts w:ascii="Arial" w:eastAsia="Arial" w:hAnsi="Arial" w:cs="Arial"/>
          <w:sz w:val="24"/>
          <w:szCs w:val="24"/>
        </w:rPr>
        <w:t xml:space="preserve"> Tribunal </w:t>
      </w:r>
      <w:r w:rsidRPr="001F22FE">
        <w:rPr>
          <w:rFonts w:ascii="Arial" w:eastAsia="Arial" w:hAnsi="Arial" w:cs="Arial"/>
          <w:b/>
          <w:sz w:val="24"/>
          <w:szCs w:val="24"/>
          <w:u w:val="single"/>
        </w:rPr>
        <w:t>será de estricto derecho</w:t>
      </w:r>
      <w:r w:rsidR="00496C93">
        <w:rPr>
          <w:rFonts w:ascii="Arial" w:eastAsia="Arial" w:hAnsi="Arial" w:cs="Arial"/>
          <w:sz w:val="24"/>
          <w:szCs w:val="24"/>
        </w:rPr>
        <w:t>, estableciendo el artículo 1</w:t>
      </w:r>
      <w:r w:rsidR="00182417">
        <w:rPr>
          <w:rFonts w:ascii="Arial" w:eastAsia="Arial" w:hAnsi="Arial" w:cs="Arial"/>
          <w:sz w:val="24"/>
          <w:szCs w:val="24"/>
        </w:rPr>
        <w:t>°</w:t>
      </w:r>
      <w:r w:rsidR="00496C93">
        <w:rPr>
          <w:rFonts w:ascii="Arial" w:eastAsia="Arial" w:hAnsi="Arial" w:cs="Arial"/>
          <w:sz w:val="24"/>
          <w:szCs w:val="24"/>
        </w:rPr>
        <w:t xml:space="preserve"> antes transcrito que la</w:t>
      </w:r>
      <w:r w:rsidRPr="00C02A9D">
        <w:rPr>
          <w:rFonts w:ascii="Arial" w:eastAsia="Arial" w:hAnsi="Arial" w:cs="Arial"/>
          <w:sz w:val="24"/>
          <w:szCs w:val="24"/>
        </w:rPr>
        <w:t xml:space="preserve"> Ley </w:t>
      </w:r>
      <w:r w:rsidR="001F22FE">
        <w:rPr>
          <w:rFonts w:ascii="Arial" w:eastAsia="Arial" w:hAnsi="Arial" w:cs="Arial"/>
          <w:sz w:val="24"/>
          <w:szCs w:val="24"/>
        </w:rPr>
        <w:t xml:space="preserve">de Procedimiento y Justicia Administrativa para el Estado de Oaxaca, </w:t>
      </w:r>
      <w:r w:rsidRPr="00C02A9D">
        <w:rPr>
          <w:rFonts w:ascii="Arial" w:eastAsia="Arial" w:hAnsi="Arial" w:cs="Arial"/>
          <w:sz w:val="24"/>
          <w:szCs w:val="24"/>
        </w:rPr>
        <w:t xml:space="preserve">es de orden público y de interés social, </w:t>
      </w:r>
      <w:r w:rsidR="001F22FE">
        <w:rPr>
          <w:rFonts w:ascii="Arial" w:eastAsia="Arial" w:hAnsi="Arial" w:cs="Arial"/>
          <w:sz w:val="24"/>
          <w:szCs w:val="24"/>
        </w:rPr>
        <w:t xml:space="preserve">y </w:t>
      </w:r>
      <w:r w:rsidRPr="00C02A9D">
        <w:rPr>
          <w:rFonts w:ascii="Arial" w:eastAsia="Arial" w:hAnsi="Arial" w:cs="Arial"/>
          <w:sz w:val="24"/>
          <w:szCs w:val="24"/>
        </w:rPr>
        <w:t xml:space="preserve">se aplicará en todo el Estado de Oaxaca </w:t>
      </w:r>
      <w:r w:rsidRPr="001F22FE">
        <w:rPr>
          <w:rFonts w:ascii="Arial" w:eastAsia="Arial" w:hAnsi="Arial" w:cs="Arial"/>
          <w:b/>
          <w:sz w:val="24"/>
          <w:szCs w:val="24"/>
        </w:rPr>
        <w:t>en los actos administrativos y los procedimientos que desarrollen</w:t>
      </w:r>
      <w:r w:rsidRPr="00C02A9D">
        <w:rPr>
          <w:rFonts w:ascii="Arial" w:eastAsia="Arial" w:hAnsi="Arial" w:cs="Arial"/>
          <w:sz w:val="24"/>
          <w:szCs w:val="24"/>
        </w:rPr>
        <w:t xml:space="preserve"> las Dependencias del Poder Ejecutivo del Gobierno del Estado, Entidades Paraestatales y Órganos Desconcentrados de la Administración Pública Estatal; </w:t>
      </w:r>
      <w:r w:rsidRPr="00654BFC">
        <w:rPr>
          <w:rFonts w:ascii="Arial" w:eastAsia="Arial" w:hAnsi="Arial" w:cs="Arial"/>
          <w:b/>
          <w:sz w:val="24"/>
          <w:szCs w:val="24"/>
        </w:rPr>
        <w:t>cuando estas emitan una resolución administrativa de cualquier naturaleza</w:t>
      </w:r>
      <w:r w:rsidRPr="00C02A9D">
        <w:rPr>
          <w:rFonts w:ascii="Arial" w:eastAsia="Arial" w:hAnsi="Arial" w:cs="Arial"/>
          <w:sz w:val="24"/>
          <w:szCs w:val="24"/>
        </w:rPr>
        <w:t xml:space="preserve">; </w:t>
      </w:r>
      <w:r w:rsidRPr="001F22FE">
        <w:rPr>
          <w:rFonts w:ascii="Arial" w:eastAsia="Arial" w:hAnsi="Arial" w:cs="Arial"/>
          <w:b/>
          <w:sz w:val="24"/>
          <w:szCs w:val="24"/>
        </w:rPr>
        <w:t>por los Ayuntamientos de los Municipios del Estado de Oaxaca</w:t>
      </w:r>
      <w:r w:rsidRPr="00C02A9D">
        <w:rPr>
          <w:rFonts w:ascii="Arial" w:eastAsia="Arial" w:hAnsi="Arial" w:cs="Arial"/>
          <w:sz w:val="24"/>
          <w:szCs w:val="24"/>
        </w:rPr>
        <w:t>, por las Dependencias de estos y por sus Entidades Paramunicipales. De igual forma</w:t>
      </w:r>
      <w:r w:rsidR="006748AD">
        <w:rPr>
          <w:rFonts w:ascii="Arial" w:eastAsia="Arial" w:hAnsi="Arial" w:cs="Arial"/>
          <w:sz w:val="24"/>
          <w:szCs w:val="24"/>
        </w:rPr>
        <w:t xml:space="preserve"> </w:t>
      </w:r>
      <w:r w:rsidR="006748AD" w:rsidRPr="00182417">
        <w:rPr>
          <w:rFonts w:ascii="Arial" w:eastAsia="Arial" w:hAnsi="Arial" w:cs="Arial"/>
          <w:b/>
          <w:sz w:val="24"/>
          <w:szCs w:val="24"/>
        </w:rPr>
        <w:t>la referida ley</w:t>
      </w:r>
      <w:r w:rsidRPr="00182417">
        <w:rPr>
          <w:rFonts w:ascii="Arial" w:eastAsia="Arial" w:hAnsi="Arial" w:cs="Arial"/>
          <w:b/>
          <w:sz w:val="24"/>
          <w:szCs w:val="24"/>
        </w:rPr>
        <w:t xml:space="preserve"> reg</w:t>
      </w:r>
      <w:r w:rsidRPr="001F22FE">
        <w:rPr>
          <w:rFonts w:ascii="Arial" w:eastAsia="Arial" w:hAnsi="Arial" w:cs="Arial"/>
          <w:b/>
          <w:sz w:val="24"/>
          <w:szCs w:val="24"/>
        </w:rPr>
        <w:t>ulará</w:t>
      </w:r>
      <w:r w:rsidRPr="00C02A9D">
        <w:rPr>
          <w:rFonts w:ascii="Arial" w:eastAsia="Arial" w:hAnsi="Arial" w:cs="Arial"/>
          <w:sz w:val="24"/>
          <w:szCs w:val="24"/>
        </w:rPr>
        <w:t xml:space="preserve"> la organización y funcionamiento del Tribunal de Justicia Administrativa del Estado de Oaxaca y </w:t>
      </w:r>
      <w:r w:rsidRPr="001F22FE">
        <w:rPr>
          <w:rFonts w:ascii="Arial" w:eastAsia="Arial" w:hAnsi="Arial" w:cs="Arial"/>
          <w:b/>
          <w:sz w:val="24"/>
          <w:szCs w:val="24"/>
        </w:rPr>
        <w:t>la impartición de la Justicia Administrativa en el Estado de Oaxaca</w:t>
      </w:r>
      <w:r w:rsidRPr="00C02A9D">
        <w:rPr>
          <w:rFonts w:ascii="Arial" w:eastAsia="Arial" w:hAnsi="Arial" w:cs="Arial"/>
          <w:sz w:val="24"/>
          <w:szCs w:val="24"/>
        </w:rPr>
        <w:t>.</w:t>
      </w:r>
    </w:p>
    <w:p w14:paraId="13378CFC" w14:textId="77777777" w:rsidR="001F22FE" w:rsidRPr="001F22FE" w:rsidRDefault="001F22FE" w:rsidP="001F22FE">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Por su parte el artículo 133 </w:t>
      </w:r>
      <w:r w:rsidR="00654BFC">
        <w:rPr>
          <w:rFonts w:ascii="Arial" w:eastAsia="Arial" w:hAnsi="Arial" w:cs="Arial"/>
          <w:sz w:val="24"/>
          <w:szCs w:val="24"/>
        </w:rPr>
        <w:t xml:space="preserve">fracción I </w:t>
      </w:r>
      <w:r>
        <w:rPr>
          <w:rFonts w:ascii="Arial" w:eastAsia="Arial" w:hAnsi="Arial" w:cs="Arial"/>
          <w:sz w:val="24"/>
          <w:szCs w:val="24"/>
        </w:rPr>
        <w:t xml:space="preserve">en análisis, establece la </w:t>
      </w:r>
      <w:r w:rsidRPr="00654BFC">
        <w:rPr>
          <w:rFonts w:ascii="Arial" w:eastAsia="Arial" w:hAnsi="Arial" w:cs="Arial"/>
          <w:b/>
          <w:sz w:val="24"/>
          <w:szCs w:val="24"/>
        </w:rPr>
        <w:t xml:space="preserve">competencia de las Salas Unitarias del Tribunal para conocer y resolver los juicios que se </w:t>
      </w:r>
      <w:r w:rsidRPr="00654BFC">
        <w:rPr>
          <w:rFonts w:ascii="Arial" w:eastAsia="Arial" w:hAnsi="Arial" w:cs="Arial"/>
          <w:b/>
          <w:sz w:val="24"/>
          <w:szCs w:val="24"/>
        </w:rPr>
        <w:lastRenderedPageBreak/>
        <w:t xml:space="preserve">promuevan en </w:t>
      </w:r>
      <w:r w:rsidR="00654BFC" w:rsidRPr="00654BFC">
        <w:rPr>
          <w:rFonts w:ascii="Arial" w:eastAsia="Arial" w:hAnsi="Arial" w:cs="Arial"/>
          <w:b/>
          <w:sz w:val="24"/>
          <w:szCs w:val="24"/>
        </w:rPr>
        <w:t>contra de l</w:t>
      </w:r>
      <w:r w:rsidRPr="00654BFC">
        <w:rPr>
          <w:rFonts w:ascii="Arial" w:eastAsia="Arial" w:hAnsi="Arial" w:cs="Arial"/>
          <w:b/>
          <w:sz w:val="24"/>
          <w:szCs w:val="24"/>
        </w:rPr>
        <w:t>os actos y resoluciones emanados de las autoridades</w:t>
      </w:r>
      <w:r w:rsidRPr="001F22FE">
        <w:rPr>
          <w:rFonts w:ascii="Arial" w:eastAsia="Arial" w:hAnsi="Arial" w:cs="Arial"/>
          <w:sz w:val="24"/>
          <w:szCs w:val="24"/>
        </w:rPr>
        <w:t xml:space="preserve"> del Poder Ejecutivo, </w:t>
      </w:r>
      <w:r w:rsidRPr="00654BFC">
        <w:rPr>
          <w:rFonts w:ascii="Arial" w:eastAsia="Arial" w:hAnsi="Arial" w:cs="Arial"/>
          <w:b/>
          <w:sz w:val="24"/>
          <w:szCs w:val="24"/>
        </w:rPr>
        <w:t>de los Municipios</w:t>
      </w:r>
      <w:r w:rsidRPr="001F22FE">
        <w:rPr>
          <w:rFonts w:ascii="Arial" w:eastAsia="Arial" w:hAnsi="Arial" w:cs="Arial"/>
          <w:sz w:val="24"/>
          <w:szCs w:val="24"/>
        </w:rPr>
        <w:t xml:space="preserve"> y de sus organismos descentralizados y desconcentrados, </w:t>
      </w:r>
      <w:r w:rsidRPr="00654BFC">
        <w:rPr>
          <w:rFonts w:ascii="Arial" w:eastAsia="Arial" w:hAnsi="Arial" w:cs="Arial"/>
          <w:b/>
          <w:sz w:val="24"/>
          <w:szCs w:val="24"/>
        </w:rPr>
        <w:t>cuando éstos actúen como autoridades, dictándolas, ordenándolas, ejecutándolas o tratando de ejecutarlas y que causen agravios a los particulares</w:t>
      </w:r>
      <w:r w:rsidRPr="001F22FE">
        <w:rPr>
          <w:rFonts w:ascii="Arial" w:eastAsia="Arial" w:hAnsi="Arial" w:cs="Arial"/>
          <w:sz w:val="24"/>
          <w:szCs w:val="24"/>
        </w:rPr>
        <w:t xml:space="preserve">, por no ajustarse a los elementos y requisitos de validez previstos por el artículo 17 de </w:t>
      </w:r>
      <w:r w:rsidR="00654BFC">
        <w:rPr>
          <w:rFonts w:ascii="Arial" w:eastAsia="Arial" w:hAnsi="Arial" w:cs="Arial"/>
          <w:sz w:val="24"/>
          <w:szCs w:val="24"/>
        </w:rPr>
        <w:t>dicha ley.</w:t>
      </w:r>
    </w:p>
    <w:p w14:paraId="55285EEF" w14:textId="77777777" w:rsidR="008976EB" w:rsidRDefault="008976EB" w:rsidP="008976EB">
      <w:pPr>
        <w:spacing w:line="360" w:lineRule="auto"/>
        <w:ind w:right="51" w:firstLine="567"/>
        <w:jc w:val="both"/>
        <w:rPr>
          <w:rFonts w:ascii="Arial" w:eastAsia="Arial" w:hAnsi="Arial" w:cs="Arial"/>
          <w:sz w:val="24"/>
          <w:szCs w:val="24"/>
        </w:rPr>
      </w:pPr>
      <w:r>
        <w:rPr>
          <w:rFonts w:ascii="Arial" w:eastAsia="Arial" w:hAnsi="Arial" w:cs="Arial"/>
          <w:sz w:val="24"/>
          <w:szCs w:val="24"/>
        </w:rPr>
        <w:t>Debiéndose de entender, de conformidad con el artículo 2 fracci</w:t>
      </w:r>
      <w:r w:rsidR="00B16DD0">
        <w:rPr>
          <w:rFonts w:ascii="Arial" w:eastAsia="Arial" w:hAnsi="Arial" w:cs="Arial"/>
          <w:sz w:val="24"/>
          <w:szCs w:val="24"/>
        </w:rPr>
        <w:t>ones</w:t>
      </w:r>
      <w:r>
        <w:rPr>
          <w:rFonts w:ascii="Arial" w:eastAsia="Arial" w:hAnsi="Arial" w:cs="Arial"/>
          <w:sz w:val="24"/>
          <w:szCs w:val="24"/>
        </w:rPr>
        <w:t xml:space="preserve"> I </w:t>
      </w:r>
      <w:r w:rsidR="00B16DD0">
        <w:rPr>
          <w:rFonts w:ascii="Arial" w:eastAsia="Arial" w:hAnsi="Arial" w:cs="Arial"/>
          <w:sz w:val="24"/>
          <w:szCs w:val="24"/>
        </w:rPr>
        <w:t xml:space="preserve">y IV </w:t>
      </w:r>
      <w:r>
        <w:rPr>
          <w:rFonts w:ascii="Arial" w:eastAsia="Arial" w:hAnsi="Arial" w:cs="Arial"/>
          <w:sz w:val="24"/>
          <w:szCs w:val="24"/>
        </w:rPr>
        <w:t xml:space="preserve">de la Ley que se estudia, por </w:t>
      </w:r>
      <w:r w:rsidRPr="008976EB">
        <w:rPr>
          <w:rFonts w:ascii="Arial" w:eastAsia="Arial" w:hAnsi="Arial" w:cs="Arial"/>
          <w:b/>
          <w:bCs/>
          <w:sz w:val="24"/>
          <w:szCs w:val="24"/>
        </w:rPr>
        <w:t>Acto Administrativo</w:t>
      </w:r>
      <w:r>
        <w:rPr>
          <w:rFonts w:ascii="Arial" w:eastAsia="Arial" w:hAnsi="Arial" w:cs="Arial"/>
          <w:sz w:val="24"/>
          <w:szCs w:val="24"/>
        </w:rPr>
        <w:t>,</w:t>
      </w:r>
      <w:r w:rsidRPr="008976EB">
        <w:rPr>
          <w:rFonts w:ascii="Arial" w:eastAsia="Arial" w:hAnsi="Arial" w:cs="Arial"/>
          <w:sz w:val="24"/>
          <w:szCs w:val="24"/>
        </w:rPr>
        <w:t xml:space="preserve"> la declaración unilateral de voluntad, externa y de carácter individual, emanada del Poder Ejecutivo del Estado, sus Dependencias, Entidades Paraestatales y Órganos Desconcentrados de la Administración Pública Estatal, así como de los Ayuntamientos, sus Dependencias y por sus Entidades Paramunicipales, que tiene por objeto crear, transmitir, modificar o extinguir </w:t>
      </w:r>
      <w:r w:rsidR="00B16DD0">
        <w:rPr>
          <w:rFonts w:ascii="Arial" w:eastAsia="Arial" w:hAnsi="Arial" w:cs="Arial"/>
          <w:sz w:val="24"/>
          <w:szCs w:val="24"/>
        </w:rPr>
        <w:t xml:space="preserve">una situación jurídica concreta; y por </w:t>
      </w:r>
      <w:r w:rsidR="00B16DD0">
        <w:rPr>
          <w:rFonts w:ascii="Arial" w:eastAsia="Arial" w:hAnsi="Arial" w:cs="Arial"/>
          <w:b/>
          <w:bCs/>
          <w:sz w:val="24"/>
          <w:szCs w:val="24"/>
        </w:rPr>
        <w:t xml:space="preserve">Autoridad, </w:t>
      </w:r>
      <w:r w:rsidR="00B16DD0" w:rsidRPr="00B16DD0">
        <w:rPr>
          <w:rFonts w:ascii="Arial" w:eastAsia="Arial" w:hAnsi="Arial" w:cs="Arial"/>
          <w:bCs/>
          <w:sz w:val="24"/>
          <w:szCs w:val="24"/>
        </w:rPr>
        <w:t>l</w:t>
      </w:r>
      <w:r w:rsidRPr="008976EB">
        <w:rPr>
          <w:rFonts w:ascii="Arial" w:eastAsia="Arial" w:hAnsi="Arial" w:cs="Arial"/>
          <w:sz w:val="24"/>
          <w:szCs w:val="24"/>
        </w:rPr>
        <w:t>a que dicta, ordena, ejecuta o trata de cumplir determinaciones de naturaleza administrativa, creando, modificando o extinguiendo situaciones de derecho con fundamento en la Ley o instrumento jurídico con el que habitualmente actúa, o en su decreto o instrumento de creación y que da orige</w:t>
      </w:r>
      <w:r w:rsidR="00B16DD0">
        <w:rPr>
          <w:rFonts w:ascii="Arial" w:eastAsia="Arial" w:hAnsi="Arial" w:cs="Arial"/>
          <w:sz w:val="24"/>
          <w:szCs w:val="24"/>
        </w:rPr>
        <w:t>n al cumplimiento de la</w:t>
      </w:r>
      <w:r w:rsidRPr="008976EB">
        <w:rPr>
          <w:rFonts w:ascii="Arial" w:eastAsia="Arial" w:hAnsi="Arial" w:cs="Arial"/>
          <w:sz w:val="24"/>
          <w:szCs w:val="24"/>
        </w:rPr>
        <w:t xml:space="preserve"> Ley </w:t>
      </w:r>
      <w:r w:rsidR="00B16DD0">
        <w:rPr>
          <w:rFonts w:ascii="Arial" w:eastAsia="Arial" w:hAnsi="Arial" w:cs="Arial"/>
          <w:sz w:val="24"/>
          <w:szCs w:val="24"/>
        </w:rPr>
        <w:t xml:space="preserve">de la materia </w:t>
      </w:r>
      <w:r w:rsidRPr="008976EB">
        <w:rPr>
          <w:rFonts w:ascii="Arial" w:eastAsia="Arial" w:hAnsi="Arial" w:cs="Arial"/>
          <w:sz w:val="24"/>
          <w:szCs w:val="24"/>
        </w:rPr>
        <w:t>o a ser parte en el Procedimiento Contencioso Administrativo</w:t>
      </w:r>
      <w:r w:rsidR="00B16DD0">
        <w:rPr>
          <w:rFonts w:ascii="Arial" w:eastAsia="Arial" w:hAnsi="Arial" w:cs="Arial"/>
          <w:sz w:val="24"/>
          <w:szCs w:val="24"/>
        </w:rPr>
        <w:t>.</w:t>
      </w:r>
    </w:p>
    <w:p w14:paraId="08CEEA4B" w14:textId="77777777" w:rsidR="00BF6392" w:rsidRDefault="009E0BC7" w:rsidP="00AC292A">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Con lo que se </w:t>
      </w:r>
      <w:r w:rsidR="00ED103A" w:rsidRPr="00ED103A">
        <w:rPr>
          <w:rFonts w:ascii="Arial" w:eastAsia="Arial" w:hAnsi="Arial" w:cs="Arial"/>
          <w:sz w:val="24"/>
          <w:szCs w:val="24"/>
        </w:rPr>
        <w:t xml:space="preserve">presupone </w:t>
      </w:r>
      <w:r w:rsidR="00CE47F3">
        <w:rPr>
          <w:rFonts w:ascii="Arial" w:eastAsia="Arial" w:hAnsi="Arial" w:cs="Arial"/>
          <w:sz w:val="24"/>
          <w:szCs w:val="24"/>
        </w:rPr>
        <w:t>que, para que el actor pueda</w:t>
      </w:r>
      <w:r w:rsidR="00223966">
        <w:rPr>
          <w:rFonts w:ascii="Arial" w:eastAsia="Arial" w:hAnsi="Arial" w:cs="Arial"/>
          <w:sz w:val="24"/>
          <w:szCs w:val="24"/>
        </w:rPr>
        <w:t xml:space="preserve"> </w:t>
      </w:r>
      <w:r w:rsidR="00CE47F3">
        <w:rPr>
          <w:rFonts w:ascii="Arial" w:eastAsia="Arial" w:hAnsi="Arial" w:cs="Arial"/>
          <w:sz w:val="24"/>
          <w:szCs w:val="24"/>
        </w:rPr>
        <w:t>acudir a</w:t>
      </w:r>
      <w:r w:rsidR="00ED103A" w:rsidRPr="00ED103A">
        <w:rPr>
          <w:rFonts w:ascii="Arial" w:eastAsia="Arial" w:hAnsi="Arial" w:cs="Arial"/>
          <w:sz w:val="24"/>
          <w:szCs w:val="24"/>
        </w:rPr>
        <w:t xml:space="preserve"> juicio </w:t>
      </w:r>
      <w:r w:rsidR="00CE47F3">
        <w:rPr>
          <w:rFonts w:ascii="Arial" w:eastAsia="Arial" w:hAnsi="Arial" w:cs="Arial"/>
          <w:sz w:val="24"/>
          <w:szCs w:val="24"/>
        </w:rPr>
        <w:t>ante este Tribunal</w:t>
      </w:r>
      <w:r w:rsidR="00ED103A" w:rsidRPr="00ED103A">
        <w:rPr>
          <w:rFonts w:ascii="Arial" w:eastAsia="Arial" w:hAnsi="Arial" w:cs="Arial"/>
          <w:sz w:val="24"/>
          <w:szCs w:val="24"/>
        </w:rPr>
        <w:t xml:space="preserve">, </w:t>
      </w:r>
      <w:r w:rsidR="002B682B">
        <w:rPr>
          <w:rFonts w:ascii="Arial" w:eastAsia="Arial" w:hAnsi="Arial" w:cs="Arial"/>
          <w:sz w:val="24"/>
          <w:szCs w:val="24"/>
        </w:rPr>
        <w:t>debe existir</w:t>
      </w:r>
      <w:r w:rsidR="00CE47F3">
        <w:rPr>
          <w:rFonts w:ascii="Arial" w:eastAsia="Arial" w:hAnsi="Arial" w:cs="Arial"/>
          <w:sz w:val="24"/>
          <w:szCs w:val="24"/>
        </w:rPr>
        <w:t xml:space="preserve"> </w:t>
      </w:r>
      <w:r w:rsidR="00B13BB6">
        <w:rPr>
          <w:rFonts w:ascii="Arial" w:eastAsia="Arial" w:hAnsi="Arial" w:cs="Arial"/>
          <w:sz w:val="24"/>
          <w:szCs w:val="24"/>
        </w:rPr>
        <w:t>una resolución emitida de forma expresa o configurarse de manera ficta</w:t>
      </w:r>
      <w:r w:rsidR="00CE47F3">
        <w:rPr>
          <w:rFonts w:ascii="Arial" w:eastAsia="Arial" w:hAnsi="Arial" w:cs="Arial"/>
          <w:sz w:val="24"/>
          <w:szCs w:val="24"/>
        </w:rPr>
        <w:t xml:space="preserve">, que le cause una afectación directa; </w:t>
      </w:r>
      <w:r w:rsidR="00C806AA">
        <w:rPr>
          <w:rFonts w:ascii="Arial" w:eastAsia="Arial" w:hAnsi="Arial" w:cs="Arial"/>
          <w:sz w:val="24"/>
          <w:szCs w:val="24"/>
        </w:rPr>
        <w:t>al ser este tipo de resoluciones las que prevé la ley de la materia</w:t>
      </w:r>
      <w:r w:rsidR="00CE47F3">
        <w:rPr>
          <w:rFonts w:ascii="Arial" w:eastAsia="Arial" w:hAnsi="Arial" w:cs="Arial"/>
          <w:sz w:val="24"/>
          <w:szCs w:val="24"/>
        </w:rPr>
        <w:t xml:space="preserve"> como </w:t>
      </w:r>
      <w:r w:rsidR="00C806AA">
        <w:rPr>
          <w:rFonts w:ascii="Arial" w:eastAsia="Arial" w:hAnsi="Arial" w:cs="Arial"/>
          <w:sz w:val="24"/>
          <w:szCs w:val="24"/>
        </w:rPr>
        <w:t xml:space="preserve">competencia a </w:t>
      </w:r>
      <w:r w:rsidR="00CE47F3">
        <w:rPr>
          <w:rFonts w:ascii="Arial" w:eastAsia="Arial" w:hAnsi="Arial" w:cs="Arial"/>
          <w:sz w:val="24"/>
          <w:szCs w:val="24"/>
        </w:rPr>
        <w:t>efecto de que este Tribunal se avoque al</w:t>
      </w:r>
      <w:r w:rsidR="00C806AA">
        <w:rPr>
          <w:rFonts w:ascii="Arial" w:eastAsia="Arial" w:hAnsi="Arial" w:cs="Arial"/>
          <w:sz w:val="24"/>
          <w:szCs w:val="24"/>
        </w:rPr>
        <w:t xml:space="preserve"> estudi</w:t>
      </w:r>
      <w:r w:rsidR="00FA762D">
        <w:rPr>
          <w:rFonts w:ascii="Arial" w:eastAsia="Arial" w:hAnsi="Arial" w:cs="Arial"/>
          <w:sz w:val="24"/>
          <w:szCs w:val="24"/>
        </w:rPr>
        <w:t>o</w:t>
      </w:r>
      <w:r w:rsidR="00CE47F3">
        <w:rPr>
          <w:rFonts w:ascii="Arial" w:eastAsia="Arial" w:hAnsi="Arial" w:cs="Arial"/>
          <w:sz w:val="24"/>
          <w:szCs w:val="24"/>
        </w:rPr>
        <w:t xml:space="preserve"> de</w:t>
      </w:r>
      <w:r w:rsidR="00C806AA">
        <w:rPr>
          <w:rFonts w:ascii="Arial" w:eastAsia="Arial" w:hAnsi="Arial" w:cs="Arial"/>
          <w:sz w:val="24"/>
          <w:szCs w:val="24"/>
        </w:rPr>
        <w:t xml:space="preserve"> la legalidad o ilegalidad de las mismas,</w:t>
      </w:r>
      <w:r w:rsidR="00CE47F3">
        <w:rPr>
          <w:rFonts w:ascii="Arial" w:eastAsia="Arial" w:hAnsi="Arial" w:cs="Arial"/>
          <w:sz w:val="24"/>
          <w:szCs w:val="24"/>
        </w:rPr>
        <w:t xml:space="preserve"> satisfaciendo la pretensión del accionante</w:t>
      </w:r>
      <w:r w:rsidR="00C806AA">
        <w:rPr>
          <w:rFonts w:ascii="Arial" w:eastAsia="Arial" w:hAnsi="Arial" w:cs="Arial"/>
          <w:sz w:val="24"/>
          <w:szCs w:val="24"/>
        </w:rPr>
        <w:t xml:space="preserve"> en caso de co</w:t>
      </w:r>
      <w:r w:rsidR="00CE47F3">
        <w:rPr>
          <w:rFonts w:ascii="Arial" w:eastAsia="Arial" w:hAnsi="Arial" w:cs="Arial"/>
          <w:sz w:val="24"/>
          <w:szCs w:val="24"/>
        </w:rPr>
        <w:t>ncederle</w:t>
      </w:r>
      <w:r w:rsidR="00C806AA">
        <w:rPr>
          <w:rFonts w:ascii="Arial" w:eastAsia="Arial" w:hAnsi="Arial" w:cs="Arial"/>
          <w:sz w:val="24"/>
          <w:szCs w:val="24"/>
        </w:rPr>
        <w:t xml:space="preserve"> la raz</w:t>
      </w:r>
      <w:r w:rsidR="00B85039">
        <w:rPr>
          <w:rFonts w:ascii="Arial" w:eastAsia="Arial" w:hAnsi="Arial" w:cs="Arial"/>
          <w:sz w:val="24"/>
          <w:szCs w:val="24"/>
        </w:rPr>
        <w:t>ón, con lo que logran acceder</w:t>
      </w:r>
      <w:r w:rsidR="00C806AA">
        <w:rPr>
          <w:rFonts w:ascii="Arial" w:eastAsia="Arial" w:hAnsi="Arial" w:cs="Arial"/>
          <w:sz w:val="24"/>
          <w:szCs w:val="24"/>
        </w:rPr>
        <w:t xml:space="preserve"> a una justicia real y sustantiva.</w:t>
      </w:r>
    </w:p>
    <w:p w14:paraId="04FEEF34" w14:textId="77777777" w:rsidR="00C11C3C" w:rsidRDefault="00056E46" w:rsidP="00BE00C6">
      <w:pPr>
        <w:spacing w:line="360" w:lineRule="auto"/>
        <w:ind w:right="51" w:firstLine="567"/>
        <w:jc w:val="both"/>
        <w:rPr>
          <w:rFonts w:ascii="Arial" w:hAnsi="Arial" w:cs="Arial"/>
          <w:sz w:val="24"/>
          <w:szCs w:val="24"/>
        </w:rPr>
      </w:pPr>
      <w:r>
        <w:rPr>
          <w:rFonts w:ascii="Arial" w:eastAsia="Arial" w:hAnsi="Arial" w:cs="Arial"/>
          <w:sz w:val="24"/>
          <w:szCs w:val="24"/>
        </w:rPr>
        <w:t xml:space="preserve">Pues incluso de los artículos 177 fracción </w:t>
      </w:r>
      <w:r w:rsidR="00AA5F09">
        <w:rPr>
          <w:rFonts w:ascii="Arial" w:eastAsia="Arial" w:hAnsi="Arial" w:cs="Arial"/>
          <w:sz w:val="24"/>
          <w:szCs w:val="24"/>
        </w:rPr>
        <w:t>IV,</w:t>
      </w:r>
      <w:r>
        <w:rPr>
          <w:rFonts w:ascii="Arial" w:eastAsia="Arial" w:hAnsi="Arial" w:cs="Arial"/>
          <w:sz w:val="24"/>
          <w:szCs w:val="24"/>
        </w:rPr>
        <w:t xml:space="preserve"> 178 fracción II</w:t>
      </w:r>
      <w:r w:rsidR="00AA5F09">
        <w:rPr>
          <w:rFonts w:ascii="Arial" w:eastAsia="Arial" w:hAnsi="Arial" w:cs="Arial"/>
          <w:sz w:val="24"/>
          <w:szCs w:val="24"/>
        </w:rPr>
        <w:t xml:space="preserve"> y 179</w:t>
      </w:r>
      <w:r>
        <w:rPr>
          <w:rFonts w:ascii="Arial" w:eastAsia="Arial" w:hAnsi="Arial" w:cs="Arial"/>
          <w:sz w:val="24"/>
          <w:szCs w:val="24"/>
        </w:rPr>
        <w:t xml:space="preserve"> antes transcritos</w:t>
      </w:r>
      <w:r w:rsidR="00BE00C6">
        <w:rPr>
          <w:rFonts w:ascii="Arial" w:eastAsia="Arial" w:hAnsi="Arial" w:cs="Arial"/>
          <w:sz w:val="24"/>
          <w:szCs w:val="24"/>
        </w:rPr>
        <w:t>, se advierte</w:t>
      </w:r>
      <w:r w:rsidR="00AA5F09">
        <w:rPr>
          <w:rFonts w:ascii="Arial" w:eastAsia="Arial" w:hAnsi="Arial" w:cs="Arial"/>
          <w:sz w:val="24"/>
          <w:szCs w:val="24"/>
        </w:rPr>
        <w:t>n</w:t>
      </w:r>
      <w:r w:rsidR="00BE00C6">
        <w:rPr>
          <w:rFonts w:ascii="Arial" w:eastAsia="Arial" w:hAnsi="Arial" w:cs="Arial"/>
          <w:sz w:val="24"/>
          <w:szCs w:val="24"/>
        </w:rPr>
        <w:t xml:space="preserve"> como requisito para la procedencia del juicio de nulidad</w:t>
      </w:r>
      <w:r w:rsidR="00AA5F09">
        <w:rPr>
          <w:rFonts w:ascii="Arial" w:eastAsia="Arial" w:hAnsi="Arial" w:cs="Arial"/>
          <w:sz w:val="24"/>
          <w:szCs w:val="24"/>
        </w:rPr>
        <w:t>,</w:t>
      </w:r>
      <w:r w:rsidR="00BE00C6">
        <w:rPr>
          <w:rFonts w:ascii="Arial" w:eastAsia="Arial" w:hAnsi="Arial" w:cs="Arial"/>
          <w:sz w:val="24"/>
          <w:szCs w:val="24"/>
        </w:rPr>
        <w:t xml:space="preserve"> que el escrito de </w:t>
      </w:r>
      <w:r w:rsidR="00BE00C6" w:rsidRPr="00BE00C6">
        <w:rPr>
          <w:rFonts w:ascii="Arial" w:eastAsia="Arial" w:hAnsi="Arial" w:cs="Arial"/>
          <w:sz w:val="24"/>
          <w:szCs w:val="24"/>
        </w:rPr>
        <w:t xml:space="preserve">demanda contenga la resolución o acto administrativo que se impugna, </w:t>
      </w:r>
      <w:r w:rsidR="00BE00C6" w:rsidRPr="00C11C3C">
        <w:rPr>
          <w:rFonts w:ascii="Arial" w:eastAsia="Arial" w:hAnsi="Arial" w:cs="Arial"/>
          <w:b/>
          <w:sz w:val="24"/>
          <w:szCs w:val="24"/>
          <w:u w:val="single"/>
        </w:rPr>
        <w:t xml:space="preserve">debiéndose anexar al mismo </w:t>
      </w:r>
      <w:r w:rsidR="001C002B" w:rsidRPr="00C11C3C">
        <w:rPr>
          <w:rFonts w:ascii="Arial" w:eastAsia="Arial" w:hAnsi="Arial" w:cs="Arial"/>
          <w:b/>
          <w:sz w:val="24"/>
          <w:szCs w:val="24"/>
          <w:u w:val="single"/>
        </w:rPr>
        <w:t>l</w:t>
      </w:r>
      <w:r w:rsidRPr="00C11C3C">
        <w:rPr>
          <w:rFonts w:ascii="Arial" w:hAnsi="Arial" w:cs="Arial"/>
          <w:b/>
          <w:sz w:val="24"/>
          <w:szCs w:val="24"/>
          <w:u w:val="single"/>
        </w:rPr>
        <w:t>os documentos en que conste</w:t>
      </w:r>
      <w:r w:rsidR="001C002B" w:rsidRPr="00C11C3C">
        <w:rPr>
          <w:rFonts w:ascii="Arial" w:hAnsi="Arial" w:cs="Arial"/>
          <w:b/>
          <w:sz w:val="24"/>
          <w:szCs w:val="24"/>
          <w:u w:val="single"/>
        </w:rPr>
        <w:t xml:space="preserve">n </w:t>
      </w:r>
      <w:r w:rsidRPr="00C11C3C">
        <w:rPr>
          <w:rFonts w:ascii="Arial" w:hAnsi="Arial" w:cs="Arial"/>
          <w:b/>
          <w:sz w:val="24"/>
          <w:szCs w:val="24"/>
          <w:u w:val="single"/>
        </w:rPr>
        <w:t>y su notificación</w:t>
      </w:r>
      <w:r w:rsidRPr="00BE00C6">
        <w:rPr>
          <w:rFonts w:ascii="Arial" w:hAnsi="Arial" w:cs="Arial"/>
          <w:sz w:val="24"/>
          <w:szCs w:val="24"/>
        </w:rPr>
        <w:t xml:space="preserve">, cuando </w:t>
      </w:r>
      <w:r w:rsidR="001C002B">
        <w:rPr>
          <w:rFonts w:ascii="Arial" w:hAnsi="Arial" w:cs="Arial"/>
          <w:sz w:val="24"/>
          <w:szCs w:val="24"/>
        </w:rPr>
        <w:t xml:space="preserve">estén a </w:t>
      </w:r>
      <w:r w:rsidRPr="00BE00C6">
        <w:rPr>
          <w:rFonts w:ascii="Arial" w:hAnsi="Arial" w:cs="Arial"/>
          <w:sz w:val="24"/>
          <w:szCs w:val="24"/>
        </w:rPr>
        <w:t xml:space="preserve">disposición </w:t>
      </w:r>
      <w:r w:rsidR="001C002B">
        <w:rPr>
          <w:rFonts w:ascii="Arial" w:hAnsi="Arial" w:cs="Arial"/>
          <w:sz w:val="24"/>
          <w:szCs w:val="24"/>
        </w:rPr>
        <w:t>del actor,</w:t>
      </w:r>
      <w:r w:rsidRPr="00BE00C6">
        <w:rPr>
          <w:rFonts w:ascii="Arial" w:hAnsi="Arial" w:cs="Arial"/>
          <w:sz w:val="24"/>
          <w:szCs w:val="24"/>
        </w:rPr>
        <w:t xml:space="preserve"> o bien, señalar el lugar donde se encuentren, si no pudiera obtener copias certificadas de los mismos;</w:t>
      </w:r>
      <w:r w:rsidR="00234A80">
        <w:rPr>
          <w:rFonts w:ascii="Arial" w:hAnsi="Arial" w:cs="Arial"/>
          <w:sz w:val="24"/>
          <w:szCs w:val="24"/>
        </w:rPr>
        <w:t xml:space="preserve"> </w:t>
      </w:r>
      <w:r w:rsidR="00F51636">
        <w:rPr>
          <w:rFonts w:ascii="Arial" w:hAnsi="Arial" w:cs="Arial"/>
          <w:sz w:val="24"/>
          <w:szCs w:val="24"/>
        </w:rPr>
        <w:t>Siendo la consecuencia legal, de</w:t>
      </w:r>
      <w:r w:rsidR="00234A80">
        <w:rPr>
          <w:rFonts w:ascii="Arial" w:hAnsi="Arial" w:cs="Arial"/>
          <w:sz w:val="24"/>
          <w:szCs w:val="24"/>
        </w:rPr>
        <w:t xml:space="preserve"> no </w:t>
      </w:r>
      <w:r w:rsidR="00C11C3C">
        <w:rPr>
          <w:rFonts w:ascii="Arial" w:hAnsi="Arial" w:cs="Arial"/>
          <w:sz w:val="24"/>
          <w:szCs w:val="24"/>
        </w:rPr>
        <w:t>satisfacer los requisitos de la demanda o no anexar los documentos que se precisan en el artículo 178 en mención, desechar la demanda</w:t>
      </w:r>
      <w:r w:rsidR="00234A80">
        <w:rPr>
          <w:rFonts w:ascii="Arial" w:hAnsi="Arial" w:cs="Arial"/>
          <w:sz w:val="24"/>
          <w:szCs w:val="24"/>
        </w:rPr>
        <w:t>da</w:t>
      </w:r>
      <w:r w:rsidR="00C11C3C">
        <w:rPr>
          <w:rFonts w:ascii="Arial" w:hAnsi="Arial" w:cs="Arial"/>
          <w:sz w:val="24"/>
          <w:szCs w:val="24"/>
        </w:rPr>
        <w:t>, en el caso de no dar cumplimiento</w:t>
      </w:r>
      <w:r w:rsidR="00AA5F09">
        <w:rPr>
          <w:rFonts w:ascii="Arial" w:hAnsi="Arial" w:cs="Arial"/>
          <w:sz w:val="24"/>
          <w:szCs w:val="24"/>
        </w:rPr>
        <w:t xml:space="preserve"> al requerimiento que la</w:t>
      </w:r>
      <w:r w:rsidR="00C11C3C">
        <w:rPr>
          <w:rFonts w:ascii="Arial" w:hAnsi="Arial" w:cs="Arial"/>
          <w:sz w:val="24"/>
          <w:szCs w:val="24"/>
        </w:rPr>
        <w:t xml:space="preserve"> Sala</w:t>
      </w:r>
      <w:r w:rsidR="00AA5F09">
        <w:rPr>
          <w:rFonts w:ascii="Arial" w:hAnsi="Arial" w:cs="Arial"/>
          <w:sz w:val="24"/>
          <w:szCs w:val="24"/>
        </w:rPr>
        <w:t xml:space="preserve"> debe efectuar</w:t>
      </w:r>
      <w:r w:rsidR="00C11C3C">
        <w:rPr>
          <w:rFonts w:ascii="Arial" w:hAnsi="Arial" w:cs="Arial"/>
          <w:sz w:val="24"/>
          <w:szCs w:val="24"/>
        </w:rPr>
        <w:t xml:space="preserve"> para subsanar las omisiones.</w:t>
      </w:r>
    </w:p>
    <w:p w14:paraId="432B5AF5" w14:textId="77777777" w:rsidR="00221537" w:rsidRDefault="00D50AF9" w:rsidP="00221537">
      <w:pPr>
        <w:spacing w:line="360" w:lineRule="auto"/>
        <w:ind w:right="51" w:firstLine="567"/>
        <w:jc w:val="both"/>
        <w:rPr>
          <w:rFonts w:ascii="Arial" w:eastAsia="Arial" w:hAnsi="Arial" w:cs="Arial"/>
          <w:sz w:val="24"/>
          <w:szCs w:val="24"/>
        </w:rPr>
      </w:pPr>
      <w:r>
        <w:rPr>
          <w:rFonts w:ascii="Arial" w:hAnsi="Arial" w:cs="Arial"/>
          <w:sz w:val="24"/>
          <w:szCs w:val="24"/>
        </w:rPr>
        <w:t>La conclusión alcanzada por esta Juzgadora, en base a los artículos analizados que regulan la procedencia y el desarrollo del juicio de nulidad</w:t>
      </w:r>
      <w:r w:rsidR="00221537">
        <w:rPr>
          <w:rFonts w:ascii="Arial" w:hAnsi="Arial" w:cs="Arial"/>
          <w:sz w:val="24"/>
          <w:szCs w:val="24"/>
        </w:rPr>
        <w:t xml:space="preserve">, </w:t>
      </w:r>
      <w:r w:rsidR="00221537" w:rsidRPr="00BB68F0">
        <w:rPr>
          <w:rFonts w:ascii="Arial" w:eastAsia="Arial" w:hAnsi="Arial" w:cs="Arial"/>
          <w:sz w:val="24"/>
          <w:szCs w:val="24"/>
        </w:rPr>
        <w:t xml:space="preserve">es </w:t>
      </w:r>
      <w:r w:rsidR="00221537" w:rsidRPr="00BB68F0">
        <w:rPr>
          <w:rFonts w:ascii="Arial" w:eastAsia="Arial" w:hAnsi="Arial" w:cs="Arial"/>
          <w:sz w:val="24"/>
          <w:szCs w:val="24"/>
        </w:rPr>
        <w:lastRenderedPageBreak/>
        <w:t>congruente con el derecho de acceso a la justicia, el cual no tiene el alcance de que se actúe sin observancia de los requisitos formales previstos por el legislador.</w:t>
      </w:r>
    </w:p>
    <w:p w14:paraId="714D4444" w14:textId="77777777" w:rsidR="00177263" w:rsidRDefault="00177263" w:rsidP="00221537">
      <w:pPr>
        <w:spacing w:line="360" w:lineRule="auto"/>
        <w:ind w:right="51" w:firstLine="567"/>
        <w:jc w:val="both"/>
        <w:rPr>
          <w:rFonts w:ascii="Arial" w:eastAsia="Arial" w:hAnsi="Arial" w:cs="Arial"/>
          <w:sz w:val="24"/>
          <w:szCs w:val="24"/>
        </w:rPr>
      </w:pPr>
      <w:r>
        <w:rPr>
          <w:rFonts w:ascii="Arial" w:eastAsia="Arial" w:hAnsi="Arial" w:cs="Arial"/>
          <w:sz w:val="24"/>
          <w:szCs w:val="24"/>
        </w:rPr>
        <w:t>Resulta</w:t>
      </w:r>
      <w:r w:rsidR="00B73E63">
        <w:rPr>
          <w:rFonts w:ascii="Arial" w:eastAsia="Arial" w:hAnsi="Arial" w:cs="Arial"/>
          <w:sz w:val="24"/>
          <w:szCs w:val="24"/>
        </w:rPr>
        <w:t>n</w:t>
      </w:r>
      <w:r>
        <w:rPr>
          <w:rFonts w:ascii="Arial" w:eastAsia="Arial" w:hAnsi="Arial" w:cs="Arial"/>
          <w:sz w:val="24"/>
          <w:szCs w:val="24"/>
        </w:rPr>
        <w:t xml:space="preserve"> aplicable</w:t>
      </w:r>
      <w:r w:rsidR="00B73E63">
        <w:rPr>
          <w:rFonts w:ascii="Arial" w:eastAsia="Arial" w:hAnsi="Arial" w:cs="Arial"/>
          <w:sz w:val="24"/>
          <w:szCs w:val="24"/>
        </w:rPr>
        <w:t>s los</w:t>
      </w:r>
      <w:r>
        <w:rPr>
          <w:rFonts w:ascii="Arial" w:eastAsia="Arial" w:hAnsi="Arial" w:cs="Arial"/>
          <w:sz w:val="24"/>
          <w:szCs w:val="24"/>
        </w:rPr>
        <w:t xml:space="preserve"> siguiente</w:t>
      </w:r>
      <w:r w:rsidR="00B73E63">
        <w:rPr>
          <w:rFonts w:ascii="Arial" w:eastAsia="Arial" w:hAnsi="Arial" w:cs="Arial"/>
          <w:sz w:val="24"/>
          <w:szCs w:val="24"/>
        </w:rPr>
        <w:t>s</w:t>
      </w:r>
      <w:r>
        <w:rPr>
          <w:rFonts w:ascii="Arial" w:eastAsia="Arial" w:hAnsi="Arial" w:cs="Arial"/>
          <w:sz w:val="24"/>
          <w:szCs w:val="24"/>
        </w:rPr>
        <w:t xml:space="preserve"> criterio</w:t>
      </w:r>
      <w:r w:rsidR="00B73E63">
        <w:rPr>
          <w:rFonts w:ascii="Arial" w:eastAsia="Arial" w:hAnsi="Arial" w:cs="Arial"/>
          <w:sz w:val="24"/>
          <w:szCs w:val="24"/>
        </w:rPr>
        <w:t>s</w:t>
      </w:r>
      <w:r>
        <w:rPr>
          <w:rFonts w:ascii="Arial" w:eastAsia="Arial" w:hAnsi="Arial" w:cs="Arial"/>
          <w:sz w:val="24"/>
          <w:szCs w:val="24"/>
        </w:rPr>
        <w:t>:</w:t>
      </w:r>
    </w:p>
    <w:p w14:paraId="3C40C7AF" w14:textId="77777777" w:rsidR="00177263" w:rsidRPr="00993C56" w:rsidRDefault="00993C56" w:rsidP="00993C56">
      <w:pPr>
        <w:spacing w:after="0" w:line="240" w:lineRule="auto"/>
        <w:ind w:left="567" w:right="332"/>
        <w:jc w:val="both"/>
        <w:rPr>
          <w:rFonts w:ascii="Arial" w:eastAsia="Arial" w:hAnsi="Arial" w:cs="Arial"/>
        </w:rPr>
      </w:pPr>
      <w:r>
        <w:rPr>
          <w:rFonts w:ascii="Arial" w:eastAsia="Arial" w:hAnsi="Arial" w:cs="Arial"/>
          <w:b/>
          <w:bCs/>
        </w:rPr>
        <w:t xml:space="preserve">Registro digital: </w:t>
      </w:r>
      <w:r w:rsidR="00177263" w:rsidRPr="00993C56">
        <w:rPr>
          <w:rFonts w:ascii="Arial" w:eastAsia="Arial" w:hAnsi="Arial" w:cs="Arial"/>
        </w:rPr>
        <w:t>2024831</w:t>
      </w:r>
    </w:p>
    <w:p w14:paraId="1C395C78" w14:textId="77777777" w:rsidR="00177263" w:rsidRPr="00993C56" w:rsidRDefault="00993C56" w:rsidP="00993C56">
      <w:pPr>
        <w:spacing w:after="0" w:line="240" w:lineRule="auto"/>
        <w:ind w:left="567" w:right="332"/>
        <w:jc w:val="both"/>
        <w:rPr>
          <w:rFonts w:ascii="Arial" w:eastAsia="Arial" w:hAnsi="Arial" w:cs="Arial"/>
        </w:rPr>
      </w:pPr>
      <w:r>
        <w:rPr>
          <w:rFonts w:ascii="Arial" w:eastAsia="Arial" w:hAnsi="Arial" w:cs="Arial"/>
          <w:b/>
          <w:bCs/>
        </w:rPr>
        <w:t xml:space="preserve">Instancia: </w:t>
      </w:r>
      <w:r w:rsidR="00177263" w:rsidRPr="00993C56">
        <w:rPr>
          <w:rFonts w:ascii="Arial" w:eastAsia="Arial" w:hAnsi="Arial" w:cs="Arial"/>
        </w:rPr>
        <w:t>Primera Sala</w:t>
      </w:r>
    </w:p>
    <w:p w14:paraId="5F9D1D8A" w14:textId="77777777"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b/>
          <w:bCs/>
        </w:rPr>
        <w:t>Undécima Época</w:t>
      </w:r>
    </w:p>
    <w:p w14:paraId="29832EF2" w14:textId="77777777" w:rsidR="00177263" w:rsidRPr="00993C56" w:rsidRDefault="00993C56" w:rsidP="00993C56">
      <w:pPr>
        <w:spacing w:after="0" w:line="240" w:lineRule="auto"/>
        <w:ind w:left="567" w:right="332"/>
        <w:jc w:val="both"/>
        <w:rPr>
          <w:rFonts w:ascii="Arial" w:eastAsia="Arial" w:hAnsi="Arial" w:cs="Arial"/>
        </w:rPr>
      </w:pPr>
      <w:r>
        <w:rPr>
          <w:rFonts w:ascii="Arial" w:eastAsia="Arial" w:hAnsi="Arial" w:cs="Arial"/>
          <w:b/>
          <w:bCs/>
        </w:rPr>
        <w:t xml:space="preserve">Materia(s): </w:t>
      </w:r>
      <w:r w:rsidR="00177263" w:rsidRPr="00993C56">
        <w:rPr>
          <w:rFonts w:ascii="Arial" w:eastAsia="Arial" w:hAnsi="Arial" w:cs="Arial"/>
        </w:rPr>
        <w:t>Común</w:t>
      </w:r>
    </w:p>
    <w:p w14:paraId="28ACBE66" w14:textId="77777777" w:rsidR="00177263" w:rsidRPr="00993C56" w:rsidRDefault="00993C56" w:rsidP="00993C56">
      <w:pPr>
        <w:spacing w:after="0" w:line="240" w:lineRule="auto"/>
        <w:ind w:left="567" w:right="332"/>
        <w:jc w:val="both"/>
        <w:rPr>
          <w:rFonts w:ascii="Arial" w:eastAsia="Arial" w:hAnsi="Arial" w:cs="Arial"/>
        </w:rPr>
      </w:pPr>
      <w:r>
        <w:rPr>
          <w:rFonts w:ascii="Arial" w:eastAsia="Arial" w:hAnsi="Arial" w:cs="Arial"/>
          <w:b/>
          <w:bCs/>
        </w:rPr>
        <w:t xml:space="preserve">Tesis: </w:t>
      </w:r>
      <w:r w:rsidR="00177263" w:rsidRPr="00993C56">
        <w:rPr>
          <w:rFonts w:ascii="Arial" w:eastAsia="Arial" w:hAnsi="Arial" w:cs="Arial"/>
        </w:rPr>
        <w:t>1a./J. 85/2022 (11a.)</w:t>
      </w:r>
    </w:p>
    <w:p w14:paraId="061129A6" w14:textId="77777777"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b/>
          <w:bCs/>
        </w:rPr>
        <w:t>F</w:t>
      </w:r>
      <w:r w:rsidR="00993C56">
        <w:rPr>
          <w:rFonts w:ascii="Arial" w:eastAsia="Arial" w:hAnsi="Arial" w:cs="Arial"/>
          <w:b/>
          <w:bCs/>
        </w:rPr>
        <w:t xml:space="preserve">uente: </w:t>
      </w:r>
      <w:r w:rsidRPr="00993C56">
        <w:rPr>
          <w:rFonts w:ascii="Arial" w:eastAsia="Arial" w:hAnsi="Arial" w:cs="Arial"/>
        </w:rPr>
        <w:t>Semanario Judicial de la Federación.</w:t>
      </w:r>
    </w:p>
    <w:p w14:paraId="5B776992" w14:textId="77777777" w:rsidR="00177263" w:rsidRPr="00993C56" w:rsidRDefault="00993C56" w:rsidP="00993C56">
      <w:pPr>
        <w:spacing w:after="0" w:line="240" w:lineRule="auto"/>
        <w:ind w:left="567" w:right="332"/>
        <w:jc w:val="both"/>
        <w:rPr>
          <w:rFonts w:ascii="Arial" w:eastAsia="Arial" w:hAnsi="Arial" w:cs="Arial"/>
        </w:rPr>
      </w:pPr>
      <w:r>
        <w:rPr>
          <w:rFonts w:ascii="Arial" w:eastAsia="Arial" w:hAnsi="Arial" w:cs="Arial"/>
          <w:b/>
          <w:bCs/>
        </w:rPr>
        <w:t xml:space="preserve">Tipo: </w:t>
      </w:r>
      <w:r w:rsidR="00177263" w:rsidRPr="00993C56">
        <w:rPr>
          <w:rFonts w:ascii="Arial" w:eastAsia="Arial" w:hAnsi="Arial" w:cs="Arial"/>
        </w:rPr>
        <w:t>Jurisprudencia</w:t>
      </w:r>
    </w:p>
    <w:p w14:paraId="0F19DC96" w14:textId="77777777" w:rsidR="00993C56" w:rsidRDefault="00993C56" w:rsidP="00993C56">
      <w:pPr>
        <w:spacing w:after="0" w:line="240" w:lineRule="auto"/>
        <w:ind w:left="567" w:right="332"/>
        <w:jc w:val="both"/>
        <w:rPr>
          <w:rFonts w:ascii="Arial" w:eastAsia="Arial" w:hAnsi="Arial" w:cs="Arial"/>
          <w:b/>
          <w:bCs/>
        </w:rPr>
      </w:pPr>
    </w:p>
    <w:p w14:paraId="6E301219" w14:textId="77777777" w:rsidR="00177263" w:rsidRPr="00993C56" w:rsidRDefault="00177263" w:rsidP="00993C56">
      <w:pPr>
        <w:spacing w:after="0" w:line="240" w:lineRule="auto"/>
        <w:ind w:left="567" w:right="332"/>
        <w:jc w:val="both"/>
        <w:rPr>
          <w:rFonts w:ascii="Arial" w:eastAsia="Arial" w:hAnsi="Arial" w:cs="Arial"/>
          <w:b/>
          <w:bCs/>
        </w:rPr>
      </w:pPr>
      <w:r w:rsidRPr="00993C56">
        <w:rPr>
          <w:rFonts w:ascii="Arial" w:eastAsia="Arial" w:hAnsi="Arial" w:cs="Arial"/>
          <w:b/>
          <w:bCs/>
        </w:rPr>
        <w:t>CONTROL DE CONSTITUCIONALIDAD Y CONVENCIONALIDAD EX OFFICIO. NO IMPLICA QUE DEBA EJERCERSE SIEMPRE, SIN CONSIDERAR PRESUPUESTOS FORMALES Y MATERIALES DE ADMISIBILIDAD Y PROCEDENCIA DE LAS ACCIONES INTENTADAS.</w:t>
      </w:r>
    </w:p>
    <w:p w14:paraId="45333E58" w14:textId="77777777" w:rsidR="00993C56" w:rsidRDefault="00993C56" w:rsidP="00993C56">
      <w:pPr>
        <w:spacing w:after="0" w:line="240" w:lineRule="auto"/>
        <w:ind w:left="567" w:right="332"/>
        <w:jc w:val="both"/>
        <w:rPr>
          <w:rFonts w:ascii="Arial" w:eastAsia="Arial" w:hAnsi="Arial" w:cs="Arial"/>
        </w:rPr>
      </w:pPr>
    </w:p>
    <w:p w14:paraId="59EB9A26" w14:textId="77777777"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rPr>
        <w:t>Hechos: En un juicio ordinario civil se demandó, entre otras cuestiones, la nulidad de un contrato de prestación de servicios profesionales que involucró el acto traslativo de dominio de un bien inmueble, en tanto que el demandado reconvino la acción pro forma. El Juez de primera instancia desestimó ambas pretensiones. En contra de esa resolución, ambas partes interpusieron sendos recursos de apelación, y al resolverlos el Tribunal de Alzada modificó la sentencia recurrida. En contra de esa resolución, el demandado promovió juicio de amparo directo en el que formuló diversos conceptos de violación, entre ellos, el relativo a la inconstitucionalidad del artículo 2150 del Código Civil para el Estado de Baja California, cuya resolución constituye la materia de estudio en el presente amparo directo en revisión.</w:t>
      </w:r>
    </w:p>
    <w:p w14:paraId="3E857806" w14:textId="77777777" w:rsidR="00177263" w:rsidRPr="00993C56" w:rsidRDefault="00177263" w:rsidP="00993C56">
      <w:pPr>
        <w:spacing w:after="0" w:line="240" w:lineRule="auto"/>
        <w:ind w:left="567" w:right="332"/>
        <w:jc w:val="both"/>
        <w:rPr>
          <w:rFonts w:ascii="Arial" w:eastAsia="Arial" w:hAnsi="Arial" w:cs="Arial"/>
        </w:rPr>
      </w:pPr>
    </w:p>
    <w:p w14:paraId="215A5E51" w14:textId="77777777"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rPr>
        <w:t>Criterio jurídico: La Primera Sala de la Suprema Corte de Justicia de la Nación determina que los Jueces y las Juezas, en el ámbito de su competencia, antes de proceder al control ex officio de constitucionalidad y convencionalidad, deben resolver cualquier problema relacionado con los presupuestos de procedencia o de admisibilidad de las acciones que las partes promueven.</w:t>
      </w:r>
    </w:p>
    <w:p w14:paraId="22E0FEA1" w14:textId="77777777" w:rsidR="00177263" w:rsidRPr="00993C56" w:rsidRDefault="00177263" w:rsidP="00993C56">
      <w:pPr>
        <w:spacing w:after="0" w:line="240" w:lineRule="auto"/>
        <w:ind w:left="567" w:right="332"/>
        <w:jc w:val="both"/>
        <w:rPr>
          <w:rFonts w:ascii="Arial" w:eastAsia="Arial" w:hAnsi="Arial" w:cs="Arial"/>
        </w:rPr>
      </w:pPr>
    </w:p>
    <w:p w14:paraId="2C95189E" w14:textId="77777777"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rPr>
        <w:t>Justificación: La expresión "ex officio" que se predica del control judicial significa que los Jueces tienen la facultad de controlar las normas que van a aplicar de cara a la Constitución y a los tratados internacionales sobre derechos humanos de los que el Estado Mexicano sea Parte, por el simple hecho de ser Jueces o Juezas, pero no que necesariamente deban hacer ese control en tres pasos (interpretación conforme en sentido amplio, interpretación conforme en sentido estricto e inaplicación) en todos los casos, sino en aquellos en los que, de forma incidental, sea solicitado por las partes o adviertan que la norma amerita dicho control, sin hacer a un lado los presupuestos formales y materiales de admisibilidad. Al respecto, la propia Corte Interamericana de Derechos Humanos ha señalado que: "No implica que ese control deba ejercerse siempre, sin considerar otros presupuestos formales y materiales de admisibilidad y procedencia de ese tipo de acciones".</w:t>
      </w:r>
    </w:p>
    <w:p w14:paraId="6EDE2CBA" w14:textId="77777777" w:rsidR="00177263" w:rsidRPr="00993C56" w:rsidRDefault="00177263" w:rsidP="00993C56">
      <w:pPr>
        <w:spacing w:after="0" w:line="240" w:lineRule="auto"/>
        <w:ind w:left="567" w:right="332"/>
        <w:jc w:val="both"/>
        <w:rPr>
          <w:rFonts w:ascii="Arial" w:eastAsia="Arial" w:hAnsi="Arial" w:cs="Arial"/>
        </w:rPr>
      </w:pPr>
    </w:p>
    <w:p w14:paraId="5C66D8C6" w14:textId="77777777"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rPr>
        <w:t>PRIMERA SALA.</w:t>
      </w:r>
    </w:p>
    <w:p w14:paraId="709711D9" w14:textId="77777777" w:rsidR="00177263" w:rsidRPr="00993C56" w:rsidRDefault="00177263" w:rsidP="00993C56">
      <w:pPr>
        <w:spacing w:after="0" w:line="240" w:lineRule="auto"/>
        <w:ind w:left="567" w:right="332"/>
        <w:jc w:val="both"/>
        <w:rPr>
          <w:rFonts w:ascii="Arial" w:eastAsia="Arial" w:hAnsi="Arial" w:cs="Arial"/>
        </w:rPr>
      </w:pPr>
    </w:p>
    <w:p w14:paraId="6E949D94" w14:textId="77777777"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rPr>
        <w:t>Amparo directo en revisión 2283/2013. Roberto Esteban Chávez Salinas. 23 de marzo de 2022. Cinco votos de las Ministras Norma Lucía Piña Hernández, quien está con el sentido, pero se aparta de algunos párrafos, y Ana Margarita Ríos Farjat, quien está con el sentido, pero se aparta de algunos párrafos, y los Ministros Juan Luis González Alcántara Carrancá, Jorge Mario Pardo Rebolledo, quien formuló voto concurrente, y Alfredo Gutiérrez Ortiz Mena. Ponente: Ministro Juan Luis González Alcántara Carrancá. Secretarios: Pablo Francisco Muñoz Díaz y Fernando Sosa Pastrana.</w:t>
      </w:r>
    </w:p>
    <w:p w14:paraId="566E1865" w14:textId="77777777" w:rsidR="00177263" w:rsidRPr="00993C56" w:rsidRDefault="00177263" w:rsidP="00993C56">
      <w:pPr>
        <w:spacing w:after="0" w:line="240" w:lineRule="auto"/>
        <w:ind w:left="567" w:right="332"/>
        <w:jc w:val="both"/>
        <w:rPr>
          <w:rFonts w:ascii="Arial" w:eastAsia="Arial" w:hAnsi="Arial" w:cs="Arial"/>
        </w:rPr>
      </w:pPr>
    </w:p>
    <w:p w14:paraId="58AACE9B" w14:textId="77777777" w:rsidR="00177263" w:rsidRPr="00993C56" w:rsidRDefault="00177263" w:rsidP="00993C56">
      <w:pPr>
        <w:spacing w:after="0" w:line="240" w:lineRule="auto"/>
        <w:ind w:left="567" w:right="332"/>
        <w:jc w:val="both"/>
        <w:rPr>
          <w:rFonts w:ascii="Arial" w:eastAsia="Arial" w:hAnsi="Arial" w:cs="Arial"/>
        </w:rPr>
      </w:pPr>
      <w:r w:rsidRPr="00993C56">
        <w:rPr>
          <w:rFonts w:ascii="Arial" w:eastAsia="Arial" w:hAnsi="Arial" w:cs="Arial"/>
        </w:rPr>
        <w:t>Tesis de jurisprudencia 85/2022 (11a.). Aprobada por la Primera Sala de este Alto Tribunal, en sesión privada de ocho de junio de dos mil veintidós.</w:t>
      </w:r>
    </w:p>
    <w:p w14:paraId="2BC4EA13" w14:textId="77777777" w:rsidR="00177263" w:rsidRPr="007573B7" w:rsidRDefault="00177263" w:rsidP="007573B7">
      <w:pPr>
        <w:spacing w:after="0" w:line="240" w:lineRule="auto"/>
        <w:ind w:left="567" w:right="335"/>
        <w:jc w:val="both"/>
        <w:rPr>
          <w:rFonts w:ascii="Arial" w:eastAsia="Arial" w:hAnsi="Arial" w:cs="Arial"/>
        </w:rPr>
      </w:pPr>
    </w:p>
    <w:p w14:paraId="3C54A59B" w14:textId="77777777" w:rsidR="00177263" w:rsidRPr="007573B7" w:rsidRDefault="00177263" w:rsidP="007573B7">
      <w:pPr>
        <w:spacing w:after="0" w:line="240" w:lineRule="auto"/>
        <w:ind w:left="567" w:right="335"/>
        <w:jc w:val="both"/>
        <w:rPr>
          <w:rFonts w:ascii="Arial" w:eastAsia="Arial" w:hAnsi="Arial" w:cs="Arial"/>
        </w:rPr>
      </w:pPr>
      <w:r w:rsidRPr="007573B7">
        <w:rPr>
          <w:rFonts w:ascii="Arial" w:eastAsia="Arial" w:hAnsi="Arial" w:cs="Arial"/>
        </w:rPr>
        <w:lastRenderedPageBreak/>
        <w:t>Esta tesis se publicó el viernes 17 de junio de 2022 a las 10:23 horas en el Semanario Judicial de la Federación y, por ende, se considera de aplicación obligatoria a partir del lunes 20 de junio de 2022, para los efectos previstos en el punto noveno del Acuerdo General Plenario 1/2021.</w:t>
      </w:r>
    </w:p>
    <w:p w14:paraId="166208D2" w14:textId="77777777" w:rsidR="007573B7" w:rsidRPr="007573B7" w:rsidRDefault="007573B7" w:rsidP="007573B7">
      <w:pPr>
        <w:spacing w:after="0" w:line="240" w:lineRule="auto"/>
        <w:ind w:left="567" w:right="335"/>
        <w:jc w:val="both"/>
        <w:rPr>
          <w:rFonts w:ascii="Arial" w:eastAsia="Arial" w:hAnsi="Arial" w:cs="Arial"/>
        </w:rPr>
      </w:pPr>
    </w:p>
    <w:p w14:paraId="49F92E24" w14:textId="77777777" w:rsidR="007573B7" w:rsidRPr="007573B7" w:rsidRDefault="007573B7" w:rsidP="007573B7">
      <w:pPr>
        <w:spacing w:after="0" w:line="240" w:lineRule="auto"/>
        <w:ind w:left="567" w:right="335"/>
        <w:jc w:val="both"/>
        <w:rPr>
          <w:rFonts w:ascii="Arial" w:eastAsia="Arial" w:hAnsi="Arial" w:cs="Arial"/>
        </w:rPr>
      </w:pPr>
    </w:p>
    <w:p w14:paraId="776BEA59" w14:textId="77777777" w:rsidR="007573B7" w:rsidRPr="007573B7" w:rsidRDefault="00B73E63" w:rsidP="007573B7">
      <w:pPr>
        <w:spacing w:after="0" w:line="240" w:lineRule="auto"/>
        <w:ind w:left="567" w:right="335"/>
        <w:jc w:val="both"/>
        <w:rPr>
          <w:rFonts w:ascii="Arial" w:eastAsia="Arial" w:hAnsi="Arial" w:cs="Arial"/>
        </w:rPr>
      </w:pPr>
      <w:r>
        <w:rPr>
          <w:rFonts w:ascii="Arial" w:eastAsia="Arial" w:hAnsi="Arial" w:cs="Arial"/>
          <w:b/>
          <w:bCs/>
        </w:rPr>
        <w:t xml:space="preserve">Registro digital: </w:t>
      </w:r>
      <w:r w:rsidR="007573B7" w:rsidRPr="007573B7">
        <w:rPr>
          <w:rFonts w:ascii="Arial" w:eastAsia="Arial" w:hAnsi="Arial" w:cs="Arial"/>
        </w:rPr>
        <w:t>2010419</w:t>
      </w:r>
    </w:p>
    <w:p w14:paraId="020A5F48" w14:textId="77777777" w:rsidR="007573B7" w:rsidRPr="007573B7" w:rsidRDefault="00B73E63" w:rsidP="007573B7">
      <w:pPr>
        <w:spacing w:after="0" w:line="240" w:lineRule="auto"/>
        <w:ind w:left="567" w:right="335"/>
        <w:jc w:val="both"/>
        <w:rPr>
          <w:rFonts w:ascii="Arial" w:eastAsia="Arial" w:hAnsi="Arial" w:cs="Arial"/>
        </w:rPr>
      </w:pPr>
      <w:r>
        <w:rPr>
          <w:rFonts w:ascii="Arial" w:eastAsia="Arial" w:hAnsi="Arial" w:cs="Arial"/>
          <w:b/>
          <w:bCs/>
        </w:rPr>
        <w:t xml:space="preserve">Instancia: </w:t>
      </w:r>
      <w:r w:rsidR="007573B7" w:rsidRPr="007573B7">
        <w:rPr>
          <w:rFonts w:ascii="Arial" w:eastAsia="Arial" w:hAnsi="Arial" w:cs="Arial"/>
        </w:rPr>
        <w:t>Primera Sala</w:t>
      </w:r>
    </w:p>
    <w:p w14:paraId="62F605E0" w14:textId="77777777" w:rsidR="007573B7" w:rsidRPr="007573B7" w:rsidRDefault="007573B7" w:rsidP="007573B7">
      <w:pPr>
        <w:spacing w:after="0" w:line="240" w:lineRule="auto"/>
        <w:ind w:left="567" w:right="335"/>
        <w:jc w:val="both"/>
        <w:rPr>
          <w:rFonts w:ascii="Arial" w:eastAsia="Arial" w:hAnsi="Arial" w:cs="Arial"/>
        </w:rPr>
      </w:pPr>
      <w:r w:rsidRPr="007573B7">
        <w:rPr>
          <w:rFonts w:ascii="Arial" w:eastAsia="Arial" w:hAnsi="Arial" w:cs="Arial"/>
          <w:b/>
          <w:bCs/>
        </w:rPr>
        <w:t>Décima Época</w:t>
      </w:r>
    </w:p>
    <w:p w14:paraId="134C4F7A" w14:textId="77777777" w:rsidR="007573B7" w:rsidRPr="007573B7" w:rsidRDefault="00B73E63" w:rsidP="007573B7">
      <w:pPr>
        <w:spacing w:after="0" w:line="240" w:lineRule="auto"/>
        <w:ind w:left="567" w:right="335"/>
        <w:jc w:val="both"/>
        <w:rPr>
          <w:rFonts w:ascii="Arial" w:eastAsia="Arial" w:hAnsi="Arial" w:cs="Arial"/>
        </w:rPr>
      </w:pPr>
      <w:r>
        <w:rPr>
          <w:rFonts w:ascii="Arial" w:eastAsia="Arial" w:hAnsi="Arial" w:cs="Arial"/>
          <w:b/>
          <w:bCs/>
        </w:rPr>
        <w:t xml:space="preserve">Materia(s): </w:t>
      </w:r>
      <w:r w:rsidR="007573B7" w:rsidRPr="007573B7">
        <w:rPr>
          <w:rFonts w:ascii="Arial" w:eastAsia="Arial" w:hAnsi="Arial" w:cs="Arial"/>
        </w:rPr>
        <w:t>Común</w:t>
      </w:r>
    </w:p>
    <w:p w14:paraId="7191B16A" w14:textId="77777777" w:rsidR="007573B7" w:rsidRPr="007573B7" w:rsidRDefault="00B73E63" w:rsidP="007573B7">
      <w:pPr>
        <w:spacing w:after="0" w:line="240" w:lineRule="auto"/>
        <w:ind w:left="567" w:right="335"/>
        <w:jc w:val="both"/>
        <w:rPr>
          <w:rFonts w:ascii="Arial" w:eastAsia="Arial" w:hAnsi="Arial" w:cs="Arial"/>
        </w:rPr>
      </w:pPr>
      <w:r>
        <w:rPr>
          <w:rFonts w:ascii="Arial" w:eastAsia="Arial" w:hAnsi="Arial" w:cs="Arial"/>
          <w:b/>
          <w:bCs/>
        </w:rPr>
        <w:t xml:space="preserve">Tesis: </w:t>
      </w:r>
      <w:r w:rsidR="007573B7" w:rsidRPr="007573B7">
        <w:rPr>
          <w:rFonts w:ascii="Arial" w:eastAsia="Arial" w:hAnsi="Arial" w:cs="Arial"/>
        </w:rPr>
        <w:t>1a. CCCXLV/2015 (10a.)</w:t>
      </w:r>
    </w:p>
    <w:p w14:paraId="7D503540" w14:textId="77777777" w:rsidR="007573B7" w:rsidRPr="007573B7" w:rsidRDefault="00B73E63" w:rsidP="007573B7">
      <w:pPr>
        <w:spacing w:after="0" w:line="240" w:lineRule="auto"/>
        <w:ind w:left="567" w:right="335"/>
        <w:jc w:val="both"/>
        <w:rPr>
          <w:rFonts w:ascii="Arial" w:eastAsia="Arial" w:hAnsi="Arial" w:cs="Arial"/>
        </w:rPr>
      </w:pPr>
      <w:r>
        <w:rPr>
          <w:rFonts w:ascii="Arial" w:eastAsia="Arial" w:hAnsi="Arial" w:cs="Arial"/>
          <w:b/>
          <w:bCs/>
        </w:rPr>
        <w:t xml:space="preserve">Fuente: </w:t>
      </w:r>
      <w:r w:rsidR="007573B7" w:rsidRPr="007573B7">
        <w:rPr>
          <w:rFonts w:ascii="Arial" w:eastAsia="Arial" w:hAnsi="Arial" w:cs="Arial"/>
        </w:rPr>
        <w:t>Gaceta del Semanario Judicial de la Federación.</w:t>
      </w:r>
      <w:r w:rsidR="007573B7" w:rsidRPr="007573B7">
        <w:rPr>
          <w:rFonts w:ascii="Arial" w:eastAsia="Arial" w:hAnsi="Arial" w:cs="Arial"/>
        </w:rPr>
        <w:br/>
        <w:t>Libro 24, Noviembre de 2015, Tomo I , página 962</w:t>
      </w:r>
    </w:p>
    <w:p w14:paraId="0917E14C" w14:textId="77777777" w:rsidR="007573B7" w:rsidRPr="007573B7" w:rsidRDefault="00B73E63" w:rsidP="007573B7">
      <w:pPr>
        <w:spacing w:after="0" w:line="240" w:lineRule="auto"/>
        <w:ind w:left="567" w:right="335"/>
        <w:jc w:val="both"/>
        <w:rPr>
          <w:rFonts w:ascii="Arial" w:eastAsia="Arial" w:hAnsi="Arial" w:cs="Arial"/>
        </w:rPr>
      </w:pPr>
      <w:r>
        <w:rPr>
          <w:rFonts w:ascii="Arial" w:eastAsia="Arial" w:hAnsi="Arial" w:cs="Arial"/>
          <w:b/>
          <w:bCs/>
        </w:rPr>
        <w:t xml:space="preserve">Tipo: </w:t>
      </w:r>
      <w:r w:rsidR="007573B7" w:rsidRPr="007573B7">
        <w:rPr>
          <w:rFonts w:ascii="Arial" w:eastAsia="Arial" w:hAnsi="Arial" w:cs="Arial"/>
        </w:rPr>
        <w:t>Aislada</w:t>
      </w:r>
    </w:p>
    <w:p w14:paraId="742ADCA0" w14:textId="77777777" w:rsidR="00B73E63" w:rsidRDefault="00B73E63" w:rsidP="007573B7">
      <w:pPr>
        <w:spacing w:after="0" w:line="240" w:lineRule="auto"/>
        <w:ind w:left="567" w:right="335"/>
        <w:jc w:val="both"/>
        <w:rPr>
          <w:rFonts w:ascii="Arial" w:eastAsia="Arial" w:hAnsi="Arial" w:cs="Arial"/>
          <w:b/>
          <w:bCs/>
        </w:rPr>
      </w:pPr>
    </w:p>
    <w:p w14:paraId="2B5ED2EC" w14:textId="77777777" w:rsidR="007573B7" w:rsidRPr="007573B7" w:rsidRDefault="007573B7" w:rsidP="007573B7">
      <w:pPr>
        <w:spacing w:after="0" w:line="240" w:lineRule="auto"/>
        <w:ind w:left="567" w:right="335"/>
        <w:jc w:val="both"/>
        <w:rPr>
          <w:rFonts w:ascii="Arial" w:eastAsia="Arial" w:hAnsi="Arial" w:cs="Arial"/>
          <w:b/>
          <w:bCs/>
        </w:rPr>
      </w:pPr>
      <w:r w:rsidRPr="007573B7">
        <w:rPr>
          <w:rFonts w:ascii="Arial" w:eastAsia="Arial" w:hAnsi="Arial" w:cs="Arial"/>
          <w:b/>
          <w:bCs/>
        </w:rPr>
        <w:t>CONTROL DE CONVENCIONALIDAD. SU APLICACIÓN NO IMPLICA QUE EL JUZGADOR PUEDA OBVIAR LAS REGLAS PROCESALES.</w:t>
      </w:r>
    </w:p>
    <w:p w14:paraId="6FCE77AE" w14:textId="77777777" w:rsidR="007573B7" w:rsidRPr="007573B7" w:rsidRDefault="007573B7" w:rsidP="007573B7">
      <w:pPr>
        <w:spacing w:after="0" w:line="240" w:lineRule="auto"/>
        <w:ind w:left="567" w:right="335"/>
        <w:jc w:val="both"/>
        <w:rPr>
          <w:rFonts w:ascii="Arial" w:eastAsia="Arial" w:hAnsi="Arial" w:cs="Arial"/>
        </w:rPr>
      </w:pPr>
    </w:p>
    <w:p w14:paraId="5ED24725" w14:textId="77777777" w:rsidR="007573B7" w:rsidRPr="007573B7" w:rsidRDefault="007573B7" w:rsidP="007573B7">
      <w:pPr>
        <w:spacing w:after="0" w:line="240" w:lineRule="auto"/>
        <w:ind w:left="567" w:right="335"/>
        <w:jc w:val="both"/>
        <w:rPr>
          <w:rFonts w:ascii="Arial" w:eastAsia="Arial" w:hAnsi="Arial" w:cs="Arial"/>
        </w:rPr>
      </w:pPr>
      <w:r w:rsidRPr="007573B7">
        <w:rPr>
          <w:rFonts w:ascii="Arial" w:eastAsia="Arial" w:hAnsi="Arial" w:cs="Arial"/>
        </w:rPr>
        <w:t>El control de convencionalidad no implica que el juzgador pueda obviar, a conveniencia, el debido proceso ni sus formalidades. Así, esta Primera Sala de la Suprema Corte de Justicia de la Nación estima que existiendo los canales procesales y judiciales que brinden acceso a la justicia, el juez que conoce de un caso debe ceñirse a aplicar el control de convencionalidad en el ámbito de sus competencias, sin obviar dichos canales.</w:t>
      </w:r>
    </w:p>
    <w:p w14:paraId="440036E0" w14:textId="77777777" w:rsidR="007573B7" w:rsidRPr="007573B7" w:rsidRDefault="007573B7" w:rsidP="007573B7">
      <w:pPr>
        <w:spacing w:after="0" w:line="240" w:lineRule="auto"/>
        <w:ind w:left="567" w:right="335"/>
        <w:jc w:val="both"/>
        <w:rPr>
          <w:rFonts w:ascii="Arial" w:eastAsia="Arial" w:hAnsi="Arial" w:cs="Arial"/>
        </w:rPr>
      </w:pPr>
    </w:p>
    <w:p w14:paraId="57460072" w14:textId="77777777" w:rsidR="007573B7" w:rsidRPr="007573B7" w:rsidRDefault="007573B7" w:rsidP="007573B7">
      <w:pPr>
        <w:spacing w:after="0" w:line="240" w:lineRule="auto"/>
        <w:ind w:left="567" w:right="335"/>
        <w:jc w:val="both"/>
        <w:rPr>
          <w:rFonts w:ascii="Arial" w:eastAsia="Arial" w:hAnsi="Arial" w:cs="Arial"/>
        </w:rPr>
      </w:pPr>
      <w:r w:rsidRPr="007573B7">
        <w:rPr>
          <w:rFonts w:ascii="Arial" w:eastAsia="Arial" w:hAnsi="Arial" w:cs="Arial"/>
        </w:rPr>
        <w:t>Amparo en revisión 476/2014. 22 de abril de 2015. Cinco votos de los Ministros Arturo Zaldívar Lelo de Larrea, José Ramón Cossío Díaz, Jorge Mario Pardo Rebolledo, Olga Sánchez Cordero de García Villegas y Alfredo Gutiérrez Ortiz Mena. Ponente: Alfredo Gutiérrez Ortiz Mena. Secretaria: Karla I. Quintana Osuna.</w:t>
      </w:r>
    </w:p>
    <w:p w14:paraId="338C03C9" w14:textId="77777777" w:rsidR="007573B7" w:rsidRPr="007573B7" w:rsidRDefault="007573B7" w:rsidP="007573B7">
      <w:pPr>
        <w:spacing w:after="0" w:line="240" w:lineRule="auto"/>
        <w:ind w:left="567" w:right="335"/>
        <w:jc w:val="both"/>
        <w:rPr>
          <w:rFonts w:ascii="Arial" w:eastAsia="Arial" w:hAnsi="Arial" w:cs="Arial"/>
        </w:rPr>
      </w:pPr>
    </w:p>
    <w:p w14:paraId="1D79FEDA" w14:textId="77777777" w:rsidR="007573B7" w:rsidRDefault="007573B7" w:rsidP="007573B7">
      <w:pPr>
        <w:spacing w:after="0" w:line="240" w:lineRule="auto"/>
        <w:ind w:left="567" w:right="335"/>
        <w:jc w:val="both"/>
        <w:rPr>
          <w:rFonts w:ascii="Arial" w:eastAsia="Arial" w:hAnsi="Arial" w:cs="Arial"/>
        </w:rPr>
      </w:pPr>
      <w:r w:rsidRPr="007573B7">
        <w:rPr>
          <w:rFonts w:ascii="Arial" w:eastAsia="Arial" w:hAnsi="Arial" w:cs="Arial"/>
        </w:rPr>
        <w:t>Esta tesis se publicó el viernes 13 de noviembre de 2015 a las 10:06 horas en el Semanario Judicial de la Federación.</w:t>
      </w:r>
    </w:p>
    <w:p w14:paraId="6C32B9F3" w14:textId="77777777" w:rsidR="0006283A" w:rsidRDefault="0006283A" w:rsidP="007573B7">
      <w:pPr>
        <w:spacing w:after="0" w:line="240" w:lineRule="auto"/>
        <w:ind w:left="567" w:right="335"/>
        <w:jc w:val="both"/>
        <w:rPr>
          <w:rFonts w:ascii="Arial" w:eastAsia="Arial" w:hAnsi="Arial" w:cs="Arial"/>
        </w:rPr>
      </w:pPr>
    </w:p>
    <w:p w14:paraId="7114876D" w14:textId="77777777" w:rsidR="0006283A" w:rsidRPr="007573B7" w:rsidRDefault="0006283A" w:rsidP="007573B7">
      <w:pPr>
        <w:spacing w:after="0" w:line="240" w:lineRule="auto"/>
        <w:ind w:left="567" w:right="335"/>
        <w:jc w:val="both"/>
        <w:rPr>
          <w:rFonts w:ascii="Arial" w:eastAsia="Arial" w:hAnsi="Arial" w:cs="Arial"/>
        </w:rPr>
      </w:pPr>
    </w:p>
    <w:p w14:paraId="3B9C4D05" w14:textId="77777777" w:rsidR="00AC45D7" w:rsidRDefault="00AC45D7" w:rsidP="00F22530">
      <w:pPr>
        <w:spacing w:line="360" w:lineRule="auto"/>
        <w:ind w:right="51" w:firstLine="567"/>
        <w:jc w:val="both"/>
        <w:rPr>
          <w:rFonts w:ascii="Arial" w:hAnsi="Arial" w:cs="Arial"/>
          <w:sz w:val="24"/>
          <w:szCs w:val="24"/>
        </w:rPr>
      </w:pPr>
      <w:r>
        <w:rPr>
          <w:rFonts w:ascii="Arial" w:hAnsi="Arial" w:cs="Arial"/>
          <w:sz w:val="24"/>
          <w:szCs w:val="24"/>
        </w:rPr>
        <w:t>En efecto, de conformidad con el artículo 17 de la Constitución Política de los Estados Unidos Mexicanos</w:t>
      </w:r>
      <w:r w:rsidR="00B14107">
        <w:rPr>
          <w:rFonts w:ascii="Arial" w:hAnsi="Arial" w:cs="Arial"/>
          <w:sz w:val="24"/>
          <w:szCs w:val="24"/>
        </w:rPr>
        <w:t>, t</w:t>
      </w:r>
      <w:r w:rsidR="00B14107" w:rsidRPr="00B14107">
        <w:rPr>
          <w:rFonts w:ascii="Arial" w:hAnsi="Arial" w:cs="Arial"/>
          <w:sz w:val="24"/>
          <w:szCs w:val="24"/>
        </w:rPr>
        <w:t xml:space="preserve">oda persona tiene derecho a que se le administre justicia por tribunales que estarán expeditos para impartirla en los plazos y términos que fijen las leyes, emitiendo sus resoluciones de manera pronta, completa e </w:t>
      </w:r>
      <w:r w:rsidR="00B14107">
        <w:rPr>
          <w:rFonts w:ascii="Arial" w:hAnsi="Arial" w:cs="Arial"/>
          <w:sz w:val="24"/>
          <w:szCs w:val="24"/>
        </w:rPr>
        <w:t>i</w:t>
      </w:r>
      <w:r w:rsidR="007E5ABC">
        <w:rPr>
          <w:rFonts w:ascii="Arial" w:hAnsi="Arial" w:cs="Arial"/>
          <w:sz w:val="24"/>
          <w:szCs w:val="24"/>
        </w:rPr>
        <w:t>mparcial; sin que ello implique</w:t>
      </w:r>
      <w:r w:rsidR="007E5ABC" w:rsidRPr="007E5ABC">
        <w:rPr>
          <w:rFonts w:ascii="Arial" w:hAnsi="Arial" w:cs="Arial"/>
          <w:sz w:val="24"/>
          <w:szCs w:val="24"/>
        </w:rPr>
        <w:t xml:space="preserve"> hacer a un lado los presupuestos formales y materiales de admisibilidad</w:t>
      </w:r>
      <w:r w:rsidR="00FD3D58">
        <w:rPr>
          <w:rFonts w:ascii="Arial" w:hAnsi="Arial" w:cs="Arial"/>
          <w:sz w:val="24"/>
          <w:szCs w:val="24"/>
        </w:rPr>
        <w:t>.</w:t>
      </w:r>
    </w:p>
    <w:p w14:paraId="76438C5C" w14:textId="77777777" w:rsidR="00FD3D58" w:rsidRPr="00FD3D58" w:rsidRDefault="00FD3D58" w:rsidP="00FD3D58">
      <w:pPr>
        <w:spacing w:line="360" w:lineRule="auto"/>
        <w:ind w:right="51" w:firstLine="567"/>
        <w:jc w:val="both"/>
        <w:rPr>
          <w:rFonts w:ascii="Arial" w:hAnsi="Arial" w:cs="Arial"/>
          <w:sz w:val="24"/>
          <w:szCs w:val="24"/>
        </w:rPr>
      </w:pPr>
      <w:r w:rsidRPr="00FD3D58">
        <w:rPr>
          <w:rFonts w:ascii="Arial" w:hAnsi="Arial" w:cs="Arial"/>
          <w:sz w:val="24"/>
          <w:szCs w:val="24"/>
        </w:rPr>
        <w:t>Máxime que existen los medios legales que permiten que los accionantes puedan acceder a este Tribunal a efecto de que, en el caso de asistirles la razón, se satisfaga su pretensión.</w:t>
      </w:r>
    </w:p>
    <w:p w14:paraId="186C9392" w14:textId="77777777" w:rsidR="00221537" w:rsidRDefault="00221537" w:rsidP="00234A80">
      <w:pPr>
        <w:spacing w:line="360" w:lineRule="auto"/>
        <w:ind w:right="51" w:firstLine="567"/>
        <w:jc w:val="both"/>
        <w:rPr>
          <w:rFonts w:ascii="Arial" w:hAnsi="Arial" w:cs="Arial"/>
          <w:sz w:val="24"/>
          <w:szCs w:val="24"/>
        </w:rPr>
      </w:pPr>
      <w:r>
        <w:rPr>
          <w:rFonts w:ascii="Arial" w:hAnsi="Arial" w:cs="Arial"/>
          <w:sz w:val="24"/>
          <w:szCs w:val="24"/>
        </w:rPr>
        <w:t>Se dice lo anterior, con sustento a lo regulado por los siguientes ordenamientos:</w:t>
      </w:r>
    </w:p>
    <w:p w14:paraId="1865FC1E" w14:textId="77777777" w:rsidR="00234A80" w:rsidRDefault="00221537" w:rsidP="00102DF8">
      <w:pPr>
        <w:spacing w:after="0" w:line="240" w:lineRule="auto"/>
        <w:ind w:left="567" w:right="335"/>
        <w:jc w:val="both"/>
        <w:rPr>
          <w:rFonts w:ascii="Arial" w:hAnsi="Arial" w:cs="Arial"/>
          <w:b/>
          <w:bCs/>
        </w:rPr>
      </w:pPr>
      <w:r w:rsidRPr="00102DF8">
        <w:rPr>
          <w:rFonts w:ascii="Arial" w:hAnsi="Arial" w:cs="Arial"/>
          <w:b/>
          <w:bCs/>
        </w:rPr>
        <w:t>LEY DEL SISTEMA ESTATAL DE SEGURIDAD PÚBLICA DE OAXACA</w:t>
      </w:r>
    </w:p>
    <w:p w14:paraId="1B85C798" w14:textId="77777777" w:rsidR="00102DF8" w:rsidRPr="00102DF8" w:rsidRDefault="00102DF8" w:rsidP="00102DF8">
      <w:pPr>
        <w:spacing w:after="0" w:line="240" w:lineRule="auto"/>
        <w:ind w:left="567" w:right="335"/>
        <w:jc w:val="both"/>
        <w:rPr>
          <w:rFonts w:ascii="Arial" w:hAnsi="Arial" w:cs="Arial"/>
        </w:rPr>
      </w:pPr>
    </w:p>
    <w:p w14:paraId="7646CAA3" w14:textId="77777777" w:rsidR="0070169C" w:rsidRPr="00102DF8" w:rsidRDefault="0070169C" w:rsidP="00102DF8">
      <w:pPr>
        <w:autoSpaceDE w:val="0"/>
        <w:autoSpaceDN w:val="0"/>
        <w:adjustRightInd w:val="0"/>
        <w:spacing w:after="0" w:line="240" w:lineRule="auto"/>
        <w:ind w:left="567" w:right="335"/>
        <w:jc w:val="both"/>
        <w:rPr>
          <w:rFonts w:ascii="Arial" w:hAnsi="Arial" w:cs="Arial"/>
          <w:bCs/>
        </w:rPr>
      </w:pPr>
      <w:r w:rsidRPr="00102DF8">
        <w:rPr>
          <w:rFonts w:ascii="Arial" w:hAnsi="Arial" w:cs="Arial"/>
          <w:b/>
          <w:bCs/>
        </w:rPr>
        <w:t xml:space="preserve">Artículo 1. </w:t>
      </w:r>
      <w:r w:rsidRPr="00102DF8">
        <w:rPr>
          <w:rFonts w:ascii="Arial" w:hAnsi="Arial" w:cs="Arial"/>
          <w:bCs/>
        </w:rPr>
        <w:t>La presente Ley es de orden público e interés social, de observancia general en el Estado de Oaxaca, y tiene por objeto establecer y desarrollar las bases de aplicación del Sistema Estatal de Seguridad Pública, y de coordinación entre el Estado y los Municipios y regular la función de seguridad pública.</w:t>
      </w:r>
    </w:p>
    <w:p w14:paraId="14D8C6CE" w14:textId="77777777" w:rsidR="0070169C" w:rsidRPr="00102DF8" w:rsidRDefault="0070169C" w:rsidP="00102DF8">
      <w:pPr>
        <w:autoSpaceDE w:val="0"/>
        <w:autoSpaceDN w:val="0"/>
        <w:adjustRightInd w:val="0"/>
        <w:spacing w:after="0" w:line="240" w:lineRule="auto"/>
        <w:ind w:left="567" w:right="335"/>
        <w:jc w:val="both"/>
        <w:rPr>
          <w:rFonts w:ascii="Arial" w:hAnsi="Arial" w:cs="Arial"/>
          <w:bCs/>
        </w:rPr>
      </w:pPr>
    </w:p>
    <w:p w14:paraId="5B4F7C6A" w14:textId="77777777" w:rsidR="0070169C" w:rsidRPr="00102DF8" w:rsidRDefault="0070169C"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b/>
          <w:bCs/>
        </w:rPr>
        <w:t xml:space="preserve">Artículo 9. </w:t>
      </w:r>
      <w:r w:rsidRPr="00102DF8">
        <w:rPr>
          <w:rFonts w:ascii="Arial" w:hAnsi="Arial" w:cs="Arial"/>
        </w:rPr>
        <w:t>A falta de previsión expresa en la presente Ley, se estará a las siguientes reglas de supletoriedad:</w:t>
      </w:r>
    </w:p>
    <w:p w14:paraId="1364D576" w14:textId="77777777" w:rsidR="0070169C" w:rsidRPr="00102DF8" w:rsidRDefault="0070169C" w:rsidP="00102DF8">
      <w:pPr>
        <w:autoSpaceDE w:val="0"/>
        <w:autoSpaceDN w:val="0"/>
        <w:adjustRightInd w:val="0"/>
        <w:spacing w:after="0" w:line="240" w:lineRule="auto"/>
        <w:ind w:left="567" w:right="335"/>
        <w:jc w:val="both"/>
        <w:rPr>
          <w:rFonts w:ascii="Arial" w:hAnsi="Arial" w:cs="Arial"/>
        </w:rPr>
      </w:pPr>
    </w:p>
    <w:p w14:paraId="1E5DD960" w14:textId="77777777" w:rsidR="0070169C" w:rsidRPr="00102DF8" w:rsidRDefault="0070169C"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rPr>
        <w:lastRenderedPageBreak/>
        <w:t>I. Respecto del apoyo y coordinación interinstitucional de los tres órdenes de gobierno, se estará a lo dispuesto en la Ley General, y a las resoluciones y acuerdos emitidos por el Consejo Nacional de Seguridad Pública y el Consejo Estatal de Seguridad Pública;</w:t>
      </w:r>
    </w:p>
    <w:p w14:paraId="1168F29F" w14:textId="77777777" w:rsidR="0070169C" w:rsidRPr="00102DF8" w:rsidRDefault="0070169C" w:rsidP="00102DF8">
      <w:pPr>
        <w:autoSpaceDE w:val="0"/>
        <w:autoSpaceDN w:val="0"/>
        <w:adjustRightInd w:val="0"/>
        <w:spacing w:after="0" w:line="240" w:lineRule="auto"/>
        <w:ind w:left="567" w:right="335"/>
        <w:jc w:val="both"/>
        <w:rPr>
          <w:rFonts w:ascii="Arial" w:hAnsi="Arial" w:cs="Arial"/>
        </w:rPr>
      </w:pPr>
    </w:p>
    <w:p w14:paraId="023080D4" w14:textId="77777777" w:rsidR="0070169C" w:rsidRPr="00102DF8" w:rsidRDefault="0070169C"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rPr>
        <w:t>II. En materia de procedimientos administrativos de carrera policial y del régimen disciplinario, la Ley de Justicia Administrativa para el Estado de Oaxaca, y en su defecto el Código de Procedimientos Civiles del Estado de Oaxaca.</w:t>
      </w:r>
    </w:p>
    <w:p w14:paraId="19CAE7EF" w14:textId="77777777" w:rsidR="0070169C" w:rsidRPr="00102DF8" w:rsidRDefault="0070169C" w:rsidP="00102DF8">
      <w:pPr>
        <w:spacing w:after="0" w:line="240" w:lineRule="auto"/>
        <w:ind w:left="567" w:right="335"/>
        <w:jc w:val="both"/>
        <w:rPr>
          <w:rFonts w:ascii="Arial" w:hAnsi="Arial" w:cs="Arial"/>
        </w:rPr>
      </w:pPr>
    </w:p>
    <w:p w14:paraId="18308808" w14:textId="77777777" w:rsidR="00234A80" w:rsidRDefault="0070169C" w:rsidP="00102DF8">
      <w:pPr>
        <w:spacing w:after="0" w:line="240" w:lineRule="auto"/>
        <w:ind w:left="567" w:right="335"/>
        <w:jc w:val="both"/>
        <w:rPr>
          <w:rFonts w:ascii="Arial" w:hAnsi="Arial" w:cs="Arial"/>
        </w:rPr>
      </w:pPr>
      <w:r w:rsidRPr="00102DF8">
        <w:rPr>
          <w:rFonts w:ascii="Arial" w:hAnsi="Arial" w:cs="Arial"/>
        </w:rPr>
        <w:t>III. Los principios generales del derecho.</w:t>
      </w:r>
    </w:p>
    <w:p w14:paraId="18DF5AF9" w14:textId="77777777" w:rsidR="00102DF8" w:rsidRDefault="00102DF8" w:rsidP="00102DF8">
      <w:pPr>
        <w:spacing w:after="0" w:line="240" w:lineRule="auto"/>
        <w:ind w:left="567" w:right="335"/>
        <w:jc w:val="both"/>
        <w:rPr>
          <w:rFonts w:ascii="Arial" w:eastAsia="Arial" w:hAnsi="Arial" w:cs="Arial"/>
        </w:rPr>
      </w:pPr>
    </w:p>
    <w:p w14:paraId="4BB1C18C" w14:textId="77777777" w:rsidR="00FD3D58" w:rsidRPr="00102DF8" w:rsidRDefault="00FD3D58" w:rsidP="00102DF8">
      <w:pPr>
        <w:spacing w:after="0" w:line="240" w:lineRule="auto"/>
        <w:ind w:left="567" w:right="335"/>
        <w:jc w:val="both"/>
        <w:rPr>
          <w:rFonts w:ascii="Arial" w:eastAsia="Arial" w:hAnsi="Arial" w:cs="Arial"/>
        </w:rPr>
      </w:pPr>
    </w:p>
    <w:p w14:paraId="7D5AEF72" w14:textId="77777777" w:rsidR="00B16DD0" w:rsidRPr="00102DF8" w:rsidRDefault="00102DF8" w:rsidP="00102DF8">
      <w:pPr>
        <w:spacing w:after="0" w:line="240" w:lineRule="auto"/>
        <w:ind w:left="567" w:right="335"/>
        <w:jc w:val="center"/>
        <w:rPr>
          <w:rFonts w:ascii="Arial" w:eastAsia="Arial" w:hAnsi="Arial" w:cs="Arial"/>
          <w:b/>
        </w:rPr>
      </w:pPr>
      <w:r w:rsidRPr="00102DF8">
        <w:rPr>
          <w:rFonts w:ascii="Arial" w:eastAsia="Arial" w:hAnsi="Arial" w:cs="Arial"/>
          <w:b/>
        </w:rPr>
        <w:t>LEY DE PROCEDIMIENTO Y JUSTICIA ADMINISTRATIVA PARA EL ESTADO DE OAXACA</w:t>
      </w:r>
    </w:p>
    <w:p w14:paraId="24A0F595" w14:textId="77777777" w:rsidR="00102DF8" w:rsidRDefault="00102DF8" w:rsidP="00102DF8">
      <w:pPr>
        <w:autoSpaceDE w:val="0"/>
        <w:autoSpaceDN w:val="0"/>
        <w:adjustRightInd w:val="0"/>
        <w:spacing w:after="0" w:line="240" w:lineRule="auto"/>
        <w:ind w:left="567" w:right="335"/>
        <w:jc w:val="both"/>
        <w:rPr>
          <w:rFonts w:ascii="Arial" w:hAnsi="Arial" w:cs="Arial"/>
          <w:b/>
          <w:bCs/>
        </w:rPr>
      </w:pPr>
    </w:p>
    <w:p w14:paraId="4DFA10B2" w14:textId="77777777" w:rsidR="00252AD8" w:rsidRPr="00102DF8" w:rsidRDefault="00252AD8"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b/>
          <w:bCs/>
        </w:rPr>
        <w:t xml:space="preserve">ARTÍCULO 23.- </w:t>
      </w:r>
      <w:r w:rsidRPr="00102DF8">
        <w:rPr>
          <w:rFonts w:ascii="Arial" w:hAnsi="Arial" w:cs="Arial"/>
        </w:rPr>
        <w:t>El administrado deberá promover lo que a sus derechos convenga ante las autoridades responsables a las que se refiere el ámbito de aplicación de la presente Ley, y la autoridad deberá respetar el derecho de petición a la que se constriñen los artículos 8 de la Constitución Política de los Estados Unidos Mexicanos y 13 de la Constitución Política del Estado Libre y Soberano de Oaxaca, pero si no lo hicieren, operará de inmediato la negativa ficta.</w:t>
      </w:r>
    </w:p>
    <w:p w14:paraId="0D5F6604" w14:textId="77777777" w:rsidR="00924AC5" w:rsidRPr="00102DF8" w:rsidRDefault="00924AC5" w:rsidP="00102DF8">
      <w:pPr>
        <w:autoSpaceDE w:val="0"/>
        <w:autoSpaceDN w:val="0"/>
        <w:adjustRightInd w:val="0"/>
        <w:spacing w:after="0" w:line="240" w:lineRule="auto"/>
        <w:ind w:left="567" w:right="335"/>
        <w:jc w:val="both"/>
        <w:rPr>
          <w:rFonts w:ascii="Arial" w:hAnsi="Arial" w:cs="Arial"/>
        </w:rPr>
      </w:pPr>
    </w:p>
    <w:p w14:paraId="1FD969C4" w14:textId="77777777" w:rsidR="00924AC5" w:rsidRPr="00102DF8" w:rsidRDefault="00924AC5"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b/>
          <w:bCs/>
        </w:rPr>
        <w:t xml:space="preserve">ARTÍCULO 26. </w:t>
      </w:r>
      <w:r w:rsidRPr="00102DF8">
        <w:rPr>
          <w:rFonts w:ascii="Arial" w:hAnsi="Arial" w:cs="Arial"/>
        </w:rPr>
        <w:t>Salvo que en otra disposición legal o administrativa de carácter general se establezca otro plazo para algún supuesto en particular, la dependencia, entidad u organismo descentralizado, desconcentrado, paraestatal o paramunicipal deberá resolver lo conducente en un plazo no mayor a noventa días naturales. Transcurrido el plazo aplicable, sin que se haya dictado resolución, ésta se entenderá en sentido positivo o negativo al promovente, en términos de lo que disponga la Ley. A petición del interesado, se deberá expedir constancia de tal circunstancia dentro de los dos días hábiles siguientes a la presentación de la solicitud respectiva ante quien deba resolver. Igual constancia deberá expedirse cuando otras disposiciones prevean que transcurrido el plazo aplicable la resolución deba entenderse en sentido negativo.</w:t>
      </w:r>
    </w:p>
    <w:p w14:paraId="72BB5486" w14:textId="77777777" w:rsidR="00924AC5" w:rsidRPr="00102DF8" w:rsidRDefault="00924AC5" w:rsidP="00102DF8">
      <w:pPr>
        <w:autoSpaceDE w:val="0"/>
        <w:autoSpaceDN w:val="0"/>
        <w:adjustRightInd w:val="0"/>
        <w:spacing w:after="0" w:line="240" w:lineRule="auto"/>
        <w:ind w:left="567" w:right="335"/>
        <w:jc w:val="both"/>
        <w:rPr>
          <w:rFonts w:ascii="Arial" w:hAnsi="Arial" w:cs="Arial"/>
        </w:rPr>
      </w:pPr>
    </w:p>
    <w:p w14:paraId="17A68E18" w14:textId="77777777" w:rsidR="00924AC5" w:rsidRPr="00102DF8" w:rsidRDefault="00924AC5"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rPr>
        <w:t>En el caso de que se recurra al sentido positivo o negativo según sea el caso, por falta de resolución, y ésta a su vez no se resuelva dentro del mismo término, se entenderá confirmado el sentido de la misma.</w:t>
      </w:r>
    </w:p>
    <w:p w14:paraId="6BA5FA78" w14:textId="77777777" w:rsidR="00924AC5" w:rsidRDefault="00924AC5" w:rsidP="00102DF8">
      <w:pPr>
        <w:autoSpaceDE w:val="0"/>
        <w:autoSpaceDN w:val="0"/>
        <w:adjustRightInd w:val="0"/>
        <w:spacing w:after="0" w:line="240" w:lineRule="auto"/>
        <w:ind w:left="567" w:right="335"/>
        <w:jc w:val="both"/>
        <w:rPr>
          <w:rFonts w:ascii="Arial" w:hAnsi="Arial" w:cs="Arial"/>
        </w:rPr>
      </w:pPr>
    </w:p>
    <w:p w14:paraId="5986BFEF" w14:textId="77777777" w:rsidR="0006283A" w:rsidRPr="00BF6392" w:rsidRDefault="0006283A" w:rsidP="0006283A">
      <w:pPr>
        <w:autoSpaceDE w:val="0"/>
        <w:autoSpaceDN w:val="0"/>
        <w:adjustRightInd w:val="0"/>
        <w:spacing w:after="0" w:line="240" w:lineRule="auto"/>
        <w:ind w:left="567" w:right="332"/>
        <w:jc w:val="both"/>
        <w:rPr>
          <w:rFonts w:ascii="Arial" w:hAnsi="Arial" w:cs="Arial"/>
        </w:rPr>
      </w:pPr>
      <w:r w:rsidRPr="002A185E">
        <w:rPr>
          <w:rFonts w:ascii="Arial" w:hAnsi="Arial" w:cs="Arial"/>
          <w:b/>
          <w:bCs/>
        </w:rPr>
        <w:t>ARTÍCULO 133.</w:t>
      </w:r>
      <w:r w:rsidRPr="00BF6392">
        <w:rPr>
          <w:rFonts w:ascii="Arial" w:hAnsi="Arial" w:cs="Arial"/>
          <w:b/>
          <w:bCs/>
        </w:rPr>
        <w:t xml:space="preserve">- </w:t>
      </w:r>
      <w:r w:rsidRPr="00BF6392">
        <w:rPr>
          <w:rFonts w:ascii="Arial" w:hAnsi="Arial" w:cs="Arial"/>
        </w:rPr>
        <w:t>Las Salas Unitarias del Tribunal son competentes para conocer y resolver los juicios que se promuevan en contra de:</w:t>
      </w:r>
    </w:p>
    <w:p w14:paraId="217E14DC" w14:textId="77777777" w:rsidR="0006283A" w:rsidRDefault="0006283A" w:rsidP="0006283A">
      <w:pPr>
        <w:autoSpaceDE w:val="0"/>
        <w:autoSpaceDN w:val="0"/>
        <w:adjustRightInd w:val="0"/>
        <w:spacing w:after="0" w:line="240" w:lineRule="auto"/>
        <w:ind w:left="567" w:right="332"/>
        <w:jc w:val="both"/>
        <w:rPr>
          <w:rFonts w:ascii="Arial" w:hAnsi="Arial" w:cs="Arial"/>
        </w:rPr>
      </w:pPr>
      <w:r>
        <w:rPr>
          <w:rFonts w:ascii="Arial" w:hAnsi="Arial" w:cs="Arial"/>
        </w:rPr>
        <w:t>(…)</w:t>
      </w:r>
    </w:p>
    <w:p w14:paraId="7CF2F803" w14:textId="77777777" w:rsidR="0006283A" w:rsidRPr="00BF6392" w:rsidRDefault="0006283A" w:rsidP="0006283A">
      <w:pPr>
        <w:autoSpaceDE w:val="0"/>
        <w:autoSpaceDN w:val="0"/>
        <w:adjustRightInd w:val="0"/>
        <w:spacing w:after="0" w:line="240" w:lineRule="auto"/>
        <w:ind w:left="567" w:right="332"/>
        <w:jc w:val="both"/>
        <w:rPr>
          <w:rFonts w:ascii="Arial" w:hAnsi="Arial" w:cs="Arial"/>
        </w:rPr>
      </w:pPr>
    </w:p>
    <w:p w14:paraId="10217EDB" w14:textId="77777777" w:rsidR="0006283A" w:rsidRPr="0006283A" w:rsidRDefault="0006283A" w:rsidP="0006283A">
      <w:pPr>
        <w:autoSpaceDE w:val="0"/>
        <w:autoSpaceDN w:val="0"/>
        <w:adjustRightInd w:val="0"/>
        <w:spacing w:after="0" w:line="240" w:lineRule="auto"/>
        <w:ind w:left="567" w:right="332"/>
        <w:jc w:val="both"/>
        <w:rPr>
          <w:rFonts w:ascii="Arial" w:hAnsi="Arial" w:cs="Arial"/>
        </w:rPr>
      </w:pPr>
      <w:r w:rsidRPr="0006283A">
        <w:rPr>
          <w:rFonts w:ascii="Arial" w:hAnsi="Arial" w:cs="Arial"/>
          <w:b/>
        </w:rPr>
        <w:t>V.</w:t>
      </w:r>
      <w:r>
        <w:rPr>
          <w:rFonts w:ascii="Arial" w:hAnsi="Arial" w:cs="Arial"/>
        </w:rPr>
        <w:t xml:space="preserve"> </w:t>
      </w:r>
      <w:r w:rsidRPr="0006283A">
        <w:rPr>
          <w:rFonts w:ascii="Arial" w:hAnsi="Arial" w:cs="Arial"/>
        </w:rPr>
        <w:t>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p>
    <w:p w14:paraId="700C6375" w14:textId="77777777" w:rsidR="0006283A" w:rsidRPr="00102DF8" w:rsidRDefault="0006283A" w:rsidP="00102DF8">
      <w:pPr>
        <w:autoSpaceDE w:val="0"/>
        <w:autoSpaceDN w:val="0"/>
        <w:adjustRightInd w:val="0"/>
        <w:spacing w:after="0" w:line="240" w:lineRule="auto"/>
        <w:ind w:left="567" w:right="335"/>
        <w:jc w:val="both"/>
        <w:rPr>
          <w:rFonts w:ascii="Arial" w:hAnsi="Arial" w:cs="Arial"/>
        </w:rPr>
      </w:pPr>
    </w:p>
    <w:p w14:paraId="26507FC8" w14:textId="77777777" w:rsidR="00924AC5" w:rsidRPr="00102DF8" w:rsidRDefault="00924AC5"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b/>
          <w:bCs/>
        </w:rPr>
        <w:t xml:space="preserve">ARTÍCULO 56. </w:t>
      </w:r>
      <w:r w:rsidRPr="00102DF8">
        <w:rPr>
          <w:rFonts w:ascii="Arial" w:hAnsi="Arial" w:cs="Arial"/>
        </w:rPr>
        <w:t>Los escritos dirigidos a alguna autoridad de la Administración Pública Estatal o Municipal deberán presentarse directamente en sus oficinas autorizadas para tales efectos o en oficinas de correos, salvo el caso del escrito inicial de impugnación, el cual deberá presentarse precisamente en las oficinas administrativas correspondientes de la autoridad competente.</w:t>
      </w:r>
    </w:p>
    <w:p w14:paraId="7942F44B" w14:textId="77777777" w:rsidR="00924AC5" w:rsidRPr="00102DF8" w:rsidRDefault="00924AC5" w:rsidP="00102DF8">
      <w:pPr>
        <w:autoSpaceDE w:val="0"/>
        <w:autoSpaceDN w:val="0"/>
        <w:adjustRightInd w:val="0"/>
        <w:spacing w:after="0" w:line="240" w:lineRule="auto"/>
        <w:ind w:left="567" w:right="335"/>
        <w:jc w:val="both"/>
        <w:rPr>
          <w:rFonts w:ascii="Arial" w:hAnsi="Arial" w:cs="Arial"/>
        </w:rPr>
      </w:pPr>
    </w:p>
    <w:p w14:paraId="18A2DCE1" w14:textId="77777777" w:rsidR="00924AC5" w:rsidRPr="00102DF8" w:rsidRDefault="00924AC5"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rPr>
        <w:t>En ningún caso se podrán rechazar los escritos en las unidades de recepción de documentos.</w:t>
      </w:r>
    </w:p>
    <w:p w14:paraId="3B00727D" w14:textId="77777777" w:rsidR="00924AC5" w:rsidRPr="00102DF8" w:rsidRDefault="00924AC5" w:rsidP="00102DF8">
      <w:pPr>
        <w:autoSpaceDE w:val="0"/>
        <w:autoSpaceDN w:val="0"/>
        <w:adjustRightInd w:val="0"/>
        <w:spacing w:after="0" w:line="240" w:lineRule="auto"/>
        <w:ind w:left="567" w:right="335"/>
        <w:jc w:val="both"/>
        <w:rPr>
          <w:rFonts w:ascii="Arial" w:hAnsi="Arial" w:cs="Arial"/>
        </w:rPr>
      </w:pPr>
    </w:p>
    <w:p w14:paraId="1B34FB95" w14:textId="77777777" w:rsidR="001F16A7" w:rsidRPr="00102DF8" w:rsidRDefault="001F16A7"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b/>
          <w:bCs/>
        </w:rPr>
        <w:t xml:space="preserve">ARTÍCULO 98.- </w:t>
      </w:r>
      <w:r w:rsidRPr="00102DF8">
        <w:rPr>
          <w:rFonts w:ascii="Arial" w:hAnsi="Arial" w:cs="Arial"/>
        </w:rPr>
        <w:t>Los interesados afectados por los actos y resoluciones de las autoridades administrativas que pongan fin al procedimiento administrativo, a una instancia o resuelvan un expediente, podrán interponer recurso de revisión o intentar las vías judiciales-administrativas correspondientes ante el Tribunal.</w:t>
      </w:r>
    </w:p>
    <w:p w14:paraId="5AA43242" w14:textId="77777777" w:rsidR="001F16A7" w:rsidRPr="00102DF8" w:rsidRDefault="001F16A7" w:rsidP="00102DF8">
      <w:pPr>
        <w:tabs>
          <w:tab w:val="left" w:pos="1954"/>
        </w:tabs>
        <w:autoSpaceDE w:val="0"/>
        <w:autoSpaceDN w:val="0"/>
        <w:adjustRightInd w:val="0"/>
        <w:spacing w:after="0" w:line="240" w:lineRule="auto"/>
        <w:ind w:left="567" w:right="335"/>
        <w:jc w:val="both"/>
        <w:rPr>
          <w:rFonts w:ascii="Arial" w:hAnsi="Arial" w:cs="Arial"/>
        </w:rPr>
      </w:pPr>
    </w:p>
    <w:p w14:paraId="6828F17B" w14:textId="77777777" w:rsidR="00924AC5" w:rsidRPr="00102DF8" w:rsidRDefault="001F16A7" w:rsidP="00102DF8">
      <w:pPr>
        <w:autoSpaceDE w:val="0"/>
        <w:autoSpaceDN w:val="0"/>
        <w:adjustRightInd w:val="0"/>
        <w:spacing w:after="0" w:line="240" w:lineRule="auto"/>
        <w:ind w:left="567" w:right="335"/>
        <w:jc w:val="both"/>
        <w:rPr>
          <w:rFonts w:ascii="Arial" w:hAnsi="Arial" w:cs="Arial"/>
        </w:rPr>
      </w:pPr>
      <w:r w:rsidRPr="00102DF8">
        <w:rPr>
          <w:rFonts w:ascii="Arial" w:hAnsi="Arial" w:cs="Arial"/>
        </w:rPr>
        <w:t>Para poder acudir al Juicio de Amparo, será necesario agotar los medios de impugnación previstos en esta ley.</w:t>
      </w:r>
    </w:p>
    <w:p w14:paraId="05C4DDEB" w14:textId="77777777" w:rsidR="00221537" w:rsidRDefault="00221537" w:rsidP="002B1AB3">
      <w:pPr>
        <w:spacing w:after="160" w:line="360" w:lineRule="auto"/>
        <w:ind w:firstLine="567"/>
        <w:jc w:val="both"/>
        <w:rPr>
          <w:rFonts w:ascii="Arial" w:eastAsia="Times New Roman" w:hAnsi="Arial" w:cs="Arial"/>
          <w:sz w:val="24"/>
          <w:szCs w:val="24"/>
          <w:lang w:val="es-ES_tradnl" w:eastAsia="es-ES"/>
        </w:rPr>
      </w:pPr>
    </w:p>
    <w:p w14:paraId="6C8238DD" w14:textId="77777777" w:rsidR="009E7B30" w:rsidRPr="009E7B30" w:rsidRDefault="00FD3D58" w:rsidP="009E7B30">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val="es-ES_tradnl" w:eastAsia="es-ES"/>
        </w:rPr>
        <w:t>De conformidad con los anteriores preceptos legales</w:t>
      </w:r>
      <w:r w:rsidR="003F1A44">
        <w:rPr>
          <w:rFonts w:ascii="Arial" w:eastAsia="Times New Roman" w:hAnsi="Arial" w:cs="Arial"/>
          <w:sz w:val="24"/>
          <w:szCs w:val="24"/>
          <w:lang w:val="es-ES_tradnl" w:eastAsia="es-ES"/>
        </w:rPr>
        <w:t xml:space="preserve">, </w:t>
      </w:r>
      <w:r w:rsidR="009E7B30">
        <w:rPr>
          <w:rFonts w:ascii="Arial" w:eastAsia="Times New Roman" w:hAnsi="Arial" w:cs="Arial"/>
          <w:sz w:val="24"/>
          <w:szCs w:val="24"/>
          <w:lang w:val="es-ES_tradnl" w:eastAsia="es-ES"/>
        </w:rPr>
        <w:t xml:space="preserve">la </w:t>
      </w:r>
      <w:r w:rsidR="009E7B30">
        <w:rPr>
          <w:rFonts w:ascii="Arial" w:eastAsia="Times New Roman" w:hAnsi="Arial" w:cs="Arial"/>
          <w:bCs/>
          <w:sz w:val="24"/>
          <w:szCs w:val="24"/>
          <w:lang w:eastAsia="es-ES"/>
        </w:rPr>
        <w:t>Ley del Sistema Estatal de Seguridad Pública d</w:t>
      </w:r>
      <w:r w:rsidR="009E7B30" w:rsidRPr="009E7B30">
        <w:rPr>
          <w:rFonts w:ascii="Arial" w:eastAsia="Times New Roman" w:hAnsi="Arial" w:cs="Arial"/>
          <w:bCs/>
          <w:sz w:val="24"/>
          <w:szCs w:val="24"/>
          <w:lang w:eastAsia="es-ES"/>
        </w:rPr>
        <w:t>e Oaxaca</w:t>
      </w:r>
      <w:r w:rsidR="009E7B30">
        <w:rPr>
          <w:rFonts w:ascii="Arial" w:eastAsia="Times New Roman" w:hAnsi="Arial" w:cs="Arial"/>
          <w:bCs/>
          <w:sz w:val="24"/>
          <w:szCs w:val="24"/>
          <w:lang w:eastAsia="es-ES"/>
        </w:rPr>
        <w:t xml:space="preserve"> es </w:t>
      </w:r>
      <w:r w:rsidR="009E7B30" w:rsidRPr="009E7B30">
        <w:rPr>
          <w:rFonts w:ascii="Arial" w:eastAsia="Times New Roman" w:hAnsi="Arial" w:cs="Arial"/>
          <w:bCs/>
          <w:sz w:val="24"/>
          <w:szCs w:val="24"/>
          <w:lang w:eastAsia="es-ES"/>
        </w:rPr>
        <w:t>de orden público e interés social, de observancia general en el Estado de Oaxaca, y tiene por objeto establecer y desarrollar las bases de aplicación del Sistema Estatal de Seguridad Pública, y de coordinación entre el Estado y los Municipios y regular la función de seguridad pública.</w:t>
      </w:r>
      <w:r w:rsidR="009E7B30">
        <w:rPr>
          <w:rFonts w:ascii="Arial" w:eastAsia="Times New Roman" w:hAnsi="Arial" w:cs="Arial"/>
          <w:bCs/>
          <w:sz w:val="24"/>
          <w:szCs w:val="24"/>
          <w:lang w:eastAsia="es-ES"/>
        </w:rPr>
        <w:t xml:space="preserve"> De conformidad con el artículo 2 de la referida Ley, a</w:t>
      </w:r>
      <w:r w:rsidR="009E7B30" w:rsidRPr="009E7B30">
        <w:rPr>
          <w:rFonts w:ascii="Arial" w:eastAsia="Times New Roman" w:hAnsi="Arial" w:cs="Arial"/>
          <w:sz w:val="24"/>
          <w:szCs w:val="24"/>
          <w:lang w:eastAsia="es-ES"/>
        </w:rPr>
        <w:t xml:space="preserve"> falta de previsión expresa se estará</w:t>
      </w:r>
      <w:r w:rsidR="009E7B30">
        <w:rPr>
          <w:rFonts w:ascii="Arial" w:eastAsia="Times New Roman" w:hAnsi="Arial" w:cs="Arial"/>
          <w:sz w:val="24"/>
          <w:szCs w:val="24"/>
          <w:lang w:eastAsia="es-ES"/>
        </w:rPr>
        <w:t>, a las siguientes</w:t>
      </w:r>
      <w:r w:rsidR="009E7B30" w:rsidRPr="009E7B30">
        <w:rPr>
          <w:rFonts w:ascii="Arial" w:eastAsia="Times New Roman" w:hAnsi="Arial" w:cs="Arial"/>
          <w:sz w:val="24"/>
          <w:szCs w:val="24"/>
          <w:lang w:eastAsia="es-ES"/>
        </w:rPr>
        <w:t xml:space="preserve"> reglas de supletoriedad:</w:t>
      </w:r>
    </w:p>
    <w:p w14:paraId="5ACC74D6" w14:textId="77777777" w:rsidR="009E7B30" w:rsidRPr="009E7B30" w:rsidRDefault="009E7B30" w:rsidP="009E7B30">
      <w:pPr>
        <w:spacing w:after="160" w:line="360" w:lineRule="auto"/>
        <w:ind w:firstLine="567"/>
        <w:jc w:val="both"/>
        <w:rPr>
          <w:rFonts w:ascii="Arial" w:eastAsia="Times New Roman" w:hAnsi="Arial" w:cs="Arial"/>
          <w:sz w:val="24"/>
          <w:szCs w:val="24"/>
          <w:lang w:eastAsia="es-ES"/>
        </w:rPr>
      </w:pPr>
      <w:r w:rsidRPr="009E7B30">
        <w:rPr>
          <w:rFonts w:ascii="Arial" w:eastAsia="Times New Roman" w:hAnsi="Arial" w:cs="Arial"/>
          <w:sz w:val="24"/>
          <w:szCs w:val="24"/>
          <w:lang w:eastAsia="es-ES"/>
        </w:rPr>
        <w:t>I. Respecto del apoyo y coordinación interinstitucional de los tres órdenes de gobierno, se estará a lo dispuesto en la Ley General, y a las resoluciones y acuerdos emitidos por el Consejo Nacional de Seguridad Pública y el Consejo Estatal de Seguridad Pública;</w:t>
      </w:r>
    </w:p>
    <w:p w14:paraId="70AB2E00" w14:textId="77777777" w:rsidR="009E7B30" w:rsidRPr="009E7B30" w:rsidRDefault="009E7B30" w:rsidP="009E7B30">
      <w:pPr>
        <w:spacing w:after="160" w:line="360" w:lineRule="auto"/>
        <w:ind w:firstLine="567"/>
        <w:jc w:val="both"/>
        <w:rPr>
          <w:rFonts w:ascii="Arial" w:eastAsia="Times New Roman" w:hAnsi="Arial" w:cs="Arial"/>
          <w:sz w:val="24"/>
          <w:szCs w:val="24"/>
          <w:lang w:eastAsia="es-ES"/>
        </w:rPr>
      </w:pPr>
      <w:r w:rsidRPr="009E7B30">
        <w:rPr>
          <w:rFonts w:ascii="Arial" w:eastAsia="Times New Roman" w:hAnsi="Arial" w:cs="Arial"/>
          <w:sz w:val="24"/>
          <w:szCs w:val="24"/>
          <w:lang w:eastAsia="es-ES"/>
        </w:rPr>
        <w:t>II. En materia de procedimientos administrativos de carrera policial y del régimen disciplinario, la Ley de Justicia Administrativa para el Estado de Oaxaca, y en su defecto el Código de Procedimientos Civiles del Estado de Oaxaca.</w:t>
      </w:r>
    </w:p>
    <w:p w14:paraId="7210A44B" w14:textId="77777777" w:rsidR="009E7B30" w:rsidRPr="009E7B30" w:rsidRDefault="009E7B30" w:rsidP="009E7B30">
      <w:pPr>
        <w:spacing w:after="160" w:line="360" w:lineRule="auto"/>
        <w:ind w:firstLine="567"/>
        <w:jc w:val="both"/>
        <w:rPr>
          <w:rFonts w:ascii="Arial" w:eastAsia="Times New Roman" w:hAnsi="Arial" w:cs="Arial"/>
          <w:sz w:val="24"/>
          <w:szCs w:val="24"/>
          <w:lang w:eastAsia="es-ES"/>
        </w:rPr>
      </w:pPr>
      <w:r w:rsidRPr="009E7B30">
        <w:rPr>
          <w:rFonts w:ascii="Arial" w:eastAsia="Times New Roman" w:hAnsi="Arial" w:cs="Arial"/>
          <w:sz w:val="24"/>
          <w:szCs w:val="24"/>
          <w:lang w:eastAsia="es-ES"/>
        </w:rPr>
        <w:t>III. Los principios generales del derecho.</w:t>
      </w:r>
    </w:p>
    <w:p w14:paraId="037BB97A" w14:textId="77777777" w:rsidR="00221537" w:rsidRDefault="009E7B30" w:rsidP="002B1AB3">
      <w:pPr>
        <w:spacing w:after="160"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Así tenemos que la Ley de </w:t>
      </w:r>
      <w:r w:rsidR="00223966">
        <w:rPr>
          <w:rFonts w:ascii="Arial" w:eastAsia="Times New Roman" w:hAnsi="Arial" w:cs="Arial"/>
          <w:sz w:val="24"/>
          <w:szCs w:val="24"/>
          <w:lang w:val="es-ES_tradnl" w:eastAsia="es-ES"/>
        </w:rPr>
        <w:t xml:space="preserve">Procedimiento y </w:t>
      </w:r>
      <w:r>
        <w:rPr>
          <w:rFonts w:ascii="Arial" w:eastAsia="Times New Roman" w:hAnsi="Arial" w:cs="Arial"/>
          <w:sz w:val="24"/>
          <w:szCs w:val="24"/>
          <w:lang w:val="es-ES_tradnl" w:eastAsia="es-ES"/>
        </w:rPr>
        <w:t>Justicia Administrativa para el Estado de Oaxaca</w:t>
      </w:r>
      <w:r w:rsidR="005F69E2">
        <w:rPr>
          <w:rFonts w:ascii="Arial" w:eastAsia="Times New Roman" w:hAnsi="Arial" w:cs="Arial"/>
          <w:sz w:val="24"/>
          <w:szCs w:val="24"/>
          <w:lang w:val="es-ES_tradnl" w:eastAsia="es-ES"/>
        </w:rPr>
        <w:t xml:space="preserve"> dispone en su artículo 23 que</w:t>
      </w:r>
      <w:r w:rsidR="00576869">
        <w:rPr>
          <w:rFonts w:ascii="Arial" w:eastAsia="Times New Roman" w:hAnsi="Arial" w:cs="Arial"/>
          <w:sz w:val="24"/>
          <w:szCs w:val="24"/>
          <w:lang w:val="es-ES_tradnl" w:eastAsia="es-ES"/>
        </w:rPr>
        <w:t xml:space="preserve">, </w:t>
      </w:r>
      <w:r w:rsidR="00576869" w:rsidRPr="00576869">
        <w:rPr>
          <w:rFonts w:ascii="Arial" w:eastAsia="Times New Roman" w:hAnsi="Arial" w:cs="Arial"/>
          <w:b/>
          <w:sz w:val="24"/>
          <w:szCs w:val="24"/>
          <w:u w:val="single"/>
          <w:lang w:val="es-ES_tradnl" w:eastAsia="es-ES"/>
        </w:rPr>
        <w:t>e</w:t>
      </w:r>
      <w:r w:rsidR="005F69E2" w:rsidRPr="00576869">
        <w:rPr>
          <w:rFonts w:ascii="Arial" w:eastAsia="Times New Roman" w:hAnsi="Arial" w:cs="Arial"/>
          <w:b/>
          <w:sz w:val="24"/>
          <w:szCs w:val="24"/>
          <w:u w:val="single"/>
          <w:lang w:eastAsia="es-ES"/>
        </w:rPr>
        <w:t>l administrado deberá promover lo que a sus derechos convenga ante las autoridades responsables</w:t>
      </w:r>
      <w:r w:rsidR="005F69E2" w:rsidRPr="005F69E2">
        <w:rPr>
          <w:rFonts w:ascii="Arial" w:eastAsia="Times New Roman" w:hAnsi="Arial" w:cs="Arial"/>
          <w:sz w:val="24"/>
          <w:szCs w:val="24"/>
          <w:lang w:eastAsia="es-ES"/>
        </w:rPr>
        <w:t xml:space="preserve"> a las que se refiere el ámbito de aplicación de la presente Ley, y </w:t>
      </w:r>
      <w:r w:rsidR="005F69E2" w:rsidRPr="00576869">
        <w:rPr>
          <w:rFonts w:ascii="Arial" w:eastAsia="Times New Roman" w:hAnsi="Arial" w:cs="Arial"/>
          <w:b/>
          <w:sz w:val="24"/>
          <w:szCs w:val="24"/>
          <w:u w:val="single"/>
          <w:lang w:eastAsia="es-ES"/>
        </w:rPr>
        <w:t>la autoridad deberá respetar el derecho de petición</w:t>
      </w:r>
      <w:r w:rsidR="005F69E2" w:rsidRPr="005F69E2">
        <w:rPr>
          <w:rFonts w:ascii="Arial" w:eastAsia="Times New Roman" w:hAnsi="Arial" w:cs="Arial"/>
          <w:sz w:val="24"/>
          <w:szCs w:val="24"/>
          <w:lang w:eastAsia="es-ES"/>
        </w:rPr>
        <w:t xml:space="preserve"> a la que se constriñen los artículos 8 de la Constitución Política de los Estados Unidos Mexicanos y 13 de la Constitución Política del Estado Libre y Soberano de Oaxaca, </w:t>
      </w:r>
      <w:r w:rsidR="005F69E2" w:rsidRPr="00576869">
        <w:rPr>
          <w:rFonts w:ascii="Arial" w:eastAsia="Times New Roman" w:hAnsi="Arial" w:cs="Arial"/>
          <w:b/>
          <w:sz w:val="24"/>
          <w:szCs w:val="24"/>
          <w:u w:val="single"/>
          <w:lang w:eastAsia="es-ES"/>
        </w:rPr>
        <w:t>pero si no lo hicieren, operará de inmediato la negativa ficta</w:t>
      </w:r>
      <w:r w:rsidR="0049074C">
        <w:rPr>
          <w:rFonts w:ascii="Arial" w:eastAsia="Times New Roman" w:hAnsi="Arial" w:cs="Arial"/>
          <w:b/>
          <w:sz w:val="24"/>
          <w:szCs w:val="24"/>
          <w:u w:val="single"/>
          <w:lang w:eastAsia="es-ES"/>
        </w:rPr>
        <w:t>.</w:t>
      </w:r>
    </w:p>
    <w:p w14:paraId="3C8723E9" w14:textId="77777777" w:rsidR="003951A1" w:rsidRPr="003951A1" w:rsidRDefault="003951A1" w:rsidP="003951A1">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val="es-ES_tradnl" w:eastAsia="es-ES"/>
        </w:rPr>
        <w:t xml:space="preserve">Reglamentándose en el artículo 56 en cita, que </w:t>
      </w:r>
      <w:r w:rsidRPr="0006283A">
        <w:rPr>
          <w:rFonts w:ascii="Arial" w:eastAsia="Times New Roman" w:hAnsi="Arial" w:cs="Arial"/>
          <w:b/>
          <w:sz w:val="24"/>
          <w:szCs w:val="24"/>
          <w:lang w:val="es-ES_tradnl" w:eastAsia="es-ES"/>
        </w:rPr>
        <w:t>l</w:t>
      </w:r>
      <w:r w:rsidRPr="0006283A">
        <w:rPr>
          <w:rFonts w:ascii="Arial" w:eastAsia="Times New Roman" w:hAnsi="Arial" w:cs="Arial"/>
          <w:b/>
          <w:sz w:val="24"/>
          <w:szCs w:val="24"/>
          <w:lang w:eastAsia="es-ES"/>
        </w:rPr>
        <w:t>os escritos dirigidos a alguna autoridad de la Administración Pública</w:t>
      </w:r>
      <w:r w:rsidRPr="003951A1">
        <w:rPr>
          <w:rFonts w:ascii="Arial" w:eastAsia="Times New Roman" w:hAnsi="Arial" w:cs="Arial"/>
          <w:sz w:val="24"/>
          <w:szCs w:val="24"/>
          <w:lang w:eastAsia="es-ES"/>
        </w:rPr>
        <w:t xml:space="preserve"> Estatal o </w:t>
      </w:r>
      <w:r w:rsidRPr="0006283A">
        <w:rPr>
          <w:rFonts w:ascii="Arial" w:eastAsia="Times New Roman" w:hAnsi="Arial" w:cs="Arial"/>
          <w:b/>
          <w:sz w:val="24"/>
          <w:szCs w:val="24"/>
          <w:lang w:eastAsia="es-ES"/>
        </w:rPr>
        <w:t>Municipal deberán presentarse directamente en sus oficinas autorizadas para tales efectos o en oficinas de correos</w:t>
      </w:r>
      <w:r w:rsidRPr="003951A1">
        <w:rPr>
          <w:rFonts w:ascii="Arial" w:eastAsia="Times New Roman" w:hAnsi="Arial" w:cs="Arial"/>
          <w:sz w:val="24"/>
          <w:szCs w:val="24"/>
          <w:lang w:eastAsia="es-ES"/>
        </w:rPr>
        <w:t>, salvo el caso del escrito inicial de impugnación, el cual deberá presentarse precisamente en las oficinas administrativas correspondientes de la autoridad competente.</w:t>
      </w:r>
      <w:r>
        <w:rPr>
          <w:rFonts w:ascii="Arial" w:eastAsia="Times New Roman" w:hAnsi="Arial" w:cs="Arial"/>
          <w:sz w:val="24"/>
          <w:szCs w:val="24"/>
          <w:lang w:eastAsia="es-ES"/>
        </w:rPr>
        <w:t xml:space="preserve"> </w:t>
      </w:r>
      <w:r w:rsidRPr="0006283A">
        <w:rPr>
          <w:rFonts w:ascii="Arial" w:eastAsia="Times New Roman" w:hAnsi="Arial" w:cs="Arial"/>
          <w:b/>
          <w:sz w:val="24"/>
          <w:szCs w:val="24"/>
          <w:lang w:eastAsia="es-ES"/>
        </w:rPr>
        <w:t>En ningún caso se podrán rechazar los escritos en las unidades de recepción de documentos</w:t>
      </w:r>
      <w:r w:rsidRPr="003951A1">
        <w:rPr>
          <w:rFonts w:ascii="Arial" w:eastAsia="Times New Roman" w:hAnsi="Arial" w:cs="Arial"/>
          <w:sz w:val="24"/>
          <w:szCs w:val="24"/>
          <w:lang w:eastAsia="es-ES"/>
        </w:rPr>
        <w:t>.</w:t>
      </w:r>
    </w:p>
    <w:p w14:paraId="27796A07" w14:textId="77777777" w:rsidR="001C31C5" w:rsidRPr="001C31C5" w:rsidRDefault="001C31C5" w:rsidP="001C31C5">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val="es-ES_tradnl" w:eastAsia="es-ES"/>
        </w:rPr>
        <w:t>P</w:t>
      </w:r>
      <w:r w:rsidR="003951A1">
        <w:rPr>
          <w:rFonts w:ascii="Arial" w:eastAsia="Times New Roman" w:hAnsi="Arial" w:cs="Arial"/>
          <w:sz w:val="24"/>
          <w:szCs w:val="24"/>
          <w:lang w:val="es-ES_tradnl" w:eastAsia="es-ES"/>
        </w:rPr>
        <w:t xml:space="preserve">or su parte </w:t>
      </w:r>
      <w:r>
        <w:rPr>
          <w:rFonts w:ascii="Arial" w:eastAsia="Times New Roman" w:hAnsi="Arial" w:cs="Arial"/>
          <w:sz w:val="24"/>
          <w:szCs w:val="24"/>
          <w:lang w:val="es-ES_tradnl" w:eastAsia="es-ES"/>
        </w:rPr>
        <w:t>el artículo 26 de dicho ordenamiento</w:t>
      </w:r>
      <w:r w:rsidR="003B6A3A">
        <w:rPr>
          <w:rFonts w:ascii="Arial" w:eastAsia="Times New Roman" w:hAnsi="Arial" w:cs="Arial"/>
          <w:sz w:val="24"/>
          <w:szCs w:val="24"/>
          <w:lang w:val="es-ES_tradnl" w:eastAsia="es-ES"/>
        </w:rPr>
        <w:t>,</w:t>
      </w:r>
      <w:r w:rsidR="0006283A">
        <w:rPr>
          <w:rFonts w:ascii="Arial" w:eastAsia="Times New Roman" w:hAnsi="Arial" w:cs="Arial"/>
          <w:sz w:val="24"/>
          <w:szCs w:val="24"/>
          <w:lang w:val="es-ES_tradnl" w:eastAsia="es-ES"/>
        </w:rPr>
        <w:t xml:space="preserve"> refiere</w:t>
      </w:r>
      <w:r>
        <w:rPr>
          <w:rFonts w:ascii="Arial" w:eastAsia="Times New Roman" w:hAnsi="Arial" w:cs="Arial"/>
          <w:sz w:val="24"/>
          <w:szCs w:val="24"/>
          <w:lang w:val="es-ES_tradnl" w:eastAsia="es-ES"/>
        </w:rPr>
        <w:t xml:space="preserve"> que </w:t>
      </w:r>
      <w:r w:rsidRPr="0006283A">
        <w:rPr>
          <w:rFonts w:ascii="Arial" w:eastAsia="Times New Roman" w:hAnsi="Arial" w:cs="Arial"/>
          <w:b/>
          <w:sz w:val="24"/>
          <w:szCs w:val="24"/>
          <w:lang w:val="es-ES_tradnl" w:eastAsia="es-ES"/>
        </w:rPr>
        <w:t xml:space="preserve">el plazo para que </w:t>
      </w:r>
      <w:r w:rsidRPr="0006283A">
        <w:rPr>
          <w:rFonts w:ascii="Arial" w:eastAsia="Times New Roman" w:hAnsi="Arial" w:cs="Arial"/>
          <w:b/>
          <w:sz w:val="24"/>
          <w:szCs w:val="24"/>
          <w:lang w:eastAsia="es-ES"/>
        </w:rPr>
        <w:t>la dependencia, entidad u organismo descentralizado, desconcentrado, paraestatal o paramunicipal</w:t>
      </w:r>
      <w:r w:rsidR="00F25002" w:rsidRPr="0006283A">
        <w:rPr>
          <w:rFonts w:ascii="Arial" w:eastAsia="Times New Roman" w:hAnsi="Arial" w:cs="Arial"/>
          <w:b/>
          <w:sz w:val="24"/>
          <w:szCs w:val="24"/>
          <w:lang w:eastAsia="es-ES"/>
        </w:rPr>
        <w:t>, resuelva la petición del administrado</w:t>
      </w:r>
      <w:r w:rsidR="00F25002">
        <w:rPr>
          <w:rFonts w:ascii="Arial" w:eastAsia="Times New Roman" w:hAnsi="Arial" w:cs="Arial"/>
          <w:sz w:val="24"/>
          <w:szCs w:val="24"/>
          <w:lang w:eastAsia="es-ES"/>
        </w:rPr>
        <w:t xml:space="preserve"> (s</w:t>
      </w:r>
      <w:r w:rsidRPr="001C31C5">
        <w:rPr>
          <w:rFonts w:ascii="Arial" w:eastAsia="Times New Roman" w:hAnsi="Arial" w:cs="Arial"/>
          <w:sz w:val="24"/>
          <w:szCs w:val="24"/>
          <w:lang w:eastAsia="es-ES"/>
        </w:rPr>
        <w:t>alvo que en otra disposición legal o admin</w:t>
      </w:r>
      <w:r w:rsidR="00F25002">
        <w:rPr>
          <w:rFonts w:ascii="Arial" w:eastAsia="Times New Roman" w:hAnsi="Arial" w:cs="Arial"/>
          <w:sz w:val="24"/>
          <w:szCs w:val="24"/>
          <w:lang w:eastAsia="es-ES"/>
        </w:rPr>
        <w:t>istrativa de carácter general</w:t>
      </w:r>
      <w:r w:rsidRPr="001C31C5">
        <w:rPr>
          <w:rFonts w:ascii="Arial" w:eastAsia="Times New Roman" w:hAnsi="Arial" w:cs="Arial"/>
          <w:sz w:val="24"/>
          <w:szCs w:val="24"/>
          <w:lang w:eastAsia="es-ES"/>
        </w:rPr>
        <w:t xml:space="preserve"> establezca otro plazo para algún supuesto en particular</w:t>
      </w:r>
      <w:r w:rsidR="00F25002">
        <w:rPr>
          <w:rFonts w:ascii="Arial" w:eastAsia="Times New Roman" w:hAnsi="Arial" w:cs="Arial"/>
          <w:sz w:val="24"/>
          <w:szCs w:val="24"/>
          <w:lang w:eastAsia="es-ES"/>
        </w:rPr>
        <w:t>)</w:t>
      </w:r>
      <w:r w:rsidRPr="001C31C5">
        <w:rPr>
          <w:rFonts w:ascii="Arial" w:eastAsia="Times New Roman" w:hAnsi="Arial" w:cs="Arial"/>
          <w:sz w:val="24"/>
          <w:szCs w:val="24"/>
          <w:lang w:eastAsia="es-ES"/>
        </w:rPr>
        <w:t xml:space="preserve">, </w:t>
      </w:r>
      <w:r w:rsidRPr="002D31AA">
        <w:rPr>
          <w:rFonts w:ascii="Arial" w:eastAsia="Times New Roman" w:hAnsi="Arial" w:cs="Arial"/>
          <w:b/>
          <w:sz w:val="24"/>
          <w:szCs w:val="24"/>
          <w:lang w:eastAsia="es-ES"/>
        </w:rPr>
        <w:t>no</w:t>
      </w:r>
      <w:r w:rsidR="0049074C" w:rsidRPr="002D31AA">
        <w:rPr>
          <w:rFonts w:ascii="Arial" w:eastAsia="Times New Roman" w:hAnsi="Arial" w:cs="Arial"/>
          <w:b/>
          <w:sz w:val="24"/>
          <w:szCs w:val="24"/>
          <w:lang w:eastAsia="es-ES"/>
        </w:rPr>
        <w:t xml:space="preserve"> será</w:t>
      </w:r>
      <w:r w:rsidRPr="002D31AA">
        <w:rPr>
          <w:rFonts w:ascii="Arial" w:eastAsia="Times New Roman" w:hAnsi="Arial" w:cs="Arial"/>
          <w:b/>
          <w:sz w:val="24"/>
          <w:szCs w:val="24"/>
          <w:lang w:eastAsia="es-ES"/>
        </w:rPr>
        <w:t xml:space="preserve"> mayor a noventa días naturales</w:t>
      </w:r>
      <w:r w:rsidR="0049074C" w:rsidRPr="002D31AA">
        <w:rPr>
          <w:rFonts w:ascii="Arial" w:eastAsia="Times New Roman" w:hAnsi="Arial" w:cs="Arial"/>
          <w:b/>
          <w:sz w:val="24"/>
          <w:szCs w:val="24"/>
          <w:lang w:eastAsia="es-ES"/>
        </w:rPr>
        <w:t xml:space="preserve">, y </w:t>
      </w:r>
      <w:r w:rsidR="0049074C" w:rsidRPr="002D31AA">
        <w:rPr>
          <w:rFonts w:ascii="Arial" w:eastAsia="Times New Roman" w:hAnsi="Arial" w:cs="Arial"/>
          <w:b/>
          <w:sz w:val="24"/>
          <w:szCs w:val="24"/>
          <w:lang w:eastAsia="es-ES"/>
        </w:rPr>
        <w:lastRenderedPageBreak/>
        <w:t>t</w:t>
      </w:r>
      <w:r w:rsidRPr="002D31AA">
        <w:rPr>
          <w:rFonts w:ascii="Arial" w:eastAsia="Times New Roman" w:hAnsi="Arial" w:cs="Arial"/>
          <w:b/>
          <w:sz w:val="24"/>
          <w:szCs w:val="24"/>
          <w:lang w:eastAsia="es-ES"/>
        </w:rPr>
        <w:t>ranscurrido el plazo aplicable, sin que se haya dictado resolución, ésta se entenderá en sentido positivo o negativo al promovente</w:t>
      </w:r>
      <w:r w:rsidRPr="001C31C5">
        <w:rPr>
          <w:rFonts w:ascii="Arial" w:eastAsia="Times New Roman" w:hAnsi="Arial" w:cs="Arial"/>
          <w:sz w:val="24"/>
          <w:szCs w:val="24"/>
          <w:lang w:eastAsia="es-ES"/>
        </w:rPr>
        <w:t>, en términos de lo que disponga la Ley. A petición del interesado, se deberá expedir constancia de tal circunstancia dentro de los dos días hábiles siguientes a la presentación de la solicitud respectiva ante quien deba resolver. Igual constancia deberá expedirse cuando otras disposiciones prevean que transcurrido el plazo aplicable la resolución deba entenderse en sentido negativo.</w:t>
      </w:r>
    </w:p>
    <w:p w14:paraId="77E553D9" w14:textId="77777777" w:rsidR="001C31C5" w:rsidRPr="001C31C5" w:rsidRDefault="001C31C5" w:rsidP="001C31C5">
      <w:pPr>
        <w:spacing w:after="160" w:line="360" w:lineRule="auto"/>
        <w:ind w:firstLine="567"/>
        <w:jc w:val="both"/>
        <w:rPr>
          <w:rFonts w:ascii="Arial" w:eastAsia="Times New Roman" w:hAnsi="Arial" w:cs="Arial"/>
          <w:sz w:val="24"/>
          <w:szCs w:val="24"/>
          <w:lang w:eastAsia="es-ES"/>
        </w:rPr>
      </w:pPr>
      <w:r w:rsidRPr="001C31C5">
        <w:rPr>
          <w:rFonts w:ascii="Arial" w:eastAsia="Times New Roman" w:hAnsi="Arial" w:cs="Arial"/>
          <w:sz w:val="24"/>
          <w:szCs w:val="24"/>
          <w:lang w:eastAsia="es-ES"/>
        </w:rPr>
        <w:t>En el caso de que se recurra al sentido positivo o negativo según sea el caso, por falta de resolución, y ésta a su vez no se resuelva dentro del mismo término, se entenderá confirmado el sentido de la misma.</w:t>
      </w:r>
    </w:p>
    <w:p w14:paraId="33CEACB6" w14:textId="77777777" w:rsidR="0049074C" w:rsidRPr="0049074C" w:rsidRDefault="0049074C" w:rsidP="0049074C">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Disponiéndose en el artículo 98 del ordenamiento que se analiza que l</w:t>
      </w:r>
      <w:r w:rsidRPr="0049074C">
        <w:rPr>
          <w:rFonts w:ascii="Arial" w:eastAsia="Times New Roman" w:hAnsi="Arial" w:cs="Arial"/>
          <w:sz w:val="24"/>
          <w:szCs w:val="24"/>
          <w:lang w:eastAsia="es-ES"/>
        </w:rPr>
        <w:t>os interesados afectados por los actos y resoluciones de las autoridades administrativas que pongan fin al procedimiento administrativo, a una instancia o resuelvan un expediente, podrán interponer recurso de revisión o intentar las vías judiciales-administrativas corres</w:t>
      </w:r>
      <w:r w:rsidR="00757B9C">
        <w:rPr>
          <w:rFonts w:ascii="Arial" w:eastAsia="Times New Roman" w:hAnsi="Arial" w:cs="Arial"/>
          <w:sz w:val="24"/>
          <w:szCs w:val="24"/>
          <w:lang w:eastAsia="es-ES"/>
        </w:rPr>
        <w:t>pondientes ante este</w:t>
      </w:r>
      <w:r w:rsidRPr="0049074C">
        <w:rPr>
          <w:rFonts w:ascii="Arial" w:eastAsia="Times New Roman" w:hAnsi="Arial" w:cs="Arial"/>
          <w:sz w:val="24"/>
          <w:szCs w:val="24"/>
          <w:lang w:eastAsia="es-ES"/>
        </w:rPr>
        <w:t xml:space="preserve"> Tribunal.</w:t>
      </w:r>
    </w:p>
    <w:p w14:paraId="1AC485C8" w14:textId="77777777" w:rsidR="00576869" w:rsidRDefault="002D31AA" w:rsidP="002D31AA">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val="es-ES_tradnl" w:eastAsia="es-ES"/>
        </w:rPr>
        <w:t>Por último</w:t>
      </w:r>
      <w:r w:rsidR="007E11D9">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el artículo 133 fracción V antes transcrito, establece </w:t>
      </w:r>
      <w:r w:rsidR="006F0E79">
        <w:rPr>
          <w:rFonts w:ascii="Arial" w:eastAsia="Times New Roman" w:hAnsi="Arial" w:cs="Arial"/>
          <w:sz w:val="24"/>
          <w:szCs w:val="24"/>
          <w:lang w:val="es-ES_tradnl" w:eastAsia="es-ES"/>
        </w:rPr>
        <w:t xml:space="preserve">que </w:t>
      </w:r>
      <w:r w:rsidR="006F0E79" w:rsidRPr="007E11D9">
        <w:rPr>
          <w:rFonts w:ascii="Arial" w:eastAsia="Times New Roman" w:hAnsi="Arial" w:cs="Arial"/>
          <w:b/>
          <w:sz w:val="24"/>
          <w:szCs w:val="24"/>
          <w:lang w:val="es-ES_tradnl" w:eastAsia="es-ES"/>
        </w:rPr>
        <w:t>l</w:t>
      </w:r>
      <w:r w:rsidR="006F0E79" w:rsidRPr="007E11D9">
        <w:rPr>
          <w:rFonts w:ascii="Arial" w:eastAsia="Times New Roman" w:hAnsi="Arial" w:cs="Arial"/>
          <w:b/>
          <w:sz w:val="24"/>
          <w:szCs w:val="24"/>
          <w:lang w:eastAsia="es-ES"/>
        </w:rPr>
        <w:t>as Salas Unitarias de este</w:t>
      </w:r>
      <w:r w:rsidRPr="007E11D9">
        <w:rPr>
          <w:rFonts w:ascii="Arial" w:eastAsia="Times New Roman" w:hAnsi="Arial" w:cs="Arial"/>
          <w:b/>
          <w:sz w:val="24"/>
          <w:szCs w:val="24"/>
          <w:lang w:eastAsia="es-ES"/>
        </w:rPr>
        <w:t xml:space="preserve"> Tribunal son competentes para conocer y resolver los juicios que se promuevan en contra de</w:t>
      </w:r>
      <w:r w:rsidR="006F0E79" w:rsidRPr="007E11D9">
        <w:rPr>
          <w:rFonts w:ascii="Arial" w:eastAsia="Times New Roman" w:hAnsi="Arial" w:cs="Arial"/>
          <w:b/>
          <w:sz w:val="24"/>
          <w:szCs w:val="24"/>
          <w:lang w:eastAsia="es-ES"/>
        </w:rPr>
        <w:t xml:space="preserve"> l</w:t>
      </w:r>
      <w:r w:rsidRPr="007E11D9">
        <w:rPr>
          <w:rFonts w:ascii="Arial" w:eastAsia="Times New Roman" w:hAnsi="Arial" w:cs="Arial"/>
          <w:b/>
          <w:sz w:val="24"/>
          <w:szCs w:val="24"/>
          <w:lang w:eastAsia="es-ES"/>
        </w:rPr>
        <w:t>os actos fiscales o administrativos que implique</w:t>
      </w:r>
      <w:r w:rsidR="007E11D9" w:rsidRPr="007E11D9">
        <w:rPr>
          <w:rFonts w:ascii="Arial" w:eastAsia="Times New Roman" w:hAnsi="Arial" w:cs="Arial"/>
          <w:b/>
          <w:sz w:val="24"/>
          <w:szCs w:val="24"/>
          <w:lang w:eastAsia="es-ES"/>
        </w:rPr>
        <w:t>n una resolución negativa ficta</w:t>
      </w:r>
      <w:r w:rsidR="007E11D9">
        <w:rPr>
          <w:rFonts w:ascii="Arial" w:eastAsia="Times New Roman" w:hAnsi="Arial" w:cs="Arial"/>
          <w:sz w:val="24"/>
          <w:szCs w:val="24"/>
          <w:lang w:eastAsia="es-ES"/>
        </w:rPr>
        <w:t>.</w:t>
      </w:r>
    </w:p>
    <w:p w14:paraId="004CFDF6" w14:textId="77777777" w:rsidR="007E11D9" w:rsidRDefault="007E11D9" w:rsidP="002D31AA">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En esta tesitura, existen disposiciones reglamentarias a efecto de que los accionantes puedan acceder a la administración de justicia, normas procedimentales que no pueden dejar de observarse bajo el principio de acceso a la justicia, de lo contrario se vulnera la seguridad jurídica de que se respeten las normas procedimentales establecidas por los legisladores.</w:t>
      </w:r>
    </w:p>
    <w:p w14:paraId="24B7719A" w14:textId="77777777" w:rsidR="007326EC" w:rsidRDefault="00DC7BB8" w:rsidP="008E7776">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En efec</w:t>
      </w:r>
      <w:r w:rsidR="001D63DD">
        <w:rPr>
          <w:rFonts w:ascii="Arial" w:eastAsia="Times New Roman" w:hAnsi="Arial" w:cs="Arial"/>
          <w:sz w:val="24"/>
          <w:szCs w:val="24"/>
          <w:lang w:eastAsia="es-ES"/>
        </w:rPr>
        <w:t>to, aun</w:t>
      </w:r>
      <w:r w:rsidR="004C3BDA" w:rsidRPr="004C3BDA">
        <w:rPr>
          <w:rFonts w:ascii="Arial" w:eastAsia="Times New Roman" w:hAnsi="Arial" w:cs="Arial"/>
          <w:sz w:val="24"/>
          <w:szCs w:val="24"/>
          <w:lang w:eastAsia="es-ES"/>
        </w:rPr>
        <w:t xml:space="preserve"> cuando la Suprema Corte de Justicia de la Nación ha sostenido reiteradamente que los militares, marinos, personal del servicio exterior, agentes del Ministerio </w:t>
      </w:r>
      <w:r w:rsidR="004C3BDA" w:rsidRPr="007326EC">
        <w:rPr>
          <w:rFonts w:ascii="Arial" w:eastAsia="Times New Roman" w:hAnsi="Arial" w:cs="Arial"/>
          <w:sz w:val="24"/>
          <w:szCs w:val="24"/>
          <w:lang w:eastAsia="es-ES"/>
        </w:rPr>
        <w:t xml:space="preserve">Público, peritos </w:t>
      </w:r>
      <w:r w:rsidR="001D63DD" w:rsidRPr="007326EC">
        <w:rPr>
          <w:rFonts w:ascii="Arial" w:eastAsia="Times New Roman" w:hAnsi="Arial" w:cs="Arial"/>
          <w:sz w:val="24"/>
          <w:szCs w:val="24"/>
          <w:lang w:eastAsia="es-ES"/>
        </w:rPr>
        <w:t xml:space="preserve">y miembros de las instituciones </w:t>
      </w:r>
      <w:r w:rsidR="004C3BDA" w:rsidRPr="007326EC">
        <w:rPr>
          <w:rFonts w:ascii="Arial" w:eastAsia="Times New Roman" w:hAnsi="Arial" w:cs="Arial"/>
          <w:sz w:val="24"/>
          <w:szCs w:val="24"/>
          <w:lang w:eastAsia="es-ES"/>
        </w:rPr>
        <w:t>policiales, a que se</w:t>
      </w:r>
      <w:r w:rsidR="001D63DD" w:rsidRPr="007326EC">
        <w:rPr>
          <w:rFonts w:ascii="Arial" w:eastAsia="Times New Roman" w:hAnsi="Arial" w:cs="Arial"/>
          <w:sz w:val="24"/>
          <w:szCs w:val="24"/>
          <w:lang w:eastAsia="es-ES"/>
        </w:rPr>
        <w:t xml:space="preserve"> refiere el artículo </w:t>
      </w:r>
      <w:hyperlink r:id="rId8" w:history="1">
        <w:r w:rsidR="004C3BDA" w:rsidRPr="007326EC">
          <w:rPr>
            <w:rStyle w:val="Hipervnculo"/>
            <w:rFonts w:ascii="Arial" w:eastAsia="Times New Roman" w:hAnsi="Arial" w:cs="Arial"/>
            <w:bCs/>
            <w:color w:val="auto"/>
            <w:sz w:val="24"/>
            <w:szCs w:val="24"/>
            <w:u w:val="none"/>
            <w:lang w:eastAsia="es-ES"/>
          </w:rPr>
          <w:t>123, apartado B, fracción XIII, de la Constitución Política de los Estados Unidos Mexicanos</w:t>
        </w:r>
      </w:hyperlink>
      <w:r w:rsidR="001D63DD" w:rsidRPr="007326EC">
        <w:rPr>
          <w:rFonts w:ascii="Arial" w:eastAsia="Times New Roman" w:hAnsi="Arial" w:cs="Arial"/>
          <w:sz w:val="24"/>
          <w:szCs w:val="24"/>
          <w:lang w:eastAsia="es-ES"/>
        </w:rPr>
        <w:t xml:space="preserve"> </w:t>
      </w:r>
      <w:r w:rsidR="004C3BDA" w:rsidRPr="007326EC">
        <w:rPr>
          <w:rFonts w:ascii="Arial" w:eastAsia="Times New Roman" w:hAnsi="Arial" w:cs="Arial"/>
          <w:sz w:val="24"/>
          <w:szCs w:val="24"/>
          <w:lang w:eastAsia="es-ES"/>
        </w:rPr>
        <w:t xml:space="preserve">tienen una </w:t>
      </w:r>
      <w:r w:rsidR="004C3BDA" w:rsidRPr="004C3BDA">
        <w:rPr>
          <w:rFonts w:ascii="Arial" w:eastAsia="Times New Roman" w:hAnsi="Arial" w:cs="Arial"/>
          <w:sz w:val="24"/>
          <w:szCs w:val="24"/>
          <w:lang w:eastAsia="es-ES"/>
        </w:rPr>
        <w:t>relación con el poder público de índole administrati</w:t>
      </w:r>
      <w:r w:rsidR="001D63DD">
        <w:rPr>
          <w:rFonts w:ascii="Arial" w:eastAsia="Times New Roman" w:hAnsi="Arial" w:cs="Arial"/>
          <w:sz w:val="24"/>
          <w:szCs w:val="24"/>
          <w:lang w:eastAsia="es-ES"/>
        </w:rPr>
        <w:t>va, materia de la cual conoce</w:t>
      </w:r>
      <w:r w:rsidR="007326EC">
        <w:rPr>
          <w:rFonts w:ascii="Arial" w:eastAsia="Times New Roman" w:hAnsi="Arial" w:cs="Arial"/>
          <w:sz w:val="24"/>
          <w:szCs w:val="24"/>
          <w:lang w:eastAsia="es-ES"/>
        </w:rPr>
        <w:t>,</w:t>
      </w:r>
      <w:r w:rsidR="001D63DD">
        <w:rPr>
          <w:rFonts w:ascii="Arial" w:eastAsia="Times New Roman" w:hAnsi="Arial" w:cs="Arial"/>
          <w:sz w:val="24"/>
          <w:szCs w:val="24"/>
          <w:lang w:eastAsia="es-ES"/>
        </w:rPr>
        <w:t xml:space="preserve"> este</w:t>
      </w:r>
      <w:r w:rsidR="004C3BDA" w:rsidRPr="004C3BDA">
        <w:rPr>
          <w:rFonts w:ascii="Arial" w:eastAsia="Times New Roman" w:hAnsi="Arial" w:cs="Arial"/>
          <w:sz w:val="24"/>
          <w:szCs w:val="24"/>
          <w:lang w:eastAsia="es-ES"/>
        </w:rPr>
        <w:t xml:space="preserve"> Tribunal </w:t>
      </w:r>
      <w:r w:rsidR="001D63DD">
        <w:rPr>
          <w:rFonts w:ascii="Arial" w:eastAsia="Times New Roman" w:hAnsi="Arial" w:cs="Arial"/>
          <w:sz w:val="24"/>
          <w:szCs w:val="24"/>
          <w:lang w:eastAsia="es-ES"/>
        </w:rPr>
        <w:t>de Justicia Administrativa del Estado de Oaxaca</w:t>
      </w:r>
      <w:r w:rsidR="004C3BDA" w:rsidRPr="004C3BDA">
        <w:rPr>
          <w:rFonts w:ascii="Arial" w:eastAsia="Times New Roman" w:hAnsi="Arial" w:cs="Arial"/>
          <w:sz w:val="24"/>
          <w:szCs w:val="24"/>
          <w:lang w:eastAsia="es-ES"/>
        </w:rPr>
        <w:t>, lo cierto es que esa sola circunstancia no torna procedente el juicio de nulidad promovido</w:t>
      </w:r>
      <w:r w:rsidR="007326EC">
        <w:rPr>
          <w:rFonts w:ascii="Arial" w:eastAsia="Times New Roman" w:hAnsi="Arial" w:cs="Arial"/>
          <w:sz w:val="24"/>
          <w:szCs w:val="24"/>
          <w:lang w:eastAsia="es-ES"/>
        </w:rPr>
        <w:t xml:space="preserve">, </w:t>
      </w:r>
      <w:r w:rsidR="007326EC" w:rsidRPr="007326EC">
        <w:rPr>
          <w:rFonts w:ascii="Arial" w:eastAsia="Times New Roman" w:hAnsi="Arial" w:cs="Arial"/>
          <w:sz w:val="24"/>
          <w:szCs w:val="24"/>
          <w:lang w:eastAsia="es-ES"/>
        </w:rPr>
        <w:t>pues su procedencia está acotada a que se colme</w:t>
      </w:r>
      <w:r w:rsidR="007326EC">
        <w:rPr>
          <w:rFonts w:ascii="Arial" w:eastAsia="Times New Roman" w:hAnsi="Arial" w:cs="Arial"/>
          <w:sz w:val="24"/>
          <w:szCs w:val="24"/>
          <w:lang w:eastAsia="es-ES"/>
        </w:rPr>
        <w:t xml:space="preserve">n los requisitos que establecen los </w:t>
      </w:r>
      <w:r w:rsidR="007326EC" w:rsidRPr="007326EC">
        <w:rPr>
          <w:rFonts w:ascii="Arial" w:eastAsia="Times New Roman" w:hAnsi="Arial" w:cs="Arial"/>
          <w:sz w:val="24"/>
          <w:szCs w:val="24"/>
          <w:lang w:eastAsia="es-ES"/>
        </w:rPr>
        <w:t>artículo</w:t>
      </w:r>
      <w:r w:rsidR="007326EC">
        <w:rPr>
          <w:rFonts w:ascii="Arial" w:eastAsia="Times New Roman" w:hAnsi="Arial" w:cs="Arial"/>
          <w:sz w:val="24"/>
          <w:szCs w:val="24"/>
          <w:lang w:eastAsia="es-ES"/>
        </w:rPr>
        <w:t>s ya analizados de la Ley de Procedimiento y Justicia Administrativa para el Estado de Oaxaca</w:t>
      </w:r>
      <w:r w:rsidR="007326EC" w:rsidRPr="007326EC">
        <w:rPr>
          <w:rFonts w:ascii="Arial" w:eastAsia="Times New Roman" w:hAnsi="Arial" w:cs="Arial"/>
          <w:sz w:val="24"/>
          <w:szCs w:val="24"/>
          <w:lang w:eastAsia="es-ES"/>
        </w:rPr>
        <w:t>, hipótesis que no se surte en e</w:t>
      </w:r>
      <w:r w:rsidR="007326EC">
        <w:rPr>
          <w:rFonts w:ascii="Arial" w:eastAsia="Times New Roman" w:hAnsi="Arial" w:cs="Arial"/>
          <w:sz w:val="24"/>
          <w:szCs w:val="24"/>
          <w:lang w:eastAsia="es-ES"/>
        </w:rPr>
        <w:t>l caso.</w:t>
      </w:r>
    </w:p>
    <w:p w14:paraId="2C8DF35F" w14:textId="77777777" w:rsidR="006D171F" w:rsidRDefault="006D171F" w:rsidP="008E7776">
      <w:pPr>
        <w:spacing w:after="160" w:line="360" w:lineRule="auto"/>
        <w:ind w:firstLine="567"/>
        <w:jc w:val="both"/>
        <w:rPr>
          <w:rFonts w:ascii="Arial" w:eastAsia="Times New Roman" w:hAnsi="Arial" w:cs="Arial"/>
          <w:sz w:val="24"/>
          <w:szCs w:val="24"/>
          <w:lang w:eastAsia="es-ES"/>
        </w:rPr>
      </w:pPr>
      <w:r>
        <w:rPr>
          <w:rFonts w:ascii="Arial" w:eastAsia="Times New Roman" w:hAnsi="Arial" w:cs="Arial"/>
          <w:sz w:val="24"/>
          <w:szCs w:val="24"/>
          <w:lang w:eastAsia="es-ES"/>
        </w:rPr>
        <w:t>Resulta ilustrativo el siguiente criterio:</w:t>
      </w:r>
    </w:p>
    <w:p w14:paraId="5CBE3DE1" w14:textId="77777777" w:rsidR="006D171F" w:rsidRPr="006D171F" w:rsidRDefault="006D171F" w:rsidP="006D171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Registro digital: </w:t>
      </w:r>
      <w:r w:rsidRPr="006D171F">
        <w:rPr>
          <w:rFonts w:ascii="Arial" w:eastAsia="Times New Roman" w:hAnsi="Arial" w:cs="Arial"/>
          <w:lang w:eastAsia="es-ES"/>
        </w:rPr>
        <w:t>2017685</w:t>
      </w:r>
    </w:p>
    <w:p w14:paraId="0958CDB0" w14:textId="77777777" w:rsidR="006D171F" w:rsidRPr="006D171F" w:rsidRDefault="006D171F" w:rsidP="006D171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Instancia: </w:t>
      </w:r>
      <w:r w:rsidRPr="006D171F">
        <w:rPr>
          <w:rFonts w:ascii="Arial" w:eastAsia="Times New Roman" w:hAnsi="Arial" w:cs="Arial"/>
          <w:lang w:eastAsia="es-ES"/>
        </w:rPr>
        <w:t>Segunda Sala</w:t>
      </w:r>
    </w:p>
    <w:p w14:paraId="2ED79076" w14:textId="77777777" w:rsidR="006D171F" w:rsidRPr="006D171F" w:rsidRDefault="006D171F" w:rsidP="006D171F">
      <w:pPr>
        <w:spacing w:after="0" w:line="240" w:lineRule="auto"/>
        <w:ind w:left="567" w:right="335"/>
        <w:jc w:val="both"/>
        <w:rPr>
          <w:rFonts w:ascii="Arial" w:eastAsia="Times New Roman" w:hAnsi="Arial" w:cs="Arial"/>
          <w:lang w:eastAsia="es-ES"/>
        </w:rPr>
      </w:pPr>
      <w:r w:rsidRPr="006D171F">
        <w:rPr>
          <w:rFonts w:ascii="Arial" w:eastAsia="Times New Roman" w:hAnsi="Arial" w:cs="Arial"/>
          <w:b/>
          <w:bCs/>
          <w:lang w:eastAsia="es-ES"/>
        </w:rPr>
        <w:lastRenderedPageBreak/>
        <w:t>Décima Época</w:t>
      </w:r>
    </w:p>
    <w:p w14:paraId="1ECDC933" w14:textId="77777777" w:rsidR="006D171F" w:rsidRPr="006D171F" w:rsidRDefault="006D171F" w:rsidP="006D171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Materia(s): </w:t>
      </w:r>
      <w:r w:rsidRPr="006D171F">
        <w:rPr>
          <w:rFonts w:ascii="Arial" w:eastAsia="Times New Roman" w:hAnsi="Arial" w:cs="Arial"/>
          <w:lang w:eastAsia="es-ES"/>
        </w:rPr>
        <w:t>Administrativa</w:t>
      </w:r>
    </w:p>
    <w:p w14:paraId="57AC6432" w14:textId="77777777" w:rsidR="006D171F" w:rsidRPr="006D171F" w:rsidRDefault="006D171F" w:rsidP="006D171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Tesis: </w:t>
      </w:r>
      <w:r w:rsidRPr="006D171F">
        <w:rPr>
          <w:rFonts w:ascii="Arial" w:eastAsia="Times New Roman" w:hAnsi="Arial" w:cs="Arial"/>
          <w:lang w:eastAsia="es-ES"/>
        </w:rPr>
        <w:t>2a./J. 84/2018 (10a.)</w:t>
      </w:r>
    </w:p>
    <w:p w14:paraId="0B8CB4A0" w14:textId="77777777" w:rsidR="006D171F" w:rsidRPr="006D171F" w:rsidRDefault="006D171F" w:rsidP="006D171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Fuente: </w:t>
      </w:r>
      <w:r w:rsidRPr="006D171F">
        <w:rPr>
          <w:rFonts w:ascii="Arial" w:eastAsia="Times New Roman" w:hAnsi="Arial" w:cs="Arial"/>
          <w:lang w:eastAsia="es-ES"/>
        </w:rPr>
        <w:t>Gaceta del Semanario Judicial de la Federación.</w:t>
      </w:r>
      <w:r w:rsidRPr="006D171F">
        <w:rPr>
          <w:rFonts w:ascii="Arial" w:eastAsia="Times New Roman" w:hAnsi="Arial" w:cs="Arial"/>
          <w:lang w:eastAsia="es-ES"/>
        </w:rPr>
        <w:br/>
        <w:t>Libro 57, Agosto de 2018, Tomo I, página 1101</w:t>
      </w:r>
    </w:p>
    <w:p w14:paraId="2FFA052A" w14:textId="77777777" w:rsidR="006D171F" w:rsidRPr="006D171F" w:rsidRDefault="006D171F" w:rsidP="006D171F">
      <w:pPr>
        <w:spacing w:after="0" w:line="240" w:lineRule="auto"/>
        <w:ind w:left="567" w:right="335"/>
        <w:jc w:val="both"/>
        <w:rPr>
          <w:rFonts w:ascii="Arial" w:eastAsia="Times New Roman" w:hAnsi="Arial" w:cs="Arial"/>
          <w:lang w:eastAsia="es-ES"/>
        </w:rPr>
      </w:pPr>
      <w:r>
        <w:rPr>
          <w:rFonts w:ascii="Arial" w:eastAsia="Times New Roman" w:hAnsi="Arial" w:cs="Arial"/>
          <w:b/>
          <w:bCs/>
          <w:lang w:eastAsia="es-ES"/>
        </w:rPr>
        <w:t xml:space="preserve">Tipo: </w:t>
      </w:r>
      <w:r w:rsidRPr="006D171F">
        <w:rPr>
          <w:rFonts w:ascii="Arial" w:eastAsia="Times New Roman" w:hAnsi="Arial" w:cs="Arial"/>
          <w:lang w:eastAsia="es-ES"/>
        </w:rPr>
        <w:t>Jurisprudencia</w:t>
      </w:r>
    </w:p>
    <w:p w14:paraId="25A4E816" w14:textId="77777777" w:rsidR="006D171F" w:rsidRDefault="006D171F" w:rsidP="006D171F">
      <w:pPr>
        <w:spacing w:after="0" w:line="240" w:lineRule="auto"/>
        <w:ind w:left="567" w:right="335"/>
        <w:jc w:val="both"/>
        <w:rPr>
          <w:rFonts w:ascii="Arial" w:eastAsia="Times New Roman" w:hAnsi="Arial" w:cs="Arial"/>
          <w:b/>
          <w:bCs/>
          <w:lang w:eastAsia="es-ES"/>
        </w:rPr>
      </w:pPr>
    </w:p>
    <w:p w14:paraId="426866F0" w14:textId="77777777" w:rsidR="006D171F" w:rsidRPr="006D171F" w:rsidRDefault="006D171F" w:rsidP="006D171F">
      <w:pPr>
        <w:spacing w:after="0" w:line="240" w:lineRule="auto"/>
        <w:ind w:left="567" w:right="335"/>
        <w:jc w:val="both"/>
        <w:rPr>
          <w:rFonts w:ascii="Arial" w:eastAsia="Times New Roman" w:hAnsi="Arial" w:cs="Arial"/>
          <w:b/>
          <w:bCs/>
          <w:lang w:eastAsia="es-ES"/>
        </w:rPr>
      </w:pPr>
      <w:r w:rsidRPr="006D171F">
        <w:rPr>
          <w:rFonts w:ascii="Arial" w:eastAsia="Times New Roman" w:hAnsi="Arial" w:cs="Arial"/>
          <w:b/>
          <w:bCs/>
          <w:lang w:eastAsia="es-ES"/>
        </w:rPr>
        <w:t>JUICIO CONTENCIOSO ADMINISTRATIVO. PARA QUE PROCEDA CONTRA LA OMISIÓN, ACTUALIZACIÓN Y CÁLCULO DE INCREMENTOS A LAS PENSIONES CONCEDIDAS POR EL INSTITUTO DE SEGURIDAD Y SERVICIOS SOCIALES DE LOS TRABAJADORES DEL ESTADO, PREVIAMENTE DEBE EXISTIR UNA RESOLUCIÓN EXPRESA O FICTA QUE HAYA DADO RESPUESTA A LA PETICIÓN DEL PENSIONADO.</w:t>
      </w:r>
    </w:p>
    <w:p w14:paraId="3A41E1F3" w14:textId="77777777" w:rsidR="006D171F" w:rsidRPr="006D171F" w:rsidRDefault="006D171F" w:rsidP="006D171F">
      <w:pPr>
        <w:spacing w:after="0" w:line="240" w:lineRule="auto"/>
        <w:ind w:left="567" w:right="335"/>
        <w:jc w:val="both"/>
        <w:rPr>
          <w:rFonts w:ascii="Arial" w:eastAsia="Times New Roman" w:hAnsi="Arial" w:cs="Arial"/>
          <w:lang w:eastAsia="es-ES"/>
        </w:rPr>
      </w:pPr>
    </w:p>
    <w:p w14:paraId="0C85FC2D" w14:textId="77777777" w:rsidR="006D171F" w:rsidRPr="006D171F" w:rsidRDefault="006D171F" w:rsidP="006D171F">
      <w:pPr>
        <w:spacing w:after="0" w:line="240" w:lineRule="auto"/>
        <w:ind w:left="567" w:right="335"/>
        <w:jc w:val="both"/>
        <w:rPr>
          <w:rFonts w:ascii="Arial" w:eastAsia="Times New Roman" w:hAnsi="Arial" w:cs="Arial"/>
          <w:lang w:eastAsia="es-ES"/>
        </w:rPr>
      </w:pPr>
      <w:r w:rsidRPr="006D171F">
        <w:rPr>
          <w:rFonts w:ascii="Arial" w:eastAsia="Times New Roman" w:hAnsi="Arial" w:cs="Arial"/>
          <w:lang w:eastAsia="es-ES"/>
        </w:rPr>
        <w:t>De los artículos </w:t>
      </w:r>
      <w:hyperlink r:id="rId9" w:history="1">
        <w:r w:rsidRPr="006D171F">
          <w:rPr>
            <w:rStyle w:val="Hipervnculo"/>
            <w:rFonts w:ascii="Arial" w:eastAsia="Times New Roman" w:hAnsi="Arial" w:cs="Arial"/>
            <w:bCs/>
            <w:color w:val="auto"/>
            <w:u w:val="none"/>
            <w:lang w:eastAsia="es-ES"/>
          </w:rPr>
          <w:t>14, fracción VI, de Ley Orgánica del Tribunal Federal de Justicia Fiscal y Administrativa</w:t>
        </w:r>
      </w:hyperlink>
      <w:r w:rsidRPr="006D171F">
        <w:rPr>
          <w:rFonts w:ascii="Arial" w:eastAsia="Times New Roman" w:hAnsi="Arial" w:cs="Arial"/>
          <w:lang w:eastAsia="es-ES"/>
        </w:rPr>
        <w:t> abrogada, </w:t>
      </w:r>
      <w:hyperlink r:id="rId10" w:history="1">
        <w:r w:rsidRPr="006D171F">
          <w:rPr>
            <w:rStyle w:val="Hipervnculo"/>
            <w:rFonts w:ascii="Arial" w:eastAsia="Times New Roman" w:hAnsi="Arial" w:cs="Arial"/>
            <w:bCs/>
            <w:color w:val="auto"/>
            <w:u w:val="none"/>
            <w:lang w:eastAsia="es-ES"/>
          </w:rPr>
          <w:t>2o., 3o., 14, fracción II, y 15, fracciones III y IV, de la Ley Federal de Procedimiento Contencioso Administrativo</w:t>
        </w:r>
      </w:hyperlink>
      <w:r w:rsidRPr="006D171F">
        <w:rPr>
          <w:rFonts w:ascii="Arial" w:eastAsia="Times New Roman" w:hAnsi="Arial" w:cs="Arial"/>
          <w:lang w:eastAsia="es-ES"/>
        </w:rPr>
        <w:t xml:space="preserve">, se advierte que el Tribunal Federal de Justicia Fiscal y Administrativa (actualmente Tribunal Federal de Justicia Administrativa) conocerá del juicio contencioso administrativo promovido contra las resoluciones definitivas dictadas en materia de pensiones civiles, sea con cargo al erario federal o al Instituto de Seguridad y Servicios Sociales de los Trabajadores del Estado. </w:t>
      </w:r>
      <w:r w:rsidRPr="006D171F">
        <w:rPr>
          <w:rFonts w:ascii="Arial" w:eastAsia="Times New Roman" w:hAnsi="Arial" w:cs="Arial"/>
          <w:b/>
          <w:sz w:val="24"/>
          <w:szCs w:val="24"/>
          <w:lang w:eastAsia="es-ES"/>
        </w:rPr>
        <w:t>De dichas normas se deduce que tratándose de la impugnación de la actualización y cálculo de incrementos a una pensión se requiere de una resolución dictada por el Instituto referido, lo que presupone que el actor, antes de acudir al juicio contencioso administrativo federal, debió gestionar ante la autoridad administrativa que se le otorgaran dichos incrementos, a fin de que se pronunciara de manera expresa o ficta su negativa a acordar de manera favorable la instancia ante aquélla planteada</w:t>
      </w:r>
      <w:r w:rsidRPr="006D171F">
        <w:rPr>
          <w:rFonts w:ascii="Arial" w:eastAsia="Times New Roman" w:hAnsi="Arial" w:cs="Arial"/>
          <w:lang w:eastAsia="es-ES"/>
        </w:rPr>
        <w:t>, máxime que en las tesis aislada </w:t>
      </w:r>
      <w:hyperlink r:id="rId11" w:tgtFrame="_blank" w:history="1">
        <w:r w:rsidRPr="006D171F">
          <w:rPr>
            <w:rStyle w:val="Hipervnculo"/>
            <w:rFonts w:ascii="Arial" w:eastAsia="Times New Roman" w:hAnsi="Arial" w:cs="Arial"/>
            <w:b/>
            <w:bCs/>
            <w:lang w:eastAsia="es-ES"/>
          </w:rPr>
          <w:t>2a. X/2003</w:t>
        </w:r>
      </w:hyperlink>
      <w:r w:rsidRPr="006D171F">
        <w:rPr>
          <w:rFonts w:ascii="Arial" w:eastAsia="Times New Roman" w:hAnsi="Arial" w:cs="Arial"/>
          <w:lang w:eastAsia="es-ES"/>
        </w:rPr>
        <w:t> y de jurisprudencia </w:t>
      </w:r>
      <w:hyperlink r:id="rId12" w:tgtFrame="_blank" w:history="1">
        <w:r w:rsidRPr="006D171F">
          <w:rPr>
            <w:rStyle w:val="Hipervnculo"/>
            <w:rFonts w:ascii="Arial" w:eastAsia="Times New Roman" w:hAnsi="Arial" w:cs="Arial"/>
            <w:b/>
            <w:bCs/>
            <w:lang w:eastAsia="es-ES"/>
          </w:rPr>
          <w:t>2a./J. 80/2017 (10a.)</w:t>
        </w:r>
      </w:hyperlink>
      <w:r w:rsidRPr="006D171F">
        <w:rPr>
          <w:rFonts w:ascii="Arial" w:eastAsia="Times New Roman" w:hAnsi="Arial" w:cs="Arial"/>
          <w:lang w:eastAsia="es-ES"/>
        </w:rPr>
        <w:t>, la Segunda Sala de la Suprema Corte de Justicia de la Nación sostuvo que para la procedencia del juicio contencioso administrativo se requiere que se haya emitido un acto administrativo de autoridad, una resolución definitiva o la última resolución dictada para poner fin a un procedimiento, para que sea susceptible de impugnarse ante el Tribunal mencionado.</w:t>
      </w:r>
    </w:p>
    <w:p w14:paraId="0B27F61C" w14:textId="77777777" w:rsidR="006D171F" w:rsidRPr="006D171F" w:rsidRDefault="006D171F" w:rsidP="006D171F">
      <w:pPr>
        <w:spacing w:after="0" w:line="240" w:lineRule="auto"/>
        <w:ind w:left="567" w:right="335"/>
        <w:jc w:val="both"/>
        <w:rPr>
          <w:rFonts w:ascii="Arial" w:eastAsia="Times New Roman" w:hAnsi="Arial" w:cs="Arial"/>
          <w:lang w:eastAsia="es-ES"/>
        </w:rPr>
      </w:pPr>
    </w:p>
    <w:p w14:paraId="171946A6" w14:textId="77777777" w:rsidR="006D171F" w:rsidRPr="006D171F" w:rsidRDefault="006D171F" w:rsidP="006D171F">
      <w:pPr>
        <w:spacing w:after="0" w:line="240" w:lineRule="auto"/>
        <w:ind w:left="567" w:right="335"/>
        <w:jc w:val="both"/>
        <w:rPr>
          <w:rFonts w:ascii="Arial" w:eastAsia="Times New Roman" w:hAnsi="Arial" w:cs="Arial"/>
          <w:lang w:eastAsia="es-ES"/>
        </w:rPr>
      </w:pPr>
      <w:r w:rsidRPr="006D171F">
        <w:rPr>
          <w:rFonts w:ascii="Arial" w:eastAsia="Times New Roman" w:hAnsi="Arial" w:cs="Arial"/>
          <w:lang w:eastAsia="es-ES"/>
        </w:rPr>
        <w:t>Contradicción de tesis 124/2018. Entre las sustentadas por el Primer Tribunal Colegiado de Circuito del Centro Auxiliar de la Novena Región, con residencia en Zacatecas, Zacatecas, el Segundo Tribunal Colegiado del Vigésimo Quinto Circuito y el Vigésimo Tribunal Colegiado en Materia Administrativa del Primer Circuito. 27 de junio de 2018. Cinco votos de los Ministros Alberto Pérez Dayán, Javier Laynez Potisek, José Fernando Franco González Salas, Margarita Beatriz Luna Ramos y Eduardo Medina Mora I. Ponente: Margarita Beatriz Luna Ramos. Secretaria: Teresa Sánchez Medellín.</w:t>
      </w:r>
    </w:p>
    <w:p w14:paraId="3FB803CE" w14:textId="77777777" w:rsidR="006D171F" w:rsidRDefault="006D171F" w:rsidP="008E7776">
      <w:pPr>
        <w:spacing w:after="160" w:line="360" w:lineRule="auto"/>
        <w:ind w:firstLine="567"/>
        <w:jc w:val="both"/>
        <w:rPr>
          <w:rFonts w:ascii="Arial" w:eastAsia="Times New Roman" w:hAnsi="Arial" w:cs="Arial"/>
          <w:sz w:val="24"/>
          <w:szCs w:val="24"/>
          <w:lang w:eastAsia="es-ES"/>
        </w:rPr>
      </w:pPr>
    </w:p>
    <w:p w14:paraId="1176C3D7" w14:textId="77777777" w:rsidR="00221537" w:rsidRDefault="006D7347" w:rsidP="008E7776">
      <w:pPr>
        <w:spacing w:after="160" w:line="360" w:lineRule="auto"/>
        <w:ind w:firstLine="567"/>
        <w:jc w:val="both"/>
        <w:rPr>
          <w:rFonts w:ascii="Arial" w:hAnsi="Arial" w:cs="Arial"/>
          <w:sz w:val="24"/>
          <w:szCs w:val="24"/>
        </w:rPr>
      </w:pPr>
      <w:r>
        <w:rPr>
          <w:rFonts w:ascii="Arial" w:eastAsia="Times New Roman" w:hAnsi="Arial" w:cs="Arial"/>
          <w:sz w:val="24"/>
          <w:szCs w:val="24"/>
          <w:lang w:eastAsia="es-ES"/>
        </w:rPr>
        <w:t xml:space="preserve">Del </w:t>
      </w:r>
      <w:r w:rsidRPr="008E7776">
        <w:rPr>
          <w:rFonts w:ascii="Arial" w:eastAsia="Times New Roman" w:hAnsi="Arial" w:cs="Arial"/>
          <w:sz w:val="24"/>
          <w:szCs w:val="24"/>
          <w:lang w:eastAsia="es-ES"/>
        </w:rPr>
        <w:t xml:space="preserve">análisis realizado en la presente resolución a los ordenamientos </w:t>
      </w:r>
      <w:r w:rsidR="00A73F4A" w:rsidRPr="008E7776">
        <w:rPr>
          <w:rFonts w:ascii="Arial" w:eastAsia="Times New Roman" w:hAnsi="Arial" w:cs="Arial"/>
          <w:sz w:val="24"/>
          <w:szCs w:val="24"/>
          <w:lang w:eastAsia="es-ES"/>
        </w:rPr>
        <w:t xml:space="preserve">precisados </w:t>
      </w:r>
      <w:r w:rsidRPr="008E7776">
        <w:rPr>
          <w:rFonts w:ascii="Arial" w:eastAsia="Times New Roman" w:hAnsi="Arial" w:cs="Arial"/>
          <w:sz w:val="24"/>
          <w:szCs w:val="24"/>
          <w:lang w:eastAsia="es-ES"/>
        </w:rPr>
        <w:t>se concluye que el juicio intentado resulta improceden</w:t>
      </w:r>
      <w:r w:rsidR="00A73F4A" w:rsidRPr="008E7776">
        <w:rPr>
          <w:rFonts w:ascii="Arial" w:eastAsia="Times New Roman" w:hAnsi="Arial" w:cs="Arial"/>
          <w:sz w:val="24"/>
          <w:szCs w:val="24"/>
          <w:lang w:eastAsia="es-ES"/>
        </w:rPr>
        <w:t xml:space="preserve">te </w:t>
      </w:r>
      <w:r w:rsidR="00120F19" w:rsidRPr="008E7776">
        <w:rPr>
          <w:rFonts w:ascii="Arial" w:eastAsia="Times New Roman" w:hAnsi="Arial" w:cs="Arial"/>
          <w:sz w:val="24"/>
          <w:szCs w:val="24"/>
          <w:lang w:eastAsia="es-ES"/>
        </w:rPr>
        <w:t>en términos del artículo 161 fracción X</w:t>
      </w:r>
      <w:r w:rsidR="008E7776" w:rsidRPr="008E7776">
        <w:rPr>
          <w:rFonts w:ascii="Arial" w:eastAsia="Times New Roman" w:hAnsi="Arial" w:cs="Arial"/>
          <w:sz w:val="24"/>
          <w:szCs w:val="24"/>
          <w:lang w:eastAsia="es-ES"/>
        </w:rPr>
        <w:t xml:space="preserve"> de la Ley de Procedimiento y Justicia Administrativa para el Estado de Oaxaca, que dispone que es</w:t>
      </w:r>
      <w:r w:rsidR="00221537" w:rsidRPr="008E7776">
        <w:rPr>
          <w:rFonts w:ascii="Arial" w:hAnsi="Arial" w:cs="Arial"/>
          <w:sz w:val="24"/>
          <w:szCs w:val="24"/>
        </w:rPr>
        <w:t xml:space="preserve"> improcedente el juici</w:t>
      </w:r>
      <w:r w:rsidR="008E7776" w:rsidRPr="008E7776">
        <w:rPr>
          <w:rFonts w:ascii="Arial" w:hAnsi="Arial" w:cs="Arial"/>
          <w:sz w:val="24"/>
          <w:szCs w:val="24"/>
        </w:rPr>
        <w:t>o ante el Tribunal contra actos, e</w:t>
      </w:r>
      <w:r w:rsidR="00221537" w:rsidRPr="008E7776">
        <w:rPr>
          <w:rFonts w:ascii="Arial" w:hAnsi="Arial" w:cs="Arial"/>
          <w:sz w:val="24"/>
          <w:szCs w:val="24"/>
        </w:rPr>
        <w:t>n los demás casos en que la improcedencia resulte de alguna disposición de esta Ley o de cualquiera otra de naturaleza fiscal o administrativa.</w:t>
      </w:r>
    </w:p>
    <w:p w14:paraId="1443C5F5" w14:textId="77777777" w:rsidR="004B006A" w:rsidRPr="008E7776" w:rsidRDefault="004B006A" w:rsidP="008E7776">
      <w:pPr>
        <w:spacing w:after="160" w:line="360" w:lineRule="auto"/>
        <w:ind w:firstLine="567"/>
        <w:jc w:val="both"/>
        <w:rPr>
          <w:rFonts w:ascii="Arial" w:hAnsi="Arial" w:cs="Arial"/>
          <w:sz w:val="24"/>
          <w:szCs w:val="24"/>
        </w:rPr>
      </w:pPr>
      <w:r>
        <w:rPr>
          <w:rFonts w:ascii="Arial" w:hAnsi="Arial" w:cs="Arial"/>
          <w:sz w:val="24"/>
          <w:szCs w:val="24"/>
        </w:rPr>
        <w:t xml:space="preserve">Debiéndose en consecuencia sobreseer el juicio con fundamento en el artículo 162 fracción VI del citado ordenamiento legal, mismo que dispone: </w:t>
      </w:r>
    </w:p>
    <w:p w14:paraId="070DF9FC" w14:textId="77777777" w:rsidR="00221537" w:rsidRPr="00BF6392" w:rsidRDefault="00221537" w:rsidP="00221537">
      <w:pPr>
        <w:autoSpaceDE w:val="0"/>
        <w:autoSpaceDN w:val="0"/>
        <w:adjustRightInd w:val="0"/>
        <w:spacing w:after="0" w:line="240" w:lineRule="auto"/>
        <w:ind w:left="567" w:right="332"/>
        <w:jc w:val="both"/>
        <w:rPr>
          <w:rFonts w:ascii="Arial" w:hAnsi="Arial" w:cs="Arial"/>
        </w:rPr>
      </w:pPr>
    </w:p>
    <w:p w14:paraId="3E3BF1F1" w14:textId="77777777" w:rsidR="00221537" w:rsidRPr="00BF6392" w:rsidRDefault="00221537" w:rsidP="00221537">
      <w:pPr>
        <w:autoSpaceDE w:val="0"/>
        <w:autoSpaceDN w:val="0"/>
        <w:adjustRightInd w:val="0"/>
        <w:spacing w:after="0" w:line="240" w:lineRule="auto"/>
        <w:ind w:left="567" w:right="332"/>
        <w:jc w:val="both"/>
        <w:rPr>
          <w:rFonts w:ascii="Arial" w:eastAsia="Arial" w:hAnsi="Arial" w:cs="Arial"/>
        </w:rPr>
      </w:pPr>
      <w:r w:rsidRPr="00BF6392">
        <w:rPr>
          <w:rFonts w:ascii="Arial" w:hAnsi="Arial" w:cs="Arial"/>
          <w:b/>
          <w:bCs/>
        </w:rPr>
        <w:t xml:space="preserve">ARTÍCULO 162.- </w:t>
      </w:r>
      <w:r w:rsidRPr="00BF6392">
        <w:rPr>
          <w:rFonts w:ascii="Arial" w:hAnsi="Arial" w:cs="Arial"/>
        </w:rPr>
        <w:t>Procede el sobreseimiento del juicio:</w:t>
      </w:r>
    </w:p>
    <w:p w14:paraId="1CBD89A3" w14:textId="77777777" w:rsidR="00221537" w:rsidRPr="00BF6392" w:rsidRDefault="00221537" w:rsidP="00221537">
      <w:pPr>
        <w:autoSpaceDE w:val="0"/>
        <w:autoSpaceDN w:val="0"/>
        <w:adjustRightInd w:val="0"/>
        <w:spacing w:after="0" w:line="240" w:lineRule="auto"/>
        <w:ind w:left="567" w:right="332"/>
        <w:jc w:val="both"/>
        <w:rPr>
          <w:rFonts w:ascii="Arial" w:eastAsia="Arial" w:hAnsi="Arial" w:cs="Arial"/>
        </w:rPr>
      </w:pPr>
      <w:r w:rsidRPr="00BF6392">
        <w:rPr>
          <w:rFonts w:ascii="Arial" w:eastAsia="Arial" w:hAnsi="Arial" w:cs="Arial"/>
        </w:rPr>
        <w:t>(…)</w:t>
      </w:r>
    </w:p>
    <w:p w14:paraId="2E55F8F3" w14:textId="77777777" w:rsidR="00221537" w:rsidRPr="00BF6392" w:rsidRDefault="00221537" w:rsidP="00221537">
      <w:pPr>
        <w:autoSpaceDE w:val="0"/>
        <w:autoSpaceDN w:val="0"/>
        <w:adjustRightInd w:val="0"/>
        <w:spacing w:after="0" w:line="240" w:lineRule="auto"/>
        <w:ind w:left="567" w:right="332"/>
        <w:jc w:val="both"/>
        <w:rPr>
          <w:rFonts w:ascii="Arial" w:hAnsi="Arial" w:cs="Arial"/>
        </w:rPr>
      </w:pPr>
      <w:r w:rsidRPr="00BF6392">
        <w:rPr>
          <w:rFonts w:ascii="Arial" w:hAnsi="Arial" w:cs="Arial"/>
        </w:rPr>
        <w:lastRenderedPageBreak/>
        <w:t>VI. En los demás casos en los que por disposición legal exista impedimento para emitir resoluciones en cuanto al fondo; y</w:t>
      </w:r>
    </w:p>
    <w:p w14:paraId="333C47BD" w14:textId="77777777" w:rsidR="00221537" w:rsidRDefault="00221537" w:rsidP="002B1AB3">
      <w:pPr>
        <w:spacing w:after="160" w:line="360" w:lineRule="auto"/>
        <w:ind w:firstLine="567"/>
        <w:jc w:val="both"/>
        <w:rPr>
          <w:rFonts w:ascii="Arial" w:eastAsia="Times New Roman" w:hAnsi="Arial" w:cs="Arial"/>
          <w:sz w:val="24"/>
          <w:szCs w:val="24"/>
          <w:lang w:val="es-ES_tradnl" w:eastAsia="es-ES"/>
        </w:rPr>
      </w:pPr>
    </w:p>
    <w:p w14:paraId="2A98DFC0" w14:textId="77777777" w:rsidR="004210CB" w:rsidRPr="004210CB" w:rsidRDefault="00082ACA"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sidRPr="00523CFA">
        <w:rPr>
          <w:rFonts w:ascii="Arial" w:hAnsi="Arial" w:cs="Arial"/>
          <w:sz w:val="24"/>
          <w:szCs w:val="24"/>
        </w:rPr>
        <w:t>En mérito de lo expuesto y con fundamento en los artículos 207 fraccio</w:t>
      </w:r>
      <w:r w:rsidR="00C618BA">
        <w:rPr>
          <w:rFonts w:ascii="Arial" w:hAnsi="Arial" w:cs="Arial"/>
          <w:sz w:val="24"/>
          <w:szCs w:val="24"/>
        </w:rPr>
        <w:t xml:space="preserve">nes I, II y III, </w:t>
      </w:r>
      <w:r w:rsidR="0029637B">
        <w:rPr>
          <w:rFonts w:ascii="Arial" w:hAnsi="Arial" w:cs="Arial"/>
          <w:sz w:val="24"/>
          <w:szCs w:val="24"/>
        </w:rPr>
        <w:t>161 fracciones IX y X, y 162 fracción V</w:t>
      </w:r>
      <w:r w:rsidRPr="00523CFA">
        <w:rPr>
          <w:rFonts w:ascii="Arial" w:hAnsi="Arial" w:cs="Arial"/>
          <w:sz w:val="24"/>
          <w:szCs w:val="24"/>
        </w:rPr>
        <w:t>, de la Ley de Procedimiento y Justicia Administrativa para el Estado de Oaxaca, se</w:t>
      </w:r>
      <w:r w:rsidR="00C618BA">
        <w:rPr>
          <w:rFonts w:ascii="Arial" w:eastAsia="Arial" w:hAnsi="Arial" w:cs="Arial"/>
          <w:color w:val="000000"/>
          <w:sz w:val="24"/>
          <w:szCs w:val="24"/>
        </w:rPr>
        <w:t xml:space="preserve">; - . - . - . - . - . - . - . - . - . - . - . - . </w:t>
      </w:r>
      <w:r w:rsidR="0029637B">
        <w:rPr>
          <w:rFonts w:ascii="Arial" w:eastAsia="Arial" w:hAnsi="Arial" w:cs="Arial"/>
          <w:color w:val="000000"/>
          <w:sz w:val="24"/>
          <w:szCs w:val="24"/>
        </w:rPr>
        <w:t xml:space="preserve">- . - . - </w:t>
      </w:r>
    </w:p>
    <w:p w14:paraId="45CC842B"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14:paraId="51F74108" w14:textId="77777777" w:rsidR="004210CB" w:rsidRPr="004210CB" w:rsidRDefault="004210CB" w:rsidP="004210CB">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sidRPr="004210CB">
        <w:rPr>
          <w:rFonts w:ascii="Arial" w:eastAsia="Arial" w:hAnsi="Arial" w:cs="Arial"/>
          <w:b/>
          <w:color w:val="000000"/>
          <w:sz w:val="24"/>
          <w:szCs w:val="24"/>
        </w:rPr>
        <w:t>R E S U E L V E:</w:t>
      </w:r>
    </w:p>
    <w:p w14:paraId="1586C0D3" w14:textId="77777777" w:rsidR="009E06CF" w:rsidRDefault="004210CB" w:rsidP="009E06CF">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rPr>
      </w:pPr>
      <w:r w:rsidRPr="004210CB">
        <w:rPr>
          <w:rFonts w:ascii="Arial" w:eastAsia="Arial" w:hAnsi="Arial" w:cs="Arial"/>
          <w:b/>
          <w:color w:val="000000"/>
          <w:sz w:val="24"/>
          <w:szCs w:val="24"/>
        </w:rPr>
        <w:t>PRIMERO.</w:t>
      </w:r>
      <w:r w:rsidRPr="004210CB">
        <w:rPr>
          <w:rFonts w:ascii="Arial" w:eastAsia="Arial" w:hAnsi="Arial" w:cs="Arial"/>
          <w:color w:val="000000"/>
          <w:sz w:val="24"/>
          <w:szCs w:val="24"/>
        </w:rPr>
        <w:t xml:space="preserve"> E</w:t>
      </w:r>
      <w:r w:rsidR="009E06CF">
        <w:rPr>
          <w:rFonts w:ascii="Arial" w:eastAsia="Arial" w:hAnsi="Arial" w:cs="Arial"/>
          <w:color w:val="000000"/>
          <w:sz w:val="24"/>
          <w:szCs w:val="24"/>
        </w:rPr>
        <w:t>n base a las consideraciones alcanzadas en el presente fallo e</w:t>
      </w:r>
      <w:r w:rsidRPr="004210CB">
        <w:rPr>
          <w:rFonts w:ascii="Arial" w:eastAsia="Arial" w:hAnsi="Arial" w:cs="Arial"/>
          <w:color w:val="000000"/>
          <w:sz w:val="24"/>
          <w:szCs w:val="24"/>
        </w:rPr>
        <w:t>sta Sexta Sala Unitaria de este Tribunal de Justicia Administrati</w:t>
      </w:r>
      <w:r w:rsidR="009E06CF">
        <w:rPr>
          <w:rFonts w:ascii="Arial" w:eastAsia="Arial" w:hAnsi="Arial" w:cs="Arial"/>
          <w:color w:val="000000"/>
          <w:sz w:val="24"/>
          <w:szCs w:val="24"/>
        </w:rPr>
        <w:t>va para el Estado de Oaxaca, resulto in</w:t>
      </w:r>
      <w:r w:rsidRPr="004210CB">
        <w:rPr>
          <w:rFonts w:ascii="Arial" w:eastAsia="Arial" w:hAnsi="Arial" w:cs="Arial"/>
          <w:color w:val="000000"/>
          <w:sz w:val="24"/>
          <w:szCs w:val="24"/>
        </w:rPr>
        <w:t>competente para conocer y resolver del presente a</w:t>
      </w:r>
      <w:r w:rsidR="009E06CF">
        <w:rPr>
          <w:rFonts w:ascii="Arial" w:eastAsia="Arial" w:hAnsi="Arial" w:cs="Arial"/>
          <w:color w:val="000000"/>
          <w:sz w:val="24"/>
          <w:szCs w:val="24"/>
        </w:rPr>
        <w:t xml:space="preserve">sunto. - - - - - - </w:t>
      </w:r>
    </w:p>
    <w:p w14:paraId="6DA02E39" w14:textId="77777777" w:rsidR="004210CB" w:rsidRPr="004210CB" w:rsidRDefault="004210CB" w:rsidP="009E06CF">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rPr>
      </w:pPr>
      <w:r w:rsidRPr="004210CB">
        <w:rPr>
          <w:rFonts w:ascii="Arial" w:eastAsia="Arial" w:hAnsi="Arial" w:cs="Arial"/>
          <w:b/>
          <w:color w:val="000000"/>
          <w:sz w:val="24"/>
          <w:szCs w:val="24"/>
        </w:rPr>
        <w:t>SEGUNDO.</w:t>
      </w:r>
      <w:r w:rsidRPr="004210CB">
        <w:rPr>
          <w:rFonts w:ascii="Arial" w:eastAsia="Arial" w:hAnsi="Arial" w:cs="Arial"/>
          <w:color w:val="000000"/>
          <w:sz w:val="24"/>
          <w:szCs w:val="24"/>
        </w:rPr>
        <w:t xml:space="preserve"> La personalidad de las partes quedó acreditada en autos.- - - - .</w:t>
      </w:r>
    </w:p>
    <w:p w14:paraId="351A3D2A" w14:textId="77777777" w:rsidR="004210CB" w:rsidRPr="0029637B" w:rsidRDefault="004210CB" w:rsidP="009E06CF">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bCs/>
          <w:color w:val="000000"/>
          <w:sz w:val="24"/>
          <w:szCs w:val="24"/>
        </w:rPr>
      </w:pPr>
      <w:r w:rsidRPr="004210CB">
        <w:rPr>
          <w:rFonts w:ascii="Arial" w:eastAsia="Arial" w:hAnsi="Arial" w:cs="Arial"/>
          <w:b/>
          <w:color w:val="000000"/>
          <w:sz w:val="24"/>
          <w:szCs w:val="24"/>
        </w:rPr>
        <w:t>TERCERO.</w:t>
      </w:r>
      <w:r w:rsidRPr="004210CB">
        <w:rPr>
          <w:rFonts w:ascii="Arial" w:eastAsia="Arial" w:hAnsi="Arial" w:cs="Arial"/>
          <w:color w:val="000000"/>
          <w:sz w:val="24"/>
          <w:szCs w:val="24"/>
        </w:rPr>
        <w:t xml:space="preserve"> </w:t>
      </w:r>
      <w:r w:rsidR="0029637B" w:rsidRPr="0029637B">
        <w:rPr>
          <w:rFonts w:ascii="Arial" w:eastAsia="Arial" w:hAnsi="Arial" w:cs="Arial"/>
          <w:bCs/>
          <w:color w:val="000000"/>
          <w:sz w:val="24"/>
          <w:szCs w:val="24"/>
        </w:rPr>
        <w:t>En el presente juicio se configuran las causales de improcedencia y sobreseimiento estipulad</w:t>
      </w:r>
      <w:r w:rsidR="009E06CF">
        <w:rPr>
          <w:rFonts w:ascii="Arial" w:eastAsia="Arial" w:hAnsi="Arial" w:cs="Arial"/>
          <w:bCs/>
          <w:color w:val="000000"/>
          <w:sz w:val="24"/>
          <w:szCs w:val="24"/>
        </w:rPr>
        <w:t>a</w:t>
      </w:r>
      <w:r w:rsidR="0029637B">
        <w:rPr>
          <w:rFonts w:ascii="Arial" w:eastAsia="Arial" w:hAnsi="Arial" w:cs="Arial"/>
          <w:bCs/>
          <w:color w:val="000000"/>
          <w:sz w:val="24"/>
          <w:szCs w:val="24"/>
        </w:rPr>
        <w:t xml:space="preserve">s </w:t>
      </w:r>
      <w:r w:rsidR="009E06CF">
        <w:rPr>
          <w:rFonts w:ascii="Arial" w:eastAsia="Arial" w:hAnsi="Arial" w:cs="Arial"/>
          <w:bCs/>
          <w:color w:val="000000"/>
          <w:sz w:val="24"/>
          <w:szCs w:val="24"/>
        </w:rPr>
        <w:t>en los artículos 161 fracciones</w:t>
      </w:r>
      <w:r w:rsidR="0029637B">
        <w:rPr>
          <w:rFonts w:ascii="Arial" w:eastAsia="Arial" w:hAnsi="Arial" w:cs="Arial"/>
          <w:bCs/>
          <w:color w:val="000000"/>
          <w:sz w:val="24"/>
          <w:szCs w:val="24"/>
        </w:rPr>
        <w:t xml:space="preserve"> X, y 162 fracción V</w:t>
      </w:r>
      <w:r w:rsidR="009E06CF">
        <w:rPr>
          <w:rFonts w:ascii="Arial" w:eastAsia="Arial" w:hAnsi="Arial" w:cs="Arial"/>
          <w:bCs/>
          <w:color w:val="000000"/>
          <w:sz w:val="24"/>
          <w:szCs w:val="24"/>
        </w:rPr>
        <w:t>I</w:t>
      </w:r>
      <w:r w:rsidR="00FD6538">
        <w:rPr>
          <w:rFonts w:ascii="Arial" w:eastAsia="Arial" w:hAnsi="Arial" w:cs="Arial"/>
          <w:bCs/>
          <w:color w:val="000000"/>
          <w:sz w:val="24"/>
          <w:szCs w:val="24"/>
        </w:rPr>
        <w:t xml:space="preserve"> </w:t>
      </w:r>
      <w:r w:rsidR="0029637B" w:rsidRPr="0029637B">
        <w:rPr>
          <w:rFonts w:ascii="Arial" w:eastAsia="Arial" w:hAnsi="Arial" w:cs="Arial"/>
          <w:bCs/>
          <w:color w:val="000000"/>
          <w:sz w:val="24"/>
          <w:szCs w:val="24"/>
        </w:rPr>
        <w:t xml:space="preserve">de la Ley de Procedimiento y Justicia Administrativa para el Estado de Oaxaca, por lo tanto, </w:t>
      </w:r>
      <w:r w:rsidR="0029637B" w:rsidRPr="00FD6538">
        <w:rPr>
          <w:rFonts w:ascii="Arial" w:eastAsia="Arial" w:hAnsi="Arial" w:cs="Arial"/>
          <w:b/>
          <w:color w:val="000000"/>
          <w:sz w:val="24"/>
          <w:szCs w:val="24"/>
        </w:rPr>
        <w:t>SE SOBRESEE</w:t>
      </w:r>
      <w:r w:rsidR="0029637B" w:rsidRPr="0029637B">
        <w:rPr>
          <w:rFonts w:ascii="Arial" w:eastAsia="Arial" w:hAnsi="Arial" w:cs="Arial"/>
          <w:bCs/>
          <w:color w:val="000000"/>
          <w:sz w:val="24"/>
          <w:szCs w:val="24"/>
        </w:rPr>
        <w:t xml:space="preserve"> el presente juicio por las consideraciones estip</w:t>
      </w:r>
      <w:r w:rsidR="00E67107">
        <w:rPr>
          <w:rFonts w:ascii="Arial" w:eastAsia="Arial" w:hAnsi="Arial" w:cs="Arial"/>
          <w:bCs/>
          <w:color w:val="000000"/>
          <w:sz w:val="24"/>
          <w:szCs w:val="24"/>
        </w:rPr>
        <w:t>u</w:t>
      </w:r>
      <w:r w:rsidR="00981494">
        <w:rPr>
          <w:rFonts w:ascii="Arial" w:eastAsia="Arial" w:hAnsi="Arial" w:cs="Arial"/>
          <w:bCs/>
          <w:color w:val="000000"/>
          <w:sz w:val="24"/>
          <w:szCs w:val="24"/>
        </w:rPr>
        <w:t>ladas en el considerando SEGUNDO</w:t>
      </w:r>
      <w:r w:rsidR="0029637B" w:rsidRPr="0029637B">
        <w:rPr>
          <w:rFonts w:ascii="Arial" w:eastAsia="Arial" w:hAnsi="Arial" w:cs="Arial"/>
          <w:bCs/>
          <w:color w:val="000000"/>
          <w:sz w:val="24"/>
          <w:szCs w:val="24"/>
        </w:rPr>
        <w:t xml:space="preserve"> de esta sentencia.</w:t>
      </w:r>
      <w:r w:rsidRPr="004210CB">
        <w:rPr>
          <w:rFonts w:ascii="Arial" w:eastAsia="Arial" w:hAnsi="Arial" w:cs="Arial"/>
          <w:color w:val="000000"/>
          <w:sz w:val="24"/>
          <w:szCs w:val="24"/>
        </w:rPr>
        <w:t xml:space="preserve"> -</w:t>
      </w:r>
      <w:r w:rsidR="00E67107">
        <w:rPr>
          <w:rFonts w:ascii="Arial" w:eastAsia="Arial" w:hAnsi="Arial" w:cs="Arial"/>
          <w:color w:val="000000"/>
          <w:sz w:val="24"/>
          <w:szCs w:val="24"/>
        </w:rPr>
        <w:t xml:space="preserve"> - - - - - - - - - - - - - - </w:t>
      </w:r>
      <w:r w:rsidR="009E06CF">
        <w:rPr>
          <w:rFonts w:ascii="Arial" w:eastAsia="Arial" w:hAnsi="Arial" w:cs="Arial"/>
          <w:color w:val="000000"/>
          <w:sz w:val="24"/>
          <w:szCs w:val="24"/>
        </w:rPr>
        <w:t xml:space="preserve">- - - - - - - - - - - - - </w:t>
      </w:r>
    </w:p>
    <w:p w14:paraId="4AA942DB" w14:textId="77777777" w:rsidR="004210CB" w:rsidRPr="004210CB" w:rsidRDefault="00FD6538" w:rsidP="004210CB">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CUAR</w:t>
      </w:r>
      <w:r w:rsidR="004210CB" w:rsidRPr="004210CB">
        <w:rPr>
          <w:rFonts w:ascii="Arial" w:eastAsia="Arial" w:hAnsi="Arial" w:cs="Arial"/>
          <w:b/>
          <w:color w:val="000000"/>
          <w:sz w:val="24"/>
          <w:szCs w:val="24"/>
        </w:rPr>
        <w:t xml:space="preserve">TO. </w:t>
      </w:r>
      <w:r w:rsidR="004210CB" w:rsidRPr="004210CB">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sidR="004210CB" w:rsidRPr="004210CB">
        <w:rPr>
          <w:rFonts w:ascii="Arial" w:eastAsia="Arial" w:hAnsi="Arial" w:cs="Arial"/>
          <w:b/>
          <w:color w:val="000000"/>
          <w:sz w:val="24"/>
          <w:szCs w:val="24"/>
        </w:rPr>
        <w:t>notifíquese personalmente al actor y por oficio a la autoridad demandada</w:t>
      </w:r>
      <w:r w:rsidR="004210CB" w:rsidRPr="004210CB">
        <w:rPr>
          <w:rFonts w:ascii="Arial" w:eastAsia="Arial" w:hAnsi="Arial" w:cs="Arial"/>
          <w:color w:val="000000"/>
          <w:sz w:val="24"/>
          <w:szCs w:val="24"/>
        </w:rPr>
        <w:t>, cúmplase. - - - - - - - - - - - - - - - - - - - - - - - - - - - - - - - - - - - - - - - - - - - - - - - - - - - -.</w:t>
      </w:r>
    </w:p>
    <w:p w14:paraId="5A76BA27" w14:textId="77777777" w:rsidR="004210CB" w:rsidRDefault="004210CB" w:rsidP="004210CB">
      <w:pPr>
        <w:spacing w:before="240" w:after="160" w:line="360" w:lineRule="auto"/>
        <w:ind w:right="49" w:firstLine="708"/>
        <w:jc w:val="both"/>
        <w:rPr>
          <w:rFonts w:ascii="Arial" w:hAnsi="Arial" w:cs="Arial"/>
          <w:sz w:val="24"/>
        </w:rPr>
      </w:pPr>
      <w:r w:rsidRPr="004210CB">
        <w:rPr>
          <w:rFonts w:ascii="Arial" w:hAnsi="Arial" w:cs="Arial"/>
          <w:sz w:val="24"/>
        </w:rPr>
        <w:t>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 - - - - -.</w:t>
      </w:r>
    </w:p>
    <w:sectPr w:rsidR="004210CB" w:rsidSect="00F153C9">
      <w:headerReference w:type="default" r:id="rId13"/>
      <w:footerReference w:type="default" r:id="rId14"/>
      <w:headerReference w:type="first" r:id="rId15"/>
      <w:pgSz w:w="12240" w:h="20160" w:code="5"/>
      <w:pgMar w:top="1134" w:right="1418" w:bottom="226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ADC9A" w14:textId="77777777" w:rsidR="00E415A1" w:rsidRDefault="00E415A1" w:rsidP="00F153C9">
      <w:pPr>
        <w:spacing w:after="0" w:line="240" w:lineRule="auto"/>
      </w:pPr>
      <w:r>
        <w:separator/>
      </w:r>
    </w:p>
  </w:endnote>
  <w:endnote w:type="continuationSeparator" w:id="0">
    <w:p w14:paraId="0EC66674" w14:textId="77777777" w:rsidR="00E415A1" w:rsidRDefault="00E415A1" w:rsidP="00F15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7E72B" w14:textId="1D722AA9" w:rsidR="006A0C92" w:rsidRPr="00604752" w:rsidRDefault="006A0C92" w:rsidP="00DE4FCF">
    <w:pPr>
      <w:pStyle w:val="Piedepgina"/>
      <w:rPr>
        <w:rFonts w:ascii="Arial" w:hAnsi="Arial" w:cs="Arial"/>
        <w:sz w:val="24"/>
        <w:szCs w:val="24"/>
      </w:rPr>
    </w:pPr>
  </w:p>
  <w:p w14:paraId="1F6C4260" w14:textId="77777777" w:rsidR="006A0C92" w:rsidRDefault="006A0C92">
    <w:pPr>
      <w:pStyle w:val="Piedepgina"/>
    </w:pPr>
  </w:p>
  <w:p w14:paraId="173B2A21" w14:textId="77777777" w:rsidR="006A0C92" w:rsidRDefault="006A0C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19E17" w14:textId="77777777" w:rsidR="00E415A1" w:rsidRDefault="00E415A1" w:rsidP="00F153C9">
      <w:pPr>
        <w:spacing w:after="0" w:line="240" w:lineRule="auto"/>
      </w:pPr>
      <w:r>
        <w:separator/>
      </w:r>
    </w:p>
  </w:footnote>
  <w:footnote w:type="continuationSeparator" w:id="0">
    <w:p w14:paraId="476F045A" w14:textId="77777777" w:rsidR="00E415A1" w:rsidRDefault="00E415A1" w:rsidP="00F15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7863488"/>
      <w:docPartObj>
        <w:docPartGallery w:val="Page Numbers (Top of Page)"/>
        <w:docPartUnique/>
      </w:docPartObj>
    </w:sdtPr>
    <w:sdtContent>
      <w:p w14:paraId="54069A60" w14:textId="1B51A636" w:rsidR="00DE4FCF" w:rsidRDefault="00DE4FCF">
        <w:pPr>
          <w:pStyle w:val="Encabezado"/>
          <w:jc w:val="center"/>
        </w:pPr>
        <w:r>
          <w:fldChar w:fldCharType="begin"/>
        </w:r>
        <w:r>
          <w:instrText>PAGE   \* MERGEFORMAT</w:instrText>
        </w:r>
        <w:r>
          <w:fldChar w:fldCharType="separate"/>
        </w:r>
        <w:r>
          <w:rPr>
            <w:lang w:val="es-ES"/>
          </w:rPr>
          <w:t>2</w:t>
        </w:r>
        <w:r>
          <w:fldChar w:fldCharType="end"/>
        </w:r>
      </w:p>
    </w:sdtContent>
  </w:sdt>
  <w:p w14:paraId="6F384000" w14:textId="77777777" w:rsidR="00DE4FCF" w:rsidRDefault="00DE4FC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EE090" w14:textId="19A7001A" w:rsidR="00DE4FCF" w:rsidRDefault="00DE4FCF">
    <w:pPr>
      <w:pStyle w:val="Encabezado"/>
      <w:jc w:val="center"/>
    </w:pPr>
    <w:r>
      <w:rPr>
        <w:rFonts w:ascii="Times New Roman" w:hAnsi="Times New Roman" w:cs="Times New Roman"/>
        <w:noProof/>
        <w:sz w:val="24"/>
        <w:szCs w:val="24"/>
        <w:lang w:eastAsia="es-MX"/>
      </w:rPr>
      <mc:AlternateContent>
        <mc:Choice Requires="wps">
          <w:drawing>
            <wp:anchor distT="0" distB="0" distL="114300" distR="114300" simplePos="0" relativeHeight="251659264" behindDoc="1" locked="0" layoutInCell="1" allowOverlap="1" wp14:anchorId="36BBA5CF" wp14:editId="682B32FF">
              <wp:simplePos x="0" y="0"/>
              <wp:positionH relativeFrom="margin">
                <wp:posOffset>-1228725</wp:posOffset>
              </wp:positionH>
              <wp:positionV relativeFrom="paragraph">
                <wp:posOffset>-412115</wp:posOffset>
              </wp:positionV>
              <wp:extent cx="1019175" cy="8477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9175" cy="847725"/>
                      </a:xfrm>
                      <a:prstGeom prst="rect">
                        <a:avLst/>
                      </a:prstGeom>
                      <a:solidFill>
                        <a:sysClr val="window" lastClr="FFFFFF"/>
                      </a:solidFill>
                      <a:ln w="6350">
                        <a:solidFill>
                          <a:prstClr val="black"/>
                        </a:solidFill>
                      </a:ln>
                      <a:effectLst/>
                    </wps:spPr>
                    <wps:txbx>
                      <w:txbxContent>
                        <w:p w14:paraId="3AA4B3F8" w14:textId="77777777" w:rsidR="00DE4FCF" w:rsidRDefault="00DE4FCF" w:rsidP="00DE4FCF">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BBA5CF" id="_x0000_t202" coordsize="21600,21600" o:spt="202" path="m,l,21600r21600,l21600,xe">
              <v:stroke joinstyle="miter"/>
              <v:path gradientshapeok="t" o:connecttype="rect"/>
            </v:shapetype>
            <v:shape id="Cuadro de texto 1" o:spid="_x0000_s1026" type="#_x0000_t202" style="position:absolute;left:0;text-align:left;margin-left:-96.75pt;margin-top:-32.45pt;width:80.25pt;height:66.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" fillcolor="window" strokeweight=".5pt">
              <v:path arrowok="t"/>
              <v:textbox>
                <w:txbxContent>
                  <w:p w14:paraId="3AA4B3F8" w14:textId="77777777" w:rsidR="00DE4FCF" w:rsidRDefault="00DE4FCF" w:rsidP="00DE4FCF">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sdt>
      <w:sdtPr>
        <w:id w:val="-397976291"/>
        <w:docPartObj>
          <w:docPartGallery w:val="Page Numbers (Top of Page)"/>
          <w:docPartUnique/>
        </w:docPartObj>
      </w:sdtPr>
      <w:sdtContent>
        <w:r>
          <w:fldChar w:fldCharType="begin"/>
        </w:r>
        <w:r>
          <w:instrText>PAGE   \* MERGEFORMAT</w:instrText>
        </w:r>
        <w:r>
          <w:fldChar w:fldCharType="separate"/>
        </w:r>
        <w:r>
          <w:rPr>
            <w:lang w:val="es-ES"/>
          </w:rPr>
          <w:t>2</w:t>
        </w:r>
        <w:r>
          <w:fldChar w:fldCharType="end"/>
        </w:r>
      </w:sdtContent>
    </w:sdt>
  </w:p>
  <w:p w14:paraId="0E3AC196" w14:textId="77777777" w:rsidR="00DE4FCF" w:rsidRDefault="00DE4F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97C46BC"/>
    <w:lvl w:ilvl="0" w:tplc="FFFFFFFF">
      <w:numFmt w:val="none"/>
      <w:lvlText w:val=""/>
      <w:lvlJc w:val="left"/>
      <w:pPr>
        <w:tabs>
          <w:tab w:val="num" w:pos="360"/>
        </w:tabs>
      </w:pPr>
    </w:lvl>
    <w:lvl w:ilvl="1" w:tplc="FFFFFFFF">
      <w:numFmt w:val="decimal"/>
      <w:lvlText w:val=""/>
      <w:lvlJc w:val="left"/>
    </w:lvl>
    <w:lvl w:ilvl="2" w:tplc="FFFFFFFF">
      <w:numFmt w:val="decimal"/>
      <w:lvlText w:val=""/>
      <w:lvlJc w:val="left"/>
    </w:lvl>
    <w:lvl w:ilvl="3" w:tplc="FFFFFFFF">
      <w:numFmt w:val="decimal"/>
      <w:suff w:val="nothing"/>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1" w15:restartNumberingAfterBreak="0">
    <w:nsid w:val="00000018"/>
    <w:multiLevelType w:val="hybridMultilevel"/>
    <w:tmpl w:val="4C2A7166"/>
    <w:lvl w:ilvl="0" w:tplc="FFFFFFFF">
      <w:start w:val="23"/>
      <w:numFmt w:val="decimal"/>
      <w:lvlText w:val=""/>
      <w:lvlJc w:val="left"/>
    </w:lvl>
    <w:lvl w:ilvl="1" w:tplc="FFFFFFFF">
      <w:start w:val="23"/>
      <w:numFmt w:val="decimal"/>
      <w:lvlText w:val=""/>
      <w:lvlJc w:val="left"/>
    </w:lvl>
    <w:lvl w:ilvl="2" w:tplc="FFFFFFFF">
      <w:start w:val="65536"/>
      <w:numFmt w:val="decimal"/>
      <w:lvlText w:val=""/>
      <w:lvlJc w:val="left"/>
    </w:lvl>
    <w:lvl w:ilvl="3" w:tplc="FFFFFFFF">
      <w:start w:val="23"/>
      <w:numFmt w:val="decimal"/>
      <w:lvlText w:val=""/>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2" w15:restartNumberingAfterBreak="0">
    <w:nsid w:val="05B34144"/>
    <w:multiLevelType w:val="hybridMultilevel"/>
    <w:tmpl w:val="BFCC8730"/>
    <w:lvl w:ilvl="0" w:tplc="18E67A20">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07EC297C"/>
    <w:multiLevelType w:val="hybridMultilevel"/>
    <w:tmpl w:val="8FBCB2C2"/>
    <w:lvl w:ilvl="0" w:tplc="74402EDC">
      <w:start w:val="3"/>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4" w15:restartNumberingAfterBreak="0">
    <w:nsid w:val="31997470"/>
    <w:multiLevelType w:val="hybridMultilevel"/>
    <w:tmpl w:val="02921400"/>
    <w:lvl w:ilvl="0" w:tplc="206AEF0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3F043A6D"/>
    <w:multiLevelType w:val="hybridMultilevel"/>
    <w:tmpl w:val="D35ACB92"/>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46AC0542"/>
    <w:multiLevelType w:val="hybridMultilevel"/>
    <w:tmpl w:val="E2EAE2F4"/>
    <w:lvl w:ilvl="0" w:tplc="32404CAA">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7" w15:restartNumberingAfterBreak="0">
    <w:nsid w:val="4B8D16A5"/>
    <w:multiLevelType w:val="hybridMultilevel"/>
    <w:tmpl w:val="FC1EBDBC"/>
    <w:lvl w:ilvl="0" w:tplc="080A0001">
      <w:start w:val="1"/>
      <w:numFmt w:val="bullet"/>
      <w:lvlText w:val=""/>
      <w:lvlJc w:val="left"/>
      <w:pPr>
        <w:ind w:left="1354" w:hanging="360"/>
      </w:pPr>
      <w:rPr>
        <w:rFonts w:ascii="Symbol" w:hAnsi="Symbol" w:hint="default"/>
      </w:rPr>
    </w:lvl>
    <w:lvl w:ilvl="1" w:tplc="080A0003" w:tentative="1">
      <w:start w:val="1"/>
      <w:numFmt w:val="bullet"/>
      <w:lvlText w:val="o"/>
      <w:lvlJc w:val="left"/>
      <w:pPr>
        <w:ind w:left="2074" w:hanging="360"/>
      </w:pPr>
      <w:rPr>
        <w:rFonts w:ascii="Courier New" w:hAnsi="Courier New" w:cs="Courier New" w:hint="default"/>
      </w:rPr>
    </w:lvl>
    <w:lvl w:ilvl="2" w:tplc="080A0005" w:tentative="1">
      <w:start w:val="1"/>
      <w:numFmt w:val="bullet"/>
      <w:lvlText w:val=""/>
      <w:lvlJc w:val="left"/>
      <w:pPr>
        <w:ind w:left="2794" w:hanging="360"/>
      </w:pPr>
      <w:rPr>
        <w:rFonts w:ascii="Wingdings" w:hAnsi="Wingdings" w:hint="default"/>
      </w:rPr>
    </w:lvl>
    <w:lvl w:ilvl="3" w:tplc="080A0001" w:tentative="1">
      <w:start w:val="1"/>
      <w:numFmt w:val="bullet"/>
      <w:lvlText w:val=""/>
      <w:lvlJc w:val="left"/>
      <w:pPr>
        <w:ind w:left="3514" w:hanging="360"/>
      </w:pPr>
      <w:rPr>
        <w:rFonts w:ascii="Symbol" w:hAnsi="Symbol" w:hint="default"/>
      </w:rPr>
    </w:lvl>
    <w:lvl w:ilvl="4" w:tplc="080A0003" w:tentative="1">
      <w:start w:val="1"/>
      <w:numFmt w:val="bullet"/>
      <w:lvlText w:val="o"/>
      <w:lvlJc w:val="left"/>
      <w:pPr>
        <w:ind w:left="4234" w:hanging="360"/>
      </w:pPr>
      <w:rPr>
        <w:rFonts w:ascii="Courier New" w:hAnsi="Courier New" w:cs="Courier New" w:hint="default"/>
      </w:rPr>
    </w:lvl>
    <w:lvl w:ilvl="5" w:tplc="080A0005" w:tentative="1">
      <w:start w:val="1"/>
      <w:numFmt w:val="bullet"/>
      <w:lvlText w:val=""/>
      <w:lvlJc w:val="left"/>
      <w:pPr>
        <w:ind w:left="4954" w:hanging="360"/>
      </w:pPr>
      <w:rPr>
        <w:rFonts w:ascii="Wingdings" w:hAnsi="Wingdings" w:hint="default"/>
      </w:rPr>
    </w:lvl>
    <w:lvl w:ilvl="6" w:tplc="080A0001" w:tentative="1">
      <w:start w:val="1"/>
      <w:numFmt w:val="bullet"/>
      <w:lvlText w:val=""/>
      <w:lvlJc w:val="left"/>
      <w:pPr>
        <w:ind w:left="5674" w:hanging="360"/>
      </w:pPr>
      <w:rPr>
        <w:rFonts w:ascii="Symbol" w:hAnsi="Symbol" w:hint="default"/>
      </w:rPr>
    </w:lvl>
    <w:lvl w:ilvl="7" w:tplc="080A0003" w:tentative="1">
      <w:start w:val="1"/>
      <w:numFmt w:val="bullet"/>
      <w:lvlText w:val="o"/>
      <w:lvlJc w:val="left"/>
      <w:pPr>
        <w:ind w:left="6394" w:hanging="360"/>
      </w:pPr>
      <w:rPr>
        <w:rFonts w:ascii="Courier New" w:hAnsi="Courier New" w:cs="Courier New" w:hint="default"/>
      </w:rPr>
    </w:lvl>
    <w:lvl w:ilvl="8" w:tplc="080A0005" w:tentative="1">
      <w:start w:val="1"/>
      <w:numFmt w:val="bullet"/>
      <w:lvlText w:val=""/>
      <w:lvlJc w:val="left"/>
      <w:pPr>
        <w:ind w:left="7114" w:hanging="360"/>
      </w:pPr>
      <w:rPr>
        <w:rFonts w:ascii="Wingdings" w:hAnsi="Wingdings" w:hint="default"/>
      </w:rPr>
    </w:lvl>
  </w:abstractNum>
  <w:abstractNum w:abstractNumId="8" w15:restartNumberingAfterBreak="0">
    <w:nsid w:val="52C51F2C"/>
    <w:multiLevelType w:val="hybridMultilevel"/>
    <w:tmpl w:val="2EA85150"/>
    <w:lvl w:ilvl="0" w:tplc="DDA0C9EE">
      <w:start w:val="3"/>
      <w:numFmt w:val="bullet"/>
      <w:lvlText w:val=""/>
      <w:lvlJc w:val="left"/>
      <w:pPr>
        <w:ind w:left="1069" w:hanging="360"/>
      </w:pPr>
      <w:rPr>
        <w:rFonts w:ascii="Symbol" w:eastAsiaTheme="minorHAns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9" w15:restartNumberingAfterBreak="0">
    <w:nsid w:val="635633BD"/>
    <w:multiLevelType w:val="hybridMultilevel"/>
    <w:tmpl w:val="8CB20CE2"/>
    <w:lvl w:ilvl="0" w:tplc="75EA3224">
      <w:start w:val="1"/>
      <w:numFmt w:val="decimal"/>
      <w:lvlText w:val="%1."/>
      <w:lvlJc w:val="left"/>
      <w:pPr>
        <w:ind w:left="927" w:hanging="36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0" w15:restartNumberingAfterBreak="0">
    <w:nsid w:val="648871BA"/>
    <w:multiLevelType w:val="hybridMultilevel"/>
    <w:tmpl w:val="0CFC76A8"/>
    <w:lvl w:ilvl="0" w:tplc="6F4E5F54">
      <w:start w:val="1"/>
      <w:numFmt w:val="upperRoman"/>
      <w:lvlText w:val="%1."/>
      <w:lvlJc w:val="left"/>
      <w:pPr>
        <w:ind w:left="1880" w:hanging="720"/>
      </w:pPr>
      <w:rPr>
        <w:rFonts w:hint="default"/>
        <w:b/>
      </w:rPr>
    </w:lvl>
    <w:lvl w:ilvl="1" w:tplc="080A0019" w:tentative="1">
      <w:start w:val="1"/>
      <w:numFmt w:val="lowerLetter"/>
      <w:lvlText w:val="%2."/>
      <w:lvlJc w:val="left"/>
      <w:pPr>
        <w:ind w:left="2240" w:hanging="360"/>
      </w:pPr>
    </w:lvl>
    <w:lvl w:ilvl="2" w:tplc="080A001B" w:tentative="1">
      <w:start w:val="1"/>
      <w:numFmt w:val="lowerRoman"/>
      <w:lvlText w:val="%3."/>
      <w:lvlJc w:val="right"/>
      <w:pPr>
        <w:ind w:left="2960" w:hanging="180"/>
      </w:pPr>
    </w:lvl>
    <w:lvl w:ilvl="3" w:tplc="080A000F" w:tentative="1">
      <w:start w:val="1"/>
      <w:numFmt w:val="decimal"/>
      <w:lvlText w:val="%4."/>
      <w:lvlJc w:val="left"/>
      <w:pPr>
        <w:ind w:left="3680" w:hanging="360"/>
      </w:pPr>
    </w:lvl>
    <w:lvl w:ilvl="4" w:tplc="080A0019" w:tentative="1">
      <w:start w:val="1"/>
      <w:numFmt w:val="lowerLetter"/>
      <w:lvlText w:val="%5."/>
      <w:lvlJc w:val="left"/>
      <w:pPr>
        <w:ind w:left="4400" w:hanging="360"/>
      </w:pPr>
    </w:lvl>
    <w:lvl w:ilvl="5" w:tplc="080A001B" w:tentative="1">
      <w:start w:val="1"/>
      <w:numFmt w:val="lowerRoman"/>
      <w:lvlText w:val="%6."/>
      <w:lvlJc w:val="right"/>
      <w:pPr>
        <w:ind w:left="5120" w:hanging="180"/>
      </w:pPr>
    </w:lvl>
    <w:lvl w:ilvl="6" w:tplc="080A000F" w:tentative="1">
      <w:start w:val="1"/>
      <w:numFmt w:val="decimal"/>
      <w:lvlText w:val="%7."/>
      <w:lvlJc w:val="left"/>
      <w:pPr>
        <w:ind w:left="5840" w:hanging="360"/>
      </w:pPr>
    </w:lvl>
    <w:lvl w:ilvl="7" w:tplc="080A0019" w:tentative="1">
      <w:start w:val="1"/>
      <w:numFmt w:val="lowerLetter"/>
      <w:lvlText w:val="%8."/>
      <w:lvlJc w:val="left"/>
      <w:pPr>
        <w:ind w:left="6560" w:hanging="360"/>
      </w:pPr>
    </w:lvl>
    <w:lvl w:ilvl="8" w:tplc="080A001B" w:tentative="1">
      <w:start w:val="1"/>
      <w:numFmt w:val="lowerRoman"/>
      <w:lvlText w:val="%9."/>
      <w:lvlJc w:val="right"/>
      <w:pPr>
        <w:ind w:left="7280" w:hanging="180"/>
      </w:pPr>
    </w:lvl>
  </w:abstractNum>
  <w:abstractNum w:abstractNumId="11" w15:restartNumberingAfterBreak="0">
    <w:nsid w:val="707A4BF6"/>
    <w:multiLevelType w:val="hybridMultilevel"/>
    <w:tmpl w:val="B8BC8DFC"/>
    <w:lvl w:ilvl="0" w:tplc="6FAC7B04">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7FB63938"/>
    <w:multiLevelType w:val="hybridMultilevel"/>
    <w:tmpl w:val="B2224C7E"/>
    <w:lvl w:ilvl="0" w:tplc="080A0001">
      <w:start w:val="1"/>
      <w:numFmt w:val="bullet"/>
      <w:lvlText w:val=""/>
      <w:lvlJc w:val="left"/>
      <w:pPr>
        <w:ind w:left="1354" w:hanging="360"/>
      </w:pPr>
      <w:rPr>
        <w:rFonts w:ascii="Symbol" w:hAnsi="Symbol" w:hint="default"/>
      </w:rPr>
    </w:lvl>
    <w:lvl w:ilvl="1" w:tplc="080A0003" w:tentative="1">
      <w:start w:val="1"/>
      <w:numFmt w:val="bullet"/>
      <w:lvlText w:val="o"/>
      <w:lvlJc w:val="left"/>
      <w:pPr>
        <w:ind w:left="2074" w:hanging="360"/>
      </w:pPr>
      <w:rPr>
        <w:rFonts w:ascii="Courier New" w:hAnsi="Courier New" w:cs="Courier New" w:hint="default"/>
      </w:rPr>
    </w:lvl>
    <w:lvl w:ilvl="2" w:tplc="080A0005" w:tentative="1">
      <w:start w:val="1"/>
      <w:numFmt w:val="bullet"/>
      <w:lvlText w:val=""/>
      <w:lvlJc w:val="left"/>
      <w:pPr>
        <w:ind w:left="2794" w:hanging="360"/>
      </w:pPr>
      <w:rPr>
        <w:rFonts w:ascii="Wingdings" w:hAnsi="Wingdings" w:hint="default"/>
      </w:rPr>
    </w:lvl>
    <w:lvl w:ilvl="3" w:tplc="080A0001" w:tentative="1">
      <w:start w:val="1"/>
      <w:numFmt w:val="bullet"/>
      <w:lvlText w:val=""/>
      <w:lvlJc w:val="left"/>
      <w:pPr>
        <w:ind w:left="3514" w:hanging="360"/>
      </w:pPr>
      <w:rPr>
        <w:rFonts w:ascii="Symbol" w:hAnsi="Symbol" w:hint="default"/>
      </w:rPr>
    </w:lvl>
    <w:lvl w:ilvl="4" w:tplc="080A0003" w:tentative="1">
      <w:start w:val="1"/>
      <w:numFmt w:val="bullet"/>
      <w:lvlText w:val="o"/>
      <w:lvlJc w:val="left"/>
      <w:pPr>
        <w:ind w:left="4234" w:hanging="360"/>
      </w:pPr>
      <w:rPr>
        <w:rFonts w:ascii="Courier New" w:hAnsi="Courier New" w:cs="Courier New" w:hint="default"/>
      </w:rPr>
    </w:lvl>
    <w:lvl w:ilvl="5" w:tplc="080A0005" w:tentative="1">
      <w:start w:val="1"/>
      <w:numFmt w:val="bullet"/>
      <w:lvlText w:val=""/>
      <w:lvlJc w:val="left"/>
      <w:pPr>
        <w:ind w:left="4954" w:hanging="360"/>
      </w:pPr>
      <w:rPr>
        <w:rFonts w:ascii="Wingdings" w:hAnsi="Wingdings" w:hint="default"/>
      </w:rPr>
    </w:lvl>
    <w:lvl w:ilvl="6" w:tplc="080A0001" w:tentative="1">
      <w:start w:val="1"/>
      <w:numFmt w:val="bullet"/>
      <w:lvlText w:val=""/>
      <w:lvlJc w:val="left"/>
      <w:pPr>
        <w:ind w:left="5674" w:hanging="360"/>
      </w:pPr>
      <w:rPr>
        <w:rFonts w:ascii="Symbol" w:hAnsi="Symbol" w:hint="default"/>
      </w:rPr>
    </w:lvl>
    <w:lvl w:ilvl="7" w:tplc="080A0003" w:tentative="1">
      <w:start w:val="1"/>
      <w:numFmt w:val="bullet"/>
      <w:lvlText w:val="o"/>
      <w:lvlJc w:val="left"/>
      <w:pPr>
        <w:ind w:left="6394" w:hanging="360"/>
      </w:pPr>
      <w:rPr>
        <w:rFonts w:ascii="Courier New" w:hAnsi="Courier New" w:cs="Courier New" w:hint="default"/>
      </w:rPr>
    </w:lvl>
    <w:lvl w:ilvl="8" w:tplc="080A0005" w:tentative="1">
      <w:start w:val="1"/>
      <w:numFmt w:val="bullet"/>
      <w:lvlText w:val=""/>
      <w:lvlJc w:val="left"/>
      <w:pPr>
        <w:ind w:left="7114" w:hanging="360"/>
      </w:pPr>
      <w:rPr>
        <w:rFonts w:ascii="Wingdings" w:hAnsi="Wingdings" w:hint="default"/>
      </w:rPr>
    </w:lvl>
  </w:abstractNum>
  <w:num w:numId="1" w16cid:durableId="1076131344">
    <w:abstractNumId w:val="0"/>
  </w:num>
  <w:num w:numId="2" w16cid:durableId="1024944530">
    <w:abstractNumId w:val="1"/>
  </w:num>
  <w:num w:numId="3" w16cid:durableId="1651472113">
    <w:abstractNumId w:val="6"/>
  </w:num>
  <w:num w:numId="4" w16cid:durableId="532420013">
    <w:abstractNumId w:val="3"/>
  </w:num>
  <w:num w:numId="5" w16cid:durableId="137383676">
    <w:abstractNumId w:val="10"/>
  </w:num>
  <w:num w:numId="6" w16cid:durableId="1551040988">
    <w:abstractNumId w:val="2"/>
  </w:num>
  <w:num w:numId="7" w16cid:durableId="1894462195">
    <w:abstractNumId w:val="5"/>
  </w:num>
  <w:num w:numId="8" w16cid:durableId="1180780669">
    <w:abstractNumId w:val="8"/>
  </w:num>
  <w:num w:numId="9" w16cid:durableId="239026320">
    <w:abstractNumId w:val="11"/>
  </w:num>
  <w:num w:numId="10" w16cid:durableId="599989631">
    <w:abstractNumId w:val="9"/>
  </w:num>
  <w:num w:numId="11" w16cid:durableId="1308777500">
    <w:abstractNumId w:val="7"/>
  </w:num>
  <w:num w:numId="12" w16cid:durableId="2070229755">
    <w:abstractNumId w:val="12"/>
  </w:num>
  <w:num w:numId="13" w16cid:durableId="15675677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mirrorMargins/>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867"/>
    <w:rsid w:val="00004560"/>
    <w:rsid w:val="00005B33"/>
    <w:rsid w:val="00012C47"/>
    <w:rsid w:val="0001339E"/>
    <w:rsid w:val="000177FF"/>
    <w:rsid w:val="00021E9C"/>
    <w:rsid w:val="000227DD"/>
    <w:rsid w:val="00024CB1"/>
    <w:rsid w:val="00033D9A"/>
    <w:rsid w:val="00035A40"/>
    <w:rsid w:val="00036C6D"/>
    <w:rsid w:val="0004291F"/>
    <w:rsid w:val="00054367"/>
    <w:rsid w:val="000544E3"/>
    <w:rsid w:val="00054F3A"/>
    <w:rsid w:val="000557FA"/>
    <w:rsid w:val="00056E46"/>
    <w:rsid w:val="0006283A"/>
    <w:rsid w:val="00064D5A"/>
    <w:rsid w:val="00065F69"/>
    <w:rsid w:val="00076010"/>
    <w:rsid w:val="00080BAA"/>
    <w:rsid w:val="00082709"/>
    <w:rsid w:val="00082ACA"/>
    <w:rsid w:val="00092ACA"/>
    <w:rsid w:val="000A5D4A"/>
    <w:rsid w:val="000B4598"/>
    <w:rsid w:val="000B590E"/>
    <w:rsid w:val="000B6029"/>
    <w:rsid w:val="000B6588"/>
    <w:rsid w:val="000C1B0B"/>
    <w:rsid w:val="000C2A2F"/>
    <w:rsid w:val="000C4359"/>
    <w:rsid w:val="000C50FB"/>
    <w:rsid w:val="000D4FC4"/>
    <w:rsid w:val="000D5344"/>
    <w:rsid w:val="000D6E95"/>
    <w:rsid w:val="000D79B6"/>
    <w:rsid w:val="000E2D0C"/>
    <w:rsid w:val="000F3F80"/>
    <w:rsid w:val="00102989"/>
    <w:rsid w:val="00102DF8"/>
    <w:rsid w:val="001110B5"/>
    <w:rsid w:val="001159AA"/>
    <w:rsid w:val="00115CB8"/>
    <w:rsid w:val="00120F19"/>
    <w:rsid w:val="00121917"/>
    <w:rsid w:val="00122971"/>
    <w:rsid w:val="00125BE9"/>
    <w:rsid w:val="0012741C"/>
    <w:rsid w:val="001330B4"/>
    <w:rsid w:val="00135BAB"/>
    <w:rsid w:val="00143037"/>
    <w:rsid w:val="001440A1"/>
    <w:rsid w:val="00157597"/>
    <w:rsid w:val="001603CB"/>
    <w:rsid w:val="00163A0B"/>
    <w:rsid w:val="00170440"/>
    <w:rsid w:val="001760AF"/>
    <w:rsid w:val="00177263"/>
    <w:rsid w:val="00182417"/>
    <w:rsid w:val="00182AF8"/>
    <w:rsid w:val="00183FEE"/>
    <w:rsid w:val="0018400A"/>
    <w:rsid w:val="00185A5F"/>
    <w:rsid w:val="0019012F"/>
    <w:rsid w:val="0019101E"/>
    <w:rsid w:val="00193C29"/>
    <w:rsid w:val="001A19F7"/>
    <w:rsid w:val="001B07DB"/>
    <w:rsid w:val="001B222B"/>
    <w:rsid w:val="001B4717"/>
    <w:rsid w:val="001C002B"/>
    <w:rsid w:val="001C31C5"/>
    <w:rsid w:val="001C4867"/>
    <w:rsid w:val="001C561A"/>
    <w:rsid w:val="001C6727"/>
    <w:rsid w:val="001C7DAE"/>
    <w:rsid w:val="001D0310"/>
    <w:rsid w:val="001D2940"/>
    <w:rsid w:val="001D63DD"/>
    <w:rsid w:val="001E70AC"/>
    <w:rsid w:val="001F16A7"/>
    <w:rsid w:val="001F22FE"/>
    <w:rsid w:val="001F40D0"/>
    <w:rsid w:val="001F4C6A"/>
    <w:rsid w:val="001F7452"/>
    <w:rsid w:val="002058DB"/>
    <w:rsid w:val="002063C8"/>
    <w:rsid w:val="002210ED"/>
    <w:rsid w:val="00221537"/>
    <w:rsid w:val="00223420"/>
    <w:rsid w:val="00223966"/>
    <w:rsid w:val="002302EE"/>
    <w:rsid w:val="00232A40"/>
    <w:rsid w:val="00234A80"/>
    <w:rsid w:val="002353F5"/>
    <w:rsid w:val="00242D48"/>
    <w:rsid w:val="00243210"/>
    <w:rsid w:val="002474D9"/>
    <w:rsid w:val="00250354"/>
    <w:rsid w:val="00250638"/>
    <w:rsid w:val="00252AD8"/>
    <w:rsid w:val="00252CBC"/>
    <w:rsid w:val="002547AA"/>
    <w:rsid w:val="0027053D"/>
    <w:rsid w:val="00282CC3"/>
    <w:rsid w:val="00283BBD"/>
    <w:rsid w:val="00285F2D"/>
    <w:rsid w:val="00287DDC"/>
    <w:rsid w:val="00291436"/>
    <w:rsid w:val="00292844"/>
    <w:rsid w:val="0029637B"/>
    <w:rsid w:val="0029659E"/>
    <w:rsid w:val="002965AD"/>
    <w:rsid w:val="002A185E"/>
    <w:rsid w:val="002A458F"/>
    <w:rsid w:val="002A526D"/>
    <w:rsid w:val="002B086B"/>
    <w:rsid w:val="002B1AB3"/>
    <w:rsid w:val="002B5432"/>
    <w:rsid w:val="002B56F0"/>
    <w:rsid w:val="002B682B"/>
    <w:rsid w:val="002B7D49"/>
    <w:rsid w:val="002C089D"/>
    <w:rsid w:val="002C1213"/>
    <w:rsid w:val="002C1C36"/>
    <w:rsid w:val="002C338F"/>
    <w:rsid w:val="002C4A68"/>
    <w:rsid w:val="002D31AA"/>
    <w:rsid w:val="002E3D1E"/>
    <w:rsid w:val="002E7CD4"/>
    <w:rsid w:val="002F0AF0"/>
    <w:rsid w:val="002F308D"/>
    <w:rsid w:val="002F388E"/>
    <w:rsid w:val="002F4225"/>
    <w:rsid w:val="00302E7A"/>
    <w:rsid w:val="00305E45"/>
    <w:rsid w:val="00311D91"/>
    <w:rsid w:val="003126A6"/>
    <w:rsid w:val="0031660D"/>
    <w:rsid w:val="003200B5"/>
    <w:rsid w:val="0032757B"/>
    <w:rsid w:val="00333D50"/>
    <w:rsid w:val="00337E15"/>
    <w:rsid w:val="0034632E"/>
    <w:rsid w:val="00346DC8"/>
    <w:rsid w:val="00351E17"/>
    <w:rsid w:val="00356898"/>
    <w:rsid w:val="00356C93"/>
    <w:rsid w:val="00367757"/>
    <w:rsid w:val="003734B2"/>
    <w:rsid w:val="00375C27"/>
    <w:rsid w:val="0037611C"/>
    <w:rsid w:val="0037705B"/>
    <w:rsid w:val="00380EFB"/>
    <w:rsid w:val="00385187"/>
    <w:rsid w:val="003931C3"/>
    <w:rsid w:val="0039360F"/>
    <w:rsid w:val="003951A1"/>
    <w:rsid w:val="003A2133"/>
    <w:rsid w:val="003A300F"/>
    <w:rsid w:val="003A7FDD"/>
    <w:rsid w:val="003B0F61"/>
    <w:rsid w:val="003B481B"/>
    <w:rsid w:val="003B6A3A"/>
    <w:rsid w:val="003C0B76"/>
    <w:rsid w:val="003C1E72"/>
    <w:rsid w:val="003C4922"/>
    <w:rsid w:val="003C5674"/>
    <w:rsid w:val="003C6696"/>
    <w:rsid w:val="003C7D9A"/>
    <w:rsid w:val="003D20D0"/>
    <w:rsid w:val="003D21F4"/>
    <w:rsid w:val="003D5F5C"/>
    <w:rsid w:val="003D60D6"/>
    <w:rsid w:val="003D7F22"/>
    <w:rsid w:val="003E5D7D"/>
    <w:rsid w:val="003E6D0A"/>
    <w:rsid w:val="003F1A44"/>
    <w:rsid w:val="003F55E2"/>
    <w:rsid w:val="003F758A"/>
    <w:rsid w:val="00404EDE"/>
    <w:rsid w:val="00414C01"/>
    <w:rsid w:val="004210CB"/>
    <w:rsid w:val="00422D12"/>
    <w:rsid w:val="00432E9E"/>
    <w:rsid w:val="0043316B"/>
    <w:rsid w:val="00435823"/>
    <w:rsid w:val="00442A88"/>
    <w:rsid w:val="00445072"/>
    <w:rsid w:val="0045169C"/>
    <w:rsid w:val="004631EA"/>
    <w:rsid w:val="0046470F"/>
    <w:rsid w:val="00465B77"/>
    <w:rsid w:val="004720A7"/>
    <w:rsid w:val="00482788"/>
    <w:rsid w:val="004851E9"/>
    <w:rsid w:val="0049074C"/>
    <w:rsid w:val="004920D7"/>
    <w:rsid w:val="00492ABF"/>
    <w:rsid w:val="00493B0E"/>
    <w:rsid w:val="00496C93"/>
    <w:rsid w:val="004A19A4"/>
    <w:rsid w:val="004B006A"/>
    <w:rsid w:val="004B1460"/>
    <w:rsid w:val="004B32A5"/>
    <w:rsid w:val="004B5898"/>
    <w:rsid w:val="004B7B8A"/>
    <w:rsid w:val="004C3BDA"/>
    <w:rsid w:val="004D7492"/>
    <w:rsid w:val="004D768B"/>
    <w:rsid w:val="004E5C14"/>
    <w:rsid w:val="004F58A6"/>
    <w:rsid w:val="00506240"/>
    <w:rsid w:val="00513DE2"/>
    <w:rsid w:val="00513E50"/>
    <w:rsid w:val="00516292"/>
    <w:rsid w:val="00517BF8"/>
    <w:rsid w:val="0052138B"/>
    <w:rsid w:val="00523CFA"/>
    <w:rsid w:val="005242E1"/>
    <w:rsid w:val="005324D3"/>
    <w:rsid w:val="00541A1B"/>
    <w:rsid w:val="005512DB"/>
    <w:rsid w:val="00551CB2"/>
    <w:rsid w:val="00554B29"/>
    <w:rsid w:val="00556244"/>
    <w:rsid w:val="00556738"/>
    <w:rsid w:val="00557E42"/>
    <w:rsid w:val="005649EC"/>
    <w:rsid w:val="005664A7"/>
    <w:rsid w:val="00573A18"/>
    <w:rsid w:val="00576869"/>
    <w:rsid w:val="00577FFC"/>
    <w:rsid w:val="00584ADC"/>
    <w:rsid w:val="00591979"/>
    <w:rsid w:val="005A16F5"/>
    <w:rsid w:val="005A1BDB"/>
    <w:rsid w:val="005A2ED2"/>
    <w:rsid w:val="005B0A96"/>
    <w:rsid w:val="005B0C2D"/>
    <w:rsid w:val="005B1B39"/>
    <w:rsid w:val="005C31FC"/>
    <w:rsid w:val="005C3356"/>
    <w:rsid w:val="005C468E"/>
    <w:rsid w:val="005C5B6D"/>
    <w:rsid w:val="005C69CF"/>
    <w:rsid w:val="005E03C2"/>
    <w:rsid w:val="005E048D"/>
    <w:rsid w:val="005E3F86"/>
    <w:rsid w:val="005E4C32"/>
    <w:rsid w:val="005F68F2"/>
    <w:rsid w:val="005F69E2"/>
    <w:rsid w:val="006029FA"/>
    <w:rsid w:val="00605068"/>
    <w:rsid w:val="00611445"/>
    <w:rsid w:val="006264A4"/>
    <w:rsid w:val="00632A56"/>
    <w:rsid w:val="0063540D"/>
    <w:rsid w:val="00643A7B"/>
    <w:rsid w:val="00645C5E"/>
    <w:rsid w:val="006529E6"/>
    <w:rsid w:val="0065412A"/>
    <w:rsid w:val="00654BFC"/>
    <w:rsid w:val="006565ED"/>
    <w:rsid w:val="00657E66"/>
    <w:rsid w:val="00664CFF"/>
    <w:rsid w:val="00666344"/>
    <w:rsid w:val="006732D5"/>
    <w:rsid w:val="006748AD"/>
    <w:rsid w:val="00675494"/>
    <w:rsid w:val="00676231"/>
    <w:rsid w:val="00677A12"/>
    <w:rsid w:val="0068308A"/>
    <w:rsid w:val="00683EB9"/>
    <w:rsid w:val="00686312"/>
    <w:rsid w:val="00695FC9"/>
    <w:rsid w:val="006A0C92"/>
    <w:rsid w:val="006A1406"/>
    <w:rsid w:val="006B21F7"/>
    <w:rsid w:val="006C12B4"/>
    <w:rsid w:val="006C3055"/>
    <w:rsid w:val="006C415F"/>
    <w:rsid w:val="006D171F"/>
    <w:rsid w:val="006D7347"/>
    <w:rsid w:val="006E3CE3"/>
    <w:rsid w:val="006E3E12"/>
    <w:rsid w:val="006F0E79"/>
    <w:rsid w:val="006F32AB"/>
    <w:rsid w:val="0070169C"/>
    <w:rsid w:val="0071317F"/>
    <w:rsid w:val="007302F4"/>
    <w:rsid w:val="007326EC"/>
    <w:rsid w:val="00735451"/>
    <w:rsid w:val="007410B0"/>
    <w:rsid w:val="00742DF1"/>
    <w:rsid w:val="00744312"/>
    <w:rsid w:val="00752679"/>
    <w:rsid w:val="00752C55"/>
    <w:rsid w:val="007573B7"/>
    <w:rsid w:val="00757B9C"/>
    <w:rsid w:val="007608DB"/>
    <w:rsid w:val="00761130"/>
    <w:rsid w:val="00762301"/>
    <w:rsid w:val="007629F3"/>
    <w:rsid w:val="00766387"/>
    <w:rsid w:val="00773A89"/>
    <w:rsid w:val="007752AA"/>
    <w:rsid w:val="00783C45"/>
    <w:rsid w:val="00785F53"/>
    <w:rsid w:val="00795034"/>
    <w:rsid w:val="007A4472"/>
    <w:rsid w:val="007B150A"/>
    <w:rsid w:val="007B386D"/>
    <w:rsid w:val="007B6770"/>
    <w:rsid w:val="007C3155"/>
    <w:rsid w:val="007D0253"/>
    <w:rsid w:val="007D1554"/>
    <w:rsid w:val="007D3B96"/>
    <w:rsid w:val="007E11D9"/>
    <w:rsid w:val="007E15C4"/>
    <w:rsid w:val="007E20F9"/>
    <w:rsid w:val="007E4205"/>
    <w:rsid w:val="007E59DB"/>
    <w:rsid w:val="007E5ABC"/>
    <w:rsid w:val="007E6303"/>
    <w:rsid w:val="00803E3F"/>
    <w:rsid w:val="00806A85"/>
    <w:rsid w:val="00807600"/>
    <w:rsid w:val="00807924"/>
    <w:rsid w:val="00813B78"/>
    <w:rsid w:val="00824CFC"/>
    <w:rsid w:val="00827277"/>
    <w:rsid w:val="00830934"/>
    <w:rsid w:val="008327CF"/>
    <w:rsid w:val="00843F6F"/>
    <w:rsid w:val="008453D8"/>
    <w:rsid w:val="00846AFA"/>
    <w:rsid w:val="008471D5"/>
    <w:rsid w:val="00847480"/>
    <w:rsid w:val="0085463C"/>
    <w:rsid w:val="00862623"/>
    <w:rsid w:val="008655FD"/>
    <w:rsid w:val="00870541"/>
    <w:rsid w:val="00870FA4"/>
    <w:rsid w:val="00875701"/>
    <w:rsid w:val="00882368"/>
    <w:rsid w:val="0089028E"/>
    <w:rsid w:val="00892252"/>
    <w:rsid w:val="008955FD"/>
    <w:rsid w:val="008976EB"/>
    <w:rsid w:val="008A0628"/>
    <w:rsid w:val="008A4C01"/>
    <w:rsid w:val="008A6808"/>
    <w:rsid w:val="008B1709"/>
    <w:rsid w:val="008B205A"/>
    <w:rsid w:val="008B5AB2"/>
    <w:rsid w:val="008B6F19"/>
    <w:rsid w:val="008E2FAE"/>
    <w:rsid w:val="008E7776"/>
    <w:rsid w:val="008F3844"/>
    <w:rsid w:val="008F3C66"/>
    <w:rsid w:val="008F5067"/>
    <w:rsid w:val="00900936"/>
    <w:rsid w:val="00900A99"/>
    <w:rsid w:val="00906961"/>
    <w:rsid w:val="00911652"/>
    <w:rsid w:val="009121DE"/>
    <w:rsid w:val="009148DA"/>
    <w:rsid w:val="00924AC5"/>
    <w:rsid w:val="0092798D"/>
    <w:rsid w:val="00927C1C"/>
    <w:rsid w:val="00934BA8"/>
    <w:rsid w:val="0093531E"/>
    <w:rsid w:val="00941D77"/>
    <w:rsid w:val="00944E7F"/>
    <w:rsid w:val="00952A92"/>
    <w:rsid w:val="00955597"/>
    <w:rsid w:val="0096456D"/>
    <w:rsid w:val="0097014F"/>
    <w:rsid w:val="00971780"/>
    <w:rsid w:val="009757CD"/>
    <w:rsid w:val="00980662"/>
    <w:rsid w:val="00981494"/>
    <w:rsid w:val="00984FA5"/>
    <w:rsid w:val="00993C56"/>
    <w:rsid w:val="0099448A"/>
    <w:rsid w:val="00994906"/>
    <w:rsid w:val="009A19A0"/>
    <w:rsid w:val="009A6209"/>
    <w:rsid w:val="009A6662"/>
    <w:rsid w:val="009B0161"/>
    <w:rsid w:val="009B4557"/>
    <w:rsid w:val="009C0DE2"/>
    <w:rsid w:val="009C3496"/>
    <w:rsid w:val="009C51C4"/>
    <w:rsid w:val="009D5BB3"/>
    <w:rsid w:val="009E06CF"/>
    <w:rsid w:val="009E0BC7"/>
    <w:rsid w:val="009E4CFD"/>
    <w:rsid w:val="009E7B30"/>
    <w:rsid w:val="009F01DE"/>
    <w:rsid w:val="009F2633"/>
    <w:rsid w:val="009F6DBC"/>
    <w:rsid w:val="00A00165"/>
    <w:rsid w:val="00A1275C"/>
    <w:rsid w:val="00A20362"/>
    <w:rsid w:val="00A31004"/>
    <w:rsid w:val="00A559B1"/>
    <w:rsid w:val="00A55EAC"/>
    <w:rsid w:val="00A56AE0"/>
    <w:rsid w:val="00A60CA8"/>
    <w:rsid w:val="00A63130"/>
    <w:rsid w:val="00A72EEB"/>
    <w:rsid w:val="00A73AD7"/>
    <w:rsid w:val="00A73F4A"/>
    <w:rsid w:val="00A82BE2"/>
    <w:rsid w:val="00A83C95"/>
    <w:rsid w:val="00A86BB8"/>
    <w:rsid w:val="00A90C04"/>
    <w:rsid w:val="00A9165A"/>
    <w:rsid w:val="00A96C29"/>
    <w:rsid w:val="00A97EF3"/>
    <w:rsid w:val="00AA27EB"/>
    <w:rsid w:val="00AA4CCD"/>
    <w:rsid w:val="00AA5F09"/>
    <w:rsid w:val="00AB6BF6"/>
    <w:rsid w:val="00AB7FEB"/>
    <w:rsid w:val="00AC2301"/>
    <w:rsid w:val="00AC292A"/>
    <w:rsid w:val="00AC45D7"/>
    <w:rsid w:val="00AC4AF4"/>
    <w:rsid w:val="00AC5AF4"/>
    <w:rsid w:val="00AD1ED1"/>
    <w:rsid w:val="00AD29F3"/>
    <w:rsid w:val="00AD6569"/>
    <w:rsid w:val="00AE758C"/>
    <w:rsid w:val="00AF5648"/>
    <w:rsid w:val="00B00DD7"/>
    <w:rsid w:val="00B07550"/>
    <w:rsid w:val="00B07C1F"/>
    <w:rsid w:val="00B103BC"/>
    <w:rsid w:val="00B108F2"/>
    <w:rsid w:val="00B13756"/>
    <w:rsid w:val="00B13BB6"/>
    <w:rsid w:val="00B14107"/>
    <w:rsid w:val="00B14701"/>
    <w:rsid w:val="00B16DD0"/>
    <w:rsid w:val="00B2379F"/>
    <w:rsid w:val="00B259D5"/>
    <w:rsid w:val="00B33A40"/>
    <w:rsid w:val="00B35954"/>
    <w:rsid w:val="00B42017"/>
    <w:rsid w:val="00B50177"/>
    <w:rsid w:val="00B56885"/>
    <w:rsid w:val="00B6342A"/>
    <w:rsid w:val="00B6380A"/>
    <w:rsid w:val="00B73E63"/>
    <w:rsid w:val="00B74D9F"/>
    <w:rsid w:val="00B85039"/>
    <w:rsid w:val="00B91B5E"/>
    <w:rsid w:val="00B91E2C"/>
    <w:rsid w:val="00B94E84"/>
    <w:rsid w:val="00B95366"/>
    <w:rsid w:val="00B95B34"/>
    <w:rsid w:val="00BA37BD"/>
    <w:rsid w:val="00BB1B71"/>
    <w:rsid w:val="00BB5848"/>
    <w:rsid w:val="00BB68F0"/>
    <w:rsid w:val="00BC37C2"/>
    <w:rsid w:val="00BC44CC"/>
    <w:rsid w:val="00BC5CF5"/>
    <w:rsid w:val="00BD57F3"/>
    <w:rsid w:val="00BE00C6"/>
    <w:rsid w:val="00BE06A2"/>
    <w:rsid w:val="00BE160C"/>
    <w:rsid w:val="00BE6526"/>
    <w:rsid w:val="00BF372B"/>
    <w:rsid w:val="00BF4652"/>
    <w:rsid w:val="00BF6392"/>
    <w:rsid w:val="00C00E83"/>
    <w:rsid w:val="00C01860"/>
    <w:rsid w:val="00C02A9D"/>
    <w:rsid w:val="00C07980"/>
    <w:rsid w:val="00C10D61"/>
    <w:rsid w:val="00C11C3C"/>
    <w:rsid w:val="00C12508"/>
    <w:rsid w:val="00C12848"/>
    <w:rsid w:val="00C12BCD"/>
    <w:rsid w:val="00C150D4"/>
    <w:rsid w:val="00C16E14"/>
    <w:rsid w:val="00C244CD"/>
    <w:rsid w:val="00C339BA"/>
    <w:rsid w:val="00C34995"/>
    <w:rsid w:val="00C444B1"/>
    <w:rsid w:val="00C54B90"/>
    <w:rsid w:val="00C618BA"/>
    <w:rsid w:val="00C62196"/>
    <w:rsid w:val="00C62271"/>
    <w:rsid w:val="00C64A51"/>
    <w:rsid w:val="00C65EE1"/>
    <w:rsid w:val="00C67D71"/>
    <w:rsid w:val="00C73A31"/>
    <w:rsid w:val="00C767E2"/>
    <w:rsid w:val="00C806AA"/>
    <w:rsid w:val="00C91DC6"/>
    <w:rsid w:val="00CA47D2"/>
    <w:rsid w:val="00CA55C5"/>
    <w:rsid w:val="00CB380D"/>
    <w:rsid w:val="00CB6293"/>
    <w:rsid w:val="00CC02D4"/>
    <w:rsid w:val="00CC1CE7"/>
    <w:rsid w:val="00CC3121"/>
    <w:rsid w:val="00CC38B4"/>
    <w:rsid w:val="00CC49A5"/>
    <w:rsid w:val="00CD46B0"/>
    <w:rsid w:val="00CE47F3"/>
    <w:rsid w:val="00CE4F5A"/>
    <w:rsid w:val="00CE7503"/>
    <w:rsid w:val="00CF63FD"/>
    <w:rsid w:val="00D0149B"/>
    <w:rsid w:val="00D0610D"/>
    <w:rsid w:val="00D15254"/>
    <w:rsid w:val="00D16DEC"/>
    <w:rsid w:val="00D17957"/>
    <w:rsid w:val="00D24DBA"/>
    <w:rsid w:val="00D25E2F"/>
    <w:rsid w:val="00D31C7A"/>
    <w:rsid w:val="00D32386"/>
    <w:rsid w:val="00D32CF6"/>
    <w:rsid w:val="00D43C80"/>
    <w:rsid w:val="00D50AF9"/>
    <w:rsid w:val="00D60413"/>
    <w:rsid w:val="00D60CE2"/>
    <w:rsid w:val="00D615C6"/>
    <w:rsid w:val="00D63C2D"/>
    <w:rsid w:val="00D654F1"/>
    <w:rsid w:val="00D70384"/>
    <w:rsid w:val="00D71E41"/>
    <w:rsid w:val="00D71EF8"/>
    <w:rsid w:val="00D747D6"/>
    <w:rsid w:val="00D80C5E"/>
    <w:rsid w:val="00D80E26"/>
    <w:rsid w:val="00D81B83"/>
    <w:rsid w:val="00D8237C"/>
    <w:rsid w:val="00D86D8C"/>
    <w:rsid w:val="00D93215"/>
    <w:rsid w:val="00DB1DEA"/>
    <w:rsid w:val="00DB43C2"/>
    <w:rsid w:val="00DB45C1"/>
    <w:rsid w:val="00DC7BB8"/>
    <w:rsid w:val="00DD0B86"/>
    <w:rsid w:val="00DD21D9"/>
    <w:rsid w:val="00DE045F"/>
    <w:rsid w:val="00DE195A"/>
    <w:rsid w:val="00DE4D2D"/>
    <w:rsid w:val="00DE4FCF"/>
    <w:rsid w:val="00DE7003"/>
    <w:rsid w:val="00DF43C6"/>
    <w:rsid w:val="00DF5F54"/>
    <w:rsid w:val="00DF7238"/>
    <w:rsid w:val="00E008FB"/>
    <w:rsid w:val="00E01B3F"/>
    <w:rsid w:val="00E11E3F"/>
    <w:rsid w:val="00E17C78"/>
    <w:rsid w:val="00E2208C"/>
    <w:rsid w:val="00E2749E"/>
    <w:rsid w:val="00E27BEE"/>
    <w:rsid w:val="00E324DF"/>
    <w:rsid w:val="00E36247"/>
    <w:rsid w:val="00E40E24"/>
    <w:rsid w:val="00E415A1"/>
    <w:rsid w:val="00E440B1"/>
    <w:rsid w:val="00E46AFE"/>
    <w:rsid w:val="00E46D10"/>
    <w:rsid w:val="00E473D7"/>
    <w:rsid w:val="00E54817"/>
    <w:rsid w:val="00E54944"/>
    <w:rsid w:val="00E567A6"/>
    <w:rsid w:val="00E6134A"/>
    <w:rsid w:val="00E62702"/>
    <w:rsid w:val="00E62D02"/>
    <w:rsid w:val="00E635B8"/>
    <w:rsid w:val="00E6608F"/>
    <w:rsid w:val="00E67107"/>
    <w:rsid w:val="00E72F3A"/>
    <w:rsid w:val="00E75154"/>
    <w:rsid w:val="00E934EF"/>
    <w:rsid w:val="00EA0AF9"/>
    <w:rsid w:val="00EA4425"/>
    <w:rsid w:val="00EA48DD"/>
    <w:rsid w:val="00EA5B95"/>
    <w:rsid w:val="00EA6EE9"/>
    <w:rsid w:val="00EA7127"/>
    <w:rsid w:val="00EB4E7E"/>
    <w:rsid w:val="00EB5F85"/>
    <w:rsid w:val="00EB6232"/>
    <w:rsid w:val="00EC213A"/>
    <w:rsid w:val="00EC319F"/>
    <w:rsid w:val="00EC41FD"/>
    <w:rsid w:val="00EC491A"/>
    <w:rsid w:val="00ED0CC3"/>
    <w:rsid w:val="00ED103A"/>
    <w:rsid w:val="00ED21B1"/>
    <w:rsid w:val="00EF0E6E"/>
    <w:rsid w:val="00EF48A2"/>
    <w:rsid w:val="00EF5BBC"/>
    <w:rsid w:val="00EF70F2"/>
    <w:rsid w:val="00F02205"/>
    <w:rsid w:val="00F153C9"/>
    <w:rsid w:val="00F16016"/>
    <w:rsid w:val="00F1753E"/>
    <w:rsid w:val="00F20802"/>
    <w:rsid w:val="00F22530"/>
    <w:rsid w:val="00F25002"/>
    <w:rsid w:val="00F25337"/>
    <w:rsid w:val="00F257F3"/>
    <w:rsid w:val="00F31BCC"/>
    <w:rsid w:val="00F34CD4"/>
    <w:rsid w:val="00F3771F"/>
    <w:rsid w:val="00F41184"/>
    <w:rsid w:val="00F434D3"/>
    <w:rsid w:val="00F44248"/>
    <w:rsid w:val="00F47C1B"/>
    <w:rsid w:val="00F51636"/>
    <w:rsid w:val="00F531AB"/>
    <w:rsid w:val="00F57930"/>
    <w:rsid w:val="00F667CC"/>
    <w:rsid w:val="00F72A4E"/>
    <w:rsid w:val="00F759E8"/>
    <w:rsid w:val="00F76724"/>
    <w:rsid w:val="00F80BCE"/>
    <w:rsid w:val="00F82028"/>
    <w:rsid w:val="00F83A3C"/>
    <w:rsid w:val="00F848B6"/>
    <w:rsid w:val="00F85C91"/>
    <w:rsid w:val="00F86EC6"/>
    <w:rsid w:val="00F9549B"/>
    <w:rsid w:val="00F96B02"/>
    <w:rsid w:val="00FA069E"/>
    <w:rsid w:val="00FA4419"/>
    <w:rsid w:val="00FA762D"/>
    <w:rsid w:val="00FB46E3"/>
    <w:rsid w:val="00FB53BB"/>
    <w:rsid w:val="00FB5B62"/>
    <w:rsid w:val="00FC2064"/>
    <w:rsid w:val="00FC2AE5"/>
    <w:rsid w:val="00FC5B3A"/>
    <w:rsid w:val="00FD3D58"/>
    <w:rsid w:val="00FD6538"/>
    <w:rsid w:val="00FE2F6F"/>
    <w:rsid w:val="00FE39C3"/>
    <w:rsid w:val="00FE591B"/>
    <w:rsid w:val="00FF0B0A"/>
    <w:rsid w:val="00FF27CA"/>
    <w:rsid w:val="00FF6A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2451B"/>
  <w15:chartTrackingRefBased/>
  <w15:docId w15:val="{C514C0FA-3BEF-49DB-8606-FD97D1D3D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74C"/>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C486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C4867"/>
  </w:style>
  <w:style w:type="paragraph" w:styleId="Piedepgina">
    <w:name w:val="footer"/>
    <w:basedOn w:val="Normal"/>
    <w:link w:val="PiedepginaCar"/>
    <w:uiPriority w:val="99"/>
    <w:unhideWhenUsed/>
    <w:rsid w:val="001C486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4867"/>
  </w:style>
  <w:style w:type="paragraph" w:customStyle="1" w:styleId="Sangra2detindependiente1">
    <w:name w:val="Sangría 2 de t. independiente1"/>
    <w:basedOn w:val="Normal"/>
    <w:rsid w:val="001C4867"/>
    <w:pPr>
      <w:widowControl w:val="0"/>
      <w:spacing w:after="0" w:line="240" w:lineRule="auto"/>
      <w:ind w:firstLine="708"/>
      <w:jc w:val="both"/>
    </w:pPr>
    <w:rPr>
      <w:rFonts w:ascii="Arial" w:eastAsia="Times New Roman" w:hAnsi="Arial" w:cs="Times New Roman"/>
      <w:b/>
      <w:i/>
      <w:sz w:val="24"/>
      <w:szCs w:val="20"/>
      <w:lang w:val="es-ES_tradnl" w:eastAsia="es-MX"/>
    </w:rPr>
  </w:style>
  <w:style w:type="paragraph" w:styleId="Textodeglobo">
    <w:name w:val="Balloon Text"/>
    <w:basedOn w:val="Normal"/>
    <w:link w:val="TextodegloboCar"/>
    <w:uiPriority w:val="99"/>
    <w:semiHidden/>
    <w:unhideWhenUsed/>
    <w:rsid w:val="00DE045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E045F"/>
    <w:rPr>
      <w:rFonts w:ascii="Segoe UI" w:hAnsi="Segoe UI" w:cs="Segoe UI"/>
      <w:sz w:val="18"/>
      <w:szCs w:val="18"/>
    </w:rPr>
  </w:style>
  <w:style w:type="table" w:styleId="Tablaconcuadrcula">
    <w:name w:val="Table Grid"/>
    <w:basedOn w:val="Tablanormal"/>
    <w:uiPriority w:val="59"/>
    <w:rsid w:val="001B4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B07550"/>
    <w:pPr>
      <w:spacing w:after="0" w:line="240" w:lineRule="auto"/>
    </w:pPr>
  </w:style>
  <w:style w:type="character" w:styleId="Hipervnculo">
    <w:name w:val="Hyperlink"/>
    <w:basedOn w:val="Fuentedeprrafopredeter"/>
    <w:uiPriority w:val="99"/>
    <w:unhideWhenUsed/>
    <w:rsid w:val="00B95366"/>
    <w:rPr>
      <w:color w:val="0563C1" w:themeColor="hyperlink"/>
      <w:u w:val="single"/>
    </w:rPr>
  </w:style>
  <w:style w:type="paragraph" w:styleId="Ttulo">
    <w:name w:val="Title"/>
    <w:basedOn w:val="Normal"/>
    <w:next w:val="Normal"/>
    <w:link w:val="TtuloCar"/>
    <w:uiPriority w:val="10"/>
    <w:qFormat/>
    <w:rsid w:val="0068308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8308A"/>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445072"/>
    <w:pPr>
      <w:ind w:left="720"/>
      <w:contextualSpacing/>
    </w:pPr>
  </w:style>
  <w:style w:type="paragraph" w:customStyle="1" w:styleId="lead">
    <w:name w:val="lead"/>
    <w:basedOn w:val="Normal"/>
    <w:rsid w:val="00C64A51"/>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semiHidden/>
    <w:unhideWhenUsed/>
    <w:rsid w:val="00C64A51"/>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1809">
      <w:bodyDiv w:val="1"/>
      <w:marLeft w:val="0"/>
      <w:marRight w:val="0"/>
      <w:marTop w:val="0"/>
      <w:marBottom w:val="0"/>
      <w:divBdr>
        <w:top w:val="none" w:sz="0" w:space="0" w:color="auto"/>
        <w:left w:val="none" w:sz="0" w:space="0" w:color="auto"/>
        <w:bottom w:val="none" w:sz="0" w:space="0" w:color="auto"/>
        <w:right w:val="none" w:sz="0" w:space="0" w:color="auto"/>
      </w:divBdr>
      <w:divsChild>
        <w:div w:id="36587979">
          <w:marLeft w:val="0"/>
          <w:marRight w:val="0"/>
          <w:marTop w:val="0"/>
          <w:marBottom w:val="0"/>
          <w:divBdr>
            <w:top w:val="none" w:sz="0" w:space="0" w:color="auto"/>
            <w:left w:val="none" w:sz="0" w:space="0" w:color="auto"/>
            <w:bottom w:val="none" w:sz="0" w:space="0" w:color="auto"/>
            <w:right w:val="none" w:sz="0" w:space="0" w:color="auto"/>
          </w:divBdr>
        </w:div>
        <w:div w:id="109515290">
          <w:marLeft w:val="0"/>
          <w:marRight w:val="0"/>
          <w:marTop w:val="0"/>
          <w:marBottom w:val="0"/>
          <w:divBdr>
            <w:top w:val="none" w:sz="0" w:space="0" w:color="auto"/>
            <w:left w:val="none" w:sz="0" w:space="0" w:color="auto"/>
            <w:bottom w:val="none" w:sz="0" w:space="0" w:color="auto"/>
            <w:right w:val="none" w:sz="0" w:space="0" w:color="auto"/>
          </w:divBdr>
        </w:div>
        <w:div w:id="218054448">
          <w:marLeft w:val="0"/>
          <w:marRight w:val="0"/>
          <w:marTop w:val="0"/>
          <w:marBottom w:val="0"/>
          <w:divBdr>
            <w:top w:val="none" w:sz="0" w:space="0" w:color="auto"/>
            <w:left w:val="none" w:sz="0" w:space="0" w:color="auto"/>
            <w:bottom w:val="none" w:sz="0" w:space="0" w:color="auto"/>
            <w:right w:val="none" w:sz="0" w:space="0" w:color="auto"/>
          </w:divBdr>
        </w:div>
        <w:div w:id="596254593">
          <w:marLeft w:val="0"/>
          <w:marRight w:val="0"/>
          <w:marTop w:val="0"/>
          <w:marBottom w:val="0"/>
          <w:divBdr>
            <w:top w:val="none" w:sz="0" w:space="0" w:color="auto"/>
            <w:left w:val="none" w:sz="0" w:space="0" w:color="auto"/>
            <w:bottom w:val="none" w:sz="0" w:space="0" w:color="auto"/>
            <w:right w:val="none" w:sz="0" w:space="0" w:color="auto"/>
          </w:divBdr>
        </w:div>
        <w:div w:id="386611029">
          <w:marLeft w:val="0"/>
          <w:marRight w:val="0"/>
          <w:marTop w:val="0"/>
          <w:marBottom w:val="0"/>
          <w:divBdr>
            <w:top w:val="none" w:sz="0" w:space="0" w:color="auto"/>
            <w:left w:val="none" w:sz="0" w:space="0" w:color="auto"/>
            <w:bottom w:val="none" w:sz="0" w:space="0" w:color="auto"/>
            <w:right w:val="none" w:sz="0" w:space="0" w:color="auto"/>
          </w:divBdr>
        </w:div>
        <w:div w:id="1624118481">
          <w:marLeft w:val="0"/>
          <w:marRight w:val="0"/>
          <w:marTop w:val="0"/>
          <w:marBottom w:val="0"/>
          <w:divBdr>
            <w:top w:val="none" w:sz="0" w:space="0" w:color="auto"/>
            <w:left w:val="none" w:sz="0" w:space="0" w:color="auto"/>
            <w:bottom w:val="none" w:sz="0" w:space="0" w:color="auto"/>
            <w:right w:val="none" w:sz="0" w:space="0" w:color="auto"/>
          </w:divBdr>
        </w:div>
        <w:div w:id="806357586">
          <w:marLeft w:val="0"/>
          <w:marRight w:val="0"/>
          <w:marTop w:val="0"/>
          <w:marBottom w:val="0"/>
          <w:divBdr>
            <w:top w:val="none" w:sz="0" w:space="0" w:color="auto"/>
            <w:left w:val="none" w:sz="0" w:space="0" w:color="auto"/>
            <w:bottom w:val="none" w:sz="0" w:space="0" w:color="auto"/>
            <w:right w:val="none" w:sz="0" w:space="0" w:color="auto"/>
          </w:divBdr>
        </w:div>
      </w:divsChild>
    </w:div>
    <w:div w:id="28839065">
      <w:bodyDiv w:val="1"/>
      <w:marLeft w:val="0"/>
      <w:marRight w:val="0"/>
      <w:marTop w:val="0"/>
      <w:marBottom w:val="0"/>
      <w:divBdr>
        <w:top w:val="none" w:sz="0" w:space="0" w:color="auto"/>
        <w:left w:val="none" w:sz="0" w:space="0" w:color="auto"/>
        <w:bottom w:val="none" w:sz="0" w:space="0" w:color="auto"/>
        <w:right w:val="none" w:sz="0" w:space="0" w:color="auto"/>
      </w:divBdr>
      <w:divsChild>
        <w:div w:id="989401138">
          <w:marLeft w:val="0"/>
          <w:marRight w:val="0"/>
          <w:marTop w:val="0"/>
          <w:marBottom w:val="0"/>
          <w:divBdr>
            <w:top w:val="none" w:sz="0" w:space="0" w:color="auto"/>
            <w:left w:val="none" w:sz="0" w:space="0" w:color="auto"/>
            <w:bottom w:val="none" w:sz="0" w:space="0" w:color="auto"/>
            <w:right w:val="none" w:sz="0" w:space="0" w:color="auto"/>
          </w:divBdr>
          <w:divsChild>
            <w:div w:id="2015498366">
              <w:marLeft w:val="0"/>
              <w:marRight w:val="0"/>
              <w:marTop w:val="0"/>
              <w:marBottom w:val="0"/>
              <w:divBdr>
                <w:top w:val="none" w:sz="0" w:space="0" w:color="auto"/>
                <w:left w:val="none" w:sz="0" w:space="0" w:color="auto"/>
                <w:bottom w:val="none" w:sz="0" w:space="0" w:color="auto"/>
                <w:right w:val="none" w:sz="0" w:space="0" w:color="auto"/>
              </w:divBdr>
            </w:div>
          </w:divsChild>
        </w:div>
        <w:div w:id="1387608330">
          <w:marLeft w:val="0"/>
          <w:marRight w:val="0"/>
          <w:marTop w:val="0"/>
          <w:marBottom w:val="0"/>
          <w:divBdr>
            <w:top w:val="none" w:sz="0" w:space="0" w:color="auto"/>
            <w:left w:val="none" w:sz="0" w:space="0" w:color="auto"/>
            <w:bottom w:val="none" w:sz="0" w:space="0" w:color="auto"/>
            <w:right w:val="none" w:sz="0" w:space="0" w:color="auto"/>
          </w:divBdr>
          <w:divsChild>
            <w:div w:id="1649750190">
              <w:marLeft w:val="0"/>
              <w:marRight w:val="0"/>
              <w:marTop w:val="0"/>
              <w:marBottom w:val="0"/>
              <w:divBdr>
                <w:top w:val="none" w:sz="0" w:space="0" w:color="auto"/>
                <w:left w:val="none" w:sz="0" w:space="0" w:color="auto"/>
                <w:bottom w:val="none" w:sz="0" w:space="0" w:color="auto"/>
                <w:right w:val="none" w:sz="0" w:space="0" w:color="auto"/>
              </w:divBdr>
            </w:div>
            <w:div w:id="503475913">
              <w:marLeft w:val="0"/>
              <w:marRight w:val="0"/>
              <w:marTop w:val="0"/>
              <w:marBottom w:val="0"/>
              <w:divBdr>
                <w:top w:val="none" w:sz="0" w:space="0" w:color="auto"/>
                <w:left w:val="none" w:sz="0" w:space="0" w:color="auto"/>
                <w:bottom w:val="none" w:sz="0" w:space="0" w:color="auto"/>
                <w:right w:val="none" w:sz="0" w:space="0" w:color="auto"/>
              </w:divBdr>
            </w:div>
            <w:div w:id="849879178">
              <w:marLeft w:val="0"/>
              <w:marRight w:val="0"/>
              <w:marTop w:val="0"/>
              <w:marBottom w:val="0"/>
              <w:divBdr>
                <w:top w:val="none" w:sz="0" w:space="0" w:color="auto"/>
                <w:left w:val="none" w:sz="0" w:space="0" w:color="auto"/>
                <w:bottom w:val="none" w:sz="0" w:space="0" w:color="auto"/>
                <w:right w:val="none" w:sz="0" w:space="0" w:color="auto"/>
              </w:divBdr>
            </w:div>
          </w:divsChild>
        </w:div>
        <w:div w:id="1059938515">
          <w:marLeft w:val="0"/>
          <w:marRight w:val="0"/>
          <w:marTop w:val="0"/>
          <w:marBottom w:val="0"/>
          <w:divBdr>
            <w:top w:val="none" w:sz="0" w:space="0" w:color="auto"/>
            <w:left w:val="none" w:sz="0" w:space="0" w:color="auto"/>
            <w:bottom w:val="none" w:sz="0" w:space="0" w:color="auto"/>
            <w:right w:val="none" w:sz="0" w:space="0" w:color="auto"/>
          </w:divBdr>
          <w:divsChild>
            <w:div w:id="1507281548">
              <w:marLeft w:val="0"/>
              <w:marRight w:val="0"/>
              <w:marTop w:val="0"/>
              <w:marBottom w:val="0"/>
              <w:divBdr>
                <w:top w:val="none" w:sz="0" w:space="0" w:color="auto"/>
                <w:left w:val="none" w:sz="0" w:space="0" w:color="auto"/>
                <w:bottom w:val="none" w:sz="0" w:space="0" w:color="auto"/>
                <w:right w:val="none" w:sz="0" w:space="0" w:color="auto"/>
              </w:divBdr>
            </w:div>
            <w:div w:id="1916938855">
              <w:marLeft w:val="0"/>
              <w:marRight w:val="0"/>
              <w:marTop w:val="0"/>
              <w:marBottom w:val="0"/>
              <w:divBdr>
                <w:top w:val="none" w:sz="0" w:space="0" w:color="auto"/>
                <w:left w:val="none" w:sz="0" w:space="0" w:color="auto"/>
                <w:bottom w:val="none" w:sz="0" w:space="0" w:color="auto"/>
                <w:right w:val="none" w:sz="0" w:space="0" w:color="auto"/>
              </w:divBdr>
            </w:div>
            <w:div w:id="1483542938">
              <w:marLeft w:val="0"/>
              <w:marRight w:val="0"/>
              <w:marTop w:val="0"/>
              <w:marBottom w:val="0"/>
              <w:divBdr>
                <w:top w:val="none" w:sz="0" w:space="0" w:color="auto"/>
                <w:left w:val="none" w:sz="0" w:space="0" w:color="auto"/>
                <w:bottom w:val="none" w:sz="0" w:space="0" w:color="auto"/>
                <w:right w:val="none" w:sz="0" w:space="0" w:color="auto"/>
              </w:divBdr>
            </w:div>
          </w:divsChild>
        </w:div>
        <w:div w:id="345912607">
          <w:marLeft w:val="0"/>
          <w:marRight w:val="0"/>
          <w:marTop w:val="0"/>
          <w:marBottom w:val="0"/>
          <w:divBdr>
            <w:top w:val="none" w:sz="0" w:space="0" w:color="auto"/>
            <w:left w:val="none" w:sz="0" w:space="0" w:color="auto"/>
            <w:bottom w:val="none" w:sz="0" w:space="0" w:color="auto"/>
            <w:right w:val="none" w:sz="0" w:space="0" w:color="auto"/>
          </w:divBdr>
        </w:div>
        <w:div w:id="201484279">
          <w:marLeft w:val="0"/>
          <w:marRight w:val="0"/>
          <w:marTop w:val="0"/>
          <w:marBottom w:val="0"/>
          <w:divBdr>
            <w:top w:val="none" w:sz="0" w:space="0" w:color="auto"/>
            <w:left w:val="none" w:sz="0" w:space="0" w:color="auto"/>
            <w:bottom w:val="none" w:sz="0" w:space="0" w:color="auto"/>
            <w:right w:val="none" w:sz="0" w:space="0" w:color="auto"/>
          </w:divBdr>
        </w:div>
        <w:div w:id="298994213">
          <w:marLeft w:val="0"/>
          <w:marRight w:val="0"/>
          <w:marTop w:val="0"/>
          <w:marBottom w:val="0"/>
          <w:divBdr>
            <w:top w:val="none" w:sz="0" w:space="0" w:color="auto"/>
            <w:left w:val="none" w:sz="0" w:space="0" w:color="auto"/>
            <w:bottom w:val="none" w:sz="0" w:space="0" w:color="auto"/>
            <w:right w:val="none" w:sz="0" w:space="0" w:color="auto"/>
          </w:divBdr>
        </w:div>
      </w:divsChild>
    </w:div>
    <w:div w:id="91362861">
      <w:bodyDiv w:val="1"/>
      <w:marLeft w:val="0"/>
      <w:marRight w:val="0"/>
      <w:marTop w:val="0"/>
      <w:marBottom w:val="0"/>
      <w:divBdr>
        <w:top w:val="none" w:sz="0" w:space="0" w:color="auto"/>
        <w:left w:val="none" w:sz="0" w:space="0" w:color="auto"/>
        <w:bottom w:val="none" w:sz="0" w:space="0" w:color="auto"/>
        <w:right w:val="none" w:sz="0" w:space="0" w:color="auto"/>
      </w:divBdr>
      <w:divsChild>
        <w:div w:id="1145656710">
          <w:marLeft w:val="0"/>
          <w:marRight w:val="0"/>
          <w:marTop w:val="0"/>
          <w:marBottom w:val="0"/>
          <w:divBdr>
            <w:top w:val="none" w:sz="0" w:space="0" w:color="auto"/>
            <w:left w:val="none" w:sz="0" w:space="0" w:color="auto"/>
            <w:bottom w:val="none" w:sz="0" w:space="0" w:color="auto"/>
            <w:right w:val="none" w:sz="0" w:space="0" w:color="auto"/>
          </w:divBdr>
          <w:divsChild>
            <w:div w:id="37364433">
              <w:marLeft w:val="0"/>
              <w:marRight w:val="0"/>
              <w:marTop w:val="0"/>
              <w:marBottom w:val="0"/>
              <w:divBdr>
                <w:top w:val="none" w:sz="0" w:space="0" w:color="auto"/>
                <w:left w:val="none" w:sz="0" w:space="0" w:color="auto"/>
                <w:bottom w:val="none" w:sz="0" w:space="0" w:color="auto"/>
                <w:right w:val="none" w:sz="0" w:space="0" w:color="auto"/>
              </w:divBdr>
            </w:div>
          </w:divsChild>
        </w:div>
        <w:div w:id="66847967">
          <w:marLeft w:val="0"/>
          <w:marRight w:val="0"/>
          <w:marTop w:val="0"/>
          <w:marBottom w:val="0"/>
          <w:divBdr>
            <w:top w:val="none" w:sz="0" w:space="0" w:color="auto"/>
            <w:left w:val="none" w:sz="0" w:space="0" w:color="auto"/>
            <w:bottom w:val="none" w:sz="0" w:space="0" w:color="auto"/>
            <w:right w:val="none" w:sz="0" w:space="0" w:color="auto"/>
          </w:divBdr>
          <w:divsChild>
            <w:div w:id="635109840">
              <w:marLeft w:val="0"/>
              <w:marRight w:val="0"/>
              <w:marTop w:val="0"/>
              <w:marBottom w:val="0"/>
              <w:divBdr>
                <w:top w:val="none" w:sz="0" w:space="0" w:color="auto"/>
                <w:left w:val="none" w:sz="0" w:space="0" w:color="auto"/>
                <w:bottom w:val="none" w:sz="0" w:space="0" w:color="auto"/>
                <w:right w:val="none" w:sz="0" w:space="0" w:color="auto"/>
              </w:divBdr>
            </w:div>
            <w:div w:id="147940619">
              <w:marLeft w:val="0"/>
              <w:marRight w:val="0"/>
              <w:marTop w:val="0"/>
              <w:marBottom w:val="0"/>
              <w:divBdr>
                <w:top w:val="none" w:sz="0" w:space="0" w:color="auto"/>
                <w:left w:val="none" w:sz="0" w:space="0" w:color="auto"/>
                <w:bottom w:val="none" w:sz="0" w:space="0" w:color="auto"/>
                <w:right w:val="none" w:sz="0" w:space="0" w:color="auto"/>
              </w:divBdr>
            </w:div>
            <w:div w:id="67002151">
              <w:marLeft w:val="0"/>
              <w:marRight w:val="0"/>
              <w:marTop w:val="0"/>
              <w:marBottom w:val="0"/>
              <w:divBdr>
                <w:top w:val="none" w:sz="0" w:space="0" w:color="auto"/>
                <w:left w:val="none" w:sz="0" w:space="0" w:color="auto"/>
                <w:bottom w:val="none" w:sz="0" w:space="0" w:color="auto"/>
                <w:right w:val="none" w:sz="0" w:space="0" w:color="auto"/>
              </w:divBdr>
            </w:div>
          </w:divsChild>
        </w:div>
        <w:div w:id="1090469683">
          <w:marLeft w:val="0"/>
          <w:marRight w:val="0"/>
          <w:marTop w:val="0"/>
          <w:marBottom w:val="0"/>
          <w:divBdr>
            <w:top w:val="none" w:sz="0" w:space="0" w:color="auto"/>
            <w:left w:val="none" w:sz="0" w:space="0" w:color="auto"/>
            <w:bottom w:val="none" w:sz="0" w:space="0" w:color="auto"/>
            <w:right w:val="none" w:sz="0" w:space="0" w:color="auto"/>
          </w:divBdr>
          <w:divsChild>
            <w:div w:id="1657371426">
              <w:marLeft w:val="0"/>
              <w:marRight w:val="0"/>
              <w:marTop w:val="0"/>
              <w:marBottom w:val="0"/>
              <w:divBdr>
                <w:top w:val="none" w:sz="0" w:space="0" w:color="auto"/>
                <w:left w:val="none" w:sz="0" w:space="0" w:color="auto"/>
                <w:bottom w:val="none" w:sz="0" w:space="0" w:color="auto"/>
                <w:right w:val="none" w:sz="0" w:space="0" w:color="auto"/>
              </w:divBdr>
            </w:div>
            <w:div w:id="2092653562">
              <w:marLeft w:val="0"/>
              <w:marRight w:val="0"/>
              <w:marTop w:val="0"/>
              <w:marBottom w:val="0"/>
              <w:divBdr>
                <w:top w:val="none" w:sz="0" w:space="0" w:color="auto"/>
                <w:left w:val="none" w:sz="0" w:space="0" w:color="auto"/>
                <w:bottom w:val="none" w:sz="0" w:space="0" w:color="auto"/>
                <w:right w:val="none" w:sz="0" w:space="0" w:color="auto"/>
              </w:divBdr>
            </w:div>
            <w:div w:id="979504200">
              <w:marLeft w:val="0"/>
              <w:marRight w:val="0"/>
              <w:marTop w:val="0"/>
              <w:marBottom w:val="0"/>
              <w:divBdr>
                <w:top w:val="none" w:sz="0" w:space="0" w:color="auto"/>
                <w:left w:val="none" w:sz="0" w:space="0" w:color="auto"/>
                <w:bottom w:val="none" w:sz="0" w:space="0" w:color="auto"/>
                <w:right w:val="none" w:sz="0" w:space="0" w:color="auto"/>
              </w:divBdr>
            </w:div>
          </w:divsChild>
        </w:div>
        <w:div w:id="270624382">
          <w:marLeft w:val="0"/>
          <w:marRight w:val="0"/>
          <w:marTop w:val="0"/>
          <w:marBottom w:val="0"/>
          <w:divBdr>
            <w:top w:val="none" w:sz="0" w:space="0" w:color="auto"/>
            <w:left w:val="none" w:sz="0" w:space="0" w:color="auto"/>
            <w:bottom w:val="none" w:sz="0" w:space="0" w:color="auto"/>
            <w:right w:val="none" w:sz="0" w:space="0" w:color="auto"/>
          </w:divBdr>
        </w:div>
        <w:div w:id="544177727">
          <w:marLeft w:val="0"/>
          <w:marRight w:val="0"/>
          <w:marTop w:val="0"/>
          <w:marBottom w:val="0"/>
          <w:divBdr>
            <w:top w:val="none" w:sz="0" w:space="0" w:color="auto"/>
            <w:left w:val="none" w:sz="0" w:space="0" w:color="auto"/>
            <w:bottom w:val="none" w:sz="0" w:space="0" w:color="auto"/>
            <w:right w:val="none" w:sz="0" w:space="0" w:color="auto"/>
          </w:divBdr>
        </w:div>
        <w:div w:id="1489127735">
          <w:marLeft w:val="0"/>
          <w:marRight w:val="0"/>
          <w:marTop w:val="0"/>
          <w:marBottom w:val="0"/>
          <w:divBdr>
            <w:top w:val="none" w:sz="0" w:space="0" w:color="auto"/>
            <w:left w:val="none" w:sz="0" w:space="0" w:color="auto"/>
            <w:bottom w:val="none" w:sz="0" w:space="0" w:color="auto"/>
            <w:right w:val="none" w:sz="0" w:space="0" w:color="auto"/>
          </w:divBdr>
        </w:div>
        <w:div w:id="1847598519">
          <w:marLeft w:val="0"/>
          <w:marRight w:val="0"/>
          <w:marTop w:val="0"/>
          <w:marBottom w:val="0"/>
          <w:divBdr>
            <w:top w:val="none" w:sz="0" w:space="0" w:color="auto"/>
            <w:left w:val="none" w:sz="0" w:space="0" w:color="auto"/>
            <w:bottom w:val="none" w:sz="0" w:space="0" w:color="auto"/>
            <w:right w:val="none" w:sz="0" w:space="0" w:color="auto"/>
          </w:divBdr>
        </w:div>
      </w:divsChild>
    </w:div>
    <w:div w:id="95518039">
      <w:bodyDiv w:val="1"/>
      <w:marLeft w:val="0"/>
      <w:marRight w:val="0"/>
      <w:marTop w:val="0"/>
      <w:marBottom w:val="0"/>
      <w:divBdr>
        <w:top w:val="none" w:sz="0" w:space="0" w:color="auto"/>
        <w:left w:val="none" w:sz="0" w:space="0" w:color="auto"/>
        <w:bottom w:val="none" w:sz="0" w:space="0" w:color="auto"/>
        <w:right w:val="none" w:sz="0" w:space="0" w:color="auto"/>
      </w:divBdr>
      <w:divsChild>
        <w:div w:id="1572040191">
          <w:marLeft w:val="0"/>
          <w:marRight w:val="0"/>
          <w:marTop w:val="0"/>
          <w:marBottom w:val="0"/>
          <w:divBdr>
            <w:top w:val="none" w:sz="0" w:space="0" w:color="auto"/>
            <w:left w:val="none" w:sz="0" w:space="0" w:color="auto"/>
            <w:bottom w:val="none" w:sz="0" w:space="0" w:color="auto"/>
            <w:right w:val="none" w:sz="0" w:space="0" w:color="auto"/>
          </w:divBdr>
        </w:div>
        <w:div w:id="2087342922">
          <w:marLeft w:val="0"/>
          <w:marRight w:val="0"/>
          <w:marTop w:val="0"/>
          <w:marBottom w:val="0"/>
          <w:divBdr>
            <w:top w:val="none" w:sz="0" w:space="0" w:color="auto"/>
            <w:left w:val="none" w:sz="0" w:space="0" w:color="auto"/>
            <w:bottom w:val="none" w:sz="0" w:space="0" w:color="auto"/>
            <w:right w:val="none" w:sz="0" w:space="0" w:color="auto"/>
          </w:divBdr>
        </w:div>
        <w:div w:id="1317764090">
          <w:marLeft w:val="0"/>
          <w:marRight w:val="0"/>
          <w:marTop w:val="0"/>
          <w:marBottom w:val="0"/>
          <w:divBdr>
            <w:top w:val="none" w:sz="0" w:space="0" w:color="auto"/>
            <w:left w:val="none" w:sz="0" w:space="0" w:color="auto"/>
            <w:bottom w:val="none" w:sz="0" w:space="0" w:color="auto"/>
            <w:right w:val="none" w:sz="0" w:space="0" w:color="auto"/>
          </w:divBdr>
        </w:div>
        <w:div w:id="1288849787">
          <w:marLeft w:val="0"/>
          <w:marRight w:val="0"/>
          <w:marTop w:val="0"/>
          <w:marBottom w:val="0"/>
          <w:divBdr>
            <w:top w:val="none" w:sz="0" w:space="0" w:color="auto"/>
            <w:left w:val="none" w:sz="0" w:space="0" w:color="auto"/>
            <w:bottom w:val="none" w:sz="0" w:space="0" w:color="auto"/>
            <w:right w:val="none" w:sz="0" w:space="0" w:color="auto"/>
          </w:divBdr>
        </w:div>
        <w:div w:id="483591939">
          <w:marLeft w:val="0"/>
          <w:marRight w:val="0"/>
          <w:marTop w:val="0"/>
          <w:marBottom w:val="0"/>
          <w:divBdr>
            <w:top w:val="none" w:sz="0" w:space="0" w:color="auto"/>
            <w:left w:val="none" w:sz="0" w:space="0" w:color="auto"/>
            <w:bottom w:val="none" w:sz="0" w:space="0" w:color="auto"/>
            <w:right w:val="none" w:sz="0" w:space="0" w:color="auto"/>
          </w:divBdr>
        </w:div>
        <w:div w:id="2134321849">
          <w:marLeft w:val="0"/>
          <w:marRight w:val="0"/>
          <w:marTop w:val="0"/>
          <w:marBottom w:val="0"/>
          <w:divBdr>
            <w:top w:val="none" w:sz="0" w:space="0" w:color="auto"/>
            <w:left w:val="none" w:sz="0" w:space="0" w:color="auto"/>
            <w:bottom w:val="none" w:sz="0" w:space="0" w:color="auto"/>
            <w:right w:val="none" w:sz="0" w:space="0" w:color="auto"/>
          </w:divBdr>
        </w:div>
      </w:divsChild>
    </w:div>
    <w:div w:id="148985871">
      <w:bodyDiv w:val="1"/>
      <w:marLeft w:val="0"/>
      <w:marRight w:val="0"/>
      <w:marTop w:val="0"/>
      <w:marBottom w:val="0"/>
      <w:divBdr>
        <w:top w:val="none" w:sz="0" w:space="0" w:color="auto"/>
        <w:left w:val="none" w:sz="0" w:space="0" w:color="auto"/>
        <w:bottom w:val="none" w:sz="0" w:space="0" w:color="auto"/>
        <w:right w:val="none" w:sz="0" w:space="0" w:color="auto"/>
      </w:divBdr>
    </w:div>
    <w:div w:id="176816634">
      <w:bodyDiv w:val="1"/>
      <w:marLeft w:val="0"/>
      <w:marRight w:val="0"/>
      <w:marTop w:val="0"/>
      <w:marBottom w:val="0"/>
      <w:divBdr>
        <w:top w:val="none" w:sz="0" w:space="0" w:color="auto"/>
        <w:left w:val="none" w:sz="0" w:space="0" w:color="auto"/>
        <w:bottom w:val="none" w:sz="0" w:space="0" w:color="auto"/>
        <w:right w:val="none" w:sz="0" w:space="0" w:color="auto"/>
      </w:divBdr>
    </w:div>
    <w:div w:id="214784116">
      <w:bodyDiv w:val="1"/>
      <w:marLeft w:val="0"/>
      <w:marRight w:val="0"/>
      <w:marTop w:val="0"/>
      <w:marBottom w:val="0"/>
      <w:divBdr>
        <w:top w:val="none" w:sz="0" w:space="0" w:color="auto"/>
        <w:left w:val="none" w:sz="0" w:space="0" w:color="auto"/>
        <w:bottom w:val="none" w:sz="0" w:space="0" w:color="auto"/>
        <w:right w:val="none" w:sz="0" w:space="0" w:color="auto"/>
      </w:divBdr>
    </w:div>
    <w:div w:id="299311208">
      <w:bodyDiv w:val="1"/>
      <w:marLeft w:val="0"/>
      <w:marRight w:val="0"/>
      <w:marTop w:val="0"/>
      <w:marBottom w:val="0"/>
      <w:divBdr>
        <w:top w:val="none" w:sz="0" w:space="0" w:color="auto"/>
        <w:left w:val="none" w:sz="0" w:space="0" w:color="auto"/>
        <w:bottom w:val="none" w:sz="0" w:space="0" w:color="auto"/>
        <w:right w:val="none" w:sz="0" w:space="0" w:color="auto"/>
      </w:divBdr>
      <w:divsChild>
        <w:div w:id="1077627423">
          <w:marLeft w:val="0"/>
          <w:marRight w:val="0"/>
          <w:marTop w:val="0"/>
          <w:marBottom w:val="0"/>
          <w:divBdr>
            <w:top w:val="none" w:sz="0" w:space="0" w:color="auto"/>
            <w:left w:val="none" w:sz="0" w:space="0" w:color="auto"/>
            <w:bottom w:val="none" w:sz="0" w:space="0" w:color="auto"/>
            <w:right w:val="none" w:sz="0" w:space="0" w:color="auto"/>
          </w:divBdr>
          <w:divsChild>
            <w:div w:id="1946157511">
              <w:marLeft w:val="0"/>
              <w:marRight w:val="0"/>
              <w:marTop w:val="0"/>
              <w:marBottom w:val="0"/>
              <w:divBdr>
                <w:top w:val="none" w:sz="0" w:space="0" w:color="auto"/>
                <w:left w:val="none" w:sz="0" w:space="0" w:color="auto"/>
                <w:bottom w:val="none" w:sz="0" w:space="0" w:color="auto"/>
                <w:right w:val="none" w:sz="0" w:space="0" w:color="auto"/>
              </w:divBdr>
            </w:div>
          </w:divsChild>
        </w:div>
        <w:div w:id="1216624158">
          <w:marLeft w:val="0"/>
          <w:marRight w:val="0"/>
          <w:marTop w:val="0"/>
          <w:marBottom w:val="0"/>
          <w:divBdr>
            <w:top w:val="none" w:sz="0" w:space="0" w:color="auto"/>
            <w:left w:val="none" w:sz="0" w:space="0" w:color="auto"/>
            <w:bottom w:val="none" w:sz="0" w:space="0" w:color="auto"/>
            <w:right w:val="none" w:sz="0" w:space="0" w:color="auto"/>
          </w:divBdr>
          <w:divsChild>
            <w:div w:id="351299277">
              <w:marLeft w:val="0"/>
              <w:marRight w:val="0"/>
              <w:marTop w:val="0"/>
              <w:marBottom w:val="0"/>
              <w:divBdr>
                <w:top w:val="none" w:sz="0" w:space="0" w:color="auto"/>
                <w:left w:val="none" w:sz="0" w:space="0" w:color="auto"/>
                <w:bottom w:val="none" w:sz="0" w:space="0" w:color="auto"/>
                <w:right w:val="none" w:sz="0" w:space="0" w:color="auto"/>
              </w:divBdr>
            </w:div>
            <w:div w:id="1990476791">
              <w:marLeft w:val="0"/>
              <w:marRight w:val="0"/>
              <w:marTop w:val="0"/>
              <w:marBottom w:val="0"/>
              <w:divBdr>
                <w:top w:val="none" w:sz="0" w:space="0" w:color="auto"/>
                <w:left w:val="none" w:sz="0" w:space="0" w:color="auto"/>
                <w:bottom w:val="none" w:sz="0" w:space="0" w:color="auto"/>
                <w:right w:val="none" w:sz="0" w:space="0" w:color="auto"/>
              </w:divBdr>
            </w:div>
            <w:div w:id="1987280146">
              <w:marLeft w:val="0"/>
              <w:marRight w:val="0"/>
              <w:marTop w:val="0"/>
              <w:marBottom w:val="0"/>
              <w:divBdr>
                <w:top w:val="none" w:sz="0" w:space="0" w:color="auto"/>
                <w:left w:val="none" w:sz="0" w:space="0" w:color="auto"/>
                <w:bottom w:val="none" w:sz="0" w:space="0" w:color="auto"/>
                <w:right w:val="none" w:sz="0" w:space="0" w:color="auto"/>
              </w:divBdr>
            </w:div>
          </w:divsChild>
        </w:div>
        <w:div w:id="1183470076">
          <w:marLeft w:val="0"/>
          <w:marRight w:val="0"/>
          <w:marTop w:val="0"/>
          <w:marBottom w:val="0"/>
          <w:divBdr>
            <w:top w:val="none" w:sz="0" w:space="0" w:color="auto"/>
            <w:left w:val="none" w:sz="0" w:space="0" w:color="auto"/>
            <w:bottom w:val="none" w:sz="0" w:space="0" w:color="auto"/>
            <w:right w:val="none" w:sz="0" w:space="0" w:color="auto"/>
          </w:divBdr>
          <w:divsChild>
            <w:div w:id="990718306">
              <w:marLeft w:val="0"/>
              <w:marRight w:val="0"/>
              <w:marTop w:val="0"/>
              <w:marBottom w:val="0"/>
              <w:divBdr>
                <w:top w:val="none" w:sz="0" w:space="0" w:color="auto"/>
                <w:left w:val="none" w:sz="0" w:space="0" w:color="auto"/>
                <w:bottom w:val="none" w:sz="0" w:space="0" w:color="auto"/>
                <w:right w:val="none" w:sz="0" w:space="0" w:color="auto"/>
              </w:divBdr>
            </w:div>
            <w:div w:id="986468901">
              <w:marLeft w:val="0"/>
              <w:marRight w:val="0"/>
              <w:marTop w:val="0"/>
              <w:marBottom w:val="0"/>
              <w:divBdr>
                <w:top w:val="none" w:sz="0" w:space="0" w:color="auto"/>
                <w:left w:val="none" w:sz="0" w:space="0" w:color="auto"/>
                <w:bottom w:val="none" w:sz="0" w:space="0" w:color="auto"/>
                <w:right w:val="none" w:sz="0" w:space="0" w:color="auto"/>
              </w:divBdr>
            </w:div>
            <w:div w:id="2124765659">
              <w:marLeft w:val="0"/>
              <w:marRight w:val="0"/>
              <w:marTop w:val="0"/>
              <w:marBottom w:val="0"/>
              <w:divBdr>
                <w:top w:val="none" w:sz="0" w:space="0" w:color="auto"/>
                <w:left w:val="none" w:sz="0" w:space="0" w:color="auto"/>
                <w:bottom w:val="none" w:sz="0" w:space="0" w:color="auto"/>
                <w:right w:val="none" w:sz="0" w:space="0" w:color="auto"/>
              </w:divBdr>
            </w:div>
          </w:divsChild>
        </w:div>
        <w:div w:id="1558475109">
          <w:marLeft w:val="0"/>
          <w:marRight w:val="0"/>
          <w:marTop w:val="0"/>
          <w:marBottom w:val="0"/>
          <w:divBdr>
            <w:top w:val="none" w:sz="0" w:space="0" w:color="auto"/>
            <w:left w:val="none" w:sz="0" w:space="0" w:color="auto"/>
            <w:bottom w:val="none" w:sz="0" w:space="0" w:color="auto"/>
            <w:right w:val="none" w:sz="0" w:space="0" w:color="auto"/>
          </w:divBdr>
        </w:div>
        <w:div w:id="1752000355">
          <w:marLeft w:val="0"/>
          <w:marRight w:val="0"/>
          <w:marTop w:val="0"/>
          <w:marBottom w:val="0"/>
          <w:divBdr>
            <w:top w:val="none" w:sz="0" w:space="0" w:color="auto"/>
            <w:left w:val="none" w:sz="0" w:space="0" w:color="auto"/>
            <w:bottom w:val="none" w:sz="0" w:space="0" w:color="auto"/>
            <w:right w:val="none" w:sz="0" w:space="0" w:color="auto"/>
          </w:divBdr>
        </w:div>
        <w:div w:id="1815220896">
          <w:marLeft w:val="0"/>
          <w:marRight w:val="0"/>
          <w:marTop w:val="0"/>
          <w:marBottom w:val="0"/>
          <w:divBdr>
            <w:top w:val="none" w:sz="0" w:space="0" w:color="auto"/>
            <w:left w:val="none" w:sz="0" w:space="0" w:color="auto"/>
            <w:bottom w:val="none" w:sz="0" w:space="0" w:color="auto"/>
            <w:right w:val="none" w:sz="0" w:space="0" w:color="auto"/>
          </w:divBdr>
        </w:div>
      </w:divsChild>
    </w:div>
    <w:div w:id="376974056">
      <w:bodyDiv w:val="1"/>
      <w:marLeft w:val="0"/>
      <w:marRight w:val="0"/>
      <w:marTop w:val="0"/>
      <w:marBottom w:val="0"/>
      <w:divBdr>
        <w:top w:val="none" w:sz="0" w:space="0" w:color="auto"/>
        <w:left w:val="none" w:sz="0" w:space="0" w:color="auto"/>
        <w:bottom w:val="none" w:sz="0" w:space="0" w:color="auto"/>
        <w:right w:val="none" w:sz="0" w:space="0" w:color="auto"/>
      </w:divBdr>
    </w:div>
    <w:div w:id="487137953">
      <w:bodyDiv w:val="1"/>
      <w:marLeft w:val="0"/>
      <w:marRight w:val="0"/>
      <w:marTop w:val="0"/>
      <w:marBottom w:val="0"/>
      <w:divBdr>
        <w:top w:val="none" w:sz="0" w:space="0" w:color="auto"/>
        <w:left w:val="none" w:sz="0" w:space="0" w:color="auto"/>
        <w:bottom w:val="none" w:sz="0" w:space="0" w:color="auto"/>
        <w:right w:val="none" w:sz="0" w:space="0" w:color="auto"/>
      </w:divBdr>
    </w:div>
    <w:div w:id="523130087">
      <w:bodyDiv w:val="1"/>
      <w:marLeft w:val="0"/>
      <w:marRight w:val="0"/>
      <w:marTop w:val="0"/>
      <w:marBottom w:val="0"/>
      <w:divBdr>
        <w:top w:val="none" w:sz="0" w:space="0" w:color="auto"/>
        <w:left w:val="none" w:sz="0" w:space="0" w:color="auto"/>
        <w:bottom w:val="none" w:sz="0" w:space="0" w:color="auto"/>
        <w:right w:val="none" w:sz="0" w:space="0" w:color="auto"/>
      </w:divBdr>
      <w:divsChild>
        <w:div w:id="2037147509">
          <w:marLeft w:val="0"/>
          <w:marRight w:val="0"/>
          <w:marTop w:val="0"/>
          <w:marBottom w:val="0"/>
          <w:divBdr>
            <w:top w:val="none" w:sz="0" w:space="0" w:color="auto"/>
            <w:left w:val="none" w:sz="0" w:space="0" w:color="auto"/>
            <w:bottom w:val="none" w:sz="0" w:space="0" w:color="auto"/>
            <w:right w:val="none" w:sz="0" w:space="0" w:color="auto"/>
          </w:divBdr>
          <w:divsChild>
            <w:div w:id="1599408398">
              <w:marLeft w:val="0"/>
              <w:marRight w:val="0"/>
              <w:marTop w:val="0"/>
              <w:marBottom w:val="0"/>
              <w:divBdr>
                <w:top w:val="none" w:sz="0" w:space="0" w:color="auto"/>
                <w:left w:val="none" w:sz="0" w:space="0" w:color="auto"/>
                <w:bottom w:val="none" w:sz="0" w:space="0" w:color="auto"/>
                <w:right w:val="none" w:sz="0" w:space="0" w:color="auto"/>
              </w:divBdr>
            </w:div>
          </w:divsChild>
        </w:div>
        <w:div w:id="637342879">
          <w:marLeft w:val="0"/>
          <w:marRight w:val="0"/>
          <w:marTop w:val="0"/>
          <w:marBottom w:val="0"/>
          <w:divBdr>
            <w:top w:val="none" w:sz="0" w:space="0" w:color="auto"/>
            <w:left w:val="none" w:sz="0" w:space="0" w:color="auto"/>
            <w:bottom w:val="none" w:sz="0" w:space="0" w:color="auto"/>
            <w:right w:val="none" w:sz="0" w:space="0" w:color="auto"/>
          </w:divBdr>
          <w:divsChild>
            <w:div w:id="522743554">
              <w:marLeft w:val="0"/>
              <w:marRight w:val="0"/>
              <w:marTop w:val="0"/>
              <w:marBottom w:val="0"/>
              <w:divBdr>
                <w:top w:val="none" w:sz="0" w:space="0" w:color="auto"/>
                <w:left w:val="none" w:sz="0" w:space="0" w:color="auto"/>
                <w:bottom w:val="none" w:sz="0" w:space="0" w:color="auto"/>
                <w:right w:val="none" w:sz="0" w:space="0" w:color="auto"/>
              </w:divBdr>
            </w:div>
            <w:div w:id="1342466902">
              <w:marLeft w:val="0"/>
              <w:marRight w:val="0"/>
              <w:marTop w:val="0"/>
              <w:marBottom w:val="0"/>
              <w:divBdr>
                <w:top w:val="none" w:sz="0" w:space="0" w:color="auto"/>
                <w:left w:val="none" w:sz="0" w:space="0" w:color="auto"/>
                <w:bottom w:val="none" w:sz="0" w:space="0" w:color="auto"/>
                <w:right w:val="none" w:sz="0" w:space="0" w:color="auto"/>
              </w:divBdr>
            </w:div>
            <w:div w:id="1970210697">
              <w:marLeft w:val="0"/>
              <w:marRight w:val="0"/>
              <w:marTop w:val="0"/>
              <w:marBottom w:val="0"/>
              <w:divBdr>
                <w:top w:val="none" w:sz="0" w:space="0" w:color="auto"/>
                <w:left w:val="none" w:sz="0" w:space="0" w:color="auto"/>
                <w:bottom w:val="none" w:sz="0" w:space="0" w:color="auto"/>
                <w:right w:val="none" w:sz="0" w:space="0" w:color="auto"/>
              </w:divBdr>
            </w:div>
          </w:divsChild>
        </w:div>
        <w:div w:id="2108846789">
          <w:marLeft w:val="0"/>
          <w:marRight w:val="0"/>
          <w:marTop w:val="0"/>
          <w:marBottom w:val="0"/>
          <w:divBdr>
            <w:top w:val="none" w:sz="0" w:space="0" w:color="auto"/>
            <w:left w:val="none" w:sz="0" w:space="0" w:color="auto"/>
            <w:bottom w:val="none" w:sz="0" w:space="0" w:color="auto"/>
            <w:right w:val="none" w:sz="0" w:space="0" w:color="auto"/>
          </w:divBdr>
          <w:divsChild>
            <w:div w:id="436828695">
              <w:marLeft w:val="0"/>
              <w:marRight w:val="0"/>
              <w:marTop w:val="0"/>
              <w:marBottom w:val="0"/>
              <w:divBdr>
                <w:top w:val="none" w:sz="0" w:space="0" w:color="auto"/>
                <w:left w:val="none" w:sz="0" w:space="0" w:color="auto"/>
                <w:bottom w:val="none" w:sz="0" w:space="0" w:color="auto"/>
                <w:right w:val="none" w:sz="0" w:space="0" w:color="auto"/>
              </w:divBdr>
            </w:div>
            <w:div w:id="1575970413">
              <w:marLeft w:val="0"/>
              <w:marRight w:val="0"/>
              <w:marTop w:val="0"/>
              <w:marBottom w:val="0"/>
              <w:divBdr>
                <w:top w:val="none" w:sz="0" w:space="0" w:color="auto"/>
                <w:left w:val="none" w:sz="0" w:space="0" w:color="auto"/>
                <w:bottom w:val="none" w:sz="0" w:space="0" w:color="auto"/>
                <w:right w:val="none" w:sz="0" w:space="0" w:color="auto"/>
              </w:divBdr>
            </w:div>
            <w:div w:id="31424147">
              <w:marLeft w:val="0"/>
              <w:marRight w:val="0"/>
              <w:marTop w:val="0"/>
              <w:marBottom w:val="0"/>
              <w:divBdr>
                <w:top w:val="none" w:sz="0" w:space="0" w:color="auto"/>
                <w:left w:val="none" w:sz="0" w:space="0" w:color="auto"/>
                <w:bottom w:val="none" w:sz="0" w:space="0" w:color="auto"/>
                <w:right w:val="none" w:sz="0" w:space="0" w:color="auto"/>
              </w:divBdr>
            </w:div>
          </w:divsChild>
        </w:div>
        <w:div w:id="592319120">
          <w:marLeft w:val="0"/>
          <w:marRight w:val="0"/>
          <w:marTop w:val="0"/>
          <w:marBottom w:val="0"/>
          <w:divBdr>
            <w:top w:val="none" w:sz="0" w:space="0" w:color="auto"/>
            <w:left w:val="none" w:sz="0" w:space="0" w:color="auto"/>
            <w:bottom w:val="none" w:sz="0" w:space="0" w:color="auto"/>
            <w:right w:val="none" w:sz="0" w:space="0" w:color="auto"/>
          </w:divBdr>
        </w:div>
        <w:div w:id="701781737">
          <w:marLeft w:val="0"/>
          <w:marRight w:val="0"/>
          <w:marTop w:val="0"/>
          <w:marBottom w:val="0"/>
          <w:divBdr>
            <w:top w:val="none" w:sz="0" w:space="0" w:color="auto"/>
            <w:left w:val="none" w:sz="0" w:space="0" w:color="auto"/>
            <w:bottom w:val="none" w:sz="0" w:space="0" w:color="auto"/>
            <w:right w:val="none" w:sz="0" w:space="0" w:color="auto"/>
          </w:divBdr>
        </w:div>
        <w:div w:id="1276253516">
          <w:marLeft w:val="0"/>
          <w:marRight w:val="0"/>
          <w:marTop w:val="0"/>
          <w:marBottom w:val="0"/>
          <w:divBdr>
            <w:top w:val="none" w:sz="0" w:space="0" w:color="auto"/>
            <w:left w:val="none" w:sz="0" w:space="0" w:color="auto"/>
            <w:bottom w:val="none" w:sz="0" w:space="0" w:color="auto"/>
            <w:right w:val="none" w:sz="0" w:space="0" w:color="auto"/>
          </w:divBdr>
        </w:div>
      </w:divsChild>
    </w:div>
    <w:div w:id="636448421">
      <w:bodyDiv w:val="1"/>
      <w:marLeft w:val="0"/>
      <w:marRight w:val="0"/>
      <w:marTop w:val="0"/>
      <w:marBottom w:val="0"/>
      <w:divBdr>
        <w:top w:val="none" w:sz="0" w:space="0" w:color="auto"/>
        <w:left w:val="none" w:sz="0" w:space="0" w:color="auto"/>
        <w:bottom w:val="none" w:sz="0" w:space="0" w:color="auto"/>
        <w:right w:val="none" w:sz="0" w:space="0" w:color="auto"/>
      </w:divBdr>
    </w:div>
    <w:div w:id="889342426">
      <w:bodyDiv w:val="1"/>
      <w:marLeft w:val="0"/>
      <w:marRight w:val="0"/>
      <w:marTop w:val="0"/>
      <w:marBottom w:val="0"/>
      <w:divBdr>
        <w:top w:val="none" w:sz="0" w:space="0" w:color="auto"/>
        <w:left w:val="none" w:sz="0" w:space="0" w:color="auto"/>
        <w:bottom w:val="none" w:sz="0" w:space="0" w:color="auto"/>
        <w:right w:val="none" w:sz="0" w:space="0" w:color="auto"/>
      </w:divBdr>
      <w:divsChild>
        <w:div w:id="1686202393">
          <w:marLeft w:val="0"/>
          <w:marRight w:val="0"/>
          <w:marTop w:val="0"/>
          <w:marBottom w:val="0"/>
          <w:divBdr>
            <w:top w:val="none" w:sz="0" w:space="0" w:color="auto"/>
            <w:left w:val="none" w:sz="0" w:space="0" w:color="auto"/>
            <w:bottom w:val="none" w:sz="0" w:space="0" w:color="auto"/>
            <w:right w:val="none" w:sz="0" w:space="0" w:color="auto"/>
          </w:divBdr>
        </w:div>
        <w:div w:id="660700813">
          <w:marLeft w:val="0"/>
          <w:marRight w:val="0"/>
          <w:marTop w:val="0"/>
          <w:marBottom w:val="0"/>
          <w:divBdr>
            <w:top w:val="none" w:sz="0" w:space="0" w:color="auto"/>
            <w:left w:val="none" w:sz="0" w:space="0" w:color="auto"/>
            <w:bottom w:val="none" w:sz="0" w:space="0" w:color="auto"/>
            <w:right w:val="none" w:sz="0" w:space="0" w:color="auto"/>
          </w:divBdr>
        </w:div>
        <w:div w:id="584997248">
          <w:marLeft w:val="0"/>
          <w:marRight w:val="0"/>
          <w:marTop w:val="0"/>
          <w:marBottom w:val="0"/>
          <w:divBdr>
            <w:top w:val="none" w:sz="0" w:space="0" w:color="auto"/>
            <w:left w:val="none" w:sz="0" w:space="0" w:color="auto"/>
            <w:bottom w:val="none" w:sz="0" w:space="0" w:color="auto"/>
            <w:right w:val="none" w:sz="0" w:space="0" w:color="auto"/>
          </w:divBdr>
        </w:div>
        <w:div w:id="900410349">
          <w:marLeft w:val="0"/>
          <w:marRight w:val="0"/>
          <w:marTop w:val="0"/>
          <w:marBottom w:val="0"/>
          <w:divBdr>
            <w:top w:val="none" w:sz="0" w:space="0" w:color="auto"/>
            <w:left w:val="none" w:sz="0" w:space="0" w:color="auto"/>
            <w:bottom w:val="none" w:sz="0" w:space="0" w:color="auto"/>
            <w:right w:val="none" w:sz="0" w:space="0" w:color="auto"/>
          </w:divBdr>
        </w:div>
        <w:div w:id="816841961">
          <w:marLeft w:val="0"/>
          <w:marRight w:val="0"/>
          <w:marTop w:val="0"/>
          <w:marBottom w:val="0"/>
          <w:divBdr>
            <w:top w:val="none" w:sz="0" w:space="0" w:color="auto"/>
            <w:left w:val="none" w:sz="0" w:space="0" w:color="auto"/>
            <w:bottom w:val="none" w:sz="0" w:space="0" w:color="auto"/>
            <w:right w:val="none" w:sz="0" w:space="0" w:color="auto"/>
          </w:divBdr>
        </w:div>
        <w:div w:id="1785224413">
          <w:marLeft w:val="0"/>
          <w:marRight w:val="0"/>
          <w:marTop w:val="0"/>
          <w:marBottom w:val="0"/>
          <w:divBdr>
            <w:top w:val="none" w:sz="0" w:space="0" w:color="auto"/>
            <w:left w:val="none" w:sz="0" w:space="0" w:color="auto"/>
            <w:bottom w:val="none" w:sz="0" w:space="0" w:color="auto"/>
            <w:right w:val="none" w:sz="0" w:space="0" w:color="auto"/>
          </w:divBdr>
        </w:div>
        <w:div w:id="878972323">
          <w:marLeft w:val="0"/>
          <w:marRight w:val="0"/>
          <w:marTop w:val="0"/>
          <w:marBottom w:val="0"/>
          <w:divBdr>
            <w:top w:val="none" w:sz="0" w:space="0" w:color="auto"/>
            <w:left w:val="none" w:sz="0" w:space="0" w:color="auto"/>
            <w:bottom w:val="none" w:sz="0" w:space="0" w:color="auto"/>
            <w:right w:val="none" w:sz="0" w:space="0" w:color="auto"/>
          </w:divBdr>
        </w:div>
      </w:divsChild>
    </w:div>
    <w:div w:id="921525356">
      <w:bodyDiv w:val="1"/>
      <w:marLeft w:val="0"/>
      <w:marRight w:val="0"/>
      <w:marTop w:val="0"/>
      <w:marBottom w:val="0"/>
      <w:divBdr>
        <w:top w:val="none" w:sz="0" w:space="0" w:color="auto"/>
        <w:left w:val="none" w:sz="0" w:space="0" w:color="auto"/>
        <w:bottom w:val="none" w:sz="0" w:space="0" w:color="auto"/>
        <w:right w:val="none" w:sz="0" w:space="0" w:color="auto"/>
      </w:divBdr>
    </w:div>
    <w:div w:id="936864738">
      <w:bodyDiv w:val="1"/>
      <w:marLeft w:val="0"/>
      <w:marRight w:val="0"/>
      <w:marTop w:val="0"/>
      <w:marBottom w:val="0"/>
      <w:divBdr>
        <w:top w:val="none" w:sz="0" w:space="0" w:color="auto"/>
        <w:left w:val="none" w:sz="0" w:space="0" w:color="auto"/>
        <w:bottom w:val="none" w:sz="0" w:space="0" w:color="auto"/>
        <w:right w:val="none" w:sz="0" w:space="0" w:color="auto"/>
      </w:divBdr>
      <w:divsChild>
        <w:div w:id="1000623355">
          <w:marLeft w:val="0"/>
          <w:marRight w:val="0"/>
          <w:marTop w:val="0"/>
          <w:marBottom w:val="0"/>
          <w:divBdr>
            <w:top w:val="none" w:sz="0" w:space="0" w:color="auto"/>
            <w:left w:val="none" w:sz="0" w:space="0" w:color="auto"/>
            <w:bottom w:val="none" w:sz="0" w:space="0" w:color="auto"/>
            <w:right w:val="none" w:sz="0" w:space="0" w:color="auto"/>
          </w:divBdr>
        </w:div>
        <w:div w:id="1738356559">
          <w:marLeft w:val="0"/>
          <w:marRight w:val="0"/>
          <w:marTop w:val="0"/>
          <w:marBottom w:val="0"/>
          <w:divBdr>
            <w:top w:val="none" w:sz="0" w:space="0" w:color="auto"/>
            <w:left w:val="none" w:sz="0" w:space="0" w:color="auto"/>
            <w:bottom w:val="none" w:sz="0" w:space="0" w:color="auto"/>
            <w:right w:val="none" w:sz="0" w:space="0" w:color="auto"/>
          </w:divBdr>
        </w:div>
        <w:div w:id="1856990182">
          <w:marLeft w:val="0"/>
          <w:marRight w:val="0"/>
          <w:marTop w:val="0"/>
          <w:marBottom w:val="0"/>
          <w:divBdr>
            <w:top w:val="none" w:sz="0" w:space="0" w:color="auto"/>
            <w:left w:val="none" w:sz="0" w:space="0" w:color="auto"/>
            <w:bottom w:val="none" w:sz="0" w:space="0" w:color="auto"/>
            <w:right w:val="none" w:sz="0" w:space="0" w:color="auto"/>
          </w:divBdr>
        </w:div>
        <w:div w:id="79134558">
          <w:marLeft w:val="0"/>
          <w:marRight w:val="0"/>
          <w:marTop w:val="0"/>
          <w:marBottom w:val="0"/>
          <w:divBdr>
            <w:top w:val="none" w:sz="0" w:space="0" w:color="auto"/>
            <w:left w:val="none" w:sz="0" w:space="0" w:color="auto"/>
            <w:bottom w:val="none" w:sz="0" w:space="0" w:color="auto"/>
            <w:right w:val="none" w:sz="0" w:space="0" w:color="auto"/>
          </w:divBdr>
        </w:div>
        <w:div w:id="1651667591">
          <w:marLeft w:val="0"/>
          <w:marRight w:val="0"/>
          <w:marTop w:val="0"/>
          <w:marBottom w:val="0"/>
          <w:divBdr>
            <w:top w:val="none" w:sz="0" w:space="0" w:color="auto"/>
            <w:left w:val="none" w:sz="0" w:space="0" w:color="auto"/>
            <w:bottom w:val="none" w:sz="0" w:space="0" w:color="auto"/>
            <w:right w:val="none" w:sz="0" w:space="0" w:color="auto"/>
          </w:divBdr>
        </w:div>
        <w:div w:id="1545750381">
          <w:marLeft w:val="0"/>
          <w:marRight w:val="0"/>
          <w:marTop w:val="0"/>
          <w:marBottom w:val="0"/>
          <w:divBdr>
            <w:top w:val="none" w:sz="0" w:space="0" w:color="auto"/>
            <w:left w:val="none" w:sz="0" w:space="0" w:color="auto"/>
            <w:bottom w:val="none" w:sz="0" w:space="0" w:color="auto"/>
            <w:right w:val="none" w:sz="0" w:space="0" w:color="auto"/>
          </w:divBdr>
        </w:div>
        <w:div w:id="835607133">
          <w:marLeft w:val="0"/>
          <w:marRight w:val="0"/>
          <w:marTop w:val="0"/>
          <w:marBottom w:val="0"/>
          <w:divBdr>
            <w:top w:val="none" w:sz="0" w:space="0" w:color="auto"/>
            <w:left w:val="none" w:sz="0" w:space="0" w:color="auto"/>
            <w:bottom w:val="none" w:sz="0" w:space="0" w:color="auto"/>
            <w:right w:val="none" w:sz="0" w:space="0" w:color="auto"/>
          </w:divBdr>
        </w:div>
      </w:divsChild>
    </w:div>
    <w:div w:id="973292723">
      <w:bodyDiv w:val="1"/>
      <w:marLeft w:val="0"/>
      <w:marRight w:val="0"/>
      <w:marTop w:val="0"/>
      <w:marBottom w:val="0"/>
      <w:divBdr>
        <w:top w:val="none" w:sz="0" w:space="0" w:color="auto"/>
        <w:left w:val="none" w:sz="0" w:space="0" w:color="auto"/>
        <w:bottom w:val="none" w:sz="0" w:space="0" w:color="auto"/>
        <w:right w:val="none" w:sz="0" w:space="0" w:color="auto"/>
      </w:divBdr>
      <w:divsChild>
        <w:div w:id="1551725549">
          <w:marLeft w:val="0"/>
          <w:marRight w:val="0"/>
          <w:marTop w:val="0"/>
          <w:marBottom w:val="0"/>
          <w:divBdr>
            <w:top w:val="none" w:sz="0" w:space="0" w:color="auto"/>
            <w:left w:val="none" w:sz="0" w:space="0" w:color="auto"/>
            <w:bottom w:val="none" w:sz="0" w:space="0" w:color="auto"/>
            <w:right w:val="none" w:sz="0" w:space="0" w:color="auto"/>
          </w:divBdr>
        </w:div>
        <w:div w:id="1760101810">
          <w:marLeft w:val="0"/>
          <w:marRight w:val="0"/>
          <w:marTop w:val="0"/>
          <w:marBottom w:val="0"/>
          <w:divBdr>
            <w:top w:val="none" w:sz="0" w:space="0" w:color="auto"/>
            <w:left w:val="none" w:sz="0" w:space="0" w:color="auto"/>
            <w:bottom w:val="none" w:sz="0" w:space="0" w:color="auto"/>
            <w:right w:val="none" w:sz="0" w:space="0" w:color="auto"/>
          </w:divBdr>
        </w:div>
        <w:div w:id="214969686">
          <w:marLeft w:val="0"/>
          <w:marRight w:val="0"/>
          <w:marTop w:val="0"/>
          <w:marBottom w:val="0"/>
          <w:divBdr>
            <w:top w:val="none" w:sz="0" w:space="0" w:color="auto"/>
            <w:left w:val="none" w:sz="0" w:space="0" w:color="auto"/>
            <w:bottom w:val="none" w:sz="0" w:space="0" w:color="auto"/>
            <w:right w:val="none" w:sz="0" w:space="0" w:color="auto"/>
          </w:divBdr>
        </w:div>
        <w:div w:id="1376462722">
          <w:marLeft w:val="0"/>
          <w:marRight w:val="0"/>
          <w:marTop w:val="0"/>
          <w:marBottom w:val="0"/>
          <w:divBdr>
            <w:top w:val="none" w:sz="0" w:space="0" w:color="auto"/>
            <w:left w:val="none" w:sz="0" w:space="0" w:color="auto"/>
            <w:bottom w:val="none" w:sz="0" w:space="0" w:color="auto"/>
            <w:right w:val="none" w:sz="0" w:space="0" w:color="auto"/>
          </w:divBdr>
        </w:div>
        <w:div w:id="738090061">
          <w:marLeft w:val="0"/>
          <w:marRight w:val="0"/>
          <w:marTop w:val="0"/>
          <w:marBottom w:val="0"/>
          <w:divBdr>
            <w:top w:val="none" w:sz="0" w:space="0" w:color="auto"/>
            <w:left w:val="none" w:sz="0" w:space="0" w:color="auto"/>
            <w:bottom w:val="none" w:sz="0" w:space="0" w:color="auto"/>
            <w:right w:val="none" w:sz="0" w:space="0" w:color="auto"/>
          </w:divBdr>
        </w:div>
        <w:div w:id="206769982">
          <w:marLeft w:val="0"/>
          <w:marRight w:val="0"/>
          <w:marTop w:val="0"/>
          <w:marBottom w:val="0"/>
          <w:divBdr>
            <w:top w:val="none" w:sz="0" w:space="0" w:color="auto"/>
            <w:left w:val="none" w:sz="0" w:space="0" w:color="auto"/>
            <w:bottom w:val="none" w:sz="0" w:space="0" w:color="auto"/>
            <w:right w:val="none" w:sz="0" w:space="0" w:color="auto"/>
          </w:divBdr>
        </w:div>
        <w:div w:id="1523858101">
          <w:marLeft w:val="0"/>
          <w:marRight w:val="0"/>
          <w:marTop w:val="0"/>
          <w:marBottom w:val="0"/>
          <w:divBdr>
            <w:top w:val="none" w:sz="0" w:space="0" w:color="auto"/>
            <w:left w:val="none" w:sz="0" w:space="0" w:color="auto"/>
            <w:bottom w:val="none" w:sz="0" w:space="0" w:color="auto"/>
            <w:right w:val="none" w:sz="0" w:space="0" w:color="auto"/>
          </w:divBdr>
        </w:div>
      </w:divsChild>
    </w:div>
    <w:div w:id="977298262">
      <w:bodyDiv w:val="1"/>
      <w:marLeft w:val="0"/>
      <w:marRight w:val="0"/>
      <w:marTop w:val="0"/>
      <w:marBottom w:val="0"/>
      <w:divBdr>
        <w:top w:val="none" w:sz="0" w:space="0" w:color="auto"/>
        <w:left w:val="none" w:sz="0" w:space="0" w:color="auto"/>
        <w:bottom w:val="none" w:sz="0" w:space="0" w:color="auto"/>
        <w:right w:val="none" w:sz="0" w:space="0" w:color="auto"/>
      </w:divBdr>
      <w:divsChild>
        <w:div w:id="655450003">
          <w:marLeft w:val="0"/>
          <w:marRight w:val="0"/>
          <w:marTop w:val="0"/>
          <w:marBottom w:val="0"/>
          <w:divBdr>
            <w:top w:val="none" w:sz="0" w:space="0" w:color="auto"/>
            <w:left w:val="none" w:sz="0" w:space="0" w:color="auto"/>
            <w:bottom w:val="none" w:sz="0" w:space="0" w:color="auto"/>
            <w:right w:val="none" w:sz="0" w:space="0" w:color="auto"/>
          </w:divBdr>
        </w:div>
        <w:div w:id="1062564713">
          <w:marLeft w:val="0"/>
          <w:marRight w:val="0"/>
          <w:marTop w:val="0"/>
          <w:marBottom w:val="0"/>
          <w:divBdr>
            <w:top w:val="none" w:sz="0" w:space="0" w:color="auto"/>
            <w:left w:val="none" w:sz="0" w:space="0" w:color="auto"/>
            <w:bottom w:val="none" w:sz="0" w:space="0" w:color="auto"/>
            <w:right w:val="none" w:sz="0" w:space="0" w:color="auto"/>
          </w:divBdr>
        </w:div>
        <w:div w:id="974944695">
          <w:marLeft w:val="0"/>
          <w:marRight w:val="0"/>
          <w:marTop w:val="0"/>
          <w:marBottom w:val="0"/>
          <w:divBdr>
            <w:top w:val="none" w:sz="0" w:space="0" w:color="auto"/>
            <w:left w:val="none" w:sz="0" w:space="0" w:color="auto"/>
            <w:bottom w:val="none" w:sz="0" w:space="0" w:color="auto"/>
            <w:right w:val="none" w:sz="0" w:space="0" w:color="auto"/>
          </w:divBdr>
        </w:div>
        <w:div w:id="317616696">
          <w:marLeft w:val="0"/>
          <w:marRight w:val="0"/>
          <w:marTop w:val="0"/>
          <w:marBottom w:val="0"/>
          <w:divBdr>
            <w:top w:val="none" w:sz="0" w:space="0" w:color="auto"/>
            <w:left w:val="none" w:sz="0" w:space="0" w:color="auto"/>
            <w:bottom w:val="none" w:sz="0" w:space="0" w:color="auto"/>
            <w:right w:val="none" w:sz="0" w:space="0" w:color="auto"/>
          </w:divBdr>
        </w:div>
        <w:div w:id="148325368">
          <w:marLeft w:val="0"/>
          <w:marRight w:val="0"/>
          <w:marTop w:val="0"/>
          <w:marBottom w:val="0"/>
          <w:divBdr>
            <w:top w:val="none" w:sz="0" w:space="0" w:color="auto"/>
            <w:left w:val="none" w:sz="0" w:space="0" w:color="auto"/>
            <w:bottom w:val="none" w:sz="0" w:space="0" w:color="auto"/>
            <w:right w:val="none" w:sz="0" w:space="0" w:color="auto"/>
          </w:divBdr>
        </w:div>
        <w:div w:id="523442879">
          <w:marLeft w:val="0"/>
          <w:marRight w:val="0"/>
          <w:marTop w:val="0"/>
          <w:marBottom w:val="0"/>
          <w:divBdr>
            <w:top w:val="none" w:sz="0" w:space="0" w:color="auto"/>
            <w:left w:val="none" w:sz="0" w:space="0" w:color="auto"/>
            <w:bottom w:val="none" w:sz="0" w:space="0" w:color="auto"/>
            <w:right w:val="none" w:sz="0" w:space="0" w:color="auto"/>
          </w:divBdr>
        </w:div>
        <w:div w:id="373698184">
          <w:marLeft w:val="0"/>
          <w:marRight w:val="0"/>
          <w:marTop w:val="0"/>
          <w:marBottom w:val="0"/>
          <w:divBdr>
            <w:top w:val="none" w:sz="0" w:space="0" w:color="auto"/>
            <w:left w:val="none" w:sz="0" w:space="0" w:color="auto"/>
            <w:bottom w:val="none" w:sz="0" w:space="0" w:color="auto"/>
            <w:right w:val="none" w:sz="0" w:space="0" w:color="auto"/>
          </w:divBdr>
        </w:div>
      </w:divsChild>
    </w:div>
    <w:div w:id="998115881">
      <w:bodyDiv w:val="1"/>
      <w:marLeft w:val="0"/>
      <w:marRight w:val="0"/>
      <w:marTop w:val="0"/>
      <w:marBottom w:val="0"/>
      <w:divBdr>
        <w:top w:val="none" w:sz="0" w:space="0" w:color="auto"/>
        <w:left w:val="none" w:sz="0" w:space="0" w:color="auto"/>
        <w:bottom w:val="none" w:sz="0" w:space="0" w:color="auto"/>
        <w:right w:val="none" w:sz="0" w:space="0" w:color="auto"/>
      </w:divBdr>
    </w:div>
    <w:div w:id="1004355264">
      <w:bodyDiv w:val="1"/>
      <w:marLeft w:val="0"/>
      <w:marRight w:val="0"/>
      <w:marTop w:val="0"/>
      <w:marBottom w:val="0"/>
      <w:divBdr>
        <w:top w:val="none" w:sz="0" w:space="0" w:color="auto"/>
        <w:left w:val="none" w:sz="0" w:space="0" w:color="auto"/>
        <w:bottom w:val="none" w:sz="0" w:space="0" w:color="auto"/>
        <w:right w:val="none" w:sz="0" w:space="0" w:color="auto"/>
      </w:divBdr>
      <w:divsChild>
        <w:div w:id="1586454281">
          <w:marLeft w:val="0"/>
          <w:marRight w:val="0"/>
          <w:marTop w:val="0"/>
          <w:marBottom w:val="0"/>
          <w:divBdr>
            <w:top w:val="none" w:sz="0" w:space="0" w:color="auto"/>
            <w:left w:val="none" w:sz="0" w:space="0" w:color="auto"/>
            <w:bottom w:val="none" w:sz="0" w:space="0" w:color="auto"/>
            <w:right w:val="none" w:sz="0" w:space="0" w:color="auto"/>
          </w:divBdr>
          <w:divsChild>
            <w:div w:id="1397895667">
              <w:marLeft w:val="0"/>
              <w:marRight w:val="0"/>
              <w:marTop w:val="0"/>
              <w:marBottom w:val="0"/>
              <w:divBdr>
                <w:top w:val="none" w:sz="0" w:space="0" w:color="auto"/>
                <w:left w:val="none" w:sz="0" w:space="0" w:color="auto"/>
                <w:bottom w:val="none" w:sz="0" w:space="0" w:color="auto"/>
                <w:right w:val="none" w:sz="0" w:space="0" w:color="auto"/>
              </w:divBdr>
            </w:div>
          </w:divsChild>
        </w:div>
        <w:div w:id="1748729228">
          <w:marLeft w:val="0"/>
          <w:marRight w:val="0"/>
          <w:marTop w:val="0"/>
          <w:marBottom w:val="0"/>
          <w:divBdr>
            <w:top w:val="none" w:sz="0" w:space="0" w:color="auto"/>
            <w:left w:val="none" w:sz="0" w:space="0" w:color="auto"/>
            <w:bottom w:val="none" w:sz="0" w:space="0" w:color="auto"/>
            <w:right w:val="none" w:sz="0" w:space="0" w:color="auto"/>
          </w:divBdr>
          <w:divsChild>
            <w:div w:id="1992370976">
              <w:marLeft w:val="0"/>
              <w:marRight w:val="0"/>
              <w:marTop w:val="0"/>
              <w:marBottom w:val="0"/>
              <w:divBdr>
                <w:top w:val="none" w:sz="0" w:space="0" w:color="auto"/>
                <w:left w:val="none" w:sz="0" w:space="0" w:color="auto"/>
                <w:bottom w:val="none" w:sz="0" w:space="0" w:color="auto"/>
                <w:right w:val="none" w:sz="0" w:space="0" w:color="auto"/>
              </w:divBdr>
            </w:div>
            <w:div w:id="165750051">
              <w:marLeft w:val="0"/>
              <w:marRight w:val="0"/>
              <w:marTop w:val="0"/>
              <w:marBottom w:val="0"/>
              <w:divBdr>
                <w:top w:val="none" w:sz="0" w:space="0" w:color="auto"/>
                <w:left w:val="none" w:sz="0" w:space="0" w:color="auto"/>
                <w:bottom w:val="none" w:sz="0" w:space="0" w:color="auto"/>
                <w:right w:val="none" w:sz="0" w:space="0" w:color="auto"/>
              </w:divBdr>
            </w:div>
            <w:div w:id="1152254055">
              <w:marLeft w:val="0"/>
              <w:marRight w:val="0"/>
              <w:marTop w:val="0"/>
              <w:marBottom w:val="0"/>
              <w:divBdr>
                <w:top w:val="none" w:sz="0" w:space="0" w:color="auto"/>
                <w:left w:val="none" w:sz="0" w:space="0" w:color="auto"/>
                <w:bottom w:val="none" w:sz="0" w:space="0" w:color="auto"/>
                <w:right w:val="none" w:sz="0" w:space="0" w:color="auto"/>
              </w:divBdr>
            </w:div>
          </w:divsChild>
        </w:div>
        <w:div w:id="2054423949">
          <w:marLeft w:val="0"/>
          <w:marRight w:val="0"/>
          <w:marTop w:val="0"/>
          <w:marBottom w:val="0"/>
          <w:divBdr>
            <w:top w:val="none" w:sz="0" w:space="0" w:color="auto"/>
            <w:left w:val="none" w:sz="0" w:space="0" w:color="auto"/>
            <w:bottom w:val="none" w:sz="0" w:space="0" w:color="auto"/>
            <w:right w:val="none" w:sz="0" w:space="0" w:color="auto"/>
          </w:divBdr>
          <w:divsChild>
            <w:div w:id="267851551">
              <w:marLeft w:val="0"/>
              <w:marRight w:val="0"/>
              <w:marTop w:val="0"/>
              <w:marBottom w:val="0"/>
              <w:divBdr>
                <w:top w:val="none" w:sz="0" w:space="0" w:color="auto"/>
                <w:left w:val="none" w:sz="0" w:space="0" w:color="auto"/>
                <w:bottom w:val="none" w:sz="0" w:space="0" w:color="auto"/>
                <w:right w:val="none" w:sz="0" w:space="0" w:color="auto"/>
              </w:divBdr>
            </w:div>
            <w:div w:id="411439133">
              <w:marLeft w:val="0"/>
              <w:marRight w:val="0"/>
              <w:marTop w:val="0"/>
              <w:marBottom w:val="0"/>
              <w:divBdr>
                <w:top w:val="none" w:sz="0" w:space="0" w:color="auto"/>
                <w:left w:val="none" w:sz="0" w:space="0" w:color="auto"/>
                <w:bottom w:val="none" w:sz="0" w:space="0" w:color="auto"/>
                <w:right w:val="none" w:sz="0" w:space="0" w:color="auto"/>
              </w:divBdr>
            </w:div>
            <w:div w:id="832524830">
              <w:marLeft w:val="0"/>
              <w:marRight w:val="0"/>
              <w:marTop w:val="0"/>
              <w:marBottom w:val="0"/>
              <w:divBdr>
                <w:top w:val="none" w:sz="0" w:space="0" w:color="auto"/>
                <w:left w:val="none" w:sz="0" w:space="0" w:color="auto"/>
                <w:bottom w:val="none" w:sz="0" w:space="0" w:color="auto"/>
                <w:right w:val="none" w:sz="0" w:space="0" w:color="auto"/>
              </w:divBdr>
            </w:div>
          </w:divsChild>
        </w:div>
        <w:div w:id="2101871414">
          <w:marLeft w:val="0"/>
          <w:marRight w:val="0"/>
          <w:marTop w:val="0"/>
          <w:marBottom w:val="0"/>
          <w:divBdr>
            <w:top w:val="none" w:sz="0" w:space="0" w:color="auto"/>
            <w:left w:val="none" w:sz="0" w:space="0" w:color="auto"/>
            <w:bottom w:val="none" w:sz="0" w:space="0" w:color="auto"/>
            <w:right w:val="none" w:sz="0" w:space="0" w:color="auto"/>
          </w:divBdr>
        </w:div>
        <w:div w:id="1205674652">
          <w:marLeft w:val="0"/>
          <w:marRight w:val="0"/>
          <w:marTop w:val="0"/>
          <w:marBottom w:val="0"/>
          <w:divBdr>
            <w:top w:val="none" w:sz="0" w:space="0" w:color="auto"/>
            <w:left w:val="none" w:sz="0" w:space="0" w:color="auto"/>
            <w:bottom w:val="none" w:sz="0" w:space="0" w:color="auto"/>
            <w:right w:val="none" w:sz="0" w:space="0" w:color="auto"/>
          </w:divBdr>
        </w:div>
        <w:div w:id="1219785741">
          <w:marLeft w:val="0"/>
          <w:marRight w:val="0"/>
          <w:marTop w:val="0"/>
          <w:marBottom w:val="0"/>
          <w:divBdr>
            <w:top w:val="none" w:sz="0" w:space="0" w:color="auto"/>
            <w:left w:val="none" w:sz="0" w:space="0" w:color="auto"/>
            <w:bottom w:val="none" w:sz="0" w:space="0" w:color="auto"/>
            <w:right w:val="none" w:sz="0" w:space="0" w:color="auto"/>
          </w:divBdr>
        </w:div>
        <w:div w:id="981934004">
          <w:marLeft w:val="0"/>
          <w:marRight w:val="0"/>
          <w:marTop w:val="0"/>
          <w:marBottom w:val="0"/>
          <w:divBdr>
            <w:top w:val="none" w:sz="0" w:space="0" w:color="auto"/>
            <w:left w:val="none" w:sz="0" w:space="0" w:color="auto"/>
            <w:bottom w:val="none" w:sz="0" w:space="0" w:color="auto"/>
            <w:right w:val="none" w:sz="0" w:space="0" w:color="auto"/>
          </w:divBdr>
        </w:div>
      </w:divsChild>
    </w:div>
    <w:div w:id="1072970422">
      <w:bodyDiv w:val="1"/>
      <w:marLeft w:val="0"/>
      <w:marRight w:val="0"/>
      <w:marTop w:val="0"/>
      <w:marBottom w:val="0"/>
      <w:divBdr>
        <w:top w:val="none" w:sz="0" w:space="0" w:color="auto"/>
        <w:left w:val="none" w:sz="0" w:space="0" w:color="auto"/>
        <w:bottom w:val="none" w:sz="0" w:space="0" w:color="auto"/>
        <w:right w:val="none" w:sz="0" w:space="0" w:color="auto"/>
      </w:divBdr>
    </w:div>
    <w:div w:id="1102260210">
      <w:bodyDiv w:val="1"/>
      <w:marLeft w:val="0"/>
      <w:marRight w:val="0"/>
      <w:marTop w:val="0"/>
      <w:marBottom w:val="0"/>
      <w:divBdr>
        <w:top w:val="none" w:sz="0" w:space="0" w:color="auto"/>
        <w:left w:val="none" w:sz="0" w:space="0" w:color="auto"/>
        <w:bottom w:val="none" w:sz="0" w:space="0" w:color="auto"/>
        <w:right w:val="none" w:sz="0" w:space="0" w:color="auto"/>
      </w:divBdr>
      <w:divsChild>
        <w:div w:id="1029600527">
          <w:marLeft w:val="0"/>
          <w:marRight w:val="0"/>
          <w:marTop w:val="0"/>
          <w:marBottom w:val="0"/>
          <w:divBdr>
            <w:top w:val="none" w:sz="0" w:space="0" w:color="auto"/>
            <w:left w:val="none" w:sz="0" w:space="0" w:color="auto"/>
            <w:bottom w:val="none" w:sz="0" w:space="0" w:color="auto"/>
            <w:right w:val="none" w:sz="0" w:space="0" w:color="auto"/>
          </w:divBdr>
          <w:divsChild>
            <w:div w:id="600139268">
              <w:marLeft w:val="0"/>
              <w:marRight w:val="0"/>
              <w:marTop w:val="0"/>
              <w:marBottom w:val="0"/>
              <w:divBdr>
                <w:top w:val="none" w:sz="0" w:space="0" w:color="auto"/>
                <w:left w:val="none" w:sz="0" w:space="0" w:color="auto"/>
                <w:bottom w:val="none" w:sz="0" w:space="0" w:color="auto"/>
                <w:right w:val="none" w:sz="0" w:space="0" w:color="auto"/>
              </w:divBdr>
            </w:div>
          </w:divsChild>
        </w:div>
        <w:div w:id="1211577894">
          <w:marLeft w:val="0"/>
          <w:marRight w:val="0"/>
          <w:marTop w:val="0"/>
          <w:marBottom w:val="0"/>
          <w:divBdr>
            <w:top w:val="none" w:sz="0" w:space="0" w:color="auto"/>
            <w:left w:val="none" w:sz="0" w:space="0" w:color="auto"/>
            <w:bottom w:val="none" w:sz="0" w:space="0" w:color="auto"/>
            <w:right w:val="none" w:sz="0" w:space="0" w:color="auto"/>
          </w:divBdr>
          <w:divsChild>
            <w:div w:id="1591888628">
              <w:marLeft w:val="0"/>
              <w:marRight w:val="0"/>
              <w:marTop w:val="0"/>
              <w:marBottom w:val="0"/>
              <w:divBdr>
                <w:top w:val="none" w:sz="0" w:space="0" w:color="auto"/>
                <w:left w:val="none" w:sz="0" w:space="0" w:color="auto"/>
                <w:bottom w:val="none" w:sz="0" w:space="0" w:color="auto"/>
                <w:right w:val="none" w:sz="0" w:space="0" w:color="auto"/>
              </w:divBdr>
            </w:div>
            <w:div w:id="24141958">
              <w:marLeft w:val="0"/>
              <w:marRight w:val="0"/>
              <w:marTop w:val="0"/>
              <w:marBottom w:val="0"/>
              <w:divBdr>
                <w:top w:val="none" w:sz="0" w:space="0" w:color="auto"/>
                <w:left w:val="none" w:sz="0" w:space="0" w:color="auto"/>
                <w:bottom w:val="none" w:sz="0" w:space="0" w:color="auto"/>
                <w:right w:val="none" w:sz="0" w:space="0" w:color="auto"/>
              </w:divBdr>
            </w:div>
            <w:div w:id="588999175">
              <w:marLeft w:val="0"/>
              <w:marRight w:val="0"/>
              <w:marTop w:val="0"/>
              <w:marBottom w:val="0"/>
              <w:divBdr>
                <w:top w:val="none" w:sz="0" w:space="0" w:color="auto"/>
                <w:left w:val="none" w:sz="0" w:space="0" w:color="auto"/>
                <w:bottom w:val="none" w:sz="0" w:space="0" w:color="auto"/>
                <w:right w:val="none" w:sz="0" w:space="0" w:color="auto"/>
              </w:divBdr>
            </w:div>
          </w:divsChild>
        </w:div>
        <w:div w:id="1142961167">
          <w:marLeft w:val="0"/>
          <w:marRight w:val="0"/>
          <w:marTop w:val="0"/>
          <w:marBottom w:val="0"/>
          <w:divBdr>
            <w:top w:val="none" w:sz="0" w:space="0" w:color="auto"/>
            <w:left w:val="none" w:sz="0" w:space="0" w:color="auto"/>
            <w:bottom w:val="none" w:sz="0" w:space="0" w:color="auto"/>
            <w:right w:val="none" w:sz="0" w:space="0" w:color="auto"/>
          </w:divBdr>
          <w:divsChild>
            <w:div w:id="1725637676">
              <w:marLeft w:val="0"/>
              <w:marRight w:val="0"/>
              <w:marTop w:val="0"/>
              <w:marBottom w:val="0"/>
              <w:divBdr>
                <w:top w:val="none" w:sz="0" w:space="0" w:color="auto"/>
                <w:left w:val="none" w:sz="0" w:space="0" w:color="auto"/>
                <w:bottom w:val="none" w:sz="0" w:space="0" w:color="auto"/>
                <w:right w:val="none" w:sz="0" w:space="0" w:color="auto"/>
              </w:divBdr>
            </w:div>
            <w:div w:id="974332413">
              <w:marLeft w:val="0"/>
              <w:marRight w:val="0"/>
              <w:marTop w:val="0"/>
              <w:marBottom w:val="0"/>
              <w:divBdr>
                <w:top w:val="none" w:sz="0" w:space="0" w:color="auto"/>
                <w:left w:val="none" w:sz="0" w:space="0" w:color="auto"/>
                <w:bottom w:val="none" w:sz="0" w:space="0" w:color="auto"/>
                <w:right w:val="none" w:sz="0" w:space="0" w:color="auto"/>
              </w:divBdr>
            </w:div>
            <w:div w:id="1829007973">
              <w:marLeft w:val="0"/>
              <w:marRight w:val="0"/>
              <w:marTop w:val="0"/>
              <w:marBottom w:val="0"/>
              <w:divBdr>
                <w:top w:val="none" w:sz="0" w:space="0" w:color="auto"/>
                <w:left w:val="none" w:sz="0" w:space="0" w:color="auto"/>
                <w:bottom w:val="none" w:sz="0" w:space="0" w:color="auto"/>
                <w:right w:val="none" w:sz="0" w:space="0" w:color="auto"/>
              </w:divBdr>
            </w:div>
          </w:divsChild>
        </w:div>
        <w:div w:id="977227595">
          <w:marLeft w:val="0"/>
          <w:marRight w:val="0"/>
          <w:marTop w:val="0"/>
          <w:marBottom w:val="0"/>
          <w:divBdr>
            <w:top w:val="none" w:sz="0" w:space="0" w:color="auto"/>
            <w:left w:val="none" w:sz="0" w:space="0" w:color="auto"/>
            <w:bottom w:val="none" w:sz="0" w:space="0" w:color="auto"/>
            <w:right w:val="none" w:sz="0" w:space="0" w:color="auto"/>
          </w:divBdr>
        </w:div>
        <w:div w:id="2096432796">
          <w:marLeft w:val="0"/>
          <w:marRight w:val="0"/>
          <w:marTop w:val="0"/>
          <w:marBottom w:val="0"/>
          <w:divBdr>
            <w:top w:val="none" w:sz="0" w:space="0" w:color="auto"/>
            <w:left w:val="none" w:sz="0" w:space="0" w:color="auto"/>
            <w:bottom w:val="none" w:sz="0" w:space="0" w:color="auto"/>
            <w:right w:val="none" w:sz="0" w:space="0" w:color="auto"/>
          </w:divBdr>
        </w:div>
        <w:div w:id="244388880">
          <w:marLeft w:val="0"/>
          <w:marRight w:val="0"/>
          <w:marTop w:val="0"/>
          <w:marBottom w:val="0"/>
          <w:divBdr>
            <w:top w:val="none" w:sz="0" w:space="0" w:color="auto"/>
            <w:left w:val="none" w:sz="0" w:space="0" w:color="auto"/>
            <w:bottom w:val="none" w:sz="0" w:space="0" w:color="auto"/>
            <w:right w:val="none" w:sz="0" w:space="0" w:color="auto"/>
          </w:divBdr>
        </w:div>
      </w:divsChild>
    </w:div>
    <w:div w:id="1118182851">
      <w:bodyDiv w:val="1"/>
      <w:marLeft w:val="0"/>
      <w:marRight w:val="0"/>
      <w:marTop w:val="0"/>
      <w:marBottom w:val="0"/>
      <w:divBdr>
        <w:top w:val="none" w:sz="0" w:space="0" w:color="auto"/>
        <w:left w:val="none" w:sz="0" w:space="0" w:color="auto"/>
        <w:bottom w:val="none" w:sz="0" w:space="0" w:color="auto"/>
        <w:right w:val="none" w:sz="0" w:space="0" w:color="auto"/>
      </w:divBdr>
    </w:div>
    <w:div w:id="1141072611">
      <w:bodyDiv w:val="1"/>
      <w:marLeft w:val="0"/>
      <w:marRight w:val="0"/>
      <w:marTop w:val="0"/>
      <w:marBottom w:val="0"/>
      <w:divBdr>
        <w:top w:val="none" w:sz="0" w:space="0" w:color="auto"/>
        <w:left w:val="none" w:sz="0" w:space="0" w:color="auto"/>
        <w:bottom w:val="none" w:sz="0" w:space="0" w:color="auto"/>
        <w:right w:val="none" w:sz="0" w:space="0" w:color="auto"/>
      </w:divBdr>
      <w:divsChild>
        <w:div w:id="1639916970">
          <w:marLeft w:val="0"/>
          <w:marRight w:val="0"/>
          <w:marTop w:val="0"/>
          <w:marBottom w:val="0"/>
          <w:divBdr>
            <w:top w:val="none" w:sz="0" w:space="0" w:color="auto"/>
            <w:left w:val="none" w:sz="0" w:space="0" w:color="auto"/>
            <w:bottom w:val="none" w:sz="0" w:space="0" w:color="auto"/>
            <w:right w:val="none" w:sz="0" w:space="0" w:color="auto"/>
          </w:divBdr>
        </w:div>
        <w:div w:id="267549768">
          <w:marLeft w:val="0"/>
          <w:marRight w:val="0"/>
          <w:marTop w:val="0"/>
          <w:marBottom w:val="0"/>
          <w:divBdr>
            <w:top w:val="none" w:sz="0" w:space="0" w:color="auto"/>
            <w:left w:val="none" w:sz="0" w:space="0" w:color="auto"/>
            <w:bottom w:val="none" w:sz="0" w:space="0" w:color="auto"/>
            <w:right w:val="none" w:sz="0" w:space="0" w:color="auto"/>
          </w:divBdr>
        </w:div>
        <w:div w:id="2060860433">
          <w:marLeft w:val="0"/>
          <w:marRight w:val="0"/>
          <w:marTop w:val="0"/>
          <w:marBottom w:val="0"/>
          <w:divBdr>
            <w:top w:val="none" w:sz="0" w:space="0" w:color="auto"/>
            <w:left w:val="none" w:sz="0" w:space="0" w:color="auto"/>
            <w:bottom w:val="none" w:sz="0" w:space="0" w:color="auto"/>
            <w:right w:val="none" w:sz="0" w:space="0" w:color="auto"/>
          </w:divBdr>
        </w:div>
        <w:div w:id="1629357458">
          <w:marLeft w:val="0"/>
          <w:marRight w:val="0"/>
          <w:marTop w:val="0"/>
          <w:marBottom w:val="0"/>
          <w:divBdr>
            <w:top w:val="none" w:sz="0" w:space="0" w:color="auto"/>
            <w:left w:val="none" w:sz="0" w:space="0" w:color="auto"/>
            <w:bottom w:val="none" w:sz="0" w:space="0" w:color="auto"/>
            <w:right w:val="none" w:sz="0" w:space="0" w:color="auto"/>
          </w:divBdr>
        </w:div>
        <w:div w:id="958487110">
          <w:marLeft w:val="0"/>
          <w:marRight w:val="0"/>
          <w:marTop w:val="0"/>
          <w:marBottom w:val="0"/>
          <w:divBdr>
            <w:top w:val="none" w:sz="0" w:space="0" w:color="auto"/>
            <w:left w:val="none" w:sz="0" w:space="0" w:color="auto"/>
            <w:bottom w:val="none" w:sz="0" w:space="0" w:color="auto"/>
            <w:right w:val="none" w:sz="0" w:space="0" w:color="auto"/>
          </w:divBdr>
        </w:div>
        <w:div w:id="1480271288">
          <w:marLeft w:val="0"/>
          <w:marRight w:val="0"/>
          <w:marTop w:val="0"/>
          <w:marBottom w:val="0"/>
          <w:divBdr>
            <w:top w:val="none" w:sz="0" w:space="0" w:color="auto"/>
            <w:left w:val="none" w:sz="0" w:space="0" w:color="auto"/>
            <w:bottom w:val="none" w:sz="0" w:space="0" w:color="auto"/>
            <w:right w:val="none" w:sz="0" w:space="0" w:color="auto"/>
          </w:divBdr>
        </w:div>
        <w:div w:id="643389615">
          <w:marLeft w:val="0"/>
          <w:marRight w:val="0"/>
          <w:marTop w:val="0"/>
          <w:marBottom w:val="0"/>
          <w:divBdr>
            <w:top w:val="none" w:sz="0" w:space="0" w:color="auto"/>
            <w:left w:val="none" w:sz="0" w:space="0" w:color="auto"/>
            <w:bottom w:val="none" w:sz="0" w:space="0" w:color="auto"/>
            <w:right w:val="none" w:sz="0" w:space="0" w:color="auto"/>
          </w:divBdr>
        </w:div>
      </w:divsChild>
    </w:div>
    <w:div w:id="1167861482">
      <w:bodyDiv w:val="1"/>
      <w:marLeft w:val="0"/>
      <w:marRight w:val="0"/>
      <w:marTop w:val="0"/>
      <w:marBottom w:val="0"/>
      <w:divBdr>
        <w:top w:val="none" w:sz="0" w:space="0" w:color="auto"/>
        <w:left w:val="none" w:sz="0" w:space="0" w:color="auto"/>
        <w:bottom w:val="none" w:sz="0" w:space="0" w:color="auto"/>
        <w:right w:val="none" w:sz="0" w:space="0" w:color="auto"/>
      </w:divBdr>
      <w:divsChild>
        <w:div w:id="1809855702">
          <w:marLeft w:val="0"/>
          <w:marRight w:val="0"/>
          <w:marTop w:val="0"/>
          <w:marBottom w:val="0"/>
          <w:divBdr>
            <w:top w:val="none" w:sz="0" w:space="0" w:color="auto"/>
            <w:left w:val="none" w:sz="0" w:space="0" w:color="auto"/>
            <w:bottom w:val="none" w:sz="0" w:space="0" w:color="auto"/>
            <w:right w:val="none" w:sz="0" w:space="0" w:color="auto"/>
          </w:divBdr>
          <w:divsChild>
            <w:div w:id="383991738">
              <w:marLeft w:val="0"/>
              <w:marRight w:val="0"/>
              <w:marTop w:val="0"/>
              <w:marBottom w:val="0"/>
              <w:divBdr>
                <w:top w:val="none" w:sz="0" w:space="0" w:color="auto"/>
                <w:left w:val="none" w:sz="0" w:space="0" w:color="auto"/>
                <w:bottom w:val="none" w:sz="0" w:space="0" w:color="auto"/>
                <w:right w:val="none" w:sz="0" w:space="0" w:color="auto"/>
              </w:divBdr>
            </w:div>
          </w:divsChild>
        </w:div>
        <w:div w:id="1862930668">
          <w:marLeft w:val="0"/>
          <w:marRight w:val="0"/>
          <w:marTop w:val="0"/>
          <w:marBottom w:val="0"/>
          <w:divBdr>
            <w:top w:val="none" w:sz="0" w:space="0" w:color="auto"/>
            <w:left w:val="none" w:sz="0" w:space="0" w:color="auto"/>
            <w:bottom w:val="none" w:sz="0" w:space="0" w:color="auto"/>
            <w:right w:val="none" w:sz="0" w:space="0" w:color="auto"/>
          </w:divBdr>
          <w:divsChild>
            <w:div w:id="341511600">
              <w:marLeft w:val="0"/>
              <w:marRight w:val="0"/>
              <w:marTop w:val="0"/>
              <w:marBottom w:val="0"/>
              <w:divBdr>
                <w:top w:val="none" w:sz="0" w:space="0" w:color="auto"/>
                <w:left w:val="none" w:sz="0" w:space="0" w:color="auto"/>
                <w:bottom w:val="none" w:sz="0" w:space="0" w:color="auto"/>
                <w:right w:val="none" w:sz="0" w:space="0" w:color="auto"/>
              </w:divBdr>
            </w:div>
            <w:div w:id="862085522">
              <w:marLeft w:val="0"/>
              <w:marRight w:val="0"/>
              <w:marTop w:val="0"/>
              <w:marBottom w:val="0"/>
              <w:divBdr>
                <w:top w:val="none" w:sz="0" w:space="0" w:color="auto"/>
                <w:left w:val="none" w:sz="0" w:space="0" w:color="auto"/>
                <w:bottom w:val="none" w:sz="0" w:space="0" w:color="auto"/>
                <w:right w:val="none" w:sz="0" w:space="0" w:color="auto"/>
              </w:divBdr>
            </w:div>
            <w:div w:id="1071005663">
              <w:marLeft w:val="0"/>
              <w:marRight w:val="0"/>
              <w:marTop w:val="0"/>
              <w:marBottom w:val="0"/>
              <w:divBdr>
                <w:top w:val="none" w:sz="0" w:space="0" w:color="auto"/>
                <w:left w:val="none" w:sz="0" w:space="0" w:color="auto"/>
                <w:bottom w:val="none" w:sz="0" w:space="0" w:color="auto"/>
                <w:right w:val="none" w:sz="0" w:space="0" w:color="auto"/>
              </w:divBdr>
            </w:div>
          </w:divsChild>
        </w:div>
        <w:div w:id="1943683435">
          <w:marLeft w:val="0"/>
          <w:marRight w:val="0"/>
          <w:marTop w:val="0"/>
          <w:marBottom w:val="0"/>
          <w:divBdr>
            <w:top w:val="none" w:sz="0" w:space="0" w:color="auto"/>
            <w:left w:val="none" w:sz="0" w:space="0" w:color="auto"/>
            <w:bottom w:val="none" w:sz="0" w:space="0" w:color="auto"/>
            <w:right w:val="none" w:sz="0" w:space="0" w:color="auto"/>
          </w:divBdr>
          <w:divsChild>
            <w:div w:id="902299751">
              <w:marLeft w:val="0"/>
              <w:marRight w:val="0"/>
              <w:marTop w:val="0"/>
              <w:marBottom w:val="0"/>
              <w:divBdr>
                <w:top w:val="none" w:sz="0" w:space="0" w:color="auto"/>
                <w:left w:val="none" w:sz="0" w:space="0" w:color="auto"/>
                <w:bottom w:val="none" w:sz="0" w:space="0" w:color="auto"/>
                <w:right w:val="none" w:sz="0" w:space="0" w:color="auto"/>
              </w:divBdr>
            </w:div>
            <w:div w:id="2074742136">
              <w:marLeft w:val="0"/>
              <w:marRight w:val="0"/>
              <w:marTop w:val="0"/>
              <w:marBottom w:val="0"/>
              <w:divBdr>
                <w:top w:val="none" w:sz="0" w:space="0" w:color="auto"/>
                <w:left w:val="none" w:sz="0" w:space="0" w:color="auto"/>
                <w:bottom w:val="none" w:sz="0" w:space="0" w:color="auto"/>
                <w:right w:val="none" w:sz="0" w:space="0" w:color="auto"/>
              </w:divBdr>
            </w:div>
            <w:div w:id="1060204631">
              <w:marLeft w:val="0"/>
              <w:marRight w:val="0"/>
              <w:marTop w:val="0"/>
              <w:marBottom w:val="0"/>
              <w:divBdr>
                <w:top w:val="none" w:sz="0" w:space="0" w:color="auto"/>
                <w:left w:val="none" w:sz="0" w:space="0" w:color="auto"/>
                <w:bottom w:val="none" w:sz="0" w:space="0" w:color="auto"/>
                <w:right w:val="none" w:sz="0" w:space="0" w:color="auto"/>
              </w:divBdr>
            </w:div>
          </w:divsChild>
        </w:div>
        <w:div w:id="907299294">
          <w:marLeft w:val="0"/>
          <w:marRight w:val="0"/>
          <w:marTop w:val="0"/>
          <w:marBottom w:val="0"/>
          <w:divBdr>
            <w:top w:val="none" w:sz="0" w:space="0" w:color="auto"/>
            <w:left w:val="none" w:sz="0" w:space="0" w:color="auto"/>
            <w:bottom w:val="none" w:sz="0" w:space="0" w:color="auto"/>
            <w:right w:val="none" w:sz="0" w:space="0" w:color="auto"/>
          </w:divBdr>
        </w:div>
        <w:div w:id="1970092074">
          <w:marLeft w:val="0"/>
          <w:marRight w:val="0"/>
          <w:marTop w:val="0"/>
          <w:marBottom w:val="0"/>
          <w:divBdr>
            <w:top w:val="none" w:sz="0" w:space="0" w:color="auto"/>
            <w:left w:val="none" w:sz="0" w:space="0" w:color="auto"/>
            <w:bottom w:val="none" w:sz="0" w:space="0" w:color="auto"/>
            <w:right w:val="none" w:sz="0" w:space="0" w:color="auto"/>
          </w:divBdr>
        </w:div>
        <w:div w:id="870534759">
          <w:marLeft w:val="0"/>
          <w:marRight w:val="0"/>
          <w:marTop w:val="0"/>
          <w:marBottom w:val="0"/>
          <w:divBdr>
            <w:top w:val="none" w:sz="0" w:space="0" w:color="auto"/>
            <w:left w:val="none" w:sz="0" w:space="0" w:color="auto"/>
            <w:bottom w:val="none" w:sz="0" w:space="0" w:color="auto"/>
            <w:right w:val="none" w:sz="0" w:space="0" w:color="auto"/>
          </w:divBdr>
        </w:div>
        <w:div w:id="1794667106">
          <w:marLeft w:val="0"/>
          <w:marRight w:val="0"/>
          <w:marTop w:val="0"/>
          <w:marBottom w:val="0"/>
          <w:divBdr>
            <w:top w:val="none" w:sz="0" w:space="0" w:color="auto"/>
            <w:left w:val="none" w:sz="0" w:space="0" w:color="auto"/>
            <w:bottom w:val="none" w:sz="0" w:space="0" w:color="auto"/>
            <w:right w:val="none" w:sz="0" w:space="0" w:color="auto"/>
          </w:divBdr>
        </w:div>
      </w:divsChild>
    </w:div>
    <w:div w:id="1176580883">
      <w:bodyDiv w:val="1"/>
      <w:marLeft w:val="0"/>
      <w:marRight w:val="0"/>
      <w:marTop w:val="0"/>
      <w:marBottom w:val="0"/>
      <w:divBdr>
        <w:top w:val="none" w:sz="0" w:space="0" w:color="auto"/>
        <w:left w:val="none" w:sz="0" w:space="0" w:color="auto"/>
        <w:bottom w:val="none" w:sz="0" w:space="0" w:color="auto"/>
        <w:right w:val="none" w:sz="0" w:space="0" w:color="auto"/>
      </w:divBdr>
    </w:div>
    <w:div w:id="1180506010">
      <w:bodyDiv w:val="1"/>
      <w:marLeft w:val="0"/>
      <w:marRight w:val="0"/>
      <w:marTop w:val="0"/>
      <w:marBottom w:val="0"/>
      <w:divBdr>
        <w:top w:val="none" w:sz="0" w:space="0" w:color="auto"/>
        <w:left w:val="none" w:sz="0" w:space="0" w:color="auto"/>
        <w:bottom w:val="none" w:sz="0" w:space="0" w:color="auto"/>
        <w:right w:val="none" w:sz="0" w:space="0" w:color="auto"/>
      </w:divBdr>
      <w:divsChild>
        <w:div w:id="92014493">
          <w:marLeft w:val="0"/>
          <w:marRight w:val="0"/>
          <w:marTop w:val="0"/>
          <w:marBottom w:val="0"/>
          <w:divBdr>
            <w:top w:val="none" w:sz="0" w:space="0" w:color="auto"/>
            <w:left w:val="none" w:sz="0" w:space="0" w:color="auto"/>
            <w:bottom w:val="none" w:sz="0" w:space="0" w:color="auto"/>
            <w:right w:val="none" w:sz="0" w:space="0" w:color="auto"/>
          </w:divBdr>
        </w:div>
        <w:div w:id="636450986">
          <w:marLeft w:val="0"/>
          <w:marRight w:val="0"/>
          <w:marTop w:val="0"/>
          <w:marBottom w:val="0"/>
          <w:divBdr>
            <w:top w:val="none" w:sz="0" w:space="0" w:color="auto"/>
            <w:left w:val="none" w:sz="0" w:space="0" w:color="auto"/>
            <w:bottom w:val="none" w:sz="0" w:space="0" w:color="auto"/>
            <w:right w:val="none" w:sz="0" w:space="0" w:color="auto"/>
          </w:divBdr>
        </w:div>
        <w:div w:id="774256016">
          <w:marLeft w:val="0"/>
          <w:marRight w:val="0"/>
          <w:marTop w:val="0"/>
          <w:marBottom w:val="0"/>
          <w:divBdr>
            <w:top w:val="none" w:sz="0" w:space="0" w:color="auto"/>
            <w:left w:val="none" w:sz="0" w:space="0" w:color="auto"/>
            <w:bottom w:val="none" w:sz="0" w:space="0" w:color="auto"/>
            <w:right w:val="none" w:sz="0" w:space="0" w:color="auto"/>
          </w:divBdr>
        </w:div>
        <w:div w:id="1525172301">
          <w:marLeft w:val="0"/>
          <w:marRight w:val="0"/>
          <w:marTop w:val="0"/>
          <w:marBottom w:val="0"/>
          <w:divBdr>
            <w:top w:val="none" w:sz="0" w:space="0" w:color="auto"/>
            <w:left w:val="none" w:sz="0" w:space="0" w:color="auto"/>
            <w:bottom w:val="none" w:sz="0" w:space="0" w:color="auto"/>
            <w:right w:val="none" w:sz="0" w:space="0" w:color="auto"/>
          </w:divBdr>
        </w:div>
        <w:div w:id="1071538027">
          <w:marLeft w:val="0"/>
          <w:marRight w:val="0"/>
          <w:marTop w:val="0"/>
          <w:marBottom w:val="0"/>
          <w:divBdr>
            <w:top w:val="none" w:sz="0" w:space="0" w:color="auto"/>
            <w:left w:val="none" w:sz="0" w:space="0" w:color="auto"/>
            <w:bottom w:val="none" w:sz="0" w:space="0" w:color="auto"/>
            <w:right w:val="none" w:sz="0" w:space="0" w:color="auto"/>
          </w:divBdr>
        </w:div>
        <w:div w:id="555166542">
          <w:marLeft w:val="0"/>
          <w:marRight w:val="0"/>
          <w:marTop w:val="0"/>
          <w:marBottom w:val="0"/>
          <w:divBdr>
            <w:top w:val="none" w:sz="0" w:space="0" w:color="auto"/>
            <w:left w:val="none" w:sz="0" w:space="0" w:color="auto"/>
            <w:bottom w:val="none" w:sz="0" w:space="0" w:color="auto"/>
            <w:right w:val="none" w:sz="0" w:space="0" w:color="auto"/>
          </w:divBdr>
        </w:div>
        <w:div w:id="1893420069">
          <w:marLeft w:val="0"/>
          <w:marRight w:val="0"/>
          <w:marTop w:val="0"/>
          <w:marBottom w:val="0"/>
          <w:divBdr>
            <w:top w:val="none" w:sz="0" w:space="0" w:color="auto"/>
            <w:left w:val="none" w:sz="0" w:space="0" w:color="auto"/>
            <w:bottom w:val="none" w:sz="0" w:space="0" w:color="auto"/>
            <w:right w:val="none" w:sz="0" w:space="0" w:color="auto"/>
          </w:divBdr>
        </w:div>
      </w:divsChild>
    </w:div>
    <w:div w:id="1216086690">
      <w:bodyDiv w:val="1"/>
      <w:marLeft w:val="0"/>
      <w:marRight w:val="0"/>
      <w:marTop w:val="0"/>
      <w:marBottom w:val="0"/>
      <w:divBdr>
        <w:top w:val="none" w:sz="0" w:space="0" w:color="auto"/>
        <w:left w:val="none" w:sz="0" w:space="0" w:color="auto"/>
        <w:bottom w:val="none" w:sz="0" w:space="0" w:color="auto"/>
        <w:right w:val="none" w:sz="0" w:space="0" w:color="auto"/>
      </w:divBdr>
      <w:divsChild>
        <w:div w:id="913130197">
          <w:marLeft w:val="0"/>
          <w:marRight w:val="0"/>
          <w:marTop w:val="0"/>
          <w:marBottom w:val="0"/>
          <w:divBdr>
            <w:top w:val="none" w:sz="0" w:space="0" w:color="auto"/>
            <w:left w:val="none" w:sz="0" w:space="0" w:color="auto"/>
            <w:bottom w:val="none" w:sz="0" w:space="0" w:color="auto"/>
            <w:right w:val="none" w:sz="0" w:space="0" w:color="auto"/>
          </w:divBdr>
          <w:divsChild>
            <w:div w:id="1141266556">
              <w:marLeft w:val="0"/>
              <w:marRight w:val="0"/>
              <w:marTop w:val="0"/>
              <w:marBottom w:val="0"/>
              <w:divBdr>
                <w:top w:val="none" w:sz="0" w:space="0" w:color="auto"/>
                <w:left w:val="none" w:sz="0" w:space="0" w:color="auto"/>
                <w:bottom w:val="none" w:sz="0" w:space="0" w:color="auto"/>
                <w:right w:val="none" w:sz="0" w:space="0" w:color="auto"/>
              </w:divBdr>
            </w:div>
          </w:divsChild>
        </w:div>
        <w:div w:id="490408484">
          <w:marLeft w:val="0"/>
          <w:marRight w:val="0"/>
          <w:marTop w:val="0"/>
          <w:marBottom w:val="0"/>
          <w:divBdr>
            <w:top w:val="none" w:sz="0" w:space="0" w:color="auto"/>
            <w:left w:val="none" w:sz="0" w:space="0" w:color="auto"/>
            <w:bottom w:val="none" w:sz="0" w:space="0" w:color="auto"/>
            <w:right w:val="none" w:sz="0" w:space="0" w:color="auto"/>
          </w:divBdr>
          <w:divsChild>
            <w:div w:id="289865807">
              <w:marLeft w:val="0"/>
              <w:marRight w:val="0"/>
              <w:marTop w:val="0"/>
              <w:marBottom w:val="0"/>
              <w:divBdr>
                <w:top w:val="none" w:sz="0" w:space="0" w:color="auto"/>
                <w:left w:val="none" w:sz="0" w:space="0" w:color="auto"/>
                <w:bottom w:val="none" w:sz="0" w:space="0" w:color="auto"/>
                <w:right w:val="none" w:sz="0" w:space="0" w:color="auto"/>
              </w:divBdr>
            </w:div>
            <w:div w:id="1489635391">
              <w:marLeft w:val="0"/>
              <w:marRight w:val="0"/>
              <w:marTop w:val="0"/>
              <w:marBottom w:val="0"/>
              <w:divBdr>
                <w:top w:val="none" w:sz="0" w:space="0" w:color="auto"/>
                <w:left w:val="none" w:sz="0" w:space="0" w:color="auto"/>
                <w:bottom w:val="none" w:sz="0" w:space="0" w:color="auto"/>
                <w:right w:val="none" w:sz="0" w:space="0" w:color="auto"/>
              </w:divBdr>
            </w:div>
            <w:div w:id="1428162027">
              <w:marLeft w:val="0"/>
              <w:marRight w:val="0"/>
              <w:marTop w:val="0"/>
              <w:marBottom w:val="0"/>
              <w:divBdr>
                <w:top w:val="none" w:sz="0" w:space="0" w:color="auto"/>
                <w:left w:val="none" w:sz="0" w:space="0" w:color="auto"/>
                <w:bottom w:val="none" w:sz="0" w:space="0" w:color="auto"/>
                <w:right w:val="none" w:sz="0" w:space="0" w:color="auto"/>
              </w:divBdr>
            </w:div>
          </w:divsChild>
        </w:div>
        <w:div w:id="2010674363">
          <w:marLeft w:val="0"/>
          <w:marRight w:val="0"/>
          <w:marTop w:val="0"/>
          <w:marBottom w:val="0"/>
          <w:divBdr>
            <w:top w:val="none" w:sz="0" w:space="0" w:color="auto"/>
            <w:left w:val="none" w:sz="0" w:space="0" w:color="auto"/>
            <w:bottom w:val="none" w:sz="0" w:space="0" w:color="auto"/>
            <w:right w:val="none" w:sz="0" w:space="0" w:color="auto"/>
          </w:divBdr>
          <w:divsChild>
            <w:div w:id="431702460">
              <w:marLeft w:val="0"/>
              <w:marRight w:val="0"/>
              <w:marTop w:val="0"/>
              <w:marBottom w:val="0"/>
              <w:divBdr>
                <w:top w:val="none" w:sz="0" w:space="0" w:color="auto"/>
                <w:left w:val="none" w:sz="0" w:space="0" w:color="auto"/>
                <w:bottom w:val="none" w:sz="0" w:space="0" w:color="auto"/>
                <w:right w:val="none" w:sz="0" w:space="0" w:color="auto"/>
              </w:divBdr>
            </w:div>
            <w:div w:id="1586452583">
              <w:marLeft w:val="0"/>
              <w:marRight w:val="0"/>
              <w:marTop w:val="0"/>
              <w:marBottom w:val="0"/>
              <w:divBdr>
                <w:top w:val="none" w:sz="0" w:space="0" w:color="auto"/>
                <w:left w:val="none" w:sz="0" w:space="0" w:color="auto"/>
                <w:bottom w:val="none" w:sz="0" w:space="0" w:color="auto"/>
                <w:right w:val="none" w:sz="0" w:space="0" w:color="auto"/>
              </w:divBdr>
            </w:div>
            <w:div w:id="234559586">
              <w:marLeft w:val="0"/>
              <w:marRight w:val="0"/>
              <w:marTop w:val="0"/>
              <w:marBottom w:val="0"/>
              <w:divBdr>
                <w:top w:val="none" w:sz="0" w:space="0" w:color="auto"/>
                <w:left w:val="none" w:sz="0" w:space="0" w:color="auto"/>
                <w:bottom w:val="none" w:sz="0" w:space="0" w:color="auto"/>
                <w:right w:val="none" w:sz="0" w:space="0" w:color="auto"/>
              </w:divBdr>
            </w:div>
          </w:divsChild>
        </w:div>
        <w:div w:id="1593657591">
          <w:marLeft w:val="0"/>
          <w:marRight w:val="0"/>
          <w:marTop w:val="0"/>
          <w:marBottom w:val="0"/>
          <w:divBdr>
            <w:top w:val="none" w:sz="0" w:space="0" w:color="auto"/>
            <w:left w:val="none" w:sz="0" w:space="0" w:color="auto"/>
            <w:bottom w:val="none" w:sz="0" w:space="0" w:color="auto"/>
            <w:right w:val="none" w:sz="0" w:space="0" w:color="auto"/>
          </w:divBdr>
        </w:div>
        <w:div w:id="1227648299">
          <w:marLeft w:val="0"/>
          <w:marRight w:val="0"/>
          <w:marTop w:val="0"/>
          <w:marBottom w:val="0"/>
          <w:divBdr>
            <w:top w:val="none" w:sz="0" w:space="0" w:color="auto"/>
            <w:left w:val="none" w:sz="0" w:space="0" w:color="auto"/>
            <w:bottom w:val="none" w:sz="0" w:space="0" w:color="auto"/>
            <w:right w:val="none" w:sz="0" w:space="0" w:color="auto"/>
          </w:divBdr>
        </w:div>
        <w:div w:id="1139228793">
          <w:marLeft w:val="0"/>
          <w:marRight w:val="0"/>
          <w:marTop w:val="0"/>
          <w:marBottom w:val="0"/>
          <w:divBdr>
            <w:top w:val="none" w:sz="0" w:space="0" w:color="auto"/>
            <w:left w:val="none" w:sz="0" w:space="0" w:color="auto"/>
            <w:bottom w:val="none" w:sz="0" w:space="0" w:color="auto"/>
            <w:right w:val="none" w:sz="0" w:space="0" w:color="auto"/>
          </w:divBdr>
        </w:div>
        <w:div w:id="1825969449">
          <w:marLeft w:val="0"/>
          <w:marRight w:val="0"/>
          <w:marTop w:val="0"/>
          <w:marBottom w:val="0"/>
          <w:divBdr>
            <w:top w:val="none" w:sz="0" w:space="0" w:color="auto"/>
            <w:left w:val="none" w:sz="0" w:space="0" w:color="auto"/>
            <w:bottom w:val="none" w:sz="0" w:space="0" w:color="auto"/>
            <w:right w:val="none" w:sz="0" w:space="0" w:color="auto"/>
          </w:divBdr>
        </w:div>
      </w:divsChild>
    </w:div>
    <w:div w:id="1221818412">
      <w:bodyDiv w:val="1"/>
      <w:marLeft w:val="0"/>
      <w:marRight w:val="0"/>
      <w:marTop w:val="0"/>
      <w:marBottom w:val="0"/>
      <w:divBdr>
        <w:top w:val="none" w:sz="0" w:space="0" w:color="auto"/>
        <w:left w:val="none" w:sz="0" w:space="0" w:color="auto"/>
        <w:bottom w:val="none" w:sz="0" w:space="0" w:color="auto"/>
        <w:right w:val="none" w:sz="0" w:space="0" w:color="auto"/>
      </w:divBdr>
      <w:divsChild>
        <w:div w:id="2079402922">
          <w:marLeft w:val="0"/>
          <w:marRight w:val="0"/>
          <w:marTop w:val="0"/>
          <w:marBottom w:val="0"/>
          <w:divBdr>
            <w:top w:val="none" w:sz="0" w:space="0" w:color="auto"/>
            <w:left w:val="none" w:sz="0" w:space="0" w:color="auto"/>
            <w:bottom w:val="none" w:sz="0" w:space="0" w:color="auto"/>
            <w:right w:val="none" w:sz="0" w:space="0" w:color="auto"/>
          </w:divBdr>
          <w:divsChild>
            <w:div w:id="1118600060">
              <w:marLeft w:val="0"/>
              <w:marRight w:val="0"/>
              <w:marTop w:val="0"/>
              <w:marBottom w:val="0"/>
              <w:divBdr>
                <w:top w:val="none" w:sz="0" w:space="0" w:color="auto"/>
                <w:left w:val="none" w:sz="0" w:space="0" w:color="auto"/>
                <w:bottom w:val="none" w:sz="0" w:space="0" w:color="auto"/>
                <w:right w:val="none" w:sz="0" w:space="0" w:color="auto"/>
              </w:divBdr>
            </w:div>
          </w:divsChild>
        </w:div>
        <w:div w:id="1212381457">
          <w:marLeft w:val="0"/>
          <w:marRight w:val="0"/>
          <w:marTop w:val="0"/>
          <w:marBottom w:val="0"/>
          <w:divBdr>
            <w:top w:val="none" w:sz="0" w:space="0" w:color="auto"/>
            <w:left w:val="none" w:sz="0" w:space="0" w:color="auto"/>
            <w:bottom w:val="none" w:sz="0" w:space="0" w:color="auto"/>
            <w:right w:val="none" w:sz="0" w:space="0" w:color="auto"/>
          </w:divBdr>
          <w:divsChild>
            <w:div w:id="1063218781">
              <w:marLeft w:val="0"/>
              <w:marRight w:val="0"/>
              <w:marTop w:val="0"/>
              <w:marBottom w:val="0"/>
              <w:divBdr>
                <w:top w:val="none" w:sz="0" w:space="0" w:color="auto"/>
                <w:left w:val="none" w:sz="0" w:space="0" w:color="auto"/>
                <w:bottom w:val="none" w:sz="0" w:space="0" w:color="auto"/>
                <w:right w:val="none" w:sz="0" w:space="0" w:color="auto"/>
              </w:divBdr>
            </w:div>
            <w:div w:id="552083647">
              <w:marLeft w:val="0"/>
              <w:marRight w:val="0"/>
              <w:marTop w:val="0"/>
              <w:marBottom w:val="0"/>
              <w:divBdr>
                <w:top w:val="none" w:sz="0" w:space="0" w:color="auto"/>
                <w:left w:val="none" w:sz="0" w:space="0" w:color="auto"/>
                <w:bottom w:val="none" w:sz="0" w:space="0" w:color="auto"/>
                <w:right w:val="none" w:sz="0" w:space="0" w:color="auto"/>
              </w:divBdr>
            </w:div>
            <w:div w:id="1477529934">
              <w:marLeft w:val="0"/>
              <w:marRight w:val="0"/>
              <w:marTop w:val="0"/>
              <w:marBottom w:val="0"/>
              <w:divBdr>
                <w:top w:val="none" w:sz="0" w:space="0" w:color="auto"/>
                <w:left w:val="none" w:sz="0" w:space="0" w:color="auto"/>
                <w:bottom w:val="none" w:sz="0" w:space="0" w:color="auto"/>
                <w:right w:val="none" w:sz="0" w:space="0" w:color="auto"/>
              </w:divBdr>
            </w:div>
          </w:divsChild>
        </w:div>
        <w:div w:id="597913549">
          <w:marLeft w:val="0"/>
          <w:marRight w:val="0"/>
          <w:marTop w:val="0"/>
          <w:marBottom w:val="0"/>
          <w:divBdr>
            <w:top w:val="none" w:sz="0" w:space="0" w:color="auto"/>
            <w:left w:val="none" w:sz="0" w:space="0" w:color="auto"/>
            <w:bottom w:val="none" w:sz="0" w:space="0" w:color="auto"/>
            <w:right w:val="none" w:sz="0" w:space="0" w:color="auto"/>
          </w:divBdr>
          <w:divsChild>
            <w:div w:id="684556214">
              <w:marLeft w:val="0"/>
              <w:marRight w:val="0"/>
              <w:marTop w:val="0"/>
              <w:marBottom w:val="0"/>
              <w:divBdr>
                <w:top w:val="none" w:sz="0" w:space="0" w:color="auto"/>
                <w:left w:val="none" w:sz="0" w:space="0" w:color="auto"/>
                <w:bottom w:val="none" w:sz="0" w:space="0" w:color="auto"/>
                <w:right w:val="none" w:sz="0" w:space="0" w:color="auto"/>
              </w:divBdr>
            </w:div>
            <w:div w:id="636759758">
              <w:marLeft w:val="0"/>
              <w:marRight w:val="0"/>
              <w:marTop w:val="0"/>
              <w:marBottom w:val="0"/>
              <w:divBdr>
                <w:top w:val="none" w:sz="0" w:space="0" w:color="auto"/>
                <w:left w:val="none" w:sz="0" w:space="0" w:color="auto"/>
                <w:bottom w:val="none" w:sz="0" w:space="0" w:color="auto"/>
                <w:right w:val="none" w:sz="0" w:space="0" w:color="auto"/>
              </w:divBdr>
            </w:div>
            <w:div w:id="989987774">
              <w:marLeft w:val="0"/>
              <w:marRight w:val="0"/>
              <w:marTop w:val="0"/>
              <w:marBottom w:val="0"/>
              <w:divBdr>
                <w:top w:val="none" w:sz="0" w:space="0" w:color="auto"/>
                <w:left w:val="none" w:sz="0" w:space="0" w:color="auto"/>
                <w:bottom w:val="none" w:sz="0" w:space="0" w:color="auto"/>
                <w:right w:val="none" w:sz="0" w:space="0" w:color="auto"/>
              </w:divBdr>
            </w:div>
          </w:divsChild>
        </w:div>
        <w:div w:id="1031956728">
          <w:marLeft w:val="0"/>
          <w:marRight w:val="0"/>
          <w:marTop w:val="0"/>
          <w:marBottom w:val="0"/>
          <w:divBdr>
            <w:top w:val="none" w:sz="0" w:space="0" w:color="auto"/>
            <w:left w:val="none" w:sz="0" w:space="0" w:color="auto"/>
            <w:bottom w:val="none" w:sz="0" w:space="0" w:color="auto"/>
            <w:right w:val="none" w:sz="0" w:space="0" w:color="auto"/>
          </w:divBdr>
        </w:div>
        <w:div w:id="610667520">
          <w:marLeft w:val="0"/>
          <w:marRight w:val="0"/>
          <w:marTop w:val="0"/>
          <w:marBottom w:val="0"/>
          <w:divBdr>
            <w:top w:val="none" w:sz="0" w:space="0" w:color="auto"/>
            <w:left w:val="none" w:sz="0" w:space="0" w:color="auto"/>
            <w:bottom w:val="none" w:sz="0" w:space="0" w:color="auto"/>
            <w:right w:val="none" w:sz="0" w:space="0" w:color="auto"/>
          </w:divBdr>
        </w:div>
        <w:div w:id="1992559935">
          <w:marLeft w:val="0"/>
          <w:marRight w:val="0"/>
          <w:marTop w:val="0"/>
          <w:marBottom w:val="0"/>
          <w:divBdr>
            <w:top w:val="none" w:sz="0" w:space="0" w:color="auto"/>
            <w:left w:val="none" w:sz="0" w:space="0" w:color="auto"/>
            <w:bottom w:val="none" w:sz="0" w:space="0" w:color="auto"/>
            <w:right w:val="none" w:sz="0" w:space="0" w:color="auto"/>
          </w:divBdr>
        </w:div>
      </w:divsChild>
    </w:div>
    <w:div w:id="1227686271">
      <w:bodyDiv w:val="1"/>
      <w:marLeft w:val="0"/>
      <w:marRight w:val="0"/>
      <w:marTop w:val="0"/>
      <w:marBottom w:val="0"/>
      <w:divBdr>
        <w:top w:val="none" w:sz="0" w:space="0" w:color="auto"/>
        <w:left w:val="none" w:sz="0" w:space="0" w:color="auto"/>
        <w:bottom w:val="none" w:sz="0" w:space="0" w:color="auto"/>
        <w:right w:val="none" w:sz="0" w:space="0" w:color="auto"/>
      </w:divBdr>
      <w:divsChild>
        <w:div w:id="2086797772">
          <w:marLeft w:val="0"/>
          <w:marRight w:val="0"/>
          <w:marTop w:val="0"/>
          <w:marBottom w:val="0"/>
          <w:divBdr>
            <w:top w:val="none" w:sz="0" w:space="0" w:color="auto"/>
            <w:left w:val="none" w:sz="0" w:space="0" w:color="auto"/>
            <w:bottom w:val="none" w:sz="0" w:space="0" w:color="auto"/>
            <w:right w:val="none" w:sz="0" w:space="0" w:color="auto"/>
          </w:divBdr>
          <w:divsChild>
            <w:div w:id="886767793">
              <w:marLeft w:val="0"/>
              <w:marRight w:val="0"/>
              <w:marTop w:val="0"/>
              <w:marBottom w:val="0"/>
              <w:divBdr>
                <w:top w:val="none" w:sz="0" w:space="0" w:color="auto"/>
                <w:left w:val="none" w:sz="0" w:space="0" w:color="auto"/>
                <w:bottom w:val="none" w:sz="0" w:space="0" w:color="auto"/>
                <w:right w:val="none" w:sz="0" w:space="0" w:color="auto"/>
              </w:divBdr>
            </w:div>
          </w:divsChild>
        </w:div>
        <w:div w:id="1634364169">
          <w:marLeft w:val="0"/>
          <w:marRight w:val="0"/>
          <w:marTop w:val="0"/>
          <w:marBottom w:val="0"/>
          <w:divBdr>
            <w:top w:val="none" w:sz="0" w:space="0" w:color="auto"/>
            <w:left w:val="none" w:sz="0" w:space="0" w:color="auto"/>
            <w:bottom w:val="none" w:sz="0" w:space="0" w:color="auto"/>
            <w:right w:val="none" w:sz="0" w:space="0" w:color="auto"/>
          </w:divBdr>
          <w:divsChild>
            <w:div w:id="4092779">
              <w:marLeft w:val="0"/>
              <w:marRight w:val="0"/>
              <w:marTop w:val="0"/>
              <w:marBottom w:val="0"/>
              <w:divBdr>
                <w:top w:val="none" w:sz="0" w:space="0" w:color="auto"/>
                <w:left w:val="none" w:sz="0" w:space="0" w:color="auto"/>
                <w:bottom w:val="none" w:sz="0" w:space="0" w:color="auto"/>
                <w:right w:val="none" w:sz="0" w:space="0" w:color="auto"/>
              </w:divBdr>
            </w:div>
            <w:div w:id="1820919849">
              <w:marLeft w:val="0"/>
              <w:marRight w:val="0"/>
              <w:marTop w:val="0"/>
              <w:marBottom w:val="0"/>
              <w:divBdr>
                <w:top w:val="none" w:sz="0" w:space="0" w:color="auto"/>
                <w:left w:val="none" w:sz="0" w:space="0" w:color="auto"/>
                <w:bottom w:val="none" w:sz="0" w:space="0" w:color="auto"/>
                <w:right w:val="none" w:sz="0" w:space="0" w:color="auto"/>
              </w:divBdr>
            </w:div>
            <w:div w:id="559947617">
              <w:marLeft w:val="0"/>
              <w:marRight w:val="0"/>
              <w:marTop w:val="0"/>
              <w:marBottom w:val="0"/>
              <w:divBdr>
                <w:top w:val="none" w:sz="0" w:space="0" w:color="auto"/>
                <w:left w:val="none" w:sz="0" w:space="0" w:color="auto"/>
                <w:bottom w:val="none" w:sz="0" w:space="0" w:color="auto"/>
                <w:right w:val="none" w:sz="0" w:space="0" w:color="auto"/>
              </w:divBdr>
            </w:div>
          </w:divsChild>
        </w:div>
        <w:div w:id="203257558">
          <w:marLeft w:val="0"/>
          <w:marRight w:val="0"/>
          <w:marTop w:val="0"/>
          <w:marBottom w:val="0"/>
          <w:divBdr>
            <w:top w:val="none" w:sz="0" w:space="0" w:color="auto"/>
            <w:left w:val="none" w:sz="0" w:space="0" w:color="auto"/>
            <w:bottom w:val="none" w:sz="0" w:space="0" w:color="auto"/>
            <w:right w:val="none" w:sz="0" w:space="0" w:color="auto"/>
          </w:divBdr>
          <w:divsChild>
            <w:div w:id="1931161420">
              <w:marLeft w:val="0"/>
              <w:marRight w:val="0"/>
              <w:marTop w:val="0"/>
              <w:marBottom w:val="0"/>
              <w:divBdr>
                <w:top w:val="none" w:sz="0" w:space="0" w:color="auto"/>
                <w:left w:val="none" w:sz="0" w:space="0" w:color="auto"/>
                <w:bottom w:val="none" w:sz="0" w:space="0" w:color="auto"/>
                <w:right w:val="none" w:sz="0" w:space="0" w:color="auto"/>
              </w:divBdr>
            </w:div>
            <w:div w:id="2118865536">
              <w:marLeft w:val="0"/>
              <w:marRight w:val="0"/>
              <w:marTop w:val="0"/>
              <w:marBottom w:val="0"/>
              <w:divBdr>
                <w:top w:val="none" w:sz="0" w:space="0" w:color="auto"/>
                <w:left w:val="none" w:sz="0" w:space="0" w:color="auto"/>
                <w:bottom w:val="none" w:sz="0" w:space="0" w:color="auto"/>
                <w:right w:val="none" w:sz="0" w:space="0" w:color="auto"/>
              </w:divBdr>
            </w:div>
            <w:div w:id="327364275">
              <w:marLeft w:val="0"/>
              <w:marRight w:val="0"/>
              <w:marTop w:val="0"/>
              <w:marBottom w:val="0"/>
              <w:divBdr>
                <w:top w:val="none" w:sz="0" w:space="0" w:color="auto"/>
                <w:left w:val="none" w:sz="0" w:space="0" w:color="auto"/>
                <w:bottom w:val="none" w:sz="0" w:space="0" w:color="auto"/>
                <w:right w:val="none" w:sz="0" w:space="0" w:color="auto"/>
              </w:divBdr>
            </w:div>
          </w:divsChild>
        </w:div>
        <w:div w:id="553128643">
          <w:marLeft w:val="0"/>
          <w:marRight w:val="0"/>
          <w:marTop w:val="0"/>
          <w:marBottom w:val="0"/>
          <w:divBdr>
            <w:top w:val="none" w:sz="0" w:space="0" w:color="auto"/>
            <w:left w:val="none" w:sz="0" w:space="0" w:color="auto"/>
            <w:bottom w:val="none" w:sz="0" w:space="0" w:color="auto"/>
            <w:right w:val="none" w:sz="0" w:space="0" w:color="auto"/>
          </w:divBdr>
        </w:div>
        <w:div w:id="1308361705">
          <w:marLeft w:val="0"/>
          <w:marRight w:val="0"/>
          <w:marTop w:val="0"/>
          <w:marBottom w:val="0"/>
          <w:divBdr>
            <w:top w:val="none" w:sz="0" w:space="0" w:color="auto"/>
            <w:left w:val="none" w:sz="0" w:space="0" w:color="auto"/>
            <w:bottom w:val="none" w:sz="0" w:space="0" w:color="auto"/>
            <w:right w:val="none" w:sz="0" w:space="0" w:color="auto"/>
          </w:divBdr>
        </w:div>
        <w:div w:id="157813386">
          <w:marLeft w:val="0"/>
          <w:marRight w:val="0"/>
          <w:marTop w:val="0"/>
          <w:marBottom w:val="0"/>
          <w:divBdr>
            <w:top w:val="none" w:sz="0" w:space="0" w:color="auto"/>
            <w:left w:val="none" w:sz="0" w:space="0" w:color="auto"/>
            <w:bottom w:val="none" w:sz="0" w:space="0" w:color="auto"/>
            <w:right w:val="none" w:sz="0" w:space="0" w:color="auto"/>
          </w:divBdr>
        </w:div>
        <w:div w:id="1811751013">
          <w:marLeft w:val="0"/>
          <w:marRight w:val="0"/>
          <w:marTop w:val="0"/>
          <w:marBottom w:val="0"/>
          <w:divBdr>
            <w:top w:val="none" w:sz="0" w:space="0" w:color="auto"/>
            <w:left w:val="none" w:sz="0" w:space="0" w:color="auto"/>
            <w:bottom w:val="none" w:sz="0" w:space="0" w:color="auto"/>
            <w:right w:val="none" w:sz="0" w:space="0" w:color="auto"/>
          </w:divBdr>
        </w:div>
      </w:divsChild>
    </w:div>
    <w:div w:id="1229418253">
      <w:bodyDiv w:val="1"/>
      <w:marLeft w:val="0"/>
      <w:marRight w:val="0"/>
      <w:marTop w:val="0"/>
      <w:marBottom w:val="0"/>
      <w:divBdr>
        <w:top w:val="none" w:sz="0" w:space="0" w:color="auto"/>
        <w:left w:val="none" w:sz="0" w:space="0" w:color="auto"/>
        <w:bottom w:val="none" w:sz="0" w:space="0" w:color="auto"/>
        <w:right w:val="none" w:sz="0" w:space="0" w:color="auto"/>
      </w:divBdr>
    </w:div>
    <w:div w:id="1301962948">
      <w:bodyDiv w:val="1"/>
      <w:marLeft w:val="0"/>
      <w:marRight w:val="0"/>
      <w:marTop w:val="0"/>
      <w:marBottom w:val="0"/>
      <w:divBdr>
        <w:top w:val="none" w:sz="0" w:space="0" w:color="auto"/>
        <w:left w:val="none" w:sz="0" w:space="0" w:color="auto"/>
        <w:bottom w:val="none" w:sz="0" w:space="0" w:color="auto"/>
        <w:right w:val="none" w:sz="0" w:space="0" w:color="auto"/>
      </w:divBdr>
    </w:div>
    <w:div w:id="1312752885">
      <w:bodyDiv w:val="1"/>
      <w:marLeft w:val="0"/>
      <w:marRight w:val="0"/>
      <w:marTop w:val="0"/>
      <w:marBottom w:val="0"/>
      <w:divBdr>
        <w:top w:val="none" w:sz="0" w:space="0" w:color="auto"/>
        <w:left w:val="none" w:sz="0" w:space="0" w:color="auto"/>
        <w:bottom w:val="none" w:sz="0" w:space="0" w:color="auto"/>
        <w:right w:val="none" w:sz="0" w:space="0" w:color="auto"/>
      </w:divBdr>
    </w:div>
    <w:div w:id="1333793916">
      <w:bodyDiv w:val="1"/>
      <w:marLeft w:val="0"/>
      <w:marRight w:val="0"/>
      <w:marTop w:val="0"/>
      <w:marBottom w:val="0"/>
      <w:divBdr>
        <w:top w:val="none" w:sz="0" w:space="0" w:color="auto"/>
        <w:left w:val="none" w:sz="0" w:space="0" w:color="auto"/>
        <w:bottom w:val="none" w:sz="0" w:space="0" w:color="auto"/>
        <w:right w:val="none" w:sz="0" w:space="0" w:color="auto"/>
      </w:divBdr>
      <w:divsChild>
        <w:div w:id="1307201111">
          <w:marLeft w:val="0"/>
          <w:marRight w:val="0"/>
          <w:marTop w:val="0"/>
          <w:marBottom w:val="0"/>
          <w:divBdr>
            <w:top w:val="none" w:sz="0" w:space="0" w:color="auto"/>
            <w:left w:val="none" w:sz="0" w:space="0" w:color="auto"/>
            <w:bottom w:val="none" w:sz="0" w:space="0" w:color="auto"/>
            <w:right w:val="none" w:sz="0" w:space="0" w:color="auto"/>
          </w:divBdr>
        </w:div>
        <w:div w:id="91750871">
          <w:marLeft w:val="0"/>
          <w:marRight w:val="0"/>
          <w:marTop w:val="0"/>
          <w:marBottom w:val="0"/>
          <w:divBdr>
            <w:top w:val="none" w:sz="0" w:space="0" w:color="auto"/>
            <w:left w:val="none" w:sz="0" w:space="0" w:color="auto"/>
            <w:bottom w:val="none" w:sz="0" w:space="0" w:color="auto"/>
            <w:right w:val="none" w:sz="0" w:space="0" w:color="auto"/>
          </w:divBdr>
        </w:div>
        <w:div w:id="730231317">
          <w:marLeft w:val="0"/>
          <w:marRight w:val="0"/>
          <w:marTop w:val="0"/>
          <w:marBottom w:val="0"/>
          <w:divBdr>
            <w:top w:val="none" w:sz="0" w:space="0" w:color="auto"/>
            <w:left w:val="none" w:sz="0" w:space="0" w:color="auto"/>
            <w:bottom w:val="none" w:sz="0" w:space="0" w:color="auto"/>
            <w:right w:val="none" w:sz="0" w:space="0" w:color="auto"/>
          </w:divBdr>
        </w:div>
        <w:div w:id="1232622255">
          <w:marLeft w:val="0"/>
          <w:marRight w:val="0"/>
          <w:marTop w:val="0"/>
          <w:marBottom w:val="0"/>
          <w:divBdr>
            <w:top w:val="none" w:sz="0" w:space="0" w:color="auto"/>
            <w:left w:val="none" w:sz="0" w:space="0" w:color="auto"/>
            <w:bottom w:val="none" w:sz="0" w:space="0" w:color="auto"/>
            <w:right w:val="none" w:sz="0" w:space="0" w:color="auto"/>
          </w:divBdr>
        </w:div>
        <w:div w:id="492643075">
          <w:marLeft w:val="0"/>
          <w:marRight w:val="0"/>
          <w:marTop w:val="0"/>
          <w:marBottom w:val="0"/>
          <w:divBdr>
            <w:top w:val="none" w:sz="0" w:space="0" w:color="auto"/>
            <w:left w:val="none" w:sz="0" w:space="0" w:color="auto"/>
            <w:bottom w:val="none" w:sz="0" w:space="0" w:color="auto"/>
            <w:right w:val="none" w:sz="0" w:space="0" w:color="auto"/>
          </w:divBdr>
        </w:div>
        <w:div w:id="1193149172">
          <w:marLeft w:val="0"/>
          <w:marRight w:val="0"/>
          <w:marTop w:val="0"/>
          <w:marBottom w:val="0"/>
          <w:divBdr>
            <w:top w:val="none" w:sz="0" w:space="0" w:color="auto"/>
            <w:left w:val="none" w:sz="0" w:space="0" w:color="auto"/>
            <w:bottom w:val="none" w:sz="0" w:space="0" w:color="auto"/>
            <w:right w:val="none" w:sz="0" w:space="0" w:color="auto"/>
          </w:divBdr>
        </w:div>
        <w:div w:id="1245529785">
          <w:marLeft w:val="0"/>
          <w:marRight w:val="0"/>
          <w:marTop w:val="0"/>
          <w:marBottom w:val="0"/>
          <w:divBdr>
            <w:top w:val="none" w:sz="0" w:space="0" w:color="auto"/>
            <w:left w:val="none" w:sz="0" w:space="0" w:color="auto"/>
            <w:bottom w:val="none" w:sz="0" w:space="0" w:color="auto"/>
            <w:right w:val="none" w:sz="0" w:space="0" w:color="auto"/>
          </w:divBdr>
        </w:div>
      </w:divsChild>
    </w:div>
    <w:div w:id="1401756439">
      <w:bodyDiv w:val="1"/>
      <w:marLeft w:val="0"/>
      <w:marRight w:val="0"/>
      <w:marTop w:val="0"/>
      <w:marBottom w:val="0"/>
      <w:divBdr>
        <w:top w:val="none" w:sz="0" w:space="0" w:color="auto"/>
        <w:left w:val="none" w:sz="0" w:space="0" w:color="auto"/>
        <w:bottom w:val="none" w:sz="0" w:space="0" w:color="auto"/>
        <w:right w:val="none" w:sz="0" w:space="0" w:color="auto"/>
      </w:divBdr>
      <w:divsChild>
        <w:div w:id="426467840">
          <w:marLeft w:val="0"/>
          <w:marRight w:val="0"/>
          <w:marTop w:val="0"/>
          <w:marBottom w:val="0"/>
          <w:divBdr>
            <w:top w:val="none" w:sz="0" w:space="0" w:color="auto"/>
            <w:left w:val="none" w:sz="0" w:space="0" w:color="auto"/>
            <w:bottom w:val="none" w:sz="0" w:space="0" w:color="auto"/>
            <w:right w:val="none" w:sz="0" w:space="0" w:color="auto"/>
          </w:divBdr>
        </w:div>
        <w:div w:id="877661579">
          <w:marLeft w:val="0"/>
          <w:marRight w:val="0"/>
          <w:marTop w:val="0"/>
          <w:marBottom w:val="0"/>
          <w:divBdr>
            <w:top w:val="none" w:sz="0" w:space="0" w:color="auto"/>
            <w:left w:val="none" w:sz="0" w:space="0" w:color="auto"/>
            <w:bottom w:val="none" w:sz="0" w:space="0" w:color="auto"/>
            <w:right w:val="none" w:sz="0" w:space="0" w:color="auto"/>
          </w:divBdr>
        </w:div>
        <w:div w:id="385380040">
          <w:marLeft w:val="0"/>
          <w:marRight w:val="0"/>
          <w:marTop w:val="0"/>
          <w:marBottom w:val="0"/>
          <w:divBdr>
            <w:top w:val="none" w:sz="0" w:space="0" w:color="auto"/>
            <w:left w:val="none" w:sz="0" w:space="0" w:color="auto"/>
            <w:bottom w:val="none" w:sz="0" w:space="0" w:color="auto"/>
            <w:right w:val="none" w:sz="0" w:space="0" w:color="auto"/>
          </w:divBdr>
        </w:div>
        <w:div w:id="84692883">
          <w:marLeft w:val="0"/>
          <w:marRight w:val="0"/>
          <w:marTop w:val="0"/>
          <w:marBottom w:val="0"/>
          <w:divBdr>
            <w:top w:val="none" w:sz="0" w:space="0" w:color="auto"/>
            <w:left w:val="none" w:sz="0" w:space="0" w:color="auto"/>
            <w:bottom w:val="none" w:sz="0" w:space="0" w:color="auto"/>
            <w:right w:val="none" w:sz="0" w:space="0" w:color="auto"/>
          </w:divBdr>
        </w:div>
        <w:div w:id="1229851187">
          <w:marLeft w:val="0"/>
          <w:marRight w:val="0"/>
          <w:marTop w:val="0"/>
          <w:marBottom w:val="0"/>
          <w:divBdr>
            <w:top w:val="none" w:sz="0" w:space="0" w:color="auto"/>
            <w:left w:val="none" w:sz="0" w:space="0" w:color="auto"/>
            <w:bottom w:val="none" w:sz="0" w:space="0" w:color="auto"/>
            <w:right w:val="none" w:sz="0" w:space="0" w:color="auto"/>
          </w:divBdr>
        </w:div>
        <w:div w:id="1625651417">
          <w:marLeft w:val="0"/>
          <w:marRight w:val="0"/>
          <w:marTop w:val="0"/>
          <w:marBottom w:val="0"/>
          <w:divBdr>
            <w:top w:val="none" w:sz="0" w:space="0" w:color="auto"/>
            <w:left w:val="none" w:sz="0" w:space="0" w:color="auto"/>
            <w:bottom w:val="none" w:sz="0" w:space="0" w:color="auto"/>
            <w:right w:val="none" w:sz="0" w:space="0" w:color="auto"/>
          </w:divBdr>
        </w:div>
        <w:div w:id="1278685383">
          <w:marLeft w:val="0"/>
          <w:marRight w:val="0"/>
          <w:marTop w:val="0"/>
          <w:marBottom w:val="0"/>
          <w:divBdr>
            <w:top w:val="none" w:sz="0" w:space="0" w:color="auto"/>
            <w:left w:val="none" w:sz="0" w:space="0" w:color="auto"/>
            <w:bottom w:val="none" w:sz="0" w:space="0" w:color="auto"/>
            <w:right w:val="none" w:sz="0" w:space="0" w:color="auto"/>
          </w:divBdr>
        </w:div>
      </w:divsChild>
    </w:div>
    <w:div w:id="1449012924">
      <w:bodyDiv w:val="1"/>
      <w:marLeft w:val="0"/>
      <w:marRight w:val="0"/>
      <w:marTop w:val="0"/>
      <w:marBottom w:val="0"/>
      <w:divBdr>
        <w:top w:val="none" w:sz="0" w:space="0" w:color="auto"/>
        <w:left w:val="none" w:sz="0" w:space="0" w:color="auto"/>
        <w:bottom w:val="none" w:sz="0" w:space="0" w:color="auto"/>
        <w:right w:val="none" w:sz="0" w:space="0" w:color="auto"/>
      </w:divBdr>
      <w:divsChild>
        <w:div w:id="84813980">
          <w:marLeft w:val="0"/>
          <w:marRight w:val="0"/>
          <w:marTop w:val="0"/>
          <w:marBottom w:val="0"/>
          <w:divBdr>
            <w:top w:val="none" w:sz="0" w:space="0" w:color="auto"/>
            <w:left w:val="none" w:sz="0" w:space="0" w:color="auto"/>
            <w:bottom w:val="none" w:sz="0" w:space="0" w:color="auto"/>
            <w:right w:val="none" w:sz="0" w:space="0" w:color="auto"/>
          </w:divBdr>
          <w:divsChild>
            <w:div w:id="1802646361">
              <w:marLeft w:val="0"/>
              <w:marRight w:val="0"/>
              <w:marTop w:val="0"/>
              <w:marBottom w:val="0"/>
              <w:divBdr>
                <w:top w:val="none" w:sz="0" w:space="0" w:color="auto"/>
                <w:left w:val="none" w:sz="0" w:space="0" w:color="auto"/>
                <w:bottom w:val="none" w:sz="0" w:space="0" w:color="auto"/>
                <w:right w:val="none" w:sz="0" w:space="0" w:color="auto"/>
              </w:divBdr>
            </w:div>
          </w:divsChild>
        </w:div>
        <w:div w:id="1656257951">
          <w:marLeft w:val="0"/>
          <w:marRight w:val="0"/>
          <w:marTop w:val="0"/>
          <w:marBottom w:val="0"/>
          <w:divBdr>
            <w:top w:val="none" w:sz="0" w:space="0" w:color="auto"/>
            <w:left w:val="none" w:sz="0" w:space="0" w:color="auto"/>
            <w:bottom w:val="none" w:sz="0" w:space="0" w:color="auto"/>
            <w:right w:val="none" w:sz="0" w:space="0" w:color="auto"/>
          </w:divBdr>
          <w:divsChild>
            <w:div w:id="2137871262">
              <w:marLeft w:val="0"/>
              <w:marRight w:val="0"/>
              <w:marTop w:val="0"/>
              <w:marBottom w:val="0"/>
              <w:divBdr>
                <w:top w:val="none" w:sz="0" w:space="0" w:color="auto"/>
                <w:left w:val="none" w:sz="0" w:space="0" w:color="auto"/>
                <w:bottom w:val="none" w:sz="0" w:space="0" w:color="auto"/>
                <w:right w:val="none" w:sz="0" w:space="0" w:color="auto"/>
              </w:divBdr>
            </w:div>
            <w:div w:id="1921089125">
              <w:marLeft w:val="0"/>
              <w:marRight w:val="0"/>
              <w:marTop w:val="0"/>
              <w:marBottom w:val="0"/>
              <w:divBdr>
                <w:top w:val="none" w:sz="0" w:space="0" w:color="auto"/>
                <w:left w:val="none" w:sz="0" w:space="0" w:color="auto"/>
                <w:bottom w:val="none" w:sz="0" w:space="0" w:color="auto"/>
                <w:right w:val="none" w:sz="0" w:space="0" w:color="auto"/>
              </w:divBdr>
            </w:div>
            <w:div w:id="541090071">
              <w:marLeft w:val="0"/>
              <w:marRight w:val="0"/>
              <w:marTop w:val="0"/>
              <w:marBottom w:val="0"/>
              <w:divBdr>
                <w:top w:val="none" w:sz="0" w:space="0" w:color="auto"/>
                <w:left w:val="none" w:sz="0" w:space="0" w:color="auto"/>
                <w:bottom w:val="none" w:sz="0" w:space="0" w:color="auto"/>
                <w:right w:val="none" w:sz="0" w:space="0" w:color="auto"/>
              </w:divBdr>
            </w:div>
          </w:divsChild>
        </w:div>
        <w:div w:id="1979723008">
          <w:marLeft w:val="0"/>
          <w:marRight w:val="0"/>
          <w:marTop w:val="0"/>
          <w:marBottom w:val="0"/>
          <w:divBdr>
            <w:top w:val="none" w:sz="0" w:space="0" w:color="auto"/>
            <w:left w:val="none" w:sz="0" w:space="0" w:color="auto"/>
            <w:bottom w:val="none" w:sz="0" w:space="0" w:color="auto"/>
            <w:right w:val="none" w:sz="0" w:space="0" w:color="auto"/>
          </w:divBdr>
          <w:divsChild>
            <w:div w:id="1940288282">
              <w:marLeft w:val="0"/>
              <w:marRight w:val="0"/>
              <w:marTop w:val="0"/>
              <w:marBottom w:val="0"/>
              <w:divBdr>
                <w:top w:val="none" w:sz="0" w:space="0" w:color="auto"/>
                <w:left w:val="none" w:sz="0" w:space="0" w:color="auto"/>
                <w:bottom w:val="none" w:sz="0" w:space="0" w:color="auto"/>
                <w:right w:val="none" w:sz="0" w:space="0" w:color="auto"/>
              </w:divBdr>
            </w:div>
            <w:div w:id="1747802346">
              <w:marLeft w:val="0"/>
              <w:marRight w:val="0"/>
              <w:marTop w:val="0"/>
              <w:marBottom w:val="0"/>
              <w:divBdr>
                <w:top w:val="none" w:sz="0" w:space="0" w:color="auto"/>
                <w:left w:val="none" w:sz="0" w:space="0" w:color="auto"/>
                <w:bottom w:val="none" w:sz="0" w:space="0" w:color="auto"/>
                <w:right w:val="none" w:sz="0" w:space="0" w:color="auto"/>
              </w:divBdr>
            </w:div>
            <w:div w:id="565457650">
              <w:marLeft w:val="0"/>
              <w:marRight w:val="0"/>
              <w:marTop w:val="0"/>
              <w:marBottom w:val="0"/>
              <w:divBdr>
                <w:top w:val="none" w:sz="0" w:space="0" w:color="auto"/>
                <w:left w:val="none" w:sz="0" w:space="0" w:color="auto"/>
                <w:bottom w:val="none" w:sz="0" w:space="0" w:color="auto"/>
                <w:right w:val="none" w:sz="0" w:space="0" w:color="auto"/>
              </w:divBdr>
            </w:div>
          </w:divsChild>
        </w:div>
        <w:div w:id="1533763922">
          <w:marLeft w:val="0"/>
          <w:marRight w:val="0"/>
          <w:marTop w:val="0"/>
          <w:marBottom w:val="0"/>
          <w:divBdr>
            <w:top w:val="none" w:sz="0" w:space="0" w:color="auto"/>
            <w:left w:val="none" w:sz="0" w:space="0" w:color="auto"/>
            <w:bottom w:val="none" w:sz="0" w:space="0" w:color="auto"/>
            <w:right w:val="none" w:sz="0" w:space="0" w:color="auto"/>
          </w:divBdr>
        </w:div>
        <w:div w:id="987169170">
          <w:marLeft w:val="0"/>
          <w:marRight w:val="0"/>
          <w:marTop w:val="0"/>
          <w:marBottom w:val="0"/>
          <w:divBdr>
            <w:top w:val="none" w:sz="0" w:space="0" w:color="auto"/>
            <w:left w:val="none" w:sz="0" w:space="0" w:color="auto"/>
            <w:bottom w:val="none" w:sz="0" w:space="0" w:color="auto"/>
            <w:right w:val="none" w:sz="0" w:space="0" w:color="auto"/>
          </w:divBdr>
        </w:div>
        <w:div w:id="1310869101">
          <w:marLeft w:val="0"/>
          <w:marRight w:val="0"/>
          <w:marTop w:val="0"/>
          <w:marBottom w:val="0"/>
          <w:divBdr>
            <w:top w:val="none" w:sz="0" w:space="0" w:color="auto"/>
            <w:left w:val="none" w:sz="0" w:space="0" w:color="auto"/>
            <w:bottom w:val="none" w:sz="0" w:space="0" w:color="auto"/>
            <w:right w:val="none" w:sz="0" w:space="0" w:color="auto"/>
          </w:divBdr>
        </w:div>
      </w:divsChild>
    </w:div>
    <w:div w:id="1532298188">
      <w:bodyDiv w:val="1"/>
      <w:marLeft w:val="0"/>
      <w:marRight w:val="0"/>
      <w:marTop w:val="0"/>
      <w:marBottom w:val="0"/>
      <w:divBdr>
        <w:top w:val="none" w:sz="0" w:space="0" w:color="auto"/>
        <w:left w:val="none" w:sz="0" w:space="0" w:color="auto"/>
        <w:bottom w:val="none" w:sz="0" w:space="0" w:color="auto"/>
        <w:right w:val="none" w:sz="0" w:space="0" w:color="auto"/>
      </w:divBdr>
      <w:divsChild>
        <w:div w:id="1236746151">
          <w:marLeft w:val="0"/>
          <w:marRight w:val="0"/>
          <w:marTop w:val="0"/>
          <w:marBottom w:val="0"/>
          <w:divBdr>
            <w:top w:val="none" w:sz="0" w:space="0" w:color="auto"/>
            <w:left w:val="none" w:sz="0" w:space="0" w:color="auto"/>
            <w:bottom w:val="none" w:sz="0" w:space="0" w:color="auto"/>
            <w:right w:val="none" w:sz="0" w:space="0" w:color="auto"/>
          </w:divBdr>
        </w:div>
        <w:div w:id="345326444">
          <w:marLeft w:val="0"/>
          <w:marRight w:val="0"/>
          <w:marTop w:val="0"/>
          <w:marBottom w:val="0"/>
          <w:divBdr>
            <w:top w:val="none" w:sz="0" w:space="0" w:color="auto"/>
            <w:left w:val="none" w:sz="0" w:space="0" w:color="auto"/>
            <w:bottom w:val="none" w:sz="0" w:space="0" w:color="auto"/>
            <w:right w:val="none" w:sz="0" w:space="0" w:color="auto"/>
          </w:divBdr>
        </w:div>
        <w:div w:id="793403035">
          <w:marLeft w:val="0"/>
          <w:marRight w:val="0"/>
          <w:marTop w:val="0"/>
          <w:marBottom w:val="0"/>
          <w:divBdr>
            <w:top w:val="none" w:sz="0" w:space="0" w:color="auto"/>
            <w:left w:val="none" w:sz="0" w:space="0" w:color="auto"/>
            <w:bottom w:val="none" w:sz="0" w:space="0" w:color="auto"/>
            <w:right w:val="none" w:sz="0" w:space="0" w:color="auto"/>
          </w:divBdr>
        </w:div>
        <w:div w:id="92409644">
          <w:marLeft w:val="0"/>
          <w:marRight w:val="0"/>
          <w:marTop w:val="0"/>
          <w:marBottom w:val="0"/>
          <w:divBdr>
            <w:top w:val="none" w:sz="0" w:space="0" w:color="auto"/>
            <w:left w:val="none" w:sz="0" w:space="0" w:color="auto"/>
            <w:bottom w:val="none" w:sz="0" w:space="0" w:color="auto"/>
            <w:right w:val="none" w:sz="0" w:space="0" w:color="auto"/>
          </w:divBdr>
        </w:div>
        <w:div w:id="594441457">
          <w:marLeft w:val="0"/>
          <w:marRight w:val="0"/>
          <w:marTop w:val="0"/>
          <w:marBottom w:val="0"/>
          <w:divBdr>
            <w:top w:val="none" w:sz="0" w:space="0" w:color="auto"/>
            <w:left w:val="none" w:sz="0" w:space="0" w:color="auto"/>
            <w:bottom w:val="none" w:sz="0" w:space="0" w:color="auto"/>
            <w:right w:val="none" w:sz="0" w:space="0" w:color="auto"/>
          </w:divBdr>
        </w:div>
        <w:div w:id="1618095868">
          <w:marLeft w:val="0"/>
          <w:marRight w:val="0"/>
          <w:marTop w:val="0"/>
          <w:marBottom w:val="0"/>
          <w:divBdr>
            <w:top w:val="none" w:sz="0" w:space="0" w:color="auto"/>
            <w:left w:val="none" w:sz="0" w:space="0" w:color="auto"/>
            <w:bottom w:val="none" w:sz="0" w:space="0" w:color="auto"/>
            <w:right w:val="none" w:sz="0" w:space="0" w:color="auto"/>
          </w:divBdr>
        </w:div>
        <w:div w:id="95056536">
          <w:marLeft w:val="0"/>
          <w:marRight w:val="0"/>
          <w:marTop w:val="0"/>
          <w:marBottom w:val="0"/>
          <w:divBdr>
            <w:top w:val="none" w:sz="0" w:space="0" w:color="auto"/>
            <w:left w:val="none" w:sz="0" w:space="0" w:color="auto"/>
            <w:bottom w:val="none" w:sz="0" w:space="0" w:color="auto"/>
            <w:right w:val="none" w:sz="0" w:space="0" w:color="auto"/>
          </w:divBdr>
        </w:div>
      </w:divsChild>
    </w:div>
    <w:div w:id="1661034528">
      <w:bodyDiv w:val="1"/>
      <w:marLeft w:val="0"/>
      <w:marRight w:val="0"/>
      <w:marTop w:val="0"/>
      <w:marBottom w:val="0"/>
      <w:divBdr>
        <w:top w:val="none" w:sz="0" w:space="0" w:color="auto"/>
        <w:left w:val="none" w:sz="0" w:space="0" w:color="auto"/>
        <w:bottom w:val="none" w:sz="0" w:space="0" w:color="auto"/>
        <w:right w:val="none" w:sz="0" w:space="0" w:color="auto"/>
      </w:divBdr>
      <w:divsChild>
        <w:div w:id="84344913">
          <w:marLeft w:val="0"/>
          <w:marRight w:val="0"/>
          <w:marTop w:val="0"/>
          <w:marBottom w:val="0"/>
          <w:divBdr>
            <w:top w:val="none" w:sz="0" w:space="0" w:color="auto"/>
            <w:left w:val="none" w:sz="0" w:space="0" w:color="auto"/>
            <w:bottom w:val="none" w:sz="0" w:space="0" w:color="auto"/>
            <w:right w:val="none" w:sz="0" w:space="0" w:color="auto"/>
          </w:divBdr>
        </w:div>
        <w:div w:id="880214073">
          <w:marLeft w:val="0"/>
          <w:marRight w:val="0"/>
          <w:marTop w:val="0"/>
          <w:marBottom w:val="0"/>
          <w:divBdr>
            <w:top w:val="none" w:sz="0" w:space="0" w:color="auto"/>
            <w:left w:val="none" w:sz="0" w:space="0" w:color="auto"/>
            <w:bottom w:val="none" w:sz="0" w:space="0" w:color="auto"/>
            <w:right w:val="none" w:sz="0" w:space="0" w:color="auto"/>
          </w:divBdr>
        </w:div>
        <w:div w:id="544634329">
          <w:marLeft w:val="0"/>
          <w:marRight w:val="0"/>
          <w:marTop w:val="0"/>
          <w:marBottom w:val="0"/>
          <w:divBdr>
            <w:top w:val="none" w:sz="0" w:space="0" w:color="auto"/>
            <w:left w:val="none" w:sz="0" w:space="0" w:color="auto"/>
            <w:bottom w:val="none" w:sz="0" w:space="0" w:color="auto"/>
            <w:right w:val="none" w:sz="0" w:space="0" w:color="auto"/>
          </w:divBdr>
        </w:div>
        <w:div w:id="1050883386">
          <w:marLeft w:val="0"/>
          <w:marRight w:val="0"/>
          <w:marTop w:val="0"/>
          <w:marBottom w:val="0"/>
          <w:divBdr>
            <w:top w:val="none" w:sz="0" w:space="0" w:color="auto"/>
            <w:left w:val="none" w:sz="0" w:space="0" w:color="auto"/>
            <w:bottom w:val="none" w:sz="0" w:space="0" w:color="auto"/>
            <w:right w:val="none" w:sz="0" w:space="0" w:color="auto"/>
          </w:divBdr>
        </w:div>
        <w:div w:id="190529926">
          <w:marLeft w:val="0"/>
          <w:marRight w:val="0"/>
          <w:marTop w:val="0"/>
          <w:marBottom w:val="0"/>
          <w:divBdr>
            <w:top w:val="none" w:sz="0" w:space="0" w:color="auto"/>
            <w:left w:val="none" w:sz="0" w:space="0" w:color="auto"/>
            <w:bottom w:val="none" w:sz="0" w:space="0" w:color="auto"/>
            <w:right w:val="none" w:sz="0" w:space="0" w:color="auto"/>
          </w:divBdr>
        </w:div>
        <w:div w:id="1087267121">
          <w:marLeft w:val="0"/>
          <w:marRight w:val="0"/>
          <w:marTop w:val="0"/>
          <w:marBottom w:val="0"/>
          <w:divBdr>
            <w:top w:val="none" w:sz="0" w:space="0" w:color="auto"/>
            <w:left w:val="none" w:sz="0" w:space="0" w:color="auto"/>
            <w:bottom w:val="none" w:sz="0" w:space="0" w:color="auto"/>
            <w:right w:val="none" w:sz="0" w:space="0" w:color="auto"/>
          </w:divBdr>
        </w:div>
        <w:div w:id="920681860">
          <w:marLeft w:val="0"/>
          <w:marRight w:val="0"/>
          <w:marTop w:val="0"/>
          <w:marBottom w:val="0"/>
          <w:divBdr>
            <w:top w:val="none" w:sz="0" w:space="0" w:color="auto"/>
            <w:left w:val="none" w:sz="0" w:space="0" w:color="auto"/>
            <w:bottom w:val="none" w:sz="0" w:space="0" w:color="auto"/>
            <w:right w:val="none" w:sz="0" w:space="0" w:color="auto"/>
          </w:divBdr>
        </w:div>
      </w:divsChild>
    </w:div>
    <w:div w:id="1692410614">
      <w:bodyDiv w:val="1"/>
      <w:marLeft w:val="0"/>
      <w:marRight w:val="0"/>
      <w:marTop w:val="0"/>
      <w:marBottom w:val="0"/>
      <w:divBdr>
        <w:top w:val="none" w:sz="0" w:space="0" w:color="auto"/>
        <w:left w:val="none" w:sz="0" w:space="0" w:color="auto"/>
        <w:bottom w:val="none" w:sz="0" w:space="0" w:color="auto"/>
        <w:right w:val="none" w:sz="0" w:space="0" w:color="auto"/>
      </w:divBdr>
      <w:divsChild>
        <w:div w:id="1160542476">
          <w:marLeft w:val="0"/>
          <w:marRight w:val="0"/>
          <w:marTop w:val="0"/>
          <w:marBottom w:val="0"/>
          <w:divBdr>
            <w:top w:val="none" w:sz="0" w:space="0" w:color="auto"/>
            <w:left w:val="none" w:sz="0" w:space="0" w:color="auto"/>
            <w:bottom w:val="none" w:sz="0" w:space="0" w:color="auto"/>
            <w:right w:val="none" w:sz="0" w:space="0" w:color="auto"/>
          </w:divBdr>
          <w:divsChild>
            <w:div w:id="614337635">
              <w:marLeft w:val="0"/>
              <w:marRight w:val="0"/>
              <w:marTop w:val="0"/>
              <w:marBottom w:val="0"/>
              <w:divBdr>
                <w:top w:val="none" w:sz="0" w:space="0" w:color="auto"/>
                <w:left w:val="none" w:sz="0" w:space="0" w:color="auto"/>
                <w:bottom w:val="none" w:sz="0" w:space="0" w:color="auto"/>
                <w:right w:val="none" w:sz="0" w:space="0" w:color="auto"/>
              </w:divBdr>
              <w:divsChild>
                <w:div w:id="2010863429">
                  <w:marLeft w:val="0"/>
                  <w:marRight w:val="0"/>
                  <w:marTop w:val="0"/>
                  <w:marBottom w:val="0"/>
                  <w:divBdr>
                    <w:top w:val="none" w:sz="0" w:space="0" w:color="auto"/>
                    <w:left w:val="none" w:sz="0" w:space="0" w:color="auto"/>
                    <w:bottom w:val="none" w:sz="0" w:space="0" w:color="auto"/>
                    <w:right w:val="none" w:sz="0" w:space="0" w:color="auto"/>
                  </w:divBdr>
                </w:div>
              </w:divsChild>
            </w:div>
            <w:div w:id="1115829280">
              <w:marLeft w:val="0"/>
              <w:marRight w:val="0"/>
              <w:marTop w:val="0"/>
              <w:marBottom w:val="0"/>
              <w:divBdr>
                <w:top w:val="none" w:sz="0" w:space="0" w:color="auto"/>
                <w:left w:val="none" w:sz="0" w:space="0" w:color="auto"/>
                <w:bottom w:val="none" w:sz="0" w:space="0" w:color="auto"/>
                <w:right w:val="none" w:sz="0" w:space="0" w:color="auto"/>
              </w:divBdr>
              <w:divsChild>
                <w:div w:id="724717321">
                  <w:marLeft w:val="0"/>
                  <w:marRight w:val="0"/>
                  <w:marTop w:val="0"/>
                  <w:marBottom w:val="0"/>
                  <w:divBdr>
                    <w:top w:val="none" w:sz="0" w:space="0" w:color="auto"/>
                    <w:left w:val="none" w:sz="0" w:space="0" w:color="auto"/>
                    <w:bottom w:val="none" w:sz="0" w:space="0" w:color="auto"/>
                    <w:right w:val="none" w:sz="0" w:space="0" w:color="auto"/>
                  </w:divBdr>
                </w:div>
                <w:div w:id="822888693">
                  <w:marLeft w:val="0"/>
                  <w:marRight w:val="0"/>
                  <w:marTop w:val="0"/>
                  <w:marBottom w:val="0"/>
                  <w:divBdr>
                    <w:top w:val="none" w:sz="0" w:space="0" w:color="auto"/>
                    <w:left w:val="none" w:sz="0" w:space="0" w:color="auto"/>
                    <w:bottom w:val="none" w:sz="0" w:space="0" w:color="auto"/>
                    <w:right w:val="none" w:sz="0" w:space="0" w:color="auto"/>
                  </w:divBdr>
                </w:div>
                <w:div w:id="1861123776">
                  <w:marLeft w:val="0"/>
                  <w:marRight w:val="0"/>
                  <w:marTop w:val="0"/>
                  <w:marBottom w:val="0"/>
                  <w:divBdr>
                    <w:top w:val="none" w:sz="0" w:space="0" w:color="auto"/>
                    <w:left w:val="none" w:sz="0" w:space="0" w:color="auto"/>
                    <w:bottom w:val="none" w:sz="0" w:space="0" w:color="auto"/>
                    <w:right w:val="none" w:sz="0" w:space="0" w:color="auto"/>
                  </w:divBdr>
                </w:div>
              </w:divsChild>
            </w:div>
            <w:div w:id="1059674163">
              <w:marLeft w:val="0"/>
              <w:marRight w:val="0"/>
              <w:marTop w:val="0"/>
              <w:marBottom w:val="0"/>
              <w:divBdr>
                <w:top w:val="none" w:sz="0" w:space="0" w:color="auto"/>
                <w:left w:val="none" w:sz="0" w:space="0" w:color="auto"/>
                <w:bottom w:val="none" w:sz="0" w:space="0" w:color="auto"/>
                <w:right w:val="none" w:sz="0" w:space="0" w:color="auto"/>
              </w:divBdr>
              <w:divsChild>
                <w:div w:id="941104784">
                  <w:marLeft w:val="0"/>
                  <w:marRight w:val="0"/>
                  <w:marTop w:val="0"/>
                  <w:marBottom w:val="0"/>
                  <w:divBdr>
                    <w:top w:val="none" w:sz="0" w:space="0" w:color="auto"/>
                    <w:left w:val="none" w:sz="0" w:space="0" w:color="auto"/>
                    <w:bottom w:val="none" w:sz="0" w:space="0" w:color="auto"/>
                    <w:right w:val="none" w:sz="0" w:space="0" w:color="auto"/>
                  </w:divBdr>
                </w:div>
                <w:div w:id="5862171">
                  <w:marLeft w:val="0"/>
                  <w:marRight w:val="0"/>
                  <w:marTop w:val="0"/>
                  <w:marBottom w:val="0"/>
                  <w:divBdr>
                    <w:top w:val="none" w:sz="0" w:space="0" w:color="auto"/>
                    <w:left w:val="none" w:sz="0" w:space="0" w:color="auto"/>
                    <w:bottom w:val="none" w:sz="0" w:space="0" w:color="auto"/>
                    <w:right w:val="none" w:sz="0" w:space="0" w:color="auto"/>
                  </w:divBdr>
                </w:div>
                <w:div w:id="201375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9447">
          <w:marLeft w:val="0"/>
          <w:marRight w:val="0"/>
          <w:marTop w:val="0"/>
          <w:marBottom w:val="0"/>
          <w:divBdr>
            <w:top w:val="none" w:sz="0" w:space="0" w:color="auto"/>
            <w:left w:val="none" w:sz="0" w:space="0" w:color="auto"/>
            <w:bottom w:val="none" w:sz="0" w:space="0" w:color="auto"/>
            <w:right w:val="none" w:sz="0" w:space="0" w:color="auto"/>
          </w:divBdr>
        </w:div>
        <w:div w:id="339738736">
          <w:marLeft w:val="0"/>
          <w:marRight w:val="0"/>
          <w:marTop w:val="0"/>
          <w:marBottom w:val="0"/>
          <w:divBdr>
            <w:top w:val="none" w:sz="0" w:space="0" w:color="auto"/>
            <w:left w:val="none" w:sz="0" w:space="0" w:color="auto"/>
            <w:bottom w:val="none" w:sz="0" w:space="0" w:color="auto"/>
            <w:right w:val="none" w:sz="0" w:space="0" w:color="auto"/>
          </w:divBdr>
        </w:div>
        <w:div w:id="1108499580">
          <w:marLeft w:val="0"/>
          <w:marRight w:val="0"/>
          <w:marTop w:val="0"/>
          <w:marBottom w:val="0"/>
          <w:divBdr>
            <w:top w:val="none" w:sz="0" w:space="0" w:color="auto"/>
            <w:left w:val="none" w:sz="0" w:space="0" w:color="auto"/>
            <w:bottom w:val="none" w:sz="0" w:space="0" w:color="auto"/>
            <w:right w:val="none" w:sz="0" w:space="0" w:color="auto"/>
          </w:divBdr>
        </w:div>
        <w:div w:id="810169877">
          <w:marLeft w:val="0"/>
          <w:marRight w:val="0"/>
          <w:marTop w:val="0"/>
          <w:marBottom w:val="0"/>
          <w:divBdr>
            <w:top w:val="none" w:sz="0" w:space="0" w:color="auto"/>
            <w:left w:val="none" w:sz="0" w:space="0" w:color="auto"/>
            <w:bottom w:val="none" w:sz="0" w:space="0" w:color="auto"/>
            <w:right w:val="none" w:sz="0" w:space="0" w:color="auto"/>
          </w:divBdr>
        </w:div>
      </w:divsChild>
    </w:div>
    <w:div w:id="1766876975">
      <w:bodyDiv w:val="1"/>
      <w:marLeft w:val="0"/>
      <w:marRight w:val="0"/>
      <w:marTop w:val="0"/>
      <w:marBottom w:val="0"/>
      <w:divBdr>
        <w:top w:val="none" w:sz="0" w:space="0" w:color="auto"/>
        <w:left w:val="none" w:sz="0" w:space="0" w:color="auto"/>
        <w:bottom w:val="none" w:sz="0" w:space="0" w:color="auto"/>
        <w:right w:val="none" w:sz="0" w:space="0" w:color="auto"/>
      </w:divBdr>
      <w:divsChild>
        <w:div w:id="693044671">
          <w:marLeft w:val="0"/>
          <w:marRight w:val="0"/>
          <w:marTop w:val="0"/>
          <w:marBottom w:val="0"/>
          <w:divBdr>
            <w:top w:val="none" w:sz="0" w:space="0" w:color="auto"/>
            <w:left w:val="none" w:sz="0" w:space="0" w:color="auto"/>
            <w:bottom w:val="none" w:sz="0" w:space="0" w:color="auto"/>
            <w:right w:val="none" w:sz="0" w:space="0" w:color="auto"/>
          </w:divBdr>
        </w:div>
        <w:div w:id="44178990">
          <w:marLeft w:val="0"/>
          <w:marRight w:val="0"/>
          <w:marTop w:val="0"/>
          <w:marBottom w:val="0"/>
          <w:divBdr>
            <w:top w:val="none" w:sz="0" w:space="0" w:color="auto"/>
            <w:left w:val="none" w:sz="0" w:space="0" w:color="auto"/>
            <w:bottom w:val="none" w:sz="0" w:space="0" w:color="auto"/>
            <w:right w:val="none" w:sz="0" w:space="0" w:color="auto"/>
          </w:divBdr>
        </w:div>
        <w:div w:id="1725760282">
          <w:marLeft w:val="0"/>
          <w:marRight w:val="0"/>
          <w:marTop w:val="0"/>
          <w:marBottom w:val="0"/>
          <w:divBdr>
            <w:top w:val="none" w:sz="0" w:space="0" w:color="auto"/>
            <w:left w:val="none" w:sz="0" w:space="0" w:color="auto"/>
            <w:bottom w:val="none" w:sz="0" w:space="0" w:color="auto"/>
            <w:right w:val="none" w:sz="0" w:space="0" w:color="auto"/>
          </w:divBdr>
        </w:div>
        <w:div w:id="1999914459">
          <w:marLeft w:val="0"/>
          <w:marRight w:val="0"/>
          <w:marTop w:val="0"/>
          <w:marBottom w:val="0"/>
          <w:divBdr>
            <w:top w:val="none" w:sz="0" w:space="0" w:color="auto"/>
            <w:left w:val="none" w:sz="0" w:space="0" w:color="auto"/>
            <w:bottom w:val="none" w:sz="0" w:space="0" w:color="auto"/>
            <w:right w:val="none" w:sz="0" w:space="0" w:color="auto"/>
          </w:divBdr>
        </w:div>
        <w:div w:id="285085807">
          <w:marLeft w:val="0"/>
          <w:marRight w:val="0"/>
          <w:marTop w:val="0"/>
          <w:marBottom w:val="0"/>
          <w:divBdr>
            <w:top w:val="none" w:sz="0" w:space="0" w:color="auto"/>
            <w:left w:val="none" w:sz="0" w:space="0" w:color="auto"/>
            <w:bottom w:val="none" w:sz="0" w:space="0" w:color="auto"/>
            <w:right w:val="none" w:sz="0" w:space="0" w:color="auto"/>
          </w:divBdr>
        </w:div>
        <w:div w:id="1904870568">
          <w:marLeft w:val="0"/>
          <w:marRight w:val="0"/>
          <w:marTop w:val="0"/>
          <w:marBottom w:val="0"/>
          <w:divBdr>
            <w:top w:val="none" w:sz="0" w:space="0" w:color="auto"/>
            <w:left w:val="none" w:sz="0" w:space="0" w:color="auto"/>
            <w:bottom w:val="none" w:sz="0" w:space="0" w:color="auto"/>
            <w:right w:val="none" w:sz="0" w:space="0" w:color="auto"/>
          </w:divBdr>
        </w:div>
        <w:div w:id="824324816">
          <w:marLeft w:val="0"/>
          <w:marRight w:val="0"/>
          <w:marTop w:val="0"/>
          <w:marBottom w:val="0"/>
          <w:divBdr>
            <w:top w:val="none" w:sz="0" w:space="0" w:color="auto"/>
            <w:left w:val="none" w:sz="0" w:space="0" w:color="auto"/>
            <w:bottom w:val="none" w:sz="0" w:space="0" w:color="auto"/>
            <w:right w:val="none" w:sz="0" w:space="0" w:color="auto"/>
          </w:divBdr>
        </w:div>
      </w:divsChild>
    </w:div>
    <w:div w:id="1828597172">
      <w:bodyDiv w:val="1"/>
      <w:marLeft w:val="0"/>
      <w:marRight w:val="0"/>
      <w:marTop w:val="0"/>
      <w:marBottom w:val="0"/>
      <w:divBdr>
        <w:top w:val="none" w:sz="0" w:space="0" w:color="auto"/>
        <w:left w:val="none" w:sz="0" w:space="0" w:color="auto"/>
        <w:bottom w:val="none" w:sz="0" w:space="0" w:color="auto"/>
        <w:right w:val="none" w:sz="0" w:space="0" w:color="auto"/>
      </w:divBdr>
      <w:divsChild>
        <w:div w:id="1543667572">
          <w:marLeft w:val="0"/>
          <w:marRight w:val="0"/>
          <w:marTop w:val="0"/>
          <w:marBottom w:val="0"/>
          <w:divBdr>
            <w:top w:val="none" w:sz="0" w:space="0" w:color="auto"/>
            <w:left w:val="none" w:sz="0" w:space="0" w:color="auto"/>
            <w:bottom w:val="none" w:sz="0" w:space="0" w:color="auto"/>
            <w:right w:val="none" w:sz="0" w:space="0" w:color="auto"/>
          </w:divBdr>
        </w:div>
        <w:div w:id="994452945">
          <w:marLeft w:val="0"/>
          <w:marRight w:val="0"/>
          <w:marTop w:val="0"/>
          <w:marBottom w:val="0"/>
          <w:divBdr>
            <w:top w:val="none" w:sz="0" w:space="0" w:color="auto"/>
            <w:left w:val="none" w:sz="0" w:space="0" w:color="auto"/>
            <w:bottom w:val="none" w:sz="0" w:space="0" w:color="auto"/>
            <w:right w:val="none" w:sz="0" w:space="0" w:color="auto"/>
          </w:divBdr>
        </w:div>
        <w:div w:id="1124544096">
          <w:marLeft w:val="0"/>
          <w:marRight w:val="0"/>
          <w:marTop w:val="0"/>
          <w:marBottom w:val="0"/>
          <w:divBdr>
            <w:top w:val="none" w:sz="0" w:space="0" w:color="auto"/>
            <w:left w:val="none" w:sz="0" w:space="0" w:color="auto"/>
            <w:bottom w:val="none" w:sz="0" w:space="0" w:color="auto"/>
            <w:right w:val="none" w:sz="0" w:space="0" w:color="auto"/>
          </w:divBdr>
        </w:div>
        <w:div w:id="1019044757">
          <w:marLeft w:val="0"/>
          <w:marRight w:val="0"/>
          <w:marTop w:val="0"/>
          <w:marBottom w:val="0"/>
          <w:divBdr>
            <w:top w:val="none" w:sz="0" w:space="0" w:color="auto"/>
            <w:left w:val="none" w:sz="0" w:space="0" w:color="auto"/>
            <w:bottom w:val="none" w:sz="0" w:space="0" w:color="auto"/>
            <w:right w:val="none" w:sz="0" w:space="0" w:color="auto"/>
          </w:divBdr>
        </w:div>
        <w:div w:id="55010214">
          <w:marLeft w:val="0"/>
          <w:marRight w:val="0"/>
          <w:marTop w:val="0"/>
          <w:marBottom w:val="0"/>
          <w:divBdr>
            <w:top w:val="none" w:sz="0" w:space="0" w:color="auto"/>
            <w:left w:val="none" w:sz="0" w:space="0" w:color="auto"/>
            <w:bottom w:val="none" w:sz="0" w:space="0" w:color="auto"/>
            <w:right w:val="none" w:sz="0" w:space="0" w:color="auto"/>
          </w:divBdr>
        </w:div>
        <w:div w:id="207184271">
          <w:marLeft w:val="0"/>
          <w:marRight w:val="0"/>
          <w:marTop w:val="0"/>
          <w:marBottom w:val="0"/>
          <w:divBdr>
            <w:top w:val="none" w:sz="0" w:space="0" w:color="auto"/>
            <w:left w:val="none" w:sz="0" w:space="0" w:color="auto"/>
            <w:bottom w:val="none" w:sz="0" w:space="0" w:color="auto"/>
            <w:right w:val="none" w:sz="0" w:space="0" w:color="auto"/>
          </w:divBdr>
        </w:div>
        <w:div w:id="1429931224">
          <w:marLeft w:val="0"/>
          <w:marRight w:val="0"/>
          <w:marTop w:val="0"/>
          <w:marBottom w:val="0"/>
          <w:divBdr>
            <w:top w:val="none" w:sz="0" w:space="0" w:color="auto"/>
            <w:left w:val="none" w:sz="0" w:space="0" w:color="auto"/>
            <w:bottom w:val="none" w:sz="0" w:space="0" w:color="auto"/>
            <w:right w:val="none" w:sz="0" w:space="0" w:color="auto"/>
          </w:divBdr>
        </w:div>
      </w:divsChild>
    </w:div>
    <w:div w:id="1845244658">
      <w:bodyDiv w:val="1"/>
      <w:marLeft w:val="0"/>
      <w:marRight w:val="0"/>
      <w:marTop w:val="0"/>
      <w:marBottom w:val="0"/>
      <w:divBdr>
        <w:top w:val="none" w:sz="0" w:space="0" w:color="auto"/>
        <w:left w:val="none" w:sz="0" w:space="0" w:color="auto"/>
        <w:bottom w:val="none" w:sz="0" w:space="0" w:color="auto"/>
        <w:right w:val="none" w:sz="0" w:space="0" w:color="auto"/>
      </w:divBdr>
      <w:divsChild>
        <w:div w:id="2061708500">
          <w:marLeft w:val="0"/>
          <w:marRight w:val="0"/>
          <w:marTop w:val="0"/>
          <w:marBottom w:val="0"/>
          <w:divBdr>
            <w:top w:val="none" w:sz="0" w:space="0" w:color="auto"/>
            <w:left w:val="none" w:sz="0" w:space="0" w:color="auto"/>
            <w:bottom w:val="none" w:sz="0" w:space="0" w:color="auto"/>
            <w:right w:val="none" w:sz="0" w:space="0" w:color="auto"/>
          </w:divBdr>
        </w:div>
        <w:div w:id="1754938244">
          <w:marLeft w:val="0"/>
          <w:marRight w:val="0"/>
          <w:marTop w:val="0"/>
          <w:marBottom w:val="0"/>
          <w:divBdr>
            <w:top w:val="none" w:sz="0" w:space="0" w:color="auto"/>
            <w:left w:val="none" w:sz="0" w:space="0" w:color="auto"/>
            <w:bottom w:val="none" w:sz="0" w:space="0" w:color="auto"/>
            <w:right w:val="none" w:sz="0" w:space="0" w:color="auto"/>
          </w:divBdr>
        </w:div>
        <w:div w:id="1093358179">
          <w:marLeft w:val="0"/>
          <w:marRight w:val="0"/>
          <w:marTop w:val="0"/>
          <w:marBottom w:val="0"/>
          <w:divBdr>
            <w:top w:val="none" w:sz="0" w:space="0" w:color="auto"/>
            <w:left w:val="none" w:sz="0" w:space="0" w:color="auto"/>
            <w:bottom w:val="none" w:sz="0" w:space="0" w:color="auto"/>
            <w:right w:val="none" w:sz="0" w:space="0" w:color="auto"/>
          </w:divBdr>
        </w:div>
        <w:div w:id="1196579681">
          <w:marLeft w:val="0"/>
          <w:marRight w:val="0"/>
          <w:marTop w:val="0"/>
          <w:marBottom w:val="0"/>
          <w:divBdr>
            <w:top w:val="none" w:sz="0" w:space="0" w:color="auto"/>
            <w:left w:val="none" w:sz="0" w:space="0" w:color="auto"/>
            <w:bottom w:val="none" w:sz="0" w:space="0" w:color="auto"/>
            <w:right w:val="none" w:sz="0" w:space="0" w:color="auto"/>
          </w:divBdr>
        </w:div>
        <w:div w:id="872570728">
          <w:marLeft w:val="0"/>
          <w:marRight w:val="0"/>
          <w:marTop w:val="0"/>
          <w:marBottom w:val="0"/>
          <w:divBdr>
            <w:top w:val="none" w:sz="0" w:space="0" w:color="auto"/>
            <w:left w:val="none" w:sz="0" w:space="0" w:color="auto"/>
            <w:bottom w:val="none" w:sz="0" w:space="0" w:color="auto"/>
            <w:right w:val="none" w:sz="0" w:space="0" w:color="auto"/>
          </w:divBdr>
        </w:div>
        <w:div w:id="963924767">
          <w:marLeft w:val="0"/>
          <w:marRight w:val="0"/>
          <w:marTop w:val="0"/>
          <w:marBottom w:val="0"/>
          <w:divBdr>
            <w:top w:val="none" w:sz="0" w:space="0" w:color="auto"/>
            <w:left w:val="none" w:sz="0" w:space="0" w:color="auto"/>
            <w:bottom w:val="none" w:sz="0" w:space="0" w:color="auto"/>
            <w:right w:val="none" w:sz="0" w:space="0" w:color="auto"/>
          </w:divBdr>
        </w:div>
      </w:divsChild>
    </w:div>
    <w:div w:id="1898128134">
      <w:bodyDiv w:val="1"/>
      <w:marLeft w:val="0"/>
      <w:marRight w:val="0"/>
      <w:marTop w:val="0"/>
      <w:marBottom w:val="0"/>
      <w:divBdr>
        <w:top w:val="none" w:sz="0" w:space="0" w:color="auto"/>
        <w:left w:val="none" w:sz="0" w:space="0" w:color="auto"/>
        <w:bottom w:val="none" w:sz="0" w:space="0" w:color="auto"/>
        <w:right w:val="none" w:sz="0" w:space="0" w:color="auto"/>
      </w:divBdr>
      <w:divsChild>
        <w:div w:id="1002859001">
          <w:marLeft w:val="0"/>
          <w:marRight w:val="0"/>
          <w:marTop w:val="0"/>
          <w:marBottom w:val="0"/>
          <w:divBdr>
            <w:top w:val="none" w:sz="0" w:space="0" w:color="auto"/>
            <w:left w:val="none" w:sz="0" w:space="0" w:color="auto"/>
            <w:bottom w:val="none" w:sz="0" w:space="0" w:color="auto"/>
            <w:right w:val="none" w:sz="0" w:space="0" w:color="auto"/>
          </w:divBdr>
        </w:div>
        <w:div w:id="518399825">
          <w:marLeft w:val="0"/>
          <w:marRight w:val="0"/>
          <w:marTop w:val="0"/>
          <w:marBottom w:val="0"/>
          <w:divBdr>
            <w:top w:val="none" w:sz="0" w:space="0" w:color="auto"/>
            <w:left w:val="none" w:sz="0" w:space="0" w:color="auto"/>
            <w:bottom w:val="none" w:sz="0" w:space="0" w:color="auto"/>
            <w:right w:val="none" w:sz="0" w:space="0" w:color="auto"/>
          </w:divBdr>
        </w:div>
        <w:div w:id="1653411521">
          <w:marLeft w:val="0"/>
          <w:marRight w:val="0"/>
          <w:marTop w:val="0"/>
          <w:marBottom w:val="0"/>
          <w:divBdr>
            <w:top w:val="none" w:sz="0" w:space="0" w:color="auto"/>
            <w:left w:val="none" w:sz="0" w:space="0" w:color="auto"/>
            <w:bottom w:val="none" w:sz="0" w:space="0" w:color="auto"/>
            <w:right w:val="none" w:sz="0" w:space="0" w:color="auto"/>
          </w:divBdr>
        </w:div>
        <w:div w:id="416245582">
          <w:marLeft w:val="0"/>
          <w:marRight w:val="0"/>
          <w:marTop w:val="0"/>
          <w:marBottom w:val="0"/>
          <w:divBdr>
            <w:top w:val="none" w:sz="0" w:space="0" w:color="auto"/>
            <w:left w:val="none" w:sz="0" w:space="0" w:color="auto"/>
            <w:bottom w:val="none" w:sz="0" w:space="0" w:color="auto"/>
            <w:right w:val="none" w:sz="0" w:space="0" w:color="auto"/>
          </w:divBdr>
        </w:div>
        <w:div w:id="1424254674">
          <w:marLeft w:val="0"/>
          <w:marRight w:val="0"/>
          <w:marTop w:val="0"/>
          <w:marBottom w:val="0"/>
          <w:divBdr>
            <w:top w:val="none" w:sz="0" w:space="0" w:color="auto"/>
            <w:left w:val="none" w:sz="0" w:space="0" w:color="auto"/>
            <w:bottom w:val="none" w:sz="0" w:space="0" w:color="auto"/>
            <w:right w:val="none" w:sz="0" w:space="0" w:color="auto"/>
          </w:divBdr>
        </w:div>
        <w:div w:id="648363724">
          <w:marLeft w:val="0"/>
          <w:marRight w:val="0"/>
          <w:marTop w:val="0"/>
          <w:marBottom w:val="0"/>
          <w:divBdr>
            <w:top w:val="none" w:sz="0" w:space="0" w:color="auto"/>
            <w:left w:val="none" w:sz="0" w:space="0" w:color="auto"/>
            <w:bottom w:val="none" w:sz="0" w:space="0" w:color="auto"/>
            <w:right w:val="none" w:sz="0" w:space="0" w:color="auto"/>
          </w:divBdr>
        </w:div>
        <w:div w:id="1074014771">
          <w:marLeft w:val="0"/>
          <w:marRight w:val="0"/>
          <w:marTop w:val="0"/>
          <w:marBottom w:val="0"/>
          <w:divBdr>
            <w:top w:val="none" w:sz="0" w:space="0" w:color="auto"/>
            <w:left w:val="none" w:sz="0" w:space="0" w:color="auto"/>
            <w:bottom w:val="none" w:sz="0" w:space="0" w:color="auto"/>
            <w:right w:val="none" w:sz="0" w:space="0" w:color="auto"/>
          </w:divBdr>
        </w:div>
      </w:divsChild>
    </w:div>
    <w:div w:id="1898736617">
      <w:bodyDiv w:val="1"/>
      <w:marLeft w:val="0"/>
      <w:marRight w:val="0"/>
      <w:marTop w:val="0"/>
      <w:marBottom w:val="0"/>
      <w:divBdr>
        <w:top w:val="none" w:sz="0" w:space="0" w:color="auto"/>
        <w:left w:val="none" w:sz="0" w:space="0" w:color="auto"/>
        <w:bottom w:val="none" w:sz="0" w:space="0" w:color="auto"/>
        <w:right w:val="none" w:sz="0" w:space="0" w:color="auto"/>
      </w:divBdr>
      <w:divsChild>
        <w:div w:id="1005935164">
          <w:marLeft w:val="0"/>
          <w:marRight w:val="0"/>
          <w:marTop w:val="0"/>
          <w:marBottom w:val="0"/>
          <w:divBdr>
            <w:top w:val="none" w:sz="0" w:space="0" w:color="auto"/>
            <w:left w:val="none" w:sz="0" w:space="0" w:color="auto"/>
            <w:bottom w:val="none" w:sz="0" w:space="0" w:color="auto"/>
            <w:right w:val="none" w:sz="0" w:space="0" w:color="auto"/>
          </w:divBdr>
        </w:div>
        <w:div w:id="1628465143">
          <w:marLeft w:val="0"/>
          <w:marRight w:val="0"/>
          <w:marTop w:val="0"/>
          <w:marBottom w:val="0"/>
          <w:divBdr>
            <w:top w:val="none" w:sz="0" w:space="0" w:color="auto"/>
            <w:left w:val="none" w:sz="0" w:space="0" w:color="auto"/>
            <w:bottom w:val="none" w:sz="0" w:space="0" w:color="auto"/>
            <w:right w:val="none" w:sz="0" w:space="0" w:color="auto"/>
          </w:divBdr>
        </w:div>
        <w:div w:id="72968306">
          <w:marLeft w:val="0"/>
          <w:marRight w:val="0"/>
          <w:marTop w:val="0"/>
          <w:marBottom w:val="0"/>
          <w:divBdr>
            <w:top w:val="none" w:sz="0" w:space="0" w:color="auto"/>
            <w:left w:val="none" w:sz="0" w:space="0" w:color="auto"/>
            <w:bottom w:val="none" w:sz="0" w:space="0" w:color="auto"/>
            <w:right w:val="none" w:sz="0" w:space="0" w:color="auto"/>
          </w:divBdr>
        </w:div>
        <w:div w:id="1994986429">
          <w:marLeft w:val="0"/>
          <w:marRight w:val="0"/>
          <w:marTop w:val="0"/>
          <w:marBottom w:val="0"/>
          <w:divBdr>
            <w:top w:val="none" w:sz="0" w:space="0" w:color="auto"/>
            <w:left w:val="none" w:sz="0" w:space="0" w:color="auto"/>
            <w:bottom w:val="none" w:sz="0" w:space="0" w:color="auto"/>
            <w:right w:val="none" w:sz="0" w:space="0" w:color="auto"/>
          </w:divBdr>
        </w:div>
        <w:div w:id="1274753119">
          <w:marLeft w:val="0"/>
          <w:marRight w:val="0"/>
          <w:marTop w:val="0"/>
          <w:marBottom w:val="0"/>
          <w:divBdr>
            <w:top w:val="none" w:sz="0" w:space="0" w:color="auto"/>
            <w:left w:val="none" w:sz="0" w:space="0" w:color="auto"/>
            <w:bottom w:val="none" w:sz="0" w:space="0" w:color="auto"/>
            <w:right w:val="none" w:sz="0" w:space="0" w:color="auto"/>
          </w:divBdr>
        </w:div>
        <w:div w:id="970089487">
          <w:marLeft w:val="0"/>
          <w:marRight w:val="0"/>
          <w:marTop w:val="0"/>
          <w:marBottom w:val="0"/>
          <w:divBdr>
            <w:top w:val="none" w:sz="0" w:space="0" w:color="auto"/>
            <w:left w:val="none" w:sz="0" w:space="0" w:color="auto"/>
            <w:bottom w:val="none" w:sz="0" w:space="0" w:color="auto"/>
            <w:right w:val="none" w:sz="0" w:space="0" w:color="auto"/>
          </w:divBdr>
        </w:div>
        <w:div w:id="887764945">
          <w:marLeft w:val="0"/>
          <w:marRight w:val="0"/>
          <w:marTop w:val="0"/>
          <w:marBottom w:val="0"/>
          <w:divBdr>
            <w:top w:val="none" w:sz="0" w:space="0" w:color="auto"/>
            <w:left w:val="none" w:sz="0" w:space="0" w:color="auto"/>
            <w:bottom w:val="none" w:sz="0" w:space="0" w:color="auto"/>
            <w:right w:val="none" w:sz="0" w:space="0" w:color="auto"/>
          </w:divBdr>
        </w:div>
      </w:divsChild>
    </w:div>
    <w:div w:id="1999262261">
      <w:bodyDiv w:val="1"/>
      <w:marLeft w:val="0"/>
      <w:marRight w:val="0"/>
      <w:marTop w:val="0"/>
      <w:marBottom w:val="0"/>
      <w:divBdr>
        <w:top w:val="none" w:sz="0" w:space="0" w:color="auto"/>
        <w:left w:val="none" w:sz="0" w:space="0" w:color="auto"/>
        <w:bottom w:val="none" w:sz="0" w:space="0" w:color="auto"/>
        <w:right w:val="none" w:sz="0" w:space="0" w:color="auto"/>
      </w:divBdr>
      <w:divsChild>
        <w:div w:id="75170697">
          <w:marLeft w:val="0"/>
          <w:marRight w:val="0"/>
          <w:marTop w:val="0"/>
          <w:marBottom w:val="0"/>
          <w:divBdr>
            <w:top w:val="none" w:sz="0" w:space="0" w:color="auto"/>
            <w:left w:val="none" w:sz="0" w:space="0" w:color="auto"/>
            <w:bottom w:val="none" w:sz="0" w:space="0" w:color="auto"/>
            <w:right w:val="none" w:sz="0" w:space="0" w:color="auto"/>
          </w:divBdr>
        </w:div>
        <w:div w:id="825169302">
          <w:marLeft w:val="0"/>
          <w:marRight w:val="0"/>
          <w:marTop w:val="0"/>
          <w:marBottom w:val="0"/>
          <w:divBdr>
            <w:top w:val="none" w:sz="0" w:space="0" w:color="auto"/>
            <w:left w:val="none" w:sz="0" w:space="0" w:color="auto"/>
            <w:bottom w:val="none" w:sz="0" w:space="0" w:color="auto"/>
            <w:right w:val="none" w:sz="0" w:space="0" w:color="auto"/>
          </w:divBdr>
        </w:div>
        <w:div w:id="826941504">
          <w:marLeft w:val="0"/>
          <w:marRight w:val="0"/>
          <w:marTop w:val="0"/>
          <w:marBottom w:val="0"/>
          <w:divBdr>
            <w:top w:val="none" w:sz="0" w:space="0" w:color="auto"/>
            <w:left w:val="none" w:sz="0" w:space="0" w:color="auto"/>
            <w:bottom w:val="none" w:sz="0" w:space="0" w:color="auto"/>
            <w:right w:val="none" w:sz="0" w:space="0" w:color="auto"/>
          </w:divBdr>
        </w:div>
        <w:div w:id="1350256390">
          <w:marLeft w:val="0"/>
          <w:marRight w:val="0"/>
          <w:marTop w:val="0"/>
          <w:marBottom w:val="0"/>
          <w:divBdr>
            <w:top w:val="none" w:sz="0" w:space="0" w:color="auto"/>
            <w:left w:val="none" w:sz="0" w:space="0" w:color="auto"/>
            <w:bottom w:val="none" w:sz="0" w:space="0" w:color="auto"/>
            <w:right w:val="none" w:sz="0" w:space="0" w:color="auto"/>
          </w:divBdr>
        </w:div>
        <w:div w:id="1288000898">
          <w:marLeft w:val="0"/>
          <w:marRight w:val="0"/>
          <w:marTop w:val="0"/>
          <w:marBottom w:val="0"/>
          <w:divBdr>
            <w:top w:val="none" w:sz="0" w:space="0" w:color="auto"/>
            <w:left w:val="none" w:sz="0" w:space="0" w:color="auto"/>
            <w:bottom w:val="none" w:sz="0" w:space="0" w:color="auto"/>
            <w:right w:val="none" w:sz="0" w:space="0" w:color="auto"/>
          </w:divBdr>
        </w:div>
        <w:div w:id="2117360701">
          <w:marLeft w:val="0"/>
          <w:marRight w:val="0"/>
          <w:marTop w:val="0"/>
          <w:marBottom w:val="0"/>
          <w:divBdr>
            <w:top w:val="none" w:sz="0" w:space="0" w:color="auto"/>
            <w:left w:val="none" w:sz="0" w:space="0" w:color="auto"/>
            <w:bottom w:val="none" w:sz="0" w:space="0" w:color="auto"/>
            <w:right w:val="none" w:sz="0" w:space="0" w:color="auto"/>
          </w:divBdr>
        </w:div>
        <w:div w:id="6446973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f2.scjn.gob.mx/detalle/tesis/201470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f2.scjn.gob.mx/detalle/tesis/18473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B93CB4-2CD9-42E6-B076-B8EE9BE94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5379</Words>
  <Characters>29586</Characters>
  <Application>Microsoft Office Word</Application>
  <DocSecurity>0</DocSecurity>
  <Lines>246</Lines>
  <Paragraphs>69</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34896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María Hernández García</dc:creator>
  <cp:keywords/>
  <dc:description/>
  <cp:lastModifiedBy>FERNANDO MARTINEZ</cp:lastModifiedBy>
  <cp:revision>3</cp:revision>
  <cp:lastPrinted>2020-10-07T19:04:00Z</cp:lastPrinted>
  <dcterms:created xsi:type="dcterms:W3CDTF">2022-06-28T17:35:00Z</dcterms:created>
  <dcterms:modified xsi:type="dcterms:W3CDTF">2022-10-11T17:29:00Z</dcterms:modified>
</cp:coreProperties>
</file>