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58A73" w14:textId="77777777" w:rsidR="00216377" w:rsidRPr="00CB6405" w:rsidRDefault="00216377" w:rsidP="004707EC">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45D355E" w14:textId="3908F891" w:rsidR="00216377" w:rsidRPr="00A240AA" w:rsidRDefault="00216377" w:rsidP="004707EC">
      <w:pPr>
        <w:spacing w:line="240" w:lineRule="auto"/>
        <w:ind w:left="3402"/>
        <w:jc w:val="both"/>
        <w:rPr>
          <w:rFonts w:ascii="Arial" w:hAnsi="Arial" w:cs="Arial"/>
          <w:b/>
          <w:sz w:val="26"/>
          <w:szCs w:val="26"/>
        </w:rPr>
      </w:pPr>
      <w:r>
        <w:rPr>
          <w:rFonts w:ascii="Arial" w:hAnsi="Arial" w:cs="Arial"/>
          <w:b/>
          <w:sz w:val="26"/>
          <w:szCs w:val="26"/>
        </w:rPr>
        <w:t xml:space="preserve">RECURSO DE REVISIÓN: </w:t>
      </w:r>
      <w:r w:rsidR="004D6813">
        <w:rPr>
          <w:rFonts w:ascii="Arial" w:hAnsi="Arial" w:cs="Arial"/>
          <w:b/>
          <w:iCs/>
          <w:caps/>
          <w:sz w:val="26"/>
          <w:szCs w:val="26"/>
        </w:rPr>
        <w:t>008</w:t>
      </w:r>
      <w:r w:rsidR="00F36D66">
        <w:rPr>
          <w:rFonts w:ascii="Arial" w:hAnsi="Arial" w:cs="Arial"/>
          <w:b/>
          <w:iCs/>
          <w:caps/>
          <w:sz w:val="26"/>
          <w:szCs w:val="26"/>
        </w:rPr>
        <w:t>9/2022 y 0091/2022</w:t>
      </w:r>
    </w:p>
    <w:p w14:paraId="16D53DF4" w14:textId="1952CA0C" w:rsidR="00216377" w:rsidRPr="00CB6405" w:rsidRDefault="00216377" w:rsidP="004707EC">
      <w:pPr>
        <w:spacing w:line="240" w:lineRule="auto"/>
        <w:ind w:left="3402"/>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4D6813">
        <w:rPr>
          <w:rFonts w:ascii="Arial" w:hAnsi="Arial" w:cs="Arial"/>
          <w:b/>
          <w:iCs/>
          <w:caps/>
          <w:sz w:val="26"/>
          <w:szCs w:val="26"/>
        </w:rPr>
        <w:t>0</w:t>
      </w:r>
      <w:r w:rsidR="00F36D66">
        <w:rPr>
          <w:rFonts w:ascii="Arial" w:hAnsi="Arial" w:cs="Arial"/>
          <w:b/>
          <w:iCs/>
          <w:caps/>
          <w:sz w:val="26"/>
          <w:szCs w:val="26"/>
        </w:rPr>
        <w:t>159</w:t>
      </w:r>
      <w:r w:rsidR="004D6813">
        <w:rPr>
          <w:rFonts w:ascii="Arial" w:hAnsi="Arial" w:cs="Arial"/>
          <w:b/>
          <w:iCs/>
          <w:caps/>
          <w:sz w:val="26"/>
          <w:szCs w:val="26"/>
        </w:rPr>
        <w:t>/2020</w:t>
      </w:r>
      <w:r w:rsidR="0059007B">
        <w:rPr>
          <w:rFonts w:ascii="Arial" w:hAnsi="Arial" w:cs="Arial"/>
          <w:b/>
          <w:iCs/>
          <w:caps/>
          <w:sz w:val="26"/>
          <w:szCs w:val="26"/>
        </w:rPr>
        <w:t xml:space="preserve"> DE LA</w:t>
      </w:r>
      <w:r w:rsidRPr="002C2607">
        <w:rPr>
          <w:rFonts w:ascii="Arial" w:hAnsi="Arial" w:cs="Arial"/>
          <w:b/>
          <w:iCs/>
          <w:caps/>
          <w:sz w:val="26"/>
          <w:szCs w:val="26"/>
        </w:rPr>
        <w:t xml:space="preserve"> </w:t>
      </w:r>
      <w:r w:rsidR="00F36D66">
        <w:rPr>
          <w:rFonts w:ascii="Arial" w:hAnsi="Arial" w:cs="Arial"/>
          <w:b/>
          <w:iCs/>
          <w:caps/>
          <w:sz w:val="26"/>
          <w:szCs w:val="26"/>
        </w:rPr>
        <w:t>Sexta s</w:t>
      </w:r>
      <w:r w:rsidRPr="00CB6405">
        <w:rPr>
          <w:rFonts w:ascii="Arial" w:hAnsi="Arial" w:cs="Arial"/>
          <w:b/>
          <w:sz w:val="26"/>
          <w:szCs w:val="26"/>
        </w:rPr>
        <w:t>ALA UNITARIA DE PRIMERA INSTANCIA</w:t>
      </w:r>
      <w:r>
        <w:rPr>
          <w:rFonts w:ascii="Arial" w:hAnsi="Arial" w:cs="Arial"/>
          <w:b/>
          <w:sz w:val="26"/>
          <w:szCs w:val="26"/>
        </w:rPr>
        <w:t>.</w:t>
      </w:r>
    </w:p>
    <w:p w14:paraId="0DB67536" w14:textId="77777777" w:rsidR="00216377" w:rsidRDefault="00216377" w:rsidP="004707EC">
      <w:pPr>
        <w:spacing w:before="240" w:line="240" w:lineRule="auto"/>
        <w:ind w:left="3402"/>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AE93BAC" w14:textId="31F615B1" w:rsidR="00216377" w:rsidRDefault="00216377" w:rsidP="00802D30">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59007B">
        <w:rPr>
          <w:rFonts w:ascii="Arial" w:hAnsi="Arial" w:cs="Arial"/>
          <w:b/>
          <w:sz w:val="26"/>
          <w:szCs w:val="26"/>
        </w:rPr>
        <w:t xml:space="preserve">A </w:t>
      </w:r>
      <w:r w:rsidR="004707EC">
        <w:rPr>
          <w:rFonts w:ascii="Arial" w:hAnsi="Arial" w:cs="Arial"/>
          <w:b/>
          <w:sz w:val="26"/>
          <w:szCs w:val="26"/>
        </w:rPr>
        <w:t>TRECE</w:t>
      </w:r>
      <w:r w:rsidR="0059007B">
        <w:rPr>
          <w:rFonts w:ascii="Arial" w:hAnsi="Arial" w:cs="Arial"/>
          <w:b/>
          <w:sz w:val="26"/>
          <w:szCs w:val="26"/>
        </w:rPr>
        <w:t xml:space="preserve"> DE </w:t>
      </w:r>
      <w:r w:rsidR="004707EC">
        <w:rPr>
          <w:rFonts w:ascii="Arial" w:hAnsi="Arial" w:cs="Arial"/>
          <w:b/>
          <w:sz w:val="26"/>
          <w:szCs w:val="26"/>
        </w:rPr>
        <w:t>OCTUBRE</w:t>
      </w:r>
      <w:r>
        <w:rPr>
          <w:rFonts w:ascii="Arial" w:hAnsi="Arial" w:cs="Arial"/>
          <w:b/>
          <w:sz w:val="26"/>
          <w:szCs w:val="26"/>
        </w:rPr>
        <w:t xml:space="preserve"> </w:t>
      </w:r>
      <w:r w:rsidRPr="00CB6405">
        <w:rPr>
          <w:rFonts w:ascii="Arial" w:hAnsi="Arial" w:cs="Arial"/>
          <w:b/>
          <w:sz w:val="26"/>
          <w:szCs w:val="26"/>
        </w:rPr>
        <w:t>DE</w:t>
      </w:r>
      <w:r w:rsidR="0059007B">
        <w:rPr>
          <w:rFonts w:ascii="Arial" w:hAnsi="Arial" w:cs="Arial"/>
          <w:b/>
          <w:sz w:val="26"/>
          <w:szCs w:val="26"/>
        </w:rPr>
        <w:t xml:space="preserve"> D</w:t>
      </w:r>
      <w:r w:rsidRPr="00CB6405">
        <w:rPr>
          <w:rFonts w:ascii="Arial" w:hAnsi="Arial" w:cs="Arial"/>
          <w:b/>
          <w:sz w:val="26"/>
          <w:szCs w:val="26"/>
        </w:rPr>
        <w:t xml:space="preserve">OS MIL </w:t>
      </w:r>
      <w:r w:rsidR="00F36D66">
        <w:rPr>
          <w:rFonts w:ascii="Arial" w:hAnsi="Arial" w:cs="Arial"/>
          <w:b/>
          <w:sz w:val="26"/>
          <w:szCs w:val="26"/>
        </w:rPr>
        <w:t>VEINTIDÓS</w:t>
      </w:r>
      <w:r>
        <w:rPr>
          <w:rFonts w:ascii="Arial" w:hAnsi="Arial" w:cs="Arial"/>
          <w:b/>
          <w:sz w:val="26"/>
          <w:szCs w:val="26"/>
        </w:rPr>
        <w:t xml:space="preserve">. - - - - - - </w:t>
      </w:r>
      <w:r w:rsidR="006D24B5">
        <w:rPr>
          <w:rFonts w:ascii="Arial" w:hAnsi="Arial" w:cs="Arial"/>
          <w:b/>
          <w:sz w:val="26"/>
          <w:szCs w:val="26"/>
        </w:rPr>
        <w:t xml:space="preserve">- - - - - - - - - - - - - - - - - - - - - - - - - - - - - - - - - </w:t>
      </w:r>
    </w:p>
    <w:p w14:paraId="13499B7F" w14:textId="2777BA88" w:rsidR="00216377" w:rsidRPr="00CB6405" w:rsidRDefault="0059007B" w:rsidP="00F711DC">
      <w:pPr>
        <w:spacing w:line="360" w:lineRule="auto"/>
        <w:ind w:firstLine="708"/>
        <w:jc w:val="both"/>
        <w:rPr>
          <w:rFonts w:ascii="Arial" w:hAnsi="Arial" w:cs="Arial"/>
          <w:sz w:val="26"/>
          <w:szCs w:val="26"/>
        </w:rPr>
      </w:pPr>
      <w:r>
        <w:rPr>
          <w:rFonts w:ascii="Arial" w:hAnsi="Arial" w:cs="Arial"/>
          <w:sz w:val="26"/>
          <w:szCs w:val="26"/>
        </w:rPr>
        <w:t>Por recibido</w:t>
      </w:r>
      <w:r w:rsidR="00F36D66">
        <w:rPr>
          <w:rFonts w:ascii="Arial" w:hAnsi="Arial" w:cs="Arial"/>
          <w:sz w:val="26"/>
          <w:szCs w:val="26"/>
        </w:rPr>
        <w:t>s</w:t>
      </w:r>
      <w:r>
        <w:rPr>
          <w:rFonts w:ascii="Arial" w:hAnsi="Arial" w:cs="Arial"/>
          <w:sz w:val="26"/>
          <w:szCs w:val="26"/>
        </w:rPr>
        <w:t xml:space="preserve"> </w:t>
      </w:r>
      <w:r w:rsidR="00F36D66">
        <w:rPr>
          <w:rFonts w:ascii="Arial" w:hAnsi="Arial" w:cs="Arial"/>
          <w:sz w:val="26"/>
          <w:szCs w:val="26"/>
        </w:rPr>
        <w:t xml:space="preserve">los </w:t>
      </w:r>
      <w:r>
        <w:rPr>
          <w:rFonts w:ascii="Arial" w:hAnsi="Arial" w:cs="Arial"/>
          <w:sz w:val="26"/>
          <w:szCs w:val="26"/>
        </w:rPr>
        <w:t>cuaderno</w:t>
      </w:r>
      <w:r w:rsidR="00F36D66">
        <w:rPr>
          <w:rFonts w:ascii="Arial" w:hAnsi="Arial" w:cs="Arial"/>
          <w:sz w:val="26"/>
          <w:szCs w:val="26"/>
        </w:rPr>
        <w:t>s</w:t>
      </w:r>
      <w:r>
        <w:rPr>
          <w:rFonts w:ascii="Arial" w:hAnsi="Arial" w:cs="Arial"/>
          <w:sz w:val="26"/>
          <w:szCs w:val="26"/>
        </w:rPr>
        <w:t xml:space="preserve"> de r</w:t>
      </w:r>
      <w:r w:rsidR="001B2848" w:rsidRPr="00CB6405">
        <w:rPr>
          <w:rFonts w:ascii="Arial" w:hAnsi="Arial" w:cs="Arial"/>
          <w:sz w:val="26"/>
          <w:szCs w:val="26"/>
        </w:rPr>
        <w:t xml:space="preserve">evisión </w:t>
      </w:r>
      <w:r w:rsidR="004D6813">
        <w:rPr>
          <w:rFonts w:ascii="Arial" w:hAnsi="Arial" w:cs="Arial"/>
          <w:b/>
          <w:sz w:val="26"/>
          <w:szCs w:val="26"/>
        </w:rPr>
        <w:t>008</w:t>
      </w:r>
      <w:r w:rsidR="00F36D66">
        <w:rPr>
          <w:rFonts w:ascii="Arial" w:hAnsi="Arial" w:cs="Arial"/>
          <w:b/>
          <w:sz w:val="26"/>
          <w:szCs w:val="26"/>
        </w:rPr>
        <w:t>9/2022 y 0091/2022</w:t>
      </w:r>
      <w:r w:rsidR="001B2848" w:rsidRPr="00CB6405">
        <w:rPr>
          <w:rFonts w:ascii="Arial" w:hAnsi="Arial" w:cs="Arial"/>
          <w:sz w:val="26"/>
          <w:szCs w:val="26"/>
        </w:rPr>
        <w:t>, que remite la Secretaría General de Acuerdos, con motivo de</w:t>
      </w:r>
      <w:r w:rsidR="00F36D66">
        <w:rPr>
          <w:rFonts w:ascii="Arial" w:hAnsi="Arial" w:cs="Arial"/>
          <w:sz w:val="26"/>
          <w:szCs w:val="26"/>
        </w:rPr>
        <w:t xml:space="preserve"> </w:t>
      </w:r>
      <w:r w:rsidR="001B2848" w:rsidRPr="00CB6405">
        <w:rPr>
          <w:rFonts w:ascii="Arial" w:hAnsi="Arial" w:cs="Arial"/>
          <w:sz w:val="26"/>
          <w:szCs w:val="26"/>
        </w:rPr>
        <w:t>l</w:t>
      </w:r>
      <w:r w:rsidR="00F36D66">
        <w:rPr>
          <w:rFonts w:ascii="Arial" w:hAnsi="Arial" w:cs="Arial"/>
          <w:sz w:val="26"/>
          <w:szCs w:val="26"/>
        </w:rPr>
        <w:t xml:space="preserve">os </w:t>
      </w:r>
      <w:r w:rsidR="001B2848" w:rsidRPr="00CB6405">
        <w:rPr>
          <w:rFonts w:ascii="Arial" w:hAnsi="Arial" w:cs="Arial"/>
          <w:sz w:val="26"/>
          <w:szCs w:val="26"/>
        </w:rPr>
        <w:t>recu</w:t>
      </w:r>
      <w:r w:rsidR="001B2848">
        <w:rPr>
          <w:rFonts w:ascii="Arial" w:hAnsi="Arial" w:cs="Arial"/>
          <w:sz w:val="26"/>
          <w:szCs w:val="26"/>
        </w:rPr>
        <w:t>rso</w:t>
      </w:r>
      <w:r w:rsidR="00F36D66">
        <w:rPr>
          <w:rFonts w:ascii="Arial" w:hAnsi="Arial" w:cs="Arial"/>
          <w:sz w:val="26"/>
          <w:szCs w:val="26"/>
        </w:rPr>
        <w:t>s</w:t>
      </w:r>
      <w:r w:rsidR="001B2848">
        <w:rPr>
          <w:rFonts w:ascii="Arial" w:hAnsi="Arial" w:cs="Arial"/>
          <w:sz w:val="26"/>
          <w:szCs w:val="26"/>
        </w:rPr>
        <w:t xml:space="preserve"> de revisión interpuesto</w:t>
      </w:r>
      <w:r w:rsidR="00F36D66">
        <w:rPr>
          <w:rFonts w:ascii="Arial" w:hAnsi="Arial" w:cs="Arial"/>
          <w:sz w:val="26"/>
          <w:szCs w:val="26"/>
        </w:rPr>
        <w:t>s</w:t>
      </w:r>
      <w:r w:rsidR="001B2848">
        <w:rPr>
          <w:rFonts w:ascii="Arial" w:hAnsi="Arial" w:cs="Arial"/>
          <w:sz w:val="26"/>
          <w:szCs w:val="26"/>
        </w:rPr>
        <w:t xml:space="preserve"> por</w:t>
      </w:r>
      <w:r>
        <w:rPr>
          <w:rFonts w:ascii="Arial" w:hAnsi="Arial" w:cs="Arial"/>
          <w:sz w:val="26"/>
          <w:szCs w:val="26"/>
        </w:rPr>
        <w:t xml:space="preserve"> </w:t>
      </w:r>
      <w:r w:rsidR="00F36D66">
        <w:rPr>
          <w:rFonts w:ascii="Arial" w:hAnsi="Arial" w:cs="Arial"/>
          <w:sz w:val="26"/>
          <w:szCs w:val="26"/>
        </w:rPr>
        <w:t xml:space="preserve">el </w:t>
      </w:r>
      <w:r w:rsidR="004707EC" w:rsidRPr="00F36D66">
        <w:rPr>
          <w:rFonts w:ascii="Arial" w:hAnsi="Arial" w:cs="Arial"/>
          <w:b/>
          <w:sz w:val="26"/>
          <w:szCs w:val="26"/>
        </w:rPr>
        <w:t>DIRECTOR DE ASUNTOS JURÍDICOS</w:t>
      </w:r>
      <w:r w:rsidR="00F36D66" w:rsidRPr="00F36D66">
        <w:rPr>
          <w:rFonts w:ascii="Arial" w:hAnsi="Arial" w:cs="Arial"/>
          <w:b/>
          <w:sz w:val="26"/>
          <w:szCs w:val="26"/>
        </w:rPr>
        <w:t xml:space="preserve"> y la </w:t>
      </w:r>
      <w:r w:rsidR="004707EC" w:rsidRPr="00F36D66">
        <w:rPr>
          <w:rFonts w:ascii="Arial" w:hAnsi="Arial" w:cs="Arial"/>
          <w:b/>
          <w:sz w:val="26"/>
          <w:szCs w:val="26"/>
        </w:rPr>
        <w:t>OFICIAL MAYOR</w:t>
      </w:r>
      <w:r w:rsidR="00F36D66" w:rsidRPr="00F36D66">
        <w:rPr>
          <w:rFonts w:ascii="Arial" w:hAnsi="Arial" w:cs="Arial"/>
          <w:b/>
          <w:sz w:val="26"/>
          <w:szCs w:val="26"/>
        </w:rPr>
        <w:t xml:space="preserve">, ambos </w:t>
      </w:r>
      <w:r>
        <w:rPr>
          <w:rFonts w:ascii="Arial" w:hAnsi="Arial" w:cs="Arial"/>
          <w:b/>
          <w:sz w:val="26"/>
          <w:szCs w:val="26"/>
        </w:rPr>
        <w:t xml:space="preserve">de la </w:t>
      </w:r>
      <w:r w:rsidR="004707EC">
        <w:rPr>
          <w:rFonts w:ascii="Arial" w:hAnsi="Arial" w:cs="Arial"/>
          <w:b/>
          <w:sz w:val="26"/>
          <w:szCs w:val="26"/>
        </w:rPr>
        <w:t>FISCALÍA GENERAL DEL ESTADO DE OAXACA</w:t>
      </w:r>
      <w:r>
        <w:rPr>
          <w:rFonts w:ascii="Arial" w:hAnsi="Arial" w:cs="Arial"/>
          <w:b/>
          <w:sz w:val="26"/>
          <w:szCs w:val="26"/>
        </w:rPr>
        <w:t>,</w:t>
      </w:r>
      <w:r w:rsidR="001B2848" w:rsidRPr="00CB6405">
        <w:rPr>
          <w:rFonts w:ascii="Arial" w:hAnsi="Arial" w:cs="Arial"/>
          <w:sz w:val="26"/>
          <w:szCs w:val="26"/>
        </w:rPr>
        <w:t xml:space="preserve"> en contra </w:t>
      </w:r>
      <w:r w:rsidR="001E61FF">
        <w:rPr>
          <w:rFonts w:ascii="Arial" w:hAnsi="Arial" w:cs="Arial"/>
          <w:sz w:val="26"/>
          <w:szCs w:val="26"/>
        </w:rPr>
        <w:t>de la sentencia de veinti</w:t>
      </w:r>
      <w:r w:rsidR="00F36D66">
        <w:rPr>
          <w:rFonts w:ascii="Arial" w:hAnsi="Arial" w:cs="Arial"/>
          <w:sz w:val="26"/>
          <w:szCs w:val="26"/>
        </w:rPr>
        <w:t xml:space="preserve">ocho de marzo de dos mil veintidós, </w:t>
      </w:r>
      <w:r w:rsidR="001B2848">
        <w:rPr>
          <w:rFonts w:ascii="Arial" w:hAnsi="Arial" w:cs="Arial"/>
          <w:sz w:val="26"/>
          <w:szCs w:val="26"/>
        </w:rPr>
        <w:t>dictada</w:t>
      </w:r>
      <w:r w:rsidR="001B2848" w:rsidRPr="00CB6405">
        <w:rPr>
          <w:rFonts w:ascii="Arial" w:hAnsi="Arial" w:cs="Arial"/>
          <w:sz w:val="26"/>
          <w:szCs w:val="26"/>
        </w:rPr>
        <w:t xml:space="preserve"> en el expediente </w:t>
      </w:r>
      <w:r w:rsidR="001E61FF">
        <w:rPr>
          <w:rFonts w:ascii="Arial" w:hAnsi="Arial" w:cs="Arial"/>
          <w:b/>
          <w:sz w:val="26"/>
          <w:szCs w:val="26"/>
        </w:rPr>
        <w:t>0</w:t>
      </w:r>
      <w:r w:rsidR="00F36D66">
        <w:rPr>
          <w:rFonts w:ascii="Arial" w:hAnsi="Arial" w:cs="Arial"/>
          <w:b/>
          <w:sz w:val="26"/>
          <w:szCs w:val="26"/>
        </w:rPr>
        <w:t>159</w:t>
      </w:r>
      <w:r w:rsidR="001E61FF">
        <w:rPr>
          <w:rFonts w:ascii="Arial" w:hAnsi="Arial" w:cs="Arial"/>
          <w:b/>
          <w:sz w:val="26"/>
          <w:szCs w:val="26"/>
        </w:rPr>
        <w:t>/2020</w:t>
      </w:r>
      <w:r w:rsidR="001B2848" w:rsidRPr="00CB6405">
        <w:rPr>
          <w:rFonts w:ascii="Arial" w:hAnsi="Arial" w:cs="Arial"/>
          <w:sz w:val="26"/>
          <w:szCs w:val="26"/>
        </w:rPr>
        <w:t xml:space="preserve"> de la </w:t>
      </w:r>
      <w:r w:rsidR="00F36D66">
        <w:rPr>
          <w:rFonts w:ascii="Arial" w:hAnsi="Arial" w:cs="Arial"/>
          <w:sz w:val="26"/>
          <w:szCs w:val="26"/>
        </w:rPr>
        <w:t xml:space="preserve">Sexta </w:t>
      </w:r>
      <w:r w:rsidR="001B2848" w:rsidRPr="00CB6405">
        <w:rPr>
          <w:rFonts w:ascii="Arial" w:hAnsi="Arial" w:cs="Arial"/>
          <w:sz w:val="26"/>
          <w:szCs w:val="26"/>
        </w:rPr>
        <w:t xml:space="preserve">Sala Unitaria de Primera Instancia, relativo al </w:t>
      </w:r>
      <w:r w:rsidR="001B2848">
        <w:rPr>
          <w:rFonts w:ascii="Arial" w:hAnsi="Arial" w:cs="Arial"/>
          <w:sz w:val="26"/>
          <w:szCs w:val="26"/>
        </w:rPr>
        <w:t>juicio de nulidad promovido por</w:t>
      </w:r>
      <w:r w:rsidR="001B2848" w:rsidRPr="00CB6405">
        <w:rPr>
          <w:rFonts w:ascii="Arial" w:hAnsi="Arial" w:cs="Arial"/>
          <w:sz w:val="26"/>
          <w:szCs w:val="26"/>
        </w:rPr>
        <w:t xml:space="preserve"> </w:t>
      </w:r>
      <w:r w:rsidR="00275BEA">
        <w:rPr>
          <w:rFonts w:ascii="Arial" w:hAnsi="Arial" w:cs="Arial"/>
          <w:b/>
          <w:sz w:val="26"/>
          <w:szCs w:val="26"/>
        </w:rPr>
        <w:t>*******</w:t>
      </w:r>
      <w:r w:rsidR="00F711DC" w:rsidRPr="00CB6405">
        <w:rPr>
          <w:rFonts w:ascii="Arial" w:hAnsi="Arial" w:cs="Arial"/>
          <w:b/>
          <w:sz w:val="26"/>
          <w:szCs w:val="26"/>
        </w:rPr>
        <w:t xml:space="preserve">, </w:t>
      </w:r>
      <w:r w:rsidR="001E61FF">
        <w:rPr>
          <w:rFonts w:ascii="Arial" w:hAnsi="Arial" w:cs="Arial"/>
          <w:sz w:val="26"/>
          <w:szCs w:val="26"/>
        </w:rPr>
        <w:t xml:space="preserve">en contra del </w:t>
      </w:r>
      <w:r w:rsidR="004707EC" w:rsidRPr="00F36D66">
        <w:rPr>
          <w:rFonts w:ascii="Arial" w:hAnsi="Arial" w:cs="Arial"/>
          <w:b/>
          <w:sz w:val="26"/>
          <w:szCs w:val="26"/>
        </w:rPr>
        <w:t xml:space="preserve">DIRECTOR DE ASUNTOS JURÍDICOS </w:t>
      </w:r>
      <w:r w:rsidR="00F36D66" w:rsidRPr="00F36D66">
        <w:rPr>
          <w:rFonts w:ascii="Arial" w:hAnsi="Arial" w:cs="Arial"/>
          <w:sz w:val="26"/>
          <w:szCs w:val="26"/>
        </w:rPr>
        <w:t>y la</w:t>
      </w:r>
      <w:r w:rsidR="00F36D66" w:rsidRPr="00F36D66">
        <w:rPr>
          <w:rFonts w:ascii="Arial" w:hAnsi="Arial" w:cs="Arial"/>
          <w:b/>
          <w:sz w:val="26"/>
          <w:szCs w:val="26"/>
        </w:rPr>
        <w:t xml:space="preserve"> </w:t>
      </w:r>
      <w:r w:rsidR="004707EC" w:rsidRPr="00F36D66">
        <w:rPr>
          <w:rFonts w:ascii="Arial" w:hAnsi="Arial" w:cs="Arial"/>
          <w:b/>
          <w:sz w:val="26"/>
          <w:szCs w:val="26"/>
        </w:rPr>
        <w:t>OFICIAL MAYOR</w:t>
      </w:r>
      <w:r w:rsidR="00F36D66" w:rsidRPr="00F36D66">
        <w:rPr>
          <w:rFonts w:ascii="Arial" w:hAnsi="Arial" w:cs="Arial"/>
          <w:b/>
          <w:sz w:val="26"/>
          <w:szCs w:val="26"/>
        </w:rPr>
        <w:t xml:space="preserve">, ambos </w:t>
      </w:r>
      <w:r w:rsidR="00F36D66">
        <w:rPr>
          <w:rFonts w:ascii="Arial" w:hAnsi="Arial" w:cs="Arial"/>
          <w:b/>
          <w:sz w:val="26"/>
          <w:szCs w:val="26"/>
        </w:rPr>
        <w:t xml:space="preserve">de la </w:t>
      </w:r>
      <w:r w:rsidR="004707EC">
        <w:rPr>
          <w:rFonts w:ascii="Arial" w:hAnsi="Arial" w:cs="Arial"/>
          <w:b/>
          <w:sz w:val="26"/>
          <w:szCs w:val="26"/>
        </w:rPr>
        <w:t>FISCALÍA GENERAL DEL ESTADO DE OAXACA</w:t>
      </w:r>
      <w:r w:rsidR="001B2848" w:rsidRPr="00605D2B">
        <w:rPr>
          <w:rFonts w:ascii="Arial" w:hAnsi="Arial" w:cs="Arial"/>
          <w:b/>
          <w:sz w:val="26"/>
          <w:szCs w:val="26"/>
        </w:rPr>
        <w:t>;</w:t>
      </w:r>
      <w:r w:rsidR="001B2848" w:rsidRPr="00CB6405">
        <w:rPr>
          <w:rFonts w:ascii="Arial" w:hAnsi="Arial" w:cs="Arial"/>
          <w:b/>
          <w:sz w:val="26"/>
          <w:szCs w:val="26"/>
        </w:rPr>
        <w:t xml:space="preserve"> </w:t>
      </w:r>
      <w:r w:rsidR="00D63DA7" w:rsidRPr="00CB6405">
        <w:rPr>
          <w:rFonts w:ascii="Arial" w:hAnsi="Arial" w:cs="Arial"/>
          <w:sz w:val="26"/>
          <w:szCs w:val="26"/>
        </w:rPr>
        <w:t>por lo que</w:t>
      </w:r>
      <w:r w:rsidR="00D63DA7">
        <w:rPr>
          <w:rFonts w:ascii="Arial" w:hAnsi="Arial" w:cs="Arial"/>
          <w:sz w:val="26"/>
          <w:szCs w:val="26"/>
        </w:rPr>
        <w:t>,</w:t>
      </w:r>
      <w:r w:rsidR="00D63DA7" w:rsidRPr="00CB6405">
        <w:rPr>
          <w:rFonts w:ascii="Arial" w:hAnsi="Arial" w:cs="Arial"/>
          <w:sz w:val="26"/>
          <w:szCs w:val="26"/>
        </w:rPr>
        <w:t xml:space="preserve"> </w:t>
      </w:r>
      <w:r w:rsidR="00D63DA7" w:rsidRPr="00A66C6B">
        <w:rPr>
          <w:rFonts w:ascii="Arial" w:hAnsi="Arial" w:cs="Arial"/>
          <w:sz w:val="26"/>
          <w:szCs w:val="26"/>
        </w:rPr>
        <w:t>con fundamento en los artículos 236 y 238 de la Ley de Procedimiento y Justicia Administrativa para el Estado de Oaxaca y 24 fracciones I y III de la Ley Orgánica del Tribunal de Justicia Administrativa del Estado de Oaxaca, se da tramite</w:t>
      </w:r>
      <w:r w:rsidR="00D63DA7" w:rsidRPr="00CB6405">
        <w:rPr>
          <w:rFonts w:ascii="Arial" w:hAnsi="Arial" w:cs="Arial"/>
          <w:sz w:val="26"/>
          <w:szCs w:val="26"/>
        </w:rPr>
        <w:t>. En consecuencia, se procede a dictar resolución en los siguientes términos:</w:t>
      </w:r>
      <w:r w:rsidR="00275BEA">
        <w:rPr>
          <w:rFonts w:ascii="Arial" w:hAnsi="Arial" w:cs="Arial"/>
          <w:sz w:val="26"/>
          <w:szCs w:val="26"/>
        </w:rPr>
        <w:t xml:space="preserve">- </w:t>
      </w:r>
      <w:r w:rsidR="00275BEA">
        <w:rPr>
          <w:rFonts w:ascii="Arial" w:hAnsi="Arial" w:cs="Arial"/>
          <w:sz w:val="26"/>
          <w:szCs w:val="26"/>
        </w:rPr>
        <w:t>- - - - - - - - - - - - - - - - - - - - - - - - - - - - - - - -</w:t>
      </w:r>
      <w:r w:rsidR="00275BEA">
        <w:rPr>
          <w:rFonts w:ascii="Arial" w:hAnsi="Arial" w:cs="Arial"/>
          <w:sz w:val="26"/>
          <w:szCs w:val="26"/>
        </w:rPr>
        <w:t xml:space="preserve"> - - - - - - - - - - - - - </w:t>
      </w:r>
    </w:p>
    <w:p w14:paraId="4F4A7C51" w14:textId="77777777" w:rsidR="00216377" w:rsidRPr="00CB6405" w:rsidRDefault="00216377" w:rsidP="00216377">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7A3B19A" w14:textId="2F4BB233" w:rsidR="00F711DC" w:rsidRDefault="001B2848" w:rsidP="004707E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00F711DC" w:rsidRPr="00CB6405">
        <w:rPr>
          <w:rFonts w:ascii="Arial" w:hAnsi="Arial" w:cs="Arial"/>
          <w:sz w:val="26"/>
          <w:szCs w:val="26"/>
        </w:rPr>
        <w:t>Inconforme</w:t>
      </w:r>
      <w:r w:rsidR="00D63DA7">
        <w:rPr>
          <w:rFonts w:ascii="Arial" w:hAnsi="Arial" w:cs="Arial"/>
          <w:sz w:val="26"/>
          <w:szCs w:val="26"/>
        </w:rPr>
        <w:t>s</w:t>
      </w:r>
      <w:r w:rsidR="00F711DC" w:rsidRPr="00CB6405">
        <w:rPr>
          <w:rFonts w:ascii="Arial" w:hAnsi="Arial" w:cs="Arial"/>
          <w:sz w:val="26"/>
          <w:szCs w:val="26"/>
        </w:rPr>
        <w:t xml:space="preserve"> </w:t>
      </w:r>
      <w:r w:rsidR="001E61FF">
        <w:rPr>
          <w:rFonts w:ascii="Arial" w:hAnsi="Arial" w:cs="Arial"/>
          <w:sz w:val="26"/>
          <w:szCs w:val="26"/>
        </w:rPr>
        <w:t>con la sentencia de veinti</w:t>
      </w:r>
      <w:r w:rsidR="00D63DA7">
        <w:rPr>
          <w:rFonts w:ascii="Arial" w:hAnsi="Arial" w:cs="Arial"/>
          <w:sz w:val="26"/>
          <w:szCs w:val="26"/>
        </w:rPr>
        <w:t xml:space="preserve">ocho de marzo de dos mil veintidós </w:t>
      </w:r>
      <w:r w:rsidR="00F711DC" w:rsidRPr="00CB6405">
        <w:rPr>
          <w:rFonts w:ascii="Arial" w:hAnsi="Arial" w:cs="Arial"/>
          <w:sz w:val="26"/>
          <w:szCs w:val="26"/>
        </w:rPr>
        <w:t>dictad</w:t>
      </w:r>
      <w:r w:rsidR="001E61FF">
        <w:rPr>
          <w:rFonts w:ascii="Arial" w:hAnsi="Arial" w:cs="Arial"/>
          <w:sz w:val="26"/>
          <w:szCs w:val="26"/>
        </w:rPr>
        <w:t>a</w:t>
      </w:r>
      <w:r w:rsidR="00F711DC">
        <w:rPr>
          <w:rFonts w:ascii="Arial" w:hAnsi="Arial" w:cs="Arial"/>
          <w:sz w:val="26"/>
          <w:szCs w:val="26"/>
        </w:rPr>
        <w:t xml:space="preserve"> </w:t>
      </w:r>
      <w:r w:rsidR="00F711DC" w:rsidRPr="00CB6405">
        <w:rPr>
          <w:rFonts w:ascii="Arial" w:hAnsi="Arial" w:cs="Arial"/>
          <w:sz w:val="26"/>
          <w:szCs w:val="26"/>
        </w:rPr>
        <w:t xml:space="preserve">por la </w:t>
      </w:r>
      <w:r w:rsidR="00D63DA7">
        <w:rPr>
          <w:rFonts w:ascii="Arial" w:hAnsi="Arial" w:cs="Arial"/>
          <w:sz w:val="26"/>
          <w:szCs w:val="26"/>
        </w:rPr>
        <w:t xml:space="preserve">Sexta </w:t>
      </w:r>
      <w:r w:rsidR="00F711DC" w:rsidRPr="00CB6405">
        <w:rPr>
          <w:rFonts w:ascii="Arial" w:hAnsi="Arial" w:cs="Arial"/>
          <w:sz w:val="26"/>
          <w:szCs w:val="26"/>
        </w:rPr>
        <w:t xml:space="preserve">Sala Unitaria de Primera Instancia, </w:t>
      </w:r>
      <w:r w:rsidR="00D63DA7">
        <w:rPr>
          <w:rFonts w:ascii="Arial" w:hAnsi="Arial" w:cs="Arial"/>
          <w:sz w:val="26"/>
          <w:szCs w:val="26"/>
        </w:rPr>
        <w:t xml:space="preserve">las autoridades demandadas </w:t>
      </w:r>
      <w:r w:rsidR="00F711DC" w:rsidRPr="00CB6405">
        <w:rPr>
          <w:rFonts w:ascii="Arial" w:hAnsi="Arial" w:cs="Arial"/>
          <w:sz w:val="26"/>
          <w:szCs w:val="26"/>
        </w:rPr>
        <w:t>interpus</w:t>
      </w:r>
      <w:r w:rsidR="00D63DA7">
        <w:rPr>
          <w:rFonts w:ascii="Arial" w:hAnsi="Arial" w:cs="Arial"/>
          <w:sz w:val="26"/>
          <w:szCs w:val="26"/>
        </w:rPr>
        <w:t xml:space="preserve">ieron </w:t>
      </w:r>
      <w:r w:rsidR="00F711DC" w:rsidRPr="00CB6405">
        <w:rPr>
          <w:rFonts w:ascii="Arial" w:hAnsi="Arial" w:cs="Arial"/>
          <w:sz w:val="26"/>
          <w:szCs w:val="26"/>
        </w:rPr>
        <w:t>en su contra recurso de revisión.</w:t>
      </w:r>
      <w:r w:rsidR="0059007B">
        <w:rPr>
          <w:rFonts w:ascii="Arial" w:hAnsi="Arial" w:cs="Arial"/>
          <w:sz w:val="26"/>
          <w:szCs w:val="26"/>
        </w:rPr>
        <w:t xml:space="preserve"> </w:t>
      </w:r>
      <w:r w:rsidR="004707EC">
        <w:rPr>
          <w:rFonts w:ascii="Arial" w:hAnsi="Arial" w:cs="Arial"/>
          <w:sz w:val="26"/>
          <w:szCs w:val="26"/>
        </w:rPr>
        <w:t xml:space="preserve">- - - - - - - - - - - - - - - - - - - - - - - - - - - - - - - - - - - - - - </w:t>
      </w:r>
    </w:p>
    <w:p w14:paraId="295B3D66" w14:textId="2B4F98BF" w:rsidR="001B2848" w:rsidRDefault="001B2848" w:rsidP="00F711DC">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6B35B4B0" w14:textId="23CE6165" w:rsidR="0025762F" w:rsidRPr="004707EC" w:rsidRDefault="00C66212" w:rsidP="004707EC">
      <w:pPr>
        <w:widowControl w:val="0"/>
        <w:tabs>
          <w:tab w:val="left" w:pos="7938"/>
        </w:tabs>
        <w:spacing w:after="0"/>
        <w:ind w:left="1134" w:right="616"/>
        <w:jc w:val="both"/>
        <w:rPr>
          <w:rFonts w:ascii="Arial" w:hAnsi="Arial" w:cs="Arial"/>
          <w:i/>
        </w:rPr>
      </w:pPr>
      <w:r>
        <w:rPr>
          <w:rFonts w:eastAsia="Times New Roman" w:cstheme="minorHAnsi"/>
          <w:bCs/>
          <w:i/>
          <w:iCs/>
          <w:sz w:val="24"/>
          <w:szCs w:val="24"/>
          <w:lang w:eastAsia="es-ES"/>
        </w:rPr>
        <w:t xml:space="preserve">   </w:t>
      </w:r>
      <w:r w:rsidR="001B2848" w:rsidRPr="004707EC">
        <w:rPr>
          <w:rFonts w:ascii="Arial" w:eastAsia="Times New Roman" w:hAnsi="Arial" w:cs="Arial"/>
          <w:bCs/>
          <w:i/>
          <w:iCs/>
          <w:lang w:eastAsia="es-ES"/>
        </w:rPr>
        <w:t>“</w:t>
      </w:r>
      <w:r w:rsidR="001B2848" w:rsidRPr="004707EC">
        <w:rPr>
          <w:rFonts w:ascii="Arial" w:hAnsi="Arial" w:cs="Arial"/>
          <w:b/>
          <w:i/>
        </w:rPr>
        <w:t>PRIMERO.</w:t>
      </w:r>
      <w:r w:rsidR="00F711DC" w:rsidRPr="004707EC">
        <w:rPr>
          <w:rFonts w:ascii="Arial" w:hAnsi="Arial" w:cs="Arial"/>
          <w:b/>
          <w:i/>
        </w:rPr>
        <w:t xml:space="preserve"> </w:t>
      </w:r>
      <w:r w:rsidR="001B2848" w:rsidRPr="004707EC">
        <w:rPr>
          <w:rFonts w:ascii="Arial" w:hAnsi="Arial" w:cs="Arial"/>
          <w:i/>
        </w:rPr>
        <w:t xml:space="preserve">Esta </w:t>
      </w:r>
      <w:r w:rsidR="00D63DA7" w:rsidRPr="004707EC">
        <w:rPr>
          <w:rFonts w:ascii="Arial" w:hAnsi="Arial" w:cs="Arial"/>
          <w:i/>
        </w:rPr>
        <w:t xml:space="preserve">Sexta </w:t>
      </w:r>
      <w:r w:rsidR="001B2848" w:rsidRPr="004707EC">
        <w:rPr>
          <w:rFonts w:ascii="Arial" w:hAnsi="Arial" w:cs="Arial"/>
          <w:i/>
        </w:rPr>
        <w:t>Sala Unitaria</w:t>
      </w:r>
      <w:r w:rsidR="005D3CC0" w:rsidRPr="004707EC">
        <w:rPr>
          <w:rFonts w:ascii="Arial" w:hAnsi="Arial" w:cs="Arial"/>
          <w:i/>
        </w:rPr>
        <w:t xml:space="preserve"> </w:t>
      </w:r>
      <w:r w:rsidR="00D63DA7" w:rsidRPr="004707EC">
        <w:rPr>
          <w:rFonts w:ascii="Arial" w:hAnsi="Arial" w:cs="Arial"/>
          <w:i/>
        </w:rPr>
        <w:t xml:space="preserve">e este Tribunal de Justicia Administrativa para el Estado de Oaxaca, es </w:t>
      </w:r>
      <w:r w:rsidR="00D63DA7" w:rsidRPr="004707EC">
        <w:rPr>
          <w:rFonts w:ascii="Arial" w:hAnsi="Arial" w:cs="Arial"/>
          <w:b/>
          <w:i/>
        </w:rPr>
        <w:t xml:space="preserve">competente </w:t>
      </w:r>
      <w:r w:rsidR="005D3CC0" w:rsidRPr="004707EC">
        <w:rPr>
          <w:rFonts w:ascii="Arial" w:hAnsi="Arial" w:cs="Arial"/>
          <w:i/>
        </w:rPr>
        <w:t>para conocer y resolver del presente asunto. - - - - - - - - - - - - - - - - -</w:t>
      </w:r>
      <w:r w:rsidR="00204577" w:rsidRPr="004707EC">
        <w:rPr>
          <w:rFonts w:ascii="Arial" w:hAnsi="Arial" w:cs="Arial"/>
          <w:i/>
        </w:rPr>
        <w:t xml:space="preserve"> - - - </w:t>
      </w:r>
    </w:p>
    <w:p w14:paraId="2424B9AA" w14:textId="656C4816" w:rsidR="005D3CC0" w:rsidRPr="004707EC" w:rsidRDefault="00C66212" w:rsidP="004707EC">
      <w:pPr>
        <w:widowControl w:val="0"/>
        <w:tabs>
          <w:tab w:val="left" w:pos="7938"/>
        </w:tabs>
        <w:spacing w:after="0"/>
        <w:ind w:left="1134" w:right="616"/>
        <w:jc w:val="both"/>
        <w:rPr>
          <w:rFonts w:ascii="Arial" w:hAnsi="Arial" w:cs="Arial"/>
          <w:i/>
        </w:rPr>
      </w:pPr>
      <w:r w:rsidRPr="004707EC">
        <w:rPr>
          <w:rFonts w:ascii="Arial" w:hAnsi="Arial" w:cs="Arial"/>
          <w:b/>
          <w:i/>
        </w:rPr>
        <w:t xml:space="preserve">   </w:t>
      </w:r>
      <w:r w:rsidR="001B2848" w:rsidRPr="004707EC">
        <w:rPr>
          <w:rFonts w:ascii="Arial" w:hAnsi="Arial" w:cs="Arial"/>
          <w:b/>
          <w:i/>
        </w:rPr>
        <w:t xml:space="preserve">SEGUNDO. </w:t>
      </w:r>
      <w:r w:rsidR="001B2848" w:rsidRPr="004707EC">
        <w:rPr>
          <w:rFonts w:ascii="Arial" w:hAnsi="Arial" w:cs="Arial"/>
          <w:i/>
        </w:rPr>
        <w:t>La personalidad de las partes q</w:t>
      </w:r>
      <w:r w:rsidR="001E61FF" w:rsidRPr="004707EC">
        <w:rPr>
          <w:rFonts w:ascii="Arial" w:hAnsi="Arial" w:cs="Arial"/>
          <w:i/>
        </w:rPr>
        <w:t>ued</w:t>
      </w:r>
      <w:r w:rsidR="00D63DA7" w:rsidRPr="004707EC">
        <w:rPr>
          <w:rFonts w:ascii="Arial" w:hAnsi="Arial" w:cs="Arial"/>
          <w:i/>
        </w:rPr>
        <w:t xml:space="preserve">ó </w:t>
      </w:r>
      <w:r w:rsidRPr="004707EC">
        <w:rPr>
          <w:rFonts w:ascii="Arial" w:hAnsi="Arial" w:cs="Arial"/>
          <w:i/>
        </w:rPr>
        <w:t xml:space="preserve">acreditada en </w:t>
      </w:r>
      <w:r w:rsidR="004707EC" w:rsidRPr="004707EC">
        <w:rPr>
          <w:rFonts w:ascii="Arial" w:hAnsi="Arial" w:cs="Arial"/>
          <w:i/>
        </w:rPr>
        <w:t>autos. -</w:t>
      </w:r>
      <w:r w:rsidRPr="004707EC">
        <w:rPr>
          <w:rFonts w:ascii="Arial" w:hAnsi="Arial" w:cs="Arial"/>
          <w:i/>
        </w:rPr>
        <w:t xml:space="preserve"> - </w:t>
      </w:r>
      <w:r w:rsidR="004707EC">
        <w:rPr>
          <w:rFonts w:ascii="Arial" w:hAnsi="Arial" w:cs="Arial"/>
          <w:i/>
        </w:rPr>
        <w:t>- - - - - - - - - - - - - - - - - - - - - - - - - - - - - - - - - - - - - - - - - -</w:t>
      </w:r>
    </w:p>
    <w:p w14:paraId="2FF36DD9" w14:textId="209EBB92" w:rsidR="005D3CC0" w:rsidRPr="004707EC" w:rsidRDefault="00C66212" w:rsidP="004707EC">
      <w:pPr>
        <w:widowControl w:val="0"/>
        <w:tabs>
          <w:tab w:val="left" w:pos="7938"/>
        </w:tabs>
        <w:spacing w:after="0"/>
        <w:ind w:left="1134" w:right="616"/>
        <w:jc w:val="both"/>
        <w:rPr>
          <w:rFonts w:ascii="Arial" w:hAnsi="Arial" w:cs="Arial"/>
          <w:b/>
          <w:i/>
        </w:rPr>
      </w:pPr>
      <w:r w:rsidRPr="004707EC">
        <w:rPr>
          <w:rFonts w:ascii="Arial" w:hAnsi="Arial" w:cs="Arial"/>
          <w:b/>
          <w:i/>
        </w:rPr>
        <w:lastRenderedPageBreak/>
        <w:t xml:space="preserve">   </w:t>
      </w:r>
      <w:r w:rsidR="001B2848" w:rsidRPr="004707EC">
        <w:rPr>
          <w:rFonts w:ascii="Arial" w:hAnsi="Arial" w:cs="Arial"/>
          <w:b/>
          <w:i/>
        </w:rPr>
        <w:t xml:space="preserve">TERCERO. </w:t>
      </w:r>
      <w:r w:rsidR="005D3CC0" w:rsidRPr="004707EC">
        <w:rPr>
          <w:rFonts w:ascii="Arial" w:hAnsi="Arial" w:cs="Arial"/>
          <w:i/>
        </w:rPr>
        <w:t xml:space="preserve">No se </w:t>
      </w:r>
      <w:r w:rsidR="001E61FF" w:rsidRPr="004707EC">
        <w:rPr>
          <w:rFonts w:ascii="Arial" w:hAnsi="Arial" w:cs="Arial"/>
          <w:i/>
        </w:rPr>
        <w:t>actualiz</w:t>
      </w:r>
      <w:r w:rsidRPr="004707EC">
        <w:rPr>
          <w:rFonts w:ascii="Arial" w:hAnsi="Arial" w:cs="Arial"/>
          <w:i/>
        </w:rPr>
        <w:t xml:space="preserve">aron </w:t>
      </w:r>
      <w:r w:rsidR="001E61FF" w:rsidRPr="004707EC">
        <w:rPr>
          <w:rFonts w:ascii="Arial" w:hAnsi="Arial" w:cs="Arial"/>
          <w:i/>
        </w:rPr>
        <w:t>causal</w:t>
      </w:r>
      <w:r w:rsidRPr="004707EC">
        <w:rPr>
          <w:rFonts w:ascii="Arial" w:hAnsi="Arial" w:cs="Arial"/>
          <w:i/>
        </w:rPr>
        <w:t>es</w:t>
      </w:r>
      <w:r w:rsidR="001E61FF" w:rsidRPr="004707EC">
        <w:rPr>
          <w:rFonts w:ascii="Arial" w:hAnsi="Arial" w:cs="Arial"/>
          <w:i/>
        </w:rPr>
        <w:t xml:space="preserve"> de improcedencia</w:t>
      </w:r>
      <w:r w:rsidRPr="004707EC">
        <w:rPr>
          <w:rFonts w:ascii="Arial" w:hAnsi="Arial" w:cs="Arial"/>
          <w:i/>
        </w:rPr>
        <w:t xml:space="preserve"> y sobreseimiento en el presente asunto, por lo que </w:t>
      </w:r>
      <w:r w:rsidRPr="004707EC">
        <w:rPr>
          <w:rFonts w:ascii="Arial" w:hAnsi="Arial" w:cs="Arial"/>
          <w:b/>
          <w:i/>
        </w:rPr>
        <w:t xml:space="preserve">no se sobresee </w:t>
      </w:r>
      <w:r w:rsidRPr="004707EC">
        <w:rPr>
          <w:rFonts w:ascii="Arial" w:hAnsi="Arial" w:cs="Arial"/>
          <w:i/>
        </w:rPr>
        <w:t>el juicio.</w:t>
      </w:r>
      <w:r w:rsidR="001E61FF" w:rsidRPr="004707EC">
        <w:rPr>
          <w:rFonts w:ascii="Arial" w:hAnsi="Arial" w:cs="Arial"/>
          <w:b/>
          <w:i/>
        </w:rPr>
        <w:t xml:space="preserve"> </w:t>
      </w:r>
      <w:r w:rsidR="004707EC">
        <w:rPr>
          <w:rFonts w:ascii="Arial" w:hAnsi="Arial" w:cs="Arial"/>
          <w:i/>
        </w:rPr>
        <w:t xml:space="preserve">- - - - - - - - - - - - - - - - - - - - - - - - - - - - - - - - - - - - - - - - - - </w:t>
      </w:r>
    </w:p>
    <w:p w14:paraId="70FF69A5" w14:textId="45AC92FD" w:rsidR="001E61FF" w:rsidRPr="004707EC" w:rsidRDefault="00C66212" w:rsidP="004707EC">
      <w:pPr>
        <w:widowControl w:val="0"/>
        <w:tabs>
          <w:tab w:val="left" w:pos="7938"/>
        </w:tabs>
        <w:spacing w:after="0"/>
        <w:ind w:left="1134" w:right="616"/>
        <w:jc w:val="both"/>
        <w:rPr>
          <w:rFonts w:ascii="Arial" w:hAnsi="Arial" w:cs="Arial"/>
          <w:i/>
        </w:rPr>
      </w:pPr>
      <w:r w:rsidRPr="004707EC">
        <w:rPr>
          <w:rFonts w:ascii="Arial" w:hAnsi="Arial" w:cs="Arial"/>
          <w:b/>
          <w:i/>
        </w:rPr>
        <w:t xml:space="preserve">   </w:t>
      </w:r>
      <w:r w:rsidR="001B2848" w:rsidRPr="004707EC">
        <w:rPr>
          <w:rFonts w:ascii="Arial" w:hAnsi="Arial" w:cs="Arial"/>
          <w:b/>
          <w:i/>
        </w:rPr>
        <w:t xml:space="preserve">CUARTO. </w:t>
      </w:r>
      <w:r w:rsidR="001B2848" w:rsidRPr="004707EC">
        <w:rPr>
          <w:rFonts w:ascii="Arial" w:hAnsi="Arial" w:cs="Arial"/>
          <w:i/>
        </w:rPr>
        <w:t xml:space="preserve">Se declara la </w:t>
      </w:r>
      <w:r w:rsidR="005D3CC0" w:rsidRPr="004707EC">
        <w:rPr>
          <w:rFonts w:ascii="Arial" w:hAnsi="Arial" w:cs="Arial"/>
          <w:b/>
          <w:i/>
        </w:rPr>
        <w:t>NULIDAD</w:t>
      </w:r>
      <w:r w:rsidRPr="004707EC">
        <w:rPr>
          <w:rFonts w:ascii="Arial" w:hAnsi="Arial" w:cs="Arial"/>
          <w:b/>
          <w:i/>
        </w:rPr>
        <w:t xml:space="preserve"> LISA Y LLANA de: a) </w:t>
      </w:r>
      <w:r w:rsidRPr="004707EC">
        <w:rPr>
          <w:rFonts w:ascii="Arial" w:hAnsi="Arial" w:cs="Arial"/>
          <w:i/>
        </w:rPr>
        <w:t xml:space="preserve">el contenido en el oficio número </w:t>
      </w:r>
      <w:r w:rsidR="00275BEA">
        <w:rPr>
          <w:rFonts w:ascii="Arial" w:hAnsi="Arial" w:cs="Arial"/>
          <w:i/>
        </w:rPr>
        <w:t>*******</w:t>
      </w:r>
      <w:r w:rsidRPr="004707EC">
        <w:rPr>
          <w:rFonts w:ascii="Arial" w:hAnsi="Arial" w:cs="Arial"/>
          <w:i/>
        </w:rPr>
        <w:t xml:space="preserve">, de siete de septiembre de dos mil veinte, emitido por el </w:t>
      </w:r>
      <w:r w:rsidRPr="004707EC">
        <w:rPr>
          <w:rFonts w:ascii="Arial" w:hAnsi="Arial" w:cs="Arial"/>
          <w:b/>
          <w:i/>
        </w:rPr>
        <w:t>Oficial Mayor de la Fiscalía General del Estado</w:t>
      </w:r>
      <w:r w:rsidRPr="004707EC">
        <w:rPr>
          <w:rFonts w:ascii="Arial" w:hAnsi="Arial" w:cs="Arial"/>
          <w:i/>
        </w:rPr>
        <w:t xml:space="preserve">; y </w:t>
      </w:r>
      <w:r w:rsidRPr="004707EC">
        <w:rPr>
          <w:rFonts w:ascii="Arial" w:hAnsi="Arial" w:cs="Arial"/>
          <w:b/>
          <w:i/>
        </w:rPr>
        <w:t xml:space="preserve">b) </w:t>
      </w:r>
      <w:r w:rsidRPr="004707EC">
        <w:rPr>
          <w:rFonts w:ascii="Arial" w:hAnsi="Arial" w:cs="Arial"/>
          <w:i/>
        </w:rPr>
        <w:t xml:space="preserve">el dictamen contenido en el oficio número </w:t>
      </w:r>
      <w:r w:rsidR="00275BEA">
        <w:rPr>
          <w:rFonts w:ascii="Arial" w:hAnsi="Arial" w:cs="Arial"/>
          <w:i/>
        </w:rPr>
        <w:t>*******</w:t>
      </w:r>
      <w:r w:rsidRPr="004707EC">
        <w:rPr>
          <w:rFonts w:ascii="Arial" w:hAnsi="Arial" w:cs="Arial"/>
          <w:i/>
        </w:rPr>
        <w:t xml:space="preserve"> de tres de septiembre de dos mil veinte, emitido por el </w:t>
      </w:r>
      <w:r w:rsidRPr="004707EC">
        <w:rPr>
          <w:rFonts w:ascii="Arial" w:hAnsi="Arial" w:cs="Arial"/>
          <w:b/>
          <w:i/>
        </w:rPr>
        <w:t>Director de Asuntos Jurídicos de la Fiscalía General del Estado</w:t>
      </w:r>
      <w:r w:rsidRPr="004707EC">
        <w:rPr>
          <w:rFonts w:ascii="Arial" w:hAnsi="Arial" w:cs="Arial"/>
          <w:i/>
        </w:rPr>
        <w:t xml:space="preserve">, como quedó precisado en el considerando </w:t>
      </w:r>
      <w:r w:rsidRPr="004707EC">
        <w:rPr>
          <w:rFonts w:ascii="Arial" w:hAnsi="Arial" w:cs="Arial"/>
          <w:b/>
          <w:i/>
        </w:rPr>
        <w:t xml:space="preserve">séptimo </w:t>
      </w:r>
      <w:r w:rsidRPr="004707EC">
        <w:rPr>
          <w:rFonts w:ascii="Arial" w:hAnsi="Arial" w:cs="Arial"/>
          <w:i/>
        </w:rPr>
        <w:t xml:space="preserve">de esta </w:t>
      </w:r>
      <w:r w:rsidR="004707EC" w:rsidRPr="004707EC">
        <w:rPr>
          <w:rFonts w:ascii="Arial" w:hAnsi="Arial" w:cs="Arial"/>
          <w:i/>
        </w:rPr>
        <w:t>sentencia.</w:t>
      </w:r>
      <w:r w:rsidR="005A4552" w:rsidRPr="004707EC">
        <w:rPr>
          <w:rFonts w:ascii="Arial" w:hAnsi="Arial" w:cs="Arial"/>
          <w:i/>
        </w:rPr>
        <w:t xml:space="preserve"> - - </w:t>
      </w:r>
    </w:p>
    <w:p w14:paraId="34643F41" w14:textId="52EB9DA6" w:rsidR="00C66212" w:rsidRPr="004707EC" w:rsidRDefault="00C66212" w:rsidP="004707EC">
      <w:pPr>
        <w:widowControl w:val="0"/>
        <w:tabs>
          <w:tab w:val="left" w:pos="7938"/>
        </w:tabs>
        <w:spacing w:after="0"/>
        <w:ind w:left="1134" w:right="616"/>
        <w:jc w:val="both"/>
        <w:rPr>
          <w:rFonts w:ascii="Arial" w:hAnsi="Arial" w:cs="Arial"/>
          <w:i/>
        </w:rPr>
      </w:pPr>
      <w:r w:rsidRPr="004707EC">
        <w:rPr>
          <w:rFonts w:ascii="Arial" w:hAnsi="Arial" w:cs="Arial"/>
          <w:b/>
          <w:i/>
        </w:rPr>
        <w:t xml:space="preserve">   </w:t>
      </w:r>
      <w:r w:rsidR="004707EC" w:rsidRPr="004707EC">
        <w:rPr>
          <w:rFonts w:ascii="Arial" w:hAnsi="Arial" w:cs="Arial"/>
          <w:b/>
          <w:i/>
        </w:rPr>
        <w:t>QUINTO. -</w:t>
      </w:r>
      <w:r w:rsidR="005A4552" w:rsidRPr="004707EC">
        <w:rPr>
          <w:rFonts w:ascii="Arial" w:hAnsi="Arial" w:cs="Arial"/>
          <w:b/>
          <w:i/>
        </w:rPr>
        <w:t xml:space="preserve"> </w:t>
      </w:r>
      <w:r w:rsidRPr="004707EC">
        <w:rPr>
          <w:rFonts w:ascii="Arial" w:hAnsi="Arial" w:cs="Arial"/>
          <w:i/>
        </w:rPr>
        <w:t xml:space="preserve">Se ordena a las </w:t>
      </w:r>
      <w:r w:rsidRPr="004707EC">
        <w:rPr>
          <w:rFonts w:ascii="Arial" w:hAnsi="Arial" w:cs="Arial"/>
          <w:b/>
          <w:i/>
        </w:rPr>
        <w:t>autoridades demandadas</w:t>
      </w:r>
      <w:r w:rsidRPr="004707EC">
        <w:rPr>
          <w:rFonts w:ascii="Arial" w:hAnsi="Arial" w:cs="Arial"/>
          <w:i/>
        </w:rPr>
        <w:t xml:space="preserve"> realizar el pago al actor </w:t>
      </w:r>
      <w:r w:rsidR="00275BEA">
        <w:rPr>
          <w:rFonts w:ascii="Arial" w:hAnsi="Arial" w:cs="Arial"/>
          <w:i/>
        </w:rPr>
        <w:t>*******</w:t>
      </w:r>
      <w:r w:rsidRPr="004707EC">
        <w:rPr>
          <w:rFonts w:ascii="Arial" w:hAnsi="Arial" w:cs="Arial"/>
          <w:i/>
        </w:rPr>
        <w:t xml:space="preserve">, la cantidad de </w:t>
      </w:r>
      <w:r w:rsidRPr="004707EC">
        <w:rPr>
          <w:rFonts w:ascii="Arial" w:hAnsi="Arial" w:cs="Arial"/>
          <w:b/>
          <w:i/>
        </w:rPr>
        <w:t>$</w:t>
      </w:r>
      <w:r w:rsidR="00275BEA">
        <w:rPr>
          <w:rFonts w:ascii="Arial" w:hAnsi="Arial" w:cs="Arial"/>
          <w:b/>
          <w:i/>
        </w:rPr>
        <w:t>*******</w:t>
      </w:r>
      <w:r w:rsidRPr="004707EC">
        <w:rPr>
          <w:rFonts w:ascii="Arial" w:hAnsi="Arial" w:cs="Arial"/>
          <w:i/>
        </w:rPr>
        <w:t>, la cual se deberá hacer de forma personal y no por apoderado legal, como quedó precisado en el considerando octavo de esta sentencia. - - - - - - - - -</w:t>
      </w:r>
      <w:r w:rsidR="004707EC">
        <w:rPr>
          <w:rFonts w:ascii="Arial" w:hAnsi="Arial" w:cs="Arial"/>
          <w:i/>
        </w:rPr>
        <w:t xml:space="preserve"> - - - - - - - </w:t>
      </w:r>
    </w:p>
    <w:p w14:paraId="1209C04B" w14:textId="3CACAD0F" w:rsidR="001B2848" w:rsidRPr="004707EC" w:rsidRDefault="00C66212" w:rsidP="004707EC">
      <w:pPr>
        <w:widowControl w:val="0"/>
        <w:tabs>
          <w:tab w:val="left" w:pos="7938"/>
        </w:tabs>
        <w:spacing w:after="0"/>
        <w:ind w:left="1134" w:right="616"/>
        <w:jc w:val="both"/>
        <w:rPr>
          <w:rFonts w:ascii="Arial" w:eastAsia="Times New Roman" w:hAnsi="Arial" w:cs="Arial"/>
          <w:bCs/>
          <w:i/>
          <w:iCs/>
          <w:lang w:eastAsia="es-ES"/>
        </w:rPr>
      </w:pPr>
      <w:r w:rsidRPr="004707EC">
        <w:rPr>
          <w:rFonts w:ascii="Arial" w:hAnsi="Arial" w:cs="Arial"/>
          <w:b/>
          <w:i/>
        </w:rPr>
        <w:t xml:space="preserve">   SEXTO.</w:t>
      </w:r>
      <w:r w:rsidRPr="004707EC">
        <w:rPr>
          <w:rFonts w:ascii="Arial" w:hAnsi="Arial" w:cs="Arial"/>
          <w:i/>
        </w:rPr>
        <w:t xml:space="preserve">  Con fundamento en los artículos 172 fracción I y 173 fracciones I y II, de la Ley de Procedimiento y Justicia Administrativa para el Estado de Oaxaca, </w:t>
      </w:r>
      <w:r w:rsidR="005A4552" w:rsidRPr="004707EC">
        <w:rPr>
          <w:rFonts w:ascii="Arial" w:hAnsi="Arial" w:cs="Arial"/>
          <w:b/>
          <w:i/>
        </w:rPr>
        <w:t>NOTIF</w:t>
      </w:r>
      <w:r w:rsidR="004520FC" w:rsidRPr="004707EC">
        <w:rPr>
          <w:rFonts w:ascii="Arial" w:hAnsi="Arial" w:cs="Arial"/>
          <w:b/>
          <w:i/>
        </w:rPr>
        <w:t xml:space="preserve">ÍQUESE </w:t>
      </w:r>
      <w:r w:rsidRPr="004707EC">
        <w:rPr>
          <w:rFonts w:ascii="Arial" w:hAnsi="Arial" w:cs="Arial"/>
          <w:i/>
        </w:rPr>
        <w:t xml:space="preserve">personalmente al actor y por oficio a las autoridades demandadas. </w:t>
      </w:r>
      <w:r w:rsidR="00F738C0" w:rsidRPr="004707EC">
        <w:rPr>
          <w:rFonts w:ascii="Arial" w:hAnsi="Arial" w:cs="Arial"/>
          <w:b/>
          <w:i/>
        </w:rPr>
        <w:t xml:space="preserve">CÚMPLASE. - - - - - - </w:t>
      </w:r>
      <w:r w:rsidR="001B2848" w:rsidRPr="004707EC">
        <w:rPr>
          <w:rFonts w:ascii="Arial" w:eastAsia="Times New Roman" w:hAnsi="Arial" w:cs="Arial"/>
          <w:bCs/>
          <w:i/>
          <w:iCs/>
          <w:lang w:eastAsia="es-ES"/>
        </w:rPr>
        <w:t>”</w:t>
      </w:r>
    </w:p>
    <w:p w14:paraId="14CA99DB" w14:textId="333B4F87" w:rsidR="00216377" w:rsidRDefault="00216377" w:rsidP="0075432E">
      <w:pPr>
        <w:widowControl w:val="0"/>
        <w:tabs>
          <w:tab w:val="left" w:pos="7938"/>
        </w:tabs>
        <w:spacing w:before="240" w:after="0"/>
        <w:ind w:left="1134" w:right="616"/>
        <w:jc w:val="center"/>
        <w:rPr>
          <w:rFonts w:ascii="Arial" w:hAnsi="Arial" w:cs="Arial"/>
          <w:b/>
          <w:bCs/>
          <w:sz w:val="26"/>
          <w:szCs w:val="26"/>
        </w:rPr>
      </w:pPr>
      <w:r w:rsidRPr="00E44FC7">
        <w:rPr>
          <w:rFonts w:ascii="Arial" w:hAnsi="Arial" w:cs="Arial"/>
          <w:b/>
          <w:bCs/>
          <w:sz w:val="26"/>
          <w:szCs w:val="26"/>
        </w:rPr>
        <w:t>C O N S I D E R A N D O:</w:t>
      </w:r>
    </w:p>
    <w:p w14:paraId="1E160D0B" w14:textId="3390385A" w:rsidR="001B2848" w:rsidRPr="00A16190" w:rsidRDefault="001B2848" w:rsidP="001B2848">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w:t>
      </w:r>
      <w:r w:rsidR="00C21870">
        <w:rPr>
          <w:rFonts w:ascii="Arial" w:hAnsi="Arial" w:cs="Arial"/>
          <w:bCs/>
          <w:iCs/>
          <w:sz w:val="26"/>
          <w:szCs w:val="26"/>
        </w:rPr>
        <w:t>,</w:t>
      </w:r>
      <w:r>
        <w:rPr>
          <w:rFonts w:ascii="Arial" w:hAnsi="Arial" w:cs="Arial"/>
          <w:bCs/>
          <w:iCs/>
          <w:sz w:val="26"/>
          <w:szCs w:val="26"/>
        </w:rPr>
        <w:t xml:space="preserve"> párrafo segundo, 2</w:t>
      </w:r>
      <w:r w:rsidR="00C21870">
        <w:rPr>
          <w:rFonts w:ascii="Arial" w:hAnsi="Arial" w:cs="Arial"/>
          <w:bCs/>
          <w:iCs/>
          <w:sz w:val="26"/>
          <w:szCs w:val="26"/>
        </w:rPr>
        <w:t>,</w:t>
      </w:r>
      <w:r>
        <w:rPr>
          <w:rFonts w:ascii="Arial" w:hAnsi="Arial" w:cs="Arial"/>
          <w:bCs/>
          <w:iCs/>
          <w:sz w:val="26"/>
          <w:szCs w:val="26"/>
        </w:rPr>
        <w:t xml:space="preserve"> párrafos primero y cuarto, 4</w:t>
      </w:r>
      <w:r w:rsidR="00C21870">
        <w:rPr>
          <w:rFonts w:ascii="Arial" w:hAnsi="Arial" w:cs="Arial"/>
          <w:bCs/>
          <w:iCs/>
          <w:sz w:val="26"/>
          <w:szCs w:val="26"/>
        </w:rPr>
        <w:t>,</w:t>
      </w:r>
      <w:r>
        <w:rPr>
          <w:rFonts w:ascii="Arial" w:hAnsi="Arial" w:cs="Arial"/>
          <w:bCs/>
          <w:iCs/>
          <w:sz w:val="26"/>
          <w:szCs w:val="26"/>
        </w:rPr>
        <w:t xml:space="preserve"> fracción VIII, 23, 24</w:t>
      </w:r>
      <w:r w:rsidR="00C21870">
        <w:rPr>
          <w:rFonts w:ascii="Arial" w:hAnsi="Arial" w:cs="Arial"/>
          <w:bCs/>
          <w:iCs/>
          <w:sz w:val="26"/>
          <w:szCs w:val="26"/>
        </w:rPr>
        <w:t>,</w:t>
      </w:r>
      <w:r>
        <w:rPr>
          <w:rFonts w:ascii="Arial" w:hAnsi="Arial" w:cs="Arial"/>
          <w:bCs/>
          <w:iCs/>
          <w:sz w:val="26"/>
          <w:szCs w:val="26"/>
        </w:rPr>
        <w:t xml:space="preserve"> fracci</w:t>
      </w:r>
      <w:r w:rsidR="00C21870">
        <w:rPr>
          <w:rFonts w:ascii="Arial" w:hAnsi="Arial" w:cs="Arial"/>
          <w:bCs/>
          <w:iCs/>
          <w:sz w:val="26"/>
          <w:szCs w:val="26"/>
        </w:rPr>
        <w:t xml:space="preserve">ones </w:t>
      </w:r>
      <w:r>
        <w:rPr>
          <w:rFonts w:ascii="Arial" w:hAnsi="Arial" w:cs="Arial"/>
          <w:bCs/>
          <w:iCs/>
          <w:sz w:val="26"/>
          <w:szCs w:val="26"/>
        </w:rPr>
        <w:t>I</w:t>
      </w:r>
      <w:r w:rsidR="00C21870">
        <w:rPr>
          <w:rFonts w:ascii="Arial" w:hAnsi="Arial" w:cs="Arial"/>
          <w:bCs/>
          <w:iCs/>
          <w:sz w:val="26"/>
          <w:szCs w:val="26"/>
        </w:rPr>
        <w:t xml:space="preserve"> y III</w:t>
      </w:r>
      <w:r>
        <w:rPr>
          <w:rFonts w:ascii="Arial" w:hAnsi="Arial" w:cs="Arial"/>
          <w:bCs/>
          <w:iCs/>
          <w:sz w:val="26"/>
          <w:szCs w:val="26"/>
        </w:rPr>
        <w:t>, 25</w:t>
      </w:r>
      <w:r w:rsidR="00C21870">
        <w:rPr>
          <w:rFonts w:ascii="Arial" w:hAnsi="Arial" w:cs="Arial"/>
          <w:bCs/>
          <w:iCs/>
          <w:sz w:val="26"/>
          <w:szCs w:val="26"/>
        </w:rPr>
        <w:t>,</w:t>
      </w:r>
      <w:r>
        <w:rPr>
          <w:rFonts w:ascii="Arial" w:hAnsi="Arial" w:cs="Arial"/>
          <w:bCs/>
          <w:iCs/>
          <w:sz w:val="26"/>
          <w:szCs w:val="26"/>
        </w:rPr>
        <w:t xml:space="preserve"> fracción I y 27, de la Ley Orgánica del Tribunal de Justicia Administrativa del Estado de Oaxaca; 120, 125, 127, 129, 130, fracción I, 131, 231, 236 y 238, de la Ley de Procedimiento y Justicia Administrativa para el Estado de Oaxaca</w:t>
      </w:r>
      <w:r w:rsidRPr="00F37C43">
        <w:rPr>
          <w:rFonts w:ascii="Arial" w:hAnsi="Arial" w:cs="Arial"/>
          <w:bCs/>
          <w:iCs/>
          <w:sz w:val="26"/>
          <w:szCs w:val="26"/>
        </w:rPr>
        <w:t xml:space="preserve">, dado que se trata de un </w:t>
      </w:r>
      <w:r w:rsidR="0059007B">
        <w:rPr>
          <w:rFonts w:ascii="Arial" w:hAnsi="Arial" w:cs="Arial"/>
          <w:bCs/>
          <w:iCs/>
          <w:sz w:val="26"/>
          <w:szCs w:val="26"/>
        </w:rPr>
        <w:t>re</w:t>
      </w:r>
      <w:r w:rsidRPr="00F37C43">
        <w:rPr>
          <w:rFonts w:ascii="Arial" w:hAnsi="Arial" w:cs="Arial"/>
          <w:bCs/>
          <w:iCs/>
          <w:sz w:val="26"/>
          <w:szCs w:val="26"/>
        </w:rPr>
        <w:t xml:space="preserve">curso de </w:t>
      </w:r>
      <w:r w:rsidR="0059007B">
        <w:rPr>
          <w:rFonts w:ascii="Arial" w:hAnsi="Arial" w:cs="Arial"/>
          <w:bCs/>
          <w:iCs/>
          <w:sz w:val="26"/>
          <w:szCs w:val="26"/>
        </w:rPr>
        <w:t>r</w:t>
      </w:r>
      <w:r w:rsidRPr="00F37C43">
        <w:rPr>
          <w:rFonts w:ascii="Arial" w:hAnsi="Arial" w:cs="Arial"/>
          <w:bCs/>
          <w:iCs/>
          <w:sz w:val="26"/>
          <w:szCs w:val="26"/>
        </w:rPr>
        <w:t xml:space="preserve">evisión interpuesto en contra </w:t>
      </w:r>
      <w:r w:rsidR="004520FC">
        <w:rPr>
          <w:rFonts w:ascii="Arial" w:hAnsi="Arial" w:cs="Arial"/>
          <w:bCs/>
          <w:iCs/>
          <w:sz w:val="26"/>
          <w:szCs w:val="26"/>
        </w:rPr>
        <w:t>de la sentencia de veinti</w:t>
      </w:r>
      <w:r w:rsidR="00C21870">
        <w:rPr>
          <w:rFonts w:ascii="Arial" w:hAnsi="Arial" w:cs="Arial"/>
          <w:bCs/>
          <w:iCs/>
          <w:sz w:val="26"/>
          <w:szCs w:val="26"/>
        </w:rPr>
        <w:t xml:space="preserve">ocho de marzo de dos mil veintidós </w:t>
      </w:r>
      <w:r>
        <w:rPr>
          <w:rFonts w:ascii="Arial" w:hAnsi="Arial" w:cs="Arial"/>
          <w:sz w:val="26"/>
          <w:szCs w:val="26"/>
        </w:rPr>
        <w:t xml:space="preserve">dictada por la </w:t>
      </w:r>
      <w:r w:rsidR="00C21870">
        <w:rPr>
          <w:rFonts w:ascii="Arial" w:hAnsi="Arial" w:cs="Arial"/>
          <w:sz w:val="26"/>
          <w:szCs w:val="26"/>
        </w:rPr>
        <w:t xml:space="preserve">Sexta </w:t>
      </w:r>
      <w:r>
        <w:rPr>
          <w:rFonts w:ascii="Arial" w:hAnsi="Arial" w:cs="Arial"/>
          <w:sz w:val="26"/>
          <w:szCs w:val="26"/>
        </w:rPr>
        <w:t>Sala Unitaria de Primera Instancia de este Tribunal,</w:t>
      </w:r>
      <w:r w:rsidRPr="00A52F58">
        <w:rPr>
          <w:rFonts w:ascii="Arial" w:hAnsi="Arial" w:cs="Arial"/>
          <w:bCs/>
          <w:iCs/>
          <w:sz w:val="26"/>
          <w:szCs w:val="26"/>
        </w:rPr>
        <w:t xml:space="preserve"> </w:t>
      </w:r>
      <w:r w:rsidR="00C21870">
        <w:rPr>
          <w:rFonts w:ascii="Arial" w:hAnsi="Arial" w:cs="Arial"/>
          <w:bCs/>
          <w:iCs/>
          <w:sz w:val="26"/>
          <w:szCs w:val="26"/>
        </w:rPr>
        <w:t>en el j</w:t>
      </w:r>
      <w:r w:rsidRPr="00F37C43">
        <w:rPr>
          <w:rFonts w:ascii="Arial" w:hAnsi="Arial" w:cs="Arial"/>
          <w:bCs/>
          <w:iCs/>
          <w:sz w:val="26"/>
          <w:szCs w:val="26"/>
        </w:rPr>
        <w:t>uicio</w:t>
      </w:r>
      <w:r>
        <w:rPr>
          <w:rFonts w:ascii="Arial" w:hAnsi="Arial" w:cs="Arial"/>
          <w:bCs/>
          <w:iCs/>
          <w:sz w:val="26"/>
          <w:szCs w:val="26"/>
        </w:rPr>
        <w:t xml:space="preserve"> de nulidad </w:t>
      </w:r>
      <w:r w:rsidR="00C21870">
        <w:rPr>
          <w:rFonts w:ascii="Arial" w:hAnsi="Arial" w:cs="Arial"/>
          <w:b/>
          <w:bCs/>
          <w:iCs/>
          <w:sz w:val="26"/>
          <w:szCs w:val="26"/>
        </w:rPr>
        <w:t>0159</w:t>
      </w:r>
      <w:r w:rsidR="004520FC">
        <w:rPr>
          <w:rFonts w:ascii="Arial" w:hAnsi="Arial" w:cs="Arial"/>
          <w:b/>
          <w:bCs/>
          <w:iCs/>
          <w:sz w:val="26"/>
          <w:szCs w:val="26"/>
        </w:rPr>
        <w:t>/2020</w:t>
      </w:r>
      <w:r>
        <w:rPr>
          <w:rFonts w:ascii="Arial" w:hAnsi="Arial" w:cs="Arial"/>
          <w:b/>
          <w:sz w:val="26"/>
          <w:szCs w:val="26"/>
        </w:rPr>
        <w:t xml:space="preserve">. </w:t>
      </w:r>
      <w:r w:rsidR="004707EC">
        <w:rPr>
          <w:rFonts w:ascii="Arial" w:hAnsi="Arial" w:cs="Arial"/>
          <w:sz w:val="26"/>
          <w:szCs w:val="26"/>
        </w:rPr>
        <w:t xml:space="preserve">- - - - - - - - - - - - - - - - - - - - - - - - - - - - - - - - - - - - - - - - - - - - </w:t>
      </w:r>
    </w:p>
    <w:p w14:paraId="2D4BBCE9" w14:textId="20DF2F25" w:rsidR="001B2848" w:rsidRDefault="001B2848" w:rsidP="001B2848">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Los agravios hechos valer se encuentran expuestos en </w:t>
      </w:r>
      <w:r w:rsidR="00C21870">
        <w:rPr>
          <w:rFonts w:ascii="Arial" w:hAnsi="Arial" w:cs="Arial"/>
          <w:bCs/>
          <w:sz w:val="26"/>
          <w:szCs w:val="26"/>
        </w:rPr>
        <w:t xml:space="preserve">los </w:t>
      </w:r>
      <w:r w:rsidRPr="007A7121">
        <w:rPr>
          <w:rFonts w:ascii="Arial" w:hAnsi="Arial" w:cs="Arial"/>
          <w:bCs/>
          <w:sz w:val="26"/>
          <w:szCs w:val="26"/>
        </w:rPr>
        <w:t>escrito</w:t>
      </w:r>
      <w:r w:rsidR="00C21870">
        <w:rPr>
          <w:rFonts w:ascii="Arial" w:hAnsi="Arial" w:cs="Arial"/>
          <w:bCs/>
          <w:sz w:val="26"/>
          <w:szCs w:val="26"/>
        </w:rPr>
        <w:t>s</w:t>
      </w:r>
      <w:r w:rsidRPr="007A7121">
        <w:rPr>
          <w:rFonts w:ascii="Arial" w:hAnsi="Arial" w:cs="Arial"/>
          <w:bCs/>
          <w:sz w:val="26"/>
          <w:szCs w:val="26"/>
        </w:rPr>
        <w:t xml:space="preserve"> respectivo</w:t>
      </w:r>
      <w:r w:rsidR="00C21870">
        <w:rPr>
          <w:rFonts w:ascii="Arial" w:hAnsi="Arial" w:cs="Arial"/>
          <w:bCs/>
          <w:sz w:val="26"/>
          <w:szCs w:val="26"/>
        </w:rPr>
        <w:t>s</w:t>
      </w:r>
      <w:r w:rsidRPr="007A7121">
        <w:rPr>
          <w:rFonts w:ascii="Arial" w:hAnsi="Arial" w:cs="Arial"/>
          <w:bCs/>
          <w:sz w:val="26"/>
          <w:szCs w:val="26"/>
        </w:rPr>
        <w:t xml:space="preserve"> de</w:t>
      </w:r>
      <w:r w:rsidR="00C21870">
        <w:rPr>
          <w:rFonts w:ascii="Arial" w:hAnsi="Arial" w:cs="Arial"/>
          <w:bCs/>
          <w:sz w:val="26"/>
          <w:szCs w:val="26"/>
        </w:rPr>
        <w:t xml:space="preserve"> </w:t>
      </w:r>
      <w:r w:rsidRPr="007A7121">
        <w:rPr>
          <w:rFonts w:ascii="Arial" w:hAnsi="Arial" w:cs="Arial"/>
          <w:bCs/>
          <w:sz w:val="26"/>
          <w:szCs w:val="26"/>
        </w:rPr>
        <w:t>l</w:t>
      </w:r>
      <w:r w:rsidR="00C21870">
        <w:rPr>
          <w:rFonts w:ascii="Arial" w:hAnsi="Arial" w:cs="Arial"/>
          <w:bCs/>
          <w:sz w:val="26"/>
          <w:szCs w:val="26"/>
        </w:rPr>
        <w:t xml:space="preserve">os </w:t>
      </w:r>
      <w:r w:rsidRPr="007A7121">
        <w:rPr>
          <w:rFonts w:ascii="Arial" w:hAnsi="Arial" w:cs="Arial"/>
          <w:bCs/>
          <w:sz w:val="26"/>
          <w:szCs w:val="26"/>
        </w:rPr>
        <w:t>recurrente</w:t>
      </w:r>
      <w:r w:rsidR="00C21870">
        <w:rPr>
          <w:rFonts w:ascii="Arial" w:hAnsi="Arial" w:cs="Arial"/>
          <w:bCs/>
          <w:sz w:val="26"/>
          <w:szCs w:val="26"/>
        </w:rPr>
        <w:t>s</w:t>
      </w:r>
      <w:r w:rsidRPr="007A7121">
        <w:rPr>
          <w:rFonts w:ascii="Arial" w:hAnsi="Arial" w:cs="Arial"/>
          <w:bCs/>
          <w:sz w:val="26"/>
          <w:szCs w:val="26"/>
        </w:rPr>
        <w:t>, por lo que no existe necesidad de transcribirlos, al no transgredírsele</w:t>
      </w:r>
      <w:r w:rsidR="00C21870">
        <w:rPr>
          <w:rFonts w:ascii="Arial" w:hAnsi="Arial" w:cs="Arial"/>
          <w:bCs/>
          <w:sz w:val="26"/>
          <w:szCs w:val="26"/>
        </w:rPr>
        <w:t>s</w:t>
      </w:r>
      <w:r w:rsidRPr="007A7121">
        <w:rPr>
          <w:rFonts w:ascii="Arial" w:hAnsi="Arial" w:cs="Arial"/>
          <w:bCs/>
          <w:sz w:val="26"/>
          <w:szCs w:val="26"/>
        </w:rPr>
        <w:t xml:space="preserve"> derecho alguno, como tampoco se vulnera disposición expresa que imponga tal obligación</w:t>
      </w:r>
      <w:r w:rsidRPr="007A7121">
        <w:rPr>
          <w:rFonts w:ascii="Arial" w:hAnsi="Arial" w:cs="Arial"/>
          <w:sz w:val="26"/>
          <w:szCs w:val="26"/>
        </w:rPr>
        <w:t>.</w:t>
      </w:r>
      <w:r w:rsidR="004707EC">
        <w:rPr>
          <w:rFonts w:ascii="Arial" w:hAnsi="Arial" w:cs="Arial"/>
          <w:sz w:val="26"/>
          <w:szCs w:val="26"/>
        </w:rPr>
        <w:t xml:space="preserve"> - - - - - - - - - - - - - - - - - - - - - - - - - - - - - - - - - - - - - - - - - - - - </w:t>
      </w:r>
    </w:p>
    <w:p w14:paraId="57473A22" w14:textId="77777777" w:rsidR="000723DA" w:rsidRDefault="000723DA" w:rsidP="000723DA">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628E010B" w14:textId="77777777" w:rsidR="000723DA" w:rsidRPr="004707EC" w:rsidRDefault="000723DA" w:rsidP="004707EC">
      <w:pPr>
        <w:spacing w:before="240"/>
        <w:ind w:left="567" w:right="616"/>
        <w:jc w:val="both"/>
        <w:rPr>
          <w:rFonts w:ascii="Arial" w:eastAsia="Times New Roman" w:hAnsi="Arial" w:cs="Arial"/>
          <w:i/>
          <w:iCs/>
        </w:rPr>
      </w:pPr>
      <w:r w:rsidRPr="004707EC">
        <w:rPr>
          <w:rFonts w:ascii="Arial" w:eastAsia="Times New Roman" w:hAnsi="Arial" w:cs="Arial"/>
          <w:b/>
          <w:bCs/>
          <w:i/>
          <w:iCs/>
        </w:rPr>
        <w:lastRenderedPageBreak/>
        <w:t xml:space="preserve">“CONCEPTOS DE VIOLACIÓN O AGRAVIOS. PARA CUMPLIR CON LOS PRINCIPIOS DE CONGRUENCIA Y EXHAUSTIVIDAD EN LAS SENTENCIAS DE AMPARO ES INNECESARIA SU TRANSCRIPCIÓN. </w:t>
      </w:r>
      <w:r w:rsidRPr="004707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704E6BF" w14:textId="176B396F" w:rsidR="00C21870" w:rsidRDefault="001B2848" w:rsidP="00051DA1">
      <w:pPr>
        <w:tabs>
          <w:tab w:val="left" w:pos="5670"/>
        </w:tabs>
        <w:spacing w:before="240" w:after="0" w:line="360" w:lineRule="auto"/>
        <w:ind w:firstLine="708"/>
        <w:jc w:val="both"/>
        <w:rPr>
          <w:rFonts w:ascii="Arial" w:hAnsi="Arial" w:cs="Arial"/>
          <w:b/>
          <w:bCs/>
          <w:sz w:val="26"/>
          <w:szCs w:val="26"/>
        </w:rPr>
      </w:pPr>
      <w:r w:rsidRPr="006E349D">
        <w:rPr>
          <w:rFonts w:ascii="Arial" w:hAnsi="Arial" w:cs="Arial"/>
          <w:b/>
          <w:bCs/>
          <w:sz w:val="26"/>
          <w:szCs w:val="26"/>
        </w:rPr>
        <w:t>TERCERO.</w:t>
      </w:r>
      <w:r w:rsidR="00F02B12">
        <w:rPr>
          <w:rFonts w:ascii="Arial" w:hAnsi="Arial" w:cs="Arial"/>
          <w:b/>
          <w:bCs/>
          <w:sz w:val="26"/>
          <w:szCs w:val="26"/>
        </w:rPr>
        <w:t xml:space="preserve"> </w:t>
      </w:r>
      <w:r w:rsidR="00F02B12">
        <w:rPr>
          <w:rFonts w:ascii="Arial" w:hAnsi="Arial" w:cs="Arial"/>
          <w:bCs/>
          <w:sz w:val="26"/>
          <w:szCs w:val="26"/>
        </w:rPr>
        <w:t>De la lectura de los agravios de las autoridades recurrentes, se advierte la estrecha vinculación existente entre los recursos de revisión 0089/2022 con el diverso 0091/2022, por ser s</w:t>
      </w:r>
      <w:r w:rsidR="00A45CFF">
        <w:rPr>
          <w:rFonts w:ascii="Arial" w:hAnsi="Arial" w:cs="Arial"/>
          <w:bCs/>
          <w:sz w:val="26"/>
          <w:szCs w:val="26"/>
        </w:rPr>
        <w:t xml:space="preserve">emejantes </w:t>
      </w:r>
      <w:r w:rsidR="00F02B12">
        <w:rPr>
          <w:rFonts w:ascii="Arial" w:hAnsi="Arial" w:cs="Arial"/>
          <w:bCs/>
          <w:sz w:val="26"/>
          <w:szCs w:val="26"/>
        </w:rPr>
        <w:t>sus argumentos de inconformidad; por tanto, a fin de armonizar la resolución correspondiente, conviene emitir una común a los dos medios de impugnación a efecto de contribuir a una mayor certeza y seguridad jurídica en favor de los recurrentes</w:t>
      </w:r>
      <w:r w:rsidR="00A45CFF">
        <w:rPr>
          <w:rFonts w:ascii="Arial" w:hAnsi="Arial" w:cs="Arial"/>
          <w:bCs/>
          <w:sz w:val="26"/>
          <w:szCs w:val="26"/>
        </w:rPr>
        <w:t>.</w:t>
      </w:r>
      <w:r w:rsidR="004707EC">
        <w:rPr>
          <w:rFonts w:ascii="Arial" w:hAnsi="Arial" w:cs="Arial"/>
          <w:bCs/>
          <w:sz w:val="26"/>
          <w:szCs w:val="26"/>
        </w:rPr>
        <w:t xml:space="preserve"> </w:t>
      </w:r>
      <w:r w:rsidR="004707EC">
        <w:rPr>
          <w:rFonts w:ascii="Arial" w:hAnsi="Arial" w:cs="Arial"/>
          <w:sz w:val="26"/>
          <w:szCs w:val="26"/>
        </w:rPr>
        <w:t xml:space="preserve">- - - - - - - - - - - - </w:t>
      </w:r>
    </w:p>
    <w:p w14:paraId="566047DB" w14:textId="340BD1FB" w:rsidR="00EF1742" w:rsidRDefault="005A6667" w:rsidP="00051DA1">
      <w:pPr>
        <w:tabs>
          <w:tab w:val="left" w:pos="5670"/>
        </w:tabs>
        <w:spacing w:before="240" w:after="0" w:line="360" w:lineRule="auto"/>
        <w:ind w:firstLine="708"/>
        <w:jc w:val="both"/>
        <w:rPr>
          <w:rFonts w:ascii="Arial" w:eastAsia="Calibri" w:hAnsi="Arial" w:cs="Arial"/>
          <w:bCs/>
          <w:sz w:val="26"/>
          <w:szCs w:val="26"/>
        </w:rPr>
      </w:pPr>
      <w:r>
        <w:rPr>
          <w:rFonts w:ascii="Arial" w:eastAsia="Calibri" w:hAnsi="Arial" w:cs="Arial"/>
          <w:b/>
          <w:bCs/>
          <w:sz w:val="26"/>
          <w:szCs w:val="26"/>
        </w:rPr>
        <w:t xml:space="preserve">CUARTO. </w:t>
      </w:r>
      <w:r>
        <w:rPr>
          <w:rFonts w:ascii="Arial" w:eastAsia="Calibri" w:hAnsi="Arial" w:cs="Arial"/>
          <w:bCs/>
          <w:sz w:val="26"/>
          <w:szCs w:val="26"/>
        </w:rPr>
        <w:t>En el primer agravio</w:t>
      </w:r>
      <w:r w:rsidR="008B4751">
        <w:rPr>
          <w:rFonts w:ascii="Arial" w:eastAsia="Calibri" w:hAnsi="Arial" w:cs="Arial"/>
          <w:bCs/>
          <w:sz w:val="26"/>
          <w:szCs w:val="26"/>
        </w:rPr>
        <w:t xml:space="preserve">, los recurrentes </w:t>
      </w:r>
      <w:r>
        <w:rPr>
          <w:rFonts w:ascii="Arial" w:eastAsia="Calibri" w:hAnsi="Arial" w:cs="Arial"/>
          <w:bCs/>
          <w:sz w:val="26"/>
          <w:szCs w:val="26"/>
        </w:rPr>
        <w:t>a</w:t>
      </w:r>
      <w:r w:rsidR="000723DA" w:rsidRPr="000723DA">
        <w:rPr>
          <w:rFonts w:ascii="Arial" w:eastAsia="Calibri" w:hAnsi="Arial" w:cs="Arial"/>
          <w:bCs/>
          <w:sz w:val="26"/>
          <w:szCs w:val="26"/>
        </w:rPr>
        <w:t>rguye</w:t>
      </w:r>
      <w:r>
        <w:rPr>
          <w:rFonts w:ascii="Arial" w:eastAsia="Calibri" w:hAnsi="Arial" w:cs="Arial"/>
          <w:bCs/>
          <w:sz w:val="26"/>
          <w:szCs w:val="26"/>
        </w:rPr>
        <w:t>n</w:t>
      </w:r>
      <w:r w:rsidR="00666FFD" w:rsidRPr="005C1969">
        <w:rPr>
          <w:rFonts w:ascii="Arial" w:eastAsia="Calibri" w:hAnsi="Arial" w:cs="Arial"/>
          <w:bCs/>
          <w:sz w:val="26"/>
          <w:szCs w:val="26"/>
        </w:rPr>
        <w:t xml:space="preserve"> </w:t>
      </w:r>
      <w:r w:rsidR="00493DF3">
        <w:rPr>
          <w:rFonts w:ascii="Arial" w:eastAsia="Calibri" w:hAnsi="Arial" w:cs="Arial"/>
          <w:bCs/>
          <w:sz w:val="26"/>
          <w:szCs w:val="26"/>
        </w:rPr>
        <w:t xml:space="preserve">que </w:t>
      </w:r>
      <w:r w:rsidR="00BC7FCC" w:rsidRPr="005C1969">
        <w:rPr>
          <w:rFonts w:ascii="Arial" w:eastAsia="Calibri" w:hAnsi="Arial" w:cs="Arial"/>
          <w:bCs/>
          <w:sz w:val="26"/>
          <w:szCs w:val="26"/>
        </w:rPr>
        <w:t>l</w:t>
      </w:r>
      <w:r>
        <w:rPr>
          <w:rFonts w:ascii="Arial" w:eastAsia="Calibri" w:hAnsi="Arial" w:cs="Arial"/>
          <w:bCs/>
          <w:sz w:val="26"/>
          <w:szCs w:val="26"/>
        </w:rPr>
        <w:t>a sentencia que re</w:t>
      </w:r>
      <w:r w:rsidR="008B4751">
        <w:rPr>
          <w:rFonts w:ascii="Arial" w:eastAsia="Calibri" w:hAnsi="Arial" w:cs="Arial"/>
          <w:bCs/>
          <w:sz w:val="26"/>
          <w:szCs w:val="26"/>
        </w:rPr>
        <w:t xml:space="preserve">futan </w:t>
      </w:r>
      <w:r>
        <w:rPr>
          <w:rFonts w:ascii="Arial" w:eastAsia="Calibri" w:hAnsi="Arial" w:cs="Arial"/>
          <w:bCs/>
          <w:sz w:val="26"/>
          <w:szCs w:val="26"/>
        </w:rPr>
        <w:t>causa</w:t>
      </w:r>
      <w:r w:rsidR="00BC7FCC" w:rsidRPr="005C1969">
        <w:rPr>
          <w:rFonts w:ascii="Arial" w:eastAsia="Calibri" w:hAnsi="Arial" w:cs="Arial"/>
          <w:bCs/>
          <w:sz w:val="26"/>
          <w:szCs w:val="26"/>
        </w:rPr>
        <w:t xml:space="preserve"> agravios </w:t>
      </w:r>
      <w:r>
        <w:rPr>
          <w:rFonts w:ascii="Arial" w:eastAsia="Calibri" w:hAnsi="Arial" w:cs="Arial"/>
          <w:bCs/>
          <w:sz w:val="26"/>
          <w:szCs w:val="26"/>
        </w:rPr>
        <w:t xml:space="preserve">a la Dirección de Asuntos Jurídicos y a la Oficialía Mayor que representan, porque consideran que las consideraciones vertidas en </w:t>
      </w:r>
      <w:r w:rsidR="008B4751">
        <w:rPr>
          <w:rFonts w:ascii="Arial" w:eastAsia="Calibri" w:hAnsi="Arial" w:cs="Arial"/>
          <w:bCs/>
          <w:sz w:val="26"/>
          <w:szCs w:val="26"/>
        </w:rPr>
        <w:t>el</w:t>
      </w:r>
      <w:r>
        <w:rPr>
          <w:rFonts w:ascii="Arial" w:eastAsia="Calibri" w:hAnsi="Arial" w:cs="Arial"/>
          <w:bCs/>
          <w:sz w:val="26"/>
          <w:szCs w:val="26"/>
        </w:rPr>
        <w:t xml:space="preserve">la no son correctas, ya que la Sexta Sala Unitaria de Primera Instancia declaró la nulidad lisa y llana de los oficios </w:t>
      </w:r>
      <w:r w:rsidR="00275BEA">
        <w:rPr>
          <w:rFonts w:ascii="Arial" w:eastAsia="Calibri" w:hAnsi="Arial" w:cs="Arial"/>
          <w:bCs/>
          <w:sz w:val="26"/>
          <w:szCs w:val="26"/>
        </w:rPr>
        <w:t>*******</w:t>
      </w:r>
      <w:r>
        <w:rPr>
          <w:rFonts w:ascii="Arial" w:eastAsia="Calibri" w:hAnsi="Arial" w:cs="Arial"/>
          <w:bCs/>
          <w:sz w:val="26"/>
          <w:szCs w:val="26"/>
        </w:rPr>
        <w:t xml:space="preserve"> de tres de septiembre de </w:t>
      </w:r>
      <w:r w:rsidR="00E31EB4">
        <w:rPr>
          <w:rFonts w:ascii="Arial" w:eastAsia="Calibri" w:hAnsi="Arial" w:cs="Arial"/>
          <w:bCs/>
          <w:sz w:val="26"/>
          <w:szCs w:val="26"/>
        </w:rPr>
        <w:t xml:space="preserve">dos mil veinte </w:t>
      </w:r>
      <w:r>
        <w:rPr>
          <w:rFonts w:ascii="Arial" w:eastAsia="Calibri" w:hAnsi="Arial" w:cs="Arial"/>
          <w:bCs/>
          <w:sz w:val="26"/>
          <w:szCs w:val="26"/>
        </w:rPr>
        <w:t xml:space="preserve">y </w:t>
      </w:r>
      <w:r w:rsidR="00275BEA">
        <w:rPr>
          <w:rFonts w:ascii="Arial" w:eastAsia="Calibri" w:hAnsi="Arial" w:cs="Arial"/>
          <w:bCs/>
          <w:sz w:val="26"/>
          <w:szCs w:val="26"/>
        </w:rPr>
        <w:t>*******</w:t>
      </w:r>
      <w:r>
        <w:rPr>
          <w:rFonts w:ascii="Arial" w:eastAsia="Calibri" w:hAnsi="Arial" w:cs="Arial"/>
          <w:bCs/>
          <w:sz w:val="26"/>
          <w:szCs w:val="26"/>
        </w:rPr>
        <w:t xml:space="preserve"> de </w:t>
      </w:r>
      <w:r w:rsidR="00E31EB4">
        <w:rPr>
          <w:rFonts w:ascii="Arial" w:eastAsia="Calibri" w:hAnsi="Arial" w:cs="Arial"/>
          <w:bCs/>
          <w:sz w:val="26"/>
          <w:szCs w:val="26"/>
        </w:rPr>
        <w:t xml:space="preserve">siete de noviembre de dos mil veinte, sin haber estudiado que el actor tenía nombramiento de personal de confianza, interino por tres meses, quince días, como Agente Estatal de Investigaciones, con fundamento </w:t>
      </w:r>
      <w:r w:rsidR="00A40143">
        <w:rPr>
          <w:rFonts w:ascii="Arial" w:eastAsia="Calibri" w:hAnsi="Arial" w:cs="Arial"/>
          <w:bCs/>
          <w:sz w:val="26"/>
          <w:szCs w:val="26"/>
        </w:rPr>
        <w:t>en los artículos 8, fracción XV de la Ley  Orgánica de la Procuraduría General de Justicia del Estado de Oaxaca y 4, fracción XIV del Reglamento de la Ley Orgánica de la Procuraduría General de Justicia del Estado de Oaxaca, que entraron en vigor el dieciocho de enero de dos mil doce y diecisiete de enero de dos mil trece, respectivamente; por lo que el actor no era considerado como miembro</w:t>
      </w:r>
      <w:r w:rsidR="00EF1742">
        <w:rPr>
          <w:rFonts w:ascii="Arial" w:eastAsia="Calibri" w:hAnsi="Arial" w:cs="Arial"/>
          <w:bCs/>
          <w:sz w:val="26"/>
          <w:szCs w:val="26"/>
        </w:rPr>
        <w:t xml:space="preserve"> del servicio civil de carrera.</w:t>
      </w:r>
      <w:r w:rsidR="004707EC">
        <w:rPr>
          <w:rFonts w:ascii="Arial" w:eastAsia="Calibri" w:hAnsi="Arial" w:cs="Arial"/>
          <w:bCs/>
          <w:sz w:val="26"/>
          <w:szCs w:val="26"/>
        </w:rPr>
        <w:t xml:space="preserve"> </w:t>
      </w:r>
      <w:r w:rsidR="004707EC">
        <w:rPr>
          <w:rFonts w:ascii="Arial" w:hAnsi="Arial" w:cs="Arial"/>
          <w:sz w:val="26"/>
          <w:szCs w:val="26"/>
        </w:rPr>
        <w:t xml:space="preserve">- - - - - - </w:t>
      </w:r>
    </w:p>
    <w:p w14:paraId="53D55392" w14:textId="429989B9" w:rsidR="00BA4D58" w:rsidRDefault="00BA4D58" w:rsidP="00051DA1">
      <w:pPr>
        <w:tabs>
          <w:tab w:val="left" w:pos="5670"/>
        </w:tabs>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w:t>
      </w:r>
      <w:r w:rsidR="006E064A">
        <w:rPr>
          <w:rFonts w:ascii="Arial" w:eastAsia="Calibri" w:hAnsi="Arial" w:cs="Arial"/>
          <w:bCs/>
          <w:sz w:val="26"/>
          <w:szCs w:val="26"/>
        </w:rPr>
        <w:t>la primera parte de</w:t>
      </w:r>
      <w:r>
        <w:rPr>
          <w:rFonts w:ascii="Arial" w:eastAsia="Calibri" w:hAnsi="Arial" w:cs="Arial"/>
          <w:bCs/>
          <w:sz w:val="26"/>
          <w:szCs w:val="26"/>
        </w:rPr>
        <w:t xml:space="preserve">l segundo agravio, refieren los recurrentes que no es correcta la consideración de la magistrada de la Sala de </w:t>
      </w:r>
      <w:r>
        <w:rPr>
          <w:rFonts w:ascii="Arial" w:eastAsia="Calibri" w:hAnsi="Arial" w:cs="Arial"/>
          <w:bCs/>
          <w:sz w:val="26"/>
          <w:szCs w:val="26"/>
        </w:rPr>
        <w:lastRenderedPageBreak/>
        <w:t>origen, quien argumentó que al actor no se le aplicó el procedimiento de baja</w:t>
      </w:r>
      <w:r w:rsidR="00C80B35">
        <w:rPr>
          <w:rFonts w:ascii="Arial" w:eastAsia="Calibri" w:hAnsi="Arial" w:cs="Arial"/>
          <w:bCs/>
          <w:sz w:val="26"/>
          <w:szCs w:val="26"/>
        </w:rPr>
        <w:t xml:space="preserve">, </w:t>
      </w:r>
      <w:r w:rsidR="00854795">
        <w:rPr>
          <w:rFonts w:ascii="Arial" w:eastAsia="Calibri" w:hAnsi="Arial" w:cs="Arial"/>
          <w:bCs/>
          <w:sz w:val="26"/>
          <w:szCs w:val="26"/>
        </w:rPr>
        <w:t xml:space="preserve">con ello </w:t>
      </w:r>
      <w:r w:rsidR="00C80B35">
        <w:rPr>
          <w:rFonts w:ascii="Arial" w:eastAsia="Calibri" w:hAnsi="Arial" w:cs="Arial"/>
          <w:bCs/>
          <w:sz w:val="26"/>
          <w:szCs w:val="26"/>
        </w:rPr>
        <w:t xml:space="preserve">se violentó </w:t>
      </w:r>
      <w:r w:rsidR="00854795">
        <w:rPr>
          <w:rFonts w:ascii="Arial" w:eastAsia="Calibri" w:hAnsi="Arial" w:cs="Arial"/>
          <w:bCs/>
          <w:sz w:val="26"/>
          <w:szCs w:val="26"/>
        </w:rPr>
        <w:t xml:space="preserve">su garantía de audiencia y defensa establecido en los artículos 14 y 16 Constitucionales; ya que los artículos 25 y 28  de la Ley  Orgánica de la Fiscalía General del Estado de Oaxaca el personal se organiza como señalan esos preceptos legales </w:t>
      </w:r>
      <w:r w:rsidR="004707EC">
        <w:rPr>
          <w:rFonts w:ascii="Arial" w:eastAsia="Calibri" w:hAnsi="Arial" w:cs="Arial"/>
          <w:bCs/>
          <w:sz w:val="26"/>
          <w:szCs w:val="26"/>
        </w:rPr>
        <w:t>-</w:t>
      </w:r>
      <w:r w:rsidR="00854795">
        <w:rPr>
          <w:rFonts w:ascii="Arial" w:eastAsia="Calibri" w:hAnsi="Arial" w:cs="Arial"/>
          <w:bCs/>
          <w:sz w:val="26"/>
          <w:szCs w:val="26"/>
        </w:rPr>
        <w:t>los transcribieron-, y que la libre la designación y remoción del personal de confianza y de designación especial, se encuentra contemplado en la Ley Orgánica de la Fiscalía General del Estado de Oaxaca en los artículos 29 y 37 , mientras no se impugne su incon</w:t>
      </w:r>
      <w:r w:rsidR="003D7B66">
        <w:rPr>
          <w:rFonts w:ascii="Arial" w:eastAsia="Calibri" w:hAnsi="Arial" w:cs="Arial"/>
          <w:bCs/>
          <w:sz w:val="26"/>
          <w:szCs w:val="26"/>
        </w:rPr>
        <w:t>s</w:t>
      </w:r>
      <w:r w:rsidR="00854795">
        <w:rPr>
          <w:rFonts w:ascii="Arial" w:eastAsia="Calibri" w:hAnsi="Arial" w:cs="Arial"/>
          <w:bCs/>
          <w:sz w:val="26"/>
          <w:szCs w:val="26"/>
        </w:rPr>
        <w:t>titucionalidad</w:t>
      </w:r>
      <w:r w:rsidR="003D7B66">
        <w:rPr>
          <w:rFonts w:ascii="Arial" w:eastAsia="Calibri" w:hAnsi="Arial" w:cs="Arial"/>
          <w:bCs/>
          <w:sz w:val="26"/>
          <w:szCs w:val="26"/>
        </w:rPr>
        <w:t>.</w:t>
      </w:r>
      <w:r w:rsidR="004707EC" w:rsidRPr="004707EC">
        <w:rPr>
          <w:rFonts w:ascii="Arial" w:hAnsi="Arial" w:cs="Arial"/>
          <w:sz w:val="26"/>
          <w:szCs w:val="26"/>
        </w:rPr>
        <w:t xml:space="preserve"> </w:t>
      </w:r>
      <w:r w:rsidR="004707EC">
        <w:rPr>
          <w:rFonts w:ascii="Arial" w:hAnsi="Arial" w:cs="Arial"/>
          <w:sz w:val="26"/>
          <w:szCs w:val="26"/>
        </w:rPr>
        <w:t xml:space="preserve">- - - - - - - - - - - - - - - - - </w:t>
      </w:r>
    </w:p>
    <w:p w14:paraId="35DFD565" w14:textId="39915A48" w:rsidR="00145FCB" w:rsidRDefault="00C4788E" w:rsidP="00051DA1">
      <w:pPr>
        <w:tabs>
          <w:tab w:val="left" w:pos="5670"/>
        </w:tabs>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Y e</w:t>
      </w:r>
      <w:r w:rsidR="00C80B35">
        <w:rPr>
          <w:rFonts w:ascii="Arial" w:eastAsia="Calibri" w:hAnsi="Arial" w:cs="Arial"/>
          <w:bCs/>
          <w:sz w:val="26"/>
          <w:szCs w:val="26"/>
        </w:rPr>
        <w:t xml:space="preserve">n </w:t>
      </w:r>
      <w:r w:rsidR="006E064A">
        <w:rPr>
          <w:rFonts w:ascii="Arial" w:eastAsia="Calibri" w:hAnsi="Arial" w:cs="Arial"/>
          <w:bCs/>
          <w:sz w:val="26"/>
          <w:szCs w:val="26"/>
        </w:rPr>
        <w:t>la segunda parte d</w:t>
      </w:r>
      <w:r w:rsidR="00145FCB">
        <w:rPr>
          <w:rFonts w:ascii="Arial" w:eastAsia="Calibri" w:hAnsi="Arial" w:cs="Arial"/>
          <w:bCs/>
          <w:sz w:val="26"/>
          <w:szCs w:val="26"/>
        </w:rPr>
        <w:t>el tercer agravio insisten</w:t>
      </w:r>
      <w:r w:rsidR="00C80B35">
        <w:rPr>
          <w:rFonts w:ascii="Arial" w:eastAsia="Calibri" w:hAnsi="Arial" w:cs="Arial"/>
          <w:bCs/>
          <w:sz w:val="26"/>
          <w:szCs w:val="26"/>
        </w:rPr>
        <w:t xml:space="preserve"> los recurrentes que </w:t>
      </w:r>
      <w:r w:rsidR="00145FCB">
        <w:rPr>
          <w:rFonts w:ascii="Arial" w:eastAsia="Calibri" w:hAnsi="Arial" w:cs="Arial"/>
          <w:bCs/>
          <w:sz w:val="26"/>
          <w:szCs w:val="26"/>
        </w:rPr>
        <w:t>la Fiscalía</w:t>
      </w:r>
      <w:r w:rsidR="00B70E5E">
        <w:rPr>
          <w:rFonts w:ascii="Arial" w:eastAsia="Calibri" w:hAnsi="Arial" w:cs="Arial"/>
          <w:bCs/>
          <w:sz w:val="26"/>
          <w:szCs w:val="26"/>
        </w:rPr>
        <w:t xml:space="preserve"> </w:t>
      </w:r>
      <w:r w:rsidR="00145FCB">
        <w:rPr>
          <w:rFonts w:ascii="Arial" w:eastAsia="Calibri" w:hAnsi="Arial" w:cs="Arial"/>
          <w:bCs/>
          <w:sz w:val="26"/>
          <w:szCs w:val="26"/>
        </w:rPr>
        <w:t>General del Estado de Oaxaca a través de sus Instituciones no está obligada a iniciar y tramitar procedimiento alguna para su separación, remoción, baja o cualquier otra forma de separación con el personal con nombramiento de confianza, porque esto solo aplica para los miembros del servicio civil de carrera.</w:t>
      </w:r>
      <w:r w:rsidR="004707EC" w:rsidRPr="004707EC">
        <w:rPr>
          <w:rFonts w:ascii="Arial" w:hAnsi="Arial" w:cs="Arial"/>
          <w:sz w:val="26"/>
          <w:szCs w:val="26"/>
        </w:rPr>
        <w:t xml:space="preserve"> </w:t>
      </w:r>
      <w:r w:rsidR="004707EC">
        <w:rPr>
          <w:rFonts w:ascii="Arial" w:hAnsi="Arial" w:cs="Arial"/>
          <w:sz w:val="26"/>
          <w:szCs w:val="26"/>
        </w:rPr>
        <w:t>- - - - - - - - - - - - - - - - - -</w:t>
      </w:r>
    </w:p>
    <w:p w14:paraId="2270E936" w14:textId="3C1AA3DF" w:rsidR="00EF1742" w:rsidRDefault="00BA4D58" w:rsidP="00EF1742">
      <w:pPr>
        <w:spacing w:before="240" w:after="240" w:line="360" w:lineRule="auto"/>
        <w:ind w:firstLine="708"/>
        <w:jc w:val="both"/>
        <w:rPr>
          <w:rFonts w:ascii="Arial" w:hAnsi="Arial" w:cs="Arial"/>
          <w:sz w:val="26"/>
          <w:szCs w:val="26"/>
        </w:rPr>
      </w:pPr>
      <w:r>
        <w:rPr>
          <w:rFonts w:ascii="Arial" w:hAnsi="Arial" w:cs="Arial"/>
          <w:sz w:val="26"/>
          <w:szCs w:val="26"/>
        </w:rPr>
        <w:t xml:space="preserve">Son </w:t>
      </w:r>
      <w:r w:rsidR="00EF1742">
        <w:rPr>
          <w:rFonts w:ascii="Arial" w:hAnsi="Arial" w:cs="Arial"/>
          <w:b/>
          <w:sz w:val="26"/>
          <w:szCs w:val="26"/>
        </w:rPr>
        <w:t>INOPERANTE</w:t>
      </w:r>
      <w:r>
        <w:rPr>
          <w:rFonts w:ascii="Arial" w:hAnsi="Arial" w:cs="Arial"/>
          <w:b/>
          <w:sz w:val="26"/>
          <w:szCs w:val="26"/>
        </w:rPr>
        <w:t>S</w:t>
      </w:r>
      <w:r w:rsidR="00EF1742">
        <w:rPr>
          <w:rFonts w:ascii="Arial" w:hAnsi="Arial" w:cs="Arial"/>
          <w:sz w:val="26"/>
          <w:szCs w:val="26"/>
        </w:rPr>
        <w:t xml:space="preserve"> l</w:t>
      </w:r>
      <w:r>
        <w:rPr>
          <w:rFonts w:ascii="Arial" w:hAnsi="Arial" w:cs="Arial"/>
          <w:sz w:val="26"/>
          <w:szCs w:val="26"/>
        </w:rPr>
        <w:t>os</w:t>
      </w:r>
      <w:r w:rsidR="00EF1742">
        <w:rPr>
          <w:rFonts w:ascii="Arial" w:hAnsi="Arial" w:cs="Arial"/>
          <w:sz w:val="26"/>
          <w:szCs w:val="26"/>
        </w:rPr>
        <w:t xml:space="preserve"> agravio</w:t>
      </w:r>
      <w:r>
        <w:rPr>
          <w:rFonts w:ascii="Arial" w:hAnsi="Arial" w:cs="Arial"/>
          <w:sz w:val="26"/>
          <w:szCs w:val="26"/>
        </w:rPr>
        <w:t>s</w:t>
      </w:r>
      <w:r w:rsidR="00EF1742">
        <w:rPr>
          <w:rFonts w:ascii="Arial" w:hAnsi="Arial" w:cs="Arial"/>
          <w:sz w:val="26"/>
          <w:szCs w:val="26"/>
        </w:rPr>
        <w:t xml:space="preserve"> expuesto</w:t>
      </w:r>
      <w:r>
        <w:rPr>
          <w:rFonts w:ascii="Arial" w:hAnsi="Arial" w:cs="Arial"/>
          <w:sz w:val="26"/>
          <w:szCs w:val="26"/>
        </w:rPr>
        <w:t>s</w:t>
      </w:r>
      <w:r w:rsidR="00EF1742">
        <w:rPr>
          <w:rFonts w:ascii="Arial" w:hAnsi="Arial" w:cs="Arial"/>
          <w:sz w:val="26"/>
          <w:szCs w:val="26"/>
        </w:rPr>
        <w:t xml:space="preserve"> por los recurrentes, en razón del análisis de las constancias de autos que fueron remitidas para la substanciación del presente asunto, con valor probatorio pleno conforme lo dispuesto por el artículo 203, fracción I, de la Ley de Procedimiento y Justicia Administrativa para el Estado de Oaxaca, por tratarse de actuaciones judiciales; de las que, a fojas </w:t>
      </w:r>
      <w:r w:rsidR="00DC03CF">
        <w:rPr>
          <w:rFonts w:ascii="Arial" w:hAnsi="Arial" w:cs="Arial"/>
          <w:sz w:val="26"/>
          <w:szCs w:val="26"/>
        </w:rPr>
        <w:t>treinta y uno a treinta y cuatro y de treinta y cinco a treinta y nueve</w:t>
      </w:r>
      <w:r w:rsidR="00EF1742">
        <w:rPr>
          <w:rFonts w:ascii="Arial" w:eastAsia="Calibri" w:hAnsi="Arial" w:cs="Arial"/>
          <w:bCs/>
          <w:sz w:val="26"/>
          <w:szCs w:val="26"/>
        </w:rPr>
        <w:t>, se advierte</w:t>
      </w:r>
      <w:r w:rsidR="00DC03CF">
        <w:rPr>
          <w:rFonts w:ascii="Arial" w:eastAsia="Calibri" w:hAnsi="Arial" w:cs="Arial"/>
          <w:bCs/>
          <w:sz w:val="26"/>
          <w:szCs w:val="26"/>
        </w:rPr>
        <w:t>n</w:t>
      </w:r>
      <w:r w:rsidR="00EF1742">
        <w:rPr>
          <w:rFonts w:ascii="Arial" w:eastAsia="Calibri" w:hAnsi="Arial" w:cs="Arial"/>
          <w:bCs/>
          <w:sz w:val="26"/>
          <w:szCs w:val="26"/>
        </w:rPr>
        <w:t xml:space="preserve"> la</w:t>
      </w:r>
      <w:r w:rsidR="00DC03CF">
        <w:rPr>
          <w:rFonts w:ascii="Arial" w:eastAsia="Calibri" w:hAnsi="Arial" w:cs="Arial"/>
          <w:bCs/>
          <w:sz w:val="26"/>
          <w:szCs w:val="26"/>
        </w:rPr>
        <w:t>s</w:t>
      </w:r>
      <w:r w:rsidR="00EF1742">
        <w:rPr>
          <w:rFonts w:ascii="Arial" w:eastAsia="Calibri" w:hAnsi="Arial" w:cs="Arial"/>
          <w:bCs/>
          <w:sz w:val="26"/>
          <w:szCs w:val="26"/>
        </w:rPr>
        <w:t xml:space="preserve"> contestaci</w:t>
      </w:r>
      <w:r w:rsidR="00DC03CF">
        <w:rPr>
          <w:rFonts w:ascii="Arial" w:eastAsia="Calibri" w:hAnsi="Arial" w:cs="Arial"/>
          <w:bCs/>
          <w:sz w:val="26"/>
          <w:szCs w:val="26"/>
        </w:rPr>
        <w:t xml:space="preserve">ones de </w:t>
      </w:r>
      <w:r w:rsidR="00EF1742">
        <w:rPr>
          <w:rFonts w:ascii="Arial" w:eastAsia="Calibri" w:hAnsi="Arial" w:cs="Arial"/>
          <w:bCs/>
          <w:sz w:val="26"/>
          <w:szCs w:val="26"/>
        </w:rPr>
        <w:t xml:space="preserve">la demanda </w:t>
      </w:r>
      <w:r w:rsidR="00DC03CF">
        <w:rPr>
          <w:rFonts w:ascii="Arial" w:eastAsia="Calibri" w:hAnsi="Arial" w:cs="Arial"/>
          <w:bCs/>
          <w:sz w:val="26"/>
          <w:szCs w:val="26"/>
        </w:rPr>
        <w:t>de los hoy recurrentes, qu</w:t>
      </w:r>
      <w:r w:rsidR="00494A1B">
        <w:rPr>
          <w:rFonts w:ascii="Arial" w:eastAsia="Calibri" w:hAnsi="Arial" w:cs="Arial"/>
          <w:bCs/>
          <w:sz w:val="26"/>
          <w:szCs w:val="26"/>
        </w:rPr>
        <w:t xml:space="preserve">ienes </w:t>
      </w:r>
      <w:r w:rsidR="00DC03CF">
        <w:rPr>
          <w:rFonts w:ascii="Arial" w:eastAsia="Calibri" w:hAnsi="Arial" w:cs="Arial"/>
          <w:bCs/>
          <w:sz w:val="26"/>
          <w:szCs w:val="26"/>
        </w:rPr>
        <w:t xml:space="preserve">en </w:t>
      </w:r>
      <w:r w:rsidR="00805084">
        <w:rPr>
          <w:rFonts w:ascii="Arial" w:eastAsia="Calibri" w:hAnsi="Arial" w:cs="Arial"/>
          <w:bCs/>
          <w:sz w:val="26"/>
          <w:szCs w:val="26"/>
        </w:rPr>
        <w:t xml:space="preserve">los </w:t>
      </w:r>
      <w:r w:rsidR="00DC03CF">
        <w:rPr>
          <w:rFonts w:ascii="Arial" w:eastAsia="Calibri" w:hAnsi="Arial" w:cs="Arial"/>
          <w:bCs/>
          <w:sz w:val="26"/>
          <w:szCs w:val="26"/>
        </w:rPr>
        <w:t>punto</w:t>
      </w:r>
      <w:r w:rsidR="00805084">
        <w:rPr>
          <w:rFonts w:ascii="Arial" w:eastAsia="Calibri" w:hAnsi="Arial" w:cs="Arial"/>
          <w:bCs/>
          <w:sz w:val="26"/>
          <w:szCs w:val="26"/>
        </w:rPr>
        <w:t>s</w:t>
      </w:r>
      <w:r w:rsidR="00DC03CF">
        <w:rPr>
          <w:rFonts w:ascii="Arial" w:eastAsia="Calibri" w:hAnsi="Arial" w:cs="Arial"/>
          <w:bCs/>
          <w:sz w:val="26"/>
          <w:szCs w:val="26"/>
        </w:rPr>
        <w:t xml:space="preserve"> tercer</w:t>
      </w:r>
      <w:r w:rsidR="00805084">
        <w:rPr>
          <w:rFonts w:ascii="Arial" w:eastAsia="Calibri" w:hAnsi="Arial" w:cs="Arial"/>
          <w:bCs/>
          <w:sz w:val="26"/>
          <w:szCs w:val="26"/>
        </w:rPr>
        <w:t xml:space="preserve">o y cuarto </w:t>
      </w:r>
      <w:r w:rsidR="00DC03CF">
        <w:rPr>
          <w:rFonts w:ascii="Arial" w:eastAsia="Calibri" w:hAnsi="Arial" w:cs="Arial"/>
          <w:bCs/>
          <w:sz w:val="26"/>
          <w:szCs w:val="26"/>
        </w:rPr>
        <w:t xml:space="preserve">del capítulo de contestación a los hechos de la demanda </w:t>
      </w:r>
      <w:r w:rsidR="00437A49">
        <w:rPr>
          <w:rFonts w:ascii="Arial" w:eastAsia="Calibri" w:hAnsi="Arial" w:cs="Arial"/>
          <w:bCs/>
          <w:sz w:val="26"/>
          <w:szCs w:val="26"/>
        </w:rPr>
        <w:t>expresaron</w:t>
      </w:r>
      <w:r w:rsidR="00213B07">
        <w:rPr>
          <w:rFonts w:ascii="Arial" w:eastAsia="Calibri" w:hAnsi="Arial" w:cs="Arial"/>
          <w:bCs/>
          <w:sz w:val="26"/>
          <w:szCs w:val="26"/>
        </w:rPr>
        <w:t xml:space="preserve"> únicamente sobre el oficio </w:t>
      </w:r>
      <w:r w:rsidR="00275BEA">
        <w:rPr>
          <w:rFonts w:ascii="Arial" w:hAnsi="Arial" w:cs="Arial"/>
          <w:bCs/>
          <w:sz w:val="26"/>
          <w:szCs w:val="26"/>
        </w:rPr>
        <w:t>*******</w:t>
      </w:r>
      <w:r w:rsidR="00213B07" w:rsidRPr="00213B07">
        <w:rPr>
          <w:rFonts w:ascii="Arial" w:hAnsi="Arial" w:cs="Arial"/>
          <w:bCs/>
          <w:sz w:val="26"/>
          <w:szCs w:val="26"/>
        </w:rPr>
        <w:t xml:space="preserve"> de </w:t>
      </w:r>
      <w:r w:rsidR="00213B07">
        <w:rPr>
          <w:rFonts w:ascii="Arial" w:hAnsi="Arial" w:cs="Arial"/>
          <w:bCs/>
          <w:sz w:val="26"/>
          <w:szCs w:val="26"/>
        </w:rPr>
        <w:t xml:space="preserve">tres de </w:t>
      </w:r>
      <w:r w:rsidR="00213B07" w:rsidRPr="00213B07">
        <w:rPr>
          <w:rFonts w:ascii="Arial" w:hAnsi="Arial" w:cs="Arial"/>
          <w:bCs/>
          <w:sz w:val="26"/>
          <w:szCs w:val="26"/>
        </w:rPr>
        <w:t xml:space="preserve">septiembre de </w:t>
      </w:r>
      <w:r w:rsidR="00213B07">
        <w:rPr>
          <w:rFonts w:ascii="Arial" w:hAnsi="Arial" w:cs="Arial"/>
          <w:bCs/>
          <w:sz w:val="26"/>
          <w:szCs w:val="26"/>
        </w:rPr>
        <w:t>dos mil veinte,</w:t>
      </w:r>
      <w:r w:rsidR="00437A49">
        <w:rPr>
          <w:rFonts w:ascii="Arial" w:eastAsia="Calibri" w:hAnsi="Arial" w:cs="Arial"/>
          <w:bCs/>
          <w:sz w:val="26"/>
          <w:szCs w:val="26"/>
        </w:rPr>
        <w:t xml:space="preserve"> </w:t>
      </w:r>
      <w:r w:rsidR="00DC03CF">
        <w:rPr>
          <w:rFonts w:ascii="Arial" w:eastAsia="Calibri" w:hAnsi="Arial" w:cs="Arial"/>
          <w:bCs/>
          <w:sz w:val="26"/>
          <w:szCs w:val="26"/>
        </w:rPr>
        <w:t>lo siguiente:</w:t>
      </w:r>
    </w:p>
    <w:p w14:paraId="2CD80CA5" w14:textId="52AB3C7A" w:rsidR="00494A1B" w:rsidRPr="004707EC" w:rsidRDefault="00EF1742" w:rsidP="004707EC">
      <w:pPr>
        <w:spacing w:after="0"/>
        <w:ind w:left="567" w:right="616" w:firstLine="284"/>
        <w:jc w:val="both"/>
        <w:rPr>
          <w:rFonts w:ascii="Arial" w:hAnsi="Arial" w:cs="Arial"/>
          <w:b/>
          <w:bCs/>
          <w:i/>
          <w:iCs/>
          <w:u w:val="single"/>
        </w:rPr>
      </w:pPr>
      <w:r w:rsidRPr="004707EC">
        <w:rPr>
          <w:rFonts w:ascii="Arial" w:hAnsi="Arial" w:cs="Arial"/>
          <w:i/>
          <w:iCs/>
        </w:rPr>
        <w:t>“</w:t>
      </w:r>
      <w:r w:rsidR="00494A1B" w:rsidRPr="004707EC">
        <w:rPr>
          <w:rFonts w:ascii="Arial" w:hAnsi="Arial" w:cs="Arial"/>
          <w:b/>
          <w:bCs/>
          <w:i/>
          <w:iCs/>
        </w:rPr>
        <w:t xml:space="preserve">TERCERO.- </w:t>
      </w:r>
      <w:r w:rsidR="00494A1B" w:rsidRPr="004707EC">
        <w:rPr>
          <w:rFonts w:ascii="Arial" w:hAnsi="Arial" w:cs="Arial"/>
          <w:bCs/>
          <w:i/>
          <w:iCs/>
        </w:rPr>
        <w:t xml:space="preserve">Contrariamente a lo manifestado por el actor, la determinación contenida en el oficio </w:t>
      </w:r>
      <w:r w:rsidR="00275BEA">
        <w:rPr>
          <w:rFonts w:ascii="Arial" w:hAnsi="Arial" w:cs="Arial"/>
          <w:bCs/>
          <w:i/>
          <w:iCs/>
        </w:rPr>
        <w:t>*******</w:t>
      </w:r>
      <w:r w:rsidR="00494A1B" w:rsidRPr="004707EC">
        <w:rPr>
          <w:rFonts w:ascii="Arial" w:hAnsi="Arial" w:cs="Arial"/>
          <w:bCs/>
          <w:i/>
          <w:iCs/>
        </w:rPr>
        <w:t xml:space="preserve"> de 03 de septiembre de 2020, si se encuentra debidamente fundado y motivado en términos del artículo 17 de la Ley de Procedimiento y Justicia Administrativa del Estado de Oaxaca, pues se insiste el actor tenía </w:t>
      </w:r>
      <w:r w:rsidR="00494A1B" w:rsidRPr="004707EC">
        <w:rPr>
          <w:rFonts w:ascii="Arial" w:hAnsi="Arial" w:cs="Arial"/>
          <w:b/>
          <w:bCs/>
          <w:i/>
          <w:iCs/>
        </w:rPr>
        <w:t>“nombramiento interino”</w:t>
      </w:r>
      <w:r w:rsidR="00494A1B" w:rsidRPr="004707EC">
        <w:rPr>
          <w:rFonts w:ascii="Arial" w:hAnsi="Arial" w:cs="Arial"/>
          <w:bCs/>
          <w:i/>
          <w:iCs/>
        </w:rPr>
        <w:t xml:space="preserve"> de Agente Estatal de Investigaciones</w:t>
      </w:r>
      <w:r w:rsidR="00494A1B" w:rsidRPr="004707EC">
        <w:rPr>
          <w:rFonts w:ascii="Arial" w:hAnsi="Arial" w:cs="Arial"/>
          <w:b/>
          <w:bCs/>
          <w:i/>
          <w:iCs/>
        </w:rPr>
        <w:t xml:space="preserve">” </w:t>
      </w:r>
      <w:r w:rsidR="00494A1B" w:rsidRPr="004707EC">
        <w:rPr>
          <w:rFonts w:ascii="Arial" w:hAnsi="Arial" w:cs="Arial"/>
          <w:bCs/>
          <w:i/>
          <w:iCs/>
        </w:rPr>
        <w:t xml:space="preserve">por tanto es considerado </w:t>
      </w:r>
      <w:r w:rsidR="00494A1B" w:rsidRPr="004707EC">
        <w:rPr>
          <w:rFonts w:ascii="Arial" w:hAnsi="Arial" w:cs="Arial"/>
          <w:b/>
          <w:bCs/>
          <w:i/>
          <w:iCs/>
          <w:u w:val="single"/>
        </w:rPr>
        <w:t xml:space="preserve">trabajador de confianza </w:t>
      </w:r>
      <w:r w:rsidR="00494A1B" w:rsidRPr="004707EC">
        <w:rPr>
          <w:rFonts w:ascii="Arial" w:hAnsi="Arial" w:cs="Arial"/>
          <w:bCs/>
          <w:i/>
          <w:iCs/>
        </w:rPr>
        <w:t xml:space="preserve">de conformidad con los artículos 29 y 37 de la Ley Orgánica de la Fiscalía General del Estado, por tanto </w:t>
      </w:r>
      <w:r w:rsidR="00494A1B" w:rsidRPr="004707EC">
        <w:rPr>
          <w:rFonts w:ascii="Arial" w:hAnsi="Arial" w:cs="Arial"/>
          <w:b/>
          <w:bCs/>
          <w:i/>
          <w:iCs/>
          <w:u w:val="single"/>
        </w:rPr>
        <w:t>los efectos de su nombramiento pueden darse por terminado en cualquier momento sin que sea necesario agotar el procedimiento previsto en el artículo 84 de la citada Ley Orgánica en razón de no ser considerados miembros del Servicio Profesional de Cerrar, como así lo establece el artículo 249 del Reglamento de la Ley Orgánica de la Fiscalía General de Estado.</w:t>
      </w:r>
    </w:p>
    <w:p w14:paraId="7769E2E4" w14:textId="77777777" w:rsidR="00494A1B" w:rsidRPr="004707EC" w:rsidRDefault="00494A1B" w:rsidP="004707EC">
      <w:pPr>
        <w:spacing w:after="0"/>
        <w:ind w:left="567" w:right="616" w:firstLine="284"/>
        <w:jc w:val="both"/>
        <w:rPr>
          <w:rFonts w:ascii="Arial" w:hAnsi="Arial" w:cs="Arial"/>
          <w:bCs/>
          <w:i/>
          <w:iCs/>
        </w:rPr>
      </w:pPr>
      <w:r w:rsidRPr="004707EC">
        <w:rPr>
          <w:rFonts w:ascii="Arial" w:hAnsi="Arial" w:cs="Arial"/>
          <w:bCs/>
          <w:i/>
          <w:iCs/>
        </w:rPr>
        <w:t xml:space="preserve">En ese sentido los trabajadores de confianza, no gozan de la estabilidad en el empleo dada la naturaleza de su nombramiento y </w:t>
      </w:r>
      <w:r w:rsidRPr="004707EC">
        <w:rPr>
          <w:rFonts w:ascii="Arial" w:hAnsi="Arial" w:cs="Arial"/>
          <w:bCs/>
          <w:i/>
          <w:iCs/>
        </w:rPr>
        <w:lastRenderedPageBreak/>
        <w:t xml:space="preserve">únicamente gozan de la medida de protección al salario y de los benéficos de seguridad social. </w:t>
      </w:r>
    </w:p>
    <w:p w14:paraId="34323393" w14:textId="77777777" w:rsidR="00494A1B" w:rsidRPr="004707EC" w:rsidRDefault="00494A1B" w:rsidP="004707EC">
      <w:pPr>
        <w:spacing w:after="0"/>
        <w:ind w:left="567" w:right="616" w:firstLine="284"/>
        <w:jc w:val="both"/>
        <w:rPr>
          <w:rFonts w:ascii="Arial" w:hAnsi="Arial" w:cs="Arial"/>
          <w:bCs/>
          <w:i/>
          <w:iCs/>
        </w:rPr>
      </w:pPr>
      <w:r w:rsidRPr="004707EC">
        <w:rPr>
          <w:rFonts w:ascii="Arial" w:hAnsi="Arial" w:cs="Arial"/>
          <w:b/>
          <w:bCs/>
          <w:i/>
          <w:iCs/>
        </w:rPr>
        <w:t xml:space="preserve">CUARTO.- </w:t>
      </w:r>
      <w:r w:rsidRPr="004707EC">
        <w:rPr>
          <w:rFonts w:ascii="Arial" w:hAnsi="Arial" w:cs="Arial"/>
          <w:bCs/>
          <w:i/>
          <w:iCs/>
        </w:rPr>
        <w:t xml:space="preserve">Debe considerarse infundado este concepto de impugnación por las siguientes razones legales: </w:t>
      </w:r>
    </w:p>
    <w:p w14:paraId="04F153DD" w14:textId="77777777" w:rsidR="00494A1B" w:rsidRPr="004707EC" w:rsidRDefault="00494A1B" w:rsidP="004707EC">
      <w:pPr>
        <w:spacing w:after="0"/>
        <w:ind w:left="567" w:right="616" w:firstLine="284"/>
        <w:jc w:val="both"/>
        <w:rPr>
          <w:rFonts w:ascii="Arial" w:hAnsi="Arial" w:cs="Arial"/>
          <w:b/>
          <w:bCs/>
          <w:i/>
          <w:iCs/>
        </w:rPr>
      </w:pPr>
      <w:r w:rsidRPr="004707EC">
        <w:rPr>
          <w:rFonts w:ascii="Arial" w:hAnsi="Arial" w:cs="Arial"/>
          <w:bCs/>
          <w:i/>
          <w:iCs/>
        </w:rPr>
        <w:t xml:space="preserve">En efecto, </w:t>
      </w:r>
      <w:r w:rsidRPr="004707EC">
        <w:rPr>
          <w:rFonts w:ascii="Arial" w:hAnsi="Arial" w:cs="Arial"/>
          <w:b/>
          <w:bCs/>
          <w:i/>
          <w:iCs/>
        </w:rPr>
        <w:t xml:space="preserve">LA LEY ORGANICA DE LA FISCALIA (SIC) GENERAL DEL ESTADO DE OAXACA ESTABLECE: </w:t>
      </w:r>
    </w:p>
    <w:p w14:paraId="392B075F" w14:textId="77777777" w:rsidR="00494A1B" w:rsidRPr="004707EC" w:rsidRDefault="00494A1B" w:rsidP="004707EC">
      <w:pPr>
        <w:spacing w:after="0"/>
        <w:ind w:left="567" w:right="616" w:firstLine="284"/>
        <w:jc w:val="both"/>
        <w:rPr>
          <w:rFonts w:ascii="Arial" w:hAnsi="Arial" w:cs="Arial"/>
          <w:i/>
          <w:iCs/>
        </w:rPr>
      </w:pPr>
      <w:r w:rsidRPr="004707EC">
        <w:rPr>
          <w:rFonts w:ascii="Arial" w:hAnsi="Arial" w:cs="Arial"/>
          <w:b/>
          <w:i/>
          <w:iCs/>
        </w:rPr>
        <w:t>Artículo 25.</w:t>
      </w:r>
      <w:r w:rsidRPr="004707EC">
        <w:rPr>
          <w:rFonts w:ascii="Arial" w:hAnsi="Arial" w:cs="Arial"/>
          <w:i/>
          <w:iCs/>
        </w:rPr>
        <w:t xml:space="preserve"> El personal de la Fiscalía General se organizará como sigue: </w:t>
      </w:r>
    </w:p>
    <w:p w14:paraId="42C6A94B" w14:textId="77777777" w:rsidR="00494A1B" w:rsidRPr="004707EC" w:rsidRDefault="00494A1B" w:rsidP="004707EC">
      <w:pPr>
        <w:pStyle w:val="Prrafodelista"/>
        <w:numPr>
          <w:ilvl w:val="0"/>
          <w:numId w:val="16"/>
        </w:numPr>
        <w:spacing w:after="0"/>
        <w:ind w:left="567" w:right="616" w:firstLine="284"/>
        <w:jc w:val="both"/>
        <w:rPr>
          <w:rFonts w:ascii="Arial" w:hAnsi="Arial" w:cs="Arial"/>
          <w:i/>
          <w:iCs/>
        </w:rPr>
      </w:pPr>
      <w:r w:rsidRPr="004707EC">
        <w:rPr>
          <w:rFonts w:ascii="Arial" w:hAnsi="Arial" w:cs="Arial"/>
          <w:i/>
          <w:iCs/>
        </w:rPr>
        <w:t xml:space="preserve">Por los Agentes del Ministerio Públicos, </w:t>
      </w:r>
      <w:r w:rsidRPr="004707EC">
        <w:rPr>
          <w:rFonts w:ascii="Arial" w:hAnsi="Arial" w:cs="Arial"/>
          <w:b/>
          <w:i/>
          <w:iCs/>
        </w:rPr>
        <w:t>los policías de investigación de la Agencia de Investigación</w:t>
      </w:r>
      <w:r w:rsidRPr="004707EC">
        <w:rPr>
          <w:rFonts w:ascii="Arial" w:hAnsi="Arial" w:cs="Arial"/>
          <w:i/>
          <w:iCs/>
        </w:rPr>
        <w:t>, facilitadores y los peritos que formen parte de la Fiscalía General, los cuales quedarán sujetos al Servicio, en los términos de los artículos 21 y 123, apartado B, fracción XIII, de la Constitución Federal, de la Constitución Estatal, del Reglamento del Servicio y demás disposiciones aplicables; y</w:t>
      </w:r>
    </w:p>
    <w:p w14:paraId="5A597DA8" w14:textId="77777777" w:rsidR="00494A1B" w:rsidRPr="004707EC" w:rsidRDefault="00494A1B" w:rsidP="004707EC">
      <w:pPr>
        <w:pStyle w:val="Prrafodelista"/>
        <w:numPr>
          <w:ilvl w:val="0"/>
          <w:numId w:val="16"/>
        </w:numPr>
        <w:spacing w:after="0"/>
        <w:ind w:left="567" w:right="616" w:firstLine="284"/>
        <w:jc w:val="both"/>
        <w:rPr>
          <w:rFonts w:ascii="Arial" w:hAnsi="Arial" w:cs="Arial"/>
          <w:b/>
          <w:bCs/>
          <w:i/>
          <w:iCs/>
        </w:rPr>
      </w:pPr>
      <w:r w:rsidRPr="004707EC">
        <w:rPr>
          <w:rFonts w:ascii="Arial" w:hAnsi="Arial" w:cs="Arial"/>
          <w:i/>
          <w:iCs/>
        </w:rPr>
        <w:t xml:space="preserve">Por el personal distinto al señalado en la fracción anterior, los cuales son considerados como personal de confianza para todos los efectos legales. </w:t>
      </w:r>
    </w:p>
    <w:p w14:paraId="363686F3" w14:textId="77777777" w:rsidR="00494A1B" w:rsidRPr="004707EC" w:rsidRDefault="00494A1B" w:rsidP="004707EC">
      <w:pPr>
        <w:spacing w:after="0"/>
        <w:ind w:left="567" w:right="616" w:firstLine="284"/>
        <w:jc w:val="both"/>
        <w:rPr>
          <w:rFonts w:ascii="Arial" w:hAnsi="Arial" w:cs="Arial"/>
          <w:i/>
          <w:iCs/>
        </w:rPr>
      </w:pPr>
      <w:r w:rsidRPr="004707EC">
        <w:rPr>
          <w:rFonts w:ascii="Arial" w:hAnsi="Arial" w:cs="Arial"/>
          <w:i/>
          <w:iCs/>
          <w:u w:val="single"/>
        </w:rPr>
        <w:t>El personal de confianza será de libre designación y remoción.</w:t>
      </w:r>
      <w:r w:rsidRPr="004707EC">
        <w:rPr>
          <w:rFonts w:ascii="Arial" w:hAnsi="Arial" w:cs="Arial"/>
          <w:i/>
          <w:iCs/>
        </w:rPr>
        <w:t xml:space="preserve"> Contará con los derechos y obligaciones que señalan las disposiciones aplicables. También se sujetará a los procedimientos de evaluación de control de confianza a que se refiere el Título Tercero de esta Ley Orgánica, en términos del Reglamento.</w:t>
      </w:r>
    </w:p>
    <w:p w14:paraId="64E3E7D9" w14:textId="77777777" w:rsidR="00494A1B" w:rsidRPr="004707EC" w:rsidRDefault="00494A1B" w:rsidP="004707EC">
      <w:pPr>
        <w:spacing w:after="0"/>
        <w:ind w:left="567" w:right="616" w:firstLine="284"/>
        <w:jc w:val="both"/>
        <w:rPr>
          <w:rFonts w:ascii="Arial" w:hAnsi="Arial" w:cs="Arial"/>
          <w:i/>
          <w:iCs/>
        </w:rPr>
      </w:pPr>
      <w:r w:rsidRPr="004707EC">
        <w:rPr>
          <w:rFonts w:ascii="Arial" w:hAnsi="Arial" w:cs="Arial"/>
          <w:b/>
          <w:i/>
          <w:iCs/>
        </w:rPr>
        <w:t>Artículo 28.</w:t>
      </w:r>
      <w:r w:rsidRPr="004707EC">
        <w:rPr>
          <w:rFonts w:ascii="Arial" w:hAnsi="Arial" w:cs="Arial"/>
          <w:i/>
          <w:iCs/>
        </w:rPr>
        <w:t xml:space="preserve"> Las relaciones jurídicas entre la Fiscalía General, los agentes del Ministerio Público, los policías de investigación y los peritos que formen parte del Servicio, serán de carácter administrativo y se regirán por lo dispuesto en la fracción XIII apartado B del artículo 123 de la Constitución Federal, en la Ley General, en la presente Ley Orgánica, en el Reglamento del Servicio y en las demás disposiciones aplicables.</w:t>
      </w:r>
    </w:p>
    <w:p w14:paraId="16426C4A" w14:textId="77777777" w:rsidR="00494A1B" w:rsidRPr="004707EC" w:rsidRDefault="00494A1B" w:rsidP="004707EC">
      <w:pPr>
        <w:spacing w:after="0"/>
        <w:ind w:left="567" w:right="616" w:firstLine="284"/>
        <w:jc w:val="both"/>
        <w:rPr>
          <w:rFonts w:ascii="Arial" w:hAnsi="Arial" w:cs="Arial"/>
          <w:i/>
          <w:iCs/>
        </w:rPr>
      </w:pPr>
      <w:r w:rsidRPr="004707EC">
        <w:rPr>
          <w:rFonts w:ascii="Arial" w:hAnsi="Arial" w:cs="Arial"/>
          <w:i/>
          <w:iCs/>
        </w:rPr>
        <w:t xml:space="preserve">Si la separación o remoción del Servicio fuera injustificada, la Fiscalía General sólo estará obligada a pagar indemnización y demás prestaciones a que tenga derecho, sin que en ningún caso proceda su reincorporación. </w:t>
      </w:r>
    </w:p>
    <w:p w14:paraId="0D412169" w14:textId="77777777" w:rsidR="00494A1B" w:rsidRPr="004707EC" w:rsidRDefault="00494A1B" w:rsidP="004707EC">
      <w:pPr>
        <w:spacing w:after="0"/>
        <w:ind w:left="567" w:right="616" w:firstLine="284"/>
        <w:jc w:val="both"/>
        <w:rPr>
          <w:rFonts w:ascii="Arial" w:hAnsi="Arial" w:cs="Arial"/>
          <w:i/>
          <w:iCs/>
        </w:rPr>
      </w:pPr>
      <w:r w:rsidRPr="004707EC">
        <w:rPr>
          <w:rFonts w:ascii="Arial" w:hAnsi="Arial" w:cs="Arial"/>
          <w:i/>
          <w:iCs/>
        </w:rPr>
        <w:t xml:space="preserve">En el caso de los facilitadores de la Fiscalía General, formarán parte del servicio a que alude la presente Ley Orgánica, salvo los que sean nombrados por designación especial. Del análisis sistemático de los artículos antes transcritos se aprecia que el personal de la Fiscalía General del Estado de Oaxaca se clasifica en: </w:t>
      </w:r>
    </w:p>
    <w:p w14:paraId="16AB7A69" w14:textId="77777777" w:rsidR="00494A1B" w:rsidRPr="004707EC" w:rsidRDefault="00494A1B" w:rsidP="004707EC">
      <w:pPr>
        <w:spacing w:after="0"/>
        <w:ind w:left="567" w:right="616" w:firstLine="284"/>
        <w:jc w:val="both"/>
        <w:rPr>
          <w:rFonts w:ascii="Arial" w:hAnsi="Arial" w:cs="Arial"/>
          <w:i/>
          <w:iCs/>
        </w:rPr>
      </w:pPr>
      <w:r w:rsidRPr="004707EC">
        <w:rPr>
          <w:rFonts w:ascii="Arial" w:hAnsi="Arial" w:cs="Arial"/>
          <w:b/>
          <w:i/>
          <w:iCs/>
        </w:rPr>
        <w:t xml:space="preserve">a).- </w:t>
      </w:r>
      <w:r w:rsidRPr="004707EC">
        <w:rPr>
          <w:rFonts w:ascii="Arial" w:hAnsi="Arial" w:cs="Arial"/>
          <w:i/>
          <w:iCs/>
        </w:rPr>
        <w:t xml:space="preserve">Agentes del Ministerio Público </w:t>
      </w:r>
      <w:r w:rsidRPr="004707EC">
        <w:rPr>
          <w:rFonts w:ascii="Arial" w:hAnsi="Arial" w:cs="Arial"/>
          <w:i/>
          <w:iCs/>
          <w:u w:val="single"/>
        </w:rPr>
        <w:t xml:space="preserve">Policías de Investigación de la Agencia de Investigación, </w:t>
      </w:r>
      <w:r w:rsidRPr="004707EC">
        <w:rPr>
          <w:rFonts w:ascii="Arial" w:hAnsi="Arial" w:cs="Arial"/>
          <w:i/>
          <w:iCs/>
        </w:rPr>
        <w:t xml:space="preserve">facilitadores y Peritos, quienes serán miembros sujetos al Servicio Civil (profesional) de Carrera y, </w:t>
      </w:r>
    </w:p>
    <w:p w14:paraId="4B83C9A3" w14:textId="77777777" w:rsidR="00494A1B" w:rsidRPr="004707EC" w:rsidRDefault="00494A1B" w:rsidP="004707EC">
      <w:pPr>
        <w:spacing w:after="0"/>
        <w:ind w:left="567" w:right="616" w:firstLine="284"/>
        <w:jc w:val="both"/>
        <w:rPr>
          <w:rFonts w:ascii="Arial" w:hAnsi="Arial" w:cs="Arial"/>
          <w:b/>
          <w:i/>
          <w:iCs/>
          <w:u w:val="single"/>
        </w:rPr>
      </w:pPr>
      <w:r w:rsidRPr="004707EC">
        <w:rPr>
          <w:rFonts w:ascii="Arial" w:hAnsi="Arial" w:cs="Arial"/>
          <w:b/>
          <w:i/>
          <w:iCs/>
        </w:rPr>
        <w:t>b).</w:t>
      </w:r>
      <w:r w:rsidRPr="004707EC">
        <w:rPr>
          <w:rFonts w:ascii="Arial" w:hAnsi="Arial" w:cs="Arial"/>
          <w:i/>
          <w:iCs/>
        </w:rPr>
        <w:t xml:space="preserve">- El personal distinto al señalado anteriormente será de confianza y </w:t>
      </w:r>
      <w:r w:rsidRPr="004707EC">
        <w:rPr>
          <w:rFonts w:ascii="Arial" w:hAnsi="Arial" w:cs="Arial"/>
          <w:b/>
          <w:i/>
          <w:iCs/>
          <w:u w:val="single"/>
        </w:rPr>
        <w:t xml:space="preserve">en ningún caso será considerado miembros del servicio civil de carrera. </w:t>
      </w:r>
    </w:p>
    <w:p w14:paraId="19DB5499" w14:textId="77777777" w:rsidR="00494A1B" w:rsidRPr="004707EC" w:rsidRDefault="00494A1B" w:rsidP="004707EC">
      <w:pPr>
        <w:spacing w:after="0"/>
        <w:ind w:left="567" w:right="616" w:firstLine="284"/>
        <w:jc w:val="both"/>
        <w:rPr>
          <w:rFonts w:ascii="Arial" w:hAnsi="Arial" w:cs="Arial"/>
          <w:i/>
          <w:iCs/>
        </w:rPr>
      </w:pPr>
      <w:r w:rsidRPr="004707EC">
        <w:rPr>
          <w:rFonts w:ascii="Arial" w:hAnsi="Arial" w:cs="Arial"/>
          <w:i/>
          <w:iCs/>
        </w:rPr>
        <w:t xml:space="preserve">Así mismo, se colige lo siguiente: </w:t>
      </w:r>
    </w:p>
    <w:p w14:paraId="0E493805" w14:textId="77777777" w:rsidR="00494A1B" w:rsidRPr="004707EC" w:rsidRDefault="00494A1B" w:rsidP="004707EC">
      <w:pPr>
        <w:spacing w:after="0"/>
        <w:ind w:left="567" w:right="616" w:firstLine="284"/>
        <w:jc w:val="both"/>
        <w:rPr>
          <w:rFonts w:ascii="Arial" w:hAnsi="Arial" w:cs="Arial"/>
          <w:i/>
          <w:iCs/>
          <w:u w:val="single"/>
        </w:rPr>
      </w:pPr>
      <w:r w:rsidRPr="004707EC">
        <w:rPr>
          <w:rFonts w:ascii="Arial" w:hAnsi="Arial" w:cs="Arial"/>
          <w:i/>
          <w:iCs/>
        </w:rPr>
        <w:t xml:space="preserve">Que los servidores públicos referidos en el inciso </w:t>
      </w:r>
      <w:r w:rsidRPr="004707EC">
        <w:rPr>
          <w:rFonts w:ascii="Arial" w:hAnsi="Arial" w:cs="Arial"/>
          <w:b/>
          <w:i/>
          <w:iCs/>
        </w:rPr>
        <w:t xml:space="preserve">a) </w:t>
      </w:r>
      <w:r w:rsidRPr="004707EC">
        <w:rPr>
          <w:rFonts w:ascii="Arial" w:hAnsi="Arial" w:cs="Arial"/>
          <w:i/>
          <w:iCs/>
        </w:rPr>
        <w:t xml:space="preserve">son personal que se rige por su (sic) propias leyes, sin derecho a reincorporación aun cuando la separación, remoción, baja, cese o cualquier otra forma de terminación del servicio sea injustificada, pero con derecho a indemnización y demás prestaciones a que tenga derecho en términos de artículo 123 apartado B, fracción XIII Constitucional; mientras que los servidores públicos que se ubican en el inciso </w:t>
      </w:r>
      <w:r w:rsidRPr="004707EC">
        <w:rPr>
          <w:rFonts w:ascii="Arial" w:hAnsi="Arial" w:cs="Arial"/>
          <w:b/>
          <w:i/>
          <w:iCs/>
        </w:rPr>
        <w:t xml:space="preserve">b) </w:t>
      </w:r>
      <w:r w:rsidRPr="004707EC">
        <w:rPr>
          <w:rFonts w:ascii="Arial" w:hAnsi="Arial" w:cs="Arial"/>
          <w:i/>
          <w:iCs/>
        </w:rPr>
        <w:t xml:space="preserve">son personal de confianza de libre designación y remoción y que </w:t>
      </w:r>
      <w:r w:rsidRPr="004707EC">
        <w:rPr>
          <w:rFonts w:ascii="Arial" w:hAnsi="Arial" w:cs="Arial"/>
          <w:i/>
          <w:iCs/>
          <w:u w:val="single"/>
        </w:rPr>
        <w:t xml:space="preserve">en cualquier momento se podrán dar por terminados los efectos del nombramiento sin que sea necesario agotar el procedimiento de separación del cargo. </w:t>
      </w:r>
    </w:p>
    <w:p w14:paraId="50ED1789" w14:textId="50CC411A" w:rsidR="00EF1742" w:rsidRPr="004707EC" w:rsidRDefault="00494A1B" w:rsidP="004707EC">
      <w:pPr>
        <w:ind w:left="567" w:right="616" w:firstLine="284"/>
        <w:jc w:val="both"/>
        <w:rPr>
          <w:rFonts w:ascii="Arial" w:hAnsi="Arial" w:cs="Arial"/>
        </w:rPr>
      </w:pPr>
      <w:r w:rsidRPr="004707EC">
        <w:rPr>
          <w:rFonts w:ascii="Arial" w:hAnsi="Arial" w:cs="Arial"/>
          <w:b/>
          <w:i/>
          <w:iCs/>
          <w:u w:val="single"/>
        </w:rPr>
        <w:t xml:space="preserve">Por lo que se insiste que los efectos del nombramiento del PERSONAL DE CONFIANZA pueden darse por terminado en cualquier momento sin que sea necesario agotar el procedimiento previsto en el artículo 84 de la citada Ley Orgánica en razón de no ser considerados miembros del Servicio Profesional de Carrera, </w:t>
      </w:r>
      <w:r w:rsidRPr="004707EC">
        <w:rPr>
          <w:rFonts w:ascii="Arial" w:hAnsi="Arial" w:cs="Arial"/>
          <w:b/>
          <w:i/>
          <w:iCs/>
          <w:u w:val="single"/>
        </w:rPr>
        <w:lastRenderedPageBreak/>
        <w:t xml:space="preserve">como así lo establece el artículo 249 del Reglamento de la Ley Orgánica de la Fiscalía General del Estado. </w:t>
      </w:r>
      <w:r w:rsidRPr="004707EC">
        <w:rPr>
          <w:rFonts w:ascii="Arial" w:hAnsi="Arial" w:cs="Arial"/>
          <w:b/>
          <w:i/>
          <w:iCs/>
        </w:rPr>
        <w:t>de (sic) ahí la improcedencia del concepto de impugnación alegado por el actor.</w:t>
      </w:r>
      <w:r w:rsidR="00EF1742" w:rsidRPr="004707EC">
        <w:rPr>
          <w:rFonts w:ascii="Arial" w:hAnsi="Arial" w:cs="Arial"/>
        </w:rPr>
        <w:t>”</w:t>
      </w:r>
    </w:p>
    <w:p w14:paraId="32ACB1E5" w14:textId="3816047D" w:rsidR="00EF1742" w:rsidRPr="00AF7DD2" w:rsidRDefault="00EF1742" w:rsidP="00FB7079">
      <w:pPr>
        <w:shd w:val="clear" w:color="auto" w:fill="FFFFFF"/>
        <w:spacing w:line="375" w:lineRule="atLeast"/>
        <w:ind w:firstLine="567"/>
        <w:jc w:val="both"/>
        <w:rPr>
          <w:rFonts w:ascii="Arial" w:eastAsia="Times New Roman" w:hAnsi="Arial" w:cs="Arial"/>
          <w:sz w:val="26"/>
          <w:szCs w:val="26"/>
        </w:rPr>
      </w:pPr>
      <w:r w:rsidRPr="00F76E72">
        <w:rPr>
          <w:rFonts w:ascii="Arial" w:hAnsi="Arial" w:cs="Arial"/>
          <w:bCs/>
          <w:sz w:val="26"/>
          <w:szCs w:val="26"/>
        </w:rPr>
        <w:t>De l</w:t>
      </w:r>
      <w:r>
        <w:rPr>
          <w:rFonts w:ascii="Arial" w:hAnsi="Arial" w:cs="Arial"/>
          <w:bCs/>
          <w:sz w:val="26"/>
          <w:szCs w:val="26"/>
        </w:rPr>
        <w:t xml:space="preserve">o que se advierte </w:t>
      </w:r>
      <w:r w:rsidRPr="00F76E72">
        <w:rPr>
          <w:rFonts w:ascii="Arial" w:hAnsi="Arial" w:cs="Arial"/>
          <w:bCs/>
          <w:sz w:val="26"/>
          <w:szCs w:val="26"/>
        </w:rPr>
        <w:t xml:space="preserve">que </w:t>
      </w:r>
      <w:r w:rsidR="00DC03CF">
        <w:rPr>
          <w:rFonts w:ascii="Arial" w:hAnsi="Arial" w:cs="Arial"/>
          <w:bCs/>
          <w:sz w:val="26"/>
          <w:szCs w:val="26"/>
        </w:rPr>
        <w:t xml:space="preserve">cada uno de los recurrentes </w:t>
      </w:r>
      <w:r w:rsidR="000C67B4">
        <w:rPr>
          <w:rFonts w:ascii="Arial" w:hAnsi="Arial" w:cs="Arial"/>
          <w:bCs/>
          <w:sz w:val="26"/>
          <w:szCs w:val="26"/>
        </w:rPr>
        <w:t xml:space="preserve">en sus agravios </w:t>
      </w:r>
      <w:r>
        <w:rPr>
          <w:rFonts w:ascii="Arial" w:eastAsia="Times New Roman" w:hAnsi="Arial" w:cs="Arial"/>
          <w:sz w:val="26"/>
          <w:szCs w:val="26"/>
        </w:rPr>
        <w:t>reitera</w:t>
      </w:r>
      <w:r w:rsidR="000C67B4">
        <w:rPr>
          <w:rFonts w:ascii="Arial" w:eastAsia="Times New Roman" w:hAnsi="Arial" w:cs="Arial"/>
          <w:sz w:val="26"/>
          <w:szCs w:val="26"/>
        </w:rPr>
        <w:t>n</w:t>
      </w:r>
      <w:r>
        <w:rPr>
          <w:rFonts w:ascii="Arial" w:eastAsia="Times New Roman" w:hAnsi="Arial" w:cs="Arial"/>
          <w:sz w:val="26"/>
          <w:szCs w:val="26"/>
        </w:rPr>
        <w:t xml:space="preserve"> sustancialmente </w:t>
      </w:r>
      <w:r w:rsidRPr="00F76E72">
        <w:rPr>
          <w:rFonts w:ascii="Arial" w:eastAsia="Times New Roman" w:hAnsi="Arial" w:cs="Arial"/>
          <w:sz w:val="26"/>
          <w:szCs w:val="26"/>
        </w:rPr>
        <w:t xml:space="preserve">el </w:t>
      </w:r>
      <w:r w:rsidRPr="00AF7DD2">
        <w:rPr>
          <w:rFonts w:ascii="Arial" w:eastAsia="Times New Roman" w:hAnsi="Arial" w:cs="Arial"/>
          <w:sz w:val="26"/>
          <w:szCs w:val="26"/>
        </w:rPr>
        <w:t xml:space="preserve">argumento </w:t>
      </w:r>
      <w:r>
        <w:rPr>
          <w:rFonts w:ascii="Arial" w:eastAsia="Times New Roman" w:hAnsi="Arial" w:cs="Arial"/>
          <w:sz w:val="26"/>
          <w:szCs w:val="26"/>
        </w:rPr>
        <w:t xml:space="preserve">de defensa que </w:t>
      </w:r>
      <w:r w:rsidR="000C67B4">
        <w:rPr>
          <w:rFonts w:ascii="Arial" w:eastAsia="Times New Roman" w:hAnsi="Arial" w:cs="Arial"/>
          <w:sz w:val="26"/>
          <w:szCs w:val="26"/>
        </w:rPr>
        <w:t xml:space="preserve">expusieron </w:t>
      </w:r>
      <w:r>
        <w:rPr>
          <w:rFonts w:ascii="Arial" w:eastAsia="Times New Roman" w:hAnsi="Arial" w:cs="Arial"/>
          <w:sz w:val="26"/>
          <w:szCs w:val="26"/>
        </w:rPr>
        <w:t>al contestar la demanda, lo que ya fue materia de estudio en la sentencia dictada por la sala de origen y como en el presente recurso de revisión el tema de análisis es la sentencia dictada en el juicio de nulidad</w:t>
      </w:r>
      <w:r w:rsidR="00FB7079">
        <w:rPr>
          <w:rFonts w:ascii="Arial" w:eastAsia="Times New Roman" w:hAnsi="Arial" w:cs="Arial"/>
          <w:sz w:val="26"/>
          <w:szCs w:val="26"/>
        </w:rPr>
        <w:t xml:space="preserve"> y </w:t>
      </w:r>
      <w:r>
        <w:rPr>
          <w:rFonts w:ascii="Arial" w:eastAsia="Times New Roman" w:hAnsi="Arial" w:cs="Arial"/>
          <w:sz w:val="26"/>
          <w:szCs w:val="26"/>
        </w:rPr>
        <w:t>no la contestación de la demanda, l</w:t>
      </w:r>
      <w:r w:rsidR="000C67B4">
        <w:rPr>
          <w:rFonts w:ascii="Arial" w:eastAsia="Times New Roman" w:hAnsi="Arial" w:cs="Arial"/>
          <w:sz w:val="26"/>
          <w:szCs w:val="26"/>
        </w:rPr>
        <w:t xml:space="preserve">os </w:t>
      </w:r>
      <w:r>
        <w:rPr>
          <w:rFonts w:ascii="Arial" w:eastAsia="Times New Roman" w:hAnsi="Arial" w:cs="Arial"/>
          <w:sz w:val="26"/>
          <w:szCs w:val="26"/>
        </w:rPr>
        <w:t>recurrente</w:t>
      </w:r>
      <w:r w:rsidR="000C67B4">
        <w:rPr>
          <w:rFonts w:ascii="Arial" w:eastAsia="Times New Roman" w:hAnsi="Arial" w:cs="Arial"/>
          <w:sz w:val="26"/>
          <w:szCs w:val="26"/>
        </w:rPr>
        <w:t>s</w:t>
      </w:r>
      <w:r>
        <w:rPr>
          <w:rFonts w:ascii="Arial" w:eastAsia="Times New Roman" w:hAnsi="Arial" w:cs="Arial"/>
          <w:sz w:val="26"/>
          <w:szCs w:val="26"/>
        </w:rPr>
        <w:t xml:space="preserve"> debi</w:t>
      </w:r>
      <w:r w:rsidR="000C67B4">
        <w:rPr>
          <w:rFonts w:ascii="Arial" w:eastAsia="Times New Roman" w:hAnsi="Arial" w:cs="Arial"/>
          <w:sz w:val="26"/>
          <w:szCs w:val="26"/>
        </w:rPr>
        <w:t xml:space="preserve">eron </w:t>
      </w:r>
      <w:r>
        <w:rPr>
          <w:rFonts w:ascii="Arial" w:eastAsia="Times New Roman" w:hAnsi="Arial" w:cs="Arial"/>
          <w:sz w:val="26"/>
          <w:szCs w:val="26"/>
        </w:rPr>
        <w:t xml:space="preserve">formular razonamientos lógico-jurídicos encaminados a combatir las consideraciones y fundamentos legales que sustentan la sentencia </w:t>
      </w:r>
      <w:r w:rsidR="00FB7079">
        <w:rPr>
          <w:rFonts w:ascii="Arial" w:eastAsia="Times New Roman" w:hAnsi="Arial" w:cs="Arial"/>
          <w:sz w:val="26"/>
          <w:szCs w:val="26"/>
        </w:rPr>
        <w:t>combatida</w:t>
      </w:r>
      <w:r w:rsidR="000C67B4">
        <w:rPr>
          <w:rFonts w:ascii="Arial" w:hAnsi="Arial"/>
          <w:color w:val="000000"/>
          <w:sz w:val="26"/>
          <w:szCs w:val="26"/>
        </w:rPr>
        <w:t>,</w:t>
      </w:r>
      <w:r>
        <w:rPr>
          <w:rFonts w:ascii="Arial" w:hAnsi="Arial"/>
          <w:color w:val="000000"/>
          <w:sz w:val="26"/>
          <w:szCs w:val="26"/>
        </w:rPr>
        <w:t xml:space="preserve"> sin redundar en alegatos hechos valer en una etapa procesal</w:t>
      </w:r>
      <w:r w:rsidRPr="00C6422F">
        <w:rPr>
          <w:rFonts w:ascii="Arial" w:hAnsi="Arial"/>
          <w:color w:val="000000"/>
          <w:sz w:val="26"/>
          <w:szCs w:val="26"/>
        </w:rPr>
        <w:t xml:space="preserve"> </w:t>
      </w:r>
      <w:r>
        <w:rPr>
          <w:rFonts w:ascii="Arial" w:hAnsi="Arial"/>
          <w:color w:val="000000"/>
          <w:sz w:val="26"/>
          <w:szCs w:val="26"/>
        </w:rPr>
        <w:t>anterior</w:t>
      </w:r>
      <w:r>
        <w:rPr>
          <w:rFonts w:ascii="Arial" w:eastAsia="Times New Roman" w:hAnsi="Arial" w:cs="Arial"/>
          <w:sz w:val="26"/>
          <w:szCs w:val="26"/>
        </w:rPr>
        <w:t xml:space="preserve">; como lo dispone </w:t>
      </w:r>
      <w:r w:rsidRPr="00F9002B">
        <w:rPr>
          <w:rFonts w:ascii="Arial" w:eastAsia="Times New Roman" w:hAnsi="Arial" w:cs="Arial"/>
          <w:sz w:val="26"/>
          <w:szCs w:val="26"/>
        </w:rPr>
        <w:t xml:space="preserve">la jurisprudencia en materia </w:t>
      </w:r>
      <w:r>
        <w:rPr>
          <w:rFonts w:ascii="Arial" w:eastAsia="Times New Roman" w:hAnsi="Arial" w:cs="Arial"/>
          <w:sz w:val="26"/>
          <w:szCs w:val="26"/>
        </w:rPr>
        <w:t xml:space="preserve">común </w:t>
      </w:r>
      <w:r w:rsidRPr="00F9002B">
        <w:rPr>
          <w:rFonts w:ascii="Arial" w:eastAsia="Times New Roman" w:hAnsi="Arial" w:cs="Arial"/>
          <w:sz w:val="26"/>
          <w:szCs w:val="26"/>
        </w:rPr>
        <w:t xml:space="preserve">número </w:t>
      </w:r>
      <w:r w:rsidRPr="00AF7DD2">
        <w:rPr>
          <w:rFonts w:ascii="Arial" w:eastAsia="Times New Roman" w:hAnsi="Arial" w:cs="Arial"/>
          <w:sz w:val="26"/>
          <w:szCs w:val="26"/>
        </w:rPr>
        <w:t>1</w:t>
      </w:r>
      <w:r>
        <w:rPr>
          <w:rFonts w:ascii="Arial" w:eastAsia="Times New Roman" w:hAnsi="Arial" w:cs="Arial"/>
          <w:sz w:val="26"/>
          <w:szCs w:val="26"/>
        </w:rPr>
        <w:t>a./J. 133/2005</w:t>
      </w:r>
      <w:r w:rsidRPr="00F9002B">
        <w:rPr>
          <w:rFonts w:ascii="Arial" w:eastAsia="Times New Roman" w:hAnsi="Arial" w:cs="Arial"/>
          <w:sz w:val="26"/>
          <w:szCs w:val="26"/>
        </w:rPr>
        <w:t xml:space="preserve">, con número de registro digital </w:t>
      </w:r>
      <w:r>
        <w:rPr>
          <w:rFonts w:ascii="Arial" w:eastAsia="Times New Roman" w:hAnsi="Arial" w:cs="Arial"/>
          <w:sz w:val="26"/>
          <w:szCs w:val="26"/>
        </w:rPr>
        <w:t>177092</w:t>
      </w:r>
      <w:r w:rsidRPr="00F9002B">
        <w:rPr>
          <w:rFonts w:ascii="Arial" w:eastAsia="Times New Roman" w:hAnsi="Arial" w:cs="Arial"/>
          <w:sz w:val="26"/>
          <w:szCs w:val="26"/>
        </w:rPr>
        <w:t xml:space="preserve">, de la Novena Época, emitido por </w:t>
      </w:r>
      <w:r>
        <w:rPr>
          <w:rFonts w:ascii="Arial" w:eastAsia="Times New Roman" w:hAnsi="Arial" w:cs="Arial"/>
          <w:sz w:val="26"/>
          <w:szCs w:val="26"/>
        </w:rPr>
        <w:t>la Primera Sala de la Suprema Corte de Justicia de la Nación,</w:t>
      </w:r>
      <w:r w:rsidRPr="00F9002B">
        <w:rPr>
          <w:rFonts w:ascii="Arial" w:eastAsia="Times New Roman" w:hAnsi="Arial" w:cs="Arial"/>
          <w:sz w:val="26"/>
          <w:szCs w:val="26"/>
        </w:rPr>
        <w:t xml:space="preserve"> publicada en el </w:t>
      </w:r>
      <w:r w:rsidRPr="00AF7DD2">
        <w:rPr>
          <w:rFonts w:ascii="Arial" w:eastAsia="Times New Roman" w:hAnsi="Arial" w:cs="Arial"/>
          <w:sz w:val="26"/>
          <w:szCs w:val="26"/>
        </w:rPr>
        <w:t>Semanario Judicial de la Federación y su Gaceta</w:t>
      </w:r>
      <w:r w:rsidRPr="00F9002B">
        <w:rPr>
          <w:rFonts w:ascii="Arial" w:eastAsia="Times New Roman" w:hAnsi="Arial" w:cs="Arial"/>
          <w:sz w:val="26"/>
          <w:szCs w:val="26"/>
        </w:rPr>
        <w:t xml:space="preserve">; </w:t>
      </w:r>
      <w:r w:rsidRPr="00AF7DD2">
        <w:rPr>
          <w:rFonts w:ascii="Arial" w:eastAsia="Times New Roman" w:hAnsi="Arial" w:cs="Arial"/>
          <w:sz w:val="26"/>
          <w:szCs w:val="26"/>
        </w:rPr>
        <w:t xml:space="preserve">Tomo </w:t>
      </w:r>
      <w:r>
        <w:rPr>
          <w:rFonts w:ascii="Arial" w:eastAsia="Times New Roman" w:hAnsi="Arial" w:cs="Arial"/>
          <w:sz w:val="26"/>
          <w:szCs w:val="26"/>
        </w:rPr>
        <w:t>XX</w:t>
      </w:r>
      <w:r w:rsidRPr="00AF7DD2">
        <w:rPr>
          <w:rFonts w:ascii="Arial" w:eastAsia="Times New Roman" w:hAnsi="Arial" w:cs="Arial"/>
          <w:sz w:val="26"/>
          <w:szCs w:val="26"/>
        </w:rPr>
        <w:t xml:space="preserve">II, </w:t>
      </w:r>
      <w:r>
        <w:rPr>
          <w:rFonts w:ascii="Arial" w:eastAsia="Times New Roman" w:hAnsi="Arial" w:cs="Arial"/>
          <w:sz w:val="26"/>
          <w:szCs w:val="26"/>
        </w:rPr>
        <w:t xml:space="preserve">Octubre </w:t>
      </w:r>
      <w:r w:rsidRPr="00AF7DD2">
        <w:rPr>
          <w:rFonts w:ascii="Arial" w:eastAsia="Times New Roman" w:hAnsi="Arial" w:cs="Arial"/>
          <w:sz w:val="26"/>
          <w:szCs w:val="26"/>
        </w:rPr>
        <w:t>de</w:t>
      </w:r>
      <w:r>
        <w:rPr>
          <w:rFonts w:ascii="Arial" w:eastAsia="Times New Roman" w:hAnsi="Arial" w:cs="Arial"/>
          <w:sz w:val="26"/>
          <w:szCs w:val="26"/>
        </w:rPr>
        <w:t xml:space="preserve"> 2005,</w:t>
      </w:r>
      <w:r w:rsidRPr="00AF7DD2">
        <w:rPr>
          <w:rFonts w:ascii="Arial" w:eastAsia="Times New Roman" w:hAnsi="Arial" w:cs="Arial"/>
          <w:sz w:val="26"/>
          <w:szCs w:val="26"/>
        </w:rPr>
        <w:t xml:space="preserve"> </w:t>
      </w:r>
      <w:r w:rsidRPr="00F9002B">
        <w:rPr>
          <w:rFonts w:ascii="Arial" w:eastAsia="Times New Roman" w:hAnsi="Arial" w:cs="Arial"/>
          <w:sz w:val="26"/>
          <w:szCs w:val="26"/>
        </w:rPr>
        <w:t xml:space="preserve">visible a </w:t>
      </w:r>
      <w:r w:rsidRPr="00AF7DD2">
        <w:rPr>
          <w:rFonts w:ascii="Arial" w:eastAsia="Times New Roman" w:hAnsi="Arial" w:cs="Arial"/>
          <w:sz w:val="26"/>
          <w:szCs w:val="26"/>
        </w:rPr>
        <w:t xml:space="preserve">página </w:t>
      </w:r>
      <w:r>
        <w:rPr>
          <w:rFonts w:ascii="Arial" w:eastAsia="Times New Roman" w:hAnsi="Arial" w:cs="Arial"/>
          <w:sz w:val="26"/>
          <w:szCs w:val="26"/>
        </w:rPr>
        <w:t>13</w:t>
      </w:r>
      <w:r w:rsidRPr="00F9002B">
        <w:rPr>
          <w:rFonts w:ascii="Arial" w:eastAsia="Times New Roman" w:hAnsi="Arial" w:cs="Arial"/>
          <w:sz w:val="26"/>
          <w:szCs w:val="26"/>
        </w:rPr>
        <w:t xml:space="preserve">, de rubro y texto siguientes: </w:t>
      </w:r>
    </w:p>
    <w:p w14:paraId="263170D7" w14:textId="77777777" w:rsidR="00EF1742" w:rsidRPr="004707EC" w:rsidRDefault="00EF1742" w:rsidP="004707EC">
      <w:pPr>
        <w:shd w:val="clear" w:color="auto" w:fill="FFFFFF"/>
        <w:spacing w:after="0"/>
        <w:ind w:left="567" w:right="616"/>
        <w:jc w:val="both"/>
        <w:rPr>
          <w:rFonts w:ascii="Arial" w:eastAsia="Times New Roman" w:hAnsi="Arial" w:cs="Arial"/>
          <w:i/>
          <w:iCs/>
        </w:rPr>
      </w:pPr>
      <w:r w:rsidRPr="004707EC">
        <w:rPr>
          <w:rFonts w:ascii="Arial" w:eastAsia="Times New Roman" w:hAnsi="Arial" w:cs="Arial"/>
          <w:b/>
          <w:bCs/>
          <w:i/>
          <w:iCs/>
        </w:rPr>
        <w:t xml:space="preserve">“AGRAVIOS EN LA REVISIÓN. SON INOPERANTES LOS FORMULADOS POR LA AUTORIDAD RESPONSABLE, SI SE LIMITAN A REITERAR SUSTANCIALMENTE LOS ARGUMENTOS EXPRESADOS AL RENDIR SU INFORME JUSTIFICADO. </w:t>
      </w:r>
      <w:r w:rsidRPr="004707EC">
        <w:rPr>
          <w:rFonts w:ascii="Arial" w:eastAsia="Times New Roman" w:hAnsi="Arial" w:cs="Arial"/>
          <w:i/>
          <w:iCs/>
        </w:rPr>
        <w:t>Conforme a los artículos </w:t>
      </w:r>
      <w:hyperlink r:id="rId8" w:history="1">
        <w:r w:rsidRPr="004707EC">
          <w:rPr>
            <w:rFonts w:ascii="Arial" w:eastAsia="Times New Roman" w:hAnsi="Arial" w:cs="Arial"/>
            <w:i/>
            <w:iCs/>
          </w:rPr>
          <w:t>83, fracción IV, 87 y 88 de la Ley de Amparo</w:t>
        </w:r>
      </w:hyperlink>
      <w:r w:rsidRPr="004707EC">
        <w:rPr>
          <w:rFonts w:ascii="Arial" w:eastAsia="Times New Roman" w:hAnsi="Arial" w:cs="Arial"/>
          <w:i/>
          <w:iCs/>
        </w:rPr>
        <w:t>, la autoridad responsable que obtuvo sentencia de amparo desfavorable a sus intereses puede interponer el recurso de revisión, expresando los agravios que considere le causa la sentencia recurrida. Ahora bien, si la autoridad recurrente al formular sus agravios no combate consideración alguna de dicha sentencia, sino que se limita a reiterar sustancialmente los argumentos expresados al rendir su informe justificado en el juicio de amparo, los cuales se dirigen a controvertir lo expuesto en los conceptos de violación planteados por el quejoso en su demanda de garantías, resulta inconcuso que dichos agravios devienen inoperantes. Ello es así, porque al ser la materia de la revisión la sentencia recurrida y no los conceptos de violación planteados en la demanda de garantías, en los agravios deben formularse razonamientos lógico-jurídicos encaminados a combatir las consideraciones que sustentan la concesión del amparo, sin que sea dable suplir la deficiencia de la queja, en términos del artículo </w:t>
      </w:r>
      <w:hyperlink r:id="rId9" w:history="1">
        <w:r w:rsidRPr="004707EC">
          <w:rPr>
            <w:rFonts w:ascii="Arial" w:eastAsia="Times New Roman" w:hAnsi="Arial" w:cs="Arial"/>
            <w:i/>
            <w:iCs/>
          </w:rPr>
          <w:t>76 bis</w:t>
        </w:r>
      </w:hyperlink>
      <w:r w:rsidRPr="004707EC">
        <w:rPr>
          <w:rFonts w:ascii="Arial" w:eastAsia="Times New Roman" w:hAnsi="Arial" w:cs="Arial"/>
          <w:i/>
          <w:iCs/>
        </w:rPr>
        <w:t> de la mencionada ley, pues aquélla sólo se admite respecto del particular recurrente, no así de la autoridad que interpuso el recurso de revisión.”</w:t>
      </w:r>
    </w:p>
    <w:p w14:paraId="05A7516D" w14:textId="17932EDA" w:rsidR="003D7B66" w:rsidRDefault="00270DBC" w:rsidP="00EF1742">
      <w:pPr>
        <w:tabs>
          <w:tab w:val="left" w:pos="5670"/>
        </w:tabs>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E</w:t>
      </w:r>
      <w:r w:rsidR="006E064A">
        <w:rPr>
          <w:rFonts w:ascii="Arial" w:eastAsia="Calibri" w:hAnsi="Arial" w:cs="Arial"/>
          <w:bCs/>
          <w:sz w:val="26"/>
          <w:szCs w:val="26"/>
        </w:rPr>
        <w:t>n la segunda parte del agravio segu</w:t>
      </w:r>
      <w:r w:rsidR="00C4788E">
        <w:rPr>
          <w:rFonts w:ascii="Arial" w:eastAsia="Calibri" w:hAnsi="Arial" w:cs="Arial"/>
          <w:bCs/>
          <w:sz w:val="26"/>
          <w:szCs w:val="26"/>
        </w:rPr>
        <w:t>ndo, los recurrentes esgrimen que</w:t>
      </w:r>
      <w:r w:rsidR="006E064A">
        <w:rPr>
          <w:rFonts w:ascii="Arial" w:eastAsia="Calibri" w:hAnsi="Arial" w:cs="Arial"/>
          <w:bCs/>
          <w:sz w:val="26"/>
          <w:szCs w:val="26"/>
        </w:rPr>
        <w:t xml:space="preserve"> </w:t>
      </w:r>
      <w:r w:rsidR="003D7B66">
        <w:rPr>
          <w:rFonts w:ascii="Arial" w:eastAsia="Calibri" w:hAnsi="Arial" w:cs="Arial"/>
          <w:bCs/>
          <w:sz w:val="26"/>
          <w:szCs w:val="26"/>
        </w:rPr>
        <w:t>la libre la designación y remoción del personal de confianza y de designación especial, se encuentra contemplado en la Ley Orgánica de la Fiscalía General del Estado de Oaxaca en los artículos 29 y 37, mientras no se impugne su inconstitucionalidad.</w:t>
      </w:r>
      <w:r w:rsidR="004707EC">
        <w:rPr>
          <w:rFonts w:ascii="Arial" w:eastAsia="Calibri" w:hAnsi="Arial" w:cs="Arial"/>
          <w:bCs/>
          <w:sz w:val="26"/>
          <w:szCs w:val="26"/>
        </w:rPr>
        <w:t xml:space="preserve"> - - - - </w:t>
      </w:r>
    </w:p>
    <w:p w14:paraId="5252472C" w14:textId="32012CE7" w:rsidR="006C3C3F" w:rsidRDefault="00FB7079" w:rsidP="006C3C3F">
      <w:pPr>
        <w:tabs>
          <w:tab w:val="left" w:pos="5670"/>
        </w:tabs>
        <w:spacing w:before="240" w:after="0" w:line="360" w:lineRule="auto"/>
        <w:ind w:firstLine="708"/>
        <w:jc w:val="both"/>
        <w:rPr>
          <w:rFonts w:ascii="Arial" w:eastAsiaTheme="minorHAnsi" w:hAnsi="Arial" w:cs="Arial"/>
          <w:sz w:val="26"/>
          <w:szCs w:val="26"/>
          <w:lang w:eastAsia="en-US"/>
        </w:rPr>
      </w:pPr>
      <w:r>
        <w:rPr>
          <w:rFonts w:ascii="Arial" w:eastAsia="Calibri" w:hAnsi="Arial" w:cs="Arial"/>
          <w:bCs/>
          <w:sz w:val="26"/>
          <w:szCs w:val="26"/>
        </w:rPr>
        <w:t>Alegato que t</w:t>
      </w:r>
      <w:r w:rsidR="005C0FAF">
        <w:rPr>
          <w:rFonts w:ascii="Arial" w:eastAsia="Calibri" w:hAnsi="Arial" w:cs="Arial"/>
          <w:bCs/>
          <w:sz w:val="26"/>
          <w:szCs w:val="26"/>
        </w:rPr>
        <w:t xml:space="preserve">ambién se considera </w:t>
      </w:r>
      <w:r w:rsidR="005C0FAF" w:rsidRPr="006C3C3F">
        <w:rPr>
          <w:rFonts w:ascii="Arial" w:eastAsia="Calibri" w:hAnsi="Arial" w:cs="Arial"/>
          <w:b/>
          <w:bCs/>
          <w:sz w:val="26"/>
          <w:szCs w:val="26"/>
        </w:rPr>
        <w:t>INOPERANTE</w:t>
      </w:r>
      <w:r w:rsidR="00C4788E">
        <w:rPr>
          <w:rFonts w:ascii="Arial" w:eastAsia="Calibri" w:hAnsi="Arial" w:cs="Arial"/>
          <w:bCs/>
          <w:sz w:val="26"/>
          <w:szCs w:val="26"/>
        </w:rPr>
        <w:t xml:space="preserve">, </w:t>
      </w:r>
      <w:r w:rsidR="005C0FAF">
        <w:rPr>
          <w:rFonts w:ascii="Arial" w:eastAsia="Calibri" w:hAnsi="Arial" w:cs="Arial"/>
          <w:bCs/>
          <w:sz w:val="26"/>
          <w:szCs w:val="26"/>
        </w:rPr>
        <w:t xml:space="preserve">en virtud de que </w:t>
      </w:r>
      <w:r w:rsidR="006C3C3F">
        <w:rPr>
          <w:rFonts w:ascii="Arial" w:eastAsiaTheme="minorHAnsi" w:hAnsi="Arial" w:cs="Arial"/>
          <w:bCs/>
          <w:sz w:val="26"/>
          <w:szCs w:val="26"/>
          <w:lang w:eastAsia="en-US"/>
        </w:rPr>
        <w:t>dicho</w:t>
      </w:r>
      <w:r w:rsidR="00C4788E">
        <w:rPr>
          <w:rFonts w:ascii="Arial" w:eastAsiaTheme="minorHAnsi" w:hAnsi="Arial" w:cs="Arial"/>
          <w:bCs/>
          <w:sz w:val="26"/>
          <w:szCs w:val="26"/>
          <w:lang w:eastAsia="en-US"/>
        </w:rPr>
        <w:t xml:space="preserve"> </w:t>
      </w:r>
      <w:r w:rsidR="006C3C3F">
        <w:rPr>
          <w:rFonts w:ascii="Arial" w:eastAsiaTheme="minorHAnsi" w:hAnsi="Arial" w:cs="Arial"/>
          <w:bCs/>
          <w:sz w:val="26"/>
          <w:szCs w:val="26"/>
          <w:lang w:eastAsia="en-US"/>
        </w:rPr>
        <w:t xml:space="preserve">argumento no lo expusieron los recurrentes al contestar la </w:t>
      </w:r>
      <w:r w:rsidR="006C3C3F">
        <w:rPr>
          <w:rFonts w:ascii="Arial" w:eastAsiaTheme="minorHAnsi" w:hAnsi="Arial" w:cs="Arial"/>
          <w:bCs/>
          <w:sz w:val="26"/>
          <w:szCs w:val="26"/>
          <w:lang w:eastAsia="en-US"/>
        </w:rPr>
        <w:lastRenderedPageBreak/>
        <w:t>demanda para que fuera considerado por la</w:t>
      </w:r>
      <w:r w:rsidR="00C4788E">
        <w:rPr>
          <w:rFonts w:ascii="Arial" w:eastAsiaTheme="minorHAnsi" w:hAnsi="Arial" w:cs="Arial"/>
          <w:bCs/>
          <w:sz w:val="26"/>
          <w:szCs w:val="26"/>
          <w:lang w:eastAsia="en-US"/>
        </w:rPr>
        <w:t xml:space="preserve"> Primera Instancia al</w:t>
      </w:r>
      <w:r w:rsidR="006C3C3F">
        <w:rPr>
          <w:rFonts w:ascii="Arial" w:eastAsiaTheme="minorHAnsi" w:hAnsi="Arial" w:cs="Arial"/>
          <w:bCs/>
          <w:sz w:val="26"/>
          <w:szCs w:val="26"/>
          <w:lang w:eastAsia="en-US"/>
        </w:rPr>
        <w:t xml:space="preserve"> dictar la sentencia que ahora impugna</w:t>
      </w:r>
      <w:r w:rsidR="00C4788E">
        <w:rPr>
          <w:rFonts w:ascii="Arial" w:eastAsiaTheme="minorHAnsi" w:hAnsi="Arial" w:cs="Arial"/>
          <w:bCs/>
          <w:sz w:val="26"/>
          <w:szCs w:val="26"/>
          <w:lang w:eastAsia="en-US"/>
        </w:rPr>
        <w:t>n</w:t>
      </w:r>
      <w:r w:rsidR="006C3C3F">
        <w:rPr>
          <w:rFonts w:ascii="Arial" w:eastAsiaTheme="minorHAnsi" w:hAnsi="Arial" w:cs="Arial"/>
          <w:bCs/>
          <w:sz w:val="26"/>
          <w:szCs w:val="26"/>
          <w:lang w:eastAsia="en-US"/>
        </w:rPr>
        <w:t xml:space="preserve">, de lo que </w:t>
      </w:r>
      <w:r w:rsidR="00C4788E">
        <w:rPr>
          <w:rFonts w:ascii="Arial" w:eastAsiaTheme="minorHAnsi" w:hAnsi="Arial" w:cs="Arial"/>
          <w:bCs/>
          <w:sz w:val="26"/>
          <w:szCs w:val="26"/>
          <w:lang w:eastAsia="en-US"/>
        </w:rPr>
        <w:t xml:space="preserve">se advierte que </w:t>
      </w:r>
      <w:r w:rsidR="006C3C3F">
        <w:rPr>
          <w:rFonts w:ascii="Arial" w:eastAsiaTheme="minorHAnsi" w:hAnsi="Arial" w:cs="Arial"/>
          <w:bCs/>
          <w:sz w:val="26"/>
          <w:szCs w:val="26"/>
          <w:lang w:eastAsia="en-US"/>
        </w:rPr>
        <w:t>en esta parte de los agravios</w:t>
      </w:r>
      <w:r w:rsidR="00C4788E">
        <w:rPr>
          <w:rFonts w:ascii="Arial" w:eastAsiaTheme="minorHAnsi" w:hAnsi="Arial" w:cs="Arial"/>
          <w:bCs/>
          <w:sz w:val="26"/>
          <w:szCs w:val="26"/>
          <w:lang w:eastAsia="en-US"/>
        </w:rPr>
        <w:t xml:space="preserve">, los recurrentes </w:t>
      </w:r>
      <w:r w:rsidR="006C3C3F" w:rsidRPr="00BF2FBD">
        <w:rPr>
          <w:rFonts w:ascii="Arial" w:eastAsia="Calibri" w:hAnsi="Arial" w:cs="Arial"/>
          <w:bCs/>
          <w:color w:val="000000"/>
          <w:sz w:val="26"/>
          <w:szCs w:val="26"/>
          <w:lang w:eastAsia="en-US"/>
        </w:rPr>
        <w:t>pretende</w:t>
      </w:r>
      <w:r w:rsidR="006C3C3F">
        <w:rPr>
          <w:rFonts w:ascii="Arial" w:eastAsia="Calibri" w:hAnsi="Arial" w:cs="Arial"/>
          <w:bCs/>
          <w:color w:val="000000"/>
          <w:sz w:val="26"/>
          <w:szCs w:val="26"/>
          <w:lang w:eastAsia="en-US"/>
        </w:rPr>
        <w:t xml:space="preserve">n </w:t>
      </w:r>
      <w:r w:rsidR="006C3C3F" w:rsidRPr="00BF2FBD">
        <w:rPr>
          <w:rFonts w:ascii="Arial" w:eastAsia="Calibri" w:hAnsi="Arial" w:cs="Arial"/>
          <w:bCs/>
          <w:color w:val="000000"/>
          <w:sz w:val="26"/>
          <w:szCs w:val="26"/>
          <w:lang w:eastAsia="en-US"/>
        </w:rPr>
        <w:t>introducir cuestiones que no formaron parte de la litis</w:t>
      </w:r>
      <w:r w:rsidR="006C3C3F" w:rsidRPr="00BF2FBD">
        <w:rPr>
          <w:rFonts w:ascii="Arial" w:eastAsiaTheme="minorHAnsi" w:hAnsi="Arial" w:cs="Arial"/>
          <w:bCs/>
          <w:sz w:val="26"/>
          <w:szCs w:val="26"/>
          <w:lang w:eastAsia="en-US"/>
        </w:rPr>
        <w:t xml:space="preserve">, </w:t>
      </w:r>
      <w:r w:rsidR="006C3C3F">
        <w:rPr>
          <w:rFonts w:ascii="Arial" w:eastAsiaTheme="minorHAnsi" w:hAnsi="Arial" w:cs="Arial"/>
          <w:bCs/>
          <w:sz w:val="26"/>
          <w:szCs w:val="26"/>
          <w:lang w:eastAsia="en-US"/>
        </w:rPr>
        <w:t xml:space="preserve">por lo que no se debe adentrar a su estudio, ya que se trata de un aspecto </w:t>
      </w:r>
      <w:r w:rsidR="006C3C3F" w:rsidRPr="00BF2FBD">
        <w:rPr>
          <w:rFonts w:ascii="Arial" w:eastAsiaTheme="minorHAnsi" w:hAnsi="Arial" w:cs="Arial"/>
          <w:sz w:val="26"/>
          <w:szCs w:val="26"/>
          <w:lang w:eastAsia="en-US"/>
        </w:rPr>
        <w:t>novedoso</w:t>
      </w:r>
      <w:r w:rsidR="006C3C3F">
        <w:rPr>
          <w:rFonts w:ascii="Arial" w:eastAsiaTheme="minorHAnsi" w:hAnsi="Arial" w:cs="Arial"/>
          <w:sz w:val="26"/>
          <w:szCs w:val="26"/>
          <w:lang w:eastAsia="en-US"/>
        </w:rPr>
        <w:t xml:space="preserve"> que no tiende a combatir los fundamentos y motivos vertidos en la sentencia por la que se inconforma</w:t>
      </w:r>
      <w:r w:rsidR="00C4788E">
        <w:rPr>
          <w:rFonts w:ascii="Arial" w:eastAsiaTheme="minorHAnsi" w:hAnsi="Arial" w:cs="Arial"/>
          <w:sz w:val="26"/>
          <w:szCs w:val="26"/>
          <w:lang w:eastAsia="en-US"/>
        </w:rPr>
        <w:t>n</w:t>
      </w:r>
      <w:r w:rsidR="006C3C3F">
        <w:rPr>
          <w:rFonts w:ascii="Arial" w:eastAsiaTheme="minorHAnsi" w:hAnsi="Arial" w:cs="Arial"/>
          <w:sz w:val="26"/>
          <w:szCs w:val="26"/>
          <w:lang w:eastAsia="en-US"/>
        </w:rPr>
        <w:t xml:space="preserve">.  </w:t>
      </w:r>
      <w:r w:rsidR="004707EC">
        <w:rPr>
          <w:rFonts w:ascii="Arial" w:hAnsi="Arial" w:cs="Arial"/>
          <w:sz w:val="26"/>
          <w:szCs w:val="26"/>
        </w:rPr>
        <w:t xml:space="preserve">- - - - - - - - - - - - - - - - - - - - - - - - - - - - - - - - - - - - - - - - - - </w:t>
      </w:r>
    </w:p>
    <w:p w14:paraId="39815001" w14:textId="77777777" w:rsidR="006C3C3F" w:rsidRDefault="006C3C3F" w:rsidP="006C3C3F">
      <w:pPr>
        <w:shd w:val="clear" w:color="auto" w:fill="FFFFFF" w:themeFill="background1"/>
        <w:spacing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Es aplicable por similitud al caso, </w:t>
      </w:r>
      <w:r w:rsidRPr="00BF2FBD">
        <w:rPr>
          <w:rFonts w:ascii="Arial" w:eastAsiaTheme="minorHAnsi" w:hAnsi="Arial" w:cs="Arial"/>
          <w:bCs/>
          <w:color w:val="000000"/>
          <w:sz w:val="26"/>
          <w:szCs w:val="26"/>
          <w:lang w:eastAsia="en-US"/>
        </w:rPr>
        <w:t xml:space="preserve">la </w:t>
      </w:r>
      <w:r>
        <w:rPr>
          <w:rFonts w:ascii="Arial" w:eastAsiaTheme="minorHAnsi" w:hAnsi="Arial" w:cs="Arial"/>
          <w:bCs/>
          <w:color w:val="000000"/>
          <w:sz w:val="26"/>
          <w:szCs w:val="26"/>
          <w:lang w:eastAsia="en-US"/>
        </w:rPr>
        <w:t xml:space="preserve">jurisprudencia en materia común, número 1a./J.150/2005, con número de registro digital 176604, de la Novena Época, emitida por la Primera Sala de la Suprema Corte de Justicia de la Nación, publicado en el Semanario Judicial de la Federación y su Gaceta, en el Tomo XXII, Diciembre de 2005, visible a página 52, de rubro y texto siguientes: </w:t>
      </w:r>
    </w:p>
    <w:p w14:paraId="2BC135B2" w14:textId="30E71B38" w:rsidR="003D7B66" w:rsidRPr="006C3C3F" w:rsidRDefault="006C3C3F" w:rsidP="004707EC">
      <w:pPr>
        <w:tabs>
          <w:tab w:val="left" w:pos="5670"/>
        </w:tabs>
        <w:spacing w:before="240" w:after="0"/>
        <w:ind w:left="567" w:right="616"/>
        <w:jc w:val="both"/>
        <w:rPr>
          <w:rFonts w:ascii="Arial" w:eastAsia="Calibri" w:hAnsi="Arial" w:cs="Arial"/>
          <w:bCs/>
          <w:i/>
          <w:sz w:val="26"/>
          <w:szCs w:val="26"/>
        </w:rPr>
      </w:pPr>
      <w:r w:rsidRPr="006C3C3F">
        <w:rPr>
          <w:rFonts w:ascii="Arial" w:eastAsiaTheme="minorHAnsi" w:hAnsi="Arial" w:cs="Arial"/>
          <w:bCs/>
          <w:i/>
          <w:lang w:eastAsia="en-US"/>
        </w:rPr>
        <w:t>“</w:t>
      </w:r>
      <w:r w:rsidRPr="006C3C3F">
        <w:rPr>
          <w:rFonts w:ascii="Arial" w:eastAsia="Times New Roman" w:hAnsi="Arial" w:cs="Arial"/>
          <w:b/>
          <w:bCs/>
          <w:i/>
        </w:rPr>
        <w:t xml:space="preserve">AGRAVIOS INOPERANTES. LO SON AQUELLOS QUE SE REFIEREN A CUESTIONES NO INVOCADAS EN LA DEMANDA Y QUE, POR ENDE, CONSTITUYEN ASPECTOS NOVEDOSOS EN LA REVISIÓN. </w:t>
      </w:r>
      <w:r w:rsidRPr="006C3C3F">
        <w:rPr>
          <w:rFonts w:ascii="Arial" w:eastAsia="Times New Roman" w:hAnsi="Arial" w:cs="Arial"/>
          <w:i/>
        </w:rPr>
        <w:t>En términos del artículo </w:t>
      </w:r>
      <w:hyperlink r:id="rId10" w:history="1">
        <w:r w:rsidRPr="006C3C3F">
          <w:rPr>
            <w:rFonts w:ascii="Arial" w:eastAsia="Times New Roman" w:hAnsi="Arial" w:cs="Arial"/>
            <w:i/>
          </w:rPr>
          <w:t>88 de la Ley de Amparo</w:t>
        </w:r>
      </w:hyperlink>
      <w:r w:rsidRPr="006C3C3F">
        <w:rPr>
          <w:rFonts w:ascii="Arial" w:eastAsia="Times New Roman" w:hAnsi="Arial" w:cs="Arial"/>
          <w:i/>
        </w:rPr>
        <w:t>, la parte a quien perjudica una sentencia tiene la carga procesal de demostrar su ilegalidad a través de los agravios correspondientes. En ese contexto, y atento al principio de estricto derecho previsto en el artículo </w:t>
      </w:r>
      <w:hyperlink r:id="rId11" w:history="1">
        <w:r w:rsidRPr="006C3C3F">
          <w:rPr>
            <w:rFonts w:ascii="Arial" w:eastAsia="Times New Roman" w:hAnsi="Arial" w:cs="Arial"/>
            <w:i/>
          </w:rPr>
          <w:t>91, fracción I</w:t>
        </w:r>
      </w:hyperlink>
      <w:r w:rsidRPr="006C3C3F">
        <w:rPr>
          <w:rFonts w:ascii="Arial" w:eastAsia="Times New Roman" w:hAnsi="Arial" w:cs="Arial"/>
          <w:i/>
        </w:rPr>
        <w:t>, de la ley mencionada, resultan inoperantes los agravios referidos a cuestiones no invocadas en la demanda de garantías, toda vez que al basarse en razones distintas a las originalmente señaladas, constituyen aspectos novedosos que no tienden a combatir los fundamentos y motivos establecidos en la sentencia recurrida, sino que introducen nuevas cuestiones que no fueron abordadas en el fallo combatido, de ahí que no exista propiamente agravio alguno que dé lugar a modificar o revocar la resolución recurrida.”</w:t>
      </w:r>
    </w:p>
    <w:p w14:paraId="5DDC7081" w14:textId="4B696407" w:rsidR="006E064A" w:rsidRDefault="008B4751" w:rsidP="00051DA1">
      <w:pPr>
        <w:tabs>
          <w:tab w:val="left" w:pos="5670"/>
        </w:tabs>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Al inicio del tercer agravio</w:t>
      </w:r>
      <w:r w:rsidR="006E064A">
        <w:rPr>
          <w:rFonts w:ascii="Arial" w:eastAsia="Calibri" w:hAnsi="Arial" w:cs="Arial"/>
          <w:bCs/>
          <w:sz w:val="26"/>
          <w:szCs w:val="26"/>
        </w:rPr>
        <w:t xml:space="preserve">, los recurrentes alegan </w:t>
      </w:r>
      <w:r w:rsidR="00BC0955">
        <w:rPr>
          <w:rFonts w:ascii="Arial" w:eastAsia="Calibri" w:hAnsi="Arial" w:cs="Arial"/>
          <w:bCs/>
          <w:sz w:val="26"/>
          <w:szCs w:val="26"/>
        </w:rPr>
        <w:t>que,</w:t>
      </w:r>
      <w:r>
        <w:rPr>
          <w:rFonts w:ascii="Arial" w:eastAsia="Calibri" w:hAnsi="Arial" w:cs="Arial"/>
          <w:bCs/>
          <w:sz w:val="26"/>
          <w:szCs w:val="26"/>
        </w:rPr>
        <w:t xml:space="preserve"> al resolver,</w:t>
      </w:r>
      <w:r w:rsidR="006E064A">
        <w:rPr>
          <w:rFonts w:ascii="Arial" w:eastAsia="Calibri" w:hAnsi="Arial" w:cs="Arial"/>
          <w:bCs/>
          <w:sz w:val="26"/>
          <w:szCs w:val="26"/>
        </w:rPr>
        <w:t xml:space="preserve"> la primera instancia consideró </w:t>
      </w:r>
      <w:r w:rsidR="00BC0955">
        <w:rPr>
          <w:rFonts w:ascii="Arial" w:eastAsia="Calibri" w:hAnsi="Arial" w:cs="Arial"/>
          <w:bCs/>
          <w:sz w:val="26"/>
          <w:szCs w:val="26"/>
        </w:rPr>
        <w:t>que</w:t>
      </w:r>
      <w:r w:rsidR="006E064A">
        <w:rPr>
          <w:rFonts w:ascii="Arial" w:eastAsia="Calibri" w:hAnsi="Arial" w:cs="Arial"/>
          <w:bCs/>
          <w:sz w:val="26"/>
          <w:szCs w:val="26"/>
        </w:rPr>
        <w:t xml:space="preserve"> </w:t>
      </w:r>
      <w:r>
        <w:rPr>
          <w:rFonts w:ascii="Arial" w:eastAsia="Calibri" w:hAnsi="Arial" w:cs="Arial"/>
          <w:bCs/>
          <w:sz w:val="26"/>
          <w:szCs w:val="26"/>
        </w:rPr>
        <w:t xml:space="preserve">por </w:t>
      </w:r>
      <w:r w:rsidR="006E064A">
        <w:rPr>
          <w:rFonts w:ascii="Arial" w:eastAsia="Calibri" w:hAnsi="Arial" w:cs="Arial"/>
          <w:bCs/>
          <w:sz w:val="26"/>
          <w:szCs w:val="26"/>
        </w:rPr>
        <w:t>el nombramiento del actor únicamente se le podía separar de su cargo si no cumplía los requisitos que las leyes vigentes estable</w:t>
      </w:r>
      <w:r w:rsidR="004E3D7B">
        <w:rPr>
          <w:rFonts w:ascii="Arial" w:eastAsia="Calibri" w:hAnsi="Arial" w:cs="Arial"/>
          <w:bCs/>
          <w:sz w:val="26"/>
          <w:szCs w:val="26"/>
        </w:rPr>
        <w:t>c</w:t>
      </w:r>
      <w:r w:rsidR="006E064A">
        <w:rPr>
          <w:rFonts w:ascii="Arial" w:eastAsia="Calibri" w:hAnsi="Arial" w:cs="Arial"/>
          <w:bCs/>
          <w:sz w:val="26"/>
          <w:szCs w:val="26"/>
        </w:rPr>
        <w:t>en para permanecer en la Institución, sin mencionar fundada y motivadamente a qu</w:t>
      </w:r>
      <w:r>
        <w:rPr>
          <w:rFonts w:ascii="Arial" w:eastAsia="Calibri" w:hAnsi="Arial" w:cs="Arial"/>
          <w:bCs/>
          <w:sz w:val="26"/>
          <w:szCs w:val="26"/>
        </w:rPr>
        <w:t>é leyes vigentes se refiere.</w:t>
      </w:r>
      <w:r w:rsidR="004707EC">
        <w:rPr>
          <w:rFonts w:ascii="Arial" w:eastAsia="Calibri" w:hAnsi="Arial" w:cs="Arial"/>
          <w:bCs/>
          <w:sz w:val="26"/>
          <w:szCs w:val="26"/>
        </w:rPr>
        <w:t xml:space="preserve"> - - </w:t>
      </w:r>
    </w:p>
    <w:p w14:paraId="4BF47F85" w14:textId="079272EE" w:rsidR="008B4751" w:rsidRDefault="008B4751" w:rsidP="00051DA1">
      <w:pPr>
        <w:tabs>
          <w:tab w:val="left" w:pos="5670"/>
        </w:tabs>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 </w:t>
      </w:r>
      <w:r w:rsidR="00B30400">
        <w:rPr>
          <w:rFonts w:ascii="Arial" w:eastAsia="Calibri" w:hAnsi="Arial" w:cs="Arial"/>
          <w:b/>
          <w:bCs/>
          <w:sz w:val="26"/>
          <w:szCs w:val="26"/>
        </w:rPr>
        <w:t>FUNDADO pero INOPERANTE</w:t>
      </w:r>
      <w:r w:rsidR="000A6147">
        <w:rPr>
          <w:rFonts w:ascii="Arial" w:eastAsia="Calibri" w:hAnsi="Arial" w:cs="Arial"/>
          <w:bCs/>
          <w:sz w:val="26"/>
          <w:szCs w:val="26"/>
        </w:rPr>
        <w:t xml:space="preserve"> </w:t>
      </w:r>
      <w:r w:rsidR="00C9403E">
        <w:rPr>
          <w:rFonts w:ascii="Arial" w:eastAsia="Calibri" w:hAnsi="Arial" w:cs="Arial"/>
          <w:bCs/>
          <w:sz w:val="26"/>
          <w:szCs w:val="26"/>
        </w:rPr>
        <w:t>e</w:t>
      </w:r>
      <w:r>
        <w:rPr>
          <w:rFonts w:ascii="Arial" w:eastAsia="Calibri" w:hAnsi="Arial" w:cs="Arial"/>
          <w:bCs/>
          <w:sz w:val="26"/>
          <w:szCs w:val="26"/>
        </w:rPr>
        <w:t xml:space="preserve">l alegato </w:t>
      </w:r>
      <w:r w:rsidR="00C9403E">
        <w:rPr>
          <w:rFonts w:ascii="Arial" w:eastAsia="Calibri" w:hAnsi="Arial" w:cs="Arial"/>
          <w:bCs/>
          <w:sz w:val="26"/>
          <w:szCs w:val="26"/>
        </w:rPr>
        <w:t>anterior, ya que</w:t>
      </w:r>
      <w:r w:rsidR="00BC0955">
        <w:rPr>
          <w:rFonts w:ascii="Arial" w:eastAsia="Calibri" w:hAnsi="Arial" w:cs="Arial"/>
          <w:bCs/>
          <w:sz w:val="26"/>
          <w:szCs w:val="26"/>
        </w:rPr>
        <w:t>,</w:t>
      </w:r>
      <w:r w:rsidR="00C9403E">
        <w:rPr>
          <w:rFonts w:ascii="Arial" w:eastAsia="Calibri" w:hAnsi="Arial" w:cs="Arial"/>
          <w:bCs/>
          <w:sz w:val="26"/>
          <w:szCs w:val="26"/>
        </w:rPr>
        <w:t xml:space="preserve"> </w:t>
      </w:r>
      <w:r w:rsidR="00270DBC">
        <w:rPr>
          <w:rFonts w:ascii="Arial" w:eastAsia="Calibri" w:hAnsi="Arial" w:cs="Arial"/>
          <w:bCs/>
          <w:sz w:val="26"/>
          <w:szCs w:val="26"/>
        </w:rPr>
        <w:t>de</w:t>
      </w:r>
      <w:r w:rsidR="00401FF6">
        <w:rPr>
          <w:rFonts w:ascii="Arial" w:eastAsia="Calibri" w:hAnsi="Arial" w:cs="Arial"/>
          <w:bCs/>
          <w:sz w:val="26"/>
          <w:szCs w:val="26"/>
        </w:rPr>
        <w:t xml:space="preserve"> </w:t>
      </w:r>
      <w:r w:rsidR="00270DBC">
        <w:rPr>
          <w:rFonts w:ascii="Arial" w:eastAsia="Calibri" w:hAnsi="Arial" w:cs="Arial"/>
          <w:bCs/>
          <w:sz w:val="26"/>
          <w:szCs w:val="26"/>
        </w:rPr>
        <w:t>l</w:t>
      </w:r>
      <w:r w:rsidR="00401FF6">
        <w:rPr>
          <w:rFonts w:ascii="Arial" w:eastAsia="Calibri" w:hAnsi="Arial" w:cs="Arial"/>
          <w:bCs/>
          <w:sz w:val="26"/>
          <w:szCs w:val="26"/>
        </w:rPr>
        <w:t>os</w:t>
      </w:r>
      <w:r w:rsidR="00270DBC">
        <w:rPr>
          <w:rFonts w:ascii="Arial" w:eastAsia="Calibri" w:hAnsi="Arial" w:cs="Arial"/>
          <w:bCs/>
          <w:sz w:val="26"/>
          <w:szCs w:val="26"/>
        </w:rPr>
        <w:t xml:space="preserve"> considerando</w:t>
      </w:r>
      <w:r w:rsidR="00401FF6">
        <w:rPr>
          <w:rFonts w:ascii="Arial" w:eastAsia="Calibri" w:hAnsi="Arial" w:cs="Arial"/>
          <w:bCs/>
          <w:sz w:val="26"/>
          <w:szCs w:val="26"/>
        </w:rPr>
        <w:t>s</w:t>
      </w:r>
      <w:r w:rsidR="00270DBC">
        <w:rPr>
          <w:rFonts w:ascii="Arial" w:eastAsia="Calibri" w:hAnsi="Arial" w:cs="Arial"/>
          <w:bCs/>
          <w:sz w:val="26"/>
          <w:szCs w:val="26"/>
        </w:rPr>
        <w:t xml:space="preserve"> séptimo</w:t>
      </w:r>
      <w:r w:rsidR="00401FF6">
        <w:rPr>
          <w:rFonts w:ascii="Arial" w:eastAsia="Calibri" w:hAnsi="Arial" w:cs="Arial"/>
          <w:bCs/>
          <w:sz w:val="26"/>
          <w:szCs w:val="26"/>
        </w:rPr>
        <w:t xml:space="preserve"> y octavo</w:t>
      </w:r>
      <w:r w:rsidR="00270DBC">
        <w:rPr>
          <w:rFonts w:ascii="Arial" w:eastAsia="Calibri" w:hAnsi="Arial" w:cs="Arial"/>
          <w:bCs/>
          <w:sz w:val="26"/>
          <w:szCs w:val="26"/>
        </w:rPr>
        <w:t xml:space="preserve"> de </w:t>
      </w:r>
      <w:r w:rsidR="00C57DF7">
        <w:rPr>
          <w:rFonts w:ascii="Arial" w:eastAsia="Calibri" w:hAnsi="Arial" w:cs="Arial"/>
          <w:bCs/>
          <w:sz w:val="26"/>
          <w:szCs w:val="26"/>
        </w:rPr>
        <w:t>l</w:t>
      </w:r>
      <w:r w:rsidR="00270DBC">
        <w:rPr>
          <w:rFonts w:ascii="Arial" w:eastAsia="Calibri" w:hAnsi="Arial" w:cs="Arial"/>
          <w:bCs/>
          <w:sz w:val="26"/>
          <w:szCs w:val="26"/>
        </w:rPr>
        <w:t xml:space="preserve">a sentencia en revisión, visible de fojas </w:t>
      </w:r>
      <w:r w:rsidR="00C57DF7">
        <w:rPr>
          <w:rFonts w:ascii="Arial" w:eastAsia="Calibri" w:hAnsi="Arial" w:cs="Arial"/>
          <w:bCs/>
          <w:sz w:val="26"/>
          <w:szCs w:val="26"/>
        </w:rPr>
        <w:t xml:space="preserve">sesenta y tres a setenta y dos de los autos, se advierte que la Magistrada de la Sexta Sala Unitaria de Primera Instancia, determinó lo siguiente: </w:t>
      </w:r>
    </w:p>
    <w:p w14:paraId="5454BBF5" w14:textId="77777777" w:rsidR="00B70E5E" w:rsidRPr="00B70E5E" w:rsidRDefault="00601B5F" w:rsidP="004707EC">
      <w:pPr>
        <w:ind w:left="567" w:right="616" w:firstLine="284"/>
        <w:jc w:val="both"/>
        <w:rPr>
          <w:rFonts w:ascii="Arial" w:hAnsi="Arial" w:cs="Arial"/>
          <w:i/>
          <w:iCs/>
        </w:rPr>
      </w:pPr>
      <w:r w:rsidRPr="00B70E5E">
        <w:rPr>
          <w:rFonts w:ascii="Arial" w:eastAsia="Calibri" w:hAnsi="Arial" w:cs="Arial"/>
          <w:bCs/>
          <w:i/>
          <w:iCs/>
        </w:rPr>
        <w:t>“</w:t>
      </w:r>
      <w:r w:rsidR="00B70E5E" w:rsidRPr="00B70E5E">
        <w:rPr>
          <w:rFonts w:ascii="Arial" w:hAnsi="Arial" w:cs="Arial"/>
          <w:b/>
          <w:i/>
          <w:iCs/>
        </w:rPr>
        <w:t xml:space="preserve">SÉPTIMO. Análisis de los conceptos de impugnación. </w:t>
      </w:r>
      <w:r w:rsidR="00B70E5E" w:rsidRPr="00B70E5E">
        <w:rPr>
          <w:rFonts w:ascii="Arial" w:hAnsi="Arial" w:cs="Arial"/>
          <w:i/>
          <w:iCs/>
        </w:rPr>
        <w:t xml:space="preserve">Ahora bien, procede analizar los conceptos de impugnación hechos valer por el </w:t>
      </w:r>
      <w:r w:rsidR="00B70E5E" w:rsidRPr="00B70E5E">
        <w:rPr>
          <w:rFonts w:ascii="Arial" w:hAnsi="Arial" w:cs="Arial"/>
          <w:b/>
          <w:i/>
          <w:iCs/>
        </w:rPr>
        <w:t xml:space="preserve">actor </w:t>
      </w:r>
      <w:r w:rsidR="00B70E5E" w:rsidRPr="00B70E5E">
        <w:rPr>
          <w:rFonts w:ascii="Arial" w:hAnsi="Arial" w:cs="Arial"/>
          <w:i/>
          <w:iCs/>
        </w:rPr>
        <w:t xml:space="preserve">en su escrito de demanda. </w:t>
      </w:r>
    </w:p>
    <w:p w14:paraId="51BB8C48"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ab/>
        <w:t xml:space="preserve">En sus </w:t>
      </w:r>
      <w:r w:rsidRPr="00B70E5E">
        <w:rPr>
          <w:rFonts w:ascii="Arial" w:hAnsi="Arial" w:cs="Arial"/>
          <w:b/>
          <w:i/>
          <w:iCs/>
        </w:rPr>
        <w:t xml:space="preserve">conceptos de impugnación </w:t>
      </w:r>
      <w:r w:rsidRPr="00B70E5E">
        <w:rPr>
          <w:rFonts w:ascii="Arial" w:hAnsi="Arial" w:cs="Arial"/>
          <w:i/>
          <w:iCs/>
        </w:rPr>
        <w:t xml:space="preserve">el actor refiere que los actos administrativos impugnados son ilegales al contravenir lo dispuesto </w:t>
      </w:r>
      <w:r w:rsidRPr="00B70E5E">
        <w:rPr>
          <w:rFonts w:ascii="Arial" w:hAnsi="Arial" w:cs="Arial"/>
          <w:i/>
          <w:iCs/>
        </w:rPr>
        <w:lastRenderedPageBreak/>
        <w:t xml:space="preserve">en el artículo 17 de la Ley de Procedimiento y Justicia Administrativa para el Estado, en razón de que, dichos actos fueron emitidos por autoridades incompetentes para ello, ya que las autoridades demandadas no indicaron las disposiciones legales, acuerdo o decreto que le otorguen las facultades para emitir los actos administrativos, pues, los Agentes Estatales de Investigación adscritos a la Fiscalía General del Estado, únicamente pueden ser separados mediante la instauración de un procedimiento administrativo ante el Consejo Local de la Fiscalía General del Estado, en consecuencia, no pueden ser separados mediante un oficio suscrito por el Oficial Mayor de la Fiscalía General del Estado. </w:t>
      </w:r>
    </w:p>
    <w:p w14:paraId="23017DAD"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ab/>
        <w:t xml:space="preserve">Dichos conceptos de impugnación, </w:t>
      </w:r>
      <w:r w:rsidRPr="00B70E5E">
        <w:rPr>
          <w:rFonts w:ascii="Arial" w:hAnsi="Arial" w:cs="Arial"/>
          <w:b/>
          <w:i/>
          <w:iCs/>
        </w:rPr>
        <w:t xml:space="preserve">suplidos en sus deficiencias, </w:t>
      </w:r>
      <w:r w:rsidRPr="00B70E5E">
        <w:rPr>
          <w:rFonts w:ascii="Arial" w:hAnsi="Arial" w:cs="Arial"/>
          <w:i/>
          <w:iCs/>
        </w:rPr>
        <w:t xml:space="preserve">en términos del artículo 149 de la Ley de Procedimiento y Justicia Administrativa para el Estado, resultan sustancialmente </w:t>
      </w:r>
      <w:r w:rsidRPr="00B70E5E">
        <w:rPr>
          <w:rFonts w:ascii="Arial" w:hAnsi="Arial" w:cs="Arial"/>
          <w:b/>
          <w:i/>
          <w:iCs/>
        </w:rPr>
        <w:t xml:space="preserve">fundados </w:t>
      </w:r>
      <w:r w:rsidRPr="00B70E5E">
        <w:rPr>
          <w:rFonts w:ascii="Arial" w:hAnsi="Arial" w:cs="Arial"/>
          <w:i/>
          <w:iCs/>
        </w:rPr>
        <w:t xml:space="preserve">por las siguientes consideraciones: </w:t>
      </w:r>
    </w:p>
    <w:p w14:paraId="0B3F0F52" w14:textId="3D4F5C40" w:rsidR="00B70E5E" w:rsidRPr="00B70E5E" w:rsidRDefault="00B70E5E" w:rsidP="004707EC">
      <w:pPr>
        <w:ind w:left="567" w:right="616" w:firstLine="284"/>
        <w:jc w:val="both"/>
        <w:rPr>
          <w:rFonts w:ascii="Arial" w:hAnsi="Arial" w:cs="Arial"/>
          <w:i/>
          <w:iCs/>
        </w:rPr>
      </w:pPr>
      <w:r w:rsidRPr="00B70E5E">
        <w:rPr>
          <w:rFonts w:ascii="Arial" w:hAnsi="Arial" w:cs="Arial"/>
          <w:i/>
          <w:iCs/>
        </w:rPr>
        <w:tab/>
        <w:t xml:space="preserve">El </w:t>
      </w:r>
      <w:r w:rsidRPr="00B70E5E">
        <w:rPr>
          <w:rFonts w:ascii="Arial" w:hAnsi="Arial" w:cs="Arial"/>
          <w:b/>
          <w:i/>
          <w:iCs/>
        </w:rPr>
        <w:t xml:space="preserve">Oficial Mayor de la Fiscalía General del Estado, </w:t>
      </w:r>
      <w:r w:rsidRPr="00B70E5E">
        <w:rPr>
          <w:rFonts w:ascii="Arial" w:hAnsi="Arial" w:cs="Arial"/>
          <w:i/>
          <w:iCs/>
        </w:rPr>
        <w:t xml:space="preserve">en el oficio número </w:t>
      </w:r>
      <w:r w:rsidR="00275BEA">
        <w:rPr>
          <w:rFonts w:ascii="Arial" w:hAnsi="Arial" w:cs="Arial"/>
          <w:i/>
          <w:iCs/>
        </w:rPr>
        <w:t>*******</w:t>
      </w:r>
      <w:r w:rsidRPr="00B70E5E">
        <w:rPr>
          <w:rFonts w:ascii="Arial" w:hAnsi="Arial" w:cs="Arial"/>
          <w:i/>
          <w:iCs/>
        </w:rPr>
        <w:t xml:space="preserve">, de siete de septiembre de dos mil veinte, indicó: </w:t>
      </w:r>
    </w:p>
    <w:p w14:paraId="0D3B7C7B" w14:textId="14FCA69D" w:rsidR="00B70E5E" w:rsidRPr="00B70E5E" w:rsidRDefault="00B70E5E" w:rsidP="004707EC">
      <w:pPr>
        <w:ind w:left="567" w:right="616" w:firstLine="284"/>
        <w:jc w:val="both"/>
        <w:rPr>
          <w:rFonts w:ascii="Arial" w:hAnsi="Arial" w:cs="Arial"/>
          <w:i/>
          <w:iCs/>
        </w:rPr>
      </w:pPr>
      <w:r w:rsidRPr="00B70E5E">
        <w:rPr>
          <w:rFonts w:ascii="Arial" w:hAnsi="Arial" w:cs="Arial"/>
          <w:i/>
          <w:iCs/>
        </w:rPr>
        <w:tab/>
        <w:t xml:space="preserve">“…Derivado del dictamen emitido por la Dirección de Asuntos Jurídicos de esta Fiscalía General en términos del artículo 24 fracción X del Reglamento de la Ley Orgánica de la Fiscalía General del Estado de Oaxaca, me permito notificarle, que la relación administrativa que tiene con esta Fiscalía General, con nombramiento de Agente Estatal de Investigaciones de confianza por designación especial, nivel </w:t>
      </w:r>
      <w:r w:rsidR="00275BEA">
        <w:rPr>
          <w:rFonts w:ascii="Arial" w:hAnsi="Arial" w:cs="Arial"/>
          <w:i/>
          <w:iCs/>
        </w:rPr>
        <w:t>*******</w:t>
      </w:r>
      <w:r w:rsidRPr="00B70E5E">
        <w:rPr>
          <w:rFonts w:ascii="Arial" w:hAnsi="Arial" w:cs="Arial"/>
          <w:i/>
          <w:iCs/>
        </w:rPr>
        <w:t xml:space="preserve">, con cargo a la partida número </w:t>
      </w:r>
      <w:r w:rsidR="00275BEA">
        <w:rPr>
          <w:rFonts w:ascii="Arial" w:hAnsi="Arial" w:cs="Arial"/>
          <w:i/>
          <w:iCs/>
        </w:rPr>
        <w:t>*******</w:t>
      </w:r>
      <w:r w:rsidRPr="00B70E5E">
        <w:rPr>
          <w:rFonts w:ascii="Arial" w:hAnsi="Arial" w:cs="Arial"/>
          <w:i/>
          <w:iCs/>
        </w:rPr>
        <w:t xml:space="preserve">, clave </w:t>
      </w:r>
      <w:r w:rsidR="00275BEA">
        <w:rPr>
          <w:rFonts w:ascii="Arial" w:hAnsi="Arial" w:cs="Arial"/>
          <w:i/>
          <w:iCs/>
        </w:rPr>
        <w:t>*******</w:t>
      </w:r>
      <w:r w:rsidRPr="00B70E5E">
        <w:rPr>
          <w:rFonts w:ascii="Arial" w:hAnsi="Arial" w:cs="Arial"/>
          <w:i/>
          <w:iCs/>
        </w:rPr>
        <w:t xml:space="preserve">, </w:t>
      </w:r>
      <w:proofErr w:type="spellStart"/>
      <w:r w:rsidRPr="00B70E5E">
        <w:rPr>
          <w:rFonts w:ascii="Arial" w:hAnsi="Arial" w:cs="Arial"/>
          <w:i/>
          <w:iCs/>
        </w:rPr>
        <w:t>N.U.E</w:t>
      </w:r>
      <w:proofErr w:type="spellEnd"/>
      <w:r w:rsidRPr="00B70E5E">
        <w:rPr>
          <w:rFonts w:ascii="Arial" w:hAnsi="Arial" w:cs="Arial"/>
          <w:i/>
          <w:iCs/>
        </w:rPr>
        <w:t xml:space="preserve">. </w:t>
      </w:r>
      <w:r w:rsidR="00275BEA">
        <w:rPr>
          <w:rFonts w:ascii="Arial" w:hAnsi="Arial" w:cs="Arial"/>
          <w:i/>
          <w:iCs/>
        </w:rPr>
        <w:t>*******</w:t>
      </w:r>
      <w:r w:rsidR="00275BEA">
        <w:rPr>
          <w:rFonts w:ascii="Arial" w:hAnsi="Arial" w:cs="Arial"/>
          <w:i/>
          <w:iCs/>
        </w:rPr>
        <w:t xml:space="preserve"> </w:t>
      </w:r>
      <w:r w:rsidRPr="00B70E5E">
        <w:rPr>
          <w:rFonts w:ascii="Arial" w:hAnsi="Arial" w:cs="Arial"/>
          <w:i/>
          <w:iCs/>
        </w:rPr>
        <w:t xml:space="preserve">y </w:t>
      </w:r>
      <w:proofErr w:type="spellStart"/>
      <w:r w:rsidRPr="00B70E5E">
        <w:rPr>
          <w:rFonts w:ascii="Arial" w:hAnsi="Arial" w:cs="Arial"/>
          <w:i/>
          <w:iCs/>
        </w:rPr>
        <w:t>N.U.P</w:t>
      </w:r>
      <w:proofErr w:type="spellEnd"/>
      <w:r w:rsidRPr="00B70E5E">
        <w:rPr>
          <w:rFonts w:ascii="Arial" w:hAnsi="Arial" w:cs="Arial"/>
          <w:i/>
          <w:iCs/>
        </w:rPr>
        <w:t xml:space="preserve">. </w:t>
      </w:r>
      <w:r w:rsidR="00275BEA">
        <w:rPr>
          <w:rFonts w:ascii="Arial" w:hAnsi="Arial" w:cs="Arial"/>
          <w:i/>
          <w:iCs/>
        </w:rPr>
        <w:t>*******</w:t>
      </w:r>
      <w:r w:rsidRPr="00B70E5E">
        <w:rPr>
          <w:rFonts w:ascii="Arial" w:hAnsi="Arial" w:cs="Arial"/>
          <w:i/>
          <w:iCs/>
        </w:rPr>
        <w:t>, CONCLUYE EL 30 DE SEPTIEMBRE DEL AÑO EN CURSO, sirve de fundamento a lo anterior, lo dispuesto por los artículos 29 y 37 de la Ley Orgánica de la Fiscalía General del Estado de Oaxaca y 241, del Reglamento de la citada Ley Orgánica…”</w:t>
      </w:r>
    </w:p>
    <w:p w14:paraId="3E233D4C"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ab/>
        <w:t xml:space="preserve">En el acto impugnado, la </w:t>
      </w:r>
      <w:r w:rsidRPr="00B70E5E">
        <w:rPr>
          <w:rFonts w:ascii="Arial" w:hAnsi="Arial" w:cs="Arial"/>
          <w:b/>
          <w:i/>
          <w:iCs/>
        </w:rPr>
        <w:t xml:space="preserve">autoridad demandada </w:t>
      </w:r>
      <w:r w:rsidRPr="00B70E5E">
        <w:rPr>
          <w:rFonts w:ascii="Arial" w:hAnsi="Arial" w:cs="Arial"/>
          <w:i/>
          <w:iCs/>
        </w:rPr>
        <w:t xml:space="preserve">fundamentó su determinación en los artículos 24 fracción X del Reglamento de la Ley Orgánica de la Fiscalía General del Estado y 29 de su Ley Orgánica, que señalan: </w:t>
      </w:r>
    </w:p>
    <w:p w14:paraId="68F35271" w14:textId="77777777" w:rsidR="00B70E5E" w:rsidRPr="00B70E5E" w:rsidRDefault="00B70E5E" w:rsidP="004707EC">
      <w:pPr>
        <w:ind w:left="567" w:right="616" w:firstLine="284"/>
        <w:jc w:val="both"/>
        <w:rPr>
          <w:rFonts w:ascii="Arial" w:hAnsi="Arial" w:cs="Arial"/>
          <w:i/>
          <w:iCs/>
        </w:rPr>
      </w:pPr>
      <w:r w:rsidRPr="00B70E5E">
        <w:rPr>
          <w:rFonts w:ascii="Arial" w:hAnsi="Arial" w:cs="Arial"/>
          <w:b/>
          <w:i/>
          <w:iCs/>
        </w:rPr>
        <w:t xml:space="preserve">“Artículo 24. </w:t>
      </w:r>
      <w:r w:rsidRPr="00B70E5E">
        <w:rPr>
          <w:rFonts w:ascii="Arial" w:hAnsi="Arial" w:cs="Arial"/>
          <w:i/>
          <w:iCs/>
        </w:rPr>
        <w:t xml:space="preserve">La Oficialía Mayor, además de las atribuciones genéricas previstas en el artículo 10 del presente Reglamento, tendrá las siguientes atribuciones: </w:t>
      </w:r>
    </w:p>
    <w:p w14:paraId="59AE9DFA"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ab/>
      </w:r>
      <w:r w:rsidRPr="00B70E5E">
        <w:rPr>
          <w:rFonts w:ascii="Arial" w:hAnsi="Arial" w:cs="Arial"/>
          <w:i/>
          <w:iCs/>
        </w:rPr>
        <w:tab/>
        <w:t>(…)</w:t>
      </w:r>
    </w:p>
    <w:p w14:paraId="1AEF735D"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X. Expedir las constancias de nombramiento de los servidores públicos de la Fiscalía General, autorizar los movimientos y resolver los casos de terminación de los efectos del nombramiento del personal de confianza, previo dictamen de la Dirección de Asuntos Jurídicos (sic)</w:t>
      </w:r>
    </w:p>
    <w:p w14:paraId="6F296DB4" w14:textId="77777777" w:rsidR="00B70E5E" w:rsidRPr="00B70E5E" w:rsidRDefault="00B70E5E" w:rsidP="004707EC">
      <w:pPr>
        <w:ind w:left="567" w:right="616" w:firstLine="284"/>
        <w:jc w:val="both"/>
        <w:rPr>
          <w:rFonts w:ascii="Arial" w:hAnsi="Arial" w:cs="Arial"/>
          <w:i/>
          <w:iCs/>
        </w:rPr>
      </w:pPr>
      <w:r w:rsidRPr="00B70E5E">
        <w:rPr>
          <w:rFonts w:ascii="Arial" w:hAnsi="Arial" w:cs="Arial"/>
          <w:b/>
          <w:i/>
          <w:iCs/>
        </w:rPr>
        <w:t xml:space="preserve">Artículo 29. </w:t>
      </w:r>
      <w:r w:rsidRPr="00B70E5E">
        <w:rPr>
          <w:rFonts w:ascii="Arial" w:hAnsi="Arial" w:cs="Arial"/>
          <w:i/>
          <w:iCs/>
        </w:rPr>
        <w:t xml:space="preserve">En atención a la naturaleza de las funciones que tiene a su cargo la Fiscalía General, los demás servidores públicos distintos a los señalados en el artículo 28 de la Ley Orgánica que presten sus servicios en la misma, incluyendo al personal de designación especial, serán considerados trabajadores de confianza para todos los efectos legales, por lo que únicamente gozaran de las medidas de protección al salario y de los beneficios de la seguridad social, y los efectos de sus nombramiento podrán darse por terminados en cualquier momento. </w:t>
      </w:r>
    </w:p>
    <w:p w14:paraId="23629811"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Las relaciones jurídicas entre la Fiscalía General y el personal a que se refiere este artículo serán de carácter laboral, por lo que cualquier controversia relacionada con la protección al salario y los benéficos de seguridad social que se suscite con motivo de dicha relación será resuelta por las Instancias (sic) competentes, conforme a las disposiciones aplicables.”</w:t>
      </w:r>
    </w:p>
    <w:p w14:paraId="18707974"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lastRenderedPageBreak/>
        <w:tab/>
        <w:t xml:space="preserve">De una interpretación armónica de ambos preceptos legales, tenemos , que el Oficial Mayor de la Fiscalía General del Estado, tiene la facultad de resolver la terminación de los efectos de nombramiento del </w:t>
      </w:r>
      <w:r w:rsidRPr="00B70E5E">
        <w:rPr>
          <w:rFonts w:ascii="Arial" w:hAnsi="Arial" w:cs="Arial"/>
          <w:b/>
          <w:i/>
          <w:iCs/>
        </w:rPr>
        <w:t xml:space="preserve">personal de confianza </w:t>
      </w:r>
      <w:r w:rsidRPr="00B70E5E">
        <w:rPr>
          <w:rFonts w:ascii="Arial" w:hAnsi="Arial" w:cs="Arial"/>
          <w:i/>
          <w:iCs/>
        </w:rPr>
        <w:t xml:space="preserve">de dicha institución, entendiéndose por ellos, los trabajadores que no se encuentren descritos en el artículo 28 de la Ley Orgánica de la Fiscalía General del Estado, es decir, los agentes (sic) del Ministerio Público, </w:t>
      </w:r>
      <w:r w:rsidRPr="00B70E5E">
        <w:rPr>
          <w:rFonts w:ascii="Arial" w:hAnsi="Arial" w:cs="Arial"/>
          <w:b/>
          <w:i/>
          <w:iCs/>
        </w:rPr>
        <w:t xml:space="preserve">los policías de investigación </w:t>
      </w:r>
      <w:r w:rsidRPr="00B70E5E">
        <w:rPr>
          <w:rFonts w:ascii="Arial" w:hAnsi="Arial" w:cs="Arial"/>
          <w:i/>
          <w:iCs/>
        </w:rPr>
        <w:t xml:space="preserve">y los peritos, ya que estos son considerados miembros del Servicio Profesional de Carrera. </w:t>
      </w:r>
    </w:p>
    <w:p w14:paraId="2DF0103D" w14:textId="167B7533" w:rsidR="00B70E5E" w:rsidRPr="00B70E5E" w:rsidRDefault="00B70E5E" w:rsidP="004707EC">
      <w:pPr>
        <w:ind w:left="567" w:right="616" w:firstLine="284"/>
        <w:jc w:val="both"/>
        <w:rPr>
          <w:rFonts w:ascii="Arial" w:hAnsi="Arial" w:cs="Arial"/>
          <w:i/>
          <w:iCs/>
        </w:rPr>
      </w:pPr>
      <w:r w:rsidRPr="00B70E5E">
        <w:rPr>
          <w:rFonts w:ascii="Arial" w:hAnsi="Arial" w:cs="Arial"/>
          <w:i/>
          <w:iCs/>
        </w:rPr>
        <w:tab/>
        <w:t xml:space="preserve">Por lo que, en el presente caso, es necesario establecer si el actor </w:t>
      </w:r>
      <w:r w:rsidR="00275BEA">
        <w:rPr>
          <w:rFonts w:ascii="Arial" w:hAnsi="Arial" w:cs="Arial"/>
          <w:i/>
          <w:iCs/>
        </w:rPr>
        <w:t>*******</w:t>
      </w:r>
      <w:r w:rsidRPr="00B70E5E">
        <w:rPr>
          <w:rFonts w:ascii="Arial" w:hAnsi="Arial" w:cs="Arial"/>
          <w:i/>
          <w:iCs/>
        </w:rPr>
        <w:t xml:space="preserve">, al tener el nombramiento interno por tres meses como Agente Estatal de Investigaciones, entraba dentro de la categoría de empleados de confianza prevista en el artículo 29 de la Ley Orgánica de la Fiscalía General del Estado, o si, por el contrario, estaba en el grupo de exclusión a que hace referencia el artículo 28 de la Ley citada. </w:t>
      </w:r>
    </w:p>
    <w:p w14:paraId="6DABB75E"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ab/>
        <w:t xml:space="preserve">En ese sentido, el artículo 123 apartado B fracción XIII de la Constitución Política de los Estados Unidos Mexicanos, dispone: </w:t>
      </w:r>
    </w:p>
    <w:p w14:paraId="6FA68EBA" w14:textId="77777777" w:rsidR="00B70E5E" w:rsidRPr="00B70E5E" w:rsidRDefault="00B70E5E" w:rsidP="004707EC">
      <w:pPr>
        <w:ind w:left="567" w:right="616" w:firstLine="284"/>
        <w:jc w:val="both"/>
        <w:rPr>
          <w:rFonts w:ascii="Arial" w:hAnsi="Arial" w:cs="Arial"/>
          <w:i/>
          <w:iCs/>
        </w:rPr>
      </w:pPr>
      <w:r w:rsidRPr="00B70E5E">
        <w:rPr>
          <w:rFonts w:ascii="Arial" w:hAnsi="Arial" w:cs="Arial"/>
          <w:b/>
          <w:i/>
          <w:iCs/>
        </w:rPr>
        <w:t xml:space="preserve">“Artículo. 123; (sic) </w:t>
      </w:r>
      <w:r w:rsidRPr="00B70E5E">
        <w:rPr>
          <w:rFonts w:ascii="Arial" w:hAnsi="Arial" w:cs="Arial"/>
          <w:i/>
          <w:iCs/>
        </w:rPr>
        <w:t xml:space="preserve">Toda persona tiene derecho al trabajo digno y socialmente útil; al efecto, se promoverán la creación de empleos y la organización social de trabajo, conforme a la Ley. </w:t>
      </w:r>
    </w:p>
    <w:p w14:paraId="63BE5FE4"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El Congreso de la Unión, sin contravenir a las bases siguientes deberá expedir leyes sobre el trabajo, las cuales regirán:</w:t>
      </w:r>
    </w:p>
    <w:p w14:paraId="1971A471"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A (…)</w:t>
      </w:r>
    </w:p>
    <w:p w14:paraId="37BE4B22" w14:textId="77777777" w:rsidR="00B70E5E" w:rsidRPr="00B70E5E" w:rsidRDefault="00B70E5E" w:rsidP="004707EC">
      <w:pPr>
        <w:ind w:left="567" w:right="616" w:firstLine="284"/>
        <w:jc w:val="both"/>
        <w:rPr>
          <w:rFonts w:ascii="Arial" w:hAnsi="Arial" w:cs="Arial"/>
          <w:i/>
          <w:iCs/>
        </w:rPr>
      </w:pPr>
      <w:r w:rsidRPr="00B70E5E">
        <w:rPr>
          <w:rFonts w:ascii="Arial" w:hAnsi="Arial" w:cs="Arial"/>
          <w:b/>
          <w:i/>
          <w:iCs/>
        </w:rPr>
        <w:t xml:space="preserve">B. </w:t>
      </w:r>
      <w:r w:rsidRPr="00B70E5E">
        <w:rPr>
          <w:rFonts w:ascii="Arial" w:hAnsi="Arial" w:cs="Arial"/>
          <w:i/>
          <w:iCs/>
        </w:rPr>
        <w:t>Entre los Poderes de la Unión y sus trabajadores:</w:t>
      </w:r>
    </w:p>
    <w:p w14:paraId="1A552727"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w:t>
      </w:r>
    </w:p>
    <w:p w14:paraId="4FCBC7CD" w14:textId="77777777" w:rsidR="00B70E5E" w:rsidRPr="00B70E5E" w:rsidRDefault="00B70E5E" w:rsidP="004707EC">
      <w:pPr>
        <w:ind w:left="567" w:right="616" w:firstLine="284"/>
        <w:jc w:val="both"/>
        <w:rPr>
          <w:rFonts w:ascii="Arial" w:hAnsi="Arial" w:cs="Arial"/>
          <w:b/>
          <w:i/>
          <w:iCs/>
        </w:rPr>
      </w:pPr>
      <w:r w:rsidRPr="00B70E5E">
        <w:rPr>
          <w:rFonts w:ascii="Arial" w:hAnsi="Arial" w:cs="Arial"/>
          <w:b/>
          <w:i/>
          <w:iCs/>
        </w:rPr>
        <w:t xml:space="preserve">XIII (sic) </w:t>
      </w:r>
      <w:r w:rsidRPr="00B70E5E">
        <w:rPr>
          <w:rFonts w:ascii="Arial" w:hAnsi="Arial" w:cs="Arial"/>
          <w:i/>
          <w:iCs/>
        </w:rPr>
        <w:t xml:space="preserve">Los militares, marinos, personal del servicio exterior, agente del Ministerio Público, peritos y los miembros de las instituciones policiales, </w:t>
      </w:r>
      <w:r w:rsidRPr="00B70E5E">
        <w:rPr>
          <w:rFonts w:ascii="Arial" w:hAnsi="Arial" w:cs="Arial"/>
          <w:b/>
          <w:i/>
          <w:iCs/>
        </w:rPr>
        <w:t>se regirán por sus propias leyes.</w:t>
      </w:r>
    </w:p>
    <w:p w14:paraId="57BCEBFF"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B70E5E">
        <w:rPr>
          <w:rFonts w:ascii="Arial" w:hAnsi="Arial" w:cs="Arial"/>
          <w:b/>
          <w:i/>
          <w:iCs/>
        </w:rPr>
        <w:t xml:space="preserve">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w:t>
      </w:r>
      <w:r w:rsidRPr="00B70E5E">
        <w:rPr>
          <w:rFonts w:ascii="Arial" w:hAnsi="Arial" w:cs="Arial"/>
          <w:i/>
          <w:iCs/>
        </w:rPr>
        <w:t>cualquiera que sea el resultado del juicio o medio de defensa que se hubiere promovido.” (</w:t>
      </w:r>
      <w:r w:rsidRPr="00B70E5E">
        <w:rPr>
          <w:rFonts w:ascii="Arial" w:hAnsi="Arial" w:cs="Arial"/>
          <w:b/>
          <w:i/>
          <w:iCs/>
        </w:rPr>
        <w:t>Énfasis añadido</w:t>
      </w:r>
      <w:r w:rsidRPr="00B70E5E">
        <w:rPr>
          <w:rFonts w:ascii="Arial" w:hAnsi="Arial" w:cs="Arial"/>
          <w:i/>
          <w:iCs/>
        </w:rPr>
        <w:t>).</w:t>
      </w:r>
    </w:p>
    <w:p w14:paraId="05B67E64"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El artículo transcrito refiere, que los militares, marinos, personal del servicio exterior, agentes del Ministerio Público, peritos y </w:t>
      </w:r>
      <w:r w:rsidRPr="00B70E5E">
        <w:rPr>
          <w:rFonts w:ascii="Arial" w:hAnsi="Arial" w:cs="Arial"/>
          <w:b/>
          <w:i/>
          <w:iCs/>
        </w:rPr>
        <w:t xml:space="preserve">los miembros de las instituciones policiales, </w:t>
      </w:r>
      <w:r w:rsidRPr="00B70E5E">
        <w:rPr>
          <w:rFonts w:ascii="Arial" w:hAnsi="Arial" w:cs="Arial"/>
          <w:i/>
          <w:iCs/>
        </w:rPr>
        <w:t xml:space="preserve">se regirán por sus propias leyes, ello en virtud, de que la relación que estos servidores sostienen con el Estado es de naturaleza administrativa y no laboral, en razón de las particulares funciones que desempeñan, por lo que, al ser una relación de naturaleza administrativa, se rige por las normas administrativas que les correspondan, por lo tanto, en dichas relaciones no puede aplicarse de manera supletoria la normas (sic) de derecho laboral. </w:t>
      </w:r>
    </w:p>
    <w:p w14:paraId="451B7342"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De ahí, que los Agentes Estatales de Investigación adscritos a la Fiscalía General del Estado de Oaxaca, no están sujetos al régimen laboral que establece el apartado B del artículo 123 constitucional, ni </w:t>
      </w:r>
      <w:r w:rsidRPr="00B70E5E">
        <w:rPr>
          <w:rFonts w:ascii="Arial" w:hAnsi="Arial" w:cs="Arial"/>
          <w:i/>
          <w:iCs/>
        </w:rPr>
        <w:lastRenderedPageBreak/>
        <w:t xml:space="preserve">quedan incluidos en la relación laboral que existe entre los trabajadores de confianza y el Estado, equiparándolo con un patrón, ya que el vínculo existente entre los Agentes Estatales de Investigación y el Estado no es de naturaleza laboral, sino administrativa. </w:t>
      </w:r>
    </w:p>
    <w:p w14:paraId="492175E8"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Por tal razón, no puede considerarse a un Agente Estatal de Investigaciones, como un trabajador de confianza, en razón de que por las funciones que desempeña, no cabe hacer la distinción entre servidores de base y de confianza, en virtud de que dicha clasificación y distinción es propia de la materia laboral, ya que, de considerarlo así se estaría contraviniendo lo dispuesto por el artículo 123 apartado B fracción XIII Constitucional. </w:t>
      </w:r>
    </w:p>
    <w:p w14:paraId="23B51156" w14:textId="0E5DA6B4"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Por ello, si bien es cierto, que al actor </w:t>
      </w:r>
      <w:r w:rsidR="00275BEA">
        <w:rPr>
          <w:rFonts w:ascii="Arial" w:hAnsi="Arial" w:cs="Arial"/>
          <w:i/>
          <w:iCs/>
        </w:rPr>
        <w:t>*******</w:t>
      </w:r>
      <w:r w:rsidRPr="00B70E5E">
        <w:rPr>
          <w:rFonts w:ascii="Arial" w:hAnsi="Arial" w:cs="Arial"/>
          <w:i/>
          <w:iCs/>
        </w:rPr>
        <w:t xml:space="preserve">, le fue expedido nombramiento interno por tres meses quince días como Agente Estatal de Investigaciones, cierto es también, que por las actividades que desempeña y por la relación administrativa que sostiene con el Estado, </w:t>
      </w:r>
      <w:r w:rsidRPr="00B70E5E">
        <w:rPr>
          <w:rFonts w:ascii="Arial" w:hAnsi="Arial" w:cs="Arial"/>
          <w:b/>
          <w:i/>
          <w:iCs/>
        </w:rPr>
        <w:t xml:space="preserve">no puede ser considerado un trabajador de confianza, </w:t>
      </w:r>
      <w:r w:rsidRPr="00B70E5E">
        <w:rPr>
          <w:rFonts w:ascii="Arial" w:hAnsi="Arial" w:cs="Arial"/>
          <w:i/>
          <w:iCs/>
        </w:rPr>
        <w:t xml:space="preserve">pues de hacerlo de esa manera la autoridad estaría asimilando a dicho servicio público con las reglas de la materia laboral, lo cual es contrario a lo establecido por el artículo 123 apartado b (sic) fracción XIII Constitucional. </w:t>
      </w:r>
    </w:p>
    <w:p w14:paraId="7466D1BA"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Sirve de apoyo a lo anterior, por analogía la Jurisprudencia de la Novena Época con número de Registro digital: 196609, sustentada por la Segunda Sala de la Suprema Corte de Justicia, Tesis: 2ª./J. 14/98, visible en el Semanario Judicial de la Federación y su Gaceta. Tomo VII, Marzo de 1998, página 352, con el rubro y texto siguientes: </w:t>
      </w:r>
    </w:p>
    <w:p w14:paraId="2788C355" w14:textId="77777777" w:rsidR="00B70E5E" w:rsidRPr="00B70E5E" w:rsidRDefault="00B70E5E" w:rsidP="004707EC">
      <w:pPr>
        <w:ind w:left="567" w:right="616" w:firstLine="284"/>
        <w:jc w:val="both"/>
        <w:rPr>
          <w:rFonts w:ascii="Arial" w:hAnsi="Arial" w:cs="Arial"/>
          <w:i/>
          <w:iCs/>
        </w:rPr>
      </w:pPr>
      <w:r w:rsidRPr="00B70E5E">
        <w:rPr>
          <w:rFonts w:ascii="Arial" w:hAnsi="Arial" w:cs="Arial"/>
          <w:b/>
          <w:i/>
          <w:iCs/>
        </w:rPr>
        <w:t>“POLICÍA JUDICIAL FEDERAL. LOS ARTÍCULOS 65 Y 66 DE LA LEY ORGÁNICA DE LA PROCURADURÍA GENERAL DE LA REPÚBLICA, EN LOS QUE SE LES CONSIDERA TRABAJADORES DE CONFIANZA, SON INCONSTITUCIONALES DE ACUERDO CON LA JURISPRUDENCIA TEMÁTICA Relativa.” […]</w:t>
      </w:r>
    </w:p>
    <w:p w14:paraId="44BA69F9"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Por lo tanto, independientemente del nombramiento que se le haya asignado al actor, debemos de tomar en cuenta las funciones que este desempeñaba, las cuales eran propias de un Agente Estatal de Investigaciones, y por ende, le son aplicables los artículos 25 fracción I, 28, 40 y 84 de la Ley Orgánica de la Fiscalía General del Estado, que señalan: </w:t>
      </w:r>
    </w:p>
    <w:p w14:paraId="3E8043FB" w14:textId="77777777" w:rsidR="00B70E5E" w:rsidRPr="00B70E5E" w:rsidRDefault="00B70E5E" w:rsidP="004707EC">
      <w:pPr>
        <w:ind w:left="567" w:right="616" w:firstLine="284"/>
        <w:jc w:val="both"/>
        <w:rPr>
          <w:rFonts w:ascii="Arial" w:hAnsi="Arial" w:cs="Arial"/>
          <w:i/>
          <w:iCs/>
        </w:rPr>
      </w:pPr>
      <w:r w:rsidRPr="00B70E5E">
        <w:rPr>
          <w:rFonts w:ascii="Arial" w:hAnsi="Arial" w:cs="Arial"/>
          <w:b/>
          <w:i/>
          <w:iCs/>
        </w:rPr>
        <w:t xml:space="preserve">“Artículo 25. </w:t>
      </w:r>
      <w:r w:rsidRPr="00B70E5E">
        <w:rPr>
          <w:rFonts w:ascii="Arial" w:hAnsi="Arial" w:cs="Arial"/>
          <w:i/>
          <w:iCs/>
        </w:rPr>
        <w:t>El personal de la Fiscalía General se organizará como sigue:</w:t>
      </w:r>
    </w:p>
    <w:p w14:paraId="59BCDBCF" w14:textId="77777777" w:rsidR="00B70E5E" w:rsidRPr="00B70E5E" w:rsidRDefault="00B70E5E" w:rsidP="004707EC">
      <w:pPr>
        <w:pStyle w:val="Prrafodelista"/>
        <w:numPr>
          <w:ilvl w:val="0"/>
          <w:numId w:val="14"/>
        </w:numPr>
        <w:spacing w:after="160"/>
        <w:ind w:left="567" w:right="616" w:firstLine="284"/>
        <w:jc w:val="both"/>
        <w:rPr>
          <w:rFonts w:ascii="Arial" w:hAnsi="Arial" w:cs="Arial"/>
          <w:i/>
          <w:iCs/>
        </w:rPr>
      </w:pPr>
      <w:r w:rsidRPr="00B70E5E">
        <w:rPr>
          <w:rFonts w:ascii="Arial" w:hAnsi="Arial" w:cs="Arial"/>
          <w:i/>
          <w:iCs/>
        </w:rPr>
        <w:t xml:space="preserve">Por los Agentes del Ministerio Públicos, </w:t>
      </w:r>
      <w:r w:rsidRPr="00B70E5E">
        <w:rPr>
          <w:rFonts w:ascii="Arial" w:hAnsi="Arial" w:cs="Arial"/>
          <w:b/>
          <w:i/>
          <w:iCs/>
        </w:rPr>
        <w:t>los policías de investigación de la Agencia de Investigación,</w:t>
      </w:r>
      <w:r w:rsidRPr="00B70E5E">
        <w:rPr>
          <w:rFonts w:ascii="Arial" w:hAnsi="Arial" w:cs="Arial"/>
          <w:i/>
          <w:iCs/>
        </w:rPr>
        <w:t xml:space="preserve"> facilitadores y los peritos que formen parte de la Fiscalía General, los cuales quedarán sujetos al Servicio, en los términos de los artículos 21 y 123, apartado B, fracción XIII, de la Constitución Federal, de la Constitución Estatal, del Reglamento del Servicio y demás disposiciones aplicables; y</w:t>
      </w:r>
    </w:p>
    <w:p w14:paraId="3D49760E" w14:textId="77777777" w:rsidR="00B70E5E" w:rsidRPr="00B70E5E" w:rsidRDefault="00B70E5E" w:rsidP="004707EC">
      <w:pPr>
        <w:ind w:left="567" w:right="616" w:firstLine="284"/>
        <w:jc w:val="both"/>
        <w:rPr>
          <w:rFonts w:ascii="Arial" w:hAnsi="Arial" w:cs="Arial"/>
          <w:i/>
          <w:iCs/>
        </w:rPr>
      </w:pPr>
      <w:r w:rsidRPr="00B70E5E">
        <w:rPr>
          <w:rFonts w:ascii="Arial" w:hAnsi="Arial" w:cs="Arial"/>
          <w:b/>
          <w:i/>
          <w:iCs/>
        </w:rPr>
        <w:t>Artículo 28.</w:t>
      </w:r>
      <w:r w:rsidRPr="00B70E5E">
        <w:rPr>
          <w:rFonts w:ascii="Arial" w:hAnsi="Arial" w:cs="Arial"/>
          <w:i/>
          <w:iCs/>
        </w:rPr>
        <w:t xml:space="preserve"> Las relaciones jurídicas entre la Fiscalía General, los agentes del Ministerio Público, </w:t>
      </w:r>
      <w:r w:rsidRPr="00B70E5E">
        <w:rPr>
          <w:rFonts w:ascii="Arial" w:hAnsi="Arial" w:cs="Arial"/>
          <w:b/>
          <w:i/>
          <w:iCs/>
        </w:rPr>
        <w:t>los policías de investigación</w:t>
      </w:r>
      <w:r w:rsidRPr="00B70E5E">
        <w:rPr>
          <w:rFonts w:ascii="Arial" w:hAnsi="Arial" w:cs="Arial"/>
          <w:i/>
          <w:iCs/>
        </w:rPr>
        <w:t xml:space="preserve"> y los peritos que formen parte del Servicio, serán de carácter administrativo y se regirán por lo dispuesto en la fracción XIII apartado B del artículo 123 de la Constitución Federal, en la Ley General, en la presente Ley Orgánica, en el Reglamento del Servicio y en las demás disposiciones aplicables.</w:t>
      </w:r>
    </w:p>
    <w:p w14:paraId="4642D977" w14:textId="77777777" w:rsidR="00B70E5E" w:rsidRPr="00B70E5E" w:rsidRDefault="00B70E5E" w:rsidP="004707EC">
      <w:pPr>
        <w:ind w:left="567" w:right="616" w:firstLine="284"/>
        <w:jc w:val="both"/>
        <w:rPr>
          <w:rFonts w:ascii="Arial" w:hAnsi="Arial" w:cs="Arial"/>
          <w:i/>
          <w:iCs/>
        </w:rPr>
      </w:pPr>
      <w:r w:rsidRPr="00B70E5E">
        <w:rPr>
          <w:rFonts w:ascii="Arial" w:hAnsi="Arial" w:cs="Arial"/>
          <w:b/>
          <w:i/>
          <w:iCs/>
        </w:rPr>
        <w:lastRenderedPageBreak/>
        <w:t>Artículo 40.</w:t>
      </w:r>
      <w:r w:rsidRPr="00B70E5E">
        <w:rPr>
          <w:rFonts w:ascii="Arial" w:hAnsi="Arial" w:cs="Arial"/>
          <w:i/>
          <w:iCs/>
        </w:rPr>
        <w:t xml:space="preserve"> El Servicio en la Fiscalía General se integra por los agentes del Ministerio Público, </w:t>
      </w:r>
      <w:r w:rsidRPr="00B70E5E">
        <w:rPr>
          <w:rFonts w:ascii="Arial" w:hAnsi="Arial" w:cs="Arial"/>
          <w:b/>
          <w:i/>
          <w:iCs/>
        </w:rPr>
        <w:t>los policías de investigación</w:t>
      </w:r>
      <w:r w:rsidRPr="00B70E5E">
        <w:rPr>
          <w:rFonts w:ascii="Arial" w:hAnsi="Arial" w:cs="Arial"/>
          <w:i/>
          <w:iCs/>
        </w:rPr>
        <w:t>, los peritos y los facilitadores adscritos a dicha Institución. (…)</w:t>
      </w:r>
    </w:p>
    <w:p w14:paraId="0D9D9708" w14:textId="77777777" w:rsidR="00B70E5E" w:rsidRPr="00B70E5E" w:rsidRDefault="00B70E5E" w:rsidP="004707EC">
      <w:pPr>
        <w:ind w:left="567" w:right="616" w:firstLine="284"/>
        <w:jc w:val="both"/>
        <w:rPr>
          <w:rFonts w:ascii="Arial" w:hAnsi="Arial" w:cs="Arial"/>
          <w:i/>
          <w:iCs/>
        </w:rPr>
      </w:pPr>
      <w:r w:rsidRPr="00B70E5E">
        <w:rPr>
          <w:rFonts w:ascii="Arial" w:hAnsi="Arial" w:cs="Arial"/>
          <w:b/>
          <w:i/>
          <w:iCs/>
        </w:rPr>
        <w:t>Artículo 84.</w:t>
      </w:r>
      <w:r w:rsidRPr="00B70E5E">
        <w:rPr>
          <w:rFonts w:ascii="Arial" w:hAnsi="Arial" w:cs="Arial"/>
          <w:i/>
          <w:iCs/>
        </w:rPr>
        <w:t xml:space="preserve"> El procedimiento que se instaure a los miembros del Servicio por incumplimiento a los requisitos de permanencia para efectos de su separación en el encargo, o por infracción al Régimen disciplinario para efectos de la imposición de la sanción correspondiente, se seguirá de la siguiente manera:</w:t>
      </w:r>
    </w:p>
    <w:p w14:paraId="71B7B77D" w14:textId="77777777" w:rsidR="00B70E5E" w:rsidRPr="00B70E5E" w:rsidRDefault="00B70E5E" w:rsidP="004707EC">
      <w:pPr>
        <w:pStyle w:val="Prrafodelista"/>
        <w:numPr>
          <w:ilvl w:val="0"/>
          <w:numId w:val="15"/>
        </w:numPr>
        <w:spacing w:after="160"/>
        <w:ind w:left="567" w:right="616" w:firstLine="284"/>
        <w:jc w:val="both"/>
        <w:rPr>
          <w:rFonts w:ascii="Arial" w:hAnsi="Arial" w:cs="Arial"/>
          <w:i/>
          <w:iCs/>
        </w:rPr>
      </w:pPr>
      <w:r w:rsidRPr="00B70E5E">
        <w:rPr>
          <w:rFonts w:ascii="Arial" w:hAnsi="Arial" w:cs="Arial"/>
          <w:i/>
          <w:iCs/>
        </w:rPr>
        <w:t>La Visitaduría General deberá presentar queja fundada y motivada ante la comisión respectiva del Consejo Local, en la cual deberá señalar el requisito de permanencia que presuntamente haya sido incumplido por el miembro del Servicio, adjuntando los documentos y demás pruebas que considere pertinentes;</w:t>
      </w:r>
    </w:p>
    <w:p w14:paraId="30072F59" w14:textId="77777777" w:rsidR="00B70E5E" w:rsidRPr="00B70E5E" w:rsidRDefault="00B70E5E" w:rsidP="004707EC">
      <w:pPr>
        <w:pStyle w:val="Prrafodelista"/>
        <w:numPr>
          <w:ilvl w:val="0"/>
          <w:numId w:val="15"/>
        </w:numPr>
        <w:spacing w:after="160"/>
        <w:ind w:left="567" w:right="616" w:firstLine="284"/>
        <w:jc w:val="both"/>
        <w:rPr>
          <w:rFonts w:ascii="Arial" w:hAnsi="Arial" w:cs="Arial"/>
          <w:i/>
          <w:iCs/>
        </w:rPr>
      </w:pPr>
      <w:r w:rsidRPr="00B70E5E">
        <w:rPr>
          <w:rFonts w:ascii="Arial" w:hAnsi="Arial" w:cs="Arial"/>
          <w:i/>
          <w:iCs/>
        </w:rPr>
        <w:t>La comisión respectiva del Consejo Local notificará la queja al miembro del Servicio de que se trate y lo citará a una audiencia, para que manifieste lo que a su derecho convenga, adjuntando los documentos y demás elementos probatorios que estime procedentes;</w:t>
      </w:r>
    </w:p>
    <w:p w14:paraId="1EB02367" w14:textId="77777777" w:rsidR="00B70E5E" w:rsidRPr="00B70E5E" w:rsidRDefault="00B70E5E" w:rsidP="004707EC">
      <w:pPr>
        <w:pStyle w:val="Prrafodelista"/>
        <w:numPr>
          <w:ilvl w:val="0"/>
          <w:numId w:val="15"/>
        </w:numPr>
        <w:spacing w:after="160"/>
        <w:ind w:left="567" w:right="616" w:firstLine="284"/>
        <w:jc w:val="both"/>
        <w:rPr>
          <w:rFonts w:ascii="Arial" w:hAnsi="Arial" w:cs="Arial"/>
          <w:i/>
          <w:iCs/>
        </w:rPr>
      </w:pPr>
      <w:r w:rsidRPr="00B70E5E">
        <w:rPr>
          <w:rFonts w:ascii="Arial" w:hAnsi="Arial" w:cs="Arial"/>
          <w:i/>
          <w:iCs/>
        </w:rPr>
        <w:t>El Consejo Local a través de la comisión respectiva podrá suspender provisionalmente a dicho servidor público en tanto se resuelve lo conducente;</w:t>
      </w:r>
    </w:p>
    <w:p w14:paraId="664AF77D" w14:textId="77777777" w:rsidR="00B70E5E" w:rsidRPr="00B70E5E" w:rsidRDefault="00B70E5E" w:rsidP="004707EC">
      <w:pPr>
        <w:pStyle w:val="Prrafodelista"/>
        <w:numPr>
          <w:ilvl w:val="0"/>
          <w:numId w:val="15"/>
        </w:numPr>
        <w:spacing w:after="160"/>
        <w:ind w:left="567" w:right="616" w:firstLine="284"/>
        <w:jc w:val="both"/>
        <w:rPr>
          <w:rFonts w:ascii="Arial" w:hAnsi="Arial" w:cs="Arial"/>
          <w:i/>
          <w:iCs/>
        </w:rPr>
      </w:pPr>
      <w:r w:rsidRPr="00B70E5E">
        <w:rPr>
          <w:rFonts w:ascii="Arial" w:hAnsi="Arial" w:cs="Arial"/>
          <w:i/>
          <w:iCs/>
        </w:rPr>
        <w:t>Iniciada la audiencia, se llevará a cabo la dilación probatoria, se presentarán los alegatos correspondientes y agotadas las demás diligencias correspondientes, el Consejo Local a través de la comisión respectiva resolverá sobre la queja respectiva imponiendo, en su caso, la sanción que corresponda; y</w:t>
      </w:r>
    </w:p>
    <w:p w14:paraId="650564C7" w14:textId="77777777" w:rsidR="00B70E5E" w:rsidRPr="00B70E5E" w:rsidRDefault="00B70E5E" w:rsidP="004707EC">
      <w:pPr>
        <w:pStyle w:val="Prrafodelista"/>
        <w:numPr>
          <w:ilvl w:val="0"/>
          <w:numId w:val="15"/>
        </w:numPr>
        <w:spacing w:after="160"/>
        <w:ind w:left="567" w:right="616" w:firstLine="284"/>
        <w:jc w:val="both"/>
        <w:rPr>
          <w:rFonts w:ascii="Arial" w:hAnsi="Arial" w:cs="Arial"/>
          <w:i/>
          <w:iCs/>
        </w:rPr>
      </w:pPr>
      <w:r w:rsidRPr="00B70E5E">
        <w:rPr>
          <w:rFonts w:ascii="Arial" w:hAnsi="Arial" w:cs="Arial"/>
          <w:i/>
          <w:iCs/>
        </w:rPr>
        <w:t>Contra la resolución de la comisión respectiva del Consejo Local no procederá recurso administrativo alguno.”</w:t>
      </w:r>
    </w:p>
    <w:p w14:paraId="1AF8157D" w14:textId="1F9F9A8F" w:rsidR="00B70E5E" w:rsidRPr="00B70E5E" w:rsidRDefault="00B70E5E" w:rsidP="004707EC">
      <w:pPr>
        <w:ind w:left="567" w:right="616" w:firstLine="284"/>
        <w:jc w:val="both"/>
        <w:rPr>
          <w:rFonts w:ascii="Arial" w:hAnsi="Arial" w:cs="Arial"/>
          <w:i/>
          <w:iCs/>
          <w:u w:val="single"/>
        </w:rPr>
      </w:pPr>
      <w:r w:rsidRPr="00B70E5E">
        <w:rPr>
          <w:rFonts w:ascii="Arial" w:hAnsi="Arial" w:cs="Arial"/>
          <w:i/>
          <w:iCs/>
        </w:rPr>
        <w:t xml:space="preserve">De lo transcrito se advierte, que el actor </w:t>
      </w:r>
      <w:r w:rsidR="00275BEA">
        <w:rPr>
          <w:rFonts w:ascii="Arial" w:hAnsi="Arial" w:cs="Arial"/>
          <w:b/>
          <w:i/>
          <w:iCs/>
        </w:rPr>
        <w:t>*******</w:t>
      </w:r>
      <w:r w:rsidRPr="00B70E5E">
        <w:rPr>
          <w:rFonts w:ascii="Arial" w:hAnsi="Arial" w:cs="Arial"/>
          <w:b/>
          <w:i/>
          <w:iCs/>
        </w:rPr>
        <w:t xml:space="preserve">, </w:t>
      </w:r>
      <w:r w:rsidRPr="00B70E5E">
        <w:rPr>
          <w:rFonts w:ascii="Arial" w:hAnsi="Arial" w:cs="Arial"/>
          <w:i/>
          <w:iCs/>
        </w:rPr>
        <w:t xml:space="preserve">al desempeñar el cargo de Agente Estatal de Investigaciones adscrito a la Fiscalía General del Estado de Oaxaca, tenía una relación de </w:t>
      </w:r>
      <w:r w:rsidRPr="00B70E5E">
        <w:rPr>
          <w:rFonts w:ascii="Arial" w:hAnsi="Arial" w:cs="Arial"/>
          <w:b/>
          <w:i/>
          <w:iCs/>
        </w:rPr>
        <w:t xml:space="preserve">carácter administrativo con el Estado </w:t>
      </w:r>
      <w:r w:rsidRPr="00B70E5E">
        <w:rPr>
          <w:rFonts w:ascii="Arial" w:hAnsi="Arial" w:cs="Arial"/>
          <w:i/>
          <w:iCs/>
        </w:rPr>
        <w:t xml:space="preserve"> y por lo tanto se encontraba sujeto al Servicio Profesional de Carrera de dicha Institución, por lo que, </w:t>
      </w:r>
      <w:r w:rsidRPr="00B70E5E">
        <w:rPr>
          <w:rFonts w:ascii="Arial" w:hAnsi="Arial" w:cs="Arial"/>
          <w:b/>
          <w:i/>
          <w:iCs/>
          <w:u w:val="single"/>
        </w:rPr>
        <w:t xml:space="preserve">la autoridad competente </w:t>
      </w:r>
      <w:r w:rsidRPr="00B70E5E">
        <w:rPr>
          <w:rFonts w:ascii="Arial" w:hAnsi="Arial" w:cs="Arial"/>
          <w:i/>
          <w:iCs/>
          <w:u w:val="single"/>
        </w:rPr>
        <w:t xml:space="preserve">para dar por terminada dicha relación lo es el Consejo Local de Profesionalización, mediante el procedimiento administrativo respectivo, sea porque el servidor público incurrió en una responsabilidad administrativa o porque incumplió con los requisitos de permanencia establecidos en la Ley. </w:t>
      </w:r>
    </w:p>
    <w:p w14:paraId="3A5D252B"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De ahí, que puede concluirse que el Oficial Mayor y el Director de Asuntos Jurídicos, ambos de la Fiscalía General del Estado, </w:t>
      </w:r>
      <w:r w:rsidRPr="00B70E5E">
        <w:rPr>
          <w:rFonts w:ascii="Arial" w:hAnsi="Arial" w:cs="Arial"/>
          <w:b/>
          <w:i/>
          <w:iCs/>
        </w:rPr>
        <w:t xml:space="preserve">son autoridades incompetentes </w:t>
      </w:r>
      <w:r w:rsidRPr="00B70E5E">
        <w:rPr>
          <w:rFonts w:ascii="Arial" w:hAnsi="Arial" w:cs="Arial"/>
          <w:i/>
          <w:iCs/>
        </w:rPr>
        <w:t xml:space="preserve">para determinar la separación del cargo de un Agente Estatal de Investigaciones, aún que a este se le haya asignado un nombramiento de interino, pues como quedó establecido en esta sentencia, considerar a un Agente Estatal de Investigaciones como un empleado de confianza, es contrario a lo establecido en el artículo 123 apartado B fracción XIII Constitucional. </w:t>
      </w:r>
    </w:p>
    <w:p w14:paraId="2267A469"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ab/>
        <w:t xml:space="preserve">Por lo tanto, la separación del cargo que desempeñaba el actor debió darse por concluida por el Consejo Local de Profesionalización de la Fiscalía General del Estado, mediante el procedimiento administrativo correspondiente. </w:t>
      </w:r>
    </w:p>
    <w:p w14:paraId="7D1B160D"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ab/>
        <w:t xml:space="preserve">En consecuencia, al estar acreditado que los actos impugnados fueron emitidos por autoridades </w:t>
      </w:r>
      <w:r w:rsidRPr="00B70E5E">
        <w:rPr>
          <w:rFonts w:ascii="Arial" w:hAnsi="Arial" w:cs="Arial"/>
          <w:b/>
          <w:i/>
          <w:iCs/>
        </w:rPr>
        <w:t xml:space="preserve">incompetentes </w:t>
      </w:r>
      <w:r w:rsidRPr="00B70E5E">
        <w:rPr>
          <w:rFonts w:ascii="Arial" w:hAnsi="Arial" w:cs="Arial"/>
          <w:i/>
          <w:iCs/>
        </w:rPr>
        <w:t xml:space="preserve">para ello, dichos actos contravienen lo dispuesto por el artículo 16 Constitucional y 17 fracción I, de la Ley de Procedimiento y Justicia Administrativa para el Estado, ya que todo acto de molestia debe de ser emitido por la autoridad legalmente facultada para ello. </w:t>
      </w:r>
    </w:p>
    <w:p w14:paraId="1329DC9F" w14:textId="2D5A3EFD" w:rsidR="00B70E5E" w:rsidRPr="00B70E5E" w:rsidRDefault="00B70E5E" w:rsidP="004707EC">
      <w:pPr>
        <w:ind w:left="567" w:right="616" w:firstLine="284"/>
        <w:jc w:val="both"/>
        <w:rPr>
          <w:rFonts w:ascii="Arial" w:hAnsi="Arial" w:cs="Arial"/>
          <w:b/>
          <w:i/>
          <w:iCs/>
        </w:rPr>
      </w:pPr>
      <w:r w:rsidRPr="00B70E5E">
        <w:rPr>
          <w:rFonts w:ascii="Arial" w:hAnsi="Arial" w:cs="Arial"/>
          <w:i/>
          <w:iCs/>
        </w:rPr>
        <w:lastRenderedPageBreak/>
        <w:tab/>
        <w:t xml:space="preserve">Por lo tanto, procede con fundamento en el artículo 208 fracción I, de la Ley de Procedimiento y Justica Administrativa para el Estado, a declarar la </w:t>
      </w:r>
      <w:r w:rsidRPr="00B70E5E">
        <w:rPr>
          <w:rFonts w:ascii="Arial" w:hAnsi="Arial" w:cs="Arial"/>
          <w:b/>
          <w:i/>
          <w:iCs/>
        </w:rPr>
        <w:t xml:space="preserve">NULIDAD LISA Y LLANA </w:t>
      </w:r>
      <w:r w:rsidRPr="00B70E5E">
        <w:rPr>
          <w:rFonts w:ascii="Arial" w:hAnsi="Arial" w:cs="Arial"/>
          <w:i/>
          <w:iCs/>
        </w:rPr>
        <w:t xml:space="preserve">de: </w:t>
      </w:r>
      <w:r w:rsidRPr="00B70E5E">
        <w:rPr>
          <w:rFonts w:ascii="Arial" w:hAnsi="Arial" w:cs="Arial"/>
          <w:b/>
          <w:i/>
          <w:iCs/>
        </w:rPr>
        <w:t xml:space="preserve">a) </w:t>
      </w:r>
      <w:r w:rsidRPr="00B70E5E">
        <w:rPr>
          <w:rFonts w:ascii="Arial" w:hAnsi="Arial" w:cs="Arial"/>
          <w:i/>
          <w:iCs/>
        </w:rPr>
        <w:t xml:space="preserve">el contenido en el oficio número </w:t>
      </w:r>
      <w:r w:rsidR="00275BEA">
        <w:rPr>
          <w:rFonts w:ascii="Arial" w:hAnsi="Arial" w:cs="Arial"/>
          <w:i/>
          <w:iCs/>
        </w:rPr>
        <w:t>*******</w:t>
      </w:r>
      <w:r w:rsidRPr="00B70E5E">
        <w:rPr>
          <w:rFonts w:ascii="Arial" w:hAnsi="Arial" w:cs="Arial"/>
          <w:i/>
          <w:iCs/>
        </w:rPr>
        <w:t xml:space="preserve">, de siete de septiembre de dos mil veinte, emitido por el </w:t>
      </w:r>
      <w:r w:rsidRPr="00B70E5E">
        <w:rPr>
          <w:rFonts w:ascii="Arial" w:hAnsi="Arial" w:cs="Arial"/>
          <w:b/>
          <w:i/>
          <w:iCs/>
        </w:rPr>
        <w:t>Oficial Mayor de la Fiscalía General del Estado</w:t>
      </w:r>
      <w:r w:rsidRPr="00B70E5E">
        <w:rPr>
          <w:rFonts w:ascii="Arial" w:hAnsi="Arial" w:cs="Arial"/>
          <w:i/>
          <w:iCs/>
        </w:rPr>
        <w:t xml:space="preserve">; y </w:t>
      </w:r>
      <w:r w:rsidRPr="00B70E5E">
        <w:rPr>
          <w:rFonts w:ascii="Arial" w:hAnsi="Arial" w:cs="Arial"/>
          <w:b/>
          <w:i/>
          <w:iCs/>
        </w:rPr>
        <w:t xml:space="preserve">b) </w:t>
      </w:r>
      <w:r w:rsidRPr="00B70E5E">
        <w:rPr>
          <w:rFonts w:ascii="Arial" w:hAnsi="Arial" w:cs="Arial"/>
          <w:i/>
          <w:iCs/>
        </w:rPr>
        <w:t xml:space="preserve">el dictamen contenido en el oficio número </w:t>
      </w:r>
      <w:r w:rsidR="00275BEA">
        <w:rPr>
          <w:rFonts w:ascii="Arial" w:hAnsi="Arial" w:cs="Arial"/>
          <w:i/>
          <w:iCs/>
        </w:rPr>
        <w:t>*******</w:t>
      </w:r>
      <w:r w:rsidRPr="00B70E5E">
        <w:rPr>
          <w:rFonts w:ascii="Arial" w:hAnsi="Arial" w:cs="Arial"/>
          <w:i/>
          <w:iCs/>
        </w:rPr>
        <w:t xml:space="preserve"> de tres de septiembre de dos mil veinte, emitido por el </w:t>
      </w:r>
      <w:r w:rsidRPr="00B70E5E">
        <w:rPr>
          <w:rFonts w:ascii="Arial" w:hAnsi="Arial" w:cs="Arial"/>
          <w:b/>
          <w:i/>
          <w:iCs/>
        </w:rPr>
        <w:t>Director de Asuntos Jurídicos de la Fiscalía General del Estado.</w:t>
      </w:r>
    </w:p>
    <w:p w14:paraId="480188D1" w14:textId="77777777" w:rsidR="00B70E5E" w:rsidRPr="00B70E5E" w:rsidRDefault="00B70E5E" w:rsidP="004707EC">
      <w:pPr>
        <w:ind w:left="567" w:right="616" w:firstLine="284"/>
        <w:jc w:val="both"/>
        <w:rPr>
          <w:rFonts w:ascii="Arial" w:hAnsi="Arial" w:cs="Arial"/>
          <w:i/>
          <w:iCs/>
        </w:rPr>
      </w:pPr>
      <w:r w:rsidRPr="00B70E5E">
        <w:rPr>
          <w:rFonts w:ascii="Arial" w:hAnsi="Arial" w:cs="Arial"/>
          <w:b/>
          <w:i/>
          <w:iCs/>
        </w:rPr>
        <w:t xml:space="preserve"> </w:t>
      </w:r>
      <w:r w:rsidRPr="00B70E5E">
        <w:rPr>
          <w:rFonts w:ascii="Arial" w:hAnsi="Arial" w:cs="Arial"/>
          <w:b/>
          <w:i/>
          <w:iCs/>
        </w:rPr>
        <w:tab/>
        <w:t xml:space="preserve">OCTAVO. Cálculo de la indemnización constitucional y demás prestaciones. </w:t>
      </w:r>
      <w:r w:rsidRPr="00B70E5E">
        <w:rPr>
          <w:rFonts w:ascii="Arial" w:hAnsi="Arial" w:cs="Arial"/>
          <w:i/>
          <w:iCs/>
        </w:rPr>
        <w:t xml:space="preserve">Cabe precisar que la naturaleza de la nulidad lisa y llana implica la aniquilación total, la desaparición en el orden jurídico de la resolución o acto impugnado; por lo que deben volver las cosas al estado en que se concentraban antes de la emisión del acto controvertido, como si éste no existiera, lo que en el caso conduciría a que el hoy actor, fuera reincorporado al cargo que desempeñaba como Agente de (sic) Estatal de Investigaciones adscrito a la Fiscalía General del Estado; sin embargo </w:t>
      </w:r>
      <w:r w:rsidRPr="00B70E5E">
        <w:rPr>
          <w:rFonts w:ascii="Arial" w:hAnsi="Arial" w:cs="Arial"/>
          <w:b/>
          <w:i/>
          <w:iCs/>
        </w:rPr>
        <w:t xml:space="preserve">esto resulta improcedente, </w:t>
      </w:r>
      <w:r w:rsidRPr="00B70E5E">
        <w:rPr>
          <w:rFonts w:ascii="Arial" w:hAnsi="Arial" w:cs="Arial"/>
          <w:i/>
          <w:iCs/>
        </w:rPr>
        <w:t xml:space="preserve">por la restricción expresa del artículo 123 Apartado B fracción XIII, primero y segundo párrafo de la Constitución Federal, que prohíbe en todos los casos la reincorporación al servicio policial, cualquiera que hubiera sido el resultado del juicio o medio de defensa promovido y solo tiene derecho a la indemnización constitucional. </w:t>
      </w:r>
    </w:p>
    <w:p w14:paraId="7DEA9795" w14:textId="77777777" w:rsidR="00B70E5E" w:rsidRPr="00B70E5E" w:rsidRDefault="00B70E5E" w:rsidP="004707EC">
      <w:pPr>
        <w:ind w:left="567" w:right="616" w:firstLine="284"/>
        <w:jc w:val="both"/>
        <w:rPr>
          <w:rFonts w:ascii="Arial" w:hAnsi="Arial" w:cs="Arial"/>
          <w:i/>
          <w:iCs/>
        </w:rPr>
      </w:pPr>
      <w:r w:rsidRPr="00B70E5E">
        <w:rPr>
          <w:rFonts w:ascii="Arial" w:hAnsi="Arial" w:cs="Arial"/>
          <w:b/>
          <w:i/>
          <w:iCs/>
        </w:rPr>
        <w:tab/>
      </w:r>
      <w:r w:rsidRPr="00B70E5E">
        <w:rPr>
          <w:rFonts w:ascii="Arial" w:hAnsi="Arial" w:cs="Arial"/>
          <w:i/>
          <w:iCs/>
        </w:rPr>
        <w:t xml:space="preserve">Sin que lo anterior implique una discriminación en perjuicio de los miembros de las instituciones policiales, al considerar que el trato diferenciado y desigual no se encuentra razonado ni justificado, ya que, el Pleno de la Suprema Corte de Justicia de la Nación, al resolver la contradicción de tesis, número 293/2011, determinó que las normas de derechos humanos, con independencia de si se encuentran en tratados internacionales o en la Constitución, no se relacionan de manera jerárquica entre ellas; sin embrago, cuando exista una restricción expresa al ejercicio de los derechos humanos en la Carta Magna, se deberá atender a lo que indique la norma constitucional. </w:t>
      </w:r>
    </w:p>
    <w:p w14:paraId="2BC63148"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ab/>
        <w:t xml:space="preserve">De ahí que, si bien es cierto el derecho humano al trabajo, está reconocido por la Constitución Federal y por los Tratados Internacionales ratificados por el Estado Mexicano, cierto es también, que este derecho tiene una restricción expresa tratándose de los Agentes del Ministerio Público, Peritos y miembros de las Instituciones Policiales de la Federación, las entidades Federativas y los Municipios, los cuales están contenidos en la fracción XIII apartado B, del artículo 123 de la Constitución Federal. </w:t>
      </w:r>
    </w:p>
    <w:p w14:paraId="6D5D5E43"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Por lo tanto y dado que la Jurisprudencia emitida por la Suprema Corte de Justicia de la Nación, es de aplicación obligatoria para todos los órganos jurisdiccionales que integran el sistema jurídico mexicano, tal y como lo establece el artículo 217 de la Ley de Amparo en Vigor; este Tribunal, acata la decisión emitida por el Pleno de la Suprema Corte de Justicia de que, el actor solo tendrá derecho a una indemnización constitucional. </w:t>
      </w:r>
    </w:p>
    <w:p w14:paraId="31F618A4"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Sirve de apoyo a lo anterior, la Jurisprudencia de la Décima Época con número de Registro: 2006224, sustentada por el Pleno de la Suprema Corte de Justicia de la Nación, visible en la Gaceta del Semanario Judicial de la Federación, Libro 5, abril de 2014, Tomo I, página: 202, con el rubro y texto siguientes: </w:t>
      </w:r>
    </w:p>
    <w:p w14:paraId="491C1F6C" w14:textId="77777777" w:rsidR="00B70E5E" w:rsidRPr="00B70E5E" w:rsidRDefault="00B70E5E" w:rsidP="004707EC">
      <w:pPr>
        <w:ind w:left="567" w:right="616" w:firstLine="284"/>
        <w:jc w:val="both"/>
        <w:rPr>
          <w:rFonts w:ascii="Arial" w:hAnsi="Arial" w:cs="Arial"/>
          <w:b/>
          <w:i/>
          <w:iCs/>
        </w:rPr>
      </w:pPr>
      <w:r w:rsidRPr="00B70E5E">
        <w:rPr>
          <w:rFonts w:ascii="Arial" w:hAnsi="Arial" w:cs="Arial"/>
          <w:b/>
          <w:i/>
          <w:iCs/>
        </w:rPr>
        <w:t xml:space="preserve">“DERECHOS HUMANOS CONTENIDOS EN LA CONSTITUCIÓN Y EN LOS TRATADOS INTERNACIONALES. CONSTITUYEN EL PARÁMETRO DE CONTROL DE REGULARIDAD CONSTITUCIONAL, </w:t>
      </w:r>
      <w:r w:rsidRPr="00B70E5E">
        <w:rPr>
          <w:rFonts w:ascii="Arial" w:hAnsi="Arial" w:cs="Arial"/>
          <w:b/>
          <w:i/>
          <w:iCs/>
        </w:rPr>
        <w:lastRenderedPageBreak/>
        <w:t>PERO CUANDO EN LA CONSTITUCIÓN HAYA UNA RESTRICCIÓN EXPRESA AL EJERCICIO DE AQUELLOS, SE DEBE ESTAR A LO QUE ESTABLECE EL TEXTO CONSTITUCIONAL.” […]</w:t>
      </w:r>
    </w:p>
    <w:p w14:paraId="56EE55E3" w14:textId="060E3542"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De ahí, que esta Juzgadora </w:t>
      </w:r>
      <w:r w:rsidRPr="00B70E5E">
        <w:rPr>
          <w:rFonts w:ascii="Arial" w:hAnsi="Arial" w:cs="Arial"/>
          <w:b/>
          <w:i/>
          <w:iCs/>
        </w:rPr>
        <w:t xml:space="preserve">procede a cuantificar el monto que le corresponde al actor, </w:t>
      </w:r>
      <w:r w:rsidRPr="00B70E5E">
        <w:rPr>
          <w:rFonts w:ascii="Arial" w:hAnsi="Arial" w:cs="Arial"/>
          <w:i/>
          <w:iCs/>
        </w:rPr>
        <w:t xml:space="preserve">por concepto indemnización Constitucional y demás prestaciones a que tiene derecho, tomando en cuenta el </w:t>
      </w:r>
      <w:r w:rsidRPr="00B70E5E">
        <w:rPr>
          <w:rFonts w:ascii="Arial" w:hAnsi="Arial" w:cs="Arial"/>
          <w:b/>
          <w:i/>
          <w:iCs/>
        </w:rPr>
        <w:t xml:space="preserve">salario </w:t>
      </w:r>
      <w:r w:rsidRPr="00B70E5E">
        <w:rPr>
          <w:rFonts w:ascii="Arial" w:hAnsi="Arial" w:cs="Arial"/>
          <w:i/>
          <w:iCs/>
        </w:rPr>
        <w:t xml:space="preserve">que este perciba al momento de su baja como Agente Estatal de Investigaciones y </w:t>
      </w:r>
      <w:r w:rsidRPr="00B70E5E">
        <w:rPr>
          <w:rFonts w:ascii="Arial" w:hAnsi="Arial" w:cs="Arial"/>
          <w:b/>
          <w:i/>
          <w:iCs/>
        </w:rPr>
        <w:t xml:space="preserve">el tiempo </w:t>
      </w:r>
      <w:r w:rsidRPr="00B70E5E">
        <w:rPr>
          <w:rFonts w:ascii="Arial" w:hAnsi="Arial" w:cs="Arial"/>
          <w:i/>
          <w:iCs/>
        </w:rPr>
        <w:t xml:space="preserve">que llevaba laborando en dicha institución; información que se obtiene de las copias simples del talón de pago relativo a la primer quincena del mes de septiembre de dos mil veinte, del nombramiento de personal de confianza emitido el dieciséis de febrero de dos mil catorce, de oficio número </w:t>
      </w:r>
      <w:r w:rsidR="00275BEA">
        <w:rPr>
          <w:rFonts w:ascii="Arial" w:hAnsi="Arial" w:cs="Arial"/>
          <w:i/>
          <w:iCs/>
        </w:rPr>
        <w:t>*******</w:t>
      </w:r>
      <w:r w:rsidRPr="00B70E5E">
        <w:rPr>
          <w:rFonts w:ascii="Arial" w:hAnsi="Arial" w:cs="Arial"/>
          <w:i/>
          <w:iCs/>
        </w:rPr>
        <w:t xml:space="preserve">, de dieciséis de febrero de dos mil catorce, (fojas 16, 17 y 20) y de las manifestaciones realizadas por el actor en su escrito inicial de demanda, las cuales no fueron controvertidas por las demandadas en sus respectivas contestaciones. </w:t>
      </w:r>
    </w:p>
    <w:p w14:paraId="1061D5A3"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De donde obtenemos, que a la fecha en que fue terminada la relación administrativa, tenía una antigüedad de </w:t>
      </w:r>
      <w:r w:rsidRPr="00B70E5E">
        <w:rPr>
          <w:rFonts w:ascii="Arial" w:hAnsi="Arial" w:cs="Arial"/>
          <w:b/>
          <w:i/>
          <w:iCs/>
        </w:rPr>
        <w:t xml:space="preserve">seis años y siete meses </w:t>
      </w:r>
      <w:r w:rsidRPr="00B70E5E">
        <w:rPr>
          <w:rFonts w:ascii="Arial" w:hAnsi="Arial" w:cs="Arial"/>
          <w:i/>
          <w:iCs/>
        </w:rPr>
        <w:t xml:space="preserve">(dieciséis de febrero de dos mil catorce a treinta de septiembre de dos mil veinte). </w:t>
      </w:r>
    </w:p>
    <w:p w14:paraId="144D7E79" w14:textId="2C41AD25"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Así mismo, el actor percibía un salario quincenal de </w:t>
      </w:r>
      <w:r w:rsidR="000B3F38">
        <w:rPr>
          <w:rFonts w:ascii="Arial" w:hAnsi="Arial" w:cs="Arial"/>
          <w:i/>
          <w:iCs/>
        </w:rPr>
        <w:t>*******</w:t>
      </w:r>
      <w:r w:rsidRPr="00B70E5E">
        <w:rPr>
          <w:rFonts w:ascii="Arial" w:hAnsi="Arial" w:cs="Arial"/>
          <w:i/>
          <w:iCs/>
        </w:rPr>
        <w:t xml:space="preserve">, lo anterior tomando en cuenta los descuentos que percibía el actor por concepto de I.S.S.S., FONDO DE PENSIONES Y CUOTA IMSS; cantidades que sumadas dan como resultado un salario </w:t>
      </w:r>
      <w:r w:rsidRPr="00B70E5E">
        <w:rPr>
          <w:rFonts w:ascii="Arial" w:hAnsi="Arial" w:cs="Arial"/>
          <w:b/>
          <w:i/>
          <w:iCs/>
        </w:rPr>
        <w:t>mensual de $</w:t>
      </w:r>
      <w:r w:rsidR="000B3F38">
        <w:rPr>
          <w:rFonts w:ascii="Arial" w:hAnsi="Arial" w:cs="Arial"/>
          <w:i/>
          <w:iCs/>
        </w:rPr>
        <w:t>*******</w:t>
      </w:r>
      <w:r w:rsidRPr="00B70E5E">
        <w:rPr>
          <w:rFonts w:ascii="Arial" w:hAnsi="Arial" w:cs="Arial"/>
          <w:i/>
          <w:iCs/>
        </w:rPr>
        <w:t xml:space="preserve">; cantidad a la que debe sumársele el monto de </w:t>
      </w:r>
      <w:r w:rsidRPr="00B70E5E">
        <w:rPr>
          <w:rFonts w:ascii="Arial" w:hAnsi="Arial" w:cs="Arial"/>
          <w:b/>
          <w:i/>
          <w:iCs/>
        </w:rPr>
        <w:t>$</w:t>
      </w:r>
      <w:r w:rsidR="000B3F38">
        <w:rPr>
          <w:rFonts w:ascii="Arial" w:hAnsi="Arial" w:cs="Arial"/>
          <w:i/>
          <w:iCs/>
        </w:rPr>
        <w:t>*******</w:t>
      </w:r>
      <w:r w:rsidRPr="00B70E5E">
        <w:rPr>
          <w:rFonts w:ascii="Arial" w:hAnsi="Arial" w:cs="Arial"/>
          <w:b/>
          <w:i/>
          <w:iCs/>
        </w:rPr>
        <w:t xml:space="preserve">, </w:t>
      </w:r>
      <w:r w:rsidRPr="00B70E5E">
        <w:rPr>
          <w:rFonts w:ascii="Arial" w:hAnsi="Arial" w:cs="Arial"/>
          <w:i/>
          <w:iCs/>
        </w:rPr>
        <w:t xml:space="preserve">por concepto de bono mensual denominado “Ayuda para confianza”. Lo que sumado, nos da un monto mensual total por la cantidad de </w:t>
      </w:r>
      <w:r w:rsidRPr="00B70E5E">
        <w:rPr>
          <w:rFonts w:ascii="Arial" w:hAnsi="Arial" w:cs="Arial"/>
          <w:b/>
          <w:i/>
          <w:iCs/>
        </w:rPr>
        <w:t>$</w:t>
      </w:r>
      <w:r w:rsidR="000B3F38">
        <w:rPr>
          <w:rFonts w:ascii="Arial" w:hAnsi="Arial" w:cs="Arial"/>
          <w:i/>
          <w:iCs/>
        </w:rPr>
        <w:t>*******</w:t>
      </w:r>
      <w:r w:rsidRPr="00B70E5E">
        <w:rPr>
          <w:rFonts w:ascii="Arial" w:hAnsi="Arial" w:cs="Arial"/>
          <w:i/>
          <w:iCs/>
        </w:rPr>
        <w:t xml:space="preserve"> </w:t>
      </w:r>
    </w:p>
    <w:p w14:paraId="7BF99A88" w14:textId="7A814829"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Ahora bien, si dividimos la cantidad anterior, entre treinta días, resulta como salario diario la cantidad de </w:t>
      </w:r>
      <w:r w:rsidRPr="00B70E5E">
        <w:rPr>
          <w:rFonts w:ascii="Arial" w:hAnsi="Arial" w:cs="Arial"/>
          <w:b/>
          <w:bCs/>
          <w:i/>
          <w:iCs/>
        </w:rPr>
        <w:t>$</w:t>
      </w:r>
      <w:r w:rsidR="000B3F38">
        <w:rPr>
          <w:rFonts w:ascii="Arial" w:hAnsi="Arial" w:cs="Arial"/>
          <w:i/>
          <w:iCs/>
        </w:rPr>
        <w:t>*******</w:t>
      </w:r>
      <w:r w:rsidRPr="00B70E5E">
        <w:rPr>
          <w:rFonts w:ascii="Arial" w:hAnsi="Arial" w:cs="Arial"/>
          <w:i/>
          <w:iCs/>
        </w:rPr>
        <w:t>, misma que servirá para la cuantificación de las prestaciones que tiene derecho, conforme a la Constitución y a las leyes de la materia.</w:t>
      </w:r>
    </w:p>
    <w:p w14:paraId="31AA448D" w14:textId="34AE6957" w:rsidR="00B70E5E" w:rsidRPr="00B70E5E" w:rsidRDefault="00B70E5E" w:rsidP="004707EC">
      <w:pPr>
        <w:ind w:left="567" w:right="616" w:firstLine="284"/>
        <w:jc w:val="both"/>
        <w:rPr>
          <w:rFonts w:ascii="Arial" w:hAnsi="Arial" w:cs="Arial"/>
          <w:i/>
          <w:iCs/>
        </w:rPr>
      </w:pPr>
      <w:r w:rsidRPr="00B70E5E">
        <w:rPr>
          <w:rFonts w:ascii="Arial" w:hAnsi="Arial" w:cs="Arial"/>
          <w:b/>
          <w:bCs/>
          <w:i/>
          <w:iCs/>
        </w:rPr>
        <w:t>INDEMNIZACIÓN CONSTITUCIONAL</w:t>
      </w:r>
      <w:r w:rsidRPr="00B70E5E">
        <w:rPr>
          <w:rFonts w:ascii="Arial" w:hAnsi="Arial" w:cs="Arial"/>
          <w:i/>
          <w:iCs/>
        </w:rPr>
        <w:t xml:space="preserve">. La cantidad de </w:t>
      </w:r>
      <w:r w:rsidRPr="00B70E5E">
        <w:rPr>
          <w:rFonts w:ascii="Arial" w:hAnsi="Arial" w:cs="Arial"/>
          <w:b/>
          <w:bCs/>
          <w:i/>
          <w:iCs/>
        </w:rPr>
        <w:t>$</w:t>
      </w:r>
      <w:r w:rsidR="000B3F38">
        <w:rPr>
          <w:rFonts w:ascii="Arial" w:hAnsi="Arial" w:cs="Arial"/>
          <w:i/>
          <w:iCs/>
        </w:rPr>
        <w:t>*******</w:t>
      </w:r>
      <w:r w:rsidRPr="00B70E5E">
        <w:rPr>
          <w:rFonts w:ascii="Arial" w:hAnsi="Arial" w:cs="Arial"/>
          <w:b/>
          <w:bCs/>
          <w:i/>
          <w:iCs/>
        </w:rPr>
        <w:t>,</w:t>
      </w:r>
      <w:r w:rsidRPr="00B70E5E">
        <w:rPr>
          <w:rFonts w:ascii="Arial" w:hAnsi="Arial" w:cs="Arial"/>
          <w:i/>
          <w:iCs/>
        </w:rPr>
        <w:t xml:space="preserve"> que resulta de multiplicar la remuneración diaria de $</w:t>
      </w:r>
      <w:r w:rsidR="000B3F38">
        <w:rPr>
          <w:rFonts w:ascii="Arial" w:hAnsi="Arial" w:cs="Arial"/>
          <w:i/>
          <w:iCs/>
        </w:rPr>
        <w:t>*******</w:t>
      </w:r>
      <w:r w:rsidRPr="00B70E5E">
        <w:rPr>
          <w:rFonts w:ascii="Arial" w:hAnsi="Arial" w:cs="Arial"/>
          <w:i/>
          <w:iCs/>
        </w:rPr>
        <w:t>, por tres meses (noventa días), lo anterior con fundamento en el artículo 123 apartado B fracción XIII, de la Constitución Política de los Estados Unidos Mexicanos.</w:t>
      </w:r>
    </w:p>
    <w:p w14:paraId="6C14937C" w14:textId="4100825B" w:rsidR="00B70E5E" w:rsidRPr="00B70E5E" w:rsidRDefault="00B70E5E" w:rsidP="004707EC">
      <w:pPr>
        <w:ind w:left="567" w:right="616" w:firstLine="284"/>
        <w:jc w:val="both"/>
        <w:rPr>
          <w:rFonts w:ascii="Arial" w:hAnsi="Arial" w:cs="Arial"/>
          <w:i/>
          <w:iCs/>
        </w:rPr>
      </w:pPr>
      <w:r w:rsidRPr="00B70E5E">
        <w:rPr>
          <w:rFonts w:ascii="Arial" w:hAnsi="Arial" w:cs="Arial"/>
          <w:b/>
          <w:bCs/>
          <w:i/>
          <w:iCs/>
        </w:rPr>
        <w:t>PRIMA DE ANTIGÜEDAD</w:t>
      </w:r>
      <w:r w:rsidRPr="00B70E5E">
        <w:rPr>
          <w:rFonts w:ascii="Arial" w:hAnsi="Arial" w:cs="Arial"/>
          <w:i/>
          <w:iCs/>
        </w:rPr>
        <w:t xml:space="preserve">. La cantidad de </w:t>
      </w:r>
      <w:r w:rsidRPr="00B70E5E">
        <w:rPr>
          <w:rFonts w:ascii="Arial" w:hAnsi="Arial" w:cs="Arial"/>
          <w:b/>
          <w:bCs/>
          <w:i/>
          <w:iCs/>
        </w:rPr>
        <w:t>$</w:t>
      </w:r>
      <w:r w:rsidR="000B3F38">
        <w:rPr>
          <w:rFonts w:ascii="Arial" w:hAnsi="Arial" w:cs="Arial"/>
          <w:i/>
          <w:iCs/>
        </w:rPr>
        <w:t>*******</w:t>
      </w:r>
      <w:r w:rsidRPr="00B70E5E">
        <w:rPr>
          <w:rFonts w:ascii="Arial" w:hAnsi="Arial" w:cs="Arial"/>
          <w:b/>
          <w:bCs/>
          <w:i/>
          <w:iCs/>
        </w:rPr>
        <w:t>),</w:t>
      </w:r>
      <w:r w:rsidRPr="00B70E5E">
        <w:rPr>
          <w:rFonts w:ascii="Arial" w:hAnsi="Arial" w:cs="Arial"/>
          <w:i/>
          <w:iCs/>
        </w:rPr>
        <w:t xml:space="preserve"> equivalente a veinte días de salario por cada año de servicio, tomando en consideración que el actor ingresó a prestar sus servicios el dieciséis de febrero de dos mil catorce, lo que se acredita con el nombramiento de personal de confianza emitido el dieciséis de febrero de dos mil catorce, del oficio número </w:t>
      </w:r>
      <w:r w:rsidR="00275BEA">
        <w:rPr>
          <w:rFonts w:ascii="Arial" w:hAnsi="Arial" w:cs="Arial"/>
          <w:i/>
          <w:iCs/>
        </w:rPr>
        <w:t>*******</w:t>
      </w:r>
      <w:r w:rsidRPr="00B70E5E">
        <w:rPr>
          <w:rFonts w:ascii="Arial" w:hAnsi="Arial" w:cs="Arial"/>
          <w:i/>
          <w:iCs/>
        </w:rPr>
        <w:t>, de dieciséis de febrero de dos mil catorce; y a la fecha de su separación había laborado un periodo de seis años y siete meses, como lo establece artículo 118 fracción X, de la Ley del Sistema Estatal de Seguridad Púbica de Oaxaca.</w:t>
      </w:r>
    </w:p>
    <w:tbl>
      <w:tblPr>
        <w:tblStyle w:val="Tablaconcuadrcula"/>
        <w:tblW w:w="0" w:type="auto"/>
        <w:jc w:val="center"/>
        <w:tblLook w:val="04A0" w:firstRow="1" w:lastRow="0" w:firstColumn="1" w:lastColumn="0" w:noHBand="0" w:noVBand="1"/>
      </w:tblPr>
      <w:tblGrid>
        <w:gridCol w:w="2689"/>
        <w:gridCol w:w="2405"/>
      </w:tblGrid>
      <w:tr w:rsidR="00B70E5E" w:rsidRPr="00B70E5E" w14:paraId="67DB9C1C" w14:textId="77777777" w:rsidTr="007F00D0">
        <w:trPr>
          <w:jc w:val="center"/>
        </w:trPr>
        <w:tc>
          <w:tcPr>
            <w:tcW w:w="2689" w:type="dxa"/>
          </w:tcPr>
          <w:p w14:paraId="6C6AFA13" w14:textId="77777777" w:rsidR="00B70E5E" w:rsidRPr="00B70E5E" w:rsidRDefault="00B70E5E" w:rsidP="007F00D0">
            <w:pPr>
              <w:ind w:right="616" w:firstLine="284"/>
              <w:jc w:val="center"/>
              <w:rPr>
                <w:rFonts w:ascii="Arial" w:hAnsi="Arial" w:cs="Arial"/>
                <w:i/>
                <w:iCs/>
              </w:rPr>
            </w:pPr>
            <w:r w:rsidRPr="00B70E5E">
              <w:rPr>
                <w:rFonts w:ascii="Arial" w:hAnsi="Arial" w:cs="Arial"/>
                <w:i/>
                <w:iCs/>
              </w:rPr>
              <w:t>1 año =</w:t>
            </w:r>
          </w:p>
        </w:tc>
        <w:tc>
          <w:tcPr>
            <w:tcW w:w="2269" w:type="dxa"/>
          </w:tcPr>
          <w:p w14:paraId="5F0898D2" w14:textId="77777777" w:rsidR="00B70E5E" w:rsidRPr="00B70E5E" w:rsidRDefault="00B70E5E" w:rsidP="00B70E5E">
            <w:pPr>
              <w:ind w:left="567" w:right="616" w:firstLine="284"/>
              <w:jc w:val="center"/>
              <w:rPr>
                <w:rFonts w:ascii="Arial" w:hAnsi="Arial" w:cs="Arial"/>
                <w:i/>
                <w:iCs/>
              </w:rPr>
            </w:pPr>
            <w:r w:rsidRPr="00B70E5E">
              <w:rPr>
                <w:rFonts w:ascii="Arial" w:hAnsi="Arial" w:cs="Arial"/>
                <w:i/>
                <w:iCs/>
              </w:rPr>
              <w:t>20 días</w:t>
            </w:r>
          </w:p>
        </w:tc>
      </w:tr>
      <w:tr w:rsidR="00B70E5E" w:rsidRPr="00B70E5E" w14:paraId="5E1EE6FB" w14:textId="77777777" w:rsidTr="007F00D0">
        <w:trPr>
          <w:jc w:val="center"/>
        </w:trPr>
        <w:tc>
          <w:tcPr>
            <w:tcW w:w="2689" w:type="dxa"/>
          </w:tcPr>
          <w:p w14:paraId="6F00C69F" w14:textId="1C5BD55B" w:rsidR="00B70E5E" w:rsidRPr="00B70E5E" w:rsidRDefault="00B70E5E" w:rsidP="007F00D0">
            <w:pPr>
              <w:ind w:right="616" w:firstLine="284"/>
              <w:jc w:val="center"/>
              <w:rPr>
                <w:rFonts w:ascii="Arial" w:hAnsi="Arial" w:cs="Arial"/>
                <w:i/>
                <w:iCs/>
              </w:rPr>
            </w:pPr>
            <w:r w:rsidRPr="00B70E5E">
              <w:rPr>
                <w:rFonts w:ascii="Arial" w:hAnsi="Arial" w:cs="Arial"/>
                <w:i/>
                <w:iCs/>
              </w:rPr>
              <w:t>6 años</w:t>
            </w:r>
            <w:r w:rsidR="007F00D0">
              <w:rPr>
                <w:rFonts w:ascii="Arial" w:hAnsi="Arial" w:cs="Arial"/>
                <w:i/>
                <w:iCs/>
              </w:rPr>
              <w:t xml:space="preserve"> </w:t>
            </w:r>
            <w:r w:rsidRPr="00B70E5E">
              <w:rPr>
                <w:rFonts w:ascii="Arial" w:hAnsi="Arial" w:cs="Arial"/>
                <w:i/>
                <w:iCs/>
              </w:rPr>
              <w:t>=</w:t>
            </w:r>
          </w:p>
        </w:tc>
        <w:tc>
          <w:tcPr>
            <w:tcW w:w="2269" w:type="dxa"/>
          </w:tcPr>
          <w:p w14:paraId="0BD0A38C" w14:textId="77777777" w:rsidR="00B70E5E" w:rsidRPr="00B70E5E" w:rsidRDefault="00B70E5E" w:rsidP="00B70E5E">
            <w:pPr>
              <w:ind w:left="567" w:right="616" w:firstLine="284"/>
              <w:jc w:val="center"/>
              <w:rPr>
                <w:rFonts w:ascii="Arial" w:hAnsi="Arial" w:cs="Arial"/>
                <w:i/>
                <w:iCs/>
              </w:rPr>
            </w:pPr>
            <w:r w:rsidRPr="00B70E5E">
              <w:rPr>
                <w:rFonts w:ascii="Arial" w:hAnsi="Arial" w:cs="Arial"/>
                <w:i/>
                <w:iCs/>
              </w:rPr>
              <w:t>120 días</w:t>
            </w:r>
          </w:p>
        </w:tc>
      </w:tr>
      <w:tr w:rsidR="00B70E5E" w:rsidRPr="00B70E5E" w14:paraId="2663CABE" w14:textId="77777777" w:rsidTr="007F00D0">
        <w:trPr>
          <w:jc w:val="center"/>
        </w:trPr>
        <w:tc>
          <w:tcPr>
            <w:tcW w:w="2689" w:type="dxa"/>
          </w:tcPr>
          <w:p w14:paraId="62902311" w14:textId="77777777" w:rsidR="00B70E5E" w:rsidRPr="00B70E5E" w:rsidRDefault="00B70E5E" w:rsidP="007F00D0">
            <w:pPr>
              <w:ind w:right="616" w:firstLine="284"/>
              <w:jc w:val="center"/>
              <w:rPr>
                <w:rFonts w:ascii="Arial" w:hAnsi="Arial" w:cs="Arial"/>
                <w:i/>
                <w:iCs/>
              </w:rPr>
            </w:pPr>
            <w:r w:rsidRPr="00B70E5E">
              <w:rPr>
                <w:rFonts w:ascii="Arial" w:hAnsi="Arial" w:cs="Arial"/>
                <w:i/>
                <w:iCs/>
              </w:rPr>
              <w:t>12 meses =</w:t>
            </w:r>
          </w:p>
        </w:tc>
        <w:tc>
          <w:tcPr>
            <w:tcW w:w="2269" w:type="dxa"/>
          </w:tcPr>
          <w:p w14:paraId="4E9E34FE" w14:textId="77777777" w:rsidR="00B70E5E" w:rsidRPr="00B70E5E" w:rsidRDefault="00B70E5E" w:rsidP="00B70E5E">
            <w:pPr>
              <w:ind w:left="567" w:right="616" w:firstLine="284"/>
              <w:jc w:val="center"/>
              <w:rPr>
                <w:rFonts w:ascii="Arial" w:hAnsi="Arial" w:cs="Arial"/>
                <w:i/>
                <w:iCs/>
              </w:rPr>
            </w:pPr>
            <w:r w:rsidRPr="00B70E5E">
              <w:rPr>
                <w:rFonts w:ascii="Arial" w:hAnsi="Arial" w:cs="Arial"/>
                <w:i/>
                <w:iCs/>
              </w:rPr>
              <w:t>20 días</w:t>
            </w:r>
          </w:p>
        </w:tc>
      </w:tr>
      <w:tr w:rsidR="00B70E5E" w:rsidRPr="00B70E5E" w14:paraId="38A3D10B" w14:textId="77777777" w:rsidTr="007F00D0">
        <w:trPr>
          <w:jc w:val="center"/>
        </w:trPr>
        <w:tc>
          <w:tcPr>
            <w:tcW w:w="2689" w:type="dxa"/>
          </w:tcPr>
          <w:p w14:paraId="5D65A606" w14:textId="77777777" w:rsidR="00B70E5E" w:rsidRPr="00B70E5E" w:rsidRDefault="00B70E5E" w:rsidP="007F00D0">
            <w:pPr>
              <w:ind w:right="616" w:firstLine="284"/>
              <w:jc w:val="center"/>
              <w:rPr>
                <w:rFonts w:ascii="Arial" w:hAnsi="Arial" w:cs="Arial"/>
                <w:i/>
                <w:iCs/>
              </w:rPr>
            </w:pPr>
            <w:r w:rsidRPr="00B70E5E">
              <w:rPr>
                <w:rFonts w:ascii="Arial" w:hAnsi="Arial" w:cs="Arial"/>
                <w:i/>
                <w:iCs/>
              </w:rPr>
              <w:t xml:space="preserve">7 meses = </w:t>
            </w:r>
          </w:p>
        </w:tc>
        <w:tc>
          <w:tcPr>
            <w:tcW w:w="2269" w:type="dxa"/>
          </w:tcPr>
          <w:p w14:paraId="1F9F2D91" w14:textId="77777777" w:rsidR="00B70E5E" w:rsidRPr="00B70E5E" w:rsidRDefault="00B70E5E" w:rsidP="00B70E5E">
            <w:pPr>
              <w:ind w:left="567" w:right="616" w:firstLine="284"/>
              <w:jc w:val="center"/>
              <w:rPr>
                <w:rFonts w:ascii="Arial" w:hAnsi="Arial" w:cs="Arial"/>
                <w:i/>
                <w:iCs/>
              </w:rPr>
            </w:pPr>
            <w:r w:rsidRPr="00B70E5E">
              <w:rPr>
                <w:rFonts w:ascii="Arial" w:hAnsi="Arial" w:cs="Arial"/>
                <w:i/>
                <w:iCs/>
              </w:rPr>
              <w:t>11.66 días</w:t>
            </w:r>
          </w:p>
        </w:tc>
      </w:tr>
      <w:tr w:rsidR="00B70E5E" w:rsidRPr="00B70E5E" w14:paraId="1174F235" w14:textId="77777777" w:rsidTr="007F00D0">
        <w:trPr>
          <w:jc w:val="center"/>
        </w:trPr>
        <w:tc>
          <w:tcPr>
            <w:tcW w:w="2689" w:type="dxa"/>
          </w:tcPr>
          <w:p w14:paraId="7F9763C4" w14:textId="77777777" w:rsidR="00B70E5E" w:rsidRPr="00B70E5E" w:rsidRDefault="00B70E5E" w:rsidP="007F00D0">
            <w:pPr>
              <w:ind w:right="616" w:firstLine="284"/>
              <w:jc w:val="center"/>
              <w:rPr>
                <w:rFonts w:ascii="Arial" w:hAnsi="Arial" w:cs="Arial"/>
                <w:i/>
                <w:iCs/>
              </w:rPr>
            </w:pPr>
            <w:r w:rsidRPr="00B70E5E">
              <w:rPr>
                <w:rFonts w:ascii="Arial" w:hAnsi="Arial" w:cs="Arial"/>
                <w:i/>
                <w:iCs/>
              </w:rPr>
              <w:t>131.66 días =</w:t>
            </w:r>
          </w:p>
        </w:tc>
        <w:tc>
          <w:tcPr>
            <w:tcW w:w="2269" w:type="dxa"/>
          </w:tcPr>
          <w:p w14:paraId="6DDB4F0F" w14:textId="5F2FB7C9" w:rsidR="00B70E5E" w:rsidRPr="00B70E5E" w:rsidRDefault="000B3F38" w:rsidP="00B70E5E">
            <w:pPr>
              <w:ind w:left="567" w:right="616" w:firstLine="284"/>
              <w:jc w:val="center"/>
              <w:rPr>
                <w:rFonts w:ascii="Arial" w:hAnsi="Arial" w:cs="Arial"/>
                <w:i/>
                <w:iCs/>
              </w:rPr>
            </w:pPr>
            <w:r>
              <w:rPr>
                <w:rFonts w:ascii="Arial" w:hAnsi="Arial" w:cs="Arial"/>
                <w:i/>
                <w:iCs/>
              </w:rPr>
              <w:t>$</w:t>
            </w:r>
            <w:r>
              <w:rPr>
                <w:rFonts w:ascii="Arial" w:hAnsi="Arial" w:cs="Arial"/>
                <w:i/>
                <w:iCs/>
              </w:rPr>
              <w:t>*******</w:t>
            </w:r>
          </w:p>
        </w:tc>
      </w:tr>
      <w:tr w:rsidR="00B70E5E" w:rsidRPr="00B70E5E" w14:paraId="3929F989" w14:textId="77777777" w:rsidTr="007F00D0">
        <w:trPr>
          <w:jc w:val="center"/>
        </w:trPr>
        <w:tc>
          <w:tcPr>
            <w:tcW w:w="2689" w:type="dxa"/>
          </w:tcPr>
          <w:p w14:paraId="4E7C8331" w14:textId="77777777" w:rsidR="00B70E5E" w:rsidRPr="00B70E5E" w:rsidRDefault="00B70E5E" w:rsidP="00B70E5E">
            <w:pPr>
              <w:ind w:left="567" w:right="616" w:firstLine="284"/>
              <w:jc w:val="center"/>
              <w:rPr>
                <w:rFonts w:ascii="Arial" w:hAnsi="Arial" w:cs="Arial"/>
                <w:i/>
                <w:iCs/>
              </w:rPr>
            </w:pPr>
            <w:r w:rsidRPr="00B70E5E">
              <w:rPr>
                <w:rFonts w:ascii="Arial" w:hAnsi="Arial" w:cs="Arial"/>
                <w:i/>
                <w:iCs/>
              </w:rPr>
              <w:t>Total =</w:t>
            </w:r>
          </w:p>
        </w:tc>
        <w:tc>
          <w:tcPr>
            <w:tcW w:w="2269" w:type="dxa"/>
          </w:tcPr>
          <w:p w14:paraId="19C1C186" w14:textId="26686738" w:rsidR="00B70E5E" w:rsidRPr="00B70E5E" w:rsidRDefault="000B3F38" w:rsidP="00B70E5E">
            <w:pPr>
              <w:ind w:left="567" w:right="616" w:firstLine="284"/>
              <w:jc w:val="center"/>
              <w:rPr>
                <w:rFonts w:ascii="Arial" w:hAnsi="Arial" w:cs="Arial"/>
                <w:b/>
                <w:bCs/>
                <w:i/>
                <w:iCs/>
              </w:rPr>
            </w:pPr>
            <w:r>
              <w:rPr>
                <w:rFonts w:ascii="Arial" w:hAnsi="Arial" w:cs="Arial"/>
                <w:b/>
                <w:bCs/>
                <w:i/>
                <w:iCs/>
              </w:rPr>
              <w:t>$</w:t>
            </w:r>
            <w:r>
              <w:rPr>
                <w:rFonts w:ascii="Arial" w:hAnsi="Arial" w:cs="Arial"/>
                <w:i/>
                <w:iCs/>
              </w:rPr>
              <w:t>*******</w:t>
            </w:r>
          </w:p>
        </w:tc>
      </w:tr>
    </w:tbl>
    <w:p w14:paraId="1A56DE07" w14:textId="77777777" w:rsidR="00B70E5E" w:rsidRPr="00B70E5E" w:rsidRDefault="00B70E5E" w:rsidP="00B70E5E">
      <w:pPr>
        <w:spacing w:line="240" w:lineRule="auto"/>
        <w:ind w:left="567" w:right="616" w:firstLine="284"/>
        <w:rPr>
          <w:rFonts w:ascii="Arial" w:hAnsi="Arial" w:cs="Arial"/>
          <w:i/>
          <w:iCs/>
        </w:rPr>
      </w:pPr>
    </w:p>
    <w:p w14:paraId="1190838B" w14:textId="77777777" w:rsidR="00B70E5E" w:rsidRPr="00B70E5E" w:rsidRDefault="00B70E5E" w:rsidP="004707EC">
      <w:pPr>
        <w:ind w:left="567" w:right="616" w:firstLine="284"/>
        <w:jc w:val="both"/>
        <w:rPr>
          <w:rFonts w:ascii="Arial" w:hAnsi="Arial" w:cs="Arial"/>
          <w:i/>
          <w:iCs/>
        </w:rPr>
      </w:pPr>
      <w:r w:rsidRPr="00B70E5E">
        <w:rPr>
          <w:rFonts w:ascii="Arial" w:hAnsi="Arial" w:cs="Arial"/>
          <w:b/>
          <w:bCs/>
          <w:i/>
          <w:iCs/>
        </w:rPr>
        <w:t>VACACIONES</w:t>
      </w:r>
      <w:r w:rsidRPr="00B70E5E">
        <w:rPr>
          <w:rFonts w:ascii="Arial" w:hAnsi="Arial" w:cs="Arial"/>
          <w:i/>
          <w:iCs/>
        </w:rPr>
        <w:t xml:space="preserve">. El artículo 93 del Reglamento de la Policía Estatal de Oaxaca, establece que los integrantes que tengan más de seis meses </w:t>
      </w:r>
      <w:r w:rsidRPr="00B70E5E">
        <w:rPr>
          <w:rFonts w:ascii="Arial" w:hAnsi="Arial" w:cs="Arial"/>
          <w:i/>
          <w:iCs/>
        </w:rPr>
        <w:lastRenderedPageBreak/>
        <w:t xml:space="preserve">consecutivos de servicios disfrutaran dos periodos anuales de vacaciones, de diez días laborables cada uno; por lo que esta Sala sólo toma en cuenta </w:t>
      </w:r>
      <w:r w:rsidRPr="00B70E5E">
        <w:rPr>
          <w:rFonts w:ascii="Arial" w:hAnsi="Arial" w:cs="Arial"/>
          <w:b/>
          <w:bCs/>
          <w:i/>
          <w:iCs/>
        </w:rPr>
        <w:t>el último año de servicio</w:t>
      </w:r>
      <w:r w:rsidRPr="00B70E5E">
        <w:rPr>
          <w:rFonts w:ascii="Arial" w:hAnsi="Arial" w:cs="Arial"/>
          <w:i/>
          <w:iCs/>
        </w:rPr>
        <w:t xml:space="preserve">, esto es del uno de enero al treinta de septiembre de dos mil veinte, tomando en cuenta que solo laboró nueve meses, por lo que, la parte proporcional que le corresponde, es la cantidad de </w:t>
      </w:r>
      <w:r w:rsidRPr="00B70E5E">
        <w:rPr>
          <w:rFonts w:ascii="Arial" w:hAnsi="Arial" w:cs="Arial"/>
          <w:b/>
          <w:bCs/>
          <w:i/>
          <w:iCs/>
        </w:rPr>
        <w:t>$5,801.10 (cinco mil ochocientos un pesos 10/100 M.N.)</w:t>
      </w:r>
      <w:r w:rsidRPr="00B70E5E">
        <w:rPr>
          <w:rFonts w:ascii="Arial" w:hAnsi="Arial" w:cs="Arial"/>
          <w:i/>
          <w:iCs/>
        </w:rPr>
        <w:t xml:space="preserve"> por concepto de vacaciones.</w:t>
      </w:r>
    </w:p>
    <w:tbl>
      <w:tblPr>
        <w:tblStyle w:val="Tablaconcuadrcula"/>
        <w:tblW w:w="0" w:type="auto"/>
        <w:jc w:val="center"/>
        <w:tblLayout w:type="fixed"/>
        <w:tblLook w:val="04A0" w:firstRow="1" w:lastRow="0" w:firstColumn="1" w:lastColumn="0" w:noHBand="0" w:noVBand="1"/>
      </w:tblPr>
      <w:tblGrid>
        <w:gridCol w:w="2972"/>
        <w:gridCol w:w="2379"/>
      </w:tblGrid>
      <w:tr w:rsidR="00B70E5E" w:rsidRPr="00B70E5E" w14:paraId="634591A9" w14:textId="77777777" w:rsidTr="007F00D0">
        <w:trPr>
          <w:jc w:val="center"/>
        </w:trPr>
        <w:tc>
          <w:tcPr>
            <w:tcW w:w="2972" w:type="dxa"/>
          </w:tcPr>
          <w:p w14:paraId="70132C88" w14:textId="77777777" w:rsidR="00B70E5E" w:rsidRPr="00B70E5E" w:rsidRDefault="00B70E5E" w:rsidP="00B70E5E">
            <w:pPr>
              <w:ind w:left="567" w:right="616" w:firstLine="284"/>
              <w:jc w:val="center"/>
              <w:rPr>
                <w:rFonts w:ascii="Arial" w:hAnsi="Arial" w:cs="Arial"/>
                <w:i/>
                <w:iCs/>
              </w:rPr>
            </w:pPr>
            <w:r w:rsidRPr="00B70E5E">
              <w:rPr>
                <w:rFonts w:ascii="Arial" w:hAnsi="Arial" w:cs="Arial"/>
                <w:i/>
                <w:iCs/>
              </w:rPr>
              <w:t>1 año =</w:t>
            </w:r>
          </w:p>
        </w:tc>
        <w:tc>
          <w:tcPr>
            <w:tcW w:w="2379" w:type="dxa"/>
          </w:tcPr>
          <w:p w14:paraId="2AA050B9" w14:textId="77777777" w:rsidR="00B70E5E" w:rsidRPr="00B70E5E" w:rsidRDefault="00B70E5E" w:rsidP="00B70E5E">
            <w:pPr>
              <w:ind w:left="567" w:right="616" w:firstLine="284"/>
              <w:jc w:val="center"/>
              <w:rPr>
                <w:rFonts w:ascii="Arial" w:hAnsi="Arial" w:cs="Arial"/>
                <w:i/>
                <w:iCs/>
              </w:rPr>
            </w:pPr>
            <w:r w:rsidRPr="00B70E5E">
              <w:rPr>
                <w:rFonts w:ascii="Arial" w:hAnsi="Arial" w:cs="Arial"/>
                <w:i/>
                <w:iCs/>
              </w:rPr>
              <w:t>20 días</w:t>
            </w:r>
          </w:p>
        </w:tc>
      </w:tr>
      <w:tr w:rsidR="00B70E5E" w:rsidRPr="00B70E5E" w14:paraId="23A61BDF" w14:textId="77777777" w:rsidTr="007F00D0">
        <w:trPr>
          <w:jc w:val="center"/>
        </w:trPr>
        <w:tc>
          <w:tcPr>
            <w:tcW w:w="2972" w:type="dxa"/>
          </w:tcPr>
          <w:p w14:paraId="7EF1F308" w14:textId="77777777" w:rsidR="00B70E5E" w:rsidRPr="00B70E5E" w:rsidRDefault="00B70E5E" w:rsidP="00B70E5E">
            <w:pPr>
              <w:ind w:left="567" w:right="616" w:firstLine="284"/>
              <w:jc w:val="center"/>
              <w:rPr>
                <w:rFonts w:ascii="Arial" w:hAnsi="Arial" w:cs="Arial"/>
                <w:i/>
                <w:iCs/>
              </w:rPr>
            </w:pPr>
            <w:r w:rsidRPr="00B70E5E">
              <w:rPr>
                <w:rFonts w:ascii="Arial" w:hAnsi="Arial" w:cs="Arial"/>
                <w:i/>
                <w:iCs/>
              </w:rPr>
              <w:t>1 año =</w:t>
            </w:r>
          </w:p>
        </w:tc>
        <w:tc>
          <w:tcPr>
            <w:tcW w:w="2379" w:type="dxa"/>
          </w:tcPr>
          <w:p w14:paraId="230576AA" w14:textId="77777777" w:rsidR="00B70E5E" w:rsidRPr="00B70E5E" w:rsidRDefault="00B70E5E" w:rsidP="00B70E5E">
            <w:pPr>
              <w:ind w:left="567" w:right="616" w:firstLine="284"/>
              <w:jc w:val="center"/>
              <w:rPr>
                <w:rFonts w:ascii="Arial" w:hAnsi="Arial" w:cs="Arial"/>
                <w:i/>
                <w:iCs/>
              </w:rPr>
            </w:pPr>
            <w:r w:rsidRPr="00B70E5E">
              <w:rPr>
                <w:rFonts w:ascii="Arial" w:hAnsi="Arial" w:cs="Arial"/>
                <w:i/>
                <w:iCs/>
              </w:rPr>
              <w:t>12 meses</w:t>
            </w:r>
          </w:p>
        </w:tc>
      </w:tr>
      <w:tr w:rsidR="00B70E5E" w:rsidRPr="00B70E5E" w14:paraId="2FD3E0CA" w14:textId="77777777" w:rsidTr="007F00D0">
        <w:trPr>
          <w:jc w:val="center"/>
        </w:trPr>
        <w:tc>
          <w:tcPr>
            <w:tcW w:w="2972" w:type="dxa"/>
          </w:tcPr>
          <w:p w14:paraId="3687F1C2" w14:textId="77777777" w:rsidR="00B70E5E" w:rsidRPr="00B70E5E" w:rsidRDefault="00B70E5E" w:rsidP="00B70E5E">
            <w:pPr>
              <w:ind w:left="567" w:right="616" w:firstLine="284"/>
              <w:jc w:val="center"/>
              <w:rPr>
                <w:rFonts w:ascii="Arial" w:hAnsi="Arial" w:cs="Arial"/>
                <w:i/>
                <w:iCs/>
              </w:rPr>
            </w:pPr>
            <w:r w:rsidRPr="00B70E5E">
              <w:rPr>
                <w:rFonts w:ascii="Arial" w:hAnsi="Arial" w:cs="Arial"/>
                <w:i/>
                <w:iCs/>
              </w:rPr>
              <w:t>12 meses =</w:t>
            </w:r>
          </w:p>
        </w:tc>
        <w:tc>
          <w:tcPr>
            <w:tcW w:w="2379" w:type="dxa"/>
          </w:tcPr>
          <w:p w14:paraId="18527EB7" w14:textId="77777777" w:rsidR="00B70E5E" w:rsidRPr="00B70E5E" w:rsidRDefault="00B70E5E" w:rsidP="00B70E5E">
            <w:pPr>
              <w:ind w:left="567" w:right="616" w:firstLine="284"/>
              <w:jc w:val="center"/>
              <w:rPr>
                <w:rFonts w:ascii="Arial" w:hAnsi="Arial" w:cs="Arial"/>
                <w:i/>
                <w:iCs/>
              </w:rPr>
            </w:pPr>
            <w:r w:rsidRPr="00B70E5E">
              <w:rPr>
                <w:rFonts w:ascii="Arial" w:hAnsi="Arial" w:cs="Arial"/>
                <w:i/>
                <w:iCs/>
              </w:rPr>
              <w:t>20 días</w:t>
            </w:r>
          </w:p>
        </w:tc>
      </w:tr>
      <w:tr w:rsidR="00B70E5E" w:rsidRPr="00B70E5E" w14:paraId="72558364" w14:textId="77777777" w:rsidTr="007F00D0">
        <w:trPr>
          <w:jc w:val="center"/>
        </w:trPr>
        <w:tc>
          <w:tcPr>
            <w:tcW w:w="2972" w:type="dxa"/>
          </w:tcPr>
          <w:p w14:paraId="6E636299" w14:textId="77777777" w:rsidR="00B70E5E" w:rsidRPr="00B70E5E" w:rsidRDefault="00B70E5E" w:rsidP="00B70E5E">
            <w:pPr>
              <w:ind w:left="567" w:right="616" w:firstLine="284"/>
              <w:jc w:val="center"/>
              <w:rPr>
                <w:rFonts w:ascii="Arial" w:hAnsi="Arial" w:cs="Arial"/>
                <w:i/>
                <w:iCs/>
              </w:rPr>
            </w:pPr>
            <w:r w:rsidRPr="00B70E5E">
              <w:rPr>
                <w:rFonts w:ascii="Arial" w:hAnsi="Arial" w:cs="Arial"/>
                <w:i/>
                <w:iCs/>
              </w:rPr>
              <w:t xml:space="preserve">9 meses = </w:t>
            </w:r>
          </w:p>
        </w:tc>
        <w:tc>
          <w:tcPr>
            <w:tcW w:w="2379" w:type="dxa"/>
          </w:tcPr>
          <w:p w14:paraId="75CA70C7" w14:textId="77777777" w:rsidR="00B70E5E" w:rsidRPr="00B70E5E" w:rsidRDefault="00B70E5E" w:rsidP="00B70E5E">
            <w:pPr>
              <w:ind w:left="567" w:right="616" w:firstLine="284"/>
              <w:jc w:val="center"/>
              <w:rPr>
                <w:rFonts w:ascii="Arial" w:hAnsi="Arial" w:cs="Arial"/>
                <w:i/>
                <w:iCs/>
              </w:rPr>
            </w:pPr>
            <w:r w:rsidRPr="00B70E5E">
              <w:rPr>
                <w:rFonts w:ascii="Arial" w:hAnsi="Arial" w:cs="Arial"/>
                <w:i/>
                <w:iCs/>
              </w:rPr>
              <w:t>15 días</w:t>
            </w:r>
          </w:p>
        </w:tc>
      </w:tr>
      <w:tr w:rsidR="00B70E5E" w:rsidRPr="00B70E5E" w14:paraId="78560C46" w14:textId="77777777" w:rsidTr="007F00D0">
        <w:trPr>
          <w:jc w:val="center"/>
        </w:trPr>
        <w:tc>
          <w:tcPr>
            <w:tcW w:w="2972" w:type="dxa"/>
          </w:tcPr>
          <w:p w14:paraId="559E9255" w14:textId="77777777" w:rsidR="00B70E5E" w:rsidRPr="00B70E5E" w:rsidRDefault="00B70E5E" w:rsidP="00B70E5E">
            <w:pPr>
              <w:ind w:left="567" w:right="616" w:firstLine="284"/>
              <w:jc w:val="center"/>
              <w:rPr>
                <w:rFonts w:ascii="Arial" w:hAnsi="Arial" w:cs="Arial"/>
                <w:i/>
                <w:iCs/>
              </w:rPr>
            </w:pPr>
            <w:r w:rsidRPr="00B70E5E">
              <w:rPr>
                <w:rFonts w:ascii="Arial" w:hAnsi="Arial" w:cs="Arial"/>
                <w:i/>
                <w:iCs/>
              </w:rPr>
              <w:t>15 días X $386.74=</w:t>
            </w:r>
          </w:p>
        </w:tc>
        <w:tc>
          <w:tcPr>
            <w:tcW w:w="2379" w:type="dxa"/>
          </w:tcPr>
          <w:p w14:paraId="3F609C39" w14:textId="069D963C" w:rsidR="00B70E5E" w:rsidRPr="00B70E5E" w:rsidRDefault="000B3F38" w:rsidP="00B70E5E">
            <w:pPr>
              <w:ind w:left="567" w:right="616" w:firstLine="284"/>
              <w:jc w:val="center"/>
              <w:rPr>
                <w:rFonts w:ascii="Arial" w:hAnsi="Arial" w:cs="Arial"/>
                <w:i/>
                <w:iCs/>
              </w:rPr>
            </w:pPr>
            <w:r>
              <w:rPr>
                <w:rFonts w:ascii="Arial" w:hAnsi="Arial" w:cs="Arial"/>
                <w:i/>
                <w:iCs/>
              </w:rPr>
              <w:t>$******</w:t>
            </w:r>
          </w:p>
        </w:tc>
      </w:tr>
    </w:tbl>
    <w:p w14:paraId="1821C3E8" w14:textId="77777777" w:rsidR="00B70E5E" w:rsidRPr="00B70E5E" w:rsidRDefault="00B70E5E" w:rsidP="00B70E5E">
      <w:pPr>
        <w:spacing w:line="240" w:lineRule="auto"/>
        <w:ind w:left="567" w:right="616" w:firstLine="284"/>
        <w:jc w:val="both"/>
        <w:rPr>
          <w:rFonts w:ascii="Arial" w:hAnsi="Arial" w:cs="Arial"/>
          <w:i/>
          <w:iCs/>
        </w:rPr>
      </w:pPr>
    </w:p>
    <w:p w14:paraId="6265531A" w14:textId="1B811B95" w:rsidR="00B70E5E" w:rsidRPr="00B70E5E" w:rsidRDefault="00B70E5E" w:rsidP="004707EC">
      <w:pPr>
        <w:ind w:left="567" w:right="616" w:firstLine="284"/>
        <w:jc w:val="both"/>
        <w:rPr>
          <w:rFonts w:ascii="Arial" w:hAnsi="Arial" w:cs="Arial"/>
          <w:i/>
          <w:iCs/>
        </w:rPr>
      </w:pPr>
      <w:r w:rsidRPr="00B70E5E">
        <w:rPr>
          <w:rFonts w:ascii="Arial" w:hAnsi="Arial" w:cs="Arial"/>
          <w:b/>
          <w:bCs/>
          <w:i/>
          <w:iCs/>
        </w:rPr>
        <w:t>PRIMA VACACIONAL:</w:t>
      </w:r>
      <w:r w:rsidRPr="00B70E5E">
        <w:rPr>
          <w:rFonts w:ascii="Arial" w:hAnsi="Arial" w:cs="Arial"/>
          <w:i/>
          <w:iCs/>
        </w:rPr>
        <w:t xml:space="preserve"> Por este concepto, la demandada deberá pagar al actor, el 25% sobre el monto anterior, cantidad que se determina multiplicando la cantidad </w:t>
      </w:r>
      <w:r w:rsidRPr="00B70E5E">
        <w:rPr>
          <w:rFonts w:ascii="Arial" w:hAnsi="Arial" w:cs="Arial"/>
          <w:b/>
          <w:bCs/>
          <w:i/>
          <w:iCs/>
        </w:rPr>
        <w:t>resultante de vacaciones por el veinticinco por ciento</w:t>
      </w:r>
      <w:r w:rsidRPr="00B70E5E">
        <w:rPr>
          <w:rFonts w:ascii="Arial" w:hAnsi="Arial" w:cs="Arial"/>
          <w:i/>
          <w:iCs/>
        </w:rPr>
        <w:t xml:space="preserve">, lo que da un total de </w:t>
      </w:r>
      <w:r w:rsidRPr="00B70E5E">
        <w:rPr>
          <w:rFonts w:ascii="Arial" w:hAnsi="Arial" w:cs="Arial"/>
          <w:b/>
          <w:bCs/>
          <w:i/>
          <w:iCs/>
        </w:rPr>
        <w:t>$</w:t>
      </w:r>
      <w:r w:rsidR="000B3F38">
        <w:rPr>
          <w:rFonts w:ascii="Arial" w:hAnsi="Arial" w:cs="Arial"/>
          <w:i/>
          <w:iCs/>
        </w:rPr>
        <w:t>*******</w:t>
      </w:r>
      <w:r w:rsidRPr="00B70E5E">
        <w:rPr>
          <w:rFonts w:ascii="Arial" w:hAnsi="Arial" w:cs="Arial"/>
          <w:b/>
          <w:bCs/>
          <w:i/>
          <w:iCs/>
        </w:rPr>
        <w:t xml:space="preserve"> </w:t>
      </w:r>
      <w:r w:rsidRPr="00B70E5E">
        <w:rPr>
          <w:rFonts w:ascii="Arial" w:hAnsi="Arial" w:cs="Arial"/>
          <w:i/>
          <w:iCs/>
        </w:rPr>
        <w:t>en términos del artículo 94 del Reglamento de la Policía Estatal de Oaxaca.</w:t>
      </w:r>
    </w:p>
    <w:p w14:paraId="6431F2A5" w14:textId="77777777" w:rsidR="00B70E5E" w:rsidRPr="00B70E5E" w:rsidRDefault="00B70E5E" w:rsidP="004707EC">
      <w:pPr>
        <w:ind w:left="567" w:right="616" w:firstLine="284"/>
        <w:jc w:val="both"/>
        <w:rPr>
          <w:rFonts w:ascii="Arial" w:hAnsi="Arial" w:cs="Arial"/>
          <w:i/>
          <w:iCs/>
        </w:rPr>
      </w:pPr>
      <w:r w:rsidRPr="00B70E5E">
        <w:rPr>
          <w:rFonts w:ascii="Arial" w:hAnsi="Arial" w:cs="Arial"/>
          <w:b/>
          <w:bCs/>
          <w:i/>
          <w:iCs/>
        </w:rPr>
        <w:t>SALARIOS CAÍDOS O HABERES DEJADOS DE PERCIBIR.</w:t>
      </w:r>
      <w:r w:rsidRPr="00B70E5E">
        <w:rPr>
          <w:rFonts w:ascii="Arial" w:hAnsi="Arial" w:cs="Arial"/>
          <w:i/>
          <w:iCs/>
        </w:rPr>
        <w:t xml:space="preserve"> Respecto al pago de dicho concepto debe indicarse que el artículo 123 de la Constitución Federal, apartado B, fracción XIII, únicamente refiere que se debe otorgar en estos casos, una indemnización de tres meses y demás "prestaciones" a que tenga derecho, siendo el significado de prestaciones, todos los componentes de su ingreso diario, que incluye además de la remuneración ordinaria diaria, bono de desempeño, canasta básica, vales de despensa, viáticos y otros, sin que el referido precepto, ni la legislación administrativa que los rige, autorice el pago de haberes dejados de percibir, debido a que la relación entre los integrantes de las instituciones policiales y el Estado no es de naturaleza laboral, sino administrativa.</w:t>
      </w:r>
    </w:p>
    <w:p w14:paraId="6B369ADA"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Para ello, primeramente debemos establecer que en la Constitución Política de los Estados Unidos Mexicanos y en las Leyes Secundarias que regulan las relaciones de los Agentes Estatales de Investigación, no se establece de manera expresa el pago de la percepción denominada salarios caídos o haberes dejados de percibir, pues el artículo 123 apartado B fracción XIII de la Constitución Federal y el diverso 71 de la Ley Orgánica de la Fiscalía General del Estado de Oaxaca, solo establecen, que en caso de un despido injustificado el Estado estará obligado a pagar la indemnización constitucional y demás prestaciones a que tenga derecho. </w:t>
      </w:r>
    </w:p>
    <w:p w14:paraId="28DF8127"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Por lo tanto, previo a realizar la suma total de las cantidades que la parte demandada debe pagar al administrado, debe considerarse que la </w:t>
      </w:r>
      <w:r w:rsidRPr="00B70E5E">
        <w:rPr>
          <w:rFonts w:ascii="Arial" w:hAnsi="Arial" w:cs="Arial"/>
          <w:b/>
          <w:i/>
          <w:iCs/>
        </w:rPr>
        <w:t xml:space="preserve">autoridad demandada </w:t>
      </w:r>
      <w:r w:rsidRPr="00B70E5E">
        <w:rPr>
          <w:rFonts w:ascii="Arial" w:hAnsi="Arial" w:cs="Arial"/>
          <w:i/>
          <w:iCs/>
        </w:rPr>
        <w:t xml:space="preserve">no tiene a su disponibilidad el dinero para poder cumplir con un mandato judicial, toda vez que la obtención de dicho recurso debe ser mediante trámite administrativo de traspaso interinstitucional. Por lo que, resulta lógico que al momento en que una </w:t>
      </w:r>
      <w:r w:rsidRPr="00B70E5E">
        <w:rPr>
          <w:rFonts w:ascii="Arial" w:hAnsi="Arial" w:cs="Arial"/>
          <w:b/>
          <w:i/>
          <w:iCs/>
        </w:rPr>
        <w:t xml:space="preserve">autoridad (municipal o estatal) </w:t>
      </w:r>
      <w:r w:rsidRPr="00B70E5E">
        <w:rPr>
          <w:rFonts w:ascii="Arial" w:hAnsi="Arial" w:cs="Arial"/>
          <w:i/>
          <w:iCs/>
        </w:rPr>
        <w:t>es condenada al pago de una cantidad, esta no cuenta con el monto total condenado, en virtud de que dentro de los principios que rigen el Presupuesto Gasto Público y la Contabilidad Gubernamental, no existe una partida específica para cubrir estas eventualidades por el monto condenado y que pudiera seguir actualizándose.</w:t>
      </w:r>
    </w:p>
    <w:p w14:paraId="216A74A2"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lastRenderedPageBreak/>
        <w:t>De ahí, que las normas que rigen el citado Presupuesto y Gasto Público, destaca principalmente lo dispuesto por el artículo 126 de la Constitución Política de los Estados Unidos Mexicanos, en la que</w:t>
      </w:r>
      <w:r w:rsidRPr="00B70E5E">
        <w:rPr>
          <w:rFonts w:ascii="Arial" w:hAnsi="Arial" w:cs="Arial"/>
          <w:b/>
          <w:i/>
          <w:iCs/>
        </w:rPr>
        <w:t xml:space="preserve"> prohíbe disponer de recursos que no se encuentre debidamente presupuestados; </w:t>
      </w:r>
      <w:r w:rsidRPr="00B70E5E">
        <w:rPr>
          <w:rFonts w:ascii="Arial" w:hAnsi="Arial" w:cs="Arial"/>
          <w:i/>
          <w:iCs/>
        </w:rPr>
        <w:t xml:space="preserve">así también, en atención al </w:t>
      </w:r>
      <w:r w:rsidRPr="00B70E5E">
        <w:rPr>
          <w:rFonts w:ascii="Arial" w:hAnsi="Arial" w:cs="Arial"/>
          <w:b/>
          <w:i/>
          <w:iCs/>
        </w:rPr>
        <w:t xml:space="preserve">principio de anualidad presupuestal </w:t>
      </w:r>
      <w:r w:rsidRPr="00B70E5E">
        <w:rPr>
          <w:rFonts w:ascii="Arial" w:hAnsi="Arial" w:cs="Arial"/>
          <w:i/>
          <w:iCs/>
        </w:rPr>
        <w:t xml:space="preserve">que obliga a las autoridades a realizar el presupuesto por año calendario (sic), concatenándolo con </w:t>
      </w:r>
      <w:r w:rsidRPr="00B70E5E">
        <w:rPr>
          <w:rFonts w:ascii="Arial" w:hAnsi="Arial" w:cs="Arial"/>
          <w:b/>
          <w:i/>
          <w:iCs/>
        </w:rPr>
        <w:t xml:space="preserve">el principio de universalidad </w:t>
      </w:r>
      <w:r w:rsidRPr="00B70E5E">
        <w:rPr>
          <w:rFonts w:ascii="Arial" w:hAnsi="Arial" w:cs="Arial"/>
          <w:i/>
          <w:iCs/>
        </w:rPr>
        <w:t xml:space="preserve">del presupuesto que debe contener los ingresos a obtener (sic) a un año y con ello detallar el gasto e inversión de ese mismo año, haciendo evidente de la restricción para una libre disposición de los recursos públicos de tal menara que hace imposible que el día en que se ordena el pago de una prestación, este se realice el mismo día, debido a la serie de trámites y gestaciones a realizar, entre las cuales incluye el traspaso de fondos derivadas de las partidas presupuestales, mismas que se encuentran reguladas  conforme a los artículos 40, 41 y 42 de la Ley Estatal de Presupuesto y Responsabilidad Hacendaria. </w:t>
      </w:r>
    </w:p>
    <w:p w14:paraId="0C093EED" w14:textId="77777777"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Bajo esa tesitura, en el cumplimiento de las liquidaciones ordenadas por autoridad jurisdiccional, </w:t>
      </w:r>
      <w:r w:rsidRPr="00B70E5E">
        <w:rPr>
          <w:rFonts w:ascii="Arial" w:hAnsi="Arial" w:cs="Arial"/>
          <w:b/>
          <w:i/>
          <w:iCs/>
        </w:rPr>
        <w:t xml:space="preserve">siempre existirá un desfase en el tiempo de su ejecución, </w:t>
      </w:r>
      <w:r w:rsidRPr="00B70E5E">
        <w:rPr>
          <w:rFonts w:ascii="Arial" w:hAnsi="Arial" w:cs="Arial"/>
          <w:i/>
          <w:iCs/>
        </w:rPr>
        <w:t xml:space="preserve">por lo que, de condenar a la autoridad a pagar las actualizaciones hasta el cabal cumplimiento de la presente sentencia, se convertiría en indefinidas y por ende en una sentencia materialmente incumplible, sin que pase por desapercibido que esa no es la finalidad del texto estipulado en el artículo 123 apartado B, fracción XIII de la Constitución Política de los Estados Unidos Mexicanos, lo anterior tiene sustento por analogía sustancial en la tesis con número de registro 214183 por los Tribunales Colegiados de Circuito en el Semanario Judicial de la Federación, Tomo XIII, Diciembre de 1993, página 956, Octava Época, así como la Tesis número I.6º. T. 275 L con número de registro 176635 por los Tribunales Colegiados de Circuito en el Semanario Judicial de la Federación y su gaceta, Tomo XXII, Noviembre de 2005, página 931, Novena Época bajo los rubros y textos siguientes: </w:t>
      </w:r>
    </w:p>
    <w:p w14:paraId="59BFB5EE" w14:textId="77777777" w:rsidR="00B70E5E" w:rsidRPr="00B70E5E" w:rsidRDefault="00B70E5E" w:rsidP="004707EC">
      <w:pPr>
        <w:ind w:left="567" w:right="616" w:firstLine="284"/>
        <w:jc w:val="both"/>
        <w:rPr>
          <w:rFonts w:ascii="Arial" w:hAnsi="Arial" w:cs="Arial"/>
          <w:b/>
          <w:i/>
          <w:iCs/>
        </w:rPr>
      </w:pPr>
      <w:r w:rsidRPr="00B70E5E">
        <w:rPr>
          <w:rFonts w:ascii="Arial" w:hAnsi="Arial" w:cs="Arial"/>
          <w:b/>
          <w:i/>
          <w:iCs/>
        </w:rPr>
        <w:t>SALARIOS CAÍDOS. LÍMITE DE SU CUANTIFICACIÓN. […]</w:t>
      </w:r>
    </w:p>
    <w:p w14:paraId="2AB34F44" w14:textId="77777777" w:rsidR="00B70E5E" w:rsidRPr="00B70E5E" w:rsidRDefault="00B70E5E" w:rsidP="004707EC">
      <w:pPr>
        <w:ind w:left="567" w:right="616" w:firstLine="284"/>
        <w:jc w:val="both"/>
        <w:rPr>
          <w:rFonts w:ascii="Arial" w:hAnsi="Arial" w:cs="Arial"/>
          <w:b/>
          <w:i/>
          <w:iCs/>
        </w:rPr>
      </w:pPr>
      <w:r w:rsidRPr="00B70E5E">
        <w:rPr>
          <w:rFonts w:ascii="Arial" w:hAnsi="Arial" w:cs="Arial"/>
          <w:b/>
          <w:i/>
          <w:iCs/>
        </w:rPr>
        <w:t>SALARIOS CAÍDOS, LA CIRCUNSTANCIA DE QUE EL PATRÓN HAYA CUMPLIDO SU PAGO MEDIANTE UN CHEQUE Y EL TRABAJADOR ACUDA A RECIBIRLO EN FECHA POSTERIOR Y DEBIDO A ELLO NO PUDIERA COBRARLO HASTA LA EXHIBICIÓN DE UNO NUEVO, NO TRAE COMO CONSECUENCIA EL AUMENTO DE LA CONDENA. […]</w:t>
      </w:r>
    </w:p>
    <w:p w14:paraId="3BF4BB72" w14:textId="4797A7A7" w:rsidR="00B70E5E" w:rsidRPr="00B70E5E" w:rsidRDefault="00B70E5E" w:rsidP="004707EC">
      <w:pPr>
        <w:ind w:left="567" w:right="616" w:firstLine="284"/>
        <w:jc w:val="both"/>
        <w:rPr>
          <w:rFonts w:ascii="Arial" w:hAnsi="Arial" w:cs="Arial"/>
          <w:i/>
          <w:iCs/>
        </w:rPr>
      </w:pPr>
      <w:r w:rsidRPr="00B70E5E">
        <w:rPr>
          <w:rFonts w:ascii="Arial" w:hAnsi="Arial" w:cs="Arial"/>
          <w:i/>
          <w:iCs/>
        </w:rPr>
        <w:t xml:space="preserve">Por ello, </w:t>
      </w:r>
      <w:r w:rsidRPr="00B70E5E">
        <w:rPr>
          <w:rFonts w:ascii="Arial" w:hAnsi="Arial" w:cs="Arial"/>
          <w:b/>
          <w:i/>
          <w:iCs/>
        </w:rPr>
        <w:t xml:space="preserve">se procede actualizar el concepto de remuneración ordinaria (salarios </w:t>
      </w:r>
      <w:r w:rsidR="007F00D0" w:rsidRPr="00B70E5E">
        <w:rPr>
          <w:rFonts w:ascii="Arial" w:hAnsi="Arial" w:cs="Arial"/>
          <w:b/>
          <w:i/>
          <w:iCs/>
        </w:rPr>
        <w:t>caídos) contados</w:t>
      </w:r>
      <w:r w:rsidRPr="00B70E5E">
        <w:rPr>
          <w:rFonts w:ascii="Arial" w:hAnsi="Arial" w:cs="Arial"/>
          <w:b/>
          <w:i/>
          <w:iCs/>
        </w:rPr>
        <w:t xml:space="preserve"> a partir del die de noviembre de dos mil veinte hasta el día de hoy, </w:t>
      </w:r>
      <w:r w:rsidRPr="00B70E5E">
        <w:rPr>
          <w:rFonts w:ascii="Arial" w:hAnsi="Arial" w:cs="Arial"/>
          <w:i/>
          <w:iCs/>
        </w:rPr>
        <w:t>lo que nos da un total de trecientos sesenta y cinco días (un año), que multiplicados por $</w:t>
      </w:r>
      <w:r w:rsidR="000B3F38">
        <w:rPr>
          <w:rFonts w:ascii="Arial" w:hAnsi="Arial" w:cs="Arial"/>
          <w:i/>
          <w:iCs/>
        </w:rPr>
        <w:t>*******</w:t>
      </w:r>
      <w:r w:rsidR="000B3F38" w:rsidRPr="00B70E5E">
        <w:rPr>
          <w:rFonts w:ascii="Arial" w:hAnsi="Arial" w:cs="Arial"/>
          <w:i/>
          <w:iCs/>
        </w:rPr>
        <w:t xml:space="preserve"> </w:t>
      </w:r>
      <w:r w:rsidRPr="00B70E5E">
        <w:rPr>
          <w:rFonts w:ascii="Arial" w:hAnsi="Arial" w:cs="Arial"/>
          <w:i/>
          <w:iCs/>
        </w:rPr>
        <w:t xml:space="preserve">(Salarios diario) </w:t>
      </w:r>
      <w:r w:rsidRPr="00B70E5E">
        <w:rPr>
          <w:rFonts w:ascii="Arial" w:hAnsi="Arial" w:cs="Arial"/>
          <w:b/>
          <w:i/>
          <w:iCs/>
        </w:rPr>
        <w:t>nos da un total de $</w:t>
      </w:r>
      <w:r w:rsidR="000B3F38">
        <w:rPr>
          <w:rFonts w:ascii="Arial" w:hAnsi="Arial" w:cs="Arial"/>
          <w:i/>
          <w:iCs/>
        </w:rPr>
        <w:t>*******</w:t>
      </w:r>
      <w:r w:rsidRPr="00B70E5E">
        <w:rPr>
          <w:rFonts w:ascii="Arial" w:hAnsi="Arial" w:cs="Arial"/>
          <w:i/>
          <w:iCs/>
        </w:rPr>
        <w:t xml:space="preserve">. </w:t>
      </w:r>
    </w:p>
    <w:p w14:paraId="36C7D2CA" w14:textId="77777777" w:rsidR="00B70E5E" w:rsidRPr="00B70E5E" w:rsidRDefault="00B70E5E" w:rsidP="004707EC">
      <w:pPr>
        <w:ind w:left="567" w:right="616" w:firstLine="284"/>
        <w:jc w:val="both"/>
        <w:rPr>
          <w:rFonts w:ascii="Arial" w:hAnsi="Arial" w:cs="Arial"/>
          <w:i/>
          <w:iCs/>
        </w:rPr>
      </w:pPr>
      <w:r w:rsidRPr="00B70E5E">
        <w:rPr>
          <w:rFonts w:ascii="Arial" w:hAnsi="Arial" w:cs="Arial"/>
          <w:b/>
          <w:i/>
          <w:iCs/>
        </w:rPr>
        <w:t>El limite anterior atiende a los dispuesto por la jurisprudencia número 2ª</w:t>
      </w:r>
      <w:proofErr w:type="gramStart"/>
      <w:r w:rsidRPr="00B70E5E">
        <w:rPr>
          <w:rFonts w:ascii="Arial" w:hAnsi="Arial" w:cs="Arial"/>
          <w:b/>
          <w:i/>
          <w:iCs/>
        </w:rPr>
        <w:t>./</w:t>
      </w:r>
      <w:proofErr w:type="gramEnd"/>
      <w:r w:rsidRPr="00B70E5E">
        <w:rPr>
          <w:rFonts w:ascii="Arial" w:hAnsi="Arial" w:cs="Arial"/>
          <w:b/>
          <w:i/>
          <w:iCs/>
        </w:rPr>
        <w:t xml:space="preserve">J. 28/2016 (10ª.), con número de registro 2011180, </w:t>
      </w:r>
      <w:r w:rsidRPr="00B70E5E">
        <w:rPr>
          <w:rFonts w:ascii="Arial" w:hAnsi="Arial" w:cs="Arial"/>
          <w:i/>
          <w:iCs/>
        </w:rPr>
        <w:t>Gaceta del Semanario Judicial de la Federación Decima Época, 2011180, 1 de 1, Segunda Sala, Libro 28, Marzo de 2016, Tomo II, Página 1264 materia Constitucional, Laboral, bajo el rubro y texto siguiente:</w:t>
      </w:r>
    </w:p>
    <w:p w14:paraId="3EDBAE38" w14:textId="3B9576DB" w:rsidR="00601B5F" w:rsidRDefault="00B70E5E" w:rsidP="007F00D0">
      <w:pPr>
        <w:spacing w:before="240"/>
        <w:ind w:left="567" w:right="616" w:firstLine="284"/>
        <w:jc w:val="both"/>
        <w:rPr>
          <w:rFonts w:ascii="Arial" w:eastAsia="Calibri" w:hAnsi="Arial" w:cs="Arial"/>
          <w:bCs/>
          <w:sz w:val="26"/>
          <w:szCs w:val="26"/>
        </w:rPr>
      </w:pPr>
      <w:r w:rsidRPr="00B70E5E">
        <w:rPr>
          <w:rFonts w:ascii="Arial" w:hAnsi="Arial" w:cs="Arial"/>
          <w:b/>
          <w:bCs/>
          <w:i/>
          <w:iCs/>
        </w:rPr>
        <w:t>SALARIOS CAÍDOS. LA REFORMA AL ARTÍCULO 48, PÁRRAFO SEGUNDO, DE LA LEY FEDERAL DEL TRABAJO, DE 30 DE NOVIEMBRE DE 2012, NO TRANSGREDE EL PRINCIPIO DE PROGRESIVIDAD NI ES VIOLATORIA DE DERECHOS HUMANOS. […]</w:t>
      </w:r>
      <w:r w:rsidR="00601B5F" w:rsidRPr="00B70E5E">
        <w:rPr>
          <w:rFonts w:ascii="Arial" w:eastAsia="Calibri" w:hAnsi="Arial" w:cs="Arial"/>
          <w:bCs/>
          <w:i/>
          <w:iCs/>
        </w:rPr>
        <w:t>”</w:t>
      </w:r>
      <w:r w:rsidR="00401FF6">
        <w:rPr>
          <w:rFonts w:ascii="Arial" w:eastAsia="Calibri" w:hAnsi="Arial" w:cs="Arial"/>
          <w:bCs/>
          <w:i/>
          <w:iCs/>
        </w:rPr>
        <w:t xml:space="preserve"> </w:t>
      </w:r>
      <w:r w:rsidR="00401FF6" w:rsidRPr="00401FF6">
        <w:rPr>
          <w:rFonts w:ascii="Arial" w:eastAsia="Calibri" w:hAnsi="Arial" w:cs="Arial"/>
          <w:bCs/>
          <w:sz w:val="26"/>
          <w:szCs w:val="26"/>
        </w:rPr>
        <w:t>(Lo subrayado es propio)</w:t>
      </w:r>
    </w:p>
    <w:p w14:paraId="74F22A6F" w14:textId="2007964D" w:rsidR="000A6147" w:rsidRPr="006C7AFD" w:rsidRDefault="00DA5F0A" w:rsidP="007F00D0">
      <w:pPr>
        <w:widowControl w:val="0"/>
        <w:tabs>
          <w:tab w:val="left" w:pos="0"/>
        </w:tabs>
        <w:spacing w:before="240" w:line="360" w:lineRule="auto"/>
        <w:ind w:right="18"/>
        <w:jc w:val="both"/>
        <w:rPr>
          <w:rFonts w:ascii="Arial" w:eastAsia="Times New Roman" w:hAnsi="Arial" w:cs="Arial"/>
          <w:color w:val="000000"/>
          <w:sz w:val="26"/>
          <w:szCs w:val="26"/>
        </w:rPr>
      </w:pPr>
      <w:r>
        <w:rPr>
          <w:rFonts w:ascii="Arial" w:eastAsia="Calibri" w:hAnsi="Arial" w:cs="Arial"/>
          <w:bCs/>
          <w:sz w:val="26"/>
          <w:szCs w:val="26"/>
        </w:rPr>
        <w:lastRenderedPageBreak/>
        <w:tab/>
      </w:r>
      <w:r w:rsidR="00FB7079">
        <w:rPr>
          <w:rFonts w:ascii="Arial" w:eastAsia="Calibri" w:hAnsi="Arial" w:cs="Arial"/>
          <w:bCs/>
          <w:sz w:val="26"/>
          <w:szCs w:val="26"/>
        </w:rPr>
        <w:t xml:space="preserve">Si bien en </w:t>
      </w:r>
      <w:r w:rsidR="004E3D7B">
        <w:rPr>
          <w:rFonts w:ascii="Arial" w:eastAsia="Calibri" w:hAnsi="Arial" w:cs="Arial"/>
          <w:bCs/>
          <w:sz w:val="26"/>
          <w:szCs w:val="26"/>
        </w:rPr>
        <w:t>l</w:t>
      </w:r>
      <w:r w:rsidR="00C9403E">
        <w:rPr>
          <w:rFonts w:ascii="Arial" w:eastAsia="Calibri" w:hAnsi="Arial" w:cs="Arial"/>
          <w:bCs/>
          <w:sz w:val="26"/>
          <w:szCs w:val="26"/>
        </w:rPr>
        <w:t xml:space="preserve">a parte </w:t>
      </w:r>
      <w:r w:rsidR="00FB7079">
        <w:rPr>
          <w:rFonts w:ascii="Arial" w:eastAsia="Calibri" w:hAnsi="Arial" w:cs="Arial"/>
          <w:bCs/>
          <w:sz w:val="26"/>
          <w:szCs w:val="26"/>
        </w:rPr>
        <w:t xml:space="preserve">subrayada de </w:t>
      </w:r>
      <w:r w:rsidR="00C9403E">
        <w:rPr>
          <w:rFonts w:ascii="Arial" w:eastAsia="Calibri" w:hAnsi="Arial" w:cs="Arial"/>
          <w:bCs/>
          <w:sz w:val="26"/>
          <w:szCs w:val="26"/>
        </w:rPr>
        <w:t xml:space="preserve">la transcripción anterior, se advierte que la </w:t>
      </w:r>
      <w:r w:rsidR="00342644">
        <w:rPr>
          <w:rFonts w:ascii="Arial" w:eastAsia="Calibri" w:hAnsi="Arial" w:cs="Arial"/>
          <w:bCs/>
          <w:sz w:val="26"/>
          <w:szCs w:val="26"/>
        </w:rPr>
        <w:t xml:space="preserve">juzgadora indicó </w:t>
      </w:r>
      <w:r w:rsidR="00342644" w:rsidRPr="007F00D0">
        <w:rPr>
          <w:rFonts w:ascii="Arial" w:eastAsia="Calibri" w:hAnsi="Arial" w:cs="Arial"/>
          <w:bCs/>
          <w:i/>
          <w:iCs/>
          <w:sz w:val="26"/>
          <w:szCs w:val="26"/>
        </w:rPr>
        <w:t>“</w:t>
      </w:r>
      <w:r w:rsidR="00401FF6" w:rsidRPr="007F00D0">
        <w:rPr>
          <w:rFonts w:ascii="Arial" w:hAnsi="Arial" w:cs="Arial"/>
          <w:bCs/>
          <w:i/>
          <w:iCs/>
          <w:sz w:val="26"/>
          <w:szCs w:val="26"/>
        </w:rPr>
        <w:t>la autoridad competente para dar por terminada dicha relación lo es el Consejo Local de Profesionalización, mediante el procedimiento administrativo respectivo, sea porque el servidor público incurrió en una responsabilidad administrativa o porque incumplió con los requisitos de permanencia establecidos en la Ley</w:t>
      </w:r>
      <w:r w:rsidR="00342644" w:rsidRPr="007F00D0">
        <w:rPr>
          <w:rFonts w:ascii="Arial" w:eastAsia="Calibri" w:hAnsi="Arial" w:cs="Arial"/>
          <w:bCs/>
          <w:i/>
          <w:iCs/>
          <w:sz w:val="26"/>
          <w:szCs w:val="26"/>
        </w:rPr>
        <w:t>”</w:t>
      </w:r>
      <w:r w:rsidR="00342644">
        <w:rPr>
          <w:rFonts w:ascii="Arial" w:eastAsia="Calibri" w:hAnsi="Arial" w:cs="Arial"/>
          <w:bCs/>
          <w:sz w:val="26"/>
          <w:szCs w:val="26"/>
        </w:rPr>
        <w:t xml:space="preserve"> sin precisar la Ley</w:t>
      </w:r>
      <w:r w:rsidR="00FB7079">
        <w:rPr>
          <w:rFonts w:ascii="Arial" w:eastAsia="Calibri" w:hAnsi="Arial" w:cs="Arial"/>
          <w:bCs/>
          <w:sz w:val="26"/>
          <w:szCs w:val="26"/>
        </w:rPr>
        <w:t xml:space="preserve"> </w:t>
      </w:r>
      <w:r w:rsidR="00342644">
        <w:rPr>
          <w:rFonts w:ascii="Arial" w:eastAsia="Calibri" w:hAnsi="Arial" w:cs="Arial"/>
          <w:bCs/>
          <w:sz w:val="26"/>
          <w:szCs w:val="26"/>
        </w:rPr>
        <w:t xml:space="preserve">en la que se señalen las faltas administrativas o los requisitos de permanencia en el cargo como Agente Estatal de Investigaciones de la Fiscalía General del Estado de Oaxaca, omisión </w:t>
      </w:r>
      <w:r w:rsidR="00B30400">
        <w:rPr>
          <w:rFonts w:ascii="Arial" w:eastAsia="Calibri" w:hAnsi="Arial" w:cs="Arial"/>
          <w:bCs/>
          <w:sz w:val="26"/>
          <w:szCs w:val="26"/>
        </w:rPr>
        <w:t xml:space="preserve">que da lugar a que se considere </w:t>
      </w:r>
      <w:r w:rsidR="00B30400" w:rsidRPr="00516419">
        <w:rPr>
          <w:rFonts w:ascii="Arial" w:eastAsia="Calibri" w:hAnsi="Arial" w:cs="Arial"/>
          <w:b/>
          <w:sz w:val="26"/>
          <w:szCs w:val="26"/>
        </w:rPr>
        <w:t>fundado</w:t>
      </w:r>
      <w:r w:rsidR="00B30400">
        <w:rPr>
          <w:rFonts w:ascii="Arial" w:eastAsia="Calibri" w:hAnsi="Arial" w:cs="Arial"/>
          <w:bCs/>
          <w:sz w:val="26"/>
          <w:szCs w:val="26"/>
        </w:rPr>
        <w:t xml:space="preserve"> lo argumentado por los recurrentes; </w:t>
      </w:r>
      <w:r w:rsidR="00B30400" w:rsidRPr="00F6266D">
        <w:rPr>
          <w:rFonts w:ascii="Arial" w:eastAsia="Calibri" w:hAnsi="Arial" w:cs="Arial"/>
          <w:bCs/>
          <w:sz w:val="26"/>
          <w:szCs w:val="26"/>
        </w:rPr>
        <w:t>sin embargo,</w:t>
      </w:r>
      <w:r w:rsidR="00B30400" w:rsidRPr="00516419">
        <w:rPr>
          <w:rFonts w:ascii="Arial" w:eastAsia="Calibri" w:hAnsi="Arial" w:cs="Arial"/>
          <w:b/>
          <w:sz w:val="26"/>
          <w:szCs w:val="26"/>
        </w:rPr>
        <w:t xml:space="preserve"> </w:t>
      </w:r>
      <w:r w:rsidR="00F6266D">
        <w:rPr>
          <w:rFonts w:ascii="Arial" w:eastAsia="Calibri" w:hAnsi="Arial" w:cs="Arial"/>
          <w:bCs/>
          <w:sz w:val="26"/>
          <w:szCs w:val="26"/>
        </w:rPr>
        <w:t xml:space="preserve">se advierte con claridad y sin hacer uso del arbitrio jurisdiccional, que los recurrentes carecen en el fondo de razón, pues ninguna utilidad les traería que la sentencia se revocara con la finalidad de que la juzgadora precise la ley que omitió en esa parte de la sentencia en estudio, en virtud de que de esa ley </w:t>
      </w:r>
      <w:r w:rsidR="00F23BD8">
        <w:rPr>
          <w:rFonts w:ascii="Arial" w:eastAsia="Calibri" w:hAnsi="Arial" w:cs="Arial"/>
          <w:bCs/>
          <w:sz w:val="26"/>
          <w:szCs w:val="26"/>
        </w:rPr>
        <w:t>no depend</w:t>
      </w:r>
      <w:r w:rsidR="00F6266D">
        <w:rPr>
          <w:rFonts w:ascii="Arial" w:eastAsia="Calibri" w:hAnsi="Arial" w:cs="Arial"/>
          <w:bCs/>
          <w:sz w:val="26"/>
          <w:szCs w:val="26"/>
        </w:rPr>
        <w:t xml:space="preserve">e </w:t>
      </w:r>
      <w:r w:rsidR="00F23BD8">
        <w:rPr>
          <w:rFonts w:ascii="Arial" w:eastAsia="Calibri" w:hAnsi="Arial" w:cs="Arial"/>
          <w:bCs/>
          <w:sz w:val="26"/>
          <w:szCs w:val="26"/>
        </w:rPr>
        <w:t xml:space="preserve">la </w:t>
      </w:r>
      <w:r w:rsidR="00A501A8">
        <w:rPr>
          <w:rFonts w:ascii="Arial" w:eastAsia="Calibri" w:hAnsi="Arial" w:cs="Arial"/>
          <w:bCs/>
          <w:sz w:val="26"/>
          <w:szCs w:val="26"/>
        </w:rPr>
        <w:t>solución de fondo del asunto</w:t>
      </w:r>
      <w:r w:rsidR="00F6266D">
        <w:rPr>
          <w:rFonts w:ascii="Arial" w:eastAsia="Calibri" w:hAnsi="Arial" w:cs="Arial"/>
          <w:bCs/>
          <w:sz w:val="26"/>
          <w:szCs w:val="26"/>
        </w:rPr>
        <w:t>;</w:t>
      </w:r>
      <w:r w:rsidR="00A501A8">
        <w:rPr>
          <w:rFonts w:ascii="Arial" w:eastAsia="Calibri" w:hAnsi="Arial" w:cs="Arial"/>
          <w:bCs/>
          <w:sz w:val="26"/>
          <w:szCs w:val="26"/>
        </w:rPr>
        <w:t xml:space="preserve"> </w:t>
      </w:r>
      <w:r w:rsidR="00F6266D">
        <w:rPr>
          <w:rFonts w:ascii="Arial" w:eastAsia="Calibri" w:hAnsi="Arial" w:cs="Arial"/>
          <w:bCs/>
          <w:sz w:val="26"/>
          <w:szCs w:val="26"/>
        </w:rPr>
        <w:t xml:space="preserve">pues </w:t>
      </w:r>
      <w:r w:rsidR="00A501A8">
        <w:rPr>
          <w:rFonts w:ascii="Arial" w:eastAsia="Calibri" w:hAnsi="Arial" w:cs="Arial"/>
          <w:bCs/>
          <w:sz w:val="26"/>
          <w:szCs w:val="26"/>
        </w:rPr>
        <w:t xml:space="preserve">la sentencia </w:t>
      </w:r>
      <w:r>
        <w:rPr>
          <w:rFonts w:ascii="Arial" w:eastAsia="Calibri" w:hAnsi="Arial" w:cs="Arial"/>
          <w:bCs/>
          <w:sz w:val="26"/>
          <w:szCs w:val="26"/>
        </w:rPr>
        <w:t xml:space="preserve">se </w:t>
      </w:r>
      <w:r w:rsidR="00DC07AE">
        <w:rPr>
          <w:rFonts w:ascii="Arial" w:eastAsia="Calibri" w:hAnsi="Arial" w:cs="Arial"/>
          <w:bCs/>
          <w:sz w:val="26"/>
          <w:szCs w:val="26"/>
        </w:rPr>
        <w:t xml:space="preserve">sustentó en los artículos 123, </w:t>
      </w:r>
      <w:r w:rsidR="00A501A8">
        <w:rPr>
          <w:rFonts w:ascii="Arial" w:eastAsia="Calibri" w:hAnsi="Arial" w:cs="Arial"/>
          <w:bCs/>
          <w:sz w:val="26"/>
          <w:szCs w:val="26"/>
        </w:rPr>
        <w:t>apartado B, fracción XIII de la Constitución Política de los Estados Unidos Mexicanos, así como 25, 28, 40 y 84 de la ley  Orgánica de la Fiscalía General del Estado</w:t>
      </w:r>
      <w:r w:rsidR="00BE481D">
        <w:rPr>
          <w:rFonts w:ascii="Arial" w:eastAsia="Calibri" w:hAnsi="Arial" w:cs="Arial"/>
          <w:bCs/>
          <w:sz w:val="26"/>
          <w:szCs w:val="26"/>
        </w:rPr>
        <w:t xml:space="preserve">; </w:t>
      </w:r>
      <w:r w:rsidR="003426E8">
        <w:rPr>
          <w:rFonts w:ascii="Arial" w:eastAsia="Calibri" w:hAnsi="Arial" w:cs="Arial"/>
          <w:bCs/>
          <w:sz w:val="26"/>
          <w:szCs w:val="26"/>
        </w:rPr>
        <w:t xml:space="preserve">por ende, </w:t>
      </w:r>
      <w:r w:rsidR="00BE481D">
        <w:rPr>
          <w:rFonts w:ascii="Arial" w:eastAsia="Calibri" w:hAnsi="Arial" w:cs="Arial"/>
          <w:bCs/>
          <w:sz w:val="26"/>
          <w:szCs w:val="26"/>
        </w:rPr>
        <w:t>se colige</w:t>
      </w:r>
      <w:r w:rsidR="00B30400" w:rsidRPr="00B30400">
        <w:rPr>
          <w:rFonts w:ascii="Arial" w:eastAsia="Calibri" w:hAnsi="Arial" w:cs="Arial"/>
          <w:bCs/>
          <w:sz w:val="26"/>
          <w:szCs w:val="26"/>
        </w:rPr>
        <w:t xml:space="preserve"> </w:t>
      </w:r>
      <w:r w:rsidR="00B30400">
        <w:rPr>
          <w:rFonts w:ascii="Arial" w:eastAsia="Calibri" w:hAnsi="Arial" w:cs="Arial"/>
          <w:bCs/>
          <w:sz w:val="26"/>
          <w:szCs w:val="26"/>
        </w:rPr>
        <w:t>irrelevante, l</w:t>
      </w:r>
      <w:r w:rsidR="00BE481D">
        <w:rPr>
          <w:rFonts w:ascii="Arial" w:eastAsia="Calibri" w:hAnsi="Arial" w:cs="Arial"/>
          <w:bCs/>
          <w:sz w:val="26"/>
          <w:szCs w:val="26"/>
        </w:rPr>
        <w:t xml:space="preserve">o argumentado por los recurrentes para refutar la sentencia en revisión, pues con sus </w:t>
      </w:r>
      <w:r w:rsidR="00BC0955">
        <w:rPr>
          <w:rFonts w:ascii="Arial" w:eastAsia="Calibri" w:hAnsi="Arial" w:cs="Arial"/>
          <w:bCs/>
          <w:sz w:val="26"/>
          <w:szCs w:val="26"/>
        </w:rPr>
        <w:t>impugnaci</w:t>
      </w:r>
      <w:r w:rsidR="00BE481D">
        <w:rPr>
          <w:rFonts w:ascii="Arial" w:eastAsia="Calibri" w:hAnsi="Arial" w:cs="Arial"/>
          <w:bCs/>
          <w:sz w:val="26"/>
          <w:szCs w:val="26"/>
        </w:rPr>
        <w:t xml:space="preserve">ones debieron </w:t>
      </w:r>
      <w:r w:rsidR="000A6147">
        <w:rPr>
          <w:rFonts w:ascii="Arial" w:hAnsi="Arial" w:cs="Arial"/>
          <w:sz w:val="26"/>
          <w:szCs w:val="26"/>
        </w:rPr>
        <w:t>refuta</w:t>
      </w:r>
      <w:r w:rsidR="00BC0955">
        <w:rPr>
          <w:rFonts w:ascii="Arial" w:hAnsi="Arial" w:cs="Arial"/>
          <w:sz w:val="26"/>
          <w:szCs w:val="26"/>
        </w:rPr>
        <w:t>r</w:t>
      </w:r>
      <w:r w:rsidR="000A6147">
        <w:rPr>
          <w:rFonts w:ascii="Arial" w:hAnsi="Arial" w:cs="Arial"/>
          <w:sz w:val="26"/>
          <w:szCs w:val="26"/>
        </w:rPr>
        <w:t xml:space="preserve"> los razonamientos vertidos por la Magistrada en </w:t>
      </w:r>
      <w:r w:rsidR="000A6147" w:rsidRPr="000A0205">
        <w:rPr>
          <w:rFonts w:ascii="Arial" w:hAnsi="Arial" w:cs="Arial"/>
          <w:sz w:val="26"/>
          <w:szCs w:val="26"/>
        </w:rPr>
        <w:t xml:space="preserve">las consideraciones en que se </w:t>
      </w:r>
      <w:r w:rsidR="008E0871">
        <w:rPr>
          <w:rFonts w:ascii="Arial" w:hAnsi="Arial" w:cs="Arial"/>
          <w:sz w:val="26"/>
          <w:szCs w:val="26"/>
        </w:rPr>
        <w:t xml:space="preserve">basó </w:t>
      </w:r>
      <w:r w:rsidR="000A6147" w:rsidRPr="000A0205">
        <w:rPr>
          <w:rFonts w:ascii="Arial" w:hAnsi="Arial" w:cs="Arial"/>
          <w:sz w:val="26"/>
          <w:szCs w:val="26"/>
        </w:rPr>
        <w:t xml:space="preserve">el fallo alzado, </w:t>
      </w:r>
      <w:r w:rsidR="000A6147">
        <w:rPr>
          <w:rFonts w:ascii="Arial" w:hAnsi="Arial" w:cs="Arial"/>
          <w:sz w:val="26"/>
          <w:szCs w:val="26"/>
        </w:rPr>
        <w:t xml:space="preserve">lo que </w:t>
      </w:r>
      <w:r w:rsidR="00BC0955">
        <w:rPr>
          <w:rFonts w:ascii="Arial" w:hAnsi="Arial" w:cs="Arial"/>
          <w:sz w:val="26"/>
          <w:szCs w:val="26"/>
        </w:rPr>
        <w:t>no hi</w:t>
      </w:r>
      <w:r w:rsidR="008E0871">
        <w:rPr>
          <w:rFonts w:ascii="Arial" w:hAnsi="Arial" w:cs="Arial"/>
          <w:sz w:val="26"/>
          <w:szCs w:val="26"/>
        </w:rPr>
        <w:t xml:space="preserve">cieron </w:t>
      </w:r>
      <w:r w:rsidR="00BC0955">
        <w:rPr>
          <w:rFonts w:ascii="Arial" w:hAnsi="Arial" w:cs="Arial"/>
          <w:sz w:val="26"/>
          <w:szCs w:val="26"/>
        </w:rPr>
        <w:t xml:space="preserve">y </w:t>
      </w:r>
      <w:r w:rsidR="000A6147">
        <w:rPr>
          <w:rFonts w:ascii="Arial" w:hAnsi="Arial" w:cs="Arial"/>
          <w:sz w:val="26"/>
          <w:szCs w:val="26"/>
        </w:rPr>
        <w:t xml:space="preserve">era menester que </w:t>
      </w:r>
      <w:r w:rsidR="008E0871">
        <w:rPr>
          <w:rFonts w:ascii="Arial" w:hAnsi="Arial" w:cs="Arial"/>
          <w:sz w:val="26"/>
          <w:szCs w:val="26"/>
        </w:rPr>
        <w:t>realizaran</w:t>
      </w:r>
      <w:r w:rsidR="00BC0955">
        <w:rPr>
          <w:rFonts w:ascii="Arial" w:hAnsi="Arial" w:cs="Arial"/>
          <w:sz w:val="26"/>
          <w:szCs w:val="26"/>
        </w:rPr>
        <w:t xml:space="preserve">, pues </w:t>
      </w:r>
      <w:r w:rsidR="000A6147">
        <w:rPr>
          <w:rFonts w:ascii="Arial" w:hAnsi="Arial" w:cs="Arial"/>
          <w:sz w:val="26"/>
          <w:szCs w:val="26"/>
        </w:rPr>
        <w:t xml:space="preserve">fue precisamente en atención a ellas que </w:t>
      </w:r>
      <w:r w:rsidR="008E0871">
        <w:rPr>
          <w:rFonts w:ascii="Arial" w:hAnsi="Arial" w:cs="Arial"/>
          <w:sz w:val="26"/>
          <w:szCs w:val="26"/>
        </w:rPr>
        <w:t xml:space="preserve">la Magistrada </w:t>
      </w:r>
      <w:r w:rsidR="000A6147" w:rsidRPr="00A171F4">
        <w:rPr>
          <w:rFonts w:ascii="Arial" w:hAnsi="Arial" w:cs="Arial"/>
          <w:sz w:val="26"/>
          <w:szCs w:val="26"/>
        </w:rPr>
        <w:t>declar</w:t>
      </w:r>
      <w:r w:rsidR="000A6147">
        <w:rPr>
          <w:rFonts w:ascii="Arial" w:hAnsi="Arial" w:cs="Arial"/>
          <w:sz w:val="26"/>
          <w:szCs w:val="26"/>
        </w:rPr>
        <w:t>ó</w:t>
      </w:r>
      <w:r w:rsidR="000A6147">
        <w:rPr>
          <w:rFonts w:ascii="Arial" w:hAnsi="Arial" w:cs="Arial"/>
          <w:bCs/>
          <w:sz w:val="26"/>
          <w:szCs w:val="26"/>
        </w:rPr>
        <w:t xml:space="preserve"> </w:t>
      </w:r>
      <w:r w:rsidR="000A6147" w:rsidRPr="00A171F4">
        <w:rPr>
          <w:rFonts w:ascii="Arial" w:hAnsi="Arial" w:cs="Arial"/>
          <w:sz w:val="26"/>
          <w:szCs w:val="26"/>
        </w:rPr>
        <w:t xml:space="preserve">la </w:t>
      </w:r>
      <w:r w:rsidR="000A6147">
        <w:rPr>
          <w:rFonts w:ascii="Arial" w:hAnsi="Arial" w:cs="Arial"/>
          <w:b/>
          <w:sz w:val="26"/>
          <w:szCs w:val="26"/>
        </w:rPr>
        <w:t xml:space="preserve">NULIDAD LISA Y LLANA </w:t>
      </w:r>
      <w:r w:rsidR="000A6147">
        <w:rPr>
          <w:rFonts w:ascii="Arial" w:eastAsia="Calibri" w:hAnsi="Arial" w:cs="Arial"/>
          <w:bCs/>
          <w:sz w:val="26"/>
          <w:szCs w:val="26"/>
        </w:rPr>
        <w:t xml:space="preserve">de los oficios </w:t>
      </w:r>
      <w:r w:rsidR="00275BEA">
        <w:rPr>
          <w:rFonts w:ascii="Arial" w:eastAsia="Calibri" w:hAnsi="Arial" w:cs="Arial"/>
          <w:bCs/>
          <w:sz w:val="26"/>
          <w:szCs w:val="26"/>
        </w:rPr>
        <w:t>*******</w:t>
      </w:r>
      <w:r w:rsidR="000A6147">
        <w:rPr>
          <w:rFonts w:ascii="Arial" w:eastAsia="Calibri" w:hAnsi="Arial" w:cs="Arial"/>
          <w:bCs/>
          <w:sz w:val="26"/>
          <w:szCs w:val="26"/>
        </w:rPr>
        <w:t xml:space="preserve"> de tres de septiembre de dos mil veinte y </w:t>
      </w:r>
      <w:r w:rsidR="00275BEA">
        <w:rPr>
          <w:rFonts w:ascii="Arial" w:eastAsia="Calibri" w:hAnsi="Arial" w:cs="Arial"/>
          <w:bCs/>
          <w:sz w:val="26"/>
          <w:szCs w:val="26"/>
        </w:rPr>
        <w:t>*******</w:t>
      </w:r>
      <w:r w:rsidR="000A6147">
        <w:rPr>
          <w:rFonts w:ascii="Arial" w:eastAsia="Calibri" w:hAnsi="Arial" w:cs="Arial"/>
          <w:bCs/>
          <w:sz w:val="26"/>
          <w:szCs w:val="26"/>
        </w:rPr>
        <w:t xml:space="preserve"> de siete de septiembre de dos mil veinte, emitidos respectivamente por el Director de Asuntos Jurídicos y por el Oficial Mayor, ambos de la Fiscalía General del Estado de Oaxaca</w:t>
      </w:r>
      <w:r w:rsidR="008E0871">
        <w:rPr>
          <w:rFonts w:ascii="Arial" w:eastAsia="Calibri" w:hAnsi="Arial" w:cs="Arial"/>
          <w:bCs/>
          <w:sz w:val="26"/>
          <w:szCs w:val="26"/>
        </w:rPr>
        <w:t xml:space="preserve">. De ahí que </w:t>
      </w:r>
      <w:r w:rsidR="00F6266D" w:rsidRPr="00F6266D">
        <w:rPr>
          <w:rFonts w:ascii="Arial" w:eastAsia="Calibri" w:hAnsi="Arial" w:cs="Arial"/>
          <w:b/>
          <w:sz w:val="26"/>
          <w:szCs w:val="26"/>
        </w:rPr>
        <w:t xml:space="preserve">devenga </w:t>
      </w:r>
      <w:r w:rsidR="000A6147">
        <w:rPr>
          <w:rFonts w:ascii="Arial" w:hAnsi="Arial" w:cs="Arial"/>
          <w:b/>
          <w:bCs/>
          <w:sz w:val="26"/>
          <w:szCs w:val="26"/>
        </w:rPr>
        <w:t>INOPERANTE</w:t>
      </w:r>
      <w:r w:rsidR="00BC0955">
        <w:rPr>
          <w:rFonts w:ascii="Arial" w:hAnsi="Arial" w:cs="Arial"/>
          <w:b/>
          <w:bCs/>
          <w:sz w:val="26"/>
          <w:szCs w:val="26"/>
        </w:rPr>
        <w:t xml:space="preserve"> </w:t>
      </w:r>
      <w:r w:rsidR="000A6147">
        <w:rPr>
          <w:rFonts w:ascii="Arial" w:hAnsi="Arial" w:cs="Arial"/>
          <w:bCs/>
          <w:sz w:val="26"/>
          <w:szCs w:val="26"/>
        </w:rPr>
        <w:t xml:space="preserve">lo </w:t>
      </w:r>
      <w:r w:rsidR="008E0871">
        <w:rPr>
          <w:rFonts w:ascii="Arial" w:hAnsi="Arial" w:cs="Arial"/>
          <w:bCs/>
          <w:sz w:val="26"/>
          <w:szCs w:val="26"/>
        </w:rPr>
        <w:t xml:space="preserve">alegado </w:t>
      </w:r>
      <w:r w:rsidR="000A6147">
        <w:rPr>
          <w:rFonts w:ascii="Arial" w:hAnsi="Arial" w:cs="Arial"/>
          <w:bCs/>
          <w:sz w:val="26"/>
          <w:szCs w:val="26"/>
        </w:rPr>
        <w:t xml:space="preserve">por los recurrentes, </w:t>
      </w:r>
      <w:r w:rsidR="00F6266D">
        <w:rPr>
          <w:rFonts w:ascii="Arial" w:hAnsi="Arial" w:cs="Arial"/>
          <w:bCs/>
          <w:sz w:val="26"/>
          <w:szCs w:val="26"/>
        </w:rPr>
        <w:t>por consiguiente</w:t>
      </w:r>
      <w:r w:rsidR="000A6147">
        <w:rPr>
          <w:rFonts w:ascii="Arial" w:hAnsi="Arial" w:cs="Arial"/>
          <w:bCs/>
          <w:sz w:val="26"/>
          <w:szCs w:val="26"/>
        </w:rPr>
        <w:t xml:space="preserve">, </w:t>
      </w:r>
      <w:r w:rsidR="000A6147">
        <w:rPr>
          <w:rFonts w:ascii="Arial" w:hAnsi="Arial" w:cs="Arial"/>
          <w:sz w:val="26"/>
          <w:szCs w:val="26"/>
        </w:rPr>
        <w:t xml:space="preserve">lo determinado por la Primera Instancia sigue rigiendo el sentido de la sentencia </w:t>
      </w:r>
      <w:r w:rsidR="000E2B7D">
        <w:rPr>
          <w:rFonts w:ascii="Arial" w:hAnsi="Arial" w:cs="Arial"/>
          <w:sz w:val="26"/>
          <w:szCs w:val="26"/>
        </w:rPr>
        <w:t>de</w:t>
      </w:r>
      <w:r w:rsidR="007F4F15">
        <w:rPr>
          <w:rFonts w:ascii="Arial" w:hAnsi="Arial" w:cs="Arial"/>
          <w:sz w:val="26"/>
          <w:szCs w:val="26"/>
        </w:rPr>
        <w:t>batida</w:t>
      </w:r>
      <w:r w:rsidR="000A6147">
        <w:rPr>
          <w:rFonts w:ascii="Arial" w:hAnsi="Arial" w:cs="Arial"/>
          <w:sz w:val="26"/>
          <w:szCs w:val="26"/>
        </w:rPr>
        <w:t xml:space="preserve">. </w:t>
      </w:r>
      <w:r w:rsidR="007F00D0">
        <w:rPr>
          <w:rFonts w:ascii="Arial" w:hAnsi="Arial" w:cs="Arial"/>
          <w:sz w:val="26"/>
          <w:szCs w:val="26"/>
        </w:rPr>
        <w:t>- - - - - - - -</w:t>
      </w:r>
      <w:r w:rsidR="000B3F38">
        <w:rPr>
          <w:rFonts w:ascii="Arial" w:hAnsi="Arial" w:cs="Arial"/>
          <w:sz w:val="26"/>
          <w:szCs w:val="26"/>
        </w:rPr>
        <w:t xml:space="preserve"> - - - - - - - - - - - - - - - - - - - -</w:t>
      </w:r>
    </w:p>
    <w:p w14:paraId="4F53EA75" w14:textId="25F51158" w:rsidR="005E160F" w:rsidRDefault="000A6147" w:rsidP="005E160F">
      <w:pPr>
        <w:tabs>
          <w:tab w:val="left" w:pos="5670"/>
        </w:tabs>
        <w:spacing w:before="240" w:after="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Al respecto es aplicable </w:t>
      </w:r>
      <w:r w:rsidRPr="00BF2FBD">
        <w:rPr>
          <w:rFonts w:ascii="Arial" w:eastAsiaTheme="minorHAnsi" w:hAnsi="Arial" w:cs="Arial"/>
          <w:bCs/>
          <w:color w:val="000000"/>
          <w:sz w:val="26"/>
          <w:szCs w:val="26"/>
          <w:lang w:eastAsia="en-US"/>
        </w:rPr>
        <w:t xml:space="preserve">la </w:t>
      </w:r>
      <w:r>
        <w:rPr>
          <w:rFonts w:ascii="Arial" w:eastAsiaTheme="minorHAnsi" w:hAnsi="Arial" w:cs="Arial"/>
          <w:bCs/>
          <w:color w:val="000000"/>
          <w:sz w:val="26"/>
          <w:szCs w:val="26"/>
          <w:lang w:eastAsia="en-US"/>
        </w:rPr>
        <w:t xml:space="preserve">Jurisprudencia en materia administrativa número </w:t>
      </w:r>
      <w:r w:rsidR="001E6964">
        <w:rPr>
          <w:rFonts w:ascii="Arial" w:eastAsiaTheme="minorHAnsi" w:hAnsi="Arial" w:cs="Arial"/>
          <w:bCs/>
          <w:color w:val="000000"/>
          <w:sz w:val="26"/>
          <w:szCs w:val="26"/>
          <w:lang w:eastAsia="en-US"/>
        </w:rPr>
        <w:t>V</w:t>
      </w:r>
      <w:r w:rsidR="008E0578">
        <w:rPr>
          <w:rFonts w:ascii="Arial" w:eastAsiaTheme="minorHAnsi" w:hAnsi="Arial" w:cs="Arial"/>
          <w:bCs/>
          <w:color w:val="000000"/>
          <w:sz w:val="26"/>
          <w:szCs w:val="26"/>
          <w:lang w:eastAsia="en-US"/>
        </w:rPr>
        <w:t xml:space="preserve">I.3o.A. J/18 </w:t>
      </w:r>
      <w:r>
        <w:rPr>
          <w:rFonts w:ascii="Arial" w:eastAsiaTheme="minorHAnsi" w:hAnsi="Arial" w:cs="Arial"/>
          <w:bCs/>
          <w:color w:val="000000"/>
          <w:sz w:val="26"/>
          <w:szCs w:val="26"/>
          <w:lang w:eastAsia="en-US"/>
        </w:rPr>
        <w:t>con número de registro digital 1</w:t>
      </w:r>
      <w:r w:rsidR="001E6964">
        <w:rPr>
          <w:rFonts w:ascii="Arial" w:eastAsiaTheme="minorHAnsi" w:hAnsi="Arial" w:cs="Arial"/>
          <w:bCs/>
          <w:color w:val="000000"/>
          <w:sz w:val="26"/>
          <w:szCs w:val="26"/>
          <w:lang w:eastAsia="en-US"/>
        </w:rPr>
        <w:t>8</w:t>
      </w:r>
      <w:r w:rsidR="008E0578">
        <w:rPr>
          <w:rFonts w:ascii="Arial" w:eastAsiaTheme="minorHAnsi" w:hAnsi="Arial" w:cs="Arial"/>
          <w:bCs/>
          <w:color w:val="000000"/>
          <w:sz w:val="26"/>
          <w:szCs w:val="26"/>
          <w:lang w:eastAsia="en-US"/>
        </w:rPr>
        <w:t>6131</w:t>
      </w:r>
      <w:r>
        <w:rPr>
          <w:rFonts w:ascii="Arial" w:eastAsiaTheme="minorHAnsi" w:hAnsi="Arial" w:cs="Arial"/>
          <w:bCs/>
          <w:color w:val="000000"/>
          <w:sz w:val="26"/>
          <w:szCs w:val="26"/>
          <w:lang w:eastAsia="en-US"/>
        </w:rPr>
        <w:t>, de la Novena Época, emitida por l</w:t>
      </w:r>
      <w:r w:rsidR="001E6964">
        <w:rPr>
          <w:rFonts w:ascii="Arial" w:eastAsiaTheme="minorHAnsi" w:hAnsi="Arial" w:cs="Arial"/>
          <w:bCs/>
          <w:color w:val="000000"/>
          <w:sz w:val="26"/>
          <w:szCs w:val="26"/>
          <w:lang w:eastAsia="en-US"/>
        </w:rPr>
        <w:t>os Tribunales Colegiados de Circuito</w:t>
      </w:r>
      <w:r>
        <w:rPr>
          <w:rFonts w:ascii="Arial" w:eastAsiaTheme="minorHAnsi" w:hAnsi="Arial" w:cs="Arial"/>
          <w:bCs/>
          <w:color w:val="000000"/>
          <w:sz w:val="26"/>
          <w:szCs w:val="26"/>
          <w:lang w:eastAsia="en-US"/>
        </w:rPr>
        <w:t>,</w:t>
      </w:r>
      <w:r w:rsidR="008E0578">
        <w:rPr>
          <w:rFonts w:ascii="Arial" w:eastAsiaTheme="minorHAnsi" w:hAnsi="Arial" w:cs="Arial"/>
          <w:bCs/>
          <w:color w:val="000000"/>
          <w:sz w:val="26"/>
          <w:szCs w:val="26"/>
          <w:lang w:eastAsia="en-US"/>
        </w:rPr>
        <w:t xml:space="preserve"> </w:t>
      </w:r>
      <w:r>
        <w:rPr>
          <w:rFonts w:ascii="Arial" w:eastAsiaTheme="minorHAnsi" w:hAnsi="Arial" w:cs="Arial"/>
          <w:bCs/>
          <w:color w:val="000000"/>
          <w:sz w:val="26"/>
          <w:szCs w:val="26"/>
          <w:lang w:eastAsia="en-US"/>
        </w:rPr>
        <w:t>publicado en el Semanario Judicial de la Federación y su Gaceta, Tomo X</w:t>
      </w:r>
      <w:r w:rsidR="001E6964">
        <w:rPr>
          <w:rFonts w:ascii="Arial" w:eastAsiaTheme="minorHAnsi" w:hAnsi="Arial" w:cs="Arial"/>
          <w:bCs/>
          <w:color w:val="000000"/>
          <w:sz w:val="26"/>
          <w:szCs w:val="26"/>
          <w:lang w:eastAsia="en-US"/>
        </w:rPr>
        <w:t>V</w:t>
      </w:r>
      <w:r w:rsidR="008E0578">
        <w:rPr>
          <w:rFonts w:ascii="Arial" w:eastAsiaTheme="minorHAnsi" w:hAnsi="Arial" w:cs="Arial"/>
          <w:bCs/>
          <w:color w:val="000000"/>
          <w:sz w:val="26"/>
          <w:szCs w:val="26"/>
          <w:lang w:eastAsia="en-US"/>
        </w:rPr>
        <w:t>I</w:t>
      </w:r>
      <w:r>
        <w:rPr>
          <w:rFonts w:ascii="Arial" w:eastAsiaTheme="minorHAnsi" w:hAnsi="Arial" w:cs="Arial"/>
          <w:bCs/>
          <w:color w:val="000000"/>
          <w:sz w:val="26"/>
          <w:szCs w:val="26"/>
          <w:lang w:eastAsia="en-US"/>
        </w:rPr>
        <w:t xml:space="preserve">, </w:t>
      </w:r>
      <w:r w:rsidR="001E6964">
        <w:rPr>
          <w:rFonts w:ascii="Arial" w:eastAsiaTheme="minorHAnsi" w:hAnsi="Arial" w:cs="Arial"/>
          <w:bCs/>
          <w:color w:val="000000"/>
          <w:sz w:val="26"/>
          <w:szCs w:val="26"/>
          <w:lang w:eastAsia="en-US"/>
        </w:rPr>
        <w:t>Agosto de 200</w:t>
      </w:r>
      <w:r w:rsidR="008E0578">
        <w:rPr>
          <w:rFonts w:ascii="Arial" w:eastAsiaTheme="minorHAnsi" w:hAnsi="Arial" w:cs="Arial"/>
          <w:bCs/>
          <w:color w:val="000000"/>
          <w:sz w:val="26"/>
          <w:szCs w:val="26"/>
          <w:lang w:eastAsia="en-US"/>
        </w:rPr>
        <w:t>2</w:t>
      </w:r>
      <w:r w:rsidR="001E6964">
        <w:rPr>
          <w:rFonts w:ascii="Arial" w:eastAsiaTheme="minorHAnsi" w:hAnsi="Arial" w:cs="Arial"/>
          <w:bCs/>
          <w:color w:val="000000"/>
          <w:sz w:val="26"/>
          <w:szCs w:val="26"/>
          <w:lang w:eastAsia="en-US"/>
        </w:rPr>
        <w:t xml:space="preserve">, </w:t>
      </w:r>
      <w:r>
        <w:rPr>
          <w:rFonts w:ascii="Arial" w:eastAsiaTheme="minorHAnsi" w:hAnsi="Arial" w:cs="Arial"/>
          <w:bCs/>
          <w:color w:val="000000"/>
          <w:sz w:val="26"/>
          <w:szCs w:val="26"/>
          <w:lang w:eastAsia="en-US"/>
        </w:rPr>
        <w:t xml:space="preserve">visible a página </w:t>
      </w:r>
      <w:r w:rsidR="001E6964">
        <w:rPr>
          <w:rFonts w:ascii="Arial" w:eastAsiaTheme="minorHAnsi" w:hAnsi="Arial" w:cs="Arial"/>
          <w:bCs/>
          <w:color w:val="000000"/>
          <w:sz w:val="26"/>
          <w:szCs w:val="26"/>
          <w:lang w:eastAsia="en-US"/>
        </w:rPr>
        <w:t>1</w:t>
      </w:r>
      <w:r w:rsidR="008E0578">
        <w:rPr>
          <w:rFonts w:ascii="Arial" w:eastAsiaTheme="minorHAnsi" w:hAnsi="Arial" w:cs="Arial"/>
          <w:bCs/>
          <w:color w:val="000000"/>
          <w:sz w:val="26"/>
          <w:szCs w:val="26"/>
          <w:lang w:eastAsia="en-US"/>
        </w:rPr>
        <w:t>213</w:t>
      </w:r>
      <w:r>
        <w:rPr>
          <w:rFonts w:ascii="Arial" w:eastAsiaTheme="minorHAnsi" w:hAnsi="Arial" w:cs="Arial"/>
          <w:bCs/>
          <w:color w:val="000000"/>
          <w:sz w:val="26"/>
          <w:szCs w:val="26"/>
          <w:lang w:eastAsia="en-US"/>
        </w:rPr>
        <w:t>, de rubro y texto siguientes:</w:t>
      </w:r>
    </w:p>
    <w:p w14:paraId="55B51085" w14:textId="61FA5CC4" w:rsidR="008E0578" w:rsidRPr="007F00D0" w:rsidRDefault="008E0578" w:rsidP="007F00D0">
      <w:pPr>
        <w:shd w:val="clear" w:color="auto" w:fill="FFFFFF"/>
        <w:spacing w:after="0"/>
        <w:ind w:left="567" w:right="616"/>
        <w:jc w:val="both"/>
        <w:rPr>
          <w:rFonts w:ascii="Arial" w:eastAsia="Times New Roman" w:hAnsi="Arial" w:cs="Arial"/>
          <w:i/>
          <w:iCs/>
        </w:rPr>
      </w:pPr>
      <w:r w:rsidRPr="007F00D0">
        <w:rPr>
          <w:rFonts w:ascii="Arial" w:eastAsia="Times New Roman" w:hAnsi="Arial" w:cs="Arial"/>
          <w:b/>
          <w:bCs/>
          <w:i/>
          <w:iCs/>
        </w:rPr>
        <w:lastRenderedPageBreak/>
        <w:t xml:space="preserve">“REVISIÓN FISCAL, AGRAVIOS FUNDADOS PERO INOPERANTES EN LA. </w:t>
      </w:r>
      <w:r w:rsidRPr="007F00D0">
        <w:rPr>
          <w:rFonts w:ascii="Arial" w:eastAsia="Times New Roman" w:hAnsi="Arial" w:cs="Arial"/>
          <w:i/>
          <w:iCs/>
        </w:rPr>
        <w:t>Conforme a la jurisprudencia que sostuvo la otrora Tercera Sala de la Suprema Corte de Justicia de la Nación, publicada en la página ciento catorce del Tomo VI, Materia Común, del Apéndice al Semanario Judicial de la Federación 1917-1995, de rubro: "</w:t>
      </w:r>
      <w:hyperlink r:id="rId12" w:tgtFrame="_blank" w:history="1">
        <w:r w:rsidRPr="007F00D0">
          <w:rPr>
            <w:rFonts w:ascii="Arial" w:eastAsia="Times New Roman" w:hAnsi="Arial" w:cs="Arial"/>
            <w:i/>
            <w:iCs/>
          </w:rPr>
          <w:t xml:space="preserve">CONCEPTOS DE VIOLACIÓN FUNDADOS, PERO INOPERANTES </w:t>
        </w:r>
      </w:hyperlink>
      <w:r w:rsidRPr="007F00D0">
        <w:rPr>
          <w:rFonts w:ascii="Arial" w:eastAsia="Times New Roman" w:hAnsi="Arial" w:cs="Arial"/>
          <w:i/>
          <w:iCs/>
        </w:rPr>
        <w:t>.", es correcto que el tribunal de amparo se pronuncie sobre puntos que no fueron abordados por la autoridad de instancia, cuando el quejoso tiene razón en los planteamientos vertidos en sus conceptos de violación por omisiones de la responsable, pero carece de ella en lo que ve al fondo del asunto; en esa virtud, cabe decir que lo mismo sucede respecto de agravios en la revisión fiscal, donde igualmente deben declararse fundados pero inoperantes tales agravios cuando se advierta con toda claridad, y sin necesidad de hacer uso del arbitrio jurisdiccional, que la autoridad recurrente carece en el fondo de razón, pues ninguna utilidad le reportaría que se revocara la sentencia del Tribunal Fiscal si, a fin de cuentas, el asunto a la postre se resolverá en su contra, incluso, llegado el caso, en ulterior revisión fiscal; de manera entonces que, en aras del principio de pronta y expedita administración de justicia que se contiene en el artículo </w:t>
      </w:r>
      <w:hyperlink r:id="rId13" w:history="1">
        <w:r w:rsidRPr="007F00D0">
          <w:rPr>
            <w:rFonts w:ascii="Arial" w:eastAsia="Times New Roman" w:hAnsi="Arial" w:cs="Arial"/>
            <w:i/>
            <w:iCs/>
          </w:rPr>
          <w:t>17 constitucional,</w:t>
        </w:r>
      </w:hyperlink>
      <w:r w:rsidRPr="007F00D0">
        <w:rPr>
          <w:rFonts w:ascii="Arial" w:eastAsia="Times New Roman" w:hAnsi="Arial" w:cs="Arial"/>
          <w:i/>
          <w:iCs/>
        </w:rPr>
        <w:t> en casos como éste conviene de una vez desestimar los agravios relativos, en la inteligencia de que no sucede lo mismo cuando el punto en debate no resulta tan claro y sí, en cambio, es menester hacer uso del señalado arbitrio jurisdiccional, pues en dicha hipótesis, corresponderá de origen a la instancia común pronunciarse en ejercicio de sus facultades.”</w:t>
      </w:r>
    </w:p>
    <w:p w14:paraId="2774F376" w14:textId="77777777" w:rsidR="008E0578" w:rsidRDefault="008E0578" w:rsidP="008E0578">
      <w:pPr>
        <w:tabs>
          <w:tab w:val="left" w:pos="5670"/>
        </w:tabs>
        <w:spacing w:before="240" w:after="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Así como la Jurisprudencia en materia administrativa número V.2o. J/54 con número de registro digital 188962, de la Novena Época, emitida por los Tribunales Colegiados de Circuito, publicado en el Semanario Judicial de la Federación y su Gaceta, Tomo XIV, Agosto de 2001, visible a página 1110, de rubro y texto siguientes:</w:t>
      </w:r>
    </w:p>
    <w:p w14:paraId="5503AAA4" w14:textId="77777777" w:rsidR="008E0578" w:rsidRDefault="008E0578" w:rsidP="007F00D0">
      <w:pPr>
        <w:tabs>
          <w:tab w:val="left" w:pos="5670"/>
        </w:tabs>
        <w:spacing w:before="240" w:after="0" w:line="360" w:lineRule="auto"/>
        <w:jc w:val="both"/>
        <w:rPr>
          <w:rFonts w:ascii="Arial" w:eastAsia="Calibri" w:hAnsi="Arial" w:cs="Arial"/>
          <w:bCs/>
          <w:sz w:val="26"/>
          <w:szCs w:val="26"/>
        </w:rPr>
      </w:pPr>
    </w:p>
    <w:p w14:paraId="55BCCD98" w14:textId="6321151A" w:rsidR="00627CDF" w:rsidRPr="007F00D0" w:rsidRDefault="001E6964" w:rsidP="007F00D0">
      <w:pPr>
        <w:pStyle w:val="NormalWeb"/>
        <w:shd w:val="clear" w:color="auto" w:fill="FFFFFF"/>
        <w:spacing w:line="276" w:lineRule="auto"/>
        <w:ind w:left="567" w:right="616"/>
        <w:jc w:val="both"/>
        <w:rPr>
          <w:rFonts w:ascii="Arial" w:hAnsi="Arial" w:cs="Arial"/>
          <w:i/>
          <w:sz w:val="22"/>
          <w:szCs w:val="22"/>
        </w:rPr>
      </w:pPr>
      <w:r w:rsidRPr="007F00D0">
        <w:rPr>
          <w:rFonts w:ascii="Arial" w:hAnsi="Arial" w:cs="Arial"/>
          <w:b/>
          <w:bCs/>
          <w:i/>
          <w:sz w:val="22"/>
          <w:szCs w:val="22"/>
        </w:rPr>
        <w:t>“</w:t>
      </w:r>
      <w:r w:rsidR="005E160F" w:rsidRPr="007F00D0">
        <w:rPr>
          <w:rFonts w:ascii="Arial" w:hAnsi="Arial" w:cs="Arial"/>
          <w:b/>
          <w:bCs/>
          <w:i/>
          <w:sz w:val="22"/>
          <w:szCs w:val="22"/>
        </w:rPr>
        <w:t>REVISIÓN CONTRA RESOLUCIONES DEL TRIBUNAL FISCAL DE LA FEDERACIÓN, AGRAVIOS INOPERANTES.</w:t>
      </w:r>
      <w:r w:rsidRPr="007F00D0">
        <w:rPr>
          <w:rFonts w:ascii="Arial" w:hAnsi="Arial" w:cs="Arial"/>
          <w:b/>
          <w:bCs/>
          <w:i/>
          <w:sz w:val="22"/>
          <w:szCs w:val="22"/>
        </w:rPr>
        <w:t xml:space="preserve"> </w:t>
      </w:r>
      <w:r w:rsidR="005E160F" w:rsidRPr="007F00D0">
        <w:rPr>
          <w:rFonts w:ascii="Arial" w:hAnsi="Arial" w:cs="Arial"/>
          <w:i/>
          <w:sz w:val="22"/>
          <w:szCs w:val="22"/>
        </w:rPr>
        <w:t>Si la Sala Fiscal, en cumplimiento con lo ordenado por el </w:t>
      </w:r>
      <w:hyperlink r:id="rId14" w:history="1">
        <w:r w:rsidR="005E160F" w:rsidRPr="007F00D0">
          <w:rPr>
            <w:rStyle w:val="Hipervnculo"/>
            <w:rFonts w:ascii="Arial" w:hAnsi="Arial" w:cs="Arial"/>
            <w:bCs/>
            <w:i/>
            <w:color w:val="auto"/>
            <w:sz w:val="22"/>
            <w:szCs w:val="22"/>
            <w:u w:val="none"/>
          </w:rPr>
          <w:t>segundo párrafo del artículo 237 del Código Fiscal de la Federación</w:t>
        </w:r>
      </w:hyperlink>
      <w:r w:rsidR="005E160F" w:rsidRPr="007F00D0">
        <w:rPr>
          <w:rFonts w:ascii="Arial" w:hAnsi="Arial" w:cs="Arial"/>
          <w:i/>
          <w:sz w:val="22"/>
          <w:szCs w:val="22"/>
        </w:rPr>
        <w:t>, examina todos y cada uno de los conceptos de nulidad que se hacen valer por omisión de formalidades o violaciones de procedimiento, estimando fundados unos e infundados otros, y las autoridades recurrentes no combaten la totalidad de los razonamientos conforme a los cuales se consideran fundados diversos conceptos de nulidad, ello implica que los agravios sean inoperantes, por insuficientes, ya que con independencia de lo correcto o incorrecto de los mismos, lo cierto es que al no desvirtuar sendas consideraciones como cada una por separado, es suficiente para apoyar la legalidad de la sentencia impugnada, ésta queda firme pues no se demuestra la ilegalidad de los motivos y fundamentos que la sostienen, y de ahí que devengan inoperantes los agravios que en su contra se hagan valer.</w:t>
      </w:r>
      <w:r w:rsidRPr="007F00D0">
        <w:rPr>
          <w:rFonts w:ascii="Arial" w:hAnsi="Arial" w:cs="Arial"/>
          <w:i/>
          <w:sz w:val="22"/>
          <w:szCs w:val="22"/>
        </w:rPr>
        <w:t>”</w:t>
      </w:r>
      <w:r w:rsidR="00627CDF" w:rsidRPr="007F00D0">
        <w:rPr>
          <w:rFonts w:ascii="Arial" w:hAnsi="Arial" w:cs="Arial"/>
          <w:i/>
          <w:sz w:val="22"/>
          <w:szCs w:val="22"/>
        </w:rPr>
        <w:t xml:space="preserve"> </w:t>
      </w:r>
    </w:p>
    <w:p w14:paraId="769A10B0" w14:textId="29FBADA6" w:rsidR="001B2848" w:rsidRDefault="008436D2" w:rsidP="008436D2">
      <w:pPr>
        <w:spacing w:line="360" w:lineRule="auto"/>
        <w:ind w:firstLine="708"/>
        <w:jc w:val="both"/>
        <w:rPr>
          <w:rFonts w:ascii="Arial" w:hAnsi="Arial" w:cs="Arial"/>
          <w:sz w:val="26"/>
          <w:szCs w:val="26"/>
        </w:rPr>
      </w:pPr>
      <w:r>
        <w:rPr>
          <w:rFonts w:ascii="Arial" w:hAnsi="Arial" w:cs="Arial"/>
          <w:bCs/>
          <w:sz w:val="26"/>
          <w:szCs w:val="26"/>
        </w:rPr>
        <w:t>A</w:t>
      </w:r>
      <w:r w:rsidR="001B2848">
        <w:rPr>
          <w:rFonts w:ascii="Arial" w:hAnsi="Arial" w:cs="Arial"/>
          <w:bCs/>
          <w:sz w:val="26"/>
          <w:szCs w:val="26"/>
        </w:rPr>
        <w:t xml:space="preserve">nte lo </w:t>
      </w:r>
      <w:r w:rsidR="001E6964">
        <w:rPr>
          <w:rFonts w:ascii="Arial" w:hAnsi="Arial" w:cs="Arial"/>
          <w:b/>
          <w:bCs/>
          <w:sz w:val="26"/>
          <w:szCs w:val="26"/>
        </w:rPr>
        <w:t>INOPERANTE</w:t>
      </w:r>
      <w:r>
        <w:rPr>
          <w:rFonts w:ascii="Arial" w:hAnsi="Arial" w:cs="Arial"/>
          <w:b/>
          <w:bCs/>
          <w:sz w:val="26"/>
          <w:szCs w:val="26"/>
        </w:rPr>
        <w:t xml:space="preserve"> </w:t>
      </w:r>
      <w:r w:rsidR="001B2848">
        <w:rPr>
          <w:rFonts w:ascii="Arial" w:hAnsi="Arial" w:cs="Arial"/>
          <w:bCs/>
          <w:sz w:val="26"/>
          <w:szCs w:val="26"/>
        </w:rPr>
        <w:t>de</w:t>
      </w:r>
      <w:r w:rsidR="001E6964">
        <w:rPr>
          <w:rFonts w:ascii="Arial" w:hAnsi="Arial" w:cs="Arial"/>
          <w:bCs/>
          <w:sz w:val="26"/>
          <w:szCs w:val="26"/>
        </w:rPr>
        <w:t xml:space="preserve"> </w:t>
      </w:r>
      <w:r w:rsidR="001B2848">
        <w:rPr>
          <w:rFonts w:ascii="Arial" w:hAnsi="Arial" w:cs="Arial"/>
          <w:bCs/>
          <w:sz w:val="26"/>
          <w:szCs w:val="26"/>
        </w:rPr>
        <w:t>l</w:t>
      </w:r>
      <w:r w:rsidR="001E6964">
        <w:rPr>
          <w:rFonts w:ascii="Arial" w:hAnsi="Arial" w:cs="Arial"/>
          <w:bCs/>
          <w:sz w:val="26"/>
          <w:szCs w:val="26"/>
        </w:rPr>
        <w:t>os</w:t>
      </w:r>
      <w:r w:rsidR="001B2848">
        <w:rPr>
          <w:rFonts w:ascii="Arial" w:hAnsi="Arial" w:cs="Arial"/>
          <w:bCs/>
          <w:sz w:val="26"/>
          <w:szCs w:val="26"/>
        </w:rPr>
        <w:t xml:space="preserve"> agravio</w:t>
      </w:r>
      <w:r w:rsidR="001E6964">
        <w:rPr>
          <w:rFonts w:ascii="Arial" w:hAnsi="Arial" w:cs="Arial"/>
          <w:bCs/>
          <w:sz w:val="26"/>
          <w:szCs w:val="26"/>
        </w:rPr>
        <w:t>s</w:t>
      </w:r>
      <w:r w:rsidR="001B2848">
        <w:rPr>
          <w:rFonts w:ascii="Arial" w:hAnsi="Arial" w:cs="Arial"/>
          <w:bCs/>
          <w:sz w:val="26"/>
          <w:szCs w:val="26"/>
        </w:rPr>
        <w:t xml:space="preserve"> </w:t>
      </w:r>
      <w:r w:rsidR="001E6964">
        <w:rPr>
          <w:rFonts w:ascii="Arial" w:hAnsi="Arial" w:cs="Arial"/>
          <w:bCs/>
          <w:sz w:val="26"/>
          <w:szCs w:val="26"/>
        </w:rPr>
        <w:t xml:space="preserve">de las </w:t>
      </w:r>
      <w:r>
        <w:rPr>
          <w:rFonts w:ascii="Arial" w:hAnsi="Arial" w:cs="Arial"/>
          <w:bCs/>
          <w:sz w:val="26"/>
          <w:szCs w:val="26"/>
        </w:rPr>
        <w:t>autoridad</w:t>
      </w:r>
      <w:r w:rsidR="001E6964">
        <w:rPr>
          <w:rFonts w:ascii="Arial" w:hAnsi="Arial" w:cs="Arial"/>
          <w:bCs/>
          <w:sz w:val="26"/>
          <w:szCs w:val="26"/>
        </w:rPr>
        <w:t>es</w:t>
      </w:r>
      <w:r>
        <w:rPr>
          <w:rFonts w:ascii="Arial" w:hAnsi="Arial" w:cs="Arial"/>
          <w:bCs/>
          <w:sz w:val="26"/>
          <w:szCs w:val="26"/>
        </w:rPr>
        <w:t xml:space="preserve"> recurrente</w:t>
      </w:r>
      <w:r w:rsidR="001E6964">
        <w:rPr>
          <w:rFonts w:ascii="Arial" w:hAnsi="Arial" w:cs="Arial"/>
          <w:bCs/>
          <w:sz w:val="26"/>
          <w:szCs w:val="26"/>
        </w:rPr>
        <w:t>s</w:t>
      </w:r>
      <w:r w:rsidR="001B2848">
        <w:rPr>
          <w:rFonts w:ascii="Arial" w:hAnsi="Arial" w:cs="Arial"/>
          <w:bCs/>
          <w:sz w:val="26"/>
          <w:szCs w:val="26"/>
        </w:rPr>
        <w:t xml:space="preserve">, se </w:t>
      </w:r>
      <w:r w:rsidR="001E6964" w:rsidRPr="001E6964">
        <w:rPr>
          <w:rFonts w:ascii="Arial" w:hAnsi="Arial" w:cs="Arial"/>
          <w:b/>
          <w:bCs/>
          <w:sz w:val="26"/>
          <w:szCs w:val="26"/>
        </w:rPr>
        <w:t>CONFIRMA</w:t>
      </w:r>
      <w:r>
        <w:rPr>
          <w:rFonts w:ascii="Arial" w:hAnsi="Arial" w:cs="Arial"/>
          <w:b/>
          <w:bCs/>
          <w:sz w:val="26"/>
          <w:szCs w:val="26"/>
        </w:rPr>
        <w:t xml:space="preserve"> </w:t>
      </w:r>
      <w:r w:rsidR="001B2848">
        <w:rPr>
          <w:rFonts w:ascii="Arial" w:hAnsi="Arial" w:cs="Arial"/>
          <w:bCs/>
          <w:sz w:val="26"/>
          <w:szCs w:val="26"/>
        </w:rPr>
        <w:t>la sentencia</w:t>
      </w:r>
      <w:r>
        <w:rPr>
          <w:rFonts w:ascii="Arial" w:eastAsia="Calibri" w:hAnsi="Arial" w:cs="Arial"/>
          <w:bCs/>
          <w:sz w:val="26"/>
          <w:szCs w:val="26"/>
        </w:rPr>
        <w:t xml:space="preserve"> impugnada; en consecuencia, </w:t>
      </w:r>
      <w:r w:rsidR="001B2848">
        <w:rPr>
          <w:rFonts w:ascii="Arial" w:hAnsi="Arial" w:cs="Arial"/>
          <w:sz w:val="26"/>
          <w:szCs w:val="26"/>
        </w:rPr>
        <w:t>con</w:t>
      </w:r>
      <w:r w:rsidR="001E6964">
        <w:rPr>
          <w:rFonts w:ascii="Arial" w:hAnsi="Arial" w:cs="Arial"/>
          <w:sz w:val="26"/>
          <w:szCs w:val="26"/>
        </w:rPr>
        <w:t xml:space="preserve"> fundamento en los artículos 236</w:t>
      </w:r>
      <w:r w:rsidR="001B2848">
        <w:rPr>
          <w:rFonts w:ascii="Arial" w:hAnsi="Arial" w:cs="Arial"/>
          <w:sz w:val="26"/>
          <w:szCs w:val="26"/>
        </w:rPr>
        <w:t xml:space="preserve"> y 238 de la Ley de Procedimiento y Justicia Administrativa para el Estado</w:t>
      </w:r>
      <w:r>
        <w:rPr>
          <w:rFonts w:ascii="Arial" w:hAnsi="Arial" w:cs="Arial"/>
          <w:sz w:val="26"/>
          <w:szCs w:val="26"/>
        </w:rPr>
        <w:t xml:space="preserve"> de Oaxaca</w:t>
      </w:r>
      <w:r w:rsidR="001B2848">
        <w:rPr>
          <w:rFonts w:ascii="Arial" w:hAnsi="Arial" w:cs="Arial"/>
          <w:sz w:val="26"/>
          <w:szCs w:val="26"/>
        </w:rPr>
        <w:t>, se:</w:t>
      </w:r>
      <w:r w:rsidR="007F00D0">
        <w:rPr>
          <w:rFonts w:ascii="Arial" w:hAnsi="Arial" w:cs="Arial"/>
          <w:sz w:val="26"/>
          <w:szCs w:val="26"/>
        </w:rPr>
        <w:t xml:space="preserve"> - - - - - - - - - - - - - </w:t>
      </w:r>
    </w:p>
    <w:p w14:paraId="0F7F20EF" w14:textId="332FC080" w:rsidR="001B2848" w:rsidRPr="00290DA6" w:rsidRDefault="008436D2" w:rsidP="001B2848">
      <w:pPr>
        <w:widowControl w:val="0"/>
        <w:tabs>
          <w:tab w:val="left" w:pos="0"/>
        </w:tabs>
        <w:spacing w:before="240" w:after="0" w:line="360" w:lineRule="auto"/>
        <w:ind w:right="18"/>
        <w:jc w:val="center"/>
        <w:rPr>
          <w:rFonts w:ascii="Arial" w:hAnsi="Arial" w:cs="Arial"/>
          <w:b/>
          <w:sz w:val="26"/>
          <w:szCs w:val="26"/>
        </w:rPr>
      </w:pPr>
      <w:r>
        <w:rPr>
          <w:rFonts w:ascii="Arial" w:hAnsi="Arial" w:cs="Arial"/>
          <w:b/>
          <w:sz w:val="26"/>
          <w:szCs w:val="26"/>
        </w:rPr>
        <w:lastRenderedPageBreak/>
        <w:t>R E S U E L V E</w:t>
      </w:r>
    </w:p>
    <w:p w14:paraId="1B1F2C8B" w14:textId="55A80EC4" w:rsidR="001B2848" w:rsidRPr="00290DA6" w:rsidRDefault="001B2848" w:rsidP="001B2848">
      <w:pPr>
        <w:pStyle w:val="Sinespaciado"/>
        <w:spacing w:before="240" w:line="360" w:lineRule="auto"/>
        <w:ind w:firstLine="708"/>
        <w:jc w:val="both"/>
        <w:rPr>
          <w:rFonts w:ascii="Arial" w:hAnsi="Arial" w:cs="Arial"/>
          <w:color w:val="000000"/>
          <w:sz w:val="26"/>
          <w:szCs w:val="26"/>
          <w:lang w:val="es-MX"/>
        </w:rPr>
      </w:pPr>
      <w:r w:rsidRPr="00290DA6">
        <w:rPr>
          <w:rFonts w:ascii="Arial" w:hAnsi="Arial" w:cs="Arial"/>
          <w:b/>
          <w:color w:val="000000"/>
          <w:sz w:val="26"/>
          <w:szCs w:val="26"/>
        </w:rPr>
        <w:t>PRIMERO</w:t>
      </w:r>
      <w:r w:rsidRPr="00290DA6">
        <w:rPr>
          <w:rFonts w:ascii="Arial" w:hAnsi="Arial" w:cs="Arial"/>
          <w:color w:val="000000"/>
          <w:sz w:val="26"/>
          <w:szCs w:val="26"/>
        </w:rPr>
        <w:t xml:space="preserve">. </w:t>
      </w:r>
      <w:r w:rsidRPr="00290DA6">
        <w:rPr>
          <w:rFonts w:ascii="Arial" w:hAnsi="Arial" w:cs="Arial"/>
          <w:color w:val="000000"/>
          <w:sz w:val="26"/>
          <w:szCs w:val="26"/>
          <w:lang w:val="es-MX"/>
        </w:rPr>
        <w:t xml:space="preserve">Se </w:t>
      </w:r>
      <w:r w:rsidR="001E6964">
        <w:rPr>
          <w:rFonts w:ascii="Arial" w:hAnsi="Arial" w:cs="Arial"/>
          <w:b/>
          <w:color w:val="000000"/>
          <w:sz w:val="26"/>
          <w:szCs w:val="26"/>
          <w:lang w:val="es-MX"/>
        </w:rPr>
        <w:t>CONFIRMA</w:t>
      </w:r>
      <w:r w:rsidRPr="00290DA6">
        <w:rPr>
          <w:rFonts w:ascii="Arial" w:hAnsi="Arial" w:cs="Arial"/>
          <w:b/>
          <w:color w:val="000000"/>
          <w:sz w:val="26"/>
          <w:szCs w:val="26"/>
          <w:lang w:val="es-MX"/>
        </w:rPr>
        <w:t xml:space="preserve"> </w:t>
      </w:r>
      <w:r w:rsidRPr="00290DA6">
        <w:rPr>
          <w:rFonts w:ascii="Arial" w:hAnsi="Arial" w:cs="Arial"/>
          <w:color w:val="000000"/>
          <w:sz w:val="26"/>
          <w:szCs w:val="26"/>
          <w:lang w:val="es-MX"/>
        </w:rPr>
        <w:t xml:space="preserve">la </w:t>
      </w:r>
      <w:r w:rsidRPr="00290DA6">
        <w:rPr>
          <w:rFonts w:ascii="Arial" w:hAnsi="Arial" w:cs="Arial"/>
          <w:sz w:val="26"/>
          <w:szCs w:val="26"/>
          <w:lang w:val="es-MX"/>
        </w:rPr>
        <w:t xml:space="preserve">sentencia </w:t>
      </w:r>
      <w:r w:rsidR="001E6964">
        <w:rPr>
          <w:rFonts w:ascii="Arial" w:hAnsi="Arial" w:cs="Arial"/>
          <w:sz w:val="26"/>
          <w:szCs w:val="26"/>
          <w:lang w:val="es-MX"/>
        </w:rPr>
        <w:t>de veintiocho de marzo de dos mil veintidós</w:t>
      </w:r>
      <w:r w:rsidRPr="00290DA6">
        <w:rPr>
          <w:rFonts w:ascii="Arial" w:hAnsi="Arial" w:cs="Arial"/>
          <w:color w:val="000000"/>
          <w:sz w:val="26"/>
          <w:szCs w:val="26"/>
          <w:lang w:val="es-MX"/>
        </w:rPr>
        <w:t xml:space="preserve">, por las razones expuestas en el considerando que </w:t>
      </w:r>
      <w:r w:rsidR="007F00D0" w:rsidRPr="00290DA6">
        <w:rPr>
          <w:rFonts w:ascii="Arial" w:hAnsi="Arial" w:cs="Arial"/>
          <w:color w:val="000000"/>
          <w:sz w:val="26"/>
          <w:szCs w:val="26"/>
          <w:lang w:val="es-MX"/>
        </w:rPr>
        <w:t>antecede. -</w:t>
      </w:r>
      <w:r w:rsidRPr="00290DA6">
        <w:rPr>
          <w:rFonts w:ascii="Arial" w:hAnsi="Arial" w:cs="Arial"/>
          <w:color w:val="000000"/>
          <w:sz w:val="26"/>
          <w:szCs w:val="26"/>
          <w:lang w:val="es-MX"/>
        </w:rPr>
        <w:t xml:space="preserve"> - - - -</w:t>
      </w:r>
      <w:r w:rsidR="001E6964">
        <w:rPr>
          <w:rFonts w:ascii="Arial" w:hAnsi="Arial" w:cs="Arial"/>
          <w:color w:val="000000"/>
          <w:sz w:val="26"/>
          <w:szCs w:val="26"/>
          <w:lang w:val="es-MX"/>
        </w:rPr>
        <w:t xml:space="preserve"> - - - - - - - - - - - - - - - - - - - - - - - - - - - - - - - - - - - - - - - - </w:t>
      </w:r>
    </w:p>
    <w:p w14:paraId="15FCA16C" w14:textId="46C09133" w:rsidR="001B2848" w:rsidRPr="00290DA6" w:rsidRDefault="001E6964" w:rsidP="005205CD">
      <w:pPr>
        <w:pStyle w:val="Sinespaciado"/>
        <w:spacing w:before="240" w:after="240" w:line="360" w:lineRule="auto"/>
        <w:ind w:firstLine="708"/>
        <w:jc w:val="both"/>
        <w:rPr>
          <w:rFonts w:ascii="Arial" w:hAnsi="Arial" w:cs="Arial"/>
          <w:sz w:val="26"/>
          <w:szCs w:val="26"/>
        </w:rPr>
      </w:pPr>
      <w:r>
        <w:rPr>
          <w:rFonts w:ascii="Arial" w:hAnsi="Arial" w:cs="Arial"/>
          <w:b/>
          <w:sz w:val="26"/>
          <w:szCs w:val="26"/>
        </w:rPr>
        <w:t>SEGUNDO.</w:t>
      </w:r>
      <w:r w:rsidR="00D67187">
        <w:rPr>
          <w:rFonts w:ascii="Arial" w:hAnsi="Arial" w:cs="Arial"/>
          <w:b/>
          <w:sz w:val="26"/>
          <w:szCs w:val="26"/>
        </w:rPr>
        <w:t xml:space="preserve"> </w:t>
      </w:r>
      <w:r w:rsidR="001B2848" w:rsidRPr="00290DA6">
        <w:rPr>
          <w:rFonts w:ascii="Arial" w:hAnsi="Arial" w:cs="Arial"/>
          <w:b/>
          <w:sz w:val="26"/>
          <w:szCs w:val="26"/>
        </w:rPr>
        <w:t>N</w:t>
      </w:r>
      <w:r w:rsidR="008436D2">
        <w:rPr>
          <w:rFonts w:ascii="Arial" w:hAnsi="Arial" w:cs="Arial"/>
          <w:b/>
          <w:sz w:val="26"/>
          <w:szCs w:val="26"/>
        </w:rPr>
        <w:t>otifíquese y cúmplase,</w:t>
      </w:r>
      <w:r w:rsidR="001B2848" w:rsidRPr="00290DA6">
        <w:rPr>
          <w:rFonts w:ascii="Arial" w:hAnsi="Arial" w:cs="Arial"/>
          <w:sz w:val="26"/>
          <w:szCs w:val="26"/>
        </w:rPr>
        <w:t xml:space="preserve"> </w:t>
      </w:r>
      <w:r w:rsidR="005205CD">
        <w:rPr>
          <w:rFonts w:ascii="Arial" w:hAnsi="Arial" w:cs="Arial"/>
          <w:sz w:val="26"/>
          <w:szCs w:val="26"/>
        </w:rPr>
        <w:t xml:space="preserve">glósese copia certificada de la presente resolución al diverso expediente de recurso de revisión número 0091/2022, </w:t>
      </w:r>
      <w:r w:rsidR="001B2848" w:rsidRPr="00290DA6">
        <w:rPr>
          <w:rFonts w:ascii="Arial" w:hAnsi="Arial" w:cs="Arial"/>
          <w:sz w:val="26"/>
          <w:szCs w:val="26"/>
        </w:rPr>
        <w:t xml:space="preserve">remítase copia certificada de la presente resolución a la </w:t>
      </w:r>
      <w:r w:rsidR="008436D2">
        <w:rPr>
          <w:rFonts w:ascii="Arial" w:hAnsi="Arial" w:cs="Arial"/>
          <w:sz w:val="26"/>
          <w:szCs w:val="26"/>
        </w:rPr>
        <w:t xml:space="preserve">Sala de origen </w:t>
      </w:r>
      <w:r w:rsidR="001B2848" w:rsidRPr="00290DA6">
        <w:rPr>
          <w:rFonts w:ascii="Arial" w:hAnsi="Arial" w:cs="Arial"/>
          <w:sz w:val="26"/>
          <w:szCs w:val="26"/>
        </w:rPr>
        <w:t>y en su oportunidad archívese el presente cuaderno de revisió</w:t>
      </w:r>
      <w:r w:rsidR="008436D2">
        <w:rPr>
          <w:rFonts w:ascii="Arial" w:hAnsi="Arial" w:cs="Arial"/>
          <w:sz w:val="26"/>
          <w:szCs w:val="26"/>
        </w:rPr>
        <w:t xml:space="preserve">n como asunto </w:t>
      </w:r>
      <w:r w:rsidR="007F00D0">
        <w:rPr>
          <w:rFonts w:ascii="Arial" w:hAnsi="Arial" w:cs="Arial"/>
          <w:sz w:val="26"/>
          <w:szCs w:val="26"/>
        </w:rPr>
        <w:t>concluido. -</w:t>
      </w:r>
      <w:r w:rsidR="008436D2">
        <w:rPr>
          <w:rFonts w:ascii="Arial" w:hAnsi="Arial" w:cs="Arial"/>
          <w:sz w:val="26"/>
          <w:szCs w:val="26"/>
        </w:rPr>
        <w:t xml:space="preserve"> - - </w:t>
      </w:r>
      <w:r w:rsidR="005205CD">
        <w:rPr>
          <w:rFonts w:ascii="Arial" w:hAnsi="Arial" w:cs="Arial"/>
          <w:sz w:val="26"/>
          <w:szCs w:val="26"/>
        </w:rPr>
        <w:t xml:space="preserve">- - - - - - - - - - - - - - - - - - - - - - - </w:t>
      </w:r>
    </w:p>
    <w:p w14:paraId="6997268C" w14:textId="49BEFCC7" w:rsidR="009035EF" w:rsidRDefault="006B12C9" w:rsidP="009035EF">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w:t>
      </w:r>
      <w:r w:rsidR="009035EF" w:rsidRPr="00290DA6">
        <w:rPr>
          <w:rFonts w:ascii="Arial" w:hAnsi="Arial" w:cs="Arial"/>
          <w:sz w:val="26"/>
          <w:szCs w:val="26"/>
        </w:rPr>
        <w:t>Por unanimidad de votos, lo resolvieron y firmaron los Magistrados integrantes de la Sala Superior</w:t>
      </w:r>
      <w:r w:rsidR="009035EF">
        <w:rPr>
          <w:rFonts w:ascii="Arial" w:hAnsi="Arial" w:cs="Arial"/>
          <w:sz w:val="26"/>
          <w:szCs w:val="26"/>
        </w:rPr>
        <w:t xml:space="preserve">, Manuel Velasco Alcántara </w:t>
      </w:r>
      <w:r w:rsidR="009035EF" w:rsidRPr="000F0626">
        <w:rPr>
          <w:rFonts w:ascii="Arial" w:hAnsi="Arial" w:cs="Arial"/>
          <w:b/>
          <w:bCs/>
          <w:sz w:val="26"/>
          <w:szCs w:val="26"/>
        </w:rPr>
        <w:t>(ponente)</w:t>
      </w:r>
      <w:r w:rsidR="009035EF">
        <w:rPr>
          <w:rFonts w:ascii="Arial" w:hAnsi="Arial" w:cs="Arial"/>
          <w:sz w:val="26"/>
          <w:szCs w:val="26"/>
        </w:rPr>
        <w:t>, Raúl Palomares Palomino, Gloria del Carmen Camacho Meza,</w:t>
      </w:r>
      <w:r w:rsidR="005205CD">
        <w:rPr>
          <w:rFonts w:ascii="Arial" w:hAnsi="Arial" w:cs="Arial"/>
          <w:sz w:val="26"/>
          <w:szCs w:val="26"/>
        </w:rPr>
        <w:t xml:space="preserve"> Paulo José Luis Tapia Palacios y Elías Cortés López,</w:t>
      </w:r>
      <w:r w:rsidR="009035EF">
        <w:rPr>
          <w:rFonts w:ascii="Arial" w:hAnsi="Arial" w:cs="Arial"/>
          <w:sz w:val="26"/>
          <w:szCs w:val="26"/>
        </w:rPr>
        <w:t xml:space="preserve"> </w:t>
      </w:r>
      <w:r w:rsidR="009035EF" w:rsidRPr="00290DA6">
        <w:rPr>
          <w:rFonts w:ascii="Arial" w:hAnsi="Arial" w:cs="Arial"/>
          <w:sz w:val="26"/>
          <w:szCs w:val="26"/>
        </w:rPr>
        <w:t xml:space="preserve">quienes actúan con el </w:t>
      </w:r>
      <w:r w:rsidR="009035EF">
        <w:rPr>
          <w:rFonts w:ascii="Arial" w:hAnsi="Arial" w:cs="Arial"/>
          <w:sz w:val="26"/>
          <w:szCs w:val="26"/>
        </w:rPr>
        <w:t xml:space="preserve">Licenciado Juan Edy García Coronado, </w:t>
      </w:r>
      <w:r w:rsidR="009035EF" w:rsidRPr="00290DA6">
        <w:rPr>
          <w:rFonts w:ascii="Arial" w:hAnsi="Arial" w:cs="Arial"/>
          <w:sz w:val="26"/>
          <w:szCs w:val="26"/>
        </w:rPr>
        <w:t>Secretario General de Acuerdos de este Tribunal, que autoriza y da fe.</w:t>
      </w:r>
      <w:r w:rsidR="009035EF">
        <w:rPr>
          <w:rFonts w:ascii="Arial" w:hAnsi="Arial" w:cs="Arial"/>
          <w:sz w:val="26"/>
          <w:szCs w:val="26"/>
        </w:rPr>
        <w:t xml:space="preserve"> - - - - - - - - - </w:t>
      </w:r>
      <w:r w:rsidR="005205CD">
        <w:rPr>
          <w:rFonts w:ascii="Arial" w:hAnsi="Arial" w:cs="Arial"/>
          <w:sz w:val="26"/>
          <w:szCs w:val="26"/>
        </w:rPr>
        <w:t xml:space="preserve">- - - - - - - - - - - - - - - </w:t>
      </w:r>
    </w:p>
    <w:p w14:paraId="5D0B7A94" w14:textId="76E1CC58" w:rsidR="007F00D0" w:rsidRDefault="007F00D0" w:rsidP="009035EF">
      <w:pPr>
        <w:tabs>
          <w:tab w:val="center" w:pos="4135"/>
          <w:tab w:val="left" w:pos="7515"/>
        </w:tabs>
        <w:spacing w:line="360" w:lineRule="auto"/>
        <w:jc w:val="center"/>
        <w:rPr>
          <w:rFonts w:ascii="Arial" w:hAnsi="Arial" w:cs="Arial"/>
          <w:sz w:val="26"/>
          <w:szCs w:val="26"/>
        </w:rPr>
      </w:pPr>
    </w:p>
    <w:p w14:paraId="4F693EE8" w14:textId="36BC5072" w:rsidR="007932E0" w:rsidRDefault="007932E0" w:rsidP="009035EF">
      <w:pPr>
        <w:tabs>
          <w:tab w:val="center" w:pos="4135"/>
          <w:tab w:val="left" w:pos="7515"/>
        </w:tabs>
        <w:spacing w:line="360" w:lineRule="auto"/>
        <w:jc w:val="center"/>
        <w:rPr>
          <w:rFonts w:ascii="Arial" w:hAnsi="Arial" w:cs="Arial"/>
          <w:sz w:val="26"/>
          <w:szCs w:val="26"/>
        </w:rPr>
      </w:pPr>
    </w:p>
    <w:p w14:paraId="7166F7FB" w14:textId="77777777" w:rsidR="007932E0" w:rsidRDefault="007932E0" w:rsidP="009035EF">
      <w:pPr>
        <w:tabs>
          <w:tab w:val="center" w:pos="4135"/>
          <w:tab w:val="left" w:pos="7515"/>
        </w:tabs>
        <w:spacing w:line="360" w:lineRule="auto"/>
        <w:jc w:val="center"/>
        <w:rPr>
          <w:rFonts w:ascii="Arial" w:hAnsi="Arial" w:cs="Arial"/>
          <w:sz w:val="26"/>
          <w:szCs w:val="26"/>
        </w:rPr>
      </w:pPr>
    </w:p>
    <w:p w14:paraId="5562362A" w14:textId="46B260E6" w:rsidR="009035EF" w:rsidRPr="00290DA6" w:rsidRDefault="009035EF" w:rsidP="007F00D0">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33C4BF34" w14:textId="77777777" w:rsidR="009035EF" w:rsidRDefault="009035EF" w:rsidP="007F00D0">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6A0F9014" w14:textId="77777777" w:rsidR="00F23BD8" w:rsidRDefault="00F23BD8" w:rsidP="009035EF">
      <w:pPr>
        <w:tabs>
          <w:tab w:val="center" w:pos="4135"/>
          <w:tab w:val="left" w:pos="7515"/>
        </w:tabs>
        <w:spacing w:line="360" w:lineRule="auto"/>
        <w:jc w:val="center"/>
        <w:rPr>
          <w:rFonts w:ascii="Arial" w:hAnsi="Arial" w:cs="Arial"/>
          <w:sz w:val="26"/>
          <w:szCs w:val="26"/>
        </w:rPr>
      </w:pPr>
    </w:p>
    <w:p w14:paraId="7FD4EAB6" w14:textId="77777777" w:rsidR="007932E0" w:rsidRDefault="007932E0" w:rsidP="007932E0">
      <w:pPr>
        <w:tabs>
          <w:tab w:val="center" w:pos="4135"/>
          <w:tab w:val="left" w:pos="7515"/>
        </w:tabs>
        <w:spacing w:line="360" w:lineRule="auto"/>
        <w:rPr>
          <w:rFonts w:ascii="Arial" w:hAnsi="Arial" w:cs="Arial"/>
          <w:sz w:val="26"/>
          <w:szCs w:val="26"/>
        </w:rPr>
      </w:pPr>
    </w:p>
    <w:p w14:paraId="3ACFCDFB" w14:textId="77777777" w:rsidR="007932E0" w:rsidRDefault="007932E0" w:rsidP="009035EF">
      <w:pPr>
        <w:tabs>
          <w:tab w:val="center" w:pos="4135"/>
          <w:tab w:val="left" w:pos="7515"/>
        </w:tabs>
        <w:spacing w:line="360" w:lineRule="auto"/>
        <w:jc w:val="center"/>
        <w:rPr>
          <w:rFonts w:ascii="Arial" w:hAnsi="Arial" w:cs="Arial"/>
          <w:sz w:val="26"/>
          <w:szCs w:val="26"/>
        </w:rPr>
      </w:pPr>
    </w:p>
    <w:p w14:paraId="4A63A256" w14:textId="77777777" w:rsidR="000B3F38" w:rsidRDefault="000B3F38" w:rsidP="009035EF">
      <w:pPr>
        <w:tabs>
          <w:tab w:val="center" w:pos="4135"/>
          <w:tab w:val="left" w:pos="7515"/>
        </w:tabs>
        <w:spacing w:line="360" w:lineRule="auto"/>
        <w:jc w:val="center"/>
        <w:rPr>
          <w:rFonts w:ascii="Arial" w:hAnsi="Arial" w:cs="Arial"/>
          <w:sz w:val="26"/>
          <w:szCs w:val="26"/>
        </w:rPr>
      </w:pPr>
    </w:p>
    <w:p w14:paraId="65B4AE30" w14:textId="72172F9F" w:rsidR="009035EF" w:rsidRDefault="009035EF" w:rsidP="009035EF">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6CF142B6" w14:textId="06A42FE9" w:rsidR="00F23BD8" w:rsidRDefault="00F23BD8" w:rsidP="009035EF">
      <w:pPr>
        <w:tabs>
          <w:tab w:val="left" w:pos="1925"/>
          <w:tab w:val="center" w:pos="4135"/>
        </w:tabs>
        <w:jc w:val="center"/>
        <w:rPr>
          <w:rFonts w:ascii="Arial" w:hAnsi="Arial" w:cs="Arial"/>
          <w:sz w:val="26"/>
          <w:szCs w:val="26"/>
        </w:rPr>
      </w:pPr>
    </w:p>
    <w:p w14:paraId="10B12C3D" w14:textId="77FAD4FB" w:rsidR="007F00D0" w:rsidRDefault="007F00D0" w:rsidP="009035EF">
      <w:pPr>
        <w:tabs>
          <w:tab w:val="left" w:pos="1925"/>
          <w:tab w:val="center" w:pos="4135"/>
        </w:tabs>
        <w:jc w:val="center"/>
        <w:rPr>
          <w:rFonts w:ascii="Arial" w:hAnsi="Arial" w:cs="Arial"/>
          <w:sz w:val="26"/>
          <w:szCs w:val="26"/>
        </w:rPr>
      </w:pPr>
    </w:p>
    <w:p w14:paraId="6CC9A38E" w14:textId="77777777" w:rsidR="007F00D0" w:rsidRDefault="007F00D0" w:rsidP="009035EF">
      <w:pPr>
        <w:tabs>
          <w:tab w:val="left" w:pos="1925"/>
          <w:tab w:val="center" w:pos="4135"/>
        </w:tabs>
        <w:jc w:val="center"/>
        <w:rPr>
          <w:rFonts w:ascii="Arial" w:hAnsi="Arial" w:cs="Arial"/>
          <w:sz w:val="26"/>
          <w:szCs w:val="26"/>
        </w:rPr>
      </w:pPr>
    </w:p>
    <w:p w14:paraId="56AA4DF4" w14:textId="77777777" w:rsidR="00F23BD8" w:rsidRDefault="00F23BD8" w:rsidP="009035EF">
      <w:pPr>
        <w:tabs>
          <w:tab w:val="left" w:pos="1925"/>
          <w:tab w:val="center" w:pos="4135"/>
        </w:tabs>
        <w:jc w:val="center"/>
        <w:rPr>
          <w:rFonts w:ascii="Arial" w:hAnsi="Arial" w:cs="Arial"/>
          <w:sz w:val="26"/>
          <w:szCs w:val="26"/>
        </w:rPr>
      </w:pPr>
    </w:p>
    <w:p w14:paraId="5F8B488B" w14:textId="7E99359A" w:rsidR="009035EF" w:rsidRDefault="009035EF" w:rsidP="009035EF">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D63A015" w14:textId="0E9480E4" w:rsidR="00F23BD8" w:rsidRDefault="00F23BD8" w:rsidP="009035EF">
      <w:pPr>
        <w:tabs>
          <w:tab w:val="left" w:pos="1925"/>
          <w:tab w:val="center" w:pos="4135"/>
        </w:tabs>
        <w:jc w:val="center"/>
        <w:rPr>
          <w:rFonts w:ascii="Arial" w:hAnsi="Arial" w:cs="Arial"/>
          <w:sz w:val="26"/>
          <w:szCs w:val="26"/>
        </w:rPr>
      </w:pPr>
    </w:p>
    <w:p w14:paraId="72215981" w14:textId="0473B04A" w:rsidR="007F00D0" w:rsidRDefault="007F00D0" w:rsidP="009035EF">
      <w:pPr>
        <w:tabs>
          <w:tab w:val="left" w:pos="1925"/>
          <w:tab w:val="center" w:pos="4135"/>
        </w:tabs>
        <w:jc w:val="center"/>
        <w:rPr>
          <w:rFonts w:ascii="Arial" w:hAnsi="Arial" w:cs="Arial"/>
          <w:sz w:val="26"/>
          <w:szCs w:val="26"/>
        </w:rPr>
      </w:pPr>
    </w:p>
    <w:p w14:paraId="6B57A6F7" w14:textId="77777777" w:rsidR="000B3F38" w:rsidRPr="00902ADB" w:rsidRDefault="000B3F38" w:rsidP="000B3F38">
      <w:pPr>
        <w:tabs>
          <w:tab w:val="center" w:pos="4135"/>
          <w:tab w:val="left" w:pos="7515"/>
        </w:tabs>
        <w:spacing w:line="360" w:lineRule="auto"/>
        <w:jc w:val="center"/>
        <w:rPr>
          <w:rFonts w:ascii="Arial" w:hAnsi="Arial" w:cs="Arial"/>
          <w:sz w:val="26"/>
          <w:szCs w:val="26"/>
        </w:rPr>
      </w:pPr>
      <w:r>
        <w:rPr>
          <w:rFonts w:ascii="Arial" w:eastAsiaTheme="minorHAnsi" w:hAnsi="Arial" w:cs="Arial"/>
          <w:b/>
          <w:sz w:val="16"/>
          <w:szCs w:val="16"/>
          <w:lang w:eastAsia="en-US"/>
        </w:rPr>
        <w:lastRenderedPageBreak/>
        <w:t>LAS PRESENTES FIRMAS CORRESPONDEN A L</w:t>
      </w:r>
      <w:bookmarkStart w:id="0" w:name="_GoBack"/>
      <w:bookmarkEnd w:id="0"/>
      <w:r>
        <w:rPr>
          <w:rFonts w:ascii="Arial" w:eastAsiaTheme="minorHAnsi" w:hAnsi="Arial" w:cs="Arial"/>
          <w:b/>
          <w:sz w:val="16"/>
          <w:szCs w:val="16"/>
          <w:lang w:eastAsia="en-US"/>
        </w:rPr>
        <w:t>A RESOLUCIÓN DE LOS RECURSOS DE REVISIÓN 0089/2022 Y 0091/2022.</w:t>
      </w:r>
    </w:p>
    <w:p w14:paraId="5C4C42B7" w14:textId="74A84689" w:rsidR="007F00D0" w:rsidRDefault="007F00D0" w:rsidP="009035EF">
      <w:pPr>
        <w:tabs>
          <w:tab w:val="left" w:pos="1925"/>
          <w:tab w:val="center" w:pos="4135"/>
        </w:tabs>
        <w:jc w:val="center"/>
        <w:rPr>
          <w:rFonts w:ascii="Arial" w:hAnsi="Arial" w:cs="Arial"/>
          <w:sz w:val="26"/>
          <w:szCs w:val="26"/>
        </w:rPr>
      </w:pPr>
    </w:p>
    <w:p w14:paraId="1CAD36E3" w14:textId="77777777" w:rsidR="000B3F38" w:rsidRDefault="000B3F38" w:rsidP="009035EF">
      <w:pPr>
        <w:tabs>
          <w:tab w:val="left" w:pos="1925"/>
          <w:tab w:val="center" w:pos="4135"/>
        </w:tabs>
        <w:jc w:val="center"/>
        <w:rPr>
          <w:rFonts w:ascii="Arial" w:hAnsi="Arial" w:cs="Arial"/>
          <w:sz w:val="26"/>
          <w:szCs w:val="26"/>
        </w:rPr>
      </w:pPr>
    </w:p>
    <w:p w14:paraId="76A6F0B9" w14:textId="77777777" w:rsidR="007F00D0" w:rsidRDefault="007F00D0" w:rsidP="009035EF">
      <w:pPr>
        <w:tabs>
          <w:tab w:val="left" w:pos="1925"/>
          <w:tab w:val="center" w:pos="4135"/>
        </w:tabs>
        <w:jc w:val="center"/>
        <w:rPr>
          <w:rFonts w:ascii="Arial" w:hAnsi="Arial" w:cs="Arial"/>
          <w:sz w:val="26"/>
          <w:szCs w:val="26"/>
        </w:rPr>
      </w:pPr>
    </w:p>
    <w:p w14:paraId="3861A980" w14:textId="77777777" w:rsidR="00F23BD8" w:rsidRDefault="00F23BD8" w:rsidP="009035EF">
      <w:pPr>
        <w:tabs>
          <w:tab w:val="left" w:pos="1925"/>
          <w:tab w:val="center" w:pos="4135"/>
        </w:tabs>
        <w:jc w:val="center"/>
        <w:rPr>
          <w:rFonts w:ascii="Arial" w:hAnsi="Arial" w:cs="Arial"/>
          <w:sz w:val="26"/>
          <w:szCs w:val="26"/>
        </w:rPr>
      </w:pPr>
    </w:p>
    <w:p w14:paraId="7D6AE5EB" w14:textId="4200EBC5" w:rsidR="009035EF" w:rsidRDefault="009035EF" w:rsidP="009035EF">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2D006D09" w14:textId="77777777" w:rsidR="00F23BD8" w:rsidRDefault="00F23BD8" w:rsidP="005205CD">
      <w:pPr>
        <w:tabs>
          <w:tab w:val="center" w:pos="4135"/>
          <w:tab w:val="left" w:pos="7515"/>
        </w:tabs>
        <w:spacing w:line="360" w:lineRule="auto"/>
        <w:jc w:val="center"/>
        <w:rPr>
          <w:rFonts w:ascii="Arial" w:hAnsi="Arial" w:cs="Arial"/>
          <w:sz w:val="26"/>
          <w:szCs w:val="26"/>
        </w:rPr>
      </w:pPr>
    </w:p>
    <w:p w14:paraId="7D0D6DF9" w14:textId="0740ED1C" w:rsidR="007F00D0" w:rsidRDefault="007F00D0" w:rsidP="005205CD">
      <w:pPr>
        <w:tabs>
          <w:tab w:val="center" w:pos="4135"/>
          <w:tab w:val="left" w:pos="7515"/>
        </w:tabs>
        <w:spacing w:line="360" w:lineRule="auto"/>
        <w:jc w:val="center"/>
        <w:rPr>
          <w:rFonts w:ascii="Arial" w:hAnsi="Arial" w:cs="Arial"/>
          <w:sz w:val="26"/>
          <w:szCs w:val="26"/>
        </w:rPr>
      </w:pPr>
    </w:p>
    <w:p w14:paraId="60D50431" w14:textId="670EAE68" w:rsidR="007F00D0" w:rsidRDefault="007F00D0" w:rsidP="005205CD">
      <w:pPr>
        <w:tabs>
          <w:tab w:val="center" w:pos="4135"/>
          <w:tab w:val="left" w:pos="7515"/>
        </w:tabs>
        <w:spacing w:line="360" w:lineRule="auto"/>
        <w:jc w:val="center"/>
        <w:rPr>
          <w:rFonts w:ascii="Arial" w:hAnsi="Arial" w:cs="Arial"/>
          <w:sz w:val="26"/>
          <w:szCs w:val="26"/>
        </w:rPr>
      </w:pPr>
    </w:p>
    <w:p w14:paraId="3945A71F" w14:textId="77777777" w:rsidR="007F00D0" w:rsidRDefault="007F00D0" w:rsidP="005205CD">
      <w:pPr>
        <w:tabs>
          <w:tab w:val="center" w:pos="4135"/>
          <w:tab w:val="left" w:pos="7515"/>
        </w:tabs>
        <w:spacing w:line="360" w:lineRule="auto"/>
        <w:jc w:val="center"/>
        <w:rPr>
          <w:rFonts w:ascii="Arial" w:hAnsi="Arial" w:cs="Arial"/>
          <w:sz w:val="26"/>
          <w:szCs w:val="26"/>
        </w:rPr>
      </w:pPr>
    </w:p>
    <w:p w14:paraId="09035805" w14:textId="0463CB10" w:rsidR="009035EF" w:rsidRDefault="005205CD" w:rsidP="005205CD">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415A44F9" w14:textId="42EAB064" w:rsidR="005205CD" w:rsidRDefault="005205CD" w:rsidP="005205CD">
      <w:pPr>
        <w:tabs>
          <w:tab w:val="center" w:pos="4135"/>
          <w:tab w:val="left" w:pos="7515"/>
        </w:tabs>
        <w:spacing w:line="360" w:lineRule="auto"/>
        <w:jc w:val="center"/>
        <w:rPr>
          <w:rFonts w:ascii="Arial" w:hAnsi="Arial" w:cs="Arial"/>
          <w:sz w:val="26"/>
          <w:szCs w:val="26"/>
        </w:rPr>
      </w:pPr>
    </w:p>
    <w:p w14:paraId="407DB54F" w14:textId="31A16E64" w:rsidR="00F23BD8" w:rsidRDefault="00F23BD8" w:rsidP="005205CD">
      <w:pPr>
        <w:tabs>
          <w:tab w:val="center" w:pos="4135"/>
          <w:tab w:val="left" w:pos="7515"/>
        </w:tabs>
        <w:spacing w:line="360" w:lineRule="auto"/>
        <w:jc w:val="center"/>
        <w:rPr>
          <w:rFonts w:ascii="Arial" w:hAnsi="Arial" w:cs="Arial"/>
          <w:sz w:val="26"/>
          <w:szCs w:val="26"/>
        </w:rPr>
      </w:pPr>
    </w:p>
    <w:p w14:paraId="1914D23D" w14:textId="3FF34E5A" w:rsidR="00F23BD8" w:rsidRDefault="00F23BD8" w:rsidP="005205CD">
      <w:pPr>
        <w:tabs>
          <w:tab w:val="center" w:pos="4135"/>
          <w:tab w:val="left" w:pos="7515"/>
        </w:tabs>
        <w:spacing w:line="360" w:lineRule="auto"/>
        <w:jc w:val="center"/>
        <w:rPr>
          <w:rFonts w:ascii="Arial" w:hAnsi="Arial" w:cs="Arial"/>
          <w:sz w:val="26"/>
          <w:szCs w:val="26"/>
        </w:rPr>
      </w:pPr>
    </w:p>
    <w:p w14:paraId="7411B440" w14:textId="77777777" w:rsidR="007F00D0" w:rsidRDefault="007F00D0" w:rsidP="005205CD">
      <w:pPr>
        <w:tabs>
          <w:tab w:val="center" w:pos="4135"/>
          <w:tab w:val="left" w:pos="7515"/>
        </w:tabs>
        <w:spacing w:line="360" w:lineRule="auto"/>
        <w:jc w:val="center"/>
        <w:rPr>
          <w:rFonts w:ascii="Arial" w:hAnsi="Arial" w:cs="Arial"/>
          <w:sz w:val="26"/>
          <w:szCs w:val="26"/>
        </w:rPr>
      </w:pPr>
    </w:p>
    <w:p w14:paraId="60545DCE" w14:textId="77777777" w:rsidR="009035EF" w:rsidRPr="00290DA6" w:rsidRDefault="009035EF" w:rsidP="007F00D0">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1F9F8533" w14:textId="77777777" w:rsidR="009035EF" w:rsidRDefault="009035EF" w:rsidP="007F00D0">
      <w:pPr>
        <w:spacing w:after="0" w:line="240" w:lineRule="auto"/>
        <w:jc w:val="center"/>
        <w:rPr>
          <w:rFonts w:ascii="Arial" w:hAnsi="Arial" w:cs="Arial"/>
          <w:sz w:val="26"/>
          <w:szCs w:val="26"/>
        </w:rPr>
      </w:pPr>
      <w:r w:rsidRPr="00290DA6">
        <w:rPr>
          <w:rFonts w:ascii="Arial" w:hAnsi="Arial" w:cs="Arial"/>
          <w:sz w:val="26"/>
          <w:szCs w:val="26"/>
        </w:rPr>
        <w:t>SECRETARIO GENERAL DE ACUERDOS</w:t>
      </w:r>
    </w:p>
    <w:sectPr w:rsidR="009035EF" w:rsidSect="004707EC">
      <w:headerReference w:type="even" r:id="rId15"/>
      <w:headerReference w:type="default" r:id="rId16"/>
      <w:footerReference w:type="default" r:id="rId17"/>
      <w:headerReference w:type="first" r:id="rId18"/>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59E454" w14:textId="77777777" w:rsidR="00E825C4" w:rsidRDefault="00E825C4">
      <w:pPr>
        <w:spacing w:after="0" w:line="240" w:lineRule="auto"/>
      </w:pPr>
      <w:r>
        <w:separator/>
      </w:r>
    </w:p>
  </w:endnote>
  <w:endnote w:type="continuationSeparator" w:id="0">
    <w:p w14:paraId="5DC67567" w14:textId="77777777" w:rsidR="00E825C4" w:rsidRDefault="00E82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3D7B66" w:rsidRDefault="003D7B66">
    <w:pPr>
      <w:pStyle w:val="Piedepgina"/>
      <w:jc w:val="center"/>
    </w:pPr>
  </w:p>
  <w:p w14:paraId="195FF414" w14:textId="77777777" w:rsidR="003D7B66" w:rsidRDefault="003D7B6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791974" w14:textId="77777777" w:rsidR="00E825C4" w:rsidRDefault="00E825C4">
      <w:pPr>
        <w:spacing w:after="0" w:line="240" w:lineRule="auto"/>
      </w:pPr>
      <w:r>
        <w:separator/>
      </w:r>
    </w:p>
  </w:footnote>
  <w:footnote w:type="continuationSeparator" w:id="0">
    <w:p w14:paraId="5697C527" w14:textId="77777777" w:rsidR="00E825C4" w:rsidRDefault="00E825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3D7B66" w:rsidRDefault="000B3F3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3D7B66">
          <w:fldChar w:fldCharType="begin"/>
        </w:r>
        <w:r w:rsidR="003D7B66">
          <w:instrText>PAGE   \* MERGEFORMAT</w:instrText>
        </w:r>
        <w:r w:rsidR="003D7B66">
          <w:fldChar w:fldCharType="separate"/>
        </w:r>
        <w:r w:rsidRPr="000B3F38">
          <w:rPr>
            <w:noProof/>
            <w:lang w:val="es-ES"/>
          </w:rPr>
          <w:t>18</w:t>
        </w:r>
        <w:r w:rsidR="003D7B66">
          <w:fldChar w:fldCharType="end"/>
        </w:r>
      </w:p>
    </w:sdtContent>
  </w:sdt>
  <w:p w14:paraId="0E68208C" w14:textId="77777777" w:rsidR="003D7B66" w:rsidRDefault="003D7B6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3D7B66" w:rsidRDefault="000B3F3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3D7B66">
          <w:fldChar w:fldCharType="begin"/>
        </w:r>
        <w:r w:rsidR="003D7B66">
          <w:instrText>PAGE   \* MERGEFORMAT</w:instrText>
        </w:r>
        <w:r w:rsidR="003D7B66">
          <w:fldChar w:fldCharType="separate"/>
        </w:r>
        <w:r w:rsidRPr="000B3F38">
          <w:rPr>
            <w:noProof/>
            <w:lang w:val="es-ES"/>
          </w:rPr>
          <w:t>19</w:t>
        </w:r>
        <w:r w:rsidR="003D7B66">
          <w:fldChar w:fldCharType="end"/>
        </w:r>
      </w:sdtContent>
    </w:sdt>
  </w:p>
  <w:p w14:paraId="51E22156" w14:textId="40D160B8" w:rsidR="003D7B66" w:rsidRDefault="00275BE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623E830" wp14:editId="6AEA7D2F">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A8F511B" w14:textId="77777777" w:rsidR="00275BEA" w:rsidRDefault="00275BEA" w:rsidP="00275BE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23E830"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3A8F511B" w14:textId="77777777" w:rsidR="00275BEA" w:rsidRDefault="00275BEA" w:rsidP="00275BE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3D7B66"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3D7B66" w:rsidRDefault="000B3F3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9D47365"/>
    <w:multiLevelType w:val="hybridMultilevel"/>
    <w:tmpl w:val="A2EE24BC"/>
    <w:lvl w:ilvl="0" w:tplc="4FA032C8">
      <w:start w:val="1"/>
      <w:numFmt w:val="upperRoman"/>
      <w:lvlText w:val="%1."/>
      <w:lvlJc w:val="left"/>
      <w:pPr>
        <w:ind w:left="1080" w:hanging="72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0F11233"/>
    <w:multiLevelType w:val="hybridMultilevel"/>
    <w:tmpl w:val="5F5A95C6"/>
    <w:lvl w:ilvl="0" w:tplc="74569096">
      <w:start w:val="1"/>
      <w:numFmt w:val="upperRoman"/>
      <w:lvlText w:val="%1."/>
      <w:lvlJc w:val="left"/>
      <w:pPr>
        <w:ind w:left="1080" w:hanging="72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CC32232"/>
    <w:multiLevelType w:val="hybridMultilevel"/>
    <w:tmpl w:val="88DCF1C0"/>
    <w:lvl w:ilvl="0" w:tplc="137498DA">
      <w:start w:val="1"/>
      <w:numFmt w:val="upperRoman"/>
      <w:lvlText w:val="%1."/>
      <w:lvlJc w:val="left"/>
      <w:pPr>
        <w:ind w:left="1428" w:hanging="72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10"/>
  </w:num>
  <w:num w:numId="5">
    <w:abstractNumId w:val="13"/>
  </w:num>
  <w:num w:numId="6">
    <w:abstractNumId w:val="6"/>
  </w:num>
  <w:num w:numId="7">
    <w:abstractNumId w:val="4"/>
  </w:num>
  <w:num w:numId="8">
    <w:abstractNumId w:val="1"/>
  </w:num>
  <w:num w:numId="9">
    <w:abstractNumId w:val="3"/>
  </w:num>
  <w:num w:numId="10">
    <w:abstractNumId w:val="9"/>
  </w:num>
  <w:num w:numId="11">
    <w:abstractNumId w:val="11"/>
  </w:num>
  <w:num w:numId="12">
    <w:abstractNumId w:val="7"/>
  </w:num>
  <w:num w:numId="13">
    <w:abstractNumId w:val="12"/>
  </w:num>
  <w:num w:numId="14">
    <w:abstractNumId w:val="8"/>
  </w:num>
  <w:num w:numId="15">
    <w:abstractNumId w:val="5"/>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5F8E"/>
    <w:rsid w:val="00007105"/>
    <w:rsid w:val="00007296"/>
    <w:rsid w:val="00007E09"/>
    <w:rsid w:val="00007EFD"/>
    <w:rsid w:val="00007FD5"/>
    <w:rsid w:val="000106FE"/>
    <w:rsid w:val="00011D42"/>
    <w:rsid w:val="000121A9"/>
    <w:rsid w:val="000126F6"/>
    <w:rsid w:val="00012918"/>
    <w:rsid w:val="00012DC1"/>
    <w:rsid w:val="000130C8"/>
    <w:rsid w:val="000135AF"/>
    <w:rsid w:val="000138E1"/>
    <w:rsid w:val="00014F98"/>
    <w:rsid w:val="0001695E"/>
    <w:rsid w:val="00016C0B"/>
    <w:rsid w:val="00016E88"/>
    <w:rsid w:val="000174F5"/>
    <w:rsid w:val="00020680"/>
    <w:rsid w:val="00020D86"/>
    <w:rsid w:val="00021989"/>
    <w:rsid w:val="00021A90"/>
    <w:rsid w:val="00021B04"/>
    <w:rsid w:val="00021C5F"/>
    <w:rsid w:val="00022BBC"/>
    <w:rsid w:val="00023F33"/>
    <w:rsid w:val="00024545"/>
    <w:rsid w:val="00025BEB"/>
    <w:rsid w:val="00025C3C"/>
    <w:rsid w:val="00025FB5"/>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FDB"/>
    <w:rsid w:val="000441B5"/>
    <w:rsid w:val="00044C5F"/>
    <w:rsid w:val="000450F5"/>
    <w:rsid w:val="000456C6"/>
    <w:rsid w:val="000466B1"/>
    <w:rsid w:val="000466D5"/>
    <w:rsid w:val="0005174F"/>
    <w:rsid w:val="00051DA1"/>
    <w:rsid w:val="00052542"/>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4079"/>
    <w:rsid w:val="00064906"/>
    <w:rsid w:val="00064FD9"/>
    <w:rsid w:val="00067B5A"/>
    <w:rsid w:val="00070777"/>
    <w:rsid w:val="00070AA4"/>
    <w:rsid w:val="00071C6F"/>
    <w:rsid w:val="00071E8C"/>
    <w:rsid w:val="00071F15"/>
    <w:rsid w:val="000723DA"/>
    <w:rsid w:val="000728B9"/>
    <w:rsid w:val="00073031"/>
    <w:rsid w:val="000730BD"/>
    <w:rsid w:val="000737BF"/>
    <w:rsid w:val="00074A23"/>
    <w:rsid w:val="00074C62"/>
    <w:rsid w:val="000755A5"/>
    <w:rsid w:val="000756DE"/>
    <w:rsid w:val="00076647"/>
    <w:rsid w:val="00076CEA"/>
    <w:rsid w:val="00077661"/>
    <w:rsid w:val="00077DFD"/>
    <w:rsid w:val="00077EAB"/>
    <w:rsid w:val="00080A85"/>
    <w:rsid w:val="0008122B"/>
    <w:rsid w:val="0008141F"/>
    <w:rsid w:val="00083375"/>
    <w:rsid w:val="000838AC"/>
    <w:rsid w:val="00084711"/>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347"/>
    <w:rsid w:val="000A084D"/>
    <w:rsid w:val="000A0E5E"/>
    <w:rsid w:val="000A12C0"/>
    <w:rsid w:val="000A1491"/>
    <w:rsid w:val="000A17DF"/>
    <w:rsid w:val="000A1B10"/>
    <w:rsid w:val="000A200A"/>
    <w:rsid w:val="000A2550"/>
    <w:rsid w:val="000A27AC"/>
    <w:rsid w:val="000A335C"/>
    <w:rsid w:val="000A33D9"/>
    <w:rsid w:val="000A33F5"/>
    <w:rsid w:val="000A5540"/>
    <w:rsid w:val="000A578F"/>
    <w:rsid w:val="000A58B5"/>
    <w:rsid w:val="000A5D36"/>
    <w:rsid w:val="000A5FA8"/>
    <w:rsid w:val="000A6147"/>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3F38"/>
    <w:rsid w:val="000B40FA"/>
    <w:rsid w:val="000B5281"/>
    <w:rsid w:val="000B584E"/>
    <w:rsid w:val="000B5EC8"/>
    <w:rsid w:val="000B5FE3"/>
    <w:rsid w:val="000B6295"/>
    <w:rsid w:val="000B674B"/>
    <w:rsid w:val="000B6B86"/>
    <w:rsid w:val="000B6EF2"/>
    <w:rsid w:val="000B71FE"/>
    <w:rsid w:val="000B77B4"/>
    <w:rsid w:val="000B7999"/>
    <w:rsid w:val="000B7A3A"/>
    <w:rsid w:val="000C02A9"/>
    <w:rsid w:val="000C0569"/>
    <w:rsid w:val="000C1E6B"/>
    <w:rsid w:val="000C238B"/>
    <w:rsid w:val="000C2764"/>
    <w:rsid w:val="000C3DC9"/>
    <w:rsid w:val="000C4139"/>
    <w:rsid w:val="000C47B5"/>
    <w:rsid w:val="000C5414"/>
    <w:rsid w:val="000C5BCE"/>
    <w:rsid w:val="000C5DC1"/>
    <w:rsid w:val="000C6670"/>
    <w:rsid w:val="000C67B4"/>
    <w:rsid w:val="000D04BF"/>
    <w:rsid w:val="000D0D66"/>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057"/>
    <w:rsid w:val="000E2B7D"/>
    <w:rsid w:val="000E343A"/>
    <w:rsid w:val="000E3FF4"/>
    <w:rsid w:val="000E40FD"/>
    <w:rsid w:val="000E4AC8"/>
    <w:rsid w:val="000E4C30"/>
    <w:rsid w:val="000E5501"/>
    <w:rsid w:val="000E5766"/>
    <w:rsid w:val="000E5B3C"/>
    <w:rsid w:val="000E5B66"/>
    <w:rsid w:val="000E64AF"/>
    <w:rsid w:val="000E6B3F"/>
    <w:rsid w:val="000E74F5"/>
    <w:rsid w:val="000E7DB2"/>
    <w:rsid w:val="000F026A"/>
    <w:rsid w:val="000F0C84"/>
    <w:rsid w:val="000F0D7B"/>
    <w:rsid w:val="000F2020"/>
    <w:rsid w:val="000F2949"/>
    <w:rsid w:val="000F2B5A"/>
    <w:rsid w:val="000F2D32"/>
    <w:rsid w:val="000F4347"/>
    <w:rsid w:val="000F50E8"/>
    <w:rsid w:val="000F54B0"/>
    <w:rsid w:val="000F5C41"/>
    <w:rsid w:val="000F5DE0"/>
    <w:rsid w:val="000F62C3"/>
    <w:rsid w:val="000F6A66"/>
    <w:rsid w:val="000F75AF"/>
    <w:rsid w:val="000F77DE"/>
    <w:rsid w:val="001002F5"/>
    <w:rsid w:val="001019F2"/>
    <w:rsid w:val="001025E5"/>
    <w:rsid w:val="00102A5D"/>
    <w:rsid w:val="00102AFD"/>
    <w:rsid w:val="00104141"/>
    <w:rsid w:val="001041F6"/>
    <w:rsid w:val="001042DB"/>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17A59"/>
    <w:rsid w:val="00120EA9"/>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4D45"/>
    <w:rsid w:val="00135132"/>
    <w:rsid w:val="0013555E"/>
    <w:rsid w:val="00135B0C"/>
    <w:rsid w:val="00136897"/>
    <w:rsid w:val="0013695E"/>
    <w:rsid w:val="00136FB8"/>
    <w:rsid w:val="00137C86"/>
    <w:rsid w:val="0014043C"/>
    <w:rsid w:val="00140D7E"/>
    <w:rsid w:val="00142417"/>
    <w:rsid w:val="00142A0C"/>
    <w:rsid w:val="00143682"/>
    <w:rsid w:val="001441D3"/>
    <w:rsid w:val="001450E2"/>
    <w:rsid w:val="00145FCB"/>
    <w:rsid w:val="001460CF"/>
    <w:rsid w:val="00146509"/>
    <w:rsid w:val="0014671A"/>
    <w:rsid w:val="00146991"/>
    <w:rsid w:val="00147CCC"/>
    <w:rsid w:val="00147FEF"/>
    <w:rsid w:val="0015050B"/>
    <w:rsid w:val="00151A88"/>
    <w:rsid w:val="00152DA5"/>
    <w:rsid w:val="00152F51"/>
    <w:rsid w:val="00152FB6"/>
    <w:rsid w:val="0015351E"/>
    <w:rsid w:val="00153BE4"/>
    <w:rsid w:val="001541C5"/>
    <w:rsid w:val="001542BE"/>
    <w:rsid w:val="00154490"/>
    <w:rsid w:val="00156250"/>
    <w:rsid w:val="00156F22"/>
    <w:rsid w:val="001570E1"/>
    <w:rsid w:val="001609C6"/>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632"/>
    <w:rsid w:val="001778B4"/>
    <w:rsid w:val="001779CB"/>
    <w:rsid w:val="00177B53"/>
    <w:rsid w:val="001826D0"/>
    <w:rsid w:val="001831E3"/>
    <w:rsid w:val="0018345B"/>
    <w:rsid w:val="0018356C"/>
    <w:rsid w:val="0018358B"/>
    <w:rsid w:val="00183B85"/>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6BC6"/>
    <w:rsid w:val="00196FB1"/>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1E2D"/>
    <w:rsid w:val="001B2848"/>
    <w:rsid w:val="001B341D"/>
    <w:rsid w:val="001B3A10"/>
    <w:rsid w:val="001B43A1"/>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24"/>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4A2"/>
    <w:rsid w:val="001E3B11"/>
    <w:rsid w:val="001E4C02"/>
    <w:rsid w:val="001E61FF"/>
    <w:rsid w:val="001E65E8"/>
    <w:rsid w:val="001E6964"/>
    <w:rsid w:val="001E6AE5"/>
    <w:rsid w:val="001E7020"/>
    <w:rsid w:val="001E71FD"/>
    <w:rsid w:val="001E730F"/>
    <w:rsid w:val="001E77A9"/>
    <w:rsid w:val="001E7895"/>
    <w:rsid w:val="001E7BD1"/>
    <w:rsid w:val="001F2154"/>
    <w:rsid w:val="001F2840"/>
    <w:rsid w:val="001F287C"/>
    <w:rsid w:val="001F2D73"/>
    <w:rsid w:val="001F3F47"/>
    <w:rsid w:val="001F5050"/>
    <w:rsid w:val="001F60F7"/>
    <w:rsid w:val="001F625A"/>
    <w:rsid w:val="001F6B28"/>
    <w:rsid w:val="001F6C56"/>
    <w:rsid w:val="001F72DF"/>
    <w:rsid w:val="001F77D0"/>
    <w:rsid w:val="002010A9"/>
    <w:rsid w:val="00201769"/>
    <w:rsid w:val="0020247E"/>
    <w:rsid w:val="002025FD"/>
    <w:rsid w:val="00203FD3"/>
    <w:rsid w:val="00204577"/>
    <w:rsid w:val="00205A55"/>
    <w:rsid w:val="00206222"/>
    <w:rsid w:val="0020694D"/>
    <w:rsid w:val="00206B99"/>
    <w:rsid w:val="002073D2"/>
    <w:rsid w:val="002078AA"/>
    <w:rsid w:val="00207F85"/>
    <w:rsid w:val="00210261"/>
    <w:rsid w:val="0021074F"/>
    <w:rsid w:val="002111AC"/>
    <w:rsid w:val="0021188E"/>
    <w:rsid w:val="002127E7"/>
    <w:rsid w:val="00212E08"/>
    <w:rsid w:val="0021302A"/>
    <w:rsid w:val="00213783"/>
    <w:rsid w:val="00213B07"/>
    <w:rsid w:val="00214685"/>
    <w:rsid w:val="002147E4"/>
    <w:rsid w:val="00214CE8"/>
    <w:rsid w:val="002161AD"/>
    <w:rsid w:val="00216377"/>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27CAC"/>
    <w:rsid w:val="00230D10"/>
    <w:rsid w:val="00231036"/>
    <w:rsid w:val="00232D7F"/>
    <w:rsid w:val="0023417B"/>
    <w:rsid w:val="002350A1"/>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B1E"/>
    <w:rsid w:val="00243CE7"/>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62F"/>
    <w:rsid w:val="00257816"/>
    <w:rsid w:val="00257C5E"/>
    <w:rsid w:val="00260433"/>
    <w:rsid w:val="0026116F"/>
    <w:rsid w:val="002617F9"/>
    <w:rsid w:val="00262666"/>
    <w:rsid w:val="00262D7C"/>
    <w:rsid w:val="0026369C"/>
    <w:rsid w:val="00263720"/>
    <w:rsid w:val="00264D41"/>
    <w:rsid w:val="00265161"/>
    <w:rsid w:val="00265F1B"/>
    <w:rsid w:val="002665A2"/>
    <w:rsid w:val="00267221"/>
    <w:rsid w:val="00270087"/>
    <w:rsid w:val="00270831"/>
    <w:rsid w:val="00270DBC"/>
    <w:rsid w:val="0027275E"/>
    <w:rsid w:val="00272A7D"/>
    <w:rsid w:val="00273171"/>
    <w:rsid w:val="002748AA"/>
    <w:rsid w:val="00275418"/>
    <w:rsid w:val="0027575F"/>
    <w:rsid w:val="00275987"/>
    <w:rsid w:val="00275A2F"/>
    <w:rsid w:val="00275BEA"/>
    <w:rsid w:val="002805AC"/>
    <w:rsid w:val="00280919"/>
    <w:rsid w:val="00281661"/>
    <w:rsid w:val="00282C81"/>
    <w:rsid w:val="00283B3F"/>
    <w:rsid w:val="002841EE"/>
    <w:rsid w:val="002844AF"/>
    <w:rsid w:val="00284891"/>
    <w:rsid w:val="00285B3A"/>
    <w:rsid w:val="00285C95"/>
    <w:rsid w:val="00286C13"/>
    <w:rsid w:val="00286D80"/>
    <w:rsid w:val="00287884"/>
    <w:rsid w:val="00287888"/>
    <w:rsid w:val="00291333"/>
    <w:rsid w:val="00291341"/>
    <w:rsid w:val="002926B1"/>
    <w:rsid w:val="00292CA5"/>
    <w:rsid w:val="00293B1D"/>
    <w:rsid w:val="00293E41"/>
    <w:rsid w:val="00294153"/>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7E7"/>
    <w:rsid w:val="002B0967"/>
    <w:rsid w:val="002B1C2A"/>
    <w:rsid w:val="002B2706"/>
    <w:rsid w:val="002B3BA3"/>
    <w:rsid w:val="002B4040"/>
    <w:rsid w:val="002B5C09"/>
    <w:rsid w:val="002B5C82"/>
    <w:rsid w:val="002B6545"/>
    <w:rsid w:val="002B6893"/>
    <w:rsid w:val="002B6B9D"/>
    <w:rsid w:val="002B6C19"/>
    <w:rsid w:val="002B6D0D"/>
    <w:rsid w:val="002B7879"/>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585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0A29"/>
    <w:rsid w:val="002F1091"/>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4E"/>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046"/>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6E88"/>
    <w:rsid w:val="00337583"/>
    <w:rsid w:val="003379FB"/>
    <w:rsid w:val="00337DF6"/>
    <w:rsid w:val="0034068D"/>
    <w:rsid w:val="0034180B"/>
    <w:rsid w:val="00341A52"/>
    <w:rsid w:val="00342184"/>
    <w:rsid w:val="00342644"/>
    <w:rsid w:val="0034266B"/>
    <w:rsid w:val="003426E8"/>
    <w:rsid w:val="00342740"/>
    <w:rsid w:val="00342B26"/>
    <w:rsid w:val="00342CE5"/>
    <w:rsid w:val="00343BE2"/>
    <w:rsid w:val="003448FF"/>
    <w:rsid w:val="00345946"/>
    <w:rsid w:val="00345C53"/>
    <w:rsid w:val="00346754"/>
    <w:rsid w:val="00347AAB"/>
    <w:rsid w:val="00347FD3"/>
    <w:rsid w:val="0035006A"/>
    <w:rsid w:val="003509B6"/>
    <w:rsid w:val="00350B13"/>
    <w:rsid w:val="00352322"/>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C01"/>
    <w:rsid w:val="003726E1"/>
    <w:rsid w:val="00374012"/>
    <w:rsid w:val="003743D7"/>
    <w:rsid w:val="003749C0"/>
    <w:rsid w:val="003750D6"/>
    <w:rsid w:val="003752B5"/>
    <w:rsid w:val="0037599C"/>
    <w:rsid w:val="00375FDD"/>
    <w:rsid w:val="003763CE"/>
    <w:rsid w:val="0037725F"/>
    <w:rsid w:val="003804A7"/>
    <w:rsid w:val="00381DC3"/>
    <w:rsid w:val="0038228C"/>
    <w:rsid w:val="00382BDE"/>
    <w:rsid w:val="003859C4"/>
    <w:rsid w:val="00385B11"/>
    <w:rsid w:val="00385EA5"/>
    <w:rsid w:val="00386F92"/>
    <w:rsid w:val="003874C3"/>
    <w:rsid w:val="00387725"/>
    <w:rsid w:val="00387C65"/>
    <w:rsid w:val="00390CDE"/>
    <w:rsid w:val="00390F68"/>
    <w:rsid w:val="003919E4"/>
    <w:rsid w:val="00392B20"/>
    <w:rsid w:val="00394516"/>
    <w:rsid w:val="003961E1"/>
    <w:rsid w:val="003974F9"/>
    <w:rsid w:val="003A0726"/>
    <w:rsid w:val="003A0AA1"/>
    <w:rsid w:val="003A0FE5"/>
    <w:rsid w:val="003A24EC"/>
    <w:rsid w:val="003A28DC"/>
    <w:rsid w:val="003A3EA0"/>
    <w:rsid w:val="003A4B73"/>
    <w:rsid w:val="003A6262"/>
    <w:rsid w:val="003A645D"/>
    <w:rsid w:val="003B0033"/>
    <w:rsid w:val="003B0A5E"/>
    <w:rsid w:val="003B0AA1"/>
    <w:rsid w:val="003B0AB6"/>
    <w:rsid w:val="003B0AD5"/>
    <w:rsid w:val="003B0B21"/>
    <w:rsid w:val="003B16F0"/>
    <w:rsid w:val="003B210B"/>
    <w:rsid w:val="003B2BAA"/>
    <w:rsid w:val="003B2F00"/>
    <w:rsid w:val="003B354A"/>
    <w:rsid w:val="003B3575"/>
    <w:rsid w:val="003B3697"/>
    <w:rsid w:val="003B373B"/>
    <w:rsid w:val="003B3A74"/>
    <w:rsid w:val="003B4BAF"/>
    <w:rsid w:val="003B5111"/>
    <w:rsid w:val="003B57C3"/>
    <w:rsid w:val="003B609E"/>
    <w:rsid w:val="003B6C7E"/>
    <w:rsid w:val="003B6CF0"/>
    <w:rsid w:val="003B79F9"/>
    <w:rsid w:val="003B7F51"/>
    <w:rsid w:val="003C0293"/>
    <w:rsid w:val="003C0929"/>
    <w:rsid w:val="003C0DB7"/>
    <w:rsid w:val="003C0DF1"/>
    <w:rsid w:val="003C1936"/>
    <w:rsid w:val="003C1CE5"/>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42F"/>
    <w:rsid w:val="003D5BAD"/>
    <w:rsid w:val="003D5F20"/>
    <w:rsid w:val="003D6E19"/>
    <w:rsid w:val="003D737D"/>
    <w:rsid w:val="003D7B66"/>
    <w:rsid w:val="003D7E33"/>
    <w:rsid w:val="003E0C30"/>
    <w:rsid w:val="003E0F2A"/>
    <w:rsid w:val="003E1CD9"/>
    <w:rsid w:val="003E2CF8"/>
    <w:rsid w:val="003E3169"/>
    <w:rsid w:val="003E35FB"/>
    <w:rsid w:val="003E3999"/>
    <w:rsid w:val="003E43BE"/>
    <w:rsid w:val="003E4A4E"/>
    <w:rsid w:val="003E504F"/>
    <w:rsid w:val="003E5231"/>
    <w:rsid w:val="003E5781"/>
    <w:rsid w:val="003E5B98"/>
    <w:rsid w:val="003E62FB"/>
    <w:rsid w:val="003E6A41"/>
    <w:rsid w:val="003E7801"/>
    <w:rsid w:val="003F0AF5"/>
    <w:rsid w:val="003F14E4"/>
    <w:rsid w:val="003F1FC5"/>
    <w:rsid w:val="003F3E65"/>
    <w:rsid w:val="003F42FC"/>
    <w:rsid w:val="003F4833"/>
    <w:rsid w:val="003F4B68"/>
    <w:rsid w:val="003F532D"/>
    <w:rsid w:val="003F6E6B"/>
    <w:rsid w:val="003F7A40"/>
    <w:rsid w:val="004003E7"/>
    <w:rsid w:val="00400CE8"/>
    <w:rsid w:val="00401B8F"/>
    <w:rsid w:val="00401E11"/>
    <w:rsid w:val="00401FEB"/>
    <w:rsid w:val="00401FF6"/>
    <w:rsid w:val="004022FC"/>
    <w:rsid w:val="00402763"/>
    <w:rsid w:val="004027A1"/>
    <w:rsid w:val="00403B45"/>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0CE"/>
    <w:rsid w:val="004139D0"/>
    <w:rsid w:val="0041486D"/>
    <w:rsid w:val="0041540D"/>
    <w:rsid w:val="0041584F"/>
    <w:rsid w:val="00415924"/>
    <w:rsid w:val="004159EF"/>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4E0F"/>
    <w:rsid w:val="00435C4E"/>
    <w:rsid w:val="00436484"/>
    <w:rsid w:val="00436B6F"/>
    <w:rsid w:val="00437A49"/>
    <w:rsid w:val="00437B25"/>
    <w:rsid w:val="00437D5A"/>
    <w:rsid w:val="0044044F"/>
    <w:rsid w:val="00441DE8"/>
    <w:rsid w:val="00442F67"/>
    <w:rsid w:val="00442FBB"/>
    <w:rsid w:val="00443487"/>
    <w:rsid w:val="00443DE0"/>
    <w:rsid w:val="0044467E"/>
    <w:rsid w:val="0044496C"/>
    <w:rsid w:val="00444F46"/>
    <w:rsid w:val="0044520F"/>
    <w:rsid w:val="004458DD"/>
    <w:rsid w:val="004468EC"/>
    <w:rsid w:val="00446A05"/>
    <w:rsid w:val="00446B69"/>
    <w:rsid w:val="004502C5"/>
    <w:rsid w:val="004509CE"/>
    <w:rsid w:val="004515BE"/>
    <w:rsid w:val="004519CB"/>
    <w:rsid w:val="004520FC"/>
    <w:rsid w:val="00452173"/>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5D17"/>
    <w:rsid w:val="00466042"/>
    <w:rsid w:val="004668E6"/>
    <w:rsid w:val="004673D5"/>
    <w:rsid w:val="004707EC"/>
    <w:rsid w:val="0047274B"/>
    <w:rsid w:val="00472B3D"/>
    <w:rsid w:val="00472D90"/>
    <w:rsid w:val="00473EB5"/>
    <w:rsid w:val="004756C2"/>
    <w:rsid w:val="0047647A"/>
    <w:rsid w:val="00476541"/>
    <w:rsid w:val="004771E5"/>
    <w:rsid w:val="00477357"/>
    <w:rsid w:val="00477E07"/>
    <w:rsid w:val="00480A69"/>
    <w:rsid w:val="004813E0"/>
    <w:rsid w:val="004826CB"/>
    <w:rsid w:val="00483B0E"/>
    <w:rsid w:val="00483D90"/>
    <w:rsid w:val="00484AE9"/>
    <w:rsid w:val="00485508"/>
    <w:rsid w:val="0048659E"/>
    <w:rsid w:val="00486775"/>
    <w:rsid w:val="004874A4"/>
    <w:rsid w:val="00491E99"/>
    <w:rsid w:val="004929E7"/>
    <w:rsid w:val="0049318A"/>
    <w:rsid w:val="00493A5B"/>
    <w:rsid w:val="00493DF3"/>
    <w:rsid w:val="00494A1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283C"/>
    <w:rsid w:val="004C3A42"/>
    <w:rsid w:val="004C4721"/>
    <w:rsid w:val="004C4B13"/>
    <w:rsid w:val="004C4B5E"/>
    <w:rsid w:val="004C5064"/>
    <w:rsid w:val="004C513B"/>
    <w:rsid w:val="004C54F2"/>
    <w:rsid w:val="004C62A2"/>
    <w:rsid w:val="004C643F"/>
    <w:rsid w:val="004C6683"/>
    <w:rsid w:val="004C715A"/>
    <w:rsid w:val="004C73F2"/>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6813"/>
    <w:rsid w:val="004D79AB"/>
    <w:rsid w:val="004E0DB7"/>
    <w:rsid w:val="004E13BA"/>
    <w:rsid w:val="004E1A6E"/>
    <w:rsid w:val="004E1B12"/>
    <w:rsid w:val="004E28A7"/>
    <w:rsid w:val="004E32FC"/>
    <w:rsid w:val="004E3D7B"/>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3AD"/>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46E"/>
    <w:rsid w:val="005115C3"/>
    <w:rsid w:val="00515288"/>
    <w:rsid w:val="00515B21"/>
    <w:rsid w:val="00515CF2"/>
    <w:rsid w:val="00516419"/>
    <w:rsid w:val="00517079"/>
    <w:rsid w:val="00520023"/>
    <w:rsid w:val="005201C4"/>
    <w:rsid w:val="00520569"/>
    <w:rsid w:val="005205CD"/>
    <w:rsid w:val="005208E8"/>
    <w:rsid w:val="005212AE"/>
    <w:rsid w:val="0052216F"/>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172"/>
    <w:rsid w:val="0054479C"/>
    <w:rsid w:val="00544998"/>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6BDC"/>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07B"/>
    <w:rsid w:val="00590AF7"/>
    <w:rsid w:val="00592360"/>
    <w:rsid w:val="00593333"/>
    <w:rsid w:val="005960D3"/>
    <w:rsid w:val="00597038"/>
    <w:rsid w:val="005973A7"/>
    <w:rsid w:val="005A0825"/>
    <w:rsid w:val="005A09A3"/>
    <w:rsid w:val="005A1FEE"/>
    <w:rsid w:val="005A273F"/>
    <w:rsid w:val="005A3583"/>
    <w:rsid w:val="005A36F4"/>
    <w:rsid w:val="005A4118"/>
    <w:rsid w:val="005A453F"/>
    <w:rsid w:val="005A4552"/>
    <w:rsid w:val="005A493F"/>
    <w:rsid w:val="005A6667"/>
    <w:rsid w:val="005A6A9E"/>
    <w:rsid w:val="005A752F"/>
    <w:rsid w:val="005B1E67"/>
    <w:rsid w:val="005B2365"/>
    <w:rsid w:val="005B296A"/>
    <w:rsid w:val="005B3184"/>
    <w:rsid w:val="005B33D1"/>
    <w:rsid w:val="005B36F5"/>
    <w:rsid w:val="005B3BB9"/>
    <w:rsid w:val="005B3F3B"/>
    <w:rsid w:val="005B5FC8"/>
    <w:rsid w:val="005B6E2C"/>
    <w:rsid w:val="005B7761"/>
    <w:rsid w:val="005C08BA"/>
    <w:rsid w:val="005C0DC0"/>
    <w:rsid w:val="005C0FAF"/>
    <w:rsid w:val="005C194D"/>
    <w:rsid w:val="005C1969"/>
    <w:rsid w:val="005C1AE6"/>
    <w:rsid w:val="005C21B5"/>
    <w:rsid w:val="005C2210"/>
    <w:rsid w:val="005C3179"/>
    <w:rsid w:val="005C464F"/>
    <w:rsid w:val="005C565F"/>
    <w:rsid w:val="005C5B71"/>
    <w:rsid w:val="005C639C"/>
    <w:rsid w:val="005C7062"/>
    <w:rsid w:val="005C714B"/>
    <w:rsid w:val="005C74ED"/>
    <w:rsid w:val="005C795A"/>
    <w:rsid w:val="005D0E8F"/>
    <w:rsid w:val="005D2CDE"/>
    <w:rsid w:val="005D2DDC"/>
    <w:rsid w:val="005D341C"/>
    <w:rsid w:val="005D3A26"/>
    <w:rsid w:val="005D3C96"/>
    <w:rsid w:val="005D3CC0"/>
    <w:rsid w:val="005D4EDA"/>
    <w:rsid w:val="005D58F0"/>
    <w:rsid w:val="005D65FC"/>
    <w:rsid w:val="005D6747"/>
    <w:rsid w:val="005D6918"/>
    <w:rsid w:val="005E08EE"/>
    <w:rsid w:val="005E160F"/>
    <w:rsid w:val="005E3A57"/>
    <w:rsid w:val="005E3BA2"/>
    <w:rsid w:val="005E40A8"/>
    <w:rsid w:val="005E4DA8"/>
    <w:rsid w:val="005E5F15"/>
    <w:rsid w:val="005E7897"/>
    <w:rsid w:val="005F0996"/>
    <w:rsid w:val="005F1394"/>
    <w:rsid w:val="005F156F"/>
    <w:rsid w:val="005F1C5A"/>
    <w:rsid w:val="005F1D9F"/>
    <w:rsid w:val="005F2179"/>
    <w:rsid w:val="005F2E14"/>
    <w:rsid w:val="005F2E7D"/>
    <w:rsid w:val="005F2F7D"/>
    <w:rsid w:val="005F3AFE"/>
    <w:rsid w:val="005F45C2"/>
    <w:rsid w:val="005F4ECF"/>
    <w:rsid w:val="005F569A"/>
    <w:rsid w:val="005F6073"/>
    <w:rsid w:val="005F6196"/>
    <w:rsid w:val="005F61B4"/>
    <w:rsid w:val="005F6454"/>
    <w:rsid w:val="005F7759"/>
    <w:rsid w:val="005F7852"/>
    <w:rsid w:val="0060041C"/>
    <w:rsid w:val="006012BD"/>
    <w:rsid w:val="00601B5F"/>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27CDF"/>
    <w:rsid w:val="006304BB"/>
    <w:rsid w:val="0063071F"/>
    <w:rsid w:val="006308C9"/>
    <w:rsid w:val="00630C62"/>
    <w:rsid w:val="00631207"/>
    <w:rsid w:val="0063273E"/>
    <w:rsid w:val="00633242"/>
    <w:rsid w:val="00633FA0"/>
    <w:rsid w:val="00634534"/>
    <w:rsid w:val="00634718"/>
    <w:rsid w:val="00634EF5"/>
    <w:rsid w:val="00636401"/>
    <w:rsid w:val="00636905"/>
    <w:rsid w:val="00636A93"/>
    <w:rsid w:val="006373CA"/>
    <w:rsid w:val="0063772A"/>
    <w:rsid w:val="00637A69"/>
    <w:rsid w:val="006418C8"/>
    <w:rsid w:val="00641FC3"/>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226"/>
    <w:rsid w:val="006564ED"/>
    <w:rsid w:val="00656C6E"/>
    <w:rsid w:val="0066116D"/>
    <w:rsid w:val="00662BDA"/>
    <w:rsid w:val="00663F47"/>
    <w:rsid w:val="00664AC4"/>
    <w:rsid w:val="00664FB0"/>
    <w:rsid w:val="0066505B"/>
    <w:rsid w:val="00665ACE"/>
    <w:rsid w:val="00666FFD"/>
    <w:rsid w:val="0066701C"/>
    <w:rsid w:val="006671D4"/>
    <w:rsid w:val="0066750D"/>
    <w:rsid w:val="00667F2F"/>
    <w:rsid w:val="00671338"/>
    <w:rsid w:val="00672CE0"/>
    <w:rsid w:val="00672F8D"/>
    <w:rsid w:val="006730DE"/>
    <w:rsid w:val="006730F3"/>
    <w:rsid w:val="00673B33"/>
    <w:rsid w:val="006747AB"/>
    <w:rsid w:val="006763D5"/>
    <w:rsid w:val="00676465"/>
    <w:rsid w:val="006775C4"/>
    <w:rsid w:val="0068056E"/>
    <w:rsid w:val="00681AC1"/>
    <w:rsid w:val="00681EE7"/>
    <w:rsid w:val="00682165"/>
    <w:rsid w:val="006821FB"/>
    <w:rsid w:val="00682DD1"/>
    <w:rsid w:val="00683178"/>
    <w:rsid w:val="0068325D"/>
    <w:rsid w:val="006836DF"/>
    <w:rsid w:val="00684213"/>
    <w:rsid w:val="00684F50"/>
    <w:rsid w:val="0068510C"/>
    <w:rsid w:val="00685785"/>
    <w:rsid w:val="00685B63"/>
    <w:rsid w:val="00686F6A"/>
    <w:rsid w:val="00687828"/>
    <w:rsid w:val="00687BEB"/>
    <w:rsid w:val="0069075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2C9"/>
    <w:rsid w:val="006B1B86"/>
    <w:rsid w:val="006B208B"/>
    <w:rsid w:val="006B3C7A"/>
    <w:rsid w:val="006B3F43"/>
    <w:rsid w:val="006B454E"/>
    <w:rsid w:val="006B462B"/>
    <w:rsid w:val="006B46C9"/>
    <w:rsid w:val="006B4FD6"/>
    <w:rsid w:val="006B511B"/>
    <w:rsid w:val="006B5508"/>
    <w:rsid w:val="006B7267"/>
    <w:rsid w:val="006C1371"/>
    <w:rsid w:val="006C1F9E"/>
    <w:rsid w:val="006C2F23"/>
    <w:rsid w:val="006C3C3F"/>
    <w:rsid w:val="006C408C"/>
    <w:rsid w:val="006C44AE"/>
    <w:rsid w:val="006C456A"/>
    <w:rsid w:val="006C564D"/>
    <w:rsid w:val="006C671F"/>
    <w:rsid w:val="006C6AEE"/>
    <w:rsid w:val="006C6F3C"/>
    <w:rsid w:val="006C6FB7"/>
    <w:rsid w:val="006D007C"/>
    <w:rsid w:val="006D06F5"/>
    <w:rsid w:val="006D120B"/>
    <w:rsid w:val="006D1DB2"/>
    <w:rsid w:val="006D24B5"/>
    <w:rsid w:val="006D3FF8"/>
    <w:rsid w:val="006D428F"/>
    <w:rsid w:val="006D54E1"/>
    <w:rsid w:val="006D5A11"/>
    <w:rsid w:val="006D668F"/>
    <w:rsid w:val="006E0406"/>
    <w:rsid w:val="006E064A"/>
    <w:rsid w:val="006E09D6"/>
    <w:rsid w:val="006E1695"/>
    <w:rsid w:val="006E197B"/>
    <w:rsid w:val="006E1AC8"/>
    <w:rsid w:val="006E22C9"/>
    <w:rsid w:val="006E2B27"/>
    <w:rsid w:val="006E58AF"/>
    <w:rsid w:val="006E5B26"/>
    <w:rsid w:val="006E698C"/>
    <w:rsid w:val="006E6A36"/>
    <w:rsid w:val="006E7F21"/>
    <w:rsid w:val="006F0329"/>
    <w:rsid w:val="006F0771"/>
    <w:rsid w:val="006F0913"/>
    <w:rsid w:val="006F2412"/>
    <w:rsid w:val="006F2E16"/>
    <w:rsid w:val="006F3230"/>
    <w:rsid w:val="006F3FE0"/>
    <w:rsid w:val="006F462B"/>
    <w:rsid w:val="006F6131"/>
    <w:rsid w:val="006F650D"/>
    <w:rsid w:val="006F68C0"/>
    <w:rsid w:val="006F68E5"/>
    <w:rsid w:val="00700013"/>
    <w:rsid w:val="007007EB"/>
    <w:rsid w:val="00701329"/>
    <w:rsid w:val="007017F0"/>
    <w:rsid w:val="00702727"/>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4A94"/>
    <w:rsid w:val="00715319"/>
    <w:rsid w:val="00715EBB"/>
    <w:rsid w:val="00716095"/>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32E"/>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4968"/>
    <w:rsid w:val="007656A2"/>
    <w:rsid w:val="00766389"/>
    <w:rsid w:val="007677CD"/>
    <w:rsid w:val="00767FE0"/>
    <w:rsid w:val="00770340"/>
    <w:rsid w:val="00770536"/>
    <w:rsid w:val="00770AC5"/>
    <w:rsid w:val="007711A1"/>
    <w:rsid w:val="007714FD"/>
    <w:rsid w:val="00771520"/>
    <w:rsid w:val="00771AF2"/>
    <w:rsid w:val="007722CF"/>
    <w:rsid w:val="00772E06"/>
    <w:rsid w:val="00773C44"/>
    <w:rsid w:val="00774396"/>
    <w:rsid w:val="007743DD"/>
    <w:rsid w:val="0077560A"/>
    <w:rsid w:val="007758EE"/>
    <w:rsid w:val="00775BD0"/>
    <w:rsid w:val="007779BF"/>
    <w:rsid w:val="00777B9A"/>
    <w:rsid w:val="00777CFA"/>
    <w:rsid w:val="00777F6C"/>
    <w:rsid w:val="007806D4"/>
    <w:rsid w:val="00780D03"/>
    <w:rsid w:val="00780FBC"/>
    <w:rsid w:val="00781E84"/>
    <w:rsid w:val="00781EFF"/>
    <w:rsid w:val="00782019"/>
    <w:rsid w:val="00782460"/>
    <w:rsid w:val="007841D1"/>
    <w:rsid w:val="00786A0E"/>
    <w:rsid w:val="00787328"/>
    <w:rsid w:val="00787FF8"/>
    <w:rsid w:val="007904C9"/>
    <w:rsid w:val="00790CF4"/>
    <w:rsid w:val="00790DA7"/>
    <w:rsid w:val="00791F5C"/>
    <w:rsid w:val="007927EC"/>
    <w:rsid w:val="00792E46"/>
    <w:rsid w:val="00792E5F"/>
    <w:rsid w:val="007932E0"/>
    <w:rsid w:val="00793C07"/>
    <w:rsid w:val="00793D6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0C3"/>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0768"/>
    <w:rsid w:val="007C1271"/>
    <w:rsid w:val="007C313D"/>
    <w:rsid w:val="007C3B2E"/>
    <w:rsid w:val="007C405D"/>
    <w:rsid w:val="007C4D7C"/>
    <w:rsid w:val="007C5545"/>
    <w:rsid w:val="007C587A"/>
    <w:rsid w:val="007C6DD8"/>
    <w:rsid w:val="007C79F5"/>
    <w:rsid w:val="007C7A6B"/>
    <w:rsid w:val="007D0423"/>
    <w:rsid w:val="007D0A0F"/>
    <w:rsid w:val="007D131D"/>
    <w:rsid w:val="007D1719"/>
    <w:rsid w:val="007D303D"/>
    <w:rsid w:val="007D3563"/>
    <w:rsid w:val="007D3939"/>
    <w:rsid w:val="007D3BCC"/>
    <w:rsid w:val="007D3CE0"/>
    <w:rsid w:val="007D404D"/>
    <w:rsid w:val="007D45CB"/>
    <w:rsid w:val="007D4645"/>
    <w:rsid w:val="007D5692"/>
    <w:rsid w:val="007D6461"/>
    <w:rsid w:val="007D6DC2"/>
    <w:rsid w:val="007D7816"/>
    <w:rsid w:val="007E3210"/>
    <w:rsid w:val="007E32FC"/>
    <w:rsid w:val="007E4266"/>
    <w:rsid w:val="007E4EA5"/>
    <w:rsid w:val="007E5A5C"/>
    <w:rsid w:val="007E7A9C"/>
    <w:rsid w:val="007F00D0"/>
    <w:rsid w:val="007F0BA9"/>
    <w:rsid w:val="007F14CC"/>
    <w:rsid w:val="007F17A3"/>
    <w:rsid w:val="007F1A1A"/>
    <w:rsid w:val="007F1ECE"/>
    <w:rsid w:val="007F2DD4"/>
    <w:rsid w:val="007F3272"/>
    <w:rsid w:val="007F35C6"/>
    <w:rsid w:val="007F3BF0"/>
    <w:rsid w:val="007F425D"/>
    <w:rsid w:val="007F4946"/>
    <w:rsid w:val="007F4B42"/>
    <w:rsid w:val="007F4F15"/>
    <w:rsid w:val="007F5B11"/>
    <w:rsid w:val="007F7957"/>
    <w:rsid w:val="007F7CB7"/>
    <w:rsid w:val="007F7F91"/>
    <w:rsid w:val="00800C46"/>
    <w:rsid w:val="00801A10"/>
    <w:rsid w:val="00801F35"/>
    <w:rsid w:val="00802D30"/>
    <w:rsid w:val="00803391"/>
    <w:rsid w:val="00803D63"/>
    <w:rsid w:val="00805084"/>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AFB"/>
    <w:rsid w:val="00816B43"/>
    <w:rsid w:val="00817062"/>
    <w:rsid w:val="00817A06"/>
    <w:rsid w:val="0082001A"/>
    <w:rsid w:val="008205D0"/>
    <w:rsid w:val="0082070E"/>
    <w:rsid w:val="00820D99"/>
    <w:rsid w:val="00820E06"/>
    <w:rsid w:val="008211F5"/>
    <w:rsid w:val="00823863"/>
    <w:rsid w:val="008240AB"/>
    <w:rsid w:val="008241FC"/>
    <w:rsid w:val="00824B51"/>
    <w:rsid w:val="008254E0"/>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29EC"/>
    <w:rsid w:val="008430AD"/>
    <w:rsid w:val="008433AE"/>
    <w:rsid w:val="0084355F"/>
    <w:rsid w:val="008436D2"/>
    <w:rsid w:val="00843D17"/>
    <w:rsid w:val="0084703C"/>
    <w:rsid w:val="008473A8"/>
    <w:rsid w:val="00847424"/>
    <w:rsid w:val="00847B25"/>
    <w:rsid w:val="00850259"/>
    <w:rsid w:val="008504C8"/>
    <w:rsid w:val="00851000"/>
    <w:rsid w:val="00851789"/>
    <w:rsid w:val="00854795"/>
    <w:rsid w:val="00854886"/>
    <w:rsid w:val="00855029"/>
    <w:rsid w:val="0085507C"/>
    <w:rsid w:val="00855106"/>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4BB"/>
    <w:rsid w:val="008866BD"/>
    <w:rsid w:val="0088717C"/>
    <w:rsid w:val="008872C5"/>
    <w:rsid w:val="00887311"/>
    <w:rsid w:val="00887B04"/>
    <w:rsid w:val="00890833"/>
    <w:rsid w:val="00890BC5"/>
    <w:rsid w:val="00890E9C"/>
    <w:rsid w:val="00891864"/>
    <w:rsid w:val="00891B31"/>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3B5C"/>
    <w:rsid w:val="008A4EE6"/>
    <w:rsid w:val="008A6544"/>
    <w:rsid w:val="008A65C4"/>
    <w:rsid w:val="008A73E0"/>
    <w:rsid w:val="008A7EC3"/>
    <w:rsid w:val="008A7F72"/>
    <w:rsid w:val="008B0AD8"/>
    <w:rsid w:val="008B1D4F"/>
    <w:rsid w:val="008B299F"/>
    <w:rsid w:val="008B2A33"/>
    <w:rsid w:val="008B3030"/>
    <w:rsid w:val="008B32AC"/>
    <w:rsid w:val="008B33CF"/>
    <w:rsid w:val="008B43C8"/>
    <w:rsid w:val="008B458E"/>
    <w:rsid w:val="008B4751"/>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578"/>
    <w:rsid w:val="008E0871"/>
    <w:rsid w:val="008E08A8"/>
    <w:rsid w:val="008E0B04"/>
    <w:rsid w:val="008E15B5"/>
    <w:rsid w:val="008E2B42"/>
    <w:rsid w:val="008E350D"/>
    <w:rsid w:val="008E3B36"/>
    <w:rsid w:val="008E3CEC"/>
    <w:rsid w:val="008E480F"/>
    <w:rsid w:val="008E4A67"/>
    <w:rsid w:val="008E5D00"/>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5E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637"/>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ADB"/>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6FF2"/>
    <w:rsid w:val="00957E51"/>
    <w:rsid w:val="00960833"/>
    <w:rsid w:val="009608E8"/>
    <w:rsid w:val="00960E04"/>
    <w:rsid w:val="0096112B"/>
    <w:rsid w:val="009629EE"/>
    <w:rsid w:val="0096309B"/>
    <w:rsid w:val="00964A87"/>
    <w:rsid w:val="00964CE3"/>
    <w:rsid w:val="00965204"/>
    <w:rsid w:val="00965931"/>
    <w:rsid w:val="00965DB7"/>
    <w:rsid w:val="009660E9"/>
    <w:rsid w:val="009663A9"/>
    <w:rsid w:val="00966C28"/>
    <w:rsid w:val="00967EED"/>
    <w:rsid w:val="009700BB"/>
    <w:rsid w:val="00971321"/>
    <w:rsid w:val="00972B61"/>
    <w:rsid w:val="009730F2"/>
    <w:rsid w:val="00973790"/>
    <w:rsid w:val="00974250"/>
    <w:rsid w:val="00974F50"/>
    <w:rsid w:val="009756EC"/>
    <w:rsid w:val="009757EE"/>
    <w:rsid w:val="0097584C"/>
    <w:rsid w:val="00976FCC"/>
    <w:rsid w:val="0097768E"/>
    <w:rsid w:val="00980A22"/>
    <w:rsid w:val="009818A2"/>
    <w:rsid w:val="009829E2"/>
    <w:rsid w:val="00983525"/>
    <w:rsid w:val="009844CE"/>
    <w:rsid w:val="00984590"/>
    <w:rsid w:val="009845B3"/>
    <w:rsid w:val="00984F92"/>
    <w:rsid w:val="00984FB7"/>
    <w:rsid w:val="009855CB"/>
    <w:rsid w:val="00985932"/>
    <w:rsid w:val="009868FC"/>
    <w:rsid w:val="00986D6A"/>
    <w:rsid w:val="00990013"/>
    <w:rsid w:val="009903C5"/>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2EAE"/>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27E"/>
    <w:rsid w:val="009E0336"/>
    <w:rsid w:val="009E10EC"/>
    <w:rsid w:val="009E10F6"/>
    <w:rsid w:val="009E1628"/>
    <w:rsid w:val="009E2B95"/>
    <w:rsid w:val="009E2F5D"/>
    <w:rsid w:val="009E3347"/>
    <w:rsid w:val="009E34FA"/>
    <w:rsid w:val="009E3D69"/>
    <w:rsid w:val="009E3DB9"/>
    <w:rsid w:val="009E4B0C"/>
    <w:rsid w:val="009E4B72"/>
    <w:rsid w:val="009E646B"/>
    <w:rsid w:val="009E7B07"/>
    <w:rsid w:val="009F050C"/>
    <w:rsid w:val="009F1587"/>
    <w:rsid w:val="009F344F"/>
    <w:rsid w:val="009F34A9"/>
    <w:rsid w:val="009F3537"/>
    <w:rsid w:val="009F3962"/>
    <w:rsid w:val="009F3A8E"/>
    <w:rsid w:val="009F3B12"/>
    <w:rsid w:val="009F4300"/>
    <w:rsid w:val="009F46F3"/>
    <w:rsid w:val="009F4CDD"/>
    <w:rsid w:val="009F4E6F"/>
    <w:rsid w:val="009F52DB"/>
    <w:rsid w:val="009F5F75"/>
    <w:rsid w:val="009F6D03"/>
    <w:rsid w:val="009F6F8D"/>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5256"/>
    <w:rsid w:val="00A06A2F"/>
    <w:rsid w:val="00A06D1F"/>
    <w:rsid w:val="00A06F57"/>
    <w:rsid w:val="00A06FB2"/>
    <w:rsid w:val="00A073BA"/>
    <w:rsid w:val="00A07A56"/>
    <w:rsid w:val="00A1031F"/>
    <w:rsid w:val="00A10D42"/>
    <w:rsid w:val="00A1186C"/>
    <w:rsid w:val="00A12661"/>
    <w:rsid w:val="00A12D31"/>
    <w:rsid w:val="00A12F8B"/>
    <w:rsid w:val="00A13C0F"/>
    <w:rsid w:val="00A1523D"/>
    <w:rsid w:val="00A164A6"/>
    <w:rsid w:val="00A165FE"/>
    <w:rsid w:val="00A16EFC"/>
    <w:rsid w:val="00A17A7F"/>
    <w:rsid w:val="00A20FD0"/>
    <w:rsid w:val="00A21357"/>
    <w:rsid w:val="00A215C1"/>
    <w:rsid w:val="00A21B13"/>
    <w:rsid w:val="00A22381"/>
    <w:rsid w:val="00A23038"/>
    <w:rsid w:val="00A23061"/>
    <w:rsid w:val="00A23D23"/>
    <w:rsid w:val="00A243B5"/>
    <w:rsid w:val="00A24A17"/>
    <w:rsid w:val="00A24B73"/>
    <w:rsid w:val="00A257A4"/>
    <w:rsid w:val="00A258BB"/>
    <w:rsid w:val="00A25EF2"/>
    <w:rsid w:val="00A27138"/>
    <w:rsid w:val="00A30D30"/>
    <w:rsid w:val="00A31158"/>
    <w:rsid w:val="00A319B6"/>
    <w:rsid w:val="00A3215A"/>
    <w:rsid w:val="00A32881"/>
    <w:rsid w:val="00A3359F"/>
    <w:rsid w:val="00A33F3B"/>
    <w:rsid w:val="00A352E3"/>
    <w:rsid w:val="00A35446"/>
    <w:rsid w:val="00A3583F"/>
    <w:rsid w:val="00A367EE"/>
    <w:rsid w:val="00A36936"/>
    <w:rsid w:val="00A37825"/>
    <w:rsid w:val="00A40143"/>
    <w:rsid w:val="00A4105D"/>
    <w:rsid w:val="00A41757"/>
    <w:rsid w:val="00A417FE"/>
    <w:rsid w:val="00A41FA8"/>
    <w:rsid w:val="00A426F3"/>
    <w:rsid w:val="00A42E01"/>
    <w:rsid w:val="00A44166"/>
    <w:rsid w:val="00A448E0"/>
    <w:rsid w:val="00A456F5"/>
    <w:rsid w:val="00A45C71"/>
    <w:rsid w:val="00A45CFF"/>
    <w:rsid w:val="00A4628E"/>
    <w:rsid w:val="00A47209"/>
    <w:rsid w:val="00A47455"/>
    <w:rsid w:val="00A501A8"/>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6431"/>
    <w:rsid w:val="00A77448"/>
    <w:rsid w:val="00A77B65"/>
    <w:rsid w:val="00A77EC2"/>
    <w:rsid w:val="00A8007D"/>
    <w:rsid w:val="00A80761"/>
    <w:rsid w:val="00A80DC8"/>
    <w:rsid w:val="00A812F5"/>
    <w:rsid w:val="00A814C5"/>
    <w:rsid w:val="00A81939"/>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39B7"/>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088E"/>
    <w:rsid w:val="00AC11A0"/>
    <w:rsid w:val="00AC12CF"/>
    <w:rsid w:val="00AC154D"/>
    <w:rsid w:val="00AC2548"/>
    <w:rsid w:val="00AC3C32"/>
    <w:rsid w:val="00AC3DB8"/>
    <w:rsid w:val="00AD100C"/>
    <w:rsid w:val="00AD2540"/>
    <w:rsid w:val="00AD38ED"/>
    <w:rsid w:val="00AD39D6"/>
    <w:rsid w:val="00AD3C97"/>
    <w:rsid w:val="00AD4282"/>
    <w:rsid w:val="00AD5A42"/>
    <w:rsid w:val="00AD5F0C"/>
    <w:rsid w:val="00AD7073"/>
    <w:rsid w:val="00AD77FD"/>
    <w:rsid w:val="00AD79E2"/>
    <w:rsid w:val="00AD7FFB"/>
    <w:rsid w:val="00AE1C5C"/>
    <w:rsid w:val="00AE271F"/>
    <w:rsid w:val="00AE3DF5"/>
    <w:rsid w:val="00AE4CFF"/>
    <w:rsid w:val="00AE4E46"/>
    <w:rsid w:val="00AE52B0"/>
    <w:rsid w:val="00AE54F8"/>
    <w:rsid w:val="00AE5C7F"/>
    <w:rsid w:val="00AF0A54"/>
    <w:rsid w:val="00AF1629"/>
    <w:rsid w:val="00AF2172"/>
    <w:rsid w:val="00AF2A59"/>
    <w:rsid w:val="00AF345A"/>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076E8"/>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0400"/>
    <w:rsid w:val="00B31114"/>
    <w:rsid w:val="00B313D0"/>
    <w:rsid w:val="00B3156A"/>
    <w:rsid w:val="00B315E1"/>
    <w:rsid w:val="00B315F4"/>
    <w:rsid w:val="00B317DD"/>
    <w:rsid w:val="00B32412"/>
    <w:rsid w:val="00B33EBC"/>
    <w:rsid w:val="00B33FC4"/>
    <w:rsid w:val="00B34E8B"/>
    <w:rsid w:val="00B34EFE"/>
    <w:rsid w:val="00B372E3"/>
    <w:rsid w:val="00B37C1A"/>
    <w:rsid w:val="00B37D09"/>
    <w:rsid w:val="00B40212"/>
    <w:rsid w:val="00B40B0C"/>
    <w:rsid w:val="00B40B73"/>
    <w:rsid w:val="00B41312"/>
    <w:rsid w:val="00B417BF"/>
    <w:rsid w:val="00B41BD2"/>
    <w:rsid w:val="00B42215"/>
    <w:rsid w:val="00B438BE"/>
    <w:rsid w:val="00B439C8"/>
    <w:rsid w:val="00B453AD"/>
    <w:rsid w:val="00B45776"/>
    <w:rsid w:val="00B45E78"/>
    <w:rsid w:val="00B462D1"/>
    <w:rsid w:val="00B50446"/>
    <w:rsid w:val="00B51B10"/>
    <w:rsid w:val="00B523E5"/>
    <w:rsid w:val="00B528A3"/>
    <w:rsid w:val="00B52E31"/>
    <w:rsid w:val="00B5349D"/>
    <w:rsid w:val="00B534E9"/>
    <w:rsid w:val="00B54BDD"/>
    <w:rsid w:val="00B54ECC"/>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5E"/>
    <w:rsid w:val="00B70EC1"/>
    <w:rsid w:val="00B70F1D"/>
    <w:rsid w:val="00B70F75"/>
    <w:rsid w:val="00B7103E"/>
    <w:rsid w:val="00B72097"/>
    <w:rsid w:val="00B72FDD"/>
    <w:rsid w:val="00B735DA"/>
    <w:rsid w:val="00B73AD3"/>
    <w:rsid w:val="00B759C6"/>
    <w:rsid w:val="00B766B9"/>
    <w:rsid w:val="00B76E0C"/>
    <w:rsid w:val="00B76EA9"/>
    <w:rsid w:val="00B7789B"/>
    <w:rsid w:val="00B77DF2"/>
    <w:rsid w:val="00B8020F"/>
    <w:rsid w:val="00B8071F"/>
    <w:rsid w:val="00B814A1"/>
    <w:rsid w:val="00B82205"/>
    <w:rsid w:val="00B8238D"/>
    <w:rsid w:val="00B82642"/>
    <w:rsid w:val="00B832CE"/>
    <w:rsid w:val="00B83A0B"/>
    <w:rsid w:val="00B8477B"/>
    <w:rsid w:val="00B84DE7"/>
    <w:rsid w:val="00B854B7"/>
    <w:rsid w:val="00B858D9"/>
    <w:rsid w:val="00B8650B"/>
    <w:rsid w:val="00B868FA"/>
    <w:rsid w:val="00B86B3C"/>
    <w:rsid w:val="00B876BF"/>
    <w:rsid w:val="00B87BE7"/>
    <w:rsid w:val="00B87E94"/>
    <w:rsid w:val="00B90116"/>
    <w:rsid w:val="00B90ED9"/>
    <w:rsid w:val="00B91714"/>
    <w:rsid w:val="00B923B6"/>
    <w:rsid w:val="00B9293A"/>
    <w:rsid w:val="00B93021"/>
    <w:rsid w:val="00B93BE3"/>
    <w:rsid w:val="00B95F7A"/>
    <w:rsid w:val="00B95FE2"/>
    <w:rsid w:val="00B962EE"/>
    <w:rsid w:val="00B97246"/>
    <w:rsid w:val="00B9725F"/>
    <w:rsid w:val="00B972B2"/>
    <w:rsid w:val="00B97390"/>
    <w:rsid w:val="00BA03EE"/>
    <w:rsid w:val="00BA15B9"/>
    <w:rsid w:val="00BA1836"/>
    <w:rsid w:val="00BA18D4"/>
    <w:rsid w:val="00BA224E"/>
    <w:rsid w:val="00BA258A"/>
    <w:rsid w:val="00BA2A3D"/>
    <w:rsid w:val="00BA31EF"/>
    <w:rsid w:val="00BA3973"/>
    <w:rsid w:val="00BA42E0"/>
    <w:rsid w:val="00BA4D58"/>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5F11"/>
    <w:rsid w:val="00BB6A68"/>
    <w:rsid w:val="00BB739C"/>
    <w:rsid w:val="00BB7905"/>
    <w:rsid w:val="00BC0108"/>
    <w:rsid w:val="00BC088B"/>
    <w:rsid w:val="00BC0955"/>
    <w:rsid w:val="00BC1305"/>
    <w:rsid w:val="00BC2587"/>
    <w:rsid w:val="00BC342A"/>
    <w:rsid w:val="00BC40F2"/>
    <w:rsid w:val="00BC45CE"/>
    <w:rsid w:val="00BC4F3D"/>
    <w:rsid w:val="00BC64CE"/>
    <w:rsid w:val="00BC68AD"/>
    <w:rsid w:val="00BC7112"/>
    <w:rsid w:val="00BC7FCC"/>
    <w:rsid w:val="00BD0C00"/>
    <w:rsid w:val="00BD0DA0"/>
    <w:rsid w:val="00BD1F9D"/>
    <w:rsid w:val="00BD3693"/>
    <w:rsid w:val="00BD438C"/>
    <w:rsid w:val="00BD492B"/>
    <w:rsid w:val="00BD4F9A"/>
    <w:rsid w:val="00BD5E19"/>
    <w:rsid w:val="00BD640D"/>
    <w:rsid w:val="00BD6D4E"/>
    <w:rsid w:val="00BD71F1"/>
    <w:rsid w:val="00BD74CF"/>
    <w:rsid w:val="00BE1782"/>
    <w:rsid w:val="00BE1BBE"/>
    <w:rsid w:val="00BE2C9F"/>
    <w:rsid w:val="00BE36D5"/>
    <w:rsid w:val="00BE481D"/>
    <w:rsid w:val="00BE4FDC"/>
    <w:rsid w:val="00BE6056"/>
    <w:rsid w:val="00BE6217"/>
    <w:rsid w:val="00BE6F33"/>
    <w:rsid w:val="00BE7C10"/>
    <w:rsid w:val="00BF01B9"/>
    <w:rsid w:val="00BF0D7C"/>
    <w:rsid w:val="00BF1235"/>
    <w:rsid w:val="00BF1F39"/>
    <w:rsid w:val="00BF2AD9"/>
    <w:rsid w:val="00BF2FDA"/>
    <w:rsid w:val="00BF5877"/>
    <w:rsid w:val="00BF68A1"/>
    <w:rsid w:val="00BF7AC5"/>
    <w:rsid w:val="00C006E1"/>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9A8"/>
    <w:rsid w:val="00C20DE5"/>
    <w:rsid w:val="00C21870"/>
    <w:rsid w:val="00C2196F"/>
    <w:rsid w:val="00C219E2"/>
    <w:rsid w:val="00C22D5B"/>
    <w:rsid w:val="00C22D64"/>
    <w:rsid w:val="00C22F22"/>
    <w:rsid w:val="00C2365F"/>
    <w:rsid w:val="00C23BF3"/>
    <w:rsid w:val="00C23FDB"/>
    <w:rsid w:val="00C24B6B"/>
    <w:rsid w:val="00C25A02"/>
    <w:rsid w:val="00C268F6"/>
    <w:rsid w:val="00C2779B"/>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3F4D"/>
    <w:rsid w:val="00C45268"/>
    <w:rsid w:val="00C455CD"/>
    <w:rsid w:val="00C45BBF"/>
    <w:rsid w:val="00C46708"/>
    <w:rsid w:val="00C474EF"/>
    <w:rsid w:val="00C4788E"/>
    <w:rsid w:val="00C47B12"/>
    <w:rsid w:val="00C500D2"/>
    <w:rsid w:val="00C50922"/>
    <w:rsid w:val="00C51440"/>
    <w:rsid w:val="00C52089"/>
    <w:rsid w:val="00C53E87"/>
    <w:rsid w:val="00C55CDE"/>
    <w:rsid w:val="00C56885"/>
    <w:rsid w:val="00C56AE3"/>
    <w:rsid w:val="00C56D20"/>
    <w:rsid w:val="00C57069"/>
    <w:rsid w:val="00C57680"/>
    <w:rsid w:val="00C57997"/>
    <w:rsid w:val="00C57DF7"/>
    <w:rsid w:val="00C60823"/>
    <w:rsid w:val="00C6124E"/>
    <w:rsid w:val="00C613CF"/>
    <w:rsid w:val="00C6230B"/>
    <w:rsid w:val="00C6257D"/>
    <w:rsid w:val="00C63293"/>
    <w:rsid w:val="00C632FA"/>
    <w:rsid w:val="00C635D0"/>
    <w:rsid w:val="00C64273"/>
    <w:rsid w:val="00C65B9B"/>
    <w:rsid w:val="00C66212"/>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0B35"/>
    <w:rsid w:val="00C810FC"/>
    <w:rsid w:val="00C812F8"/>
    <w:rsid w:val="00C81DAA"/>
    <w:rsid w:val="00C83651"/>
    <w:rsid w:val="00C83754"/>
    <w:rsid w:val="00C8385A"/>
    <w:rsid w:val="00C83F2B"/>
    <w:rsid w:val="00C84998"/>
    <w:rsid w:val="00C855DB"/>
    <w:rsid w:val="00C9111E"/>
    <w:rsid w:val="00C91446"/>
    <w:rsid w:val="00C919AB"/>
    <w:rsid w:val="00C92681"/>
    <w:rsid w:val="00C9403E"/>
    <w:rsid w:val="00C94994"/>
    <w:rsid w:val="00C94C04"/>
    <w:rsid w:val="00C951C1"/>
    <w:rsid w:val="00C95FEF"/>
    <w:rsid w:val="00C9600B"/>
    <w:rsid w:val="00C962CF"/>
    <w:rsid w:val="00C96BE2"/>
    <w:rsid w:val="00C96F6C"/>
    <w:rsid w:val="00C97806"/>
    <w:rsid w:val="00C978B4"/>
    <w:rsid w:val="00CA069E"/>
    <w:rsid w:val="00CA19C7"/>
    <w:rsid w:val="00CA1A5E"/>
    <w:rsid w:val="00CA1BD1"/>
    <w:rsid w:val="00CA1D49"/>
    <w:rsid w:val="00CA209E"/>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B91"/>
    <w:rsid w:val="00CB6EB4"/>
    <w:rsid w:val="00CB7439"/>
    <w:rsid w:val="00CB748E"/>
    <w:rsid w:val="00CB7C3A"/>
    <w:rsid w:val="00CC0FC3"/>
    <w:rsid w:val="00CC1406"/>
    <w:rsid w:val="00CC154C"/>
    <w:rsid w:val="00CC1DB2"/>
    <w:rsid w:val="00CC23F5"/>
    <w:rsid w:val="00CC367C"/>
    <w:rsid w:val="00CC3FEE"/>
    <w:rsid w:val="00CC416D"/>
    <w:rsid w:val="00CC45E5"/>
    <w:rsid w:val="00CC466F"/>
    <w:rsid w:val="00CC55E8"/>
    <w:rsid w:val="00CC5DF0"/>
    <w:rsid w:val="00CC66BB"/>
    <w:rsid w:val="00CC6DFF"/>
    <w:rsid w:val="00CC71C6"/>
    <w:rsid w:val="00CC7477"/>
    <w:rsid w:val="00CC7E7D"/>
    <w:rsid w:val="00CD02DD"/>
    <w:rsid w:val="00CD04B5"/>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418"/>
    <w:rsid w:val="00CF10EF"/>
    <w:rsid w:val="00CF1F53"/>
    <w:rsid w:val="00CF1FAE"/>
    <w:rsid w:val="00CF3BED"/>
    <w:rsid w:val="00CF3D51"/>
    <w:rsid w:val="00CF4A6D"/>
    <w:rsid w:val="00CF593F"/>
    <w:rsid w:val="00CF5B89"/>
    <w:rsid w:val="00CF6510"/>
    <w:rsid w:val="00CF65E5"/>
    <w:rsid w:val="00CF66B8"/>
    <w:rsid w:val="00CF6971"/>
    <w:rsid w:val="00CF6CA8"/>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073"/>
    <w:rsid w:val="00D45359"/>
    <w:rsid w:val="00D46922"/>
    <w:rsid w:val="00D47AB6"/>
    <w:rsid w:val="00D507D9"/>
    <w:rsid w:val="00D50BC3"/>
    <w:rsid w:val="00D52E63"/>
    <w:rsid w:val="00D53E86"/>
    <w:rsid w:val="00D545A8"/>
    <w:rsid w:val="00D548A5"/>
    <w:rsid w:val="00D548E5"/>
    <w:rsid w:val="00D55BD9"/>
    <w:rsid w:val="00D56163"/>
    <w:rsid w:val="00D5617F"/>
    <w:rsid w:val="00D566F5"/>
    <w:rsid w:val="00D56BF3"/>
    <w:rsid w:val="00D60503"/>
    <w:rsid w:val="00D62605"/>
    <w:rsid w:val="00D63073"/>
    <w:rsid w:val="00D630C0"/>
    <w:rsid w:val="00D6362A"/>
    <w:rsid w:val="00D63DA5"/>
    <w:rsid w:val="00D63DA7"/>
    <w:rsid w:val="00D641C8"/>
    <w:rsid w:val="00D64B3A"/>
    <w:rsid w:val="00D64D09"/>
    <w:rsid w:val="00D6587E"/>
    <w:rsid w:val="00D65C48"/>
    <w:rsid w:val="00D67187"/>
    <w:rsid w:val="00D67229"/>
    <w:rsid w:val="00D67C48"/>
    <w:rsid w:val="00D70CA3"/>
    <w:rsid w:val="00D718E2"/>
    <w:rsid w:val="00D719E5"/>
    <w:rsid w:val="00D72097"/>
    <w:rsid w:val="00D72D37"/>
    <w:rsid w:val="00D73167"/>
    <w:rsid w:val="00D7322F"/>
    <w:rsid w:val="00D73481"/>
    <w:rsid w:val="00D73B2E"/>
    <w:rsid w:val="00D73C07"/>
    <w:rsid w:val="00D743AB"/>
    <w:rsid w:val="00D74799"/>
    <w:rsid w:val="00D74FDC"/>
    <w:rsid w:val="00D7536B"/>
    <w:rsid w:val="00D75AD5"/>
    <w:rsid w:val="00D81033"/>
    <w:rsid w:val="00D81136"/>
    <w:rsid w:val="00D828F7"/>
    <w:rsid w:val="00D82C07"/>
    <w:rsid w:val="00D82CE9"/>
    <w:rsid w:val="00D82D32"/>
    <w:rsid w:val="00D8317A"/>
    <w:rsid w:val="00D84AEE"/>
    <w:rsid w:val="00D8502A"/>
    <w:rsid w:val="00D850ED"/>
    <w:rsid w:val="00D857C1"/>
    <w:rsid w:val="00D85E53"/>
    <w:rsid w:val="00D865D9"/>
    <w:rsid w:val="00D86B99"/>
    <w:rsid w:val="00D9154A"/>
    <w:rsid w:val="00D91B03"/>
    <w:rsid w:val="00D923F4"/>
    <w:rsid w:val="00D93271"/>
    <w:rsid w:val="00D93F15"/>
    <w:rsid w:val="00D9475D"/>
    <w:rsid w:val="00D95A96"/>
    <w:rsid w:val="00D96319"/>
    <w:rsid w:val="00D9727B"/>
    <w:rsid w:val="00D9777F"/>
    <w:rsid w:val="00DA020A"/>
    <w:rsid w:val="00DA07B6"/>
    <w:rsid w:val="00DA0CA2"/>
    <w:rsid w:val="00DA158D"/>
    <w:rsid w:val="00DA1D14"/>
    <w:rsid w:val="00DA257E"/>
    <w:rsid w:val="00DA3B52"/>
    <w:rsid w:val="00DA4151"/>
    <w:rsid w:val="00DA4B87"/>
    <w:rsid w:val="00DA5129"/>
    <w:rsid w:val="00DA54E7"/>
    <w:rsid w:val="00DA5795"/>
    <w:rsid w:val="00DA5945"/>
    <w:rsid w:val="00DA5F0A"/>
    <w:rsid w:val="00DA63A9"/>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3CF"/>
    <w:rsid w:val="00DC07AE"/>
    <w:rsid w:val="00DC09F8"/>
    <w:rsid w:val="00DC0C95"/>
    <w:rsid w:val="00DC0D1A"/>
    <w:rsid w:val="00DC1C5C"/>
    <w:rsid w:val="00DC2465"/>
    <w:rsid w:val="00DC252B"/>
    <w:rsid w:val="00DC2811"/>
    <w:rsid w:val="00DC458D"/>
    <w:rsid w:val="00DC4AD4"/>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6BE9"/>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3AB5"/>
    <w:rsid w:val="00DF44D1"/>
    <w:rsid w:val="00DF5862"/>
    <w:rsid w:val="00DF5E93"/>
    <w:rsid w:val="00DF66BB"/>
    <w:rsid w:val="00DF7D55"/>
    <w:rsid w:val="00E00E3A"/>
    <w:rsid w:val="00E013E9"/>
    <w:rsid w:val="00E013EF"/>
    <w:rsid w:val="00E017F2"/>
    <w:rsid w:val="00E01B2C"/>
    <w:rsid w:val="00E0267C"/>
    <w:rsid w:val="00E02932"/>
    <w:rsid w:val="00E02CE1"/>
    <w:rsid w:val="00E03960"/>
    <w:rsid w:val="00E03B4B"/>
    <w:rsid w:val="00E043FA"/>
    <w:rsid w:val="00E04ACE"/>
    <w:rsid w:val="00E069C1"/>
    <w:rsid w:val="00E0725D"/>
    <w:rsid w:val="00E1063D"/>
    <w:rsid w:val="00E10676"/>
    <w:rsid w:val="00E10E12"/>
    <w:rsid w:val="00E119EA"/>
    <w:rsid w:val="00E11DFA"/>
    <w:rsid w:val="00E123BB"/>
    <w:rsid w:val="00E12B19"/>
    <w:rsid w:val="00E12DB1"/>
    <w:rsid w:val="00E1374F"/>
    <w:rsid w:val="00E13856"/>
    <w:rsid w:val="00E13E2F"/>
    <w:rsid w:val="00E14C82"/>
    <w:rsid w:val="00E15278"/>
    <w:rsid w:val="00E1556E"/>
    <w:rsid w:val="00E156FD"/>
    <w:rsid w:val="00E1582A"/>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1EB4"/>
    <w:rsid w:val="00E3334D"/>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4FC7"/>
    <w:rsid w:val="00E455A1"/>
    <w:rsid w:val="00E45841"/>
    <w:rsid w:val="00E45DF0"/>
    <w:rsid w:val="00E45F05"/>
    <w:rsid w:val="00E46A3A"/>
    <w:rsid w:val="00E47A30"/>
    <w:rsid w:val="00E50E09"/>
    <w:rsid w:val="00E538E8"/>
    <w:rsid w:val="00E540CA"/>
    <w:rsid w:val="00E54462"/>
    <w:rsid w:val="00E54583"/>
    <w:rsid w:val="00E55F46"/>
    <w:rsid w:val="00E5633C"/>
    <w:rsid w:val="00E56E97"/>
    <w:rsid w:val="00E56EE4"/>
    <w:rsid w:val="00E578F1"/>
    <w:rsid w:val="00E60A17"/>
    <w:rsid w:val="00E621FE"/>
    <w:rsid w:val="00E624E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5C4"/>
    <w:rsid w:val="00E82708"/>
    <w:rsid w:val="00E8399A"/>
    <w:rsid w:val="00E839A4"/>
    <w:rsid w:val="00E839CE"/>
    <w:rsid w:val="00E83AB6"/>
    <w:rsid w:val="00E85937"/>
    <w:rsid w:val="00E86711"/>
    <w:rsid w:val="00E86798"/>
    <w:rsid w:val="00E90CAB"/>
    <w:rsid w:val="00E90E54"/>
    <w:rsid w:val="00E9118C"/>
    <w:rsid w:val="00E914A9"/>
    <w:rsid w:val="00E91F93"/>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3A6"/>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1DF"/>
    <w:rsid w:val="00ED18EC"/>
    <w:rsid w:val="00ED2378"/>
    <w:rsid w:val="00ED29A6"/>
    <w:rsid w:val="00ED347B"/>
    <w:rsid w:val="00ED35F3"/>
    <w:rsid w:val="00ED3C6C"/>
    <w:rsid w:val="00ED525B"/>
    <w:rsid w:val="00ED5337"/>
    <w:rsid w:val="00ED59E7"/>
    <w:rsid w:val="00ED72E4"/>
    <w:rsid w:val="00ED73CF"/>
    <w:rsid w:val="00ED7403"/>
    <w:rsid w:val="00ED798E"/>
    <w:rsid w:val="00ED7AA8"/>
    <w:rsid w:val="00ED7E25"/>
    <w:rsid w:val="00EE057C"/>
    <w:rsid w:val="00EE0858"/>
    <w:rsid w:val="00EE236A"/>
    <w:rsid w:val="00EE2649"/>
    <w:rsid w:val="00EE3015"/>
    <w:rsid w:val="00EE31AF"/>
    <w:rsid w:val="00EE34A1"/>
    <w:rsid w:val="00EE41A1"/>
    <w:rsid w:val="00EE50C5"/>
    <w:rsid w:val="00EE536C"/>
    <w:rsid w:val="00EE53E7"/>
    <w:rsid w:val="00EE6DEF"/>
    <w:rsid w:val="00EE71BF"/>
    <w:rsid w:val="00EE73E5"/>
    <w:rsid w:val="00EE7B44"/>
    <w:rsid w:val="00EE7D04"/>
    <w:rsid w:val="00EE7FB9"/>
    <w:rsid w:val="00EF09AC"/>
    <w:rsid w:val="00EF14D1"/>
    <w:rsid w:val="00EF1742"/>
    <w:rsid w:val="00EF1DD2"/>
    <w:rsid w:val="00EF58F2"/>
    <w:rsid w:val="00EF60C8"/>
    <w:rsid w:val="00EF6733"/>
    <w:rsid w:val="00EF6AD7"/>
    <w:rsid w:val="00F006A9"/>
    <w:rsid w:val="00F009EB"/>
    <w:rsid w:val="00F017FB"/>
    <w:rsid w:val="00F01F7A"/>
    <w:rsid w:val="00F02736"/>
    <w:rsid w:val="00F02A35"/>
    <w:rsid w:val="00F02B12"/>
    <w:rsid w:val="00F02DE0"/>
    <w:rsid w:val="00F030A2"/>
    <w:rsid w:val="00F0344E"/>
    <w:rsid w:val="00F03930"/>
    <w:rsid w:val="00F04DD4"/>
    <w:rsid w:val="00F053FC"/>
    <w:rsid w:val="00F05564"/>
    <w:rsid w:val="00F06302"/>
    <w:rsid w:val="00F079CC"/>
    <w:rsid w:val="00F07E6E"/>
    <w:rsid w:val="00F1250C"/>
    <w:rsid w:val="00F13509"/>
    <w:rsid w:val="00F1360C"/>
    <w:rsid w:val="00F1390D"/>
    <w:rsid w:val="00F14715"/>
    <w:rsid w:val="00F151EA"/>
    <w:rsid w:val="00F15595"/>
    <w:rsid w:val="00F156A1"/>
    <w:rsid w:val="00F208B7"/>
    <w:rsid w:val="00F20B24"/>
    <w:rsid w:val="00F21368"/>
    <w:rsid w:val="00F21A7E"/>
    <w:rsid w:val="00F224D7"/>
    <w:rsid w:val="00F226DE"/>
    <w:rsid w:val="00F227F6"/>
    <w:rsid w:val="00F22851"/>
    <w:rsid w:val="00F23BD8"/>
    <w:rsid w:val="00F24944"/>
    <w:rsid w:val="00F24EE4"/>
    <w:rsid w:val="00F2516C"/>
    <w:rsid w:val="00F2560A"/>
    <w:rsid w:val="00F25B7F"/>
    <w:rsid w:val="00F2644C"/>
    <w:rsid w:val="00F26992"/>
    <w:rsid w:val="00F26F0E"/>
    <w:rsid w:val="00F2789C"/>
    <w:rsid w:val="00F310A3"/>
    <w:rsid w:val="00F31B8A"/>
    <w:rsid w:val="00F31FDD"/>
    <w:rsid w:val="00F323A8"/>
    <w:rsid w:val="00F32FB2"/>
    <w:rsid w:val="00F334EB"/>
    <w:rsid w:val="00F339B3"/>
    <w:rsid w:val="00F34104"/>
    <w:rsid w:val="00F34DC1"/>
    <w:rsid w:val="00F34DEA"/>
    <w:rsid w:val="00F35DBE"/>
    <w:rsid w:val="00F36B23"/>
    <w:rsid w:val="00F36D66"/>
    <w:rsid w:val="00F370C9"/>
    <w:rsid w:val="00F37101"/>
    <w:rsid w:val="00F377CE"/>
    <w:rsid w:val="00F40094"/>
    <w:rsid w:val="00F40646"/>
    <w:rsid w:val="00F41393"/>
    <w:rsid w:val="00F42591"/>
    <w:rsid w:val="00F426C8"/>
    <w:rsid w:val="00F4377C"/>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66D"/>
    <w:rsid w:val="00F62D15"/>
    <w:rsid w:val="00F6398A"/>
    <w:rsid w:val="00F63C51"/>
    <w:rsid w:val="00F6442F"/>
    <w:rsid w:val="00F64C5A"/>
    <w:rsid w:val="00F66D81"/>
    <w:rsid w:val="00F67C3E"/>
    <w:rsid w:val="00F70281"/>
    <w:rsid w:val="00F707C2"/>
    <w:rsid w:val="00F707EE"/>
    <w:rsid w:val="00F710EA"/>
    <w:rsid w:val="00F711DC"/>
    <w:rsid w:val="00F71CBD"/>
    <w:rsid w:val="00F71FF1"/>
    <w:rsid w:val="00F73249"/>
    <w:rsid w:val="00F738C0"/>
    <w:rsid w:val="00F74615"/>
    <w:rsid w:val="00F74CF0"/>
    <w:rsid w:val="00F75115"/>
    <w:rsid w:val="00F75D29"/>
    <w:rsid w:val="00F75F03"/>
    <w:rsid w:val="00F77624"/>
    <w:rsid w:val="00F804E8"/>
    <w:rsid w:val="00F80DF4"/>
    <w:rsid w:val="00F8181F"/>
    <w:rsid w:val="00F81B8A"/>
    <w:rsid w:val="00F8258C"/>
    <w:rsid w:val="00F826FD"/>
    <w:rsid w:val="00F82BC8"/>
    <w:rsid w:val="00F82E77"/>
    <w:rsid w:val="00F838C1"/>
    <w:rsid w:val="00F83C99"/>
    <w:rsid w:val="00F84C3A"/>
    <w:rsid w:val="00F85662"/>
    <w:rsid w:val="00F86E1B"/>
    <w:rsid w:val="00F902E3"/>
    <w:rsid w:val="00F921D2"/>
    <w:rsid w:val="00F92334"/>
    <w:rsid w:val="00F937E1"/>
    <w:rsid w:val="00F93EF6"/>
    <w:rsid w:val="00F93EFB"/>
    <w:rsid w:val="00F94647"/>
    <w:rsid w:val="00F94E54"/>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6825"/>
    <w:rsid w:val="00FA6DFD"/>
    <w:rsid w:val="00FA746C"/>
    <w:rsid w:val="00FA7B8D"/>
    <w:rsid w:val="00FB0817"/>
    <w:rsid w:val="00FB0C83"/>
    <w:rsid w:val="00FB1043"/>
    <w:rsid w:val="00FB20F3"/>
    <w:rsid w:val="00FB43AC"/>
    <w:rsid w:val="00FB47EA"/>
    <w:rsid w:val="00FB567E"/>
    <w:rsid w:val="00FB7079"/>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4F2"/>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2E8"/>
    <w:rsid w:val="00FE5141"/>
    <w:rsid w:val="00FE520C"/>
    <w:rsid w:val="00FE65C5"/>
    <w:rsid w:val="00FE6DA0"/>
    <w:rsid w:val="00FE7C52"/>
    <w:rsid w:val="00FF0C49"/>
    <w:rsid w:val="00FF0FDB"/>
    <w:rsid w:val="00FF1282"/>
    <w:rsid w:val="00FF1339"/>
    <w:rsid w:val="00FF1682"/>
    <w:rsid w:val="00FF33D3"/>
    <w:rsid w:val="00FF479B"/>
    <w:rsid w:val="00FF5100"/>
    <w:rsid w:val="00FF5C53"/>
    <w:rsid w:val="00FF63AC"/>
    <w:rsid w:val="00FF69B5"/>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3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77882016">
      <w:bodyDiv w:val="1"/>
      <w:marLeft w:val="0"/>
      <w:marRight w:val="0"/>
      <w:marTop w:val="0"/>
      <w:marBottom w:val="0"/>
      <w:divBdr>
        <w:top w:val="none" w:sz="0" w:space="0" w:color="auto"/>
        <w:left w:val="none" w:sz="0" w:space="0" w:color="auto"/>
        <w:bottom w:val="none" w:sz="0" w:space="0" w:color="auto"/>
        <w:right w:val="none" w:sz="0" w:space="0" w:color="auto"/>
      </w:divBdr>
      <w:divsChild>
        <w:div w:id="385033670">
          <w:marLeft w:val="0"/>
          <w:marRight w:val="0"/>
          <w:marTop w:val="0"/>
          <w:marBottom w:val="0"/>
          <w:divBdr>
            <w:top w:val="none" w:sz="0" w:space="0" w:color="auto"/>
            <w:left w:val="none" w:sz="0" w:space="0" w:color="auto"/>
            <w:bottom w:val="none" w:sz="0" w:space="0" w:color="auto"/>
            <w:right w:val="none" w:sz="0" w:space="0" w:color="auto"/>
          </w:divBdr>
          <w:divsChild>
            <w:div w:id="55058164">
              <w:marLeft w:val="0"/>
              <w:marRight w:val="0"/>
              <w:marTop w:val="0"/>
              <w:marBottom w:val="0"/>
              <w:divBdr>
                <w:top w:val="none" w:sz="0" w:space="0" w:color="auto"/>
                <w:left w:val="none" w:sz="0" w:space="0" w:color="auto"/>
                <w:bottom w:val="none" w:sz="0" w:space="0" w:color="auto"/>
                <w:right w:val="none" w:sz="0" w:space="0" w:color="auto"/>
              </w:divBdr>
            </w:div>
          </w:divsChild>
        </w:div>
        <w:div w:id="2004240117">
          <w:marLeft w:val="0"/>
          <w:marRight w:val="0"/>
          <w:marTop w:val="0"/>
          <w:marBottom w:val="0"/>
          <w:divBdr>
            <w:top w:val="none" w:sz="0" w:space="0" w:color="auto"/>
            <w:left w:val="none" w:sz="0" w:space="0" w:color="auto"/>
            <w:bottom w:val="none" w:sz="0" w:space="0" w:color="auto"/>
            <w:right w:val="none" w:sz="0" w:space="0" w:color="auto"/>
          </w:divBdr>
          <w:divsChild>
            <w:div w:id="835146962">
              <w:marLeft w:val="0"/>
              <w:marRight w:val="0"/>
              <w:marTop w:val="0"/>
              <w:marBottom w:val="0"/>
              <w:divBdr>
                <w:top w:val="none" w:sz="0" w:space="0" w:color="auto"/>
                <w:left w:val="none" w:sz="0" w:space="0" w:color="auto"/>
                <w:bottom w:val="none" w:sz="0" w:space="0" w:color="auto"/>
                <w:right w:val="none" w:sz="0" w:space="0" w:color="auto"/>
              </w:divBdr>
            </w:div>
            <w:div w:id="425157609">
              <w:marLeft w:val="0"/>
              <w:marRight w:val="0"/>
              <w:marTop w:val="0"/>
              <w:marBottom w:val="0"/>
              <w:divBdr>
                <w:top w:val="none" w:sz="0" w:space="0" w:color="auto"/>
                <w:left w:val="none" w:sz="0" w:space="0" w:color="auto"/>
                <w:bottom w:val="none" w:sz="0" w:space="0" w:color="auto"/>
                <w:right w:val="none" w:sz="0" w:space="0" w:color="auto"/>
              </w:divBdr>
            </w:div>
            <w:div w:id="267739896">
              <w:marLeft w:val="0"/>
              <w:marRight w:val="0"/>
              <w:marTop w:val="0"/>
              <w:marBottom w:val="0"/>
              <w:divBdr>
                <w:top w:val="none" w:sz="0" w:space="0" w:color="auto"/>
                <w:left w:val="none" w:sz="0" w:space="0" w:color="auto"/>
                <w:bottom w:val="none" w:sz="0" w:space="0" w:color="auto"/>
                <w:right w:val="none" w:sz="0" w:space="0" w:color="auto"/>
              </w:divBdr>
            </w:div>
          </w:divsChild>
        </w:div>
        <w:div w:id="1657369136">
          <w:marLeft w:val="0"/>
          <w:marRight w:val="0"/>
          <w:marTop w:val="0"/>
          <w:marBottom w:val="0"/>
          <w:divBdr>
            <w:top w:val="none" w:sz="0" w:space="0" w:color="auto"/>
            <w:left w:val="none" w:sz="0" w:space="0" w:color="auto"/>
            <w:bottom w:val="none" w:sz="0" w:space="0" w:color="auto"/>
            <w:right w:val="none" w:sz="0" w:space="0" w:color="auto"/>
          </w:divBdr>
          <w:divsChild>
            <w:div w:id="1281107748">
              <w:marLeft w:val="0"/>
              <w:marRight w:val="0"/>
              <w:marTop w:val="0"/>
              <w:marBottom w:val="0"/>
              <w:divBdr>
                <w:top w:val="none" w:sz="0" w:space="0" w:color="auto"/>
                <w:left w:val="none" w:sz="0" w:space="0" w:color="auto"/>
                <w:bottom w:val="none" w:sz="0" w:space="0" w:color="auto"/>
                <w:right w:val="none" w:sz="0" w:space="0" w:color="auto"/>
              </w:divBdr>
            </w:div>
            <w:div w:id="394015034">
              <w:marLeft w:val="0"/>
              <w:marRight w:val="0"/>
              <w:marTop w:val="0"/>
              <w:marBottom w:val="0"/>
              <w:divBdr>
                <w:top w:val="none" w:sz="0" w:space="0" w:color="auto"/>
                <w:left w:val="none" w:sz="0" w:space="0" w:color="auto"/>
                <w:bottom w:val="none" w:sz="0" w:space="0" w:color="auto"/>
                <w:right w:val="none" w:sz="0" w:space="0" w:color="auto"/>
              </w:divBdr>
            </w:div>
            <w:div w:id="535894020">
              <w:marLeft w:val="0"/>
              <w:marRight w:val="0"/>
              <w:marTop w:val="0"/>
              <w:marBottom w:val="0"/>
              <w:divBdr>
                <w:top w:val="none" w:sz="0" w:space="0" w:color="auto"/>
                <w:left w:val="none" w:sz="0" w:space="0" w:color="auto"/>
                <w:bottom w:val="none" w:sz="0" w:space="0" w:color="auto"/>
                <w:right w:val="none" w:sz="0" w:space="0" w:color="auto"/>
              </w:divBdr>
            </w:div>
          </w:divsChild>
        </w:div>
        <w:div w:id="1097021235">
          <w:marLeft w:val="0"/>
          <w:marRight w:val="0"/>
          <w:marTop w:val="0"/>
          <w:marBottom w:val="0"/>
          <w:divBdr>
            <w:top w:val="none" w:sz="0" w:space="0" w:color="auto"/>
            <w:left w:val="none" w:sz="0" w:space="0" w:color="auto"/>
            <w:bottom w:val="none" w:sz="0" w:space="0" w:color="auto"/>
            <w:right w:val="none" w:sz="0" w:space="0" w:color="auto"/>
          </w:divBdr>
        </w:div>
        <w:div w:id="811140117">
          <w:marLeft w:val="0"/>
          <w:marRight w:val="0"/>
          <w:marTop w:val="0"/>
          <w:marBottom w:val="0"/>
          <w:divBdr>
            <w:top w:val="none" w:sz="0" w:space="0" w:color="auto"/>
            <w:left w:val="none" w:sz="0" w:space="0" w:color="auto"/>
            <w:bottom w:val="none" w:sz="0" w:space="0" w:color="auto"/>
            <w:right w:val="none" w:sz="0" w:space="0" w:color="auto"/>
          </w:divBdr>
        </w:div>
      </w:divsChild>
    </w:div>
    <w:div w:id="300580624">
      <w:bodyDiv w:val="1"/>
      <w:marLeft w:val="0"/>
      <w:marRight w:val="0"/>
      <w:marTop w:val="0"/>
      <w:marBottom w:val="0"/>
      <w:divBdr>
        <w:top w:val="none" w:sz="0" w:space="0" w:color="auto"/>
        <w:left w:val="none" w:sz="0" w:space="0" w:color="auto"/>
        <w:bottom w:val="none" w:sz="0" w:space="0" w:color="auto"/>
        <w:right w:val="none" w:sz="0" w:space="0" w:color="auto"/>
      </w:divBdr>
      <w:divsChild>
        <w:div w:id="1848133257">
          <w:marLeft w:val="0"/>
          <w:marRight w:val="0"/>
          <w:marTop w:val="0"/>
          <w:marBottom w:val="0"/>
          <w:divBdr>
            <w:top w:val="none" w:sz="0" w:space="0" w:color="auto"/>
            <w:left w:val="none" w:sz="0" w:space="0" w:color="auto"/>
            <w:bottom w:val="none" w:sz="0" w:space="0" w:color="auto"/>
            <w:right w:val="none" w:sz="0" w:space="0" w:color="auto"/>
          </w:divBdr>
          <w:divsChild>
            <w:div w:id="1590197009">
              <w:marLeft w:val="0"/>
              <w:marRight w:val="0"/>
              <w:marTop w:val="0"/>
              <w:marBottom w:val="0"/>
              <w:divBdr>
                <w:top w:val="none" w:sz="0" w:space="0" w:color="auto"/>
                <w:left w:val="none" w:sz="0" w:space="0" w:color="auto"/>
                <w:bottom w:val="none" w:sz="0" w:space="0" w:color="auto"/>
                <w:right w:val="none" w:sz="0" w:space="0" w:color="auto"/>
              </w:divBdr>
            </w:div>
          </w:divsChild>
        </w:div>
        <w:div w:id="406389993">
          <w:marLeft w:val="0"/>
          <w:marRight w:val="0"/>
          <w:marTop w:val="0"/>
          <w:marBottom w:val="0"/>
          <w:divBdr>
            <w:top w:val="none" w:sz="0" w:space="0" w:color="auto"/>
            <w:left w:val="none" w:sz="0" w:space="0" w:color="auto"/>
            <w:bottom w:val="none" w:sz="0" w:space="0" w:color="auto"/>
            <w:right w:val="none" w:sz="0" w:space="0" w:color="auto"/>
          </w:divBdr>
          <w:divsChild>
            <w:div w:id="4325680">
              <w:marLeft w:val="0"/>
              <w:marRight w:val="0"/>
              <w:marTop w:val="0"/>
              <w:marBottom w:val="0"/>
              <w:divBdr>
                <w:top w:val="none" w:sz="0" w:space="0" w:color="auto"/>
                <w:left w:val="none" w:sz="0" w:space="0" w:color="auto"/>
                <w:bottom w:val="none" w:sz="0" w:space="0" w:color="auto"/>
                <w:right w:val="none" w:sz="0" w:space="0" w:color="auto"/>
              </w:divBdr>
            </w:div>
            <w:div w:id="204295090">
              <w:marLeft w:val="0"/>
              <w:marRight w:val="0"/>
              <w:marTop w:val="0"/>
              <w:marBottom w:val="0"/>
              <w:divBdr>
                <w:top w:val="none" w:sz="0" w:space="0" w:color="auto"/>
                <w:left w:val="none" w:sz="0" w:space="0" w:color="auto"/>
                <w:bottom w:val="none" w:sz="0" w:space="0" w:color="auto"/>
                <w:right w:val="none" w:sz="0" w:space="0" w:color="auto"/>
              </w:divBdr>
            </w:div>
            <w:div w:id="2121562184">
              <w:marLeft w:val="0"/>
              <w:marRight w:val="0"/>
              <w:marTop w:val="0"/>
              <w:marBottom w:val="0"/>
              <w:divBdr>
                <w:top w:val="none" w:sz="0" w:space="0" w:color="auto"/>
                <w:left w:val="none" w:sz="0" w:space="0" w:color="auto"/>
                <w:bottom w:val="none" w:sz="0" w:space="0" w:color="auto"/>
                <w:right w:val="none" w:sz="0" w:space="0" w:color="auto"/>
              </w:divBdr>
            </w:div>
          </w:divsChild>
        </w:div>
        <w:div w:id="1726416721">
          <w:marLeft w:val="0"/>
          <w:marRight w:val="0"/>
          <w:marTop w:val="0"/>
          <w:marBottom w:val="0"/>
          <w:divBdr>
            <w:top w:val="none" w:sz="0" w:space="0" w:color="auto"/>
            <w:left w:val="none" w:sz="0" w:space="0" w:color="auto"/>
            <w:bottom w:val="none" w:sz="0" w:space="0" w:color="auto"/>
            <w:right w:val="none" w:sz="0" w:space="0" w:color="auto"/>
          </w:divBdr>
          <w:divsChild>
            <w:div w:id="1635017360">
              <w:marLeft w:val="0"/>
              <w:marRight w:val="0"/>
              <w:marTop w:val="0"/>
              <w:marBottom w:val="0"/>
              <w:divBdr>
                <w:top w:val="none" w:sz="0" w:space="0" w:color="auto"/>
                <w:left w:val="none" w:sz="0" w:space="0" w:color="auto"/>
                <w:bottom w:val="none" w:sz="0" w:space="0" w:color="auto"/>
                <w:right w:val="none" w:sz="0" w:space="0" w:color="auto"/>
              </w:divBdr>
            </w:div>
            <w:div w:id="1197623078">
              <w:marLeft w:val="0"/>
              <w:marRight w:val="0"/>
              <w:marTop w:val="0"/>
              <w:marBottom w:val="0"/>
              <w:divBdr>
                <w:top w:val="none" w:sz="0" w:space="0" w:color="auto"/>
                <w:left w:val="none" w:sz="0" w:space="0" w:color="auto"/>
                <w:bottom w:val="none" w:sz="0" w:space="0" w:color="auto"/>
                <w:right w:val="none" w:sz="0" w:space="0" w:color="auto"/>
              </w:divBdr>
            </w:div>
            <w:div w:id="297684129">
              <w:marLeft w:val="0"/>
              <w:marRight w:val="0"/>
              <w:marTop w:val="0"/>
              <w:marBottom w:val="0"/>
              <w:divBdr>
                <w:top w:val="none" w:sz="0" w:space="0" w:color="auto"/>
                <w:left w:val="none" w:sz="0" w:space="0" w:color="auto"/>
                <w:bottom w:val="none" w:sz="0" w:space="0" w:color="auto"/>
                <w:right w:val="none" w:sz="0" w:space="0" w:color="auto"/>
              </w:divBdr>
            </w:div>
          </w:divsChild>
        </w:div>
        <w:div w:id="752162997">
          <w:marLeft w:val="0"/>
          <w:marRight w:val="0"/>
          <w:marTop w:val="0"/>
          <w:marBottom w:val="0"/>
          <w:divBdr>
            <w:top w:val="none" w:sz="0" w:space="0" w:color="auto"/>
            <w:left w:val="none" w:sz="0" w:space="0" w:color="auto"/>
            <w:bottom w:val="none" w:sz="0" w:space="0" w:color="auto"/>
            <w:right w:val="none" w:sz="0" w:space="0" w:color="auto"/>
          </w:divBdr>
        </w:div>
        <w:div w:id="1899853239">
          <w:marLeft w:val="0"/>
          <w:marRight w:val="0"/>
          <w:marTop w:val="0"/>
          <w:marBottom w:val="0"/>
          <w:divBdr>
            <w:top w:val="none" w:sz="0" w:space="0" w:color="auto"/>
            <w:left w:val="none" w:sz="0" w:space="0" w:color="auto"/>
            <w:bottom w:val="none" w:sz="0" w:space="0" w:color="auto"/>
            <w:right w:val="none" w:sz="0" w:space="0" w:color="auto"/>
          </w:divBdr>
        </w:div>
      </w:divsChild>
    </w:div>
    <w:div w:id="350225601">
      <w:bodyDiv w:val="1"/>
      <w:marLeft w:val="0"/>
      <w:marRight w:val="0"/>
      <w:marTop w:val="0"/>
      <w:marBottom w:val="0"/>
      <w:divBdr>
        <w:top w:val="none" w:sz="0" w:space="0" w:color="auto"/>
        <w:left w:val="none" w:sz="0" w:space="0" w:color="auto"/>
        <w:bottom w:val="none" w:sz="0" w:space="0" w:color="auto"/>
        <w:right w:val="none" w:sz="0" w:space="0" w:color="auto"/>
      </w:divBdr>
      <w:divsChild>
        <w:div w:id="1899439704">
          <w:marLeft w:val="0"/>
          <w:marRight w:val="0"/>
          <w:marTop w:val="0"/>
          <w:marBottom w:val="0"/>
          <w:divBdr>
            <w:top w:val="none" w:sz="0" w:space="0" w:color="auto"/>
            <w:left w:val="none" w:sz="0" w:space="0" w:color="auto"/>
            <w:bottom w:val="none" w:sz="0" w:space="0" w:color="auto"/>
            <w:right w:val="none" w:sz="0" w:space="0" w:color="auto"/>
          </w:divBdr>
          <w:divsChild>
            <w:div w:id="1233008854">
              <w:marLeft w:val="0"/>
              <w:marRight w:val="0"/>
              <w:marTop w:val="0"/>
              <w:marBottom w:val="0"/>
              <w:divBdr>
                <w:top w:val="none" w:sz="0" w:space="0" w:color="auto"/>
                <w:left w:val="none" w:sz="0" w:space="0" w:color="auto"/>
                <w:bottom w:val="none" w:sz="0" w:space="0" w:color="auto"/>
                <w:right w:val="none" w:sz="0" w:space="0" w:color="auto"/>
              </w:divBdr>
            </w:div>
          </w:divsChild>
        </w:div>
        <w:div w:id="1892959064">
          <w:marLeft w:val="0"/>
          <w:marRight w:val="0"/>
          <w:marTop w:val="0"/>
          <w:marBottom w:val="0"/>
          <w:divBdr>
            <w:top w:val="none" w:sz="0" w:space="0" w:color="auto"/>
            <w:left w:val="none" w:sz="0" w:space="0" w:color="auto"/>
            <w:bottom w:val="none" w:sz="0" w:space="0" w:color="auto"/>
            <w:right w:val="none" w:sz="0" w:space="0" w:color="auto"/>
          </w:divBdr>
          <w:divsChild>
            <w:div w:id="360479666">
              <w:marLeft w:val="0"/>
              <w:marRight w:val="0"/>
              <w:marTop w:val="0"/>
              <w:marBottom w:val="0"/>
              <w:divBdr>
                <w:top w:val="none" w:sz="0" w:space="0" w:color="auto"/>
                <w:left w:val="none" w:sz="0" w:space="0" w:color="auto"/>
                <w:bottom w:val="none" w:sz="0" w:space="0" w:color="auto"/>
                <w:right w:val="none" w:sz="0" w:space="0" w:color="auto"/>
              </w:divBdr>
            </w:div>
            <w:div w:id="308873229">
              <w:marLeft w:val="0"/>
              <w:marRight w:val="0"/>
              <w:marTop w:val="0"/>
              <w:marBottom w:val="0"/>
              <w:divBdr>
                <w:top w:val="none" w:sz="0" w:space="0" w:color="auto"/>
                <w:left w:val="none" w:sz="0" w:space="0" w:color="auto"/>
                <w:bottom w:val="none" w:sz="0" w:space="0" w:color="auto"/>
                <w:right w:val="none" w:sz="0" w:space="0" w:color="auto"/>
              </w:divBdr>
            </w:div>
            <w:div w:id="1530684546">
              <w:marLeft w:val="0"/>
              <w:marRight w:val="0"/>
              <w:marTop w:val="0"/>
              <w:marBottom w:val="0"/>
              <w:divBdr>
                <w:top w:val="none" w:sz="0" w:space="0" w:color="auto"/>
                <w:left w:val="none" w:sz="0" w:space="0" w:color="auto"/>
                <w:bottom w:val="none" w:sz="0" w:space="0" w:color="auto"/>
                <w:right w:val="none" w:sz="0" w:space="0" w:color="auto"/>
              </w:divBdr>
            </w:div>
          </w:divsChild>
        </w:div>
        <w:div w:id="1373114025">
          <w:marLeft w:val="0"/>
          <w:marRight w:val="0"/>
          <w:marTop w:val="0"/>
          <w:marBottom w:val="0"/>
          <w:divBdr>
            <w:top w:val="none" w:sz="0" w:space="0" w:color="auto"/>
            <w:left w:val="none" w:sz="0" w:space="0" w:color="auto"/>
            <w:bottom w:val="none" w:sz="0" w:space="0" w:color="auto"/>
            <w:right w:val="none" w:sz="0" w:space="0" w:color="auto"/>
          </w:divBdr>
          <w:divsChild>
            <w:div w:id="851795100">
              <w:marLeft w:val="0"/>
              <w:marRight w:val="0"/>
              <w:marTop w:val="0"/>
              <w:marBottom w:val="0"/>
              <w:divBdr>
                <w:top w:val="none" w:sz="0" w:space="0" w:color="auto"/>
                <w:left w:val="none" w:sz="0" w:space="0" w:color="auto"/>
                <w:bottom w:val="none" w:sz="0" w:space="0" w:color="auto"/>
                <w:right w:val="none" w:sz="0" w:space="0" w:color="auto"/>
              </w:divBdr>
            </w:div>
            <w:div w:id="1730766720">
              <w:marLeft w:val="0"/>
              <w:marRight w:val="0"/>
              <w:marTop w:val="0"/>
              <w:marBottom w:val="0"/>
              <w:divBdr>
                <w:top w:val="none" w:sz="0" w:space="0" w:color="auto"/>
                <w:left w:val="none" w:sz="0" w:space="0" w:color="auto"/>
                <w:bottom w:val="none" w:sz="0" w:space="0" w:color="auto"/>
                <w:right w:val="none" w:sz="0" w:space="0" w:color="auto"/>
              </w:divBdr>
            </w:div>
            <w:div w:id="1159465199">
              <w:marLeft w:val="0"/>
              <w:marRight w:val="0"/>
              <w:marTop w:val="0"/>
              <w:marBottom w:val="0"/>
              <w:divBdr>
                <w:top w:val="none" w:sz="0" w:space="0" w:color="auto"/>
                <w:left w:val="none" w:sz="0" w:space="0" w:color="auto"/>
                <w:bottom w:val="none" w:sz="0" w:space="0" w:color="auto"/>
                <w:right w:val="none" w:sz="0" w:space="0" w:color="auto"/>
              </w:divBdr>
            </w:div>
          </w:divsChild>
        </w:div>
        <w:div w:id="2109040004">
          <w:marLeft w:val="0"/>
          <w:marRight w:val="0"/>
          <w:marTop w:val="0"/>
          <w:marBottom w:val="0"/>
          <w:divBdr>
            <w:top w:val="none" w:sz="0" w:space="0" w:color="auto"/>
            <w:left w:val="none" w:sz="0" w:space="0" w:color="auto"/>
            <w:bottom w:val="none" w:sz="0" w:space="0" w:color="auto"/>
            <w:right w:val="none" w:sz="0" w:space="0" w:color="auto"/>
          </w:divBdr>
        </w:div>
        <w:div w:id="495457152">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178154997">
      <w:bodyDiv w:val="1"/>
      <w:marLeft w:val="0"/>
      <w:marRight w:val="0"/>
      <w:marTop w:val="0"/>
      <w:marBottom w:val="0"/>
      <w:divBdr>
        <w:top w:val="none" w:sz="0" w:space="0" w:color="auto"/>
        <w:left w:val="none" w:sz="0" w:space="0" w:color="auto"/>
        <w:bottom w:val="none" w:sz="0" w:space="0" w:color="auto"/>
        <w:right w:val="none" w:sz="0" w:space="0" w:color="auto"/>
      </w:divBdr>
      <w:divsChild>
        <w:div w:id="985864355">
          <w:marLeft w:val="0"/>
          <w:marRight w:val="0"/>
          <w:marTop w:val="0"/>
          <w:marBottom w:val="0"/>
          <w:divBdr>
            <w:top w:val="none" w:sz="0" w:space="0" w:color="auto"/>
            <w:left w:val="none" w:sz="0" w:space="0" w:color="auto"/>
            <w:bottom w:val="none" w:sz="0" w:space="0" w:color="auto"/>
            <w:right w:val="none" w:sz="0" w:space="0" w:color="auto"/>
          </w:divBdr>
          <w:divsChild>
            <w:div w:id="471102640">
              <w:marLeft w:val="0"/>
              <w:marRight w:val="0"/>
              <w:marTop w:val="0"/>
              <w:marBottom w:val="0"/>
              <w:divBdr>
                <w:top w:val="none" w:sz="0" w:space="0" w:color="auto"/>
                <w:left w:val="none" w:sz="0" w:space="0" w:color="auto"/>
                <w:bottom w:val="none" w:sz="0" w:space="0" w:color="auto"/>
                <w:right w:val="none" w:sz="0" w:space="0" w:color="auto"/>
              </w:divBdr>
            </w:div>
          </w:divsChild>
        </w:div>
        <w:div w:id="1452550632">
          <w:marLeft w:val="0"/>
          <w:marRight w:val="0"/>
          <w:marTop w:val="0"/>
          <w:marBottom w:val="0"/>
          <w:divBdr>
            <w:top w:val="none" w:sz="0" w:space="0" w:color="auto"/>
            <w:left w:val="none" w:sz="0" w:space="0" w:color="auto"/>
            <w:bottom w:val="none" w:sz="0" w:space="0" w:color="auto"/>
            <w:right w:val="none" w:sz="0" w:space="0" w:color="auto"/>
          </w:divBdr>
          <w:divsChild>
            <w:div w:id="677931513">
              <w:marLeft w:val="0"/>
              <w:marRight w:val="0"/>
              <w:marTop w:val="0"/>
              <w:marBottom w:val="0"/>
              <w:divBdr>
                <w:top w:val="none" w:sz="0" w:space="0" w:color="auto"/>
                <w:left w:val="none" w:sz="0" w:space="0" w:color="auto"/>
                <w:bottom w:val="none" w:sz="0" w:space="0" w:color="auto"/>
                <w:right w:val="none" w:sz="0" w:space="0" w:color="auto"/>
              </w:divBdr>
            </w:div>
            <w:div w:id="538471511">
              <w:marLeft w:val="0"/>
              <w:marRight w:val="0"/>
              <w:marTop w:val="0"/>
              <w:marBottom w:val="0"/>
              <w:divBdr>
                <w:top w:val="none" w:sz="0" w:space="0" w:color="auto"/>
                <w:left w:val="none" w:sz="0" w:space="0" w:color="auto"/>
                <w:bottom w:val="none" w:sz="0" w:space="0" w:color="auto"/>
                <w:right w:val="none" w:sz="0" w:space="0" w:color="auto"/>
              </w:divBdr>
            </w:div>
            <w:div w:id="1725253436">
              <w:marLeft w:val="0"/>
              <w:marRight w:val="0"/>
              <w:marTop w:val="0"/>
              <w:marBottom w:val="0"/>
              <w:divBdr>
                <w:top w:val="none" w:sz="0" w:space="0" w:color="auto"/>
                <w:left w:val="none" w:sz="0" w:space="0" w:color="auto"/>
                <w:bottom w:val="none" w:sz="0" w:space="0" w:color="auto"/>
                <w:right w:val="none" w:sz="0" w:space="0" w:color="auto"/>
              </w:divBdr>
            </w:div>
          </w:divsChild>
        </w:div>
        <w:div w:id="225072224">
          <w:marLeft w:val="0"/>
          <w:marRight w:val="0"/>
          <w:marTop w:val="0"/>
          <w:marBottom w:val="0"/>
          <w:divBdr>
            <w:top w:val="none" w:sz="0" w:space="0" w:color="auto"/>
            <w:left w:val="none" w:sz="0" w:space="0" w:color="auto"/>
            <w:bottom w:val="none" w:sz="0" w:space="0" w:color="auto"/>
            <w:right w:val="none" w:sz="0" w:space="0" w:color="auto"/>
          </w:divBdr>
          <w:divsChild>
            <w:div w:id="1059670149">
              <w:marLeft w:val="0"/>
              <w:marRight w:val="0"/>
              <w:marTop w:val="0"/>
              <w:marBottom w:val="0"/>
              <w:divBdr>
                <w:top w:val="none" w:sz="0" w:space="0" w:color="auto"/>
                <w:left w:val="none" w:sz="0" w:space="0" w:color="auto"/>
                <w:bottom w:val="none" w:sz="0" w:space="0" w:color="auto"/>
                <w:right w:val="none" w:sz="0" w:space="0" w:color="auto"/>
              </w:divBdr>
            </w:div>
            <w:div w:id="1159731517">
              <w:marLeft w:val="0"/>
              <w:marRight w:val="0"/>
              <w:marTop w:val="0"/>
              <w:marBottom w:val="0"/>
              <w:divBdr>
                <w:top w:val="none" w:sz="0" w:space="0" w:color="auto"/>
                <w:left w:val="none" w:sz="0" w:space="0" w:color="auto"/>
                <w:bottom w:val="none" w:sz="0" w:space="0" w:color="auto"/>
                <w:right w:val="none" w:sz="0" w:space="0" w:color="auto"/>
              </w:divBdr>
            </w:div>
            <w:div w:id="1505197479">
              <w:marLeft w:val="0"/>
              <w:marRight w:val="0"/>
              <w:marTop w:val="0"/>
              <w:marBottom w:val="0"/>
              <w:divBdr>
                <w:top w:val="none" w:sz="0" w:space="0" w:color="auto"/>
                <w:left w:val="none" w:sz="0" w:space="0" w:color="auto"/>
                <w:bottom w:val="none" w:sz="0" w:space="0" w:color="auto"/>
                <w:right w:val="none" w:sz="0" w:space="0" w:color="auto"/>
              </w:divBdr>
            </w:div>
          </w:divsChild>
        </w:div>
        <w:div w:id="6716773">
          <w:marLeft w:val="0"/>
          <w:marRight w:val="0"/>
          <w:marTop w:val="0"/>
          <w:marBottom w:val="0"/>
          <w:divBdr>
            <w:top w:val="none" w:sz="0" w:space="0" w:color="auto"/>
            <w:left w:val="none" w:sz="0" w:space="0" w:color="auto"/>
            <w:bottom w:val="none" w:sz="0" w:space="0" w:color="auto"/>
            <w:right w:val="none" w:sz="0" w:space="0" w:color="auto"/>
          </w:divBdr>
        </w:div>
        <w:div w:id="948704012">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8627650">
      <w:bodyDiv w:val="1"/>
      <w:marLeft w:val="0"/>
      <w:marRight w:val="0"/>
      <w:marTop w:val="0"/>
      <w:marBottom w:val="0"/>
      <w:divBdr>
        <w:top w:val="none" w:sz="0" w:space="0" w:color="auto"/>
        <w:left w:val="none" w:sz="0" w:space="0" w:color="auto"/>
        <w:bottom w:val="none" w:sz="0" w:space="0" w:color="auto"/>
        <w:right w:val="none" w:sz="0" w:space="0" w:color="auto"/>
      </w:divBdr>
      <w:divsChild>
        <w:div w:id="1654136997">
          <w:marLeft w:val="0"/>
          <w:marRight w:val="0"/>
          <w:marTop w:val="0"/>
          <w:marBottom w:val="0"/>
          <w:divBdr>
            <w:top w:val="none" w:sz="0" w:space="0" w:color="auto"/>
            <w:left w:val="none" w:sz="0" w:space="0" w:color="auto"/>
            <w:bottom w:val="none" w:sz="0" w:space="0" w:color="auto"/>
            <w:right w:val="none" w:sz="0" w:space="0" w:color="auto"/>
          </w:divBdr>
          <w:divsChild>
            <w:div w:id="215119492">
              <w:marLeft w:val="0"/>
              <w:marRight w:val="0"/>
              <w:marTop w:val="0"/>
              <w:marBottom w:val="0"/>
              <w:divBdr>
                <w:top w:val="none" w:sz="0" w:space="0" w:color="auto"/>
                <w:left w:val="none" w:sz="0" w:space="0" w:color="auto"/>
                <w:bottom w:val="none" w:sz="0" w:space="0" w:color="auto"/>
                <w:right w:val="none" w:sz="0" w:space="0" w:color="auto"/>
              </w:divBdr>
            </w:div>
          </w:divsChild>
        </w:div>
        <w:div w:id="1628313553">
          <w:marLeft w:val="0"/>
          <w:marRight w:val="0"/>
          <w:marTop w:val="0"/>
          <w:marBottom w:val="0"/>
          <w:divBdr>
            <w:top w:val="none" w:sz="0" w:space="0" w:color="auto"/>
            <w:left w:val="none" w:sz="0" w:space="0" w:color="auto"/>
            <w:bottom w:val="none" w:sz="0" w:space="0" w:color="auto"/>
            <w:right w:val="none" w:sz="0" w:space="0" w:color="auto"/>
          </w:divBdr>
          <w:divsChild>
            <w:div w:id="1491796074">
              <w:marLeft w:val="0"/>
              <w:marRight w:val="0"/>
              <w:marTop w:val="0"/>
              <w:marBottom w:val="0"/>
              <w:divBdr>
                <w:top w:val="none" w:sz="0" w:space="0" w:color="auto"/>
                <w:left w:val="none" w:sz="0" w:space="0" w:color="auto"/>
                <w:bottom w:val="none" w:sz="0" w:space="0" w:color="auto"/>
                <w:right w:val="none" w:sz="0" w:space="0" w:color="auto"/>
              </w:divBdr>
            </w:div>
            <w:div w:id="1808548854">
              <w:marLeft w:val="0"/>
              <w:marRight w:val="0"/>
              <w:marTop w:val="0"/>
              <w:marBottom w:val="0"/>
              <w:divBdr>
                <w:top w:val="none" w:sz="0" w:space="0" w:color="auto"/>
                <w:left w:val="none" w:sz="0" w:space="0" w:color="auto"/>
                <w:bottom w:val="none" w:sz="0" w:space="0" w:color="auto"/>
                <w:right w:val="none" w:sz="0" w:space="0" w:color="auto"/>
              </w:divBdr>
            </w:div>
            <w:div w:id="1060863471">
              <w:marLeft w:val="0"/>
              <w:marRight w:val="0"/>
              <w:marTop w:val="0"/>
              <w:marBottom w:val="0"/>
              <w:divBdr>
                <w:top w:val="none" w:sz="0" w:space="0" w:color="auto"/>
                <w:left w:val="none" w:sz="0" w:space="0" w:color="auto"/>
                <w:bottom w:val="none" w:sz="0" w:space="0" w:color="auto"/>
                <w:right w:val="none" w:sz="0" w:space="0" w:color="auto"/>
              </w:divBdr>
            </w:div>
          </w:divsChild>
        </w:div>
        <w:div w:id="716244631">
          <w:marLeft w:val="0"/>
          <w:marRight w:val="0"/>
          <w:marTop w:val="0"/>
          <w:marBottom w:val="0"/>
          <w:divBdr>
            <w:top w:val="none" w:sz="0" w:space="0" w:color="auto"/>
            <w:left w:val="none" w:sz="0" w:space="0" w:color="auto"/>
            <w:bottom w:val="none" w:sz="0" w:space="0" w:color="auto"/>
            <w:right w:val="none" w:sz="0" w:space="0" w:color="auto"/>
          </w:divBdr>
          <w:divsChild>
            <w:div w:id="1187910263">
              <w:marLeft w:val="0"/>
              <w:marRight w:val="0"/>
              <w:marTop w:val="0"/>
              <w:marBottom w:val="0"/>
              <w:divBdr>
                <w:top w:val="none" w:sz="0" w:space="0" w:color="auto"/>
                <w:left w:val="none" w:sz="0" w:space="0" w:color="auto"/>
                <w:bottom w:val="none" w:sz="0" w:space="0" w:color="auto"/>
                <w:right w:val="none" w:sz="0" w:space="0" w:color="auto"/>
              </w:divBdr>
            </w:div>
            <w:div w:id="1646621764">
              <w:marLeft w:val="0"/>
              <w:marRight w:val="0"/>
              <w:marTop w:val="0"/>
              <w:marBottom w:val="0"/>
              <w:divBdr>
                <w:top w:val="none" w:sz="0" w:space="0" w:color="auto"/>
                <w:left w:val="none" w:sz="0" w:space="0" w:color="auto"/>
                <w:bottom w:val="none" w:sz="0" w:space="0" w:color="auto"/>
                <w:right w:val="none" w:sz="0" w:space="0" w:color="auto"/>
              </w:divBdr>
            </w:div>
            <w:div w:id="263848951">
              <w:marLeft w:val="0"/>
              <w:marRight w:val="0"/>
              <w:marTop w:val="0"/>
              <w:marBottom w:val="0"/>
              <w:divBdr>
                <w:top w:val="none" w:sz="0" w:space="0" w:color="auto"/>
                <w:left w:val="none" w:sz="0" w:space="0" w:color="auto"/>
                <w:bottom w:val="none" w:sz="0" w:space="0" w:color="auto"/>
                <w:right w:val="none" w:sz="0" w:space="0" w:color="auto"/>
              </w:divBdr>
            </w:div>
          </w:divsChild>
        </w:div>
        <w:div w:id="1296178277">
          <w:marLeft w:val="0"/>
          <w:marRight w:val="0"/>
          <w:marTop w:val="0"/>
          <w:marBottom w:val="0"/>
          <w:divBdr>
            <w:top w:val="none" w:sz="0" w:space="0" w:color="auto"/>
            <w:left w:val="none" w:sz="0" w:space="0" w:color="auto"/>
            <w:bottom w:val="none" w:sz="0" w:space="0" w:color="auto"/>
            <w:right w:val="none" w:sz="0" w:space="0" w:color="auto"/>
          </w:divBdr>
        </w:div>
        <w:div w:id="1324428640">
          <w:marLeft w:val="0"/>
          <w:marRight w:val="0"/>
          <w:marTop w:val="0"/>
          <w:marBottom w:val="0"/>
          <w:divBdr>
            <w:top w:val="none" w:sz="0" w:space="0" w:color="auto"/>
            <w:left w:val="none" w:sz="0" w:space="0" w:color="auto"/>
            <w:bottom w:val="none" w:sz="0" w:space="0" w:color="auto"/>
            <w:right w:val="none" w:sz="0" w:space="0" w:color="auto"/>
          </w:divBdr>
        </w:div>
      </w:divsChild>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65398888">
      <w:bodyDiv w:val="1"/>
      <w:marLeft w:val="0"/>
      <w:marRight w:val="0"/>
      <w:marTop w:val="0"/>
      <w:marBottom w:val="0"/>
      <w:divBdr>
        <w:top w:val="none" w:sz="0" w:space="0" w:color="auto"/>
        <w:left w:val="none" w:sz="0" w:space="0" w:color="auto"/>
        <w:bottom w:val="none" w:sz="0" w:space="0" w:color="auto"/>
        <w:right w:val="none" w:sz="0" w:space="0" w:color="auto"/>
      </w:divBdr>
      <w:divsChild>
        <w:div w:id="1696421114">
          <w:marLeft w:val="0"/>
          <w:marRight w:val="0"/>
          <w:marTop w:val="0"/>
          <w:marBottom w:val="0"/>
          <w:divBdr>
            <w:top w:val="none" w:sz="0" w:space="0" w:color="auto"/>
            <w:left w:val="none" w:sz="0" w:space="0" w:color="auto"/>
            <w:bottom w:val="none" w:sz="0" w:space="0" w:color="auto"/>
            <w:right w:val="none" w:sz="0" w:space="0" w:color="auto"/>
          </w:divBdr>
          <w:divsChild>
            <w:div w:id="1879782289">
              <w:marLeft w:val="0"/>
              <w:marRight w:val="0"/>
              <w:marTop w:val="0"/>
              <w:marBottom w:val="0"/>
              <w:divBdr>
                <w:top w:val="none" w:sz="0" w:space="0" w:color="auto"/>
                <w:left w:val="none" w:sz="0" w:space="0" w:color="auto"/>
                <w:bottom w:val="none" w:sz="0" w:space="0" w:color="auto"/>
                <w:right w:val="none" w:sz="0" w:space="0" w:color="auto"/>
              </w:divBdr>
            </w:div>
          </w:divsChild>
        </w:div>
        <w:div w:id="316495447">
          <w:marLeft w:val="0"/>
          <w:marRight w:val="0"/>
          <w:marTop w:val="0"/>
          <w:marBottom w:val="0"/>
          <w:divBdr>
            <w:top w:val="none" w:sz="0" w:space="0" w:color="auto"/>
            <w:left w:val="none" w:sz="0" w:space="0" w:color="auto"/>
            <w:bottom w:val="none" w:sz="0" w:space="0" w:color="auto"/>
            <w:right w:val="none" w:sz="0" w:space="0" w:color="auto"/>
          </w:divBdr>
          <w:divsChild>
            <w:div w:id="510951136">
              <w:marLeft w:val="0"/>
              <w:marRight w:val="0"/>
              <w:marTop w:val="0"/>
              <w:marBottom w:val="0"/>
              <w:divBdr>
                <w:top w:val="none" w:sz="0" w:space="0" w:color="auto"/>
                <w:left w:val="none" w:sz="0" w:space="0" w:color="auto"/>
                <w:bottom w:val="none" w:sz="0" w:space="0" w:color="auto"/>
                <w:right w:val="none" w:sz="0" w:space="0" w:color="auto"/>
              </w:divBdr>
            </w:div>
            <w:div w:id="162011424">
              <w:marLeft w:val="0"/>
              <w:marRight w:val="0"/>
              <w:marTop w:val="0"/>
              <w:marBottom w:val="0"/>
              <w:divBdr>
                <w:top w:val="none" w:sz="0" w:space="0" w:color="auto"/>
                <w:left w:val="none" w:sz="0" w:space="0" w:color="auto"/>
                <w:bottom w:val="none" w:sz="0" w:space="0" w:color="auto"/>
                <w:right w:val="none" w:sz="0" w:space="0" w:color="auto"/>
              </w:divBdr>
            </w:div>
            <w:div w:id="1802770824">
              <w:marLeft w:val="0"/>
              <w:marRight w:val="0"/>
              <w:marTop w:val="0"/>
              <w:marBottom w:val="0"/>
              <w:divBdr>
                <w:top w:val="none" w:sz="0" w:space="0" w:color="auto"/>
                <w:left w:val="none" w:sz="0" w:space="0" w:color="auto"/>
                <w:bottom w:val="none" w:sz="0" w:space="0" w:color="auto"/>
                <w:right w:val="none" w:sz="0" w:space="0" w:color="auto"/>
              </w:divBdr>
            </w:div>
          </w:divsChild>
        </w:div>
        <w:div w:id="86777897">
          <w:marLeft w:val="0"/>
          <w:marRight w:val="0"/>
          <w:marTop w:val="0"/>
          <w:marBottom w:val="0"/>
          <w:divBdr>
            <w:top w:val="none" w:sz="0" w:space="0" w:color="auto"/>
            <w:left w:val="none" w:sz="0" w:space="0" w:color="auto"/>
            <w:bottom w:val="none" w:sz="0" w:space="0" w:color="auto"/>
            <w:right w:val="none" w:sz="0" w:space="0" w:color="auto"/>
          </w:divBdr>
          <w:divsChild>
            <w:div w:id="1751350434">
              <w:marLeft w:val="0"/>
              <w:marRight w:val="0"/>
              <w:marTop w:val="0"/>
              <w:marBottom w:val="0"/>
              <w:divBdr>
                <w:top w:val="none" w:sz="0" w:space="0" w:color="auto"/>
                <w:left w:val="none" w:sz="0" w:space="0" w:color="auto"/>
                <w:bottom w:val="none" w:sz="0" w:space="0" w:color="auto"/>
                <w:right w:val="none" w:sz="0" w:space="0" w:color="auto"/>
              </w:divBdr>
            </w:div>
            <w:div w:id="1866676611">
              <w:marLeft w:val="0"/>
              <w:marRight w:val="0"/>
              <w:marTop w:val="0"/>
              <w:marBottom w:val="0"/>
              <w:divBdr>
                <w:top w:val="none" w:sz="0" w:space="0" w:color="auto"/>
                <w:left w:val="none" w:sz="0" w:space="0" w:color="auto"/>
                <w:bottom w:val="none" w:sz="0" w:space="0" w:color="auto"/>
                <w:right w:val="none" w:sz="0" w:space="0" w:color="auto"/>
              </w:divBdr>
            </w:div>
            <w:div w:id="2091155375">
              <w:marLeft w:val="0"/>
              <w:marRight w:val="0"/>
              <w:marTop w:val="0"/>
              <w:marBottom w:val="0"/>
              <w:divBdr>
                <w:top w:val="none" w:sz="0" w:space="0" w:color="auto"/>
                <w:left w:val="none" w:sz="0" w:space="0" w:color="auto"/>
                <w:bottom w:val="none" w:sz="0" w:space="0" w:color="auto"/>
                <w:right w:val="none" w:sz="0" w:space="0" w:color="auto"/>
              </w:divBdr>
            </w:div>
          </w:divsChild>
        </w:div>
        <w:div w:id="1349746565">
          <w:marLeft w:val="0"/>
          <w:marRight w:val="0"/>
          <w:marTop w:val="0"/>
          <w:marBottom w:val="0"/>
          <w:divBdr>
            <w:top w:val="none" w:sz="0" w:space="0" w:color="auto"/>
            <w:left w:val="none" w:sz="0" w:space="0" w:color="auto"/>
            <w:bottom w:val="none" w:sz="0" w:space="0" w:color="auto"/>
            <w:right w:val="none" w:sz="0" w:space="0" w:color="auto"/>
          </w:divBdr>
        </w:div>
        <w:div w:id="11628884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f2.scjn.gob.mx/detalle/tesis/39412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javascript:void(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759D3-D17A-4E4E-B5DA-1E79E53A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19</Pages>
  <Words>8284</Words>
  <Characters>45568</Characters>
  <Application>Microsoft Office Word</Application>
  <DocSecurity>0</DocSecurity>
  <Lines>379</Lines>
  <Paragraphs>107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cp:revision>
  <cp:lastPrinted>2022-10-20T19:59:00Z</cp:lastPrinted>
  <dcterms:created xsi:type="dcterms:W3CDTF">2022-10-19T18:52:00Z</dcterms:created>
  <dcterms:modified xsi:type="dcterms:W3CDTF">2023-02-28T17:03:00Z</dcterms:modified>
</cp:coreProperties>
</file>