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themeColor="background1"/>
  <w:body>
    <w:p w14:paraId="00000001" w14:textId="7DB76327" w:rsidR="002354BD" w:rsidRPr="008E586D" w:rsidRDefault="00A93088" w:rsidP="008E586D">
      <w:pPr>
        <w:pStyle w:val="Sinespaciado"/>
        <w:ind w:left="2880"/>
        <w:jc w:val="both"/>
        <w:rPr>
          <w:b/>
          <w:sz w:val="28"/>
        </w:rPr>
      </w:pPr>
      <w:r w:rsidRPr="008E586D">
        <w:rPr>
          <w:b/>
          <w:sz w:val="28"/>
        </w:rPr>
        <w:t xml:space="preserve">SEXTA SALA UNITARIA DE PRIMERA </w:t>
      </w:r>
      <w:r w:rsidR="008E586D">
        <w:rPr>
          <w:b/>
          <w:sz w:val="28"/>
        </w:rPr>
        <w:t xml:space="preserve">          </w:t>
      </w:r>
      <w:r w:rsidRPr="008E586D">
        <w:rPr>
          <w:b/>
          <w:sz w:val="28"/>
        </w:rPr>
        <w:t xml:space="preserve">INSTANCIA DEL TRIBUNAL DE JUSTICIA </w:t>
      </w:r>
      <w:r w:rsidR="008E586D">
        <w:rPr>
          <w:b/>
          <w:sz w:val="28"/>
        </w:rPr>
        <w:t xml:space="preserve">  </w:t>
      </w:r>
      <w:r w:rsidRPr="008E586D">
        <w:rPr>
          <w:b/>
          <w:sz w:val="28"/>
        </w:rPr>
        <w:t>ADMINISTRATIVA DEL ESTADO DE OAXACA</w:t>
      </w:r>
      <w:r w:rsidR="008E586D">
        <w:rPr>
          <w:b/>
          <w:sz w:val="28"/>
        </w:rPr>
        <w:t>.</w:t>
      </w:r>
    </w:p>
    <w:p w14:paraId="00000002" w14:textId="77777777" w:rsidR="002354BD" w:rsidRDefault="002354BD">
      <w:pPr>
        <w:pBdr>
          <w:top w:val="nil"/>
          <w:left w:val="nil"/>
          <w:bottom w:val="nil"/>
          <w:right w:val="nil"/>
          <w:between w:val="nil"/>
        </w:pBdr>
        <w:tabs>
          <w:tab w:val="center" w:pos="4419"/>
          <w:tab w:val="right" w:pos="8838"/>
        </w:tabs>
        <w:spacing w:after="0" w:line="240" w:lineRule="auto"/>
        <w:ind w:left="2977"/>
        <w:jc w:val="both"/>
        <w:rPr>
          <w:rFonts w:ascii="Arial" w:eastAsia="Arial" w:hAnsi="Arial" w:cs="Arial"/>
          <w:b/>
          <w:color w:val="000000"/>
          <w:sz w:val="24"/>
          <w:szCs w:val="24"/>
        </w:rPr>
      </w:pPr>
    </w:p>
    <w:p w14:paraId="00000003" w14:textId="4EC114D4" w:rsidR="002354BD" w:rsidRDefault="008E586D">
      <w:pPr>
        <w:pBdr>
          <w:top w:val="nil"/>
          <w:left w:val="nil"/>
          <w:bottom w:val="nil"/>
          <w:right w:val="nil"/>
          <w:between w:val="nil"/>
        </w:pBdr>
        <w:tabs>
          <w:tab w:val="center" w:pos="4419"/>
          <w:tab w:val="right" w:pos="8838"/>
        </w:tabs>
        <w:spacing w:after="0" w:line="240" w:lineRule="auto"/>
        <w:ind w:left="2410" w:right="-93" w:firstLine="570"/>
        <w:jc w:val="both"/>
        <w:rPr>
          <w:rFonts w:ascii="Arial" w:eastAsia="Arial" w:hAnsi="Arial" w:cs="Arial"/>
          <w:b/>
          <w:color w:val="000000"/>
          <w:sz w:val="24"/>
          <w:szCs w:val="24"/>
        </w:rPr>
      </w:pPr>
      <w:r>
        <w:rPr>
          <w:rFonts w:ascii="Arial" w:eastAsia="Arial" w:hAnsi="Arial" w:cs="Arial"/>
          <w:b/>
          <w:color w:val="000000"/>
          <w:sz w:val="24"/>
          <w:szCs w:val="24"/>
        </w:rPr>
        <w:t>EXPEDIENTE: 0092</w:t>
      </w:r>
      <w:r w:rsidR="000B2E4A">
        <w:rPr>
          <w:rFonts w:ascii="Arial" w:eastAsia="Arial" w:hAnsi="Arial" w:cs="Arial"/>
          <w:b/>
          <w:color w:val="000000"/>
          <w:sz w:val="24"/>
          <w:szCs w:val="24"/>
        </w:rPr>
        <w:t>/20</w:t>
      </w:r>
      <w:r>
        <w:rPr>
          <w:rFonts w:ascii="Arial" w:eastAsia="Arial" w:hAnsi="Arial" w:cs="Arial"/>
          <w:b/>
          <w:color w:val="000000"/>
          <w:sz w:val="24"/>
          <w:szCs w:val="24"/>
        </w:rPr>
        <w:t>2</w:t>
      </w:r>
      <w:r w:rsidR="000B2E4A">
        <w:rPr>
          <w:rFonts w:ascii="Arial" w:eastAsia="Arial" w:hAnsi="Arial" w:cs="Arial"/>
          <w:b/>
          <w:color w:val="000000"/>
          <w:sz w:val="24"/>
          <w:szCs w:val="24"/>
        </w:rPr>
        <w:t>1</w:t>
      </w:r>
    </w:p>
    <w:p w14:paraId="00000004" w14:textId="77777777" w:rsidR="002354BD" w:rsidRDefault="002354BD">
      <w:pPr>
        <w:pBdr>
          <w:top w:val="nil"/>
          <w:left w:val="nil"/>
          <w:bottom w:val="nil"/>
          <w:right w:val="nil"/>
          <w:between w:val="nil"/>
        </w:pBdr>
        <w:tabs>
          <w:tab w:val="center" w:pos="4419"/>
          <w:tab w:val="right" w:pos="8838"/>
          <w:tab w:val="center" w:pos="8931"/>
        </w:tabs>
        <w:spacing w:after="0" w:line="240" w:lineRule="auto"/>
        <w:ind w:left="2977"/>
        <w:jc w:val="both"/>
        <w:rPr>
          <w:rFonts w:ascii="Arial" w:eastAsia="Arial" w:hAnsi="Arial" w:cs="Arial"/>
          <w:b/>
          <w:color w:val="000000"/>
          <w:sz w:val="24"/>
          <w:szCs w:val="24"/>
        </w:rPr>
      </w:pPr>
    </w:p>
    <w:p w14:paraId="00000005" w14:textId="3E99ABAC" w:rsidR="002354BD" w:rsidRPr="000B2E4A" w:rsidRDefault="000B2E4A" w:rsidP="004C6BB6">
      <w:pPr>
        <w:pBdr>
          <w:top w:val="nil"/>
          <w:left w:val="nil"/>
          <w:bottom w:val="nil"/>
          <w:right w:val="nil"/>
          <w:between w:val="nil"/>
        </w:pBdr>
        <w:tabs>
          <w:tab w:val="center" w:pos="4419"/>
          <w:tab w:val="right" w:pos="8838"/>
        </w:tabs>
        <w:spacing w:after="0" w:line="240" w:lineRule="auto"/>
        <w:ind w:left="2977"/>
        <w:jc w:val="both"/>
        <w:rPr>
          <w:rFonts w:ascii="Arial" w:eastAsia="Arial" w:hAnsi="Arial" w:cs="Arial"/>
          <w:color w:val="FF0000"/>
          <w:sz w:val="24"/>
          <w:szCs w:val="24"/>
        </w:rPr>
      </w:pPr>
      <w:r>
        <w:rPr>
          <w:rFonts w:ascii="Arial" w:eastAsia="Arial" w:hAnsi="Arial" w:cs="Arial"/>
          <w:b/>
          <w:color w:val="000000"/>
          <w:sz w:val="24"/>
          <w:szCs w:val="24"/>
        </w:rPr>
        <w:t>ACTOR</w:t>
      </w:r>
      <w:r w:rsidR="00FC5635">
        <w:rPr>
          <w:rFonts w:ascii="Arial" w:eastAsia="Arial" w:hAnsi="Arial" w:cs="Arial"/>
          <w:b/>
          <w:color w:val="000000"/>
          <w:sz w:val="24"/>
          <w:szCs w:val="24"/>
        </w:rPr>
        <w:t>A</w:t>
      </w:r>
      <w:r>
        <w:rPr>
          <w:rFonts w:ascii="Arial" w:eastAsia="Arial" w:hAnsi="Arial" w:cs="Arial"/>
          <w:b/>
          <w:color w:val="000000"/>
          <w:sz w:val="24"/>
          <w:szCs w:val="24"/>
        </w:rPr>
        <w:t xml:space="preserve">: </w:t>
      </w:r>
      <w:r w:rsidR="0021493A">
        <w:rPr>
          <w:rFonts w:ascii="Arial" w:eastAsia="Arial" w:hAnsi="Arial" w:cs="Arial"/>
          <w:color w:val="FF0000"/>
          <w:sz w:val="24"/>
          <w:szCs w:val="24"/>
        </w:rPr>
        <w:t>**********</w:t>
      </w:r>
      <w:r w:rsidRPr="000B2E4A">
        <w:rPr>
          <w:rFonts w:ascii="Arial" w:eastAsia="Arial" w:hAnsi="Arial" w:cs="Arial"/>
          <w:color w:val="FF0000"/>
          <w:sz w:val="24"/>
          <w:szCs w:val="24"/>
        </w:rPr>
        <w:t>.</w:t>
      </w:r>
    </w:p>
    <w:p w14:paraId="00000006" w14:textId="77777777" w:rsidR="002354BD" w:rsidRDefault="002354BD">
      <w:pPr>
        <w:pBdr>
          <w:top w:val="nil"/>
          <w:left w:val="nil"/>
          <w:bottom w:val="nil"/>
          <w:right w:val="nil"/>
          <w:between w:val="nil"/>
        </w:pBdr>
        <w:tabs>
          <w:tab w:val="center" w:pos="4419"/>
          <w:tab w:val="right" w:pos="8838"/>
        </w:tabs>
        <w:spacing w:after="0" w:line="240" w:lineRule="auto"/>
        <w:ind w:left="2977"/>
        <w:jc w:val="both"/>
        <w:rPr>
          <w:rFonts w:ascii="Arial" w:eastAsia="Arial" w:hAnsi="Arial" w:cs="Arial"/>
          <w:b/>
          <w:color w:val="000000"/>
          <w:sz w:val="24"/>
          <w:szCs w:val="24"/>
        </w:rPr>
      </w:pPr>
    </w:p>
    <w:p w14:paraId="6A1A2671" w14:textId="756AF053" w:rsidR="000B2E4A" w:rsidRDefault="000B2E4A">
      <w:pPr>
        <w:pBdr>
          <w:top w:val="nil"/>
          <w:left w:val="nil"/>
          <w:bottom w:val="nil"/>
          <w:right w:val="nil"/>
          <w:between w:val="nil"/>
        </w:pBdr>
        <w:tabs>
          <w:tab w:val="center" w:pos="4419"/>
          <w:tab w:val="right" w:pos="8838"/>
          <w:tab w:val="center" w:pos="-1418"/>
        </w:tabs>
        <w:spacing w:after="0" w:line="240" w:lineRule="auto"/>
        <w:ind w:left="2977"/>
        <w:jc w:val="both"/>
        <w:rPr>
          <w:rFonts w:ascii="Arial" w:eastAsia="Arial" w:hAnsi="Arial" w:cs="Arial"/>
          <w:color w:val="000000"/>
          <w:sz w:val="24"/>
          <w:szCs w:val="24"/>
        </w:rPr>
      </w:pPr>
      <w:r>
        <w:rPr>
          <w:rFonts w:ascii="Arial" w:eastAsia="Arial" w:hAnsi="Arial" w:cs="Arial"/>
          <w:b/>
          <w:color w:val="000000"/>
          <w:sz w:val="24"/>
          <w:szCs w:val="24"/>
        </w:rPr>
        <w:t xml:space="preserve">DEMANDADA: </w:t>
      </w:r>
      <w:r>
        <w:rPr>
          <w:rFonts w:ascii="Arial" w:eastAsia="Arial" w:hAnsi="Arial" w:cs="Arial"/>
          <w:color w:val="000000"/>
          <w:sz w:val="24"/>
          <w:szCs w:val="24"/>
        </w:rPr>
        <w:t xml:space="preserve">POLICÍA VIAL CON NÚMERO ESTADÍSTICO </w:t>
      </w:r>
      <w:r w:rsidR="008E586D">
        <w:rPr>
          <w:rFonts w:ascii="Arial" w:eastAsia="Arial" w:hAnsi="Arial" w:cs="Arial"/>
          <w:color w:val="000000"/>
          <w:sz w:val="24"/>
          <w:szCs w:val="24"/>
        </w:rPr>
        <w:t>PV-374</w:t>
      </w:r>
      <w:r w:rsidR="00FC5635">
        <w:rPr>
          <w:rFonts w:ascii="Arial" w:eastAsia="Arial" w:hAnsi="Arial" w:cs="Arial"/>
          <w:color w:val="000000"/>
          <w:sz w:val="24"/>
          <w:szCs w:val="24"/>
        </w:rPr>
        <w:t xml:space="preserve"> ADSCRITO A </w:t>
      </w:r>
      <w:r w:rsidR="008E586D">
        <w:rPr>
          <w:rFonts w:ascii="Arial" w:eastAsia="Arial" w:hAnsi="Arial" w:cs="Arial"/>
          <w:color w:val="000000"/>
          <w:sz w:val="24"/>
          <w:szCs w:val="24"/>
        </w:rPr>
        <w:t xml:space="preserve">LA </w:t>
      </w:r>
      <w:r w:rsidR="004C6BB6">
        <w:rPr>
          <w:rFonts w:ascii="Arial" w:eastAsia="Arial" w:hAnsi="Arial" w:cs="Arial"/>
          <w:color w:val="000000"/>
          <w:sz w:val="24"/>
          <w:szCs w:val="24"/>
        </w:rPr>
        <w:t>DIRECCIÓN GENERAL DE LA POLICÍA VIAL ESTATAL.</w:t>
      </w:r>
    </w:p>
    <w:p w14:paraId="6E0D6333" w14:textId="77777777" w:rsidR="004C6BB6" w:rsidRPr="000B2E4A" w:rsidRDefault="004C6BB6">
      <w:pPr>
        <w:pBdr>
          <w:top w:val="nil"/>
          <w:left w:val="nil"/>
          <w:bottom w:val="nil"/>
          <w:right w:val="nil"/>
          <w:between w:val="nil"/>
        </w:pBdr>
        <w:tabs>
          <w:tab w:val="center" w:pos="4419"/>
          <w:tab w:val="right" w:pos="8838"/>
          <w:tab w:val="center" w:pos="-1418"/>
        </w:tabs>
        <w:spacing w:after="0" w:line="240" w:lineRule="auto"/>
        <w:ind w:left="2977"/>
        <w:jc w:val="both"/>
        <w:rPr>
          <w:rFonts w:ascii="Arial" w:eastAsia="Arial" w:hAnsi="Arial" w:cs="Arial"/>
          <w:color w:val="000000"/>
          <w:sz w:val="24"/>
          <w:szCs w:val="24"/>
        </w:rPr>
      </w:pPr>
    </w:p>
    <w:p w14:paraId="00000007" w14:textId="77777777" w:rsidR="002354BD" w:rsidRDefault="00A93088">
      <w:pPr>
        <w:pBdr>
          <w:top w:val="nil"/>
          <w:left w:val="nil"/>
          <w:bottom w:val="nil"/>
          <w:right w:val="nil"/>
          <w:between w:val="nil"/>
        </w:pBdr>
        <w:tabs>
          <w:tab w:val="center" w:pos="4419"/>
          <w:tab w:val="right" w:pos="8838"/>
          <w:tab w:val="center" w:pos="-1418"/>
        </w:tabs>
        <w:spacing w:after="0" w:line="240" w:lineRule="auto"/>
        <w:ind w:left="2977"/>
        <w:jc w:val="both"/>
        <w:rPr>
          <w:rFonts w:ascii="Arial" w:eastAsia="Arial" w:hAnsi="Arial" w:cs="Arial"/>
          <w:b/>
          <w:color w:val="000000"/>
          <w:sz w:val="24"/>
          <w:szCs w:val="24"/>
        </w:rPr>
      </w:pPr>
      <w:r>
        <w:rPr>
          <w:rFonts w:ascii="Arial" w:eastAsia="Arial" w:hAnsi="Arial" w:cs="Arial"/>
          <w:b/>
          <w:color w:val="000000"/>
          <w:sz w:val="24"/>
          <w:szCs w:val="24"/>
        </w:rPr>
        <w:t>MAGISTRADA: MAESTRA CAMELIA GASPAR MARTÍNEZ.</w:t>
      </w:r>
    </w:p>
    <w:p w14:paraId="00000008" w14:textId="77777777" w:rsidR="002354BD" w:rsidRDefault="002354BD">
      <w:pPr>
        <w:pBdr>
          <w:top w:val="nil"/>
          <w:left w:val="nil"/>
          <w:bottom w:val="nil"/>
          <w:right w:val="nil"/>
          <w:between w:val="nil"/>
        </w:pBdr>
        <w:tabs>
          <w:tab w:val="center" w:pos="4419"/>
          <w:tab w:val="right" w:pos="8838"/>
          <w:tab w:val="center" w:pos="-1418"/>
        </w:tabs>
        <w:spacing w:after="0" w:line="240" w:lineRule="auto"/>
        <w:ind w:left="2977"/>
        <w:jc w:val="both"/>
        <w:rPr>
          <w:rFonts w:ascii="Arial" w:eastAsia="Arial" w:hAnsi="Arial" w:cs="Arial"/>
          <w:b/>
          <w:color w:val="000000"/>
          <w:sz w:val="24"/>
          <w:szCs w:val="24"/>
        </w:rPr>
      </w:pPr>
    </w:p>
    <w:p w14:paraId="00000009" w14:textId="77777777" w:rsidR="002354BD" w:rsidRDefault="00A93088">
      <w:pPr>
        <w:pBdr>
          <w:top w:val="nil"/>
          <w:left w:val="nil"/>
          <w:bottom w:val="nil"/>
          <w:right w:val="nil"/>
          <w:between w:val="nil"/>
        </w:pBdr>
        <w:tabs>
          <w:tab w:val="center" w:pos="4419"/>
          <w:tab w:val="right" w:pos="8838"/>
          <w:tab w:val="center" w:pos="-1418"/>
        </w:tabs>
        <w:spacing w:after="0" w:line="240" w:lineRule="auto"/>
        <w:ind w:left="2977"/>
        <w:jc w:val="both"/>
        <w:rPr>
          <w:rFonts w:ascii="Arial" w:eastAsia="Arial" w:hAnsi="Arial" w:cs="Arial"/>
          <w:b/>
          <w:color w:val="000000"/>
          <w:sz w:val="24"/>
          <w:szCs w:val="24"/>
        </w:rPr>
      </w:pPr>
      <w:r>
        <w:rPr>
          <w:rFonts w:ascii="Arial" w:eastAsia="Arial" w:hAnsi="Arial" w:cs="Arial"/>
          <w:b/>
          <w:color w:val="000000"/>
          <w:sz w:val="24"/>
          <w:szCs w:val="24"/>
        </w:rPr>
        <w:t xml:space="preserve">SECRETARIO: </w:t>
      </w:r>
      <w:r>
        <w:rPr>
          <w:rFonts w:ascii="Arial" w:eastAsia="Arial" w:hAnsi="Arial" w:cs="Arial"/>
          <w:color w:val="000000"/>
          <w:sz w:val="24"/>
          <w:szCs w:val="24"/>
        </w:rPr>
        <w:t>LICENCIADO RENATO GABRIEL IBÁÑEZ CASTELLANOS.</w:t>
      </w:r>
    </w:p>
    <w:p w14:paraId="0000000A" w14:textId="77777777" w:rsidR="002354BD" w:rsidRDefault="002354BD">
      <w:pPr>
        <w:spacing w:after="0" w:line="360" w:lineRule="auto"/>
        <w:jc w:val="both"/>
        <w:rPr>
          <w:rFonts w:ascii="Arial" w:eastAsia="Arial" w:hAnsi="Arial" w:cs="Arial"/>
          <w:b/>
          <w:sz w:val="24"/>
          <w:szCs w:val="24"/>
        </w:rPr>
      </w:pPr>
    </w:p>
    <w:p w14:paraId="0000000B" w14:textId="29489EC4" w:rsidR="002354BD" w:rsidRDefault="00A93088" w:rsidP="004C6BB6">
      <w:pPr>
        <w:spacing w:after="0" w:line="360" w:lineRule="auto"/>
        <w:jc w:val="both"/>
        <w:rPr>
          <w:rFonts w:ascii="Arial" w:eastAsia="Arial" w:hAnsi="Arial" w:cs="Arial"/>
          <w:b/>
          <w:sz w:val="24"/>
          <w:szCs w:val="24"/>
        </w:rPr>
      </w:pPr>
      <w:r>
        <w:rPr>
          <w:rFonts w:ascii="Arial" w:eastAsia="Arial" w:hAnsi="Arial" w:cs="Arial"/>
          <w:b/>
          <w:sz w:val="24"/>
          <w:szCs w:val="24"/>
        </w:rPr>
        <w:t xml:space="preserve">OAXACA DE JUÁREZ, OAXACA, </w:t>
      </w:r>
      <w:r w:rsidR="008E586D">
        <w:rPr>
          <w:rFonts w:ascii="Arial" w:eastAsia="Arial" w:hAnsi="Arial" w:cs="Arial"/>
          <w:b/>
          <w:sz w:val="24"/>
          <w:szCs w:val="24"/>
        </w:rPr>
        <w:t>DIECISIETE</w:t>
      </w:r>
      <w:r w:rsidR="004C6BB6">
        <w:rPr>
          <w:rFonts w:ascii="Arial" w:eastAsia="Arial" w:hAnsi="Arial" w:cs="Arial"/>
          <w:b/>
          <w:sz w:val="24"/>
          <w:szCs w:val="24"/>
        </w:rPr>
        <w:t xml:space="preserve"> DE </w:t>
      </w:r>
      <w:r w:rsidR="008E586D">
        <w:rPr>
          <w:rFonts w:ascii="Arial" w:eastAsia="Arial" w:hAnsi="Arial" w:cs="Arial"/>
          <w:b/>
          <w:sz w:val="24"/>
          <w:szCs w:val="24"/>
        </w:rPr>
        <w:t>JUNIO</w:t>
      </w:r>
      <w:r w:rsidR="0015307A">
        <w:rPr>
          <w:rFonts w:ascii="Arial" w:eastAsia="Arial" w:hAnsi="Arial" w:cs="Arial"/>
          <w:b/>
          <w:sz w:val="24"/>
          <w:szCs w:val="24"/>
        </w:rPr>
        <w:t xml:space="preserve"> DE DOS MIL VEINTIDÓS</w:t>
      </w:r>
      <w:r>
        <w:rPr>
          <w:rFonts w:ascii="Arial" w:eastAsia="Arial" w:hAnsi="Arial" w:cs="Arial"/>
          <w:b/>
          <w:sz w:val="24"/>
          <w:szCs w:val="24"/>
        </w:rPr>
        <w:t>. - - - - - - - - - - - - - - - - - - - - - - - - - - - -</w:t>
      </w:r>
      <w:r w:rsidR="00A66459">
        <w:rPr>
          <w:rFonts w:ascii="Arial" w:eastAsia="Arial" w:hAnsi="Arial" w:cs="Arial"/>
          <w:b/>
          <w:sz w:val="24"/>
          <w:szCs w:val="24"/>
        </w:rPr>
        <w:t xml:space="preserve"> - - - - - - - - - - - - - - - </w:t>
      </w:r>
      <w:r w:rsidR="008E586D">
        <w:rPr>
          <w:rFonts w:ascii="Arial" w:eastAsia="Arial" w:hAnsi="Arial" w:cs="Arial"/>
          <w:b/>
          <w:sz w:val="24"/>
          <w:szCs w:val="24"/>
        </w:rPr>
        <w:t xml:space="preserve">- - - </w:t>
      </w:r>
    </w:p>
    <w:p w14:paraId="0000000C" w14:textId="6408813F" w:rsidR="002354BD" w:rsidRDefault="00A93088">
      <w:pPr>
        <w:pBdr>
          <w:top w:val="nil"/>
          <w:left w:val="nil"/>
          <w:bottom w:val="nil"/>
          <w:right w:val="nil"/>
          <w:between w:val="nil"/>
        </w:pBdr>
        <w:tabs>
          <w:tab w:val="center" w:pos="4419"/>
          <w:tab w:val="right" w:pos="8838"/>
        </w:tabs>
        <w:spacing w:before="240" w:after="240" w:line="360" w:lineRule="auto"/>
        <w:jc w:val="both"/>
        <w:rPr>
          <w:rFonts w:ascii="Arial" w:eastAsia="Arial" w:hAnsi="Arial" w:cs="Arial"/>
          <w:color w:val="000000"/>
          <w:sz w:val="24"/>
          <w:szCs w:val="24"/>
        </w:rPr>
      </w:pPr>
      <w:r>
        <w:rPr>
          <w:rFonts w:ascii="Arial" w:eastAsia="Arial" w:hAnsi="Arial" w:cs="Arial"/>
          <w:b/>
          <w:color w:val="000000"/>
          <w:sz w:val="24"/>
          <w:szCs w:val="24"/>
        </w:rPr>
        <w:tab/>
      </w:r>
      <w:r w:rsidR="00637882">
        <w:rPr>
          <w:rFonts w:ascii="Arial" w:eastAsia="Arial" w:hAnsi="Arial" w:cs="Arial"/>
          <w:b/>
          <w:color w:val="000000"/>
          <w:sz w:val="24"/>
          <w:szCs w:val="24"/>
        </w:rPr>
        <w:t xml:space="preserve">          </w:t>
      </w:r>
      <w:r>
        <w:rPr>
          <w:rFonts w:ascii="Arial" w:eastAsia="Arial" w:hAnsi="Arial" w:cs="Arial"/>
          <w:color w:val="000000"/>
          <w:sz w:val="24"/>
          <w:szCs w:val="24"/>
        </w:rPr>
        <w:t xml:space="preserve">Una vez </w:t>
      </w:r>
      <w:r>
        <w:rPr>
          <w:rFonts w:ascii="Arial" w:eastAsia="Arial" w:hAnsi="Arial" w:cs="Arial"/>
          <w:b/>
          <w:color w:val="000000"/>
          <w:sz w:val="24"/>
          <w:szCs w:val="24"/>
        </w:rPr>
        <w:t>VISTOS</w:t>
      </w:r>
      <w:r>
        <w:rPr>
          <w:rFonts w:ascii="Arial" w:eastAsia="Arial" w:hAnsi="Arial" w:cs="Arial"/>
          <w:color w:val="000000"/>
          <w:sz w:val="24"/>
          <w:szCs w:val="24"/>
        </w:rPr>
        <w:t>,</w:t>
      </w:r>
      <w:r>
        <w:rPr>
          <w:rFonts w:ascii="Arial" w:eastAsia="Arial" w:hAnsi="Arial" w:cs="Arial"/>
          <w:b/>
          <w:color w:val="000000"/>
          <w:sz w:val="24"/>
          <w:szCs w:val="24"/>
        </w:rPr>
        <w:t xml:space="preserve"> </w:t>
      </w:r>
      <w:r>
        <w:rPr>
          <w:rFonts w:ascii="Arial" w:eastAsia="Arial" w:hAnsi="Arial" w:cs="Arial"/>
          <w:color w:val="000000"/>
          <w:sz w:val="24"/>
          <w:szCs w:val="24"/>
        </w:rPr>
        <w:t xml:space="preserve">para resolver los autos del juicio de nulidad de número </w:t>
      </w:r>
      <w:r w:rsidR="008E586D">
        <w:rPr>
          <w:rFonts w:ascii="Arial" w:eastAsia="Arial" w:hAnsi="Arial" w:cs="Arial"/>
          <w:b/>
          <w:color w:val="000000"/>
          <w:sz w:val="24"/>
          <w:szCs w:val="24"/>
        </w:rPr>
        <w:t>0092</w:t>
      </w:r>
      <w:r w:rsidR="00637882">
        <w:rPr>
          <w:rFonts w:ascii="Arial" w:eastAsia="Arial" w:hAnsi="Arial" w:cs="Arial"/>
          <w:b/>
          <w:color w:val="000000"/>
          <w:sz w:val="24"/>
          <w:szCs w:val="24"/>
        </w:rPr>
        <w:t>/20</w:t>
      </w:r>
      <w:r w:rsidR="008E586D">
        <w:rPr>
          <w:rFonts w:ascii="Arial" w:eastAsia="Arial" w:hAnsi="Arial" w:cs="Arial"/>
          <w:b/>
          <w:color w:val="000000"/>
          <w:sz w:val="24"/>
          <w:szCs w:val="24"/>
        </w:rPr>
        <w:t>2</w:t>
      </w:r>
      <w:r w:rsidR="00637882">
        <w:rPr>
          <w:rFonts w:ascii="Arial" w:eastAsia="Arial" w:hAnsi="Arial" w:cs="Arial"/>
          <w:b/>
          <w:color w:val="000000"/>
          <w:sz w:val="24"/>
          <w:szCs w:val="24"/>
        </w:rPr>
        <w:t>1</w:t>
      </w:r>
      <w:r>
        <w:rPr>
          <w:rFonts w:ascii="Arial" w:eastAsia="Arial" w:hAnsi="Arial" w:cs="Arial"/>
          <w:color w:val="000000"/>
          <w:sz w:val="24"/>
          <w:szCs w:val="24"/>
        </w:rPr>
        <w:t xml:space="preserve">, promovido por </w:t>
      </w:r>
      <w:r w:rsidR="0021493A">
        <w:rPr>
          <w:rFonts w:ascii="Arial" w:eastAsia="Arial" w:hAnsi="Arial" w:cs="Arial"/>
          <w:b/>
          <w:color w:val="FF0000"/>
          <w:sz w:val="24"/>
          <w:szCs w:val="24"/>
        </w:rPr>
        <w:t>**********</w:t>
      </w:r>
      <w:r>
        <w:rPr>
          <w:rFonts w:ascii="Arial" w:eastAsia="Arial" w:hAnsi="Arial" w:cs="Arial"/>
          <w:color w:val="000000"/>
          <w:sz w:val="24"/>
          <w:szCs w:val="24"/>
        </w:rPr>
        <w:t>, en contra del</w:t>
      </w:r>
      <w:r w:rsidR="00775DB2">
        <w:rPr>
          <w:rFonts w:ascii="Arial" w:eastAsia="Arial" w:hAnsi="Arial" w:cs="Arial"/>
          <w:b/>
          <w:color w:val="000000"/>
          <w:sz w:val="24"/>
          <w:szCs w:val="24"/>
        </w:rPr>
        <w:t xml:space="preserve"> </w:t>
      </w:r>
      <w:r w:rsidR="00775DB2">
        <w:rPr>
          <w:rFonts w:ascii="Arial" w:hAnsi="Arial" w:cs="Arial"/>
          <w:b/>
          <w:sz w:val="24"/>
          <w:szCs w:val="24"/>
        </w:rPr>
        <w:t xml:space="preserve">POLICIA VIAL ESTATAL </w:t>
      </w:r>
      <w:r w:rsidR="00775DB2" w:rsidRPr="00FF764F">
        <w:rPr>
          <w:rFonts w:ascii="Arial" w:hAnsi="Arial" w:cs="Arial"/>
          <w:b/>
          <w:sz w:val="24"/>
          <w:szCs w:val="24"/>
        </w:rPr>
        <w:t xml:space="preserve">CON NÚMERO ESTADÍSTICO </w:t>
      </w:r>
      <w:r w:rsidR="00FC5635">
        <w:rPr>
          <w:rFonts w:ascii="Arial" w:hAnsi="Arial" w:cs="Arial"/>
          <w:b/>
          <w:sz w:val="24"/>
          <w:szCs w:val="24"/>
        </w:rPr>
        <w:t xml:space="preserve">   </w:t>
      </w:r>
      <w:r w:rsidR="00775DB2" w:rsidRPr="00FF764F">
        <w:rPr>
          <w:rFonts w:ascii="Arial" w:hAnsi="Arial" w:cs="Arial"/>
          <w:b/>
          <w:sz w:val="24"/>
          <w:szCs w:val="24"/>
        </w:rPr>
        <w:t>PV-</w:t>
      </w:r>
      <w:r w:rsidR="00775DB2">
        <w:rPr>
          <w:rFonts w:ascii="Arial" w:hAnsi="Arial" w:cs="Arial"/>
          <w:b/>
          <w:sz w:val="24"/>
          <w:szCs w:val="24"/>
        </w:rPr>
        <w:t>374</w:t>
      </w:r>
      <w:r w:rsidR="00775DB2" w:rsidRPr="00FF764F">
        <w:rPr>
          <w:rFonts w:ascii="Arial" w:hAnsi="Arial" w:cs="Arial"/>
          <w:b/>
          <w:sz w:val="24"/>
          <w:szCs w:val="24"/>
        </w:rPr>
        <w:t xml:space="preserve">, ADSCRITO </w:t>
      </w:r>
      <w:r w:rsidR="00775DB2">
        <w:rPr>
          <w:rFonts w:ascii="Arial" w:hAnsi="Arial" w:cs="Arial"/>
          <w:b/>
          <w:sz w:val="24"/>
          <w:szCs w:val="24"/>
        </w:rPr>
        <w:t xml:space="preserve">DIRECCIÓN DE TRÁNSITO DEL ESTADO, DE LA </w:t>
      </w:r>
      <w:r w:rsidR="00775DB2" w:rsidRPr="00FF764F">
        <w:rPr>
          <w:rFonts w:ascii="Arial" w:hAnsi="Arial" w:cs="Arial"/>
          <w:b/>
          <w:sz w:val="24"/>
          <w:szCs w:val="24"/>
        </w:rPr>
        <w:t>DIRECCIÓN GENERAL DE LA POLICÍA VIAL ESTATAL</w:t>
      </w:r>
      <w:r w:rsidR="00775DB2">
        <w:rPr>
          <w:rFonts w:ascii="Arial" w:hAnsi="Arial" w:cs="Arial"/>
          <w:b/>
          <w:sz w:val="24"/>
          <w:szCs w:val="24"/>
        </w:rPr>
        <w:t xml:space="preserve">, DE LA SECRETARIA DE SEGURIDAD PÚBLICA DEL ESTADO DE </w:t>
      </w:r>
      <w:r w:rsidR="0021493A">
        <w:rPr>
          <w:rFonts w:ascii="Arial" w:hAnsi="Arial" w:cs="Arial"/>
          <w:b/>
          <w:sz w:val="24"/>
          <w:szCs w:val="24"/>
        </w:rPr>
        <w:t>OAXACA</w:t>
      </w:r>
      <w:r w:rsidR="0021493A" w:rsidRPr="00FF764F">
        <w:rPr>
          <w:rFonts w:ascii="Arial" w:hAnsi="Arial" w:cs="Arial"/>
          <w:sz w:val="24"/>
          <w:szCs w:val="24"/>
        </w:rPr>
        <w:t>.</w:t>
      </w:r>
      <w:r w:rsidR="0021493A">
        <w:rPr>
          <w:rFonts w:ascii="Arial" w:hAnsi="Arial" w:cs="Arial"/>
          <w:sz w:val="24"/>
          <w:szCs w:val="24"/>
        </w:rPr>
        <w:t xml:space="preserve"> -</w:t>
      </w:r>
      <w:r w:rsidR="00FC5635">
        <w:rPr>
          <w:rFonts w:ascii="Arial" w:hAnsi="Arial" w:cs="Arial"/>
          <w:sz w:val="24"/>
          <w:szCs w:val="24"/>
        </w:rPr>
        <w:t xml:space="preserve"> - -</w:t>
      </w:r>
      <w:r w:rsidR="0021493A">
        <w:rPr>
          <w:rFonts w:ascii="Arial" w:hAnsi="Arial" w:cs="Arial"/>
          <w:sz w:val="24"/>
          <w:szCs w:val="24"/>
        </w:rPr>
        <w:t xml:space="preserve"> - - - - - - - - - - - - - - - - - - - - - - - - </w:t>
      </w:r>
    </w:p>
    <w:p w14:paraId="0000000D" w14:textId="77777777" w:rsidR="002354BD" w:rsidRDefault="00A93088">
      <w:pPr>
        <w:spacing w:line="360" w:lineRule="auto"/>
        <w:jc w:val="center"/>
        <w:rPr>
          <w:rFonts w:ascii="Arial" w:eastAsia="Arial" w:hAnsi="Arial" w:cs="Arial"/>
          <w:b/>
          <w:sz w:val="24"/>
          <w:szCs w:val="24"/>
        </w:rPr>
      </w:pPr>
      <w:r>
        <w:rPr>
          <w:rFonts w:ascii="Arial" w:eastAsia="Arial" w:hAnsi="Arial" w:cs="Arial"/>
          <w:b/>
          <w:sz w:val="24"/>
          <w:szCs w:val="24"/>
        </w:rPr>
        <w:t>A N T E C E D E N T E S</w:t>
      </w:r>
    </w:p>
    <w:p w14:paraId="14D334F5" w14:textId="3E9A4F2C" w:rsidR="00BA482E" w:rsidRDefault="00A93088" w:rsidP="00BA482E">
      <w:pPr>
        <w:spacing w:line="360" w:lineRule="auto"/>
        <w:ind w:firstLine="709"/>
        <w:jc w:val="both"/>
        <w:rPr>
          <w:rFonts w:ascii="Arial" w:hAnsi="Arial" w:cs="Arial"/>
          <w:sz w:val="24"/>
          <w:szCs w:val="24"/>
        </w:rPr>
      </w:pPr>
      <w:r>
        <w:rPr>
          <w:rFonts w:ascii="Arial" w:eastAsia="Arial" w:hAnsi="Arial" w:cs="Arial"/>
          <w:b/>
          <w:sz w:val="24"/>
          <w:szCs w:val="24"/>
        </w:rPr>
        <w:t xml:space="preserve">PRIMERO. </w:t>
      </w:r>
      <w:r>
        <w:rPr>
          <w:rFonts w:ascii="Arial" w:eastAsia="Arial" w:hAnsi="Arial" w:cs="Arial"/>
          <w:sz w:val="24"/>
          <w:szCs w:val="24"/>
        </w:rPr>
        <w:t xml:space="preserve">Mediante auto de </w:t>
      </w:r>
      <w:r w:rsidR="00775DB2">
        <w:rPr>
          <w:rFonts w:ascii="Arial" w:eastAsia="Arial" w:hAnsi="Arial" w:cs="Arial"/>
          <w:sz w:val="24"/>
          <w:szCs w:val="24"/>
        </w:rPr>
        <w:t>cinco de noviembre d</w:t>
      </w:r>
      <w:r w:rsidR="00B962B1">
        <w:rPr>
          <w:rFonts w:ascii="Arial" w:eastAsia="Arial" w:hAnsi="Arial" w:cs="Arial"/>
          <w:sz w:val="24"/>
          <w:szCs w:val="24"/>
        </w:rPr>
        <w:t xml:space="preserve">e dos mil </w:t>
      </w:r>
      <w:r w:rsidR="00775DB2">
        <w:rPr>
          <w:rFonts w:ascii="Arial" w:eastAsia="Arial" w:hAnsi="Arial" w:cs="Arial"/>
          <w:sz w:val="24"/>
          <w:szCs w:val="24"/>
        </w:rPr>
        <w:t>veintiuno</w:t>
      </w:r>
      <w:r>
        <w:rPr>
          <w:rFonts w:ascii="Arial" w:eastAsia="Arial" w:hAnsi="Arial" w:cs="Arial"/>
          <w:sz w:val="24"/>
          <w:szCs w:val="24"/>
        </w:rPr>
        <w:t xml:space="preserve">, </w:t>
      </w:r>
      <w:r w:rsidR="00B962B1">
        <w:rPr>
          <w:rFonts w:ascii="Arial" w:eastAsia="Arial" w:hAnsi="Arial" w:cs="Arial"/>
          <w:sz w:val="24"/>
          <w:szCs w:val="24"/>
        </w:rPr>
        <w:t xml:space="preserve">se </w:t>
      </w:r>
      <w:r w:rsidR="00B962B1">
        <w:rPr>
          <w:rFonts w:ascii="Arial" w:eastAsia="Arial" w:hAnsi="Arial" w:cs="Arial"/>
          <w:b/>
          <w:sz w:val="24"/>
          <w:szCs w:val="24"/>
        </w:rPr>
        <w:t xml:space="preserve">admitió a trámite </w:t>
      </w:r>
      <w:r w:rsidR="00B962B1">
        <w:rPr>
          <w:rFonts w:ascii="Arial" w:eastAsia="Arial" w:hAnsi="Arial" w:cs="Arial"/>
          <w:sz w:val="24"/>
          <w:szCs w:val="24"/>
        </w:rPr>
        <w:t xml:space="preserve">la demanda de nulidad </w:t>
      </w:r>
      <w:r w:rsidR="00775DB2">
        <w:rPr>
          <w:rFonts w:ascii="Arial" w:eastAsia="Arial" w:hAnsi="Arial" w:cs="Arial"/>
          <w:sz w:val="24"/>
          <w:szCs w:val="24"/>
        </w:rPr>
        <w:t>de</w:t>
      </w:r>
      <w:r w:rsidR="00FC5635">
        <w:rPr>
          <w:rFonts w:ascii="Arial" w:eastAsia="Arial" w:hAnsi="Arial" w:cs="Arial"/>
          <w:sz w:val="24"/>
          <w:szCs w:val="24"/>
        </w:rPr>
        <w:t xml:space="preserve"> la </w:t>
      </w:r>
      <w:r w:rsidR="00775DB2">
        <w:rPr>
          <w:rFonts w:ascii="Arial" w:eastAsia="Arial" w:hAnsi="Arial" w:cs="Arial"/>
          <w:sz w:val="24"/>
          <w:szCs w:val="24"/>
        </w:rPr>
        <w:t>actor</w:t>
      </w:r>
      <w:r w:rsidR="00FC5635">
        <w:rPr>
          <w:rFonts w:ascii="Arial" w:eastAsia="Arial" w:hAnsi="Arial" w:cs="Arial"/>
          <w:sz w:val="24"/>
          <w:szCs w:val="24"/>
        </w:rPr>
        <w:t>a</w:t>
      </w:r>
      <w:r w:rsidR="0092580B">
        <w:rPr>
          <w:rFonts w:ascii="Arial" w:eastAsia="Arial" w:hAnsi="Arial" w:cs="Arial"/>
          <w:sz w:val="24"/>
          <w:szCs w:val="24"/>
        </w:rPr>
        <w:t xml:space="preserve"> </w:t>
      </w:r>
      <w:r w:rsidR="00B962B1">
        <w:rPr>
          <w:rFonts w:ascii="Arial" w:eastAsia="Arial" w:hAnsi="Arial" w:cs="Arial"/>
          <w:sz w:val="24"/>
          <w:szCs w:val="24"/>
        </w:rPr>
        <w:t>en contra del Policía Vial con número estadístico PV-3</w:t>
      </w:r>
      <w:r w:rsidR="00775DB2">
        <w:rPr>
          <w:rFonts w:ascii="Arial" w:eastAsia="Arial" w:hAnsi="Arial" w:cs="Arial"/>
          <w:sz w:val="24"/>
          <w:szCs w:val="24"/>
        </w:rPr>
        <w:t>74</w:t>
      </w:r>
      <w:r w:rsidR="00B962B1">
        <w:rPr>
          <w:rFonts w:ascii="Arial" w:eastAsia="Arial" w:hAnsi="Arial" w:cs="Arial"/>
          <w:sz w:val="24"/>
          <w:szCs w:val="24"/>
        </w:rPr>
        <w:t xml:space="preserve">, </w:t>
      </w:r>
      <w:r w:rsidR="00BA482E">
        <w:rPr>
          <w:rFonts w:ascii="Arial" w:hAnsi="Arial" w:cs="Arial"/>
          <w:sz w:val="24"/>
          <w:szCs w:val="24"/>
        </w:rPr>
        <w:t>adscrito a la Dirección de Tránsito del Estado, de la Dirección General de la Policía Vial E</w:t>
      </w:r>
      <w:r w:rsidR="00BA482E" w:rsidRPr="001609E9">
        <w:rPr>
          <w:rFonts w:ascii="Arial" w:hAnsi="Arial" w:cs="Arial"/>
          <w:sz w:val="24"/>
          <w:szCs w:val="24"/>
        </w:rPr>
        <w:t>statal</w:t>
      </w:r>
      <w:r w:rsidR="00BA482E">
        <w:rPr>
          <w:rFonts w:ascii="Arial" w:hAnsi="Arial" w:cs="Arial"/>
          <w:sz w:val="24"/>
          <w:szCs w:val="24"/>
        </w:rPr>
        <w:t>, de la Secretaría de Seguridad Pública del Estado de Oaxaca</w:t>
      </w:r>
      <w:r w:rsidR="00BA482E" w:rsidRPr="00240D1C">
        <w:rPr>
          <w:rFonts w:ascii="Arial" w:hAnsi="Arial" w:cs="Arial"/>
          <w:sz w:val="24"/>
          <w:szCs w:val="24"/>
        </w:rPr>
        <w:t>; por lo que, se ordenó notificar, emplazar y correr</w:t>
      </w:r>
      <w:r w:rsidR="00BA482E">
        <w:rPr>
          <w:rFonts w:ascii="Arial" w:hAnsi="Arial" w:cs="Arial"/>
          <w:sz w:val="24"/>
          <w:szCs w:val="24"/>
        </w:rPr>
        <w:t>le</w:t>
      </w:r>
      <w:r w:rsidR="00BA482E" w:rsidRPr="00240D1C">
        <w:rPr>
          <w:rFonts w:ascii="Arial" w:hAnsi="Arial" w:cs="Arial"/>
          <w:sz w:val="24"/>
          <w:szCs w:val="24"/>
        </w:rPr>
        <w:t xml:space="preserve"> traslado </w:t>
      </w:r>
      <w:r w:rsidR="00BA482E">
        <w:rPr>
          <w:rFonts w:ascii="Arial" w:hAnsi="Arial" w:cs="Arial"/>
          <w:sz w:val="24"/>
          <w:szCs w:val="24"/>
        </w:rPr>
        <w:t>a la citada</w:t>
      </w:r>
      <w:r w:rsidR="00BA482E" w:rsidRPr="00240D1C">
        <w:rPr>
          <w:rFonts w:ascii="Arial" w:hAnsi="Arial" w:cs="Arial"/>
          <w:sz w:val="24"/>
          <w:szCs w:val="24"/>
        </w:rPr>
        <w:t xml:space="preserve"> autoridad, para que dentro del plazo de nueve días hábiles produjera</w:t>
      </w:r>
      <w:r w:rsidR="00BA482E">
        <w:rPr>
          <w:rFonts w:ascii="Arial" w:hAnsi="Arial" w:cs="Arial"/>
          <w:sz w:val="24"/>
          <w:szCs w:val="24"/>
        </w:rPr>
        <w:t xml:space="preserve"> su</w:t>
      </w:r>
      <w:r w:rsidR="00BA482E" w:rsidRPr="00240D1C">
        <w:rPr>
          <w:rFonts w:ascii="Arial" w:hAnsi="Arial" w:cs="Arial"/>
          <w:sz w:val="24"/>
          <w:szCs w:val="24"/>
        </w:rPr>
        <w:t xml:space="preserve"> contestación, con el apercibimiento que de no hacerlo dentro de dicho plazo, se le tendría contestando en sentido afirmativo, y de no referirse a todos los hechos se le</w:t>
      </w:r>
      <w:r w:rsidR="00BA482E">
        <w:rPr>
          <w:rFonts w:ascii="Arial" w:hAnsi="Arial" w:cs="Arial"/>
          <w:sz w:val="24"/>
          <w:szCs w:val="24"/>
        </w:rPr>
        <w:t>s tendría</w:t>
      </w:r>
      <w:r w:rsidR="00BA482E" w:rsidRPr="00240D1C">
        <w:rPr>
          <w:rFonts w:ascii="Arial" w:hAnsi="Arial" w:cs="Arial"/>
          <w:sz w:val="24"/>
          <w:szCs w:val="24"/>
        </w:rPr>
        <w:t xml:space="preserve"> como ciertos; se tuvo por ofrecidas y admitidas las pruebas ofrecidas por la parte actora</w:t>
      </w:r>
      <w:r w:rsidR="00BA482E">
        <w:rPr>
          <w:rFonts w:ascii="Arial" w:hAnsi="Arial" w:cs="Arial"/>
          <w:sz w:val="24"/>
          <w:szCs w:val="24"/>
        </w:rPr>
        <w:t>.</w:t>
      </w:r>
    </w:p>
    <w:p w14:paraId="674E1C1A" w14:textId="3A98F241" w:rsidR="00BA482E" w:rsidRDefault="00BA482E" w:rsidP="00BA482E">
      <w:pPr>
        <w:spacing w:line="360" w:lineRule="auto"/>
        <w:ind w:firstLine="709"/>
        <w:jc w:val="both"/>
        <w:rPr>
          <w:rFonts w:ascii="Arial" w:hAnsi="Arial" w:cs="Arial"/>
          <w:sz w:val="24"/>
          <w:szCs w:val="24"/>
        </w:rPr>
      </w:pPr>
      <w:r w:rsidRPr="00AB0819">
        <w:rPr>
          <w:rFonts w:ascii="Arial" w:hAnsi="Arial" w:cs="Arial"/>
          <w:sz w:val="24"/>
          <w:szCs w:val="24"/>
        </w:rPr>
        <w:t xml:space="preserve">En el mismo auto, </w:t>
      </w:r>
      <w:r w:rsidRPr="00AB0819">
        <w:rPr>
          <w:rFonts w:ascii="Arial" w:hAnsi="Arial" w:cs="Arial"/>
          <w:b/>
          <w:sz w:val="24"/>
          <w:szCs w:val="24"/>
        </w:rPr>
        <w:t>se requirió</w:t>
      </w:r>
      <w:r w:rsidRPr="00AB0819">
        <w:rPr>
          <w:rFonts w:ascii="Arial" w:hAnsi="Arial" w:cs="Arial"/>
          <w:sz w:val="24"/>
          <w:szCs w:val="24"/>
        </w:rPr>
        <w:t xml:space="preserve"> a la demandada para que, al momento</w:t>
      </w:r>
      <w:r>
        <w:rPr>
          <w:rFonts w:ascii="Arial" w:hAnsi="Arial" w:cs="Arial"/>
          <w:sz w:val="24"/>
          <w:szCs w:val="24"/>
        </w:rPr>
        <w:t xml:space="preserve"> de dar contestación de la demanda, remitiera copia respectiva para el traslado de la contraparte, apercibida</w:t>
      </w:r>
      <w:r w:rsidRPr="00FF764F">
        <w:rPr>
          <w:rFonts w:ascii="Arial" w:hAnsi="Arial" w:cs="Arial"/>
          <w:sz w:val="24"/>
          <w:szCs w:val="24"/>
        </w:rPr>
        <w:t xml:space="preserve"> que en caso de omisión se </w:t>
      </w:r>
      <w:r>
        <w:rPr>
          <w:rFonts w:ascii="Arial" w:hAnsi="Arial" w:cs="Arial"/>
          <w:sz w:val="24"/>
          <w:szCs w:val="24"/>
        </w:rPr>
        <w:t xml:space="preserve">declarará </w:t>
      </w:r>
      <w:r>
        <w:rPr>
          <w:rFonts w:ascii="Arial" w:hAnsi="Arial" w:cs="Arial"/>
          <w:sz w:val="24"/>
          <w:szCs w:val="24"/>
        </w:rPr>
        <w:lastRenderedPageBreak/>
        <w:t>precluido y se le tendrá por confesa de la demanda, salvo prueba en contrario.</w:t>
      </w:r>
    </w:p>
    <w:p w14:paraId="5DB19482" w14:textId="03B7A0F9" w:rsidR="006B38A5" w:rsidRDefault="009C7735" w:rsidP="006B38A5">
      <w:pPr>
        <w:spacing w:line="360" w:lineRule="auto"/>
        <w:ind w:firstLine="709"/>
        <w:jc w:val="both"/>
        <w:rPr>
          <w:rFonts w:ascii="Arial" w:eastAsia="Arial" w:hAnsi="Arial" w:cs="Arial"/>
          <w:sz w:val="24"/>
          <w:szCs w:val="24"/>
        </w:rPr>
      </w:pPr>
      <w:r>
        <w:rPr>
          <w:rFonts w:ascii="Arial" w:eastAsia="Arial" w:hAnsi="Arial" w:cs="Arial"/>
          <w:b/>
          <w:sz w:val="24"/>
          <w:szCs w:val="24"/>
        </w:rPr>
        <w:t xml:space="preserve">SEGUNDO. </w:t>
      </w:r>
      <w:r w:rsidR="00BA482E">
        <w:rPr>
          <w:rFonts w:ascii="Arial" w:eastAsia="Arial" w:hAnsi="Arial" w:cs="Arial"/>
          <w:sz w:val="24"/>
          <w:szCs w:val="24"/>
        </w:rPr>
        <w:t>Por</w:t>
      </w:r>
      <w:r w:rsidR="00332345">
        <w:rPr>
          <w:rFonts w:ascii="Arial" w:eastAsia="Arial" w:hAnsi="Arial" w:cs="Arial"/>
          <w:sz w:val="24"/>
          <w:szCs w:val="24"/>
        </w:rPr>
        <w:t xml:space="preserve"> auto</w:t>
      </w:r>
      <w:r w:rsidR="00692F6E">
        <w:rPr>
          <w:rFonts w:ascii="Arial" w:eastAsia="Arial" w:hAnsi="Arial" w:cs="Arial"/>
          <w:sz w:val="24"/>
          <w:szCs w:val="24"/>
        </w:rPr>
        <w:t xml:space="preserve"> de catorce de </w:t>
      </w:r>
      <w:r w:rsidR="00BA482E">
        <w:rPr>
          <w:rFonts w:ascii="Arial" w:eastAsia="Arial" w:hAnsi="Arial" w:cs="Arial"/>
          <w:sz w:val="24"/>
          <w:szCs w:val="24"/>
        </w:rPr>
        <w:t>marzo</w:t>
      </w:r>
      <w:r w:rsidR="00692F6E">
        <w:rPr>
          <w:rFonts w:ascii="Arial" w:eastAsia="Arial" w:hAnsi="Arial" w:cs="Arial"/>
          <w:sz w:val="24"/>
          <w:szCs w:val="24"/>
        </w:rPr>
        <w:t xml:space="preserve"> de dos mil </w:t>
      </w:r>
      <w:r w:rsidR="00BA482E">
        <w:rPr>
          <w:rFonts w:ascii="Arial" w:eastAsia="Arial" w:hAnsi="Arial" w:cs="Arial"/>
          <w:sz w:val="24"/>
          <w:szCs w:val="24"/>
        </w:rPr>
        <w:t>veintidós</w:t>
      </w:r>
      <w:r w:rsidR="00A93088">
        <w:rPr>
          <w:rFonts w:ascii="Arial" w:eastAsia="Arial" w:hAnsi="Arial" w:cs="Arial"/>
          <w:sz w:val="24"/>
          <w:szCs w:val="24"/>
        </w:rPr>
        <w:t xml:space="preserve">, </w:t>
      </w:r>
      <w:r w:rsidR="00BA482E">
        <w:rPr>
          <w:rFonts w:ascii="Arial" w:hAnsi="Arial" w:cs="Arial"/>
          <w:bCs/>
          <w:sz w:val="24"/>
          <w:szCs w:val="24"/>
        </w:rPr>
        <w:t>se tuvo a la parte demandada contestando la demanda entablada en su contra</w:t>
      </w:r>
      <w:r w:rsidR="006B38A5">
        <w:rPr>
          <w:rFonts w:ascii="Arial" w:eastAsia="Arial" w:hAnsi="Arial" w:cs="Arial"/>
          <w:sz w:val="24"/>
          <w:szCs w:val="24"/>
        </w:rPr>
        <w:t>,</w:t>
      </w:r>
      <w:r w:rsidR="00A93088">
        <w:rPr>
          <w:rFonts w:ascii="Arial" w:eastAsia="Arial" w:hAnsi="Arial" w:cs="Arial"/>
          <w:sz w:val="24"/>
          <w:szCs w:val="24"/>
        </w:rPr>
        <w:t xml:space="preserve"> </w:t>
      </w:r>
      <w:r w:rsidR="006B38A5">
        <w:rPr>
          <w:rFonts w:ascii="Arial" w:hAnsi="Arial" w:cs="Arial"/>
          <w:bCs/>
          <w:sz w:val="24"/>
          <w:szCs w:val="24"/>
        </w:rPr>
        <w:t>por ofrecida y admitida la prueba</w:t>
      </w:r>
      <w:r w:rsidR="00332345">
        <w:rPr>
          <w:rFonts w:ascii="Arial" w:hAnsi="Arial" w:cs="Arial"/>
          <w:bCs/>
          <w:sz w:val="24"/>
          <w:szCs w:val="24"/>
        </w:rPr>
        <w:t xml:space="preserve"> que señaló</w:t>
      </w:r>
      <w:r w:rsidR="00332345">
        <w:rPr>
          <w:rFonts w:ascii="Arial" w:eastAsia="Arial" w:hAnsi="Arial" w:cs="Arial"/>
          <w:sz w:val="24"/>
          <w:szCs w:val="24"/>
        </w:rPr>
        <w:t>;</w:t>
      </w:r>
      <w:r w:rsidR="00A93088">
        <w:rPr>
          <w:rFonts w:ascii="Arial" w:eastAsia="Arial" w:hAnsi="Arial" w:cs="Arial"/>
          <w:sz w:val="24"/>
          <w:szCs w:val="24"/>
        </w:rPr>
        <w:t xml:space="preserve"> </w:t>
      </w:r>
      <w:r w:rsidR="00332345">
        <w:rPr>
          <w:rFonts w:ascii="Arial" w:eastAsia="Arial" w:hAnsi="Arial" w:cs="Arial"/>
          <w:sz w:val="24"/>
          <w:szCs w:val="24"/>
        </w:rPr>
        <w:t xml:space="preserve">por lo que, </w:t>
      </w:r>
      <w:r w:rsidR="006B38A5">
        <w:rPr>
          <w:rFonts w:ascii="Arial" w:eastAsia="Arial" w:hAnsi="Arial" w:cs="Arial"/>
          <w:sz w:val="24"/>
          <w:szCs w:val="24"/>
        </w:rPr>
        <w:t xml:space="preserve">se </w:t>
      </w:r>
      <w:r w:rsidR="00A93088">
        <w:rPr>
          <w:rFonts w:ascii="Arial" w:eastAsia="Arial" w:hAnsi="Arial" w:cs="Arial"/>
          <w:sz w:val="24"/>
          <w:szCs w:val="24"/>
        </w:rPr>
        <w:t>orden</w:t>
      </w:r>
      <w:r w:rsidR="006B38A5">
        <w:rPr>
          <w:rFonts w:ascii="Arial" w:eastAsia="Arial" w:hAnsi="Arial" w:cs="Arial"/>
          <w:sz w:val="24"/>
          <w:szCs w:val="24"/>
        </w:rPr>
        <w:t>ó</w:t>
      </w:r>
      <w:r w:rsidR="00A93088">
        <w:rPr>
          <w:rFonts w:ascii="Arial" w:eastAsia="Arial" w:hAnsi="Arial" w:cs="Arial"/>
          <w:sz w:val="24"/>
          <w:szCs w:val="24"/>
        </w:rPr>
        <w:t xml:space="preserve"> notificar y correr traslado a la parte actora con las copias de la</w:t>
      </w:r>
      <w:r w:rsidR="0015307A">
        <w:rPr>
          <w:rFonts w:ascii="Arial" w:eastAsia="Arial" w:hAnsi="Arial" w:cs="Arial"/>
          <w:sz w:val="24"/>
          <w:szCs w:val="24"/>
        </w:rPr>
        <w:t xml:space="preserve"> contestación de </w:t>
      </w:r>
      <w:r w:rsidR="006B38A5">
        <w:rPr>
          <w:rFonts w:ascii="Arial" w:eastAsia="Arial" w:hAnsi="Arial" w:cs="Arial"/>
          <w:sz w:val="24"/>
          <w:szCs w:val="24"/>
        </w:rPr>
        <w:t>demanda y anexo</w:t>
      </w:r>
      <w:r w:rsidR="00A93088">
        <w:rPr>
          <w:rFonts w:ascii="Arial" w:eastAsia="Arial" w:hAnsi="Arial" w:cs="Arial"/>
          <w:sz w:val="24"/>
          <w:szCs w:val="24"/>
        </w:rPr>
        <w:t>, para los efectos legales a que hubiera l</w:t>
      </w:r>
      <w:r w:rsidR="006B38A5">
        <w:rPr>
          <w:rFonts w:ascii="Arial" w:eastAsia="Arial" w:hAnsi="Arial" w:cs="Arial"/>
          <w:sz w:val="24"/>
          <w:szCs w:val="24"/>
        </w:rPr>
        <w:t>ugar.</w:t>
      </w:r>
    </w:p>
    <w:p w14:paraId="009B201D" w14:textId="40DB4F68" w:rsidR="006B38A5" w:rsidRDefault="006B38A5">
      <w:pPr>
        <w:spacing w:line="360" w:lineRule="auto"/>
        <w:ind w:firstLine="709"/>
        <w:jc w:val="both"/>
        <w:rPr>
          <w:rFonts w:ascii="Arial" w:eastAsia="Arial" w:hAnsi="Arial" w:cs="Arial"/>
          <w:b/>
          <w:sz w:val="24"/>
          <w:szCs w:val="24"/>
        </w:rPr>
      </w:pPr>
      <w:r>
        <w:rPr>
          <w:rFonts w:ascii="Arial" w:eastAsia="Arial" w:hAnsi="Arial" w:cs="Arial"/>
          <w:b/>
          <w:sz w:val="24"/>
          <w:szCs w:val="24"/>
        </w:rPr>
        <w:t>TERCER</w:t>
      </w:r>
      <w:r w:rsidR="00692F6E">
        <w:rPr>
          <w:rFonts w:ascii="Arial" w:eastAsia="Arial" w:hAnsi="Arial" w:cs="Arial"/>
          <w:b/>
          <w:sz w:val="24"/>
          <w:szCs w:val="24"/>
        </w:rPr>
        <w:t>O</w:t>
      </w:r>
      <w:r w:rsidR="00A93088">
        <w:rPr>
          <w:rFonts w:ascii="Arial" w:eastAsia="Arial" w:hAnsi="Arial" w:cs="Arial"/>
          <w:b/>
          <w:sz w:val="24"/>
          <w:szCs w:val="24"/>
        </w:rPr>
        <w:t>.</w:t>
      </w:r>
      <w:r>
        <w:rPr>
          <w:rFonts w:ascii="Arial" w:eastAsia="Arial" w:hAnsi="Arial" w:cs="Arial"/>
          <w:b/>
          <w:sz w:val="24"/>
          <w:szCs w:val="24"/>
        </w:rPr>
        <w:t xml:space="preserve"> </w:t>
      </w:r>
      <w:r>
        <w:rPr>
          <w:rFonts w:ascii="Arial" w:hAnsi="Arial" w:cs="Arial"/>
          <w:bCs/>
          <w:sz w:val="24"/>
          <w:szCs w:val="24"/>
        </w:rPr>
        <w:t>Por acuerdo de veintiséis de abril de dos mil veintidós, se fijaron las once horas del uno de junio de dos mil veintidós; para la celebración de la audiencia final.</w:t>
      </w:r>
    </w:p>
    <w:p w14:paraId="38EE12A5" w14:textId="3ABD87F5" w:rsidR="006B38A5" w:rsidRPr="006B38A5" w:rsidRDefault="006B38A5" w:rsidP="006B38A5">
      <w:pPr>
        <w:spacing w:line="360" w:lineRule="auto"/>
        <w:ind w:firstLine="709"/>
        <w:jc w:val="both"/>
        <w:rPr>
          <w:rFonts w:ascii="Arial" w:hAnsi="Arial" w:cs="Arial"/>
          <w:sz w:val="24"/>
          <w:szCs w:val="24"/>
        </w:rPr>
      </w:pPr>
      <w:r>
        <w:rPr>
          <w:rFonts w:ascii="Arial" w:hAnsi="Arial" w:cs="Arial"/>
          <w:b/>
          <w:bCs/>
          <w:sz w:val="24"/>
          <w:szCs w:val="24"/>
        </w:rPr>
        <w:t xml:space="preserve">CUARTO. </w:t>
      </w:r>
      <w:r>
        <w:rPr>
          <w:rFonts w:ascii="Arial" w:hAnsi="Arial" w:cs="Arial"/>
          <w:sz w:val="24"/>
          <w:szCs w:val="24"/>
        </w:rPr>
        <w:t xml:space="preserve">El uno de junio de dos mil veintidós, </w:t>
      </w:r>
      <w:r w:rsidRPr="00240D1C">
        <w:rPr>
          <w:rFonts w:ascii="Arial" w:hAnsi="Arial" w:cs="Arial"/>
          <w:sz w:val="24"/>
          <w:szCs w:val="24"/>
        </w:rPr>
        <w:t>se llevó a cabo la audiencia final, sin comparecencia de las partes ni persona alguna que legalmente las representara</w:t>
      </w:r>
      <w:r>
        <w:rPr>
          <w:rFonts w:ascii="Arial" w:hAnsi="Arial" w:cs="Arial"/>
          <w:sz w:val="24"/>
          <w:szCs w:val="24"/>
        </w:rPr>
        <w:t xml:space="preserve">; </w:t>
      </w:r>
      <w:r w:rsidRPr="00240D1C">
        <w:rPr>
          <w:rFonts w:ascii="Arial" w:hAnsi="Arial" w:cs="Arial"/>
          <w:sz w:val="24"/>
          <w:szCs w:val="24"/>
        </w:rPr>
        <w:t xml:space="preserve">se desahogaron las pruebas de las partes, </w:t>
      </w:r>
      <w:r>
        <w:rPr>
          <w:rFonts w:ascii="Arial" w:hAnsi="Arial" w:cs="Arial"/>
          <w:sz w:val="24"/>
          <w:szCs w:val="24"/>
        </w:rPr>
        <w:t xml:space="preserve">y </w:t>
      </w:r>
      <w:r w:rsidRPr="007F121D">
        <w:rPr>
          <w:rFonts w:ascii="Arial" w:hAnsi="Arial" w:cs="Arial"/>
          <w:sz w:val="24"/>
          <w:szCs w:val="24"/>
        </w:rPr>
        <w:t>s</w:t>
      </w:r>
      <w:r>
        <w:rPr>
          <w:rFonts w:ascii="Arial" w:hAnsi="Arial" w:cs="Arial"/>
          <w:sz w:val="24"/>
          <w:szCs w:val="24"/>
        </w:rPr>
        <w:t>e abrió el periodo de alegatos en el que se hizo constar que ninguna de las partes formuló los mi</w:t>
      </w:r>
      <w:r w:rsidR="000B777B">
        <w:rPr>
          <w:rFonts w:ascii="Arial" w:hAnsi="Arial" w:cs="Arial"/>
          <w:sz w:val="24"/>
          <w:szCs w:val="24"/>
        </w:rPr>
        <w:t>s</w:t>
      </w:r>
      <w:r>
        <w:rPr>
          <w:rFonts w:ascii="Arial" w:hAnsi="Arial" w:cs="Arial"/>
          <w:sz w:val="24"/>
          <w:szCs w:val="24"/>
        </w:rPr>
        <w:t xml:space="preserve">mos, </w:t>
      </w:r>
      <w:r w:rsidRPr="007F121D">
        <w:rPr>
          <w:rFonts w:ascii="Arial" w:hAnsi="Arial" w:cs="Arial"/>
          <w:sz w:val="24"/>
          <w:szCs w:val="24"/>
        </w:rPr>
        <w:t xml:space="preserve">por lo que se declaró precluido </w:t>
      </w:r>
      <w:r>
        <w:rPr>
          <w:rFonts w:ascii="Arial" w:hAnsi="Arial" w:cs="Arial"/>
          <w:sz w:val="24"/>
          <w:szCs w:val="24"/>
        </w:rPr>
        <w:t xml:space="preserve">el </w:t>
      </w:r>
      <w:r w:rsidRPr="007F121D">
        <w:rPr>
          <w:rFonts w:ascii="Arial" w:hAnsi="Arial" w:cs="Arial"/>
          <w:sz w:val="24"/>
          <w:szCs w:val="24"/>
        </w:rPr>
        <w:t>derecho</w:t>
      </w:r>
      <w:r>
        <w:rPr>
          <w:rFonts w:ascii="Arial" w:hAnsi="Arial" w:cs="Arial"/>
          <w:sz w:val="24"/>
          <w:szCs w:val="24"/>
        </w:rPr>
        <w:t xml:space="preserve"> que tuvieron para hacerlo</w:t>
      </w:r>
      <w:r w:rsidRPr="00240D1C">
        <w:rPr>
          <w:rFonts w:ascii="Arial" w:hAnsi="Arial" w:cs="Arial"/>
          <w:sz w:val="24"/>
          <w:szCs w:val="24"/>
        </w:rPr>
        <w:t xml:space="preserve">, declarándose cerrada la etapa de instrucción; y, por último se citó </w:t>
      </w:r>
      <w:r>
        <w:rPr>
          <w:rFonts w:ascii="Arial" w:hAnsi="Arial" w:cs="Arial"/>
          <w:sz w:val="24"/>
          <w:szCs w:val="24"/>
        </w:rPr>
        <w:t>a las partes para oír sentencia</w:t>
      </w:r>
      <w:r>
        <w:rPr>
          <w:rFonts w:ascii="Arial" w:eastAsia="Arial" w:hAnsi="Arial" w:cs="Arial"/>
          <w:sz w:val="24"/>
          <w:szCs w:val="24"/>
        </w:rPr>
        <w:t xml:space="preserve">, misma que ahora se pronuncia.- - - - - - - - - - - - - - - - - - - - - - - - - - - - - - - - - - - - - - - - - - - - - - - - </w:t>
      </w:r>
    </w:p>
    <w:p w14:paraId="00000015" w14:textId="77777777" w:rsidR="002354BD" w:rsidRDefault="00A93088">
      <w:pPr>
        <w:spacing w:line="360" w:lineRule="auto"/>
        <w:ind w:firstLine="709"/>
        <w:jc w:val="center"/>
        <w:rPr>
          <w:rFonts w:ascii="Arial" w:eastAsia="Arial" w:hAnsi="Arial" w:cs="Arial"/>
          <w:b/>
          <w:sz w:val="24"/>
          <w:szCs w:val="24"/>
        </w:rPr>
      </w:pPr>
      <w:r>
        <w:rPr>
          <w:rFonts w:ascii="Arial" w:eastAsia="Arial" w:hAnsi="Arial" w:cs="Arial"/>
          <w:b/>
          <w:sz w:val="24"/>
          <w:szCs w:val="24"/>
        </w:rPr>
        <w:t>C O N S I D E R A N D O</w:t>
      </w:r>
    </w:p>
    <w:p w14:paraId="00000016" w14:textId="03FF26BD" w:rsidR="002354BD" w:rsidRDefault="00A93088">
      <w:pPr>
        <w:spacing w:line="360" w:lineRule="auto"/>
        <w:ind w:right="-93" w:firstLine="709"/>
        <w:jc w:val="both"/>
        <w:rPr>
          <w:rFonts w:ascii="Arial" w:eastAsia="Arial" w:hAnsi="Arial" w:cs="Arial"/>
          <w:sz w:val="24"/>
          <w:szCs w:val="24"/>
        </w:rPr>
      </w:pPr>
      <w:r>
        <w:rPr>
          <w:rFonts w:ascii="Arial" w:eastAsia="Arial" w:hAnsi="Arial" w:cs="Arial"/>
          <w:b/>
          <w:sz w:val="24"/>
          <w:szCs w:val="24"/>
        </w:rPr>
        <w:t xml:space="preserve">PRIMERO. </w:t>
      </w:r>
      <w:r w:rsidR="0088172E">
        <w:rPr>
          <w:rFonts w:ascii="Arial" w:eastAsia="Arial" w:hAnsi="Arial" w:cs="Arial"/>
          <w:b/>
          <w:sz w:val="24"/>
          <w:szCs w:val="24"/>
        </w:rPr>
        <w:t xml:space="preserve">Competencia. </w:t>
      </w:r>
      <w:r>
        <w:rPr>
          <w:rFonts w:ascii="Arial" w:eastAsia="Arial" w:hAnsi="Arial" w:cs="Arial"/>
          <w:sz w:val="24"/>
          <w:szCs w:val="24"/>
        </w:rPr>
        <w:t xml:space="preserve">Esta Sexta Sala Unitaria del Tribunal de Justicia Administrativa del Estado de Oaxaca, </w:t>
      </w:r>
      <w:r>
        <w:rPr>
          <w:rFonts w:ascii="Arial" w:eastAsia="Arial" w:hAnsi="Arial" w:cs="Arial"/>
          <w:b/>
          <w:sz w:val="24"/>
          <w:szCs w:val="24"/>
        </w:rPr>
        <w:t>es competente</w:t>
      </w:r>
      <w:r>
        <w:rPr>
          <w:rFonts w:ascii="Arial" w:eastAsia="Arial" w:hAnsi="Arial" w:cs="Arial"/>
          <w:sz w:val="24"/>
          <w:szCs w:val="24"/>
        </w:rPr>
        <w:t xml:space="preserve"> para conocer del presente asunto en términos de lo dispuesto por </w:t>
      </w:r>
      <w:r>
        <w:rPr>
          <w:rFonts w:ascii="Arial" w:eastAsia="Arial" w:hAnsi="Arial" w:cs="Arial"/>
          <w:color w:val="000000"/>
          <w:sz w:val="24"/>
          <w:szCs w:val="24"/>
        </w:rPr>
        <w:t>los artículos 116 fracción V de la Constitución Política de los Estados Unidos Mexicanos, 114 QUÁTER de la Constitución Política del Estado Libre y Soberano de Oaxaca; 1 párrafo segundo, 2 párrafos primero y cuarto, 4 fracción VIII, 33, 35 fracción I y 36 fracción I de la Ley Orgánica del Tribunal de Justicia Administrativa del Estado de Oaxaca, publicada en el Periódico Oficial del Estado de Oaxaca, el siete de noviembre de dos mil diecinueve; así como los diversos 118, 119, 120 fracción I y 133 fracción I de la Ley de Procedimiento y Justicia Administrativa para el Estado de Oaxaca</w:t>
      </w:r>
      <w:r>
        <w:rPr>
          <w:rFonts w:ascii="Arial" w:eastAsia="Arial" w:hAnsi="Arial" w:cs="Arial"/>
          <w:sz w:val="24"/>
          <w:szCs w:val="24"/>
        </w:rPr>
        <w:t xml:space="preserve">, por tratarse de un juicio de nulidad promovido en contra de una autoridad administrativa de </w:t>
      </w:r>
      <w:r>
        <w:rPr>
          <w:rFonts w:ascii="Arial" w:eastAsia="Arial" w:hAnsi="Arial" w:cs="Arial"/>
          <w:b/>
          <w:sz w:val="24"/>
          <w:szCs w:val="24"/>
        </w:rPr>
        <w:t>carácter estatal</w:t>
      </w:r>
      <w:r>
        <w:rPr>
          <w:rFonts w:ascii="Arial" w:eastAsia="Arial" w:hAnsi="Arial" w:cs="Arial"/>
          <w:sz w:val="24"/>
          <w:szCs w:val="24"/>
        </w:rPr>
        <w:t>.</w:t>
      </w:r>
    </w:p>
    <w:p w14:paraId="00000017" w14:textId="790464DE" w:rsidR="002354BD" w:rsidRDefault="00A93088" w:rsidP="00B46826">
      <w:pPr>
        <w:spacing w:line="360" w:lineRule="auto"/>
        <w:ind w:right="-93" w:firstLine="709"/>
        <w:jc w:val="both"/>
        <w:rPr>
          <w:rFonts w:ascii="Arial" w:eastAsia="Arial" w:hAnsi="Arial" w:cs="Arial"/>
          <w:sz w:val="24"/>
          <w:szCs w:val="24"/>
        </w:rPr>
      </w:pPr>
      <w:r w:rsidRPr="0088172E">
        <w:rPr>
          <w:rFonts w:ascii="Arial" w:eastAsia="Arial" w:hAnsi="Arial" w:cs="Arial"/>
          <w:b/>
          <w:sz w:val="24"/>
          <w:szCs w:val="24"/>
        </w:rPr>
        <w:t>SEGUNDO</w:t>
      </w:r>
      <w:r>
        <w:rPr>
          <w:rFonts w:ascii="Arial" w:eastAsia="Arial" w:hAnsi="Arial" w:cs="Arial"/>
          <w:b/>
          <w:sz w:val="24"/>
          <w:szCs w:val="24"/>
        </w:rPr>
        <w:t xml:space="preserve">. </w:t>
      </w:r>
      <w:r w:rsidR="0088172E">
        <w:rPr>
          <w:rFonts w:ascii="Arial" w:eastAsia="Arial" w:hAnsi="Arial" w:cs="Arial"/>
          <w:b/>
          <w:sz w:val="24"/>
          <w:szCs w:val="24"/>
        </w:rPr>
        <w:t xml:space="preserve">Personalidad. </w:t>
      </w:r>
      <w:r>
        <w:rPr>
          <w:rFonts w:ascii="Arial" w:eastAsia="Arial" w:hAnsi="Arial" w:cs="Arial"/>
          <w:sz w:val="24"/>
          <w:szCs w:val="24"/>
        </w:rPr>
        <w:t xml:space="preserve">La </w:t>
      </w:r>
      <w:r>
        <w:rPr>
          <w:rFonts w:ascii="Arial" w:eastAsia="Arial" w:hAnsi="Arial" w:cs="Arial"/>
          <w:b/>
          <w:sz w:val="24"/>
          <w:szCs w:val="24"/>
        </w:rPr>
        <w:t xml:space="preserve">personalidad </w:t>
      </w:r>
      <w:r w:rsidR="0088172E">
        <w:rPr>
          <w:rFonts w:ascii="Arial" w:eastAsia="Arial" w:hAnsi="Arial" w:cs="Arial"/>
          <w:sz w:val="24"/>
          <w:szCs w:val="24"/>
        </w:rPr>
        <w:t xml:space="preserve">de la parte actora quedó acreditada en términos del artículo 148 de la Ley de Procedimiento y Justicia Administrativa para el Estado, en virtud de que </w:t>
      </w:r>
      <w:r w:rsidR="0021493A">
        <w:rPr>
          <w:rFonts w:ascii="Arial" w:eastAsia="Arial" w:hAnsi="Arial" w:cs="Arial"/>
          <w:b/>
          <w:color w:val="FF0000"/>
          <w:sz w:val="24"/>
          <w:szCs w:val="24"/>
        </w:rPr>
        <w:t>**********</w:t>
      </w:r>
      <w:r w:rsidR="0088172E" w:rsidRPr="006279C8">
        <w:rPr>
          <w:rFonts w:ascii="Arial" w:eastAsia="Arial" w:hAnsi="Arial" w:cs="Arial"/>
          <w:b/>
          <w:color w:val="FF0000"/>
          <w:sz w:val="24"/>
          <w:szCs w:val="24"/>
        </w:rPr>
        <w:t xml:space="preserve"> </w:t>
      </w:r>
      <w:r w:rsidR="0088172E">
        <w:rPr>
          <w:rFonts w:ascii="Arial" w:eastAsia="Arial" w:hAnsi="Arial" w:cs="Arial"/>
          <w:sz w:val="24"/>
          <w:szCs w:val="24"/>
        </w:rPr>
        <w:t xml:space="preserve">promovió el juicio por </w:t>
      </w:r>
      <w:r w:rsidR="0088172E">
        <w:rPr>
          <w:rFonts w:ascii="Arial" w:eastAsia="Arial" w:hAnsi="Arial" w:cs="Arial"/>
          <w:sz w:val="24"/>
          <w:szCs w:val="24"/>
        </w:rPr>
        <w:lastRenderedPageBreak/>
        <w:t>propio derecho</w:t>
      </w:r>
      <w:r w:rsidR="00B46826">
        <w:rPr>
          <w:rFonts w:ascii="Arial" w:eastAsia="Arial" w:hAnsi="Arial" w:cs="Arial"/>
          <w:sz w:val="24"/>
          <w:szCs w:val="24"/>
        </w:rPr>
        <w:t xml:space="preserve">; y </w:t>
      </w:r>
      <w:r w:rsidR="00845124">
        <w:rPr>
          <w:rFonts w:ascii="Arial" w:eastAsia="Arial" w:hAnsi="Arial" w:cs="Arial"/>
          <w:sz w:val="24"/>
          <w:szCs w:val="24"/>
        </w:rPr>
        <w:t xml:space="preserve">la personalidad </w:t>
      </w:r>
      <w:r>
        <w:rPr>
          <w:rFonts w:ascii="Arial" w:eastAsia="Arial" w:hAnsi="Arial" w:cs="Arial"/>
          <w:sz w:val="24"/>
          <w:szCs w:val="24"/>
        </w:rPr>
        <w:t xml:space="preserve">de la </w:t>
      </w:r>
      <w:r>
        <w:rPr>
          <w:rFonts w:ascii="Arial" w:eastAsia="Arial" w:hAnsi="Arial" w:cs="Arial"/>
          <w:b/>
          <w:sz w:val="24"/>
          <w:szCs w:val="24"/>
        </w:rPr>
        <w:t>autoridad demandada</w:t>
      </w:r>
      <w:r>
        <w:rPr>
          <w:rFonts w:ascii="Arial" w:eastAsia="Arial" w:hAnsi="Arial" w:cs="Arial"/>
          <w:sz w:val="24"/>
          <w:szCs w:val="24"/>
        </w:rPr>
        <w:t xml:space="preserve"> no fue impugnada, acreditándose así en términos del artículo 151</w:t>
      </w:r>
      <w:r>
        <w:rPr>
          <w:rFonts w:ascii="Arial" w:eastAsia="Arial" w:hAnsi="Arial" w:cs="Arial"/>
          <w:sz w:val="24"/>
          <w:szCs w:val="24"/>
          <w:vertAlign w:val="superscript"/>
        </w:rPr>
        <w:footnoteReference w:id="1"/>
      </w:r>
      <w:r>
        <w:rPr>
          <w:rFonts w:ascii="Arial" w:eastAsia="Arial" w:hAnsi="Arial" w:cs="Arial"/>
          <w:sz w:val="24"/>
          <w:szCs w:val="24"/>
        </w:rPr>
        <w:t xml:space="preserve"> de la Ley en cita.</w:t>
      </w:r>
    </w:p>
    <w:p w14:paraId="00000018" w14:textId="77777777" w:rsidR="002354BD" w:rsidRDefault="00A93088">
      <w:pPr>
        <w:spacing w:line="360" w:lineRule="auto"/>
        <w:ind w:right="51" w:firstLine="567"/>
        <w:jc w:val="both"/>
        <w:rPr>
          <w:rFonts w:ascii="Arial" w:eastAsia="Arial" w:hAnsi="Arial" w:cs="Arial"/>
          <w:sz w:val="24"/>
          <w:szCs w:val="24"/>
        </w:rPr>
      </w:pPr>
      <w:r>
        <w:rPr>
          <w:rFonts w:ascii="Arial" w:eastAsia="Arial" w:hAnsi="Arial" w:cs="Arial"/>
          <w:b/>
          <w:sz w:val="24"/>
          <w:szCs w:val="24"/>
        </w:rPr>
        <w:t>TERCERO. Causales de Improcedencia y Sobreseimiento</w:t>
      </w:r>
      <w:r>
        <w:rPr>
          <w:rFonts w:ascii="Arial" w:eastAsia="Arial" w:hAnsi="Arial" w:cs="Arial"/>
          <w:sz w:val="24"/>
          <w:szCs w:val="24"/>
        </w:rPr>
        <w:t>. Ahora bien, las causales de improcedencia y sobreseimiento tienen el carácter de presupuestos procesales que deben colmarse previo al dictado de la determinación de fondo; es así, ya que el análisis de las pretensiones solo puede emprenderse si el proceso se ha tramitado conforme a los lineamientos establecidos en la Ley, de lo contrario el juzgador se vería impedido para resolver la controversia sometida a su jurisdicción. Esto, porque conforme al artículo 17 párrafo segundo de la Constitución Política de los Estados Unidos Mexicanos</w:t>
      </w:r>
      <w:r>
        <w:rPr>
          <w:rFonts w:ascii="Arial" w:eastAsia="Arial" w:hAnsi="Arial" w:cs="Arial"/>
          <w:sz w:val="24"/>
          <w:szCs w:val="24"/>
          <w:vertAlign w:val="superscript"/>
        </w:rPr>
        <w:footnoteReference w:id="2"/>
      </w:r>
      <w:r>
        <w:rPr>
          <w:rFonts w:ascii="Arial" w:eastAsia="Arial" w:hAnsi="Arial" w:cs="Arial"/>
          <w:sz w:val="24"/>
          <w:szCs w:val="24"/>
        </w:rPr>
        <w:t>, es el deber de las autoridades ajustarse a los mecanismos jurídicos establecidos por el legislador para el ejercicio de jurisdicción.</w:t>
      </w:r>
    </w:p>
    <w:p w14:paraId="7FBE0665" w14:textId="717170FA" w:rsidR="00323CFE" w:rsidRPr="00323CFE" w:rsidRDefault="00A93088" w:rsidP="00703BC3">
      <w:pPr>
        <w:spacing w:line="360" w:lineRule="auto"/>
        <w:ind w:right="-93" w:firstLine="709"/>
        <w:jc w:val="both"/>
        <w:rPr>
          <w:rFonts w:ascii="Arial" w:hAnsi="Arial" w:cs="Arial"/>
          <w:sz w:val="24"/>
          <w:szCs w:val="24"/>
        </w:rPr>
      </w:pPr>
      <w:r>
        <w:rPr>
          <w:rFonts w:ascii="Arial" w:eastAsia="Arial" w:hAnsi="Arial" w:cs="Arial"/>
          <w:sz w:val="24"/>
          <w:szCs w:val="24"/>
        </w:rPr>
        <w:t>Por esta razón, se estima que las causales de improcedencia y sobreseimiento del juicio, al ser de orden público, debe estudiarse de oficio aun cuando las partes no lo hayan propuesto a la resolutora, ya que, de actualizarse las hipótesis normativas, ello impide la resolución de fondo del asunto y deberá decretarse su sobreseimiento, en términos de los artículos 161 y 162, de la Ley de la</w:t>
      </w:r>
      <w:r w:rsidR="00323CFE">
        <w:rPr>
          <w:rFonts w:ascii="Arial" w:eastAsia="Arial" w:hAnsi="Arial" w:cs="Arial"/>
          <w:sz w:val="24"/>
          <w:szCs w:val="24"/>
        </w:rPr>
        <w:t xml:space="preserve"> materia; </w:t>
      </w:r>
      <w:r w:rsidR="00703BC3">
        <w:rPr>
          <w:rFonts w:ascii="Arial" w:eastAsia="Arial" w:hAnsi="Arial" w:cs="Arial"/>
          <w:b/>
          <w:sz w:val="24"/>
          <w:szCs w:val="24"/>
        </w:rPr>
        <w:t xml:space="preserve">sin embargo, </w:t>
      </w:r>
      <w:r w:rsidR="00323CFE" w:rsidRPr="00240D1C">
        <w:rPr>
          <w:rFonts w:ascii="Arial" w:hAnsi="Arial" w:cs="Arial"/>
          <w:sz w:val="24"/>
          <w:szCs w:val="24"/>
        </w:rPr>
        <w:t xml:space="preserve">esta Sala advierte que en el presente caso concreto no se actualiza </w:t>
      </w:r>
      <w:r w:rsidR="004B0416">
        <w:rPr>
          <w:rFonts w:ascii="Arial" w:hAnsi="Arial" w:cs="Arial"/>
          <w:sz w:val="24"/>
          <w:szCs w:val="24"/>
        </w:rPr>
        <w:t xml:space="preserve">ninguna </w:t>
      </w:r>
      <w:r w:rsidR="00323CFE" w:rsidRPr="00240D1C">
        <w:rPr>
          <w:rFonts w:ascii="Arial" w:hAnsi="Arial" w:cs="Arial"/>
          <w:sz w:val="24"/>
          <w:szCs w:val="24"/>
        </w:rPr>
        <w:t xml:space="preserve">causal de improcedencia ni sobreseimiento, consecuentemente, </w:t>
      </w:r>
      <w:r w:rsidR="00323CFE" w:rsidRPr="00240D1C">
        <w:rPr>
          <w:rFonts w:ascii="Arial" w:hAnsi="Arial" w:cs="Arial"/>
          <w:b/>
          <w:sz w:val="24"/>
          <w:szCs w:val="24"/>
        </w:rPr>
        <w:t>NO SE SOBRESEE</w:t>
      </w:r>
      <w:r w:rsidR="00323CFE">
        <w:rPr>
          <w:rFonts w:ascii="Arial" w:hAnsi="Arial" w:cs="Arial"/>
          <w:sz w:val="24"/>
          <w:szCs w:val="24"/>
        </w:rPr>
        <w:t xml:space="preserve"> </w:t>
      </w:r>
      <w:r w:rsidR="00323CFE" w:rsidRPr="00323CFE">
        <w:rPr>
          <w:rFonts w:ascii="Arial" w:hAnsi="Arial" w:cs="Arial"/>
          <w:b/>
          <w:sz w:val="24"/>
          <w:szCs w:val="24"/>
        </w:rPr>
        <w:t>EL JUICIO.</w:t>
      </w:r>
    </w:p>
    <w:p w14:paraId="4E8D9DAA" w14:textId="119FDC55" w:rsidR="004E4D1B" w:rsidRDefault="00A93088" w:rsidP="00703BC3">
      <w:pPr>
        <w:spacing w:line="360" w:lineRule="auto"/>
        <w:ind w:right="-93" w:firstLine="709"/>
        <w:jc w:val="both"/>
        <w:rPr>
          <w:rFonts w:ascii="Arial" w:eastAsia="Arial" w:hAnsi="Arial" w:cs="Arial"/>
          <w:sz w:val="24"/>
          <w:szCs w:val="24"/>
        </w:rPr>
      </w:pPr>
      <w:r>
        <w:rPr>
          <w:rFonts w:ascii="Arial" w:eastAsia="Arial" w:hAnsi="Arial" w:cs="Arial"/>
          <w:b/>
          <w:sz w:val="24"/>
          <w:szCs w:val="24"/>
        </w:rPr>
        <w:t xml:space="preserve">CUARTO. </w:t>
      </w:r>
      <w:r>
        <w:rPr>
          <w:rFonts w:ascii="Arial" w:eastAsia="Arial" w:hAnsi="Arial" w:cs="Arial"/>
          <w:sz w:val="24"/>
          <w:szCs w:val="24"/>
        </w:rPr>
        <w:t xml:space="preserve">No se transcriben los conceptos de impugnación vertidos, mismos que se tienen por reproducidos en este apartado, ya que con ello no se vulnera disposición expresa alguna de la Ley de Procedimiento y Justicia Administrativa para el Estado de Oaxaca, que imponga tal obligación, ni se trasgrede derecho alguno de las partes. </w:t>
      </w:r>
    </w:p>
    <w:p w14:paraId="599D1162" w14:textId="77777777" w:rsidR="004E4D1B" w:rsidRDefault="004E4D1B" w:rsidP="004E4D1B">
      <w:pPr>
        <w:spacing w:line="360" w:lineRule="auto"/>
        <w:ind w:right="51" w:firstLine="567"/>
        <w:jc w:val="both"/>
        <w:rPr>
          <w:rFonts w:ascii="Arial" w:eastAsia="Arial" w:hAnsi="Arial" w:cs="Arial"/>
          <w:color w:val="000000"/>
          <w:sz w:val="24"/>
          <w:szCs w:val="24"/>
        </w:rPr>
      </w:pPr>
      <w:r>
        <w:rPr>
          <w:rFonts w:ascii="Arial" w:eastAsia="Arial" w:hAnsi="Arial" w:cs="Arial"/>
          <w:color w:val="000000"/>
          <w:sz w:val="24"/>
          <w:szCs w:val="24"/>
        </w:rPr>
        <w:t>Sirve de apoyo a lo anterior la jurisprudencia de datos, rubro y texto siguientes:</w:t>
      </w:r>
    </w:p>
    <w:p w14:paraId="79B0B0BE" w14:textId="77777777" w:rsidR="004E4D1B" w:rsidRDefault="004E4D1B" w:rsidP="004E4D1B">
      <w:pPr>
        <w:spacing w:after="0" w:line="240" w:lineRule="auto"/>
        <w:ind w:left="567" w:right="332"/>
        <w:jc w:val="both"/>
        <w:rPr>
          <w:rFonts w:ascii="Arial" w:eastAsia="Arial" w:hAnsi="Arial" w:cs="Arial"/>
          <w:color w:val="000000"/>
        </w:rPr>
      </w:pPr>
      <w:r>
        <w:rPr>
          <w:rFonts w:ascii="Arial" w:eastAsia="Arial" w:hAnsi="Arial" w:cs="Arial"/>
          <w:b/>
          <w:bCs/>
          <w:color w:val="000000"/>
        </w:rPr>
        <w:t xml:space="preserve">Registro digital: </w:t>
      </w:r>
      <w:r>
        <w:rPr>
          <w:rFonts w:ascii="Arial" w:eastAsia="Arial" w:hAnsi="Arial" w:cs="Arial"/>
          <w:color w:val="000000"/>
        </w:rPr>
        <w:t>164618</w:t>
      </w:r>
    </w:p>
    <w:p w14:paraId="0A79688E" w14:textId="77777777" w:rsidR="004E4D1B" w:rsidRDefault="004E4D1B" w:rsidP="004E4D1B">
      <w:pPr>
        <w:spacing w:after="0" w:line="240" w:lineRule="auto"/>
        <w:ind w:left="567" w:right="332"/>
        <w:jc w:val="both"/>
        <w:rPr>
          <w:rFonts w:ascii="Arial" w:eastAsia="Arial" w:hAnsi="Arial" w:cs="Arial"/>
          <w:color w:val="000000"/>
        </w:rPr>
      </w:pPr>
      <w:r>
        <w:rPr>
          <w:rFonts w:ascii="Arial" w:eastAsia="Arial" w:hAnsi="Arial" w:cs="Arial"/>
          <w:b/>
          <w:bCs/>
          <w:color w:val="000000"/>
        </w:rPr>
        <w:t xml:space="preserve">Instancia: </w:t>
      </w:r>
      <w:r>
        <w:rPr>
          <w:rFonts w:ascii="Arial" w:eastAsia="Arial" w:hAnsi="Arial" w:cs="Arial"/>
          <w:color w:val="000000"/>
        </w:rPr>
        <w:t>Segunda Sala</w:t>
      </w:r>
    </w:p>
    <w:p w14:paraId="6EACC90E" w14:textId="77777777" w:rsidR="004E4D1B" w:rsidRDefault="004E4D1B" w:rsidP="004E4D1B">
      <w:pPr>
        <w:spacing w:after="0" w:line="240" w:lineRule="auto"/>
        <w:ind w:left="567" w:right="332"/>
        <w:jc w:val="both"/>
        <w:rPr>
          <w:rFonts w:ascii="Arial" w:eastAsia="Arial" w:hAnsi="Arial" w:cs="Arial"/>
          <w:color w:val="000000"/>
        </w:rPr>
      </w:pPr>
      <w:r>
        <w:rPr>
          <w:rFonts w:ascii="Arial" w:eastAsia="Arial" w:hAnsi="Arial" w:cs="Arial"/>
          <w:b/>
          <w:bCs/>
          <w:color w:val="000000"/>
        </w:rPr>
        <w:t>Novena Época</w:t>
      </w:r>
    </w:p>
    <w:p w14:paraId="75AA0423" w14:textId="77777777" w:rsidR="004E4D1B" w:rsidRDefault="004E4D1B" w:rsidP="004E4D1B">
      <w:pPr>
        <w:spacing w:after="0" w:line="240" w:lineRule="auto"/>
        <w:ind w:left="567" w:right="332"/>
        <w:jc w:val="both"/>
        <w:rPr>
          <w:rFonts w:ascii="Arial" w:eastAsia="Arial" w:hAnsi="Arial" w:cs="Arial"/>
          <w:color w:val="000000"/>
        </w:rPr>
      </w:pPr>
      <w:r>
        <w:rPr>
          <w:rFonts w:ascii="Arial" w:eastAsia="Arial" w:hAnsi="Arial" w:cs="Arial"/>
          <w:b/>
          <w:bCs/>
          <w:color w:val="000000"/>
        </w:rPr>
        <w:t xml:space="preserve">Materia(s): </w:t>
      </w:r>
      <w:r>
        <w:rPr>
          <w:rFonts w:ascii="Arial" w:eastAsia="Arial" w:hAnsi="Arial" w:cs="Arial"/>
          <w:color w:val="000000"/>
        </w:rPr>
        <w:t>Común</w:t>
      </w:r>
    </w:p>
    <w:p w14:paraId="166D9BD8" w14:textId="77777777" w:rsidR="004E4D1B" w:rsidRDefault="004E4D1B" w:rsidP="004E4D1B">
      <w:pPr>
        <w:spacing w:after="0" w:line="240" w:lineRule="auto"/>
        <w:ind w:left="567" w:right="332"/>
        <w:jc w:val="both"/>
        <w:rPr>
          <w:rFonts w:ascii="Arial" w:eastAsia="Arial" w:hAnsi="Arial" w:cs="Arial"/>
          <w:color w:val="000000"/>
        </w:rPr>
      </w:pPr>
      <w:r>
        <w:rPr>
          <w:rFonts w:ascii="Arial" w:eastAsia="Arial" w:hAnsi="Arial" w:cs="Arial"/>
          <w:b/>
          <w:bCs/>
          <w:color w:val="000000"/>
        </w:rPr>
        <w:t xml:space="preserve">Tesis: </w:t>
      </w:r>
      <w:r>
        <w:rPr>
          <w:rFonts w:ascii="Arial" w:eastAsia="Arial" w:hAnsi="Arial" w:cs="Arial"/>
          <w:color w:val="000000"/>
        </w:rPr>
        <w:t>2a./J. 58/2010</w:t>
      </w:r>
    </w:p>
    <w:p w14:paraId="06005AF4" w14:textId="77777777" w:rsidR="004E4D1B" w:rsidRDefault="004E4D1B" w:rsidP="004E4D1B">
      <w:pPr>
        <w:spacing w:after="0" w:line="240" w:lineRule="auto"/>
        <w:ind w:left="567" w:right="332"/>
        <w:jc w:val="both"/>
        <w:rPr>
          <w:rFonts w:ascii="Arial" w:eastAsia="Arial" w:hAnsi="Arial" w:cs="Arial"/>
          <w:color w:val="000000"/>
        </w:rPr>
      </w:pPr>
      <w:r>
        <w:rPr>
          <w:rFonts w:ascii="Arial" w:eastAsia="Arial" w:hAnsi="Arial" w:cs="Arial"/>
          <w:b/>
          <w:bCs/>
          <w:color w:val="000000"/>
        </w:rPr>
        <w:lastRenderedPageBreak/>
        <w:t xml:space="preserve">Fuente: </w:t>
      </w:r>
      <w:r>
        <w:rPr>
          <w:rFonts w:ascii="Arial" w:eastAsia="Arial" w:hAnsi="Arial" w:cs="Arial"/>
          <w:color w:val="000000"/>
        </w:rPr>
        <w:t>Semanario Judicial de la Federación y su Gaceta.</w:t>
      </w:r>
      <w:r>
        <w:rPr>
          <w:rFonts w:ascii="Arial" w:eastAsia="Arial" w:hAnsi="Arial" w:cs="Arial"/>
          <w:color w:val="000000"/>
        </w:rPr>
        <w:br/>
        <w:t>Tomo XXXI, Mayo de 2010, página 830</w:t>
      </w:r>
    </w:p>
    <w:p w14:paraId="56ADFFEE" w14:textId="77777777" w:rsidR="004E4D1B" w:rsidRDefault="004E4D1B" w:rsidP="004E4D1B">
      <w:pPr>
        <w:spacing w:after="0" w:line="240" w:lineRule="auto"/>
        <w:ind w:left="567" w:right="332"/>
        <w:jc w:val="both"/>
        <w:rPr>
          <w:rFonts w:ascii="Arial" w:eastAsia="Arial" w:hAnsi="Arial" w:cs="Arial"/>
          <w:color w:val="000000"/>
        </w:rPr>
      </w:pPr>
    </w:p>
    <w:p w14:paraId="6C403DA0" w14:textId="77777777" w:rsidR="004E4D1B" w:rsidRDefault="004E4D1B" w:rsidP="004E4D1B">
      <w:pPr>
        <w:spacing w:after="0" w:line="240" w:lineRule="auto"/>
        <w:ind w:left="567" w:right="332"/>
        <w:jc w:val="both"/>
        <w:rPr>
          <w:rFonts w:ascii="Arial" w:eastAsia="Arial" w:hAnsi="Arial" w:cs="Arial"/>
          <w:b/>
          <w:bCs/>
          <w:color w:val="000000"/>
        </w:rPr>
      </w:pPr>
      <w:r>
        <w:rPr>
          <w:rFonts w:ascii="Arial" w:eastAsia="Arial" w:hAnsi="Arial" w:cs="Arial"/>
          <w:b/>
          <w:bCs/>
          <w:color w:val="000000"/>
        </w:rPr>
        <w:t>CONCEPTOS DE VIOLACIÓN O AGRAVIOS. PARA CUMPLIR CON LOS PRINCIPIOS DE CONGRUENCIA Y EXHAUSTIVIDAD EN LAS SENTENCIAS DE AMPARO ES INNECESARIA SU TRANSCRIPCIÓN.</w:t>
      </w:r>
    </w:p>
    <w:p w14:paraId="7789201A" w14:textId="77777777" w:rsidR="004E4D1B" w:rsidRDefault="004E4D1B" w:rsidP="004E4D1B">
      <w:pPr>
        <w:spacing w:after="0" w:line="240" w:lineRule="auto"/>
        <w:ind w:left="567" w:right="332"/>
        <w:jc w:val="both"/>
        <w:rPr>
          <w:rFonts w:ascii="Arial" w:eastAsia="Arial" w:hAnsi="Arial" w:cs="Arial"/>
          <w:b/>
          <w:bCs/>
          <w:color w:val="000000"/>
        </w:rPr>
      </w:pPr>
    </w:p>
    <w:p w14:paraId="62A184BF" w14:textId="77777777" w:rsidR="004E4D1B" w:rsidRDefault="004E4D1B" w:rsidP="004E4D1B">
      <w:pPr>
        <w:spacing w:after="0" w:line="240" w:lineRule="auto"/>
        <w:ind w:left="567" w:right="332"/>
        <w:jc w:val="both"/>
        <w:rPr>
          <w:rFonts w:ascii="Arial" w:eastAsia="Arial" w:hAnsi="Arial" w:cs="Arial"/>
          <w:color w:val="000000"/>
        </w:rPr>
      </w:pPr>
      <w:r>
        <w:rPr>
          <w:rFonts w:ascii="Arial" w:eastAsia="Arial" w:hAnsi="Arial" w:cs="Arial"/>
          <w:color w:val="000000"/>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14:paraId="696E849A" w14:textId="77777777" w:rsidR="004E4D1B" w:rsidRDefault="004E4D1B" w:rsidP="004E4D1B">
      <w:pPr>
        <w:spacing w:after="0" w:line="240" w:lineRule="auto"/>
        <w:ind w:left="567" w:right="332"/>
        <w:jc w:val="both"/>
        <w:rPr>
          <w:rFonts w:ascii="Arial" w:eastAsia="Arial" w:hAnsi="Arial" w:cs="Arial"/>
          <w:color w:val="000000"/>
        </w:rPr>
      </w:pPr>
    </w:p>
    <w:p w14:paraId="4FE1F364" w14:textId="77777777" w:rsidR="004E4D1B" w:rsidRDefault="004E4D1B" w:rsidP="004E4D1B">
      <w:pPr>
        <w:spacing w:after="0" w:line="240" w:lineRule="auto"/>
        <w:ind w:left="567" w:right="332"/>
        <w:jc w:val="both"/>
        <w:rPr>
          <w:rFonts w:ascii="Arial" w:eastAsia="Arial" w:hAnsi="Arial" w:cs="Arial"/>
          <w:color w:val="000000"/>
        </w:rPr>
      </w:pPr>
      <w:r>
        <w:rPr>
          <w:rFonts w:ascii="Arial" w:eastAsia="Arial" w:hAnsi="Arial" w:cs="Arial"/>
          <w:color w:val="000000"/>
        </w:rPr>
        <w:t>Contradicción de tesis 50/2010. Entre las sustentadas por los Tribunales Colegiados Segundo del Noveno Circuito, Primero en Materias Civil y de Trabajo del Décimo Séptimo Circuito y Segundo en Materias Penal y Administrativa del Vigésimo Primer Circuito. 21 de abril de 2010. Unanimidad de cuatro votos. Ausente: Margarita Beatriz Luna Ramos. Ponente: Sergio Salvador Aguirre Anguiano. Secretario: Arnulfo Moreno Flores.</w:t>
      </w:r>
    </w:p>
    <w:p w14:paraId="2A432F4D" w14:textId="77777777" w:rsidR="004E4D1B" w:rsidRDefault="004E4D1B" w:rsidP="004E4D1B">
      <w:pPr>
        <w:spacing w:after="0" w:line="240" w:lineRule="auto"/>
        <w:ind w:left="567" w:right="332"/>
        <w:jc w:val="both"/>
        <w:rPr>
          <w:rFonts w:ascii="Arial" w:eastAsia="Arial" w:hAnsi="Arial" w:cs="Arial"/>
          <w:color w:val="000000"/>
        </w:rPr>
      </w:pPr>
    </w:p>
    <w:p w14:paraId="6E7A6CFE" w14:textId="77777777" w:rsidR="004E4D1B" w:rsidRDefault="004E4D1B" w:rsidP="004E4D1B">
      <w:pPr>
        <w:spacing w:after="0" w:line="240" w:lineRule="auto"/>
        <w:ind w:left="567" w:right="332"/>
        <w:jc w:val="both"/>
        <w:rPr>
          <w:rFonts w:ascii="Arial" w:eastAsia="Arial" w:hAnsi="Arial" w:cs="Arial"/>
          <w:color w:val="000000"/>
        </w:rPr>
      </w:pPr>
      <w:r>
        <w:rPr>
          <w:rFonts w:ascii="Arial" w:eastAsia="Arial" w:hAnsi="Arial" w:cs="Arial"/>
          <w:color w:val="000000"/>
        </w:rPr>
        <w:t>Tesis de jurisprudencia 58/2010. Aprobada por la Segunda Sala de este Alto Tribunal, en sesión privada del doce de mayo de dos mil diez.</w:t>
      </w:r>
    </w:p>
    <w:p w14:paraId="00000026" w14:textId="77777777" w:rsidR="002354BD" w:rsidRDefault="002354BD">
      <w:pPr>
        <w:spacing w:after="0" w:line="360" w:lineRule="auto"/>
        <w:ind w:right="-93"/>
        <w:jc w:val="both"/>
        <w:rPr>
          <w:rFonts w:ascii="Arial" w:eastAsia="Arial" w:hAnsi="Arial" w:cs="Arial"/>
          <w:b/>
          <w:sz w:val="24"/>
          <w:szCs w:val="24"/>
        </w:rPr>
      </w:pPr>
    </w:p>
    <w:p w14:paraId="00000027" w14:textId="69FBDDA3" w:rsidR="002354BD" w:rsidRDefault="00A93088" w:rsidP="00C96414">
      <w:pPr>
        <w:spacing w:line="360" w:lineRule="auto"/>
        <w:ind w:right="-93" w:firstLine="709"/>
        <w:jc w:val="both"/>
        <w:rPr>
          <w:rFonts w:ascii="Arial" w:eastAsia="Arial" w:hAnsi="Arial" w:cs="Arial"/>
          <w:sz w:val="24"/>
          <w:szCs w:val="24"/>
        </w:rPr>
      </w:pPr>
      <w:bookmarkStart w:id="0" w:name="_heading=h.gjdgxs" w:colFirst="0" w:colLast="0"/>
      <w:bookmarkEnd w:id="0"/>
      <w:r>
        <w:rPr>
          <w:rFonts w:ascii="Arial" w:eastAsia="Arial" w:hAnsi="Arial" w:cs="Arial"/>
          <w:b/>
          <w:sz w:val="24"/>
          <w:szCs w:val="24"/>
        </w:rPr>
        <w:t>QUINTO. Análisis del fondo del asunto</w:t>
      </w:r>
      <w:r>
        <w:rPr>
          <w:rFonts w:ascii="Arial" w:eastAsia="Arial" w:hAnsi="Arial" w:cs="Arial"/>
          <w:sz w:val="24"/>
          <w:szCs w:val="24"/>
        </w:rPr>
        <w:t>.</w:t>
      </w:r>
      <w:r>
        <w:rPr>
          <w:rFonts w:ascii="Arial" w:eastAsia="Arial" w:hAnsi="Arial" w:cs="Arial"/>
          <w:b/>
          <w:sz w:val="24"/>
          <w:szCs w:val="24"/>
        </w:rPr>
        <w:t xml:space="preserve"> </w:t>
      </w:r>
      <w:r w:rsidR="00323CFE">
        <w:rPr>
          <w:rFonts w:ascii="Arial" w:eastAsia="Arial" w:hAnsi="Arial" w:cs="Arial"/>
          <w:sz w:val="24"/>
          <w:szCs w:val="24"/>
        </w:rPr>
        <w:t>La actora</w:t>
      </w:r>
      <w:r w:rsidR="00C96414">
        <w:rPr>
          <w:rFonts w:ascii="Arial" w:eastAsia="Arial" w:hAnsi="Arial" w:cs="Arial"/>
          <w:sz w:val="24"/>
          <w:szCs w:val="24"/>
        </w:rPr>
        <w:t xml:space="preserve"> </w:t>
      </w:r>
      <w:r w:rsidR="0021493A">
        <w:rPr>
          <w:rFonts w:ascii="Arial" w:eastAsia="Arial" w:hAnsi="Arial" w:cs="Arial"/>
          <w:b/>
          <w:color w:val="FF0000"/>
          <w:sz w:val="24"/>
          <w:szCs w:val="24"/>
        </w:rPr>
        <w:t>**********</w:t>
      </w:r>
      <w:r w:rsidR="00323CFE">
        <w:rPr>
          <w:rFonts w:ascii="Arial" w:eastAsia="Arial" w:hAnsi="Arial" w:cs="Arial"/>
          <w:b/>
          <w:color w:val="FF0000"/>
          <w:sz w:val="24"/>
          <w:szCs w:val="24"/>
        </w:rPr>
        <w:t xml:space="preserve">, </w:t>
      </w:r>
      <w:r w:rsidR="00323CFE">
        <w:rPr>
          <w:rFonts w:ascii="Arial" w:eastAsia="Arial" w:hAnsi="Arial" w:cs="Arial"/>
          <w:sz w:val="24"/>
          <w:szCs w:val="24"/>
        </w:rPr>
        <w:t>demandó</w:t>
      </w:r>
      <w:r>
        <w:rPr>
          <w:rFonts w:ascii="Arial" w:eastAsia="Arial" w:hAnsi="Arial" w:cs="Arial"/>
          <w:sz w:val="24"/>
          <w:szCs w:val="24"/>
        </w:rPr>
        <w:t xml:space="preserve"> la nulidad del acta de infracción con número de folio </w:t>
      </w:r>
      <w:r w:rsidR="0021493A">
        <w:rPr>
          <w:rFonts w:ascii="Arial" w:eastAsia="Arial" w:hAnsi="Arial" w:cs="Arial"/>
          <w:color w:val="FF0000"/>
          <w:sz w:val="24"/>
          <w:szCs w:val="24"/>
        </w:rPr>
        <w:t>**********</w:t>
      </w:r>
      <w:r>
        <w:rPr>
          <w:rFonts w:ascii="Arial" w:eastAsia="Arial" w:hAnsi="Arial" w:cs="Arial"/>
          <w:sz w:val="24"/>
          <w:szCs w:val="24"/>
        </w:rPr>
        <w:t xml:space="preserve"> de </w:t>
      </w:r>
      <w:r w:rsidR="00323CFE">
        <w:rPr>
          <w:rFonts w:ascii="Arial" w:eastAsia="Arial" w:hAnsi="Arial" w:cs="Arial"/>
          <w:sz w:val="24"/>
          <w:szCs w:val="24"/>
        </w:rPr>
        <w:t>doce de agosto</w:t>
      </w:r>
      <w:r w:rsidR="00C96414">
        <w:rPr>
          <w:rFonts w:ascii="Arial" w:eastAsia="Arial" w:hAnsi="Arial" w:cs="Arial"/>
          <w:sz w:val="24"/>
          <w:szCs w:val="24"/>
        </w:rPr>
        <w:t xml:space="preserve"> de dos mil </w:t>
      </w:r>
      <w:r w:rsidR="00323CFE">
        <w:rPr>
          <w:rFonts w:ascii="Arial" w:eastAsia="Arial" w:hAnsi="Arial" w:cs="Arial"/>
          <w:sz w:val="24"/>
          <w:szCs w:val="24"/>
        </w:rPr>
        <w:t>veintiuno</w:t>
      </w:r>
      <w:r>
        <w:rPr>
          <w:rFonts w:ascii="Arial" w:eastAsia="Arial" w:hAnsi="Arial" w:cs="Arial"/>
          <w:sz w:val="24"/>
          <w:szCs w:val="24"/>
        </w:rPr>
        <w:t xml:space="preserve">, emitida por </w:t>
      </w:r>
      <w:r w:rsidR="00C96414">
        <w:rPr>
          <w:rFonts w:ascii="Arial" w:eastAsia="Arial" w:hAnsi="Arial" w:cs="Arial"/>
          <w:sz w:val="24"/>
          <w:szCs w:val="24"/>
        </w:rPr>
        <w:t xml:space="preserve">el </w:t>
      </w:r>
      <w:r>
        <w:rPr>
          <w:rFonts w:ascii="Arial" w:eastAsia="Arial" w:hAnsi="Arial" w:cs="Arial"/>
          <w:sz w:val="24"/>
          <w:szCs w:val="24"/>
        </w:rPr>
        <w:t>Policía Vi</w:t>
      </w:r>
      <w:r w:rsidR="00C96414">
        <w:rPr>
          <w:rFonts w:ascii="Arial" w:eastAsia="Arial" w:hAnsi="Arial" w:cs="Arial"/>
          <w:sz w:val="24"/>
          <w:szCs w:val="24"/>
        </w:rPr>
        <w:t>al con número estadístico PV-3</w:t>
      </w:r>
      <w:r w:rsidR="00323CFE">
        <w:rPr>
          <w:rFonts w:ascii="Arial" w:eastAsia="Arial" w:hAnsi="Arial" w:cs="Arial"/>
          <w:sz w:val="24"/>
          <w:szCs w:val="24"/>
        </w:rPr>
        <w:t>74</w:t>
      </w:r>
      <w:r w:rsidR="00C96414">
        <w:rPr>
          <w:rFonts w:ascii="Arial" w:eastAsia="Arial" w:hAnsi="Arial" w:cs="Arial"/>
          <w:sz w:val="24"/>
          <w:szCs w:val="24"/>
        </w:rPr>
        <w:t xml:space="preserve"> </w:t>
      </w:r>
      <w:r>
        <w:rPr>
          <w:rFonts w:ascii="Arial" w:eastAsia="Arial" w:hAnsi="Arial" w:cs="Arial"/>
          <w:sz w:val="24"/>
          <w:szCs w:val="24"/>
        </w:rPr>
        <w:t>adscrito a la Dirección de Tránsito del Estado de la Dirección General de la Policía Vial Estatal de la Secretaría de Seguridad Pública del Estado de Oaxaca.</w:t>
      </w:r>
    </w:p>
    <w:p w14:paraId="73983571" w14:textId="0E631FDD" w:rsidR="00461EED" w:rsidRPr="00A43CF6" w:rsidRDefault="008A318F" w:rsidP="00A43CF6">
      <w:pPr>
        <w:tabs>
          <w:tab w:val="center" w:pos="-1418"/>
          <w:tab w:val="center" w:pos="4419"/>
          <w:tab w:val="right" w:pos="8838"/>
        </w:tabs>
        <w:spacing w:after="240" w:line="360" w:lineRule="auto"/>
        <w:ind w:firstLine="709"/>
        <w:jc w:val="both"/>
        <w:rPr>
          <w:rFonts w:ascii="Arial" w:eastAsia="Arial" w:hAnsi="Arial" w:cs="Arial"/>
          <w:color w:val="000000"/>
          <w:sz w:val="24"/>
          <w:szCs w:val="24"/>
        </w:rPr>
      </w:pPr>
      <w:r>
        <w:rPr>
          <w:rFonts w:ascii="Arial" w:eastAsia="Arial" w:hAnsi="Arial" w:cs="Arial"/>
          <w:color w:val="000000"/>
          <w:sz w:val="24"/>
          <w:szCs w:val="24"/>
        </w:rPr>
        <w:t xml:space="preserve">Al ser el agravio que de resultar fundado mayor beneficio otorgaría a la parte actora, se procede al análisis del </w:t>
      </w:r>
      <w:r>
        <w:rPr>
          <w:rFonts w:ascii="Arial" w:eastAsia="Arial" w:hAnsi="Arial" w:cs="Arial"/>
          <w:b/>
          <w:color w:val="000000"/>
          <w:sz w:val="24"/>
          <w:szCs w:val="24"/>
        </w:rPr>
        <w:t xml:space="preserve">SEGUNDO </w:t>
      </w:r>
      <w:r>
        <w:rPr>
          <w:rFonts w:ascii="Arial" w:eastAsia="Arial" w:hAnsi="Arial" w:cs="Arial"/>
          <w:color w:val="000000"/>
          <w:sz w:val="24"/>
          <w:szCs w:val="24"/>
        </w:rPr>
        <w:t xml:space="preserve">concepto de impugnación </w:t>
      </w:r>
      <w:r w:rsidR="00A43CF6">
        <w:rPr>
          <w:rFonts w:ascii="Arial" w:eastAsia="Arial" w:hAnsi="Arial" w:cs="Arial"/>
          <w:color w:val="000000"/>
          <w:sz w:val="24"/>
          <w:szCs w:val="24"/>
        </w:rPr>
        <w:t xml:space="preserve">del escrito de demanda, en el cual </w:t>
      </w:r>
      <w:r w:rsidR="00366DB6">
        <w:rPr>
          <w:rFonts w:ascii="Arial" w:eastAsia="Arial" w:hAnsi="Arial" w:cs="Arial"/>
          <w:sz w:val="24"/>
          <w:szCs w:val="24"/>
        </w:rPr>
        <w:t>el actor</w:t>
      </w:r>
      <w:r w:rsidR="004C0D54">
        <w:rPr>
          <w:rFonts w:ascii="Arial" w:eastAsia="Arial" w:hAnsi="Arial" w:cs="Arial"/>
          <w:sz w:val="24"/>
          <w:szCs w:val="24"/>
        </w:rPr>
        <w:t xml:space="preserve"> refuta la falta de fundamentación y motivación de la </w:t>
      </w:r>
      <w:r w:rsidR="00A43CF6">
        <w:rPr>
          <w:rFonts w:ascii="Arial" w:eastAsia="Arial" w:hAnsi="Arial" w:cs="Arial"/>
          <w:sz w:val="24"/>
          <w:szCs w:val="24"/>
        </w:rPr>
        <w:t xml:space="preserve">competencia de la </w:t>
      </w:r>
      <w:r w:rsidR="004C0D54">
        <w:rPr>
          <w:rFonts w:ascii="Arial" w:eastAsia="Arial" w:hAnsi="Arial" w:cs="Arial"/>
          <w:sz w:val="24"/>
          <w:szCs w:val="24"/>
        </w:rPr>
        <w:t xml:space="preserve">autoridad que emitió el acta de infracción </w:t>
      </w:r>
      <w:r w:rsidR="0021493A">
        <w:rPr>
          <w:rFonts w:ascii="Arial" w:eastAsia="Arial" w:hAnsi="Arial" w:cs="Arial"/>
          <w:b/>
          <w:color w:val="FF0000"/>
          <w:sz w:val="24"/>
          <w:szCs w:val="24"/>
        </w:rPr>
        <w:t>**********</w:t>
      </w:r>
      <w:r w:rsidR="004C0D54">
        <w:rPr>
          <w:rFonts w:ascii="Arial" w:eastAsia="Arial" w:hAnsi="Arial" w:cs="Arial"/>
          <w:sz w:val="24"/>
          <w:szCs w:val="24"/>
        </w:rPr>
        <w:t xml:space="preserve"> de </w:t>
      </w:r>
      <w:r w:rsidR="00B57267">
        <w:rPr>
          <w:rFonts w:ascii="Arial" w:eastAsia="Arial" w:hAnsi="Arial" w:cs="Arial"/>
          <w:sz w:val="24"/>
          <w:szCs w:val="24"/>
        </w:rPr>
        <w:t xml:space="preserve">doce </w:t>
      </w:r>
      <w:r w:rsidR="004C0D54">
        <w:rPr>
          <w:rFonts w:ascii="Arial" w:eastAsia="Arial" w:hAnsi="Arial" w:cs="Arial"/>
          <w:sz w:val="24"/>
          <w:szCs w:val="24"/>
        </w:rPr>
        <w:t xml:space="preserve">de agosto de dos mil </w:t>
      </w:r>
      <w:r w:rsidR="00B57267">
        <w:rPr>
          <w:rFonts w:ascii="Arial" w:eastAsia="Arial" w:hAnsi="Arial" w:cs="Arial"/>
          <w:sz w:val="24"/>
          <w:szCs w:val="24"/>
        </w:rPr>
        <w:t>veintiuno</w:t>
      </w:r>
      <w:r w:rsidR="004C0D54">
        <w:rPr>
          <w:rFonts w:ascii="Arial" w:eastAsia="Arial" w:hAnsi="Arial" w:cs="Arial"/>
          <w:sz w:val="24"/>
          <w:szCs w:val="24"/>
        </w:rPr>
        <w:t xml:space="preserve">, </w:t>
      </w:r>
      <w:r w:rsidR="00EC3219">
        <w:rPr>
          <w:rFonts w:ascii="Arial" w:eastAsia="Arial" w:hAnsi="Arial" w:cs="Arial"/>
          <w:sz w:val="24"/>
          <w:szCs w:val="24"/>
        </w:rPr>
        <w:t>indicando que el Policía Vial con número estadístico PV-</w:t>
      </w:r>
      <w:r w:rsidR="00B57267">
        <w:rPr>
          <w:rFonts w:ascii="Arial" w:eastAsia="Arial" w:hAnsi="Arial" w:cs="Arial"/>
          <w:sz w:val="24"/>
          <w:szCs w:val="24"/>
        </w:rPr>
        <w:t>374</w:t>
      </w:r>
      <w:r w:rsidR="00EC3219">
        <w:rPr>
          <w:rFonts w:ascii="Arial" w:eastAsia="Arial" w:hAnsi="Arial" w:cs="Arial"/>
          <w:sz w:val="24"/>
          <w:szCs w:val="24"/>
        </w:rPr>
        <w:t xml:space="preserve">, adscrito a la </w:t>
      </w:r>
      <w:r w:rsidR="00B57267">
        <w:rPr>
          <w:rFonts w:ascii="Arial" w:eastAsia="Arial" w:hAnsi="Arial" w:cs="Arial"/>
          <w:sz w:val="24"/>
          <w:szCs w:val="24"/>
        </w:rPr>
        <w:t xml:space="preserve">Dirección de Tránsito del Estado, de la </w:t>
      </w:r>
      <w:r w:rsidR="00EC3219">
        <w:rPr>
          <w:rFonts w:ascii="Arial" w:eastAsia="Arial" w:hAnsi="Arial" w:cs="Arial"/>
          <w:sz w:val="24"/>
          <w:szCs w:val="24"/>
        </w:rPr>
        <w:t>Dirección General de la Policía Vial Estatal</w:t>
      </w:r>
      <w:r w:rsidR="00B12DB2">
        <w:rPr>
          <w:rFonts w:ascii="Arial" w:eastAsia="Arial" w:hAnsi="Arial" w:cs="Arial"/>
          <w:sz w:val="24"/>
          <w:szCs w:val="24"/>
        </w:rPr>
        <w:t xml:space="preserve">, fundó su competencia en la Ley de Tránsito Reformada, cuando esta ya había sido abrogada por la Ley de </w:t>
      </w:r>
      <w:r w:rsidR="00B70382">
        <w:rPr>
          <w:rFonts w:ascii="Arial" w:eastAsia="Arial" w:hAnsi="Arial" w:cs="Arial"/>
          <w:sz w:val="24"/>
          <w:szCs w:val="24"/>
        </w:rPr>
        <w:t xml:space="preserve">Tránsito, Movilidad y Vialidad del Estado de Oaxaca; además, que el acta de infracción impugnada es ilegal en virtud de que en ella no se indicaron de forma precisa los preceptos </w:t>
      </w:r>
      <w:r w:rsidR="00B70382">
        <w:rPr>
          <w:rFonts w:ascii="Arial" w:eastAsia="Arial" w:hAnsi="Arial" w:cs="Arial"/>
          <w:sz w:val="24"/>
          <w:szCs w:val="24"/>
        </w:rPr>
        <w:lastRenderedPageBreak/>
        <w:t>legales que apoyen la competencia material y territorial del Policía Via</w:t>
      </w:r>
      <w:r w:rsidR="00111EA8">
        <w:rPr>
          <w:rFonts w:ascii="Arial" w:eastAsia="Arial" w:hAnsi="Arial" w:cs="Arial"/>
          <w:sz w:val="24"/>
          <w:szCs w:val="24"/>
        </w:rPr>
        <w:t>l, pues ninguno de los artículos que cita en el acto impugnado, prevé la existencia de la figura de policía vial.</w:t>
      </w:r>
    </w:p>
    <w:p w14:paraId="2AF955A3" w14:textId="11D06CBA" w:rsidR="00111EA8" w:rsidRDefault="00111EA8" w:rsidP="00C96414">
      <w:pPr>
        <w:spacing w:line="360" w:lineRule="auto"/>
        <w:ind w:right="-93" w:firstLine="709"/>
        <w:jc w:val="both"/>
        <w:rPr>
          <w:rFonts w:ascii="Arial" w:eastAsia="Arial" w:hAnsi="Arial" w:cs="Arial"/>
          <w:sz w:val="24"/>
          <w:szCs w:val="24"/>
        </w:rPr>
      </w:pPr>
      <w:r>
        <w:rPr>
          <w:rFonts w:ascii="Arial" w:eastAsia="Arial" w:hAnsi="Arial" w:cs="Arial"/>
          <w:sz w:val="24"/>
          <w:szCs w:val="24"/>
        </w:rPr>
        <w:t xml:space="preserve">Por lo que, esta juzgadora considera que </w:t>
      </w:r>
      <w:r w:rsidR="0057470D">
        <w:rPr>
          <w:rFonts w:ascii="Arial" w:eastAsia="Arial" w:hAnsi="Arial" w:cs="Arial"/>
          <w:b/>
          <w:sz w:val="24"/>
          <w:szCs w:val="24"/>
        </w:rPr>
        <w:t>es sustancialmente fundado</w:t>
      </w:r>
      <w:r>
        <w:rPr>
          <w:rFonts w:ascii="Arial" w:eastAsia="Arial" w:hAnsi="Arial" w:cs="Arial"/>
          <w:sz w:val="24"/>
          <w:szCs w:val="24"/>
        </w:rPr>
        <w:t xml:space="preserve"> </w:t>
      </w:r>
      <w:r w:rsidR="0057470D">
        <w:rPr>
          <w:rFonts w:ascii="Arial" w:eastAsia="Arial" w:hAnsi="Arial" w:cs="Arial"/>
          <w:sz w:val="24"/>
          <w:szCs w:val="24"/>
        </w:rPr>
        <w:t>el concepto</w:t>
      </w:r>
      <w:r>
        <w:rPr>
          <w:rFonts w:ascii="Arial" w:eastAsia="Arial" w:hAnsi="Arial" w:cs="Arial"/>
          <w:sz w:val="24"/>
          <w:szCs w:val="24"/>
        </w:rPr>
        <w:t xml:space="preserve"> de impugnación en análisis, por las siguientes consideraciones:</w:t>
      </w:r>
    </w:p>
    <w:p w14:paraId="1D598EBF" w14:textId="6085E5CA" w:rsidR="00111EA8" w:rsidRDefault="00111EA8" w:rsidP="00C96414">
      <w:pPr>
        <w:spacing w:line="360" w:lineRule="auto"/>
        <w:ind w:right="-93" w:firstLine="709"/>
        <w:jc w:val="both"/>
        <w:rPr>
          <w:rFonts w:ascii="Arial" w:eastAsia="Arial" w:hAnsi="Arial" w:cs="Arial"/>
          <w:sz w:val="24"/>
          <w:szCs w:val="24"/>
        </w:rPr>
      </w:pPr>
      <w:r>
        <w:rPr>
          <w:rFonts w:ascii="Arial" w:eastAsia="Arial" w:hAnsi="Arial" w:cs="Arial"/>
          <w:sz w:val="24"/>
          <w:szCs w:val="24"/>
        </w:rPr>
        <w:t>El Policía Vi</w:t>
      </w:r>
      <w:r w:rsidR="00B57267">
        <w:rPr>
          <w:rFonts w:ascii="Arial" w:eastAsia="Arial" w:hAnsi="Arial" w:cs="Arial"/>
          <w:sz w:val="24"/>
          <w:szCs w:val="24"/>
        </w:rPr>
        <w:t>al con número estadístico PV-374</w:t>
      </w:r>
      <w:r>
        <w:rPr>
          <w:rFonts w:ascii="Arial" w:eastAsia="Arial" w:hAnsi="Arial" w:cs="Arial"/>
          <w:sz w:val="24"/>
          <w:szCs w:val="24"/>
        </w:rPr>
        <w:t xml:space="preserve">, adscrito a la </w:t>
      </w:r>
      <w:r w:rsidR="00B57267">
        <w:rPr>
          <w:rFonts w:ascii="Arial" w:eastAsia="Arial" w:hAnsi="Arial" w:cs="Arial"/>
          <w:sz w:val="24"/>
          <w:szCs w:val="24"/>
        </w:rPr>
        <w:t xml:space="preserve">Dirección de Tránsito del Estado, de la </w:t>
      </w:r>
      <w:r>
        <w:rPr>
          <w:rFonts w:ascii="Arial" w:eastAsia="Arial" w:hAnsi="Arial" w:cs="Arial"/>
          <w:sz w:val="24"/>
          <w:szCs w:val="24"/>
        </w:rPr>
        <w:t xml:space="preserve">Dirección General de la Policía Vial Estatal, al emitir el acta de infracción de infracción </w:t>
      </w:r>
      <w:r w:rsidR="0021493A">
        <w:rPr>
          <w:rFonts w:ascii="Arial" w:eastAsia="Arial" w:hAnsi="Arial" w:cs="Arial"/>
          <w:b/>
          <w:color w:val="FF0000"/>
          <w:sz w:val="24"/>
          <w:szCs w:val="24"/>
        </w:rPr>
        <w:t>**********</w:t>
      </w:r>
      <w:r>
        <w:rPr>
          <w:rFonts w:ascii="Arial" w:eastAsia="Arial" w:hAnsi="Arial" w:cs="Arial"/>
          <w:sz w:val="24"/>
          <w:szCs w:val="24"/>
        </w:rPr>
        <w:t xml:space="preserve"> de </w:t>
      </w:r>
      <w:r w:rsidR="00B57267">
        <w:rPr>
          <w:rFonts w:ascii="Arial" w:eastAsia="Arial" w:hAnsi="Arial" w:cs="Arial"/>
          <w:sz w:val="24"/>
          <w:szCs w:val="24"/>
        </w:rPr>
        <w:t>doce de agosto de dos mil veintiuno</w:t>
      </w:r>
      <w:r>
        <w:rPr>
          <w:rFonts w:ascii="Arial" w:eastAsia="Arial" w:hAnsi="Arial" w:cs="Arial"/>
          <w:sz w:val="24"/>
          <w:szCs w:val="24"/>
        </w:rPr>
        <w:t>, fundó su competencia de la siguiente manera:</w:t>
      </w:r>
    </w:p>
    <w:p w14:paraId="1CE49035" w14:textId="1B56AADD" w:rsidR="00730330" w:rsidRPr="00730330" w:rsidRDefault="00730330" w:rsidP="00730330">
      <w:pPr>
        <w:spacing w:line="360" w:lineRule="auto"/>
        <w:ind w:right="51" w:firstLine="567"/>
        <w:jc w:val="both"/>
        <w:rPr>
          <w:rFonts w:ascii="Arial" w:eastAsiaTheme="minorHAnsi" w:hAnsi="Arial" w:cs="Arial"/>
          <w:sz w:val="24"/>
          <w:szCs w:val="24"/>
          <w:lang w:eastAsia="en-US"/>
        </w:rPr>
      </w:pPr>
      <w:r>
        <w:rPr>
          <w:rFonts w:ascii="Arial" w:eastAsiaTheme="minorHAnsi" w:hAnsi="Arial" w:cs="Arial"/>
          <w:i/>
          <w:sz w:val="24"/>
          <w:szCs w:val="24"/>
          <w:lang w:eastAsia="en-US"/>
        </w:rPr>
        <w:t xml:space="preserve">“Conforme a lo establecido en </w:t>
      </w:r>
      <w:r w:rsidRPr="00730330">
        <w:rPr>
          <w:rFonts w:ascii="Arial" w:eastAsiaTheme="minorHAnsi" w:hAnsi="Arial" w:cs="Arial"/>
          <w:i/>
          <w:sz w:val="24"/>
          <w:szCs w:val="24"/>
          <w:lang w:eastAsia="en-US"/>
        </w:rPr>
        <w:t xml:space="preserve">los artículos 21, párrafos cuarto y octavo de la Constitución Política del Estado Libre y Soberano de Oaxaca; 1, 2, 3, 6 y 47, fracción XXXI de la Ley del Sistema Estatal de Seguridad Pública de Oaxaca; </w:t>
      </w:r>
      <w:r w:rsidRPr="00730330">
        <w:rPr>
          <w:rFonts w:ascii="Arial" w:eastAsiaTheme="minorHAnsi" w:hAnsi="Arial" w:cs="Arial"/>
          <w:b/>
          <w:i/>
          <w:sz w:val="24"/>
          <w:szCs w:val="24"/>
          <w:lang w:eastAsia="en-US"/>
        </w:rPr>
        <w:t>1, 2, 3, 8 fracciones I y VIII; 9 fracción I; 10, fracciones I, V y VI; 11 fracciones II, III y IV: 12 fracciones III y IV; y 30 fracciones I, II, III y V, de la Ley de Tránsito Reformada</w:t>
      </w:r>
      <w:r w:rsidRPr="00730330">
        <w:rPr>
          <w:rFonts w:ascii="Arial" w:eastAsiaTheme="minorHAnsi" w:hAnsi="Arial" w:cs="Arial"/>
          <w:i/>
          <w:sz w:val="24"/>
          <w:szCs w:val="24"/>
          <w:lang w:eastAsia="en-US"/>
        </w:rPr>
        <w:t>; 1, 3, 4, 7, 30, 47, 52, 137, fracciones I, II, III, IV, V y VI; 146, 153, 158, grupo 1, grupo 2, grupo 3, grupo 4, de su Reglamento y en base al acuerdo SSPO/08/2012, del Secretario de Seguridad Pública por el que se establece el formato de acta de infracción para la aplicación de sanciones que deriven de la violación a las normas que regulan el tránsito de vehículos en el Estado de Oaxaca…”</w:t>
      </w:r>
    </w:p>
    <w:p w14:paraId="56CEE489" w14:textId="0EEA19F7" w:rsidR="00053D29" w:rsidRDefault="00053D29" w:rsidP="00053D29">
      <w:pPr>
        <w:spacing w:line="360" w:lineRule="auto"/>
        <w:ind w:firstLine="567"/>
        <w:jc w:val="both"/>
        <w:rPr>
          <w:rFonts w:ascii="Arial" w:eastAsiaTheme="minorHAnsi" w:hAnsi="Arial" w:cs="Arial"/>
          <w:sz w:val="24"/>
          <w:szCs w:val="24"/>
          <w:lang w:eastAsia="en-US"/>
        </w:rPr>
      </w:pPr>
      <w:r w:rsidRPr="00053D29">
        <w:rPr>
          <w:rFonts w:ascii="Arial" w:eastAsia="Times New Roman" w:hAnsi="Arial" w:cs="Arial"/>
          <w:sz w:val="24"/>
          <w:szCs w:val="24"/>
          <w:lang w:val="es-ES" w:eastAsia="en-US"/>
        </w:rPr>
        <w:t>De lo anterior se advierte, que la autoridad deman</w:t>
      </w:r>
      <w:r>
        <w:rPr>
          <w:rFonts w:ascii="Arial" w:eastAsia="Times New Roman" w:hAnsi="Arial" w:cs="Arial"/>
          <w:sz w:val="24"/>
          <w:szCs w:val="24"/>
          <w:lang w:val="es-ES" w:eastAsia="en-US"/>
        </w:rPr>
        <w:t xml:space="preserve">dada, fundó su competencia en lo dispuesto por los artículos </w:t>
      </w:r>
      <w:r w:rsidRPr="00053D29">
        <w:rPr>
          <w:rFonts w:ascii="Arial" w:eastAsiaTheme="minorHAnsi" w:hAnsi="Arial" w:cs="Arial"/>
          <w:sz w:val="24"/>
          <w:szCs w:val="24"/>
          <w:lang w:eastAsia="en-US"/>
        </w:rPr>
        <w:t>1, 2, 3, 8 fracciones I y VIII; 9 fracción I; 10, fracciones I, V y VI; 11 fracciones II, III y IV: 12 fracciones III y IV; y 30 fracciones I, II, III y V, de la Ley de Tránsito Reformada</w:t>
      </w:r>
      <w:r>
        <w:rPr>
          <w:rFonts w:ascii="Arial" w:eastAsiaTheme="minorHAnsi" w:hAnsi="Arial" w:cs="Arial"/>
          <w:sz w:val="24"/>
          <w:szCs w:val="24"/>
          <w:lang w:eastAsia="en-US"/>
        </w:rPr>
        <w:t>, los cuales establecen:</w:t>
      </w:r>
    </w:p>
    <w:p w14:paraId="7FB93666" w14:textId="596D8CB0" w:rsidR="00053D29" w:rsidRPr="007C16BF" w:rsidRDefault="007C16BF" w:rsidP="007C16BF">
      <w:pPr>
        <w:spacing w:line="276" w:lineRule="auto"/>
        <w:ind w:firstLine="567"/>
        <w:jc w:val="both"/>
        <w:rPr>
          <w:rFonts w:ascii="Arial" w:eastAsia="Times New Roman" w:hAnsi="Arial" w:cs="Arial"/>
          <w:i/>
          <w:szCs w:val="24"/>
          <w:lang w:val="es-ES" w:eastAsia="en-US"/>
        </w:rPr>
      </w:pPr>
      <w:r w:rsidRPr="007C16BF">
        <w:rPr>
          <w:rFonts w:ascii="Arial" w:eastAsia="Times New Roman" w:hAnsi="Arial" w:cs="Arial"/>
          <w:b/>
          <w:i/>
          <w:szCs w:val="24"/>
          <w:lang w:val="es-ES" w:eastAsia="en-US"/>
        </w:rPr>
        <w:t>“</w:t>
      </w:r>
      <w:r w:rsidR="00053D29" w:rsidRPr="007C16BF">
        <w:rPr>
          <w:rFonts w:ascii="Arial" w:eastAsia="Times New Roman" w:hAnsi="Arial" w:cs="Arial"/>
          <w:b/>
          <w:i/>
          <w:szCs w:val="24"/>
          <w:lang w:val="es-ES" w:eastAsia="en-US"/>
        </w:rPr>
        <w:t>Artículo 1o.-</w:t>
      </w:r>
      <w:r w:rsidR="00053D29" w:rsidRPr="007C16BF">
        <w:rPr>
          <w:rFonts w:ascii="Arial" w:eastAsia="Times New Roman" w:hAnsi="Arial" w:cs="Arial"/>
          <w:i/>
          <w:szCs w:val="24"/>
          <w:lang w:val="es-ES" w:eastAsia="en-US"/>
        </w:rPr>
        <w:t xml:space="preserve"> La presente Ley tiene por objeto establecer las bases y requisitos a que se sujetarán la circulación de las personas, el manejo y el tránsito de vehículos y semovientes y los servicios públicos de transporte de pasajeros y de carga en las vías públicas del Estado de Oaxaca, que no sean de jurisdicción federal, considerados como actividades de interés público.</w:t>
      </w:r>
    </w:p>
    <w:p w14:paraId="738E628D" w14:textId="78432289" w:rsidR="00053D29" w:rsidRPr="007C16BF" w:rsidRDefault="00053D29" w:rsidP="007C16BF">
      <w:pPr>
        <w:spacing w:line="276" w:lineRule="auto"/>
        <w:ind w:firstLine="567"/>
        <w:jc w:val="both"/>
        <w:rPr>
          <w:rFonts w:ascii="Arial" w:eastAsia="Times New Roman" w:hAnsi="Arial" w:cs="Arial"/>
          <w:i/>
          <w:szCs w:val="24"/>
          <w:lang w:val="es-ES" w:eastAsia="en-US"/>
        </w:rPr>
      </w:pPr>
      <w:r w:rsidRPr="007C16BF">
        <w:rPr>
          <w:rFonts w:ascii="Arial" w:eastAsia="Times New Roman" w:hAnsi="Arial" w:cs="Arial"/>
          <w:i/>
          <w:szCs w:val="24"/>
          <w:lang w:val="es-ES" w:eastAsia="en-US"/>
        </w:rPr>
        <w:t>Por tal motivo, cuando por cualquier causa se suspenda la prestación de tales servicios, el Ejecutivo del Estado podrá intervenir las empresas para la reanudación de los propios servicios.</w:t>
      </w:r>
    </w:p>
    <w:p w14:paraId="7ABCB781" w14:textId="6AA9AD29" w:rsidR="00053D29" w:rsidRPr="007C16BF" w:rsidRDefault="00053D29" w:rsidP="007C16BF">
      <w:pPr>
        <w:spacing w:line="276" w:lineRule="auto"/>
        <w:ind w:firstLine="567"/>
        <w:jc w:val="both"/>
        <w:rPr>
          <w:rFonts w:ascii="Arial" w:eastAsia="Times New Roman" w:hAnsi="Arial" w:cs="Arial"/>
          <w:i/>
          <w:szCs w:val="24"/>
          <w:lang w:val="es-ES" w:eastAsia="en-US"/>
        </w:rPr>
      </w:pPr>
      <w:r w:rsidRPr="007C16BF">
        <w:rPr>
          <w:rFonts w:ascii="Arial" w:eastAsia="Times New Roman" w:hAnsi="Arial" w:cs="Arial"/>
          <w:b/>
          <w:i/>
          <w:szCs w:val="24"/>
          <w:lang w:val="es-ES" w:eastAsia="en-US"/>
        </w:rPr>
        <w:t>Artículo 2o.-</w:t>
      </w:r>
      <w:r w:rsidRPr="007C16BF">
        <w:rPr>
          <w:rFonts w:ascii="Arial" w:eastAsia="Times New Roman" w:hAnsi="Arial" w:cs="Arial"/>
          <w:i/>
          <w:szCs w:val="24"/>
          <w:lang w:val="es-ES" w:eastAsia="en-US"/>
        </w:rPr>
        <w:t xml:space="preserve"> La aplicación de esta Ley y sus Reglamentos, corresponde al Titular del Poder Ejecutivo del Estado por conducto de la Secretaría de Transporte y sus correspondientes Direcciones de Tránsito y de Transporte. Lo anterior sin menoscabo de las facultades y atribuciones de los Municipios en materia de tránsito.</w:t>
      </w:r>
    </w:p>
    <w:p w14:paraId="34D8C281" w14:textId="77777777" w:rsidR="00053D29" w:rsidRPr="007C16BF" w:rsidRDefault="00053D29" w:rsidP="007C16BF">
      <w:pPr>
        <w:spacing w:line="276" w:lineRule="auto"/>
        <w:ind w:firstLine="567"/>
        <w:jc w:val="both"/>
        <w:rPr>
          <w:rFonts w:ascii="Arial" w:eastAsia="Times New Roman" w:hAnsi="Arial" w:cs="Arial"/>
          <w:i/>
          <w:szCs w:val="24"/>
          <w:lang w:val="es-ES" w:eastAsia="en-US"/>
        </w:rPr>
      </w:pPr>
      <w:r w:rsidRPr="007C16BF">
        <w:rPr>
          <w:rFonts w:ascii="Arial" w:eastAsia="Times New Roman" w:hAnsi="Arial" w:cs="Arial"/>
          <w:b/>
          <w:i/>
          <w:szCs w:val="24"/>
          <w:lang w:val="es-ES" w:eastAsia="en-US"/>
        </w:rPr>
        <w:t>Artículo 3o.-</w:t>
      </w:r>
      <w:r w:rsidRPr="007C16BF">
        <w:rPr>
          <w:rFonts w:ascii="Arial" w:eastAsia="Times New Roman" w:hAnsi="Arial" w:cs="Arial"/>
          <w:i/>
          <w:szCs w:val="24"/>
          <w:lang w:val="es-ES" w:eastAsia="en-US"/>
        </w:rPr>
        <w:t xml:space="preserve"> La Dirección de Tránsito del Estado se integra por:</w:t>
      </w:r>
    </w:p>
    <w:p w14:paraId="7AAAA567" w14:textId="77777777" w:rsidR="00053D29" w:rsidRPr="007C16BF" w:rsidRDefault="00053D29" w:rsidP="007C16BF">
      <w:pPr>
        <w:spacing w:line="276" w:lineRule="auto"/>
        <w:ind w:firstLine="567"/>
        <w:jc w:val="both"/>
        <w:rPr>
          <w:rFonts w:ascii="Arial" w:eastAsia="Times New Roman" w:hAnsi="Arial" w:cs="Arial"/>
          <w:i/>
          <w:szCs w:val="24"/>
          <w:lang w:val="es-ES" w:eastAsia="en-US"/>
        </w:rPr>
      </w:pPr>
      <w:r w:rsidRPr="007C16BF">
        <w:rPr>
          <w:rFonts w:ascii="Arial" w:eastAsia="Times New Roman" w:hAnsi="Arial" w:cs="Arial"/>
          <w:i/>
          <w:szCs w:val="24"/>
          <w:lang w:val="es-ES" w:eastAsia="en-US"/>
        </w:rPr>
        <w:lastRenderedPageBreak/>
        <w:t>I.- Un Director.</w:t>
      </w:r>
    </w:p>
    <w:p w14:paraId="7F9858C0" w14:textId="77777777" w:rsidR="00053D29" w:rsidRPr="007C16BF" w:rsidRDefault="00053D29" w:rsidP="007C16BF">
      <w:pPr>
        <w:spacing w:line="276" w:lineRule="auto"/>
        <w:ind w:firstLine="567"/>
        <w:jc w:val="both"/>
        <w:rPr>
          <w:rFonts w:ascii="Arial" w:eastAsia="Times New Roman" w:hAnsi="Arial" w:cs="Arial"/>
          <w:i/>
          <w:szCs w:val="24"/>
          <w:lang w:val="es-ES" w:eastAsia="en-US"/>
        </w:rPr>
      </w:pPr>
      <w:r w:rsidRPr="007C16BF">
        <w:rPr>
          <w:rFonts w:ascii="Arial" w:eastAsia="Times New Roman" w:hAnsi="Arial" w:cs="Arial"/>
          <w:i/>
          <w:szCs w:val="24"/>
          <w:lang w:val="es-ES" w:eastAsia="en-US"/>
        </w:rPr>
        <w:t>II.- Un Sub-Director.</w:t>
      </w:r>
    </w:p>
    <w:p w14:paraId="1291B32A" w14:textId="77777777" w:rsidR="00053D29" w:rsidRPr="007C16BF" w:rsidRDefault="00053D29" w:rsidP="007C16BF">
      <w:pPr>
        <w:spacing w:line="276" w:lineRule="auto"/>
        <w:ind w:firstLine="567"/>
        <w:jc w:val="both"/>
        <w:rPr>
          <w:rFonts w:ascii="Arial" w:eastAsia="Times New Roman" w:hAnsi="Arial" w:cs="Arial"/>
          <w:i/>
          <w:szCs w:val="24"/>
          <w:lang w:val="es-ES" w:eastAsia="en-US"/>
        </w:rPr>
      </w:pPr>
      <w:r w:rsidRPr="007C16BF">
        <w:rPr>
          <w:rFonts w:ascii="Arial" w:eastAsia="Times New Roman" w:hAnsi="Arial" w:cs="Arial"/>
          <w:i/>
          <w:szCs w:val="24"/>
          <w:lang w:val="es-ES" w:eastAsia="en-US"/>
        </w:rPr>
        <w:t>III.- Delegados Foráneos de Tránsito.</w:t>
      </w:r>
    </w:p>
    <w:p w14:paraId="7A931E02" w14:textId="77777777" w:rsidR="00053D29" w:rsidRPr="007C16BF" w:rsidRDefault="00053D29" w:rsidP="007C16BF">
      <w:pPr>
        <w:spacing w:line="276" w:lineRule="auto"/>
        <w:ind w:firstLine="567"/>
        <w:jc w:val="both"/>
        <w:rPr>
          <w:rFonts w:ascii="Arial" w:eastAsia="Times New Roman" w:hAnsi="Arial" w:cs="Arial"/>
          <w:i/>
          <w:szCs w:val="24"/>
          <w:lang w:val="es-ES" w:eastAsia="en-US"/>
        </w:rPr>
      </w:pPr>
      <w:r w:rsidRPr="007C16BF">
        <w:rPr>
          <w:rFonts w:ascii="Arial" w:eastAsia="Times New Roman" w:hAnsi="Arial" w:cs="Arial"/>
          <w:i/>
          <w:szCs w:val="24"/>
          <w:lang w:val="es-ES" w:eastAsia="en-US"/>
        </w:rPr>
        <w:t>IV.- Agentes de Policía de Tránsito, y</w:t>
      </w:r>
    </w:p>
    <w:p w14:paraId="7B29D555" w14:textId="2EC6A582" w:rsidR="00053D29" w:rsidRPr="007C16BF" w:rsidRDefault="00053D29" w:rsidP="007C16BF">
      <w:pPr>
        <w:spacing w:line="276" w:lineRule="auto"/>
        <w:ind w:firstLine="567"/>
        <w:jc w:val="both"/>
        <w:rPr>
          <w:rFonts w:ascii="Arial" w:eastAsia="Times New Roman" w:hAnsi="Arial" w:cs="Arial"/>
          <w:i/>
          <w:szCs w:val="24"/>
          <w:lang w:val="es-ES" w:eastAsia="en-US"/>
        </w:rPr>
      </w:pPr>
      <w:r w:rsidRPr="007C16BF">
        <w:rPr>
          <w:rFonts w:ascii="Arial" w:eastAsia="Times New Roman" w:hAnsi="Arial" w:cs="Arial"/>
          <w:i/>
          <w:szCs w:val="24"/>
          <w:lang w:val="es-ES" w:eastAsia="en-US"/>
        </w:rPr>
        <w:t>V.- Auxiliares de la Dirección de Tránsito.</w:t>
      </w:r>
    </w:p>
    <w:p w14:paraId="7B42335E" w14:textId="77777777" w:rsidR="007C16BF" w:rsidRPr="007C16BF" w:rsidRDefault="007C16BF" w:rsidP="007C16BF">
      <w:pPr>
        <w:spacing w:line="276" w:lineRule="auto"/>
        <w:ind w:firstLine="567"/>
        <w:jc w:val="both"/>
        <w:rPr>
          <w:rFonts w:ascii="Arial" w:eastAsia="Times New Roman" w:hAnsi="Arial" w:cs="Arial"/>
          <w:i/>
          <w:szCs w:val="24"/>
          <w:lang w:val="es-ES" w:eastAsia="en-US"/>
        </w:rPr>
      </w:pPr>
      <w:r w:rsidRPr="007C16BF">
        <w:rPr>
          <w:rFonts w:ascii="Arial" w:eastAsia="Times New Roman" w:hAnsi="Arial" w:cs="Arial"/>
          <w:b/>
          <w:i/>
          <w:szCs w:val="24"/>
          <w:lang w:val="es-ES" w:eastAsia="en-US"/>
        </w:rPr>
        <w:t>Artículo 9°.-</w:t>
      </w:r>
      <w:r w:rsidRPr="007C16BF">
        <w:rPr>
          <w:rFonts w:ascii="Arial" w:eastAsia="Times New Roman" w:hAnsi="Arial" w:cs="Arial"/>
          <w:i/>
          <w:szCs w:val="24"/>
          <w:lang w:val="es-ES" w:eastAsia="en-US"/>
        </w:rPr>
        <w:t xml:space="preserve"> Son atribuciones y obligaciones del Subdirector de Tránsito:</w:t>
      </w:r>
    </w:p>
    <w:p w14:paraId="43B35DBA" w14:textId="32ADB428" w:rsidR="007C16BF" w:rsidRPr="007C16BF" w:rsidRDefault="007C16BF" w:rsidP="007C16BF">
      <w:pPr>
        <w:spacing w:line="276" w:lineRule="auto"/>
        <w:ind w:firstLine="567"/>
        <w:jc w:val="both"/>
        <w:rPr>
          <w:rFonts w:ascii="Arial" w:eastAsia="Times New Roman" w:hAnsi="Arial" w:cs="Arial"/>
          <w:i/>
          <w:szCs w:val="24"/>
          <w:lang w:val="es-ES" w:eastAsia="en-US"/>
        </w:rPr>
      </w:pPr>
      <w:r w:rsidRPr="007C16BF">
        <w:rPr>
          <w:rFonts w:ascii="Arial" w:eastAsia="Times New Roman" w:hAnsi="Arial" w:cs="Arial"/>
          <w:i/>
          <w:szCs w:val="24"/>
          <w:lang w:val="es-ES" w:eastAsia="en-US"/>
        </w:rPr>
        <w:t>I.- Suplir al Director de Tránsito en todas sus atribuciones y obligaciones, en las faltas temporales de éste;</w:t>
      </w:r>
    </w:p>
    <w:p w14:paraId="136A15D0" w14:textId="77777777" w:rsidR="007C16BF" w:rsidRPr="007C16BF" w:rsidRDefault="007C16BF" w:rsidP="007C16BF">
      <w:pPr>
        <w:spacing w:line="276" w:lineRule="auto"/>
        <w:ind w:firstLine="567"/>
        <w:jc w:val="both"/>
        <w:rPr>
          <w:rFonts w:ascii="Arial" w:eastAsia="Times New Roman" w:hAnsi="Arial" w:cs="Arial"/>
          <w:i/>
          <w:szCs w:val="24"/>
          <w:lang w:val="es-ES" w:eastAsia="en-US"/>
        </w:rPr>
      </w:pPr>
      <w:r w:rsidRPr="007C16BF">
        <w:rPr>
          <w:rFonts w:ascii="Arial" w:eastAsia="Times New Roman" w:hAnsi="Arial" w:cs="Arial"/>
          <w:b/>
          <w:i/>
          <w:szCs w:val="24"/>
          <w:lang w:val="es-ES" w:eastAsia="en-US"/>
        </w:rPr>
        <w:t>Artículo 10.-</w:t>
      </w:r>
      <w:r w:rsidRPr="007C16BF">
        <w:rPr>
          <w:rFonts w:ascii="Arial" w:eastAsia="Times New Roman" w:hAnsi="Arial" w:cs="Arial"/>
          <w:i/>
          <w:szCs w:val="24"/>
          <w:lang w:val="es-ES" w:eastAsia="en-US"/>
        </w:rPr>
        <w:t xml:space="preserve"> Son atribuciones y obligaciones de los Delegados Foráneos de Tránsito:</w:t>
      </w:r>
    </w:p>
    <w:p w14:paraId="4CE53135" w14:textId="1372DB94" w:rsidR="007C16BF" w:rsidRPr="007C16BF" w:rsidRDefault="007C16BF" w:rsidP="007C16BF">
      <w:pPr>
        <w:spacing w:line="276" w:lineRule="auto"/>
        <w:ind w:firstLine="567"/>
        <w:jc w:val="both"/>
        <w:rPr>
          <w:rFonts w:ascii="Arial" w:eastAsia="Times New Roman" w:hAnsi="Arial" w:cs="Arial"/>
          <w:i/>
          <w:szCs w:val="24"/>
          <w:lang w:val="es-ES" w:eastAsia="en-US"/>
        </w:rPr>
      </w:pPr>
      <w:r w:rsidRPr="007C16BF">
        <w:rPr>
          <w:rFonts w:ascii="Arial" w:eastAsia="Times New Roman" w:hAnsi="Arial" w:cs="Arial"/>
          <w:i/>
          <w:szCs w:val="24"/>
          <w:lang w:val="es-ES" w:eastAsia="en-US"/>
        </w:rPr>
        <w:t>I.- Cumplir y hacer cumplir las disposiciones de esta Ley y sus reglamentos, así como las que dicten en materia de tránsito el Gobernador del Estado y el Director General de Tránsito.</w:t>
      </w:r>
    </w:p>
    <w:p w14:paraId="089E3381" w14:textId="5AE28355" w:rsidR="007C16BF" w:rsidRPr="007C16BF" w:rsidRDefault="007C16BF" w:rsidP="007C16BF">
      <w:pPr>
        <w:spacing w:line="276" w:lineRule="auto"/>
        <w:ind w:firstLine="567"/>
        <w:jc w:val="both"/>
        <w:rPr>
          <w:rFonts w:ascii="Arial" w:eastAsia="Times New Roman" w:hAnsi="Arial" w:cs="Arial"/>
          <w:i/>
          <w:szCs w:val="24"/>
          <w:lang w:val="es-ES" w:eastAsia="en-US"/>
        </w:rPr>
      </w:pPr>
      <w:r w:rsidRPr="007C16BF">
        <w:rPr>
          <w:rFonts w:ascii="Arial" w:eastAsia="Times New Roman" w:hAnsi="Arial" w:cs="Arial"/>
          <w:i/>
          <w:szCs w:val="24"/>
          <w:lang w:val="es-ES" w:eastAsia="en-US"/>
        </w:rPr>
        <w:t>(…)</w:t>
      </w:r>
    </w:p>
    <w:p w14:paraId="3CCD6FA8" w14:textId="1428F001" w:rsidR="007C16BF" w:rsidRPr="007C16BF" w:rsidRDefault="007C16BF" w:rsidP="007C16BF">
      <w:pPr>
        <w:spacing w:line="276" w:lineRule="auto"/>
        <w:ind w:firstLine="567"/>
        <w:jc w:val="both"/>
        <w:rPr>
          <w:rFonts w:ascii="Arial" w:eastAsia="Times New Roman" w:hAnsi="Arial" w:cs="Arial"/>
          <w:i/>
          <w:szCs w:val="24"/>
          <w:lang w:val="es-ES" w:eastAsia="en-US"/>
        </w:rPr>
      </w:pPr>
      <w:r w:rsidRPr="007C16BF">
        <w:rPr>
          <w:rFonts w:ascii="Arial" w:eastAsia="Times New Roman" w:hAnsi="Arial" w:cs="Arial"/>
          <w:i/>
          <w:szCs w:val="24"/>
          <w:lang w:val="es-ES" w:eastAsia="en-US"/>
        </w:rPr>
        <w:t>V.- Levantar infracciones e imponer las sanciones a que se refieren las fracciones I y II del artículo 30 de esta Ley.</w:t>
      </w:r>
    </w:p>
    <w:p w14:paraId="385E7EB4" w14:textId="0F8BB5E9" w:rsidR="007C16BF" w:rsidRPr="007C16BF" w:rsidRDefault="007C16BF" w:rsidP="007C16BF">
      <w:pPr>
        <w:spacing w:line="276" w:lineRule="auto"/>
        <w:ind w:firstLine="567"/>
        <w:jc w:val="both"/>
        <w:rPr>
          <w:rFonts w:ascii="Arial" w:eastAsia="Times New Roman" w:hAnsi="Arial" w:cs="Arial"/>
          <w:i/>
          <w:szCs w:val="24"/>
          <w:lang w:val="es-ES" w:eastAsia="en-US"/>
        </w:rPr>
      </w:pPr>
      <w:r w:rsidRPr="007C16BF">
        <w:rPr>
          <w:rFonts w:ascii="Arial" w:eastAsia="Times New Roman" w:hAnsi="Arial" w:cs="Arial"/>
          <w:i/>
          <w:szCs w:val="24"/>
          <w:lang w:val="es-ES" w:eastAsia="en-US"/>
        </w:rPr>
        <w:t>VI.- Dar cuenta al Director de Tránsito, proporcionándole los elementos de prueba que hubiere obtenido, de todos aquellos casos que ameriten las sanciones a que se refieren las Fracciones III y IV del artículo 30 de esta Ley; y</w:t>
      </w:r>
    </w:p>
    <w:p w14:paraId="7DCE5347" w14:textId="53C61FD3" w:rsidR="007C16BF" w:rsidRPr="007C16BF" w:rsidRDefault="007C16BF" w:rsidP="007C16BF">
      <w:pPr>
        <w:spacing w:line="276" w:lineRule="auto"/>
        <w:ind w:firstLine="567"/>
        <w:jc w:val="both"/>
        <w:rPr>
          <w:rFonts w:ascii="Arial" w:eastAsia="Times New Roman" w:hAnsi="Arial" w:cs="Arial"/>
          <w:i/>
          <w:szCs w:val="24"/>
          <w:lang w:val="es-ES" w:eastAsia="en-US"/>
        </w:rPr>
      </w:pPr>
      <w:r w:rsidRPr="007C16BF">
        <w:rPr>
          <w:rFonts w:ascii="Arial" w:eastAsia="Times New Roman" w:hAnsi="Arial" w:cs="Arial"/>
          <w:b/>
          <w:i/>
          <w:szCs w:val="24"/>
          <w:lang w:val="es-ES" w:eastAsia="en-US"/>
        </w:rPr>
        <w:t>Artículo 12.-</w:t>
      </w:r>
      <w:r w:rsidRPr="007C16BF">
        <w:rPr>
          <w:rFonts w:ascii="Arial" w:eastAsia="Times New Roman" w:hAnsi="Arial" w:cs="Arial"/>
          <w:i/>
          <w:szCs w:val="24"/>
          <w:lang w:val="es-ES" w:eastAsia="en-US"/>
        </w:rPr>
        <w:t xml:space="preserve"> Corresponde a los peritos en manejo y tránsito de vehículos:</w:t>
      </w:r>
    </w:p>
    <w:p w14:paraId="72BFC754" w14:textId="034E5BE0" w:rsidR="007C16BF" w:rsidRPr="007C16BF" w:rsidRDefault="007C16BF" w:rsidP="007C16BF">
      <w:pPr>
        <w:spacing w:line="276" w:lineRule="auto"/>
        <w:ind w:firstLine="567"/>
        <w:jc w:val="both"/>
        <w:rPr>
          <w:rFonts w:ascii="Arial" w:eastAsia="Times New Roman" w:hAnsi="Arial" w:cs="Arial"/>
          <w:i/>
          <w:szCs w:val="24"/>
          <w:lang w:val="es-ES" w:eastAsia="en-US"/>
        </w:rPr>
      </w:pPr>
      <w:r w:rsidRPr="007C16BF">
        <w:rPr>
          <w:rFonts w:ascii="Arial" w:eastAsia="Times New Roman" w:hAnsi="Arial" w:cs="Arial"/>
          <w:i/>
          <w:szCs w:val="24"/>
          <w:lang w:val="es-ES" w:eastAsia="en-US"/>
        </w:rPr>
        <w:t>(…)</w:t>
      </w:r>
    </w:p>
    <w:p w14:paraId="173EBDF2" w14:textId="15B01DF6" w:rsidR="007C16BF" w:rsidRPr="007C16BF" w:rsidRDefault="007C16BF" w:rsidP="007C16BF">
      <w:pPr>
        <w:spacing w:line="276" w:lineRule="auto"/>
        <w:ind w:firstLine="567"/>
        <w:jc w:val="both"/>
        <w:rPr>
          <w:rFonts w:ascii="Arial" w:eastAsia="Times New Roman" w:hAnsi="Arial" w:cs="Arial"/>
          <w:i/>
          <w:szCs w:val="24"/>
          <w:lang w:val="es-ES" w:eastAsia="en-US"/>
        </w:rPr>
      </w:pPr>
      <w:r w:rsidRPr="007C16BF">
        <w:rPr>
          <w:rFonts w:ascii="Arial" w:eastAsia="Times New Roman" w:hAnsi="Arial" w:cs="Arial"/>
          <w:i/>
          <w:szCs w:val="24"/>
          <w:lang w:val="es-ES" w:eastAsia="en-US"/>
        </w:rPr>
        <w:t>III.- Dictaminar sobre las causas probables de los accidentes de tránsito y sobre la presunta responsabilidad de las personas.</w:t>
      </w:r>
    </w:p>
    <w:p w14:paraId="78FA3555" w14:textId="110CF593" w:rsidR="007C16BF" w:rsidRPr="007C16BF" w:rsidRDefault="007C16BF" w:rsidP="007C16BF">
      <w:pPr>
        <w:spacing w:line="276" w:lineRule="auto"/>
        <w:ind w:firstLine="567"/>
        <w:jc w:val="both"/>
        <w:rPr>
          <w:rFonts w:ascii="Arial" w:eastAsia="Times New Roman" w:hAnsi="Arial" w:cs="Arial"/>
          <w:i/>
          <w:szCs w:val="24"/>
          <w:lang w:val="es-ES" w:eastAsia="en-US"/>
        </w:rPr>
      </w:pPr>
      <w:r w:rsidRPr="007C16BF">
        <w:rPr>
          <w:rFonts w:ascii="Arial" w:eastAsia="Times New Roman" w:hAnsi="Arial" w:cs="Arial"/>
          <w:i/>
          <w:szCs w:val="24"/>
          <w:lang w:val="es-ES" w:eastAsia="en-US"/>
        </w:rPr>
        <w:t xml:space="preserve">IV.- Levantar infracciones. </w:t>
      </w:r>
    </w:p>
    <w:p w14:paraId="4F46F7B1" w14:textId="5EB58F3A" w:rsidR="007C16BF" w:rsidRPr="007C16BF" w:rsidRDefault="007C16BF" w:rsidP="007C16BF">
      <w:pPr>
        <w:spacing w:line="276" w:lineRule="auto"/>
        <w:ind w:firstLine="567"/>
        <w:jc w:val="both"/>
        <w:rPr>
          <w:rFonts w:ascii="Arial" w:eastAsia="Times New Roman" w:hAnsi="Arial" w:cs="Arial"/>
          <w:i/>
          <w:szCs w:val="24"/>
          <w:lang w:val="es-ES" w:eastAsia="en-US"/>
        </w:rPr>
      </w:pPr>
      <w:r w:rsidRPr="007C16BF">
        <w:rPr>
          <w:rFonts w:ascii="Arial" w:eastAsia="Times New Roman" w:hAnsi="Arial" w:cs="Arial"/>
          <w:b/>
          <w:i/>
          <w:szCs w:val="24"/>
          <w:lang w:val="es-ES" w:eastAsia="en-US"/>
        </w:rPr>
        <w:t>Artículo 30.-</w:t>
      </w:r>
      <w:r w:rsidRPr="007C16BF">
        <w:rPr>
          <w:rFonts w:ascii="Arial" w:eastAsia="Times New Roman" w:hAnsi="Arial" w:cs="Arial"/>
          <w:i/>
          <w:szCs w:val="24"/>
          <w:lang w:val="es-ES" w:eastAsia="en-US"/>
        </w:rPr>
        <w:t xml:space="preserve"> Las violaciones a las disposiciones de esta Ley y sus reglamentos, se sancionarán con:</w:t>
      </w:r>
    </w:p>
    <w:p w14:paraId="3F8A4508" w14:textId="4F7F714B" w:rsidR="007C16BF" w:rsidRPr="007C16BF" w:rsidRDefault="007C16BF" w:rsidP="007C16BF">
      <w:pPr>
        <w:spacing w:line="276" w:lineRule="auto"/>
        <w:ind w:firstLine="567"/>
        <w:jc w:val="both"/>
        <w:rPr>
          <w:rFonts w:ascii="Arial" w:eastAsia="Times New Roman" w:hAnsi="Arial" w:cs="Arial"/>
          <w:i/>
          <w:szCs w:val="24"/>
          <w:lang w:val="es-ES" w:eastAsia="en-US"/>
        </w:rPr>
      </w:pPr>
      <w:r w:rsidRPr="007C16BF">
        <w:rPr>
          <w:rFonts w:ascii="Arial" w:eastAsia="Times New Roman" w:hAnsi="Arial" w:cs="Arial"/>
          <w:i/>
          <w:szCs w:val="24"/>
          <w:lang w:val="es-ES" w:eastAsia="en-US"/>
        </w:rPr>
        <w:t>I.- Multa de 1 a 100 veces el monto del salario mínimo diario vigente en la zona correspondiente en el Estado.</w:t>
      </w:r>
    </w:p>
    <w:p w14:paraId="3687168E" w14:textId="58973C11" w:rsidR="007C16BF" w:rsidRPr="007C16BF" w:rsidRDefault="007C16BF" w:rsidP="007C16BF">
      <w:pPr>
        <w:spacing w:line="276" w:lineRule="auto"/>
        <w:ind w:firstLine="567"/>
        <w:jc w:val="both"/>
        <w:rPr>
          <w:rFonts w:ascii="Arial" w:eastAsia="Times New Roman" w:hAnsi="Arial" w:cs="Arial"/>
          <w:i/>
          <w:szCs w:val="24"/>
          <w:lang w:val="es-ES" w:eastAsia="en-US"/>
        </w:rPr>
      </w:pPr>
      <w:r w:rsidRPr="007C16BF">
        <w:rPr>
          <w:rFonts w:ascii="Arial" w:eastAsia="Times New Roman" w:hAnsi="Arial" w:cs="Arial"/>
          <w:i/>
          <w:szCs w:val="24"/>
          <w:lang w:val="es-ES" w:eastAsia="en-US"/>
        </w:rPr>
        <w:t>II.- Suspensión de licencias para el manejo y tránsito de vehículos.</w:t>
      </w:r>
    </w:p>
    <w:p w14:paraId="0950FEDF" w14:textId="77790679" w:rsidR="007C16BF" w:rsidRPr="007C16BF" w:rsidRDefault="007C16BF" w:rsidP="007C16BF">
      <w:pPr>
        <w:spacing w:line="276" w:lineRule="auto"/>
        <w:ind w:firstLine="567"/>
        <w:jc w:val="both"/>
        <w:rPr>
          <w:rFonts w:ascii="Arial" w:eastAsia="Times New Roman" w:hAnsi="Arial" w:cs="Arial"/>
          <w:i/>
          <w:szCs w:val="24"/>
          <w:lang w:val="es-ES" w:eastAsia="en-US"/>
        </w:rPr>
      </w:pPr>
      <w:r w:rsidRPr="007C16BF">
        <w:rPr>
          <w:rFonts w:ascii="Arial" w:eastAsia="Times New Roman" w:hAnsi="Arial" w:cs="Arial"/>
          <w:i/>
          <w:szCs w:val="24"/>
          <w:lang w:val="es-ES" w:eastAsia="en-US"/>
        </w:rPr>
        <w:t>III.- Cancelación de licencias para el manejo y tránsito de vehículos.</w:t>
      </w:r>
    </w:p>
    <w:p w14:paraId="3CE833E3" w14:textId="59C1BB5E" w:rsidR="007C16BF" w:rsidRPr="007C16BF" w:rsidRDefault="007C16BF" w:rsidP="007C16BF">
      <w:pPr>
        <w:spacing w:line="276" w:lineRule="auto"/>
        <w:ind w:firstLine="567"/>
        <w:jc w:val="both"/>
        <w:rPr>
          <w:rFonts w:ascii="Arial" w:eastAsia="Times New Roman" w:hAnsi="Arial" w:cs="Arial"/>
          <w:i/>
          <w:szCs w:val="24"/>
          <w:lang w:val="es-ES" w:eastAsia="en-US"/>
        </w:rPr>
      </w:pPr>
      <w:r w:rsidRPr="007C16BF">
        <w:rPr>
          <w:rFonts w:ascii="Arial" w:eastAsia="Times New Roman" w:hAnsi="Arial" w:cs="Arial"/>
          <w:i/>
          <w:szCs w:val="24"/>
          <w:lang w:val="es-ES" w:eastAsia="en-US"/>
        </w:rPr>
        <w:t>(…)</w:t>
      </w:r>
    </w:p>
    <w:p w14:paraId="0E39C831" w14:textId="156FC15E" w:rsidR="007C16BF" w:rsidRPr="007C16BF" w:rsidRDefault="007C16BF" w:rsidP="007C16BF">
      <w:pPr>
        <w:spacing w:line="276" w:lineRule="auto"/>
        <w:ind w:firstLine="567"/>
        <w:jc w:val="both"/>
        <w:rPr>
          <w:rFonts w:ascii="Arial" w:eastAsia="Times New Roman" w:hAnsi="Arial" w:cs="Arial"/>
          <w:i/>
          <w:szCs w:val="24"/>
          <w:lang w:val="es-ES" w:eastAsia="en-US"/>
        </w:rPr>
      </w:pPr>
      <w:r w:rsidRPr="007C16BF">
        <w:rPr>
          <w:rFonts w:ascii="Arial" w:eastAsia="Times New Roman" w:hAnsi="Arial" w:cs="Arial"/>
          <w:i/>
          <w:szCs w:val="24"/>
          <w:lang w:val="es-ES" w:eastAsia="en-US"/>
        </w:rPr>
        <w:t>V.- Arresto.”</w:t>
      </w:r>
    </w:p>
    <w:p w14:paraId="04A7B7AC" w14:textId="14281C5D" w:rsidR="00053D29" w:rsidRPr="00053D29" w:rsidRDefault="007C16BF" w:rsidP="00157BA7">
      <w:pPr>
        <w:spacing w:line="360" w:lineRule="auto"/>
        <w:ind w:firstLine="567"/>
        <w:jc w:val="both"/>
        <w:rPr>
          <w:rFonts w:ascii="Arial" w:eastAsia="Times New Roman" w:hAnsi="Arial" w:cs="Arial"/>
          <w:bCs/>
          <w:sz w:val="24"/>
          <w:szCs w:val="24"/>
          <w:lang w:val="es-ES" w:eastAsia="en-US"/>
        </w:rPr>
      </w:pPr>
      <w:r>
        <w:rPr>
          <w:rFonts w:ascii="Arial" w:eastAsia="Times New Roman" w:hAnsi="Arial" w:cs="Arial"/>
          <w:sz w:val="24"/>
          <w:szCs w:val="24"/>
          <w:lang w:val="es-ES" w:eastAsia="en-US"/>
        </w:rPr>
        <w:t xml:space="preserve">Ahora bien, </w:t>
      </w:r>
      <w:r w:rsidR="00053D29" w:rsidRPr="00053D29">
        <w:rPr>
          <w:rFonts w:ascii="Arial" w:eastAsia="Times New Roman" w:hAnsi="Arial" w:cs="Arial"/>
          <w:bCs/>
          <w:sz w:val="24"/>
          <w:szCs w:val="24"/>
          <w:lang w:val="es-ES" w:eastAsia="en-US"/>
        </w:rPr>
        <w:t>los artículos primero y segundo transitorios de la Ley de Tránsito y Vialidad del Estado de Oaxaca, publicada en el Periódico Oficial del Estado, el once de abril de dos mil dieciséis, establecen:</w:t>
      </w:r>
    </w:p>
    <w:p w14:paraId="313E05BF" w14:textId="77777777" w:rsidR="00053D29" w:rsidRPr="00053D29" w:rsidRDefault="00053D29" w:rsidP="00053D29">
      <w:pPr>
        <w:ind w:left="851" w:right="283"/>
        <w:jc w:val="both"/>
        <w:rPr>
          <w:rFonts w:ascii="Arial" w:eastAsia="Times New Roman" w:hAnsi="Arial" w:cs="Arial"/>
          <w:i/>
          <w:color w:val="000000"/>
          <w:lang w:eastAsia="en-US"/>
        </w:rPr>
      </w:pPr>
      <w:r w:rsidRPr="00053D29">
        <w:rPr>
          <w:rFonts w:ascii="Arial" w:eastAsia="Times New Roman" w:hAnsi="Arial" w:cs="Arial"/>
          <w:b/>
          <w:i/>
          <w:color w:val="000000"/>
          <w:lang w:eastAsia="en-US"/>
        </w:rPr>
        <w:t>“…PRIMERO.</w:t>
      </w:r>
      <w:r w:rsidRPr="00053D29">
        <w:rPr>
          <w:rFonts w:ascii="Arial" w:eastAsia="Times New Roman" w:hAnsi="Arial" w:cs="Arial"/>
          <w:i/>
          <w:color w:val="000000"/>
          <w:lang w:eastAsia="en-US"/>
        </w:rPr>
        <w:t xml:space="preserve"> La presente Ley entrará en vigor al día siguiente de su publicación en el Periódico Oficial del Gobierno del Estado.</w:t>
      </w:r>
    </w:p>
    <w:p w14:paraId="336F3612" w14:textId="77777777" w:rsidR="00053D29" w:rsidRPr="00053D29" w:rsidRDefault="00053D29" w:rsidP="00053D29">
      <w:pPr>
        <w:ind w:left="851" w:right="283"/>
        <w:jc w:val="both"/>
        <w:rPr>
          <w:rFonts w:ascii="Arial" w:eastAsia="Times New Roman" w:hAnsi="Arial" w:cs="Arial"/>
          <w:i/>
          <w:color w:val="000000"/>
          <w:lang w:eastAsia="en-US"/>
        </w:rPr>
      </w:pPr>
      <w:r w:rsidRPr="00053D29">
        <w:rPr>
          <w:rFonts w:ascii="Arial" w:eastAsia="Times New Roman" w:hAnsi="Arial" w:cs="Arial"/>
          <w:b/>
          <w:i/>
          <w:color w:val="000000"/>
          <w:lang w:eastAsia="en-US"/>
        </w:rPr>
        <w:t>SEGUNDO.</w:t>
      </w:r>
      <w:r w:rsidRPr="00053D29">
        <w:rPr>
          <w:rFonts w:ascii="Arial" w:eastAsia="Times New Roman" w:hAnsi="Arial" w:cs="Arial"/>
          <w:i/>
          <w:color w:val="000000"/>
          <w:lang w:eastAsia="en-US"/>
        </w:rPr>
        <w:t xml:space="preserve"> </w:t>
      </w:r>
      <w:r w:rsidRPr="00053D29">
        <w:rPr>
          <w:rFonts w:ascii="Arial" w:eastAsia="Times New Roman" w:hAnsi="Arial" w:cs="Arial"/>
          <w:b/>
          <w:i/>
          <w:color w:val="000000"/>
          <w:lang w:eastAsia="en-US"/>
        </w:rPr>
        <w:t>Se abroga la Ley de Tránsito Reformada</w:t>
      </w:r>
      <w:r w:rsidRPr="00053D29">
        <w:rPr>
          <w:rFonts w:ascii="Arial" w:eastAsia="Times New Roman" w:hAnsi="Arial" w:cs="Arial"/>
          <w:i/>
          <w:color w:val="000000"/>
          <w:lang w:eastAsia="en-US"/>
        </w:rPr>
        <w:t>, publicada en el Periódico Oficial Órgano del Gobierno Constitucional del Estado Libre y Soberano de Oaxaca, con fecha 5 de julio de 1969…”</w:t>
      </w:r>
    </w:p>
    <w:p w14:paraId="4C7A2788" w14:textId="77777777" w:rsidR="00053D29" w:rsidRPr="00053D29" w:rsidRDefault="00053D29" w:rsidP="00053D29">
      <w:pPr>
        <w:spacing w:after="0"/>
        <w:ind w:left="851" w:right="283"/>
        <w:jc w:val="both"/>
        <w:rPr>
          <w:rFonts w:ascii="Arial" w:eastAsia="Times New Roman" w:hAnsi="Arial" w:cs="Arial"/>
          <w:b/>
          <w:i/>
          <w:color w:val="000000"/>
          <w:sz w:val="21"/>
          <w:szCs w:val="21"/>
          <w:lang w:eastAsia="en-US"/>
        </w:rPr>
      </w:pPr>
      <w:r w:rsidRPr="00053D29">
        <w:rPr>
          <w:rFonts w:ascii="Arial" w:eastAsia="Times New Roman" w:hAnsi="Arial" w:cs="Arial"/>
          <w:b/>
          <w:i/>
          <w:color w:val="000000"/>
          <w:sz w:val="21"/>
          <w:szCs w:val="21"/>
          <w:lang w:eastAsia="en-US"/>
        </w:rPr>
        <w:t>(Énfasis añadido)</w:t>
      </w:r>
    </w:p>
    <w:p w14:paraId="054B61D4" w14:textId="77777777" w:rsidR="00053D29" w:rsidRPr="00053D29" w:rsidRDefault="00053D29" w:rsidP="00053D29">
      <w:pPr>
        <w:spacing w:after="0"/>
        <w:ind w:left="851" w:right="283"/>
        <w:jc w:val="both"/>
        <w:rPr>
          <w:rFonts w:ascii="Arial" w:eastAsia="Times New Roman" w:hAnsi="Arial" w:cs="Arial"/>
          <w:b/>
          <w:i/>
          <w:color w:val="000000"/>
          <w:sz w:val="21"/>
          <w:szCs w:val="21"/>
          <w:lang w:eastAsia="en-US"/>
        </w:rPr>
      </w:pPr>
    </w:p>
    <w:p w14:paraId="37F4B831" w14:textId="64BB4495" w:rsidR="00053D29" w:rsidRPr="00053D29" w:rsidRDefault="00053D29" w:rsidP="00053D29">
      <w:pPr>
        <w:spacing w:line="360" w:lineRule="auto"/>
        <w:ind w:firstLine="567"/>
        <w:jc w:val="both"/>
        <w:rPr>
          <w:rFonts w:ascii="Arial" w:eastAsia="Times New Roman" w:hAnsi="Arial" w:cs="Arial"/>
          <w:b/>
          <w:bCs/>
          <w:sz w:val="24"/>
          <w:szCs w:val="24"/>
          <w:lang w:val="es-ES" w:eastAsia="en-US"/>
        </w:rPr>
      </w:pPr>
      <w:r w:rsidRPr="00053D29">
        <w:rPr>
          <w:rFonts w:ascii="Arial" w:eastAsia="Times New Roman" w:hAnsi="Arial" w:cs="Arial"/>
          <w:sz w:val="24"/>
          <w:szCs w:val="24"/>
          <w:lang w:val="es-ES" w:eastAsia="en-US"/>
        </w:rPr>
        <w:lastRenderedPageBreak/>
        <w:t>De los artículos transcritos, se advierte que la Ley de Tr</w:t>
      </w:r>
      <w:r w:rsidR="005F1CBA">
        <w:rPr>
          <w:rFonts w:ascii="Arial" w:eastAsia="Times New Roman" w:hAnsi="Arial" w:cs="Arial"/>
          <w:sz w:val="24"/>
          <w:szCs w:val="24"/>
          <w:lang w:val="es-ES" w:eastAsia="en-US"/>
        </w:rPr>
        <w:t xml:space="preserve">ánsito </w:t>
      </w:r>
      <w:r w:rsidRPr="00053D29">
        <w:rPr>
          <w:rFonts w:ascii="Arial" w:eastAsia="Times New Roman" w:hAnsi="Arial" w:cs="Arial"/>
          <w:sz w:val="24"/>
          <w:szCs w:val="24"/>
          <w:lang w:val="es-ES" w:eastAsia="en-US"/>
        </w:rPr>
        <w:t>y Vialidad del Estado de Oaxaca, entró</w:t>
      </w:r>
      <w:r w:rsidRPr="00053D29">
        <w:rPr>
          <w:rFonts w:ascii="Arial" w:eastAsia="Times New Roman" w:hAnsi="Arial" w:cs="Arial"/>
          <w:bCs/>
          <w:sz w:val="24"/>
          <w:szCs w:val="24"/>
          <w:lang w:val="es-ES" w:eastAsia="en-US"/>
        </w:rPr>
        <w:t xml:space="preserve"> en vigor al día siguiente de su publicación en el periódico oficial del Gobierno del Estado, esto es, </w:t>
      </w:r>
      <w:r w:rsidRPr="00053D29">
        <w:rPr>
          <w:rFonts w:ascii="Arial" w:eastAsia="Times New Roman" w:hAnsi="Arial" w:cs="Arial"/>
          <w:b/>
          <w:bCs/>
          <w:sz w:val="24"/>
          <w:szCs w:val="24"/>
          <w:lang w:val="es-ES" w:eastAsia="en-US"/>
        </w:rPr>
        <w:t xml:space="preserve">el doce de abril de dos mil dieciséis; por lo tanto, a partir de ese momento quedaba abrogada la Ley de Tránsito Reformada. </w:t>
      </w:r>
    </w:p>
    <w:p w14:paraId="42DE6DE1" w14:textId="7E47EC03" w:rsidR="00EA0ED2" w:rsidRDefault="00053D29" w:rsidP="00E55107">
      <w:pPr>
        <w:spacing w:line="360" w:lineRule="auto"/>
        <w:ind w:right="-143" w:firstLine="567"/>
        <w:jc w:val="both"/>
        <w:rPr>
          <w:rFonts w:ascii="Arial" w:eastAsia="Times New Roman" w:hAnsi="Arial" w:cs="Arial"/>
          <w:bCs/>
          <w:color w:val="000000"/>
          <w:sz w:val="24"/>
          <w:szCs w:val="24"/>
          <w:lang w:val="es-ES" w:eastAsia="en-US"/>
        </w:rPr>
      </w:pPr>
      <w:r w:rsidRPr="00053D29">
        <w:rPr>
          <w:rFonts w:ascii="Arial" w:eastAsia="Times New Roman" w:hAnsi="Arial" w:cs="Arial"/>
          <w:bCs/>
          <w:sz w:val="24"/>
          <w:szCs w:val="24"/>
          <w:lang w:val="es-ES" w:eastAsia="en-US"/>
        </w:rPr>
        <w:t>Al respecto, cabe precisar</w:t>
      </w:r>
      <w:r w:rsidRPr="00053D29">
        <w:rPr>
          <w:rFonts w:ascii="Arial" w:eastAsia="Times New Roman" w:hAnsi="Arial" w:cs="Arial"/>
          <w:bCs/>
          <w:color w:val="FF0000"/>
          <w:sz w:val="24"/>
          <w:szCs w:val="24"/>
          <w:lang w:val="es-ES" w:eastAsia="en-US"/>
        </w:rPr>
        <w:t xml:space="preserve"> </w:t>
      </w:r>
      <w:r w:rsidRPr="00053D29">
        <w:rPr>
          <w:rFonts w:ascii="Arial" w:eastAsia="Times New Roman" w:hAnsi="Arial" w:cs="Arial"/>
          <w:bCs/>
          <w:color w:val="000000"/>
          <w:sz w:val="24"/>
          <w:szCs w:val="24"/>
          <w:lang w:val="es-ES" w:eastAsia="en-US"/>
        </w:rPr>
        <w:t xml:space="preserve">que, </w:t>
      </w:r>
      <w:r w:rsidRPr="00053D29">
        <w:rPr>
          <w:rFonts w:ascii="Arial" w:eastAsia="Times New Roman" w:hAnsi="Arial" w:cs="Arial"/>
          <w:b/>
          <w:bCs/>
          <w:color w:val="000000"/>
          <w:sz w:val="24"/>
          <w:szCs w:val="24"/>
          <w:lang w:val="es-ES" w:eastAsia="en-US"/>
        </w:rPr>
        <w:t>abrogación</w:t>
      </w:r>
      <w:r w:rsidR="00E55107">
        <w:rPr>
          <w:rFonts w:ascii="Arial" w:eastAsia="Times New Roman" w:hAnsi="Arial" w:cs="Arial"/>
          <w:bCs/>
          <w:color w:val="000000"/>
          <w:sz w:val="24"/>
          <w:szCs w:val="24"/>
          <w:lang w:val="es-ES" w:eastAsia="en-US"/>
        </w:rPr>
        <w:t xml:space="preserve"> es definida como </w:t>
      </w:r>
      <w:r w:rsidRPr="00053D29">
        <w:rPr>
          <w:rFonts w:ascii="Arial" w:eastAsia="Times New Roman" w:hAnsi="Arial" w:cs="Arial"/>
          <w:bCs/>
          <w:i/>
          <w:color w:val="000000"/>
          <w:sz w:val="24"/>
          <w:szCs w:val="24"/>
          <w:lang w:val="es-ES" w:eastAsia="en-US"/>
        </w:rPr>
        <w:t>la supresión total de la vigencia y, por tanto, de la obligatoriedad de una ley</w:t>
      </w:r>
      <w:r w:rsidRPr="00053D29">
        <w:rPr>
          <w:rFonts w:ascii="Arial" w:eastAsia="Times New Roman" w:hAnsi="Arial" w:cs="Arial"/>
          <w:bCs/>
          <w:color w:val="000000"/>
          <w:sz w:val="24"/>
          <w:szCs w:val="24"/>
          <w:lang w:val="es-ES" w:eastAsia="en-US"/>
        </w:rPr>
        <w:t>”.</w:t>
      </w:r>
      <w:r w:rsidR="00E55107">
        <w:rPr>
          <w:rFonts w:ascii="Arial" w:eastAsia="Times New Roman" w:hAnsi="Arial" w:cs="Arial"/>
          <w:bCs/>
          <w:color w:val="000000"/>
          <w:sz w:val="24"/>
          <w:szCs w:val="24"/>
          <w:lang w:val="es-ES" w:eastAsia="en-US"/>
        </w:rPr>
        <w:t xml:space="preserve"> </w:t>
      </w:r>
      <w:r w:rsidR="00EA0ED2">
        <w:rPr>
          <w:rFonts w:ascii="Arial" w:eastAsia="Times New Roman" w:hAnsi="Arial" w:cs="Arial"/>
          <w:bCs/>
          <w:color w:val="000000"/>
          <w:sz w:val="24"/>
          <w:szCs w:val="24"/>
          <w:lang w:val="es-ES" w:eastAsia="en-US"/>
        </w:rPr>
        <w:t xml:space="preserve">Así </w:t>
      </w:r>
      <w:r w:rsidR="00464EEB">
        <w:rPr>
          <w:rFonts w:ascii="Arial" w:eastAsia="Times New Roman" w:hAnsi="Arial" w:cs="Arial"/>
          <w:bCs/>
          <w:color w:val="000000"/>
          <w:sz w:val="24"/>
          <w:szCs w:val="24"/>
          <w:lang w:val="es-ES" w:eastAsia="en-US"/>
        </w:rPr>
        <w:t xml:space="preserve">mismo, </w:t>
      </w:r>
      <w:r w:rsidR="00E55107">
        <w:rPr>
          <w:rFonts w:ascii="Arial" w:eastAsia="Times New Roman" w:hAnsi="Arial" w:cs="Arial"/>
          <w:bCs/>
          <w:color w:val="000000"/>
          <w:sz w:val="24"/>
          <w:szCs w:val="24"/>
          <w:lang w:val="es-ES" w:eastAsia="en-US"/>
        </w:rPr>
        <w:t>el artículo 8 del Código Civil del Estado, establece:</w:t>
      </w:r>
    </w:p>
    <w:p w14:paraId="64C896A4" w14:textId="751E44A5" w:rsidR="00E55107" w:rsidRPr="00053D29" w:rsidRDefault="00E55107" w:rsidP="00E55107">
      <w:pPr>
        <w:spacing w:line="360" w:lineRule="auto"/>
        <w:ind w:left="567" w:right="283" w:firstLine="567"/>
        <w:jc w:val="both"/>
        <w:rPr>
          <w:rFonts w:ascii="Arial" w:eastAsia="Times New Roman" w:hAnsi="Arial" w:cs="Arial"/>
          <w:bCs/>
          <w:i/>
          <w:color w:val="000000"/>
          <w:sz w:val="24"/>
          <w:szCs w:val="24"/>
          <w:lang w:val="es-ES" w:eastAsia="en-US"/>
        </w:rPr>
      </w:pPr>
      <w:r w:rsidRPr="00E55107">
        <w:rPr>
          <w:rFonts w:ascii="Arial" w:eastAsia="Times New Roman" w:hAnsi="Arial" w:cs="Arial"/>
          <w:bCs/>
          <w:i/>
          <w:color w:val="000000"/>
          <w:sz w:val="24"/>
          <w:szCs w:val="24"/>
          <w:lang w:val="es-ES" w:eastAsia="en-US"/>
        </w:rPr>
        <w:t>“</w:t>
      </w:r>
      <w:r w:rsidRPr="00E55107">
        <w:rPr>
          <w:rFonts w:ascii="Arial" w:eastAsia="Times New Roman" w:hAnsi="Arial" w:cs="Arial"/>
          <w:b/>
          <w:bCs/>
          <w:i/>
          <w:color w:val="000000"/>
          <w:sz w:val="24"/>
          <w:szCs w:val="24"/>
          <w:lang w:val="es-ES" w:eastAsia="en-US"/>
        </w:rPr>
        <w:t>Artículo 8°.-</w:t>
      </w:r>
      <w:r w:rsidRPr="00E55107">
        <w:rPr>
          <w:rFonts w:ascii="Arial" w:eastAsia="Times New Roman" w:hAnsi="Arial" w:cs="Arial"/>
          <w:bCs/>
          <w:i/>
          <w:color w:val="000000"/>
          <w:sz w:val="24"/>
          <w:szCs w:val="24"/>
          <w:lang w:val="es-ES" w:eastAsia="en-US"/>
        </w:rPr>
        <w:t xml:space="preserve"> La ley sólo queda abrogada o derogada por otra posterior que así lo declare expresamente, o que contenga disposiciones total o parcialmente incompatibles con la ley anterior.”</w:t>
      </w:r>
    </w:p>
    <w:p w14:paraId="5DD3B57C" w14:textId="0B238A6A" w:rsidR="003F394E" w:rsidRPr="003F394E" w:rsidRDefault="003F394E" w:rsidP="003F394E">
      <w:pPr>
        <w:spacing w:line="360" w:lineRule="auto"/>
        <w:ind w:firstLine="567"/>
        <w:jc w:val="both"/>
        <w:rPr>
          <w:rFonts w:ascii="Arial" w:eastAsia="Times New Roman" w:hAnsi="Arial" w:cs="Arial"/>
          <w:bCs/>
          <w:color w:val="000000"/>
          <w:sz w:val="24"/>
          <w:szCs w:val="24"/>
          <w:lang w:eastAsia="en-US"/>
        </w:rPr>
      </w:pPr>
      <w:r>
        <w:rPr>
          <w:rFonts w:ascii="Arial" w:eastAsia="Times New Roman" w:hAnsi="Arial" w:cs="Arial"/>
          <w:bCs/>
          <w:color w:val="000000"/>
          <w:sz w:val="24"/>
          <w:szCs w:val="24"/>
          <w:lang w:eastAsia="en-US"/>
        </w:rPr>
        <w:t>Por ello,</w:t>
      </w:r>
      <w:r w:rsidRPr="003F394E">
        <w:rPr>
          <w:rFonts w:ascii="Arial" w:eastAsia="Times New Roman" w:hAnsi="Arial" w:cs="Arial"/>
          <w:bCs/>
          <w:color w:val="000000"/>
          <w:sz w:val="24"/>
          <w:szCs w:val="24"/>
          <w:lang w:eastAsia="en-US"/>
        </w:rPr>
        <w:t xml:space="preserve"> la ley sólo queda abrogada o derogada por otra posterior que así lo declare </w:t>
      </w:r>
      <w:r w:rsidRPr="003F394E">
        <w:rPr>
          <w:rFonts w:ascii="Arial" w:eastAsia="Times New Roman" w:hAnsi="Arial" w:cs="Arial"/>
          <w:b/>
          <w:bCs/>
          <w:color w:val="000000"/>
          <w:sz w:val="24"/>
          <w:szCs w:val="24"/>
          <w:lang w:eastAsia="en-US"/>
        </w:rPr>
        <w:t>expresamente</w:t>
      </w:r>
      <w:r w:rsidRPr="003F394E">
        <w:rPr>
          <w:rFonts w:ascii="Arial" w:eastAsia="Times New Roman" w:hAnsi="Arial" w:cs="Arial"/>
          <w:bCs/>
          <w:color w:val="000000"/>
          <w:sz w:val="24"/>
          <w:szCs w:val="24"/>
          <w:lang w:eastAsia="en-US"/>
        </w:rPr>
        <w:t xml:space="preserve"> o que contenga disposiciones total o parcialmente inc</w:t>
      </w:r>
      <w:r>
        <w:rPr>
          <w:rFonts w:ascii="Arial" w:eastAsia="Times New Roman" w:hAnsi="Arial" w:cs="Arial"/>
          <w:bCs/>
          <w:color w:val="000000"/>
          <w:sz w:val="24"/>
          <w:szCs w:val="24"/>
          <w:lang w:eastAsia="en-US"/>
        </w:rPr>
        <w:t>ompatibles con la ley anterior.</w:t>
      </w:r>
    </w:p>
    <w:p w14:paraId="21C238CB" w14:textId="1940E3B8" w:rsidR="003F394E" w:rsidRPr="003F394E" w:rsidRDefault="003F394E" w:rsidP="003F394E">
      <w:pPr>
        <w:spacing w:line="360" w:lineRule="auto"/>
        <w:ind w:firstLine="567"/>
        <w:jc w:val="both"/>
        <w:rPr>
          <w:rFonts w:ascii="Arial" w:eastAsia="Times New Roman" w:hAnsi="Arial" w:cs="Arial"/>
          <w:bCs/>
          <w:color w:val="000000"/>
          <w:sz w:val="24"/>
          <w:szCs w:val="24"/>
          <w:lang w:eastAsia="en-US"/>
        </w:rPr>
      </w:pPr>
      <w:r w:rsidRPr="003F394E">
        <w:rPr>
          <w:rFonts w:ascii="Arial" w:eastAsia="Times New Roman" w:hAnsi="Arial" w:cs="Arial"/>
          <w:bCs/>
          <w:color w:val="000000"/>
          <w:sz w:val="24"/>
          <w:szCs w:val="24"/>
          <w:lang w:eastAsia="en-US"/>
        </w:rPr>
        <w:t xml:space="preserve">De lo anterior se deducen dos clases de derogación, </w:t>
      </w:r>
      <w:r w:rsidRPr="003F394E">
        <w:rPr>
          <w:rFonts w:ascii="Arial" w:eastAsia="Times New Roman" w:hAnsi="Arial" w:cs="Arial"/>
          <w:b/>
          <w:bCs/>
          <w:color w:val="000000"/>
          <w:sz w:val="24"/>
          <w:szCs w:val="24"/>
          <w:lang w:eastAsia="en-US"/>
        </w:rPr>
        <w:t>expresa</w:t>
      </w:r>
      <w:r w:rsidRPr="003F394E">
        <w:rPr>
          <w:rFonts w:ascii="Arial" w:eastAsia="Times New Roman" w:hAnsi="Arial" w:cs="Arial"/>
          <w:bCs/>
          <w:color w:val="000000"/>
          <w:sz w:val="24"/>
          <w:szCs w:val="24"/>
          <w:lang w:eastAsia="en-US"/>
        </w:rPr>
        <w:t xml:space="preserve">, cuando en una ley se declara la supresión total o parcial de otra anterior que regía sobre la misma materia, y </w:t>
      </w:r>
      <w:r w:rsidRPr="003F394E">
        <w:rPr>
          <w:rFonts w:ascii="Arial" w:eastAsia="Times New Roman" w:hAnsi="Arial" w:cs="Arial"/>
          <w:b/>
          <w:bCs/>
          <w:color w:val="000000"/>
          <w:sz w:val="24"/>
          <w:szCs w:val="24"/>
          <w:lang w:eastAsia="en-US"/>
        </w:rPr>
        <w:t>tácita</w:t>
      </w:r>
      <w:r w:rsidRPr="003F394E">
        <w:rPr>
          <w:rFonts w:ascii="Arial" w:eastAsia="Times New Roman" w:hAnsi="Arial" w:cs="Arial"/>
          <w:bCs/>
          <w:color w:val="000000"/>
          <w:sz w:val="24"/>
          <w:szCs w:val="24"/>
          <w:lang w:eastAsia="en-US"/>
        </w:rPr>
        <w:t>, cuando queda abolida una norma jurídica al emitirse una nueva ley que la sustituya o que contenga preceptos contradictorios.</w:t>
      </w:r>
    </w:p>
    <w:p w14:paraId="4FDDF6DE" w14:textId="1FFFA8EE" w:rsidR="00053D29" w:rsidRPr="00053D29" w:rsidRDefault="00053D29" w:rsidP="004F04A3">
      <w:pPr>
        <w:spacing w:line="360" w:lineRule="auto"/>
        <w:ind w:firstLine="567"/>
        <w:jc w:val="both"/>
        <w:rPr>
          <w:rFonts w:ascii="Arial" w:eastAsia="Times New Roman" w:hAnsi="Arial" w:cs="Arial"/>
          <w:bCs/>
          <w:color w:val="000000"/>
          <w:sz w:val="24"/>
          <w:szCs w:val="24"/>
          <w:lang w:val="es-ES" w:eastAsia="en-US"/>
        </w:rPr>
      </w:pPr>
      <w:r w:rsidRPr="00053D29">
        <w:rPr>
          <w:rFonts w:ascii="Arial" w:eastAsia="Times New Roman" w:hAnsi="Arial" w:cs="Arial"/>
          <w:bCs/>
          <w:color w:val="000000"/>
          <w:sz w:val="24"/>
          <w:szCs w:val="24"/>
          <w:lang w:val="es-ES" w:eastAsia="en-US"/>
        </w:rPr>
        <w:t xml:space="preserve">Por lo tanto, </w:t>
      </w:r>
      <w:r w:rsidR="00045FEC">
        <w:rPr>
          <w:rFonts w:ascii="Arial" w:eastAsia="Times New Roman" w:hAnsi="Arial" w:cs="Arial"/>
          <w:bCs/>
          <w:color w:val="000000"/>
          <w:sz w:val="24"/>
          <w:szCs w:val="24"/>
          <w:lang w:val="es-ES" w:eastAsia="en-US"/>
        </w:rPr>
        <w:t>en términos del artículo trans</w:t>
      </w:r>
      <w:r w:rsidR="004F04A3">
        <w:rPr>
          <w:rFonts w:ascii="Arial" w:eastAsia="Times New Roman" w:hAnsi="Arial" w:cs="Arial"/>
          <w:bCs/>
          <w:color w:val="000000"/>
          <w:sz w:val="24"/>
          <w:szCs w:val="24"/>
          <w:lang w:val="es-ES" w:eastAsia="en-US"/>
        </w:rPr>
        <w:t>crito, se actualizó</w:t>
      </w:r>
      <w:r w:rsidR="00045FEC">
        <w:rPr>
          <w:rFonts w:ascii="Arial" w:eastAsia="Times New Roman" w:hAnsi="Arial" w:cs="Arial"/>
          <w:bCs/>
          <w:color w:val="000000"/>
          <w:sz w:val="24"/>
          <w:szCs w:val="24"/>
          <w:lang w:val="es-ES" w:eastAsia="en-US"/>
        </w:rPr>
        <w:t xml:space="preserve"> una </w:t>
      </w:r>
      <w:r w:rsidR="00045FEC" w:rsidRPr="00045FEC">
        <w:rPr>
          <w:rFonts w:ascii="Arial" w:eastAsia="Times New Roman" w:hAnsi="Arial" w:cs="Arial"/>
          <w:b/>
          <w:bCs/>
          <w:color w:val="000000"/>
          <w:sz w:val="24"/>
          <w:szCs w:val="24"/>
          <w:lang w:val="es-ES" w:eastAsia="en-US"/>
        </w:rPr>
        <w:t>abrogación</w:t>
      </w:r>
      <w:r w:rsidR="00045FEC">
        <w:rPr>
          <w:rFonts w:ascii="Arial" w:eastAsia="Times New Roman" w:hAnsi="Arial" w:cs="Arial"/>
          <w:bCs/>
          <w:color w:val="000000"/>
          <w:sz w:val="24"/>
          <w:szCs w:val="24"/>
          <w:lang w:val="es-ES" w:eastAsia="en-US"/>
        </w:rPr>
        <w:t xml:space="preserve"> </w:t>
      </w:r>
      <w:r w:rsidR="004F04A3">
        <w:rPr>
          <w:rFonts w:ascii="Arial" w:eastAsia="Times New Roman" w:hAnsi="Arial" w:cs="Arial"/>
          <w:b/>
          <w:bCs/>
          <w:color w:val="000000"/>
          <w:sz w:val="24"/>
          <w:szCs w:val="24"/>
          <w:lang w:val="es-ES" w:eastAsia="en-US"/>
        </w:rPr>
        <w:t xml:space="preserve">expresa </w:t>
      </w:r>
      <w:r w:rsidR="00045FEC">
        <w:rPr>
          <w:rFonts w:ascii="Arial" w:eastAsia="Times New Roman" w:hAnsi="Arial" w:cs="Arial"/>
          <w:bCs/>
          <w:color w:val="000000"/>
          <w:sz w:val="24"/>
          <w:szCs w:val="24"/>
          <w:lang w:val="es-ES" w:eastAsia="en-US"/>
        </w:rPr>
        <w:t xml:space="preserve">de la Ley de Tránsito Reformada, </w:t>
      </w:r>
      <w:r w:rsidR="004F04A3">
        <w:rPr>
          <w:rFonts w:ascii="Arial" w:eastAsia="Times New Roman" w:hAnsi="Arial" w:cs="Arial"/>
          <w:bCs/>
          <w:color w:val="000000"/>
          <w:sz w:val="24"/>
          <w:szCs w:val="24"/>
          <w:lang w:val="es-ES" w:eastAsia="en-US"/>
        </w:rPr>
        <w:t xml:space="preserve">por la </w:t>
      </w:r>
      <w:r w:rsidR="00F20681">
        <w:rPr>
          <w:rFonts w:ascii="Arial" w:eastAsia="Times New Roman" w:hAnsi="Arial" w:cs="Arial"/>
          <w:bCs/>
          <w:color w:val="000000"/>
          <w:sz w:val="24"/>
          <w:szCs w:val="24"/>
          <w:lang w:val="es-ES" w:eastAsia="en-US"/>
        </w:rPr>
        <w:t xml:space="preserve"> Ley de Tránsito y </w:t>
      </w:r>
      <w:r w:rsidRPr="00053D29">
        <w:rPr>
          <w:rFonts w:ascii="Arial" w:eastAsia="Times New Roman" w:hAnsi="Arial" w:cs="Arial"/>
          <w:bCs/>
          <w:color w:val="000000"/>
          <w:sz w:val="24"/>
          <w:szCs w:val="24"/>
          <w:lang w:val="es-ES" w:eastAsia="en-US"/>
        </w:rPr>
        <w:t>Vialidad del Estado de Oaxaca, esto es, suprimió totalmente la vigencia de este ordenamiento legal;</w:t>
      </w:r>
      <w:r w:rsidRPr="00053D29">
        <w:rPr>
          <w:rFonts w:ascii="Arial" w:eastAsia="Times New Roman" w:hAnsi="Arial" w:cs="Arial"/>
          <w:bCs/>
          <w:color w:val="FF0000"/>
          <w:sz w:val="24"/>
          <w:szCs w:val="24"/>
          <w:lang w:val="es-ES" w:eastAsia="en-US"/>
        </w:rPr>
        <w:t xml:space="preserve"> </w:t>
      </w:r>
      <w:r w:rsidRPr="00053D29">
        <w:rPr>
          <w:rFonts w:ascii="Arial" w:eastAsia="Times New Roman" w:hAnsi="Arial" w:cs="Arial"/>
          <w:bCs/>
          <w:color w:val="000000"/>
          <w:sz w:val="24"/>
          <w:szCs w:val="24"/>
          <w:lang w:val="es-ES" w:eastAsia="en-US"/>
        </w:rPr>
        <w:t>resulta inconcuso que con la entra</w:t>
      </w:r>
      <w:r w:rsidR="00F20681">
        <w:rPr>
          <w:rFonts w:ascii="Arial" w:eastAsia="Times New Roman" w:hAnsi="Arial" w:cs="Arial"/>
          <w:bCs/>
          <w:color w:val="000000"/>
          <w:sz w:val="24"/>
          <w:szCs w:val="24"/>
          <w:lang w:val="es-ES" w:eastAsia="en-US"/>
        </w:rPr>
        <w:t xml:space="preserve">da en vigor la Ley de Tránsito </w:t>
      </w:r>
      <w:r w:rsidRPr="00053D29">
        <w:rPr>
          <w:rFonts w:ascii="Arial" w:eastAsia="Times New Roman" w:hAnsi="Arial" w:cs="Arial"/>
          <w:bCs/>
          <w:color w:val="000000"/>
          <w:sz w:val="24"/>
          <w:szCs w:val="24"/>
          <w:lang w:val="es-ES" w:eastAsia="en-US"/>
        </w:rPr>
        <w:t>y Vialidad del Estado de Oaxaca, dejó de estar vigente la</w:t>
      </w:r>
      <w:r w:rsidRPr="00053D29">
        <w:rPr>
          <w:rFonts w:ascii="Arial" w:eastAsia="Times New Roman" w:hAnsi="Arial" w:cs="Arial"/>
          <w:bCs/>
          <w:color w:val="FF0000"/>
          <w:sz w:val="24"/>
          <w:szCs w:val="24"/>
          <w:lang w:val="es-ES" w:eastAsia="en-US"/>
        </w:rPr>
        <w:t xml:space="preserve"> </w:t>
      </w:r>
      <w:r w:rsidRPr="00053D29">
        <w:rPr>
          <w:rFonts w:ascii="Arial" w:eastAsia="Times New Roman" w:hAnsi="Arial" w:cs="Arial"/>
          <w:bCs/>
          <w:color w:val="000000"/>
          <w:sz w:val="24"/>
          <w:szCs w:val="24"/>
          <w:lang w:val="es-ES" w:eastAsia="en-US"/>
        </w:rPr>
        <w:t>Ley de Tránsito Reformada.</w:t>
      </w:r>
    </w:p>
    <w:p w14:paraId="11547E5D" w14:textId="3E03E5CE" w:rsidR="00053D29" w:rsidRPr="00053D29" w:rsidRDefault="00053D29" w:rsidP="00053D29">
      <w:pPr>
        <w:spacing w:line="360" w:lineRule="auto"/>
        <w:ind w:firstLine="567"/>
        <w:jc w:val="both"/>
        <w:rPr>
          <w:rFonts w:ascii="Arial" w:eastAsia="Times New Roman" w:hAnsi="Arial" w:cs="Arial"/>
          <w:b/>
          <w:color w:val="000000"/>
          <w:sz w:val="24"/>
          <w:szCs w:val="24"/>
          <w:lang w:val="es-ES" w:eastAsia="en-US"/>
        </w:rPr>
      </w:pPr>
      <w:r w:rsidRPr="00053D29">
        <w:rPr>
          <w:rFonts w:ascii="Arial" w:eastAsia="Times New Roman" w:hAnsi="Arial" w:cs="Arial"/>
          <w:bCs/>
          <w:color w:val="000000"/>
          <w:sz w:val="24"/>
          <w:szCs w:val="24"/>
          <w:lang w:val="es-ES" w:eastAsia="en-US"/>
        </w:rPr>
        <w:t xml:space="preserve">En ese orden de ideas, y de una interpretación a contrario sensu del artículo segundo transitorio </w:t>
      </w:r>
      <w:r w:rsidR="002F7ED4">
        <w:rPr>
          <w:rFonts w:ascii="Arial" w:eastAsia="Times New Roman" w:hAnsi="Arial" w:cs="Arial"/>
          <w:bCs/>
          <w:color w:val="000000"/>
          <w:sz w:val="24"/>
          <w:szCs w:val="24"/>
          <w:lang w:val="es-ES" w:eastAsia="en-US"/>
        </w:rPr>
        <w:t xml:space="preserve">de la entonces Ley de Tránsito </w:t>
      </w:r>
      <w:r w:rsidRPr="00053D29">
        <w:rPr>
          <w:rFonts w:ascii="Arial" w:eastAsia="Times New Roman" w:hAnsi="Arial" w:cs="Arial"/>
          <w:bCs/>
          <w:color w:val="000000"/>
          <w:sz w:val="24"/>
          <w:szCs w:val="24"/>
          <w:lang w:val="es-ES" w:eastAsia="en-US"/>
        </w:rPr>
        <w:t xml:space="preserve">y Vialidad del Estado de Oaxaca, </w:t>
      </w:r>
      <w:r w:rsidRPr="00053D29">
        <w:rPr>
          <w:rFonts w:ascii="Arial" w:eastAsia="Times New Roman" w:hAnsi="Arial" w:cs="Arial"/>
          <w:b/>
          <w:bCs/>
          <w:color w:val="000000"/>
          <w:sz w:val="24"/>
          <w:szCs w:val="24"/>
          <w:lang w:val="es-ES" w:eastAsia="en-US"/>
        </w:rPr>
        <w:t>no podía seguirse aplicando</w:t>
      </w:r>
      <w:r w:rsidRPr="00053D29">
        <w:rPr>
          <w:rFonts w:ascii="Arial" w:eastAsia="Times New Roman" w:hAnsi="Arial" w:cs="Arial"/>
          <w:bCs/>
          <w:color w:val="000000"/>
          <w:sz w:val="24"/>
          <w:szCs w:val="24"/>
          <w:lang w:val="es-ES" w:eastAsia="en-US"/>
        </w:rPr>
        <w:t xml:space="preserve"> la Ley de Tránsito Reformada, ya que había perdido su vigencia y con ello su fuerza vinculante al haber entra</w:t>
      </w:r>
      <w:r w:rsidR="00BA759B">
        <w:rPr>
          <w:rFonts w:ascii="Arial" w:eastAsia="Times New Roman" w:hAnsi="Arial" w:cs="Arial"/>
          <w:bCs/>
          <w:color w:val="000000"/>
          <w:sz w:val="24"/>
          <w:szCs w:val="24"/>
          <w:lang w:val="es-ES" w:eastAsia="en-US"/>
        </w:rPr>
        <w:t xml:space="preserve">do en vigor la Ley de Tránsito </w:t>
      </w:r>
      <w:r w:rsidRPr="00053D29">
        <w:rPr>
          <w:rFonts w:ascii="Arial" w:eastAsia="Times New Roman" w:hAnsi="Arial" w:cs="Arial"/>
          <w:bCs/>
          <w:color w:val="000000"/>
          <w:sz w:val="24"/>
          <w:szCs w:val="24"/>
          <w:lang w:val="es-ES" w:eastAsia="en-US"/>
        </w:rPr>
        <w:t>y Vialidad del Estado de Oaxaca, el doc</w:t>
      </w:r>
      <w:r w:rsidR="00EB25DD">
        <w:rPr>
          <w:rFonts w:ascii="Arial" w:eastAsia="Times New Roman" w:hAnsi="Arial" w:cs="Arial"/>
          <w:bCs/>
          <w:color w:val="000000"/>
          <w:sz w:val="24"/>
          <w:szCs w:val="24"/>
          <w:lang w:val="es-ES" w:eastAsia="en-US"/>
        </w:rPr>
        <w:t>e de abril de dos mil dieciséis</w:t>
      </w:r>
      <w:r w:rsidRPr="00053D29">
        <w:rPr>
          <w:rFonts w:ascii="Arial" w:eastAsia="Times New Roman" w:hAnsi="Arial" w:cs="Arial"/>
          <w:bCs/>
          <w:color w:val="000000"/>
          <w:sz w:val="24"/>
          <w:szCs w:val="24"/>
          <w:lang w:val="es-ES" w:eastAsia="en-US"/>
        </w:rPr>
        <w:t xml:space="preserve"> </w:t>
      </w:r>
      <w:r w:rsidRPr="00053D29">
        <w:rPr>
          <w:rFonts w:ascii="Arial" w:eastAsia="Times New Roman" w:hAnsi="Arial" w:cs="Arial"/>
          <w:b/>
          <w:color w:val="000000"/>
          <w:sz w:val="24"/>
          <w:szCs w:val="24"/>
          <w:lang w:val="es-ES" w:eastAsia="en-US"/>
        </w:rPr>
        <w:t xml:space="preserve">y el acta de infracción fue emitida </w:t>
      </w:r>
      <w:bookmarkStart w:id="1" w:name="_Hlk98340146"/>
      <w:r w:rsidRPr="00053D29">
        <w:rPr>
          <w:rFonts w:ascii="Arial" w:eastAsia="Times New Roman" w:hAnsi="Arial" w:cs="Arial"/>
          <w:b/>
          <w:color w:val="000000"/>
          <w:sz w:val="24"/>
          <w:szCs w:val="24"/>
          <w:lang w:val="es-ES" w:eastAsia="en-US"/>
        </w:rPr>
        <w:t>el</w:t>
      </w:r>
      <w:r w:rsidRPr="00053D29">
        <w:rPr>
          <w:rFonts w:ascii="Arial" w:eastAsia="Times New Roman" w:hAnsi="Arial" w:cs="Arial"/>
          <w:b/>
          <w:bCs/>
          <w:color w:val="000000"/>
          <w:sz w:val="24"/>
          <w:szCs w:val="24"/>
          <w:lang w:val="es-ES" w:eastAsia="en-US"/>
        </w:rPr>
        <w:t xml:space="preserve"> </w:t>
      </w:r>
      <w:bookmarkEnd w:id="1"/>
      <w:r w:rsidR="00B57267">
        <w:rPr>
          <w:rFonts w:ascii="Arial" w:eastAsia="Times New Roman" w:hAnsi="Arial" w:cs="Arial"/>
          <w:b/>
          <w:bCs/>
          <w:color w:val="000000"/>
          <w:sz w:val="24"/>
          <w:szCs w:val="24"/>
          <w:lang w:val="es-ES" w:eastAsia="en-US"/>
        </w:rPr>
        <w:t>doce</w:t>
      </w:r>
      <w:r w:rsidR="0075483C">
        <w:rPr>
          <w:rFonts w:ascii="Arial" w:eastAsia="Times New Roman" w:hAnsi="Arial" w:cs="Arial"/>
          <w:b/>
          <w:bCs/>
          <w:color w:val="000000"/>
          <w:sz w:val="24"/>
          <w:szCs w:val="24"/>
          <w:lang w:val="es-ES" w:eastAsia="en-US"/>
        </w:rPr>
        <w:t xml:space="preserve"> de agosto de dos mil </w:t>
      </w:r>
      <w:r w:rsidR="00B57267">
        <w:rPr>
          <w:rFonts w:ascii="Arial" w:eastAsia="Times New Roman" w:hAnsi="Arial" w:cs="Arial"/>
          <w:b/>
          <w:bCs/>
          <w:color w:val="000000"/>
          <w:sz w:val="24"/>
          <w:szCs w:val="24"/>
          <w:lang w:val="es-ES" w:eastAsia="en-US"/>
        </w:rPr>
        <w:t>veintiuno</w:t>
      </w:r>
      <w:r w:rsidRPr="00053D29">
        <w:rPr>
          <w:rFonts w:ascii="Arial" w:eastAsia="Times New Roman" w:hAnsi="Arial" w:cs="Arial"/>
          <w:b/>
          <w:color w:val="000000"/>
          <w:sz w:val="24"/>
          <w:szCs w:val="24"/>
          <w:lang w:val="es-ES" w:eastAsia="en-US"/>
        </w:rPr>
        <w:t>.</w:t>
      </w:r>
    </w:p>
    <w:p w14:paraId="718075D9" w14:textId="606896E9" w:rsidR="00053D29" w:rsidRPr="00053D29" w:rsidRDefault="00053D29" w:rsidP="00053D29">
      <w:pPr>
        <w:spacing w:line="360" w:lineRule="auto"/>
        <w:ind w:firstLine="567"/>
        <w:jc w:val="both"/>
        <w:rPr>
          <w:rFonts w:ascii="Arial" w:eastAsia="Times New Roman" w:hAnsi="Arial" w:cs="Arial"/>
          <w:b/>
          <w:bCs/>
          <w:color w:val="000000"/>
          <w:sz w:val="24"/>
          <w:szCs w:val="24"/>
          <w:lang w:eastAsia="en-US"/>
        </w:rPr>
      </w:pPr>
      <w:r w:rsidRPr="00053D29">
        <w:rPr>
          <w:rFonts w:ascii="Arial" w:eastAsia="Times New Roman" w:hAnsi="Arial" w:cs="Arial"/>
          <w:color w:val="000000"/>
          <w:sz w:val="24"/>
          <w:szCs w:val="24"/>
          <w:lang w:val="es-ES" w:eastAsia="en-US"/>
        </w:rPr>
        <w:t>Bajo esa tesitura</w:t>
      </w:r>
      <w:r w:rsidRPr="00053D29">
        <w:rPr>
          <w:rFonts w:ascii="Arial" w:eastAsia="Times New Roman" w:hAnsi="Arial" w:cs="Arial"/>
          <w:color w:val="000000"/>
          <w:sz w:val="24"/>
          <w:szCs w:val="24"/>
          <w:lang w:eastAsia="en-US"/>
        </w:rPr>
        <w:t xml:space="preserve">, se advierte que el </w:t>
      </w:r>
      <w:r w:rsidRPr="00053D29">
        <w:rPr>
          <w:rFonts w:ascii="Arial" w:eastAsia="Times New Roman" w:hAnsi="Arial" w:cs="Arial"/>
          <w:sz w:val="24"/>
          <w:szCs w:val="24"/>
          <w:lang w:val="es-ES_tradnl" w:eastAsia="es-ES"/>
        </w:rPr>
        <w:t>Policía Vial Estatal adscrito a la Dirección General de la Policía Vial Estatal</w:t>
      </w:r>
      <w:r w:rsidRPr="00053D29">
        <w:rPr>
          <w:rFonts w:ascii="Arial" w:eastAsia="Times New Roman" w:hAnsi="Arial" w:cs="Arial"/>
          <w:bCs/>
          <w:sz w:val="24"/>
          <w:szCs w:val="24"/>
          <w:lang w:val="es-ES_tradnl" w:eastAsia="es-ES"/>
        </w:rPr>
        <w:t>,</w:t>
      </w:r>
      <w:r w:rsidRPr="00053D29">
        <w:rPr>
          <w:rFonts w:ascii="Arial" w:eastAsia="Times New Roman" w:hAnsi="Arial" w:cs="Arial"/>
          <w:color w:val="000000"/>
          <w:sz w:val="24"/>
          <w:szCs w:val="24"/>
          <w:lang w:eastAsia="en-US"/>
        </w:rPr>
        <w:t xml:space="preserve"> al levantar el acta de infracción con número de folio </w:t>
      </w:r>
      <w:r w:rsidR="0021493A">
        <w:rPr>
          <w:rFonts w:ascii="Arial" w:eastAsia="Times New Roman" w:hAnsi="Arial" w:cs="Arial"/>
          <w:b/>
          <w:color w:val="FF0000"/>
          <w:sz w:val="24"/>
          <w:szCs w:val="24"/>
          <w:lang w:eastAsia="en-US"/>
        </w:rPr>
        <w:t>**********</w:t>
      </w:r>
      <w:r w:rsidRPr="00053D29">
        <w:rPr>
          <w:rFonts w:ascii="Arial" w:eastAsia="Times New Roman" w:hAnsi="Arial" w:cs="Arial"/>
          <w:color w:val="000000"/>
          <w:sz w:val="24"/>
          <w:szCs w:val="24"/>
          <w:lang w:eastAsia="en-US"/>
        </w:rPr>
        <w:t xml:space="preserve">, de </w:t>
      </w:r>
      <w:r w:rsidR="00C41F8C">
        <w:rPr>
          <w:rFonts w:ascii="Arial" w:eastAsia="Times New Roman" w:hAnsi="Arial" w:cs="Arial"/>
          <w:color w:val="000000"/>
          <w:sz w:val="24"/>
          <w:szCs w:val="24"/>
          <w:lang w:eastAsia="en-US"/>
        </w:rPr>
        <w:t>doce</w:t>
      </w:r>
      <w:r w:rsidR="0075483C">
        <w:rPr>
          <w:rFonts w:ascii="Arial" w:eastAsia="Times New Roman" w:hAnsi="Arial" w:cs="Arial"/>
          <w:color w:val="000000"/>
          <w:sz w:val="24"/>
          <w:szCs w:val="24"/>
          <w:lang w:eastAsia="en-US"/>
        </w:rPr>
        <w:t xml:space="preserve"> de agosto de dos mil </w:t>
      </w:r>
      <w:r w:rsidR="00C41F8C">
        <w:rPr>
          <w:rFonts w:ascii="Arial" w:eastAsia="Times New Roman" w:hAnsi="Arial" w:cs="Arial"/>
          <w:color w:val="000000"/>
          <w:sz w:val="24"/>
          <w:szCs w:val="24"/>
          <w:lang w:eastAsia="en-US"/>
        </w:rPr>
        <w:t>veintiuno</w:t>
      </w:r>
      <w:r w:rsidRPr="00053D29">
        <w:rPr>
          <w:rFonts w:ascii="Arial" w:eastAsia="Times New Roman" w:hAnsi="Arial" w:cs="Arial"/>
          <w:color w:val="000000"/>
          <w:sz w:val="24"/>
          <w:szCs w:val="24"/>
          <w:lang w:eastAsia="en-US"/>
        </w:rPr>
        <w:t xml:space="preserve">, citó como sustento legal de su competencia los artículos </w:t>
      </w:r>
      <w:r w:rsidRPr="00053D29">
        <w:rPr>
          <w:rFonts w:ascii="Arial" w:eastAsiaTheme="minorHAnsi" w:hAnsi="Arial" w:cs="Arial"/>
          <w:sz w:val="24"/>
          <w:szCs w:val="24"/>
          <w:lang w:eastAsia="en-US"/>
        </w:rPr>
        <w:t xml:space="preserve">1, 2, 3, 8 fracciones I y VIII; 9 fracción I; 10, fracciones I, V y VI; 11 fracciones II, III y IV; 12 </w:t>
      </w:r>
      <w:r w:rsidRPr="00053D29">
        <w:rPr>
          <w:rFonts w:ascii="Arial" w:eastAsiaTheme="minorHAnsi" w:hAnsi="Arial" w:cs="Arial"/>
          <w:sz w:val="24"/>
          <w:szCs w:val="24"/>
          <w:lang w:eastAsia="en-US"/>
        </w:rPr>
        <w:lastRenderedPageBreak/>
        <w:t>fracciones III y IV; y 30 fracciones I, II, III y V, de la Ley de Tránsito Reformada</w:t>
      </w:r>
      <w:r w:rsidRPr="00053D29">
        <w:rPr>
          <w:rFonts w:ascii="Arial" w:eastAsia="Times New Roman" w:hAnsi="Arial" w:cs="Arial"/>
          <w:b/>
          <w:color w:val="000000"/>
          <w:sz w:val="24"/>
          <w:szCs w:val="24"/>
          <w:lang w:eastAsia="en-US"/>
        </w:rPr>
        <w:t>, cuando éstos</w:t>
      </w:r>
      <w:r w:rsidRPr="00053D29">
        <w:rPr>
          <w:rFonts w:ascii="Arial" w:eastAsia="Times New Roman" w:hAnsi="Arial" w:cs="Arial"/>
          <w:color w:val="000000"/>
          <w:sz w:val="24"/>
          <w:szCs w:val="24"/>
          <w:lang w:eastAsia="en-US"/>
        </w:rPr>
        <w:t xml:space="preserve"> </w:t>
      </w:r>
      <w:r w:rsidRPr="00053D29">
        <w:rPr>
          <w:rFonts w:ascii="Arial" w:eastAsia="Times New Roman" w:hAnsi="Arial" w:cs="Arial"/>
          <w:b/>
          <w:bCs/>
          <w:color w:val="000000"/>
          <w:sz w:val="24"/>
          <w:szCs w:val="24"/>
          <w:lang w:eastAsia="en-US"/>
        </w:rPr>
        <w:t xml:space="preserve">ya no se encontraban vigentes. </w:t>
      </w:r>
    </w:p>
    <w:p w14:paraId="6835EB48" w14:textId="49BA94C0" w:rsidR="00053D29" w:rsidRDefault="00053D29" w:rsidP="00053D29">
      <w:pPr>
        <w:spacing w:line="360" w:lineRule="auto"/>
        <w:ind w:right="51" w:firstLine="567"/>
        <w:jc w:val="both"/>
        <w:rPr>
          <w:rFonts w:ascii="Arial" w:eastAsiaTheme="minorHAnsi" w:hAnsi="Arial" w:cs="Arial"/>
          <w:sz w:val="24"/>
          <w:szCs w:val="24"/>
          <w:lang w:eastAsia="en-US"/>
        </w:rPr>
      </w:pPr>
      <w:r w:rsidRPr="00053D29">
        <w:rPr>
          <w:rFonts w:ascii="Arial" w:eastAsiaTheme="minorHAnsi" w:hAnsi="Arial" w:cs="Arial"/>
          <w:bCs/>
          <w:sz w:val="24"/>
          <w:szCs w:val="24"/>
          <w:lang w:eastAsia="en-US"/>
        </w:rPr>
        <w:t>Esto es así, porque como ya se dijo, el ac</w:t>
      </w:r>
      <w:r w:rsidR="00C41F8C">
        <w:rPr>
          <w:rFonts w:ascii="Arial" w:eastAsiaTheme="minorHAnsi" w:hAnsi="Arial" w:cs="Arial"/>
          <w:bCs/>
          <w:sz w:val="24"/>
          <w:szCs w:val="24"/>
          <w:lang w:eastAsia="en-US"/>
        </w:rPr>
        <w:t xml:space="preserve">ta de infracción fue emitida el doce </w:t>
      </w:r>
      <w:r w:rsidR="0075483C">
        <w:rPr>
          <w:rFonts w:ascii="Arial" w:eastAsia="Times New Roman" w:hAnsi="Arial" w:cs="Arial"/>
          <w:bCs/>
          <w:color w:val="000000"/>
          <w:sz w:val="24"/>
          <w:szCs w:val="24"/>
          <w:lang w:val="es-ES" w:eastAsia="en-US"/>
        </w:rPr>
        <w:t xml:space="preserve">de agosto de dos mil </w:t>
      </w:r>
      <w:r w:rsidR="00C41F8C">
        <w:rPr>
          <w:rFonts w:ascii="Arial" w:eastAsia="Times New Roman" w:hAnsi="Arial" w:cs="Arial"/>
          <w:bCs/>
          <w:color w:val="000000"/>
          <w:sz w:val="24"/>
          <w:szCs w:val="24"/>
          <w:lang w:val="es-ES" w:eastAsia="en-US"/>
        </w:rPr>
        <w:t>veintiuno</w:t>
      </w:r>
      <w:r w:rsidRPr="00053D29">
        <w:rPr>
          <w:rFonts w:ascii="Arial" w:eastAsiaTheme="minorHAnsi" w:hAnsi="Arial" w:cs="Arial"/>
          <w:bCs/>
          <w:sz w:val="24"/>
          <w:szCs w:val="24"/>
          <w:lang w:eastAsia="en-US"/>
        </w:rPr>
        <w:t xml:space="preserve">, cuando ya había sido </w:t>
      </w:r>
      <w:r w:rsidRPr="00053D29">
        <w:rPr>
          <w:rFonts w:ascii="Arial" w:eastAsiaTheme="minorHAnsi" w:hAnsi="Arial" w:cs="Arial"/>
          <w:sz w:val="24"/>
          <w:szCs w:val="24"/>
          <w:lang w:eastAsia="en-US"/>
        </w:rPr>
        <w:t>abrogada</w:t>
      </w:r>
      <w:r w:rsidRPr="00053D29">
        <w:rPr>
          <w:rFonts w:ascii="Arial" w:eastAsiaTheme="minorHAnsi" w:hAnsi="Arial" w:cs="Arial"/>
          <w:bCs/>
          <w:sz w:val="24"/>
          <w:szCs w:val="24"/>
          <w:lang w:eastAsia="en-US"/>
        </w:rPr>
        <w:t xml:space="preserve"> Ley de Tránsito Reformada, esto es, desde el doce de abril de dos mil dieciséis; de este modo, </w:t>
      </w:r>
      <w:r w:rsidRPr="00053D29">
        <w:rPr>
          <w:rFonts w:ascii="Arial" w:eastAsiaTheme="minorHAnsi" w:hAnsi="Arial" w:cs="Arial"/>
          <w:sz w:val="24"/>
          <w:szCs w:val="24"/>
          <w:lang w:eastAsia="en-US"/>
        </w:rPr>
        <w:t xml:space="preserve">se hace evidente que el acto de autoridad que se analiza, </w:t>
      </w:r>
      <w:r w:rsidRPr="00053D29">
        <w:rPr>
          <w:rFonts w:ascii="Arial" w:eastAsiaTheme="minorHAnsi" w:hAnsi="Arial" w:cs="Arial"/>
          <w:b/>
          <w:sz w:val="24"/>
          <w:szCs w:val="24"/>
          <w:lang w:eastAsia="en-US"/>
        </w:rPr>
        <w:t xml:space="preserve">incumple </w:t>
      </w:r>
      <w:r w:rsidRPr="00053D29">
        <w:rPr>
          <w:rFonts w:ascii="Arial" w:eastAsiaTheme="minorHAnsi" w:hAnsi="Arial" w:cs="Arial"/>
          <w:sz w:val="24"/>
          <w:szCs w:val="24"/>
          <w:lang w:eastAsia="en-US"/>
        </w:rPr>
        <w:t>con el requisito formal de una correcta fundamentación y en cuanto a la competencia de la autoridad que lo emitió.</w:t>
      </w:r>
    </w:p>
    <w:p w14:paraId="61538CCB" w14:textId="4B95E3D6" w:rsidR="0075483C" w:rsidRPr="00053D29" w:rsidRDefault="0075483C" w:rsidP="00053D29">
      <w:pPr>
        <w:spacing w:line="360" w:lineRule="auto"/>
        <w:ind w:right="51" w:firstLine="567"/>
        <w:jc w:val="both"/>
        <w:rPr>
          <w:rFonts w:ascii="Arial" w:eastAsiaTheme="minorHAnsi" w:hAnsi="Arial" w:cs="Arial"/>
          <w:bCs/>
          <w:sz w:val="24"/>
          <w:szCs w:val="24"/>
          <w:lang w:eastAsia="en-US"/>
        </w:rPr>
      </w:pPr>
      <w:r>
        <w:rPr>
          <w:rFonts w:ascii="Arial" w:eastAsiaTheme="minorHAnsi" w:hAnsi="Arial" w:cs="Arial"/>
          <w:sz w:val="24"/>
          <w:szCs w:val="24"/>
          <w:lang w:eastAsia="en-US"/>
        </w:rPr>
        <w:t xml:space="preserve">Sin que sea óbice a lo anterior, el hecho de que la autoridad demandada haya </w:t>
      </w:r>
      <w:r w:rsidR="00DC3C28">
        <w:rPr>
          <w:rFonts w:ascii="Arial" w:eastAsiaTheme="minorHAnsi" w:hAnsi="Arial" w:cs="Arial"/>
          <w:sz w:val="24"/>
          <w:szCs w:val="24"/>
          <w:lang w:eastAsia="en-US"/>
        </w:rPr>
        <w:t xml:space="preserve">invocado en el apartado de “observaciones” del acto impugnado, lo siguiente: </w:t>
      </w:r>
      <w:r w:rsidR="00DC3C28" w:rsidRPr="00DC3C28">
        <w:rPr>
          <w:rFonts w:ascii="Arial" w:eastAsiaTheme="minorHAnsi" w:hAnsi="Arial" w:cs="Arial"/>
          <w:i/>
          <w:sz w:val="24"/>
          <w:szCs w:val="24"/>
          <w:lang w:eastAsia="en-US"/>
        </w:rPr>
        <w:t>“</w:t>
      </w:r>
      <w:r w:rsidR="00A04EA0">
        <w:rPr>
          <w:rFonts w:ascii="Arial" w:eastAsiaTheme="minorHAnsi" w:hAnsi="Arial" w:cs="Arial"/>
          <w:i/>
          <w:sz w:val="24"/>
          <w:szCs w:val="24"/>
          <w:lang w:eastAsia="en-US"/>
        </w:rPr>
        <w:t>conforme lo establecido en el artículo 18 fracción V de la Ley de Tránsito y vialidad del estado de Oaxaca. Y por infring</w:t>
      </w:r>
      <w:r w:rsidR="008E4148">
        <w:rPr>
          <w:rFonts w:ascii="Arial" w:eastAsiaTheme="minorHAnsi" w:hAnsi="Arial" w:cs="Arial"/>
          <w:i/>
          <w:sz w:val="24"/>
          <w:szCs w:val="24"/>
          <w:lang w:eastAsia="en-US"/>
        </w:rPr>
        <w:t>ir el artículo 68 del Reglamento</w:t>
      </w:r>
      <w:r w:rsidR="00A04EA0">
        <w:rPr>
          <w:rFonts w:ascii="Arial" w:eastAsiaTheme="minorHAnsi" w:hAnsi="Arial" w:cs="Arial"/>
          <w:i/>
          <w:sz w:val="24"/>
          <w:szCs w:val="24"/>
          <w:lang w:eastAsia="en-US"/>
        </w:rPr>
        <w:t xml:space="preserve"> Vigente del Estado de Oaxaca</w:t>
      </w:r>
      <w:r w:rsidR="00DC3C28" w:rsidRPr="00DC3C28">
        <w:rPr>
          <w:rFonts w:ascii="Arial" w:eastAsiaTheme="minorHAnsi" w:hAnsi="Arial" w:cs="Arial"/>
          <w:i/>
          <w:sz w:val="24"/>
          <w:szCs w:val="24"/>
          <w:lang w:eastAsia="en-US"/>
        </w:rPr>
        <w:t>”</w:t>
      </w:r>
      <w:r w:rsidR="00C35B03">
        <w:rPr>
          <w:rFonts w:ascii="Arial" w:eastAsiaTheme="minorHAnsi" w:hAnsi="Arial" w:cs="Arial"/>
          <w:i/>
          <w:sz w:val="24"/>
          <w:szCs w:val="24"/>
          <w:lang w:eastAsia="en-US"/>
        </w:rPr>
        <w:t xml:space="preserve">, </w:t>
      </w:r>
      <w:r w:rsidR="00C35B03">
        <w:rPr>
          <w:rFonts w:ascii="Arial" w:eastAsiaTheme="minorHAnsi" w:hAnsi="Arial" w:cs="Arial"/>
          <w:sz w:val="24"/>
          <w:szCs w:val="24"/>
          <w:lang w:eastAsia="en-US"/>
        </w:rPr>
        <w:t xml:space="preserve"> en virtud de que no e</w:t>
      </w:r>
      <w:r w:rsidR="00A04EA0">
        <w:rPr>
          <w:rFonts w:ascii="Arial" w:eastAsiaTheme="minorHAnsi" w:hAnsi="Arial" w:cs="Arial"/>
          <w:sz w:val="24"/>
          <w:szCs w:val="24"/>
          <w:lang w:eastAsia="en-US"/>
        </w:rPr>
        <w:t>specifica con claridad a qué Reglamento</w:t>
      </w:r>
      <w:r w:rsidR="00C35B03">
        <w:rPr>
          <w:rFonts w:ascii="Arial" w:eastAsiaTheme="minorHAnsi" w:hAnsi="Arial" w:cs="Arial"/>
          <w:sz w:val="24"/>
          <w:szCs w:val="24"/>
          <w:lang w:eastAsia="en-US"/>
        </w:rPr>
        <w:t xml:space="preserve"> está haciendo referencia.</w:t>
      </w:r>
    </w:p>
    <w:p w14:paraId="1CD1DC94" w14:textId="6653565F" w:rsidR="00C96414" w:rsidRDefault="00053D29" w:rsidP="009F4F70">
      <w:pPr>
        <w:spacing w:line="360" w:lineRule="auto"/>
        <w:ind w:firstLine="567"/>
        <w:jc w:val="both"/>
        <w:rPr>
          <w:rFonts w:ascii="Arial" w:eastAsia="Times New Roman" w:hAnsi="Arial" w:cs="Arial"/>
          <w:color w:val="000000"/>
          <w:sz w:val="24"/>
          <w:szCs w:val="24"/>
          <w:lang w:val="es-ES_tradnl" w:eastAsia="en-US"/>
        </w:rPr>
      </w:pPr>
      <w:r w:rsidRPr="00053D29">
        <w:rPr>
          <w:rFonts w:ascii="Arial" w:eastAsia="Times New Roman" w:hAnsi="Arial" w:cs="Arial"/>
          <w:color w:val="000000"/>
          <w:sz w:val="24"/>
          <w:szCs w:val="24"/>
          <w:lang w:eastAsia="en-US"/>
        </w:rPr>
        <w:t xml:space="preserve">Por lo tanto, al configurarse, una </w:t>
      </w:r>
      <w:r w:rsidR="00C35B03">
        <w:rPr>
          <w:rFonts w:ascii="Arial" w:eastAsia="Times New Roman" w:hAnsi="Arial" w:cs="Arial"/>
          <w:b/>
          <w:color w:val="000000"/>
          <w:sz w:val="24"/>
          <w:szCs w:val="24"/>
          <w:lang w:eastAsia="en-US"/>
        </w:rPr>
        <w:t>indebida</w:t>
      </w:r>
      <w:r w:rsidRPr="00053D29">
        <w:rPr>
          <w:rFonts w:ascii="Arial" w:eastAsia="Times New Roman" w:hAnsi="Arial" w:cs="Arial"/>
          <w:b/>
          <w:color w:val="000000"/>
          <w:sz w:val="24"/>
          <w:szCs w:val="24"/>
          <w:lang w:eastAsia="en-US"/>
        </w:rPr>
        <w:t xml:space="preserve"> fundamentación</w:t>
      </w:r>
      <w:r w:rsidRPr="00053D29">
        <w:rPr>
          <w:rFonts w:ascii="Arial" w:eastAsia="Times New Roman" w:hAnsi="Arial" w:cs="Arial"/>
          <w:color w:val="000000"/>
          <w:sz w:val="24"/>
          <w:szCs w:val="24"/>
          <w:lang w:eastAsia="en-US"/>
        </w:rPr>
        <w:t xml:space="preserve"> respecto de la competencia </w:t>
      </w:r>
      <w:r w:rsidR="009F4F70">
        <w:rPr>
          <w:rFonts w:ascii="Arial" w:eastAsia="Times New Roman" w:hAnsi="Arial" w:cs="Arial"/>
          <w:color w:val="000000"/>
          <w:sz w:val="24"/>
          <w:szCs w:val="24"/>
          <w:lang w:eastAsia="en-US"/>
        </w:rPr>
        <w:t xml:space="preserve">material y territorial </w:t>
      </w:r>
      <w:r w:rsidRPr="00053D29">
        <w:rPr>
          <w:rFonts w:ascii="Arial" w:eastAsia="Times New Roman" w:hAnsi="Arial" w:cs="Arial"/>
          <w:color w:val="000000"/>
          <w:sz w:val="24"/>
          <w:szCs w:val="24"/>
          <w:lang w:eastAsia="en-US"/>
        </w:rPr>
        <w:t>de la autoridad demandada</w:t>
      </w:r>
      <w:r w:rsidRPr="00053D29">
        <w:rPr>
          <w:rFonts w:ascii="Arial" w:eastAsiaTheme="minorHAnsi" w:hAnsi="Arial" w:cs="Arial"/>
          <w:sz w:val="24"/>
          <w:szCs w:val="24"/>
          <w:lang w:eastAsia="en-US"/>
        </w:rPr>
        <w:t xml:space="preserve">, </w:t>
      </w:r>
      <w:r w:rsidR="00C35B03">
        <w:rPr>
          <w:rFonts w:ascii="Arial" w:eastAsiaTheme="minorHAnsi" w:hAnsi="Arial" w:cs="Arial"/>
          <w:sz w:val="24"/>
          <w:szCs w:val="24"/>
          <w:lang w:eastAsia="en-US"/>
        </w:rPr>
        <w:t xml:space="preserve">por lo que, </w:t>
      </w:r>
      <w:r w:rsidRPr="00053D29">
        <w:rPr>
          <w:rFonts w:ascii="Arial" w:eastAsiaTheme="minorHAnsi" w:hAnsi="Arial" w:cs="Arial"/>
          <w:sz w:val="24"/>
          <w:szCs w:val="24"/>
          <w:lang w:eastAsia="en-US"/>
        </w:rPr>
        <w:t>procede con fundamento en el artículo 208 fracción I, de la Ley de Procedimiento y Justicia Administrativa para el Estado</w:t>
      </w:r>
      <w:r w:rsidRPr="00053D29">
        <w:rPr>
          <w:rFonts w:ascii="Arial" w:eastAsia="Times New Roman" w:hAnsi="Arial" w:cs="Arial"/>
          <w:color w:val="000000"/>
          <w:sz w:val="24"/>
          <w:szCs w:val="24"/>
          <w:lang w:eastAsia="en-US"/>
        </w:rPr>
        <w:t xml:space="preserve">, declarar la </w:t>
      </w:r>
      <w:r w:rsidRPr="00053D29">
        <w:rPr>
          <w:rFonts w:ascii="Arial" w:eastAsia="Times New Roman" w:hAnsi="Arial" w:cs="Arial"/>
          <w:b/>
          <w:color w:val="000000"/>
          <w:sz w:val="24"/>
          <w:szCs w:val="24"/>
          <w:lang w:eastAsia="en-US"/>
        </w:rPr>
        <w:t xml:space="preserve">NULIDAD LISA Y LLANA </w:t>
      </w:r>
      <w:r w:rsidRPr="00053D29">
        <w:rPr>
          <w:rFonts w:ascii="Arial" w:eastAsia="Times New Roman" w:hAnsi="Arial" w:cs="Arial"/>
          <w:color w:val="000000"/>
          <w:sz w:val="24"/>
          <w:szCs w:val="24"/>
          <w:lang w:eastAsia="en-US"/>
        </w:rPr>
        <w:t xml:space="preserve">del acta de infracción con número de folio </w:t>
      </w:r>
      <w:r w:rsidR="0021493A">
        <w:rPr>
          <w:rFonts w:ascii="Arial" w:eastAsia="Times New Roman" w:hAnsi="Arial" w:cs="Arial"/>
          <w:b/>
          <w:bCs/>
          <w:color w:val="FF0000"/>
          <w:sz w:val="24"/>
          <w:szCs w:val="24"/>
          <w:lang w:eastAsia="en-US"/>
        </w:rPr>
        <w:t>**********</w:t>
      </w:r>
      <w:r w:rsidRPr="00053D29">
        <w:rPr>
          <w:rFonts w:ascii="Arial" w:eastAsia="Times New Roman" w:hAnsi="Arial" w:cs="Arial"/>
          <w:b/>
          <w:bCs/>
          <w:color w:val="FF0000"/>
          <w:sz w:val="24"/>
          <w:szCs w:val="24"/>
          <w:lang w:eastAsia="en-US"/>
        </w:rPr>
        <w:t>,</w:t>
      </w:r>
      <w:r w:rsidRPr="00053D29">
        <w:rPr>
          <w:rFonts w:ascii="Arial" w:eastAsia="Times New Roman" w:hAnsi="Arial" w:cs="Arial"/>
          <w:bCs/>
          <w:color w:val="000000"/>
          <w:sz w:val="24"/>
          <w:szCs w:val="24"/>
          <w:lang w:eastAsia="en-US"/>
        </w:rPr>
        <w:t xml:space="preserve"> de </w:t>
      </w:r>
      <w:r w:rsidR="00C41F8C">
        <w:rPr>
          <w:rFonts w:ascii="Arial" w:eastAsia="Times New Roman" w:hAnsi="Arial" w:cs="Arial"/>
          <w:bCs/>
          <w:color w:val="000000"/>
          <w:sz w:val="24"/>
          <w:szCs w:val="24"/>
          <w:lang w:eastAsia="en-US"/>
        </w:rPr>
        <w:t xml:space="preserve">doce </w:t>
      </w:r>
      <w:r w:rsidR="00C35B03">
        <w:rPr>
          <w:rFonts w:ascii="Arial" w:eastAsia="Times New Roman" w:hAnsi="Arial" w:cs="Arial"/>
          <w:bCs/>
          <w:color w:val="000000"/>
          <w:sz w:val="24"/>
          <w:szCs w:val="24"/>
          <w:lang w:eastAsia="en-US"/>
        </w:rPr>
        <w:t xml:space="preserve">de agosto de dos mil </w:t>
      </w:r>
      <w:r w:rsidR="00C41F8C">
        <w:rPr>
          <w:rFonts w:ascii="Arial" w:eastAsia="Times New Roman" w:hAnsi="Arial" w:cs="Arial"/>
          <w:bCs/>
          <w:color w:val="000000"/>
          <w:sz w:val="24"/>
          <w:szCs w:val="24"/>
          <w:lang w:eastAsia="en-US"/>
        </w:rPr>
        <w:t>veintiuno</w:t>
      </w:r>
      <w:r w:rsidRPr="00053D29">
        <w:rPr>
          <w:rFonts w:ascii="Arial" w:eastAsiaTheme="minorHAnsi" w:hAnsi="Arial" w:cs="Arial"/>
          <w:bCs/>
          <w:sz w:val="24"/>
          <w:szCs w:val="24"/>
          <w:lang w:eastAsia="en-US"/>
        </w:rPr>
        <w:t>,</w:t>
      </w:r>
      <w:r w:rsidRPr="00053D29">
        <w:rPr>
          <w:rFonts w:ascii="Arial" w:eastAsia="Times New Roman" w:hAnsi="Arial" w:cs="Arial"/>
          <w:bCs/>
          <w:color w:val="000000"/>
          <w:sz w:val="24"/>
          <w:szCs w:val="24"/>
          <w:lang w:eastAsia="en-US"/>
        </w:rPr>
        <w:t xml:space="preserve"> </w:t>
      </w:r>
      <w:r w:rsidRPr="00053D29">
        <w:rPr>
          <w:rFonts w:ascii="Arial" w:eastAsia="Times New Roman" w:hAnsi="Arial" w:cs="Arial"/>
          <w:color w:val="000000"/>
          <w:sz w:val="24"/>
          <w:szCs w:val="24"/>
          <w:lang w:eastAsia="en-US"/>
        </w:rPr>
        <w:t xml:space="preserve">levantada por el </w:t>
      </w:r>
      <w:r w:rsidRPr="00053D29">
        <w:rPr>
          <w:rFonts w:ascii="Arial" w:eastAsia="Times New Roman" w:hAnsi="Arial" w:cs="Arial"/>
          <w:bCs/>
          <w:sz w:val="24"/>
          <w:szCs w:val="24"/>
          <w:lang w:val="es-ES" w:eastAsia="es-ES"/>
        </w:rPr>
        <w:t>Policía Vial Estatal PV-</w:t>
      </w:r>
      <w:r w:rsidR="00C35B03">
        <w:rPr>
          <w:rFonts w:ascii="Arial" w:eastAsia="Times New Roman" w:hAnsi="Arial" w:cs="Arial"/>
          <w:bCs/>
          <w:sz w:val="24"/>
          <w:szCs w:val="24"/>
          <w:lang w:val="es-ES" w:eastAsia="es-ES"/>
        </w:rPr>
        <w:t>3</w:t>
      </w:r>
      <w:r w:rsidR="00C41F8C">
        <w:rPr>
          <w:rFonts w:ascii="Arial" w:eastAsia="Times New Roman" w:hAnsi="Arial" w:cs="Arial"/>
          <w:bCs/>
          <w:sz w:val="24"/>
          <w:szCs w:val="24"/>
          <w:lang w:val="es-ES" w:eastAsia="es-ES"/>
        </w:rPr>
        <w:t>74</w:t>
      </w:r>
      <w:r w:rsidRPr="00053D29">
        <w:rPr>
          <w:rFonts w:ascii="Arial" w:eastAsia="Times New Roman" w:hAnsi="Arial" w:cs="Arial"/>
          <w:bCs/>
          <w:sz w:val="24"/>
          <w:szCs w:val="24"/>
          <w:lang w:val="es-ES" w:eastAsia="es-ES"/>
        </w:rPr>
        <w:t xml:space="preserve">, </w:t>
      </w:r>
      <w:r w:rsidRPr="00053D29">
        <w:rPr>
          <w:rFonts w:ascii="Arial" w:eastAsia="Times New Roman" w:hAnsi="Arial" w:cs="Arial"/>
          <w:sz w:val="24"/>
          <w:szCs w:val="24"/>
          <w:lang w:val="es-ES_tradnl" w:eastAsia="es-ES"/>
        </w:rPr>
        <w:t xml:space="preserve">adscrito a la </w:t>
      </w:r>
      <w:r w:rsidR="00C41F8C">
        <w:rPr>
          <w:rFonts w:ascii="Arial" w:eastAsia="Times New Roman" w:hAnsi="Arial" w:cs="Arial"/>
          <w:sz w:val="24"/>
          <w:szCs w:val="24"/>
          <w:lang w:val="es-ES_tradnl" w:eastAsia="es-ES"/>
        </w:rPr>
        <w:t xml:space="preserve">Dirección de Tránsito del Estado, de la </w:t>
      </w:r>
      <w:r w:rsidRPr="00053D29">
        <w:rPr>
          <w:rFonts w:ascii="Arial" w:eastAsia="Times New Roman" w:hAnsi="Arial" w:cs="Arial"/>
          <w:sz w:val="24"/>
          <w:szCs w:val="24"/>
          <w:lang w:val="es-ES_tradnl" w:eastAsia="es-ES"/>
        </w:rPr>
        <w:t>Dirección Gen</w:t>
      </w:r>
      <w:r w:rsidR="00C41F8C">
        <w:rPr>
          <w:rFonts w:ascii="Arial" w:eastAsia="Times New Roman" w:hAnsi="Arial" w:cs="Arial"/>
          <w:sz w:val="24"/>
          <w:szCs w:val="24"/>
          <w:lang w:val="es-ES_tradnl" w:eastAsia="es-ES"/>
        </w:rPr>
        <w:t>eral de la Policía Vial Estatal, de la Secretaría de Seguridad Pública del Estado de Oaxaca.</w:t>
      </w:r>
    </w:p>
    <w:p w14:paraId="55A76E8F" w14:textId="772D2612" w:rsidR="009F4F70" w:rsidRPr="00C41F8C" w:rsidRDefault="009F4F70" w:rsidP="00C41F8C">
      <w:pPr>
        <w:tabs>
          <w:tab w:val="center" w:pos="-1418"/>
          <w:tab w:val="center" w:pos="4419"/>
          <w:tab w:val="right" w:pos="8838"/>
        </w:tabs>
        <w:spacing w:after="240" w:line="360" w:lineRule="auto"/>
        <w:ind w:firstLine="709"/>
        <w:jc w:val="both"/>
        <w:rPr>
          <w:rFonts w:ascii="Arial" w:eastAsia="Arial" w:hAnsi="Arial" w:cs="Arial"/>
          <w:spacing w:val="1"/>
          <w:sz w:val="24"/>
          <w:szCs w:val="24"/>
        </w:rPr>
      </w:pPr>
      <w:r>
        <w:rPr>
          <w:rFonts w:ascii="Arial" w:eastAsia="Arial" w:hAnsi="Arial" w:cs="Arial"/>
          <w:spacing w:val="1"/>
          <w:sz w:val="24"/>
          <w:szCs w:val="24"/>
        </w:rPr>
        <w:t>Son aplicables en lo conducente los siguientes criterios, cuyos datos, rubros y textos son los siguientes:</w:t>
      </w:r>
    </w:p>
    <w:p w14:paraId="1349473B" w14:textId="77777777" w:rsidR="009F4F70" w:rsidRPr="009F4F70" w:rsidRDefault="009F4F70" w:rsidP="009F4F70">
      <w:pPr>
        <w:spacing w:after="0" w:line="240" w:lineRule="auto"/>
        <w:ind w:firstLine="567"/>
        <w:jc w:val="both"/>
        <w:rPr>
          <w:rFonts w:ascii="Arial" w:eastAsia="Times New Roman" w:hAnsi="Arial" w:cs="Arial"/>
          <w:i/>
          <w:color w:val="000000"/>
          <w:szCs w:val="24"/>
          <w:lang w:val="es-ES_tradnl" w:eastAsia="en-US"/>
        </w:rPr>
      </w:pPr>
      <w:r w:rsidRPr="009F4F70">
        <w:rPr>
          <w:rFonts w:ascii="Arial" w:eastAsia="Times New Roman" w:hAnsi="Arial" w:cs="Arial"/>
          <w:i/>
          <w:color w:val="000000"/>
          <w:szCs w:val="24"/>
          <w:lang w:val="es-ES_tradnl" w:eastAsia="en-US"/>
        </w:rPr>
        <w:t>Registro digital: 177347</w:t>
      </w:r>
    </w:p>
    <w:p w14:paraId="7D3E6FC2" w14:textId="77777777" w:rsidR="009F4F70" w:rsidRPr="009F4F70" w:rsidRDefault="009F4F70" w:rsidP="009F4F70">
      <w:pPr>
        <w:spacing w:after="0" w:line="240" w:lineRule="auto"/>
        <w:ind w:firstLine="567"/>
        <w:jc w:val="both"/>
        <w:rPr>
          <w:rFonts w:ascii="Arial" w:eastAsia="Times New Roman" w:hAnsi="Arial" w:cs="Arial"/>
          <w:i/>
          <w:color w:val="000000"/>
          <w:szCs w:val="24"/>
          <w:lang w:val="es-ES_tradnl" w:eastAsia="en-US"/>
        </w:rPr>
      </w:pPr>
      <w:r w:rsidRPr="009F4F70">
        <w:rPr>
          <w:rFonts w:ascii="Arial" w:eastAsia="Times New Roman" w:hAnsi="Arial" w:cs="Arial"/>
          <w:i/>
          <w:color w:val="000000"/>
          <w:szCs w:val="24"/>
          <w:lang w:val="es-ES_tradnl" w:eastAsia="en-US"/>
        </w:rPr>
        <w:t>Instancia: Segunda Sala</w:t>
      </w:r>
    </w:p>
    <w:p w14:paraId="5F5250B3" w14:textId="77777777" w:rsidR="009F4F70" w:rsidRPr="009F4F70" w:rsidRDefault="009F4F70" w:rsidP="009F4F70">
      <w:pPr>
        <w:spacing w:after="0" w:line="240" w:lineRule="auto"/>
        <w:ind w:firstLine="567"/>
        <w:jc w:val="both"/>
        <w:rPr>
          <w:rFonts w:ascii="Arial" w:eastAsia="Times New Roman" w:hAnsi="Arial" w:cs="Arial"/>
          <w:i/>
          <w:color w:val="000000"/>
          <w:szCs w:val="24"/>
          <w:lang w:val="es-ES_tradnl" w:eastAsia="en-US"/>
        </w:rPr>
      </w:pPr>
      <w:r w:rsidRPr="009F4F70">
        <w:rPr>
          <w:rFonts w:ascii="Arial" w:eastAsia="Times New Roman" w:hAnsi="Arial" w:cs="Arial"/>
          <w:i/>
          <w:color w:val="000000"/>
          <w:szCs w:val="24"/>
          <w:lang w:val="es-ES_tradnl" w:eastAsia="en-US"/>
        </w:rPr>
        <w:t>Novena Época</w:t>
      </w:r>
    </w:p>
    <w:p w14:paraId="73EEBA2B" w14:textId="77777777" w:rsidR="009F4F70" w:rsidRPr="009F4F70" w:rsidRDefault="009F4F70" w:rsidP="009F4F70">
      <w:pPr>
        <w:spacing w:after="0" w:line="240" w:lineRule="auto"/>
        <w:ind w:firstLine="567"/>
        <w:jc w:val="both"/>
        <w:rPr>
          <w:rFonts w:ascii="Arial" w:eastAsia="Times New Roman" w:hAnsi="Arial" w:cs="Arial"/>
          <w:i/>
          <w:color w:val="000000"/>
          <w:szCs w:val="24"/>
          <w:lang w:val="es-ES_tradnl" w:eastAsia="en-US"/>
        </w:rPr>
      </w:pPr>
      <w:r w:rsidRPr="009F4F70">
        <w:rPr>
          <w:rFonts w:ascii="Arial" w:eastAsia="Times New Roman" w:hAnsi="Arial" w:cs="Arial"/>
          <w:i/>
          <w:color w:val="000000"/>
          <w:szCs w:val="24"/>
          <w:lang w:val="es-ES_tradnl" w:eastAsia="en-US"/>
        </w:rPr>
        <w:t>Materias(s): Administrativa</w:t>
      </w:r>
    </w:p>
    <w:p w14:paraId="2868E6FA" w14:textId="77777777" w:rsidR="009F4F70" w:rsidRPr="009F4F70" w:rsidRDefault="009F4F70" w:rsidP="009F4F70">
      <w:pPr>
        <w:spacing w:after="0" w:line="240" w:lineRule="auto"/>
        <w:ind w:firstLine="567"/>
        <w:jc w:val="both"/>
        <w:rPr>
          <w:rFonts w:ascii="Arial" w:eastAsia="Times New Roman" w:hAnsi="Arial" w:cs="Arial"/>
          <w:i/>
          <w:color w:val="000000"/>
          <w:szCs w:val="24"/>
          <w:lang w:val="es-ES_tradnl" w:eastAsia="en-US"/>
        </w:rPr>
      </w:pPr>
      <w:r w:rsidRPr="009F4F70">
        <w:rPr>
          <w:rFonts w:ascii="Arial" w:eastAsia="Times New Roman" w:hAnsi="Arial" w:cs="Arial"/>
          <w:i/>
          <w:color w:val="000000"/>
          <w:szCs w:val="24"/>
          <w:lang w:val="es-ES_tradnl" w:eastAsia="en-US"/>
        </w:rPr>
        <w:t>Tesis: 2a./J. 115/2005</w:t>
      </w:r>
    </w:p>
    <w:p w14:paraId="5B71D943" w14:textId="77777777" w:rsidR="009F4F70" w:rsidRPr="009F4F70" w:rsidRDefault="009F4F70" w:rsidP="009F4F70">
      <w:pPr>
        <w:spacing w:after="0" w:line="240" w:lineRule="auto"/>
        <w:ind w:left="567"/>
        <w:jc w:val="both"/>
        <w:rPr>
          <w:rFonts w:ascii="Arial" w:eastAsia="Times New Roman" w:hAnsi="Arial" w:cs="Arial"/>
          <w:i/>
          <w:color w:val="000000"/>
          <w:szCs w:val="24"/>
          <w:lang w:val="es-ES_tradnl" w:eastAsia="en-US"/>
        </w:rPr>
      </w:pPr>
      <w:r w:rsidRPr="009F4F70">
        <w:rPr>
          <w:rFonts w:ascii="Arial" w:eastAsia="Times New Roman" w:hAnsi="Arial" w:cs="Arial"/>
          <w:i/>
          <w:color w:val="000000"/>
          <w:szCs w:val="24"/>
          <w:lang w:val="es-ES_tradnl" w:eastAsia="en-US"/>
        </w:rPr>
        <w:t>Fuente: Semanario Judicial de la Federación y su Gaceta. Tomo XXII, Septiembre de 2005, página 310</w:t>
      </w:r>
    </w:p>
    <w:p w14:paraId="1CE85C71" w14:textId="1BFCD5A8" w:rsidR="009F4F70" w:rsidRDefault="009F4F70" w:rsidP="009F4F70">
      <w:pPr>
        <w:spacing w:after="0" w:line="240" w:lineRule="auto"/>
        <w:ind w:firstLine="567"/>
        <w:jc w:val="both"/>
        <w:rPr>
          <w:rFonts w:ascii="Arial" w:eastAsia="Times New Roman" w:hAnsi="Arial" w:cs="Arial"/>
          <w:i/>
          <w:color w:val="000000"/>
          <w:szCs w:val="24"/>
          <w:lang w:val="es-ES_tradnl" w:eastAsia="en-US"/>
        </w:rPr>
      </w:pPr>
      <w:r w:rsidRPr="009F4F70">
        <w:rPr>
          <w:rFonts w:ascii="Arial" w:eastAsia="Times New Roman" w:hAnsi="Arial" w:cs="Arial"/>
          <w:i/>
          <w:color w:val="000000"/>
          <w:szCs w:val="24"/>
          <w:lang w:val="es-ES_tradnl" w:eastAsia="en-US"/>
        </w:rPr>
        <w:t>Tipo: Jurisprudencia</w:t>
      </w:r>
    </w:p>
    <w:p w14:paraId="0478CE07" w14:textId="77777777" w:rsidR="009F4F70" w:rsidRPr="009F4F70" w:rsidRDefault="009F4F70" w:rsidP="009F4F70">
      <w:pPr>
        <w:spacing w:after="0" w:line="240" w:lineRule="auto"/>
        <w:ind w:firstLine="567"/>
        <w:jc w:val="both"/>
        <w:rPr>
          <w:rFonts w:ascii="Arial" w:eastAsia="Times New Roman" w:hAnsi="Arial" w:cs="Arial"/>
          <w:i/>
          <w:color w:val="000000"/>
          <w:szCs w:val="24"/>
          <w:lang w:val="es-ES_tradnl" w:eastAsia="en-US"/>
        </w:rPr>
      </w:pPr>
    </w:p>
    <w:p w14:paraId="5AD20BA1" w14:textId="17337A52" w:rsidR="009F4F70" w:rsidRDefault="009F4F70" w:rsidP="009F4F70">
      <w:pPr>
        <w:spacing w:after="0" w:line="360" w:lineRule="auto"/>
        <w:ind w:firstLine="567"/>
        <w:jc w:val="both"/>
        <w:rPr>
          <w:rFonts w:ascii="Arial" w:eastAsia="Times New Roman" w:hAnsi="Arial" w:cs="Arial"/>
          <w:i/>
          <w:color w:val="000000"/>
          <w:szCs w:val="24"/>
          <w:lang w:val="es-ES_tradnl" w:eastAsia="en-US"/>
        </w:rPr>
      </w:pPr>
      <w:r w:rsidRPr="009F4F70">
        <w:rPr>
          <w:rFonts w:ascii="Arial" w:eastAsia="Times New Roman" w:hAnsi="Arial" w:cs="Arial"/>
          <w:b/>
          <w:i/>
          <w:color w:val="000000"/>
          <w:szCs w:val="24"/>
          <w:lang w:val="es-ES_tradnl" w:eastAsia="en-US"/>
        </w:rPr>
        <w:t xml:space="preserve">COMPETENCIA DE LAS AUTORIDADES ADMINISTRATIVAS. EL MANDAMIENTO ESCRITO QUE CONTIENE EL ACTO DE MOLESTIA A PARTICULARES DEBE FUNDARSE EN EL PRECEPTO LEGAL QUE LES OTORGUE LA ATRIBUCIÓN EJERCIDA, CITANDO EL APARTADO, FRACCIÓN, INCISO O SUBINCISO, Y EN CASO DE QUE NO LOS CONTENGA, SI SE TRATA DE UNA NORMA COMPLEJA, HABRÁ DE  TRANSCRIBIRSE LA PARTE CORRESPONDIENTE. </w:t>
      </w:r>
      <w:r w:rsidRPr="009F4F70">
        <w:rPr>
          <w:rFonts w:ascii="Arial" w:eastAsia="Times New Roman" w:hAnsi="Arial" w:cs="Arial"/>
          <w:i/>
          <w:color w:val="000000"/>
          <w:szCs w:val="24"/>
          <w:lang w:val="es-ES_tradnl" w:eastAsia="en-US"/>
        </w:rPr>
        <w:t xml:space="preserve">De lo dispuesto en la tesis de jurisprudencia P./J. 10/94 del Tribunal en Pleno de la Suprema Corte de Justicia de la Nación, publicada en la </w:t>
      </w:r>
      <w:r w:rsidRPr="009F4F70">
        <w:rPr>
          <w:rFonts w:ascii="Arial" w:eastAsia="Times New Roman" w:hAnsi="Arial" w:cs="Arial"/>
          <w:i/>
          <w:color w:val="000000"/>
          <w:szCs w:val="24"/>
          <w:lang w:val="es-ES_tradnl" w:eastAsia="en-US"/>
        </w:rPr>
        <w:lastRenderedPageBreak/>
        <w:t>Gaceta del Semanario Judicial de la Federación Número 77, mayo de 1994, página 12, con el rubro: "COMPETENCIA. SU FUNDAMENTACIÓN ES REQUISITO ESENCIAL DEL ACTO DE AUTORIDAD.", así como de las consideraciones en las cuales se sustentó dicho criterio, se advierte que la garantía de fundamentación consagrada en el artículo 16 de la Constitución Política de los Estados Unidos Mexicanos, lleva implícita la idea de exactitud y precisión en la cita de las normas legales que facultan a la autoridad administrativa para emitir el acto de molestia de que se trate, al atender al valor jurídicamente protegido por la exigencia constitucional, que es la posibilidad de otorgar certeza y seguridad jurídica al particular frente a los actos de las autoridades que afecten o lesionen su interés jurídico y, por tanto, asegurar la prerrogativa de su defensa ante un acto que no cumpla con los requisitos legales necesarios. En congruencia con lo anterior, se concluye que es un requisito esencial y una obligación de la autoridad fundar en el acto de molestia su competencia, pues sólo puede hacer lo que la ley le permite, de ahí que la validez del acto dependerá de que haya sido realizado por la autoridad facultada legalmente para ello dentro de su respectivo ámbito de competencia, regido específicamente por una o varias normas que lo autoricen; por tanto, para considerar que se cumple con la garantía de fundamentación establecida en el artículo 16 de la Constitución Federal, es necesario que la autoridad precise exhaustivamente su competencia por razón de materia, grado o territorio, con base en la ley, reglamento, decreto o acuerdo que le otorgue la atribución ejercida, citando en su caso el apartado, fracción, inciso o subinciso; sin embargo, en caso de que el ordenamiento legal no los contenga, si se trata de una norma compleja, habrá de transcribirse la parte correspondiente, con la única finalidad de especificar con claridad, certeza y precisión las facultades que le corresponden, pues considerar lo contrario significaría que el gobernado tiene la carga de averiguar en el cúmulo de normas legales que señale la autoridad en el documento que contiene el acto de molestia, si tiene competencia por grado, materia y territorio para actuar en la forma en que lo hace, dejándolo en estado de indefensión, pues ignoraría cuál de todas las normas legales que integran el texto normativo es la específicamente aplicable a la actuación del órgano del que emana, por razón de materia, grado y territorio.</w:t>
      </w:r>
    </w:p>
    <w:p w14:paraId="29848397" w14:textId="77777777" w:rsidR="009F4F70" w:rsidRPr="009F4F70" w:rsidRDefault="009F4F70" w:rsidP="009F4F70">
      <w:pPr>
        <w:spacing w:after="0" w:line="360" w:lineRule="auto"/>
        <w:ind w:firstLine="567"/>
        <w:jc w:val="both"/>
        <w:rPr>
          <w:rFonts w:ascii="Arial" w:eastAsia="Times New Roman" w:hAnsi="Arial" w:cs="Arial"/>
          <w:b/>
          <w:i/>
          <w:color w:val="000000"/>
          <w:szCs w:val="24"/>
          <w:lang w:val="es-ES_tradnl" w:eastAsia="en-US"/>
        </w:rPr>
      </w:pPr>
    </w:p>
    <w:p w14:paraId="0A26C345" w14:textId="07485A31" w:rsidR="009F4F70" w:rsidRPr="009F4F70" w:rsidRDefault="009F4F70" w:rsidP="009F4F70">
      <w:pPr>
        <w:spacing w:after="0" w:line="360" w:lineRule="auto"/>
        <w:ind w:firstLine="567"/>
        <w:jc w:val="both"/>
        <w:rPr>
          <w:rFonts w:ascii="Arial" w:eastAsia="Times New Roman" w:hAnsi="Arial" w:cs="Arial"/>
          <w:i/>
          <w:color w:val="000000"/>
          <w:szCs w:val="24"/>
          <w:lang w:val="es-ES_tradnl" w:eastAsia="en-US"/>
        </w:rPr>
      </w:pPr>
      <w:r w:rsidRPr="009F4F70">
        <w:rPr>
          <w:rFonts w:ascii="Arial" w:eastAsia="Times New Roman" w:hAnsi="Arial" w:cs="Arial"/>
          <w:i/>
          <w:color w:val="000000"/>
          <w:szCs w:val="24"/>
          <w:lang w:val="es-ES_tradnl" w:eastAsia="en-US"/>
        </w:rPr>
        <w:t>Contradicción de tesis 114/2005-SS. Entre las sustentadas por el Segundo Tribunal Colegiado en Materia de Trabajo del Tercer Circuito, el Tercer Tribunal Colegiado del Vigésimo Tercer Circuito y el Primer Tribunal Colegiado en Materia Administrativa del Tercer Circuito. 2 de septiembre de 2005. Cinco votos. Ponente: Genaro David Góngora Pimentel. Secretario: Alfredo Aragón Jiménez Castro.</w:t>
      </w:r>
    </w:p>
    <w:p w14:paraId="0C1DE2F8" w14:textId="77777777" w:rsidR="009F4F70" w:rsidRPr="009F4F70" w:rsidRDefault="009F4F70" w:rsidP="009F4F70">
      <w:pPr>
        <w:spacing w:after="0" w:line="360" w:lineRule="auto"/>
        <w:ind w:firstLine="567"/>
        <w:jc w:val="both"/>
        <w:rPr>
          <w:rFonts w:ascii="Arial" w:eastAsia="Times New Roman" w:hAnsi="Arial" w:cs="Arial"/>
          <w:i/>
          <w:color w:val="000000"/>
          <w:szCs w:val="24"/>
          <w:lang w:val="es-ES_tradnl" w:eastAsia="en-US"/>
        </w:rPr>
      </w:pPr>
      <w:r w:rsidRPr="009F4F70">
        <w:rPr>
          <w:rFonts w:ascii="Arial" w:eastAsia="Times New Roman" w:hAnsi="Arial" w:cs="Arial"/>
          <w:i/>
          <w:color w:val="000000"/>
          <w:szCs w:val="24"/>
          <w:lang w:val="es-ES_tradnl" w:eastAsia="en-US"/>
        </w:rPr>
        <w:t>Tesis de jurisprudencia 115/2005. Aprobada por la Segunda Sala de este Alto Tribunal, en sesión privada del nueve de septiembre de dos mil cinco.</w:t>
      </w:r>
    </w:p>
    <w:p w14:paraId="673D6908" w14:textId="77777777" w:rsidR="009F4F70" w:rsidRDefault="009F4F70" w:rsidP="009F4F70">
      <w:pPr>
        <w:spacing w:line="360" w:lineRule="auto"/>
        <w:ind w:firstLine="567"/>
        <w:jc w:val="both"/>
        <w:rPr>
          <w:rFonts w:ascii="Arial" w:eastAsia="Times New Roman" w:hAnsi="Arial" w:cs="Arial"/>
          <w:color w:val="000000"/>
          <w:sz w:val="24"/>
          <w:szCs w:val="24"/>
          <w:lang w:val="es-ES_tradnl" w:eastAsia="en-US"/>
        </w:rPr>
      </w:pPr>
    </w:p>
    <w:p w14:paraId="57545A57" w14:textId="1A558B82" w:rsidR="009F4F70" w:rsidRPr="009F4F70" w:rsidRDefault="009F4F70" w:rsidP="009F4F70">
      <w:pPr>
        <w:spacing w:after="0" w:line="240" w:lineRule="auto"/>
        <w:ind w:firstLine="567"/>
        <w:jc w:val="both"/>
        <w:rPr>
          <w:rFonts w:ascii="Arial" w:eastAsia="Times New Roman" w:hAnsi="Arial" w:cs="Arial"/>
          <w:i/>
          <w:color w:val="000000"/>
          <w:szCs w:val="24"/>
          <w:lang w:val="es-ES_tradnl" w:eastAsia="en-US"/>
        </w:rPr>
      </w:pPr>
      <w:r w:rsidRPr="009F4F70">
        <w:rPr>
          <w:rFonts w:ascii="Arial" w:eastAsia="Times New Roman" w:hAnsi="Arial" w:cs="Arial"/>
          <w:i/>
          <w:color w:val="000000"/>
          <w:szCs w:val="24"/>
          <w:lang w:val="es-ES_tradnl" w:eastAsia="en-US"/>
        </w:rPr>
        <w:t>Suprema Corte de Justicia de la Nación</w:t>
      </w:r>
    </w:p>
    <w:p w14:paraId="5A1AA3C1" w14:textId="77777777" w:rsidR="009F4F70" w:rsidRPr="009F4F70" w:rsidRDefault="009F4F70" w:rsidP="009F4F70">
      <w:pPr>
        <w:spacing w:after="0" w:line="240" w:lineRule="auto"/>
        <w:ind w:firstLine="567"/>
        <w:jc w:val="both"/>
        <w:rPr>
          <w:rFonts w:ascii="Arial" w:eastAsia="Times New Roman" w:hAnsi="Arial" w:cs="Arial"/>
          <w:i/>
          <w:color w:val="000000"/>
          <w:szCs w:val="24"/>
          <w:lang w:val="es-ES_tradnl" w:eastAsia="en-US"/>
        </w:rPr>
      </w:pPr>
      <w:r w:rsidRPr="009F4F70">
        <w:rPr>
          <w:rFonts w:ascii="Arial" w:eastAsia="Times New Roman" w:hAnsi="Arial" w:cs="Arial"/>
          <w:i/>
          <w:color w:val="000000"/>
          <w:szCs w:val="24"/>
          <w:lang w:val="es-ES_tradnl" w:eastAsia="en-US"/>
        </w:rPr>
        <w:t>Registro digital: 205463</w:t>
      </w:r>
    </w:p>
    <w:p w14:paraId="4B090F62" w14:textId="77777777" w:rsidR="009F4F70" w:rsidRPr="009F4F70" w:rsidRDefault="009F4F70" w:rsidP="009F4F70">
      <w:pPr>
        <w:spacing w:after="0" w:line="240" w:lineRule="auto"/>
        <w:ind w:firstLine="567"/>
        <w:jc w:val="both"/>
        <w:rPr>
          <w:rFonts w:ascii="Arial" w:eastAsia="Times New Roman" w:hAnsi="Arial" w:cs="Arial"/>
          <w:i/>
          <w:color w:val="000000"/>
          <w:szCs w:val="24"/>
          <w:lang w:val="es-ES_tradnl" w:eastAsia="en-US"/>
        </w:rPr>
      </w:pPr>
      <w:r w:rsidRPr="009F4F70">
        <w:rPr>
          <w:rFonts w:ascii="Arial" w:eastAsia="Times New Roman" w:hAnsi="Arial" w:cs="Arial"/>
          <w:i/>
          <w:color w:val="000000"/>
          <w:szCs w:val="24"/>
          <w:lang w:val="es-ES_tradnl" w:eastAsia="en-US"/>
        </w:rPr>
        <w:lastRenderedPageBreak/>
        <w:t>Instancia: Pleno</w:t>
      </w:r>
    </w:p>
    <w:p w14:paraId="35A00E80" w14:textId="77777777" w:rsidR="009F4F70" w:rsidRPr="009F4F70" w:rsidRDefault="009F4F70" w:rsidP="009F4F70">
      <w:pPr>
        <w:spacing w:after="0" w:line="240" w:lineRule="auto"/>
        <w:ind w:firstLine="567"/>
        <w:jc w:val="both"/>
        <w:rPr>
          <w:rFonts w:ascii="Arial" w:eastAsia="Times New Roman" w:hAnsi="Arial" w:cs="Arial"/>
          <w:i/>
          <w:color w:val="000000"/>
          <w:szCs w:val="24"/>
          <w:lang w:val="es-ES_tradnl" w:eastAsia="en-US"/>
        </w:rPr>
      </w:pPr>
      <w:r w:rsidRPr="009F4F70">
        <w:rPr>
          <w:rFonts w:ascii="Arial" w:eastAsia="Times New Roman" w:hAnsi="Arial" w:cs="Arial"/>
          <w:i/>
          <w:color w:val="000000"/>
          <w:szCs w:val="24"/>
          <w:lang w:val="es-ES_tradnl" w:eastAsia="en-US"/>
        </w:rPr>
        <w:t>Octava Época</w:t>
      </w:r>
    </w:p>
    <w:p w14:paraId="58590D8E" w14:textId="77777777" w:rsidR="009F4F70" w:rsidRPr="009F4F70" w:rsidRDefault="009F4F70" w:rsidP="009F4F70">
      <w:pPr>
        <w:spacing w:after="0" w:line="240" w:lineRule="auto"/>
        <w:ind w:firstLine="567"/>
        <w:jc w:val="both"/>
        <w:rPr>
          <w:rFonts w:ascii="Arial" w:eastAsia="Times New Roman" w:hAnsi="Arial" w:cs="Arial"/>
          <w:i/>
          <w:color w:val="000000"/>
          <w:szCs w:val="24"/>
          <w:lang w:val="es-ES_tradnl" w:eastAsia="en-US"/>
        </w:rPr>
      </w:pPr>
      <w:r w:rsidRPr="009F4F70">
        <w:rPr>
          <w:rFonts w:ascii="Arial" w:eastAsia="Times New Roman" w:hAnsi="Arial" w:cs="Arial"/>
          <w:i/>
          <w:color w:val="000000"/>
          <w:szCs w:val="24"/>
          <w:lang w:val="es-ES_tradnl" w:eastAsia="en-US"/>
        </w:rPr>
        <w:t>Materias(s): Común</w:t>
      </w:r>
    </w:p>
    <w:p w14:paraId="6B69DE3E" w14:textId="77777777" w:rsidR="009F4F70" w:rsidRPr="009F4F70" w:rsidRDefault="009F4F70" w:rsidP="009F4F70">
      <w:pPr>
        <w:spacing w:after="0" w:line="240" w:lineRule="auto"/>
        <w:ind w:firstLine="567"/>
        <w:jc w:val="both"/>
        <w:rPr>
          <w:rFonts w:ascii="Arial" w:eastAsia="Times New Roman" w:hAnsi="Arial" w:cs="Arial"/>
          <w:i/>
          <w:color w:val="000000"/>
          <w:szCs w:val="24"/>
          <w:lang w:val="es-ES_tradnl" w:eastAsia="en-US"/>
        </w:rPr>
      </w:pPr>
      <w:r w:rsidRPr="009F4F70">
        <w:rPr>
          <w:rFonts w:ascii="Arial" w:eastAsia="Times New Roman" w:hAnsi="Arial" w:cs="Arial"/>
          <w:i/>
          <w:color w:val="000000"/>
          <w:szCs w:val="24"/>
          <w:lang w:val="es-ES_tradnl" w:eastAsia="en-US"/>
        </w:rPr>
        <w:t xml:space="preserve">Tesis: P./J. 10/94         </w:t>
      </w:r>
    </w:p>
    <w:p w14:paraId="577FF2AC" w14:textId="77777777" w:rsidR="009F4F70" w:rsidRPr="009F4F70" w:rsidRDefault="009F4F70" w:rsidP="009F4F70">
      <w:pPr>
        <w:spacing w:after="0" w:line="240" w:lineRule="auto"/>
        <w:ind w:left="567"/>
        <w:jc w:val="both"/>
        <w:rPr>
          <w:rFonts w:ascii="Arial" w:eastAsia="Times New Roman" w:hAnsi="Arial" w:cs="Arial"/>
          <w:i/>
          <w:color w:val="000000"/>
          <w:szCs w:val="24"/>
          <w:lang w:val="es-ES_tradnl" w:eastAsia="en-US"/>
        </w:rPr>
      </w:pPr>
      <w:r w:rsidRPr="009F4F70">
        <w:rPr>
          <w:rFonts w:ascii="Arial" w:eastAsia="Times New Roman" w:hAnsi="Arial" w:cs="Arial"/>
          <w:i/>
          <w:color w:val="000000"/>
          <w:szCs w:val="24"/>
          <w:lang w:val="es-ES_tradnl" w:eastAsia="en-US"/>
        </w:rPr>
        <w:t>Fuente: Gaceta del Semanario Judicial de la Federación. Núm. 77, Mayo de 1994, página 12</w:t>
      </w:r>
    </w:p>
    <w:p w14:paraId="6DF181F0" w14:textId="4CA4B256" w:rsidR="009F4F70" w:rsidRDefault="009F4F70" w:rsidP="009F4F70">
      <w:pPr>
        <w:spacing w:after="0" w:line="240" w:lineRule="auto"/>
        <w:ind w:firstLine="567"/>
        <w:jc w:val="both"/>
        <w:rPr>
          <w:rFonts w:ascii="Arial" w:eastAsia="Times New Roman" w:hAnsi="Arial" w:cs="Arial"/>
          <w:i/>
          <w:color w:val="000000"/>
          <w:szCs w:val="24"/>
          <w:lang w:val="es-ES_tradnl" w:eastAsia="en-US"/>
        </w:rPr>
      </w:pPr>
      <w:r w:rsidRPr="009F4F70">
        <w:rPr>
          <w:rFonts w:ascii="Arial" w:eastAsia="Times New Roman" w:hAnsi="Arial" w:cs="Arial"/>
          <w:i/>
          <w:color w:val="000000"/>
          <w:szCs w:val="24"/>
          <w:lang w:val="es-ES_tradnl" w:eastAsia="en-US"/>
        </w:rPr>
        <w:t>Tipo: Jurisprudencia</w:t>
      </w:r>
    </w:p>
    <w:p w14:paraId="5F6C71FC" w14:textId="77777777" w:rsidR="009F4F70" w:rsidRPr="009F4F70" w:rsidRDefault="009F4F70" w:rsidP="009F4F70">
      <w:pPr>
        <w:spacing w:after="0" w:line="240" w:lineRule="auto"/>
        <w:ind w:firstLine="567"/>
        <w:jc w:val="both"/>
        <w:rPr>
          <w:rFonts w:ascii="Arial" w:eastAsia="Times New Roman" w:hAnsi="Arial" w:cs="Arial"/>
          <w:i/>
          <w:color w:val="000000"/>
          <w:szCs w:val="24"/>
          <w:lang w:val="es-ES_tradnl" w:eastAsia="en-US"/>
        </w:rPr>
      </w:pPr>
    </w:p>
    <w:p w14:paraId="2A52DB39" w14:textId="4F92C537" w:rsidR="009F4F70" w:rsidRDefault="009F4F70" w:rsidP="009F4F70">
      <w:pPr>
        <w:spacing w:after="0" w:line="360" w:lineRule="auto"/>
        <w:ind w:firstLine="567"/>
        <w:jc w:val="both"/>
        <w:rPr>
          <w:rFonts w:ascii="Arial" w:eastAsia="Times New Roman" w:hAnsi="Arial" w:cs="Arial"/>
          <w:i/>
          <w:color w:val="000000"/>
          <w:szCs w:val="24"/>
          <w:lang w:val="es-ES_tradnl" w:eastAsia="en-US"/>
        </w:rPr>
      </w:pPr>
      <w:r w:rsidRPr="009F4F70">
        <w:rPr>
          <w:rFonts w:ascii="Arial" w:eastAsia="Times New Roman" w:hAnsi="Arial" w:cs="Arial"/>
          <w:b/>
          <w:i/>
          <w:color w:val="000000"/>
          <w:szCs w:val="24"/>
          <w:lang w:val="es-ES_tradnl" w:eastAsia="en-US"/>
        </w:rPr>
        <w:t>COMPETENCIA. SU FUNDAMENTACION ES REQUISITO ESENCIAL DEL ACTO DE AUTORIDAD</w:t>
      </w:r>
      <w:r w:rsidRPr="009F4F70">
        <w:rPr>
          <w:rFonts w:ascii="Arial" w:eastAsia="Times New Roman" w:hAnsi="Arial" w:cs="Arial"/>
          <w:i/>
          <w:color w:val="000000"/>
          <w:szCs w:val="24"/>
          <w:lang w:val="es-ES_tradnl" w:eastAsia="en-US"/>
        </w:rPr>
        <w:t>. Haciendo una interpretación armónica de las garantías individuales de legalidad y seguridad jurídica que consagran los artículos 14 y 16 constitucionales, se advierte que los actos de molestia y privación deben, entre otros requisitos, ser emitidos por autoridad competente y cumplir las formalidades esenciales que les den eficacia jurídica, lo que significa que todo acto de autoridad necesariamente debe emitirse por quien para ello esté facultado expresándose, como parte de las formalidades esenciales, el carácter con que se suscribe y el dispositivo, acuerdo o decreto que otorgue tal legitimación. De lo contrario, se dejaría al afectado en estado de indefensión, ya que al no conocer el apoyo que faculte a la autoridad para emitir el acto, ni el carácter con que lo emita, es evidente que no se le otorga la oportunidad de examinar si su actuación se encuentra o no dentro del ámbito competencial respectivo, y es conforme o no a la Constitución o a la ley; para que, en su caso, esté en aptitud de alegar, además de la ilegalidad del acto, la del apoyo en que se funde la autoridad para emitirlo, pues bien puede acontecer que su actuación no se adecúe exactamente a la norma, acuerdo o decreto que invoque, o que éstos se hallen en contradicción con la ley fundamental o la secundaria.</w:t>
      </w:r>
    </w:p>
    <w:p w14:paraId="5E5DC85B" w14:textId="77777777" w:rsidR="009F4F70" w:rsidRPr="009F4F70" w:rsidRDefault="009F4F70" w:rsidP="009F4F70">
      <w:pPr>
        <w:spacing w:after="0" w:line="360" w:lineRule="auto"/>
        <w:ind w:firstLine="567"/>
        <w:jc w:val="both"/>
        <w:rPr>
          <w:rFonts w:ascii="Arial" w:eastAsia="Times New Roman" w:hAnsi="Arial" w:cs="Arial"/>
          <w:i/>
          <w:color w:val="000000"/>
          <w:szCs w:val="24"/>
          <w:lang w:val="es-ES_tradnl" w:eastAsia="en-US"/>
        </w:rPr>
      </w:pPr>
    </w:p>
    <w:p w14:paraId="6A67F46F" w14:textId="02E2946A" w:rsidR="009F4F70" w:rsidRDefault="009F4F70" w:rsidP="009F4F70">
      <w:pPr>
        <w:spacing w:after="0" w:line="360" w:lineRule="auto"/>
        <w:ind w:firstLine="567"/>
        <w:jc w:val="both"/>
        <w:rPr>
          <w:rFonts w:ascii="Arial" w:eastAsia="Times New Roman" w:hAnsi="Arial" w:cs="Arial"/>
          <w:i/>
          <w:color w:val="000000"/>
          <w:szCs w:val="24"/>
          <w:lang w:val="es-ES_tradnl" w:eastAsia="en-US"/>
        </w:rPr>
      </w:pPr>
      <w:r w:rsidRPr="009F4F70">
        <w:rPr>
          <w:rFonts w:ascii="Arial" w:eastAsia="Times New Roman" w:hAnsi="Arial" w:cs="Arial"/>
          <w:i/>
          <w:color w:val="000000"/>
          <w:szCs w:val="24"/>
          <w:lang w:val="es-ES_tradnl" w:eastAsia="en-US"/>
        </w:rPr>
        <w:t>Contradicción de tesis 29/90. Entre las sustentadas por el Tercer Tribunal Colegiado en Materia Administrativa del Primer Circuito y el Tribunal (en la actualidad Primero) Colegiado del Décimo Tercer Circuito. 17 de junio de 1992. Unanimidad de dieciocho votos. Ponente: Carlos de Silva Nava. Secretario: Jorge D. Guzmán González.</w:t>
      </w:r>
    </w:p>
    <w:p w14:paraId="4EDC35E8" w14:textId="77777777" w:rsidR="009F4F70" w:rsidRPr="009F4F70" w:rsidRDefault="009F4F70" w:rsidP="009F4F70">
      <w:pPr>
        <w:spacing w:after="0" w:line="360" w:lineRule="auto"/>
        <w:ind w:firstLine="567"/>
        <w:jc w:val="both"/>
        <w:rPr>
          <w:rFonts w:ascii="Arial" w:eastAsia="Times New Roman" w:hAnsi="Arial" w:cs="Arial"/>
          <w:i/>
          <w:color w:val="000000"/>
          <w:szCs w:val="24"/>
          <w:lang w:val="es-ES_tradnl" w:eastAsia="en-US"/>
        </w:rPr>
      </w:pPr>
    </w:p>
    <w:p w14:paraId="11ED3A42" w14:textId="3CD3842F" w:rsidR="006032E1" w:rsidRPr="00F40377" w:rsidRDefault="00A93088" w:rsidP="00F40377">
      <w:pPr>
        <w:spacing w:line="360" w:lineRule="auto"/>
        <w:ind w:right="-93" w:firstLine="709"/>
        <w:jc w:val="both"/>
        <w:rPr>
          <w:rFonts w:ascii="Arial" w:eastAsia="Arial" w:hAnsi="Arial" w:cs="Arial"/>
          <w:sz w:val="24"/>
          <w:szCs w:val="24"/>
        </w:rPr>
      </w:pPr>
      <w:r>
        <w:rPr>
          <w:rFonts w:ascii="Arial" w:eastAsia="Arial" w:hAnsi="Arial" w:cs="Arial"/>
          <w:sz w:val="24"/>
          <w:szCs w:val="24"/>
        </w:rPr>
        <w:t xml:space="preserve">Por lo tanto y para estar en condiciones de restituir al administrado en el pleno goce de sus derechos afectados, </w:t>
      </w:r>
      <w:r>
        <w:rPr>
          <w:rFonts w:ascii="Arial" w:eastAsia="Arial" w:hAnsi="Arial" w:cs="Arial"/>
          <w:b/>
          <w:sz w:val="24"/>
          <w:szCs w:val="24"/>
        </w:rPr>
        <w:t xml:space="preserve">se ordena </w:t>
      </w:r>
      <w:r>
        <w:rPr>
          <w:rFonts w:ascii="Arial" w:eastAsia="Arial" w:hAnsi="Arial" w:cs="Arial"/>
          <w:sz w:val="24"/>
          <w:szCs w:val="24"/>
        </w:rPr>
        <w:t xml:space="preserve">a </w:t>
      </w:r>
      <w:r w:rsidR="009F4F70">
        <w:rPr>
          <w:rFonts w:ascii="Arial" w:eastAsia="Arial" w:hAnsi="Arial" w:cs="Arial"/>
          <w:sz w:val="24"/>
          <w:szCs w:val="24"/>
        </w:rPr>
        <w:t xml:space="preserve">la </w:t>
      </w:r>
      <w:r w:rsidR="009F4F70">
        <w:rPr>
          <w:rFonts w:ascii="Arial" w:eastAsia="Arial" w:hAnsi="Arial" w:cs="Arial"/>
          <w:b/>
          <w:sz w:val="24"/>
          <w:szCs w:val="24"/>
        </w:rPr>
        <w:t>autoridad demandada</w:t>
      </w:r>
      <w:r>
        <w:rPr>
          <w:rFonts w:ascii="Arial" w:eastAsia="Arial" w:hAnsi="Arial" w:cs="Arial"/>
          <w:sz w:val="24"/>
          <w:szCs w:val="24"/>
        </w:rPr>
        <w:t xml:space="preserve">, proceda a la cancelación de la citada acta de infracción, del sistema </w:t>
      </w:r>
      <w:r w:rsidR="00D4148E">
        <w:rPr>
          <w:rFonts w:ascii="Arial" w:eastAsia="Arial" w:hAnsi="Arial" w:cs="Arial"/>
          <w:sz w:val="24"/>
          <w:szCs w:val="24"/>
        </w:rPr>
        <w:t xml:space="preserve">digital </w:t>
      </w:r>
      <w:r>
        <w:rPr>
          <w:rFonts w:ascii="Arial" w:eastAsia="Arial" w:hAnsi="Arial" w:cs="Arial"/>
          <w:sz w:val="24"/>
          <w:szCs w:val="24"/>
        </w:rPr>
        <w:t>correspondiente.</w:t>
      </w:r>
    </w:p>
    <w:p w14:paraId="00000044" w14:textId="77777777" w:rsidR="002354BD" w:rsidRDefault="00A93088">
      <w:pPr>
        <w:spacing w:line="360" w:lineRule="auto"/>
        <w:ind w:right="-93" w:firstLine="709"/>
        <w:jc w:val="both"/>
        <w:rPr>
          <w:rFonts w:ascii="Arial" w:eastAsia="Arial" w:hAnsi="Arial" w:cs="Arial"/>
          <w:sz w:val="24"/>
          <w:szCs w:val="24"/>
        </w:rPr>
      </w:pPr>
      <w:r>
        <w:rPr>
          <w:rFonts w:ascii="Arial" w:eastAsia="Arial" w:hAnsi="Arial" w:cs="Arial"/>
          <w:sz w:val="24"/>
          <w:szCs w:val="24"/>
        </w:rPr>
        <w:t>Por lo expuesto y con fundamento en los artículos 207 fracciones I, II y III, 208 fracción VI y 209 de la Ley de Procedimiento y Justicia Administrativa para el Estado de Oaxaca, se; - - - - - - - - - - - - - - - - - - - - - - - - - - - - - - - - - -</w:t>
      </w:r>
    </w:p>
    <w:p w14:paraId="42001CDF" w14:textId="77777777" w:rsidR="000E3D53" w:rsidRDefault="000E3D53" w:rsidP="000E3D53">
      <w:pPr>
        <w:spacing w:before="240" w:line="360" w:lineRule="auto"/>
        <w:ind w:right="-93"/>
        <w:rPr>
          <w:rFonts w:ascii="Arial" w:eastAsia="Arial" w:hAnsi="Arial" w:cs="Arial"/>
          <w:b/>
          <w:sz w:val="24"/>
          <w:szCs w:val="24"/>
        </w:rPr>
      </w:pPr>
    </w:p>
    <w:p w14:paraId="196073DA" w14:textId="77777777" w:rsidR="000E3D53" w:rsidRDefault="000E3D53" w:rsidP="000E3D53">
      <w:pPr>
        <w:spacing w:before="240" w:line="360" w:lineRule="auto"/>
        <w:ind w:right="-93"/>
        <w:rPr>
          <w:rFonts w:ascii="Arial" w:eastAsia="Arial" w:hAnsi="Arial" w:cs="Arial"/>
          <w:b/>
          <w:sz w:val="24"/>
          <w:szCs w:val="24"/>
        </w:rPr>
      </w:pPr>
    </w:p>
    <w:p w14:paraId="244927B2" w14:textId="77777777" w:rsidR="000E3D53" w:rsidRDefault="000E3D53" w:rsidP="000E3D53">
      <w:pPr>
        <w:spacing w:before="240" w:line="360" w:lineRule="auto"/>
        <w:ind w:right="-93"/>
        <w:rPr>
          <w:rFonts w:ascii="Arial" w:eastAsia="Arial" w:hAnsi="Arial" w:cs="Arial"/>
          <w:b/>
          <w:sz w:val="24"/>
          <w:szCs w:val="24"/>
        </w:rPr>
      </w:pPr>
    </w:p>
    <w:p w14:paraId="00000045" w14:textId="77777777" w:rsidR="002354BD" w:rsidRDefault="00A93088" w:rsidP="000E3D53">
      <w:pPr>
        <w:spacing w:before="240" w:line="360" w:lineRule="auto"/>
        <w:ind w:right="-93"/>
        <w:jc w:val="center"/>
        <w:rPr>
          <w:rFonts w:ascii="Arial" w:eastAsia="Arial" w:hAnsi="Arial" w:cs="Arial"/>
          <w:b/>
          <w:sz w:val="24"/>
          <w:szCs w:val="24"/>
        </w:rPr>
      </w:pPr>
      <w:r>
        <w:rPr>
          <w:rFonts w:ascii="Arial" w:eastAsia="Arial" w:hAnsi="Arial" w:cs="Arial"/>
          <w:b/>
          <w:sz w:val="24"/>
          <w:szCs w:val="24"/>
        </w:rPr>
        <w:lastRenderedPageBreak/>
        <w:t>R E S U E L V E:</w:t>
      </w:r>
    </w:p>
    <w:p w14:paraId="00000046" w14:textId="4CBA1751" w:rsidR="002354BD" w:rsidRDefault="00A93088">
      <w:pPr>
        <w:spacing w:line="360" w:lineRule="auto"/>
        <w:ind w:right="-93" w:firstLine="709"/>
        <w:jc w:val="both"/>
        <w:rPr>
          <w:rFonts w:ascii="Arial" w:eastAsia="Arial" w:hAnsi="Arial" w:cs="Arial"/>
          <w:sz w:val="24"/>
          <w:szCs w:val="24"/>
        </w:rPr>
      </w:pPr>
      <w:r>
        <w:rPr>
          <w:rFonts w:ascii="Arial" w:eastAsia="Arial" w:hAnsi="Arial" w:cs="Arial"/>
          <w:b/>
          <w:sz w:val="24"/>
          <w:szCs w:val="24"/>
        </w:rPr>
        <w:t xml:space="preserve">PRIMERO. </w:t>
      </w:r>
      <w:r>
        <w:rPr>
          <w:rFonts w:ascii="Arial" w:eastAsia="Arial" w:hAnsi="Arial" w:cs="Arial"/>
          <w:sz w:val="24"/>
          <w:szCs w:val="24"/>
        </w:rPr>
        <w:t xml:space="preserve">Esta Sexta Sala Unitaria de este Tribunal de Justicia Administrativa para el Estado de Oaxaca, </w:t>
      </w:r>
      <w:r w:rsidR="006032E1">
        <w:rPr>
          <w:rFonts w:ascii="Arial" w:eastAsia="Arial" w:hAnsi="Arial" w:cs="Arial"/>
          <w:b/>
          <w:sz w:val="24"/>
          <w:szCs w:val="24"/>
        </w:rPr>
        <w:t>es</w:t>
      </w:r>
      <w:r>
        <w:rPr>
          <w:rFonts w:ascii="Arial" w:eastAsia="Arial" w:hAnsi="Arial" w:cs="Arial"/>
          <w:b/>
          <w:sz w:val="24"/>
          <w:szCs w:val="24"/>
        </w:rPr>
        <w:t xml:space="preserve"> competente</w:t>
      </w:r>
      <w:r>
        <w:rPr>
          <w:rFonts w:ascii="Arial" w:eastAsia="Arial" w:hAnsi="Arial" w:cs="Arial"/>
          <w:sz w:val="24"/>
          <w:szCs w:val="24"/>
        </w:rPr>
        <w:t xml:space="preserve"> para conocer y resolver del presente asunto. - - - - - - - - - - - - - - - - - - - - - - - - - - - - - - - - - - -</w:t>
      </w:r>
    </w:p>
    <w:p w14:paraId="00000047" w14:textId="77777777" w:rsidR="002354BD" w:rsidRDefault="00A93088">
      <w:pPr>
        <w:spacing w:line="360" w:lineRule="auto"/>
        <w:ind w:right="-93" w:firstLine="709"/>
        <w:jc w:val="both"/>
        <w:rPr>
          <w:rFonts w:ascii="Arial" w:eastAsia="Arial" w:hAnsi="Arial" w:cs="Arial"/>
          <w:sz w:val="24"/>
          <w:szCs w:val="24"/>
        </w:rPr>
      </w:pPr>
      <w:r>
        <w:rPr>
          <w:rFonts w:ascii="Arial" w:eastAsia="Arial" w:hAnsi="Arial" w:cs="Arial"/>
          <w:b/>
          <w:sz w:val="24"/>
          <w:szCs w:val="24"/>
        </w:rPr>
        <w:t xml:space="preserve">SEGUNDO. </w:t>
      </w:r>
      <w:r>
        <w:rPr>
          <w:rFonts w:ascii="Arial" w:eastAsia="Arial" w:hAnsi="Arial" w:cs="Arial"/>
          <w:sz w:val="24"/>
          <w:szCs w:val="24"/>
        </w:rPr>
        <w:t>La</w:t>
      </w:r>
      <w:r>
        <w:rPr>
          <w:rFonts w:ascii="Arial" w:eastAsia="Arial" w:hAnsi="Arial" w:cs="Arial"/>
          <w:b/>
          <w:sz w:val="24"/>
          <w:szCs w:val="24"/>
        </w:rPr>
        <w:t xml:space="preserve"> personalidad</w:t>
      </w:r>
      <w:r>
        <w:rPr>
          <w:rFonts w:ascii="Arial" w:eastAsia="Arial" w:hAnsi="Arial" w:cs="Arial"/>
          <w:sz w:val="24"/>
          <w:szCs w:val="24"/>
        </w:rPr>
        <w:t xml:space="preserve"> de las partes quedó acreditada en autos.</w:t>
      </w:r>
    </w:p>
    <w:p w14:paraId="00000048" w14:textId="77777777" w:rsidR="002354BD" w:rsidRDefault="00A93088">
      <w:pPr>
        <w:spacing w:line="360" w:lineRule="auto"/>
        <w:ind w:right="-93" w:firstLine="709"/>
        <w:jc w:val="both"/>
        <w:rPr>
          <w:rFonts w:ascii="Arial" w:eastAsia="Arial" w:hAnsi="Arial" w:cs="Arial"/>
          <w:sz w:val="24"/>
          <w:szCs w:val="24"/>
        </w:rPr>
      </w:pPr>
      <w:r>
        <w:rPr>
          <w:rFonts w:ascii="Arial" w:eastAsia="Arial" w:hAnsi="Arial" w:cs="Arial"/>
          <w:b/>
          <w:sz w:val="24"/>
          <w:szCs w:val="24"/>
        </w:rPr>
        <w:t xml:space="preserve">TERCERO. </w:t>
      </w:r>
      <w:r>
        <w:rPr>
          <w:rFonts w:ascii="Arial" w:eastAsia="Arial" w:hAnsi="Arial" w:cs="Arial"/>
          <w:sz w:val="24"/>
          <w:szCs w:val="24"/>
        </w:rPr>
        <w:t xml:space="preserve">No se actualizaron causales de improcedencia y sobreseimiento en el presente asunto, por lo que </w:t>
      </w:r>
      <w:r>
        <w:rPr>
          <w:rFonts w:ascii="Arial" w:eastAsia="Arial" w:hAnsi="Arial" w:cs="Arial"/>
          <w:b/>
          <w:sz w:val="24"/>
          <w:szCs w:val="24"/>
        </w:rPr>
        <w:t>no se sobresee</w:t>
      </w:r>
      <w:r>
        <w:rPr>
          <w:rFonts w:ascii="Arial" w:eastAsia="Arial" w:hAnsi="Arial" w:cs="Arial"/>
          <w:sz w:val="24"/>
          <w:szCs w:val="24"/>
        </w:rPr>
        <w:t xml:space="preserve"> el juicio. - -</w:t>
      </w:r>
    </w:p>
    <w:p w14:paraId="00000049" w14:textId="0366783F" w:rsidR="002354BD" w:rsidRDefault="00A93088">
      <w:pPr>
        <w:spacing w:line="360" w:lineRule="auto"/>
        <w:ind w:right="-93" w:firstLine="709"/>
        <w:jc w:val="both"/>
        <w:rPr>
          <w:rFonts w:ascii="Arial" w:eastAsia="Arial" w:hAnsi="Arial" w:cs="Arial"/>
          <w:sz w:val="24"/>
          <w:szCs w:val="24"/>
        </w:rPr>
      </w:pPr>
      <w:r>
        <w:rPr>
          <w:rFonts w:ascii="Arial" w:eastAsia="Arial" w:hAnsi="Arial" w:cs="Arial"/>
          <w:b/>
          <w:sz w:val="24"/>
          <w:szCs w:val="24"/>
        </w:rPr>
        <w:t xml:space="preserve">CUARTO. </w:t>
      </w:r>
      <w:r>
        <w:rPr>
          <w:rFonts w:ascii="Arial" w:eastAsia="Arial" w:hAnsi="Arial" w:cs="Arial"/>
          <w:sz w:val="24"/>
          <w:szCs w:val="24"/>
        </w:rPr>
        <w:t xml:space="preserve">Se declara la </w:t>
      </w:r>
      <w:r>
        <w:rPr>
          <w:rFonts w:ascii="Arial" w:eastAsia="Arial" w:hAnsi="Arial" w:cs="Arial"/>
          <w:b/>
          <w:sz w:val="24"/>
          <w:szCs w:val="24"/>
        </w:rPr>
        <w:t>NULIDAD</w:t>
      </w:r>
      <w:r>
        <w:rPr>
          <w:rFonts w:ascii="Arial" w:eastAsia="Arial" w:hAnsi="Arial" w:cs="Arial"/>
          <w:sz w:val="24"/>
          <w:szCs w:val="24"/>
        </w:rPr>
        <w:t xml:space="preserve"> </w:t>
      </w:r>
      <w:r>
        <w:rPr>
          <w:rFonts w:ascii="Arial" w:eastAsia="Arial" w:hAnsi="Arial" w:cs="Arial"/>
          <w:b/>
          <w:sz w:val="24"/>
          <w:szCs w:val="24"/>
        </w:rPr>
        <w:t>LISA Y LLANA</w:t>
      </w:r>
      <w:r>
        <w:rPr>
          <w:rFonts w:ascii="Arial" w:eastAsia="Arial" w:hAnsi="Arial" w:cs="Arial"/>
          <w:sz w:val="24"/>
          <w:szCs w:val="24"/>
        </w:rPr>
        <w:t xml:space="preserve"> del acta de infracción de tránsito con número de </w:t>
      </w:r>
      <w:r w:rsidR="0021493A">
        <w:rPr>
          <w:rFonts w:ascii="Arial" w:eastAsia="Times New Roman" w:hAnsi="Arial" w:cs="Arial"/>
          <w:b/>
          <w:bCs/>
          <w:color w:val="FF0000"/>
          <w:sz w:val="24"/>
          <w:szCs w:val="24"/>
          <w:lang w:eastAsia="en-US"/>
        </w:rPr>
        <w:t>**********</w:t>
      </w:r>
      <w:r w:rsidR="006032E1" w:rsidRPr="00053D29">
        <w:rPr>
          <w:rFonts w:ascii="Arial" w:eastAsia="Times New Roman" w:hAnsi="Arial" w:cs="Arial"/>
          <w:b/>
          <w:bCs/>
          <w:color w:val="FF0000"/>
          <w:sz w:val="24"/>
          <w:szCs w:val="24"/>
          <w:lang w:eastAsia="en-US"/>
        </w:rPr>
        <w:t>,</w:t>
      </w:r>
      <w:r w:rsidR="006032E1" w:rsidRPr="00053D29">
        <w:rPr>
          <w:rFonts w:ascii="Arial" w:eastAsia="Times New Roman" w:hAnsi="Arial" w:cs="Arial"/>
          <w:bCs/>
          <w:color w:val="000000"/>
          <w:sz w:val="24"/>
          <w:szCs w:val="24"/>
          <w:lang w:eastAsia="en-US"/>
        </w:rPr>
        <w:t xml:space="preserve"> de </w:t>
      </w:r>
      <w:r w:rsidR="00B9537E">
        <w:rPr>
          <w:rFonts w:ascii="Arial" w:eastAsia="Times New Roman" w:hAnsi="Arial" w:cs="Arial"/>
          <w:bCs/>
          <w:color w:val="000000"/>
          <w:sz w:val="24"/>
          <w:szCs w:val="24"/>
          <w:lang w:eastAsia="en-US"/>
        </w:rPr>
        <w:t xml:space="preserve">doce de </w:t>
      </w:r>
      <w:r w:rsidR="006032E1">
        <w:rPr>
          <w:rFonts w:ascii="Arial" w:eastAsia="Times New Roman" w:hAnsi="Arial" w:cs="Arial"/>
          <w:bCs/>
          <w:color w:val="000000"/>
          <w:sz w:val="24"/>
          <w:szCs w:val="24"/>
          <w:lang w:eastAsia="en-US"/>
        </w:rPr>
        <w:t xml:space="preserve">agosto de dos mil </w:t>
      </w:r>
      <w:r w:rsidR="00B9537E">
        <w:rPr>
          <w:rFonts w:ascii="Arial" w:eastAsia="Times New Roman" w:hAnsi="Arial" w:cs="Arial"/>
          <w:bCs/>
          <w:color w:val="000000"/>
          <w:sz w:val="24"/>
          <w:szCs w:val="24"/>
          <w:lang w:eastAsia="en-US"/>
        </w:rPr>
        <w:t>veintiuno</w:t>
      </w:r>
      <w:r w:rsidR="006032E1" w:rsidRPr="00053D29">
        <w:rPr>
          <w:rFonts w:ascii="Arial" w:eastAsiaTheme="minorHAnsi" w:hAnsi="Arial" w:cs="Arial"/>
          <w:bCs/>
          <w:sz w:val="24"/>
          <w:szCs w:val="24"/>
          <w:lang w:eastAsia="en-US"/>
        </w:rPr>
        <w:t>,</w:t>
      </w:r>
      <w:r w:rsidR="006032E1" w:rsidRPr="00053D29">
        <w:rPr>
          <w:rFonts w:ascii="Arial" w:eastAsia="Times New Roman" w:hAnsi="Arial" w:cs="Arial"/>
          <w:bCs/>
          <w:color w:val="000000"/>
          <w:sz w:val="24"/>
          <w:szCs w:val="24"/>
          <w:lang w:eastAsia="en-US"/>
        </w:rPr>
        <w:t xml:space="preserve"> </w:t>
      </w:r>
      <w:r w:rsidR="006032E1" w:rsidRPr="00053D29">
        <w:rPr>
          <w:rFonts w:ascii="Arial" w:eastAsia="Times New Roman" w:hAnsi="Arial" w:cs="Arial"/>
          <w:color w:val="000000"/>
          <w:sz w:val="24"/>
          <w:szCs w:val="24"/>
          <w:lang w:eastAsia="en-US"/>
        </w:rPr>
        <w:t xml:space="preserve">levantada por el </w:t>
      </w:r>
      <w:r w:rsidR="006032E1" w:rsidRPr="00053D29">
        <w:rPr>
          <w:rFonts w:ascii="Arial" w:eastAsia="Times New Roman" w:hAnsi="Arial" w:cs="Arial"/>
          <w:bCs/>
          <w:sz w:val="24"/>
          <w:szCs w:val="24"/>
          <w:lang w:val="es-ES" w:eastAsia="es-ES"/>
        </w:rPr>
        <w:t>Policía Vial Estatal PV-</w:t>
      </w:r>
      <w:r w:rsidR="006032E1">
        <w:rPr>
          <w:rFonts w:ascii="Arial" w:eastAsia="Times New Roman" w:hAnsi="Arial" w:cs="Arial"/>
          <w:bCs/>
          <w:sz w:val="24"/>
          <w:szCs w:val="24"/>
          <w:lang w:val="es-ES" w:eastAsia="es-ES"/>
        </w:rPr>
        <w:t>3</w:t>
      </w:r>
      <w:r w:rsidR="00B9537E">
        <w:rPr>
          <w:rFonts w:ascii="Arial" w:eastAsia="Times New Roman" w:hAnsi="Arial" w:cs="Arial"/>
          <w:bCs/>
          <w:sz w:val="24"/>
          <w:szCs w:val="24"/>
          <w:lang w:val="es-ES" w:eastAsia="es-ES"/>
        </w:rPr>
        <w:t>74</w:t>
      </w:r>
      <w:r w:rsidR="006032E1" w:rsidRPr="00053D29">
        <w:rPr>
          <w:rFonts w:ascii="Arial" w:eastAsia="Times New Roman" w:hAnsi="Arial" w:cs="Arial"/>
          <w:bCs/>
          <w:sz w:val="24"/>
          <w:szCs w:val="24"/>
          <w:lang w:val="es-ES" w:eastAsia="es-ES"/>
        </w:rPr>
        <w:t xml:space="preserve">, </w:t>
      </w:r>
      <w:r w:rsidR="006032E1" w:rsidRPr="00053D29">
        <w:rPr>
          <w:rFonts w:ascii="Arial" w:eastAsia="Times New Roman" w:hAnsi="Arial" w:cs="Arial"/>
          <w:sz w:val="24"/>
          <w:szCs w:val="24"/>
          <w:lang w:val="es-ES_tradnl" w:eastAsia="es-ES"/>
        </w:rPr>
        <w:t>adscrito a la</w:t>
      </w:r>
      <w:r w:rsidR="00B9537E">
        <w:rPr>
          <w:rFonts w:ascii="Arial" w:eastAsia="Times New Roman" w:hAnsi="Arial" w:cs="Arial"/>
          <w:sz w:val="24"/>
          <w:szCs w:val="24"/>
          <w:lang w:val="es-ES_tradnl" w:eastAsia="es-ES"/>
        </w:rPr>
        <w:t xml:space="preserve"> Dirección de Tránsito del Estado, de la</w:t>
      </w:r>
      <w:r w:rsidR="006032E1" w:rsidRPr="00053D29">
        <w:rPr>
          <w:rFonts w:ascii="Arial" w:eastAsia="Times New Roman" w:hAnsi="Arial" w:cs="Arial"/>
          <w:sz w:val="24"/>
          <w:szCs w:val="24"/>
          <w:lang w:val="es-ES_tradnl" w:eastAsia="es-ES"/>
        </w:rPr>
        <w:t xml:space="preserve"> Dirección General de la Policía Vial Estatal</w:t>
      </w:r>
      <w:r w:rsidR="00B9537E">
        <w:rPr>
          <w:rFonts w:ascii="Arial" w:eastAsia="Times New Roman" w:hAnsi="Arial" w:cs="Arial"/>
          <w:sz w:val="24"/>
          <w:szCs w:val="24"/>
          <w:lang w:val="es-ES_tradnl" w:eastAsia="es-ES"/>
        </w:rPr>
        <w:t>, de</w:t>
      </w:r>
      <w:r w:rsidR="00876E0C">
        <w:rPr>
          <w:rFonts w:ascii="Arial" w:eastAsia="Times New Roman" w:hAnsi="Arial" w:cs="Arial"/>
          <w:sz w:val="24"/>
          <w:szCs w:val="24"/>
          <w:lang w:val="es-ES_tradnl" w:eastAsia="es-ES"/>
        </w:rPr>
        <w:t xml:space="preserve"> </w:t>
      </w:r>
      <w:r w:rsidR="00B9537E">
        <w:rPr>
          <w:rFonts w:ascii="Arial" w:eastAsia="Times New Roman" w:hAnsi="Arial" w:cs="Arial"/>
          <w:sz w:val="24"/>
          <w:szCs w:val="24"/>
          <w:lang w:val="es-ES_tradnl" w:eastAsia="es-ES"/>
        </w:rPr>
        <w:t>la Secretaría de S</w:t>
      </w:r>
      <w:r w:rsidR="00876E0C">
        <w:rPr>
          <w:rFonts w:ascii="Arial" w:eastAsia="Times New Roman" w:hAnsi="Arial" w:cs="Arial"/>
          <w:sz w:val="24"/>
          <w:szCs w:val="24"/>
          <w:lang w:val="es-ES_tradnl" w:eastAsia="es-ES"/>
        </w:rPr>
        <w:t>eguridad Pública del Estado de Oaxaca</w:t>
      </w:r>
      <w:r>
        <w:rPr>
          <w:rFonts w:ascii="Arial" w:eastAsia="Arial" w:hAnsi="Arial" w:cs="Arial"/>
          <w:sz w:val="24"/>
          <w:szCs w:val="24"/>
        </w:rPr>
        <w:t xml:space="preserve">; </w:t>
      </w:r>
      <w:proofErr w:type="gramStart"/>
      <w:r>
        <w:rPr>
          <w:rFonts w:ascii="Arial" w:eastAsia="Arial" w:hAnsi="Arial" w:cs="Arial"/>
          <w:sz w:val="24"/>
          <w:szCs w:val="24"/>
        </w:rPr>
        <w:t>y</w:t>
      </w:r>
      <w:proofErr w:type="gramEnd"/>
      <w:r>
        <w:rPr>
          <w:rFonts w:ascii="Arial" w:eastAsia="Arial" w:hAnsi="Arial" w:cs="Arial"/>
          <w:sz w:val="24"/>
          <w:szCs w:val="24"/>
        </w:rPr>
        <w:t xml:space="preserve"> en consecuencia, se le restituye en el pleno goce de sus derechos afectados, como quedó precisado en el considerando que antecede. - - - - - - - - - - - - - - - </w:t>
      </w:r>
    </w:p>
    <w:p w14:paraId="0000004A" w14:textId="48148BEF" w:rsidR="002354BD" w:rsidRDefault="00A93088">
      <w:pPr>
        <w:spacing w:line="360" w:lineRule="auto"/>
        <w:ind w:right="-93" w:firstLine="709"/>
        <w:jc w:val="both"/>
        <w:rPr>
          <w:rFonts w:ascii="Arial" w:eastAsia="Arial" w:hAnsi="Arial" w:cs="Arial"/>
          <w:b/>
          <w:sz w:val="24"/>
          <w:szCs w:val="24"/>
        </w:rPr>
      </w:pPr>
      <w:r>
        <w:rPr>
          <w:rFonts w:ascii="Arial" w:eastAsia="Arial" w:hAnsi="Arial" w:cs="Arial"/>
          <w:b/>
          <w:sz w:val="24"/>
          <w:szCs w:val="24"/>
        </w:rPr>
        <w:t xml:space="preserve">QUINTO. </w:t>
      </w:r>
      <w:r>
        <w:rPr>
          <w:rFonts w:ascii="Arial" w:eastAsia="Arial" w:hAnsi="Arial" w:cs="Arial"/>
          <w:sz w:val="24"/>
          <w:szCs w:val="24"/>
        </w:rPr>
        <w:t xml:space="preserve">Con fundamento en los artículos 172 fracción I y 173 fracciones I y II de la Ley de Procedimiento y Justicia Administrativa para el Estado de Oaxaca, </w:t>
      </w:r>
      <w:r w:rsidR="004D2556">
        <w:rPr>
          <w:rFonts w:ascii="Arial" w:eastAsia="Arial" w:hAnsi="Arial" w:cs="Arial"/>
          <w:b/>
          <w:sz w:val="24"/>
          <w:szCs w:val="24"/>
        </w:rPr>
        <w:t>notifíquese personalmente a la actora</w:t>
      </w:r>
      <w:r>
        <w:rPr>
          <w:rFonts w:ascii="Arial" w:eastAsia="Arial" w:hAnsi="Arial" w:cs="Arial"/>
          <w:b/>
          <w:sz w:val="24"/>
          <w:szCs w:val="24"/>
        </w:rPr>
        <w:t xml:space="preserve"> y por oficio a la autoridad demandada</w:t>
      </w:r>
      <w:r>
        <w:rPr>
          <w:rFonts w:ascii="Arial" w:eastAsia="Arial" w:hAnsi="Arial" w:cs="Arial"/>
          <w:sz w:val="24"/>
          <w:szCs w:val="24"/>
        </w:rPr>
        <w:t>, cúmplase. - - - - - - - - - - - - - - -</w:t>
      </w:r>
      <w:r w:rsidR="00AE6FAC">
        <w:rPr>
          <w:rFonts w:ascii="Arial" w:eastAsia="Arial" w:hAnsi="Arial" w:cs="Arial"/>
          <w:sz w:val="24"/>
          <w:szCs w:val="24"/>
        </w:rPr>
        <w:t xml:space="preserve"> - - - - - - - - - - - - - - </w:t>
      </w:r>
    </w:p>
    <w:p w14:paraId="0000004B" w14:textId="2EBBD152" w:rsidR="002354BD" w:rsidRDefault="00A93088">
      <w:pPr>
        <w:spacing w:line="360" w:lineRule="auto"/>
        <w:ind w:right="-93" w:firstLine="709"/>
        <w:jc w:val="both"/>
        <w:rPr>
          <w:rFonts w:ascii="Arial" w:eastAsia="Arial" w:hAnsi="Arial" w:cs="Arial"/>
          <w:sz w:val="24"/>
          <w:szCs w:val="24"/>
        </w:rPr>
      </w:pPr>
      <w:r>
        <w:rPr>
          <w:rFonts w:ascii="Arial" w:eastAsia="Arial" w:hAnsi="Arial" w:cs="Arial"/>
          <w:sz w:val="24"/>
          <w:szCs w:val="24"/>
        </w:rPr>
        <w:t>Así lo resolvió y firma la Magistrada Camelia Gaspar Martínez, titular de la Sexta Sala Unitaria de Primera Instancia del Tribunal de Justicia Administrativa del Estado de Oaxaca, quien actúa asistida del Licenciado Renato Gabriel Ibáñez Castellanos, Secretario de Acuerdos adscrito a esta Sala, quien autoriza y da fe.- - - - - - - - - - - - - - - - - - - - - - - - - - - - - -</w:t>
      </w:r>
      <w:r w:rsidR="004D2556">
        <w:rPr>
          <w:rFonts w:ascii="Arial" w:eastAsia="Arial" w:hAnsi="Arial" w:cs="Arial"/>
          <w:sz w:val="24"/>
          <w:szCs w:val="24"/>
        </w:rPr>
        <w:t xml:space="preserve"> - - - - - - </w:t>
      </w:r>
    </w:p>
    <w:p w14:paraId="0D86B1C4" w14:textId="77777777" w:rsidR="00053D29" w:rsidRDefault="00053D29">
      <w:pPr>
        <w:spacing w:line="360" w:lineRule="auto"/>
        <w:ind w:right="-93" w:firstLine="709"/>
        <w:jc w:val="both"/>
        <w:rPr>
          <w:rFonts w:ascii="Arial" w:eastAsia="Arial" w:hAnsi="Arial" w:cs="Arial"/>
          <w:sz w:val="24"/>
          <w:szCs w:val="24"/>
        </w:rPr>
      </w:pPr>
    </w:p>
    <w:p w14:paraId="035E71AA" w14:textId="77777777" w:rsidR="00053D29" w:rsidRDefault="00053D29">
      <w:pPr>
        <w:spacing w:line="360" w:lineRule="auto"/>
        <w:ind w:right="-93" w:firstLine="709"/>
        <w:jc w:val="both"/>
        <w:rPr>
          <w:rFonts w:ascii="Arial" w:eastAsia="Arial" w:hAnsi="Arial" w:cs="Arial"/>
          <w:sz w:val="24"/>
          <w:szCs w:val="24"/>
        </w:rPr>
      </w:pPr>
    </w:p>
    <w:sectPr w:rsidR="00053D29">
      <w:headerReference w:type="default" r:id="rId8"/>
      <w:pgSz w:w="12240" w:h="20160"/>
      <w:pgMar w:top="1701" w:right="1325" w:bottom="1985" w:left="2694"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040C7B" w14:textId="77777777" w:rsidR="00563058" w:rsidRDefault="00563058">
      <w:pPr>
        <w:spacing w:after="0" w:line="240" w:lineRule="auto"/>
      </w:pPr>
      <w:r>
        <w:separator/>
      </w:r>
    </w:p>
  </w:endnote>
  <w:endnote w:type="continuationSeparator" w:id="0">
    <w:p w14:paraId="4EB314CA" w14:textId="77777777" w:rsidR="00563058" w:rsidRDefault="005630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7B156F" w14:textId="77777777" w:rsidR="00563058" w:rsidRDefault="00563058">
      <w:pPr>
        <w:spacing w:after="0" w:line="240" w:lineRule="auto"/>
      </w:pPr>
      <w:r>
        <w:separator/>
      </w:r>
    </w:p>
  </w:footnote>
  <w:footnote w:type="continuationSeparator" w:id="0">
    <w:p w14:paraId="49D39DB6" w14:textId="77777777" w:rsidR="00563058" w:rsidRDefault="00563058">
      <w:pPr>
        <w:spacing w:after="0" w:line="240" w:lineRule="auto"/>
      </w:pPr>
      <w:r>
        <w:continuationSeparator/>
      </w:r>
    </w:p>
  </w:footnote>
  <w:footnote w:id="1">
    <w:p w14:paraId="0000004C" w14:textId="77777777" w:rsidR="002354BD" w:rsidRDefault="00A93088">
      <w:pPr>
        <w:pBdr>
          <w:top w:val="nil"/>
          <w:left w:val="nil"/>
          <w:bottom w:val="nil"/>
          <w:right w:val="nil"/>
          <w:between w:val="nil"/>
        </w:pBdr>
        <w:spacing w:after="0" w:line="240" w:lineRule="auto"/>
        <w:jc w:val="both"/>
        <w:rPr>
          <w:color w:val="000000"/>
          <w:sz w:val="20"/>
          <w:szCs w:val="20"/>
        </w:rPr>
      </w:pPr>
      <w:r>
        <w:rPr>
          <w:vertAlign w:val="superscript"/>
        </w:rPr>
        <w:footnoteRef/>
      </w:r>
      <w:r>
        <w:rPr>
          <w:color w:val="000000"/>
          <w:sz w:val="20"/>
          <w:szCs w:val="20"/>
        </w:rPr>
        <w:t xml:space="preserve"> “</w:t>
      </w:r>
      <w:r>
        <w:rPr>
          <w:b/>
          <w:color w:val="000000"/>
          <w:sz w:val="20"/>
          <w:szCs w:val="20"/>
        </w:rPr>
        <w:t xml:space="preserve">ARTÍCULO 151.- </w:t>
      </w:r>
      <w:r>
        <w:rPr>
          <w:color w:val="000000"/>
          <w:sz w:val="20"/>
          <w:szCs w:val="20"/>
        </w:rPr>
        <w:t>En el procedimiento la personalidad de la autoridad demandada se tendrá por acreditada; sin embargo, en caso de que esta sea impugnada deberá exhibir copia debidamente certificada del documento relativo al nombramiento que le fue conferido, y del documento en el que conste que rindió la protesta de ley.”</w:t>
      </w:r>
    </w:p>
  </w:footnote>
  <w:footnote w:id="2">
    <w:p w14:paraId="0000004D" w14:textId="77777777" w:rsidR="002354BD" w:rsidRDefault="00A93088">
      <w:pPr>
        <w:spacing w:after="0" w:line="240" w:lineRule="auto"/>
        <w:jc w:val="both"/>
        <w:rPr>
          <w:b/>
          <w:color w:val="000000"/>
          <w:sz w:val="20"/>
          <w:szCs w:val="20"/>
        </w:rPr>
      </w:pPr>
      <w:r>
        <w:rPr>
          <w:vertAlign w:val="superscript"/>
        </w:rPr>
        <w:footnoteRef/>
      </w:r>
      <w:r>
        <w:rPr>
          <w:color w:val="000000"/>
          <w:sz w:val="20"/>
          <w:szCs w:val="20"/>
        </w:rPr>
        <w:t xml:space="preserve"> </w:t>
      </w:r>
      <w:r>
        <w:rPr>
          <w:b/>
          <w:color w:val="000000"/>
          <w:sz w:val="20"/>
          <w:szCs w:val="20"/>
        </w:rPr>
        <w:t>ARTÍCULO 17.- (…)</w:t>
      </w:r>
    </w:p>
    <w:p w14:paraId="0000004E" w14:textId="77777777" w:rsidR="002354BD" w:rsidRDefault="00A93088">
      <w:pPr>
        <w:spacing w:after="0" w:line="240" w:lineRule="auto"/>
        <w:jc w:val="both"/>
        <w:rPr>
          <w:color w:val="000000"/>
          <w:sz w:val="20"/>
          <w:szCs w:val="20"/>
        </w:rPr>
      </w:pPr>
      <w:r>
        <w:rPr>
          <w:color w:val="000000"/>
          <w:sz w:val="20"/>
          <w:szCs w:val="20"/>
        </w:rPr>
        <w:t>Toda persona tiene derecho a que se le administre justicia por tribunales que estarán expeditos para impartirla en los plazos y términos que fijen las leyes, emitiendo sus resoluciones de manera pronta, completa e imparcial. Su servicio será gratuito, quedando, en consecuencia, prohibidas las costas judiciales.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56" w14:textId="6B3AD48A" w:rsidR="002354BD" w:rsidRDefault="0021493A">
    <w:pPr>
      <w:pBdr>
        <w:top w:val="nil"/>
        <w:left w:val="nil"/>
        <w:bottom w:val="nil"/>
        <w:right w:val="nil"/>
        <w:between w:val="nil"/>
      </w:pBdr>
      <w:tabs>
        <w:tab w:val="center" w:pos="4419"/>
        <w:tab w:val="right" w:pos="8838"/>
      </w:tabs>
      <w:spacing w:after="0" w:line="240" w:lineRule="auto"/>
      <w:jc w:val="center"/>
      <w:rPr>
        <w:color w:val="000000"/>
      </w:rPr>
    </w:pPr>
    <w:r>
      <w:rPr>
        <w:rFonts w:ascii="Times New Roman" w:hAnsi="Times New Roman" w:cs="Times New Roman"/>
        <w:noProof/>
        <w:sz w:val="24"/>
        <w:szCs w:val="24"/>
      </w:rPr>
      <mc:AlternateContent>
        <mc:Choice Requires="wps">
          <w:drawing>
            <wp:anchor distT="0" distB="0" distL="114300" distR="114300" simplePos="0" relativeHeight="251659264" behindDoc="1" locked="0" layoutInCell="1" allowOverlap="1" wp14:anchorId="4AF89749" wp14:editId="1437800B">
              <wp:simplePos x="0" y="0"/>
              <wp:positionH relativeFrom="leftMargin">
                <wp:posOffset>34290</wp:posOffset>
              </wp:positionH>
              <wp:positionV relativeFrom="paragraph">
                <wp:posOffset>-410210</wp:posOffset>
              </wp:positionV>
              <wp:extent cx="1009650" cy="914400"/>
              <wp:effectExtent l="0" t="0" r="19050" b="19050"/>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14400"/>
                      </a:xfrm>
                      <a:prstGeom prst="rect">
                        <a:avLst/>
                      </a:prstGeom>
                      <a:solidFill>
                        <a:sysClr val="window" lastClr="FFFFFF"/>
                      </a:solidFill>
                      <a:ln w="6350">
                        <a:solidFill>
                          <a:prstClr val="black"/>
                        </a:solidFill>
                      </a:ln>
                      <a:effectLst/>
                    </wps:spPr>
                    <wps:txbx>
                      <w:txbxContent>
                        <w:p w14:paraId="7BABAEAD" w14:textId="77777777" w:rsidR="0021493A" w:rsidRDefault="0021493A" w:rsidP="0021493A">
                          <w:pPr>
                            <w:tabs>
                              <w:tab w:val="left" w:pos="1134"/>
                            </w:tabs>
                            <w:jc w:val="both"/>
                            <w:rPr>
                              <w:rFonts w:cstheme="minorHAnsi"/>
                              <w:sz w:val="17"/>
                              <w:szCs w:val="17"/>
                            </w:rPr>
                          </w:pPr>
                          <w:r>
                            <w:rPr>
                              <w:rFonts w:cstheme="minorHAnsi"/>
                              <w:sz w:val="17"/>
                              <w:szCs w:val="17"/>
                            </w:rPr>
                            <w:t>Datos personales protegidos por el Art. 116 de la LGTAIP y el artículo 61 de la LTAIPBGO</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AF89749" id="_x0000_t202" coordsize="21600,21600" o:spt="202" path="m,l,21600r21600,l21600,xe">
              <v:stroke joinstyle="miter"/>
              <v:path gradientshapeok="t" o:connecttype="rect"/>
            </v:shapetype>
            <v:shape id="Cuadro de texto 1" o:spid="_x0000_s1026" type="#_x0000_t202" style="position:absolute;left:0;text-align:left;margin-left:2.7pt;margin-top:-32.3pt;width:79.5pt;height:1in;z-index:-251657216;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" fillcolor="window" strokeweight=".5pt">
              <v:path arrowok="t"/>
              <v:textbox>
                <w:txbxContent>
                  <w:p w14:paraId="7BABAEAD" w14:textId="77777777" w:rsidR="0021493A" w:rsidRDefault="0021493A" w:rsidP="0021493A">
                    <w:pPr>
                      <w:tabs>
                        <w:tab w:val="left" w:pos="1134"/>
                      </w:tabs>
                      <w:jc w:val="both"/>
                      <w:rPr>
                        <w:rFonts w:cstheme="minorHAnsi"/>
                        <w:sz w:val="17"/>
                        <w:szCs w:val="17"/>
                      </w:rPr>
                    </w:pPr>
                    <w:r>
                      <w:rPr>
                        <w:rFonts w:cstheme="minorHAnsi"/>
                        <w:sz w:val="17"/>
                        <w:szCs w:val="17"/>
                      </w:rPr>
                      <w:t>Datos personales protegidos por el Art. 116 de la LGTAIP y el artículo 61 de la LTAIPBGO</w:t>
                    </w:r>
                  </w:p>
                </w:txbxContent>
              </v:textbox>
              <w10:wrap anchorx="margin"/>
            </v:shape>
          </w:pict>
        </mc:Fallback>
      </mc:AlternateContent>
    </w:r>
    <w:r w:rsidR="00A93088">
      <w:rPr>
        <w:color w:val="000000"/>
      </w:rPr>
      <w:fldChar w:fldCharType="begin"/>
    </w:r>
    <w:r w:rsidR="00A93088">
      <w:rPr>
        <w:color w:val="000000"/>
      </w:rPr>
      <w:instrText>PAGE</w:instrText>
    </w:r>
    <w:r w:rsidR="00A93088">
      <w:rPr>
        <w:color w:val="000000"/>
      </w:rPr>
      <w:fldChar w:fldCharType="separate"/>
    </w:r>
    <w:r w:rsidR="008E4148">
      <w:rPr>
        <w:noProof/>
        <w:color w:val="000000"/>
      </w:rPr>
      <w:t>11</w:t>
    </w:r>
    <w:r w:rsidR="00A93088">
      <w:rPr>
        <w:color w:val="000000"/>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354BD"/>
    <w:rsid w:val="00045FEC"/>
    <w:rsid w:val="00053D29"/>
    <w:rsid w:val="000B2E4A"/>
    <w:rsid w:val="000B777B"/>
    <w:rsid w:val="000E3D53"/>
    <w:rsid w:val="00111EA8"/>
    <w:rsid w:val="001527A9"/>
    <w:rsid w:val="0015307A"/>
    <w:rsid w:val="00157BA7"/>
    <w:rsid w:val="0021493A"/>
    <w:rsid w:val="002354BD"/>
    <w:rsid w:val="002557F3"/>
    <w:rsid w:val="00257243"/>
    <w:rsid w:val="00287D7D"/>
    <w:rsid w:val="002A432C"/>
    <w:rsid w:val="002F7ED4"/>
    <w:rsid w:val="003035E9"/>
    <w:rsid w:val="00323CFE"/>
    <w:rsid w:val="00325805"/>
    <w:rsid w:val="00332345"/>
    <w:rsid w:val="00355A36"/>
    <w:rsid w:val="00366DB6"/>
    <w:rsid w:val="003854DD"/>
    <w:rsid w:val="003F394E"/>
    <w:rsid w:val="00461EED"/>
    <w:rsid w:val="00464EEB"/>
    <w:rsid w:val="004B0416"/>
    <w:rsid w:val="004C0D54"/>
    <w:rsid w:val="004C6BB6"/>
    <w:rsid w:val="004D2556"/>
    <w:rsid w:val="004E4D1B"/>
    <w:rsid w:val="004F04A3"/>
    <w:rsid w:val="004F28F8"/>
    <w:rsid w:val="0052123C"/>
    <w:rsid w:val="005478D1"/>
    <w:rsid w:val="00563058"/>
    <w:rsid w:val="00567174"/>
    <w:rsid w:val="00570704"/>
    <w:rsid w:val="0057470D"/>
    <w:rsid w:val="005A7BF4"/>
    <w:rsid w:val="005F1CBA"/>
    <w:rsid w:val="006032E1"/>
    <w:rsid w:val="00627569"/>
    <w:rsid w:val="006279C8"/>
    <w:rsid w:val="00636BEE"/>
    <w:rsid w:val="00637882"/>
    <w:rsid w:val="00655BB4"/>
    <w:rsid w:val="00692F6E"/>
    <w:rsid w:val="006B38A5"/>
    <w:rsid w:val="006B42F8"/>
    <w:rsid w:val="00703BC3"/>
    <w:rsid w:val="00730330"/>
    <w:rsid w:val="0075483C"/>
    <w:rsid w:val="007711F5"/>
    <w:rsid w:val="00775DB2"/>
    <w:rsid w:val="007A5E14"/>
    <w:rsid w:val="007B0802"/>
    <w:rsid w:val="007B3B92"/>
    <w:rsid w:val="007C16BF"/>
    <w:rsid w:val="00845124"/>
    <w:rsid w:val="00863442"/>
    <w:rsid w:val="00876E0C"/>
    <w:rsid w:val="0088172E"/>
    <w:rsid w:val="00894BF0"/>
    <w:rsid w:val="008A318F"/>
    <w:rsid w:val="008E4148"/>
    <w:rsid w:val="008E586D"/>
    <w:rsid w:val="009072CC"/>
    <w:rsid w:val="00907629"/>
    <w:rsid w:val="0092580B"/>
    <w:rsid w:val="00926386"/>
    <w:rsid w:val="0095781A"/>
    <w:rsid w:val="00991107"/>
    <w:rsid w:val="009C7735"/>
    <w:rsid w:val="009D6DF3"/>
    <w:rsid w:val="009E23A9"/>
    <w:rsid w:val="009F4F70"/>
    <w:rsid w:val="00A04EA0"/>
    <w:rsid w:val="00A10F35"/>
    <w:rsid w:val="00A20A50"/>
    <w:rsid w:val="00A43CF6"/>
    <w:rsid w:val="00A66459"/>
    <w:rsid w:val="00A93088"/>
    <w:rsid w:val="00AA16B0"/>
    <w:rsid w:val="00AE6FAC"/>
    <w:rsid w:val="00B12DB2"/>
    <w:rsid w:val="00B231EB"/>
    <w:rsid w:val="00B46826"/>
    <w:rsid w:val="00B56826"/>
    <w:rsid w:val="00B57267"/>
    <w:rsid w:val="00B668EE"/>
    <w:rsid w:val="00B70382"/>
    <w:rsid w:val="00B9537E"/>
    <w:rsid w:val="00B962B1"/>
    <w:rsid w:val="00BA482E"/>
    <w:rsid w:val="00BA4AD2"/>
    <w:rsid w:val="00BA4E27"/>
    <w:rsid w:val="00BA759B"/>
    <w:rsid w:val="00BB06E8"/>
    <w:rsid w:val="00BF58EC"/>
    <w:rsid w:val="00C04E6E"/>
    <w:rsid w:val="00C30CC8"/>
    <w:rsid w:val="00C35B03"/>
    <w:rsid w:val="00C41F8C"/>
    <w:rsid w:val="00C7669B"/>
    <w:rsid w:val="00C96414"/>
    <w:rsid w:val="00CD6FA7"/>
    <w:rsid w:val="00D21514"/>
    <w:rsid w:val="00D4148E"/>
    <w:rsid w:val="00D97677"/>
    <w:rsid w:val="00DC3C28"/>
    <w:rsid w:val="00DC4044"/>
    <w:rsid w:val="00DE1BDA"/>
    <w:rsid w:val="00E155A4"/>
    <w:rsid w:val="00E241D0"/>
    <w:rsid w:val="00E55107"/>
    <w:rsid w:val="00E73627"/>
    <w:rsid w:val="00EA0ED2"/>
    <w:rsid w:val="00EB25DD"/>
    <w:rsid w:val="00EC3219"/>
    <w:rsid w:val="00ED13CE"/>
    <w:rsid w:val="00F033AE"/>
    <w:rsid w:val="00F20681"/>
    <w:rsid w:val="00F40377"/>
    <w:rsid w:val="00F54665"/>
    <w:rsid w:val="00F81357"/>
    <w:rsid w:val="00F868C2"/>
    <w:rsid w:val="00FC5635"/>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1D1479"/>
  <w15:docId w15:val="{0FFE6BA0-C181-4F07-8382-557FAC8CF9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s-MX" w:eastAsia="es-MX"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0F04"/>
  </w:style>
  <w:style w:type="paragraph" w:styleId="Ttulo1">
    <w:name w:val="heading 1"/>
    <w:basedOn w:val="Normal"/>
    <w:next w:val="Normal"/>
    <w:pPr>
      <w:keepNext/>
      <w:keepLines/>
      <w:spacing w:before="480" w:after="120"/>
      <w:outlineLvl w:val="0"/>
    </w:pPr>
    <w:rPr>
      <w:b/>
      <w:sz w:val="48"/>
      <w:szCs w:val="48"/>
    </w:rPr>
  </w:style>
  <w:style w:type="paragraph" w:styleId="Ttulo2">
    <w:name w:val="heading 2"/>
    <w:basedOn w:val="Normal"/>
    <w:next w:val="Normal"/>
    <w:pPr>
      <w:keepNext/>
      <w:keepLines/>
      <w:spacing w:before="360" w:after="80"/>
      <w:outlineLvl w:val="1"/>
    </w:pPr>
    <w:rPr>
      <w:b/>
      <w:sz w:val="36"/>
      <w:szCs w:val="36"/>
    </w:rPr>
  </w:style>
  <w:style w:type="paragraph" w:styleId="Ttulo3">
    <w:name w:val="heading 3"/>
    <w:basedOn w:val="Normal"/>
    <w:next w:val="Normal"/>
    <w:pPr>
      <w:keepNext/>
      <w:keepLines/>
      <w:spacing w:before="280" w:after="80"/>
      <w:outlineLvl w:val="2"/>
    </w:pPr>
    <w:rPr>
      <w:b/>
      <w:sz w:val="28"/>
      <w:szCs w:val="28"/>
    </w:rPr>
  </w:style>
  <w:style w:type="paragraph" w:styleId="Ttulo4">
    <w:name w:val="heading 4"/>
    <w:basedOn w:val="Normal"/>
    <w:next w:val="Normal"/>
    <w:pPr>
      <w:keepNext/>
      <w:keepLines/>
      <w:spacing w:before="240" w:after="40"/>
      <w:outlineLvl w:val="3"/>
    </w:pPr>
    <w:rPr>
      <w:b/>
      <w:sz w:val="24"/>
      <w:szCs w:val="24"/>
    </w:rPr>
  </w:style>
  <w:style w:type="paragraph" w:styleId="Ttulo5">
    <w:name w:val="heading 5"/>
    <w:basedOn w:val="Normal"/>
    <w:next w:val="Normal"/>
    <w:pPr>
      <w:keepNext/>
      <w:keepLines/>
      <w:spacing w:before="220" w:after="40"/>
      <w:outlineLvl w:val="4"/>
    </w:pPr>
    <w:rPr>
      <w:b/>
    </w:rPr>
  </w:style>
  <w:style w:type="paragraph" w:styleId="Ttulo6">
    <w:name w:val="heading 6"/>
    <w:basedOn w:val="Normal"/>
    <w:next w:val="Normal"/>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pPr>
      <w:keepNext/>
      <w:keepLines/>
      <w:spacing w:before="480" w:after="120"/>
    </w:pPr>
    <w:rPr>
      <w:b/>
      <w:sz w:val="72"/>
      <w:szCs w:val="72"/>
    </w:rPr>
  </w:style>
  <w:style w:type="paragraph" w:styleId="Encabezado">
    <w:name w:val="header"/>
    <w:basedOn w:val="Normal"/>
    <w:link w:val="EncabezadoCar"/>
    <w:uiPriority w:val="99"/>
    <w:unhideWhenUsed/>
    <w:rsid w:val="003A0F0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A0F04"/>
  </w:style>
  <w:style w:type="paragraph" w:styleId="Textonotapie">
    <w:name w:val="footnote text"/>
    <w:basedOn w:val="Normal"/>
    <w:link w:val="TextonotapieCar"/>
    <w:uiPriority w:val="99"/>
    <w:unhideWhenUsed/>
    <w:rsid w:val="003A0F04"/>
    <w:pPr>
      <w:spacing w:after="0" w:line="240" w:lineRule="auto"/>
    </w:pPr>
    <w:rPr>
      <w:sz w:val="20"/>
      <w:szCs w:val="20"/>
    </w:rPr>
  </w:style>
  <w:style w:type="character" w:customStyle="1" w:styleId="TextonotapieCar">
    <w:name w:val="Texto nota pie Car"/>
    <w:basedOn w:val="Fuentedeprrafopredeter"/>
    <w:link w:val="Textonotapie"/>
    <w:uiPriority w:val="99"/>
    <w:rsid w:val="003A0F04"/>
    <w:rPr>
      <w:sz w:val="20"/>
      <w:szCs w:val="20"/>
    </w:rPr>
  </w:style>
  <w:style w:type="character" w:styleId="Refdenotaalpie">
    <w:name w:val="footnote reference"/>
    <w:basedOn w:val="Fuentedeprrafopredeter"/>
    <w:uiPriority w:val="99"/>
    <w:semiHidden/>
    <w:unhideWhenUsed/>
    <w:rsid w:val="003A0F04"/>
    <w:rPr>
      <w:vertAlign w:val="superscript"/>
    </w:rPr>
  </w:style>
  <w:style w:type="paragraph" w:styleId="Textodeglobo">
    <w:name w:val="Balloon Text"/>
    <w:basedOn w:val="Normal"/>
    <w:link w:val="TextodegloboCar"/>
    <w:uiPriority w:val="99"/>
    <w:semiHidden/>
    <w:unhideWhenUsed/>
    <w:rsid w:val="00BB300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B3002"/>
    <w:rPr>
      <w:rFonts w:ascii="Segoe UI" w:hAnsi="Segoe UI" w:cs="Segoe UI"/>
      <w:sz w:val="18"/>
      <w:szCs w:val="18"/>
    </w:rPr>
  </w:style>
  <w:style w:type="paragraph" w:styleId="Sangra2detindependiente">
    <w:name w:val="Body Text Indent 2"/>
    <w:basedOn w:val="Normal"/>
    <w:link w:val="Sangra2detindependienteCar"/>
    <w:rsid w:val="00D46D22"/>
    <w:pPr>
      <w:suppressAutoHyphens/>
      <w:autoSpaceDN w:val="0"/>
      <w:spacing w:after="0" w:line="480" w:lineRule="auto"/>
      <w:ind w:right="51" w:firstLine="567"/>
      <w:jc w:val="both"/>
      <w:textAlignment w:val="baseline"/>
    </w:pPr>
    <w:rPr>
      <w:rFonts w:ascii="Arial" w:eastAsia="Times New Roman" w:hAnsi="Arial" w:cs="Times New Roman"/>
      <w:kern w:val="3"/>
      <w:sz w:val="24"/>
      <w:szCs w:val="20"/>
      <w:lang w:val="es-ES"/>
    </w:rPr>
  </w:style>
  <w:style w:type="character" w:customStyle="1" w:styleId="Sangra2detindependienteCar">
    <w:name w:val="Sangría 2 de t. independiente Car"/>
    <w:basedOn w:val="Fuentedeprrafopredeter"/>
    <w:link w:val="Sangra2detindependiente"/>
    <w:rsid w:val="00D46D22"/>
    <w:rPr>
      <w:rFonts w:ascii="Arial" w:eastAsia="Times New Roman" w:hAnsi="Arial" w:cs="Times New Roman"/>
      <w:kern w:val="3"/>
      <w:sz w:val="24"/>
      <w:szCs w:val="20"/>
      <w:lang w:val="es-ES" w:eastAsia="es-MX"/>
    </w:rPr>
  </w:style>
  <w:style w:type="paragraph" w:styleId="Sinespaciado">
    <w:name w:val="No Spacing"/>
    <w:uiPriority w:val="1"/>
    <w:qFormat/>
    <w:rsid w:val="00C36E02"/>
    <w:pPr>
      <w:spacing w:after="0" w:line="240" w:lineRule="auto"/>
    </w:pPr>
  </w:style>
  <w:style w:type="paragraph" w:styleId="Piedepgina">
    <w:name w:val="footer"/>
    <w:basedOn w:val="Normal"/>
    <w:link w:val="PiedepginaCar"/>
    <w:uiPriority w:val="99"/>
    <w:unhideWhenUsed/>
    <w:rsid w:val="007C54B6"/>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C54B6"/>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2278505">
      <w:bodyDiv w:val="1"/>
      <w:marLeft w:val="0"/>
      <w:marRight w:val="0"/>
      <w:marTop w:val="0"/>
      <w:marBottom w:val="0"/>
      <w:divBdr>
        <w:top w:val="none" w:sz="0" w:space="0" w:color="auto"/>
        <w:left w:val="none" w:sz="0" w:space="0" w:color="auto"/>
        <w:bottom w:val="none" w:sz="0" w:space="0" w:color="auto"/>
        <w:right w:val="none" w:sz="0" w:space="0" w:color="auto"/>
      </w:divBdr>
    </w:div>
    <w:div w:id="1081369789">
      <w:bodyDiv w:val="1"/>
      <w:marLeft w:val="0"/>
      <w:marRight w:val="0"/>
      <w:marTop w:val="0"/>
      <w:marBottom w:val="0"/>
      <w:divBdr>
        <w:top w:val="none" w:sz="0" w:space="0" w:color="auto"/>
        <w:left w:val="none" w:sz="0" w:space="0" w:color="auto"/>
        <w:bottom w:val="none" w:sz="0" w:space="0" w:color="auto"/>
        <w:right w:val="none" w:sz="0" w:space="0" w:color="auto"/>
      </w:divBdr>
    </w:div>
    <w:div w:id="1119181637">
      <w:bodyDiv w:val="1"/>
      <w:marLeft w:val="0"/>
      <w:marRight w:val="0"/>
      <w:marTop w:val="0"/>
      <w:marBottom w:val="0"/>
      <w:divBdr>
        <w:top w:val="none" w:sz="0" w:space="0" w:color="auto"/>
        <w:left w:val="none" w:sz="0" w:space="0" w:color="auto"/>
        <w:bottom w:val="none" w:sz="0" w:space="0" w:color="auto"/>
        <w:right w:val="none" w:sz="0" w:space="0" w:color="auto"/>
      </w:divBdr>
    </w:div>
    <w:div w:id="1155758774">
      <w:bodyDiv w:val="1"/>
      <w:marLeft w:val="0"/>
      <w:marRight w:val="0"/>
      <w:marTop w:val="0"/>
      <w:marBottom w:val="0"/>
      <w:divBdr>
        <w:top w:val="none" w:sz="0" w:space="0" w:color="auto"/>
        <w:left w:val="none" w:sz="0" w:space="0" w:color="auto"/>
        <w:bottom w:val="none" w:sz="0" w:space="0" w:color="auto"/>
        <w:right w:val="none" w:sz="0" w:space="0" w:color="auto"/>
      </w:divBdr>
    </w:div>
    <w:div w:id="1529367734">
      <w:bodyDiv w:val="1"/>
      <w:marLeft w:val="0"/>
      <w:marRight w:val="0"/>
      <w:marTop w:val="0"/>
      <w:marBottom w:val="0"/>
      <w:divBdr>
        <w:top w:val="none" w:sz="0" w:space="0" w:color="auto"/>
        <w:left w:val="none" w:sz="0" w:space="0" w:color="auto"/>
        <w:bottom w:val="none" w:sz="0" w:space="0" w:color="auto"/>
        <w:right w:val="none" w:sz="0" w:space="0" w:color="auto"/>
      </w:divBdr>
    </w:div>
    <w:div w:id="1700810868">
      <w:bodyDiv w:val="1"/>
      <w:marLeft w:val="0"/>
      <w:marRight w:val="0"/>
      <w:marTop w:val="0"/>
      <w:marBottom w:val="0"/>
      <w:divBdr>
        <w:top w:val="none" w:sz="0" w:space="0" w:color="auto"/>
        <w:left w:val="none" w:sz="0" w:space="0" w:color="auto"/>
        <w:bottom w:val="none" w:sz="0" w:space="0" w:color="auto"/>
        <w:right w:val="none" w:sz="0" w:space="0" w:color="auto"/>
      </w:divBdr>
    </w:div>
    <w:div w:id="171981721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go:docsCustomData xmlns:go="http://customooxmlschemas.google.com/" roundtripDataSignature="AMtx7mgfH39A7oddLk2R01THzT6FTsWkWQ==">AMUW2mUIqoWaBgc+rciHJwzUUE4rg6ZiVnTeHMGcU5MQlIiA7WYgwjLyml7tC8zQG6ZlRWyAUkaDGvNrDk4agwIj0bTY+xjItUqlYxnN7Xg9+SkxMzkVHEQXTmh3SQanhcboG97KoovC</go:docsCustomData>
</go:gDocsCustomXmlDataStorage>
</file>

<file path=customXml/itemProps1.xml><?xml version="1.0" encoding="utf-8"?>
<ds:datastoreItem xmlns:ds="http://schemas.openxmlformats.org/officeDocument/2006/customXml" ds:itemID="{C5601F59-17F7-4743-99FE-52570526A8E0}">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1187</TotalTime>
  <Pages>11</Pages>
  <Words>4046</Words>
  <Characters>22254</Characters>
  <Application>Microsoft Office Word</Application>
  <DocSecurity>0</DocSecurity>
  <Lines>185</Lines>
  <Paragraphs>52</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26248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TCAC</dc:creator>
  <cp:lastModifiedBy>FERNANDO MARTINEZ</cp:lastModifiedBy>
  <cp:revision>81</cp:revision>
  <cp:lastPrinted>2022-10-11T17:14:00Z</cp:lastPrinted>
  <dcterms:created xsi:type="dcterms:W3CDTF">2022-01-19T18:01:00Z</dcterms:created>
  <dcterms:modified xsi:type="dcterms:W3CDTF">2022-10-11T17:15:00Z</dcterms:modified>
</cp:coreProperties>
</file>