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0000001" w14:textId="7DB76327" w:rsidR="002354BD" w:rsidRPr="007D0ED0" w:rsidRDefault="00A93088" w:rsidP="007D0ED0">
      <w:pPr>
        <w:pStyle w:val="Sinespaciado"/>
        <w:ind w:left="2977"/>
        <w:jc w:val="both"/>
        <w:rPr>
          <w:rFonts w:ascii="Arial" w:hAnsi="Arial" w:cs="Arial"/>
          <w:b/>
          <w:sz w:val="24"/>
          <w:szCs w:val="20"/>
        </w:rPr>
      </w:pPr>
      <w:r w:rsidRPr="007D0ED0">
        <w:rPr>
          <w:rFonts w:ascii="Arial" w:hAnsi="Arial" w:cs="Arial"/>
          <w:b/>
          <w:sz w:val="24"/>
          <w:szCs w:val="20"/>
        </w:rPr>
        <w:t xml:space="preserve">SEXTA SALA UNITARIA DE PRIMERA </w:t>
      </w:r>
      <w:r w:rsidR="008E586D" w:rsidRPr="007D0ED0">
        <w:rPr>
          <w:rFonts w:ascii="Arial" w:hAnsi="Arial" w:cs="Arial"/>
          <w:b/>
          <w:sz w:val="24"/>
          <w:szCs w:val="20"/>
        </w:rPr>
        <w:t xml:space="preserve">          </w:t>
      </w:r>
      <w:r w:rsidRPr="007D0ED0">
        <w:rPr>
          <w:rFonts w:ascii="Arial" w:hAnsi="Arial" w:cs="Arial"/>
          <w:b/>
          <w:sz w:val="24"/>
          <w:szCs w:val="20"/>
        </w:rPr>
        <w:t xml:space="preserve">INSTANCIA DEL TRIBUNAL DE JUSTICIA </w:t>
      </w:r>
      <w:r w:rsidR="008E586D" w:rsidRPr="007D0ED0">
        <w:rPr>
          <w:rFonts w:ascii="Arial" w:hAnsi="Arial" w:cs="Arial"/>
          <w:b/>
          <w:sz w:val="24"/>
          <w:szCs w:val="20"/>
        </w:rPr>
        <w:t xml:space="preserve">  </w:t>
      </w:r>
      <w:r w:rsidRPr="007D0ED0">
        <w:rPr>
          <w:rFonts w:ascii="Arial" w:hAnsi="Arial" w:cs="Arial"/>
          <w:b/>
          <w:sz w:val="24"/>
          <w:szCs w:val="20"/>
        </w:rPr>
        <w:t>ADMINISTRATIVA DEL ESTADO DE OAXACA</w:t>
      </w:r>
      <w:r w:rsidR="008E586D" w:rsidRPr="007D0ED0">
        <w:rPr>
          <w:rFonts w:ascii="Arial" w:hAnsi="Arial" w:cs="Arial"/>
          <w:b/>
          <w:sz w:val="24"/>
          <w:szCs w:val="20"/>
        </w:rPr>
        <w:t>.</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384B7E21" w:rsidR="002354BD" w:rsidRDefault="008E586D">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009</w:t>
      </w:r>
      <w:r w:rsidR="001C5B9C">
        <w:rPr>
          <w:rFonts w:ascii="Arial" w:eastAsia="Arial" w:hAnsi="Arial" w:cs="Arial"/>
          <w:b/>
          <w:color w:val="000000"/>
          <w:sz w:val="24"/>
          <w:szCs w:val="24"/>
        </w:rPr>
        <w:t>4</w:t>
      </w:r>
      <w:r w:rsidR="000B2E4A">
        <w:rPr>
          <w:rFonts w:ascii="Arial" w:eastAsia="Arial" w:hAnsi="Arial" w:cs="Arial"/>
          <w:b/>
          <w:color w:val="000000"/>
          <w:sz w:val="24"/>
          <w:szCs w:val="24"/>
        </w:rPr>
        <w:t>/20</w:t>
      </w:r>
      <w:r>
        <w:rPr>
          <w:rFonts w:ascii="Arial" w:eastAsia="Arial" w:hAnsi="Arial" w:cs="Arial"/>
          <w:b/>
          <w:color w:val="000000"/>
          <w:sz w:val="24"/>
          <w:szCs w:val="24"/>
        </w:rPr>
        <w:t>2</w:t>
      </w:r>
      <w:r w:rsidR="000B2E4A">
        <w:rPr>
          <w:rFonts w:ascii="Arial" w:eastAsia="Arial" w:hAnsi="Arial" w:cs="Arial"/>
          <w:b/>
          <w:color w:val="000000"/>
          <w:sz w:val="24"/>
          <w:szCs w:val="24"/>
        </w:rPr>
        <w:t>1</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bookmarkStart w:id="0" w:name="_GoBack"/>
    </w:p>
    <w:bookmarkEnd w:id="0"/>
    <w:p w14:paraId="00000005" w14:textId="03E4D08A"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1F0D08">
        <w:rPr>
          <w:rFonts w:ascii="Arial" w:eastAsia="Arial" w:hAnsi="Arial" w:cs="Arial"/>
          <w:color w:val="FF0000"/>
          <w:sz w:val="24"/>
          <w:szCs w:val="24"/>
        </w:rPr>
        <w:t>**********</w:t>
      </w:r>
      <w:r w:rsidRPr="000B2E4A">
        <w:rPr>
          <w:rFonts w:ascii="Arial" w:eastAsia="Arial" w:hAnsi="Arial" w:cs="Arial"/>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4C6AF333" w:rsidR="000B2E4A" w:rsidRDefault="000B2E4A">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 xml:space="preserve">POLICÍA VIAL CON NÚMERO ESTADÍSTICO </w:t>
      </w:r>
      <w:r w:rsidR="001C5B9C">
        <w:rPr>
          <w:rFonts w:ascii="Arial" w:eastAsia="Arial" w:hAnsi="Arial" w:cs="Arial"/>
          <w:color w:val="000000"/>
          <w:sz w:val="24"/>
          <w:szCs w:val="24"/>
        </w:rPr>
        <w:t>PV-375</w:t>
      </w:r>
      <w:r w:rsidR="00FC5635">
        <w:rPr>
          <w:rFonts w:ascii="Arial" w:eastAsia="Arial" w:hAnsi="Arial" w:cs="Arial"/>
          <w:color w:val="000000"/>
          <w:sz w:val="24"/>
          <w:szCs w:val="24"/>
        </w:rPr>
        <w:t xml:space="preserve"> ADSCRITO A </w:t>
      </w:r>
      <w:r w:rsidR="008E586D">
        <w:rPr>
          <w:rFonts w:ascii="Arial" w:eastAsia="Arial" w:hAnsi="Arial" w:cs="Arial"/>
          <w:color w:val="000000"/>
          <w:sz w:val="24"/>
          <w:szCs w:val="24"/>
        </w:rPr>
        <w:t xml:space="preserve">LA </w:t>
      </w:r>
      <w:r w:rsidR="004C6BB6">
        <w:rPr>
          <w:rFonts w:ascii="Arial" w:eastAsia="Arial" w:hAnsi="Arial" w:cs="Arial"/>
          <w:color w:val="000000"/>
          <w:sz w:val="24"/>
          <w:szCs w:val="24"/>
        </w:rPr>
        <w:t>DIRECCIÓN GENERAL DE LA 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75D64397"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8E586D" w:rsidRPr="007D0ED0">
        <w:rPr>
          <w:rFonts w:ascii="Arial" w:eastAsia="Arial" w:hAnsi="Arial" w:cs="Arial"/>
          <w:b/>
          <w:sz w:val="24"/>
          <w:szCs w:val="24"/>
        </w:rPr>
        <w:t>DIECISIETE</w:t>
      </w:r>
      <w:r w:rsidR="004C6BB6">
        <w:rPr>
          <w:rFonts w:ascii="Arial" w:eastAsia="Arial" w:hAnsi="Arial" w:cs="Arial"/>
          <w:b/>
          <w:sz w:val="24"/>
          <w:szCs w:val="24"/>
        </w:rPr>
        <w:t xml:space="preserve"> DE </w:t>
      </w:r>
      <w:r w:rsidR="001C5B9C">
        <w:rPr>
          <w:rFonts w:ascii="Arial" w:eastAsia="Arial" w:hAnsi="Arial" w:cs="Arial"/>
          <w:b/>
          <w:sz w:val="24"/>
          <w:szCs w:val="24"/>
        </w:rPr>
        <w:t>AGOSTO</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r w:rsidR="008E586D">
        <w:rPr>
          <w:rFonts w:ascii="Arial" w:eastAsia="Arial" w:hAnsi="Arial" w:cs="Arial"/>
          <w:b/>
          <w:sz w:val="24"/>
          <w:szCs w:val="24"/>
        </w:rPr>
        <w:t xml:space="preserve">- - - </w:t>
      </w:r>
    </w:p>
    <w:p w14:paraId="0000000C" w14:textId="153B325C"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sidR="00637882">
        <w:rPr>
          <w:rFonts w:ascii="Arial" w:eastAsia="Arial" w:hAnsi="Arial" w:cs="Arial"/>
          <w:b/>
          <w:color w:val="000000"/>
          <w:sz w:val="24"/>
          <w:szCs w:val="24"/>
        </w:rPr>
        <w:t xml:space="preserve">          </w:t>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sidR="008E586D">
        <w:rPr>
          <w:rFonts w:ascii="Arial" w:eastAsia="Arial" w:hAnsi="Arial" w:cs="Arial"/>
          <w:b/>
          <w:color w:val="000000"/>
          <w:sz w:val="24"/>
          <w:szCs w:val="24"/>
        </w:rPr>
        <w:t>009</w:t>
      </w:r>
      <w:r w:rsidR="001C5B9C">
        <w:rPr>
          <w:rFonts w:ascii="Arial" w:eastAsia="Arial" w:hAnsi="Arial" w:cs="Arial"/>
          <w:b/>
          <w:color w:val="000000"/>
          <w:sz w:val="24"/>
          <w:szCs w:val="24"/>
        </w:rPr>
        <w:t>4</w:t>
      </w:r>
      <w:r w:rsidR="00637882">
        <w:rPr>
          <w:rFonts w:ascii="Arial" w:eastAsia="Arial" w:hAnsi="Arial" w:cs="Arial"/>
          <w:b/>
          <w:color w:val="000000"/>
          <w:sz w:val="24"/>
          <w:szCs w:val="24"/>
        </w:rPr>
        <w:t>/20</w:t>
      </w:r>
      <w:r w:rsidR="008E586D">
        <w:rPr>
          <w:rFonts w:ascii="Arial" w:eastAsia="Arial" w:hAnsi="Arial" w:cs="Arial"/>
          <w:b/>
          <w:color w:val="000000"/>
          <w:sz w:val="24"/>
          <w:szCs w:val="24"/>
        </w:rPr>
        <w:t>2</w:t>
      </w:r>
      <w:r w:rsidR="00637882">
        <w:rPr>
          <w:rFonts w:ascii="Arial" w:eastAsia="Arial" w:hAnsi="Arial" w:cs="Arial"/>
          <w:b/>
          <w:color w:val="000000"/>
          <w:sz w:val="24"/>
          <w:szCs w:val="24"/>
        </w:rPr>
        <w:t>1</w:t>
      </w:r>
      <w:r>
        <w:rPr>
          <w:rFonts w:ascii="Arial" w:eastAsia="Arial" w:hAnsi="Arial" w:cs="Arial"/>
          <w:color w:val="000000"/>
          <w:sz w:val="24"/>
          <w:szCs w:val="24"/>
        </w:rPr>
        <w:t xml:space="preserve">, promovido por </w:t>
      </w:r>
      <w:r w:rsidR="001F0D08">
        <w:rPr>
          <w:rFonts w:ascii="Arial" w:eastAsia="Arial" w:hAnsi="Arial" w:cs="Arial"/>
          <w:b/>
          <w:color w:val="FF0000"/>
          <w:sz w:val="24"/>
          <w:szCs w:val="24"/>
        </w:rPr>
        <w:t>**********</w:t>
      </w:r>
      <w:r>
        <w:rPr>
          <w:rFonts w:ascii="Arial" w:eastAsia="Arial" w:hAnsi="Arial" w:cs="Arial"/>
          <w:color w:val="000000"/>
          <w:sz w:val="24"/>
          <w:szCs w:val="24"/>
        </w:rPr>
        <w:t>, en contra del</w:t>
      </w:r>
      <w:r w:rsidR="00775DB2">
        <w:rPr>
          <w:rFonts w:ascii="Arial" w:eastAsia="Arial" w:hAnsi="Arial" w:cs="Arial"/>
          <w:b/>
          <w:color w:val="000000"/>
          <w:sz w:val="24"/>
          <w:szCs w:val="24"/>
        </w:rPr>
        <w:t xml:space="preserve"> </w:t>
      </w:r>
      <w:r w:rsidR="00775DB2">
        <w:rPr>
          <w:rFonts w:ascii="Arial" w:hAnsi="Arial" w:cs="Arial"/>
          <w:b/>
          <w:sz w:val="24"/>
          <w:szCs w:val="24"/>
        </w:rPr>
        <w:t xml:space="preserve">POLICIA VIAL ESTATAL </w:t>
      </w:r>
      <w:r w:rsidR="00775DB2" w:rsidRPr="00FF764F">
        <w:rPr>
          <w:rFonts w:ascii="Arial" w:hAnsi="Arial" w:cs="Arial"/>
          <w:b/>
          <w:sz w:val="24"/>
          <w:szCs w:val="24"/>
        </w:rPr>
        <w:t>CON NÚMERO ESTADÍSTICO</w:t>
      </w:r>
      <w:r w:rsidR="007D0ED0">
        <w:rPr>
          <w:rFonts w:ascii="Arial" w:hAnsi="Arial" w:cs="Arial"/>
          <w:b/>
          <w:sz w:val="24"/>
          <w:szCs w:val="24"/>
        </w:rPr>
        <w:t xml:space="preserve"> </w:t>
      </w:r>
      <w:r w:rsidR="001C5B9C">
        <w:rPr>
          <w:rFonts w:ascii="Arial" w:hAnsi="Arial" w:cs="Arial"/>
          <w:b/>
          <w:sz w:val="24"/>
          <w:szCs w:val="24"/>
        </w:rPr>
        <w:t>PV-375</w:t>
      </w:r>
      <w:r w:rsidR="00775DB2" w:rsidRPr="00FF764F">
        <w:rPr>
          <w:rFonts w:ascii="Arial" w:hAnsi="Arial" w:cs="Arial"/>
          <w:b/>
          <w:sz w:val="24"/>
          <w:szCs w:val="24"/>
        </w:rPr>
        <w:t xml:space="preserve">, ADSCRITO </w:t>
      </w:r>
      <w:r w:rsidR="007D0ED0">
        <w:rPr>
          <w:rFonts w:ascii="Arial" w:hAnsi="Arial" w:cs="Arial"/>
          <w:b/>
          <w:sz w:val="24"/>
          <w:szCs w:val="24"/>
        </w:rPr>
        <w:t>A LA</w:t>
      </w:r>
      <w:r w:rsidR="00775DB2">
        <w:rPr>
          <w:rFonts w:ascii="Arial" w:hAnsi="Arial" w:cs="Arial"/>
          <w:b/>
          <w:sz w:val="24"/>
          <w:szCs w:val="24"/>
        </w:rPr>
        <w:t xml:space="preserve"> </w:t>
      </w:r>
      <w:r w:rsidR="00775DB2" w:rsidRPr="00FF764F">
        <w:rPr>
          <w:rFonts w:ascii="Arial" w:hAnsi="Arial" w:cs="Arial"/>
          <w:b/>
          <w:sz w:val="24"/>
          <w:szCs w:val="24"/>
        </w:rPr>
        <w:t>DIRECCIÓN GENERAL DE LA POLICÍA VIAL ESTATAL</w:t>
      </w:r>
      <w:r w:rsidR="00775DB2">
        <w:rPr>
          <w:rFonts w:ascii="Arial" w:hAnsi="Arial" w:cs="Arial"/>
          <w:b/>
          <w:sz w:val="24"/>
          <w:szCs w:val="24"/>
        </w:rPr>
        <w:t xml:space="preserve">, DE LA SECRETARIA DE SEGURIDAD PÚBLICA DEL ESTADO DE </w:t>
      </w:r>
      <w:r w:rsidR="00344BDC">
        <w:rPr>
          <w:rFonts w:ascii="Arial" w:hAnsi="Arial" w:cs="Arial"/>
          <w:b/>
          <w:sz w:val="24"/>
          <w:szCs w:val="24"/>
        </w:rPr>
        <w:t>OAXACA</w:t>
      </w:r>
      <w:r w:rsidR="00344BDC" w:rsidRPr="00FF764F">
        <w:rPr>
          <w:rFonts w:ascii="Arial" w:hAnsi="Arial" w:cs="Arial"/>
          <w:sz w:val="24"/>
          <w:szCs w:val="24"/>
        </w:rPr>
        <w:t>.</w:t>
      </w:r>
      <w:r w:rsidR="00344BDC">
        <w:rPr>
          <w:rFonts w:ascii="Arial" w:hAnsi="Arial" w:cs="Arial"/>
          <w:sz w:val="24"/>
          <w:szCs w:val="24"/>
        </w:rPr>
        <w:t xml:space="preserve"> -</w:t>
      </w:r>
      <w:r w:rsidR="00FC5635">
        <w:rPr>
          <w:rFonts w:ascii="Arial" w:hAnsi="Arial" w:cs="Arial"/>
          <w:sz w:val="24"/>
          <w:szCs w:val="24"/>
        </w:rPr>
        <w:t xml:space="preserve"> - </w:t>
      </w:r>
      <w:r w:rsidR="007D0ED0">
        <w:rPr>
          <w:rFonts w:ascii="Arial" w:hAnsi="Arial" w:cs="Arial"/>
          <w:sz w:val="24"/>
          <w:szCs w:val="24"/>
        </w:rPr>
        <w:t xml:space="preserve">- - - - - - - - - - - - - - - - - - - - - - - - - - - - - - - - - - - - - - - - - - - - - -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4D334F5" w14:textId="0B8FFCFE" w:rsidR="00BA482E" w:rsidRDefault="00A93088" w:rsidP="00F34122">
      <w:pPr>
        <w:spacing w:line="360" w:lineRule="auto"/>
        <w:ind w:firstLine="709"/>
        <w:jc w:val="both"/>
        <w:rPr>
          <w:rFonts w:ascii="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w:t>
      </w:r>
      <w:r w:rsidR="001C5B9C">
        <w:rPr>
          <w:rFonts w:ascii="Arial" w:eastAsia="Arial" w:hAnsi="Arial" w:cs="Arial"/>
          <w:sz w:val="24"/>
          <w:szCs w:val="24"/>
        </w:rPr>
        <w:t>diez</w:t>
      </w:r>
      <w:r w:rsidR="00775DB2">
        <w:rPr>
          <w:rFonts w:ascii="Arial" w:eastAsia="Arial" w:hAnsi="Arial" w:cs="Arial"/>
          <w:sz w:val="24"/>
          <w:szCs w:val="24"/>
        </w:rPr>
        <w:t xml:space="preserve"> de noviembre d</w:t>
      </w:r>
      <w:r w:rsidR="00B962B1">
        <w:rPr>
          <w:rFonts w:ascii="Arial" w:eastAsia="Arial" w:hAnsi="Arial" w:cs="Arial"/>
          <w:sz w:val="24"/>
          <w:szCs w:val="24"/>
        </w:rPr>
        <w:t xml:space="preserve">e dos mil </w:t>
      </w:r>
      <w:r w:rsidR="00775DB2">
        <w:rPr>
          <w:rFonts w:ascii="Arial" w:eastAsia="Arial" w:hAnsi="Arial" w:cs="Arial"/>
          <w:sz w:val="24"/>
          <w:szCs w:val="24"/>
        </w:rPr>
        <w:t>veintiuno</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775DB2">
        <w:rPr>
          <w:rFonts w:ascii="Arial" w:eastAsia="Arial" w:hAnsi="Arial" w:cs="Arial"/>
          <w:sz w:val="24"/>
          <w:szCs w:val="24"/>
        </w:rPr>
        <w:t>de</w:t>
      </w:r>
      <w:r w:rsidR="00344BDC">
        <w:rPr>
          <w:rFonts w:ascii="Arial" w:eastAsia="Arial" w:hAnsi="Arial" w:cs="Arial"/>
          <w:sz w:val="24"/>
          <w:szCs w:val="24"/>
        </w:rPr>
        <w:t>l</w:t>
      </w:r>
      <w:r w:rsidR="00FC5635">
        <w:rPr>
          <w:rFonts w:ascii="Arial" w:eastAsia="Arial" w:hAnsi="Arial" w:cs="Arial"/>
          <w:sz w:val="24"/>
          <w:szCs w:val="24"/>
        </w:rPr>
        <w:t xml:space="preserve"> </w:t>
      </w:r>
      <w:r w:rsidR="00775DB2">
        <w:rPr>
          <w:rFonts w:ascii="Arial" w:eastAsia="Arial" w:hAnsi="Arial" w:cs="Arial"/>
          <w:sz w:val="24"/>
          <w:szCs w:val="24"/>
        </w:rPr>
        <w:t>actor</w:t>
      </w:r>
      <w:r w:rsidR="0092580B">
        <w:rPr>
          <w:rFonts w:ascii="Arial" w:eastAsia="Arial" w:hAnsi="Arial" w:cs="Arial"/>
          <w:sz w:val="24"/>
          <w:szCs w:val="24"/>
        </w:rPr>
        <w:t xml:space="preserve"> </w:t>
      </w:r>
      <w:r w:rsidR="00B962B1">
        <w:rPr>
          <w:rFonts w:ascii="Arial" w:eastAsia="Arial" w:hAnsi="Arial" w:cs="Arial"/>
          <w:sz w:val="24"/>
          <w:szCs w:val="24"/>
        </w:rPr>
        <w:t xml:space="preserve">en contra del Policía Vial con número estadístico </w:t>
      </w:r>
      <w:r w:rsidR="001C5B9C">
        <w:rPr>
          <w:rFonts w:ascii="Arial" w:eastAsia="Arial" w:hAnsi="Arial" w:cs="Arial"/>
          <w:sz w:val="24"/>
          <w:szCs w:val="24"/>
        </w:rPr>
        <w:t>PV-375</w:t>
      </w:r>
      <w:r w:rsidR="00B962B1">
        <w:rPr>
          <w:rFonts w:ascii="Arial" w:eastAsia="Arial" w:hAnsi="Arial" w:cs="Arial"/>
          <w:sz w:val="24"/>
          <w:szCs w:val="24"/>
        </w:rPr>
        <w:t xml:space="preserve">, </w:t>
      </w:r>
      <w:r w:rsidR="00BA482E">
        <w:rPr>
          <w:rFonts w:ascii="Arial" w:hAnsi="Arial" w:cs="Arial"/>
          <w:sz w:val="24"/>
          <w:szCs w:val="24"/>
        </w:rPr>
        <w:t>adscrito a la Dirección General de la Policía Vial E</w:t>
      </w:r>
      <w:r w:rsidR="00BA482E" w:rsidRPr="001609E9">
        <w:rPr>
          <w:rFonts w:ascii="Arial" w:hAnsi="Arial" w:cs="Arial"/>
          <w:sz w:val="24"/>
          <w:szCs w:val="24"/>
        </w:rPr>
        <w:t>statal</w:t>
      </w:r>
      <w:r w:rsidR="00BA482E">
        <w:rPr>
          <w:rFonts w:ascii="Arial" w:hAnsi="Arial" w:cs="Arial"/>
          <w:sz w:val="24"/>
          <w:szCs w:val="24"/>
        </w:rPr>
        <w:t>, de la Secretaría de Seguridad Pública del Estado de Oaxaca</w:t>
      </w:r>
      <w:r w:rsidR="00BA482E" w:rsidRPr="00240D1C">
        <w:rPr>
          <w:rFonts w:ascii="Arial" w:hAnsi="Arial" w:cs="Arial"/>
          <w:sz w:val="24"/>
          <w:szCs w:val="24"/>
        </w:rPr>
        <w:t>; por lo que, se ordenó notificar, emplazar y correr</w:t>
      </w:r>
      <w:r w:rsidR="00BA482E">
        <w:rPr>
          <w:rFonts w:ascii="Arial" w:hAnsi="Arial" w:cs="Arial"/>
          <w:sz w:val="24"/>
          <w:szCs w:val="24"/>
        </w:rPr>
        <w:t>le</w:t>
      </w:r>
      <w:r w:rsidR="00BA482E" w:rsidRPr="00240D1C">
        <w:rPr>
          <w:rFonts w:ascii="Arial" w:hAnsi="Arial" w:cs="Arial"/>
          <w:sz w:val="24"/>
          <w:szCs w:val="24"/>
        </w:rPr>
        <w:t xml:space="preserve"> traslado </w:t>
      </w:r>
      <w:r w:rsidR="00BA482E">
        <w:rPr>
          <w:rFonts w:ascii="Arial" w:hAnsi="Arial" w:cs="Arial"/>
          <w:sz w:val="24"/>
          <w:szCs w:val="24"/>
        </w:rPr>
        <w:t>a la citada</w:t>
      </w:r>
      <w:r w:rsidR="00BA482E" w:rsidRPr="00240D1C">
        <w:rPr>
          <w:rFonts w:ascii="Arial" w:hAnsi="Arial" w:cs="Arial"/>
          <w:sz w:val="24"/>
          <w:szCs w:val="24"/>
        </w:rPr>
        <w:t xml:space="preserve"> autoridad, para que dentro del plazo de nueve días hábiles produjera</w:t>
      </w:r>
      <w:r w:rsidR="00BA482E">
        <w:rPr>
          <w:rFonts w:ascii="Arial" w:hAnsi="Arial" w:cs="Arial"/>
          <w:sz w:val="24"/>
          <w:szCs w:val="24"/>
        </w:rPr>
        <w:t xml:space="preserve"> su</w:t>
      </w:r>
      <w:r w:rsidR="00BA482E"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sidR="00BA482E">
        <w:rPr>
          <w:rFonts w:ascii="Arial" w:hAnsi="Arial" w:cs="Arial"/>
          <w:sz w:val="24"/>
          <w:szCs w:val="24"/>
        </w:rPr>
        <w:t>s tendría</w:t>
      </w:r>
      <w:r w:rsidR="00BA482E" w:rsidRPr="00240D1C">
        <w:rPr>
          <w:rFonts w:ascii="Arial" w:hAnsi="Arial" w:cs="Arial"/>
          <w:sz w:val="24"/>
          <w:szCs w:val="24"/>
        </w:rPr>
        <w:t xml:space="preserve"> como ciertos; se tuvo por ofrecidas y admitidas las pruebas ofrecidas por la parte actora</w:t>
      </w:r>
      <w:r w:rsidR="00BA482E">
        <w:rPr>
          <w:rFonts w:ascii="Arial" w:hAnsi="Arial" w:cs="Arial"/>
          <w:sz w:val="24"/>
          <w:szCs w:val="24"/>
        </w:rPr>
        <w:t>.</w:t>
      </w:r>
    </w:p>
    <w:p w14:paraId="674E1C1A" w14:textId="043B4085" w:rsidR="00BA482E" w:rsidRDefault="00BA482E" w:rsidP="00BA482E">
      <w:pPr>
        <w:spacing w:line="360" w:lineRule="auto"/>
        <w:ind w:firstLine="709"/>
        <w:jc w:val="both"/>
        <w:rPr>
          <w:rFonts w:ascii="Arial" w:hAnsi="Arial" w:cs="Arial"/>
          <w:sz w:val="24"/>
          <w:szCs w:val="24"/>
        </w:rPr>
      </w:pPr>
      <w:r w:rsidRPr="00AB0819">
        <w:rPr>
          <w:rFonts w:ascii="Arial" w:hAnsi="Arial" w:cs="Arial"/>
          <w:sz w:val="24"/>
          <w:szCs w:val="24"/>
        </w:rPr>
        <w:t xml:space="preserve">En el mismo auto, </w:t>
      </w:r>
      <w:r w:rsidRPr="00AB0819">
        <w:rPr>
          <w:rFonts w:ascii="Arial" w:hAnsi="Arial" w:cs="Arial"/>
          <w:b/>
          <w:sz w:val="24"/>
          <w:szCs w:val="24"/>
        </w:rPr>
        <w:t>se requirió</w:t>
      </w:r>
      <w:r w:rsidRPr="00AB0819">
        <w:rPr>
          <w:rFonts w:ascii="Arial" w:hAnsi="Arial" w:cs="Arial"/>
          <w:sz w:val="24"/>
          <w:szCs w:val="24"/>
        </w:rPr>
        <w:t xml:space="preserve"> a la demandada para que, al momento</w:t>
      </w:r>
      <w:r>
        <w:rPr>
          <w:rFonts w:ascii="Arial" w:hAnsi="Arial" w:cs="Arial"/>
          <w:sz w:val="24"/>
          <w:szCs w:val="24"/>
        </w:rPr>
        <w:t xml:space="preserve"> de dar contestación de la demanda, remitiera copia respectiva para el traslado de la contraparte, apercibida</w:t>
      </w:r>
      <w:r w:rsidRPr="00FF764F">
        <w:rPr>
          <w:rFonts w:ascii="Arial" w:hAnsi="Arial" w:cs="Arial"/>
          <w:sz w:val="24"/>
          <w:szCs w:val="24"/>
        </w:rPr>
        <w:t xml:space="preserve"> que en caso de omisión se </w:t>
      </w:r>
      <w:r>
        <w:rPr>
          <w:rFonts w:ascii="Arial" w:hAnsi="Arial" w:cs="Arial"/>
          <w:sz w:val="24"/>
          <w:szCs w:val="24"/>
        </w:rPr>
        <w:t>declarará precluido y se le tendrá por confesa de la demanda, salvo prueba en contario.</w:t>
      </w:r>
    </w:p>
    <w:p w14:paraId="5DB19482" w14:textId="4BB54165" w:rsidR="006B38A5" w:rsidRDefault="009C7735" w:rsidP="006B38A5">
      <w:pPr>
        <w:spacing w:line="360" w:lineRule="auto"/>
        <w:ind w:firstLine="709"/>
        <w:jc w:val="both"/>
        <w:rPr>
          <w:rFonts w:ascii="Arial" w:eastAsia="Arial" w:hAnsi="Arial" w:cs="Arial"/>
          <w:sz w:val="24"/>
          <w:szCs w:val="24"/>
        </w:rPr>
      </w:pPr>
      <w:r>
        <w:rPr>
          <w:rFonts w:ascii="Arial" w:eastAsia="Arial" w:hAnsi="Arial" w:cs="Arial"/>
          <w:b/>
          <w:sz w:val="24"/>
          <w:szCs w:val="24"/>
        </w:rPr>
        <w:lastRenderedPageBreak/>
        <w:t xml:space="preserve">SEGUNDO. </w:t>
      </w:r>
      <w:r w:rsidR="00BA482E">
        <w:rPr>
          <w:rFonts w:ascii="Arial" w:eastAsia="Arial" w:hAnsi="Arial" w:cs="Arial"/>
          <w:sz w:val="24"/>
          <w:szCs w:val="24"/>
        </w:rPr>
        <w:t>Por</w:t>
      </w:r>
      <w:r w:rsidR="00332345">
        <w:rPr>
          <w:rFonts w:ascii="Arial" w:eastAsia="Arial" w:hAnsi="Arial" w:cs="Arial"/>
          <w:sz w:val="24"/>
          <w:szCs w:val="24"/>
        </w:rPr>
        <w:t xml:space="preserve"> auto</w:t>
      </w:r>
      <w:r w:rsidR="00692F6E">
        <w:rPr>
          <w:rFonts w:ascii="Arial" w:eastAsia="Arial" w:hAnsi="Arial" w:cs="Arial"/>
          <w:sz w:val="24"/>
          <w:szCs w:val="24"/>
        </w:rPr>
        <w:t xml:space="preserve"> de </w:t>
      </w:r>
      <w:r w:rsidR="00344BDC">
        <w:rPr>
          <w:rFonts w:ascii="Arial" w:eastAsia="Arial" w:hAnsi="Arial" w:cs="Arial"/>
          <w:sz w:val="24"/>
          <w:szCs w:val="24"/>
        </w:rPr>
        <w:t>uno</w:t>
      </w:r>
      <w:r w:rsidR="00692F6E">
        <w:rPr>
          <w:rFonts w:ascii="Arial" w:eastAsia="Arial" w:hAnsi="Arial" w:cs="Arial"/>
          <w:sz w:val="24"/>
          <w:szCs w:val="24"/>
        </w:rPr>
        <w:t xml:space="preserve"> de </w:t>
      </w:r>
      <w:r w:rsidR="00BA482E">
        <w:rPr>
          <w:rFonts w:ascii="Arial" w:eastAsia="Arial" w:hAnsi="Arial" w:cs="Arial"/>
          <w:sz w:val="24"/>
          <w:szCs w:val="24"/>
        </w:rPr>
        <w:t>marzo</w:t>
      </w:r>
      <w:r w:rsidR="00692F6E">
        <w:rPr>
          <w:rFonts w:ascii="Arial" w:eastAsia="Arial" w:hAnsi="Arial" w:cs="Arial"/>
          <w:sz w:val="24"/>
          <w:szCs w:val="24"/>
        </w:rPr>
        <w:t xml:space="preserve"> de dos mil </w:t>
      </w:r>
      <w:r w:rsidR="00BA482E">
        <w:rPr>
          <w:rFonts w:ascii="Arial" w:eastAsia="Arial" w:hAnsi="Arial" w:cs="Arial"/>
          <w:sz w:val="24"/>
          <w:szCs w:val="24"/>
        </w:rPr>
        <w:t>veintidós</w:t>
      </w:r>
      <w:r w:rsidR="00A93088">
        <w:rPr>
          <w:rFonts w:ascii="Arial" w:eastAsia="Arial" w:hAnsi="Arial" w:cs="Arial"/>
          <w:sz w:val="24"/>
          <w:szCs w:val="24"/>
        </w:rPr>
        <w:t xml:space="preserve">, </w:t>
      </w:r>
      <w:r w:rsidR="00BA482E">
        <w:rPr>
          <w:rFonts w:ascii="Arial" w:hAnsi="Arial" w:cs="Arial"/>
          <w:bCs/>
          <w:sz w:val="24"/>
          <w:szCs w:val="24"/>
        </w:rPr>
        <w:t>se tuvo a la parte demandada contestando la demanda entablada en su contra</w:t>
      </w:r>
      <w:r w:rsidR="006B38A5">
        <w:rPr>
          <w:rFonts w:ascii="Arial" w:eastAsia="Arial" w:hAnsi="Arial" w:cs="Arial"/>
          <w:sz w:val="24"/>
          <w:szCs w:val="24"/>
        </w:rPr>
        <w:t>,</w:t>
      </w:r>
      <w:r w:rsidR="00A93088">
        <w:rPr>
          <w:rFonts w:ascii="Arial" w:eastAsia="Arial" w:hAnsi="Arial" w:cs="Arial"/>
          <w:sz w:val="24"/>
          <w:szCs w:val="24"/>
        </w:rPr>
        <w:t xml:space="preserve"> </w:t>
      </w:r>
      <w:r w:rsidR="006B38A5">
        <w:rPr>
          <w:rFonts w:ascii="Arial" w:hAnsi="Arial" w:cs="Arial"/>
          <w:bCs/>
          <w:sz w:val="24"/>
          <w:szCs w:val="24"/>
        </w:rPr>
        <w:t>por ofrecida y admitida la prueba</w:t>
      </w:r>
      <w:r w:rsidR="00332345">
        <w:rPr>
          <w:rFonts w:ascii="Arial" w:hAnsi="Arial" w:cs="Arial"/>
          <w:bCs/>
          <w:sz w:val="24"/>
          <w:szCs w:val="24"/>
        </w:rPr>
        <w:t xml:space="preserve"> que señaló</w:t>
      </w:r>
      <w:r w:rsidR="00332345">
        <w:rPr>
          <w:rFonts w:ascii="Arial" w:eastAsia="Arial" w:hAnsi="Arial" w:cs="Arial"/>
          <w:sz w:val="24"/>
          <w:szCs w:val="24"/>
        </w:rPr>
        <w:t>;</w:t>
      </w:r>
      <w:r w:rsidR="00A93088">
        <w:rPr>
          <w:rFonts w:ascii="Arial" w:eastAsia="Arial" w:hAnsi="Arial" w:cs="Arial"/>
          <w:sz w:val="24"/>
          <w:szCs w:val="24"/>
        </w:rPr>
        <w:t xml:space="preserve"> </w:t>
      </w:r>
      <w:r w:rsidR="00332345">
        <w:rPr>
          <w:rFonts w:ascii="Arial" w:eastAsia="Arial" w:hAnsi="Arial" w:cs="Arial"/>
          <w:sz w:val="24"/>
          <w:szCs w:val="24"/>
        </w:rPr>
        <w:t xml:space="preserve">por lo que, </w:t>
      </w:r>
      <w:r w:rsidR="006B38A5">
        <w:rPr>
          <w:rFonts w:ascii="Arial" w:eastAsia="Arial" w:hAnsi="Arial" w:cs="Arial"/>
          <w:sz w:val="24"/>
          <w:szCs w:val="24"/>
        </w:rPr>
        <w:t xml:space="preserve">se </w:t>
      </w:r>
      <w:r w:rsidR="00A93088">
        <w:rPr>
          <w:rFonts w:ascii="Arial" w:eastAsia="Arial" w:hAnsi="Arial" w:cs="Arial"/>
          <w:sz w:val="24"/>
          <w:szCs w:val="24"/>
        </w:rPr>
        <w:t>orden</w:t>
      </w:r>
      <w:r w:rsidR="006B38A5">
        <w:rPr>
          <w:rFonts w:ascii="Arial" w:eastAsia="Arial" w:hAnsi="Arial" w:cs="Arial"/>
          <w:sz w:val="24"/>
          <w:szCs w:val="24"/>
        </w:rPr>
        <w:t>ó</w:t>
      </w:r>
      <w:r w:rsidR="00A93088">
        <w:rPr>
          <w:rFonts w:ascii="Arial" w:eastAsia="Arial" w:hAnsi="Arial" w:cs="Arial"/>
          <w:sz w:val="24"/>
          <w:szCs w:val="24"/>
        </w:rPr>
        <w:t xml:space="preserve"> notificar y correr traslado a la parte actora con las copias de la</w:t>
      </w:r>
      <w:r w:rsidR="0015307A">
        <w:rPr>
          <w:rFonts w:ascii="Arial" w:eastAsia="Arial" w:hAnsi="Arial" w:cs="Arial"/>
          <w:sz w:val="24"/>
          <w:szCs w:val="24"/>
        </w:rPr>
        <w:t xml:space="preserve"> contestación de </w:t>
      </w:r>
      <w:r w:rsidR="006B38A5">
        <w:rPr>
          <w:rFonts w:ascii="Arial" w:eastAsia="Arial" w:hAnsi="Arial" w:cs="Arial"/>
          <w:sz w:val="24"/>
          <w:szCs w:val="24"/>
        </w:rPr>
        <w:t>demanda y anexo</w:t>
      </w:r>
      <w:r w:rsidR="00A93088">
        <w:rPr>
          <w:rFonts w:ascii="Arial" w:eastAsia="Arial" w:hAnsi="Arial" w:cs="Arial"/>
          <w:sz w:val="24"/>
          <w:szCs w:val="24"/>
        </w:rPr>
        <w:t>, para los efectos legales a que hubiera l</w:t>
      </w:r>
      <w:r w:rsidR="006B38A5">
        <w:rPr>
          <w:rFonts w:ascii="Arial" w:eastAsia="Arial" w:hAnsi="Arial" w:cs="Arial"/>
          <w:sz w:val="24"/>
          <w:szCs w:val="24"/>
        </w:rPr>
        <w:t>ugar.</w:t>
      </w:r>
    </w:p>
    <w:p w14:paraId="009B201D" w14:textId="18F4C430" w:rsidR="006B38A5" w:rsidRDefault="006B38A5">
      <w:pPr>
        <w:spacing w:line="360" w:lineRule="auto"/>
        <w:ind w:firstLine="709"/>
        <w:jc w:val="both"/>
        <w:rPr>
          <w:rFonts w:ascii="Arial" w:eastAsia="Arial" w:hAnsi="Arial" w:cs="Arial"/>
          <w:b/>
          <w:sz w:val="24"/>
          <w:szCs w:val="24"/>
        </w:rPr>
      </w:pPr>
      <w:r>
        <w:rPr>
          <w:rFonts w:ascii="Arial" w:eastAsia="Arial" w:hAnsi="Arial" w:cs="Arial"/>
          <w:b/>
          <w:sz w:val="24"/>
          <w:szCs w:val="24"/>
        </w:rPr>
        <w:t>TERCER</w:t>
      </w:r>
      <w:r w:rsidR="00692F6E">
        <w:rPr>
          <w:rFonts w:ascii="Arial" w:eastAsia="Arial" w:hAnsi="Arial" w:cs="Arial"/>
          <w:b/>
          <w:sz w:val="24"/>
          <w:szCs w:val="24"/>
        </w:rPr>
        <w:t>O</w:t>
      </w:r>
      <w:r w:rsidR="00A93088">
        <w:rPr>
          <w:rFonts w:ascii="Arial" w:eastAsia="Arial" w:hAnsi="Arial" w:cs="Arial"/>
          <w:b/>
          <w:sz w:val="24"/>
          <w:szCs w:val="24"/>
        </w:rPr>
        <w:t>.</w:t>
      </w:r>
      <w:r>
        <w:rPr>
          <w:rFonts w:ascii="Arial" w:eastAsia="Arial" w:hAnsi="Arial" w:cs="Arial"/>
          <w:b/>
          <w:sz w:val="24"/>
          <w:szCs w:val="24"/>
        </w:rPr>
        <w:t xml:space="preserve"> </w:t>
      </w:r>
      <w:r>
        <w:rPr>
          <w:rFonts w:ascii="Arial" w:hAnsi="Arial" w:cs="Arial"/>
          <w:bCs/>
          <w:sz w:val="24"/>
          <w:szCs w:val="24"/>
        </w:rPr>
        <w:t xml:space="preserve">Por acuerdo de veintiséis de abril de dos mil veintidós, se fijaron las once horas del </w:t>
      </w:r>
      <w:r w:rsidR="00344BDC">
        <w:rPr>
          <w:rFonts w:ascii="Arial" w:hAnsi="Arial" w:cs="Arial"/>
          <w:bCs/>
          <w:sz w:val="24"/>
          <w:szCs w:val="24"/>
        </w:rPr>
        <w:t>seis</w:t>
      </w:r>
      <w:r>
        <w:rPr>
          <w:rFonts w:ascii="Arial" w:hAnsi="Arial" w:cs="Arial"/>
          <w:bCs/>
          <w:sz w:val="24"/>
          <w:szCs w:val="24"/>
        </w:rPr>
        <w:t xml:space="preserve"> de junio de dos mil veintidós; para la celebración de la audiencia final.</w:t>
      </w:r>
    </w:p>
    <w:p w14:paraId="38EE12A5" w14:textId="7F04369D" w:rsidR="006B38A5" w:rsidRPr="006B38A5" w:rsidRDefault="006B38A5" w:rsidP="009C4C89">
      <w:pPr>
        <w:spacing w:line="360" w:lineRule="auto"/>
        <w:ind w:firstLine="709"/>
        <w:jc w:val="both"/>
        <w:rPr>
          <w:rFonts w:ascii="Arial" w:hAnsi="Arial" w:cs="Arial"/>
          <w:sz w:val="24"/>
          <w:szCs w:val="24"/>
        </w:rPr>
      </w:pPr>
      <w:r>
        <w:rPr>
          <w:rFonts w:ascii="Arial" w:hAnsi="Arial" w:cs="Arial"/>
          <w:b/>
          <w:bCs/>
          <w:sz w:val="24"/>
          <w:szCs w:val="24"/>
        </w:rPr>
        <w:t xml:space="preserve">CUARTO. </w:t>
      </w:r>
      <w:r>
        <w:rPr>
          <w:rFonts w:ascii="Arial" w:hAnsi="Arial" w:cs="Arial"/>
          <w:sz w:val="24"/>
          <w:szCs w:val="24"/>
        </w:rPr>
        <w:t xml:space="preserve">El </w:t>
      </w:r>
      <w:r w:rsidR="00344BDC">
        <w:rPr>
          <w:rFonts w:ascii="Arial" w:hAnsi="Arial" w:cs="Arial"/>
          <w:sz w:val="24"/>
          <w:szCs w:val="24"/>
        </w:rPr>
        <w:t>seis</w:t>
      </w:r>
      <w:r>
        <w:rPr>
          <w:rFonts w:ascii="Arial" w:hAnsi="Arial" w:cs="Arial"/>
          <w:sz w:val="24"/>
          <w:szCs w:val="24"/>
        </w:rPr>
        <w:t xml:space="preserve"> de junio de dos mil veintidós, </w:t>
      </w:r>
      <w:r w:rsidRPr="00240D1C">
        <w:rPr>
          <w:rFonts w:ascii="Arial" w:hAnsi="Arial" w:cs="Arial"/>
          <w:sz w:val="24"/>
          <w:szCs w:val="24"/>
        </w:rPr>
        <w:t>se llevó a cabo la audiencia final, sin comparecencia de las partes ni persona alguna que legalmente las representara</w:t>
      </w:r>
      <w:r>
        <w:rPr>
          <w:rFonts w:ascii="Arial" w:hAnsi="Arial" w:cs="Arial"/>
          <w:sz w:val="24"/>
          <w:szCs w:val="24"/>
        </w:rPr>
        <w:t xml:space="preserve">; </w:t>
      </w:r>
      <w:r w:rsidRPr="00240D1C">
        <w:rPr>
          <w:rFonts w:ascii="Arial" w:hAnsi="Arial" w:cs="Arial"/>
          <w:sz w:val="24"/>
          <w:szCs w:val="24"/>
        </w:rPr>
        <w:t xml:space="preserve">se desahogaron las pruebas de las partes, </w:t>
      </w:r>
      <w:r>
        <w:rPr>
          <w:rFonts w:ascii="Arial" w:hAnsi="Arial" w:cs="Arial"/>
          <w:sz w:val="24"/>
          <w:szCs w:val="24"/>
        </w:rPr>
        <w:t xml:space="preserve">y </w:t>
      </w:r>
      <w:r w:rsidRPr="007F121D">
        <w:rPr>
          <w:rFonts w:ascii="Arial" w:hAnsi="Arial" w:cs="Arial"/>
          <w:sz w:val="24"/>
          <w:szCs w:val="24"/>
        </w:rPr>
        <w:t>s</w:t>
      </w:r>
      <w:r>
        <w:rPr>
          <w:rFonts w:ascii="Arial" w:hAnsi="Arial" w:cs="Arial"/>
          <w:sz w:val="24"/>
          <w:szCs w:val="24"/>
        </w:rPr>
        <w:t>e abrió el periodo de alegatos en el que se hizo constar que</w:t>
      </w:r>
      <w:r w:rsidR="00B06BCD">
        <w:rPr>
          <w:rFonts w:ascii="Arial" w:hAnsi="Arial" w:cs="Arial"/>
          <w:sz w:val="24"/>
          <w:szCs w:val="24"/>
        </w:rPr>
        <w:t xml:space="preserve"> el diecinueve de mayo del año dos mil veintidós, se recibió en este Tribunal, el escrito de la Licenciada </w:t>
      </w:r>
      <w:r w:rsidR="001F0D08">
        <w:rPr>
          <w:rFonts w:ascii="Arial" w:hAnsi="Arial" w:cs="Arial"/>
          <w:sz w:val="24"/>
          <w:szCs w:val="24"/>
        </w:rPr>
        <w:t>**********</w:t>
      </w:r>
      <w:r w:rsidR="00B06BCD">
        <w:rPr>
          <w:rFonts w:ascii="Arial" w:hAnsi="Arial" w:cs="Arial"/>
          <w:sz w:val="24"/>
          <w:szCs w:val="24"/>
        </w:rPr>
        <w:t>, autorizada legal de la parte actora, por medio del cual formula sus alegatos</w:t>
      </w:r>
      <w:r w:rsidR="009C4C89">
        <w:rPr>
          <w:rFonts w:ascii="Arial" w:hAnsi="Arial" w:cs="Arial"/>
          <w:sz w:val="24"/>
          <w:szCs w:val="24"/>
        </w:rPr>
        <w:t xml:space="preserve">, por lo que respecta a la autoridad demandada quien no formulo alegatos </w:t>
      </w:r>
      <w:r w:rsidRPr="007F121D">
        <w:rPr>
          <w:rFonts w:ascii="Arial" w:hAnsi="Arial" w:cs="Arial"/>
          <w:sz w:val="24"/>
          <w:szCs w:val="24"/>
        </w:rPr>
        <w:t xml:space="preserve">se declaró precluido </w:t>
      </w:r>
      <w:r>
        <w:rPr>
          <w:rFonts w:ascii="Arial" w:hAnsi="Arial" w:cs="Arial"/>
          <w:sz w:val="24"/>
          <w:szCs w:val="24"/>
        </w:rPr>
        <w:t xml:space="preserve">el </w:t>
      </w:r>
      <w:r w:rsidRPr="007F121D">
        <w:rPr>
          <w:rFonts w:ascii="Arial" w:hAnsi="Arial" w:cs="Arial"/>
          <w:sz w:val="24"/>
          <w:szCs w:val="24"/>
        </w:rPr>
        <w:t>derecho</w:t>
      </w:r>
      <w:r>
        <w:rPr>
          <w:rFonts w:ascii="Arial" w:hAnsi="Arial" w:cs="Arial"/>
          <w:sz w:val="24"/>
          <w:szCs w:val="24"/>
        </w:rPr>
        <w:t xml:space="preserve"> que tuv</w:t>
      </w:r>
      <w:r w:rsidR="009C4C89">
        <w:rPr>
          <w:rFonts w:ascii="Arial" w:hAnsi="Arial" w:cs="Arial"/>
          <w:sz w:val="24"/>
          <w:szCs w:val="24"/>
        </w:rPr>
        <w:t>o</w:t>
      </w:r>
      <w:r>
        <w:rPr>
          <w:rFonts w:ascii="Arial" w:hAnsi="Arial" w:cs="Arial"/>
          <w:sz w:val="24"/>
          <w:szCs w:val="24"/>
        </w:rPr>
        <w:t xml:space="preserve"> para hacerlo</w:t>
      </w:r>
      <w:r w:rsidRPr="00240D1C">
        <w:rPr>
          <w:rFonts w:ascii="Arial" w:hAnsi="Arial" w:cs="Arial"/>
          <w:sz w:val="24"/>
          <w:szCs w:val="24"/>
        </w:rPr>
        <w:t xml:space="preserve">, declarándose cerrada la etapa de instrucción; y, por último se citó </w:t>
      </w:r>
      <w:r>
        <w:rPr>
          <w:rFonts w:ascii="Arial" w:hAnsi="Arial" w:cs="Arial"/>
          <w:sz w:val="24"/>
          <w:szCs w:val="24"/>
        </w:rPr>
        <w:t>a las partes para oír sentencia</w:t>
      </w:r>
      <w:r>
        <w:rPr>
          <w:rFonts w:ascii="Arial" w:eastAsia="Arial" w:hAnsi="Arial" w:cs="Arial"/>
          <w:sz w:val="24"/>
          <w:szCs w:val="24"/>
        </w:rPr>
        <w:t xml:space="preserve">, misma que ahora se pronuncia.- - - - - - - - - - - - - - - - - - - - - - - - - - - - - - - - - -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0E58A5B7" w:rsidR="002354BD" w:rsidRDefault="00A93088" w:rsidP="00B46826">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Pr>
          <w:rFonts w:ascii="Arial" w:eastAsia="Arial" w:hAnsi="Arial" w:cs="Arial"/>
          <w:b/>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1F0D08">
        <w:rPr>
          <w:rFonts w:ascii="Arial" w:eastAsia="Arial" w:hAnsi="Arial" w:cs="Arial"/>
          <w:b/>
          <w:color w:val="FF0000"/>
          <w:sz w:val="24"/>
          <w:szCs w:val="24"/>
        </w:rPr>
        <w:t>**********</w:t>
      </w:r>
      <w:r w:rsidR="0088172E" w:rsidRPr="006279C8">
        <w:rPr>
          <w:rFonts w:ascii="Arial" w:eastAsia="Arial" w:hAnsi="Arial" w:cs="Arial"/>
          <w:b/>
          <w:color w:val="FF0000"/>
          <w:sz w:val="24"/>
          <w:szCs w:val="24"/>
        </w:rPr>
        <w:t xml:space="preserve"> </w:t>
      </w:r>
      <w:r w:rsidR="0088172E">
        <w:rPr>
          <w:rFonts w:ascii="Arial" w:eastAsia="Arial" w:hAnsi="Arial" w:cs="Arial"/>
          <w:sz w:val="24"/>
          <w:szCs w:val="24"/>
        </w:rPr>
        <w:t xml:space="preserve">promovió el juicio por </w:t>
      </w:r>
      <w:r w:rsidR="0088172E">
        <w:rPr>
          <w:rFonts w:ascii="Arial" w:eastAsia="Arial" w:hAnsi="Arial" w:cs="Arial"/>
          <w:sz w:val="24"/>
          <w:szCs w:val="24"/>
        </w:rPr>
        <w:lastRenderedPageBreak/>
        <w:t>propio derecho</w:t>
      </w:r>
      <w:r w:rsidR="00B46826">
        <w:rPr>
          <w:rFonts w:ascii="Arial" w:eastAsia="Arial" w:hAnsi="Arial" w:cs="Arial"/>
          <w:sz w:val="24"/>
          <w:szCs w:val="24"/>
        </w:rPr>
        <w:t xml:space="preserve">; y </w:t>
      </w:r>
      <w:r w:rsidR="00845124">
        <w:rPr>
          <w:rFonts w:ascii="Arial" w:eastAsia="Arial" w:hAnsi="Arial" w:cs="Arial"/>
          <w:sz w:val="24"/>
          <w:szCs w:val="24"/>
        </w:rPr>
        <w:t xml:space="preserve">la personalidad </w:t>
      </w:r>
      <w:r>
        <w:rPr>
          <w:rFonts w:ascii="Arial" w:eastAsia="Arial" w:hAnsi="Arial" w:cs="Arial"/>
          <w:sz w:val="24"/>
          <w:szCs w:val="24"/>
        </w:rPr>
        <w:t xml:space="preserve">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t>TERCERO. Causales de Improcedencia y Sobreseimiento</w:t>
      </w:r>
      <w:r>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7FBE0665" w14:textId="717170FA" w:rsidR="00323CFE" w:rsidRPr="00323CFE" w:rsidRDefault="00A93088" w:rsidP="00703BC3">
      <w:pPr>
        <w:spacing w:line="360" w:lineRule="auto"/>
        <w:ind w:right="-93" w:firstLine="709"/>
        <w:jc w:val="both"/>
        <w:rPr>
          <w:rFonts w:ascii="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w:t>
      </w:r>
      <w:r w:rsidR="00323CFE">
        <w:rPr>
          <w:rFonts w:ascii="Arial" w:eastAsia="Arial" w:hAnsi="Arial" w:cs="Arial"/>
          <w:sz w:val="24"/>
          <w:szCs w:val="24"/>
        </w:rPr>
        <w:t xml:space="preserve"> materia; </w:t>
      </w:r>
      <w:r w:rsidR="00703BC3">
        <w:rPr>
          <w:rFonts w:ascii="Arial" w:eastAsia="Arial" w:hAnsi="Arial" w:cs="Arial"/>
          <w:b/>
          <w:sz w:val="24"/>
          <w:szCs w:val="24"/>
        </w:rPr>
        <w:t xml:space="preserve">sin embargo, </w:t>
      </w:r>
      <w:r w:rsidR="00323CFE" w:rsidRPr="00240D1C">
        <w:rPr>
          <w:rFonts w:ascii="Arial" w:hAnsi="Arial" w:cs="Arial"/>
          <w:sz w:val="24"/>
          <w:szCs w:val="24"/>
        </w:rPr>
        <w:t xml:space="preserve">esta Sala advierte que en el presente caso concreto no se actualiza </w:t>
      </w:r>
      <w:r w:rsidR="004B0416">
        <w:rPr>
          <w:rFonts w:ascii="Arial" w:hAnsi="Arial" w:cs="Arial"/>
          <w:sz w:val="24"/>
          <w:szCs w:val="24"/>
        </w:rPr>
        <w:t xml:space="preserve">ninguna </w:t>
      </w:r>
      <w:r w:rsidR="00323CFE" w:rsidRPr="00240D1C">
        <w:rPr>
          <w:rFonts w:ascii="Arial" w:hAnsi="Arial" w:cs="Arial"/>
          <w:sz w:val="24"/>
          <w:szCs w:val="24"/>
        </w:rPr>
        <w:t xml:space="preserve">causal de improcedencia ni sobreseimiento, consecuentemente, </w:t>
      </w:r>
      <w:r w:rsidR="00323CFE" w:rsidRPr="00240D1C">
        <w:rPr>
          <w:rFonts w:ascii="Arial" w:hAnsi="Arial" w:cs="Arial"/>
          <w:b/>
          <w:sz w:val="24"/>
          <w:szCs w:val="24"/>
        </w:rPr>
        <w:t>NO SE SOBRESEE</w:t>
      </w:r>
      <w:r w:rsidR="00323CFE">
        <w:rPr>
          <w:rFonts w:ascii="Arial" w:hAnsi="Arial" w:cs="Arial"/>
          <w:sz w:val="24"/>
          <w:szCs w:val="24"/>
        </w:rPr>
        <w:t xml:space="preserve"> </w:t>
      </w:r>
      <w:r w:rsidR="00323CFE" w:rsidRPr="00323CFE">
        <w:rPr>
          <w:rFonts w:ascii="Arial" w:hAnsi="Arial" w:cs="Arial"/>
          <w:b/>
          <w:sz w:val="24"/>
          <w:szCs w:val="24"/>
        </w:rPr>
        <w:t>EL JUICIO.</w:t>
      </w:r>
    </w:p>
    <w:p w14:paraId="4E8D9DAA" w14:textId="119FDC55" w:rsidR="004E4D1B" w:rsidRDefault="00A93088" w:rsidP="00703BC3">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99D1162" w14:textId="77777777" w:rsidR="004E4D1B" w:rsidRDefault="004E4D1B" w:rsidP="004E4D1B">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Sirve de apoyo a lo anterior la jurisprudencia de datos, rubro y texto siguientes:</w:t>
      </w:r>
    </w:p>
    <w:p w14:paraId="79B0B0B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0A79688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6EACC90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5AA0423"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66D9BD8"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06005AF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56ADFFEE" w14:textId="77777777" w:rsidR="004E4D1B" w:rsidRDefault="004E4D1B" w:rsidP="004E4D1B">
      <w:pPr>
        <w:spacing w:after="0" w:line="240" w:lineRule="auto"/>
        <w:ind w:left="567" w:right="332"/>
        <w:jc w:val="both"/>
        <w:rPr>
          <w:rFonts w:ascii="Arial" w:eastAsia="Arial" w:hAnsi="Arial" w:cs="Arial"/>
          <w:color w:val="000000"/>
        </w:rPr>
      </w:pPr>
    </w:p>
    <w:p w14:paraId="6C403DA0" w14:textId="77777777" w:rsidR="004E4D1B" w:rsidRDefault="004E4D1B" w:rsidP="004E4D1B">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7789201A" w14:textId="77777777" w:rsidR="004E4D1B" w:rsidRDefault="004E4D1B" w:rsidP="004E4D1B">
      <w:pPr>
        <w:spacing w:after="0" w:line="240" w:lineRule="auto"/>
        <w:ind w:left="567" w:right="332"/>
        <w:jc w:val="both"/>
        <w:rPr>
          <w:rFonts w:ascii="Arial" w:eastAsia="Arial" w:hAnsi="Arial" w:cs="Arial"/>
          <w:b/>
          <w:bCs/>
          <w:color w:val="000000"/>
        </w:rPr>
      </w:pPr>
    </w:p>
    <w:p w14:paraId="62A184BF"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96E849A" w14:textId="77777777" w:rsidR="004E4D1B" w:rsidRDefault="004E4D1B" w:rsidP="004E4D1B">
      <w:pPr>
        <w:spacing w:after="0" w:line="240" w:lineRule="auto"/>
        <w:ind w:left="567" w:right="332"/>
        <w:jc w:val="both"/>
        <w:rPr>
          <w:rFonts w:ascii="Arial" w:eastAsia="Arial" w:hAnsi="Arial" w:cs="Arial"/>
          <w:color w:val="000000"/>
        </w:rPr>
      </w:pPr>
    </w:p>
    <w:p w14:paraId="4FE1F36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A432F4D" w14:textId="77777777" w:rsidR="004E4D1B" w:rsidRDefault="004E4D1B" w:rsidP="004E4D1B">
      <w:pPr>
        <w:spacing w:after="0" w:line="240" w:lineRule="auto"/>
        <w:ind w:left="567" w:right="332"/>
        <w:jc w:val="both"/>
        <w:rPr>
          <w:rFonts w:ascii="Arial" w:eastAsia="Arial" w:hAnsi="Arial" w:cs="Arial"/>
          <w:color w:val="000000"/>
        </w:rPr>
      </w:pPr>
    </w:p>
    <w:p w14:paraId="6E7A6CF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4DEB1062" w:rsidR="002354BD" w:rsidRDefault="00A93088" w:rsidP="00C96414">
      <w:pPr>
        <w:spacing w:line="360" w:lineRule="auto"/>
        <w:ind w:right="-93" w:firstLine="709"/>
        <w:jc w:val="both"/>
        <w:rPr>
          <w:rFonts w:ascii="Arial" w:eastAsia="Arial" w:hAnsi="Arial" w:cs="Arial"/>
          <w:sz w:val="24"/>
          <w:szCs w:val="24"/>
        </w:rPr>
      </w:pPr>
      <w:bookmarkStart w:id="1" w:name="_heading=h.gjdgxs" w:colFirst="0" w:colLast="0"/>
      <w:bookmarkEnd w:id="1"/>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sidR="009C4C89">
        <w:rPr>
          <w:rFonts w:ascii="Arial" w:eastAsia="Arial" w:hAnsi="Arial" w:cs="Arial"/>
          <w:sz w:val="24"/>
          <w:szCs w:val="24"/>
        </w:rPr>
        <w:t>El</w:t>
      </w:r>
      <w:r w:rsidR="00323CFE">
        <w:rPr>
          <w:rFonts w:ascii="Arial" w:eastAsia="Arial" w:hAnsi="Arial" w:cs="Arial"/>
          <w:sz w:val="24"/>
          <w:szCs w:val="24"/>
        </w:rPr>
        <w:t xml:space="preserve"> actor</w:t>
      </w:r>
      <w:r w:rsidR="00C96414">
        <w:rPr>
          <w:rFonts w:ascii="Arial" w:eastAsia="Arial" w:hAnsi="Arial" w:cs="Arial"/>
          <w:sz w:val="24"/>
          <w:szCs w:val="24"/>
        </w:rPr>
        <w:t xml:space="preserve"> </w:t>
      </w:r>
      <w:r w:rsidR="001F0D08">
        <w:rPr>
          <w:rFonts w:ascii="Arial" w:eastAsia="Arial" w:hAnsi="Arial" w:cs="Arial"/>
          <w:b/>
          <w:color w:val="FF0000"/>
          <w:sz w:val="24"/>
          <w:szCs w:val="24"/>
        </w:rPr>
        <w:t>**********</w:t>
      </w:r>
      <w:r w:rsidR="00323CFE">
        <w:rPr>
          <w:rFonts w:ascii="Arial" w:eastAsia="Arial" w:hAnsi="Arial" w:cs="Arial"/>
          <w:b/>
          <w:color w:val="FF0000"/>
          <w:sz w:val="24"/>
          <w:szCs w:val="24"/>
        </w:rPr>
        <w:t xml:space="preserve">, </w:t>
      </w:r>
      <w:r w:rsidR="00323CFE">
        <w:rPr>
          <w:rFonts w:ascii="Arial" w:eastAsia="Arial" w:hAnsi="Arial" w:cs="Arial"/>
          <w:sz w:val="24"/>
          <w:szCs w:val="24"/>
        </w:rPr>
        <w:t>demandó</w:t>
      </w:r>
      <w:r>
        <w:rPr>
          <w:rFonts w:ascii="Arial" w:eastAsia="Arial" w:hAnsi="Arial" w:cs="Arial"/>
          <w:sz w:val="24"/>
          <w:szCs w:val="24"/>
        </w:rPr>
        <w:t xml:space="preserve"> la nulidad del acta de infracción con número de folio </w:t>
      </w:r>
      <w:r w:rsidR="001F0D08">
        <w:rPr>
          <w:rFonts w:ascii="Arial" w:eastAsia="Arial" w:hAnsi="Arial" w:cs="Arial"/>
          <w:color w:val="FF0000"/>
          <w:sz w:val="24"/>
          <w:szCs w:val="24"/>
        </w:rPr>
        <w:t>**********</w:t>
      </w:r>
      <w:r>
        <w:rPr>
          <w:rFonts w:ascii="Arial" w:eastAsia="Arial" w:hAnsi="Arial" w:cs="Arial"/>
          <w:sz w:val="24"/>
          <w:szCs w:val="24"/>
        </w:rPr>
        <w:t xml:space="preserve"> de </w:t>
      </w:r>
      <w:r w:rsidR="00056E49">
        <w:rPr>
          <w:rFonts w:ascii="Arial" w:eastAsia="Arial" w:hAnsi="Arial" w:cs="Arial"/>
          <w:sz w:val="24"/>
          <w:szCs w:val="24"/>
        </w:rPr>
        <w:t>cinco de octubre de dos mil veintiuno</w:t>
      </w:r>
      <w:r>
        <w:rPr>
          <w:rFonts w:ascii="Arial" w:eastAsia="Arial" w:hAnsi="Arial" w:cs="Arial"/>
          <w:sz w:val="24"/>
          <w:szCs w:val="24"/>
        </w:rPr>
        <w:t xml:space="preserve">, emitida por </w:t>
      </w:r>
      <w:r w:rsidR="00C96414">
        <w:rPr>
          <w:rFonts w:ascii="Arial" w:eastAsia="Arial" w:hAnsi="Arial" w:cs="Arial"/>
          <w:sz w:val="24"/>
          <w:szCs w:val="24"/>
        </w:rPr>
        <w:t xml:space="preserve">el </w:t>
      </w:r>
      <w:r>
        <w:rPr>
          <w:rFonts w:ascii="Arial" w:eastAsia="Arial" w:hAnsi="Arial" w:cs="Arial"/>
          <w:sz w:val="24"/>
          <w:szCs w:val="24"/>
        </w:rPr>
        <w:t>Policía Vi</w:t>
      </w:r>
      <w:r w:rsidR="00C96414">
        <w:rPr>
          <w:rFonts w:ascii="Arial" w:eastAsia="Arial" w:hAnsi="Arial" w:cs="Arial"/>
          <w:sz w:val="24"/>
          <w:szCs w:val="24"/>
        </w:rPr>
        <w:t xml:space="preserve">al con número estadístico </w:t>
      </w:r>
      <w:r w:rsidR="001C5B9C">
        <w:rPr>
          <w:rFonts w:ascii="Arial" w:eastAsia="Arial" w:hAnsi="Arial" w:cs="Arial"/>
          <w:sz w:val="24"/>
          <w:szCs w:val="24"/>
        </w:rPr>
        <w:t>PV-375</w:t>
      </w:r>
      <w:r w:rsidR="00C96414">
        <w:rPr>
          <w:rFonts w:ascii="Arial" w:eastAsia="Arial" w:hAnsi="Arial" w:cs="Arial"/>
          <w:sz w:val="24"/>
          <w:szCs w:val="24"/>
        </w:rPr>
        <w:t xml:space="preserve"> </w:t>
      </w:r>
      <w:r>
        <w:rPr>
          <w:rFonts w:ascii="Arial" w:eastAsia="Arial" w:hAnsi="Arial" w:cs="Arial"/>
          <w:sz w:val="24"/>
          <w:szCs w:val="24"/>
        </w:rPr>
        <w:t>adscrito a la Dirección General de la Policía Vial Estatal de la Secretaría de Seguridad Pública del Estado de Oaxaca.</w:t>
      </w:r>
    </w:p>
    <w:p w14:paraId="73983571" w14:textId="3197E3F3" w:rsidR="00461EED" w:rsidRPr="00A43CF6" w:rsidRDefault="008A318F" w:rsidP="00A43CF6">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Al ser el agravio que de resultar fundado mayor beneficio otorgaría a la parte actora, se procede al análisis del </w:t>
      </w:r>
      <w:r w:rsidR="000438A1">
        <w:rPr>
          <w:rFonts w:ascii="Arial" w:eastAsia="Arial" w:hAnsi="Arial" w:cs="Arial"/>
          <w:b/>
          <w:color w:val="000000"/>
          <w:sz w:val="24"/>
          <w:szCs w:val="24"/>
        </w:rPr>
        <w:t>PRIMER</w:t>
      </w:r>
      <w:r>
        <w:rPr>
          <w:rFonts w:ascii="Arial" w:eastAsia="Arial" w:hAnsi="Arial" w:cs="Arial"/>
          <w:b/>
          <w:color w:val="000000"/>
          <w:sz w:val="24"/>
          <w:szCs w:val="24"/>
        </w:rPr>
        <w:t xml:space="preserve"> </w:t>
      </w:r>
      <w:r>
        <w:rPr>
          <w:rFonts w:ascii="Arial" w:eastAsia="Arial" w:hAnsi="Arial" w:cs="Arial"/>
          <w:color w:val="000000"/>
          <w:sz w:val="24"/>
          <w:szCs w:val="24"/>
        </w:rPr>
        <w:t xml:space="preserve">concepto de impugnación </w:t>
      </w:r>
      <w:r w:rsidR="00A43CF6">
        <w:rPr>
          <w:rFonts w:ascii="Arial" w:eastAsia="Arial" w:hAnsi="Arial" w:cs="Arial"/>
          <w:color w:val="000000"/>
          <w:sz w:val="24"/>
          <w:szCs w:val="24"/>
        </w:rPr>
        <w:t xml:space="preserve">del escrito de demanda, en el cual </w:t>
      </w:r>
      <w:r w:rsidR="00366DB6">
        <w:rPr>
          <w:rFonts w:ascii="Arial" w:eastAsia="Arial" w:hAnsi="Arial" w:cs="Arial"/>
          <w:sz w:val="24"/>
          <w:szCs w:val="24"/>
        </w:rPr>
        <w:t>el actor</w:t>
      </w:r>
      <w:r w:rsidR="004C0D54">
        <w:rPr>
          <w:rFonts w:ascii="Arial" w:eastAsia="Arial" w:hAnsi="Arial" w:cs="Arial"/>
          <w:sz w:val="24"/>
          <w:szCs w:val="24"/>
        </w:rPr>
        <w:t xml:space="preserve"> refuta la falta de fundamentación y motivación de la </w:t>
      </w:r>
      <w:r w:rsidR="00A43CF6">
        <w:rPr>
          <w:rFonts w:ascii="Arial" w:eastAsia="Arial" w:hAnsi="Arial" w:cs="Arial"/>
          <w:sz w:val="24"/>
          <w:szCs w:val="24"/>
        </w:rPr>
        <w:t xml:space="preserve">competencia de la </w:t>
      </w:r>
      <w:r w:rsidR="004C0D54">
        <w:rPr>
          <w:rFonts w:ascii="Arial" w:eastAsia="Arial" w:hAnsi="Arial" w:cs="Arial"/>
          <w:sz w:val="24"/>
          <w:szCs w:val="24"/>
        </w:rPr>
        <w:t xml:space="preserve">autoridad que emitió el acta de infracción </w:t>
      </w:r>
      <w:r w:rsidR="001F0D08">
        <w:rPr>
          <w:rFonts w:ascii="Arial" w:eastAsia="Arial" w:hAnsi="Arial" w:cs="Arial"/>
          <w:b/>
          <w:color w:val="FF0000"/>
          <w:sz w:val="24"/>
          <w:szCs w:val="24"/>
        </w:rPr>
        <w:t>**********</w:t>
      </w:r>
      <w:r w:rsidR="004C0D54">
        <w:rPr>
          <w:rFonts w:ascii="Arial" w:eastAsia="Arial" w:hAnsi="Arial" w:cs="Arial"/>
          <w:sz w:val="24"/>
          <w:szCs w:val="24"/>
        </w:rPr>
        <w:t xml:space="preserve"> de </w:t>
      </w:r>
      <w:r w:rsidR="00056E49">
        <w:rPr>
          <w:rFonts w:ascii="Arial" w:eastAsia="Arial" w:hAnsi="Arial" w:cs="Arial"/>
          <w:sz w:val="24"/>
          <w:szCs w:val="24"/>
        </w:rPr>
        <w:t>cinco de octubre de dos mil veintiuno</w:t>
      </w:r>
      <w:r w:rsidR="004C0D54">
        <w:rPr>
          <w:rFonts w:ascii="Arial" w:eastAsia="Arial" w:hAnsi="Arial" w:cs="Arial"/>
          <w:sz w:val="24"/>
          <w:szCs w:val="24"/>
        </w:rPr>
        <w:t xml:space="preserve">, </w:t>
      </w:r>
      <w:r w:rsidR="00EC3219">
        <w:rPr>
          <w:rFonts w:ascii="Arial" w:eastAsia="Arial" w:hAnsi="Arial" w:cs="Arial"/>
          <w:sz w:val="24"/>
          <w:szCs w:val="24"/>
        </w:rPr>
        <w:t xml:space="preserve">indicando que el Policía Vial con número estadístico </w:t>
      </w:r>
      <w:r w:rsidR="001C5B9C">
        <w:rPr>
          <w:rFonts w:ascii="Arial" w:eastAsia="Arial" w:hAnsi="Arial" w:cs="Arial"/>
          <w:sz w:val="24"/>
          <w:szCs w:val="24"/>
        </w:rPr>
        <w:t>PV-375</w:t>
      </w:r>
      <w:r w:rsidR="00EC3219">
        <w:rPr>
          <w:rFonts w:ascii="Arial" w:eastAsia="Arial" w:hAnsi="Arial" w:cs="Arial"/>
          <w:sz w:val="24"/>
          <w:szCs w:val="24"/>
        </w:rPr>
        <w:t>, adscrito a la Dirección General de la Policía Vial Estatal</w:t>
      </w:r>
      <w:r w:rsidR="00B12DB2">
        <w:rPr>
          <w:rFonts w:ascii="Arial" w:eastAsia="Arial" w:hAnsi="Arial" w:cs="Arial"/>
          <w:sz w:val="24"/>
          <w:szCs w:val="24"/>
        </w:rPr>
        <w:t xml:space="preserve">, fundó su competencia en la Ley de Tránsito Reformada, cuando esta ya había sido abrogada por la Ley de </w:t>
      </w:r>
      <w:r w:rsidR="00B70382">
        <w:rPr>
          <w:rFonts w:ascii="Arial" w:eastAsia="Arial" w:hAnsi="Arial" w:cs="Arial"/>
          <w:sz w:val="24"/>
          <w:szCs w:val="24"/>
        </w:rPr>
        <w:t xml:space="preserve">Tránsito, Movilidad y Vialidad del Estado de Oaxaca; además, que el acta de infracción impugnada es ilegal en virtud de que en ella no se indicaron de forma precisa los preceptos legales que apoyen la competencia material y </w:t>
      </w:r>
      <w:r w:rsidR="00B70382">
        <w:rPr>
          <w:rFonts w:ascii="Arial" w:eastAsia="Arial" w:hAnsi="Arial" w:cs="Arial"/>
          <w:sz w:val="24"/>
          <w:szCs w:val="24"/>
        </w:rPr>
        <w:lastRenderedPageBreak/>
        <w:t>territorial del Policía Via</w:t>
      </w:r>
      <w:r w:rsidR="00111EA8">
        <w:rPr>
          <w:rFonts w:ascii="Arial" w:eastAsia="Arial" w:hAnsi="Arial" w:cs="Arial"/>
          <w:sz w:val="24"/>
          <w:szCs w:val="24"/>
        </w:rPr>
        <w:t>l, pues ninguno de los artículos que cita en el acto impugnado, prevé la existencia de la figura de policía vial.</w:t>
      </w:r>
    </w:p>
    <w:p w14:paraId="2AF955A3" w14:textId="11D06CBA"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que, esta juzgadora considera que </w:t>
      </w:r>
      <w:r w:rsidR="0057470D">
        <w:rPr>
          <w:rFonts w:ascii="Arial" w:eastAsia="Arial" w:hAnsi="Arial" w:cs="Arial"/>
          <w:b/>
          <w:sz w:val="24"/>
          <w:szCs w:val="24"/>
        </w:rPr>
        <w:t>es sustancialmente fundado</w:t>
      </w:r>
      <w:r>
        <w:rPr>
          <w:rFonts w:ascii="Arial" w:eastAsia="Arial" w:hAnsi="Arial" w:cs="Arial"/>
          <w:sz w:val="24"/>
          <w:szCs w:val="24"/>
        </w:rPr>
        <w:t xml:space="preserve"> </w:t>
      </w:r>
      <w:r w:rsidR="0057470D">
        <w:rPr>
          <w:rFonts w:ascii="Arial" w:eastAsia="Arial" w:hAnsi="Arial" w:cs="Arial"/>
          <w:sz w:val="24"/>
          <w:szCs w:val="24"/>
        </w:rPr>
        <w:t>el concepto</w:t>
      </w:r>
      <w:r>
        <w:rPr>
          <w:rFonts w:ascii="Arial" w:eastAsia="Arial" w:hAnsi="Arial" w:cs="Arial"/>
          <w:sz w:val="24"/>
          <w:szCs w:val="24"/>
        </w:rPr>
        <w:t xml:space="preserve"> de impugnación en análisis, por las siguientes consideraciones:</w:t>
      </w:r>
    </w:p>
    <w:p w14:paraId="1D598EBF" w14:textId="3AC7CC81"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El Policía Vi</w:t>
      </w:r>
      <w:r w:rsidR="00B57267">
        <w:rPr>
          <w:rFonts w:ascii="Arial" w:eastAsia="Arial" w:hAnsi="Arial" w:cs="Arial"/>
          <w:sz w:val="24"/>
          <w:szCs w:val="24"/>
        </w:rPr>
        <w:t xml:space="preserve">al con número estadístico </w:t>
      </w:r>
      <w:r w:rsidR="001C5B9C">
        <w:rPr>
          <w:rFonts w:ascii="Arial" w:eastAsia="Arial" w:hAnsi="Arial" w:cs="Arial"/>
          <w:sz w:val="24"/>
          <w:szCs w:val="24"/>
        </w:rPr>
        <w:t>PV-375</w:t>
      </w:r>
      <w:r>
        <w:rPr>
          <w:rFonts w:ascii="Arial" w:eastAsia="Arial" w:hAnsi="Arial" w:cs="Arial"/>
          <w:sz w:val="24"/>
          <w:szCs w:val="24"/>
        </w:rPr>
        <w:t xml:space="preserve">, adscrito a la Dirección General de la Policía Vial Estatal, al emitir el acta de infracción de infracción </w:t>
      </w:r>
      <w:r w:rsidR="001F0D08">
        <w:rPr>
          <w:rFonts w:ascii="Arial" w:eastAsia="Arial" w:hAnsi="Arial" w:cs="Arial"/>
          <w:b/>
          <w:color w:val="FF0000"/>
          <w:sz w:val="24"/>
          <w:szCs w:val="24"/>
        </w:rPr>
        <w:t>**********</w:t>
      </w:r>
      <w:r>
        <w:rPr>
          <w:rFonts w:ascii="Arial" w:eastAsia="Arial" w:hAnsi="Arial" w:cs="Arial"/>
          <w:sz w:val="24"/>
          <w:szCs w:val="24"/>
        </w:rPr>
        <w:t xml:space="preserve"> de </w:t>
      </w:r>
      <w:r w:rsidR="00056E49">
        <w:rPr>
          <w:rFonts w:ascii="Arial" w:eastAsia="Arial" w:hAnsi="Arial" w:cs="Arial"/>
          <w:sz w:val="24"/>
          <w:szCs w:val="24"/>
        </w:rPr>
        <w:t>cinco de octubre de dos mil veintiuno</w:t>
      </w:r>
      <w:r>
        <w:rPr>
          <w:rFonts w:ascii="Arial" w:eastAsia="Arial" w:hAnsi="Arial" w:cs="Arial"/>
          <w:sz w:val="24"/>
          <w:szCs w:val="24"/>
        </w:rPr>
        <w:t>,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0EEA19F7" w:rsidR="00053D29" w:rsidRDefault="00053D29" w:rsidP="00053D29">
      <w:pPr>
        <w:spacing w:line="360" w:lineRule="auto"/>
        <w:ind w:firstLine="567"/>
        <w:jc w:val="both"/>
        <w:rPr>
          <w:rFonts w:ascii="Arial" w:eastAsiaTheme="minorHAnsi" w:hAnsi="Arial" w:cs="Arial"/>
          <w:sz w:val="24"/>
          <w:szCs w:val="24"/>
          <w:lang w:eastAsia="en-US"/>
        </w:rPr>
      </w:pPr>
      <w:r w:rsidRPr="00053D29">
        <w:rPr>
          <w:rFonts w:ascii="Arial" w:eastAsia="Times New Roman" w:hAnsi="Arial" w:cs="Arial"/>
          <w:sz w:val="24"/>
          <w:szCs w:val="24"/>
          <w:lang w:val="es-ES" w:eastAsia="en-US"/>
        </w:rPr>
        <w:t>De lo anterior se advierte, que la autoridad deman</w:t>
      </w:r>
      <w:r>
        <w:rPr>
          <w:rFonts w:ascii="Arial" w:eastAsia="Times New Roman" w:hAnsi="Arial" w:cs="Arial"/>
          <w:sz w:val="24"/>
          <w:szCs w:val="24"/>
          <w:lang w:val="es-ES" w:eastAsia="en-US"/>
        </w:rPr>
        <w:t xml:space="preserve">dada, fundó su competencia en lo dispuesto por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Pr>
          <w:rFonts w:ascii="Arial" w:eastAsiaTheme="minorHAnsi" w:hAnsi="Arial" w:cs="Arial"/>
          <w:sz w:val="24"/>
          <w:szCs w:val="24"/>
          <w:lang w:eastAsia="en-US"/>
        </w:rPr>
        <w:t>, los cuales establecen:</w:t>
      </w:r>
    </w:p>
    <w:p w14:paraId="7FB93666" w14:textId="596D8CB0" w:rsidR="00053D29"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w:t>
      </w:r>
      <w:r w:rsidR="00053D29" w:rsidRPr="007C16BF">
        <w:rPr>
          <w:rFonts w:ascii="Arial" w:eastAsia="Times New Roman" w:hAnsi="Arial" w:cs="Arial"/>
          <w:b/>
          <w:i/>
          <w:szCs w:val="24"/>
          <w:lang w:val="es-ES" w:eastAsia="en-US"/>
        </w:rPr>
        <w:t>Artículo 1o.-</w:t>
      </w:r>
      <w:r w:rsidR="00053D29" w:rsidRPr="007C16BF">
        <w:rPr>
          <w:rFonts w:ascii="Arial" w:eastAsia="Times New Roman" w:hAnsi="Arial" w:cs="Arial"/>
          <w:i/>
          <w:szCs w:val="24"/>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738E628D" w14:textId="7843228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Por tal motivo, cuando por cualquier causa se suspenda la prestación de tales servicios, el Ejecutivo del Estado podrá intervenir las empresas para la reanudación de los propios servicios.</w:t>
      </w:r>
    </w:p>
    <w:p w14:paraId="7ABCB781" w14:textId="6AA9AD2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2o.-</w:t>
      </w:r>
      <w:r w:rsidRPr="007C16BF">
        <w:rPr>
          <w:rFonts w:ascii="Arial" w:eastAsia="Times New Roman" w:hAnsi="Arial" w:cs="Arial"/>
          <w:i/>
          <w:szCs w:val="24"/>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34D8C281"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3o.-</w:t>
      </w:r>
      <w:r w:rsidRPr="007C16BF">
        <w:rPr>
          <w:rFonts w:ascii="Arial" w:eastAsia="Times New Roman" w:hAnsi="Arial" w:cs="Arial"/>
          <w:i/>
          <w:szCs w:val="24"/>
          <w:lang w:val="es-ES" w:eastAsia="en-US"/>
        </w:rPr>
        <w:t xml:space="preserve"> La Dirección de Tránsito del Estado se integra por:</w:t>
      </w:r>
    </w:p>
    <w:p w14:paraId="7AAAA567"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Un Director.</w:t>
      </w:r>
    </w:p>
    <w:p w14:paraId="7F9858C0"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lastRenderedPageBreak/>
        <w:t>II.- Un Sub-Director.</w:t>
      </w:r>
    </w:p>
    <w:p w14:paraId="1291B32A"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Delegados Foráneos de Tránsito.</w:t>
      </w:r>
    </w:p>
    <w:p w14:paraId="7A931E02"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IV.- Agentes de Policía de Tránsito, y</w:t>
      </w:r>
    </w:p>
    <w:p w14:paraId="7B29D555" w14:textId="2EC6A582"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Auxiliares de la Dirección de Tránsito.</w:t>
      </w:r>
    </w:p>
    <w:p w14:paraId="7B42335E"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9°.-</w:t>
      </w:r>
      <w:r w:rsidRPr="007C16BF">
        <w:rPr>
          <w:rFonts w:ascii="Arial" w:eastAsia="Times New Roman" w:hAnsi="Arial" w:cs="Arial"/>
          <w:i/>
          <w:szCs w:val="24"/>
          <w:lang w:val="es-ES" w:eastAsia="en-US"/>
        </w:rPr>
        <w:t xml:space="preserve"> Son atribuciones y obligaciones del Subdirector de Tránsito:</w:t>
      </w:r>
    </w:p>
    <w:p w14:paraId="43B35DBA" w14:textId="32ADB428"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Suplir al Director de Tránsito en todas sus atribuciones y obligaciones, en las faltas temporales de éste;</w:t>
      </w:r>
    </w:p>
    <w:p w14:paraId="136A15D0"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10.-</w:t>
      </w:r>
      <w:r w:rsidRPr="007C16BF">
        <w:rPr>
          <w:rFonts w:ascii="Arial" w:eastAsia="Times New Roman" w:hAnsi="Arial" w:cs="Arial"/>
          <w:i/>
          <w:szCs w:val="24"/>
          <w:lang w:val="es-ES" w:eastAsia="en-US"/>
        </w:rPr>
        <w:t xml:space="preserve"> Son atribuciones y obligaciones de los Delegados Foráneos de Tránsito:</w:t>
      </w:r>
    </w:p>
    <w:p w14:paraId="4CE53135" w14:textId="1372DB94"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Cumplir y hacer cumplir las disposiciones de esta Ley y sus reglamentos, así como las que dicten en materia de tránsito el Gobernador del Estado y el Director General de Tránsito.</w:t>
      </w:r>
    </w:p>
    <w:p w14:paraId="089E3381" w14:textId="5AE28355"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3CCD6FA8" w14:textId="1428F00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Levantar infracciones e imponer las sanciones a que se refieren las fracciones I y II del artículo 30 de esta Ley.</w:t>
      </w:r>
    </w:p>
    <w:p w14:paraId="385E7EB4" w14:textId="0F8BB5E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VI.- Dar cuenta al Director de Tránsito, proporcionándole los elementos de prueba que hubiere obtenido, de todos aquellos casos que ameriten las sanciones a que se refieren las Fracciones III y IV del artículo 30 de esta Ley; y</w:t>
      </w:r>
    </w:p>
    <w:p w14:paraId="7DCE5347" w14:textId="53C61FD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12.-</w:t>
      </w:r>
      <w:r w:rsidRPr="007C16BF">
        <w:rPr>
          <w:rFonts w:ascii="Arial" w:eastAsia="Times New Roman" w:hAnsi="Arial" w:cs="Arial"/>
          <w:i/>
          <w:szCs w:val="24"/>
          <w:lang w:val="es-ES" w:eastAsia="en-US"/>
        </w:rPr>
        <w:t xml:space="preserve"> Corresponde a los peritos en manejo y tránsito de vehículos:</w:t>
      </w:r>
    </w:p>
    <w:p w14:paraId="72BFC754" w14:textId="034E5BE0"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173EBDF2" w14:textId="15B01DF6"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Dictaminar sobre las causas probables de los accidentes de tránsito y sobre la presunta responsabilidad de las personas.</w:t>
      </w:r>
    </w:p>
    <w:p w14:paraId="78FA3555" w14:textId="110CF59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IV.- Levantar infracciones. </w:t>
      </w:r>
    </w:p>
    <w:p w14:paraId="4F46F7B1" w14:textId="5EB58F3A"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30.-</w:t>
      </w:r>
      <w:r w:rsidRPr="007C16BF">
        <w:rPr>
          <w:rFonts w:ascii="Arial" w:eastAsia="Times New Roman" w:hAnsi="Arial" w:cs="Arial"/>
          <w:i/>
          <w:szCs w:val="24"/>
          <w:lang w:val="es-ES" w:eastAsia="en-US"/>
        </w:rPr>
        <w:t xml:space="preserve"> Las violaciones a las disposiciones de esta Ley y sus reglamentos, se sancionarán con:</w:t>
      </w:r>
    </w:p>
    <w:p w14:paraId="3F8A4508" w14:textId="4F7F714B"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Multa de 1 a 100 veces el monto del salario mínimo diario vigente en la zona correspondiente en el Estado.</w:t>
      </w:r>
    </w:p>
    <w:p w14:paraId="3687168E" w14:textId="58973C1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Suspensión de licencias para el manejo y tránsito de vehículos.</w:t>
      </w:r>
    </w:p>
    <w:p w14:paraId="0950FEDF" w14:textId="7779067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Cancelación de licencias para el manejo y tránsito de vehículos.</w:t>
      </w:r>
    </w:p>
    <w:p w14:paraId="3CE833E3" w14:textId="59C1BB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0E39C831" w14:textId="156FC1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Arresto.”</w:t>
      </w:r>
    </w:p>
    <w:p w14:paraId="04A7B7AC" w14:textId="14281C5D" w:rsidR="00053D29" w:rsidRPr="00053D29" w:rsidRDefault="007C16BF" w:rsidP="00157BA7">
      <w:pPr>
        <w:spacing w:line="360" w:lineRule="auto"/>
        <w:ind w:firstLine="567"/>
        <w:jc w:val="both"/>
        <w:rPr>
          <w:rFonts w:ascii="Arial" w:eastAsia="Times New Roman" w:hAnsi="Arial" w:cs="Arial"/>
          <w:bCs/>
          <w:sz w:val="24"/>
          <w:szCs w:val="24"/>
          <w:lang w:val="es-ES" w:eastAsia="en-US"/>
        </w:rPr>
      </w:pPr>
      <w:r>
        <w:rPr>
          <w:rFonts w:ascii="Arial" w:eastAsia="Times New Roman" w:hAnsi="Arial" w:cs="Arial"/>
          <w:sz w:val="24"/>
          <w:szCs w:val="24"/>
          <w:lang w:val="es-ES" w:eastAsia="en-US"/>
        </w:rPr>
        <w:t xml:space="preserve">Ahora bien, </w:t>
      </w:r>
      <w:r w:rsidR="00053D29" w:rsidRPr="00053D29">
        <w:rPr>
          <w:rFonts w:ascii="Arial" w:eastAsia="Times New Roman" w:hAnsi="Arial" w:cs="Arial"/>
          <w:bCs/>
          <w:sz w:val="24"/>
          <w:szCs w:val="24"/>
          <w:lang w:val="es-ES" w:eastAsia="en-US"/>
        </w:rPr>
        <w:t>los artículos primero y segundo transitorios de la Ley de Tránsito y Vialidad del Estado de Oaxaca, publicada en el Periódico Oficial del Estado, el once de abril de dos mil dieciséis, establecen:</w:t>
      </w:r>
    </w:p>
    <w:p w14:paraId="313E05BF"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“…PRIMERO.</w:t>
      </w:r>
      <w:r w:rsidRPr="00053D29">
        <w:rPr>
          <w:rFonts w:ascii="Arial" w:eastAsia="Times New Roman" w:hAnsi="Arial" w:cs="Arial"/>
          <w:i/>
          <w:color w:val="000000"/>
          <w:lang w:eastAsia="en-US"/>
        </w:rPr>
        <w:t xml:space="preserve"> La presente Ley entrará en vigor al día siguiente de su publicación en el Periódico Oficial del Gobierno del Estado.</w:t>
      </w:r>
    </w:p>
    <w:p w14:paraId="336F3612"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SEGUNDO.</w:t>
      </w:r>
      <w:r w:rsidRPr="00053D29">
        <w:rPr>
          <w:rFonts w:ascii="Arial" w:eastAsia="Times New Roman" w:hAnsi="Arial" w:cs="Arial"/>
          <w:i/>
          <w:color w:val="000000"/>
          <w:lang w:eastAsia="en-US"/>
        </w:rPr>
        <w:t xml:space="preserve"> </w:t>
      </w:r>
      <w:r w:rsidRPr="00053D29">
        <w:rPr>
          <w:rFonts w:ascii="Arial" w:eastAsia="Times New Roman" w:hAnsi="Arial" w:cs="Arial"/>
          <w:b/>
          <w:i/>
          <w:color w:val="000000"/>
          <w:lang w:eastAsia="en-US"/>
        </w:rPr>
        <w:t>Se abroga la Ley de Tránsito Reformada</w:t>
      </w:r>
      <w:r w:rsidRPr="00053D29">
        <w:rPr>
          <w:rFonts w:ascii="Arial" w:eastAsia="Times New Roman" w:hAnsi="Arial" w:cs="Arial"/>
          <w:i/>
          <w:color w:val="000000"/>
          <w:lang w:eastAsia="en-US"/>
        </w:rPr>
        <w:t>, publicada en el Periódico Oficial Órgano del Gobierno Constitucional del Estado Libre y Soberano de Oaxaca, con fecha 5 de julio de 1969…”</w:t>
      </w:r>
    </w:p>
    <w:p w14:paraId="4C7A2788"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r w:rsidRPr="00053D29">
        <w:rPr>
          <w:rFonts w:ascii="Arial" w:eastAsia="Times New Roman" w:hAnsi="Arial" w:cs="Arial"/>
          <w:b/>
          <w:i/>
          <w:color w:val="000000"/>
          <w:sz w:val="21"/>
          <w:szCs w:val="21"/>
          <w:lang w:eastAsia="en-US"/>
        </w:rPr>
        <w:t>(Énfasis añadido)</w:t>
      </w:r>
    </w:p>
    <w:p w14:paraId="054B61D4"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p>
    <w:p w14:paraId="37F4B831" w14:textId="64BB4495"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lastRenderedPageBreak/>
        <w:t>De los artículos transcritos, se advierte que la Ley de Tr</w:t>
      </w:r>
      <w:r w:rsidR="005F1CBA">
        <w:rPr>
          <w:rFonts w:ascii="Arial" w:eastAsia="Times New Roman" w:hAnsi="Arial" w:cs="Arial"/>
          <w:sz w:val="24"/>
          <w:szCs w:val="24"/>
          <w:lang w:val="es-ES" w:eastAsia="en-US"/>
        </w:rPr>
        <w:t xml:space="preserve">ánsito </w:t>
      </w:r>
      <w:r w:rsidRPr="00053D29">
        <w:rPr>
          <w:rFonts w:ascii="Arial" w:eastAsia="Times New Roman" w:hAnsi="Arial" w:cs="Arial"/>
          <w:sz w:val="24"/>
          <w:szCs w:val="24"/>
          <w:lang w:val="es-ES" w:eastAsia="en-US"/>
        </w:rPr>
        <w:t>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Pr="00053D29" w:rsidRDefault="00E55107" w:rsidP="00E55107">
      <w:pPr>
        <w:spacing w:line="360" w:lineRule="auto"/>
        <w:ind w:left="567" w:right="283" w:firstLine="567"/>
        <w:jc w:val="both"/>
        <w:rPr>
          <w:rFonts w:ascii="Arial" w:eastAsia="Times New Roman" w:hAnsi="Arial" w:cs="Arial"/>
          <w:bCs/>
          <w:i/>
          <w:color w:val="000000"/>
          <w:sz w:val="24"/>
          <w:szCs w:val="24"/>
          <w:lang w:val="es-ES" w:eastAsia="en-US"/>
        </w:rPr>
      </w:pPr>
      <w:r w:rsidRPr="00E55107">
        <w:rPr>
          <w:rFonts w:ascii="Arial" w:eastAsia="Times New Roman" w:hAnsi="Arial" w:cs="Arial"/>
          <w:bCs/>
          <w:i/>
          <w:color w:val="000000"/>
          <w:sz w:val="24"/>
          <w:szCs w:val="24"/>
          <w:lang w:val="es-ES" w:eastAsia="en-US"/>
        </w:rPr>
        <w:t>“</w:t>
      </w:r>
      <w:r w:rsidRPr="00E55107">
        <w:rPr>
          <w:rFonts w:ascii="Arial" w:eastAsia="Times New Roman" w:hAnsi="Arial" w:cs="Arial"/>
          <w:b/>
          <w:bCs/>
          <w:i/>
          <w:color w:val="000000"/>
          <w:sz w:val="24"/>
          <w:szCs w:val="24"/>
          <w:lang w:val="es-ES" w:eastAsia="en-US"/>
        </w:rPr>
        <w:t>Artículo 8°.-</w:t>
      </w:r>
      <w:r w:rsidRPr="00E55107">
        <w:rPr>
          <w:rFonts w:ascii="Arial" w:eastAsia="Times New Roman" w:hAnsi="Arial" w:cs="Arial"/>
          <w:bCs/>
          <w:i/>
          <w:color w:val="000000"/>
          <w:sz w:val="24"/>
          <w:szCs w:val="24"/>
          <w:lang w:val="es-ES" w:eastAsia="en-US"/>
        </w:rPr>
        <w:t xml:space="preserve"> La ley sólo queda abrogada o derogada por otra posterior que así lo declare expresamente, o que contenga disposiciones total o parcialmente incompatibles con la ley anterior.”</w:t>
      </w: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7C06A696"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por la</w:t>
      </w:r>
      <w:r w:rsidR="00F20681">
        <w:rPr>
          <w:rFonts w:ascii="Arial" w:eastAsia="Times New Roman" w:hAnsi="Arial" w:cs="Arial"/>
          <w:bCs/>
          <w:color w:val="000000"/>
          <w:sz w:val="24"/>
          <w:szCs w:val="24"/>
          <w:lang w:val="es-ES" w:eastAsia="en-US"/>
        </w:rPr>
        <w:t xml:space="preserve"> Ley de Tránsito y </w:t>
      </w:r>
      <w:r w:rsidRPr="00053D29">
        <w:rPr>
          <w:rFonts w:ascii="Arial" w:eastAsia="Times New Roman" w:hAnsi="Arial" w:cs="Arial"/>
          <w:bCs/>
          <w:color w:val="000000"/>
          <w:sz w:val="24"/>
          <w:szCs w:val="24"/>
          <w:lang w:val="es-ES" w:eastAsia="en-US"/>
        </w:rPr>
        <w:t>Vialidad del Estado de Oaxaca, esto es, suprimió totalmente la vigencia de este ordenamiento legal;</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resulta inconcuso que con la entra</w:t>
      </w:r>
      <w:r w:rsidR="00F20681">
        <w:rPr>
          <w:rFonts w:ascii="Arial" w:eastAsia="Times New Roman" w:hAnsi="Arial" w:cs="Arial"/>
          <w:bCs/>
          <w:color w:val="000000"/>
          <w:sz w:val="24"/>
          <w:szCs w:val="24"/>
          <w:lang w:val="es-ES" w:eastAsia="en-US"/>
        </w:rPr>
        <w:t xml:space="preserve">da en vigor la Ley de Tránsito </w:t>
      </w:r>
      <w:r w:rsidRPr="00053D29">
        <w:rPr>
          <w:rFonts w:ascii="Arial" w:eastAsia="Times New Roman" w:hAnsi="Arial" w:cs="Arial"/>
          <w:bCs/>
          <w:color w:val="000000"/>
          <w:sz w:val="24"/>
          <w:szCs w:val="24"/>
          <w:lang w:val="es-ES" w:eastAsia="en-US"/>
        </w:rPr>
        <w:t>y Vialidad del Estado de Oaxaca, 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2EE7666F"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 xml:space="preserve">En ese orden de ideas, y de una interpretación a contrario sensu del artículo segundo transitorio </w:t>
      </w:r>
      <w:r w:rsidR="002F7ED4">
        <w:rPr>
          <w:rFonts w:ascii="Arial" w:eastAsia="Times New Roman" w:hAnsi="Arial" w:cs="Arial"/>
          <w:bCs/>
          <w:color w:val="000000"/>
          <w:sz w:val="24"/>
          <w:szCs w:val="24"/>
          <w:lang w:val="es-ES" w:eastAsia="en-US"/>
        </w:rPr>
        <w:t xml:space="preserve">de la entonces Ley de Tránsito </w:t>
      </w:r>
      <w:r w:rsidRPr="00053D29">
        <w:rPr>
          <w:rFonts w:ascii="Arial" w:eastAsia="Times New Roman" w:hAnsi="Arial" w:cs="Arial"/>
          <w:bCs/>
          <w:color w:val="000000"/>
          <w:sz w:val="24"/>
          <w:szCs w:val="24"/>
          <w:lang w:val="es-ES" w:eastAsia="en-US"/>
        </w:rPr>
        <w:t xml:space="preserve">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vinculante al haber entra</w:t>
      </w:r>
      <w:r w:rsidR="00BA759B">
        <w:rPr>
          <w:rFonts w:ascii="Arial" w:eastAsia="Times New Roman" w:hAnsi="Arial" w:cs="Arial"/>
          <w:bCs/>
          <w:color w:val="000000"/>
          <w:sz w:val="24"/>
          <w:szCs w:val="24"/>
          <w:lang w:val="es-ES" w:eastAsia="en-US"/>
        </w:rPr>
        <w:t xml:space="preserve">do en vigor la Ley de Tránsito </w:t>
      </w:r>
      <w:r w:rsidRPr="00053D29">
        <w:rPr>
          <w:rFonts w:ascii="Arial" w:eastAsia="Times New Roman" w:hAnsi="Arial" w:cs="Arial"/>
          <w:bCs/>
          <w:color w:val="000000"/>
          <w:sz w:val="24"/>
          <w:szCs w:val="24"/>
          <w:lang w:val="es-ES" w:eastAsia="en-US"/>
        </w:rPr>
        <w:t>y Vialidad del Estado de Oaxaca, el doc</w:t>
      </w:r>
      <w:r w:rsidR="00EB25DD">
        <w:rPr>
          <w:rFonts w:ascii="Arial" w:eastAsia="Times New Roman" w:hAnsi="Arial" w:cs="Arial"/>
          <w:bCs/>
          <w:color w:val="000000"/>
          <w:sz w:val="24"/>
          <w:szCs w:val="24"/>
          <w:lang w:val="es-ES" w:eastAsia="en-US"/>
        </w:rPr>
        <w:t>e de abril de dos mil dieciséis</w:t>
      </w:r>
      <w:r w:rsidRPr="00053D29">
        <w:rPr>
          <w:rFonts w:ascii="Arial" w:eastAsia="Times New Roman" w:hAnsi="Arial" w:cs="Arial"/>
          <w:bCs/>
          <w:color w:val="000000"/>
          <w:sz w:val="24"/>
          <w:szCs w:val="24"/>
          <w:lang w:val="es-ES" w:eastAsia="en-US"/>
        </w:rPr>
        <w:t xml:space="preserve"> </w:t>
      </w:r>
      <w:r w:rsidRPr="00053D29">
        <w:rPr>
          <w:rFonts w:ascii="Arial" w:eastAsia="Times New Roman" w:hAnsi="Arial" w:cs="Arial"/>
          <w:b/>
          <w:color w:val="000000"/>
          <w:sz w:val="24"/>
          <w:szCs w:val="24"/>
          <w:lang w:val="es-ES" w:eastAsia="en-US"/>
        </w:rPr>
        <w:t xml:space="preserve">y el acta de infracción fue emitida </w:t>
      </w:r>
      <w:bookmarkStart w:id="2"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2"/>
      <w:r w:rsidR="00056E49">
        <w:rPr>
          <w:rFonts w:ascii="Arial" w:eastAsia="Times New Roman" w:hAnsi="Arial" w:cs="Arial"/>
          <w:b/>
          <w:bCs/>
          <w:color w:val="000000"/>
          <w:sz w:val="24"/>
          <w:szCs w:val="24"/>
          <w:lang w:val="es-ES" w:eastAsia="en-US"/>
        </w:rPr>
        <w:t>cinco de octubre de dos mil veintiuno</w:t>
      </w:r>
      <w:r w:rsidRPr="00053D29">
        <w:rPr>
          <w:rFonts w:ascii="Arial" w:eastAsia="Times New Roman" w:hAnsi="Arial" w:cs="Arial"/>
          <w:b/>
          <w:color w:val="000000"/>
          <w:sz w:val="24"/>
          <w:szCs w:val="24"/>
          <w:lang w:val="es-ES" w:eastAsia="en-US"/>
        </w:rPr>
        <w:t>.</w:t>
      </w:r>
    </w:p>
    <w:p w14:paraId="718075D9" w14:textId="179AFEEA"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1F0D08">
        <w:rPr>
          <w:rFonts w:ascii="Arial" w:eastAsia="Times New Roman" w:hAnsi="Arial" w:cs="Arial"/>
          <w:b/>
          <w:color w:val="FF0000"/>
          <w:sz w:val="24"/>
          <w:szCs w:val="24"/>
          <w:lang w:eastAsia="en-US"/>
        </w:rPr>
        <w:t>**********</w:t>
      </w:r>
      <w:r w:rsidRPr="00053D29">
        <w:rPr>
          <w:rFonts w:ascii="Arial" w:eastAsia="Times New Roman" w:hAnsi="Arial" w:cs="Arial"/>
          <w:color w:val="000000"/>
          <w:sz w:val="24"/>
          <w:szCs w:val="24"/>
          <w:lang w:eastAsia="en-US"/>
        </w:rPr>
        <w:t xml:space="preserve">, de </w:t>
      </w:r>
      <w:r w:rsidR="00056E49">
        <w:rPr>
          <w:rFonts w:ascii="Arial" w:eastAsia="Times New Roman" w:hAnsi="Arial" w:cs="Arial"/>
          <w:color w:val="000000"/>
          <w:sz w:val="24"/>
          <w:szCs w:val="24"/>
          <w:lang w:eastAsia="en-US"/>
        </w:rPr>
        <w:t>cinco de octubre de dos mil veintiuno</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 xml:space="preserve">1, 2, 3, 8 fracciones I y VIII; 9 fracción I; 10, fracciones I, V y VI; 11 fracciones II, III y IV; 12 </w:t>
      </w:r>
      <w:r w:rsidRPr="00053D29">
        <w:rPr>
          <w:rFonts w:ascii="Arial" w:eastAsiaTheme="minorHAnsi" w:hAnsi="Arial" w:cs="Arial"/>
          <w:sz w:val="24"/>
          <w:szCs w:val="24"/>
          <w:lang w:eastAsia="en-US"/>
        </w:rPr>
        <w:lastRenderedPageBreak/>
        <w:t>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1538CCB" w14:textId="331BD0E2" w:rsidR="0075483C" w:rsidRPr="00150D8D" w:rsidRDefault="00053D29" w:rsidP="00150D8D">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t>Esto es así, porque como ya se dijo, el ac</w:t>
      </w:r>
      <w:r w:rsidR="00C41F8C">
        <w:rPr>
          <w:rFonts w:ascii="Arial" w:eastAsiaTheme="minorHAnsi" w:hAnsi="Arial" w:cs="Arial"/>
          <w:bCs/>
          <w:sz w:val="24"/>
          <w:szCs w:val="24"/>
          <w:lang w:eastAsia="en-US"/>
        </w:rPr>
        <w:t xml:space="preserve">ta de infracción fue emitida el </w:t>
      </w:r>
      <w:r w:rsidR="00056E49">
        <w:rPr>
          <w:rFonts w:ascii="Arial" w:eastAsiaTheme="minorHAnsi" w:hAnsi="Arial" w:cs="Arial"/>
          <w:bCs/>
          <w:sz w:val="24"/>
          <w:szCs w:val="24"/>
          <w:lang w:eastAsia="en-US"/>
        </w:rPr>
        <w:t>cinco de octubre de dos mil veintiuno</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1CD1DC94" w14:textId="09B51523"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Pr="00053D29">
        <w:rPr>
          <w:rFonts w:ascii="Arial" w:eastAsiaTheme="minorHAnsi" w:hAnsi="Arial" w:cs="Arial"/>
          <w:sz w:val="24"/>
          <w:szCs w:val="24"/>
          <w:lang w:eastAsia="en-US"/>
        </w:rPr>
        <w:t xml:space="preserve">, </w:t>
      </w:r>
      <w:r w:rsidR="00C35B03">
        <w:rPr>
          <w:rFonts w:ascii="Arial" w:eastAsiaTheme="minorHAnsi" w:hAnsi="Arial" w:cs="Arial"/>
          <w:sz w:val="24"/>
          <w:szCs w:val="24"/>
          <w:lang w:eastAsia="en-US"/>
        </w:rPr>
        <w:t xml:space="preserve">por lo que, </w:t>
      </w:r>
      <w:r w:rsidRPr="00053D29">
        <w:rPr>
          <w:rFonts w:ascii="Arial" w:eastAsiaTheme="minorHAnsi" w:hAnsi="Arial" w:cs="Arial"/>
          <w:sz w:val="24"/>
          <w:szCs w:val="24"/>
          <w:lang w:eastAsia="en-US"/>
        </w:rPr>
        <w:t>procede con fundamento en el artículo 208 fracción I, de la Ley de 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1F0D08">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056E49">
        <w:rPr>
          <w:rFonts w:ascii="Arial" w:eastAsia="Times New Roman" w:hAnsi="Arial" w:cs="Arial"/>
          <w:bCs/>
          <w:color w:val="000000"/>
          <w:sz w:val="24"/>
          <w:szCs w:val="24"/>
          <w:lang w:eastAsia="en-US"/>
        </w:rPr>
        <w:t>cinco de octubre de dos mil veintiuno</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 xml:space="preserve">Policía Vial Estatal </w:t>
      </w:r>
      <w:r w:rsidR="001C5B9C">
        <w:rPr>
          <w:rFonts w:ascii="Arial" w:eastAsia="Times New Roman" w:hAnsi="Arial" w:cs="Arial"/>
          <w:bCs/>
          <w:sz w:val="24"/>
          <w:szCs w:val="24"/>
          <w:lang w:val="es-ES" w:eastAsia="es-ES"/>
        </w:rPr>
        <w:t>PV-375</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adscrito a la Dirección Gen</w:t>
      </w:r>
      <w:r w:rsidR="00C41F8C">
        <w:rPr>
          <w:rFonts w:ascii="Arial" w:eastAsia="Times New Roman" w:hAnsi="Arial" w:cs="Arial"/>
          <w:sz w:val="24"/>
          <w:szCs w:val="24"/>
          <w:lang w:val="es-ES_tradnl" w:eastAsia="es-ES"/>
        </w:rPr>
        <w:t>eral de la Policía Vial Estatal, de la Secretaría de Seguridad Pública del Estado de Oaxaca.</w:t>
      </w:r>
    </w:p>
    <w:p w14:paraId="55A76E8F" w14:textId="772D2612" w:rsidR="009F4F70" w:rsidRPr="00C41F8C" w:rsidRDefault="009F4F70" w:rsidP="00C41F8C">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1349473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177347</w:t>
      </w:r>
    </w:p>
    <w:p w14:paraId="7D3E6FC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Segunda Sala</w:t>
      </w:r>
    </w:p>
    <w:p w14:paraId="5F5250B3"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Novena Época</w:t>
      </w:r>
    </w:p>
    <w:p w14:paraId="73EEBA2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Administrativa</w:t>
      </w:r>
    </w:p>
    <w:p w14:paraId="2868E6FA"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2a./J. 115/2005</w:t>
      </w:r>
    </w:p>
    <w:p w14:paraId="5B71D943"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Semanario Judicial de la Federación y su Gaceta. Tomo XXII, Septiembre de 2005, página 310</w:t>
      </w:r>
    </w:p>
    <w:p w14:paraId="1CE85C71" w14:textId="1BFCD5A8"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0478CE07"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5AD20BA1" w14:textId="505AF300"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9F4F70">
        <w:rPr>
          <w:rFonts w:ascii="Arial" w:eastAsia="Times New Roman" w:hAnsi="Arial" w:cs="Arial"/>
          <w:i/>
          <w:color w:val="000000"/>
          <w:szCs w:val="24"/>
          <w:lang w:val="es-ES_tradnl" w:eastAsia="en-US"/>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w:t>
      </w:r>
      <w:r w:rsidRPr="009F4F70">
        <w:rPr>
          <w:rFonts w:ascii="Arial" w:eastAsia="Times New Roman" w:hAnsi="Arial" w:cs="Arial"/>
          <w:i/>
          <w:color w:val="000000"/>
          <w:szCs w:val="24"/>
          <w:lang w:val="es-ES_tradnl" w:eastAsia="en-US"/>
        </w:rPr>
        <w:lastRenderedPageBreak/>
        <w:t>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9F4F70" w:rsidRDefault="009F4F70" w:rsidP="009F4F70">
      <w:pPr>
        <w:spacing w:after="0" w:line="360" w:lineRule="auto"/>
        <w:ind w:firstLine="567"/>
        <w:jc w:val="both"/>
        <w:rPr>
          <w:rFonts w:ascii="Arial" w:eastAsia="Times New Roman" w:hAnsi="Arial" w:cs="Arial"/>
          <w:b/>
          <w:i/>
          <w:color w:val="000000"/>
          <w:szCs w:val="24"/>
          <w:lang w:val="es-ES_tradnl" w:eastAsia="en-US"/>
        </w:rPr>
      </w:pPr>
    </w:p>
    <w:p w14:paraId="0A26C345" w14:textId="07485A31"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2005. Cinco votos. Ponente: Genaro David Góngora Pimentel. Secretario: Alfredo Aragón Jiménez Castro.</w:t>
      </w:r>
    </w:p>
    <w:p w14:paraId="0C1DE2F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Default="009F4F70" w:rsidP="009F4F70">
      <w:pPr>
        <w:spacing w:line="360" w:lineRule="auto"/>
        <w:ind w:firstLine="567"/>
        <w:jc w:val="both"/>
        <w:rPr>
          <w:rFonts w:ascii="Arial" w:eastAsia="Times New Roman" w:hAnsi="Arial" w:cs="Arial"/>
          <w:color w:val="000000"/>
          <w:sz w:val="24"/>
          <w:szCs w:val="24"/>
          <w:lang w:val="es-ES_tradnl" w:eastAsia="en-US"/>
        </w:rPr>
      </w:pPr>
    </w:p>
    <w:p w14:paraId="57545A57" w14:textId="1A558B82"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Suprema Corte de Justicia de la Nación</w:t>
      </w:r>
    </w:p>
    <w:p w14:paraId="5A1AA3C1"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205463</w:t>
      </w:r>
    </w:p>
    <w:p w14:paraId="4B090F6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Pleno</w:t>
      </w:r>
    </w:p>
    <w:p w14:paraId="35A00E80"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Octava Época</w:t>
      </w:r>
    </w:p>
    <w:p w14:paraId="58590D8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Común</w:t>
      </w:r>
    </w:p>
    <w:p w14:paraId="6B69DE3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Tesis: P./J. 10/94         </w:t>
      </w:r>
    </w:p>
    <w:p w14:paraId="577FF2AC"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Gaceta del Semanario Judicial de la Federación. Núm. 77, Mayo de 1994, página 12</w:t>
      </w:r>
    </w:p>
    <w:p w14:paraId="6DF181F0" w14:textId="4CA4B256"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5F6C71FC"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2A52DB39" w14:textId="4F92C537"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COMPETENCIA. SU FUNDAMENTACION ES REQUISITO ESENCIAL DEL ACTO DE AUTORIDAD</w:t>
      </w:r>
      <w:r w:rsidRPr="009F4F70">
        <w:rPr>
          <w:rFonts w:ascii="Arial" w:eastAsia="Times New Roman" w:hAnsi="Arial" w:cs="Arial"/>
          <w:i/>
          <w:color w:val="000000"/>
          <w:szCs w:val="24"/>
          <w:lang w:val="es-ES_tradnl" w:eastAsia="en-US"/>
        </w:rPr>
        <w:t xml:space="preserve">. Haciendo una interpretación armónica de las garantías individuales de legalidad y seguridad jurídica que consagran los artículos 14 y 16 </w:t>
      </w:r>
      <w:r w:rsidRPr="009F4F70">
        <w:rPr>
          <w:rFonts w:ascii="Arial" w:eastAsia="Times New Roman" w:hAnsi="Arial" w:cs="Arial"/>
          <w:i/>
          <w:color w:val="000000"/>
          <w:szCs w:val="24"/>
          <w:lang w:val="es-ES_tradnl" w:eastAsia="en-US"/>
        </w:rPr>
        <w:lastRenderedPageBreak/>
        <w:t>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6A67F46F" w14:textId="02E2946A"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11ED3A42" w14:textId="3CD3842F" w:rsidR="006032E1" w:rsidRPr="00F40377" w:rsidRDefault="00A93088" w:rsidP="00F40377">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1D3AE227" w14:textId="408F1EB1" w:rsidR="00056E49" w:rsidRPr="00056E49" w:rsidRDefault="00A93088" w:rsidP="00150D8D">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00000045" w14:textId="7C647200" w:rsidR="002354BD" w:rsidRDefault="00A93088" w:rsidP="000E3D53">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16EE3C8F"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w:t>
      </w:r>
      <w:r w:rsidR="001F0D08">
        <w:rPr>
          <w:rFonts w:ascii="Arial" w:eastAsia="Times New Roman" w:hAnsi="Arial" w:cs="Arial"/>
          <w:b/>
          <w:bCs/>
          <w:color w:val="FF0000"/>
          <w:sz w:val="24"/>
          <w:szCs w:val="24"/>
          <w:lang w:eastAsia="en-US"/>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056E49">
        <w:rPr>
          <w:rFonts w:ascii="Arial" w:eastAsia="Times New Roman" w:hAnsi="Arial" w:cs="Arial"/>
          <w:bCs/>
          <w:color w:val="000000"/>
          <w:sz w:val="24"/>
          <w:szCs w:val="24"/>
          <w:lang w:eastAsia="en-US"/>
        </w:rPr>
        <w:t>cinco de octubre de dos mil veintiuno</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 xml:space="preserve">Policía Vial Estatal </w:t>
      </w:r>
      <w:r w:rsidR="001C5B9C">
        <w:rPr>
          <w:rFonts w:ascii="Arial" w:eastAsia="Times New Roman" w:hAnsi="Arial" w:cs="Arial"/>
          <w:bCs/>
          <w:sz w:val="24"/>
          <w:szCs w:val="24"/>
          <w:lang w:val="es-ES" w:eastAsia="es-ES"/>
        </w:rPr>
        <w:t>PV-375</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w:t>
      </w:r>
      <w:r w:rsidR="00B9537E">
        <w:rPr>
          <w:rFonts w:ascii="Arial" w:eastAsia="Times New Roman" w:hAnsi="Arial" w:cs="Arial"/>
          <w:sz w:val="24"/>
          <w:szCs w:val="24"/>
          <w:lang w:val="es-ES_tradnl" w:eastAsia="es-ES"/>
        </w:rPr>
        <w:t xml:space="preserve"> </w:t>
      </w:r>
      <w:r w:rsidR="006032E1" w:rsidRPr="00053D29">
        <w:rPr>
          <w:rFonts w:ascii="Arial" w:eastAsia="Times New Roman" w:hAnsi="Arial" w:cs="Arial"/>
          <w:sz w:val="24"/>
          <w:szCs w:val="24"/>
          <w:lang w:val="es-ES_tradnl" w:eastAsia="es-ES"/>
        </w:rPr>
        <w:t xml:space="preserve">Dirección </w:t>
      </w:r>
      <w:r w:rsidR="006032E1" w:rsidRPr="00053D29">
        <w:rPr>
          <w:rFonts w:ascii="Arial" w:eastAsia="Times New Roman" w:hAnsi="Arial" w:cs="Arial"/>
          <w:sz w:val="24"/>
          <w:szCs w:val="24"/>
          <w:lang w:val="es-ES_tradnl" w:eastAsia="es-ES"/>
        </w:rPr>
        <w:lastRenderedPageBreak/>
        <w:t>General de la Policía Vial Estatal</w:t>
      </w:r>
      <w:r w:rsidR="00B9537E">
        <w:rPr>
          <w:rFonts w:ascii="Arial" w:eastAsia="Times New Roman" w:hAnsi="Arial" w:cs="Arial"/>
          <w:sz w:val="24"/>
          <w:szCs w:val="24"/>
          <w:lang w:val="es-ES_tradnl" w:eastAsia="es-ES"/>
        </w:rPr>
        <w:t>, de</w:t>
      </w:r>
      <w:r w:rsidR="00876E0C">
        <w:rPr>
          <w:rFonts w:ascii="Arial" w:eastAsia="Times New Roman" w:hAnsi="Arial" w:cs="Arial"/>
          <w:sz w:val="24"/>
          <w:szCs w:val="24"/>
          <w:lang w:val="es-ES_tradnl" w:eastAsia="es-ES"/>
        </w:rPr>
        <w:t xml:space="preserve"> </w:t>
      </w:r>
      <w:r w:rsidR="00B9537E">
        <w:rPr>
          <w:rFonts w:ascii="Arial" w:eastAsia="Times New Roman" w:hAnsi="Arial" w:cs="Arial"/>
          <w:sz w:val="24"/>
          <w:szCs w:val="24"/>
          <w:lang w:val="es-ES_tradnl" w:eastAsia="es-ES"/>
        </w:rPr>
        <w:t>la Secretaría de S</w:t>
      </w:r>
      <w:r w:rsidR="00876E0C">
        <w:rPr>
          <w:rFonts w:ascii="Arial" w:eastAsia="Times New Roman" w:hAnsi="Arial" w:cs="Arial"/>
          <w:sz w:val="24"/>
          <w:szCs w:val="24"/>
          <w:lang w:val="es-ES_tradnl" w:eastAsia="es-ES"/>
        </w:rPr>
        <w:t>eguridad Pública del Estado de Oaxaca</w:t>
      </w:r>
      <w:r>
        <w:rPr>
          <w:rFonts w:ascii="Arial" w:eastAsia="Arial" w:hAnsi="Arial" w:cs="Arial"/>
          <w:sz w:val="24"/>
          <w:szCs w:val="24"/>
        </w:rPr>
        <w:t xml:space="preserve">; y en consecuencia, se le restituye en el pleno goce de sus derechos afectados, como quedó precisado en el considerando que antecede. - - - - - - - - - - - - - - - </w:t>
      </w:r>
      <w:r w:rsidR="00150D8D">
        <w:rPr>
          <w:rFonts w:ascii="Arial" w:eastAsia="Arial" w:hAnsi="Arial" w:cs="Arial"/>
          <w:sz w:val="24"/>
          <w:szCs w:val="24"/>
        </w:rPr>
        <w:t xml:space="preserve">- - - - - - - - - - - - - - - - - - - - - - - - - - - - - - - - - - </w:t>
      </w:r>
    </w:p>
    <w:p w14:paraId="0000004A" w14:textId="11F7C506"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sidR="004D2556">
        <w:rPr>
          <w:rFonts w:ascii="Arial" w:eastAsia="Arial" w:hAnsi="Arial" w:cs="Arial"/>
          <w:b/>
          <w:sz w:val="24"/>
          <w:szCs w:val="24"/>
        </w:rPr>
        <w:t>notifíquese personalmente a la actora</w:t>
      </w:r>
      <w:r>
        <w:rPr>
          <w:rFonts w:ascii="Arial" w:eastAsia="Arial" w:hAnsi="Arial" w:cs="Arial"/>
          <w:b/>
          <w:sz w:val="24"/>
          <w:szCs w:val="24"/>
        </w:rPr>
        <w:t xml:space="preserve">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r w:rsidR="007462C8">
        <w:rPr>
          <w:rFonts w:ascii="Arial" w:eastAsia="Arial" w:hAnsi="Arial" w:cs="Arial"/>
          <w:sz w:val="24"/>
          <w:szCs w:val="24"/>
        </w:rPr>
        <w:t xml:space="preserve">- - </w:t>
      </w:r>
    </w:p>
    <w:p w14:paraId="0000004B" w14:textId="2EBBD152"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fe.- - - - - - - - - - - - - - - - - - - - - - - - - - - - - -</w:t>
      </w:r>
      <w:r w:rsidR="004D2556">
        <w:rPr>
          <w:rFonts w:ascii="Arial" w:eastAsia="Arial" w:hAnsi="Arial" w:cs="Arial"/>
          <w:sz w:val="24"/>
          <w:szCs w:val="24"/>
        </w:rPr>
        <w:t xml:space="preserve"> - - - - - - </w:t>
      </w:r>
    </w:p>
    <w:p w14:paraId="0D86B1C4" w14:textId="77777777" w:rsidR="00053D29" w:rsidRDefault="00053D29">
      <w:pPr>
        <w:spacing w:line="360" w:lineRule="auto"/>
        <w:ind w:right="-93" w:firstLine="709"/>
        <w:jc w:val="both"/>
        <w:rPr>
          <w:rFonts w:ascii="Arial" w:eastAsia="Arial" w:hAnsi="Arial" w:cs="Arial"/>
          <w:sz w:val="24"/>
          <w:szCs w:val="24"/>
        </w:rPr>
      </w:pPr>
    </w:p>
    <w:p w14:paraId="035E71AA"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83F0B" w14:textId="77777777" w:rsidR="000375CD" w:rsidRDefault="000375CD">
      <w:pPr>
        <w:spacing w:after="0" w:line="240" w:lineRule="auto"/>
      </w:pPr>
      <w:r>
        <w:separator/>
      </w:r>
    </w:p>
  </w:endnote>
  <w:endnote w:type="continuationSeparator" w:id="0">
    <w:p w14:paraId="2B54F2BD" w14:textId="77777777" w:rsidR="000375CD" w:rsidRDefault="00037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74A57" w14:textId="77777777" w:rsidR="000375CD" w:rsidRDefault="000375CD">
      <w:pPr>
        <w:spacing w:after="0" w:line="240" w:lineRule="auto"/>
      </w:pPr>
      <w:r>
        <w:separator/>
      </w:r>
    </w:p>
  </w:footnote>
  <w:footnote w:type="continuationSeparator" w:id="0">
    <w:p w14:paraId="10A8E5DF" w14:textId="77777777" w:rsidR="000375CD" w:rsidRDefault="000375CD">
      <w:pPr>
        <w:spacing w:after="0" w:line="240" w:lineRule="auto"/>
      </w:pPr>
      <w:r>
        <w:continuationSeparator/>
      </w:r>
    </w:p>
  </w:footnote>
  <w:footnote w:id="1">
    <w:p w14:paraId="0000004C"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2354BD" w:rsidRDefault="00A93088">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2354BD" w:rsidRDefault="00A93088">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6" w14:textId="380F8263" w:rsidR="002354BD" w:rsidRDefault="00291C13">
    <w:pPr>
      <w:pBdr>
        <w:top w:val="nil"/>
        <w:left w:val="nil"/>
        <w:bottom w:val="nil"/>
        <w:right w:val="nil"/>
        <w:between w:val="nil"/>
      </w:pBdr>
      <w:tabs>
        <w:tab w:val="center" w:pos="4419"/>
        <w:tab w:val="right" w:pos="8838"/>
      </w:tabs>
      <w:spacing w:after="0" w:line="240" w:lineRule="auto"/>
      <w:jc w:val="center"/>
      <w:rPr>
        <w:color w:val="000000"/>
      </w:rPr>
    </w:pPr>
    <w:r w:rsidRPr="00291C13">
      <w:rPr>
        <w:rFonts w:asciiTheme="minorHAnsi" w:eastAsiaTheme="minorHAnsi" w:hAnsiTheme="minorHAnsi" w:cstheme="minorBidi"/>
        <w:noProof/>
      </w:rPr>
      <mc:AlternateContent>
        <mc:Choice Requires="wps">
          <w:drawing>
            <wp:anchor distT="0" distB="0" distL="114300" distR="114300" simplePos="0" relativeHeight="251659264" behindDoc="1" locked="0" layoutInCell="1" allowOverlap="1" wp14:anchorId="021FA55E" wp14:editId="65EACA63">
              <wp:simplePos x="0" y="0"/>
              <wp:positionH relativeFrom="leftMargin">
                <wp:posOffset>81915</wp:posOffset>
              </wp:positionH>
              <wp:positionV relativeFrom="paragraph">
                <wp:posOffset>-381635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C0E7ACF" w14:textId="77777777" w:rsidR="00291C13" w:rsidRPr="00035E13" w:rsidRDefault="00291C13" w:rsidP="00291C13">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FA55E" id="_x0000_t202" coordsize="21600,21600" o:spt="202" path="m,l,21600r21600,l21600,xe">
              <v:stroke joinstyle="miter"/>
              <v:path gradientshapeok="t" o:connecttype="rect"/>
            </v:shapetype>
            <v:shape id="Cuadro de texto 1" o:spid="_x0000_s1026" type="#_x0000_t202" style="position:absolute;left:0;text-align:left;margin-left:6.45pt;margin-top:-30.05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" fillcolor="window" strokeweight=".5pt">
              <v:path arrowok="t"/>
              <v:textbox>
                <w:txbxContent>
                  <w:p w14:paraId="1C0E7ACF" w14:textId="77777777" w:rsidR="00291C13" w:rsidRPr="00035E13" w:rsidRDefault="00291C13" w:rsidP="00291C13">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A93088">
      <w:rPr>
        <w:color w:val="000000"/>
      </w:rPr>
      <w:fldChar w:fldCharType="begin"/>
    </w:r>
    <w:r w:rsidR="00A93088">
      <w:rPr>
        <w:color w:val="000000"/>
      </w:rPr>
      <w:instrText>PAGE</w:instrText>
    </w:r>
    <w:r w:rsidR="00A93088">
      <w:rPr>
        <w:color w:val="000000"/>
      </w:rPr>
      <w:fldChar w:fldCharType="separate"/>
    </w:r>
    <w:r>
      <w:rPr>
        <w:noProof/>
        <w:color w:val="000000"/>
      </w:rPr>
      <w:t>1</w:t>
    </w:r>
    <w:r w:rsidR="00A93088">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4BD"/>
    <w:rsid w:val="000375CD"/>
    <w:rsid w:val="000438A1"/>
    <w:rsid w:val="00045FEC"/>
    <w:rsid w:val="00053D29"/>
    <w:rsid w:val="00056E49"/>
    <w:rsid w:val="000B2E4A"/>
    <w:rsid w:val="000B777B"/>
    <w:rsid w:val="000E3D53"/>
    <w:rsid w:val="00111EA8"/>
    <w:rsid w:val="00150D8D"/>
    <w:rsid w:val="001527A9"/>
    <w:rsid w:val="0015307A"/>
    <w:rsid w:val="00157BA7"/>
    <w:rsid w:val="001C5B9C"/>
    <w:rsid w:val="001F0D08"/>
    <w:rsid w:val="002354BD"/>
    <w:rsid w:val="002557F3"/>
    <w:rsid w:val="00257243"/>
    <w:rsid w:val="00287D7D"/>
    <w:rsid w:val="00291C13"/>
    <w:rsid w:val="002A432C"/>
    <w:rsid w:val="002F7ED4"/>
    <w:rsid w:val="003035E9"/>
    <w:rsid w:val="00323CFE"/>
    <w:rsid w:val="00325805"/>
    <w:rsid w:val="00332345"/>
    <w:rsid w:val="00344BDC"/>
    <w:rsid w:val="00353D88"/>
    <w:rsid w:val="00355A36"/>
    <w:rsid w:val="00366DB6"/>
    <w:rsid w:val="003854DD"/>
    <w:rsid w:val="003F394E"/>
    <w:rsid w:val="00461EED"/>
    <w:rsid w:val="00464EEB"/>
    <w:rsid w:val="004B0416"/>
    <w:rsid w:val="004C0D54"/>
    <w:rsid w:val="004C6BB6"/>
    <w:rsid w:val="004D2556"/>
    <w:rsid w:val="004E4D1B"/>
    <w:rsid w:val="004F04A3"/>
    <w:rsid w:val="004F28F8"/>
    <w:rsid w:val="0052123C"/>
    <w:rsid w:val="005478D1"/>
    <w:rsid w:val="00567174"/>
    <w:rsid w:val="00570704"/>
    <w:rsid w:val="0057470D"/>
    <w:rsid w:val="005A7BF4"/>
    <w:rsid w:val="005F1CBA"/>
    <w:rsid w:val="006032E1"/>
    <w:rsid w:val="00627569"/>
    <w:rsid w:val="006279C8"/>
    <w:rsid w:val="00636BEE"/>
    <w:rsid w:val="00637882"/>
    <w:rsid w:val="00655BB4"/>
    <w:rsid w:val="00692F6E"/>
    <w:rsid w:val="006B38A5"/>
    <w:rsid w:val="00703BC3"/>
    <w:rsid w:val="00726B56"/>
    <w:rsid w:val="00730330"/>
    <w:rsid w:val="007462C8"/>
    <w:rsid w:val="0075483C"/>
    <w:rsid w:val="007711F5"/>
    <w:rsid w:val="00775DB2"/>
    <w:rsid w:val="007A5E14"/>
    <w:rsid w:val="007B0802"/>
    <w:rsid w:val="007B3B92"/>
    <w:rsid w:val="007B49A3"/>
    <w:rsid w:val="007C16BF"/>
    <w:rsid w:val="007D0ED0"/>
    <w:rsid w:val="00845124"/>
    <w:rsid w:val="00863442"/>
    <w:rsid w:val="00876E0C"/>
    <w:rsid w:val="0088172E"/>
    <w:rsid w:val="00894BF0"/>
    <w:rsid w:val="008A318F"/>
    <w:rsid w:val="008E4148"/>
    <w:rsid w:val="008E586D"/>
    <w:rsid w:val="009072CC"/>
    <w:rsid w:val="00907629"/>
    <w:rsid w:val="0092580B"/>
    <w:rsid w:val="00926386"/>
    <w:rsid w:val="0095781A"/>
    <w:rsid w:val="00991107"/>
    <w:rsid w:val="009C4C89"/>
    <w:rsid w:val="009C7735"/>
    <w:rsid w:val="009D6DF3"/>
    <w:rsid w:val="009E23A9"/>
    <w:rsid w:val="009F4F70"/>
    <w:rsid w:val="00A04EA0"/>
    <w:rsid w:val="00A10F35"/>
    <w:rsid w:val="00A20A50"/>
    <w:rsid w:val="00A43CF6"/>
    <w:rsid w:val="00A66459"/>
    <w:rsid w:val="00A93088"/>
    <w:rsid w:val="00AA16B0"/>
    <w:rsid w:val="00AE6FAC"/>
    <w:rsid w:val="00B06BCD"/>
    <w:rsid w:val="00B12DB2"/>
    <w:rsid w:val="00B231EB"/>
    <w:rsid w:val="00B46826"/>
    <w:rsid w:val="00B56826"/>
    <w:rsid w:val="00B57267"/>
    <w:rsid w:val="00B668EE"/>
    <w:rsid w:val="00B70382"/>
    <w:rsid w:val="00B9537E"/>
    <w:rsid w:val="00B962B1"/>
    <w:rsid w:val="00BA482E"/>
    <w:rsid w:val="00BA4AD2"/>
    <w:rsid w:val="00BA4E27"/>
    <w:rsid w:val="00BA759B"/>
    <w:rsid w:val="00BB06E8"/>
    <w:rsid w:val="00BF58EC"/>
    <w:rsid w:val="00C04E6E"/>
    <w:rsid w:val="00C30CC8"/>
    <w:rsid w:val="00C35B03"/>
    <w:rsid w:val="00C41F8C"/>
    <w:rsid w:val="00C7669B"/>
    <w:rsid w:val="00C86071"/>
    <w:rsid w:val="00C96414"/>
    <w:rsid w:val="00CD6FA7"/>
    <w:rsid w:val="00D21514"/>
    <w:rsid w:val="00D4148E"/>
    <w:rsid w:val="00D90E66"/>
    <w:rsid w:val="00D97677"/>
    <w:rsid w:val="00DB3B4D"/>
    <w:rsid w:val="00DC3C28"/>
    <w:rsid w:val="00DC4044"/>
    <w:rsid w:val="00DE1BDA"/>
    <w:rsid w:val="00E155A4"/>
    <w:rsid w:val="00E241D0"/>
    <w:rsid w:val="00E55107"/>
    <w:rsid w:val="00E73627"/>
    <w:rsid w:val="00EA0ED2"/>
    <w:rsid w:val="00EB25DD"/>
    <w:rsid w:val="00EC3219"/>
    <w:rsid w:val="00ED13CE"/>
    <w:rsid w:val="00F033AE"/>
    <w:rsid w:val="00F20681"/>
    <w:rsid w:val="00F34122"/>
    <w:rsid w:val="00F40377"/>
    <w:rsid w:val="00F54665"/>
    <w:rsid w:val="00F81357"/>
    <w:rsid w:val="00F868C2"/>
    <w:rsid w:val="00FC56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918BD"/>
  <w15:docId w15:val="{0FFE6BA0-C181-4F07-8382-557FAC8C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278505">
      <w:bodyDiv w:val="1"/>
      <w:marLeft w:val="0"/>
      <w:marRight w:val="0"/>
      <w:marTop w:val="0"/>
      <w:marBottom w:val="0"/>
      <w:divBdr>
        <w:top w:val="none" w:sz="0" w:space="0" w:color="auto"/>
        <w:left w:val="none" w:sz="0" w:space="0" w:color="auto"/>
        <w:bottom w:val="none" w:sz="0" w:space="0" w:color="auto"/>
        <w:right w:val="none" w:sz="0" w:space="0" w:color="auto"/>
      </w:divBdr>
    </w:div>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DFAF61-5453-4280-80F0-9AA70EECB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11</Pages>
  <Words>3986</Words>
  <Characters>21926</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92</cp:revision>
  <cp:lastPrinted>2022-06-28T17:10:00Z</cp:lastPrinted>
  <dcterms:created xsi:type="dcterms:W3CDTF">2022-01-19T18:01:00Z</dcterms:created>
  <dcterms:modified xsi:type="dcterms:W3CDTF">2023-01-11T05:34:00Z</dcterms:modified>
</cp:coreProperties>
</file>