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ED9" w:rsidRPr="00E561A8" w:rsidRDefault="00314ED9" w:rsidP="00314ED9">
      <w:pPr>
        <w:pStyle w:val="Encabezado"/>
        <w:ind w:left="3402"/>
        <w:jc w:val="both"/>
        <w:rPr>
          <w:b/>
        </w:rPr>
      </w:pPr>
      <w:r w:rsidRPr="00E561A8">
        <w:rPr>
          <w:b/>
        </w:rPr>
        <w:t>SEXTA SALA UNITARIA DE PRIMERA INSTANCIA DEL TRIBUNAL DE JUSTICIA ADMINISTRATIVA DEL ESTADO DE OAXACA.</w:t>
      </w:r>
    </w:p>
    <w:p w:rsidR="00314ED9" w:rsidRPr="00E561A8" w:rsidRDefault="00314ED9" w:rsidP="00314ED9">
      <w:pPr>
        <w:pStyle w:val="Encabezado"/>
        <w:ind w:left="4248"/>
        <w:jc w:val="both"/>
        <w:rPr>
          <w:b/>
        </w:rPr>
      </w:pPr>
    </w:p>
    <w:p w:rsidR="00314ED9" w:rsidRPr="00E561A8" w:rsidRDefault="00314ED9" w:rsidP="00314ED9">
      <w:pPr>
        <w:pStyle w:val="Encabezado"/>
        <w:ind w:left="2832" w:right="-93" w:firstLine="570"/>
        <w:jc w:val="both"/>
        <w:rPr>
          <w:b/>
        </w:rPr>
      </w:pPr>
      <w:r>
        <w:rPr>
          <w:b/>
        </w:rPr>
        <w:t>EXPEDIENTE: 96</w:t>
      </w:r>
      <w:r w:rsidRPr="00E561A8">
        <w:rPr>
          <w:b/>
        </w:rPr>
        <w:t>/20</w:t>
      </w:r>
      <w:r>
        <w:rPr>
          <w:b/>
        </w:rPr>
        <w:t>20</w:t>
      </w:r>
    </w:p>
    <w:p w:rsidR="00314ED9" w:rsidRPr="00E561A8" w:rsidRDefault="00314ED9" w:rsidP="00314ED9">
      <w:pPr>
        <w:pStyle w:val="Encabezado"/>
        <w:tabs>
          <w:tab w:val="center" w:pos="8931"/>
        </w:tabs>
        <w:jc w:val="both"/>
        <w:rPr>
          <w:b/>
        </w:rPr>
      </w:pPr>
    </w:p>
    <w:p w:rsidR="00314ED9" w:rsidRPr="00E561A8" w:rsidRDefault="00314ED9" w:rsidP="00314ED9">
      <w:pPr>
        <w:pStyle w:val="Encabezado"/>
        <w:ind w:left="3402"/>
        <w:jc w:val="both"/>
        <w:rPr>
          <w:b/>
        </w:rPr>
      </w:pPr>
      <w:r w:rsidRPr="00E561A8">
        <w:rPr>
          <w:b/>
        </w:rPr>
        <w:t xml:space="preserve">ACTOR: </w:t>
      </w:r>
      <w:bookmarkStart w:id="0" w:name="_GoBack"/>
      <w:r w:rsidR="006E6391">
        <w:rPr>
          <w:b/>
        </w:rPr>
        <w:t>**********</w:t>
      </w:r>
      <w:bookmarkEnd w:id="0"/>
      <w:r>
        <w:rPr>
          <w:b/>
        </w:rPr>
        <w:t>.</w:t>
      </w:r>
    </w:p>
    <w:p w:rsidR="00314ED9" w:rsidRPr="00E561A8" w:rsidRDefault="00314ED9" w:rsidP="00314ED9">
      <w:pPr>
        <w:pStyle w:val="Encabezado"/>
        <w:ind w:left="4248"/>
        <w:jc w:val="both"/>
        <w:rPr>
          <w:b/>
        </w:rPr>
      </w:pPr>
    </w:p>
    <w:p w:rsidR="00314ED9" w:rsidRPr="00E561A8" w:rsidRDefault="00314ED9" w:rsidP="00314ED9">
      <w:pPr>
        <w:pStyle w:val="Encabezado"/>
        <w:tabs>
          <w:tab w:val="center" w:pos="-1418"/>
        </w:tabs>
        <w:ind w:left="3402"/>
        <w:jc w:val="both"/>
        <w:rPr>
          <w:b/>
        </w:rPr>
      </w:pPr>
      <w:r w:rsidRPr="00E561A8">
        <w:rPr>
          <w:b/>
        </w:rPr>
        <w:t>DEMANDADA: DIRECTORA DE INGRESOS Y RECAUDACIÓN DE LA SUBSECRETARÍA DE INGRESOS DE LA SECRETARÍA DE FINANZAS DEL PODER EJECUTIVO DEL ESTADO DE OAXACA.</w:t>
      </w:r>
    </w:p>
    <w:p w:rsidR="00314ED9" w:rsidRPr="00E561A8" w:rsidRDefault="00314ED9" w:rsidP="00314ED9">
      <w:pPr>
        <w:pStyle w:val="Encabezado"/>
        <w:tabs>
          <w:tab w:val="center" w:pos="-1418"/>
        </w:tabs>
        <w:ind w:left="3540"/>
        <w:jc w:val="both"/>
        <w:rPr>
          <w:b/>
        </w:rPr>
      </w:pPr>
    </w:p>
    <w:p w:rsidR="00314ED9" w:rsidRPr="00E561A8" w:rsidRDefault="00314ED9" w:rsidP="00314ED9">
      <w:pPr>
        <w:spacing w:after="0" w:line="360" w:lineRule="auto"/>
        <w:jc w:val="both"/>
        <w:rPr>
          <w:rFonts w:ascii="Times New Roman" w:hAnsi="Times New Roman" w:cs="Times New Roman"/>
          <w:b/>
          <w:sz w:val="24"/>
          <w:szCs w:val="24"/>
        </w:rPr>
      </w:pPr>
    </w:p>
    <w:p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Pr>
          <w:rFonts w:ascii="Arial" w:hAnsi="Arial" w:cs="Arial"/>
          <w:b/>
          <w:sz w:val="26"/>
          <w:szCs w:val="26"/>
        </w:rPr>
        <w:t>DOS DE JUNIO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 - - - - - - - </w:t>
      </w:r>
    </w:p>
    <w:p w:rsidR="00314ED9" w:rsidRPr="009B59DB" w:rsidRDefault="00314ED9" w:rsidP="00314ED9">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Pr>
          <w:rFonts w:ascii="Arial" w:hAnsi="Arial" w:cs="Arial"/>
          <w:b/>
          <w:sz w:val="26"/>
          <w:szCs w:val="26"/>
        </w:rPr>
        <w:t>96</w:t>
      </w:r>
      <w:r w:rsidRPr="009B59DB">
        <w:rPr>
          <w:rFonts w:ascii="Arial" w:hAnsi="Arial" w:cs="Arial"/>
          <w:b/>
          <w:sz w:val="26"/>
          <w:szCs w:val="26"/>
        </w:rPr>
        <w:t>/20</w:t>
      </w:r>
      <w:r>
        <w:rPr>
          <w:rFonts w:ascii="Arial" w:hAnsi="Arial" w:cs="Arial"/>
          <w:b/>
          <w:sz w:val="26"/>
          <w:szCs w:val="26"/>
        </w:rPr>
        <w:t>20</w:t>
      </w:r>
      <w:r w:rsidRPr="009B59DB">
        <w:rPr>
          <w:rFonts w:ascii="Arial" w:hAnsi="Arial" w:cs="Arial"/>
          <w:sz w:val="26"/>
          <w:szCs w:val="26"/>
        </w:rPr>
        <w:t>, promovido por</w:t>
      </w:r>
      <w:r>
        <w:rPr>
          <w:rFonts w:ascii="Arial" w:hAnsi="Arial" w:cs="Arial"/>
          <w:sz w:val="26"/>
          <w:szCs w:val="26"/>
        </w:rPr>
        <w:t xml:space="preserve"> </w:t>
      </w:r>
      <w:r w:rsidR="006E6391">
        <w:rPr>
          <w:rFonts w:ascii="Arial" w:hAnsi="Arial" w:cs="Arial"/>
          <w:b/>
          <w:sz w:val="26"/>
          <w:szCs w:val="26"/>
        </w:rPr>
        <w:t>**********</w:t>
      </w:r>
      <w:r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p>
    <w:p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Pr>
          <w:rFonts w:ascii="Arial" w:hAnsi="Arial" w:cs="Arial"/>
          <w:sz w:val="26"/>
          <w:szCs w:val="26"/>
        </w:rPr>
        <w:t>veintiocho de mayo de dos mil diecinueve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6E6391">
        <w:rPr>
          <w:rFonts w:ascii="Arial" w:hAnsi="Arial" w:cs="Arial"/>
          <w:sz w:val="26"/>
          <w:szCs w:val="26"/>
        </w:rPr>
        <w:t>**********</w:t>
      </w:r>
      <w:r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 xml:space="preserve">a resolución contenida en el oficio con número de control 16MO15CD191391 de veinte de febrero 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p>
    <w:p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Pr>
          <w:rFonts w:ascii="Arial" w:hAnsi="Arial" w:cs="Arial"/>
          <w:sz w:val="26"/>
          <w:szCs w:val="26"/>
        </w:rPr>
        <w:t>veintinueve de mayo de dos mil diecinueve, se admitió a trámite la demanda; se tuvieron por ofrecidas y admitidas las pruebas del actor; 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n su contestación, con el apercibimiento que de no hacerlo dentro del plazo concedido, se les tendría contestando la demanda en sentido afirmativo, y de no referirse a todos los hechos, se les tendrían como ciertos; se ordenó formar por separado cuaderno de suspensión</w:t>
      </w:r>
      <w:r w:rsidRPr="009B59DB">
        <w:rPr>
          <w:rFonts w:ascii="Arial" w:hAnsi="Arial" w:cs="Arial"/>
          <w:sz w:val="26"/>
          <w:szCs w:val="26"/>
        </w:rPr>
        <w:t xml:space="preserve">.- - </w:t>
      </w:r>
      <w:r>
        <w:rPr>
          <w:rFonts w:ascii="Arial" w:hAnsi="Arial" w:cs="Arial"/>
          <w:sz w:val="26"/>
          <w:szCs w:val="26"/>
        </w:rPr>
        <w:t xml:space="preserve">- - - - - - - - - - - - - - - - - - - - - - - - - - - - - - - - - - - - - - - - - </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lastRenderedPageBreak/>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doce de septiembre de dos mil diecinueve, se tuvo a la demandada, dando contestación a la demanda entablada en su contra; se admitieron las pruebas ofrecidas; se ordenó correr traslado a la parte actora con la contestación, para que dentro del plazo de cinco días produjera la ampliación a su demanda.- -  - - - - </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veintiséis de noviembre de dos mil diecinueve, se tuvo a la parte actora objetando la prueba de la autoridad demandada consistente en el acuse de recibo; se le tuvo en tiempo ampliando su demanda, se ordenó correr traslado a la contraria con copia del escrito de ampliación para que dentro del plazo de cinco días hábiles produjera la contestación a la ampliación.- - - - - - - - - - - - - </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Por auto de siete de febrero de dos mil veinte, se tuvo a la demandada contestando la ampliación de la demanda y se le admitieron sus pruebas presuncional legal y humana y la instrumental de actuaciones, ordenándosele correr traslado a la parte actora para los efectos legales correspondientes.- - - - - - - - - - - - - - - - - - - - - - - - - </w:t>
      </w:r>
    </w:p>
    <w:p w:rsidR="00314ED9" w:rsidRDefault="00314ED9" w:rsidP="00314ED9">
      <w:pPr>
        <w:spacing w:before="240" w:after="0" w:line="360" w:lineRule="auto"/>
        <w:ind w:firstLine="567"/>
        <w:jc w:val="both"/>
        <w:rPr>
          <w:rFonts w:ascii="Arial" w:hAnsi="Arial" w:cs="Arial"/>
          <w:b/>
          <w:sz w:val="26"/>
          <w:szCs w:val="26"/>
        </w:rPr>
      </w:pPr>
      <w:r>
        <w:rPr>
          <w:rFonts w:ascii="Arial" w:hAnsi="Arial" w:cs="Arial"/>
          <w:b/>
          <w:sz w:val="26"/>
          <w:szCs w:val="26"/>
        </w:rPr>
        <w:t xml:space="preserve">SEXTO. </w:t>
      </w:r>
      <w:r>
        <w:rPr>
          <w:rFonts w:ascii="Arial" w:hAnsi="Arial" w:cs="Arial"/>
          <w:sz w:val="26"/>
          <w:szCs w:val="26"/>
        </w:rPr>
        <w:t xml:space="preserve">Por auto de treinta y uno de agosto de dos mil veinte, se determinó levantar la suspensión de plazos y términos, con la observación que el levantamiento de la suspensión implica su reanudación en el punto que quedaron pausados; se hizo del conocimiento que por acuerdo general AG/TJA/13/2020 del Pleno de este Tribunal, se aprobó que los expedientes que se encontraban en trámite y resolución en la Séptima Sala, se turnarían a la Primera, Segunda, Tercera, Cuarta, Quinta y Sexta Salas Unitarias, en forma aleatoria y equitativa, y los que le tocó a esta Sala fueron turnados mediante acuerdo TJA/SGA/1366/2020, radicándose el presente expediente bajo el número 96/2020, informándose que todos los escritos y oficios dirigidos al expediente 48/2019 de la Séptima sala, deberían dirigirse a esta Sexta Sala, haciéndose del conocimiento de las partes para que dentro del plazo de tres días manifestaran lo que a sus intereses conviniera; también se hizo del conocimiento la habilitación del Licenciado Renato Gabriel Ibáñez Castellanos, para conocer, tramitar y resolver los asuntos substanciados en esta Sala, haciéndose del conocimiento de las partes para los efectos legales correspondientes.- - - - - - - - - - - - - - - - - - - - - - - - - - - - - </w:t>
      </w:r>
      <w:r w:rsidRPr="009B59DB">
        <w:rPr>
          <w:rFonts w:ascii="Arial" w:hAnsi="Arial" w:cs="Arial"/>
          <w:sz w:val="26"/>
          <w:szCs w:val="26"/>
        </w:rPr>
        <w:t xml:space="preserve">- - </w:t>
      </w:r>
      <w:r>
        <w:rPr>
          <w:rFonts w:ascii="Arial" w:hAnsi="Arial" w:cs="Arial"/>
          <w:sz w:val="26"/>
          <w:szCs w:val="26"/>
        </w:rPr>
        <w:t xml:space="preserve">- - - - - - - - </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SÉPTIMO. </w:t>
      </w:r>
      <w:r>
        <w:rPr>
          <w:rFonts w:ascii="Arial" w:hAnsi="Arial" w:cs="Arial"/>
          <w:sz w:val="26"/>
          <w:szCs w:val="26"/>
        </w:rPr>
        <w:t xml:space="preserve">Por auto de quince de febrero del presente año, se señaló fecha y hora para la celebración de la audiencia final.- - - - - - - - </w:t>
      </w:r>
    </w:p>
    <w:p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OCTAVO. </w:t>
      </w:r>
      <w:r>
        <w:rPr>
          <w:rFonts w:ascii="Arial" w:hAnsi="Arial" w:cs="Arial"/>
          <w:sz w:val="26"/>
          <w:szCs w:val="26"/>
        </w:rPr>
        <w:t xml:space="preserve">El veintiuno de abril de dos mil veintiuno,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 xml:space="preserve">desahogaron las pruebas de las partes, se abrió el periodo de alegatos, </w:t>
      </w:r>
      <w:r w:rsidRPr="009B59DB">
        <w:rPr>
          <w:rFonts w:ascii="Arial" w:hAnsi="Arial" w:cs="Arial"/>
          <w:sz w:val="26"/>
          <w:szCs w:val="26"/>
        </w:rPr>
        <w:t>se</w:t>
      </w:r>
      <w:r>
        <w:rPr>
          <w:rFonts w:ascii="Arial" w:hAnsi="Arial" w:cs="Arial"/>
          <w:sz w:val="26"/>
          <w:szCs w:val="26"/>
        </w:rPr>
        <w:t xml:space="preserve"> dio cuenta que ninguna de las partes presentaron escrito de alegatos, por lo que se declaró precluido su derecho correspondiente; declarándose cerrada la etapa de instrucción; </w:t>
      </w:r>
      <w:r w:rsidRPr="009B59DB">
        <w:rPr>
          <w:rFonts w:ascii="Arial" w:hAnsi="Arial" w:cs="Arial"/>
          <w:sz w:val="26"/>
          <w:szCs w:val="26"/>
        </w:rPr>
        <w:t xml:space="preserve">y, por último se citó a las partes para oír sentencia, misma que ahora se </w:t>
      </w:r>
      <w:r>
        <w:rPr>
          <w:rFonts w:ascii="Arial" w:hAnsi="Arial" w:cs="Arial"/>
          <w:sz w:val="26"/>
          <w:szCs w:val="26"/>
        </w:rPr>
        <w:t>dicta</w:t>
      </w:r>
      <w:r w:rsidRPr="009B59DB">
        <w:rPr>
          <w:rFonts w:ascii="Arial" w:hAnsi="Arial" w:cs="Arial"/>
          <w:sz w:val="26"/>
          <w:szCs w:val="26"/>
        </w:rPr>
        <w:t xml:space="preserve">.- - - - - </w:t>
      </w:r>
      <w:r>
        <w:rPr>
          <w:rFonts w:ascii="Arial" w:hAnsi="Arial" w:cs="Arial"/>
          <w:sz w:val="26"/>
          <w:szCs w:val="26"/>
        </w:rPr>
        <w:t xml:space="preserve">- - - </w:t>
      </w:r>
      <w:r w:rsidRPr="009B59DB">
        <w:rPr>
          <w:rFonts w:ascii="Arial" w:hAnsi="Arial" w:cs="Arial"/>
          <w:sz w:val="26"/>
          <w:szCs w:val="26"/>
        </w:rPr>
        <w:t xml:space="preserve">- - </w:t>
      </w:r>
      <w:r>
        <w:rPr>
          <w:rFonts w:ascii="Arial" w:hAnsi="Arial" w:cs="Arial"/>
          <w:sz w:val="26"/>
          <w:szCs w:val="26"/>
        </w:rPr>
        <w:t xml:space="preserve">- - - - - - - - - - - - - - - </w:t>
      </w:r>
    </w:p>
    <w:p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rsidR="00314ED9" w:rsidRDefault="00314ED9" w:rsidP="00314ED9">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6E6391">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w:t>
      </w:r>
      <w:r w:rsidRPr="0091164A">
        <w:rPr>
          <w:rFonts w:ascii="Arial" w:hAnsi="Arial" w:cs="Arial"/>
          <w:sz w:val="26"/>
          <w:szCs w:val="26"/>
        </w:rPr>
        <w:t xml:space="preserve">Directora de Ingresos y Recaudación de la Subsecretaría de Ingresos de la Secretaría de Finanzas del Poder Ejecutivo del Estado de Oaxaca,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 - - - - - - - - - - - - - - - - - - - - - - -</w:t>
      </w:r>
    </w:p>
    <w:p w:rsidR="00314ED9" w:rsidRDefault="00314ED9" w:rsidP="00314ED9">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w:t>
      </w:r>
      <w:r w:rsidRPr="0091164A">
        <w:rPr>
          <w:rFonts w:ascii="Arial" w:hAnsi="Arial" w:cs="Arial"/>
          <w:sz w:val="26"/>
          <w:szCs w:val="26"/>
        </w:rPr>
        <w:t xml:space="preserve"> Directora de Ingresos y Recaudación de la Subsecretaría de Ingresos de la Secretaría de Finanzas del Poder Ejecutivo del Estado de Oaxaca,</w:t>
      </w:r>
      <w:r>
        <w:rPr>
          <w:rFonts w:ascii="Arial" w:hAnsi="Arial" w:cs="Arial"/>
          <w:sz w:val="26"/>
          <w:szCs w:val="26"/>
        </w:rPr>
        <w:t xml:space="preserve">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w:t>
      </w:r>
      <w:r>
        <w:rPr>
          <w:rFonts w:ascii="Arial" w:hAnsi="Arial" w:cs="Arial"/>
          <w:sz w:val="26"/>
          <w:szCs w:val="26"/>
        </w:rPr>
        <w:t>- - - - - - - - - - - - - - - - - - - - - - - - -</w:t>
      </w:r>
    </w:p>
    <w:p w:rsidR="00314ED9" w:rsidRPr="00C13B00"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6E6391">
        <w:rPr>
          <w:rFonts w:ascii="Arial" w:hAnsi="Arial" w:cs="Arial"/>
          <w:b/>
          <w:sz w:val="26"/>
          <w:szCs w:val="26"/>
        </w:rPr>
        <w:t>**********</w:t>
      </w:r>
      <w:r>
        <w:rPr>
          <w:rFonts w:ascii="Arial" w:hAnsi="Arial" w:cs="Arial"/>
          <w:sz w:val="26"/>
          <w:szCs w:val="26"/>
        </w:rPr>
        <w:t xml:space="preserve">, demandó la nulidad de la multa por infracción relacionada con la </w:t>
      </w:r>
      <w:r w:rsidR="00BF4B63">
        <w:rPr>
          <w:rFonts w:ascii="Arial" w:hAnsi="Arial" w:cs="Arial"/>
          <w:sz w:val="26"/>
          <w:szCs w:val="26"/>
        </w:rPr>
        <w:t>Presentación de Declaraciones al Impuesto Cedular a los Ingresos por el Otorgamiento del uso o Goce Temporal de Bienes Inmuebles</w:t>
      </w:r>
      <w:r>
        <w:rPr>
          <w:rFonts w:ascii="Arial" w:hAnsi="Arial" w:cs="Arial"/>
          <w:sz w:val="26"/>
          <w:szCs w:val="26"/>
        </w:rPr>
        <w:t xml:space="preserve">, con número de control 16MO15CD191391 de veinte de febrero  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 - - - - - - - - - - </w:t>
      </w:r>
      <w:r w:rsidR="00BF4B63">
        <w:rPr>
          <w:rFonts w:ascii="Arial" w:hAnsi="Arial" w:cs="Arial"/>
          <w:sz w:val="26"/>
          <w:szCs w:val="26"/>
        </w:rPr>
        <w:t xml:space="preserve"> - - - - - - - - - - - - - - - </w:t>
      </w:r>
    </w:p>
    <w:p w:rsidR="00314ED9" w:rsidRDefault="00314ED9" w:rsidP="00314ED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rsidR="00314ED9" w:rsidRDefault="00314ED9" w:rsidP="00314ED9">
      <w:pPr>
        <w:spacing w:before="100" w:beforeAutospacing="1" w:after="0" w:line="360" w:lineRule="auto"/>
        <w:ind w:left="1134" w:right="616"/>
        <w:jc w:val="both"/>
        <w:rPr>
          <w:rFonts w:ascii="Arial" w:hAnsi="Arial" w:cs="Arial"/>
          <w:sz w:val="26"/>
          <w:szCs w:val="26"/>
        </w:rPr>
      </w:pPr>
      <w:r w:rsidRPr="00F90478">
        <w:rPr>
          <w:rFonts w:ascii="Arial" w:hAnsi="Arial" w:cs="Arial"/>
          <w:sz w:val="26"/>
          <w:szCs w:val="26"/>
        </w:rPr>
        <w:t>“</w:t>
      </w:r>
      <w:r w:rsidRPr="00F90478">
        <w:rPr>
          <w:rFonts w:ascii="Arial" w:hAnsi="Arial" w:cs="Arial"/>
          <w:b/>
          <w:bCs/>
          <w:i/>
          <w:iCs/>
          <w:sz w:val="24"/>
          <w:szCs w:val="24"/>
        </w:rPr>
        <w:t xml:space="preserve">ARTÍCULO 149.- </w:t>
      </w:r>
      <w:r w:rsidRPr="00F90478">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rsidR="00314ED9" w:rsidRDefault="00314ED9" w:rsidP="00314ED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rsidR="00314ED9" w:rsidRDefault="00314ED9" w:rsidP="00314ED9">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w:t>
      </w:r>
      <w:r>
        <w:rPr>
          <w:rFonts w:ascii="Arial" w:hAnsi="Arial" w:cs="Arial"/>
          <w:bCs/>
          <w:sz w:val="26"/>
          <w:szCs w:val="26"/>
        </w:rPr>
        <w:t xml:space="preserve">la resolución impugnada contenida en el oficio con número de control 16MO15CD191391 de veinte de febrero de dos mil diecinueve, es ilegal y viola lo dispuesto por los artículos 16 de la Constitución Política de los Estados Unidos Mexicanos y 17 fracción V de la Ley de Procedimiento y Justicia Administrativa para el Estado de Oaxaca; porque la autoridad demandada fue omisa en fundar y motivar su actuación, pues únicamente se limitó a determinar e imponer la multa, sustentándose en que se le identificó como sujeto obligado en materia del impuesto cedular a los ingresos por el otorgamiento del uso o goce temporal de bienes inmuebles y que incurrió en el incumplimiento de sus obligaciones, sin embargo fue omisa en citar el dispositivo legal en que se prevea tal facultad para imponer ese tipo de sanciones e identificarlo como obligado a presentar la declaración de referencia.- - - </w:t>
      </w:r>
    </w:p>
    <w:p w:rsidR="00314ED9" w:rsidRPr="00F90478" w:rsidRDefault="00314ED9" w:rsidP="00314ED9">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La autoridad demandada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w:t>
      </w:r>
      <w:r>
        <w:rPr>
          <w:rFonts w:ascii="Arial" w:eastAsia="Calibri" w:hAnsi="Arial" w:cs="Arial"/>
          <w:sz w:val="26"/>
          <w:szCs w:val="26"/>
        </w:rPr>
        <w:t xml:space="preserve">al respecto únicamente se concretó a expresar que los contribuyentes que tenga obligación de presentar declaraciones periódicas de conformidad con las leyes fiscales, continuaran haciendo en tanto no presente los avisos de suspensión, disminución o cancelación en el registro estatal de contribuyentes y que la actora fue identificada como sujeto obligado al cumplimiento de la presentación de declaraciones del impuesto cedular a los ingreso por el otorgamiento de uso y goce temporal de bienes inmuebles, como resultado de una revisión minuciosa al registro estatal de contribuyentes con el que cuenta la Secretaría de Finanzas, el cual contiene los registros contables en materia de declaraciones y pagos de los contribuyentes activos e inscritos en materia del impuesto cedular y con el que se le identifico como sujeto obligado.- - - - - - - - - - </w:t>
      </w:r>
    </w:p>
    <w:p w:rsidR="00314ED9" w:rsidRDefault="0021524C" w:rsidP="00314ED9">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Análisis.- </w:t>
      </w:r>
      <w:r w:rsidR="00314ED9">
        <w:rPr>
          <w:rFonts w:ascii="Arial" w:hAnsi="Arial" w:cs="Arial"/>
          <w:sz w:val="26"/>
          <w:szCs w:val="26"/>
        </w:rPr>
        <w:t xml:space="preserve">Del análisis a la </w:t>
      </w:r>
      <w:r w:rsidR="00682756">
        <w:rPr>
          <w:rFonts w:ascii="Arial" w:hAnsi="Arial" w:cs="Arial"/>
          <w:sz w:val="26"/>
          <w:szCs w:val="26"/>
        </w:rPr>
        <w:t>multa por infracción relacionada con la Presentación de Declaraciones al Impuesto Cedular a los Ingresos por el Otorgamiento del uso o Goce Temporal de Bienes Inmuebles</w:t>
      </w:r>
      <w:r w:rsidR="00314ED9">
        <w:rPr>
          <w:rFonts w:ascii="Arial" w:hAnsi="Arial" w:cs="Arial"/>
          <w:sz w:val="26"/>
          <w:szCs w:val="26"/>
        </w:rPr>
        <w:t>, con número de control 16MO15CD191391 de veinte de febrero de dos mil diecinueve, y a la que se le otorga pleno valor probatorio conforme lo previsto por el artículo 203 fracción I</w:t>
      </w:r>
      <w:r w:rsidR="00314ED9">
        <w:rPr>
          <w:rStyle w:val="Refdenotaalpie"/>
          <w:rFonts w:ascii="Arial" w:hAnsi="Arial" w:cs="Arial"/>
          <w:sz w:val="26"/>
          <w:szCs w:val="26"/>
        </w:rPr>
        <w:footnoteReference w:id="3"/>
      </w:r>
      <w:r w:rsidR="00314ED9">
        <w:rPr>
          <w:rFonts w:ascii="Arial" w:hAnsi="Arial" w:cs="Arial"/>
          <w:sz w:val="26"/>
          <w:szCs w:val="26"/>
        </w:rPr>
        <w:t xml:space="preserve"> de la Ley de Procedimiento y Justicia Administrativa para el Estado de Oaxaca; se obtiene, que la demandada fundó su competencia para determinar el crédito fiscal en los siguientes preceptos legales:- - - - - - - - - - - - - - - - - - - - - - - - - - - - </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La Dirección de Ingresos y Recaudación de la Secretaría de Finanzas del Poder Ejecutivo del Estado de Oaxaca, con fundamento en los artículos 2 párrafo segundo y tercero de la Constitución Política del Estado Libre y Soberano de Oaxaca vigente; 1, 2, 3 fracción I, 6 segundo párrafo, 24, 26, 27 fracción XII, 45 fracciones XI, XIII, XXXVIII y LIX de la Ley Orgánica del Poder Ejecutivo del Estado de Oaxaca vigente;</w:t>
      </w:r>
      <w:r>
        <w:rPr>
          <w:rFonts w:ascii="Arial" w:hAnsi="Arial" w:cs="Arial"/>
          <w:i/>
          <w:sz w:val="24"/>
          <w:szCs w:val="24"/>
        </w:rPr>
        <w:t xml:space="preserve"> 22, 23, 26, 27 y 28, </w:t>
      </w:r>
      <w:r w:rsidRPr="00FB76C8">
        <w:rPr>
          <w:rFonts w:ascii="Arial" w:hAnsi="Arial" w:cs="Arial"/>
          <w:i/>
          <w:sz w:val="24"/>
          <w:szCs w:val="24"/>
        </w:rPr>
        <w:t>de la Ley Estatal de Hacienda vigente; 1 primer párrafo, 2, 3, 4, y 5 fracciones II y VII, 7 fracción VI, 17 fracciones I y III, 19, 22 primer y cuarto párrafos, 32, 39, 43 segundo y tercer párrafos, 47, 60 primer párrafo, 61 párrafo primero y tercero, 122 y 269 fracción I del Código Fiscal para el Estado de Oaxaca vigente; 53, 55 fracciones I, II y III, 56 fracción II del Reglamento del Código Fiscal para el Estado de Oaxaca vigente, 1, 2, 4 fracciones I y III inciso a), 6 primer párrafo, 30 primer párrafo, 31 fracciones VIII y XLII del Reglamento Interno de la Secretaría de Finanzas del Poder Ejecutivo del Estado de Oaxaca vigente.</w:t>
      </w:r>
      <w:r>
        <w:rPr>
          <w:rFonts w:ascii="Arial" w:hAnsi="Arial" w:cs="Arial"/>
          <w:sz w:val="26"/>
          <w:szCs w:val="26"/>
        </w:rPr>
        <w:t xml:space="preserve">”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De la anterior transcripción, se advierte que fue omisa en indicar lo dispuesto por los artículos</w:t>
      </w:r>
      <w:r w:rsidRPr="00A154B9">
        <w:rPr>
          <w:rFonts w:ascii="Arial" w:hAnsi="Arial" w:cs="Arial"/>
          <w:sz w:val="26"/>
          <w:szCs w:val="26"/>
        </w:rPr>
        <w:t xml:space="preserve"> </w:t>
      </w:r>
      <w:r>
        <w:rPr>
          <w:rFonts w:ascii="Arial" w:hAnsi="Arial" w:cs="Arial"/>
          <w:sz w:val="26"/>
          <w:szCs w:val="26"/>
        </w:rPr>
        <w:t xml:space="preserve">el artículo 97 y 113 del Código Fiscal para el Estado de Oaxaca, preceptos legales que disponen:- - - - - - - - - - - - </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0C545C">
        <w:rPr>
          <w:rFonts w:ascii="Arial" w:hAnsi="Arial" w:cs="Arial"/>
          <w:b/>
          <w:i/>
          <w:sz w:val="24"/>
          <w:szCs w:val="24"/>
        </w:rPr>
        <w:t>ARTÍCULO 97</w:t>
      </w:r>
      <w:r w:rsidRPr="000C545C">
        <w:rPr>
          <w:rFonts w:ascii="Arial" w:hAnsi="Arial" w:cs="Arial"/>
          <w:i/>
          <w:sz w:val="24"/>
          <w:szCs w:val="24"/>
        </w:rPr>
        <w:t>. Los hechos que las autoridades fiscales conozcan con motivo del ejercicio de sus facultades de comprobación, o bien que consten en los expediente, documentos o bases de datos que tengan en su poder o a las que tengan acceso, así como los proporcionados por otras autoridades, podrán utilizarse como sustento de la motivación de la resoluciones que emitían.</w:t>
      </w:r>
      <w:r>
        <w:rPr>
          <w:rFonts w:ascii="Arial" w:hAnsi="Arial" w:cs="Arial"/>
          <w:sz w:val="26"/>
          <w:szCs w:val="26"/>
        </w:rPr>
        <w:t>”</w:t>
      </w:r>
    </w:p>
    <w:p w:rsidR="00314ED9" w:rsidRDefault="00314ED9" w:rsidP="00314ED9">
      <w:pPr>
        <w:pStyle w:val="Sinespaciado"/>
        <w:spacing w:before="240" w:line="360" w:lineRule="auto"/>
        <w:ind w:left="1134" w:right="758"/>
        <w:jc w:val="both"/>
        <w:rPr>
          <w:rFonts w:ascii="Arial" w:hAnsi="Arial" w:cs="Arial"/>
          <w:i/>
          <w:sz w:val="24"/>
          <w:szCs w:val="24"/>
        </w:rPr>
      </w:pPr>
      <w:r>
        <w:rPr>
          <w:rFonts w:ascii="Arial" w:hAnsi="Arial" w:cs="Arial"/>
          <w:sz w:val="26"/>
          <w:szCs w:val="26"/>
        </w:rPr>
        <w:t xml:space="preserve"> “</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Pues como se ve de lo anterior, de estos artículos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w:t>
      </w:r>
    </w:p>
    <w:p w:rsidR="00314ED9" w:rsidRDefault="00314ED9" w:rsidP="00314ED9">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sidRPr="00961BE5">
        <w:rPr>
          <w:rFonts w:ascii="Arial" w:hAnsi="Arial" w:cs="Arial"/>
          <w:i/>
          <w:sz w:val="24"/>
          <w:szCs w:val="24"/>
        </w:rPr>
        <w:t>se realizó una revisión minuciosa en el Registro Estatal de Contribuyentes con que cuenta la Secretaría; la cual contiene los registros contables en materia de declaraciones y pagos</w:t>
      </w:r>
      <w:r>
        <w:rPr>
          <w:rFonts w:ascii="Arial" w:hAnsi="Arial" w:cs="Arial"/>
          <w:i/>
          <w:sz w:val="24"/>
          <w:szCs w:val="24"/>
        </w:rPr>
        <w:t>; y en ejercicio de las facultades de revisión al cumplimiento de las declaraciones y pagos por los sujetos obligados en materia del impuesto Cedular a los Ingresos por el Otorgamiento del Uso o Goce Temporal de Bienes Inmuebles, se la ha identificado como sujeto obligado en materia del impuesto de referencia, y que ha incurrido en el incumplimiento de su(s) obligación(es), toda vez que ha transcurrido en exceso el plazo a que se refiere el artículo 27 de la Ley Estatal de Hacienda vigente para el ejercicio fiscal 2018, para la presentación de la(s) declaración(es) bimestral(es) definitiva(s) y enterar el Impuesto que nos ocupa…</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lo que, al haber ejecutado tal señalamiento es que se encontraba obligada a citar el fundamento legal que la facultad para realizar la refreída revisión, y así cumplir con su obligación de fundar y motivar debidamente su competencia, como lo consagra el artículo 16 de la Constitución Política de los Estados Unidos Mexicanos; mismo que establece:- - - - - - - - - - - - - - - - </w:t>
      </w:r>
      <w:r w:rsidRPr="009B59DB">
        <w:rPr>
          <w:rFonts w:ascii="Arial" w:hAnsi="Arial" w:cs="Arial"/>
          <w:sz w:val="26"/>
          <w:szCs w:val="26"/>
        </w:rPr>
        <w:t xml:space="preserve">- - </w:t>
      </w:r>
      <w:r>
        <w:rPr>
          <w:rFonts w:ascii="Arial" w:hAnsi="Arial" w:cs="Arial"/>
          <w:sz w:val="26"/>
          <w:szCs w:val="26"/>
        </w:rPr>
        <w:t xml:space="preserve">- - - - - - - - - - - - - - - - - - - - - - - </w:t>
      </w:r>
    </w:p>
    <w:p w:rsidR="00314ED9" w:rsidRPr="00D32805" w:rsidRDefault="00314ED9" w:rsidP="00314ED9">
      <w:pPr>
        <w:spacing w:before="240"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Pr="00D32805">
        <w:rPr>
          <w:rFonts w:ascii="Arial" w:hAnsi="Arial" w:cs="Arial"/>
          <w:color w:val="202124"/>
          <w:sz w:val="26"/>
          <w:szCs w:val="26"/>
          <w:shd w:val="clear" w:color="auto" w:fill="FFFFFF"/>
        </w:rPr>
        <w:t>”</w:t>
      </w:r>
    </w:p>
    <w:p w:rsidR="00314ED9"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Como se ve dicho precepto Constitucional, puntualmente señala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Pr>
          <w:rFonts w:ascii="Arial" w:hAnsi="Arial" w:cs="Arial"/>
          <w:sz w:val="26"/>
          <w:szCs w:val="26"/>
        </w:rPr>
        <w:t>a que debe</w:t>
      </w:r>
      <w:r w:rsidRPr="00EE0FE5">
        <w:rPr>
          <w:rFonts w:ascii="Arial" w:hAnsi="Arial" w:cs="Arial"/>
          <w:sz w:val="26"/>
          <w:szCs w:val="26"/>
        </w:rPr>
        <w:t xml:space="preserve"> expresarse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que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w:t>
      </w:r>
    </w:p>
    <w:p w:rsidR="00314ED9" w:rsidRPr="00EE0FE5"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w:t>
      </w:r>
    </w:p>
    <w:p w:rsidR="00314ED9" w:rsidRDefault="00314ED9" w:rsidP="00314ED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rsidR="00314ED9" w:rsidRPr="00D10D8B" w:rsidRDefault="00314ED9" w:rsidP="00314ED9">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la tesis aislada sustentada por </w:t>
      </w:r>
      <w:r w:rsidRPr="00D10D8B">
        <w:rPr>
          <w:rFonts w:ascii="Arial" w:hAnsi="Arial" w:cs="Arial"/>
          <w:bCs/>
          <w:sz w:val="26"/>
          <w:szCs w:val="26"/>
          <w:lang w:val="es-ES"/>
        </w:rPr>
        <w:t xml:space="preserve">el </w:t>
      </w:r>
      <w:r>
        <w:rPr>
          <w:rFonts w:ascii="Arial" w:hAnsi="Arial" w:cs="Arial"/>
          <w:bCs/>
          <w:sz w:val="26"/>
          <w:szCs w:val="26"/>
          <w:lang w:val="es-ES"/>
        </w:rPr>
        <w:t xml:space="preserve">Tercer Tribunal Colegiado en materia Administrativa del Primer Circuito, </w:t>
      </w:r>
      <w:r w:rsidRPr="00D10D8B">
        <w:rPr>
          <w:rFonts w:ascii="Arial" w:hAnsi="Arial" w:cs="Arial"/>
          <w:bCs/>
          <w:sz w:val="26"/>
          <w:szCs w:val="26"/>
          <w:lang w:val="es-ES"/>
        </w:rPr>
        <w:t xml:space="preserve">publicada en </w:t>
      </w:r>
      <w:r>
        <w:rPr>
          <w:rFonts w:ascii="Arial" w:hAnsi="Arial" w:cs="Arial"/>
          <w:bCs/>
          <w:sz w:val="26"/>
          <w:szCs w:val="26"/>
          <w:lang w:val="es-ES"/>
        </w:rPr>
        <w:t xml:space="preserve">el Semanario Judicial de la Federación, en la Séptima Época, volumen 205-216, sexta parte, </w:t>
      </w:r>
      <w:r w:rsidRPr="00D10D8B">
        <w:rPr>
          <w:rFonts w:ascii="Arial" w:hAnsi="Arial" w:cs="Arial"/>
          <w:bCs/>
          <w:sz w:val="26"/>
          <w:szCs w:val="26"/>
          <w:lang w:val="es-ES"/>
        </w:rPr>
        <w:t xml:space="preserve">página </w:t>
      </w:r>
      <w:r>
        <w:rPr>
          <w:rFonts w:ascii="Arial" w:hAnsi="Arial" w:cs="Arial"/>
          <w:bCs/>
          <w:sz w:val="26"/>
          <w:szCs w:val="26"/>
          <w:lang w:val="es-ES"/>
        </w:rPr>
        <w:t>112</w:t>
      </w:r>
      <w:r w:rsidRPr="00D10D8B">
        <w:rPr>
          <w:rFonts w:ascii="Arial" w:hAnsi="Arial" w:cs="Arial"/>
          <w:bCs/>
          <w:sz w:val="26"/>
          <w:szCs w:val="26"/>
          <w:lang w:val="es-ES"/>
        </w:rPr>
        <w:t>, Materia Administrativa, ba</w:t>
      </w:r>
      <w:r>
        <w:rPr>
          <w:rFonts w:ascii="Arial" w:hAnsi="Arial" w:cs="Arial"/>
          <w:bCs/>
          <w:sz w:val="26"/>
          <w:szCs w:val="26"/>
          <w:lang w:val="es-ES"/>
        </w:rPr>
        <w:t>jo el rubro y texto siguientes:</w:t>
      </w:r>
      <w:r w:rsidRPr="00356E8C">
        <w:rPr>
          <w:rFonts w:ascii="Arial" w:hAnsi="Arial" w:cs="Arial"/>
          <w:sz w:val="26"/>
          <w:szCs w:val="26"/>
        </w:rPr>
        <w:t xml:space="preserve"> </w:t>
      </w:r>
      <w:r>
        <w:rPr>
          <w:rFonts w:ascii="Arial" w:hAnsi="Arial" w:cs="Arial"/>
          <w:sz w:val="26"/>
          <w:szCs w:val="26"/>
        </w:rPr>
        <w:t xml:space="preserve">- - - - - - - - </w:t>
      </w:r>
      <w:r w:rsidRPr="009B59DB">
        <w:rPr>
          <w:rFonts w:ascii="Arial" w:hAnsi="Arial" w:cs="Arial"/>
          <w:sz w:val="26"/>
          <w:szCs w:val="26"/>
        </w:rPr>
        <w:t xml:space="preserve">- - </w:t>
      </w:r>
      <w:r>
        <w:rPr>
          <w:rFonts w:ascii="Arial" w:hAnsi="Arial" w:cs="Arial"/>
          <w:sz w:val="26"/>
          <w:szCs w:val="26"/>
        </w:rPr>
        <w:t xml:space="preserve">- - - - - - - - - - - - - - - - - - - - - - - - - - - - - - - - - - - - </w:t>
      </w:r>
    </w:p>
    <w:p w:rsidR="00314ED9" w:rsidRPr="00D10D8B" w:rsidRDefault="00314ED9" w:rsidP="00314ED9">
      <w:pPr>
        <w:pStyle w:val="Sinespaciado"/>
        <w:spacing w:line="360" w:lineRule="auto"/>
        <w:ind w:left="1134" w:right="760"/>
        <w:jc w:val="both"/>
        <w:rPr>
          <w:rFonts w:ascii="Arial" w:hAnsi="Arial" w:cs="Arial"/>
          <w:bCs/>
          <w:sz w:val="26"/>
          <w:szCs w:val="26"/>
        </w:rPr>
      </w:pPr>
      <w:r w:rsidRPr="006D5318">
        <w:rPr>
          <w:rFonts w:ascii="Arial" w:hAnsi="Arial" w:cs="Arial"/>
          <w:sz w:val="26"/>
          <w:szCs w:val="26"/>
        </w:rPr>
        <w:t>“</w:t>
      </w:r>
      <w:r w:rsidRPr="009276B9">
        <w:rPr>
          <w:rFonts w:ascii="Arial" w:hAnsi="Arial" w:cs="Arial"/>
          <w:b/>
          <w:i/>
          <w:sz w:val="24"/>
          <w:szCs w:val="24"/>
        </w:rPr>
        <w:t>COMPETENCIA DE LA AUTORIDAD ADMINISTRATIVA EMISORA DE UNA RESOLUCION. DEBE FUNDARSE EN EL CUERPO MISMO DEL DOCUMENTO</w:t>
      </w:r>
      <w:r w:rsidRPr="009276B9">
        <w:rPr>
          <w:rFonts w:ascii="Arial" w:hAnsi="Arial" w:cs="Arial"/>
          <w:i/>
          <w:sz w:val="24"/>
          <w:szCs w:val="24"/>
        </w:rPr>
        <w:t>.</w:t>
      </w:r>
      <w:r>
        <w:rPr>
          <w:rFonts w:ascii="Arial" w:hAnsi="Arial" w:cs="Arial"/>
          <w:i/>
          <w:sz w:val="24"/>
          <w:szCs w:val="24"/>
        </w:rPr>
        <w:t xml:space="preserve"> </w:t>
      </w:r>
      <w:r w:rsidRPr="009276B9">
        <w:rPr>
          <w:rFonts w:ascii="Arial" w:hAnsi="Arial" w:cs="Arial"/>
          <w:i/>
          <w:sz w:val="24"/>
          <w:szCs w:val="24"/>
        </w:rPr>
        <w:t>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Pr>
          <w:rFonts w:ascii="Arial" w:hAnsi="Arial" w:cs="Arial"/>
          <w:bCs/>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w:t>
      </w:r>
      <w:r w:rsidRPr="00F94E91">
        <w:rPr>
          <w:rFonts w:ascii="Arial" w:hAnsi="Arial" w:cs="Arial"/>
          <w:sz w:val="26"/>
          <w:szCs w:val="26"/>
        </w:rPr>
        <w:t xml:space="preserve">la </w:t>
      </w:r>
      <w:r>
        <w:rPr>
          <w:rFonts w:ascii="Arial" w:hAnsi="Arial" w:cs="Arial"/>
          <w:sz w:val="26"/>
          <w:szCs w:val="26"/>
        </w:rPr>
        <w:t>actora</w:t>
      </w:r>
      <w:r w:rsidRPr="00F94E91">
        <w:rPr>
          <w:rFonts w:ascii="Arial" w:hAnsi="Arial" w:cs="Arial"/>
          <w:sz w:val="26"/>
          <w:szCs w:val="26"/>
        </w:rPr>
        <w:t>,</w:t>
      </w:r>
      <w:r>
        <w:rPr>
          <w:rFonts w:ascii="Arial" w:hAnsi="Arial" w:cs="Arial"/>
          <w:sz w:val="26"/>
          <w:szCs w:val="26"/>
        </w:rPr>
        <w:t xml:space="preserve"> se identificó como sujeto obligado en materia del Impuesto Cedular a los Ingresos por el Otorgamiento del Uso o Goce Temporal de Bienes Inmuebles;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Consecuentemente, con lo anteriormente puntualizado,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r w:rsidRPr="009B59DB">
        <w:rPr>
          <w:rFonts w:ascii="Arial" w:hAnsi="Arial" w:cs="Arial"/>
          <w:sz w:val="26"/>
          <w:szCs w:val="26"/>
        </w:rPr>
        <w:t xml:space="preserve">- - </w:t>
      </w:r>
      <w:r>
        <w:rPr>
          <w:rFonts w:ascii="Arial" w:hAnsi="Arial" w:cs="Arial"/>
          <w:sz w:val="26"/>
          <w:szCs w:val="26"/>
        </w:rPr>
        <w:t xml:space="preserve">- - - - - - - - - - - - - - - - - </w:t>
      </w:r>
    </w:p>
    <w:p w:rsidR="00314ED9" w:rsidRPr="00BA539C" w:rsidRDefault="00314ED9" w:rsidP="00314ED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rsidR="00314ED9" w:rsidRPr="00BA539C" w:rsidRDefault="00314ED9" w:rsidP="00314ED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rsidR="00314ED9" w:rsidRPr="00D10D8B" w:rsidRDefault="00314ED9" w:rsidP="00314ED9">
      <w:pPr>
        <w:pStyle w:val="Sinespaciado"/>
        <w:spacing w:before="240" w:line="360" w:lineRule="auto"/>
        <w:ind w:firstLine="708"/>
        <w:jc w:val="both"/>
        <w:rPr>
          <w:rFonts w:ascii="Arial" w:hAnsi="Arial" w:cs="Arial"/>
          <w:bCs/>
          <w:sz w:val="26"/>
          <w:szCs w:val="26"/>
        </w:rPr>
      </w:pPr>
      <w:r>
        <w:rPr>
          <w:rFonts w:ascii="Arial" w:hAnsi="Arial" w:cs="Arial"/>
          <w:sz w:val="26"/>
          <w:szCs w:val="26"/>
        </w:rPr>
        <w:t>Por lo que</w:t>
      </w:r>
      <w:r w:rsidRPr="00D10D8B">
        <w:rPr>
          <w:rFonts w:ascii="Arial" w:hAnsi="Arial" w:cs="Arial"/>
          <w:bCs/>
          <w:sz w:val="26"/>
          <w:szCs w:val="26"/>
        </w:rPr>
        <w:t xml:space="preserve">, resulta procedente declarar la </w:t>
      </w:r>
      <w:r w:rsidRPr="006D5318">
        <w:rPr>
          <w:rFonts w:ascii="Arial" w:hAnsi="Arial" w:cs="Arial"/>
          <w:b/>
          <w:bCs/>
          <w:sz w:val="26"/>
          <w:szCs w:val="26"/>
        </w:rPr>
        <w:t>NULIDAD LISA Y LLANA</w:t>
      </w:r>
      <w:r w:rsidRPr="00D10D8B">
        <w:rPr>
          <w:rFonts w:ascii="Arial" w:hAnsi="Arial" w:cs="Arial"/>
          <w:bCs/>
          <w:sz w:val="26"/>
          <w:szCs w:val="26"/>
        </w:rPr>
        <w:t xml:space="preserve"> de</w:t>
      </w:r>
      <w:r>
        <w:rPr>
          <w:rFonts w:ascii="Arial" w:hAnsi="Arial" w:cs="Arial"/>
          <w:bCs/>
          <w:sz w:val="26"/>
          <w:szCs w:val="26"/>
        </w:rPr>
        <w:t xml:space="preserve"> </w:t>
      </w:r>
      <w:r w:rsidRPr="00D10D8B">
        <w:rPr>
          <w:rFonts w:ascii="Arial" w:hAnsi="Arial" w:cs="Arial"/>
          <w:bCs/>
          <w:sz w:val="26"/>
          <w:szCs w:val="26"/>
        </w:rPr>
        <w:t>l</w:t>
      </w:r>
      <w:r>
        <w:rPr>
          <w:rFonts w:ascii="Arial" w:hAnsi="Arial" w:cs="Arial"/>
          <w:bCs/>
          <w:sz w:val="26"/>
          <w:szCs w:val="26"/>
        </w:rPr>
        <w:t xml:space="preserve">a </w:t>
      </w:r>
      <w:r>
        <w:rPr>
          <w:rFonts w:ascii="Arial" w:hAnsi="Arial" w:cs="Arial"/>
          <w:sz w:val="26"/>
          <w:szCs w:val="26"/>
        </w:rPr>
        <w:t xml:space="preserve">multa por infracción relacionada con la Presentación de Declaraciones al Impuesto Cedular a los Ingresos por el Otorgamiento del uso o Goce Temporal de Bienes Inmuebles, con número de control 16MO15CD191391 de veinte de febrero 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por lo que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oportunos para efectuar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 - - - - - - - - - - - - - - - - - - - - - - - - - - - - - - - - - - - - - -</w:t>
      </w:r>
    </w:p>
    <w:p w:rsidR="00314ED9" w:rsidRPr="00D10D8B" w:rsidRDefault="00314ED9" w:rsidP="00314ED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w:t>
      </w:r>
    </w:p>
    <w:p w:rsidR="00314ED9" w:rsidRPr="00E643DF" w:rsidRDefault="00314ED9" w:rsidP="00314ED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rsidR="00314ED9" w:rsidRPr="00D10D8B" w:rsidRDefault="00314ED9" w:rsidP="00314ED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Pr>
          <w:rFonts w:ascii="Arial" w:hAnsi="Arial" w:cs="Arial"/>
          <w:sz w:val="26"/>
          <w:szCs w:val="26"/>
        </w:rPr>
        <w:t xml:space="preserve">multa por infracción relacionada con la Presentación de Declaraciones al Impuesto Cedular a los Ingresos por el Otorgamiento del uso o Goce Temporal de Bienes Inmuebles, con número de control 16MO15CD191391 de veinte de febrero 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 - - - - - - - - - - - - - - - - - - - - - - - - - - - - - - - - - - - - - - - -</w:t>
      </w:r>
    </w:p>
    <w:p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65C1" w:rsidRDefault="008865C1">
      <w:pPr>
        <w:spacing w:after="0" w:line="240" w:lineRule="auto"/>
      </w:pPr>
      <w:r>
        <w:separator/>
      </w:r>
    </w:p>
  </w:endnote>
  <w:endnote w:type="continuationSeparator" w:id="0">
    <w:p w:rsidR="008865C1" w:rsidRDefault="00886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DF23A1">
    <w:pPr>
      <w:pStyle w:val="Piedepgina"/>
      <w:jc w:val="center"/>
    </w:pPr>
  </w:p>
  <w:p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65C1" w:rsidRDefault="008865C1">
      <w:pPr>
        <w:spacing w:after="0" w:line="240" w:lineRule="auto"/>
      </w:pPr>
      <w:r>
        <w:separator/>
      </w:r>
    </w:p>
  </w:footnote>
  <w:footnote w:type="continuationSeparator" w:id="0">
    <w:p w:rsidR="008865C1" w:rsidRDefault="008865C1">
      <w:pPr>
        <w:spacing w:after="0" w:line="240" w:lineRule="auto"/>
      </w:pPr>
      <w:r>
        <w:continuationSeparator/>
      </w:r>
    </w:p>
  </w:footnote>
  <w:footnote w:id="1">
    <w:p w:rsidR="00314ED9" w:rsidRPr="00271AF8" w:rsidRDefault="00314ED9" w:rsidP="00314ED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314ED9" w:rsidRDefault="00314ED9" w:rsidP="00314ED9">
      <w:pPr>
        <w:pStyle w:val="Textonotapie"/>
      </w:pPr>
      <w:r>
        <w:rPr>
          <w:rStyle w:val="Refdenotaalpie"/>
        </w:rPr>
        <w:footnoteRef/>
      </w:r>
      <w:r>
        <w:t xml:space="preserve"> “</w:t>
      </w:r>
      <w:r>
        <w:rPr>
          <w:b/>
        </w:rPr>
        <w:t xml:space="preserve">ARTÍCULO 161.- </w:t>
      </w:r>
      <w:r>
        <w:t>…</w:t>
      </w:r>
    </w:p>
    <w:p w:rsidR="00314ED9" w:rsidRDefault="00314ED9" w:rsidP="00314ED9">
      <w:pPr>
        <w:pStyle w:val="Textonotapie"/>
      </w:pPr>
      <w:r>
        <w:t xml:space="preserve">   …</w:t>
      </w:r>
    </w:p>
    <w:p w:rsidR="00314ED9" w:rsidRPr="00271AF8" w:rsidRDefault="00314ED9" w:rsidP="00314ED9">
      <w:pPr>
        <w:pStyle w:val="Textonotapie"/>
      </w:pPr>
      <w:r>
        <w:t xml:space="preserve">   Las causales de improcedencia deben ser examinadas de oficio.”</w:t>
      </w:r>
    </w:p>
  </w:footnote>
  <w:footnote w:id="3">
    <w:p w:rsidR="00314ED9" w:rsidRDefault="00314ED9" w:rsidP="00314ED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314ED9" w:rsidRDefault="00314ED9" w:rsidP="00314ED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314ED9" w:rsidRPr="002C650C" w:rsidRDefault="00314ED9" w:rsidP="00314ED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rsidR="00DF23A1" w:rsidRDefault="008865C1">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6E6391" w:rsidRPr="006E6391">
          <w:rPr>
            <w:noProof/>
            <w:lang w:val="es-ES"/>
          </w:rPr>
          <w:t>14</w:t>
        </w:r>
        <w:r w:rsidR="00EB2520">
          <w:rPr>
            <w:noProof/>
            <w:lang w:val="es-ES"/>
          </w:rPr>
          <w:fldChar w:fldCharType="end"/>
        </w:r>
      </w:p>
    </w:sdtContent>
  </w:sdt>
  <w:p w:rsidR="00DF23A1" w:rsidRDefault="006E6391">
    <w:pPr>
      <w:pStyle w:val="Encabezado"/>
    </w:pPr>
    <w:r>
      <w:rPr>
        <w:noProof/>
        <w:lang w:eastAsia="es-MX"/>
      </w:rPr>
      <mc:AlternateContent>
        <mc:Choice Requires="wps">
          <w:drawing>
            <wp:anchor distT="0" distB="0" distL="114300" distR="114300" simplePos="0" relativeHeight="251669504" behindDoc="1" locked="0" layoutInCell="1" allowOverlap="1">
              <wp:simplePos x="0" y="0"/>
              <wp:positionH relativeFrom="column">
                <wp:posOffset>5725795</wp:posOffset>
              </wp:positionH>
              <wp:positionV relativeFrom="paragraph">
                <wp:posOffset>213995</wp:posOffset>
              </wp:positionV>
              <wp:extent cx="1009650" cy="962025"/>
              <wp:effectExtent l="0" t="0" r="19050" b="28575"/>
              <wp:wrapNone/>
              <wp:docPr id="1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6E6391" w:rsidRPr="00035E13" w:rsidRDefault="006E6391" w:rsidP="006E639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6" type="#_x0000_t202" style="position:absolute;margin-left:450.85pt;margin-top:16.85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YVaAIAAOEEAAAOAAAAZHJzL2Uyb0RvYy54bWysVFFv2jAQfp+0/2D5fSQwYCVqqBgV0yTU&#10;VmqnPh+OA1Edn2cbEvbrd3YCZe2epvFgzr677+6+u8v1TVsrdpDWVahzPhyknEktsKj0Nuc/nlaf&#10;rjhzHnQBCrXM+VE6fjP/+OG6MZkc4Q5VIS0jEO2yxuR8573JksSJnazBDdBITcoSbQ2ernabFBYa&#10;Qq9VMkrTadKgLYxFIZ2j19tOyecRvyyl8Pdl6aRnKueUm4+njecmnMn8GrKtBbOrRJ8G/EMWNVSa&#10;gp6hbsED29vqHVRdCYsOSz8QWCdYlpWQsQaqZpi+qeZxB0bGWogcZ840uf8HK+4OD5ZVBfVuxpmG&#10;mnq03ENhkRWSedl6ZJPAUmNcRsaPhsx9+xVb8ogVO7NG8eLIJLmw6RwcWQdW2tLW4Z/qZeRIjTie&#10;yacQTAS0NJ1NJ6QSpJtNR+koxk1evY11/pvEmgUh55aaGzOAw9r5EB+yk0kI5lBVxapSKl6Obqks&#10;OwDNAY1PgQ1nCpynx5yv4i9USRB/uCnNmpxPP1Ne7yBDrDPmRoF4eY9AeEoHTxlnsc8z8NRREyTf&#10;btqe4A0WR+LXYjenzohVRVHWlOgDWBpMooeWzd/TUSqk1LCXONuh/fW392BP80Jazhoa9Jy7n3uw&#10;kur/rmmSZsPxOGxGvIwnX0Z0sZeazaVG7+slEodDWmsjohjsvTqJpcX6mXZyEaKSCrSg2Dn3J3Hp&#10;u/WjnRZysYhGtAsG/Fo/GnEaq8DuU/sM1vTtDrN4h6eVgOxN1zvbQLXGxd5jWcWRCAR3rPbzSXsU&#10;29zvfFjUy3u0ev0yzX8DAAD//wMAUEsDBBQABgAIAAAAIQACgbQ+4AAAAAsBAAAPAAAAZHJzL2Rv&#10;d25yZXYueG1sTI9BT8MwDIXvSPyHyEjcWLJVG1tpOo1JCDghBhLiljZeW7Vxqibryr/HO8HJz/LT&#10;8/ey7eQ6MeIQGk8a5jMFAqn0tqFKw+fH090aRIiGrOk8oYYfDLDNr68yk1p/pnccD7ESHEIhNRrq&#10;GPtUylDW6EyY+R6Jb0c/OBN5HSppB3PmcNfJhVIr6UxD/KE2Pe5rLNvDyWnYvb0WL6FMjqNt9/j8&#10;9di3m++l1rc30+4BRMQp/pnhgs/okDNT4U9kg+g0bNT8nq0akoTnxaBWilXBar1cgMwz+b9D/gsA&#10;AP//AwBQSwECLQAUAAYACAAAACEAtoM4kv4AAADhAQAAEwAAAAAAAAAAAAAAAAAAAAAAW0NvbnRl&#10;bnRfVHlwZXNdLnhtbFBLAQItABQABgAIAAAAIQA4/SH/1gAAAJQBAAALAAAAAAAAAAAAAAAAAC8B&#10;AABfcmVscy8ucmVsc1BLAQItABQABgAIAAAAIQDaviYVaAIAAOEEAAAOAAAAAAAAAAAAAAAAAC4C&#10;AABkcnMvZTJvRG9jLnhtbFBLAQItABQABgAIAAAAIQACgbQ+4AAAAAsBAAAPAAAAAAAAAAAAAAAA&#10;AMIEAABkcnMvZG93bnJldi54bWxQSwUGAAAAAAQABADzAAAAzwUAAAAA&#10;" fillcolor="window" strokeweight=".5pt">
              <v:path arrowok="t"/>
              <v:textbox>
                <w:txbxContent>
                  <w:p w:rsidR="006E6391" w:rsidRPr="00035E13" w:rsidRDefault="006E6391" w:rsidP="006E639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8865C1">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Pr="008865C1">
          <w:rPr>
            <w:noProof/>
            <w:lang w:val="es-ES"/>
          </w:rPr>
          <w:t>1</w:t>
        </w:r>
        <w:r w:rsidR="00EB2520">
          <w:rPr>
            <w:noProof/>
            <w:lang w:val="es-ES"/>
          </w:rPr>
          <w:fldChar w:fldCharType="end"/>
        </w:r>
      </w:sdtContent>
    </w:sdt>
  </w:p>
  <w:p w:rsidR="00DF23A1" w:rsidRDefault="006E6391" w:rsidP="00927607">
    <w:pPr>
      <w:pStyle w:val="Encabezado"/>
      <w:tabs>
        <w:tab w:val="left" w:pos="142"/>
      </w:tabs>
      <w:ind w:left="284"/>
    </w:pPr>
    <w:r>
      <w:rPr>
        <w:noProof/>
        <w:lang w:eastAsia="es-MX"/>
      </w:rPr>
      <mc:AlternateContent>
        <mc:Choice Requires="wps">
          <w:drawing>
            <wp:anchor distT="0" distB="0" distL="114300" distR="114300" simplePos="0" relativeHeight="251667456" behindDoc="1" locked="0" layoutInCell="1" allowOverlap="1">
              <wp:simplePos x="0" y="0"/>
              <wp:positionH relativeFrom="column">
                <wp:posOffset>-1304925</wp:posOffset>
              </wp:positionH>
              <wp:positionV relativeFrom="paragraph">
                <wp:posOffset>304165</wp:posOffset>
              </wp:positionV>
              <wp:extent cx="1009650" cy="962025"/>
              <wp:effectExtent l="0" t="0" r="19050" b="2857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6E6391" w:rsidRPr="00035E13" w:rsidRDefault="006E6391" w:rsidP="006E639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02.75pt;margin-top:23.9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NF+agIAAOgEAAAOAAAAZHJzL2Uyb0RvYy54bWysVMFu2zAMvQ/YPwi6r3ayNluNOkWWIsOA&#10;YC3QDj0rstwYlUVNUmJnX78nOUmzdqdhOSiUSD6Sj6SvrvtWs61yviFT8tFZzpkykqrGPJX8x8Pi&#10;w2fOfBCmEpqMKvlOeX49ff/uqrOFGtOadKUcA4jxRWdLvg7BFlnm5Vq1wp+RVQbKmlwrAq7uKauc&#10;6IDe6myc55OsI1dZR1J5j9ebQcmnCb+ulQy3de1VYLrkyC2k06VzFc9seiWKJyfsupH7NMQ/ZNGK&#10;xiDoEepGBME2rnkD1TbSkac6nElqM6rrRqpUA6oZ5a+quV8Lq1ItIMfbI03+/8HK79s7x5oKvUOn&#10;jGjRo/lGVI5YpVhQfSB2EVnqrC9gfG9hHvov1MMjVeztkuSzh0l2YjM4eFhHVvratfEf9TI4ohG7&#10;I/kIwWREy/PLyQVUErrLyTgfp7jZi7d1PnxV1LIolNyhuSkDsV36EOOL4mASg3nSTbVotE6XnZ9r&#10;x7YCc4DxqajjTAsf8FjyRfrFKgHxh5s2rCv55CPyegMZYx0xV1rI57cIwNMmeqo0i/s8I08DNVEK&#10;/aofOnDgeUXVDjQ7GsbVW7loEGyJfO+Ew3yCJexcuMVRa0KGtJc4W5P79bf3aI+xgZazDvNecv9z&#10;I5wCDd8MBupydH4eFyRdzi8+jXFxp5rVqcZs2jmByhG228okRvugD2LtqH3Eas5iVKiEkYhd8nAQ&#10;52HYQqy2VLNZMsJKWBGW5t7Kw3RFkh/6R+HsvutxJL/TYTNE8ar5g21k3NBsE6hu0mREngdW92OK&#10;dUrd3q9+3NfTe7J6+UBNfwMAAP//AwBQSwMEFAAGAAgAAAAhAG0qURfhAAAACwEAAA8AAABkcnMv&#10;ZG93bnJldi54bWxMj8FOg0AQhu8mvsNmTLzRxUqrIEtTmxjtyVhNjLeFnQKBnSXsluLbO570ODNf&#10;/vn+fDPbXkw4+taRgptFDAKpcqalWsHH+1N0D8IHTUb3jlDBN3rYFJcXuc6MO9MbTodQCw4hn2kF&#10;TQhDJqWvGrTaL9yAxLejG60OPI61NKM+c7jt5TKO19LqlvhDowfcNVh1h5NVsH3dly++uj1Optvh&#10;8+fj0KVfK6Wur+btA4iAc/iD4Vef1aFgp9KdyHjRK4iW8WrFrILkLgXBRJSseVEymqYJyCKX/zsU&#10;PwAAAP//AwBQSwECLQAUAAYACAAAACEAtoM4kv4AAADhAQAAEwAAAAAAAAAAAAAAAAAAAAAAW0Nv&#10;bnRlbnRfVHlwZXNdLnhtbFBLAQItABQABgAIAAAAIQA4/SH/1gAAAJQBAAALAAAAAAAAAAAAAAAA&#10;AC8BAABfcmVscy8ucmVsc1BLAQItABQABgAIAAAAIQD91NF+agIAAOgEAAAOAAAAAAAAAAAAAAAA&#10;AC4CAABkcnMvZTJvRG9jLnhtbFBLAQItABQABgAIAAAAIQBtKlEX4QAAAAsBAAAPAAAAAAAAAAAA&#10;AAAAAMQEAABkcnMvZG93bnJldi54bWxQSwUGAAAAAAQABADzAAAA0gUAAAAA&#10;" fillcolor="window" strokeweight=".5pt">
              <v:path arrowok="t"/>
              <v:textbox>
                <w:txbxContent>
                  <w:p w:rsidR="006E6391" w:rsidRPr="00035E13" w:rsidRDefault="006E6391" w:rsidP="006E639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simplePos x="0" y="0"/>
              <wp:positionH relativeFrom="margin">
                <wp:posOffset>-1438275</wp:posOffset>
              </wp:positionH>
              <wp:positionV relativeFrom="paragraph">
                <wp:posOffset>4558030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440356A" id="Grupo 3" o:spid="_x0000_s1026" style="position:absolute;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svgfkoAAEK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jicNVp/CzNf9Fp/FC79EQRrPYcPFmXxo+7Wg/aQtNJYzHQ2d2fVw6UgR1EOPRgaBHWsYI6ZbCt&#10;h76vhnRwTZwxIyAdMwiuAMahuwU3nxrOKYI5ZiinzI4FakYUOecAQ+m4VfkCQM7Iu8i5sDqN36Rc&#10;kcbPUAZ6JSeWCa3g1VBYzorVafxoNW7EmHJeMJSOXpUlgDb+OmvLJIG1afxo36WH6YoMAYYy0KvO&#10;hEW9Mj8AO0oPdZJzINvImFiPvBfJAQxloPfFwdCFycvS+OE80tEr8gIYSkevSgvA0dDD2S9L48fE&#10;epyYzKskVRjKQK/kBtDT80XLhIC1afw29fKj0aBelQxg3hRlLsDaNH7069apVyQCMJROveqBHaCn&#10;M7dMAzCzAKokAEys54sWOQAMZaBXHQ3rniWLL22W8GwuOyRgEeR3YxX/N6/aIvxf3bWvofVGiOU1&#10;tG4Fn/4qofW/ReCJ3hGEQZ11rrBCT3gOPoDSQw0t23tPz5zSmPRYQhNQWlx4I8IbGefeOiERQMbJ&#10;vRYX+ZhtDwrFQmg9O3ik2ssJzomd4yHcx/4n3ni7xBtcZq2Jd5RQG5jYdhqdR/zCS/fqTXj1Jvz8&#10;vQmQArU7gSMGv2x3Ah7W0M27XMtZ6U6Y0WFAy8PMDdmegAwNTKYMRrtVsJMr6wfLcCo1dXRNMyrF&#10;ZEp6zIeAdMwq1dDCrNAM17oTJrycpBGtqD/oCUrHrXYnoDxWZ2jOhfXuBLicdfRyNoCpZsp8yQmz&#10;DKt8uodf7tHUagpH5QYxwpU6ejkveoLSqVe7EyzWvtCdgHpRFb3SnUBQBnqVO8E6rS90J1gHtnQn&#10;lCf21Sj5qY2Sv4HqjboKnEtS26bUq9DSvVO4Ha67djT0DDk48Wc0aoxqIwRbU788j+kFv86Qk9OH&#10;T1u9BNJeddFXXfTnr4viWqh1UY5J/9J1UaOiRe58emlynS6K4nbdHZhrQQykX7zVvWupBbkStFIX&#10;RUqXHmLI4ykMpGNWKkCmPpXrP2s7VOFJHl1dKXRRhtJx+2l1UbBL1+KL0BZDGej9pLooniM2NPmc&#10;Fwylo/fT6qJ4g0jX5AtdlKEM9KozsaB3iRYYfJkuah7YQhetTuyrLvo/QxeFTIMuCukTVUFXFR2d&#10;HtdJF0QDv7Z6KYrohGTolp8zjYiLZSWgk4gMLbRe96sSiiah2zcfL+9eldCfvxIK5adWQvlo/LKV&#10;ULSrU6+1PLtnpRLaW8XzuRLKQPqNW124VoOlFyih/WwoA7kSykA6Zj+hEooH8QyXXs4BhtJxq5VQ&#10;S3ev2rHQg+Ys5HEL5IF8CoTlHsfO6MdXKKFIYLL6UiFRPB8PnXSN9K+cFavzq9BFUbcuijYsDKVT&#10;r1ZCJ6PLwMscoigO0NO/SiWUoAz0Sm6Y5s/LlFA88K4bQIUSylAGeisPxkvzq4xTW+VXAUpHr86v&#10;gtKjyroX5leZNncuoSoVPj9qVccVk7kvzK8a0J5Mi7RQGU7K6EECoOWMr/OrLMHysvwqdLDRj0aR&#10;X8VQOnPr/CrrIntZfhVKTY30r1xOMZSBXnU0rNvsZflV3AhQY26RX9VoF1h1V0GHXl0NKJurwF+i&#10;3xpVaxU7/Ss/GlX6V3406I2M7BYye0HS6xxpL69uk4q0OH3vFW1SGUpnbtUmFZmRer87qqs6o7e2&#10;TSqeHtY9K0WbVIYy0KtuDSvl+mVtUjs8saoKFkoHSqtlKAO96miMRu/vl7VJxcS6SlC0SWUoHb26&#10;TSq6a6u3xsvapKL9soFeeTQAZaBXHY150fcePamduPED2qQaKddVm1SzP2DdJtWi3svapELR1MVy&#10;0SaVoXTq0ZOTgSpSKqHLvZe1ScXbD3pKCKXpJWYwlIFefTSMlOuXtUnt0bNdPblFm1SG0tGr2qSi&#10;BEZPvnhZm1STekWb1Ab18DhowVyrg/DL2qTiutJjLPT24Jm5BKVTr26TulAPeM2l/OI2qWjbbhiT&#10;9FBNwpHBLByrA2Llhb+4TerYGZ2OyzapDGbhWJ0Sasqu0zHnzA9ok4pnY3TdGSpXTkcCM3CszfLB&#10;ePSF+64kzhzWt0nFWda3Y9kmlcEsHKvzgodidDpW2Up2ulKVr4RH8Iz9WNjnDGbgWBvoZhvA0kJf&#10;3yZ13OLRG02VxiO+Oa8JzMKxOjN4Pk2nY2mm4+1fQ53mhz3DpuBrCg+p6PdK1SaVwCwcqzMzma1c&#10;yzOzvk0qNaVW6ViY67gyzNS+L+x1ZCiq57o02NEMxKIjmlzkN8KAB4ANHHPti8EMOtZG+2Q8QcAv&#10;rmbn2iyL6uo2qbtJD1xWbVIJzMCxttxnvOei0rE03X9Am9SdRcfCesfjTpZjq6vN99lKzC3td/zO&#10;4nVVIYWHQnVlpytKpBjMomN1ZmbrnimN+B/QJnVGj3b1zBR2/EBgBo61Ib9sDV6XlvwPaJM6GzWi&#10;SIyQw4VElYHALByre4ZC8+p+LM15KnHT3Q389HAuHyfjWRZqKHTWewYCM3CsTfoFTZ9VHEubnkrK&#10;DRyrx08Gci2rvC7MegazcCylGTpdG3QsDXv0VzNxLDmD506Nu7Cw7RnMwrE6Mwv8izodc87A4W8m&#10;kFfPoCCMvOh0LAx8BjNwrC38nVEvj+yQbPccOvMpFG5Ml+9H6yWZrngMhR5ItvZj/RoKCo90OpZ2&#10;PpkUxn6kdjc5jr2lhxemPp4rMGVPbevvrFhiaex3SBwycKxeRUHTMkPvKex9BjN4XRv8O6v1emnx&#10;d+bLKDBfSjqiu5m+Hwujn5qgWbzelZxBIMA416XZDx+WRcf6fRQkX+g4FpY/OuOZONamvxUNQGMx&#10;IQ+lL+JBdxPHUpqhVZshewrzn8EMXtf2v41j7o4BjuaZoUaJ+ZnZWnp44QP4b/auaDduW4n+iuEv&#10;2JVW0m7Q9OkWebm3LdD9Acdx7OK2sLFxmnx+zww5koY9QwpIb4EL7EtkxyPykENSnOGZIXIWRvtw&#10;HKa5EsPzUDBDTFD6Ee8F/SiZAtcYO7gVqK71strUGJSoYrwfO7mmddXqKTwU9Vel4L0Qo58zHb4I&#10;Aca1ZlQswug1Ex6edf6qFKSKizAWV6V0kT3TOR+AigUYSx9ANB6RwcI6XHUNfzhfH+HYNEG1C7tj&#10;FHDjj+dFLMLoNYNtDz8jBQPBqk4YozkDF5QJJoxRSFXnfACVmCpJcenGY9iP3geA96J+lCRoqxHe&#10;9UgLwfZmkgszC8qcEbGgHzuvmXg8eh8AkviFGL1m4IgL5ow/rRexCKPXDI44uX2NqlatPnehD6Ar&#10;rkoJGUCaw3ZZe4QotGC80lr/17TWMHG3KBpU1DNcNIkNWs+GLn4XFbeMgA1xLBkqbvn06uLijRBx&#10;+BC2gPlb8j6EPZOTBZ9h5G4BI5arYJ8T2NabmhNunmH6bSld7DkpHVbYJvGs1TkLZR3M9UqFKLXI&#10;9UqF71J0ZmWBQuqRNDjFX75ldF6vVNjUSznV7vlbr1QIV7i9rVlL1u36OrG3VUtSxGxqg61bS370&#10;Vg155cKNlNtqsLVLHCubIIm7RJbSPbwcm14Q34W+AJfDthfyYr2H/b/tBWv0fOVDo5dypmgYrhsb&#10;besYcnRvgqTGpzRabMYtbUCq7tRL3Zzat94GNcu0BlhTm2rI91OcQcva+ELWtNgZm2qwhWxJgN9o&#10;g2zltQ3YgW+rIWtatsOrF/6JCHhQfRUsZr31XxR2ZBnscUawNVh9hys8UoMspseeL683XxF3f5jz&#10;JuGQryq5k+NC9Oo477ysKHvmIuEvUsFhnskmYM+i7iP8bNWqDeSx1W49swPGJYTLqrRnUXUH5+um&#10;qsX0qgqaHsd5zFmV9kxVmxJb1xBsvtdguSmhkdL9lC9fmeDCrjXllFOSgcLfkEsTeZoHrrXUnrmz&#10;u/zJBH3GhrhJ2NMk5egK+sM1wzYRTcKeJjmX2epvcZBKkbC/683JKckgaKuG1WnPrMF8aUizxEUz&#10;c0ShlWTPVOLmWzEseVm/a1xicUR0oLS6Bzui3mpxSKlgIyv/SU7DINidWkvKzm4EOMH3UhtoereH&#10;lnnEx7wumT+tuLOoPnhB20n6xsyuD1/QdNKq34EmXK9dHa/SdvhHGpI5nwliluqDCEySpKEOmYMb&#10;Zebce827Bva9eO4EJ4gu9TLhMMuScMNWe76Xk1opswczoC6Zt3C41sI2JzbM7ZknL04KU5nLF90k&#10;7GmScsYgteOMr1673CqRJFtLB1hNSXLXWODAu8ht381bFcNnz4zTvlDYyDV6aZFsjvn8wcVRdqM/&#10;7YuLjUFD73PtzXk0S06tLDb20UUOn8Y8msvsGvdbLduSPQZVddTZd3e1fzLdXHPoXMOXvy18+fHN&#10;4+Xll5fvv/vy8vjm/sc/fr7c/PoBewks3Snk+N3l+fPLDY5gMEazzDt54+eLRm/Kj/9+vv/vJxnC&#10;5d/ldy0epb7/8p/nDw9vb+8+vz7r7YhfP15+lyKeP36UfToMv7T77oa0T7978/D19eYefxrlL/dY&#10;IyfkD0c98Cs8/RS+df/0Q/AejJ1UqQLNwKRV/8QVGViRyxhu3bdI7eh369BP695c/UXEPqHT/85+&#10;nPsDHfr50+u7h2dVyN0fuAVTu3m+bvrxQwZ/9udhyP+1vxnGdIvROooKCpvPXDSGW3SYy7Si8DVb&#10;HYQdcGMiqFx/FVsfg6nQ0808DhZc/gxsENoaw4Vv7YJLzr9Ihf7wC1VOFBcUOhelQhSXP/caJoRB&#10;MFz4Cs+FaRIhgqs4JT7gakQKTGbLXJhKUWTFETGstSOF5k+I9YCYgfMKOOBORA5urQGV4uC8EoYJ&#10;sdus3/zRsLLDGTivBVR75ODWalApCq44FB4mxF0wcOLVmRUBhxYfbsWB8KFHtn42D9x5sEpxcF4R&#10;uBZj4uDWijh3wVworsVAXsKOg3OzQaQ4OK+I4QjKKO25tSLOeghM1FocAQPciYKTXeasB5Wi4AoO&#10;+HBEKxg4TwFXBjgD5/Vw6DGCmVrdlRgqxcEVE+IENjIFt1bEWanfDJzXA8Ig+ZhzAdsqRcEVrO9x&#10;h9gxBs6TvsFooOuv3CeX1KUsjhCcI3xXwHlFjLj+lYNzE0LJ3qTnSqr36cCXEs/0Finec14RowSP&#10;0J5zEwKl0Z4rrsLoI3Ce4h2CKwjeI0ipFJznd2ukNum5IlC7F1opmxCe2y1StOeKOO0R3CgOzk0I&#10;5XUzcF4PMbi1HlSKgiso3SMuo6TgPKNbCd0EXEnnnoIx59ncIsXBFRMiBOcmhDK5GTi/MPUTImeY&#10;Wj2NW6Q4OK8IqJV/W0mENgFXErgjcJ6/HYIr2NsIbuHfVk/eVu42A+f1EPacJ27H4LwiMFv5t9Wz&#10;tpW0zcB5PQAc/3x5xrZIUbUWfO1RghfYOufp2srWJuBKrvZ04J8vT9UWKQ7OKwKsQb6UeJ620rQZ&#10;OK8H9BzfpnuOtkhxcF4R+ELwXYknaCs/m4Ar2dnTge/nPDlbpCi4gpo97hF1xdTqmdlKzGbgvB7Q&#10;c/wL4VnZIsXBeUXgwx+Ac18IZWQzcF4P/YSgTLbOeTq2SFFwZUT2iHNM2nU0Ipvgw4GS2zYBIJ8U&#10;0JEJgliqYgFCr45xF2w5aTw2RegVgqr54PPh2CoWIPQ6GXcwY9jw23smttD96f5pX5jY/YRcGEzJ&#10;IOy6PtSUGcQrgZhqk9O9LHbGAcLCyg7N7IKGDYR8Xfah2CrG+7DIkjacsK7RPixM7dDWLkjYqDrQ&#10;siNhqxhHWJrbOKfjCL29neKw2TgsLO5+itwBzuRWsQChnykDTsADhG5LlaKwKcJypuDWDzoOcRqy&#10;mLZAGHxE9rj3fm1TDafgK4ITXxMUrj3eC2ZKYXv3EvxJETrjW8V4H5bW9wlhJ3QcevM7RWCzPiwD&#10;sKfIXeYscCCM+rCIvx6OwQaLxl9ThF4piLWN+nCtFBXjfVjY4cMRMZW0D70hnqKvGcLCFEfVPdey&#10;s8VVLEBYzJRjsNXas9hrirCYKSPcXXQceoNcxAKEXilwUXEDZM8irxnC0iiXa4MoQm+VixhHWJjl&#10;g8TiUi17uzzFXVOEXim9JE7iCNfLl4oFCL1S4L0dAoTr5Qt8U4nsoQi9UvoRGQg4Qj9TNFEB+y4X&#10;Bjqc38Fq4y30FHPNEJY2+hiYJHrH4eyM7EWM9yE4KG7FHgNbc88irilCrxREzQczxVvqIhYg9EoZ&#10;xsCmUxbK3OQcb80Qltb6iO0c1bI310WMIyzs9WGEP5TOFG+wp2hritArBeCC3Ze32UUsQOiVIuAC&#10;hH6mRGY7Uvq6YSPdF/ShnykQ4wgLyz1G6E33FGnN+rAw3g+4DY4jdNa7igUIvVLiM0lvv6c4a4rQ&#10;KyU8mRSa9bL78meTOFudT0/vnuxAFaxe/FgLaVDeztnYMHUWMFZjHIqfjT5SF4a6RTidrybabw1H&#10;Drea6Yz1wsU20NKNalUXl426iG8M25jJzttaeo0si4KKrpFlUc9YbMZM6K4PYFnrZABvDMzItOTz&#10;xrAMceVJ6TOdtw7GYjI2hmRYRMbGgAz1P+ncnjl6dTjqDkovbJuv6p3RF7YuThaQIU4O4R1poFFt&#10;NZvXp5nl2GiDrVDXyLJat1ocrOS12qSHa2TZltH6/xNZlmZe3tJcHu5fb357ewuK2Kv+e3l7e7m9&#10;ef/29n2ifr3cvcpOSEaU/HjzJVP7nhKzT/5/CQx60eidTM0e53V5ETAObBKcsAnEGjI2rsPMSyv8&#10;GHnAWin2TKXtd9gCoripxfeV3AsqZxPAyrFnLk9yzokc3Ldpotjf7ZnlctjihPWnKpfp5RJ/UZPr&#10;cuxTNoGhLqvPnqneXlyiwDc08PVy3LdBDsm8VA5Zpqr4DpLlBuW15AbxjUBuiSI0/PZM7Riyflty&#10;suvX8hr4Frl6TAY8vrm8hpzYhdKORozHkANk94nwGuptyBdb4bKCaj8POWwCWZbqcpIjSPHVx98h&#10;b4DEXVwbf4cctyvJQqty4miUehvxNIc8TiXyu1peDpXY4zCiJteLMSr1zhsJG0/2zPND3DsqV6+3&#10;z4kk5ASrWq+caUh5857K6rNnrjfrA9OkVpzE+ElxjVWty6OqEYzY5QifRtSOJtFBpY1YO5jZiq0V&#10;UyVeTZQGE6XWUs2MC7E5UYf1lz1Tv9myUp8VeTI2IjXmKVYHllpp+1GDY88EKym9HkKSZMZGA//y&#10;XbSKrhEh14iQb4kIWUIjcjxHDg+p/v+XRwSQ4CP1eLl7efr1/l93r3fr37WkNw/d89Pzbx8eLt//&#10;CQAA//8DAFBLAwQUAAYACAAAACEAprAZU+IAAAAMAQAADwAAAGRycy9kb3ducmV2LnhtbEyPwW6C&#10;QBCG7036Dptp0hsuUFFDGYwxbU+mSbVJ09sIIxDZXcKugG/f9VSPM/Pln+/P1pNqxcC9bYxGiGYh&#10;CNaFKRtdIXwf3oMVCOtIl9QazQhXtrDOHx8ySksz6i8e9q4SPkTblBBq57pUSlvUrMjOTMfa306m&#10;V+T82Fey7Gn04aqVcRgupKJG+w81dbytuTjvLwrhY6Rx8xK9DbvzaXv9PSSfP7uIEZ+fps0rCMeT&#10;+4fhpu/VIfdOR3PRpRUtQhDHi8SzCMto6Ut4JJjfNkeE1TwJQeaZvC+R/wEAAP//AwBQSwECLQAU&#10;AAYACAAAACEAtoM4kv4AAADhAQAAEwAAAAAAAAAAAAAAAAAAAAAAW0NvbnRlbnRfVHlwZXNdLnht&#10;bFBLAQItABQABgAIAAAAIQA4/SH/1gAAAJQBAAALAAAAAAAAAAAAAAAAAC8BAABfcmVscy8ucmVs&#10;c1BLAQItABQABgAIAAAAIQBYlsvgfkoAAEK4AQAOAAAAAAAAAAAAAAAAAC4CAABkcnMvZTJvRG9j&#10;LnhtbFBLAQItABQABgAIAAAAIQCmsBlT4gAAAAwBAAAPAAAAAAAAAAAAAAAAANhMAABkcnMvZG93&#10;bnJldi54bWxQSwUGAAAAAAQABADzAAAA500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muZrwA&#10;AADaAAAADwAAAGRycy9kb3ducmV2LnhtbERPy6rCMBDdC/5DGMGdpl7BRzWKCBfv1he6HJqxLTaT&#10;2sS29++NILgaDuc5y3VrClFT5XLLCkbDCARxYnXOqYLT8XcwA+E8ssbCMin4JwfrVbezxFjbhvdU&#10;H3wqQgi7GBVk3pexlC7JyKAb2pI4cDdbGfQBVqnUFTYh3BTyJ4om0mDOoSHDkrYZJffD0yiQ12M7&#10;mjenHdfaTS/+zA9tx0r1e+1mAcJT67/ij/tPh/nwfuV95eo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1Oa5mvAAAANoAAAAPAAAAAAAAAAAAAAAAAJgCAABkcnMvZG93bnJldi54&#10;bWxQSwUGAAAAAAQABAD1AAAAgQ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8865C1">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524C"/>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ED9"/>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2756"/>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391"/>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5C1"/>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4B63"/>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662F3-883A-48D8-9764-760DD5DB4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4535</Words>
  <Characters>24945</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2</cp:revision>
  <cp:lastPrinted>2021-06-03T21:04:00Z</cp:lastPrinted>
  <dcterms:created xsi:type="dcterms:W3CDTF">2021-10-05T20:35:00Z</dcterms:created>
  <dcterms:modified xsi:type="dcterms:W3CDTF">2021-10-05T20:35:00Z</dcterms:modified>
</cp:coreProperties>
</file>