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49C933" w14:textId="77777777" w:rsidR="0002020F" w:rsidRDefault="0002020F" w:rsidP="0002020F">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SALA UNITARIA DE PRIMERA INSTANCIA DEL TRIBUNAL DE JUSTICIA ADMINISTRATIVA DEL ESTADO DE OAXACA. - - - - - - - - - - - -</w:t>
      </w:r>
    </w:p>
    <w:p w14:paraId="25B87548" w14:textId="77777777" w:rsidR="0002020F" w:rsidRDefault="0002020F" w:rsidP="0002020F">
      <w:pPr>
        <w:spacing w:line="360" w:lineRule="auto"/>
        <w:jc w:val="both"/>
        <w:rPr>
          <w:rFonts w:ascii="Arial" w:hAnsi="Arial" w:cs="Arial"/>
          <w:b/>
          <w:sz w:val="24"/>
          <w:szCs w:val="24"/>
        </w:rPr>
      </w:pPr>
      <w:r>
        <w:rPr>
          <w:rFonts w:ascii="Arial" w:hAnsi="Arial" w:cs="Arial"/>
          <w:b/>
          <w:sz w:val="24"/>
          <w:szCs w:val="24"/>
        </w:rPr>
        <w:t xml:space="preserve">OAXACA DE JUÁREZ, OAXACA; A VEINTINUEVE DE NOVIEMBRE DEL AÑO DOS MIL DIECINUEVE (29/11/2019). - - - - - - - - - - - - - - - - - - - - - - - - </w:t>
      </w:r>
    </w:p>
    <w:p w14:paraId="30781723" w14:textId="0BD67402" w:rsidR="0002020F" w:rsidRDefault="0002020F" w:rsidP="0002020F">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w:t>
      </w:r>
      <w:r w:rsidRPr="005639F5">
        <w:rPr>
          <w:rFonts w:ascii="Arial" w:hAnsi="Arial" w:cs="Arial"/>
          <w:sz w:val="24"/>
          <w:szCs w:val="24"/>
        </w:rPr>
        <w:t>de Nulidad</w:t>
      </w:r>
      <w:r>
        <w:rPr>
          <w:rFonts w:ascii="Arial" w:hAnsi="Arial" w:cs="Arial"/>
          <w:sz w:val="24"/>
          <w:szCs w:val="24"/>
        </w:rPr>
        <w:t xml:space="preserve"> 102/2018, promovido por </w:t>
      </w:r>
      <w:r w:rsidR="005273DD">
        <w:rPr>
          <w:rFonts w:ascii="Arial" w:hAnsi="Arial" w:cs="Arial"/>
          <w:sz w:val="24"/>
          <w:szCs w:val="24"/>
        </w:rPr>
        <w:t>***** ***** ***** *****</w:t>
      </w:r>
      <w:r>
        <w:rPr>
          <w:rFonts w:ascii="Arial" w:hAnsi="Arial" w:cs="Arial"/>
          <w:sz w:val="24"/>
          <w:szCs w:val="24"/>
        </w:rPr>
        <w:t xml:space="preserve">, Representante Legal de la empresa </w:t>
      </w:r>
      <w:r w:rsidR="005273DD">
        <w:rPr>
          <w:rFonts w:ascii="Arial" w:hAnsi="Arial" w:cs="Arial"/>
          <w:sz w:val="24"/>
          <w:szCs w:val="24"/>
        </w:rPr>
        <w:t>***** *****</w:t>
      </w:r>
      <w:r>
        <w:rPr>
          <w:rFonts w:ascii="Arial" w:hAnsi="Arial" w:cs="Arial"/>
          <w:sz w:val="24"/>
          <w:szCs w:val="24"/>
        </w:rPr>
        <w:t xml:space="preserve"> S.A. DE C.V., solicitando la nulidad de la resolución con número de control </w:t>
      </w:r>
      <w:r w:rsidR="005273DD">
        <w:rPr>
          <w:rFonts w:ascii="Arial" w:hAnsi="Arial" w:cs="Arial"/>
          <w:sz w:val="24"/>
          <w:szCs w:val="24"/>
        </w:rPr>
        <w:t>**********</w:t>
      </w:r>
      <w:r>
        <w:rPr>
          <w:rFonts w:ascii="Arial" w:hAnsi="Arial" w:cs="Arial"/>
          <w:sz w:val="24"/>
          <w:szCs w:val="24"/>
        </w:rPr>
        <w:t xml:space="preserve">, expedida con fecha veintisiete de julio de dos mil dieciocho (27/07/2018) mediante la cual, la Directora de Ingresos y Recaudación de la Secretaría de Finanzas del Poder Ejecutivo del Estado impuso una multa, consistente en la cantidad de $4,030.00 (CUATRO MIL TREINTA PESOS 00/100 M.N.) por la omisión de presentar declaraciones bimestrales definitivas del impuesto sobre erogaciones por remuneraciones al trabajo personal; y, - - - - - - - - - - - </w:t>
      </w:r>
    </w:p>
    <w:p w14:paraId="0A1C543D" w14:textId="77777777" w:rsidR="0002020F" w:rsidRDefault="0002020F" w:rsidP="0002020F">
      <w:pPr>
        <w:spacing w:line="360" w:lineRule="auto"/>
        <w:jc w:val="center"/>
        <w:rPr>
          <w:rFonts w:ascii="Arial" w:hAnsi="Arial" w:cs="Arial"/>
          <w:b/>
          <w:sz w:val="24"/>
          <w:szCs w:val="24"/>
        </w:rPr>
      </w:pPr>
      <w:r>
        <w:rPr>
          <w:rFonts w:ascii="Arial" w:hAnsi="Arial" w:cs="Arial"/>
          <w:b/>
          <w:sz w:val="24"/>
          <w:szCs w:val="24"/>
        </w:rPr>
        <w:t>R E S U L T A N D O</w:t>
      </w:r>
    </w:p>
    <w:p w14:paraId="7BD85650" w14:textId="77777777" w:rsidR="0002020F" w:rsidRDefault="0002020F" w:rsidP="0002020F">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diecisiete de octubre de dos mil dieciocho (17/10/2018), se recibió el escrito de demanda en la Oficialía de Partes de este Tribunal y con fecha veintidós del mismo mes y año (22/10/2018), se tuvo por admitida a trámite, ordenándose emplazar a Juicio a la autoridad demandada; y con fecha veinticinco de febrero de dos mil diecinueve (25/02/2019) se tuvo a la actora ampliando la demanda. - - - - - - - - - - - - - - </w:t>
      </w:r>
      <w:r w:rsidR="00F259C1">
        <w:rPr>
          <w:rFonts w:ascii="Arial" w:hAnsi="Arial" w:cs="Arial"/>
          <w:sz w:val="24"/>
          <w:szCs w:val="24"/>
        </w:rPr>
        <w:t xml:space="preserve">- </w:t>
      </w:r>
    </w:p>
    <w:p w14:paraId="35743712" w14:textId="77777777" w:rsidR="0002020F" w:rsidRDefault="0002020F" w:rsidP="0002020F">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fechas dieciséis de enero y siete de mayo del presente año (16/01-07/05/2019), se tuvo a la demandada Directora de Ingresos y Recaudación de la Secretaría de Finanzas del Poder Ejecutivo del Estado, contestando en tiempo la demanda y la ampliación de ésta, por conducto de la Directora de lo Contencioso de esa Secretaría, por lo que en la última fecha mencionada se señaló fecha para el desahogo de la audiencia de ley.- - - - - - - - - - - - - - - - - - - - - - - - - - - - - - - - - - - - - - - - - - - </w:t>
      </w:r>
      <w:r w:rsidR="00B171D1">
        <w:rPr>
          <w:rFonts w:ascii="Arial" w:hAnsi="Arial" w:cs="Arial"/>
          <w:sz w:val="24"/>
          <w:szCs w:val="24"/>
        </w:rPr>
        <w:t xml:space="preserve">- </w:t>
      </w:r>
    </w:p>
    <w:p w14:paraId="467178B1" w14:textId="77777777" w:rsidR="0002020F" w:rsidRDefault="0002020F" w:rsidP="0002020F">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 xml:space="preserve">El dieciocho de septiembre de dos mil diecinueve (18/09/2019), </w:t>
      </w:r>
      <w:r w:rsidR="00527A5C">
        <w:rPr>
          <w:rFonts w:ascii="Arial" w:hAnsi="Arial" w:cs="Arial"/>
          <w:sz w:val="24"/>
          <w:szCs w:val="24"/>
        </w:rPr>
        <w:t>se celebró</w:t>
      </w:r>
      <w:r>
        <w:rPr>
          <w:rFonts w:ascii="Arial" w:hAnsi="Arial" w:cs="Arial"/>
          <w:sz w:val="24"/>
          <w:szCs w:val="24"/>
        </w:rPr>
        <w:t xml:space="preserve">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se recibió escrito de alegatos únicamente de la parte actora, quedando el asunto integrado y en estado de resolución; y, - - - </w:t>
      </w:r>
    </w:p>
    <w:p w14:paraId="0A2FFF43" w14:textId="77777777" w:rsidR="0002020F" w:rsidRDefault="0002020F" w:rsidP="0002020F">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14:paraId="6E606276" w14:textId="77777777" w:rsidR="0002020F" w:rsidRDefault="0002020F" w:rsidP="0002020F">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lastRenderedPageBreak/>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II, y 146 de la Ley de Procedimiento y Justicia Administrativa para el Estado de Oaxaca, por tratarse de un Juicio de Nulidad promovido contra la resolución dictada por una autoridad fiscal de carácter estatal, pues de conformidad a lo establecido en el penúltimo artículo citado, éste Tribunal tiene Jurisdicción en todo el territorio del estado. </w:t>
      </w:r>
    </w:p>
    <w:p w14:paraId="02AE40C2" w14:textId="77777777" w:rsidR="0002020F" w:rsidRDefault="0002020F" w:rsidP="0002020F">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71F6F790" w14:textId="44D0D6E2" w:rsidR="0002020F" w:rsidRPr="00FC4FBE" w:rsidRDefault="0002020F" w:rsidP="0002020F">
      <w:pPr>
        <w:tabs>
          <w:tab w:val="center" w:pos="4574"/>
        </w:tabs>
        <w:spacing w:line="360" w:lineRule="auto"/>
        <w:ind w:firstLine="708"/>
        <w:jc w:val="both"/>
        <w:rPr>
          <w:rFonts w:ascii="Arial" w:hAnsi="Arial" w:cs="Arial"/>
          <w:sz w:val="24"/>
          <w:szCs w:val="24"/>
        </w:rPr>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w:t>
      </w:r>
      <w:r w:rsidRPr="00D652CA">
        <w:rPr>
          <w:rFonts w:ascii="Arial" w:hAnsi="Arial" w:cs="Arial"/>
          <w:b/>
          <w:sz w:val="24"/>
          <w:szCs w:val="24"/>
        </w:rPr>
        <w:t>DOCUMENTAL</w:t>
      </w:r>
      <w:r>
        <w:rPr>
          <w:rFonts w:ascii="Arial" w:hAnsi="Arial" w:cs="Arial"/>
          <w:b/>
          <w:sz w:val="24"/>
          <w:szCs w:val="24"/>
        </w:rPr>
        <w:t>ES</w:t>
      </w:r>
      <w:r w:rsidRPr="00A17FFD">
        <w:rPr>
          <w:rFonts w:ascii="Arial" w:hAnsi="Arial" w:cs="Arial"/>
          <w:sz w:val="24"/>
          <w:szCs w:val="24"/>
        </w:rPr>
        <w:t xml:space="preserve"> ofrecida</w:t>
      </w:r>
      <w:r>
        <w:rPr>
          <w:rFonts w:ascii="Arial" w:hAnsi="Arial" w:cs="Arial"/>
          <w:sz w:val="24"/>
          <w:szCs w:val="24"/>
        </w:rPr>
        <w:t>s y admitidas</w:t>
      </w:r>
      <w:r w:rsidRPr="00A17FFD">
        <w:rPr>
          <w:rFonts w:ascii="Arial" w:hAnsi="Arial" w:cs="Arial"/>
          <w:sz w:val="24"/>
          <w:szCs w:val="24"/>
        </w:rPr>
        <w:t xml:space="preserve"> </w:t>
      </w:r>
      <w:r>
        <w:rPr>
          <w:rFonts w:ascii="Arial" w:hAnsi="Arial" w:cs="Arial"/>
          <w:sz w:val="24"/>
          <w:szCs w:val="24"/>
        </w:rPr>
        <w:t xml:space="preserve">a </w:t>
      </w:r>
      <w:r w:rsidRPr="00A17FFD">
        <w:rPr>
          <w:rFonts w:ascii="Arial" w:hAnsi="Arial" w:cs="Arial"/>
          <w:sz w:val="24"/>
          <w:szCs w:val="24"/>
        </w:rPr>
        <w:t>l</w:t>
      </w:r>
      <w:r>
        <w:rPr>
          <w:rFonts w:ascii="Arial" w:hAnsi="Arial" w:cs="Arial"/>
          <w:sz w:val="24"/>
          <w:szCs w:val="24"/>
        </w:rPr>
        <w:t>a</w:t>
      </w:r>
      <w:r w:rsidRPr="00A17FFD">
        <w:rPr>
          <w:rFonts w:ascii="Arial" w:hAnsi="Arial" w:cs="Arial"/>
          <w:sz w:val="24"/>
          <w:szCs w:val="24"/>
        </w:rPr>
        <w:t xml:space="preserve"> </w:t>
      </w:r>
      <w:r w:rsidRPr="00A17FFD">
        <w:rPr>
          <w:rFonts w:ascii="Arial" w:hAnsi="Arial" w:cs="Arial"/>
          <w:sz w:val="24"/>
          <w:szCs w:val="24"/>
          <w:u w:val="single"/>
        </w:rPr>
        <w:t>actor</w:t>
      </w:r>
      <w:r>
        <w:rPr>
          <w:rFonts w:ascii="Arial" w:hAnsi="Arial" w:cs="Arial"/>
          <w:sz w:val="24"/>
          <w:szCs w:val="24"/>
          <w:u w:val="single"/>
        </w:rPr>
        <w:t>a</w:t>
      </w:r>
      <w:r w:rsidRPr="00A17FFD">
        <w:rPr>
          <w:rFonts w:ascii="Arial" w:hAnsi="Arial" w:cs="Arial"/>
          <w:sz w:val="24"/>
          <w:szCs w:val="24"/>
        </w:rPr>
        <w:t xml:space="preserve"> </w:t>
      </w:r>
      <w:r w:rsidR="005273DD">
        <w:rPr>
          <w:rFonts w:ascii="Arial" w:hAnsi="Arial" w:cs="Arial"/>
          <w:sz w:val="24"/>
          <w:szCs w:val="24"/>
        </w:rPr>
        <w:t>***** ***** ***** *****</w:t>
      </w:r>
      <w:r w:rsidRPr="007526EE">
        <w:rPr>
          <w:rFonts w:ascii="Arial" w:hAnsi="Arial" w:cs="Arial"/>
          <w:sz w:val="24"/>
          <w:szCs w:val="24"/>
        </w:rPr>
        <w:t>, Representante Legal de la Emp</w:t>
      </w:r>
      <w:r>
        <w:rPr>
          <w:rFonts w:ascii="Arial" w:hAnsi="Arial" w:cs="Arial"/>
          <w:sz w:val="24"/>
          <w:szCs w:val="24"/>
        </w:rPr>
        <w:t xml:space="preserve">resa </w:t>
      </w:r>
      <w:r w:rsidR="005273DD">
        <w:rPr>
          <w:rFonts w:ascii="Arial" w:hAnsi="Arial" w:cs="Arial"/>
          <w:sz w:val="24"/>
          <w:szCs w:val="24"/>
        </w:rPr>
        <w:t>***** *****</w:t>
      </w:r>
      <w:r>
        <w:rPr>
          <w:rFonts w:ascii="Arial" w:hAnsi="Arial" w:cs="Arial"/>
          <w:sz w:val="24"/>
          <w:szCs w:val="24"/>
        </w:rPr>
        <w:t xml:space="preserve"> S.A. DE C.V., son: </w:t>
      </w:r>
      <w:r w:rsidRPr="007526EE">
        <w:rPr>
          <w:rFonts w:ascii="Arial" w:hAnsi="Arial" w:cs="Arial"/>
          <w:b/>
          <w:sz w:val="24"/>
          <w:szCs w:val="24"/>
        </w:rPr>
        <w:t>1.-</w:t>
      </w:r>
      <w:r>
        <w:rPr>
          <w:rFonts w:ascii="Arial" w:hAnsi="Arial" w:cs="Arial"/>
          <w:sz w:val="24"/>
          <w:szCs w:val="24"/>
        </w:rPr>
        <w:t xml:space="preserve"> Original del oficio con número de control </w:t>
      </w:r>
      <w:r w:rsidR="005273DD">
        <w:rPr>
          <w:rFonts w:ascii="Arial" w:hAnsi="Arial" w:cs="Arial"/>
          <w:sz w:val="24"/>
          <w:szCs w:val="24"/>
        </w:rPr>
        <w:t>**********</w:t>
      </w:r>
      <w:r w:rsidRPr="00FA6C23">
        <w:rPr>
          <w:rFonts w:ascii="Arial" w:hAnsi="Arial" w:cs="Arial"/>
          <w:sz w:val="24"/>
          <w:szCs w:val="24"/>
        </w:rPr>
        <w:t xml:space="preserve">, de fecha </w:t>
      </w:r>
      <w:r>
        <w:rPr>
          <w:rFonts w:ascii="Arial" w:hAnsi="Arial" w:cs="Arial"/>
          <w:sz w:val="24"/>
          <w:szCs w:val="24"/>
        </w:rPr>
        <w:t xml:space="preserve">veintisiete de julio de dos mil dieciocho (27/07/2018), </w:t>
      </w:r>
      <w:r w:rsidRPr="00FA6C23">
        <w:rPr>
          <w:rFonts w:ascii="Arial" w:hAnsi="Arial" w:cs="Arial"/>
          <w:sz w:val="24"/>
          <w:szCs w:val="24"/>
        </w:rPr>
        <w:t>expedido por la Directora de Ingresos y Recaudación de la Secretaría de Finanzas del Poder Ejecutivo del Estado</w:t>
      </w:r>
      <w:r>
        <w:rPr>
          <w:rFonts w:ascii="Arial" w:hAnsi="Arial" w:cs="Arial"/>
          <w:sz w:val="24"/>
          <w:szCs w:val="24"/>
        </w:rPr>
        <w:t xml:space="preserve"> (acto impugnado); </w:t>
      </w:r>
      <w:r w:rsidRPr="007526EE">
        <w:rPr>
          <w:rFonts w:ascii="Arial" w:hAnsi="Arial" w:cs="Arial"/>
          <w:b/>
          <w:sz w:val="24"/>
          <w:szCs w:val="24"/>
        </w:rPr>
        <w:t>2.-</w:t>
      </w:r>
      <w:r>
        <w:rPr>
          <w:rFonts w:ascii="Arial" w:hAnsi="Arial" w:cs="Arial"/>
          <w:sz w:val="24"/>
          <w:szCs w:val="24"/>
        </w:rPr>
        <w:t xml:space="preserve"> Formato de la declaración definitiva, Impuesto sobre erogaciones por remuneraciones al trabajo personal, con número de folio </w:t>
      </w:r>
      <w:r w:rsidR="005273DD">
        <w:rPr>
          <w:rFonts w:ascii="Arial" w:hAnsi="Arial" w:cs="Arial"/>
          <w:sz w:val="24"/>
          <w:szCs w:val="24"/>
        </w:rPr>
        <w:t>**********</w:t>
      </w:r>
      <w:r>
        <w:rPr>
          <w:rFonts w:ascii="Arial" w:hAnsi="Arial" w:cs="Arial"/>
          <w:sz w:val="24"/>
          <w:szCs w:val="24"/>
        </w:rPr>
        <w:t xml:space="preserve">, expedido a favor de la empresa </w:t>
      </w:r>
      <w:r w:rsidR="005273DD">
        <w:rPr>
          <w:rFonts w:ascii="Arial" w:hAnsi="Arial" w:cs="Arial"/>
          <w:sz w:val="24"/>
          <w:szCs w:val="24"/>
        </w:rPr>
        <w:t>***** *****</w:t>
      </w:r>
      <w:r>
        <w:rPr>
          <w:rFonts w:ascii="Arial" w:hAnsi="Arial" w:cs="Arial"/>
          <w:sz w:val="24"/>
          <w:szCs w:val="24"/>
        </w:rPr>
        <w:t xml:space="preserve"> S.A. DE C.V., con fecha diez de agosto de dos mil dieciocho (10/08/2018); </w:t>
      </w:r>
      <w:r>
        <w:rPr>
          <w:rFonts w:ascii="Arial" w:hAnsi="Arial" w:cs="Arial"/>
          <w:b/>
          <w:sz w:val="24"/>
          <w:szCs w:val="24"/>
        </w:rPr>
        <w:t xml:space="preserve">3.- </w:t>
      </w:r>
      <w:r>
        <w:rPr>
          <w:rFonts w:ascii="Arial" w:hAnsi="Arial" w:cs="Arial"/>
          <w:sz w:val="24"/>
          <w:szCs w:val="24"/>
        </w:rPr>
        <w:t xml:space="preserve">Copia certificada de Instrumento Notarial número </w:t>
      </w:r>
      <w:r w:rsidR="003F1998">
        <w:rPr>
          <w:rFonts w:ascii="Arial" w:hAnsi="Arial" w:cs="Arial"/>
          <w:sz w:val="24"/>
          <w:szCs w:val="24"/>
        </w:rPr>
        <w:t>*****</w:t>
      </w:r>
      <w:r>
        <w:rPr>
          <w:rFonts w:ascii="Arial" w:hAnsi="Arial" w:cs="Arial"/>
          <w:sz w:val="24"/>
          <w:szCs w:val="24"/>
        </w:rPr>
        <w:t>, pasado ante la fe del Notario Público Número Treinta y Uno en el Estado.</w:t>
      </w:r>
    </w:p>
    <w:p w14:paraId="2A844C26" w14:textId="199E445B" w:rsidR="0002020F" w:rsidRPr="005C6939" w:rsidRDefault="0002020F" w:rsidP="0002020F">
      <w:pPr>
        <w:spacing w:line="360" w:lineRule="auto"/>
        <w:ind w:firstLine="708"/>
        <w:jc w:val="both"/>
        <w:rPr>
          <w:rFonts w:ascii="Arial" w:hAnsi="Arial" w:cs="Arial"/>
          <w:b/>
          <w:sz w:val="24"/>
          <w:szCs w:val="24"/>
        </w:rPr>
      </w:pPr>
      <w:r>
        <w:rPr>
          <w:rFonts w:ascii="Arial" w:hAnsi="Arial" w:cs="Arial"/>
          <w:sz w:val="24"/>
          <w:szCs w:val="24"/>
        </w:rPr>
        <w:t xml:space="preserve">Por lo que respecta a la </w:t>
      </w:r>
      <w:r w:rsidRPr="00BE2E02">
        <w:rPr>
          <w:rFonts w:ascii="Arial" w:hAnsi="Arial" w:cs="Arial"/>
          <w:b/>
          <w:sz w:val="24"/>
          <w:szCs w:val="24"/>
        </w:rPr>
        <w:t>autoridad demandada</w:t>
      </w:r>
      <w:r>
        <w:rPr>
          <w:rFonts w:ascii="Arial" w:hAnsi="Arial" w:cs="Arial"/>
          <w:sz w:val="24"/>
          <w:szCs w:val="24"/>
        </w:rPr>
        <w:t xml:space="preserve">, se admitieron las </w:t>
      </w:r>
      <w:r w:rsidRPr="00BE2E02">
        <w:rPr>
          <w:rFonts w:ascii="Arial" w:hAnsi="Arial" w:cs="Arial"/>
          <w:b/>
          <w:sz w:val="24"/>
          <w:szCs w:val="24"/>
        </w:rPr>
        <w:t>DOCUMENTAL</w:t>
      </w:r>
      <w:r>
        <w:rPr>
          <w:rFonts w:ascii="Arial" w:hAnsi="Arial" w:cs="Arial"/>
          <w:b/>
          <w:sz w:val="24"/>
          <w:szCs w:val="24"/>
        </w:rPr>
        <w:t>ES</w:t>
      </w:r>
      <w:r>
        <w:rPr>
          <w:rFonts w:ascii="Arial" w:hAnsi="Arial" w:cs="Arial"/>
          <w:sz w:val="24"/>
          <w:szCs w:val="24"/>
        </w:rPr>
        <w:t xml:space="preserve"> consistentes en: </w:t>
      </w:r>
      <w:r>
        <w:rPr>
          <w:rFonts w:ascii="Arial" w:hAnsi="Arial" w:cs="Arial"/>
          <w:b/>
          <w:sz w:val="24"/>
          <w:szCs w:val="24"/>
        </w:rPr>
        <w:t xml:space="preserve">1.- </w:t>
      </w:r>
      <w:r w:rsidRPr="00A35F1B">
        <w:rPr>
          <w:rFonts w:ascii="Arial" w:hAnsi="Arial" w:cs="Arial"/>
          <w:sz w:val="24"/>
          <w:szCs w:val="24"/>
        </w:rPr>
        <w:t>C</w:t>
      </w:r>
      <w:r>
        <w:rPr>
          <w:rFonts w:ascii="Arial" w:hAnsi="Arial" w:cs="Arial"/>
          <w:sz w:val="24"/>
          <w:szCs w:val="24"/>
        </w:rPr>
        <w:t xml:space="preserve">opia certificada de nombramiento y toma de protesta de ley expedidos a favor de MAIRA CORTÉS REYNA Directora de lo Contencioso de la Secretaría de Finanzas del Gobierno del Estado; </w:t>
      </w:r>
      <w:r>
        <w:rPr>
          <w:rFonts w:ascii="Arial" w:hAnsi="Arial" w:cs="Arial"/>
          <w:b/>
          <w:sz w:val="24"/>
          <w:szCs w:val="24"/>
        </w:rPr>
        <w:t xml:space="preserve">2.- </w:t>
      </w:r>
      <w:r w:rsidRPr="00FF5C9B">
        <w:rPr>
          <w:rFonts w:ascii="Arial" w:hAnsi="Arial" w:cs="Arial"/>
          <w:sz w:val="24"/>
          <w:szCs w:val="24"/>
        </w:rPr>
        <w:t>Copia certificada del oficio</w:t>
      </w:r>
      <w:r>
        <w:rPr>
          <w:rFonts w:ascii="Arial" w:hAnsi="Arial" w:cs="Arial"/>
          <w:b/>
          <w:sz w:val="24"/>
          <w:szCs w:val="24"/>
        </w:rPr>
        <w:t xml:space="preserve"> </w:t>
      </w:r>
      <w:r w:rsidRPr="00FA6C23">
        <w:rPr>
          <w:rFonts w:ascii="Arial" w:hAnsi="Arial" w:cs="Arial"/>
          <w:sz w:val="24"/>
          <w:szCs w:val="24"/>
        </w:rPr>
        <w:t xml:space="preserve">con número de control </w:t>
      </w:r>
      <w:r w:rsidR="005273DD">
        <w:rPr>
          <w:rFonts w:ascii="Arial" w:hAnsi="Arial" w:cs="Arial"/>
          <w:sz w:val="24"/>
          <w:szCs w:val="24"/>
        </w:rPr>
        <w:t>**********</w:t>
      </w:r>
      <w:r w:rsidRPr="00FA6C23">
        <w:rPr>
          <w:rFonts w:ascii="Arial" w:hAnsi="Arial" w:cs="Arial"/>
          <w:sz w:val="24"/>
          <w:szCs w:val="24"/>
        </w:rPr>
        <w:t xml:space="preserve">, de </w:t>
      </w:r>
      <w:r w:rsidRPr="00FA6C23">
        <w:rPr>
          <w:rFonts w:ascii="Arial" w:hAnsi="Arial" w:cs="Arial"/>
          <w:sz w:val="24"/>
          <w:szCs w:val="24"/>
        </w:rPr>
        <w:lastRenderedPageBreak/>
        <w:t xml:space="preserve">fecha </w:t>
      </w:r>
      <w:r>
        <w:rPr>
          <w:rFonts w:ascii="Arial" w:hAnsi="Arial" w:cs="Arial"/>
          <w:sz w:val="24"/>
          <w:szCs w:val="24"/>
        </w:rPr>
        <w:t>veintisiete de julio de dos mil dieciocho (27/07/2018), y constancia de notificación del mismo.</w:t>
      </w:r>
    </w:p>
    <w:p w14:paraId="306A0986" w14:textId="77777777" w:rsidR="0002020F" w:rsidRDefault="0002020F" w:rsidP="0002020F">
      <w:pPr>
        <w:spacing w:line="360" w:lineRule="auto"/>
        <w:ind w:firstLine="708"/>
        <w:jc w:val="both"/>
        <w:rPr>
          <w:rFonts w:ascii="Arial" w:hAnsi="Arial" w:cs="Arial"/>
          <w:sz w:val="24"/>
          <w:szCs w:val="24"/>
        </w:rPr>
      </w:pPr>
      <w:r>
        <w:rPr>
          <w:rFonts w:ascii="Arial" w:hAnsi="Arial" w:cs="Arial"/>
          <w:sz w:val="24"/>
          <w:szCs w:val="24"/>
        </w:rPr>
        <w:t xml:space="preserve">A todas las pruebas remitidas por las partes, exhibidas en originales y copias certificadas, se les otorga </w:t>
      </w:r>
      <w:r w:rsidRPr="00ED2ADA">
        <w:rPr>
          <w:rFonts w:ascii="Arial" w:hAnsi="Arial" w:cs="Arial"/>
          <w:b/>
          <w:sz w:val="24"/>
          <w:szCs w:val="24"/>
        </w:rPr>
        <w:t>p</w:t>
      </w:r>
      <w:r w:rsidRPr="004B3A40">
        <w:rPr>
          <w:rFonts w:ascii="Arial" w:hAnsi="Arial" w:cs="Arial"/>
          <w:b/>
          <w:sz w:val="24"/>
          <w:szCs w:val="24"/>
        </w:rPr>
        <w:t>leno valor probatorio</w:t>
      </w:r>
      <w:r w:rsidRPr="00683973">
        <w:rPr>
          <w:rFonts w:ascii="Arial" w:hAnsi="Arial" w:cs="Arial"/>
          <w:sz w:val="24"/>
          <w:szCs w:val="24"/>
        </w:rPr>
        <w:t>,</w:t>
      </w:r>
      <w:r>
        <w:rPr>
          <w:rFonts w:ascii="Arial" w:hAnsi="Arial" w:cs="Arial"/>
          <w:sz w:val="24"/>
          <w:szCs w:val="24"/>
        </w:rPr>
        <w:t xml:space="preserve"> porque en las primeras referidas se advierte el nombre, firma, cargo y sello de la dependencia a la que pertenecen las personas que los emitieron, los restantes fueron certificados por personas con plenas facultades para ello, como son los Notarios Públicos números Treinta y Uno y Diecinueve en el Estado, </w:t>
      </w:r>
      <w:r w:rsidRPr="003D18EC">
        <w:rPr>
          <w:rFonts w:ascii="Arial" w:hAnsi="Arial" w:cs="Arial"/>
          <w:sz w:val="24"/>
          <w:szCs w:val="24"/>
        </w:rPr>
        <w:t>quien</w:t>
      </w:r>
      <w:r>
        <w:rPr>
          <w:rFonts w:ascii="Arial" w:hAnsi="Arial" w:cs="Arial"/>
          <w:sz w:val="24"/>
          <w:szCs w:val="24"/>
        </w:rPr>
        <w:t xml:space="preserve">es al certificar asentaron </w:t>
      </w:r>
      <w:r w:rsidRPr="003D18EC">
        <w:rPr>
          <w:rFonts w:ascii="Arial" w:hAnsi="Arial" w:cs="Arial"/>
          <w:sz w:val="24"/>
          <w:szCs w:val="24"/>
        </w:rPr>
        <w:t xml:space="preserve">haber cotejado </w:t>
      </w:r>
      <w:r>
        <w:rPr>
          <w:rFonts w:ascii="Arial" w:hAnsi="Arial" w:cs="Arial"/>
          <w:sz w:val="24"/>
          <w:szCs w:val="24"/>
        </w:rPr>
        <w:t xml:space="preserve">los documentos </w:t>
      </w:r>
      <w:r w:rsidRPr="003D18EC">
        <w:rPr>
          <w:rFonts w:ascii="Arial" w:hAnsi="Arial" w:cs="Arial"/>
          <w:sz w:val="24"/>
          <w:szCs w:val="24"/>
        </w:rPr>
        <w:t>con su</w:t>
      </w:r>
      <w:r>
        <w:rPr>
          <w:rFonts w:ascii="Arial" w:hAnsi="Arial" w:cs="Arial"/>
          <w:sz w:val="24"/>
          <w:szCs w:val="24"/>
        </w:rPr>
        <w:t>s</w:t>
      </w:r>
      <w:r w:rsidRPr="003D18EC">
        <w:rPr>
          <w:rFonts w:ascii="Arial" w:hAnsi="Arial" w:cs="Arial"/>
          <w:sz w:val="24"/>
          <w:szCs w:val="24"/>
        </w:rPr>
        <w:t xml:space="preserve"> original</w:t>
      </w:r>
      <w:r>
        <w:rPr>
          <w:rFonts w:ascii="Arial" w:hAnsi="Arial" w:cs="Arial"/>
          <w:sz w:val="24"/>
          <w:szCs w:val="24"/>
        </w:rPr>
        <w:t>es</w:t>
      </w:r>
      <w:r w:rsidRPr="003D18EC">
        <w:rPr>
          <w:rFonts w:ascii="Arial" w:hAnsi="Arial" w:cs="Arial"/>
          <w:sz w:val="24"/>
          <w:szCs w:val="24"/>
        </w:rPr>
        <w:t>,</w:t>
      </w:r>
      <w:r>
        <w:rPr>
          <w:rFonts w:ascii="Arial" w:hAnsi="Arial" w:cs="Arial"/>
          <w:sz w:val="24"/>
          <w:szCs w:val="24"/>
        </w:rPr>
        <w:t xml:space="preserve"> ello</w:t>
      </w:r>
      <w:r w:rsidRPr="003D18EC">
        <w:rPr>
          <w:rFonts w:ascii="Arial" w:hAnsi="Arial" w:cs="Arial"/>
          <w:sz w:val="24"/>
          <w:szCs w:val="24"/>
        </w:rPr>
        <w:t xml:space="preserve"> en uso de la fe pública</w:t>
      </w:r>
      <w:r>
        <w:rPr>
          <w:rFonts w:ascii="Arial" w:hAnsi="Arial" w:cs="Arial"/>
          <w:sz w:val="24"/>
          <w:szCs w:val="24"/>
        </w:rPr>
        <w:t xml:space="preserve"> que le confiere a los Notarios, el artículo 2 y 87, ambos de la Ley del Notariado para el Estado de Oaxaca, y las restantes por la Directora de Ingresos y Recaudación de la Secretaría de Finanzas, quien actuó de conformidad con el artículo 16 fracción VIII del Reglamento Interno de la Secretaría de Finanzas; circunstancias que generan convicción sobre la existencia y contenido de dichos documentos.</w:t>
      </w:r>
      <w:r w:rsidRPr="00D50754">
        <w:rPr>
          <w:rFonts w:ascii="Arial" w:hAnsi="Arial" w:cs="Arial"/>
          <w:sz w:val="24"/>
          <w:szCs w:val="24"/>
        </w:rPr>
        <w:t xml:space="preserve"> </w:t>
      </w:r>
      <w:r>
        <w:rPr>
          <w:rFonts w:ascii="Arial" w:hAnsi="Arial" w:cs="Arial"/>
          <w:sz w:val="24"/>
          <w:szCs w:val="24"/>
        </w:rPr>
        <w:t>Como apoyo a lo anterior se invoca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Pr="00011592">
        <w:rPr>
          <w:rFonts w:ascii="Arial" w:hAnsi="Arial" w:cs="Arial"/>
          <w:i/>
          <w:sz w:val="24"/>
          <w:szCs w:val="24"/>
        </w:rPr>
        <w:t>CERTIFICACIÓN DE COPIAS FOTOSTÁTICAS. ALCANCE DE LA EXPRESIÓN</w:t>
      </w:r>
      <w:r>
        <w:rPr>
          <w:rFonts w:ascii="Arial" w:hAnsi="Arial" w:cs="Arial"/>
          <w:sz w:val="24"/>
          <w:szCs w:val="24"/>
        </w:rPr>
        <w:t xml:space="preserve"> “</w:t>
      </w:r>
      <w:r w:rsidRPr="00A31E74">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Pr>
          <w:rFonts w:ascii="Arial" w:hAnsi="Arial" w:cs="Arial"/>
          <w:sz w:val="24"/>
          <w:szCs w:val="24"/>
        </w:rPr>
        <w:t xml:space="preserve">” </w:t>
      </w:r>
    </w:p>
    <w:p w14:paraId="6EFC2A9A" w14:textId="77777777" w:rsidR="0002020F" w:rsidRDefault="0002020F" w:rsidP="0002020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Las documentales ofrecidas, cumplen con los requisitos de validez y eficacia, quedando de manifiesto la </w:t>
      </w:r>
      <w:r w:rsidRPr="00500883">
        <w:rPr>
          <w:rFonts w:ascii="Arial" w:hAnsi="Arial" w:cs="Arial"/>
          <w:sz w:val="24"/>
          <w:szCs w:val="24"/>
        </w:rPr>
        <w:t>veracidad de su contenido, de conformidad a lo que establece el citado artículo 203 fracción I de la Ley de Procedimiento y Justicia Administrativa para el Estado de Oaxaca.</w:t>
      </w:r>
    </w:p>
    <w:p w14:paraId="5AFB3660" w14:textId="77777777" w:rsidR="0002020F" w:rsidRDefault="0002020F" w:rsidP="0002020F">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la demandada y actor, se constituye de la totalidad de las pruebas recabadas en el presente Juicio, y con ellas se conforma el contenido del enjuiciamiento, porque los hechos contenidos en las documentales son afirmaciones expresas.</w:t>
      </w:r>
    </w:p>
    <w:p w14:paraId="7261F862" w14:textId="77777777" w:rsidR="0002020F" w:rsidRDefault="0002020F" w:rsidP="0002020F">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la autoridad demandada y actor, se basa en los principios que las rigen, </w:t>
      </w:r>
      <w:r>
        <w:rPr>
          <w:rFonts w:ascii="Arial" w:hAnsi="Arial" w:cs="Arial"/>
          <w:sz w:val="24"/>
          <w:szCs w:val="24"/>
        </w:rPr>
        <w:lastRenderedPageBreak/>
        <w:t xml:space="preserve">consistentes en determinar la consecuencia que la ley deduce de un hecho conocido, para averiguar la verdad de otro desconocido, y que de no ofrecerse prueba en contrario, se acredita de este modo el hecho cuestionado. En tanto que la presunción humana, es una inferencia que el Juez deduce de un hecho conocido, obtenido de la totalidad de las pruebas para arribar al que se desconoce. - - - - - - - - - - - - - - - - - - - - - - - - - - - - - - </w:t>
      </w:r>
      <w:r w:rsidR="00527A5C">
        <w:rPr>
          <w:rFonts w:ascii="Arial" w:hAnsi="Arial" w:cs="Arial"/>
          <w:sz w:val="24"/>
          <w:szCs w:val="24"/>
        </w:rPr>
        <w:t>- -</w:t>
      </w:r>
    </w:p>
    <w:p w14:paraId="3382BCF1" w14:textId="77777777" w:rsidR="0002020F" w:rsidRDefault="0002020F" w:rsidP="0002020F">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sidRPr="00653BD0">
        <w:rPr>
          <w:rFonts w:ascii="Arial" w:hAnsi="Arial" w:cs="Arial"/>
          <w:sz w:val="24"/>
        </w:rPr>
        <w:t>Esta Juzgadora, no realiza la transcripción de los agravios vertidos por la</w:t>
      </w:r>
      <w:r>
        <w:rPr>
          <w:rFonts w:ascii="Arial" w:hAnsi="Arial" w:cs="Arial"/>
          <w:sz w:val="24"/>
        </w:rPr>
        <w:t xml:space="preserve"> parte</w:t>
      </w:r>
      <w:r w:rsidRPr="00653BD0">
        <w:rPr>
          <w:rFonts w:ascii="Arial" w:hAnsi="Arial" w:cs="Arial"/>
          <w:sz w:val="24"/>
        </w:rPr>
        <w:t xml:space="preserve"> 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xml:space="preserve">.- - - - - - - - - - - - - - - - - - - - - - - - - - - - - - - - - - - </w:t>
      </w:r>
      <w:r w:rsidR="00F90CB3">
        <w:rPr>
          <w:rFonts w:ascii="Arial" w:hAnsi="Arial" w:cs="Arial"/>
          <w:sz w:val="24"/>
          <w:szCs w:val="24"/>
        </w:rPr>
        <w:t xml:space="preserve">- - - - - - - - - - - - - - - - </w:t>
      </w:r>
    </w:p>
    <w:p w14:paraId="39972E69" w14:textId="68FF0C1C" w:rsidR="0002020F" w:rsidRDefault="0002020F" w:rsidP="0002020F">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CUARTO.- </w:t>
      </w:r>
      <w:r>
        <w:rPr>
          <w:rFonts w:ascii="Arial" w:hAnsi="Arial" w:cs="Arial"/>
          <w:sz w:val="24"/>
          <w:szCs w:val="24"/>
        </w:rPr>
        <w:t xml:space="preserve">La personalidad de la actora </w:t>
      </w:r>
      <w:r w:rsidR="005273DD">
        <w:rPr>
          <w:rFonts w:ascii="Arial" w:hAnsi="Arial" w:cs="Arial"/>
          <w:sz w:val="24"/>
          <w:szCs w:val="24"/>
        </w:rPr>
        <w:t>***** ***** ***** *****</w:t>
      </w:r>
      <w:r>
        <w:rPr>
          <w:rFonts w:ascii="Arial" w:hAnsi="Arial" w:cs="Arial"/>
          <w:sz w:val="24"/>
          <w:szCs w:val="24"/>
        </w:rPr>
        <w:t xml:space="preserve">,  como Representante Legal de la empresa </w:t>
      </w:r>
      <w:r w:rsidR="005273DD">
        <w:rPr>
          <w:rFonts w:ascii="Arial" w:hAnsi="Arial" w:cs="Arial"/>
          <w:sz w:val="24"/>
          <w:szCs w:val="24"/>
        </w:rPr>
        <w:t>***** *****</w:t>
      </w:r>
      <w:r>
        <w:rPr>
          <w:rFonts w:ascii="Arial" w:hAnsi="Arial" w:cs="Arial"/>
          <w:sz w:val="24"/>
          <w:szCs w:val="24"/>
        </w:rPr>
        <w:t xml:space="preserve"> S.A. DE C.V., quedó legalmente acreditada en términos de los artículos 148 segundo párrafo, 163 fracción I, inciso a) y 164, todos de la Ley de Procedimiento y Justicia Administrativa para el Estado, pues en el Instrumento Notarial que remitió, se advierte el Poder General para Pleitos y Cobranzas que le fue otorgado por el Presidente de Administración de la empresa referida, de ahí que haya quedado justificado su interés jurídico y legítimo en el presente asunto.</w:t>
      </w:r>
    </w:p>
    <w:p w14:paraId="77DC4935" w14:textId="77777777" w:rsidR="0002020F" w:rsidRPr="00CD56C1" w:rsidRDefault="0002020F" w:rsidP="0002020F">
      <w:pPr>
        <w:tabs>
          <w:tab w:val="center" w:pos="4574"/>
        </w:tabs>
        <w:spacing w:line="360" w:lineRule="auto"/>
        <w:ind w:firstLine="708"/>
        <w:jc w:val="both"/>
        <w:rPr>
          <w:rFonts w:ascii="Arial" w:hAnsi="Arial" w:cs="Arial"/>
          <w:sz w:val="24"/>
        </w:rPr>
      </w:pPr>
      <w:r w:rsidRPr="00CD56C1">
        <w:rPr>
          <w:rFonts w:ascii="Arial" w:hAnsi="Arial" w:cs="Arial"/>
          <w:sz w:val="24"/>
          <w:szCs w:val="24"/>
        </w:rPr>
        <w:t xml:space="preserve">Por lo que respecta a </w:t>
      </w:r>
      <w:r w:rsidRPr="00CD56C1">
        <w:rPr>
          <w:rFonts w:ascii="Arial" w:hAnsi="Arial" w:cs="Arial"/>
          <w:b/>
          <w:sz w:val="24"/>
          <w:szCs w:val="24"/>
        </w:rPr>
        <w:t>l</w:t>
      </w:r>
      <w:r w:rsidRPr="00CD56C1">
        <w:rPr>
          <w:rFonts w:ascii="Arial" w:hAnsi="Arial" w:cs="Arial"/>
          <w:b/>
          <w:sz w:val="24"/>
        </w:rPr>
        <w:t>a autoridad demandada</w:t>
      </w:r>
      <w:r w:rsidRPr="00CD56C1">
        <w:rPr>
          <w:rFonts w:ascii="Arial" w:hAnsi="Arial" w:cs="Arial"/>
          <w:sz w:val="24"/>
        </w:rPr>
        <w:t xml:space="preserve"> Directora de Ingresos y Recaudación de la Secretaría de Finanzas del Poder Ejecutivo del Estado, </w:t>
      </w:r>
      <w:r>
        <w:rPr>
          <w:rFonts w:ascii="Arial" w:hAnsi="Arial" w:cs="Arial"/>
          <w:sz w:val="24"/>
        </w:rPr>
        <w:t xml:space="preserve">representada </w:t>
      </w:r>
      <w:r w:rsidRPr="009C234E">
        <w:rPr>
          <w:rFonts w:ascii="Arial" w:hAnsi="Arial" w:cs="Arial"/>
          <w:sz w:val="24"/>
        </w:rPr>
        <w:t>en este Juicio por la Directora de lo Contencioso de aquella Secretaría</w:t>
      </w:r>
      <w:r>
        <w:rPr>
          <w:rFonts w:ascii="Arial" w:hAnsi="Arial" w:cs="Arial"/>
          <w:sz w:val="24"/>
        </w:rPr>
        <w:t>, se tiene por acreditada su</w:t>
      </w:r>
      <w:r w:rsidRPr="00CD56C1">
        <w:rPr>
          <w:rFonts w:ascii="Arial" w:hAnsi="Arial" w:cs="Arial"/>
          <w:sz w:val="24"/>
        </w:rPr>
        <w:t xml:space="preserve"> personalidad</w:t>
      </w:r>
      <w:r>
        <w:rPr>
          <w:rFonts w:ascii="Arial" w:hAnsi="Arial" w:cs="Arial"/>
          <w:sz w:val="24"/>
        </w:rPr>
        <w:t xml:space="preserve">, </w:t>
      </w:r>
      <w:r w:rsidRPr="00CD56C1">
        <w:rPr>
          <w:rFonts w:ascii="Arial" w:hAnsi="Arial" w:cs="Arial"/>
          <w:sz w:val="24"/>
        </w:rPr>
        <w:t xml:space="preserve">en términos del artículo 151 de la Ley de </w:t>
      </w:r>
      <w:r w:rsidRPr="002909FE">
        <w:rPr>
          <w:rFonts w:ascii="Arial" w:hAnsi="Arial" w:cs="Arial"/>
          <w:sz w:val="24"/>
        </w:rPr>
        <w:t xml:space="preserve">Procedimiento y Justicia Administrativa del Estado de Oaxaca, toda vez que no fue </w:t>
      </w:r>
      <w:r>
        <w:rPr>
          <w:rFonts w:ascii="Arial" w:hAnsi="Arial" w:cs="Arial"/>
          <w:sz w:val="24"/>
        </w:rPr>
        <w:t>objetada</w:t>
      </w:r>
      <w:r w:rsidRPr="002909FE">
        <w:rPr>
          <w:rFonts w:ascii="Arial" w:hAnsi="Arial" w:cs="Arial"/>
          <w:sz w:val="24"/>
        </w:rPr>
        <w:t xml:space="preserve"> por la parte actora</w:t>
      </w:r>
      <w:r>
        <w:rPr>
          <w:rFonts w:ascii="Arial" w:hAnsi="Arial" w:cs="Arial"/>
          <w:sz w:val="24"/>
        </w:rPr>
        <w:t>, más aun que ésta última remitió copia certificada de su nombramiento y toma de protesta de ley, con lo que sin duda satisface el requisito dispuesto en el artículo 151 de la Ley de Procedimiento y Justicia Administrativa para el Estado de Oaxaca</w:t>
      </w:r>
      <w:r w:rsidRPr="002909FE">
        <w:rPr>
          <w:rFonts w:ascii="Arial" w:hAnsi="Arial" w:cs="Arial"/>
          <w:sz w:val="24"/>
        </w:rPr>
        <w:t xml:space="preserve">.- </w:t>
      </w:r>
    </w:p>
    <w:p w14:paraId="58F17901" w14:textId="77777777" w:rsidR="0002020F" w:rsidRPr="00E053AE" w:rsidRDefault="0002020F" w:rsidP="0002020F">
      <w:pPr>
        <w:tabs>
          <w:tab w:val="center" w:pos="4574"/>
        </w:tabs>
        <w:spacing w:line="360" w:lineRule="auto"/>
        <w:ind w:firstLine="708"/>
        <w:jc w:val="both"/>
        <w:rPr>
          <w:rFonts w:ascii="Arial" w:hAnsi="Arial" w:cs="Arial"/>
          <w:sz w:val="24"/>
          <w:szCs w:val="24"/>
        </w:rPr>
      </w:pPr>
      <w:r w:rsidRPr="00361085">
        <w:rPr>
          <w:rFonts w:ascii="Arial" w:hAnsi="Arial" w:cs="Arial"/>
          <w:b/>
          <w:sz w:val="24"/>
          <w:szCs w:val="24"/>
        </w:rPr>
        <w:t xml:space="preserve">QUINTO.-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w:t>
      </w:r>
      <w:r>
        <w:rPr>
          <w:rFonts w:ascii="Arial" w:hAnsi="Arial" w:cs="Arial"/>
          <w:sz w:val="24"/>
          <w:szCs w:val="24"/>
        </w:rPr>
        <w:lastRenderedPageBreak/>
        <w:t>normativas, surge un impedimento para resolver el fondo del asunto, que obliga a decretar el sobreseimiento,</w:t>
      </w:r>
      <w:r w:rsidRPr="00CD56C1">
        <w:rPr>
          <w:rFonts w:ascii="Arial" w:hAnsi="Arial" w:cs="Arial"/>
          <w:sz w:val="24"/>
          <w:szCs w:val="24"/>
        </w:rPr>
        <w:t xml:space="preserve"> </w:t>
      </w:r>
      <w:r w:rsidRPr="00201B47">
        <w:rPr>
          <w:rFonts w:ascii="Arial" w:hAnsi="Arial" w:cs="Arial"/>
          <w:sz w:val="24"/>
          <w:szCs w:val="24"/>
        </w:rPr>
        <w:t>tal y como se establece en los artículos 161 y 162, de la Ley de Procedimiento</w:t>
      </w:r>
      <w:r>
        <w:rPr>
          <w:rFonts w:ascii="Arial" w:hAnsi="Arial" w:cs="Arial"/>
          <w:sz w:val="24"/>
          <w:szCs w:val="24"/>
        </w:rPr>
        <w:t xml:space="preserve"> y Justicia Administrativa </w:t>
      </w:r>
      <w:r w:rsidRPr="00E053AE">
        <w:rPr>
          <w:rFonts w:ascii="Arial" w:hAnsi="Arial" w:cs="Arial"/>
          <w:sz w:val="24"/>
          <w:szCs w:val="24"/>
        </w:rPr>
        <w:t>para el Estado de Oaxaca.</w:t>
      </w:r>
    </w:p>
    <w:p w14:paraId="42BBF3DB" w14:textId="77777777" w:rsidR="0002020F" w:rsidRPr="00E053AE" w:rsidRDefault="0002020F" w:rsidP="0002020F">
      <w:pPr>
        <w:tabs>
          <w:tab w:val="center" w:pos="4574"/>
        </w:tabs>
        <w:spacing w:line="360" w:lineRule="auto"/>
        <w:ind w:firstLine="708"/>
        <w:jc w:val="both"/>
        <w:rPr>
          <w:rFonts w:ascii="Arial" w:hAnsi="Arial" w:cs="Arial"/>
          <w:sz w:val="24"/>
        </w:rPr>
      </w:pPr>
      <w:r w:rsidRPr="00E053AE">
        <w:rPr>
          <w:rFonts w:ascii="Arial" w:hAnsi="Arial" w:cs="Arial"/>
          <w:bCs/>
          <w:sz w:val="24"/>
        </w:rPr>
        <w:t xml:space="preserve">La autoridad demandada no hizo valer causal de improcedencia alguna, tampoco </w:t>
      </w:r>
      <w:r>
        <w:rPr>
          <w:rFonts w:ascii="Arial" w:hAnsi="Arial" w:cs="Arial"/>
          <w:bCs/>
          <w:sz w:val="24"/>
        </w:rPr>
        <w:t xml:space="preserve">se </w:t>
      </w:r>
      <w:r w:rsidRPr="00E053AE">
        <w:rPr>
          <w:rFonts w:ascii="Arial" w:hAnsi="Arial" w:cs="Arial"/>
          <w:bCs/>
          <w:sz w:val="24"/>
        </w:rPr>
        <w:t>advierte que se actualice algún motivo, causa o razón, que impida entrar al estudio de fondo del presente asunto, consecuentemente,</w:t>
      </w:r>
      <w:r w:rsidRPr="00E053AE">
        <w:rPr>
          <w:rFonts w:ascii="Arial" w:hAnsi="Arial" w:cs="Arial"/>
          <w:sz w:val="24"/>
        </w:rPr>
        <w:t xml:space="preserve"> </w:t>
      </w:r>
      <w:r w:rsidRPr="00E053AE">
        <w:rPr>
          <w:rFonts w:ascii="Arial" w:hAnsi="Arial" w:cs="Arial"/>
          <w:b/>
          <w:sz w:val="24"/>
        </w:rPr>
        <w:t>NO SE SOBRESEE ESTE JUICIO</w:t>
      </w:r>
      <w:r w:rsidRPr="00E053AE">
        <w:rPr>
          <w:rFonts w:ascii="Arial" w:hAnsi="Arial" w:cs="Arial"/>
          <w:sz w:val="24"/>
        </w:rPr>
        <w:t xml:space="preserve">. - - - - - - - - - - - - - - </w:t>
      </w:r>
      <w:r w:rsidR="00F90CB3">
        <w:rPr>
          <w:rFonts w:ascii="Arial" w:hAnsi="Arial" w:cs="Arial"/>
          <w:sz w:val="24"/>
        </w:rPr>
        <w:t xml:space="preserve">- </w:t>
      </w:r>
    </w:p>
    <w:p w14:paraId="3F86DFE4" w14:textId="77777777" w:rsidR="0002020F" w:rsidRDefault="0002020F" w:rsidP="0002020F">
      <w:pPr>
        <w:tabs>
          <w:tab w:val="left" w:pos="284"/>
          <w:tab w:val="left" w:pos="567"/>
        </w:tabs>
        <w:spacing w:before="240" w:line="360" w:lineRule="auto"/>
        <w:jc w:val="both"/>
        <w:rPr>
          <w:rFonts w:ascii="Arial" w:hAnsi="Arial" w:cs="Arial"/>
          <w:b/>
          <w:sz w:val="24"/>
          <w:szCs w:val="24"/>
        </w:rPr>
      </w:pPr>
      <w:r>
        <w:rPr>
          <w:rFonts w:ascii="Arial" w:hAnsi="Arial" w:cs="Arial"/>
          <w:b/>
          <w:sz w:val="24"/>
          <w:szCs w:val="24"/>
        </w:rPr>
        <w:tab/>
      </w:r>
      <w:r>
        <w:rPr>
          <w:rFonts w:ascii="Arial" w:hAnsi="Arial" w:cs="Arial"/>
          <w:b/>
          <w:sz w:val="24"/>
          <w:szCs w:val="24"/>
        </w:rPr>
        <w:tab/>
      </w:r>
      <w:r w:rsidRPr="006D7488">
        <w:rPr>
          <w:rFonts w:ascii="Arial" w:hAnsi="Arial" w:cs="Arial"/>
          <w:b/>
          <w:sz w:val="24"/>
          <w:szCs w:val="24"/>
        </w:rPr>
        <w:t>SEXTO.-</w:t>
      </w:r>
      <w:r>
        <w:rPr>
          <w:rFonts w:ascii="Arial" w:hAnsi="Arial" w:cs="Arial"/>
          <w:b/>
          <w:sz w:val="24"/>
          <w:szCs w:val="24"/>
        </w:rPr>
        <w:t xml:space="preserve"> </w:t>
      </w:r>
      <w:r w:rsidRPr="00321C1D">
        <w:rPr>
          <w:rFonts w:ascii="Arial" w:hAnsi="Arial" w:cs="Arial"/>
          <w:sz w:val="24"/>
          <w:szCs w:val="24"/>
        </w:rPr>
        <w:t xml:space="preserve">Esta Juzgadora toma en cuenta las pruebas aportadas en este Juicio, así como </w:t>
      </w:r>
      <w:r w:rsidRPr="006029E3">
        <w:rPr>
          <w:rFonts w:ascii="Arial" w:hAnsi="Arial" w:cs="Arial"/>
          <w:sz w:val="24"/>
          <w:szCs w:val="24"/>
        </w:rPr>
        <w:t xml:space="preserve">la postura de las partes, datos con los que es posible concluir que son </w:t>
      </w:r>
      <w:r w:rsidRPr="006029E3">
        <w:rPr>
          <w:rFonts w:ascii="Arial" w:hAnsi="Arial" w:cs="Arial"/>
          <w:b/>
          <w:sz w:val="24"/>
          <w:szCs w:val="24"/>
        </w:rPr>
        <w:t xml:space="preserve">fundados los agravios </w:t>
      </w:r>
      <w:r w:rsidRPr="006029E3">
        <w:rPr>
          <w:rFonts w:ascii="Arial" w:hAnsi="Arial" w:cs="Arial"/>
          <w:sz w:val="24"/>
          <w:szCs w:val="24"/>
        </w:rPr>
        <w:t xml:space="preserve">expuestos por </w:t>
      </w:r>
      <w:r>
        <w:rPr>
          <w:rFonts w:ascii="Arial" w:hAnsi="Arial" w:cs="Arial"/>
          <w:sz w:val="24"/>
          <w:szCs w:val="24"/>
        </w:rPr>
        <w:t>la</w:t>
      </w:r>
      <w:r w:rsidRPr="006029E3">
        <w:rPr>
          <w:rFonts w:ascii="Arial" w:hAnsi="Arial" w:cs="Arial"/>
          <w:sz w:val="24"/>
          <w:szCs w:val="24"/>
        </w:rPr>
        <w:t xml:space="preserve"> actor</w:t>
      </w:r>
      <w:r>
        <w:rPr>
          <w:rFonts w:ascii="Arial" w:hAnsi="Arial" w:cs="Arial"/>
          <w:sz w:val="24"/>
          <w:szCs w:val="24"/>
        </w:rPr>
        <w:t>a</w:t>
      </w:r>
      <w:r w:rsidRPr="006029E3">
        <w:rPr>
          <w:rFonts w:ascii="Arial" w:hAnsi="Arial" w:cs="Arial"/>
          <w:sz w:val="24"/>
          <w:szCs w:val="24"/>
        </w:rPr>
        <w:t>.</w:t>
      </w:r>
      <w:r>
        <w:rPr>
          <w:rFonts w:ascii="Arial" w:hAnsi="Arial" w:cs="Arial"/>
          <w:b/>
          <w:sz w:val="24"/>
          <w:szCs w:val="24"/>
        </w:rPr>
        <w:t xml:space="preserve"> </w:t>
      </w:r>
    </w:p>
    <w:p w14:paraId="344804AC" w14:textId="11F8CCE3" w:rsidR="0002020F" w:rsidRDefault="0002020F" w:rsidP="0002020F">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t xml:space="preserve">En primer lugar se toma en cuenta que la fecha de notificación efectuada a través del Servicio Postal Mexicano de la multa por infracción con número de folio </w:t>
      </w:r>
      <w:r w:rsidR="005273DD">
        <w:rPr>
          <w:rFonts w:ascii="Arial" w:hAnsi="Arial" w:cs="Arial"/>
          <w:sz w:val="24"/>
          <w:szCs w:val="24"/>
        </w:rPr>
        <w:t>**********</w:t>
      </w:r>
      <w:r>
        <w:rPr>
          <w:rFonts w:ascii="Arial" w:hAnsi="Arial" w:cs="Arial"/>
          <w:sz w:val="24"/>
          <w:szCs w:val="24"/>
        </w:rPr>
        <w:t xml:space="preserve">, según en el acuse de recibo remitido por la autoridad demandada fue el día veinte de agosto de dos mil dieciocho (20/08/2018), la cual difiere de la fecha en que la actora señaló fue notificada diecisiete de octubre de dos mil dieciocho (17/10/2018), ahora bien, la multa por infracción que se notificó por ese medio (Servicio Postal Mexicano), encuadra en la hipótesis del artículo 134 fracción IV del Código Fiscal para el Estado de Oaxaca, pues se trata de un acto administrativo que puede ser recurrido, y en ese supuesto, </w:t>
      </w:r>
      <w:r w:rsidRPr="00746356">
        <w:rPr>
          <w:rFonts w:ascii="Arial" w:hAnsi="Arial" w:cs="Arial"/>
          <w:b/>
          <w:sz w:val="24"/>
          <w:szCs w:val="24"/>
        </w:rPr>
        <w:t>debe notificarse personalmente</w:t>
      </w:r>
      <w:r>
        <w:rPr>
          <w:rFonts w:ascii="Arial" w:hAnsi="Arial" w:cs="Arial"/>
          <w:sz w:val="24"/>
          <w:szCs w:val="24"/>
        </w:rPr>
        <w:t xml:space="preserve">, pues así expresamente lo dispone la Ley, circunstancia que se reafirma con lo dispuesto en el artículo 135 de dicho ordenamiento legal, el cual dispone que los actos administrativos distintos a los señalados en el numeral 134, podrán ser notificados por correo ordinario o telegrama; sin que se pase desapercibido el hecho de que el referido Código Fiscal prevé en su artículo 132 último párrafo, que las notificaciones por correo certificado se consideraran notificaciones personales, pues de conformidad con el criterio adoptado por el Máximo Tribunal de este País, para que las notificaciones realizadas por correo certificado con acuse de recibo tengan eficacia jurídica, es necesario se ajusten a lo establecido en los artículo 27, 42, 59 fracción I y 61 fracción I de la Ley de Servicio Postal Mexicano; es decir, que </w:t>
      </w:r>
      <w:r w:rsidRPr="003F6A32">
        <w:rPr>
          <w:rFonts w:ascii="Arial" w:hAnsi="Arial" w:cs="Arial"/>
          <w:b/>
          <w:sz w:val="24"/>
          <w:szCs w:val="24"/>
        </w:rPr>
        <w:t xml:space="preserve">la correspondencia registrada sea entregada únicamente al destinatario o su representante legal </w:t>
      </w:r>
      <w:r>
        <w:rPr>
          <w:rFonts w:ascii="Arial" w:hAnsi="Arial" w:cs="Arial"/>
          <w:sz w:val="24"/>
          <w:szCs w:val="24"/>
        </w:rPr>
        <w:t xml:space="preserve">en su domicilio, que la firma de recepción sea plasmada por el destinatario en un documento especial, la cual será entregada al remitente como constancia del acto; solo de esa forma puede garantizarse que esa pieza postal fue recibida por el destinatario, </w:t>
      </w:r>
      <w:r>
        <w:rPr>
          <w:rFonts w:ascii="Arial" w:hAnsi="Arial" w:cs="Arial"/>
          <w:sz w:val="24"/>
          <w:szCs w:val="24"/>
        </w:rPr>
        <w:lastRenderedPageBreak/>
        <w:t xml:space="preserve">circunstancia que permite autentificar la legalidad de ese acto (seguridad jurídica); lo que </w:t>
      </w:r>
      <w:r w:rsidRPr="00746356">
        <w:rPr>
          <w:rFonts w:ascii="Arial" w:hAnsi="Arial" w:cs="Arial"/>
          <w:b/>
          <w:sz w:val="24"/>
          <w:szCs w:val="24"/>
        </w:rPr>
        <w:t>en el caso concreto no ocurrió</w:t>
      </w:r>
      <w:r>
        <w:rPr>
          <w:rFonts w:ascii="Arial" w:hAnsi="Arial" w:cs="Arial"/>
          <w:sz w:val="24"/>
          <w:szCs w:val="24"/>
        </w:rPr>
        <w:t xml:space="preserve">, pues en autos no consta que la notificación haya sido entregada de forma personal al actor o su representante legal, circunstancia que se tiene por cierta, pues del acuse de recibo remitido por la autoridad demandada se advierte que quien firmó dicho documento fue una persona distinta, sin que se encuentre justificado en este asunto que esa persona sea representante legal de la empresa </w:t>
      </w:r>
      <w:r w:rsidR="005273DD">
        <w:rPr>
          <w:rFonts w:ascii="Arial" w:hAnsi="Arial" w:cs="Arial"/>
          <w:sz w:val="24"/>
          <w:szCs w:val="24"/>
        </w:rPr>
        <w:t>***** *****</w:t>
      </w:r>
      <w:r>
        <w:rPr>
          <w:rFonts w:ascii="Arial" w:hAnsi="Arial" w:cs="Arial"/>
          <w:sz w:val="24"/>
          <w:szCs w:val="24"/>
        </w:rPr>
        <w:t xml:space="preserve"> S.A. DE C.V., por lo que al no haberse efectuado de forma personal como lo prescribe la normatividad, sin duda escapa de las consideraciones referidas por el más alto Tribunal del País, consecuentemente, la notificación del acto impugnado </w:t>
      </w:r>
      <w:r w:rsidRPr="008647AA">
        <w:rPr>
          <w:rFonts w:ascii="Arial" w:hAnsi="Arial" w:cs="Arial"/>
          <w:sz w:val="24"/>
          <w:szCs w:val="24"/>
          <w:u w:val="single"/>
        </w:rPr>
        <w:t>resulta ilegal</w:t>
      </w:r>
      <w:r>
        <w:rPr>
          <w:rFonts w:ascii="Arial" w:hAnsi="Arial" w:cs="Arial"/>
          <w:sz w:val="24"/>
          <w:szCs w:val="24"/>
        </w:rPr>
        <w:t>. Sirve de apoyo a lo anterior la Jurisprudencia con datos de identificación: Semanario Judicial de la Federación y su Gaceta, Tomo XXII, Septiembre de 2005, Novena Época, Pág. 1316, registro 177244, Jurisprudencia Administrativa, Tribunales Colegiados de Circuito, y de rubro: “</w:t>
      </w:r>
      <w:r w:rsidRPr="00B85908">
        <w:rPr>
          <w:rFonts w:ascii="Arial" w:hAnsi="Arial" w:cs="Arial"/>
          <w:i/>
          <w:sz w:val="24"/>
          <w:szCs w:val="24"/>
        </w:rPr>
        <w:t xml:space="preserve">NOTIFICACIONES POR CORREO CERTIFICADO CON ACUSE DE RECIBO EN EL JUICIO </w:t>
      </w:r>
      <w:r w:rsidRPr="00EE33AF">
        <w:rPr>
          <w:rFonts w:ascii="Arial" w:hAnsi="Arial" w:cs="Arial"/>
          <w:i/>
          <w:sz w:val="24"/>
          <w:szCs w:val="24"/>
        </w:rPr>
        <w:t>FISCAL. REQUISITOS QUE DEBEN COLMAR PARA QUE GOCEN DE EFICACIA</w:t>
      </w:r>
      <w:r w:rsidRPr="00B85908">
        <w:rPr>
          <w:rFonts w:ascii="Arial" w:hAnsi="Arial" w:cs="Arial"/>
          <w:i/>
          <w:sz w:val="24"/>
          <w:szCs w:val="24"/>
        </w:rPr>
        <w:t xml:space="preserve"> LEGAL.”</w:t>
      </w:r>
    </w:p>
    <w:p w14:paraId="49E801F7" w14:textId="6B194145" w:rsidR="0002020F" w:rsidRDefault="0002020F" w:rsidP="0002020F">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t xml:space="preserve">Respecto a la multa impuesta por infracción con número de folio </w:t>
      </w:r>
      <w:r w:rsidR="005273DD">
        <w:rPr>
          <w:rFonts w:ascii="Arial" w:hAnsi="Arial" w:cs="Arial"/>
          <w:sz w:val="24"/>
          <w:szCs w:val="24"/>
        </w:rPr>
        <w:t>**********</w:t>
      </w:r>
      <w:r>
        <w:rPr>
          <w:rFonts w:ascii="Arial" w:hAnsi="Arial" w:cs="Arial"/>
          <w:sz w:val="24"/>
          <w:szCs w:val="24"/>
        </w:rPr>
        <w:t xml:space="preserve">, la autoridad demandada identificó dos actos que atribuye a la Empresa </w:t>
      </w:r>
      <w:r w:rsidR="005273DD">
        <w:rPr>
          <w:rFonts w:ascii="Arial" w:hAnsi="Arial" w:cs="Arial"/>
          <w:sz w:val="24"/>
          <w:szCs w:val="24"/>
        </w:rPr>
        <w:t>***** *****</w:t>
      </w:r>
      <w:r>
        <w:rPr>
          <w:rFonts w:ascii="Arial" w:hAnsi="Arial" w:cs="Arial"/>
          <w:sz w:val="24"/>
          <w:szCs w:val="24"/>
        </w:rPr>
        <w:t xml:space="preserve"> S.A. DE C.V., el </w:t>
      </w:r>
      <w:r w:rsidRPr="002C491C">
        <w:rPr>
          <w:rFonts w:ascii="Arial" w:hAnsi="Arial" w:cs="Arial"/>
          <w:b/>
          <w:sz w:val="24"/>
          <w:szCs w:val="24"/>
        </w:rPr>
        <w:t>primero</w:t>
      </w:r>
      <w:r>
        <w:rPr>
          <w:rFonts w:ascii="Arial" w:hAnsi="Arial" w:cs="Arial"/>
          <w:sz w:val="24"/>
          <w:szCs w:val="24"/>
        </w:rPr>
        <w:t xml:space="preserve">, consistente en que es sujeto obligado al pago del </w:t>
      </w:r>
      <w:r w:rsidRPr="007555E1">
        <w:rPr>
          <w:rFonts w:ascii="Arial" w:hAnsi="Arial" w:cs="Arial"/>
          <w:sz w:val="24"/>
          <w:szCs w:val="24"/>
        </w:rPr>
        <w:t xml:space="preserve">Impuesto sobre erogaciones por remuneraciones al trabajo personal, y el </w:t>
      </w:r>
      <w:r w:rsidRPr="007555E1">
        <w:rPr>
          <w:rFonts w:ascii="Arial" w:hAnsi="Arial" w:cs="Arial"/>
          <w:b/>
          <w:sz w:val="24"/>
          <w:szCs w:val="24"/>
        </w:rPr>
        <w:t>segundo</w:t>
      </w:r>
      <w:r w:rsidRPr="007555E1">
        <w:rPr>
          <w:rFonts w:ascii="Arial" w:hAnsi="Arial" w:cs="Arial"/>
          <w:sz w:val="24"/>
          <w:szCs w:val="24"/>
        </w:rPr>
        <w:t>, que con motivo de esa obligación, omitió presentar las declaraciones bimestrales a las</w:t>
      </w:r>
      <w:r>
        <w:rPr>
          <w:rFonts w:ascii="Arial" w:hAnsi="Arial" w:cs="Arial"/>
          <w:sz w:val="24"/>
          <w:szCs w:val="24"/>
        </w:rPr>
        <w:t xml:space="preserve"> que se encuentra sujeto.</w:t>
      </w:r>
    </w:p>
    <w:p w14:paraId="64A04582" w14:textId="77777777" w:rsidR="0002020F" w:rsidRDefault="0002020F" w:rsidP="0002020F">
      <w:pPr>
        <w:tabs>
          <w:tab w:val="center" w:pos="4574"/>
        </w:tabs>
        <w:spacing w:line="360" w:lineRule="auto"/>
        <w:ind w:firstLine="708"/>
        <w:jc w:val="both"/>
        <w:rPr>
          <w:rFonts w:ascii="Arial" w:hAnsi="Arial" w:cs="Arial"/>
          <w:sz w:val="24"/>
          <w:szCs w:val="24"/>
        </w:rPr>
      </w:pPr>
      <w:r>
        <w:rPr>
          <w:rFonts w:ascii="Arial" w:hAnsi="Arial" w:cs="Arial"/>
          <w:sz w:val="24"/>
          <w:szCs w:val="24"/>
        </w:rPr>
        <w:tab/>
      </w:r>
      <w:r w:rsidRPr="00D87B7C">
        <w:rPr>
          <w:rFonts w:ascii="Arial" w:hAnsi="Arial" w:cs="Arial"/>
          <w:b/>
          <w:sz w:val="24"/>
          <w:szCs w:val="24"/>
        </w:rPr>
        <w:t>P</w:t>
      </w:r>
      <w:r w:rsidRPr="009F38E8">
        <w:rPr>
          <w:rFonts w:ascii="Arial" w:hAnsi="Arial" w:cs="Arial"/>
          <w:b/>
          <w:sz w:val="24"/>
          <w:szCs w:val="24"/>
        </w:rPr>
        <w:t>or lo que respecta al primer acto</w:t>
      </w:r>
      <w:r>
        <w:rPr>
          <w:rFonts w:ascii="Arial" w:hAnsi="Arial" w:cs="Arial"/>
          <w:sz w:val="24"/>
          <w:szCs w:val="24"/>
        </w:rPr>
        <w:t xml:space="preserve">, en las constancias de autos </w:t>
      </w:r>
      <w:r w:rsidRPr="00ED19DB">
        <w:rPr>
          <w:rFonts w:ascii="Arial" w:hAnsi="Arial" w:cs="Arial"/>
          <w:b/>
          <w:sz w:val="24"/>
          <w:szCs w:val="24"/>
        </w:rPr>
        <w:t>no se advierte</w:t>
      </w:r>
      <w:r>
        <w:rPr>
          <w:rFonts w:ascii="Arial" w:hAnsi="Arial" w:cs="Arial"/>
          <w:sz w:val="24"/>
          <w:szCs w:val="24"/>
        </w:rPr>
        <w:t xml:space="preserve"> cual es la actividad concreta que realiza dicha persona moral, para que la demandada considerara esa vinculación al pago del Impuesto que describe; máxime, que el impuesto al </w:t>
      </w:r>
      <w:r w:rsidRPr="005A57ED">
        <w:rPr>
          <w:rFonts w:ascii="Arial" w:hAnsi="Arial" w:cs="Arial"/>
          <w:sz w:val="24"/>
          <w:szCs w:val="24"/>
        </w:rPr>
        <w:t>que se refiere (Erogaciones por Remuneraciones al Trabajo Personal),</w:t>
      </w:r>
      <w:r>
        <w:rPr>
          <w:rFonts w:ascii="Arial" w:hAnsi="Arial" w:cs="Arial"/>
          <w:sz w:val="24"/>
          <w:szCs w:val="24"/>
        </w:rPr>
        <w:t xml:space="preserve"> se establece en el artículo 63 de la Ley Estatal de Hacienda, y esta contiene dos fracciones, con supuestos distintos, además, identifica otros conceptos que comprenden las remuneraciones al trabajo personal, al prescribir: “</w:t>
      </w:r>
      <w:r w:rsidRPr="00491628">
        <w:rPr>
          <w:rFonts w:ascii="Arial" w:hAnsi="Arial" w:cs="Arial"/>
          <w:b/>
          <w:i/>
          <w:sz w:val="24"/>
          <w:szCs w:val="24"/>
        </w:rPr>
        <w:t>ARTÍCULO 63.</w:t>
      </w:r>
      <w:r w:rsidRPr="004C11FE">
        <w:rPr>
          <w:rFonts w:ascii="Arial" w:hAnsi="Arial" w:cs="Arial"/>
          <w:i/>
          <w:sz w:val="24"/>
          <w:szCs w:val="24"/>
        </w:rPr>
        <w:t xml:space="preserve"> Son objeto de este impuesto: I. Las erogaciones en efectivo o en especie, por concepto de remuneraciones al trabajo personal, prestado dentro del territorio del Estado, bajo la dirección o dependencia de un patrón, o que se realicen mediante un contratista, intermediario laboral, tercero o cualquiera que sea su denominación, aun cuando cualesquiera de los sujetos mencionados en esta fracción, o todos ellos tengan su domicilio fiscal fuera del Estado, y II. </w:t>
      </w:r>
      <w:r w:rsidRPr="004C11FE">
        <w:rPr>
          <w:rFonts w:ascii="Arial" w:hAnsi="Arial" w:cs="Arial"/>
          <w:i/>
          <w:sz w:val="24"/>
          <w:szCs w:val="24"/>
        </w:rPr>
        <w:lastRenderedPageBreak/>
        <w:t xml:space="preserve">Las erogaciones en efectivo o en especie, por concepto de remuneraciones al trabajo personal, por los servicios prestados dentro del territorio del estado, </w:t>
      </w:r>
      <w:proofErr w:type="spellStart"/>
      <w:r w:rsidRPr="004C11FE">
        <w:rPr>
          <w:rFonts w:ascii="Arial" w:hAnsi="Arial" w:cs="Arial"/>
          <w:i/>
          <w:sz w:val="24"/>
          <w:szCs w:val="24"/>
        </w:rPr>
        <w:t>aún</w:t>
      </w:r>
      <w:proofErr w:type="spellEnd"/>
      <w:r w:rsidRPr="004C11FE">
        <w:rPr>
          <w:rFonts w:ascii="Arial" w:hAnsi="Arial" w:cs="Arial"/>
          <w:i/>
          <w:sz w:val="24"/>
          <w:szCs w:val="24"/>
        </w:rPr>
        <w:t xml:space="preserve"> cuando los prestadores del servicio o los beneficiarios del mismo, o ambos, tengan su domicilio fiscal fuera de éste</w:t>
      </w:r>
      <w:r>
        <w:rPr>
          <w:rFonts w:ascii="Arial" w:hAnsi="Arial" w:cs="Arial"/>
          <w:i/>
          <w:sz w:val="24"/>
          <w:szCs w:val="24"/>
        </w:rPr>
        <w:t xml:space="preserve">. </w:t>
      </w:r>
      <w:r w:rsidRPr="008B0978">
        <w:rPr>
          <w:rFonts w:ascii="Arial" w:hAnsi="Arial" w:cs="Arial"/>
          <w:i/>
          <w:sz w:val="24"/>
          <w:szCs w:val="24"/>
        </w:rPr>
        <w:t>Para los efectos de este impuesto quedan comprendidas en el concepto de</w:t>
      </w:r>
      <w:r>
        <w:rPr>
          <w:rFonts w:ascii="Arial" w:hAnsi="Arial" w:cs="Arial"/>
          <w:i/>
          <w:sz w:val="24"/>
          <w:szCs w:val="24"/>
        </w:rPr>
        <w:t xml:space="preserve"> </w:t>
      </w:r>
      <w:r w:rsidRPr="008B0978">
        <w:rPr>
          <w:rFonts w:ascii="Arial" w:hAnsi="Arial" w:cs="Arial"/>
          <w:i/>
          <w:sz w:val="24"/>
          <w:szCs w:val="24"/>
        </w:rPr>
        <w:t>remuneraciones al trabajo personal, ya sea subordinado o no, los sueldos y salarios, los cuales se integran con los pagos hechos en efectivo por cuota diaria; gratificaciones,</w:t>
      </w:r>
      <w:r>
        <w:rPr>
          <w:rFonts w:ascii="Arial" w:hAnsi="Arial" w:cs="Arial"/>
          <w:i/>
          <w:sz w:val="24"/>
          <w:szCs w:val="24"/>
        </w:rPr>
        <w:t xml:space="preserve"> </w:t>
      </w:r>
      <w:r w:rsidRPr="008B0978">
        <w:rPr>
          <w:rFonts w:ascii="Arial" w:hAnsi="Arial" w:cs="Arial"/>
          <w:i/>
          <w:sz w:val="24"/>
          <w:szCs w:val="24"/>
        </w:rPr>
        <w:t>percepciones, habitación, primas, pagos por concepto de fondo de ahorro que no se</w:t>
      </w:r>
      <w:r>
        <w:rPr>
          <w:rFonts w:ascii="Arial" w:hAnsi="Arial" w:cs="Arial"/>
          <w:i/>
          <w:sz w:val="24"/>
          <w:szCs w:val="24"/>
        </w:rPr>
        <w:t xml:space="preserve"> </w:t>
      </w:r>
      <w:r w:rsidRPr="008B0978">
        <w:rPr>
          <w:rFonts w:ascii="Arial" w:hAnsi="Arial" w:cs="Arial"/>
          <w:i/>
          <w:sz w:val="24"/>
          <w:szCs w:val="24"/>
        </w:rPr>
        <w:t>encuentren registrados ante la Comisión Nacional del Sistema de Ahorro para el Retiro,</w:t>
      </w:r>
      <w:r>
        <w:rPr>
          <w:rFonts w:ascii="Arial" w:hAnsi="Arial" w:cs="Arial"/>
          <w:i/>
          <w:sz w:val="24"/>
          <w:szCs w:val="24"/>
        </w:rPr>
        <w:t xml:space="preserve"> </w:t>
      </w:r>
      <w:r w:rsidRPr="008B0978">
        <w:rPr>
          <w:rFonts w:ascii="Arial" w:hAnsi="Arial" w:cs="Arial"/>
          <w:i/>
          <w:sz w:val="24"/>
          <w:szCs w:val="24"/>
        </w:rPr>
        <w:t>comisiones, prestaciones en especie; los honorarios profesionales, emolumentos;</w:t>
      </w:r>
      <w:r>
        <w:rPr>
          <w:rFonts w:ascii="Arial" w:hAnsi="Arial" w:cs="Arial"/>
          <w:i/>
          <w:sz w:val="24"/>
          <w:szCs w:val="24"/>
        </w:rPr>
        <w:t xml:space="preserve"> </w:t>
      </w:r>
      <w:r w:rsidRPr="008B0978">
        <w:rPr>
          <w:rFonts w:ascii="Arial" w:hAnsi="Arial" w:cs="Arial"/>
          <w:i/>
          <w:sz w:val="24"/>
          <w:szCs w:val="24"/>
        </w:rPr>
        <w:t>contraprestaciones contractuales, cuando el contrato tenga como objeto la prestación de</w:t>
      </w:r>
      <w:r>
        <w:rPr>
          <w:rFonts w:ascii="Arial" w:hAnsi="Arial" w:cs="Arial"/>
          <w:i/>
          <w:sz w:val="24"/>
          <w:szCs w:val="24"/>
        </w:rPr>
        <w:t xml:space="preserve"> </w:t>
      </w:r>
      <w:r w:rsidRPr="008B0978">
        <w:rPr>
          <w:rFonts w:ascii="Arial" w:hAnsi="Arial" w:cs="Arial"/>
          <w:i/>
          <w:sz w:val="24"/>
          <w:szCs w:val="24"/>
        </w:rPr>
        <w:t>un servicio; los pagos a los administradores, comisarios o miembros de los consejos</w:t>
      </w:r>
      <w:r>
        <w:rPr>
          <w:rFonts w:ascii="Arial" w:hAnsi="Arial" w:cs="Arial"/>
          <w:i/>
          <w:sz w:val="24"/>
          <w:szCs w:val="24"/>
        </w:rPr>
        <w:t xml:space="preserve"> </w:t>
      </w:r>
      <w:r w:rsidRPr="008B0978">
        <w:rPr>
          <w:rFonts w:ascii="Arial" w:hAnsi="Arial" w:cs="Arial"/>
          <w:i/>
          <w:sz w:val="24"/>
          <w:szCs w:val="24"/>
        </w:rPr>
        <w:t>directivos, de vigilancia o de administración de sociedades o asociaciones como</w:t>
      </w:r>
      <w:r>
        <w:rPr>
          <w:rFonts w:ascii="Arial" w:hAnsi="Arial" w:cs="Arial"/>
          <w:i/>
          <w:sz w:val="24"/>
          <w:szCs w:val="24"/>
        </w:rPr>
        <w:t xml:space="preserve"> </w:t>
      </w:r>
      <w:r w:rsidRPr="008B0978">
        <w:rPr>
          <w:rFonts w:ascii="Arial" w:hAnsi="Arial" w:cs="Arial"/>
          <w:i/>
          <w:sz w:val="24"/>
          <w:szCs w:val="24"/>
        </w:rPr>
        <w:t>remuneración a dichos cargos; los pagos realizados a fiduciarios como remuneración a</w:t>
      </w:r>
      <w:r>
        <w:rPr>
          <w:rFonts w:ascii="Arial" w:hAnsi="Arial" w:cs="Arial"/>
          <w:i/>
          <w:sz w:val="24"/>
          <w:szCs w:val="24"/>
        </w:rPr>
        <w:t xml:space="preserve"> </w:t>
      </w:r>
      <w:r w:rsidRPr="008B0978">
        <w:rPr>
          <w:rFonts w:ascii="Arial" w:hAnsi="Arial" w:cs="Arial"/>
          <w:i/>
          <w:sz w:val="24"/>
          <w:szCs w:val="24"/>
        </w:rPr>
        <w:t>sus servicios; los pagos por concepto de servicios personales; y cualquier otra de la misma</w:t>
      </w:r>
      <w:r>
        <w:rPr>
          <w:rFonts w:ascii="Arial" w:hAnsi="Arial" w:cs="Arial"/>
          <w:i/>
          <w:sz w:val="24"/>
          <w:szCs w:val="24"/>
        </w:rPr>
        <w:t xml:space="preserve"> </w:t>
      </w:r>
      <w:r w:rsidRPr="008B0978">
        <w:rPr>
          <w:rFonts w:ascii="Arial" w:hAnsi="Arial" w:cs="Arial"/>
          <w:i/>
          <w:sz w:val="24"/>
          <w:szCs w:val="24"/>
        </w:rPr>
        <w:t xml:space="preserve">naturaleza que las anteriores, con independencia de la denominación que reciba. </w:t>
      </w:r>
      <w:r w:rsidRPr="004C11FE">
        <w:rPr>
          <w:rFonts w:ascii="Arial" w:hAnsi="Arial" w:cs="Arial"/>
          <w:i/>
          <w:sz w:val="24"/>
          <w:szCs w:val="24"/>
        </w:rPr>
        <w:t>…”</w:t>
      </w:r>
      <w:r>
        <w:rPr>
          <w:rFonts w:ascii="Arial" w:hAnsi="Arial" w:cs="Arial"/>
          <w:i/>
          <w:sz w:val="24"/>
          <w:szCs w:val="24"/>
        </w:rPr>
        <w:t xml:space="preserve">.; </w:t>
      </w:r>
      <w:r w:rsidRPr="00FE51A6">
        <w:rPr>
          <w:rFonts w:ascii="Arial" w:hAnsi="Arial" w:cs="Arial"/>
          <w:sz w:val="24"/>
          <w:szCs w:val="24"/>
        </w:rPr>
        <w:t xml:space="preserve">luego </w:t>
      </w:r>
      <w:r>
        <w:rPr>
          <w:rFonts w:ascii="Arial" w:hAnsi="Arial" w:cs="Arial"/>
          <w:sz w:val="24"/>
          <w:szCs w:val="24"/>
        </w:rPr>
        <w:t>entonces,</w:t>
      </w:r>
      <w:r w:rsidRPr="0036286C">
        <w:rPr>
          <w:rFonts w:ascii="Arial" w:hAnsi="Arial" w:cs="Arial"/>
          <w:sz w:val="24"/>
          <w:szCs w:val="24"/>
        </w:rPr>
        <w:t xml:space="preserve"> </w:t>
      </w:r>
      <w:r>
        <w:rPr>
          <w:rFonts w:ascii="Arial" w:hAnsi="Arial" w:cs="Arial"/>
          <w:sz w:val="24"/>
          <w:szCs w:val="24"/>
        </w:rPr>
        <w:t xml:space="preserve">ante las diversas hipótesis contenidas, </w:t>
      </w:r>
      <w:r w:rsidRPr="004D38F3">
        <w:rPr>
          <w:rFonts w:ascii="Arial" w:hAnsi="Arial" w:cs="Arial"/>
          <w:b/>
          <w:sz w:val="24"/>
          <w:szCs w:val="24"/>
        </w:rPr>
        <w:t>no basta</w:t>
      </w:r>
      <w:r w:rsidRPr="004D38F3">
        <w:rPr>
          <w:rFonts w:ascii="Arial" w:hAnsi="Arial" w:cs="Arial"/>
          <w:b/>
          <w:i/>
          <w:sz w:val="24"/>
          <w:szCs w:val="24"/>
        </w:rPr>
        <w:t xml:space="preserve"> </w:t>
      </w:r>
      <w:r w:rsidRPr="004D38F3">
        <w:rPr>
          <w:rFonts w:ascii="Arial" w:hAnsi="Arial" w:cs="Arial"/>
          <w:b/>
          <w:sz w:val="24"/>
          <w:szCs w:val="24"/>
        </w:rPr>
        <w:t>que la autoridad demandada cite sólo el artículo</w:t>
      </w:r>
      <w:r w:rsidRPr="00A6165D">
        <w:rPr>
          <w:rFonts w:ascii="Arial" w:hAnsi="Arial" w:cs="Arial"/>
          <w:sz w:val="24"/>
          <w:szCs w:val="24"/>
        </w:rPr>
        <w:t>, para considerar que con ello motivó el acto emitido, pues es necesario establecer que esa norma se actualizaba con la conducta realizada por la parte actora, de ahí la falta de motivación y de la configuración en la hipótesis normativa, por lo que</w:t>
      </w:r>
      <w:r>
        <w:rPr>
          <w:rFonts w:ascii="Arial" w:hAnsi="Arial" w:cs="Arial"/>
          <w:sz w:val="24"/>
          <w:szCs w:val="24"/>
        </w:rPr>
        <w:t xml:space="preserve"> al primer acto se refiere.</w:t>
      </w:r>
    </w:p>
    <w:p w14:paraId="739771D4" w14:textId="77777777" w:rsidR="0002020F" w:rsidRPr="0005010A" w:rsidRDefault="0002020F" w:rsidP="0002020F">
      <w:pPr>
        <w:tabs>
          <w:tab w:val="left" w:pos="284"/>
          <w:tab w:val="left" w:pos="567"/>
        </w:tabs>
        <w:spacing w:before="240" w:line="360" w:lineRule="auto"/>
        <w:jc w:val="both"/>
        <w:rPr>
          <w:rFonts w:ascii="Arial" w:hAnsi="Arial" w:cs="Arial"/>
          <w:b/>
          <w:sz w:val="24"/>
          <w:szCs w:val="24"/>
        </w:rPr>
      </w:pPr>
      <w:r>
        <w:rPr>
          <w:rFonts w:ascii="Arial" w:hAnsi="Arial" w:cs="Arial"/>
          <w:sz w:val="24"/>
          <w:szCs w:val="24"/>
        </w:rPr>
        <w:tab/>
        <w:t xml:space="preserve">Por lo que respecta al </w:t>
      </w:r>
      <w:r w:rsidRPr="0040126B">
        <w:rPr>
          <w:rFonts w:ascii="Arial" w:hAnsi="Arial" w:cs="Arial"/>
          <w:b/>
          <w:sz w:val="24"/>
          <w:szCs w:val="24"/>
        </w:rPr>
        <w:t xml:space="preserve">segundo </w:t>
      </w:r>
      <w:r>
        <w:rPr>
          <w:rFonts w:ascii="Arial" w:hAnsi="Arial" w:cs="Arial"/>
          <w:b/>
          <w:sz w:val="24"/>
          <w:szCs w:val="24"/>
        </w:rPr>
        <w:t xml:space="preserve">acto, </w:t>
      </w:r>
      <w:r>
        <w:rPr>
          <w:rFonts w:ascii="Arial" w:hAnsi="Arial" w:cs="Arial"/>
          <w:sz w:val="24"/>
          <w:szCs w:val="24"/>
        </w:rPr>
        <w:t>esta Juzgadora toma en cuenta que en el artículo 113 del Código Fiscal para el Estado de Oaxaca, se establece el derecho del administrado a ser oído, previo a la emisión del acto privativo, al prescribir: “</w:t>
      </w:r>
      <w:r w:rsidRPr="00FD6646">
        <w:rPr>
          <w:rFonts w:ascii="Arial" w:hAnsi="Arial" w:cs="Arial"/>
          <w:i/>
          <w:sz w:val="24"/>
          <w:szCs w:val="24"/>
        </w:rPr>
        <w:t xml:space="preserve">ARTÍCULO 113. Los hechos que se conozcan con motivo del ejercicio de las facultades de comprobación previstas en este Código o en las leyes fiscales realizadas por las autoridades fiscales, o bien que consten en los expedientes, documentos o bases de datos que lleven, tengan acceso o en su poder dichas autoridades, así como aquéllos proporcionados por terceros relacionados con el contribuyente, responsables solidarios, o por otras autoridades, podrán servir para motivar las resoluciones de la Secretaría y cualquier otra autoridad u organismo descentralizado o desconcentrado competente en materia de contribuciones estatales. </w:t>
      </w:r>
      <w:r w:rsidRPr="00972766">
        <w:rPr>
          <w:rFonts w:ascii="Arial" w:hAnsi="Arial" w:cs="Arial"/>
          <w:b/>
          <w:i/>
          <w:sz w:val="24"/>
          <w:szCs w:val="24"/>
        </w:rPr>
        <w:t>Cuando las autoridades fiscales emitan resoluciones con base a la información señalada</w:t>
      </w:r>
      <w:r w:rsidRPr="00FD6646">
        <w:rPr>
          <w:rFonts w:ascii="Arial" w:hAnsi="Arial" w:cs="Arial"/>
          <w:i/>
          <w:sz w:val="24"/>
          <w:szCs w:val="24"/>
        </w:rPr>
        <w:t xml:space="preserve"> en el párrafo anterior, excepto tratándose de hechos conocidos en el ejercicio directo ante el contribuyente de sus facultades de comprobación, </w:t>
      </w:r>
      <w:r w:rsidRPr="00FD6646">
        <w:rPr>
          <w:rFonts w:ascii="Arial" w:hAnsi="Arial" w:cs="Arial"/>
          <w:i/>
          <w:sz w:val="24"/>
          <w:szCs w:val="24"/>
        </w:rPr>
        <w:lastRenderedPageBreak/>
        <w:t xml:space="preserve">y </w:t>
      </w:r>
      <w:r w:rsidRPr="00972766">
        <w:rPr>
          <w:rFonts w:ascii="Arial" w:hAnsi="Arial" w:cs="Arial"/>
          <w:b/>
          <w:i/>
          <w:sz w:val="24"/>
          <w:szCs w:val="24"/>
        </w:rPr>
        <w:t>previamente a la emisión de la resolución</w:t>
      </w:r>
      <w:r w:rsidRPr="00FD6646">
        <w:rPr>
          <w:rFonts w:ascii="Arial" w:hAnsi="Arial" w:cs="Arial"/>
          <w:i/>
          <w:sz w:val="24"/>
          <w:szCs w:val="24"/>
        </w:rPr>
        <w:t xml:space="preserve"> que corresponda, </w:t>
      </w:r>
      <w:r w:rsidRPr="00972766">
        <w:rPr>
          <w:rFonts w:ascii="Arial" w:hAnsi="Arial" w:cs="Arial"/>
          <w:b/>
          <w:i/>
          <w:sz w:val="24"/>
          <w:szCs w:val="24"/>
        </w:rPr>
        <w:t>deberán correr traslado al interesado de los elementos que integren el expediente respectivo</w:t>
      </w:r>
      <w:r w:rsidRPr="00FD6646">
        <w:rPr>
          <w:rFonts w:ascii="Arial" w:hAnsi="Arial" w:cs="Arial"/>
          <w:i/>
          <w:sz w:val="24"/>
          <w:szCs w:val="24"/>
        </w:rPr>
        <w:t>, concediendo un plazo de quince días al contribuyente para que manifieste lo que a su derecho corresponda, lo cual deberá formar parte del expediente respectivo.</w:t>
      </w:r>
      <w:r>
        <w:rPr>
          <w:rFonts w:ascii="Arial" w:hAnsi="Arial" w:cs="Arial"/>
          <w:sz w:val="24"/>
          <w:szCs w:val="24"/>
        </w:rPr>
        <w:t xml:space="preserve">” (Lo resaltado no es de origen). De lo transcrito se advierte, que la propia ley fiscal, establece como derecho de la parte actora conocer el expediente administrativo, previo al dictado del acto de autoridad, precisamente para manifestar lo que considere en su defensa, derecho que fue vedado por la autoridad demandada, quien sin mayor trámite, determinó imponerle una multa, violentando los derechos del contribuyente previstos en el artículo 49 fracción IV y XXI, del Código Fiscal en cita, es decir, se violentó su derecho de defensa, además de inobservar su derecho a un plazo establecido para presentar documentos con los que pudiera desvirtuar los hechos que la autoridad señala, así como para alegar lo que en derecho corresponda, derechos protegidos por el artículo 127 del Código Fiscal para el Estado de Oaxaca, máxime que la demandada con ese actuar dejó de observar la disposición contenida en el artículo 1º, segundo párrafo de la Constitución Política de los Estados Unidos Mexicanos, que impone a toda autoridades, la obligación de interpretar los derechos </w:t>
      </w:r>
      <w:r w:rsidRPr="00021690">
        <w:rPr>
          <w:rFonts w:ascii="Arial" w:hAnsi="Arial" w:cs="Arial"/>
          <w:sz w:val="24"/>
          <w:szCs w:val="24"/>
        </w:rPr>
        <w:t>humanos, buscando siempre la protección más amplia en beneficio de los administrados</w:t>
      </w:r>
      <w:r>
        <w:rPr>
          <w:rFonts w:ascii="Arial" w:hAnsi="Arial" w:cs="Arial"/>
          <w:sz w:val="24"/>
          <w:szCs w:val="24"/>
        </w:rPr>
        <w:t>, de ahí que la autoridad violentó normas del procedimiento en perjuicio de la parte actora</w:t>
      </w:r>
      <w:r w:rsidRPr="00021690">
        <w:rPr>
          <w:rFonts w:ascii="Arial" w:hAnsi="Arial" w:cs="Arial"/>
          <w:sz w:val="24"/>
          <w:szCs w:val="24"/>
        </w:rPr>
        <w:t xml:space="preserve">. </w:t>
      </w:r>
    </w:p>
    <w:p w14:paraId="13F6B78C" w14:textId="77777777" w:rsidR="0002020F" w:rsidRPr="003D18EC" w:rsidRDefault="0002020F" w:rsidP="0002020F">
      <w:pPr>
        <w:tabs>
          <w:tab w:val="left" w:pos="284"/>
          <w:tab w:val="left" w:pos="567"/>
        </w:tabs>
        <w:spacing w:before="240" w:line="360" w:lineRule="auto"/>
        <w:jc w:val="both"/>
        <w:rPr>
          <w:rFonts w:ascii="Arial" w:hAnsi="Arial" w:cs="Arial"/>
          <w:sz w:val="24"/>
          <w:szCs w:val="24"/>
        </w:rPr>
      </w:pPr>
      <w:r>
        <w:rPr>
          <w:rFonts w:ascii="Arial" w:hAnsi="Arial" w:cs="Arial"/>
          <w:sz w:val="24"/>
          <w:szCs w:val="24"/>
        </w:rPr>
        <w:t xml:space="preserve"> </w:t>
      </w:r>
      <w:r>
        <w:rPr>
          <w:rFonts w:ascii="Arial" w:hAnsi="Arial" w:cs="Arial"/>
          <w:sz w:val="24"/>
          <w:szCs w:val="24"/>
        </w:rPr>
        <w:tab/>
        <w:t xml:space="preserve">    Además con el actuar de la demandada se violentó el derecho de defensa de la parte actora, al privarle de la oportunidad de alegar en su defensa, tal como lo dispone el artículo 49 fracciones IV y XXI, y 127, ambos del Código Fiscal referido, vulnerando también la garantía de audiencia prevista a su favor en el artículo </w:t>
      </w:r>
      <w:r w:rsidRPr="003D18EC">
        <w:rPr>
          <w:rFonts w:ascii="Arial" w:hAnsi="Arial" w:cs="Arial"/>
          <w:sz w:val="24"/>
          <w:szCs w:val="24"/>
        </w:rPr>
        <w:t xml:space="preserve">14 de la Constitución Política de los Estados Unidos Mexicanos, </w:t>
      </w:r>
      <w:r>
        <w:rPr>
          <w:rFonts w:ascii="Arial" w:hAnsi="Arial" w:cs="Arial"/>
          <w:sz w:val="24"/>
          <w:szCs w:val="24"/>
        </w:rPr>
        <w:t xml:space="preserve">pues con su actuar negó </w:t>
      </w:r>
      <w:r w:rsidRPr="003D18EC">
        <w:rPr>
          <w:rFonts w:ascii="Arial" w:hAnsi="Arial" w:cs="Arial"/>
          <w:sz w:val="24"/>
          <w:szCs w:val="24"/>
        </w:rPr>
        <w:t xml:space="preserve">al gobernado la oportunidad de defensa previamente al </w:t>
      </w:r>
      <w:r w:rsidRPr="00DE3048">
        <w:rPr>
          <w:rFonts w:ascii="Arial" w:hAnsi="Arial" w:cs="Arial"/>
          <w:sz w:val="24"/>
          <w:szCs w:val="24"/>
        </w:rPr>
        <w:t>acto privativo.</w:t>
      </w:r>
      <w:r>
        <w:rPr>
          <w:rFonts w:ascii="Arial" w:hAnsi="Arial" w:cs="Arial"/>
          <w:sz w:val="24"/>
          <w:szCs w:val="24"/>
        </w:rPr>
        <w:t xml:space="preserve"> Sirve de apoyo a lo anterior la Jurisprudencia con datos de identificación: Semanario Judicial de la Federación y su Gaceta, Tomo II, Diciembre de 1995, Novena Época, pág. 133, registro 200234, Jurisprudencia Constitucional, Común, Pleno, y de rubro: “</w:t>
      </w:r>
      <w:r w:rsidRPr="004214A3">
        <w:rPr>
          <w:rFonts w:ascii="Arial" w:hAnsi="Arial" w:cs="Arial"/>
          <w:i/>
          <w:sz w:val="24"/>
          <w:szCs w:val="24"/>
        </w:rPr>
        <w:t>FORMALIDADES ESENCIALES DEL PROCEDIMIENTO. SON LAS QUE GARANTIZAN UNA ADECUADA Y OPORTUNA DEFENSA PREVIA AL ACTO PRIVATIVO</w:t>
      </w:r>
      <w:r>
        <w:rPr>
          <w:rFonts w:ascii="Arial" w:hAnsi="Arial" w:cs="Arial"/>
          <w:sz w:val="24"/>
          <w:szCs w:val="24"/>
        </w:rPr>
        <w:t>.”</w:t>
      </w:r>
    </w:p>
    <w:p w14:paraId="7AEC2E21" w14:textId="21EB683B" w:rsidR="0002020F" w:rsidRDefault="0002020F" w:rsidP="0002020F">
      <w:pPr>
        <w:tabs>
          <w:tab w:val="left" w:pos="284"/>
          <w:tab w:val="left" w:pos="567"/>
        </w:tabs>
        <w:spacing w:before="240" w:line="360" w:lineRule="auto"/>
        <w:jc w:val="both"/>
        <w:rPr>
          <w:rFonts w:ascii="Arial" w:hAnsi="Arial" w:cs="Arial"/>
          <w:i/>
          <w:sz w:val="24"/>
          <w:szCs w:val="24"/>
        </w:rPr>
      </w:pPr>
      <w:r>
        <w:rPr>
          <w:rFonts w:ascii="Arial" w:hAnsi="Arial" w:cs="Arial"/>
          <w:sz w:val="24"/>
          <w:szCs w:val="24"/>
        </w:rPr>
        <w:tab/>
        <w:t xml:space="preserve"> Con las anteriores consideraciones se determina la falta de fundamentación y motivación del acto impugnado, además de la violación a </w:t>
      </w:r>
      <w:r>
        <w:rPr>
          <w:rFonts w:ascii="Arial" w:hAnsi="Arial" w:cs="Arial"/>
          <w:sz w:val="24"/>
          <w:szCs w:val="24"/>
        </w:rPr>
        <w:lastRenderedPageBreak/>
        <w:t xml:space="preserve">normas del procedimiento en contra de la parte actora, razones todas ellas por las que </w:t>
      </w:r>
      <w:r w:rsidRPr="00CE200F">
        <w:rPr>
          <w:rFonts w:ascii="Arial" w:hAnsi="Arial" w:cs="Arial"/>
          <w:sz w:val="24"/>
          <w:szCs w:val="24"/>
        </w:rPr>
        <w:t xml:space="preserve">se declara la </w:t>
      </w:r>
      <w:r w:rsidRPr="00CE200F">
        <w:rPr>
          <w:rFonts w:ascii="Arial" w:hAnsi="Arial" w:cs="Arial"/>
          <w:b/>
          <w:sz w:val="24"/>
          <w:szCs w:val="24"/>
        </w:rPr>
        <w:t>NULIDAD</w:t>
      </w:r>
      <w:r>
        <w:rPr>
          <w:rFonts w:ascii="Arial" w:hAnsi="Arial" w:cs="Arial"/>
          <w:sz w:val="24"/>
          <w:szCs w:val="24"/>
        </w:rPr>
        <w:t xml:space="preserve"> </w:t>
      </w:r>
      <w:r w:rsidRPr="00180EAA">
        <w:rPr>
          <w:rFonts w:ascii="Arial" w:hAnsi="Arial" w:cs="Arial"/>
          <w:sz w:val="24"/>
          <w:szCs w:val="24"/>
        </w:rPr>
        <w:t>de la</w:t>
      </w:r>
      <w:r>
        <w:rPr>
          <w:rFonts w:ascii="Arial" w:hAnsi="Arial" w:cs="Arial"/>
          <w:sz w:val="24"/>
          <w:szCs w:val="24"/>
        </w:rPr>
        <w:t xml:space="preserve"> resolución con número de control </w:t>
      </w:r>
      <w:r w:rsidR="005273DD">
        <w:rPr>
          <w:rFonts w:ascii="Arial" w:hAnsi="Arial" w:cs="Arial"/>
          <w:sz w:val="24"/>
          <w:szCs w:val="24"/>
        </w:rPr>
        <w:t>**********</w:t>
      </w:r>
      <w:r>
        <w:rPr>
          <w:rFonts w:ascii="Arial" w:hAnsi="Arial" w:cs="Arial"/>
          <w:sz w:val="24"/>
          <w:szCs w:val="24"/>
        </w:rPr>
        <w:t>, expedida con fecha veintisiete de julio de dos mil dieciocho (27/07/2018), por la Directora de Ingresos y Recaudación de la Secretaría de Finanzas del Poder Ejecutivo del Estado, así como de la notificación de la misma efectuada a través del servicio postal mexicano,  incluso la multa impuesta a la parte actora, consistente en $4,030.00 (CUATRO MIL TREINTA PESOS 00/100 M.N.), acorde al principio de derecho que reza lo accesorio sigue la suerte de lo principal; al respecto resulta aplicable el criterio sustentado en la Jurisprudencia de la Suprema Corte de Justicia de la Nación, bajo los datos de identificación: Semanario Judicial de la Federación y su Gaceta, Tomo XXXII, Octubre de 2010, Novena Época, pág. 2785, registro 163603, Jurisprudencia (Administrativa), Tribunales Colegiados de Circuito, y bajo el rubro: “</w:t>
      </w:r>
      <w:r w:rsidRPr="00DF077A">
        <w:rPr>
          <w:rFonts w:ascii="Arial" w:hAnsi="Arial" w:cs="Arial"/>
          <w:i/>
          <w:sz w:val="24"/>
          <w:szCs w:val="24"/>
        </w:rPr>
        <w:t>MULTAS DERIVADAS DE LA VERIFICACIÓN DEL CUMPLIMIENTO DE OBLIGACIONES FISCALES DE LOS CONTRIBUYENTES. SU NULIDAD POR VICIOS FORMALES DEBE SER LISA Y LLANA, AL HABER ORIGINADO CON MOTIVO DEL EJERCICIO DE FACULTADES DISCRECIONALES DE LA AUTORIDAD.”</w:t>
      </w:r>
    </w:p>
    <w:p w14:paraId="51B291A3" w14:textId="77777777" w:rsidR="0002020F" w:rsidRDefault="0002020F" w:rsidP="0002020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anterior, esta resolutora considera innecesario analizar los restantes conceptos de impugnación, pues a nada práctico conduciría, porque al resultar fundado el ya estudiado, se consideró suficiente para declarar la nulidad lisa y llana del acto impugnado. Lo anterior encuentra apoyo en la Jurisprudencia 1.2°.AJ./23 del Segundo Tribunal Colegiado en materia Administrativa del Primer Circuito, publicada en el semanario Judicial de la Federación, del mes de agosto de 1999, página 647, de rubro: </w:t>
      </w:r>
      <w:r>
        <w:rPr>
          <w:rFonts w:ascii="Arial" w:hAnsi="Arial" w:cs="Arial"/>
          <w:i/>
          <w:sz w:val="24"/>
          <w:szCs w:val="24"/>
        </w:rPr>
        <w:t>“CONCEPTOS DE ANULACIÓN. LA EXIGENCIA DE EXAMINARLOS EXHAUSTIVAMENTE DEBE PONDERARSE A LA LUZ DE CADA CONTROVERSIA EN PARTICULAR”</w:t>
      </w:r>
      <w:r>
        <w:rPr>
          <w:rFonts w:ascii="Arial" w:hAnsi="Arial" w:cs="Arial"/>
          <w:sz w:val="24"/>
          <w:szCs w:val="24"/>
        </w:rPr>
        <w:t>.</w:t>
      </w:r>
    </w:p>
    <w:p w14:paraId="4A89F88D" w14:textId="77777777" w:rsidR="0002020F" w:rsidRDefault="0002020F" w:rsidP="0002020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w:t>
      </w:r>
      <w:r w:rsidRPr="00C214BC">
        <w:rPr>
          <w:rFonts w:ascii="Arial" w:hAnsi="Arial" w:cs="Arial"/>
          <w:sz w:val="24"/>
          <w:szCs w:val="24"/>
        </w:rPr>
        <w:t>fundado y con apoyo además en los artículos 207, 208</w:t>
      </w:r>
      <w:r>
        <w:rPr>
          <w:rFonts w:ascii="Arial" w:hAnsi="Arial" w:cs="Arial"/>
          <w:sz w:val="24"/>
          <w:szCs w:val="24"/>
        </w:rPr>
        <w:t xml:space="preserve"> fracción II</w:t>
      </w:r>
      <w:r w:rsidRPr="00C214BC">
        <w:rPr>
          <w:rFonts w:ascii="Arial" w:hAnsi="Arial" w:cs="Arial"/>
          <w:sz w:val="24"/>
          <w:szCs w:val="24"/>
        </w:rPr>
        <w:t xml:space="preserve"> y 209 todos de la Ley de Procedimiento y Justicia</w:t>
      </w:r>
      <w:r>
        <w:rPr>
          <w:rFonts w:ascii="Arial" w:hAnsi="Arial" w:cs="Arial"/>
          <w:sz w:val="24"/>
          <w:szCs w:val="24"/>
        </w:rPr>
        <w:t xml:space="preserve"> Administrativa para el Estado de Oaxaca, se: - - - - - - - - - - - - - - - - - - - - - - </w:t>
      </w:r>
      <w:r w:rsidR="000E3B74">
        <w:rPr>
          <w:rFonts w:ascii="Arial" w:hAnsi="Arial" w:cs="Arial"/>
          <w:sz w:val="24"/>
          <w:szCs w:val="24"/>
        </w:rPr>
        <w:t xml:space="preserve">- </w:t>
      </w:r>
    </w:p>
    <w:p w14:paraId="2A110700" w14:textId="77777777" w:rsidR="0002020F" w:rsidRDefault="0002020F" w:rsidP="0002020F">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6A46534E" w14:textId="77777777" w:rsidR="0002020F" w:rsidRDefault="0002020F" w:rsidP="0002020F">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del Estado de Oaxaca, es legalmente competente para conocer y resolver del presente Juicio de Nulidad. - - - - - - </w:t>
      </w:r>
      <w:r w:rsidR="001A7108">
        <w:rPr>
          <w:rFonts w:ascii="Arial" w:hAnsi="Arial" w:cs="Arial"/>
          <w:sz w:val="24"/>
          <w:szCs w:val="24"/>
        </w:rPr>
        <w:t xml:space="preserve">- </w:t>
      </w:r>
    </w:p>
    <w:p w14:paraId="26F6BC0B" w14:textId="77777777" w:rsidR="0002020F" w:rsidRDefault="0002020F" w:rsidP="0002020F">
      <w:pPr>
        <w:tabs>
          <w:tab w:val="center" w:pos="4574"/>
        </w:tabs>
        <w:spacing w:line="360" w:lineRule="auto"/>
        <w:ind w:firstLine="708"/>
        <w:jc w:val="both"/>
        <w:rPr>
          <w:rFonts w:ascii="Arial" w:hAnsi="Arial" w:cs="Arial"/>
          <w:sz w:val="24"/>
          <w:szCs w:val="24"/>
        </w:rPr>
      </w:pPr>
      <w:r>
        <w:rPr>
          <w:rFonts w:ascii="Arial" w:hAnsi="Arial" w:cs="Arial"/>
          <w:b/>
          <w:sz w:val="24"/>
          <w:szCs w:val="24"/>
        </w:rPr>
        <w:lastRenderedPageBreak/>
        <w:t xml:space="preserve">SEGUNDO.- </w:t>
      </w:r>
      <w:r>
        <w:rPr>
          <w:rFonts w:ascii="Arial" w:hAnsi="Arial" w:cs="Arial"/>
          <w:sz w:val="24"/>
          <w:szCs w:val="24"/>
        </w:rPr>
        <w:t xml:space="preserve">No se actualizó causal de improcedencia alguna, por lo que </w:t>
      </w:r>
      <w:r w:rsidRPr="00563C5F">
        <w:rPr>
          <w:rFonts w:ascii="Arial" w:hAnsi="Arial" w:cs="Arial"/>
          <w:b/>
          <w:sz w:val="24"/>
          <w:szCs w:val="24"/>
        </w:rPr>
        <w:t>NO SE SOBRESEE EL JUICIO</w:t>
      </w:r>
      <w:r>
        <w:rPr>
          <w:rFonts w:ascii="Arial" w:hAnsi="Arial" w:cs="Arial"/>
          <w:sz w:val="24"/>
          <w:szCs w:val="24"/>
        </w:rPr>
        <w:t xml:space="preserve">, en términos del considerando QUINTO de esta resolución.- - - - - - - - - - - - - - - - - - - - - - - - - - - - - - - - - - </w:t>
      </w:r>
      <w:r w:rsidR="006B7353">
        <w:rPr>
          <w:rFonts w:ascii="Arial" w:hAnsi="Arial" w:cs="Arial"/>
          <w:sz w:val="24"/>
          <w:szCs w:val="24"/>
        </w:rPr>
        <w:t>- - - - - - - - -</w:t>
      </w:r>
    </w:p>
    <w:p w14:paraId="6298AA44" w14:textId="63AF0193" w:rsidR="0002020F" w:rsidRDefault="0002020F" w:rsidP="0002020F">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Pr="00563C5F">
        <w:rPr>
          <w:rFonts w:ascii="Arial" w:hAnsi="Arial" w:cs="Arial"/>
          <w:b/>
          <w:sz w:val="24"/>
          <w:szCs w:val="24"/>
        </w:rPr>
        <w:t>NULIDAD</w:t>
      </w:r>
      <w:r>
        <w:rPr>
          <w:rFonts w:ascii="Arial" w:hAnsi="Arial" w:cs="Arial"/>
          <w:sz w:val="24"/>
          <w:szCs w:val="24"/>
        </w:rPr>
        <w:t xml:space="preserve"> </w:t>
      </w:r>
      <w:r w:rsidRPr="00180EAA">
        <w:rPr>
          <w:rFonts w:ascii="Arial" w:hAnsi="Arial" w:cs="Arial"/>
          <w:sz w:val="24"/>
          <w:szCs w:val="24"/>
        </w:rPr>
        <w:t>de la</w:t>
      </w:r>
      <w:r>
        <w:rPr>
          <w:rFonts w:ascii="Arial" w:hAnsi="Arial" w:cs="Arial"/>
          <w:sz w:val="24"/>
          <w:szCs w:val="24"/>
        </w:rPr>
        <w:t xml:space="preserve"> resolución con número de control </w:t>
      </w:r>
      <w:r w:rsidR="005273DD">
        <w:rPr>
          <w:rFonts w:ascii="Arial" w:hAnsi="Arial" w:cs="Arial"/>
          <w:sz w:val="24"/>
          <w:szCs w:val="24"/>
        </w:rPr>
        <w:t>**********</w:t>
      </w:r>
      <w:r>
        <w:rPr>
          <w:rFonts w:ascii="Arial" w:hAnsi="Arial" w:cs="Arial"/>
          <w:sz w:val="24"/>
          <w:szCs w:val="24"/>
        </w:rPr>
        <w:t xml:space="preserve">, expedida con fecha veintisiete de julio de dos mil dieciocho (27/07/2018), por la Directora de Ingresos y Recaudación de la Secretaría de Finanzas del Poder Ejecutivo del Estado, así como de la notificación de la misma, efectuada a través del servicio postal mexicano,  y la multa impuesta a la parte actora, consistente en $4,030.00 (CUATRO MIL TREINTA PESOS 00/100 M.N.); lo anterior en términos precisados en el considerando SEXTO de esta resolución. - - - - - - - - - - - - - - - - - - - - - - - </w:t>
      </w:r>
      <w:r w:rsidR="002A534A">
        <w:rPr>
          <w:rFonts w:ascii="Arial" w:hAnsi="Arial" w:cs="Arial"/>
          <w:sz w:val="24"/>
          <w:szCs w:val="24"/>
        </w:rPr>
        <w:t xml:space="preserve">- - - </w:t>
      </w:r>
      <w:r w:rsidR="008A4E94">
        <w:rPr>
          <w:rFonts w:ascii="Arial" w:hAnsi="Arial" w:cs="Arial"/>
          <w:sz w:val="24"/>
          <w:szCs w:val="24"/>
        </w:rPr>
        <w:t>- - - - - - - - - - - -</w:t>
      </w:r>
      <w:r w:rsidR="008A4E94">
        <w:rPr>
          <w:rFonts w:ascii="Arial" w:hAnsi="Arial" w:cs="Arial"/>
          <w:sz w:val="24"/>
          <w:szCs w:val="24"/>
        </w:rPr>
        <w:t xml:space="preserve"> </w:t>
      </w:r>
      <w:r w:rsidR="008A4E94">
        <w:rPr>
          <w:rFonts w:ascii="Arial" w:hAnsi="Arial" w:cs="Arial"/>
          <w:sz w:val="24"/>
          <w:szCs w:val="24"/>
        </w:rPr>
        <w:t xml:space="preserve">- - - - </w:t>
      </w:r>
    </w:p>
    <w:p w14:paraId="15C8DC5B" w14:textId="77777777" w:rsidR="0002020F" w:rsidRDefault="0002020F" w:rsidP="0002020F">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p>
    <w:p w14:paraId="55BA46E1" w14:textId="77777777" w:rsidR="0002020F" w:rsidRPr="00746184" w:rsidRDefault="0002020F" w:rsidP="0002020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w:t>
      </w:r>
      <w:r w:rsidR="001E468F">
        <w:rPr>
          <w:rFonts w:ascii="Arial" w:hAnsi="Arial" w:cs="Arial"/>
          <w:sz w:val="24"/>
          <w:szCs w:val="24"/>
        </w:rPr>
        <w:t xml:space="preserve">- - - - - - - - - - - </w:t>
      </w:r>
    </w:p>
    <w:p w14:paraId="663E0BF0" w14:textId="77777777" w:rsidR="0048608F" w:rsidRPr="003F1214" w:rsidRDefault="0048608F" w:rsidP="003F1214"/>
    <w:sectPr w:rsidR="0048608F" w:rsidRPr="003F1214" w:rsidSect="0069526B">
      <w:headerReference w:type="even" r:id="rId7"/>
      <w:headerReference w:type="default" r:id="rId8"/>
      <w:footerReference w:type="default" r:id="rId9"/>
      <w:headerReference w:type="first" r:id="rId10"/>
      <w:pgSz w:w="12240" w:h="20160" w:code="5"/>
      <w:pgMar w:top="851" w:right="1701" w:bottom="2410"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803483" w14:textId="77777777" w:rsidR="00952DA2" w:rsidRDefault="00952DA2" w:rsidP="007A5B5E">
      <w:pPr>
        <w:spacing w:after="0" w:line="240" w:lineRule="auto"/>
      </w:pPr>
      <w:r>
        <w:separator/>
      </w:r>
    </w:p>
  </w:endnote>
  <w:endnote w:type="continuationSeparator" w:id="0">
    <w:p w14:paraId="27D0A740" w14:textId="77777777" w:rsidR="00952DA2" w:rsidRDefault="00952DA2"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Arial" w:hAnsi="Arial" w:cs="Arial"/>
      </w:rPr>
      <w:id w:val="1759631255"/>
      <w:docPartObj>
        <w:docPartGallery w:val="Page Numbers (Bottom of Page)"/>
        <w:docPartUnique/>
      </w:docPartObj>
    </w:sdtPr>
    <w:sdtEndPr/>
    <w:sdtContent>
      <w:p w14:paraId="1776B7C8" w14:textId="77777777" w:rsidR="00A4373C" w:rsidRPr="007D2760" w:rsidRDefault="00440D9A" w:rsidP="00AC1B4C">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31147AAB" wp14:editId="79B2C810">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78FDE146" w14:textId="77777777" w:rsidR="00A4373C" w:rsidRPr="00AC1B4C" w:rsidRDefault="00440D9A">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1E468F" w:rsidRPr="001E468F">
                                <w:rPr>
                                  <w:noProof/>
                                  <w:color w:val="000000" w:themeColor="text1"/>
                                  <w:lang w:val="es-ES"/>
                                </w:rPr>
                                <w:t>10</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147AAB"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78FDE146" w14:textId="77777777" w:rsidR="00A4373C" w:rsidRPr="00AC1B4C" w:rsidRDefault="00440D9A">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1E468F" w:rsidRPr="001E468F">
                          <w:rPr>
                            <w:noProof/>
                            <w:color w:val="000000" w:themeColor="text1"/>
                            <w:lang w:val="es-ES"/>
                          </w:rPr>
                          <w:t>10</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5CED19" w14:textId="77777777" w:rsidR="00952DA2" w:rsidRDefault="00952DA2" w:rsidP="007A5B5E">
      <w:pPr>
        <w:spacing w:after="0" w:line="240" w:lineRule="auto"/>
      </w:pPr>
      <w:r>
        <w:separator/>
      </w:r>
    </w:p>
  </w:footnote>
  <w:footnote w:type="continuationSeparator" w:id="0">
    <w:p w14:paraId="7C3A8B18" w14:textId="77777777" w:rsidR="00952DA2" w:rsidRDefault="00952DA2"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E249A3" w14:textId="77777777" w:rsidR="00A4373C" w:rsidRDefault="008A4E94">
    <w:pPr>
      <w:pStyle w:val="Encabezado"/>
    </w:pPr>
    <w:r>
      <w:rPr>
        <w:noProof/>
        <w:lang w:eastAsia="es-MX"/>
      </w:rPr>
      <w:pict w14:anchorId="6B8B62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6FB7E6" w14:textId="2C459061" w:rsidR="00A4373C" w:rsidRDefault="00440D9A" w:rsidP="00171F13">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6704" behindDoc="0" locked="0" layoutInCell="1" allowOverlap="1" wp14:anchorId="5D5D3F0F" wp14:editId="5E91B6FC">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7807CCDB" w14:textId="77777777" w:rsidR="00A4373C" w:rsidRDefault="00440D9A" w:rsidP="009F5E77">
                          <w:r>
                            <w:rPr>
                              <w:noProof/>
                              <w:lang w:eastAsia="es-MX"/>
                            </w:rPr>
                            <w:drawing>
                              <wp:inline distT="0" distB="0" distL="0" distR="0" wp14:anchorId="3BC7988B" wp14:editId="7333EF79">
                                <wp:extent cx="1118870" cy="9747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D5D3F0F"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j45SQIAAI8EAAAOAAAAZHJzL2Uyb0RvYy54bWysVM1u2zAMvg/YOwi6L469ZG2NOkWXrsOA&#10;7gfo9gCyJNvCJFGTlNjd05eS0zTdbsN8EEiR+kh+JH15NRlN9tIHBbah5WJJibQchLJ9Q398v31z&#10;TkmIzAqmwcqGPshArzavX12OrpYVDKCF9ARBbKhH19AhRlcXReCDNCwswEmLxg68YRFV3xfCsxHR&#10;jS6q5fJdMYIXzgOXIeDtzWykm4zfdZLHr10XZCS6oZhbzKfPZ5vOYnPJ6t4zNyh+SIP9QxaGKYtB&#10;j1A3LDKy8+ovKKO4hwBdXHAwBXSd4jLXgNWUyz+quR+Yk7kWJCe4I03h/8HyL/tvnijR0IoSywy2&#10;aLtjwgMRkkQ5RSBVIml0oUbfe4fecXoPEzY7FxzcHfCfgVjYDsz28tp7GAfJBCZZppfFydMZJySQ&#10;dvwMAqOxXYQMNHXeJAaRE4Lo2KyHY4MwD8JTyLdlWZ2tKeFoQ3F5hkqKweqn586H+FGCIUloqMcJ&#10;yPBsfxfi7PrkkqIF0ErcKq2z4vt2qz3ZM5yW2/wd0F+4aUvGhl6sq/XMwAuINLjyCNL2M0t6Z7Dc&#10;Gbhcpi8BsxrvcT7n+3yFleTZTxC5rheRjYq4LVqZhp6foCS6P1iRESNTepYRStsD/4nymfw4tRM6&#10;pqa0IB6wEx7mrcAtRmEA/5uSETeioeHXjnlJif5ksZsX5WqVVigrq/VZhYo/tbSnFmY5QjU0UjKL&#10;2ziv3c551Q8YaWbGwjVOQKdyb56zOuSNU59ZOGxoWqtTPXs9/0c2jwAAAP//AwBQSwMEFAAGAAgA&#10;AAAhAGHXVj/fAAAACgEAAA8AAABkcnMvZG93bnJldi54bWxMj0FPwzAMhe9I/IfISNy2pGirttJ0&#10;QiB2Q4iCth3TxrQVjVM12Vb49XgnOPlZfnr+Xr6ZXC9OOIbOk4ZkrkAg1d521Gj4eH+erUCEaMia&#10;3hNq+MYAm+L6KjeZ9Wd6w1MZG8EhFDKjoY1xyKQMdYvOhLkfkPj26UdnIq9jI+1ozhzuenmnVCqd&#10;6Yg/tGbAxxbrr/LoNIRapbvXRbnbV3KLP2trnw7bF61vb6aHexARp/hnhgs+o0PBTJU/kg2i1zBL&#10;lmnCXlbri2DLUi1AVBpWPGWRy/8Vil8AAAD//wMAUEsBAi0AFAAGAAgAAAAhALaDOJL+AAAA4QEA&#10;ABMAAAAAAAAAAAAAAAAAAAAAAFtDb250ZW50X1R5cGVzXS54bWxQSwECLQAUAAYACAAAACEAOP0h&#10;/9YAAACUAQAACwAAAAAAAAAAAAAAAAAvAQAAX3JlbHMvLnJlbHNQSwECLQAUAAYACAAAACEAR3o+&#10;OUkCAACPBAAADgAAAAAAAAAAAAAAAAAuAgAAZHJzL2Uyb0RvYy54bWxQSwECLQAUAAYACAAAACEA&#10;YddWP98AAAAKAQAADwAAAAAAAAAAAAAAAACjBAAAZHJzL2Rvd25yZXYueG1sUEsFBgAAAAAEAAQA&#10;8wAAAK8FAAAAAA==&#10;" strokecolor="white [3212]">
              <v:textbox>
                <w:txbxContent>
                  <w:p w14:paraId="7807CCDB" w14:textId="77777777" w:rsidR="00A4373C" w:rsidRDefault="00440D9A" w:rsidP="009F5E77">
                    <w:r>
                      <w:rPr>
                        <w:noProof/>
                        <w:lang w:eastAsia="es-MX"/>
                      </w:rPr>
                      <w:drawing>
                        <wp:inline distT="0" distB="0" distL="0" distR="0" wp14:anchorId="3BC7988B" wp14:editId="7333EF79">
                          <wp:extent cx="1118870" cy="9747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3F1214">
      <w:rPr>
        <w:rFonts w:ascii="Bookman Old Style" w:hAnsi="Bookman Old Style"/>
        <w:b/>
        <w:sz w:val="24"/>
        <w:szCs w:val="24"/>
      </w:rPr>
      <w:t>102</w:t>
    </w:r>
    <w:r w:rsidRPr="00391F24">
      <w:rPr>
        <w:rFonts w:ascii="Bookman Old Style" w:hAnsi="Bookman Old Style"/>
        <w:b/>
        <w:sz w:val="24"/>
        <w:szCs w:val="24"/>
      </w:rPr>
      <w:t>/</w:t>
    </w:r>
    <w:r w:rsidRPr="002F2D7B">
      <w:rPr>
        <w:rFonts w:ascii="Bookman Old Style" w:hAnsi="Bookman Old Style"/>
        <w:b/>
        <w:sz w:val="24"/>
        <w:szCs w:val="24"/>
      </w:rPr>
      <w:t>201</w:t>
    </w:r>
    <w:r w:rsidR="003F1214">
      <w:rPr>
        <w:rFonts w:ascii="Bookman Old Style" w:hAnsi="Bookman Old Style"/>
        <w:b/>
        <w:sz w:val="24"/>
        <w:szCs w:val="24"/>
      </w:rPr>
      <w:t>8</w:t>
    </w:r>
  </w:p>
  <w:p w14:paraId="13EEEB6B" w14:textId="03C09170" w:rsidR="00A4373C" w:rsidRPr="00071C38" w:rsidRDefault="005273DD" w:rsidP="00C3581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57728" behindDoc="1" locked="0" layoutInCell="1" allowOverlap="1" wp14:anchorId="01CDC19B" wp14:editId="6D18E5A8">
              <wp:simplePos x="0" y="0"/>
              <wp:positionH relativeFrom="column">
                <wp:posOffset>-1251585</wp:posOffset>
              </wp:positionH>
              <wp:positionV relativeFrom="paragraph">
                <wp:posOffset>4743450</wp:posOffset>
              </wp:positionV>
              <wp:extent cx="1137285" cy="1304925"/>
              <wp:effectExtent l="0" t="0" r="2476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7285" cy="1304925"/>
                      </a:xfrm>
                      <a:prstGeom prst="rect">
                        <a:avLst/>
                      </a:prstGeom>
                      <a:solidFill>
                        <a:srgbClr val="FFFFFF"/>
                      </a:solidFill>
                      <a:ln w="9525">
                        <a:solidFill>
                          <a:srgbClr val="000000"/>
                        </a:solidFill>
                        <a:miter lim="800000"/>
                        <a:headEnd/>
                        <a:tailEnd/>
                      </a:ln>
                    </wps:spPr>
                    <wps:txbx>
                      <w:txbxContent>
                        <w:p w14:paraId="3ED51136" w14:textId="77777777" w:rsidR="005273DD" w:rsidRDefault="005273DD" w:rsidP="005273DD">
                          <w:pPr>
                            <w:jc w:val="both"/>
                            <w:rPr>
                              <w:rFonts w:ascii="Arial" w:hAnsi="Arial" w:cs="Arial"/>
                              <w:b/>
                              <w:sz w:val="20"/>
                              <w:szCs w:val="20"/>
                            </w:rPr>
                          </w:pPr>
                          <w:r>
                            <w:rPr>
                              <w:rFonts w:ascii="Arial" w:hAnsi="Arial" w:cs="Arial"/>
                              <w:b/>
                              <w:color w:val="00B0F0"/>
                              <w:sz w:val="20"/>
                              <w:szCs w:val="20"/>
                            </w:rPr>
                            <w:t xml:space="preserve">Datos personales protegidos </w:t>
                          </w:r>
                          <w:r>
                            <w:rPr>
                              <w:rFonts w:ascii="Arial" w:hAnsi="Arial" w:cs="Arial"/>
                              <w:b/>
                              <w:sz w:val="20"/>
                              <w:szCs w:val="20"/>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1CDC19B" id="Cuadro de texto 4" o:spid="_x0000_s1027" type="#_x0000_t202" style="position:absolute;left:0;text-align:left;margin-left:-98.55pt;margin-top:373.5pt;width:89.55pt;height:102.75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h96MQIAAF8EAAAOAAAAZHJzL2Uyb0RvYy54bWysVNtu2zAMfR+wfxD0vjhJk7U14hRdugwD&#10;ugvQ7QMYSY6FyaImKbGzry8lp2l2wR6G+UEQQ+rw8JDM4qZvDdsrHzTaik9GY86UFSi13Vb865f1&#10;qyvOQgQrwaBVFT+owG+WL18sOleqKTZopPKMQGwoO1fxJkZXFkUQjWohjNApS84afQuRTL8tpIeO&#10;0FtTTMfj10WHXjqPQoVAv94NTr7M+HWtRPxU10FFZipO3GI+fT436SyWCyi3HlyjxZEG/AOLFrSl&#10;pCeoO4jAdl7/BtVq4TFgHUcC2wLrWguVa6BqJuNfqnlowKlcC4kT3Emm8P9gxcf9Z8+0rPiMMwst&#10;tWi1A+mRScWi6iOyWRKpc6Gk2AdH0bF/gz01Oxcc3D2Kb4FZXDVgt+rWe+waBZJITtLL4uzpgBMS&#10;yKb7gJKywS5iBupr3yYFSRNG6NSsw6lBxIOJlHJycTm9mnMmyDe5GM+up/OcA8qn586H+E5hy9Kl&#10;4p4mIMPD/j7ERAfKp5CULaDRcq2NyYbfblbGsz3QtKzzd0T/KcxY1lX8ek65/w4xzt+fIFodaeyN&#10;bit+dQqCMun21so8lBG0Ge5E2dijkEm7QcXYb/rcuGlKkETeoDyQsh6HKaetpEuD/gdnHU14xcP3&#10;HXjFmXlvqTvXk9ksrUQ2ZvPLKRn+3LM594AVBFXxyNlwXcVhjXbO621DmYZ5sHhLHa111vqZ1ZE+&#10;TXFuwXHj0pqc2znq+X9h+QgAAP//AwBQSwMEFAAGAAgAAAAhANd+TeHiAAAADAEAAA8AAABkcnMv&#10;ZG93bnJldi54bWxMj8tOwzAQRfdI/IM1SGxQ6qS0zYM4FUICwQ4Kgq0bT5MIP4LtpuHvGVawm9Ec&#10;3Tm33s5Gswl9GJwVkC1SYGhbpwbbCXh7vU8KYCFKq6R2FgV8Y4Btc35Wy0q5k33BaRc7RiE2VFJA&#10;H+NYcR7aHo0MCzeipdvBeSMjrb7jyssThRvNl2m64UYOlj70csS7HtvP3dEIKFaP00d4un5+bzcH&#10;XcarfHr48kJcXsy3N8AizvEPhl99UoeGnPbuaFVgWkCSlXlGrIB8lVMrQpKsoGEvoFwv18Cbmv8v&#10;0fwAAAD//wMAUEsBAi0AFAAGAAgAAAAhALaDOJL+AAAA4QEAABMAAAAAAAAAAAAAAAAAAAAAAFtD&#10;b250ZW50X1R5cGVzXS54bWxQSwECLQAUAAYACAAAACEAOP0h/9YAAACUAQAACwAAAAAAAAAAAAAA&#10;AAAvAQAAX3JlbHMvLnJlbHNQSwECLQAUAAYACAAAACEADIIfejECAABfBAAADgAAAAAAAAAAAAAA&#10;AAAuAgAAZHJzL2Uyb0RvYy54bWxQSwECLQAUAAYACAAAACEA135N4eIAAAAMAQAADwAAAAAAAAAA&#10;AAAAAACLBAAAZHJzL2Rvd25yZXYueG1sUEsFBgAAAAAEAAQA8wAAAJoFAAAAAA==&#10;">
              <v:textbox>
                <w:txbxContent>
                  <w:p w14:paraId="3ED51136" w14:textId="77777777" w:rsidR="005273DD" w:rsidRDefault="005273DD" w:rsidP="005273DD">
                    <w:pPr>
                      <w:jc w:val="both"/>
                      <w:rPr>
                        <w:rFonts w:ascii="Arial" w:hAnsi="Arial" w:cs="Arial"/>
                        <w:b/>
                        <w:sz w:val="20"/>
                        <w:szCs w:val="20"/>
                      </w:rPr>
                    </w:pPr>
                    <w:r>
                      <w:rPr>
                        <w:rFonts w:ascii="Arial" w:hAnsi="Arial" w:cs="Arial"/>
                        <w:b/>
                        <w:color w:val="00B0F0"/>
                        <w:sz w:val="20"/>
                        <w:szCs w:val="20"/>
                      </w:rPr>
                      <w:t xml:space="preserve">Datos personales protegidos </w:t>
                    </w:r>
                    <w:r>
                      <w:rPr>
                        <w:rFonts w:ascii="Arial" w:hAnsi="Arial" w:cs="Arial"/>
                        <w:b/>
                        <w:sz w:val="20"/>
                        <w:szCs w:val="20"/>
                      </w:rPr>
                      <w:t>por el artículo 116 de la LGTAIP y el artículo 56 de la LTAIPEO.</w:t>
                    </w:r>
                  </w:p>
                </w:txbxContent>
              </v:textbox>
            </v:shape>
          </w:pict>
        </mc:Fallback>
      </mc:AlternateContent>
    </w:r>
    <w:r w:rsidR="00440D9A">
      <w:rPr>
        <w:noProof/>
        <w:lang w:eastAsia="es-MX"/>
      </w:rPr>
      <w:drawing>
        <wp:anchor distT="0" distB="0" distL="114300" distR="114300" simplePos="0" relativeHeight="251663360" behindDoc="1" locked="0" layoutInCell="1" allowOverlap="1" wp14:anchorId="541A7385" wp14:editId="15CE941B">
          <wp:simplePos x="0" y="0"/>
          <wp:positionH relativeFrom="column">
            <wp:posOffset>-30480</wp:posOffset>
          </wp:positionH>
          <wp:positionV relativeFrom="paragraph">
            <wp:posOffset>3049270</wp:posOffset>
          </wp:positionV>
          <wp:extent cx="5257800" cy="4533900"/>
          <wp:effectExtent l="0" t="0" r="0" b="0"/>
          <wp:wrapNone/>
          <wp:docPr id="9" name="Imagen 9"/>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3"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0E6B1F" w14:textId="77777777" w:rsidR="00A4373C" w:rsidRDefault="008A4E94">
    <w:pPr>
      <w:pStyle w:val="Encabezado"/>
    </w:pPr>
    <w:r>
      <w:rPr>
        <w:noProof/>
        <w:lang w:eastAsia="es-MX"/>
      </w:rPr>
      <w:pict w14:anchorId="5AB1F4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1"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02E71"/>
    <w:rsid w:val="000054A2"/>
    <w:rsid w:val="00010528"/>
    <w:rsid w:val="000125A9"/>
    <w:rsid w:val="00012762"/>
    <w:rsid w:val="0002020F"/>
    <w:rsid w:val="00022D97"/>
    <w:rsid w:val="00023964"/>
    <w:rsid w:val="000268AE"/>
    <w:rsid w:val="00033A92"/>
    <w:rsid w:val="00034A10"/>
    <w:rsid w:val="00037568"/>
    <w:rsid w:val="00041042"/>
    <w:rsid w:val="00043943"/>
    <w:rsid w:val="00045647"/>
    <w:rsid w:val="00047223"/>
    <w:rsid w:val="00054DF6"/>
    <w:rsid w:val="00056EEE"/>
    <w:rsid w:val="000606E5"/>
    <w:rsid w:val="00062DC6"/>
    <w:rsid w:val="000679B2"/>
    <w:rsid w:val="00067DE1"/>
    <w:rsid w:val="000740B4"/>
    <w:rsid w:val="00080379"/>
    <w:rsid w:val="00085C5D"/>
    <w:rsid w:val="00086629"/>
    <w:rsid w:val="000920FC"/>
    <w:rsid w:val="00092B13"/>
    <w:rsid w:val="000A1953"/>
    <w:rsid w:val="000A3141"/>
    <w:rsid w:val="000A3C52"/>
    <w:rsid w:val="000A749A"/>
    <w:rsid w:val="000A7EF7"/>
    <w:rsid w:val="000B07FD"/>
    <w:rsid w:val="000B41EC"/>
    <w:rsid w:val="000C2D07"/>
    <w:rsid w:val="000C5A57"/>
    <w:rsid w:val="000D332F"/>
    <w:rsid w:val="000D7002"/>
    <w:rsid w:val="000E3B74"/>
    <w:rsid w:val="000F2A5A"/>
    <w:rsid w:val="000F682D"/>
    <w:rsid w:val="0010130E"/>
    <w:rsid w:val="0010171D"/>
    <w:rsid w:val="00102428"/>
    <w:rsid w:val="00103E7F"/>
    <w:rsid w:val="001062D2"/>
    <w:rsid w:val="001130B3"/>
    <w:rsid w:val="0011343F"/>
    <w:rsid w:val="001138F8"/>
    <w:rsid w:val="00117886"/>
    <w:rsid w:val="00121484"/>
    <w:rsid w:val="00124E09"/>
    <w:rsid w:val="001323F3"/>
    <w:rsid w:val="00132D25"/>
    <w:rsid w:val="00150601"/>
    <w:rsid w:val="00150787"/>
    <w:rsid w:val="00154E74"/>
    <w:rsid w:val="00160942"/>
    <w:rsid w:val="00164320"/>
    <w:rsid w:val="0016706C"/>
    <w:rsid w:val="00185A8C"/>
    <w:rsid w:val="0019193E"/>
    <w:rsid w:val="001A273D"/>
    <w:rsid w:val="001A3488"/>
    <w:rsid w:val="001A420D"/>
    <w:rsid w:val="001A7108"/>
    <w:rsid w:val="001B0015"/>
    <w:rsid w:val="001B31AA"/>
    <w:rsid w:val="001B3EDE"/>
    <w:rsid w:val="001C581E"/>
    <w:rsid w:val="001D595D"/>
    <w:rsid w:val="001D7D72"/>
    <w:rsid w:val="001E468F"/>
    <w:rsid w:val="001E7EB8"/>
    <w:rsid w:val="002019F1"/>
    <w:rsid w:val="00215CFB"/>
    <w:rsid w:val="00225794"/>
    <w:rsid w:val="002273C1"/>
    <w:rsid w:val="00227673"/>
    <w:rsid w:val="00227B0E"/>
    <w:rsid w:val="00231BB4"/>
    <w:rsid w:val="00236040"/>
    <w:rsid w:val="00237BFA"/>
    <w:rsid w:val="00242030"/>
    <w:rsid w:val="002476D8"/>
    <w:rsid w:val="00256213"/>
    <w:rsid w:val="00260406"/>
    <w:rsid w:val="00264419"/>
    <w:rsid w:val="00266D60"/>
    <w:rsid w:val="00273025"/>
    <w:rsid w:val="00274840"/>
    <w:rsid w:val="00277F55"/>
    <w:rsid w:val="00280C38"/>
    <w:rsid w:val="00282C25"/>
    <w:rsid w:val="00284F95"/>
    <w:rsid w:val="0028642F"/>
    <w:rsid w:val="002A1A88"/>
    <w:rsid w:val="002A534A"/>
    <w:rsid w:val="002A70E2"/>
    <w:rsid w:val="002B1091"/>
    <w:rsid w:val="002B7125"/>
    <w:rsid w:val="002C3F59"/>
    <w:rsid w:val="002D049B"/>
    <w:rsid w:val="002D1C5C"/>
    <w:rsid w:val="002D50CB"/>
    <w:rsid w:val="002E0A6B"/>
    <w:rsid w:val="002E2D06"/>
    <w:rsid w:val="002E45CD"/>
    <w:rsid w:val="002F0DE0"/>
    <w:rsid w:val="002F510D"/>
    <w:rsid w:val="002F7E67"/>
    <w:rsid w:val="00314069"/>
    <w:rsid w:val="0032191E"/>
    <w:rsid w:val="003232EF"/>
    <w:rsid w:val="00324531"/>
    <w:rsid w:val="00334280"/>
    <w:rsid w:val="0034172C"/>
    <w:rsid w:val="0034623D"/>
    <w:rsid w:val="003605D0"/>
    <w:rsid w:val="00362621"/>
    <w:rsid w:val="00362B10"/>
    <w:rsid w:val="00362B9F"/>
    <w:rsid w:val="0036559B"/>
    <w:rsid w:val="00367CD8"/>
    <w:rsid w:val="00372164"/>
    <w:rsid w:val="00372348"/>
    <w:rsid w:val="003739C0"/>
    <w:rsid w:val="00375885"/>
    <w:rsid w:val="00375B6F"/>
    <w:rsid w:val="0037735A"/>
    <w:rsid w:val="0038465F"/>
    <w:rsid w:val="00387429"/>
    <w:rsid w:val="00387F33"/>
    <w:rsid w:val="00391F24"/>
    <w:rsid w:val="00393A57"/>
    <w:rsid w:val="003A4548"/>
    <w:rsid w:val="003A6F4F"/>
    <w:rsid w:val="003A766C"/>
    <w:rsid w:val="003B1785"/>
    <w:rsid w:val="003B1E1B"/>
    <w:rsid w:val="003B3C3C"/>
    <w:rsid w:val="003C5391"/>
    <w:rsid w:val="003C5C1B"/>
    <w:rsid w:val="003E104E"/>
    <w:rsid w:val="003E3AE3"/>
    <w:rsid w:val="003E525F"/>
    <w:rsid w:val="003E6BD1"/>
    <w:rsid w:val="003E6DFB"/>
    <w:rsid w:val="003F1214"/>
    <w:rsid w:val="003F1998"/>
    <w:rsid w:val="003F5F1A"/>
    <w:rsid w:val="003F7700"/>
    <w:rsid w:val="003F7AB5"/>
    <w:rsid w:val="00402CA6"/>
    <w:rsid w:val="00407214"/>
    <w:rsid w:val="00412725"/>
    <w:rsid w:val="00413B0F"/>
    <w:rsid w:val="00414063"/>
    <w:rsid w:val="00420019"/>
    <w:rsid w:val="00427547"/>
    <w:rsid w:val="004319A5"/>
    <w:rsid w:val="00433354"/>
    <w:rsid w:val="00433706"/>
    <w:rsid w:val="00433716"/>
    <w:rsid w:val="00434450"/>
    <w:rsid w:val="00434D4A"/>
    <w:rsid w:val="00434FEC"/>
    <w:rsid w:val="00440D9A"/>
    <w:rsid w:val="00440DC5"/>
    <w:rsid w:val="0044490A"/>
    <w:rsid w:val="00446E39"/>
    <w:rsid w:val="00454AEC"/>
    <w:rsid w:val="004667D8"/>
    <w:rsid w:val="00473912"/>
    <w:rsid w:val="00475A77"/>
    <w:rsid w:val="00476F7D"/>
    <w:rsid w:val="004847B0"/>
    <w:rsid w:val="00485500"/>
    <w:rsid w:val="0048552C"/>
    <w:rsid w:val="0048608F"/>
    <w:rsid w:val="004B074C"/>
    <w:rsid w:val="004B524C"/>
    <w:rsid w:val="004B768F"/>
    <w:rsid w:val="004C1605"/>
    <w:rsid w:val="004C5180"/>
    <w:rsid w:val="004C7B48"/>
    <w:rsid w:val="004D36EF"/>
    <w:rsid w:val="004D3942"/>
    <w:rsid w:val="004D49E7"/>
    <w:rsid w:val="004D7A34"/>
    <w:rsid w:val="004E21EE"/>
    <w:rsid w:val="004F162F"/>
    <w:rsid w:val="004F74B5"/>
    <w:rsid w:val="00502478"/>
    <w:rsid w:val="00502589"/>
    <w:rsid w:val="00502D4F"/>
    <w:rsid w:val="00504FCD"/>
    <w:rsid w:val="005221FE"/>
    <w:rsid w:val="00522A4F"/>
    <w:rsid w:val="00522C05"/>
    <w:rsid w:val="0052369A"/>
    <w:rsid w:val="00524EF5"/>
    <w:rsid w:val="005273DD"/>
    <w:rsid w:val="00527A5C"/>
    <w:rsid w:val="00533998"/>
    <w:rsid w:val="00536197"/>
    <w:rsid w:val="005401D7"/>
    <w:rsid w:val="00542573"/>
    <w:rsid w:val="00544394"/>
    <w:rsid w:val="00553A79"/>
    <w:rsid w:val="00555EC8"/>
    <w:rsid w:val="005650AD"/>
    <w:rsid w:val="00566511"/>
    <w:rsid w:val="00571121"/>
    <w:rsid w:val="00572C64"/>
    <w:rsid w:val="00580EEB"/>
    <w:rsid w:val="0058166F"/>
    <w:rsid w:val="0058281B"/>
    <w:rsid w:val="0059235B"/>
    <w:rsid w:val="00594EC0"/>
    <w:rsid w:val="005A1832"/>
    <w:rsid w:val="005A3B1A"/>
    <w:rsid w:val="005A7099"/>
    <w:rsid w:val="005A776C"/>
    <w:rsid w:val="005A7853"/>
    <w:rsid w:val="005B1B32"/>
    <w:rsid w:val="005B211C"/>
    <w:rsid w:val="005B3800"/>
    <w:rsid w:val="005B63A5"/>
    <w:rsid w:val="005B6473"/>
    <w:rsid w:val="005C4441"/>
    <w:rsid w:val="005C5DF2"/>
    <w:rsid w:val="005C7798"/>
    <w:rsid w:val="005E0299"/>
    <w:rsid w:val="005E1297"/>
    <w:rsid w:val="005E1383"/>
    <w:rsid w:val="005E583E"/>
    <w:rsid w:val="00604785"/>
    <w:rsid w:val="006050EC"/>
    <w:rsid w:val="00605FD1"/>
    <w:rsid w:val="00606A66"/>
    <w:rsid w:val="006179D5"/>
    <w:rsid w:val="006224F4"/>
    <w:rsid w:val="00627280"/>
    <w:rsid w:val="00631E6F"/>
    <w:rsid w:val="00633B84"/>
    <w:rsid w:val="0063702E"/>
    <w:rsid w:val="00640240"/>
    <w:rsid w:val="006406B1"/>
    <w:rsid w:val="00641999"/>
    <w:rsid w:val="00644003"/>
    <w:rsid w:val="006532EB"/>
    <w:rsid w:val="006635AF"/>
    <w:rsid w:val="00665C49"/>
    <w:rsid w:val="006663FA"/>
    <w:rsid w:val="00667494"/>
    <w:rsid w:val="006675F6"/>
    <w:rsid w:val="00671276"/>
    <w:rsid w:val="006715DA"/>
    <w:rsid w:val="006720CF"/>
    <w:rsid w:val="00674769"/>
    <w:rsid w:val="00674CC7"/>
    <w:rsid w:val="00680A5D"/>
    <w:rsid w:val="00682104"/>
    <w:rsid w:val="0069526B"/>
    <w:rsid w:val="006A11E3"/>
    <w:rsid w:val="006A1E8F"/>
    <w:rsid w:val="006A28D2"/>
    <w:rsid w:val="006A673B"/>
    <w:rsid w:val="006A6B10"/>
    <w:rsid w:val="006B5994"/>
    <w:rsid w:val="006B5E0A"/>
    <w:rsid w:val="006B7353"/>
    <w:rsid w:val="006C1E72"/>
    <w:rsid w:val="006C54F2"/>
    <w:rsid w:val="006C74D9"/>
    <w:rsid w:val="006D0360"/>
    <w:rsid w:val="006D192F"/>
    <w:rsid w:val="006D317A"/>
    <w:rsid w:val="006D6A52"/>
    <w:rsid w:val="006E0198"/>
    <w:rsid w:val="006E1063"/>
    <w:rsid w:val="006E10CA"/>
    <w:rsid w:val="006E1531"/>
    <w:rsid w:val="006E5138"/>
    <w:rsid w:val="006F0A48"/>
    <w:rsid w:val="006F51F4"/>
    <w:rsid w:val="006F5239"/>
    <w:rsid w:val="0071474B"/>
    <w:rsid w:val="00714E8F"/>
    <w:rsid w:val="0071537A"/>
    <w:rsid w:val="00723AAA"/>
    <w:rsid w:val="00726144"/>
    <w:rsid w:val="007312A2"/>
    <w:rsid w:val="00732829"/>
    <w:rsid w:val="007536F9"/>
    <w:rsid w:val="00755D85"/>
    <w:rsid w:val="00766AB5"/>
    <w:rsid w:val="0076779D"/>
    <w:rsid w:val="00770A31"/>
    <w:rsid w:val="00772907"/>
    <w:rsid w:val="007846E5"/>
    <w:rsid w:val="0078531B"/>
    <w:rsid w:val="00787149"/>
    <w:rsid w:val="0079545D"/>
    <w:rsid w:val="007A22EE"/>
    <w:rsid w:val="007A43ED"/>
    <w:rsid w:val="007A44BA"/>
    <w:rsid w:val="007A5119"/>
    <w:rsid w:val="007A5B5E"/>
    <w:rsid w:val="007A774E"/>
    <w:rsid w:val="007A7A48"/>
    <w:rsid w:val="007B3EBE"/>
    <w:rsid w:val="007B4FFD"/>
    <w:rsid w:val="007C6008"/>
    <w:rsid w:val="007C6B9D"/>
    <w:rsid w:val="007C6EFA"/>
    <w:rsid w:val="007C7D73"/>
    <w:rsid w:val="007D55ED"/>
    <w:rsid w:val="007E2943"/>
    <w:rsid w:val="007E41A0"/>
    <w:rsid w:val="007E51B4"/>
    <w:rsid w:val="007E66DC"/>
    <w:rsid w:val="007F0760"/>
    <w:rsid w:val="007F2831"/>
    <w:rsid w:val="007F60E9"/>
    <w:rsid w:val="008144D8"/>
    <w:rsid w:val="00814D65"/>
    <w:rsid w:val="00820232"/>
    <w:rsid w:val="0082288F"/>
    <w:rsid w:val="00836BB6"/>
    <w:rsid w:val="00836D84"/>
    <w:rsid w:val="008405F9"/>
    <w:rsid w:val="00846D5B"/>
    <w:rsid w:val="00850F70"/>
    <w:rsid w:val="00851860"/>
    <w:rsid w:val="00854294"/>
    <w:rsid w:val="00856A4E"/>
    <w:rsid w:val="00863FE3"/>
    <w:rsid w:val="008846DD"/>
    <w:rsid w:val="00890C8B"/>
    <w:rsid w:val="008911C8"/>
    <w:rsid w:val="00896F1B"/>
    <w:rsid w:val="008973C3"/>
    <w:rsid w:val="008A0DB8"/>
    <w:rsid w:val="008A4E94"/>
    <w:rsid w:val="008A4EBD"/>
    <w:rsid w:val="008B4928"/>
    <w:rsid w:val="008C2010"/>
    <w:rsid w:val="008C5FB8"/>
    <w:rsid w:val="008D17E8"/>
    <w:rsid w:val="008D2F2D"/>
    <w:rsid w:val="008D6A15"/>
    <w:rsid w:val="008E2F4C"/>
    <w:rsid w:val="008E656B"/>
    <w:rsid w:val="008F378D"/>
    <w:rsid w:val="008F4675"/>
    <w:rsid w:val="008F4EA9"/>
    <w:rsid w:val="008F5460"/>
    <w:rsid w:val="00900837"/>
    <w:rsid w:val="00900CAE"/>
    <w:rsid w:val="0090118B"/>
    <w:rsid w:val="009015F9"/>
    <w:rsid w:val="009032BC"/>
    <w:rsid w:val="00904443"/>
    <w:rsid w:val="0090463C"/>
    <w:rsid w:val="00913A5B"/>
    <w:rsid w:val="009146E9"/>
    <w:rsid w:val="009151E7"/>
    <w:rsid w:val="009156C4"/>
    <w:rsid w:val="009178C8"/>
    <w:rsid w:val="0092037B"/>
    <w:rsid w:val="00926315"/>
    <w:rsid w:val="0092754C"/>
    <w:rsid w:val="0093030F"/>
    <w:rsid w:val="0093147D"/>
    <w:rsid w:val="0093785B"/>
    <w:rsid w:val="00944386"/>
    <w:rsid w:val="00944597"/>
    <w:rsid w:val="00952DA2"/>
    <w:rsid w:val="00953189"/>
    <w:rsid w:val="009575F5"/>
    <w:rsid w:val="009755FD"/>
    <w:rsid w:val="0099265D"/>
    <w:rsid w:val="009963CC"/>
    <w:rsid w:val="009963D8"/>
    <w:rsid w:val="009972DA"/>
    <w:rsid w:val="009A10C0"/>
    <w:rsid w:val="009A23EA"/>
    <w:rsid w:val="009A3359"/>
    <w:rsid w:val="009B3A19"/>
    <w:rsid w:val="009B7578"/>
    <w:rsid w:val="009B7B93"/>
    <w:rsid w:val="009C5F23"/>
    <w:rsid w:val="009D23D6"/>
    <w:rsid w:val="009D6D39"/>
    <w:rsid w:val="009F2123"/>
    <w:rsid w:val="00A057F6"/>
    <w:rsid w:val="00A068EB"/>
    <w:rsid w:val="00A13F37"/>
    <w:rsid w:val="00A17ABB"/>
    <w:rsid w:val="00A206A3"/>
    <w:rsid w:val="00A2218D"/>
    <w:rsid w:val="00A3160F"/>
    <w:rsid w:val="00A357D2"/>
    <w:rsid w:val="00A371D5"/>
    <w:rsid w:val="00A377F9"/>
    <w:rsid w:val="00A37DF5"/>
    <w:rsid w:val="00A44239"/>
    <w:rsid w:val="00A47699"/>
    <w:rsid w:val="00A51258"/>
    <w:rsid w:val="00A56A2F"/>
    <w:rsid w:val="00A57E36"/>
    <w:rsid w:val="00A811AE"/>
    <w:rsid w:val="00A879E4"/>
    <w:rsid w:val="00A917BE"/>
    <w:rsid w:val="00A968B7"/>
    <w:rsid w:val="00A97BC6"/>
    <w:rsid w:val="00AA3699"/>
    <w:rsid w:val="00AA4103"/>
    <w:rsid w:val="00AA62AE"/>
    <w:rsid w:val="00AA7145"/>
    <w:rsid w:val="00AA796F"/>
    <w:rsid w:val="00AB1630"/>
    <w:rsid w:val="00AB5C18"/>
    <w:rsid w:val="00AC05A6"/>
    <w:rsid w:val="00AD14A8"/>
    <w:rsid w:val="00AD723C"/>
    <w:rsid w:val="00AE579E"/>
    <w:rsid w:val="00AF5B34"/>
    <w:rsid w:val="00B00359"/>
    <w:rsid w:val="00B044C2"/>
    <w:rsid w:val="00B103A0"/>
    <w:rsid w:val="00B11332"/>
    <w:rsid w:val="00B171D1"/>
    <w:rsid w:val="00B22B25"/>
    <w:rsid w:val="00B22DC7"/>
    <w:rsid w:val="00B26A51"/>
    <w:rsid w:val="00B37BED"/>
    <w:rsid w:val="00B438E5"/>
    <w:rsid w:val="00B4639E"/>
    <w:rsid w:val="00B46E86"/>
    <w:rsid w:val="00B53C8F"/>
    <w:rsid w:val="00B600ED"/>
    <w:rsid w:val="00B61077"/>
    <w:rsid w:val="00B61428"/>
    <w:rsid w:val="00B70C05"/>
    <w:rsid w:val="00B7407D"/>
    <w:rsid w:val="00B81C77"/>
    <w:rsid w:val="00B86059"/>
    <w:rsid w:val="00B92449"/>
    <w:rsid w:val="00B94C99"/>
    <w:rsid w:val="00B97A95"/>
    <w:rsid w:val="00B97D1F"/>
    <w:rsid w:val="00BA251A"/>
    <w:rsid w:val="00BB4F0B"/>
    <w:rsid w:val="00BC5D03"/>
    <w:rsid w:val="00BD0DA4"/>
    <w:rsid w:val="00BD28DD"/>
    <w:rsid w:val="00BD7507"/>
    <w:rsid w:val="00BE1DD4"/>
    <w:rsid w:val="00BE26D9"/>
    <w:rsid w:val="00BE3865"/>
    <w:rsid w:val="00BF2E0E"/>
    <w:rsid w:val="00C046EC"/>
    <w:rsid w:val="00C13B09"/>
    <w:rsid w:val="00C15DB6"/>
    <w:rsid w:val="00C201E1"/>
    <w:rsid w:val="00C20B6F"/>
    <w:rsid w:val="00C225DB"/>
    <w:rsid w:val="00C3005E"/>
    <w:rsid w:val="00C33CED"/>
    <w:rsid w:val="00C349DF"/>
    <w:rsid w:val="00C37DF5"/>
    <w:rsid w:val="00C41270"/>
    <w:rsid w:val="00C44DDE"/>
    <w:rsid w:val="00C50828"/>
    <w:rsid w:val="00C519F2"/>
    <w:rsid w:val="00C56B89"/>
    <w:rsid w:val="00C5781F"/>
    <w:rsid w:val="00C633E9"/>
    <w:rsid w:val="00C6716F"/>
    <w:rsid w:val="00C67280"/>
    <w:rsid w:val="00C7097E"/>
    <w:rsid w:val="00C73D2E"/>
    <w:rsid w:val="00C753F3"/>
    <w:rsid w:val="00C81E73"/>
    <w:rsid w:val="00C86A96"/>
    <w:rsid w:val="00CB0191"/>
    <w:rsid w:val="00CB1103"/>
    <w:rsid w:val="00CB466F"/>
    <w:rsid w:val="00CB5CCC"/>
    <w:rsid w:val="00CB731B"/>
    <w:rsid w:val="00CC0343"/>
    <w:rsid w:val="00CC7806"/>
    <w:rsid w:val="00CD140A"/>
    <w:rsid w:val="00CD3746"/>
    <w:rsid w:val="00CD43CA"/>
    <w:rsid w:val="00CD6397"/>
    <w:rsid w:val="00CD707F"/>
    <w:rsid w:val="00D11FEF"/>
    <w:rsid w:val="00D266C0"/>
    <w:rsid w:val="00D27503"/>
    <w:rsid w:val="00D300B5"/>
    <w:rsid w:val="00D341B7"/>
    <w:rsid w:val="00D35A3C"/>
    <w:rsid w:val="00D35CB2"/>
    <w:rsid w:val="00D36878"/>
    <w:rsid w:val="00D44940"/>
    <w:rsid w:val="00D4537E"/>
    <w:rsid w:val="00D459CC"/>
    <w:rsid w:val="00D5194F"/>
    <w:rsid w:val="00D52AE9"/>
    <w:rsid w:val="00D54271"/>
    <w:rsid w:val="00D54B83"/>
    <w:rsid w:val="00D55CA1"/>
    <w:rsid w:val="00D67F35"/>
    <w:rsid w:val="00D80489"/>
    <w:rsid w:val="00D8282E"/>
    <w:rsid w:val="00D841BC"/>
    <w:rsid w:val="00D8770B"/>
    <w:rsid w:val="00DA2E36"/>
    <w:rsid w:val="00DB142A"/>
    <w:rsid w:val="00DB42D5"/>
    <w:rsid w:val="00DC0E04"/>
    <w:rsid w:val="00DC104E"/>
    <w:rsid w:val="00DC14DE"/>
    <w:rsid w:val="00DC24B5"/>
    <w:rsid w:val="00DD3263"/>
    <w:rsid w:val="00DE04F5"/>
    <w:rsid w:val="00DE3267"/>
    <w:rsid w:val="00DE45DF"/>
    <w:rsid w:val="00DE4BFA"/>
    <w:rsid w:val="00DF1654"/>
    <w:rsid w:val="00DF431D"/>
    <w:rsid w:val="00DF5113"/>
    <w:rsid w:val="00DF596A"/>
    <w:rsid w:val="00E05E49"/>
    <w:rsid w:val="00E27318"/>
    <w:rsid w:val="00E278E3"/>
    <w:rsid w:val="00E3025F"/>
    <w:rsid w:val="00E355F4"/>
    <w:rsid w:val="00E452E5"/>
    <w:rsid w:val="00E5122D"/>
    <w:rsid w:val="00E5150B"/>
    <w:rsid w:val="00E551C5"/>
    <w:rsid w:val="00E578BA"/>
    <w:rsid w:val="00E619E9"/>
    <w:rsid w:val="00E61FB2"/>
    <w:rsid w:val="00E64E5F"/>
    <w:rsid w:val="00E70AF2"/>
    <w:rsid w:val="00E764E3"/>
    <w:rsid w:val="00E76510"/>
    <w:rsid w:val="00E81789"/>
    <w:rsid w:val="00E90C31"/>
    <w:rsid w:val="00E91751"/>
    <w:rsid w:val="00E9337C"/>
    <w:rsid w:val="00E974F8"/>
    <w:rsid w:val="00EA20B7"/>
    <w:rsid w:val="00EA2229"/>
    <w:rsid w:val="00EA5B8C"/>
    <w:rsid w:val="00EA6EFA"/>
    <w:rsid w:val="00EB268D"/>
    <w:rsid w:val="00EC616C"/>
    <w:rsid w:val="00ED0588"/>
    <w:rsid w:val="00ED0959"/>
    <w:rsid w:val="00ED2A23"/>
    <w:rsid w:val="00ED5611"/>
    <w:rsid w:val="00EE3204"/>
    <w:rsid w:val="00EE66A3"/>
    <w:rsid w:val="00EE69CB"/>
    <w:rsid w:val="00EE7010"/>
    <w:rsid w:val="00EF0DD2"/>
    <w:rsid w:val="00EF77C0"/>
    <w:rsid w:val="00F0095B"/>
    <w:rsid w:val="00F00D08"/>
    <w:rsid w:val="00F1260F"/>
    <w:rsid w:val="00F13121"/>
    <w:rsid w:val="00F14EC5"/>
    <w:rsid w:val="00F2100B"/>
    <w:rsid w:val="00F21161"/>
    <w:rsid w:val="00F228AA"/>
    <w:rsid w:val="00F24B6D"/>
    <w:rsid w:val="00F259C1"/>
    <w:rsid w:val="00F25B5E"/>
    <w:rsid w:val="00F2726B"/>
    <w:rsid w:val="00F35133"/>
    <w:rsid w:val="00F4521C"/>
    <w:rsid w:val="00F57AB8"/>
    <w:rsid w:val="00F652B5"/>
    <w:rsid w:val="00F65989"/>
    <w:rsid w:val="00F668A7"/>
    <w:rsid w:val="00F66A57"/>
    <w:rsid w:val="00F767DC"/>
    <w:rsid w:val="00F82D42"/>
    <w:rsid w:val="00F85C13"/>
    <w:rsid w:val="00F85E9E"/>
    <w:rsid w:val="00F869F5"/>
    <w:rsid w:val="00F90CB3"/>
    <w:rsid w:val="00F9203A"/>
    <w:rsid w:val="00F93C6D"/>
    <w:rsid w:val="00F965D8"/>
    <w:rsid w:val="00F969CE"/>
    <w:rsid w:val="00FA2DE8"/>
    <w:rsid w:val="00FB7682"/>
    <w:rsid w:val="00FC45EE"/>
    <w:rsid w:val="00FC47E6"/>
    <w:rsid w:val="00FC4F6A"/>
    <w:rsid w:val="00FD3894"/>
    <w:rsid w:val="00FD6A8A"/>
    <w:rsid w:val="00FE2437"/>
    <w:rsid w:val="00FE673E"/>
    <w:rsid w:val="00FF3E3A"/>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05A5B0F"/>
  <w15:docId w15:val="{31D944B6-C008-4FD5-BAD9-0DAE59D09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020F"/>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microsoft.com/office/2007/relationships/hdphoto" Target="media/hdphoto1.wdp"/><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313</TotalTime>
  <Pages>10</Pages>
  <Words>3747</Words>
  <Characters>20613</Characters>
  <Application>Microsoft Office Word</Application>
  <DocSecurity>0</DocSecurity>
  <Lines>171</Lines>
  <Paragraphs>48</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24312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560</cp:revision>
  <cp:lastPrinted>2019-12-02T19:23:00Z</cp:lastPrinted>
  <dcterms:created xsi:type="dcterms:W3CDTF">2019-07-08T16:38:00Z</dcterms:created>
  <dcterms:modified xsi:type="dcterms:W3CDTF">2020-08-04T16:22:00Z</dcterms:modified>
</cp:coreProperties>
</file>