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2B9F" w14:textId="77777777" w:rsidR="00A60C16" w:rsidRDefault="00A60C16" w:rsidP="00A60C16">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028931A1" w14:textId="77777777" w:rsidR="00A60C16" w:rsidRPr="00240D1C" w:rsidRDefault="00A60C16" w:rsidP="00A60C16">
      <w:pPr>
        <w:pStyle w:val="Encabezado"/>
        <w:ind w:left="2977"/>
        <w:jc w:val="both"/>
        <w:rPr>
          <w:rFonts w:ascii="Arial" w:hAnsi="Arial" w:cs="Arial"/>
          <w:b/>
          <w:sz w:val="24"/>
          <w:szCs w:val="24"/>
        </w:rPr>
      </w:pPr>
    </w:p>
    <w:p w14:paraId="6441B02C" w14:textId="77777777" w:rsidR="00A60C16" w:rsidRPr="00240D1C" w:rsidRDefault="00A60C16" w:rsidP="00A60C16">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Pr="00E578BF">
        <w:rPr>
          <w:rFonts w:ascii="Arial" w:hAnsi="Arial" w:cs="Arial"/>
          <w:b/>
          <w:bCs/>
          <w:sz w:val="24"/>
          <w:szCs w:val="24"/>
        </w:rPr>
        <w:t>0</w:t>
      </w:r>
      <w:r>
        <w:rPr>
          <w:rFonts w:ascii="Arial" w:hAnsi="Arial" w:cs="Arial"/>
          <w:b/>
          <w:bCs/>
          <w:sz w:val="24"/>
          <w:szCs w:val="24"/>
        </w:rPr>
        <w:t>102/2020.</w:t>
      </w:r>
    </w:p>
    <w:p w14:paraId="47107B27" w14:textId="77777777" w:rsidR="00A60C16" w:rsidRPr="00240D1C" w:rsidRDefault="00A60C16" w:rsidP="00A60C16">
      <w:pPr>
        <w:pStyle w:val="Encabezado"/>
        <w:tabs>
          <w:tab w:val="clear" w:pos="4419"/>
          <w:tab w:val="center" w:pos="8931"/>
        </w:tabs>
        <w:ind w:left="2977"/>
        <w:jc w:val="both"/>
        <w:rPr>
          <w:rFonts w:ascii="Arial" w:hAnsi="Arial" w:cs="Arial"/>
          <w:b/>
          <w:sz w:val="24"/>
          <w:szCs w:val="24"/>
        </w:rPr>
      </w:pPr>
    </w:p>
    <w:p w14:paraId="5E51589D" w14:textId="2A485092" w:rsidR="00A60C16" w:rsidRPr="00B87E70" w:rsidRDefault="00560C60" w:rsidP="00A60C16">
      <w:pPr>
        <w:pStyle w:val="Encabezado"/>
        <w:tabs>
          <w:tab w:val="clear" w:pos="4419"/>
          <w:tab w:val="clear" w:pos="8838"/>
        </w:tabs>
        <w:ind w:left="2977"/>
        <w:rPr>
          <w:rFonts w:ascii="Arial" w:hAnsi="Arial" w:cs="Arial"/>
          <w:bCs/>
          <w:sz w:val="24"/>
          <w:szCs w:val="24"/>
        </w:rPr>
      </w:pPr>
      <w:r>
        <w:rPr>
          <w:rFonts w:ascii="Arial" w:hAnsi="Arial" w:cs="Arial"/>
          <w:b/>
          <w:sz w:val="24"/>
          <w:szCs w:val="24"/>
        </w:rPr>
        <w:t>ACTOR</w:t>
      </w:r>
      <w:r w:rsidR="00A60C16">
        <w:rPr>
          <w:rFonts w:ascii="Arial" w:hAnsi="Arial" w:cs="Arial"/>
          <w:b/>
          <w:sz w:val="24"/>
          <w:szCs w:val="24"/>
        </w:rPr>
        <w:t xml:space="preserve">: </w:t>
      </w:r>
      <w:r w:rsidR="00CE55F4">
        <w:rPr>
          <w:rFonts w:ascii="Arial" w:hAnsi="Arial" w:cs="Arial"/>
          <w:b/>
          <w:color w:val="FF0000"/>
          <w:sz w:val="24"/>
          <w:szCs w:val="24"/>
        </w:rPr>
        <w:t>**********</w:t>
      </w:r>
      <w:r w:rsidR="00A60C16" w:rsidRPr="00A60C16">
        <w:rPr>
          <w:rFonts w:ascii="Arial" w:hAnsi="Arial" w:cs="Arial"/>
          <w:b/>
          <w:bCs/>
          <w:color w:val="FF0000"/>
          <w:sz w:val="24"/>
          <w:szCs w:val="24"/>
        </w:rPr>
        <w:t>.</w:t>
      </w:r>
    </w:p>
    <w:p w14:paraId="71C169E1" w14:textId="77777777" w:rsidR="00A60C16" w:rsidRPr="00240D1C" w:rsidRDefault="00A60C16" w:rsidP="00A60C16">
      <w:pPr>
        <w:pStyle w:val="Encabezado"/>
        <w:ind w:left="2977"/>
        <w:jc w:val="both"/>
        <w:rPr>
          <w:rFonts w:ascii="Arial" w:hAnsi="Arial" w:cs="Arial"/>
          <w:b/>
          <w:sz w:val="24"/>
          <w:szCs w:val="24"/>
        </w:rPr>
      </w:pPr>
    </w:p>
    <w:p w14:paraId="2407DDB1" w14:textId="77777777" w:rsidR="00A60C16" w:rsidRDefault="00A60C16" w:rsidP="00A60C16">
      <w:pPr>
        <w:pStyle w:val="Encabezado"/>
        <w:tabs>
          <w:tab w:val="clear" w:pos="4419"/>
          <w:tab w:val="clear" w:pos="8838"/>
          <w:tab w:val="center" w:pos="-1418"/>
        </w:tabs>
        <w:ind w:left="2977"/>
        <w:jc w:val="both"/>
        <w:rPr>
          <w:rFonts w:ascii="Arial" w:hAnsi="Arial" w:cs="Arial"/>
          <w:sz w:val="24"/>
          <w:szCs w:val="24"/>
        </w:rPr>
      </w:pPr>
      <w:r w:rsidRPr="00240D1C">
        <w:rPr>
          <w:rFonts w:ascii="Arial" w:hAnsi="Arial" w:cs="Arial"/>
          <w:b/>
          <w:sz w:val="24"/>
          <w:szCs w:val="24"/>
        </w:rPr>
        <w:t xml:space="preserve">DEMANDADO: </w:t>
      </w:r>
      <w:r w:rsidRPr="00A11BB3">
        <w:rPr>
          <w:rFonts w:ascii="Arial" w:hAnsi="Arial" w:cs="Arial"/>
          <w:sz w:val="24"/>
          <w:szCs w:val="24"/>
        </w:rPr>
        <w:t>PRESIDENTE MUNICIPAL DEL H. AYUNTAMIENTO DE OAXACA DE JUÁREZ, OAXACA Y OTROS</w:t>
      </w:r>
      <w:r>
        <w:rPr>
          <w:rFonts w:ascii="Arial" w:hAnsi="Arial" w:cs="Arial"/>
          <w:b/>
          <w:sz w:val="24"/>
          <w:szCs w:val="24"/>
        </w:rPr>
        <w:t xml:space="preserve"> </w:t>
      </w:r>
    </w:p>
    <w:p w14:paraId="5CD09A01" w14:textId="77777777" w:rsidR="00A60C16" w:rsidRDefault="00A60C16" w:rsidP="00A60C16">
      <w:pPr>
        <w:pStyle w:val="Encabezado"/>
        <w:tabs>
          <w:tab w:val="clear" w:pos="4419"/>
          <w:tab w:val="clear" w:pos="8838"/>
          <w:tab w:val="center" w:pos="-1418"/>
        </w:tabs>
        <w:ind w:left="2977"/>
        <w:jc w:val="both"/>
        <w:rPr>
          <w:rFonts w:ascii="Arial" w:hAnsi="Arial" w:cs="Arial"/>
          <w:sz w:val="24"/>
          <w:szCs w:val="24"/>
        </w:rPr>
      </w:pPr>
    </w:p>
    <w:p w14:paraId="49B0F5E0" w14:textId="77777777" w:rsidR="00A60C16" w:rsidRPr="00240D1C" w:rsidRDefault="00A60C16" w:rsidP="00A60C16">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24D5603A" w14:textId="77777777" w:rsidR="00A60C16" w:rsidRPr="00240D1C" w:rsidRDefault="00A60C16" w:rsidP="00A60C16">
      <w:pPr>
        <w:pStyle w:val="Encabezado"/>
        <w:tabs>
          <w:tab w:val="clear" w:pos="4419"/>
          <w:tab w:val="clear" w:pos="8838"/>
          <w:tab w:val="center" w:pos="-1418"/>
        </w:tabs>
        <w:ind w:left="2977"/>
        <w:jc w:val="both"/>
        <w:rPr>
          <w:rFonts w:ascii="Arial" w:hAnsi="Arial" w:cs="Arial"/>
          <w:b/>
          <w:sz w:val="24"/>
          <w:szCs w:val="24"/>
        </w:rPr>
      </w:pPr>
    </w:p>
    <w:p w14:paraId="28D96059" w14:textId="77777777" w:rsidR="00A60C16" w:rsidRDefault="00A60C16" w:rsidP="00A60C16">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3651F08D" w14:textId="77777777" w:rsidR="00A60C16" w:rsidRPr="007C28FB" w:rsidRDefault="00A60C16" w:rsidP="00A60C16">
      <w:pPr>
        <w:pStyle w:val="Encabezado"/>
        <w:tabs>
          <w:tab w:val="clear" w:pos="4419"/>
          <w:tab w:val="clear" w:pos="8838"/>
          <w:tab w:val="center" w:pos="-1418"/>
        </w:tabs>
        <w:ind w:left="2977"/>
        <w:jc w:val="both"/>
        <w:rPr>
          <w:rFonts w:ascii="Arial" w:hAnsi="Arial" w:cs="Arial"/>
          <w:bCs/>
          <w:sz w:val="24"/>
          <w:szCs w:val="24"/>
        </w:rPr>
      </w:pPr>
    </w:p>
    <w:p w14:paraId="0086303C" w14:textId="77777777" w:rsidR="00A60C16" w:rsidRPr="00240D1C" w:rsidRDefault="00A60C16" w:rsidP="00A60C16">
      <w:pPr>
        <w:spacing w:after="0" w:line="360" w:lineRule="auto"/>
        <w:jc w:val="both"/>
        <w:rPr>
          <w:rFonts w:ascii="Arial" w:hAnsi="Arial" w:cs="Arial"/>
          <w:b/>
          <w:sz w:val="24"/>
          <w:szCs w:val="24"/>
        </w:rPr>
      </w:pPr>
    </w:p>
    <w:p w14:paraId="36F52D90" w14:textId="77777777" w:rsidR="00A60C16" w:rsidRPr="00240D1C" w:rsidRDefault="00A60C16" w:rsidP="00A60C16">
      <w:pPr>
        <w:spacing w:after="0" w:line="360" w:lineRule="auto"/>
        <w:ind w:firstLine="708"/>
        <w:jc w:val="both"/>
        <w:rPr>
          <w:rFonts w:ascii="Arial" w:hAnsi="Arial" w:cs="Arial"/>
          <w:b/>
          <w:sz w:val="24"/>
          <w:szCs w:val="24"/>
        </w:rPr>
      </w:pPr>
      <w:r>
        <w:rPr>
          <w:rFonts w:ascii="Arial" w:hAnsi="Arial" w:cs="Arial"/>
          <w:b/>
          <w:sz w:val="24"/>
          <w:szCs w:val="24"/>
        </w:rPr>
        <w:t xml:space="preserve">OAXACA DE </w:t>
      </w:r>
      <w:r w:rsidR="00BC3575">
        <w:rPr>
          <w:rFonts w:ascii="Arial" w:hAnsi="Arial" w:cs="Arial"/>
          <w:b/>
          <w:sz w:val="24"/>
          <w:szCs w:val="24"/>
        </w:rPr>
        <w:t xml:space="preserve">JUÁREZ, OAXACA, </w:t>
      </w:r>
      <w:r w:rsidR="00A11BB3">
        <w:rPr>
          <w:rFonts w:ascii="Arial" w:hAnsi="Arial" w:cs="Arial"/>
          <w:b/>
          <w:sz w:val="24"/>
          <w:szCs w:val="24"/>
        </w:rPr>
        <w:t>VEINTIDÓ</w:t>
      </w:r>
      <w:r w:rsidR="00BC3575" w:rsidRPr="00A11BB3">
        <w:rPr>
          <w:rFonts w:ascii="Arial" w:hAnsi="Arial" w:cs="Arial"/>
          <w:b/>
          <w:sz w:val="24"/>
          <w:szCs w:val="24"/>
        </w:rPr>
        <w:t>S</w:t>
      </w:r>
      <w:r>
        <w:rPr>
          <w:rFonts w:ascii="Arial" w:hAnsi="Arial" w:cs="Arial"/>
          <w:b/>
          <w:sz w:val="24"/>
          <w:szCs w:val="24"/>
        </w:rPr>
        <w:t xml:space="preserve"> DE MARZO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 </w:t>
      </w:r>
      <w:r>
        <w:rPr>
          <w:rFonts w:ascii="Arial" w:hAnsi="Arial" w:cs="Arial"/>
          <w:b/>
          <w:sz w:val="24"/>
          <w:szCs w:val="24"/>
        </w:rPr>
        <w:t>- - - - - - - - - - - - -</w:t>
      </w:r>
      <w:r w:rsidR="00560C60">
        <w:rPr>
          <w:rFonts w:ascii="Arial" w:hAnsi="Arial" w:cs="Arial"/>
          <w:b/>
          <w:sz w:val="24"/>
          <w:szCs w:val="24"/>
        </w:rPr>
        <w:t xml:space="preserve"> - .</w:t>
      </w:r>
    </w:p>
    <w:p w14:paraId="76E1B6E4" w14:textId="77777777" w:rsidR="00A60C16" w:rsidRPr="00695BC2" w:rsidRDefault="00A60C16" w:rsidP="00A60C16">
      <w:pPr>
        <w:pStyle w:val="Sinespaciado"/>
      </w:pPr>
      <w:r w:rsidRPr="00240D1C">
        <w:tab/>
      </w:r>
    </w:p>
    <w:p w14:paraId="4C323C5E" w14:textId="611CEF7E" w:rsidR="00A60C16" w:rsidRPr="00C53004" w:rsidRDefault="00A60C16" w:rsidP="00A11BB3">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Pr="00B2226F">
        <w:rPr>
          <w:rFonts w:ascii="Arial" w:hAnsi="Arial" w:cs="Arial"/>
          <w:b/>
          <w:sz w:val="24"/>
          <w:szCs w:val="24"/>
        </w:rPr>
        <w:t>0</w:t>
      </w:r>
      <w:r>
        <w:rPr>
          <w:rFonts w:ascii="Arial" w:hAnsi="Arial" w:cs="Arial"/>
          <w:b/>
          <w:sz w:val="24"/>
          <w:szCs w:val="24"/>
        </w:rPr>
        <w:t>102/2020</w:t>
      </w:r>
      <w:r w:rsidRPr="00240D1C">
        <w:rPr>
          <w:rFonts w:ascii="Arial" w:hAnsi="Arial" w:cs="Arial"/>
          <w:sz w:val="24"/>
          <w:szCs w:val="24"/>
        </w:rPr>
        <w:t>, promovido por</w:t>
      </w:r>
      <w:r>
        <w:rPr>
          <w:rFonts w:ascii="Arial" w:hAnsi="Arial" w:cs="Arial"/>
          <w:b/>
          <w:bCs/>
          <w:color w:val="FF0000"/>
          <w:sz w:val="24"/>
          <w:szCs w:val="24"/>
        </w:rPr>
        <w:t xml:space="preserve"> </w:t>
      </w:r>
      <w:r w:rsidR="00CE55F4">
        <w:rPr>
          <w:rFonts w:ascii="Arial" w:hAnsi="Arial" w:cs="Arial"/>
          <w:b/>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sidR="00A11BB3">
        <w:rPr>
          <w:rFonts w:ascii="Arial" w:hAnsi="Arial" w:cs="Arial"/>
          <w:sz w:val="24"/>
          <w:szCs w:val="24"/>
        </w:rPr>
        <w:t>l</w:t>
      </w:r>
      <w:r>
        <w:rPr>
          <w:rFonts w:ascii="Arial" w:hAnsi="Arial" w:cs="Arial"/>
          <w:sz w:val="24"/>
          <w:szCs w:val="24"/>
        </w:rPr>
        <w:t xml:space="preserve"> </w:t>
      </w:r>
      <w:r w:rsidR="001A3AC8" w:rsidRPr="00A11BB3">
        <w:rPr>
          <w:rFonts w:ascii="Arial" w:hAnsi="Arial" w:cs="Arial"/>
          <w:b/>
          <w:sz w:val="24"/>
          <w:szCs w:val="24"/>
        </w:rPr>
        <w:t xml:space="preserve">PRESIDENTE MUNICIPAL, TITULAR DE LA COORDINACIÓN DE FINANZAS Y ADMINISTRACIÓN, TITULAR DE RECAUDACIÓN DE RENTAS Y TITULAR DE LA TESORERÍA, TODOS DEL MUNICIPIO DE OAXACA DE JUÁREZ, </w:t>
      </w:r>
      <w:proofErr w:type="gramStart"/>
      <w:r w:rsidR="001A3AC8" w:rsidRPr="00A11BB3">
        <w:rPr>
          <w:rFonts w:ascii="Arial" w:hAnsi="Arial" w:cs="Arial"/>
          <w:b/>
          <w:sz w:val="24"/>
          <w:szCs w:val="24"/>
        </w:rPr>
        <w:t>OAXACA</w:t>
      </w:r>
      <w:r w:rsidR="001A3AC8">
        <w:rPr>
          <w:rFonts w:ascii="Arial" w:hAnsi="Arial" w:cs="Arial"/>
          <w:sz w:val="24"/>
          <w:szCs w:val="24"/>
        </w:rPr>
        <w:t>.</w:t>
      </w:r>
      <w:r w:rsidRPr="00240D1C">
        <w:rPr>
          <w:rFonts w:ascii="Arial" w:hAnsi="Arial" w:cs="Arial"/>
          <w:sz w:val="24"/>
          <w:szCs w:val="24"/>
        </w:rPr>
        <w:t>-</w:t>
      </w:r>
      <w:proofErr w:type="gramEnd"/>
      <w:r w:rsidRPr="00240D1C">
        <w:rPr>
          <w:rFonts w:ascii="Arial" w:hAnsi="Arial" w:cs="Arial"/>
          <w:sz w:val="24"/>
          <w:szCs w:val="24"/>
        </w:rPr>
        <w:t xml:space="preserve"> </w:t>
      </w:r>
      <w:r w:rsidR="00560C60">
        <w:rPr>
          <w:rFonts w:ascii="Arial" w:hAnsi="Arial" w:cs="Arial"/>
          <w:sz w:val="24"/>
          <w:szCs w:val="24"/>
        </w:rPr>
        <w:t xml:space="preserve">- - - - - - - - - - </w:t>
      </w:r>
      <w:r w:rsidR="001A3AC8">
        <w:rPr>
          <w:rFonts w:ascii="Arial" w:hAnsi="Arial" w:cs="Arial"/>
          <w:sz w:val="24"/>
          <w:szCs w:val="24"/>
        </w:rPr>
        <w:t>-</w:t>
      </w:r>
    </w:p>
    <w:p w14:paraId="3E42BF96" w14:textId="77777777" w:rsidR="00A60C16" w:rsidRPr="00240D1C" w:rsidRDefault="00A60C16" w:rsidP="00A60C16">
      <w:pPr>
        <w:spacing w:line="360" w:lineRule="auto"/>
        <w:jc w:val="center"/>
        <w:rPr>
          <w:rFonts w:ascii="Arial" w:hAnsi="Arial" w:cs="Arial"/>
          <w:b/>
          <w:sz w:val="24"/>
          <w:szCs w:val="24"/>
        </w:rPr>
      </w:pPr>
      <w:r>
        <w:rPr>
          <w:rFonts w:ascii="Arial" w:hAnsi="Arial" w:cs="Arial"/>
          <w:b/>
          <w:sz w:val="24"/>
          <w:szCs w:val="24"/>
        </w:rPr>
        <w:t>R E S U L T A N D O:</w:t>
      </w:r>
    </w:p>
    <w:p w14:paraId="21BCA460" w14:textId="77777777" w:rsidR="00A60C16" w:rsidRDefault="00A60C16" w:rsidP="00DD4C70">
      <w:pPr>
        <w:spacing w:before="240" w:after="0" w:line="360" w:lineRule="auto"/>
        <w:ind w:firstLine="709"/>
        <w:jc w:val="both"/>
        <w:rPr>
          <w:rFonts w:ascii="Arial" w:hAnsi="Arial" w:cs="Arial"/>
          <w:sz w:val="24"/>
          <w:szCs w:val="24"/>
        </w:rPr>
      </w:pPr>
      <w:r w:rsidRPr="00240D1C">
        <w:rPr>
          <w:rFonts w:ascii="Arial" w:hAnsi="Arial" w:cs="Arial"/>
          <w:b/>
          <w:sz w:val="24"/>
          <w:szCs w:val="24"/>
        </w:rPr>
        <w:t>PRIMERO.</w:t>
      </w:r>
      <w:r>
        <w:rPr>
          <w:rFonts w:ascii="Arial" w:hAnsi="Arial" w:cs="Arial"/>
          <w:b/>
          <w:sz w:val="24"/>
          <w:szCs w:val="24"/>
        </w:rPr>
        <w:t xml:space="preserve"> </w:t>
      </w:r>
      <w:r w:rsidR="00325E57">
        <w:rPr>
          <w:rFonts w:ascii="Arial" w:hAnsi="Arial" w:cs="Arial"/>
          <w:sz w:val="24"/>
          <w:szCs w:val="24"/>
        </w:rPr>
        <w:t>Por acuerdo de</w:t>
      </w:r>
      <w:r w:rsidR="007F45CF">
        <w:rPr>
          <w:rFonts w:ascii="Arial" w:hAnsi="Arial" w:cs="Arial"/>
          <w:sz w:val="24"/>
          <w:szCs w:val="24"/>
        </w:rPr>
        <w:t xml:space="preserve"> quince de agosto de dos mil diecinueve,</w:t>
      </w:r>
      <w:r w:rsidR="00A11BB3">
        <w:rPr>
          <w:rFonts w:ascii="Arial" w:hAnsi="Arial" w:cs="Arial"/>
          <w:sz w:val="24"/>
          <w:szCs w:val="24"/>
        </w:rPr>
        <w:t xml:space="preserve"> la entonces Séptima Sala Unitaria de Primera Instancia de este Tribunal,</w:t>
      </w:r>
      <w:r w:rsidR="00325E57" w:rsidRPr="003E244E">
        <w:rPr>
          <w:rFonts w:ascii="Arial" w:hAnsi="Arial" w:cs="Arial"/>
          <w:b/>
          <w:sz w:val="24"/>
          <w:szCs w:val="24"/>
        </w:rPr>
        <w:t xml:space="preserve"> admitió</w:t>
      </w:r>
      <w:r w:rsidR="00325E57" w:rsidRPr="003E244E">
        <w:rPr>
          <w:rFonts w:ascii="Arial" w:hAnsi="Arial" w:cs="Arial"/>
          <w:sz w:val="24"/>
          <w:szCs w:val="24"/>
        </w:rPr>
        <w:t xml:space="preserve"> a trámite</w:t>
      </w:r>
      <w:r w:rsidR="00325E57">
        <w:rPr>
          <w:rFonts w:ascii="Arial" w:hAnsi="Arial" w:cs="Arial"/>
          <w:sz w:val="24"/>
          <w:szCs w:val="24"/>
        </w:rPr>
        <w:t xml:space="preserve"> la</w:t>
      </w:r>
      <w:r w:rsidR="00325E57" w:rsidRPr="003E244E">
        <w:rPr>
          <w:rFonts w:ascii="Arial" w:hAnsi="Arial" w:cs="Arial"/>
          <w:sz w:val="24"/>
          <w:szCs w:val="24"/>
        </w:rPr>
        <w:t xml:space="preserve"> demanda de nulidad </w:t>
      </w:r>
      <w:r w:rsidR="00325E57">
        <w:rPr>
          <w:rFonts w:ascii="Arial" w:hAnsi="Arial" w:cs="Arial"/>
          <w:sz w:val="24"/>
          <w:szCs w:val="24"/>
        </w:rPr>
        <w:t xml:space="preserve">del </w:t>
      </w:r>
      <w:r w:rsidR="00325E57">
        <w:rPr>
          <w:rFonts w:ascii="Arial" w:hAnsi="Arial" w:cs="Arial"/>
          <w:b/>
          <w:sz w:val="24"/>
          <w:szCs w:val="24"/>
        </w:rPr>
        <w:t xml:space="preserve">actor </w:t>
      </w:r>
      <w:r w:rsidR="00325E57" w:rsidRPr="003E244E">
        <w:rPr>
          <w:rFonts w:ascii="Arial" w:hAnsi="Arial" w:cs="Arial"/>
          <w:sz w:val="24"/>
          <w:szCs w:val="24"/>
        </w:rPr>
        <w:t>en contra</w:t>
      </w:r>
      <w:r w:rsidR="007840EF">
        <w:rPr>
          <w:rFonts w:ascii="Arial" w:hAnsi="Arial" w:cs="Arial"/>
          <w:sz w:val="24"/>
          <w:szCs w:val="24"/>
        </w:rPr>
        <w:t xml:space="preserve"> </w:t>
      </w:r>
      <w:r w:rsidR="00A11BB3">
        <w:rPr>
          <w:rFonts w:ascii="Arial" w:hAnsi="Arial" w:cs="Arial"/>
          <w:sz w:val="24"/>
          <w:szCs w:val="24"/>
        </w:rPr>
        <w:t xml:space="preserve">de los </w:t>
      </w:r>
      <w:r w:rsidR="007840EF">
        <w:rPr>
          <w:rFonts w:ascii="Arial" w:hAnsi="Arial" w:cs="Arial"/>
          <w:sz w:val="24"/>
          <w:szCs w:val="24"/>
        </w:rPr>
        <w:t>actos</w:t>
      </w:r>
      <w:r w:rsidR="00325E57" w:rsidRPr="003E244E">
        <w:rPr>
          <w:rFonts w:ascii="Arial" w:hAnsi="Arial" w:cs="Arial"/>
          <w:sz w:val="24"/>
          <w:szCs w:val="24"/>
        </w:rPr>
        <w:t xml:space="preserve"> de</w:t>
      </w:r>
      <w:r w:rsidR="00325E57">
        <w:rPr>
          <w:rFonts w:ascii="Arial" w:hAnsi="Arial" w:cs="Arial"/>
          <w:sz w:val="24"/>
          <w:szCs w:val="24"/>
        </w:rPr>
        <w:t xml:space="preserve">l </w:t>
      </w:r>
      <w:r w:rsidR="0042596C">
        <w:rPr>
          <w:rFonts w:ascii="Arial" w:hAnsi="Arial" w:cs="Arial"/>
          <w:sz w:val="24"/>
          <w:szCs w:val="24"/>
        </w:rPr>
        <w:t xml:space="preserve">Presidente Municipal, Titular de Coordinación de Finanzas y Administración, Titular de la Recaudación </w:t>
      </w:r>
      <w:r w:rsidR="00FA231E">
        <w:rPr>
          <w:rFonts w:ascii="Arial" w:hAnsi="Arial" w:cs="Arial"/>
          <w:sz w:val="24"/>
          <w:szCs w:val="24"/>
        </w:rPr>
        <w:t>de Renta y Titular de la Tesorería, todos del Municipio de Oaxaca de Juárez</w:t>
      </w:r>
      <w:r w:rsidR="002E784E">
        <w:rPr>
          <w:rFonts w:ascii="Arial" w:hAnsi="Arial" w:cs="Arial"/>
          <w:sz w:val="24"/>
          <w:szCs w:val="24"/>
        </w:rPr>
        <w:t xml:space="preserve"> Oaxaca</w:t>
      </w:r>
      <w:r w:rsidR="00325E57" w:rsidRPr="003E244E">
        <w:rPr>
          <w:rFonts w:ascii="Arial" w:hAnsi="Arial" w:cs="Arial"/>
          <w:sz w:val="24"/>
          <w:szCs w:val="24"/>
        </w:rPr>
        <w:t xml:space="preserve">; ordenándose notificar, emplazar y correr traslado a </w:t>
      </w:r>
      <w:r w:rsidR="00325E57">
        <w:rPr>
          <w:rFonts w:ascii="Arial" w:hAnsi="Arial" w:cs="Arial"/>
          <w:sz w:val="24"/>
          <w:szCs w:val="24"/>
        </w:rPr>
        <w:t>dicha</w:t>
      </w:r>
      <w:r w:rsidR="00A11BB3">
        <w:rPr>
          <w:rFonts w:ascii="Arial" w:hAnsi="Arial" w:cs="Arial"/>
          <w:sz w:val="24"/>
          <w:szCs w:val="24"/>
        </w:rPr>
        <w:t>s</w:t>
      </w:r>
      <w:r w:rsidR="00325E57">
        <w:rPr>
          <w:rFonts w:ascii="Arial" w:hAnsi="Arial" w:cs="Arial"/>
          <w:sz w:val="24"/>
          <w:szCs w:val="24"/>
        </w:rPr>
        <w:t xml:space="preserve"> autoridad</w:t>
      </w:r>
      <w:r w:rsidR="00A11BB3">
        <w:rPr>
          <w:rFonts w:ascii="Arial" w:hAnsi="Arial" w:cs="Arial"/>
          <w:sz w:val="24"/>
          <w:szCs w:val="24"/>
        </w:rPr>
        <w:t>es</w:t>
      </w:r>
      <w:r w:rsidR="00325E57" w:rsidRPr="003E244E">
        <w:rPr>
          <w:rFonts w:ascii="Arial" w:hAnsi="Arial" w:cs="Arial"/>
          <w:sz w:val="24"/>
          <w:szCs w:val="24"/>
        </w:rPr>
        <w:t xml:space="preserve">, para que dentro del plazo de nueve días hábiles </w:t>
      </w:r>
      <w:r w:rsidR="00325E57">
        <w:rPr>
          <w:rFonts w:ascii="Arial" w:hAnsi="Arial" w:cs="Arial"/>
          <w:sz w:val="24"/>
          <w:szCs w:val="24"/>
        </w:rPr>
        <w:t>produjera</w:t>
      </w:r>
      <w:r w:rsidR="00A11BB3">
        <w:rPr>
          <w:rFonts w:ascii="Arial" w:hAnsi="Arial" w:cs="Arial"/>
          <w:sz w:val="24"/>
          <w:szCs w:val="24"/>
        </w:rPr>
        <w:t>n</w:t>
      </w:r>
      <w:r w:rsidR="00325E57">
        <w:rPr>
          <w:rFonts w:ascii="Arial" w:hAnsi="Arial" w:cs="Arial"/>
          <w:sz w:val="24"/>
          <w:szCs w:val="24"/>
        </w:rPr>
        <w:t xml:space="preserve"> </w:t>
      </w:r>
      <w:r w:rsidR="00325E57" w:rsidRPr="003E244E">
        <w:rPr>
          <w:rFonts w:ascii="Arial" w:hAnsi="Arial" w:cs="Arial"/>
          <w:sz w:val="24"/>
          <w:szCs w:val="24"/>
        </w:rPr>
        <w:t xml:space="preserve">su contestación, con el apercibimiento que de no hacerlo dentro del plazo otorgado, se </w:t>
      </w:r>
      <w:r w:rsidR="00325E57">
        <w:rPr>
          <w:rFonts w:ascii="Arial" w:hAnsi="Arial" w:cs="Arial"/>
          <w:sz w:val="24"/>
          <w:szCs w:val="24"/>
        </w:rPr>
        <w:t>le</w:t>
      </w:r>
      <w:r w:rsidR="00A11BB3">
        <w:rPr>
          <w:rFonts w:ascii="Arial" w:hAnsi="Arial" w:cs="Arial"/>
          <w:sz w:val="24"/>
          <w:szCs w:val="24"/>
        </w:rPr>
        <w:t>s</w:t>
      </w:r>
      <w:r w:rsidR="00325E57" w:rsidRPr="003E244E">
        <w:rPr>
          <w:rFonts w:ascii="Arial" w:hAnsi="Arial" w:cs="Arial"/>
          <w:sz w:val="24"/>
          <w:szCs w:val="24"/>
        </w:rPr>
        <w:t xml:space="preserve"> tendría contestando en sentido afirmativo y de no referirse a todos los hechos, se </w:t>
      </w:r>
      <w:r w:rsidR="00325E57">
        <w:rPr>
          <w:rFonts w:ascii="Arial" w:hAnsi="Arial" w:cs="Arial"/>
          <w:sz w:val="24"/>
          <w:szCs w:val="24"/>
        </w:rPr>
        <w:t>tendrían</w:t>
      </w:r>
      <w:r w:rsidR="00325E57" w:rsidRPr="003E244E">
        <w:rPr>
          <w:rFonts w:ascii="Arial" w:hAnsi="Arial" w:cs="Arial"/>
          <w:sz w:val="24"/>
          <w:szCs w:val="24"/>
        </w:rPr>
        <w:t xml:space="preserve"> como ciertos</w:t>
      </w:r>
      <w:r w:rsidR="00325E57">
        <w:rPr>
          <w:rFonts w:ascii="Arial" w:hAnsi="Arial" w:cs="Arial"/>
          <w:sz w:val="24"/>
          <w:szCs w:val="24"/>
        </w:rPr>
        <w:t>.</w:t>
      </w:r>
    </w:p>
    <w:p w14:paraId="5CFACA45" w14:textId="77777777" w:rsidR="00DD4C70" w:rsidRPr="00EC45B9" w:rsidRDefault="00DD4C70" w:rsidP="00DD4C70">
      <w:pPr>
        <w:pStyle w:val="Sinespaciado"/>
      </w:pPr>
    </w:p>
    <w:p w14:paraId="1C2E9947" w14:textId="77777777" w:rsidR="00A60C16" w:rsidRDefault="00690971" w:rsidP="00993786">
      <w:pPr>
        <w:spacing w:line="360" w:lineRule="auto"/>
        <w:ind w:firstLine="709"/>
        <w:jc w:val="both"/>
        <w:rPr>
          <w:rFonts w:ascii="Arial" w:hAnsi="Arial" w:cs="Arial"/>
          <w:sz w:val="24"/>
          <w:szCs w:val="24"/>
        </w:rPr>
      </w:pPr>
      <w:r>
        <w:rPr>
          <w:rFonts w:ascii="Arial" w:hAnsi="Arial" w:cs="Arial"/>
          <w:b/>
          <w:sz w:val="24"/>
          <w:szCs w:val="24"/>
        </w:rPr>
        <w:t>SEGUNDO</w:t>
      </w:r>
      <w:r w:rsidR="00A60C16" w:rsidRPr="00240D1C">
        <w:rPr>
          <w:rFonts w:ascii="Arial" w:hAnsi="Arial" w:cs="Arial"/>
          <w:b/>
          <w:sz w:val="24"/>
          <w:szCs w:val="24"/>
        </w:rPr>
        <w:t>.</w:t>
      </w:r>
      <w:r w:rsidR="00A60C16">
        <w:rPr>
          <w:rFonts w:ascii="Arial" w:hAnsi="Arial" w:cs="Arial"/>
          <w:b/>
          <w:sz w:val="24"/>
          <w:szCs w:val="24"/>
        </w:rPr>
        <w:t xml:space="preserve"> -</w:t>
      </w:r>
      <w:r w:rsidR="00A60C16" w:rsidRPr="00240D1C">
        <w:rPr>
          <w:rFonts w:ascii="Arial" w:hAnsi="Arial" w:cs="Arial"/>
          <w:b/>
          <w:sz w:val="24"/>
          <w:szCs w:val="24"/>
        </w:rPr>
        <w:t xml:space="preserve"> </w:t>
      </w:r>
      <w:r w:rsidR="00A60C16" w:rsidRPr="00240D1C">
        <w:rPr>
          <w:rFonts w:ascii="Arial" w:hAnsi="Arial" w:cs="Arial"/>
          <w:sz w:val="24"/>
          <w:szCs w:val="24"/>
        </w:rPr>
        <w:t>Por a</w:t>
      </w:r>
      <w:r w:rsidR="00A60C16">
        <w:rPr>
          <w:rFonts w:ascii="Arial" w:hAnsi="Arial" w:cs="Arial"/>
          <w:sz w:val="24"/>
          <w:szCs w:val="24"/>
        </w:rPr>
        <w:t>uto</w:t>
      </w:r>
      <w:r w:rsidR="00A60C16" w:rsidRPr="00240D1C">
        <w:rPr>
          <w:rFonts w:ascii="Arial" w:hAnsi="Arial" w:cs="Arial"/>
          <w:sz w:val="24"/>
          <w:szCs w:val="24"/>
        </w:rPr>
        <w:t xml:space="preserve"> de</w:t>
      </w:r>
      <w:r w:rsidR="00683D2D">
        <w:rPr>
          <w:rFonts w:ascii="Arial" w:hAnsi="Arial" w:cs="Arial"/>
          <w:sz w:val="24"/>
          <w:szCs w:val="24"/>
        </w:rPr>
        <w:t xml:space="preserve"> doce de febrero de dos mil veinte</w:t>
      </w:r>
      <w:r w:rsidR="00A60C16">
        <w:rPr>
          <w:rFonts w:ascii="Arial" w:hAnsi="Arial" w:cs="Arial"/>
          <w:sz w:val="24"/>
          <w:szCs w:val="24"/>
        </w:rPr>
        <w:t>, se tuvo</w:t>
      </w:r>
      <w:r w:rsidR="006365BD">
        <w:rPr>
          <w:rFonts w:ascii="Arial" w:hAnsi="Arial" w:cs="Arial"/>
          <w:sz w:val="24"/>
          <w:szCs w:val="24"/>
        </w:rPr>
        <w:t xml:space="preserve"> al </w:t>
      </w:r>
      <w:r w:rsidR="006365BD" w:rsidRPr="00993786">
        <w:rPr>
          <w:rFonts w:ascii="Arial" w:hAnsi="Arial" w:cs="Arial"/>
          <w:b/>
          <w:sz w:val="24"/>
          <w:szCs w:val="24"/>
        </w:rPr>
        <w:t xml:space="preserve">Presidente Municipal y a la Tesorera Municipal ambos del </w:t>
      </w:r>
      <w:r w:rsidR="00993786" w:rsidRPr="00993786">
        <w:rPr>
          <w:rFonts w:ascii="Arial" w:hAnsi="Arial" w:cs="Arial"/>
          <w:b/>
          <w:sz w:val="24"/>
          <w:szCs w:val="24"/>
        </w:rPr>
        <w:t>Municipio de Oaxaca de Juárez, Oaxaca</w:t>
      </w:r>
      <w:r w:rsidR="00993786">
        <w:rPr>
          <w:rFonts w:ascii="Arial" w:hAnsi="Arial" w:cs="Arial"/>
          <w:b/>
          <w:sz w:val="24"/>
          <w:szCs w:val="24"/>
        </w:rPr>
        <w:t>,</w:t>
      </w:r>
      <w:r w:rsidR="00993786">
        <w:rPr>
          <w:rFonts w:ascii="Arial" w:hAnsi="Arial" w:cs="Arial"/>
          <w:sz w:val="24"/>
          <w:szCs w:val="24"/>
        </w:rPr>
        <w:t xml:space="preserve"> </w:t>
      </w:r>
      <w:r w:rsidR="00A60C16" w:rsidRPr="00240D1C">
        <w:rPr>
          <w:rFonts w:ascii="Arial" w:hAnsi="Arial" w:cs="Arial"/>
          <w:sz w:val="24"/>
          <w:szCs w:val="24"/>
        </w:rPr>
        <w:t>c</w:t>
      </w:r>
      <w:r w:rsidR="00A60C16">
        <w:rPr>
          <w:rFonts w:ascii="Arial" w:hAnsi="Arial" w:cs="Arial"/>
          <w:sz w:val="24"/>
          <w:szCs w:val="24"/>
        </w:rPr>
        <w:t>ontestando la demanda entablada en su contra, como a</w:t>
      </w:r>
      <w:r w:rsidR="00A11BB3">
        <w:rPr>
          <w:rFonts w:ascii="Arial" w:hAnsi="Arial" w:cs="Arial"/>
          <w:sz w:val="24"/>
          <w:szCs w:val="24"/>
        </w:rPr>
        <w:t>dmitidas las pruebas que ofrecieron;</w:t>
      </w:r>
      <w:r w:rsidR="00A60C16" w:rsidRPr="00240D1C">
        <w:rPr>
          <w:rFonts w:ascii="Arial" w:hAnsi="Arial" w:cs="Arial"/>
          <w:sz w:val="24"/>
          <w:szCs w:val="24"/>
        </w:rPr>
        <w:t xml:space="preserve"> </w:t>
      </w:r>
      <w:r w:rsidR="00A60C16">
        <w:rPr>
          <w:rFonts w:ascii="Arial" w:hAnsi="Arial" w:cs="Arial"/>
          <w:sz w:val="24"/>
          <w:szCs w:val="24"/>
        </w:rPr>
        <w:t>ordenándose</w:t>
      </w:r>
      <w:r w:rsidR="00A60C16" w:rsidRPr="00240D1C">
        <w:rPr>
          <w:rFonts w:ascii="Arial" w:hAnsi="Arial" w:cs="Arial"/>
          <w:sz w:val="24"/>
          <w:szCs w:val="24"/>
        </w:rPr>
        <w:t xml:space="preserve"> notificar y correr traslado a la parte actora con la</w:t>
      </w:r>
      <w:r w:rsidR="00E2565C">
        <w:rPr>
          <w:rFonts w:ascii="Arial" w:hAnsi="Arial" w:cs="Arial"/>
          <w:sz w:val="24"/>
          <w:szCs w:val="24"/>
        </w:rPr>
        <w:t>s copias de la demanda y anexos, para los efectos legales correspondiente</w:t>
      </w:r>
      <w:r w:rsidR="00A11BB3">
        <w:rPr>
          <w:rFonts w:ascii="Arial" w:hAnsi="Arial" w:cs="Arial"/>
          <w:sz w:val="24"/>
          <w:szCs w:val="24"/>
        </w:rPr>
        <w:t>s</w:t>
      </w:r>
      <w:r w:rsidR="00E2565C">
        <w:rPr>
          <w:rFonts w:ascii="Arial" w:hAnsi="Arial" w:cs="Arial"/>
          <w:sz w:val="24"/>
          <w:szCs w:val="24"/>
        </w:rPr>
        <w:t xml:space="preserve">. </w:t>
      </w:r>
    </w:p>
    <w:p w14:paraId="42BAF4F6" w14:textId="77777777" w:rsidR="001D401B" w:rsidRDefault="00A60C16" w:rsidP="001D401B">
      <w:pPr>
        <w:spacing w:before="240" w:after="0" w:line="360" w:lineRule="auto"/>
        <w:ind w:firstLine="709"/>
        <w:jc w:val="both"/>
        <w:rPr>
          <w:rFonts w:ascii="Arial" w:hAnsi="Arial" w:cs="Arial"/>
          <w:sz w:val="24"/>
          <w:szCs w:val="24"/>
        </w:rPr>
      </w:pPr>
      <w:r>
        <w:rPr>
          <w:rFonts w:ascii="Arial" w:eastAsia="Arial" w:hAnsi="Arial" w:cs="Arial"/>
          <w:color w:val="000000"/>
          <w:sz w:val="24"/>
          <w:szCs w:val="24"/>
        </w:rPr>
        <w:t xml:space="preserve">Así mismo, </w:t>
      </w:r>
      <w:r w:rsidR="00E2565C">
        <w:rPr>
          <w:rFonts w:ascii="Arial" w:eastAsia="Arial" w:hAnsi="Arial" w:cs="Arial"/>
          <w:color w:val="000000"/>
          <w:sz w:val="24"/>
          <w:szCs w:val="24"/>
        </w:rPr>
        <w:t>en atención a que el T</w:t>
      </w:r>
      <w:r w:rsidR="00E613A0">
        <w:rPr>
          <w:rFonts w:ascii="Arial" w:eastAsia="Arial" w:hAnsi="Arial" w:cs="Arial"/>
          <w:color w:val="000000"/>
          <w:sz w:val="24"/>
          <w:szCs w:val="24"/>
        </w:rPr>
        <w:t>itular de Recaudación</w:t>
      </w:r>
      <w:r w:rsidR="006872EB">
        <w:rPr>
          <w:rFonts w:ascii="Arial" w:eastAsia="Arial" w:hAnsi="Arial" w:cs="Arial"/>
          <w:color w:val="000000"/>
          <w:sz w:val="24"/>
          <w:szCs w:val="24"/>
        </w:rPr>
        <w:t xml:space="preserve"> de Renta</w:t>
      </w:r>
      <w:r w:rsidR="00A11BB3">
        <w:rPr>
          <w:rFonts w:ascii="Arial" w:eastAsia="Arial" w:hAnsi="Arial" w:cs="Arial"/>
          <w:color w:val="000000"/>
          <w:sz w:val="24"/>
          <w:szCs w:val="24"/>
        </w:rPr>
        <w:t>s</w:t>
      </w:r>
      <w:r w:rsidR="006872EB">
        <w:rPr>
          <w:rFonts w:ascii="Arial" w:eastAsia="Arial" w:hAnsi="Arial" w:cs="Arial"/>
          <w:color w:val="000000"/>
          <w:sz w:val="24"/>
          <w:szCs w:val="24"/>
        </w:rPr>
        <w:t xml:space="preserve"> del Munic</w:t>
      </w:r>
      <w:r w:rsidR="001223C5">
        <w:rPr>
          <w:rFonts w:ascii="Arial" w:eastAsia="Arial" w:hAnsi="Arial" w:cs="Arial"/>
          <w:color w:val="000000"/>
          <w:sz w:val="24"/>
          <w:szCs w:val="24"/>
        </w:rPr>
        <w:t>ipio de Oaxaca de Juárez, no fue</w:t>
      </w:r>
      <w:r w:rsidR="006872EB">
        <w:rPr>
          <w:rFonts w:ascii="Arial" w:eastAsia="Arial" w:hAnsi="Arial" w:cs="Arial"/>
          <w:color w:val="000000"/>
          <w:sz w:val="24"/>
          <w:szCs w:val="24"/>
        </w:rPr>
        <w:t xml:space="preserve"> notificada del acuerdo </w:t>
      </w:r>
      <w:r w:rsidR="00216277">
        <w:rPr>
          <w:rFonts w:ascii="Arial" w:eastAsia="Arial" w:hAnsi="Arial" w:cs="Arial"/>
          <w:color w:val="000000"/>
          <w:sz w:val="24"/>
          <w:szCs w:val="24"/>
        </w:rPr>
        <w:t>de quince de</w:t>
      </w:r>
      <w:r w:rsidR="001D401B">
        <w:rPr>
          <w:rFonts w:ascii="Arial" w:eastAsia="Arial" w:hAnsi="Arial" w:cs="Arial"/>
          <w:color w:val="000000"/>
          <w:sz w:val="24"/>
          <w:szCs w:val="24"/>
        </w:rPr>
        <w:t xml:space="preserve"> </w:t>
      </w:r>
      <w:r w:rsidR="001D401B">
        <w:rPr>
          <w:rFonts w:ascii="Arial" w:eastAsia="Arial" w:hAnsi="Arial" w:cs="Arial"/>
          <w:color w:val="000000"/>
          <w:sz w:val="24"/>
          <w:szCs w:val="24"/>
        </w:rPr>
        <w:lastRenderedPageBreak/>
        <w:t xml:space="preserve">febrero de dos mil diecinueve; </w:t>
      </w:r>
      <w:r w:rsidR="001223C5">
        <w:rPr>
          <w:rFonts w:ascii="Arial" w:eastAsia="Arial" w:hAnsi="Arial" w:cs="Arial"/>
          <w:color w:val="000000"/>
          <w:sz w:val="24"/>
          <w:szCs w:val="24"/>
        </w:rPr>
        <w:t xml:space="preserve">se </w:t>
      </w:r>
      <w:r w:rsidR="001223C5">
        <w:rPr>
          <w:rFonts w:ascii="Arial" w:hAnsi="Arial" w:cs="Arial"/>
          <w:sz w:val="24"/>
          <w:szCs w:val="24"/>
        </w:rPr>
        <w:t>ordenó</w:t>
      </w:r>
      <w:r w:rsidR="001D401B" w:rsidRPr="003E244E">
        <w:rPr>
          <w:rFonts w:ascii="Arial" w:hAnsi="Arial" w:cs="Arial"/>
          <w:sz w:val="24"/>
          <w:szCs w:val="24"/>
        </w:rPr>
        <w:t xml:space="preserve"> notificar</w:t>
      </w:r>
      <w:r w:rsidR="00A11BB3">
        <w:rPr>
          <w:rFonts w:ascii="Arial" w:hAnsi="Arial" w:cs="Arial"/>
          <w:sz w:val="24"/>
          <w:szCs w:val="24"/>
        </w:rPr>
        <w:t xml:space="preserve">la, emplazarla </w:t>
      </w:r>
      <w:r w:rsidR="001D401B" w:rsidRPr="003E244E">
        <w:rPr>
          <w:rFonts w:ascii="Arial" w:hAnsi="Arial" w:cs="Arial"/>
          <w:sz w:val="24"/>
          <w:szCs w:val="24"/>
        </w:rPr>
        <w:t>y correr</w:t>
      </w:r>
      <w:r w:rsidR="00A11BB3">
        <w:rPr>
          <w:rFonts w:ascii="Arial" w:hAnsi="Arial" w:cs="Arial"/>
          <w:sz w:val="24"/>
          <w:szCs w:val="24"/>
        </w:rPr>
        <w:t>le</w:t>
      </w:r>
      <w:r w:rsidR="001D401B" w:rsidRPr="003E244E">
        <w:rPr>
          <w:rFonts w:ascii="Arial" w:hAnsi="Arial" w:cs="Arial"/>
          <w:sz w:val="24"/>
          <w:szCs w:val="24"/>
        </w:rPr>
        <w:t xml:space="preserve"> traslado, para que dentro del plazo de nueve días hábiles </w:t>
      </w:r>
      <w:r w:rsidR="001D401B">
        <w:rPr>
          <w:rFonts w:ascii="Arial" w:hAnsi="Arial" w:cs="Arial"/>
          <w:sz w:val="24"/>
          <w:szCs w:val="24"/>
        </w:rPr>
        <w:t xml:space="preserve">produjera </w:t>
      </w:r>
      <w:r w:rsidR="001D401B" w:rsidRPr="003E244E">
        <w:rPr>
          <w:rFonts w:ascii="Arial" w:hAnsi="Arial" w:cs="Arial"/>
          <w:sz w:val="24"/>
          <w:szCs w:val="24"/>
        </w:rPr>
        <w:t xml:space="preserve">su contestación, con el apercibimiento que de no hacerlo dentro del plazo otorgado, se </w:t>
      </w:r>
      <w:r w:rsidR="001D401B">
        <w:rPr>
          <w:rFonts w:ascii="Arial" w:hAnsi="Arial" w:cs="Arial"/>
          <w:sz w:val="24"/>
          <w:szCs w:val="24"/>
        </w:rPr>
        <w:t>le</w:t>
      </w:r>
      <w:r w:rsidR="001D401B" w:rsidRPr="003E244E">
        <w:rPr>
          <w:rFonts w:ascii="Arial" w:hAnsi="Arial" w:cs="Arial"/>
          <w:sz w:val="24"/>
          <w:szCs w:val="24"/>
        </w:rPr>
        <w:t xml:space="preserve"> tendría contestando en sentido afirmativo y de no referirse a todos los hechos, se </w:t>
      </w:r>
      <w:r w:rsidR="001D401B">
        <w:rPr>
          <w:rFonts w:ascii="Arial" w:hAnsi="Arial" w:cs="Arial"/>
          <w:sz w:val="24"/>
          <w:szCs w:val="24"/>
        </w:rPr>
        <w:t>tendrían</w:t>
      </w:r>
      <w:r w:rsidR="001D401B" w:rsidRPr="003E244E">
        <w:rPr>
          <w:rFonts w:ascii="Arial" w:hAnsi="Arial" w:cs="Arial"/>
          <w:sz w:val="24"/>
          <w:szCs w:val="24"/>
        </w:rPr>
        <w:t xml:space="preserve"> como ciertos</w:t>
      </w:r>
      <w:r w:rsidR="001D401B">
        <w:rPr>
          <w:rFonts w:ascii="Arial" w:hAnsi="Arial" w:cs="Arial"/>
          <w:sz w:val="24"/>
          <w:szCs w:val="24"/>
        </w:rPr>
        <w:t>.</w:t>
      </w:r>
    </w:p>
    <w:p w14:paraId="195455BD" w14:textId="77777777" w:rsidR="001223C5" w:rsidRDefault="003C1515" w:rsidP="000C7D85">
      <w:pPr>
        <w:tabs>
          <w:tab w:val="center" w:pos="-1418"/>
        </w:tabs>
        <w:spacing w:before="240" w:after="0" w:line="360" w:lineRule="auto"/>
        <w:ind w:firstLine="709"/>
        <w:jc w:val="both"/>
        <w:rPr>
          <w:rFonts w:ascii="Arial" w:eastAsia="Arial" w:hAnsi="Arial" w:cs="Arial"/>
          <w:color w:val="000000"/>
          <w:sz w:val="24"/>
          <w:szCs w:val="24"/>
        </w:rPr>
      </w:pPr>
      <w:r>
        <w:rPr>
          <w:rFonts w:ascii="Arial" w:hAnsi="Arial" w:cs="Arial"/>
          <w:sz w:val="24"/>
          <w:szCs w:val="24"/>
        </w:rPr>
        <w:t xml:space="preserve">Respecto a la Titular de Coordinación de Finanzas y Administración </w:t>
      </w:r>
      <w:r>
        <w:rPr>
          <w:rFonts w:ascii="Arial" w:eastAsia="Arial" w:hAnsi="Arial" w:cs="Arial"/>
          <w:color w:val="000000"/>
          <w:sz w:val="24"/>
          <w:szCs w:val="24"/>
        </w:rPr>
        <w:t xml:space="preserve">del Municipio de Oaxaca de Juárez, </w:t>
      </w:r>
      <w:r w:rsidR="00AF4187">
        <w:rPr>
          <w:rFonts w:ascii="Arial" w:eastAsia="Arial" w:hAnsi="Arial" w:cs="Arial"/>
          <w:color w:val="000000"/>
          <w:sz w:val="24"/>
          <w:szCs w:val="24"/>
        </w:rPr>
        <w:t xml:space="preserve">se </w:t>
      </w:r>
      <w:r w:rsidR="00CD2AC1">
        <w:rPr>
          <w:rFonts w:ascii="Arial" w:eastAsia="Arial" w:hAnsi="Arial" w:cs="Arial"/>
          <w:color w:val="000000"/>
          <w:sz w:val="24"/>
          <w:szCs w:val="24"/>
        </w:rPr>
        <w:t>determinó innecesaria</w:t>
      </w:r>
      <w:r w:rsidR="000967E0">
        <w:rPr>
          <w:rFonts w:ascii="Arial" w:eastAsia="Arial" w:hAnsi="Arial" w:cs="Arial"/>
          <w:color w:val="000000"/>
          <w:sz w:val="24"/>
          <w:szCs w:val="24"/>
        </w:rPr>
        <w:t xml:space="preserve"> emplazarla a juicio,</w:t>
      </w:r>
      <w:r w:rsidR="00AF4187">
        <w:rPr>
          <w:rFonts w:ascii="Arial" w:eastAsia="Arial" w:hAnsi="Arial" w:cs="Arial"/>
          <w:color w:val="000000"/>
          <w:sz w:val="24"/>
          <w:szCs w:val="24"/>
        </w:rPr>
        <w:t xml:space="preserve"> </w:t>
      </w:r>
      <w:r w:rsidR="00C20812">
        <w:rPr>
          <w:rFonts w:ascii="Arial" w:eastAsia="Arial" w:hAnsi="Arial" w:cs="Arial"/>
          <w:color w:val="000000"/>
          <w:sz w:val="24"/>
          <w:szCs w:val="24"/>
        </w:rPr>
        <w:t xml:space="preserve">esto </w:t>
      </w:r>
      <w:r w:rsidR="00F910B6">
        <w:rPr>
          <w:rFonts w:ascii="Arial" w:eastAsia="Arial" w:hAnsi="Arial" w:cs="Arial"/>
          <w:color w:val="000000"/>
          <w:sz w:val="24"/>
          <w:szCs w:val="24"/>
        </w:rPr>
        <w:t xml:space="preserve">en atención al cambio de denominación </w:t>
      </w:r>
      <w:r w:rsidR="000967E0">
        <w:rPr>
          <w:rFonts w:ascii="Arial" w:eastAsia="Arial" w:hAnsi="Arial" w:cs="Arial"/>
          <w:color w:val="000000"/>
          <w:sz w:val="24"/>
          <w:szCs w:val="24"/>
        </w:rPr>
        <w:t>a Tesorería Municipal,</w:t>
      </w:r>
      <w:r w:rsidR="00A11BB3">
        <w:rPr>
          <w:rFonts w:ascii="Arial" w:eastAsia="Arial" w:hAnsi="Arial" w:cs="Arial"/>
          <w:color w:val="000000"/>
          <w:sz w:val="24"/>
          <w:szCs w:val="24"/>
        </w:rPr>
        <w:t xml:space="preserve"> la </w:t>
      </w:r>
      <w:r w:rsidR="00C20812">
        <w:rPr>
          <w:rFonts w:ascii="Arial" w:eastAsia="Arial" w:hAnsi="Arial" w:cs="Arial"/>
          <w:color w:val="000000"/>
          <w:sz w:val="24"/>
          <w:szCs w:val="24"/>
        </w:rPr>
        <w:t>cual ya había</w:t>
      </w:r>
      <w:r w:rsidR="00253BD1">
        <w:rPr>
          <w:rFonts w:ascii="Arial" w:eastAsia="Arial" w:hAnsi="Arial" w:cs="Arial"/>
          <w:color w:val="000000"/>
          <w:sz w:val="24"/>
          <w:szCs w:val="24"/>
        </w:rPr>
        <w:t xml:space="preserve"> contestado </w:t>
      </w:r>
      <w:r w:rsidR="003E29EF">
        <w:rPr>
          <w:rFonts w:ascii="Arial" w:eastAsia="Arial" w:hAnsi="Arial" w:cs="Arial"/>
          <w:color w:val="000000"/>
          <w:sz w:val="24"/>
          <w:szCs w:val="24"/>
        </w:rPr>
        <w:t>la demanda.</w:t>
      </w:r>
    </w:p>
    <w:p w14:paraId="5369FB5E" w14:textId="77777777" w:rsidR="000C7D85" w:rsidRDefault="000C7D85" w:rsidP="000C7D85">
      <w:pPr>
        <w:pStyle w:val="Sinespaciado"/>
      </w:pPr>
    </w:p>
    <w:p w14:paraId="23DD1879" w14:textId="77777777" w:rsidR="00AC15A2" w:rsidRPr="00A11BB3" w:rsidRDefault="003E29EF" w:rsidP="00A11BB3">
      <w:pPr>
        <w:tabs>
          <w:tab w:val="center" w:pos="-1418"/>
        </w:tabs>
        <w:spacing w:line="360" w:lineRule="auto"/>
        <w:ind w:firstLine="709"/>
        <w:jc w:val="both"/>
        <w:rPr>
          <w:rFonts w:ascii="Arial" w:hAnsi="Arial" w:cs="Arial"/>
          <w:sz w:val="24"/>
          <w:szCs w:val="24"/>
        </w:rPr>
      </w:pPr>
      <w:r>
        <w:rPr>
          <w:rFonts w:ascii="Arial" w:eastAsia="Arial" w:hAnsi="Arial" w:cs="Arial"/>
          <w:b/>
          <w:color w:val="000000"/>
          <w:sz w:val="24"/>
          <w:szCs w:val="24"/>
        </w:rPr>
        <w:t xml:space="preserve">TERCERO.-  </w:t>
      </w:r>
      <w:r w:rsidR="005C3FFF">
        <w:rPr>
          <w:rFonts w:ascii="Arial" w:eastAsia="Arial" w:hAnsi="Arial" w:cs="Arial"/>
          <w:color w:val="000000"/>
          <w:sz w:val="24"/>
          <w:szCs w:val="24"/>
        </w:rPr>
        <w:t xml:space="preserve">Por acuerdo de dieciocho de marzo de dos mil veinte, </w:t>
      </w:r>
      <w:r w:rsidR="00A11BB3">
        <w:rPr>
          <w:rFonts w:ascii="Arial" w:eastAsia="Arial" w:hAnsi="Arial" w:cs="Arial"/>
          <w:color w:val="000000"/>
          <w:sz w:val="24"/>
          <w:szCs w:val="24"/>
        </w:rPr>
        <w:t xml:space="preserve">se tuvo a la Jefa de la Unidad </w:t>
      </w:r>
      <w:r w:rsidR="005C3FFF">
        <w:rPr>
          <w:rFonts w:ascii="Arial" w:eastAsia="Arial" w:hAnsi="Arial" w:cs="Arial"/>
          <w:color w:val="000000"/>
          <w:sz w:val="24"/>
          <w:szCs w:val="24"/>
        </w:rPr>
        <w:t>de Recaudación de Renta</w:t>
      </w:r>
      <w:r w:rsidR="00A11BB3">
        <w:rPr>
          <w:rFonts w:ascii="Arial" w:eastAsia="Arial" w:hAnsi="Arial" w:cs="Arial"/>
          <w:color w:val="000000"/>
          <w:sz w:val="24"/>
          <w:szCs w:val="24"/>
        </w:rPr>
        <w:t>s</w:t>
      </w:r>
      <w:r w:rsidR="005C3FFF">
        <w:rPr>
          <w:rFonts w:ascii="Arial" w:eastAsia="Arial" w:hAnsi="Arial" w:cs="Arial"/>
          <w:color w:val="000000"/>
          <w:sz w:val="24"/>
          <w:szCs w:val="24"/>
        </w:rPr>
        <w:t xml:space="preserve"> del Municipio de Oaxaca de Juárez</w:t>
      </w:r>
      <w:r w:rsidR="005C3FFF" w:rsidRPr="005C3FFF">
        <w:rPr>
          <w:rFonts w:ascii="Arial" w:eastAsia="Arial" w:hAnsi="Arial" w:cs="Arial"/>
          <w:color w:val="000000"/>
          <w:sz w:val="24"/>
          <w:szCs w:val="24"/>
        </w:rPr>
        <w:t xml:space="preserve">, </w:t>
      </w:r>
      <w:r w:rsidR="00AB3F84">
        <w:rPr>
          <w:rFonts w:ascii="Arial" w:eastAsia="Arial" w:hAnsi="Arial" w:cs="Arial"/>
          <w:color w:val="000000"/>
          <w:sz w:val="24"/>
          <w:szCs w:val="24"/>
        </w:rPr>
        <w:t xml:space="preserve">contestando en tiempo la demanda entablada en su contra, </w:t>
      </w:r>
      <w:r w:rsidR="00AB3F84">
        <w:rPr>
          <w:rFonts w:ascii="Arial" w:hAnsi="Arial" w:cs="Arial"/>
          <w:sz w:val="24"/>
          <w:szCs w:val="24"/>
        </w:rPr>
        <w:t>como admitidas las pruebas que ofreció,</w:t>
      </w:r>
      <w:r w:rsidR="00AB3F84" w:rsidRPr="00240D1C">
        <w:rPr>
          <w:rFonts w:ascii="Arial" w:hAnsi="Arial" w:cs="Arial"/>
          <w:sz w:val="24"/>
          <w:szCs w:val="24"/>
        </w:rPr>
        <w:t xml:space="preserve"> </w:t>
      </w:r>
      <w:r w:rsidR="00AB3F84">
        <w:rPr>
          <w:rFonts w:ascii="Arial" w:hAnsi="Arial" w:cs="Arial"/>
          <w:sz w:val="24"/>
          <w:szCs w:val="24"/>
        </w:rPr>
        <w:t>ordenándose</w:t>
      </w:r>
      <w:r w:rsidR="00AB3F84" w:rsidRPr="00240D1C">
        <w:rPr>
          <w:rFonts w:ascii="Arial" w:hAnsi="Arial" w:cs="Arial"/>
          <w:sz w:val="24"/>
          <w:szCs w:val="24"/>
        </w:rPr>
        <w:t xml:space="preserve"> notificar y correr traslado a la parte actora con la</w:t>
      </w:r>
      <w:r w:rsidR="00AB3F84">
        <w:rPr>
          <w:rFonts w:ascii="Arial" w:hAnsi="Arial" w:cs="Arial"/>
          <w:sz w:val="24"/>
          <w:szCs w:val="24"/>
        </w:rPr>
        <w:t>s copias de la demanda, para los efectos legales correspondiente</w:t>
      </w:r>
      <w:r w:rsidR="00A11BB3">
        <w:rPr>
          <w:rFonts w:ascii="Arial" w:hAnsi="Arial" w:cs="Arial"/>
          <w:sz w:val="24"/>
          <w:szCs w:val="24"/>
        </w:rPr>
        <w:t>s</w:t>
      </w:r>
      <w:r w:rsidR="00AB3F84">
        <w:rPr>
          <w:rFonts w:ascii="Arial" w:hAnsi="Arial" w:cs="Arial"/>
          <w:sz w:val="24"/>
          <w:szCs w:val="24"/>
        </w:rPr>
        <w:t xml:space="preserve">. </w:t>
      </w:r>
    </w:p>
    <w:p w14:paraId="74008CD5" w14:textId="77777777" w:rsidR="002507EE" w:rsidRPr="004D0870" w:rsidRDefault="005C3FFF" w:rsidP="004D0870">
      <w:pPr>
        <w:tabs>
          <w:tab w:val="center" w:pos="-1418"/>
        </w:tabs>
        <w:spacing w:after="200" w:line="360" w:lineRule="auto"/>
        <w:ind w:right="51" w:firstLine="567"/>
        <w:jc w:val="both"/>
        <w:rPr>
          <w:rFonts w:ascii="Arial" w:eastAsia="Arial" w:hAnsi="Arial" w:cs="Arial"/>
          <w:sz w:val="24"/>
          <w:szCs w:val="24"/>
        </w:rPr>
      </w:pPr>
      <w:r>
        <w:rPr>
          <w:rFonts w:ascii="Arial" w:eastAsia="Arial" w:hAnsi="Arial" w:cs="Arial"/>
          <w:b/>
          <w:color w:val="000000"/>
          <w:sz w:val="24"/>
          <w:szCs w:val="24"/>
        </w:rPr>
        <w:t xml:space="preserve">CUARTO.- </w:t>
      </w:r>
      <w:r w:rsidR="003E29EF">
        <w:rPr>
          <w:rFonts w:ascii="Arial" w:eastAsia="Arial" w:hAnsi="Arial" w:cs="Arial"/>
          <w:color w:val="000000"/>
          <w:sz w:val="24"/>
          <w:szCs w:val="24"/>
        </w:rPr>
        <w:t>Mediante proveído de  veintiocho de agosto de dos mil veinte</w:t>
      </w:r>
      <w:r w:rsidR="00C16CE0">
        <w:rPr>
          <w:rFonts w:ascii="Arial" w:eastAsia="Arial" w:hAnsi="Arial" w:cs="Arial"/>
          <w:color w:val="000000"/>
          <w:sz w:val="24"/>
          <w:szCs w:val="24"/>
        </w:rPr>
        <w:t xml:space="preserve">, </w:t>
      </w:r>
      <w:r w:rsidR="004D0870">
        <w:rPr>
          <w:rFonts w:ascii="Arial" w:eastAsia="Arial" w:hAnsi="Arial" w:cs="Arial"/>
          <w:sz w:val="24"/>
          <w:szCs w:val="24"/>
        </w:rPr>
        <w:t xml:space="preserve">se hizo del conocimiento a las partes que mediante Acuerdo General </w:t>
      </w:r>
      <w:r w:rsidR="004D0870">
        <w:rPr>
          <w:rFonts w:ascii="Arial" w:eastAsia="Arial" w:hAnsi="Arial" w:cs="Arial"/>
          <w:b/>
          <w:sz w:val="24"/>
          <w:szCs w:val="24"/>
        </w:rPr>
        <w:t xml:space="preserve">AG/TJAO/13/2020 </w:t>
      </w:r>
      <w:r w:rsidR="004D0870">
        <w:rPr>
          <w:rFonts w:ascii="Arial" w:eastAsia="Arial" w:hAnsi="Arial" w:cs="Arial"/>
          <w:sz w:val="24"/>
          <w:szCs w:val="24"/>
        </w:rPr>
        <w:t xml:space="preserve">del Pleno de este Tribunal, se decretó la desaparición de la entonces Séptima Sala Unitaria de Primera Instancia de este Tribunal, y en su lugar la creación de la Sala Especializada en Responsabilidades Administrativas y Combate a la Corrupción del Tribunal de Justicia Administrativa del Estado; por lo que, se aprobó que los expedientes que se encontraban en trámite y resolución en la Séptima Sala Unitaria de Primera Instancia, se turnarían de forma equitativa en las seis Salas Unitarias restantes; por ello, le tocó conocer a esta Sexta Sala Unitaria del expediente </w:t>
      </w:r>
      <w:r w:rsidR="004D0870">
        <w:rPr>
          <w:rFonts w:ascii="Arial" w:eastAsia="Arial" w:hAnsi="Arial" w:cs="Arial"/>
          <w:b/>
          <w:sz w:val="24"/>
          <w:szCs w:val="24"/>
        </w:rPr>
        <w:t>0075/2019</w:t>
      </w:r>
      <w:r w:rsidR="004D0870">
        <w:rPr>
          <w:rFonts w:ascii="Arial" w:eastAsia="Arial" w:hAnsi="Arial" w:cs="Arial"/>
          <w:sz w:val="24"/>
          <w:szCs w:val="24"/>
        </w:rPr>
        <w:t xml:space="preserve">, del índice de la Séptima Sala Unitaria, asignándole el número de expediente </w:t>
      </w:r>
      <w:r w:rsidR="004D0870">
        <w:rPr>
          <w:rFonts w:ascii="Arial" w:eastAsia="Arial" w:hAnsi="Arial" w:cs="Arial"/>
          <w:b/>
          <w:sz w:val="24"/>
          <w:szCs w:val="24"/>
        </w:rPr>
        <w:t>0102/2020</w:t>
      </w:r>
      <w:r w:rsidR="004D0870">
        <w:rPr>
          <w:rFonts w:ascii="Arial" w:eastAsia="Arial" w:hAnsi="Arial" w:cs="Arial"/>
          <w:sz w:val="24"/>
          <w:szCs w:val="24"/>
        </w:rPr>
        <w:t>.</w:t>
      </w:r>
    </w:p>
    <w:p w14:paraId="5427AE08" w14:textId="77777777" w:rsidR="003E3D78" w:rsidRDefault="00ED5DD5" w:rsidP="003E3D78">
      <w:pPr>
        <w:pBdr>
          <w:top w:val="nil"/>
          <w:left w:val="nil"/>
          <w:bottom w:val="nil"/>
          <w:right w:val="nil"/>
          <w:between w:val="nil"/>
        </w:pBdr>
        <w:tabs>
          <w:tab w:val="center" w:pos="709"/>
          <w:tab w:val="right" w:pos="8838"/>
          <w:tab w:val="center" w:pos="-1418"/>
        </w:tabs>
        <w:spacing w:after="240" w:line="360" w:lineRule="auto"/>
        <w:ind w:firstLine="1"/>
        <w:jc w:val="both"/>
        <w:rPr>
          <w:rFonts w:ascii="Arial" w:eastAsia="Arial" w:hAnsi="Arial" w:cs="Arial"/>
          <w:color w:val="000000"/>
          <w:sz w:val="24"/>
          <w:szCs w:val="24"/>
        </w:rPr>
      </w:pPr>
      <w:r>
        <w:rPr>
          <w:rFonts w:ascii="Arial" w:eastAsia="Arial" w:hAnsi="Arial" w:cs="Arial"/>
          <w:b/>
          <w:color w:val="000000"/>
          <w:sz w:val="24"/>
          <w:szCs w:val="24"/>
        </w:rPr>
        <w:tab/>
      </w:r>
      <w:r>
        <w:rPr>
          <w:rFonts w:ascii="Arial" w:eastAsia="Arial" w:hAnsi="Arial" w:cs="Arial"/>
          <w:b/>
          <w:color w:val="000000"/>
          <w:sz w:val="24"/>
          <w:szCs w:val="24"/>
        </w:rPr>
        <w:tab/>
      </w:r>
      <w:r w:rsidR="00EF6850">
        <w:rPr>
          <w:rFonts w:ascii="Arial" w:eastAsia="Arial" w:hAnsi="Arial" w:cs="Arial"/>
          <w:b/>
          <w:color w:val="000000"/>
          <w:sz w:val="24"/>
          <w:szCs w:val="24"/>
        </w:rPr>
        <w:t>QUINTO</w:t>
      </w:r>
      <w:r w:rsidR="00A60C16" w:rsidRPr="00443306">
        <w:rPr>
          <w:rFonts w:ascii="Arial" w:eastAsia="Arial" w:hAnsi="Arial" w:cs="Arial"/>
          <w:b/>
          <w:color w:val="000000"/>
          <w:sz w:val="24"/>
          <w:szCs w:val="24"/>
        </w:rPr>
        <w:t>.</w:t>
      </w:r>
      <w:r w:rsidR="00EF6850">
        <w:rPr>
          <w:rFonts w:ascii="Arial" w:eastAsia="Arial" w:hAnsi="Arial" w:cs="Arial"/>
          <w:b/>
          <w:color w:val="000000"/>
          <w:sz w:val="24"/>
          <w:szCs w:val="24"/>
        </w:rPr>
        <w:t>-</w:t>
      </w:r>
      <w:r w:rsidR="00A60C16" w:rsidRPr="00443306">
        <w:rPr>
          <w:rFonts w:ascii="Arial" w:eastAsia="Arial" w:hAnsi="Arial" w:cs="Arial"/>
          <w:b/>
          <w:color w:val="000000"/>
          <w:sz w:val="24"/>
          <w:szCs w:val="24"/>
        </w:rPr>
        <w:t xml:space="preserve"> </w:t>
      </w:r>
      <w:r w:rsidR="002507EE" w:rsidRPr="00443306">
        <w:rPr>
          <w:rFonts w:ascii="Arial" w:eastAsia="Arial" w:hAnsi="Arial" w:cs="Arial"/>
          <w:color w:val="000000"/>
          <w:sz w:val="24"/>
          <w:szCs w:val="24"/>
        </w:rPr>
        <w:t xml:space="preserve">Por </w:t>
      </w:r>
      <w:r w:rsidR="00EF6850">
        <w:rPr>
          <w:rFonts w:ascii="Arial" w:eastAsia="Arial" w:hAnsi="Arial" w:cs="Arial"/>
          <w:color w:val="000000"/>
          <w:sz w:val="24"/>
          <w:szCs w:val="24"/>
        </w:rPr>
        <w:t>aut</w:t>
      </w:r>
      <w:r w:rsidR="002507EE" w:rsidRPr="00443306">
        <w:rPr>
          <w:rFonts w:ascii="Arial" w:eastAsia="Arial" w:hAnsi="Arial" w:cs="Arial"/>
          <w:color w:val="000000"/>
          <w:sz w:val="24"/>
          <w:szCs w:val="24"/>
        </w:rPr>
        <w:t xml:space="preserve">o </w:t>
      </w:r>
      <w:r w:rsidR="00A60C16" w:rsidRPr="00443306">
        <w:rPr>
          <w:rFonts w:ascii="Arial" w:eastAsia="Arial" w:hAnsi="Arial" w:cs="Arial"/>
          <w:color w:val="000000"/>
          <w:sz w:val="24"/>
          <w:szCs w:val="24"/>
        </w:rPr>
        <w:t xml:space="preserve">de </w:t>
      </w:r>
      <w:r w:rsidR="00443306" w:rsidRPr="00443306">
        <w:rPr>
          <w:rFonts w:ascii="Arial" w:eastAsia="Arial" w:hAnsi="Arial" w:cs="Arial"/>
          <w:color w:val="000000"/>
          <w:sz w:val="24"/>
          <w:szCs w:val="24"/>
        </w:rPr>
        <w:t>cinc</w:t>
      </w:r>
      <w:r w:rsidR="00591DD1">
        <w:rPr>
          <w:rFonts w:ascii="Arial" w:eastAsia="Arial" w:hAnsi="Arial" w:cs="Arial"/>
          <w:color w:val="000000"/>
          <w:sz w:val="24"/>
          <w:szCs w:val="24"/>
        </w:rPr>
        <w:t>o de mayo de do</w:t>
      </w:r>
      <w:r w:rsidR="004D0870">
        <w:rPr>
          <w:rFonts w:ascii="Arial" w:eastAsia="Arial" w:hAnsi="Arial" w:cs="Arial"/>
          <w:color w:val="000000"/>
          <w:sz w:val="24"/>
          <w:szCs w:val="24"/>
        </w:rPr>
        <w:t>s mil veintiuno, se señaló día</w:t>
      </w:r>
      <w:r w:rsidR="00591DD1">
        <w:rPr>
          <w:rFonts w:ascii="Arial" w:eastAsia="Arial" w:hAnsi="Arial" w:cs="Arial"/>
          <w:color w:val="000000"/>
          <w:sz w:val="24"/>
          <w:szCs w:val="24"/>
        </w:rPr>
        <w:t xml:space="preserve"> y </w:t>
      </w:r>
      <w:r w:rsidR="004D0870">
        <w:rPr>
          <w:rFonts w:ascii="Arial" w:eastAsia="Arial" w:hAnsi="Arial" w:cs="Arial"/>
          <w:color w:val="000000"/>
          <w:sz w:val="24"/>
          <w:szCs w:val="24"/>
        </w:rPr>
        <w:t>hora</w:t>
      </w:r>
      <w:r w:rsidR="00A60C16" w:rsidRPr="00591DD1">
        <w:rPr>
          <w:rFonts w:ascii="Arial" w:eastAsia="Arial" w:hAnsi="Arial" w:cs="Arial"/>
          <w:color w:val="000000"/>
          <w:sz w:val="24"/>
          <w:szCs w:val="24"/>
        </w:rPr>
        <w:t xml:space="preserve"> para</w:t>
      </w:r>
      <w:r w:rsidR="00591DD1">
        <w:rPr>
          <w:rFonts w:ascii="Arial" w:eastAsia="Arial" w:hAnsi="Arial" w:cs="Arial"/>
          <w:color w:val="000000"/>
          <w:sz w:val="24"/>
          <w:szCs w:val="24"/>
        </w:rPr>
        <w:t xml:space="preserve"> llevar a cabo la audiencia de L</w:t>
      </w:r>
      <w:r w:rsidR="00A60C16" w:rsidRPr="00591DD1">
        <w:rPr>
          <w:rFonts w:ascii="Arial" w:eastAsia="Arial" w:hAnsi="Arial" w:cs="Arial"/>
          <w:color w:val="000000"/>
          <w:sz w:val="24"/>
          <w:szCs w:val="24"/>
        </w:rPr>
        <w:t>ey.</w:t>
      </w:r>
      <w:r w:rsidR="00A53638">
        <w:rPr>
          <w:rFonts w:ascii="Arial" w:eastAsia="Arial" w:hAnsi="Arial" w:cs="Arial"/>
          <w:color w:val="000000"/>
          <w:sz w:val="24"/>
          <w:szCs w:val="24"/>
        </w:rPr>
        <w:t xml:space="preserve"> Asimismo se req</w:t>
      </w:r>
      <w:r w:rsidR="004D0870">
        <w:rPr>
          <w:rFonts w:ascii="Arial" w:eastAsia="Arial" w:hAnsi="Arial" w:cs="Arial"/>
          <w:color w:val="000000"/>
          <w:sz w:val="24"/>
          <w:szCs w:val="24"/>
        </w:rPr>
        <w:t>uirió al Presidente Municipal</w:t>
      </w:r>
      <w:r w:rsidR="00A53638">
        <w:rPr>
          <w:rFonts w:ascii="Arial" w:eastAsia="Arial" w:hAnsi="Arial" w:cs="Arial"/>
          <w:color w:val="000000"/>
          <w:sz w:val="24"/>
          <w:szCs w:val="24"/>
        </w:rPr>
        <w:t xml:space="preserve"> de Oaxaca de Juárez, para que dentro del plazo de tres días hábiles remitiera </w:t>
      </w:r>
      <w:r w:rsidR="00F43849">
        <w:rPr>
          <w:rFonts w:ascii="Arial" w:eastAsia="Arial" w:hAnsi="Arial" w:cs="Arial"/>
          <w:color w:val="000000"/>
          <w:sz w:val="24"/>
          <w:szCs w:val="24"/>
        </w:rPr>
        <w:t>copia certificada del acta de sesión de cabildo en la que se ordenó o acordó el descuento del cincuenta por ciento a adultos mayores por concepto de pago del impuesto predial para el ejercicio fiscal de dos mil diecinueve, apercibido de que en caso de omisión se haría acreedor a una muta.</w:t>
      </w:r>
    </w:p>
    <w:p w14:paraId="114C3D0E" w14:textId="77777777" w:rsidR="00F43849" w:rsidRPr="00591DD1" w:rsidRDefault="003E3D78" w:rsidP="003E3D78">
      <w:pPr>
        <w:pBdr>
          <w:top w:val="nil"/>
          <w:left w:val="nil"/>
          <w:bottom w:val="nil"/>
          <w:right w:val="nil"/>
          <w:between w:val="nil"/>
        </w:pBdr>
        <w:tabs>
          <w:tab w:val="center" w:pos="-1418"/>
          <w:tab w:val="right" w:pos="709"/>
        </w:tabs>
        <w:spacing w:after="240" w:line="360" w:lineRule="auto"/>
        <w:jc w:val="both"/>
        <w:rPr>
          <w:rFonts w:ascii="Arial" w:eastAsia="Arial" w:hAnsi="Arial" w:cs="Arial"/>
          <w:color w:val="000000"/>
          <w:sz w:val="24"/>
          <w:szCs w:val="24"/>
        </w:rPr>
      </w:pPr>
      <w:r>
        <w:rPr>
          <w:rFonts w:ascii="Arial" w:eastAsia="Arial" w:hAnsi="Arial" w:cs="Arial"/>
          <w:color w:val="000000"/>
          <w:sz w:val="24"/>
          <w:szCs w:val="24"/>
        </w:rPr>
        <w:tab/>
        <w:t xml:space="preserve">           Por último, se dio cuenta con la razón actuarial, respecto del impedi</w:t>
      </w:r>
      <w:r w:rsidR="004B00BF">
        <w:rPr>
          <w:rFonts w:ascii="Arial" w:eastAsia="Arial" w:hAnsi="Arial" w:cs="Arial"/>
          <w:color w:val="000000"/>
          <w:sz w:val="24"/>
          <w:szCs w:val="24"/>
        </w:rPr>
        <w:t xml:space="preserve">mento que tuvo la actuaria para notificar </w:t>
      </w:r>
      <w:r w:rsidR="0073307C">
        <w:rPr>
          <w:rFonts w:ascii="Arial" w:eastAsia="Arial" w:hAnsi="Arial" w:cs="Arial"/>
          <w:color w:val="000000"/>
          <w:sz w:val="24"/>
          <w:szCs w:val="24"/>
        </w:rPr>
        <w:t>los autos de die</w:t>
      </w:r>
      <w:r w:rsidR="00820BD5">
        <w:rPr>
          <w:rFonts w:ascii="Arial" w:eastAsia="Arial" w:hAnsi="Arial" w:cs="Arial"/>
          <w:color w:val="000000"/>
          <w:sz w:val="24"/>
          <w:szCs w:val="24"/>
        </w:rPr>
        <w:t>ciocho de marzo</w:t>
      </w:r>
      <w:r w:rsidR="0073307C">
        <w:rPr>
          <w:rFonts w:ascii="Arial" w:eastAsia="Arial" w:hAnsi="Arial" w:cs="Arial"/>
          <w:color w:val="000000"/>
          <w:sz w:val="24"/>
          <w:szCs w:val="24"/>
        </w:rPr>
        <w:t xml:space="preserve"> y veintiocho de agosto </w:t>
      </w:r>
      <w:r w:rsidR="00DA35CE">
        <w:rPr>
          <w:rFonts w:ascii="Arial" w:eastAsia="Arial" w:hAnsi="Arial" w:cs="Arial"/>
          <w:color w:val="000000"/>
          <w:sz w:val="24"/>
          <w:szCs w:val="24"/>
        </w:rPr>
        <w:t>de dos mil veinte.</w:t>
      </w:r>
    </w:p>
    <w:p w14:paraId="34CEF4E3" w14:textId="77777777" w:rsidR="00ED05A4" w:rsidRDefault="00DD4C70" w:rsidP="00A60C1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SEXTO</w:t>
      </w:r>
      <w:r w:rsidR="00A60C16" w:rsidRPr="00ED05A4">
        <w:rPr>
          <w:rFonts w:ascii="Arial" w:eastAsia="Arial" w:hAnsi="Arial" w:cs="Arial"/>
          <w:b/>
          <w:color w:val="000000"/>
          <w:sz w:val="24"/>
          <w:szCs w:val="24"/>
        </w:rPr>
        <w:t xml:space="preserve">.- </w:t>
      </w:r>
      <w:r w:rsidR="00A60C16" w:rsidRPr="00ED05A4">
        <w:rPr>
          <w:rFonts w:ascii="Arial" w:eastAsia="Arial" w:hAnsi="Arial" w:cs="Arial"/>
          <w:color w:val="000000"/>
          <w:sz w:val="24"/>
          <w:szCs w:val="24"/>
        </w:rPr>
        <w:t xml:space="preserve">Por </w:t>
      </w:r>
      <w:r w:rsidR="00ED05A4">
        <w:rPr>
          <w:rFonts w:ascii="Arial" w:eastAsia="Arial" w:hAnsi="Arial" w:cs="Arial"/>
          <w:color w:val="000000"/>
          <w:sz w:val="24"/>
          <w:szCs w:val="24"/>
        </w:rPr>
        <w:t xml:space="preserve">acuerdo de treinta y uno de mayo de dos mil veintiuno, </w:t>
      </w:r>
      <w:r w:rsidR="003D0182">
        <w:rPr>
          <w:rFonts w:ascii="Arial" w:eastAsia="Arial" w:hAnsi="Arial" w:cs="Arial"/>
          <w:color w:val="000000"/>
          <w:sz w:val="24"/>
          <w:szCs w:val="24"/>
        </w:rPr>
        <w:t xml:space="preserve">se tuvo a la autoridad dando </w:t>
      </w:r>
      <w:r w:rsidR="0077263D">
        <w:rPr>
          <w:rFonts w:ascii="Arial" w:eastAsia="Arial" w:hAnsi="Arial" w:cs="Arial"/>
          <w:color w:val="000000"/>
          <w:sz w:val="24"/>
          <w:szCs w:val="24"/>
        </w:rPr>
        <w:t>cumpliendo en tie</w:t>
      </w:r>
      <w:r w:rsidR="003D0182">
        <w:rPr>
          <w:rFonts w:ascii="Arial" w:eastAsia="Arial" w:hAnsi="Arial" w:cs="Arial"/>
          <w:color w:val="000000"/>
          <w:sz w:val="24"/>
          <w:szCs w:val="24"/>
        </w:rPr>
        <w:t xml:space="preserve">mpo y forma el requerimiento formulado mediante auto de cinco de mayo de dos mil veintiuno. </w:t>
      </w:r>
    </w:p>
    <w:p w14:paraId="02958827" w14:textId="2E4B1869" w:rsidR="00351896" w:rsidRDefault="00DD4C70" w:rsidP="0087499F">
      <w:pPr>
        <w:tabs>
          <w:tab w:val="center" w:pos="-1418"/>
          <w:tab w:val="center" w:pos="4419"/>
          <w:tab w:val="right" w:pos="8838"/>
        </w:tabs>
        <w:spacing w:after="240" w:line="360" w:lineRule="auto"/>
        <w:ind w:firstLine="709"/>
        <w:jc w:val="both"/>
        <w:rPr>
          <w:rFonts w:ascii="Arial" w:hAnsi="Arial" w:cs="Arial"/>
          <w:sz w:val="24"/>
          <w:szCs w:val="24"/>
        </w:rPr>
      </w:pPr>
      <w:r>
        <w:rPr>
          <w:rFonts w:ascii="Arial" w:eastAsia="Arial" w:hAnsi="Arial" w:cs="Arial"/>
          <w:b/>
          <w:color w:val="000000"/>
          <w:sz w:val="24"/>
          <w:szCs w:val="24"/>
        </w:rPr>
        <w:t>SÉPTIMO</w:t>
      </w:r>
      <w:r w:rsidR="00A60C16" w:rsidRPr="006203DC">
        <w:rPr>
          <w:rFonts w:ascii="Arial" w:eastAsia="Arial" w:hAnsi="Arial" w:cs="Arial"/>
          <w:color w:val="000000"/>
          <w:sz w:val="24"/>
          <w:szCs w:val="24"/>
        </w:rPr>
        <w:t xml:space="preserve">.- </w:t>
      </w:r>
      <w:r w:rsidR="00A60C16" w:rsidRPr="00D45A39">
        <w:rPr>
          <w:rFonts w:ascii="Arial" w:hAnsi="Arial" w:cs="Arial"/>
          <w:sz w:val="24"/>
          <w:szCs w:val="24"/>
        </w:rPr>
        <w:t xml:space="preserve">El </w:t>
      </w:r>
      <w:r w:rsidR="00FC38FF">
        <w:rPr>
          <w:rFonts w:ascii="Arial" w:hAnsi="Arial" w:cs="Arial"/>
          <w:sz w:val="24"/>
          <w:szCs w:val="24"/>
        </w:rPr>
        <w:t xml:space="preserve">día dieciséis de mayo de </w:t>
      </w:r>
      <w:r w:rsidR="00A60C16" w:rsidRPr="00D45A39">
        <w:rPr>
          <w:rFonts w:ascii="Arial" w:hAnsi="Arial" w:cs="Arial"/>
          <w:sz w:val="24"/>
          <w:szCs w:val="24"/>
        </w:rPr>
        <w:t>dos mil veintiuno, se llevó a cabo la audiencia final, sin comparecencia de las partes ni persona alguna que legalmente las representara, se desahogaron las pruebas de las partes, y se abrió el periodo de alegatos, se dio cuenta</w:t>
      </w:r>
      <w:r w:rsidR="0071256D">
        <w:rPr>
          <w:rFonts w:ascii="Arial" w:hAnsi="Arial" w:cs="Arial"/>
          <w:sz w:val="24"/>
          <w:szCs w:val="24"/>
        </w:rPr>
        <w:t xml:space="preserve"> </w:t>
      </w:r>
      <w:r w:rsidR="00351896">
        <w:rPr>
          <w:rFonts w:ascii="Arial" w:hAnsi="Arial" w:cs="Arial"/>
          <w:sz w:val="24"/>
          <w:szCs w:val="24"/>
        </w:rPr>
        <w:t xml:space="preserve">con el escrito de </w:t>
      </w:r>
      <w:r w:rsidR="00CE55F4">
        <w:rPr>
          <w:rFonts w:ascii="Arial" w:hAnsi="Arial" w:cs="Arial"/>
          <w:sz w:val="24"/>
          <w:szCs w:val="24"/>
        </w:rPr>
        <w:t>**********</w:t>
      </w:r>
      <w:r w:rsidR="00351896">
        <w:rPr>
          <w:rFonts w:ascii="Arial" w:hAnsi="Arial" w:cs="Arial"/>
          <w:sz w:val="24"/>
          <w:szCs w:val="24"/>
        </w:rPr>
        <w:t xml:space="preserve">, por medio del cual formuló sus alegatos, no así la autoridad demanda, por lo que se declaró precluido </w:t>
      </w:r>
      <w:r w:rsidR="00351896" w:rsidRPr="003E244E">
        <w:rPr>
          <w:rFonts w:ascii="Arial" w:hAnsi="Arial" w:cs="Arial"/>
          <w:sz w:val="24"/>
          <w:szCs w:val="24"/>
        </w:rPr>
        <w:t>su derecho correspondiente</w:t>
      </w:r>
      <w:r w:rsidR="00351896">
        <w:rPr>
          <w:rFonts w:ascii="Arial" w:hAnsi="Arial" w:cs="Arial"/>
          <w:sz w:val="24"/>
          <w:szCs w:val="24"/>
        </w:rPr>
        <w:t xml:space="preserve"> para hacerlo,</w:t>
      </w:r>
      <w:r w:rsidR="00351896" w:rsidRPr="003E244E">
        <w:rPr>
          <w:rFonts w:ascii="Arial" w:hAnsi="Arial" w:cs="Arial"/>
          <w:sz w:val="24"/>
          <w:szCs w:val="24"/>
        </w:rPr>
        <w:t xml:space="preserve"> declarándose cerrada la etapa de instrucción</w:t>
      </w:r>
      <w:r w:rsidR="00351896">
        <w:rPr>
          <w:rFonts w:ascii="Arial" w:hAnsi="Arial" w:cs="Arial"/>
          <w:sz w:val="24"/>
          <w:szCs w:val="24"/>
        </w:rPr>
        <w:t xml:space="preserve">; </w:t>
      </w:r>
      <w:r w:rsidR="00351896" w:rsidRPr="003E244E">
        <w:rPr>
          <w:rFonts w:ascii="Arial" w:hAnsi="Arial" w:cs="Arial"/>
          <w:sz w:val="24"/>
          <w:szCs w:val="24"/>
        </w:rPr>
        <w:t>por último se citó a las</w:t>
      </w:r>
      <w:r w:rsidR="00351896">
        <w:rPr>
          <w:rFonts w:ascii="Arial" w:hAnsi="Arial" w:cs="Arial"/>
          <w:sz w:val="24"/>
          <w:szCs w:val="24"/>
        </w:rPr>
        <w:t xml:space="preserve"> partes para oír sentencia</w:t>
      </w:r>
      <w:r w:rsidR="00351896" w:rsidRPr="003E244E">
        <w:rPr>
          <w:rFonts w:ascii="Arial" w:hAnsi="Arial" w:cs="Arial"/>
          <w:sz w:val="24"/>
          <w:szCs w:val="24"/>
        </w:rPr>
        <w:t>.</w:t>
      </w:r>
      <w:r w:rsidR="00351896">
        <w:rPr>
          <w:rFonts w:ascii="Arial" w:hAnsi="Arial" w:cs="Arial"/>
          <w:sz w:val="24"/>
          <w:szCs w:val="24"/>
        </w:rPr>
        <w:t xml:space="preserve"> </w:t>
      </w:r>
    </w:p>
    <w:p w14:paraId="3D94F1EC" w14:textId="77777777" w:rsidR="00B3156C" w:rsidRDefault="00DD4C70" w:rsidP="0087499F">
      <w:pPr>
        <w:tabs>
          <w:tab w:val="center" w:pos="-1418"/>
          <w:tab w:val="center" w:pos="4419"/>
          <w:tab w:val="right" w:pos="8838"/>
        </w:tabs>
        <w:spacing w:after="240" w:line="360" w:lineRule="auto"/>
        <w:ind w:firstLine="709"/>
        <w:jc w:val="both"/>
        <w:rPr>
          <w:rFonts w:ascii="Arial" w:eastAsia="Arial" w:hAnsi="Arial" w:cs="Arial"/>
          <w:sz w:val="24"/>
          <w:szCs w:val="24"/>
        </w:rPr>
      </w:pPr>
      <w:r>
        <w:rPr>
          <w:rFonts w:ascii="Arial" w:hAnsi="Arial" w:cs="Arial"/>
          <w:b/>
          <w:bCs/>
          <w:sz w:val="24"/>
          <w:szCs w:val="24"/>
        </w:rPr>
        <w:t>OCTAVO</w:t>
      </w:r>
      <w:r w:rsidR="00B3156C" w:rsidRPr="002C109F">
        <w:rPr>
          <w:rFonts w:ascii="Arial" w:hAnsi="Arial" w:cs="Arial"/>
          <w:b/>
          <w:bCs/>
          <w:sz w:val="24"/>
          <w:szCs w:val="24"/>
        </w:rPr>
        <w:t xml:space="preserve">. </w:t>
      </w:r>
      <w:r w:rsidR="004D0870">
        <w:rPr>
          <w:rFonts w:ascii="Arial" w:hAnsi="Arial" w:cs="Arial"/>
          <w:b/>
          <w:bCs/>
          <w:sz w:val="24"/>
          <w:szCs w:val="24"/>
        </w:rPr>
        <w:t xml:space="preserve">- </w:t>
      </w:r>
      <w:r w:rsidR="00B3156C">
        <w:rPr>
          <w:rFonts w:ascii="Arial" w:eastAsia="Arial" w:hAnsi="Arial" w:cs="Arial"/>
          <w:sz w:val="24"/>
          <w:szCs w:val="24"/>
        </w:rPr>
        <w:t>Por auto de uno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w:t>
      </w:r>
      <w:r w:rsidR="007F46BD">
        <w:rPr>
          <w:rFonts w:ascii="Arial" w:eastAsia="Arial" w:hAnsi="Arial" w:cs="Arial"/>
          <w:sz w:val="24"/>
          <w:szCs w:val="24"/>
        </w:rPr>
        <w:t>.</w:t>
      </w:r>
      <w:r w:rsidR="004D0870">
        <w:rPr>
          <w:rFonts w:ascii="Arial" w:eastAsia="Arial" w:hAnsi="Arial" w:cs="Arial"/>
          <w:sz w:val="24"/>
          <w:szCs w:val="24"/>
        </w:rPr>
        <w:t xml:space="preserve"> - - - - - - - - - - - - - - - - - - - - - - - - - - - - - - - - - - - - - - - - - - - - </w:t>
      </w:r>
    </w:p>
    <w:p w14:paraId="1611B598" w14:textId="77777777" w:rsidR="007F46BD" w:rsidRDefault="007F46BD" w:rsidP="007F46BD">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r w:rsidR="008872E9">
        <w:rPr>
          <w:rFonts w:ascii="Arial" w:eastAsia="Arial" w:hAnsi="Arial" w:cs="Arial"/>
          <w:b/>
          <w:color w:val="000000"/>
          <w:sz w:val="24"/>
          <w:szCs w:val="24"/>
        </w:rPr>
        <w:t>:</w:t>
      </w:r>
    </w:p>
    <w:p w14:paraId="40703DF1" w14:textId="77777777" w:rsidR="008872E9" w:rsidRDefault="008872E9" w:rsidP="008872E9">
      <w:pPr>
        <w:pStyle w:val="Sinespaciado"/>
      </w:pPr>
    </w:p>
    <w:p w14:paraId="2D052975" w14:textId="77777777" w:rsidR="007F46BD" w:rsidRDefault="007F46BD" w:rsidP="007F46BD">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 xml:space="preserve">PRIMERO. Competencia. </w:t>
      </w:r>
      <w:r>
        <w:rPr>
          <w:rFonts w:ascii="Arial" w:eastAsia="Arial" w:hAnsi="Arial" w:cs="Arial"/>
          <w:sz w:val="24"/>
          <w:szCs w:val="24"/>
        </w:rPr>
        <w:t xml:space="preserve">Esta Sexta Sala Unitaria del Tribunal de Justicia Administrativa del Estado de Oaxaca, es competente para conocer y resolver 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Pr>
          <w:rFonts w:ascii="Arial" w:eastAsia="Arial" w:hAnsi="Arial" w:cs="Arial"/>
          <w:sz w:val="24"/>
          <w:szCs w:val="24"/>
        </w:rPr>
        <w:t>, por tratarse de un juicio de nulidad promovido en contra de una autoridad administrativa de carácter fiscal estatal.</w:t>
      </w:r>
    </w:p>
    <w:p w14:paraId="3A143E5A" w14:textId="77777777" w:rsidR="007F46BD" w:rsidRDefault="007F46BD" w:rsidP="007F46BD">
      <w:pPr>
        <w:tabs>
          <w:tab w:val="left" w:pos="6946"/>
        </w:tabs>
        <w:spacing w:before="240" w:line="360" w:lineRule="auto"/>
        <w:ind w:right="-93" w:firstLine="567"/>
        <w:jc w:val="both"/>
        <w:rPr>
          <w:rFonts w:ascii="Arial" w:eastAsia="Arial" w:hAnsi="Arial" w:cs="Arial"/>
          <w:sz w:val="24"/>
          <w:szCs w:val="24"/>
        </w:rPr>
      </w:pPr>
      <w:r>
        <w:rPr>
          <w:rFonts w:ascii="Arial" w:eastAsia="Arial" w:hAnsi="Arial" w:cs="Arial"/>
          <w:b/>
          <w:sz w:val="24"/>
          <w:szCs w:val="24"/>
        </w:rPr>
        <w:t xml:space="preserve">SEGUNDO. Personalidad. </w:t>
      </w:r>
      <w:r>
        <w:rPr>
          <w:rFonts w:ascii="Arial" w:eastAsia="Arial" w:hAnsi="Arial" w:cs="Arial"/>
          <w:sz w:val="24"/>
          <w:szCs w:val="24"/>
        </w:rPr>
        <w:t xml:space="preserve">La </w:t>
      </w:r>
      <w:r>
        <w:rPr>
          <w:rFonts w:ascii="Arial" w:eastAsia="Arial" w:hAnsi="Arial" w:cs="Arial"/>
          <w:b/>
          <w:sz w:val="24"/>
          <w:szCs w:val="24"/>
        </w:rPr>
        <w:t xml:space="preserve">personalidad </w:t>
      </w:r>
      <w:r>
        <w:rPr>
          <w:rFonts w:ascii="Arial" w:eastAsia="Arial" w:hAnsi="Arial" w:cs="Arial"/>
          <w:sz w:val="24"/>
          <w:szCs w:val="24"/>
        </w:rPr>
        <w:t xml:space="preserve">de las partes quedó acreditada en autos, toda vez que la </w:t>
      </w:r>
      <w:r w:rsidRPr="004D0870">
        <w:rPr>
          <w:rFonts w:ascii="Arial" w:eastAsia="Arial" w:hAnsi="Arial" w:cs="Arial"/>
          <w:b/>
          <w:sz w:val="24"/>
          <w:szCs w:val="24"/>
        </w:rPr>
        <w:t>parte actora</w:t>
      </w:r>
      <w:r>
        <w:rPr>
          <w:rFonts w:ascii="Arial" w:eastAsia="Arial" w:hAnsi="Arial" w:cs="Arial"/>
          <w:sz w:val="24"/>
          <w:szCs w:val="24"/>
        </w:rPr>
        <w:t xml:space="preserve"> promueve el juicio de nulidad por su propio derecho, conforme lo previsto por el artículo 148 de la Ley de Procedimiento y Justicia Administrativa para el Estado de Oaxaca; y la personalidad de las autoridades demandadas </w:t>
      </w:r>
      <w:r w:rsidR="001D0792">
        <w:rPr>
          <w:rFonts w:ascii="Arial" w:eastAsia="Arial" w:hAnsi="Arial" w:cs="Arial"/>
          <w:sz w:val="24"/>
          <w:szCs w:val="24"/>
        </w:rPr>
        <w:t xml:space="preserve">Presidente Municipal, </w:t>
      </w:r>
      <w:r>
        <w:rPr>
          <w:rFonts w:ascii="Arial" w:eastAsia="Arial" w:hAnsi="Arial" w:cs="Arial"/>
          <w:sz w:val="24"/>
          <w:szCs w:val="24"/>
        </w:rPr>
        <w:t xml:space="preserve">Tesorera Municipal y Jefa de </w:t>
      </w:r>
      <w:r w:rsidR="001D0792">
        <w:rPr>
          <w:rFonts w:ascii="Arial" w:eastAsia="Arial" w:hAnsi="Arial" w:cs="Arial"/>
          <w:sz w:val="24"/>
          <w:szCs w:val="24"/>
        </w:rPr>
        <w:t xml:space="preserve">la </w:t>
      </w:r>
      <w:r w:rsidR="001D0792">
        <w:rPr>
          <w:rFonts w:ascii="Arial" w:eastAsia="Arial" w:hAnsi="Arial" w:cs="Arial"/>
          <w:sz w:val="24"/>
          <w:szCs w:val="24"/>
        </w:rPr>
        <w:lastRenderedPageBreak/>
        <w:t xml:space="preserve">Unidad de </w:t>
      </w:r>
      <w:r>
        <w:rPr>
          <w:rFonts w:ascii="Arial" w:eastAsia="Arial" w:hAnsi="Arial" w:cs="Arial"/>
          <w:sz w:val="24"/>
          <w:szCs w:val="24"/>
        </w:rPr>
        <w:t>Recaudación, autoridades del Municipio de Oaxaca de Juárez,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35A8DC29"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b/>
          <w:sz w:val="24"/>
          <w:szCs w:val="24"/>
          <w:lang w:eastAsia="es-MX"/>
        </w:rPr>
        <w:t>TERCERO. Causales de</w:t>
      </w:r>
      <w:r w:rsidRPr="00917FEA">
        <w:rPr>
          <w:rFonts w:ascii="Arial" w:eastAsia="Arial" w:hAnsi="Arial" w:cs="Arial"/>
          <w:sz w:val="24"/>
          <w:szCs w:val="24"/>
          <w:lang w:eastAsia="es-MX"/>
        </w:rPr>
        <w:t xml:space="preserve"> </w:t>
      </w:r>
      <w:r w:rsidRPr="00917FEA">
        <w:rPr>
          <w:rFonts w:ascii="Arial" w:eastAsia="Arial" w:hAnsi="Arial" w:cs="Arial"/>
          <w:b/>
          <w:sz w:val="24"/>
          <w:szCs w:val="24"/>
          <w:lang w:eastAsia="es-MX"/>
        </w:rPr>
        <w:t xml:space="preserve">improcedencia y sobreseimiento. </w:t>
      </w:r>
      <w:r w:rsidRPr="00917FEA">
        <w:rPr>
          <w:rFonts w:ascii="Arial" w:eastAsia="Arial" w:hAnsi="Arial" w:cs="Arial"/>
          <w:sz w:val="24"/>
          <w:szCs w:val="24"/>
          <w:lang w:eastAsia="es-MX"/>
        </w:rPr>
        <w:t>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w:t>
      </w:r>
      <w:r w:rsidR="004D0870">
        <w:rPr>
          <w:rFonts w:ascii="Arial" w:eastAsia="Arial" w:hAnsi="Arial" w:cs="Arial"/>
          <w:sz w:val="24"/>
          <w:szCs w:val="24"/>
          <w:lang w:eastAsia="es-MX"/>
        </w:rPr>
        <w:t>os en la Ley, de lo contrario la persona</w:t>
      </w:r>
      <w:r w:rsidRPr="00917FEA">
        <w:rPr>
          <w:rFonts w:ascii="Arial" w:eastAsia="Arial" w:hAnsi="Arial" w:cs="Arial"/>
          <w:sz w:val="24"/>
          <w:szCs w:val="24"/>
          <w:lang w:eastAsia="es-MX"/>
        </w:rPr>
        <w:t xml:space="preserve"> juzgador</w:t>
      </w:r>
      <w:r w:rsidR="004D0870">
        <w:rPr>
          <w:rFonts w:ascii="Arial" w:eastAsia="Arial" w:hAnsi="Arial" w:cs="Arial"/>
          <w:sz w:val="24"/>
          <w:szCs w:val="24"/>
          <w:lang w:eastAsia="es-MX"/>
        </w:rPr>
        <w:t>a se vería impedida</w:t>
      </w:r>
      <w:r w:rsidRPr="00917FEA">
        <w:rPr>
          <w:rFonts w:ascii="Arial" w:eastAsia="Arial" w:hAnsi="Arial" w:cs="Arial"/>
          <w:sz w:val="24"/>
          <w:szCs w:val="24"/>
          <w:lang w:eastAsia="es-MX"/>
        </w:rPr>
        <w:t xml:space="preserve"> para resolver la controversia sometida a su jurisdicción. Esto, porque conforme al artículo 17 párrafo segundo de la Constitución Política de los Estados Unidos Mexicanos</w:t>
      </w:r>
      <w:r w:rsidRPr="00917FEA">
        <w:rPr>
          <w:rFonts w:ascii="Arial" w:eastAsia="Arial" w:hAnsi="Arial" w:cs="Arial"/>
          <w:sz w:val="24"/>
          <w:szCs w:val="24"/>
          <w:vertAlign w:val="superscript"/>
          <w:lang w:eastAsia="es-MX"/>
        </w:rPr>
        <w:footnoteReference w:id="2"/>
      </w:r>
      <w:r w:rsidRPr="00917FEA">
        <w:rPr>
          <w:rFonts w:ascii="Arial" w:eastAsia="Arial" w:hAnsi="Arial" w:cs="Arial"/>
          <w:sz w:val="24"/>
          <w:szCs w:val="24"/>
          <w:lang w:eastAsia="es-MX"/>
        </w:rPr>
        <w:t>, es el deber de las autoridades ajustarse a los mecanismos jurídicos establecidos por el legislador para el ejercicio de jurisdicción.</w:t>
      </w:r>
    </w:p>
    <w:p w14:paraId="2A12E617"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 materia.</w:t>
      </w:r>
    </w:p>
    <w:p w14:paraId="3211C7FD" w14:textId="3D8123E6" w:rsidR="00917FEA" w:rsidRPr="00917FEA" w:rsidRDefault="00917FEA" w:rsidP="00F95B46">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 xml:space="preserve">Ahora bien, las autoridades demandadas </w:t>
      </w:r>
      <w:proofErr w:type="gramStart"/>
      <w:r w:rsidR="00FA2F72">
        <w:rPr>
          <w:rFonts w:ascii="Arial" w:hAnsi="Arial" w:cs="Arial"/>
          <w:b/>
          <w:sz w:val="24"/>
          <w:szCs w:val="24"/>
        </w:rPr>
        <w:t>Presidente</w:t>
      </w:r>
      <w:proofErr w:type="gramEnd"/>
      <w:r w:rsidR="00FA2F72">
        <w:rPr>
          <w:rFonts w:ascii="Arial" w:hAnsi="Arial" w:cs="Arial"/>
          <w:b/>
          <w:sz w:val="24"/>
          <w:szCs w:val="24"/>
        </w:rPr>
        <w:t xml:space="preserve"> Municipal, Tesorera Municipal y la </w:t>
      </w:r>
      <w:r w:rsidR="00FA2F72" w:rsidRPr="00FA2F72">
        <w:rPr>
          <w:rFonts w:ascii="Arial" w:hAnsi="Arial" w:cs="Arial"/>
          <w:b/>
          <w:sz w:val="24"/>
          <w:szCs w:val="24"/>
        </w:rPr>
        <w:t>Titu</w:t>
      </w:r>
      <w:r w:rsidR="00FA2F72">
        <w:rPr>
          <w:rFonts w:ascii="Arial" w:hAnsi="Arial" w:cs="Arial"/>
          <w:b/>
          <w:sz w:val="24"/>
          <w:szCs w:val="24"/>
        </w:rPr>
        <w:t xml:space="preserve">lar de </w:t>
      </w:r>
      <w:r w:rsidR="001D0792">
        <w:rPr>
          <w:rFonts w:ascii="Arial" w:hAnsi="Arial" w:cs="Arial"/>
          <w:b/>
          <w:sz w:val="24"/>
          <w:szCs w:val="24"/>
        </w:rPr>
        <w:t xml:space="preserve">la Unidad de </w:t>
      </w:r>
      <w:r w:rsidR="00FA2F72">
        <w:rPr>
          <w:rFonts w:ascii="Arial" w:hAnsi="Arial" w:cs="Arial"/>
          <w:b/>
          <w:sz w:val="24"/>
          <w:szCs w:val="24"/>
        </w:rPr>
        <w:t>Recaudación de Renta</w:t>
      </w:r>
      <w:r w:rsidR="001D0792">
        <w:rPr>
          <w:rFonts w:ascii="Arial" w:hAnsi="Arial" w:cs="Arial"/>
          <w:b/>
          <w:sz w:val="24"/>
          <w:szCs w:val="24"/>
        </w:rPr>
        <w:t>,</w:t>
      </w:r>
      <w:r w:rsidR="00FA2F72">
        <w:rPr>
          <w:rFonts w:ascii="Arial" w:hAnsi="Arial" w:cs="Arial"/>
          <w:b/>
          <w:sz w:val="24"/>
          <w:szCs w:val="24"/>
        </w:rPr>
        <w:t xml:space="preserve"> todos del </w:t>
      </w:r>
      <w:r w:rsidR="00FA2F72" w:rsidRPr="00FA2F72">
        <w:rPr>
          <w:rFonts w:ascii="Arial" w:hAnsi="Arial" w:cs="Arial"/>
          <w:b/>
          <w:sz w:val="24"/>
          <w:szCs w:val="24"/>
        </w:rPr>
        <w:t>Municipio de Oaxaca de Juárez</w:t>
      </w:r>
      <w:r w:rsidRPr="00917FEA">
        <w:rPr>
          <w:rFonts w:ascii="Arial" w:eastAsia="Arial" w:hAnsi="Arial" w:cs="Arial"/>
          <w:sz w:val="24"/>
          <w:szCs w:val="24"/>
          <w:lang w:eastAsia="es-MX"/>
        </w:rPr>
        <w:t>, indican que el a</w:t>
      </w:r>
      <w:r w:rsidR="00F95B46">
        <w:rPr>
          <w:rFonts w:ascii="Arial" w:eastAsia="Arial" w:hAnsi="Arial" w:cs="Arial"/>
          <w:sz w:val="24"/>
          <w:szCs w:val="24"/>
          <w:lang w:eastAsia="es-MX"/>
        </w:rPr>
        <w:t>c</w:t>
      </w:r>
      <w:r w:rsidR="007636DA">
        <w:rPr>
          <w:rFonts w:ascii="Arial" w:eastAsia="Arial" w:hAnsi="Arial" w:cs="Arial"/>
          <w:sz w:val="24"/>
          <w:szCs w:val="24"/>
          <w:lang w:eastAsia="es-MX"/>
        </w:rPr>
        <w:t>to impugnado, consistente en</w:t>
      </w:r>
      <w:r w:rsidR="00F95B46">
        <w:rPr>
          <w:rFonts w:ascii="Arial" w:eastAsia="Arial" w:hAnsi="Arial" w:cs="Arial"/>
          <w:sz w:val="24"/>
          <w:szCs w:val="24"/>
          <w:lang w:eastAsia="es-MX"/>
        </w:rPr>
        <w:t xml:space="preserve"> el formato único de liquidación, con número </w:t>
      </w:r>
      <w:r w:rsidR="00CE55F4">
        <w:rPr>
          <w:rFonts w:ascii="Arial" w:eastAsia="Arial" w:hAnsi="Arial" w:cs="Arial"/>
          <w:sz w:val="24"/>
          <w:szCs w:val="24"/>
          <w:lang w:eastAsia="es-MX"/>
        </w:rPr>
        <w:t>**********</w:t>
      </w:r>
      <w:r w:rsidR="00F95B46">
        <w:rPr>
          <w:rFonts w:ascii="Arial" w:eastAsia="Arial" w:hAnsi="Arial" w:cs="Arial"/>
          <w:sz w:val="24"/>
          <w:szCs w:val="24"/>
          <w:lang w:eastAsia="es-MX"/>
        </w:rPr>
        <w:t xml:space="preserve"> de cinco de junio de dos mil diecinueve</w:t>
      </w:r>
      <w:r w:rsidRPr="00917FEA">
        <w:rPr>
          <w:rFonts w:ascii="Arial" w:eastAsia="Arial" w:hAnsi="Arial" w:cs="Arial"/>
          <w:sz w:val="24"/>
          <w:szCs w:val="24"/>
          <w:lang w:eastAsia="es-MX"/>
        </w:rPr>
        <w:t>, no constituye una resolución impugnable mediante juicio contencioso administrativo ante este Tribunal.</w:t>
      </w:r>
    </w:p>
    <w:p w14:paraId="6F320142"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En ese sentido, el artículo 133 fracción II, de la Ley de Procedimiento y Justicia Administrativa para el Estado, señala:</w:t>
      </w:r>
    </w:p>
    <w:p w14:paraId="6C6744B3" w14:textId="77777777" w:rsidR="00917FEA" w:rsidRPr="00917FEA" w:rsidRDefault="00917FEA" w:rsidP="00917FEA">
      <w:pPr>
        <w:spacing w:line="240" w:lineRule="auto"/>
        <w:ind w:left="567" w:right="333" w:firstLine="567"/>
        <w:jc w:val="both"/>
        <w:rPr>
          <w:rFonts w:ascii="Arial" w:eastAsia="Arial" w:hAnsi="Arial" w:cs="Arial"/>
          <w:i/>
          <w:sz w:val="24"/>
          <w:szCs w:val="24"/>
          <w:lang w:eastAsia="es-MX"/>
        </w:rPr>
      </w:pPr>
      <w:r w:rsidRPr="00917FEA">
        <w:rPr>
          <w:rFonts w:ascii="Arial" w:eastAsia="Arial" w:hAnsi="Arial" w:cs="Arial"/>
          <w:b/>
          <w:i/>
          <w:sz w:val="24"/>
          <w:szCs w:val="24"/>
          <w:lang w:eastAsia="es-MX"/>
        </w:rPr>
        <w:t>“ARTÍCULO 133.-</w:t>
      </w:r>
      <w:r w:rsidRPr="00917FEA">
        <w:rPr>
          <w:rFonts w:ascii="Arial" w:eastAsia="Arial" w:hAnsi="Arial" w:cs="Arial"/>
          <w:i/>
          <w:sz w:val="24"/>
          <w:szCs w:val="24"/>
          <w:lang w:eastAsia="es-MX"/>
        </w:rPr>
        <w:t xml:space="preserve"> Las Salas Unitarias del Tribunal son competentes para conocer y resolver los juicios que se promuevan en contra de:</w:t>
      </w:r>
    </w:p>
    <w:p w14:paraId="50C36D74" w14:textId="77777777" w:rsidR="00917FEA" w:rsidRPr="00917FEA" w:rsidRDefault="00917FEA" w:rsidP="00917FEA">
      <w:pPr>
        <w:spacing w:line="240" w:lineRule="auto"/>
        <w:ind w:left="567" w:right="333" w:firstLine="567"/>
        <w:jc w:val="both"/>
        <w:rPr>
          <w:rFonts w:ascii="Arial" w:eastAsia="Arial" w:hAnsi="Arial" w:cs="Arial"/>
          <w:i/>
          <w:sz w:val="24"/>
          <w:szCs w:val="24"/>
          <w:lang w:eastAsia="es-MX"/>
        </w:rPr>
      </w:pPr>
      <w:r w:rsidRPr="00917FEA">
        <w:rPr>
          <w:rFonts w:ascii="Arial" w:eastAsia="Arial" w:hAnsi="Arial" w:cs="Arial"/>
          <w:i/>
          <w:sz w:val="24"/>
          <w:szCs w:val="24"/>
          <w:lang w:eastAsia="es-MX"/>
        </w:rPr>
        <w:t>(…)</w:t>
      </w:r>
    </w:p>
    <w:p w14:paraId="744AE0AA" w14:textId="77777777" w:rsidR="00917FEA" w:rsidRDefault="00917FEA" w:rsidP="00917FEA">
      <w:pPr>
        <w:spacing w:line="240" w:lineRule="auto"/>
        <w:ind w:left="567" w:right="333" w:firstLine="567"/>
        <w:jc w:val="both"/>
        <w:rPr>
          <w:rFonts w:ascii="Arial" w:eastAsia="Arial" w:hAnsi="Arial" w:cs="Arial"/>
          <w:i/>
          <w:sz w:val="24"/>
          <w:szCs w:val="24"/>
          <w:lang w:eastAsia="es-MX"/>
        </w:rPr>
      </w:pPr>
      <w:r w:rsidRPr="00917FEA">
        <w:rPr>
          <w:rFonts w:ascii="Arial" w:eastAsia="Arial" w:hAnsi="Arial" w:cs="Arial"/>
          <w:i/>
          <w:sz w:val="24"/>
          <w:szCs w:val="24"/>
          <w:lang w:eastAsia="es-MX"/>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7799DEAD" w14:textId="77777777" w:rsidR="00917FEA" w:rsidRPr="00917FEA" w:rsidRDefault="00917FEA" w:rsidP="00917FEA">
      <w:pPr>
        <w:pStyle w:val="Sinespaciado"/>
        <w:rPr>
          <w:lang w:eastAsia="es-MX"/>
        </w:rPr>
      </w:pPr>
    </w:p>
    <w:p w14:paraId="65009C0A"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 xml:space="preserve">El artículo transcrito, señala una de las hipótesis de procedencia del juicio de nulidad, siendo que las Salas Unitarias del Tribunal de Justicia Administrativa, conocerán de las resoluciones emitidas por las autoridades fiscales estatales o municipales. Sin embargo, dicha resolución debe de reunir las siguientes características: </w:t>
      </w:r>
      <w:r w:rsidRPr="00917FEA">
        <w:rPr>
          <w:rFonts w:ascii="Arial" w:eastAsia="Arial" w:hAnsi="Arial" w:cs="Arial"/>
          <w:b/>
          <w:sz w:val="24"/>
          <w:szCs w:val="24"/>
          <w:lang w:eastAsia="es-MX"/>
        </w:rPr>
        <w:t xml:space="preserve">a) </w:t>
      </w:r>
      <w:r w:rsidR="007636DA">
        <w:rPr>
          <w:rFonts w:ascii="Arial" w:eastAsia="Arial" w:hAnsi="Arial" w:cs="Arial"/>
          <w:sz w:val="24"/>
          <w:szCs w:val="24"/>
          <w:lang w:eastAsia="es-MX"/>
        </w:rPr>
        <w:t>D</w:t>
      </w:r>
      <w:r w:rsidRPr="00917FEA">
        <w:rPr>
          <w:rFonts w:ascii="Arial" w:eastAsia="Arial" w:hAnsi="Arial" w:cs="Arial"/>
          <w:sz w:val="24"/>
          <w:szCs w:val="24"/>
          <w:lang w:eastAsia="es-MX"/>
        </w:rPr>
        <w:t xml:space="preserve">eterminar la existencia de una obligación fiscal; </w:t>
      </w:r>
      <w:r w:rsidRPr="00917FEA">
        <w:rPr>
          <w:rFonts w:ascii="Arial" w:eastAsia="Arial" w:hAnsi="Arial" w:cs="Arial"/>
          <w:b/>
          <w:sz w:val="24"/>
          <w:szCs w:val="24"/>
          <w:lang w:eastAsia="es-MX"/>
        </w:rPr>
        <w:t xml:space="preserve">b) </w:t>
      </w:r>
      <w:r w:rsidR="007636DA">
        <w:rPr>
          <w:rFonts w:ascii="Arial" w:eastAsia="Arial" w:hAnsi="Arial" w:cs="Arial"/>
          <w:sz w:val="24"/>
          <w:szCs w:val="24"/>
          <w:lang w:eastAsia="es-MX"/>
        </w:rPr>
        <w:t>L</w:t>
      </w:r>
      <w:r w:rsidRPr="00917FEA">
        <w:rPr>
          <w:rFonts w:ascii="Arial" w:eastAsia="Arial" w:hAnsi="Arial" w:cs="Arial"/>
          <w:sz w:val="24"/>
          <w:szCs w:val="24"/>
          <w:lang w:eastAsia="es-MX"/>
        </w:rPr>
        <w:t xml:space="preserve">a obligación esté determinada en una cantidad líquida, o en su caso, se den bases para su liquidación; </w:t>
      </w:r>
      <w:r w:rsidRPr="00917FEA">
        <w:rPr>
          <w:rFonts w:ascii="Arial" w:eastAsia="Arial" w:hAnsi="Arial" w:cs="Arial"/>
          <w:b/>
          <w:sz w:val="24"/>
          <w:szCs w:val="24"/>
          <w:lang w:eastAsia="es-MX"/>
        </w:rPr>
        <w:t xml:space="preserve">c) </w:t>
      </w:r>
      <w:r w:rsidR="007636DA">
        <w:rPr>
          <w:rFonts w:ascii="Arial" w:eastAsia="Arial" w:hAnsi="Arial" w:cs="Arial"/>
          <w:sz w:val="24"/>
          <w:szCs w:val="24"/>
          <w:lang w:eastAsia="es-MX"/>
        </w:rPr>
        <w:t>S</w:t>
      </w:r>
      <w:r w:rsidRPr="00917FEA">
        <w:rPr>
          <w:rFonts w:ascii="Arial" w:eastAsia="Arial" w:hAnsi="Arial" w:cs="Arial"/>
          <w:sz w:val="24"/>
          <w:szCs w:val="24"/>
          <w:lang w:eastAsia="es-MX"/>
        </w:rPr>
        <w:t xml:space="preserve">e niegue la devolución de las cantidades que procedan conforme a la ley; y </w:t>
      </w:r>
      <w:r w:rsidRPr="00917FEA">
        <w:rPr>
          <w:rFonts w:ascii="Arial" w:eastAsia="Arial" w:hAnsi="Arial" w:cs="Arial"/>
          <w:b/>
          <w:sz w:val="24"/>
          <w:szCs w:val="24"/>
          <w:lang w:eastAsia="es-MX"/>
        </w:rPr>
        <w:t xml:space="preserve">d) </w:t>
      </w:r>
      <w:r w:rsidR="007636DA">
        <w:rPr>
          <w:rFonts w:ascii="Arial" w:eastAsia="Arial" w:hAnsi="Arial" w:cs="Arial"/>
          <w:sz w:val="24"/>
          <w:szCs w:val="24"/>
          <w:lang w:eastAsia="es-MX"/>
        </w:rPr>
        <w:t>C</w:t>
      </w:r>
      <w:r w:rsidRPr="00917FEA">
        <w:rPr>
          <w:rFonts w:ascii="Arial" w:eastAsia="Arial" w:hAnsi="Arial" w:cs="Arial"/>
          <w:sz w:val="24"/>
          <w:szCs w:val="24"/>
          <w:lang w:eastAsia="es-MX"/>
        </w:rPr>
        <w:t>ualquiera otra que cause agravios en materia fiscal.</w:t>
      </w:r>
    </w:p>
    <w:p w14:paraId="636F1BF3"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 xml:space="preserve">Lo anterior, pues para que un acto pueda ser susceptible de ser impugnado ante este Tribunal, este debe tener la característica de ser un acto definitivo, es decir, que el acto refleje la voluntad última o definitiva por parte de la autoridad demandada, en virtud de que, sólo este tipo de actos son los que causan agravios a la esfera jurídica de los gobernados. </w:t>
      </w:r>
    </w:p>
    <w:p w14:paraId="38901DD5"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Ese producto final o última voluntad, a que se hace referencia</w:t>
      </w:r>
      <w:r w:rsidR="007C10D4">
        <w:rPr>
          <w:rFonts w:ascii="Arial" w:eastAsia="Arial" w:hAnsi="Arial" w:cs="Arial"/>
          <w:sz w:val="24"/>
          <w:szCs w:val="24"/>
          <w:lang w:eastAsia="es-MX"/>
        </w:rPr>
        <w:t>, se expresa de dos formas: a) C</w:t>
      </w:r>
      <w:r w:rsidRPr="00917FEA">
        <w:rPr>
          <w:rFonts w:ascii="Arial" w:eastAsia="Arial" w:hAnsi="Arial" w:cs="Arial"/>
          <w:sz w:val="24"/>
          <w:szCs w:val="24"/>
          <w:lang w:eastAsia="es-MX"/>
        </w:rPr>
        <w:t>omo última resolución dictada para pone</w:t>
      </w:r>
      <w:r w:rsidR="007C10D4">
        <w:rPr>
          <w:rFonts w:ascii="Arial" w:eastAsia="Arial" w:hAnsi="Arial" w:cs="Arial"/>
          <w:sz w:val="24"/>
          <w:szCs w:val="24"/>
          <w:lang w:eastAsia="es-MX"/>
        </w:rPr>
        <w:t>r fin a un procedimiento; o b) C</w:t>
      </w:r>
      <w:r w:rsidRPr="00917FEA">
        <w:rPr>
          <w:rFonts w:ascii="Arial" w:eastAsia="Arial" w:hAnsi="Arial" w:cs="Arial"/>
          <w:sz w:val="24"/>
          <w:szCs w:val="24"/>
          <w:lang w:eastAsia="es-MX"/>
        </w:rPr>
        <w:t>omo manifestación aislada que por su naturaleza y características no requiere de procedimientos que le antecedan para poder reflejar la última voluntad o voluntad definitiva de la administración pública.</w:t>
      </w:r>
    </w:p>
    <w:p w14:paraId="0BD54515"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Así, tratándose, de resoluciones definitivas que culminan un procedimiento administrativo, las fases de dicho procedimiento o actos de naturaleza interprocedimental no podrán considerarse “resoluciones definitivas” en el entendido que éste sólo puede serlo el fallo con el que culmine dicho procedimiento excluyéndose a las actuaciones instrumentales que conforman el procedimiento administrativo, entendido como el conjunto de actos realizados conforme a determinadas normas, que tienen unidad entre sí y buscan una finalidad que para este caso es precisamente la producción de la resolución administrativa definitiva cuyo objeto consiste a su vez en crear efectos jurídicos.</w:t>
      </w:r>
    </w:p>
    <w:p w14:paraId="0FC7DBCC"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De manera que no se generará agravio alguno para el gobernado, hasta en tanto la administración pública no establezca expresamente por medio de la autoridad a quien competa decidirla en el orden jurídico a que tenga lugar, y solamente cuando la resolución de que se trata adquiere esa firmeza.</w:t>
      </w:r>
    </w:p>
    <w:p w14:paraId="0147D830"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La generación de esta situación, en combinación con la causación de un agravio objetivo son las características de la resolución definitiva para efectos del juicio contencioso administrativo, lo que dará lugar al nacimiento del interés requerido para acudir a la vía en comento.</w:t>
      </w:r>
    </w:p>
    <w:p w14:paraId="3C3D49F5"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sz w:val="24"/>
          <w:szCs w:val="24"/>
          <w:lang w:eastAsia="es-MX"/>
        </w:rPr>
        <w:t>En el caso concre</w:t>
      </w:r>
      <w:r w:rsidR="00390EF0">
        <w:rPr>
          <w:rFonts w:ascii="Arial" w:eastAsia="Arial" w:hAnsi="Arial" w:cs="Arial"/>
          <w:sz w:val="24"/>
          <w:szCs w:val="24"/>
          <w:lang w:eastAsia="es-MX"/>
        </w:rPr>
        <w:t>to, el acto que impugna el gobernado</w:t>
      </w:r>
      <w:r w:rsidRPr="00917FEA">
        <w:rPr>
          <w:rFonts w:ascii="Arial" w:eastAsia="Arial" w:hAnsi="Arial" w:cs="Arial"/>
          <w:sz w:val="24"/>
          <w:szCs w:val="24"/>
          <w:lang w:eastAsia="es-MX"/>
        </w:rPr>
        <w:t xml:space="preserve"> no reúne los requisitos exigidos por el artículo 133 fracción II, de la Ley de la Materia, por lo que no le causa un agravio para que pueda acudir al presente juicio de nulidad.</w:t>
      </w:r>
    </w:p>
    <w:p w14:paraId="164B0F67" w14:textId="5BBF7F39" w:rsidR="00390EF0" w:rsidRDefault="00917FEA" w:rsidP="00390EF0">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bookmarkStart w:id="0" w:name="_heading=h.gjdgxs" w:colFirst="0" w:colLast="0"/>
      <w:bookmarkEnd w:id="0"/>
      <w:r w:rsidRPr="00917FEA">
        <w:rPr>
          <w:rFonts w:ascii="Arial" w:eastAsia="Arial" w:hAnsi="Arial" w:cs="Arial"/>
          <w:sz w:val="24"/>
          <w:szCs w:val="24"/>
          <w:lang w:eastAsia="es-MX"/>
        </w:rPr>
        <w:lastRenderedPageBreak/>
        <w:t xml:space="preserve">Esto es así, </w:t>
      </w:r>
      <w:r w:rsidR="007636DA">
        <w:rPr>
          <w:rFonts w:ascii="Arial" w:eastAsia="Calibri" w:hAnsi="Arial" w:cs="Arial"/>
          <w:sz w:val="24"/>
          <w:szCs w:val="24"/>
          <w:lang w:val="es-ES_tradnl" w:eastAsia="es-MX"/>
        </w:rPr>
        <w:t>ya que el actor</w:t>
      </w:r>
      <w:r w:rsidRPr="00917FEA">
        <w:rPr>
          <w:rFonts w:ascii="Arial" w:eastAsia="Calibri" w:hAnsi="Arial" w:cs="Arial"/>
          <w:sz w:val="24"/>
          <w:szCs w:val="24"/>
          <w:lang w:val="es-ES_tradnl" w:eastAsia="es-MX"/>
        </w:rPr>
        <w:t xml:space="preserve"> impugna la nulidad</w:t>
      </w:r>
      <w:r w:rsidR="007636DA">
        <w:rPr>
          <w:rFonts w:ascii="Arial" w:eastAsia="Calibri" w:hAnsi="Arial" w:cs="Arial"/>
          <w:sz w:val="24"/>
          <w:szCs w:val="24"/>
          <w:lang w:val="es-ES_tradnl" w:eastAsia="es-MX"/>
        </w:rPr>
        <w:t xml:space="preserve"> de</w:t>
      </w:r>
      <w:r w:rsidR="007C10D4">
        <w:rPr>
          <w:rFonts w:ascii="Arial" w:eastAsia="Calibri" w:hAnsi="Arial" w:cs="Arial"/>
          <w:sz w:val="24"/>
          <w:szCs w:val="24"/>
          <w:lang w:val="es-ES_tradnl" w:eastAsia="es-MX"/>
        </w:rPr>
        <w:t xml:space="preserve"> formato</w:t>
      </w:r>
      <w:r w:rsidR="007636DA">
        <w:rPr>
          <w:rFonts w:ascii="Arial" w:eastAsia="Arial" w:hAnsi="Arial" w:cs="Arial"/>
          <w:sz w:val="24"/>
          <w:szCs w:val="24"/>
          <w:lang w:eastAsia="es-MX"/>
        </w:rPr>
        <w:t xml:space="preserve"> único de liquidación con número </w:t>
      </w:r>
      <w:r w:rsidR="00CE55F4">
        <w:rPr>
          <w:rFonts w:ascii="Arial" w:eastAsia="Arial" w:hAnsi="Arial" w:cs="Arial"/>
          <w:sz w:val="24"/>
          <w:szCs w:val="24"/>
          <w:lang w:eastAsia="es-MX"/>
        </w:rPr>
        <w:t>**********</w:t>
      </w:r>
      <w:r w:rsidR="007636DA">
        <w:rPr>
          <w:rFonts w:ascii="Arial" w:eastAsia="Arial" w:hAnsi="Arial" w:cs="Arial"/>
          <w:sz w:val="24"/>
          <w:szCs w:val="24"/>
          <w:lang w:eastAsia="es-MX"/>
        </w:rPr>
        <w:t xml:space="preserve"> de cinco de junio de dos mil diecinueve</w:t>
      </w:r>
      <w:r w:rsidRPr="00917FEA">
        <w:rPr>
          <w:rFonts w:ascii="Arial" w:eastAsia="Calibri" w:hAnsi="Arial" w:cs="Arial"/>
          <w:sz w:val="24"/>
          <w:szCs w:val="24"/>
          <w:lang w:val="es-ES_tradnl" w:eastAsia="es-MX"/>
        </w:rPr>
        <w:t xml:space="preserve">, expedido a nombre de </w:t>
      </w:r>
      <w:r w:rsidR="00CE55F4">
        <w:rPr>
          <w:rFonts w:ascii="Arial" w:eastAsia="Calibri" w:hAnsi="Arial" w:cs="Arial"/>
          <w:sz w:val="24"/>
          <w:szCs w:val="24"/>
          <w:lang w:val="es-ES_tradnl" w:eastAsia="es-MX"/>
        </w:rPr>
        <w:t>**********</w:t>
      </w:r>
      <w:r w:rsidRPr="00917FEA">
        <w:rPr>
          <w:rFonts w:ascii="Arial" w:eastAsia="Calibri" w:hAnsi="Arial" w:cs="Arial"/>
          <w:sz w:val="24"/>
          <w:szCs w:val="24"/>
          <w:lang w:val="es-ES_tradnl" w:eastAsia="es-MX"/>
        </w:rPr>
        <w:t>, por la Tesorería Municipal a través de la Unidad de Recaudación de rentas del Municipio de Oaxaca de Juárez, Oaxaca, por la cantidad de $</w:t>
      </w:r>
      <w:r w:rsidR="00390EF0">
        <w:rPr>
          <w:rFonts w:ascii="Arial" w:eastAsia="Calibri" w:hAnsi="Arial" w:cs="Arial"/>
          <w:sz w:val="24"/>
          <w:szCs w:val="24"/>
          <w:lang w:val="es-ES_tradnl" w:eastAsia="es-MX"/>
        </w:rPr>
        <w:t>6,318.00 (s</w:t>
      </w:r>
      <w:r w:rsidR="008413CD">
        <w:rPr>
          <w:rFonts w:ascii="Arial" w:eastAsia="Calibri" w:hAnsi="Arial" w:cs="Arial"/>
          <w:sz w:val="24"/>
          <w:szCs w:val="24"/>
          <w:lang w:val="es-ES_tradnl" w:eastAsia="es-MX"/>
        </w:rPr>
        <w:t>eis mil trecientos dieciocho pesos</w:t>
      </w:r>
      <w:r w:rsidRPr="00917FEA">
        <w:rPr>
          <w:rFonts w:ascii="Arial" w:eastAsia="Calibri" w:hAnsi="Arial" w:cs="Arial"/>
          <w:sz w:val="24"/>
          <w:szCs w:val="24"/>
          <w:lang w:val="es-ES_tradnl" w:eastAsia="es-MX"/>
        </w:rPr>
        <w:t xml:space="preserve"> 00/100 M.N.)</w:t>
      </w:r>
    </w:p>
    <w:p w14:paraId="589AA7BA" w14:textId="77777777" w:rsidR="00917FEA" w:rsidRPr="00917FEA" w:rsidRDefault="00917FEA" w:rsidP="00896A64">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r w:rsidRPr="00917FEA">
        <w:rPr>
          <w:rFonts w:ascii="Arial" w:eastAsia="Calibri" w:hAnsi="Arial" w:cs="Arial"/>
          <w:sz w:val="24"/>
          <w:szCs w:val="24"/>
          <w:lang w:val="es-ES_tradnl" w:eastAsia="es-MX"/>
        </w:rPr>
        <w:t xml:space="preserve">Así, el acto impugnado no constituye el producto final o última manifestación de la voluntad de la autoridad municipal, por lo que no se trata de una resolución definitiva que haga procedente el juicio en esta materia; pues si bien es cierto, dicho documento ampara el </w:t>
      </w:r>
      <w:r w:rsidR="009A7FD0">
        <w:rPr>
          <w:rFonts w:ascii="Arial" w:eastAsia="Calibri" w:hAnsi="Arial" w:cs="Arial"/>
          <w:sz w:val="24"/>
          <w:szCs w:val="24"/>
          <w:lang w:val="es-ES_tradnl" w:eastAsia="es-MX"/>
        </w:rPr>
        <w:t>importe a pa</w:t>
      </w:r>
      <w:r w:rsidR="00896A64">
        <w:rPr>
          <w:rFonts w:ascii="Arial" w:eastAsia="Calibri" w:hAnsi="Arial" w:cs="Arial"/>
          <w:sz w:val="24"/>
          <w:szCs w:val="24"/>
          <w:lang w:val="es-ES_tradnl" w:eastAsia="es-MX"/>
        </w:rPr>
        <w:t xml:space="preserve">gar por concepto de </w:t>
      </w:r>
      <w:r w:rsidR="009A7FD0" w:rsidRPr="009A7FD0">
        <w:rPr>
          <w:rFonts w:ascii="Arial" w:eastAsia="Calibri" w:hAnsi="Arial" w:cs="Arial"/>
          <w:b/>
          <w:sz w:val="24"/>
          <w:szCs w:val="24"/>
          <w:lang w:val="es-ES_tradnl" w:eastAsia="es-MX"/>
        </w:rPr>
        <w:t>a).</w:t>
      </w:r>
      <w:r w:rsidR="009A7FD0" w:rsidRPr="009A7FD0">
        <w:rPr>
          <w:rFonts w:ascii="Arial" w:eastAsia="Calibri" w:hAnsi="Arial" w:cs="Arial"/>
          <w:sz w:val="24"/>
          <w:szCs w:val="24"/>
          <w:lang w:val="es-ES_tradnl" w:eastAsia="es-MX"/>
        </w:rPr>
        <w:t xml:space="preserve"> Derecho de limpia inmuebles de uso comercial, </w:t>
      </w:r>
      <w:r w:rsidR="009A7FD0" w:rsidRPr="009A7FD0">
        <w:rPr>
          <w:rFonts w:ascii="Arial" w:eastAsia="Calibri" w:hAnsi="Arial" w:cs="Arial"/>
          <w:b/>
          <w:sz w:val="24"/>
          <w:szCs w:val="24"/>
          <w:lang w:val="es-ES_tradnl" w:eastAsia="es-MX"/>
        </w:rPr>
        <w:t>b).</w:t>
      </w:r>
      <w:r w:rsidR="009A7FD0" w:rsidRPr="009A7FD0">
        <w:rPr>
          <w:rFonts w:ascii="Arial" w:eastAsia="Calibri" w:hAnsi="Arial" w:cs="Arial"/>
          <w:sz w:val="24"/>
          <w:szCs w:val="24"/>
          <w:lang w:val="es-ES_tradnl" w:eastAsia="es-MX"/>
        </w:rPr>
        <w:t xml:space="preserve"> Recargos derecho de limpia no habitacional, </w:t>
      </w:r>
      <w:r w:rsidR="009A7FD0" w:rsidRPr="009A7FD0">
        <w:rPr>
          <w:rFonts w:ascii="Arial" w:eastAsia="Calibri" w:hAnsi="Arial" w:cs="Arial"/>
          <w:b/>
          <w:sz w:val="24"/>
          <w:szCs w:val="24"/>
          <w:lang w:val="es-ES_tradnl" w:eastAsia="es-MX"/>
        </w:rPr>
        <w:t>c).</w:t>
      </w:r>
      <w:r w:rsidR="009A7FD0" w:rsidRPr="009A7FD0">
        <w:rPr>
          <w:rFonts w:ascii="Arial" w:eastAsia="Calibri" w:hAnsi="Arial" w:cs="Arial"/>
          <w:sz w:val="24"/>
          <w:szCs w:val="24"/>
          <w:lang w:val="es-ES_tradnl" w:eastAsia="es-MX"/>
        </w:rPr>
        <w:t xml:space="preserve"> Predial de ejercicios anteriores, </w:t>
      </w:r>
      <w:r w:rsidR="009A7FD0" w:rsidRPr="009A7FD0">
        <w:rPr>
          <w:rFonts w:ascii="Arial" w:eastAsia="Calibri" w:hAnsi="Arial" w:cs="Arial"/>
          <w:b/>
          <w:sz w:val="24"/>
          <w:szCs w:val="24"/>
          <w:lang w:val="es-ES_tradnl" w:eastAsia="es-MX"/>
        </w:rPr>
        <w:t>d).</w:t>
      </w:r>
      <w:r w:rsidR="009A7FD0" w:rsidRPr="009A7FD0">
        <w:rPr>
          <w:rFonts w:ascii="Arial" w:eastAsia="Calibri" w:hAnsi="Arial" w:cs="Arial"/>
          <w:sz w:val="24"/>
          <w:szCs w:val="24"/>
          <w:lang w:val="es-ES_tradnl" w:eastAsia="es-MX"/>
        </w:rPr>
        <w:t xml:space="preserve"> Recargos predial, </w:t>
      </w:r>
      <w:r w:rsidR="009A7FD0" w:rsidRPr="009A7FD0">
        <w:rPr>
          <w:rFonts w:ascii="Arial" w:eastAsia="Calibri" w:hAnsi="Arial" w:cs="Arial"/>
          <w:b/>
          <w:sz w:val="24"/>
          <w:szCs w:val="24"/>
          <w:lang w:val="es-ES_tradnl" w:eastAsia="es-MX"/>
        </w:rPr>
        <w:t>e).</w:t>
      </w:r>
      <w:r w:rsidR="009A7FD0" w:rsidRPr="009A7FD0">
        <w:rPr>
          <w:rFonts w:ascii="Arial" w:eastAsia="Calibri" w:hAnsi="Arial" w:cs="Arial"/>
          <w:sz w:val="24"/>
          <w:szCs w:val="24"/>
          <w:lang w:val="es-ES_tradnl" w:eastAsia="es-MX"/>
        </w:rPr>
        <w:t xml:space="preserve"> Gastos de ejecución. </w:t>
      </w:r>
      <w:r w:rsidR="009A7FD0" w:rsidRPr="009A7FD0">
        <w:rPr>
          <w:rFonts w:ascii="Arial" w:eastAsia="Calibri" w:hAnsi="Arial" w:cs="Arial"/>
          <w:b/>
          <w:sz w:val="24"/>
          <w:szCs w:val="24"/>
          <w:lang w:val="es-ES_tradnl" w:eastAsia="es-MX"/>
        </w:rPr>
        <w:t>f).</w:t>
      </w:r>
      <w:r w:rsidR="009A7FD0" w:rsidRPr="009A7FD0">
        <w:rPr>
          <w:rFonts w:ascii="Arial" w:eastAsia="Calibri" w:hAnsi="Arial" w:cs="Arial"/>
          <w:sz w:val="24"/>
          <w:szCs w:val="24"/>
          <w:lang w:val="es-ES_tradnl" w:eastAsia="es-MX"/>
        </w:rPr>
        <w:t xml:space="preserve"> notificación limpia habitacional. </w:t>
      </w:r>
      <w:r w:rsidR="009A7FD0" w:rsidRPr="009A7FD0">
        <w:rPr>
          <w:rFonts w:ascii="Arial" w:eastAsia="Calibri" w:hAnsi="Arial" w:cs="Arial"/>
          <w:b/>
          <w:sz w:val="24"/>
          <w:szCs w:val="24"/>
          <w:lang w:val="es-ES_tradnl" w:eastAsia="es-MX"/>
        </w:rPr>
        <w:t>g).</w:t>
      </w:r>
      <w:r w:rsidR="009A7FD0" w:rsidRPr="009A7FD0">
        <w:rPr>
          <w:rFonts w:ascii="Arial" w:eastAsia="Calibri" w:hAnsi="Arial" w:cs="Arial"/>
          <w:sz w:val="24"/>
          <w:szCs w:val="24"/>
          <w:lang w:val="es-ES_tradnl" w:eastAsia="es-MX"/>
        </w:rPr>
        <w:t xml:space="preserve"> Derecho de limpia inmuebles de uso comercial y de servicios (servicio B), </w:t>
      </w:r>
      <w:r w:rsidR="009A7FD0" w:rsidRPr="009A7FD0">
        <w:rPr>
          <w:rFonts w:ascii="Arial" w:eastAsia="Calibri" w:hAnsi="Arial" w:cs="Arial"/>
          <w:b/>
          <w:sz w:val="24"/>
          <w:szCs w:val="24"/>
          <w:lang w:val="es-ES_tradnl" w:eastAsia="es-MX"/>
        </w:rPr>
        <w:t>h).</w:t>
      </w:r>
      <w:r w:rsidR="009A7FD0" w:rsidRPr="009A7FD0">
        <w:rPr>
          <w:rFonts w:ascii="Arial" w:eastAsia="Calibri" w:hAnsi="Arial" w:cs="Arial"/>
          <w:sz w:val="24"/>
          <w:szCs w:val="24"/>
          <w:lang w:val="es-ES_tradnl" w:eastAsia="es-MX"/>
        </w:rPr>
        <w:t xml:space="preserve"> Recargos derecho de limpia no habitacional, </w:t>
      </w:r>
      <w:r w:rsidR="009A7FD0" w:rsidRPr="009A7FD0">
        <w:rPr>
          <w:rFonts w:ascii="Arial" w:eastAsia="Calibri" w:hAnsi="Arial" w:cs="Arial"/>
          <w:b/>
          <w:sz w:val="24"/>
          <w:szCs w:val="24"/>
          <w:lang w:val="es-ES_tradnl" w:eastAsia="es-MX"/>
        </w:rPr>
        <w:t>i).</w:t>
      </w:r>
      <w:r w:rsidR="009A7FD0" w:rsidRPr="009A7FD0">
        <w:rPr>
          <w:rFonts w:ascii="Arial" w:eastAsia="Calibri" w:hAnsi="Arial" w:cs="Arial"/>
          <w:sz w:val="24"/>
          <w:szCs w:val="24"/>
          <w:lang w:val="es-ES_tradnl" w:eastAsia="es-MX"/>
        </w:rPr>
        <w:t xml:space="preserve"> Predial de ejercicios anteriores,</w:t>
      </w:r>
      <w:r w:rsidR="009A7FD0" w:rsidRPr="009A7FD0">
        <w:rPr>
          <w:rFonts w:ascii="Arial" w:eastAsia="Calibri" w:hAnsi="Arial" w:cs="Arial"/>
          <w:b/>
          <w:sz w:val="24"/>
          <w:szCs w:val="24"/>
          <w:lang w:val="es-ES_tradnl" w:eastAsia="es-MX"/>
        </w:rPr>
        <w:t xml:space="preserve"> j).</w:t>
      </w:r>
      <w:r w:rsidR="009A7FD0" w:rsidRPr="009A7FD0">
        <w:rPr>
          <w:rFonts w:ascii="Arial" w:eastAsia="Calibri" w:hAnsi="Arial" w:cs="Arial"/>
          <w:sz w:val="24"/>
          <w:szCs w:val="24"/>
          <w:lang w:val="es-ES_tradnl" w:eastAsia="es-MX"/>
        </w:rPr>
        <w:t xml:space="preserve"> Recargos predial., </w:t>
      </w:r>
      <w:r w:rsidR="009A7FD0" w:rsidRPr="009A7FD0">
        <w:rPr>
          <w:rFonts w:ascii="Arial" w:eastAsia="Calibri" w:hAnsi="Arial" w:cs="Arial"/>
          <w:b/>
          <w:sz w:val="24"/>
          <w:szCs w:val="24"/>
          <w:lang w:val="es-ES_tradnl" w:eastAsia="es-MX"/>
        </w:rPr>
        <w:t xml:space="preserve">k) </w:t>
      </w:r>
      <w:r w:rsidR="009A7FD0" w:rsidRPr="009A7FD0">
        <w:rPr>
          <w:rFonts w:ascii="Arial" w:eastAsia="Calibri" w:hAnsi="Arial" w:cs="Arial"/>
          <w:sz w:val="24"/>
          <w:szCs w:val="24"/>
          <w:lang w:val="es-ES_tradnl" w:eastAsia="es-MX"/>
        </w:rPr>
        <w:t xml:space="preserve">Derecho de limpia inmuebles de uso comercial y de servicios (servicio B), </w:t>
      </w:r>
      <w:r w:rsidR="009A7FD0" w:rsidRPr="009A7FD0">
        <w:rPr>
          <w:rFonts w:ascii="Arial" w:eastAsia="Calibri" w:hAnsi="Arial" w:cs="Arial"/>
          <w:b/>
          <w:sz w:val="24"/>
          <w:szCs w:val="24"/>
          <w:lang w:val="es-ES_tradnl" w:eastAsia="es-MX"/>
        </w:rPr>
        <w:t xml:space="preserve">l). </w:t>
      </w:r>
      <w:r w:rsidR="009A7FD0" w:rsidRPr="009A7FD0">
        <w:rPr>
          <w:rFonts w:ascii="Arial" w:eastAsia="Calibri" w:hAnsi="Arial" w:cs="Arial"/>
          <w:sz w:val="24"/>
          <w:szCs w:val="24"/>
          <w:lang w:val="es-ES_tradnl" w:eastAsia="es-MX"/>
        </w:rPr>
        <w:t xml:space="preserve">Recargos derecho de limpia no habitacional, ll). Recargos derecho de limpia no habitacional, </w:t>
      </w:r>
      <w:r w:rsidR="009A7FD0" w:rsidRPr="009A7FD0">
        <w:rPr>
          <w:rFonts w:ascii="Arial" w:eastAsia="Calibri" w:hAnsi="Arial" w:cs="Arial"/>
          <w:b/>
          <w:sz w:val="24"/>
          <w:szCs w:val="24"/>
          <w:lang w:val="es-ES_tradnl" w:eastAsia="es-MX"/>
        </w:rPr>
        <w:t xml:space="preserve">m). </w:t>
      </w:r>
      <w:r w:rsidR="009A7FD0" w:rsidRPr="009A7FD0">
        <w:rPr>
          <w:rFonts w:ascii="Arial" w:eastAsia="Calibri" w:hAnsi="Arial" w:cs="Arial"/>
          <w:sz w:val="24"/>
          <w:szCs w:val="24"/>
          <w:lang w:val="es-ES_tradnl" w:eastAsia="es-MX"/>
        </w:rPr>
        <w:t>Predial de ejercicios anteriores,</w:t>
      </w:r>
      <w:r w:rsidR="009A7FD0" w:rsidRPr="009A7FD0">
        <w:rPr>
          <w:rFonts w:ascii="Arial" w:eastAsia="Calibri" w:hAnsi="Arial" w:cs="Arial"/>
          <w:b/>
          <w:sz w:val="24"/>
          <w:szCs w:val="24"/>
          <w:lang w:val="es-ES_tradnl" w:eastAsia="es-MX"/>
        </w:rPr>
        <w:t xml:space="preserve"> n).</w:t>
      </w:r>
      <w:r w:rsidR="009A7FD0">
        <w:rPr>
          <w:rFonts w:ascii="Arial" w:eastAsia="Calibri" w:hAnsi="Arial" w:cs="Arial"/>
          <w:sz w:val="24"/>
          <w:szCs w:val="24"/>
          <w:lang w:val="es-ES_tradnl" w:eastAsia="es-MX"/>
        </w:rPr>
        <w:t xml:space="preserve"> Recargos predial., </w:t>
      </w:r>
      <w:r w:rsidR="009A7FD0" w:rsidRPr="009A7FD0">
        <w:rPr>
          <w:rFonts w:ascii="Arial" w:eastAsia="Calibri" w:hAnsi="Arial" w:cs="Arial"/>
          <w:b/>
          <w:sz w:val="24"/>
          <w:szCs w:val="24"/>
          <w:lang w:val="es-ES_tradnl" w:eastAsia="es-MX"/>
        </w:rPr>
        <w:t>ñ)</w:t>
      </w:r>
      <w:r w:rsidR="009A7FD0" w:rsidRPr="009A7FD0">
        <w:rPr>
          <w:rFonts w:ascii="Arial" w:eastAsia="Calibri" w:hAnsi="Arial" w:cs="Arial"/>
          <w:sz w:val="24"/>
          <w:szCs w:val="24"/>
          <w:lang w:val="es-ES_tradnl" w:eastAsia="es-MX"/>
        </w:rPr>
        <w:t xml:space="preserve"> Derecho de limpia inmuebles de uso comercia</w:t>
      </w:r>
      <w:r w:rsidR="009A7FD0">
        <w:rPr>
          <w:rFonts w:ascii="Arial" w:eastAsia="Calibri" w:hAnsi="Arial" w:cs="Arial"/>
          <w:sz w:val="24"/>
          <w:szCs w:val="24"/>
          <w:lang w:val="es-ES_tradnl" w:eastAsia="es-MX"/>
        </w:rPr>
        <w:t xml:space="preserve">l y de servicios (servicio B), </w:t>
      </w:r>
      <w:r w:rsidR="009A7FD0" w:rsidRPr="009A7FD0">
        <w:rPr>
          <w:rFonts w:ascii="Arial" w:eastAsia="Calibri" w:hAnsi="Arial" w:cs="Arial"/>
          <w:b/>
          <w:sz w:val="24"/>
          <w:szCs w:val="24"/>
          <w:lang w:val="es-ES_tradnl" w:eastAsia="es-MX"/>
        </w:rPr>
        <w:t>o).</w:t>
      </w:r>
      <w:r w:rsidR="009A7FD0" w:rsidRPr="009A7FD0">
        <w:rPr>
          <w:rFonts w:ascii="Arial" w:eastAsia="Calibri" w:hAnsi="Arial" w:cs="Arial"/>
          <w:sz w:val="24"/>
          <w:szCs w:val="24"/>
          <w:lang w:val="es-ES_tradnl" w:eastAsia="es-MX"/>
        </w:rPr>
        <w:t xml:space="preserve"> Recargos derecho de limpia no habitacional, </w:t>
      </w:r>
      <w:r w:rsidR="009A7FD0" w:rsidRPr="009A7FD0">
        <w:rPr>
          <w:rFonts w:ascii="Arial" w:eastAsia="Calibri" w:hAnsi="Arial" w:cs="Arial"/>
          <w:b/>
          <w:sz w:val="24"/>
          <w:szCs w:val="24"/>
          <w:lang w:val="es-ES_tradnl" w:eastAsia="es-MX"/>
        </w:rPr>
        <w:t>p).</w:t>
      </w:r>
      <w:r w:rsidR="009A7FD0" w:rsidRPr="009A7FD0">
        <w:rPr>
          <w:rFonts w:ascii="Arial" w:eastAsia="Calibri" w:hAnsi="Arial" w:cs="Arial"/>
          <w:sz w:val="24"/>
          <w:szCs w:val="24"/>
          <w:lang w:val="es-ES_tradnl" w:eastAsia="es-MX"/>
        </w:rPr>
        <w:t xml:space="preserve"> Impuesto predial, zona medía (predios con bases gravables menores a 1'000, </w:t>
      </w:r>
      <w:r w:rsidR="009A7FD0" w:rsidRPr="009A7FD0">
        <w:rPr>
          <w:rFonts w:ascii="Arial" w:eastAsia="Calibri" w:hAnsi="Arial" w:cs="Arial"/>
          <w:b/>
          <w:sz w:val="24"/>
          <w:szCs w:val="24"/>
          <w:lang w:val="es-ES_tradnl" w:eastAsia="es-MX"/>
        </w:rPr>
        <w:t>q).</w:t>
      </w:r>
      <w:r w:rsidR="009A7FD0" w:rsidRPr="009A7FD0">
        <w:rPr>
          <w:rFonts w:ascii="Arial" w:eastAsia="Calibri" w:hAnsi="Arial" w:cs="Arial"/>
          <w:sz w:val="24"/>
          <w:szCs w:val="24"/>
          <w:lang w:val="es-ES_tradnl" w:eastAsia="es-MX"/>
        </w:rPr>
        <w:t xml:space="preserve"> </w:t>
      </w:r>
      <w:proofErr w:type="spellStart"/>
      <w:r w:rsidR="009A7FD0" w:rsidRPr="009A7FD0">
        <w:rPr>
          <w:rFonts w:ascii="Arial" w:eastAsia="Calibri" w:hAnsi="Arial" w:cs="Arial"/>
          <w:sz w:val="24"/>
          <w:szCs w:val="24"/>
          <w:lang w:val="es-ES_tradnl" w:eastAsia="es-MX"/>
        </w:rPr>
        <w:t>Subs</w:t>
      </w:r>
      <w:proofErr w:type="spellEnd"/>
      <w:r w:rsidR="009A7FD0" w:rsidRPr="009A7FD0">
        <w:rPr>
          <w:rFonts w:ascii="Arial" w:eastAsia="Calibri" w:hAnsi="Arial" w:cs="Arial"/>
          <w:sz w:val="24"/>
          <w:szCs w:val="24"/>
          <w:lang w:val="es-ES_tradnl" w:eastAsia="es-MX"/>
        </w:rPr>
        <w:t xml:space="preserve"> 50% predial </w:t>
      </w:r>
      <w:proofErr w:type="spellStart"/>
      <w:r w:rsidR="009A7FD0" w:rsidRPr="009A7FD0">
        <w:rPr>
          <w:rFonts w:ascii="Arial" w:eastAsia="Calibri" w:hAnsi="Arial" w:cs="Arial"/>
          <w:sz w:val="24"/>
          <w:szCs w:val="24"/>
          <w:lang w:val="es-ES_tradnl" w:eastAsia="es-MX"/>
        </w:rPr>
        <w:t>Jub</w:t>
      </w:r>
      <w:proofErr w:type="spellEnd"/>
      <w:r w:rsidR="009A7FD0" w:rsidRPr="009A7FD0">
        <w:rPr>
          <w:rFonts w:ascii="Arial" w:eastAsia="Calibri" w:hAnsi="Arial" w:cs="Arial"/>
          <w:sz w:val="24"/>
          <w:szCs w:val="24"/>
          <w:lang w:val="es-ES_tradnl" w:eastAsia="es-MX"/>
        </w:rPr>
        <w:t xml:space="preserve">, </w:t>
      </w:r>
      <w:proofErr w:type="spellStart"/>
      <w:r w:rsidR="009A7FD0" w:rsidRPr="009A7FD0">
        <w:rPr>
          <w:rFonts w:ascii="Arial" w:eastAsia="Calibri" w:hAnsi="Arial" w:cs="Arial"/>
          <w:sz w:val="24"/>
          <w:szCs w:val="24"/>
          <w:lang w:val="es-ES_tradnl" w:eastAsia="es-MX"/>
        </w:rPr>
        <w:t>Pens</w:t>
      </w:r>
      <w:proofErr w:type="spellEnd"/>
      <w:r w:rsidR="009A7FD0" w:rsidRPr="009A7FD0">
        <w:rPr>
          <w:rFonts w:ascii="Arial" w:eastAsia="Calibri" w:hAnsi="Arial" w:cs="Arial"/>
          <w:sz w:val="24"/>
          <w:szCs w:val="24"/>
          <w:lang w:val="es-ES_tradnl" w:eastAsia="es-MX"/>
        </w:rPr>
        <w:t xml:space="preserve">. Y Adul May, </w:t>
      </w:r>
      <w:r w:rsidR="009A7FD0" w:rsidRPr="009A7FD0">
        <w:rPr>
          <w:rFonts w:ascii="Arial" w:eastAsia="Calibri" w:hAnsi="Arial" w:cs="Arial"/>
          <w:b/>
          <w:sz w:val="24"/>
          <w:szCs w:val="24"/>
          <w:lang w:val="es-ES_tradnl" w:eastAsia="es-MX"/>
        </w:rPr>
        <w:t>r).</w:t>
      </w:r>
      <w:r w:rsidR="009A7FD0" w:rsidRPr="009A7FD0">
        <w:rPr>
          <w:rFonts w:ascii="Arial" w:eastAsia="Calibri" w:hAnsi="Arial" w:cs="Arial"/>
          <w:sz w:val="24"/>
          <w:szCs w:val="24"/>
          <w:lang w:val="es-ES_tradnl" w:eastAsia="es-MX"/>
        </w:rPr>
        <w:t xml:space="preserve"> Recargos predial y </w:t>
      </w:r>
      <w:r w:rsidR="009A7FD0" w:rsidRPr="00390EF0">
        <w:rPr>
          <w:rFonts w:ascii="Arial" w:eastAsia="Calibri" w:hAnsi="Arial" w:cs="Arial"/>
          <w:b/>
          <w:sz w:val="24"/>
          <w:szCs w:val="24"/>
          <w:lang w:val="es-ES_tradnl" w:eastAsia="es-MX"/>
        </w:rPr>
        <w:t>s).</w:t>
      </w:r>
      <w:r w:rsidR="009A7FD0">
        <w:rPr>
          <w:rFonts w:ascii="Arial" w:eastAsia="Calibri" w:hAnsi="Arial" w:cs="Arial"/>
          <w:sz w:val="24"/>
          <w:szCs w:val="24"/>
          <w:lang w:val="es-ES_tradnl" w:eastAsia="es-MX"/>
        </w:rPr>
        <w:t xml:space="preserve"> Redondeo</w:t>
      </w:r>
      <w:r w:rsidR="00390EF0">
        <w:rPr>
          <w:rFonts w:ascii="Arial" w:eastAsia="Calibri" w:hAnsi="Arial" w:cs="Arial"/>
          <w:sz w:val="24"/>
          <w:szCs w:val="24"/>
          <w:lang w:val="es-ES_tradnl" w:eastAsia="es-MX"/>
        </w:rPr>
        <w:t>;</w:t>
      </w:r>
      <w:r w:rsidRPr="00917FEA">
        <w:rPr>
          <w:rFonts w:ascii="Arial" w:eastAsia="Calibri" w:hAnsi="Arial" w:cs="Arial"/>
          <w:sz w:val="24"/>
          <w:szCs w:val="24"/>
          <w:lang w:val="es-ES_tradnl" w:eastAsia="es-MX"/>
        </w:rPr>
        <w:t xml:space="preserve"> también lo es que la Ley de Procedimiento y Justicia Administrativa para el Estado prevé que el juicio administrativo procede  contra resoluciones definitivas, carácter que no le es atribuible a los</w:t>
      </w:r>
      <w:r w:rsidR="007A7636">
        <w:rPr>
          <w:rFonts w:ascii="Arial" w:eastAsia="Calibri" w:hAnsi="Arial" w:cs="Arial"/>
          <w:sz w:val="24"/>
          <w:szCs w:val="24"/>
          <w:lang w:val="es-ES_tradnl" w:eastAsia="es-MX"/>
        </w:rPr>
        <w:t xml:space="preserve"> formatos de liquidación</w:t>
      </w:r>
      <w:r w:rsidRPr="00917FEA">
        <w:rPr>
          <w:rFonts w:ascii="Arial" w:eastAsia="Calibri" w:hAnsi="Arial" w:cs="Arial"/>
          <w:sz w:val="24"/>
          <w:szCs w:val="24"/>
          <w:lang w:val="es-ES_tradnl" w:eastAsia="es-MX"/>
        </w:rPr>
        <w:t>.</w:t>
      </w:r>
    </w:p>
    <w:p w14:paraId="40216516" w14:textId="77777777" w:rsidR="00917FEA" w:rsidRPr="00917FEA" w:rsidRDefault="00917FEA" w:rsidP="003078F0">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r w:rsidRPr="00917FEA">
        <w:rPr>
          <w:rFonts w:ascii="Arial" w:eastAsia="Calibri" w:hAnsi="Arial" w:cs="Arial"/>
          <w:sz w:val="24"/>
          <w:szCs w:val="24"/>
          <w:lang w:val="es-ES_tradnl" w:eastAsia="es-MX"/>
        </w:rPr>
        <w:t xml:space="preserve">De lo antes expuesto, se desprende que </w:t>
      </w:r>
      <w:r w:rsidR="00E26545">
        <w:rPr>
          <w:rFonts w:ascii="Arial" w:eastAsia="Calibri" w:hAnsi="Arial" w:cs="Arial"/>
          <w:sz w:val="24"/>
          <w:szCs w:val="24"/>
          <w:lang w:val="es-ES_tradnl" w:eastAsia="es-MX"/>
        </w:rPr>
        <w:t>los formatos únicos de liquidación</w:t>
      </w:r>
      <w:r w:rsidRPr="00917FEA">
        <w:rPr>
          <w:rFonts w:ascii="Arial" w:eastAsia="Calibri" w:hAnsi="Arial" w:cs="Arial"/>
          <w:sz w:val="24"/>
          <w:szCs w:val="24"/>
          <w:lang w:val="es-ES_tradnl" w:eastAsia="es-MX"/>
        </w:rPr>
        <w:t xml:space="preserve">, no constituyen resoluciones definitivas, toda vez que la obligación tributaria respecto a los conceptos de </w:t>
      </w:r>
      <w:r w:rsidR="00896A64" w:rsidRPr="009A7FD0">
        <w:rPr>
          <w:rFonts w:ascii="Arial" w:eastAsia="Calibri" w:hAnsi="Arial" w:cs="Arial"/>
          <w:b/>
          <w:sz w:val="24"/>
          <w:szCs w:val="24"/>
          <w:lang w:val="es-ES_tradnl" w:eastAsia="es-MX"/>
        </w:rPr>
        <w:t>a).</w:t>
      </w:r>
      <w:r w:rsidR="00896A64" w:rsidRPr="009A7FD0">
        <w:rPr>
          <w:rFonts w:ascii="Arial" w:eastAsia="Calibri" w:hAnsi="Arial" w:cs="Arial"/>
          <w:sz w:val="24"/>
          <w:szCs w:val="24"/>
          <w:lang w:val="es-ES_tradnl" w:eastAsia="es-MX"/>
        </w:rPr>
        <w:t xml:space="preserve"> Derecho de limpia inmuebles de uso comercial, </w:t>
      </w:r>
      <w:r w:rsidR="00896A64" w:rsidRPr="009A7FD0">
        <w:rPr>
          <w:rFonts w:ascii="Arial" w:eastAsia="Calibri" w:hAnsi="Arial" w:cs="Arial"/>
          <w:b/>
          <w:sz w:val="24"/>
          <w:szCs w:val="24"/>
          <w:lang w:val="es-ES_tradnl" w:eastAsia="es-MX"/>
        </w:rPr>
        <w:t>b).</w:t>
      </w:r>
      <w:r w:rsidR="00896A64" w:rsidRPr="009A7FD0">
        <w:rPr>
          <w:rFonts w:ascii="Arial" w:eastAsia="Calibri" w:hAnsi="Arial" w:cs="Arial"/>
          <w:sz w:val="24"/>
          <w:szCs w:val="24"/>
          <w:lang w:val="es-ES_tradnl" w:eastAsia="es-MX"/>
        </w:rPr>
        <w:t xml:space="preserve"> Recargos derecho de limpia no habitacional, </w:t>
      </w:r>
      <w:r w:rsidR="00896A64" w:rsidRPr="009A7FD0">
        <w:rPr>
          <w:rFonts w:ascii="Arial" w:eastAsia="Calibri" w:hAnsi="Arial" w:cs="Arial"/>
          <w:b/>
          <w:sz w:val="24"/>
          <w:szCs w:val="24"/>
          <w:lang w:val="es-ES_tradnl" w:eastAsia="es-MX"/>
        </w:rPr>
        <w:t>c).</w:t>
      </w:r>
      <w:r w:rsidR="00896A64" w:rsidRPr="009A7FD0">
        <w:rPr>
          <w:rFonts w:ascii="Arial" w:eastAsia="Calibri" w:hAnsi="Arial" w:cs="Arial"/>
          <w:sz w:val="24"/>
          <w:szCs w:val="24"/>
          <w:lang w:val="es-ES_tradnl" w:eastAsia="es-MX"/>
        </w:rPr>
        <w:t xml:space="preserve"> Predial de ejercicios anteriores, </w:t>
      </w:r>
      <w:r w:rsidR="00896A64" w:rsidRPr="009A7FD0">
        <w:rPr>
          <w:rFonts w:ascii="Arial" w:eastAsia="Calibri" w:hAnsi="Arial" w:cs="Arial"/>
          <w:b/>
          <w:sz w:val="24"/>
          <w:szCs w:val="24"/>
          <w:lang w:val="es-ES_tradnl" w:eastAsia="es-MX"/>
        </w:rPr>
        <w:t>d).</w:t>
      </w:r>
      <w:r w:rsidR="00896A64" w:rsidRPr="009A7FD0">
        <w:rPr>
          <w:rFonts w:ascii="Arial" w:eastAsia="Calibri" w:hAnsi="Arial" w:cs="Arial"/>
          <w:sz w:val="24"/>
          <w:szCs w:val="24"/>
          <w:lang w:val="es-ES_tradnl" w:eastAsia="es-MX"/>
        </w:rPr>
        <w:t xml:space="preserve"> Recargos predial, </w:t>
      </w:r>
      <w:r w:rsidR="00896A64" w:rsidRPr="009A7FD0">
        <w:rPr>
          <w:rFonts w:ascii="Arial" w:eastAsia="Calibri" w:hAnsi="Arial" w:cs="Arial"/>
          <w:b/>
          <w:sz w:val="24"/>
          <w:szCs w:val="24"/>
          <w:lang w:val="es-ES_tradnl" w:eastAsia="es-MX"/>
        </w:rPr>
        <w:t>e).</w:t>
      </w:r>
      <w:r w:rsidR="00896A64" w:rsidRPr="009A7FD0">
        <w:rPr>
          <w:rFonts w:ascii="Arial" w:eastAsia="Calibri" w:hAnsi="Arial" w:cs="Arial"/>
          <w:sz w:val="24"/>
          <w:szCs w:val="24"/>
          <w:lang w:val="es-ES_tradnl" w:eastAsia="es-MX"/>
        </w:rPr>
        <w:t xml:space="preserve"> Gastos de ejecución. </w:t>
      </w:r>
      <w:r w:rsidR="00896A64" w:rsidRPr="009A7FD0">
        <w:rPr>
          <w:rFonts w:ascii="Arial" w:eastAsia="Calibri" w:hAnsi="Arial" w:cs="Arial"/>
          <w:b/>
          <w:sz w:val="24"/>
          <w:szCs w:val="24"/>
          <w:lang w:val="es-ES_tradnl" w:eastAsia="es-MX"/>
        </w:rPr>
        <w:t>f).</w:t>
      </w:r>
      <w:r w:rsidR="00896A64" w:rsidRPr="009A7FD0">
        <w:rPr>
          <w:rFonts w:ascii="Arial" w:eastAsia="Calibri" w:hAnsi="Arial" w:cs="Arial"/>
          <w:sz w:val="24"/>
          <w:szCs w:val="24"/>
          <w:lang w:val="es-ES_tradnl" w:eastAsia="es-MX"/>
        </w:rPr>
        <w:t xml:space="preserve"> notificación limpia habitacional. </w:t>
      </w:r>
      <w:r w:rsidR="00896A64" w:rsidRPr="009A7FD0">
        <w:rPr>
          <w:rFonts w:ascii="Arial" w:eastAsia="Calibri" w:hAnsi="Arial" w:cs="Arial"/>
          <w:b/>
          <w:sz w:val="24"/>
          <w:szCs w:val="24"/>
          <w:lang w:val="es-ES_tradnl" w:eastAsia="es-MX"/>
        </w:rPr>
        <w:t>g).</w:t>
      </w:r>
      <w:r w:rsidR="00896A64" w:rsidRPr="009A7FD0">
        <w:rPr>
          <w:rFonts w:ascii="Arial" w:eastAsia="Calibri" w:hAnsi="Arial" w:cs="Arial"/>
          <w:sz w:val="24"/>
          <w:szCs w:val="24"/>
          <w:lang w:val="es-ES_tradnl" w:eastAsia="es-MX"/>
        </w:rPr>
        <w:t xml:space="preserve"> Derecho de limpia inmuebles de uso comercial y de servicios (servicio B), </w:t>
      </w:r>
      <w:r w:rsidR="00896A64" w:rsidRPr="009A7FD0">
        <w:rPr>
          <w:rFonts w:ascii="Arial" w:eastAsia="Calibri" w:hAnsi="Arial" w:cs="Arial"/>
          <w:b/>
          <w:sz w:val="24"/>
          <w:szCs w:val="24"/>
          <w:lang w:val="es-ES_tradnl" w:eastAsia="es-MX"/>
        </w:rPr>
        <w:t>h).</w:t>
      </w:r>
      <w:r w:rsidR="00896A64" w:rsidRPr="009A7FD0">
        <w:rPr>
          <w:rFonts w:ascii="Arial" w:eastAsia="Calibri" w:hAnsi="Arial" w:cs="Arial"/>
          <w:sz w:val="24"/>
          <w:szCs w:val="24"/>
          <w:lang w:val="es-ES_tradnl" w:eastAsia="es-MX"/>
        </w:rPr>
        <w:t xml:space="preserve"> Recargos derecho de limpia no habitacional, </w:t>
      </w:r>
      <w:r w:rsidR="00896A64" w:rsidRPr="009A7FD0">
        <w:rPr>
          <w:rFonts w:ascii="Arial" w:eastAsia="Calibri" w:hAnsi="Arial" w:cs="Arial"/>
          <w:b/>
          <w:sz w:val="24"/>
          <w:szCs w:val="24"/>
          <w:lang w:val="es-ES_tradnl" w:eastAsia="es-MX"/>
        </w:rPr>
        <w:t>i).</w:t>
      </w:r>
      <w:r w:rsidR="00896A64" w:rsidRPr="009A7FD0">
        <w:rPr>
          <w:rFonts w:ascii="Arial" w:eastAsia="Calibri" w:hAnsi="Arial" w:cs="Arial"/>
          <w:sz w:val="24"/>
          <w:szCs w:val="24"/>
          <w:lang w:val="es-ES_tradnl" w:eastAsia="es-MX"/>
        </w:rPr>
        <w:t xml:space="preserve"> Predial de ejercicios anteriores,</w:t>
      </w:r>
      <w:r w:rsidR="00896A64" w:rsidRPr="009A7FD0">
        <w:rPr>
          <w:rFonts w:ascii="Arial" w:eastAsia="Calibri" w:hAnsi="Arial" w:cs="Arial"/>
          <w:b/>
          <w:sz w:val="24"/>
          <w:szCs w:val="24"/>
          <w:lang w:val="es-ES_tradnl" w:eastAsia="es-MX"/>
        </w:rPr>
        <w:t xml:space="preserve"> j).</w:t>
      </w:r>
      <w:r w:rsidR="00896A64" w:rsidRPr="009A7FD0">
        <w:rPr>
          <w:rFonts w:ascii="Arial" w:eastAsia="Calibri" w:hAnsi="Arial" w:cs="Arial"/>
          <w:sz w:val="24"/>
          <w:szCs w:val="24"/>
          <w:lang w:val="es-ES_tradnl" w:eastAsia="es-MX"/>
        </w:rPr>
        <w:t xml:space="preserve"> Recargos predial., </w:t>
      </w:r>
      <w:r w:rsidR="00896A64" w:rsidRPr="009A7FD0">
        <w:rPr>
          <w:rFonts w:ascii="Arial" w:eastAsia="Calibri" w:hAnsi="Arial" w:cs="Arial"/>
          <w:b/>
          <w:sz w:val="24"/>
          <w:szCs w:val="24"/>
          <w:lang w:val="es-ES_tradnl" w:eastAsia="es-MX"/>
        </w:rPr>
        <w:t xml:space="preserve">k) </w:t>
      </w:r>
      <w:r w:rsidR="00896A64" w:rsidRPr="009A7FD0">
        <w:rPr>
          <w:rFonts w:ascii="Arial" w:eastAsia="Calibri" w:hAnsi="Arial" w:cs="Arial"/>
          <w:sz w:val="24"/>
          <w:szCs w:val="24"/>
          <w:lang w:val="es-ES_tradnl" w:eastAsia="es-MX"/>
        </w:rPr>
        <w:t xml:space="preserve">Derecho de limpia inmuebles de uso comercial y de servicios (servicio B), </w:t>
      </w:r>
      <w:r w:rsidR="00896A64" w:rsidRPr="009A7FD0">
        <w:rPr>
          <w:rFonts w:ascii="Arial" w:eastAsia="Calibri" w:hAnsi="Arial" w:cs="Arial"/>
          <w:b/>
          <w:sz w:val="24"/>
          <w:szCs w:val="24"/>
          <w:lang w:val="es-ES_tradnl" w:eastAsia="es-MX"/>
        </w:rPr>
        <w:t xml:space="preserve">l). </w:t>
      </w:r>
      <w:r w:rsidR="00896A64" w:rsidRPr="009A7FD0">
        <w:rPr>
          <w:rFonts w:ascii="Arial" w:eastAsia="Calibri" w:hAnsi="Arial" w:cs="Arial"/>
          <w:sz w:val="24"/>
          <w:szCs w:val="24"/>
          <w:lang w:val="es-ES_tradnl" w:eastAsia="es-MX"/>
        </w:rPr>
        <w:t xml:space="preserve">Recargos derecho de limpia no habitacional, ll). Recargos derecho de limpia no habitacional, </w:t>
      </w:r>
      <w:r w:rsidR="00896A64" w:rsidRPr="009A7FD0">
        <w:rPr>
          <w:rFonts w:ascii="Arial" w:eastAsia="Calibri" w:hAnsi="Arial" w:cs="Arial"/>
          <w:b/>
          <w:sz w:val="24"/>
          <w:szCs w:val="24"/>
          <w:lang w:val="es-ES_tradnl" w:eastAsia="es-MX"/>
        </w:rPr>
        <w:t xml:space="preserve">m). </w:t>
      </w:r>
      <w:r w:rsidR="00896A64" w:rsidRPr="009A7FD0">
        <w:rPr>
          <w:rFonts w:ascii="Arial" w:eastAsia="Calibri" w:hAnsi="Arial" w:cs="Arial"/>
          <w:sz w:val="24"/>
          <w:szCs w:val="24"/>
          <w:lang w:val="es-ES_tradnl" w:eastAsia="es-MX"/>
        </w:rPr>
        <w:t>Predial de ejercicios anteriores,</w:t>
      </w:r>
      <w:r w:rsidR="00896A64" w:rsidRPr="009A7FD0">
        <w:rPr>
          <w:rFonts w:ascii="Arial" w:eastAsia="Calibri" w:hAnsi="Arial" w:cs="Arial"/>
          <w:b/>
          <w:sz w:val="24"/>
          <w:szCs w:val="24"/>
          <w:lang w:val="es-ES_tradnl" w:eastAsia="es-MX"/>
        </w:rPr>
        <w:t xml:space="preserve"> n).</w:t>
      </w:r>
      <w:r w:rsidR="00896A64">
        <w:rPr>
          <w:rFonts w:ascii="Arial" w:eastAsia="Calibri" w:hAnsi="Arial" w:cs="Arial"/>
          <w:sz w:val="24"/>
          <w:szCs w:val="24"/>
          <w:lang w:val="es-ES_tradnl" w:eastAsia="es-MX"/>
        </w:rPr>
        <w:t xml:space="preserve"> Recargos predial., </w:t>
      </w:r>
      <w:r w:rsidR="00896A64" w:rsidRPr="009A7FD0">
        <w:rPr>
          <w:rFonts w:ascii="Arial" w:eastAsia="Calibri" w:hAnsi="Arial" w:cs="Arial"/>
          <w:b/>
          <w:sz w:val="24"/>
          <w:szCs w:val="24"/>
          <w:lang w:val="es-ES_tradnl" w:eastAsia="es-MX"/>
        </w:rPr>
        <w:t>ñ)</w:t>
      </w:r>
      <w:r w:rsidR="00896A64" w:rsidRPr="009A7FD0">
        <w:rPr>
          <w:rFonts w:ascii="Arial" w:eastAsia="Calibri" w:hAnsi="Arial" w:cs="Arial"/>
          <w:sz w:val="24"/>
          <w:szCs w:val="24"/>
          <w:lang w:val="es-ES_tradnl" w:eastAsia="es-MX"/>
        </w:rPr>
        <w:t xml:space="preserve"> Derecho de limpia inmuebles de uso comercia</w:t>
      </w:r>
      <w:r w:rsidR="00896A64">
        <w:rPr>
          <w:rFonts w:ascii="Arial" w:eastAsia="Calibri" w:hAnsi="Arial" w:cs="Arial"/>
          <w:sz w:val="24"/>
          <w:szCs w:val="24"/>
          <w:lang w:val="es-ES_tradnl" w:eastAsia="es-MX"/>
        </w:rPr>
        <w:t xml:space="preserve">l y de servicios (servicio B), </w:t>
      </w:r>
      <w:r w:rsidR="00896A64" w:rsidRPr="009A7FD0">
        <w:rPr>
          <w:rFonts w:ascii="Arial" w:eastAsia="Calibri" w:hAnsi="Arial" w:cs="Arial"/>
          <w:b/>
          <w:sz w:val="24"/>
          <w:szCs w:val="24"/>
          <w:lang w:val="es-ES_tradnl" w:eastAsia="es-MX"/>
        </w:rPr>
        <w:t>o).</w:t>
      </w:r>
      <w:r w:rsidR="00896A64" w:rsidRPr="009A7FD0">
        <w:rPr>
          <w:rFonts w:ascii="Arial" w:eastAsia="Calibri" w:hAnsi="Arial" w:cs="Arial"/>
          <w:sz w:val="24"/>
          <w:szCs w:val="24"/>
          <w:lang w:val="es-ES_tradnl" w:eastAsia="es-MX"/>
        </w:rPr>
        <w:t xml:space="preserve"> Recargos derecho de limpia no habitacional, </w:t>
      </w:r>
      <w:r w:rsidR="00896A64" w:rsidRPr="009A7FD0">
        <w:rPr>
          <w:rFonts w:ascii="Arial" w:eastAsia="Calibri" w:hAnsi="Arial" w:cs="Arial"/>
          <w:b/>
          <w:sz w:val="24"/>
          <w:szCs w:val="24"/>
          <w:lang w:val="es-ES_tradnl" w:eastAsia="es-MX"/>
        </w:rPr>
        <w:t>p).</w:t>
      </w:r>
      <w:r w:rsidR="00896A64" w:rsidRPr="009A7FD0">
        <w:rPr>
          <w:rFonts w:ascii="Arial" w:eastAsia="Calibri" w:hAnsi="Arial" w:cs="Arial"/>
          <w:sz w:val="24"/>
          <w:szCs w:val="24"/>
          <w:lang w:val="es-ES_tradnl" w:eastAsia="es-MX"/>
        </w:rPr>
        <w:t xml:space="preserve"> Impuesto predial, zona medía (predios con bases gravables menores a 1'000, </w:t>
      </w:r>
      <w:r w:rsidR="00896A64" w:rsidRPr="009A7FD0">
        <w:rPr>
          <w:rFonts w:ascii="Arial" w:eastAsia="Calibri" w:hAnsi="Arial" w:cs="Arial"/>
          <w:b/>
          <w:sz w:val="24"/>
          <w:szCs w:val="24"/>
          <w:lang w:val="es-ES_tradnl" w:eastAsia="es-MX"/>
        </w:rPr>
        <w:t>q).</w:t>
      </w:r>
      <w:r w:rsidR="00896A64" w:rsidRPr="009A7FD0">
        <w:rPr>
          <w:rFonts w:ascii="Arial" w:eastAsia="Calibri" w:hAnsi="Arial" w:cs="Arial"/>
          <w:sz w:val="24"/>
          <w:szCs w:val="24"/>
          <w:lang w:val="es-ES_tradnl" w:eastAsia="es-MX"/>
        </w:rPr>
        <w:t xml:space="preserve"> </w:t>
      </w:r>
      <w:proofErr w:type="spellStart"/>
      <w:r w:rsidR="00896A64" w:rsidRPr="009A7FD0">
        <w:rPr>
          <w:rFonts w:ascii="Arial" w:eastAsia="Calibri" w:hAnsi="Arial" w:cs="Arial"/>
          <w:sz w:val="24"/>
          <w:szCs w:val="24"/>
          <w:lang w:val="es-ES_tradnl" w:eastAsia="es-MX"/>
        </w:rPr>
        <w:t>Subs</w:t>
      </w:r>
      <w:proofErr w:type="spellEnd"/>
      <w:r w:rsidR="00896A64" w:rsidRPr="009A7FD0">
        <w:rPr>
          <w:rFonts w:ascii="Arial" w:eastAsia="Calibri" w:hAnsi="Arial" w:cs="Arial"/>
          <w:sz w:val="24"/>
          <w:szCs w:val="24"/>
          <w:lang w:val="es-ES_tradnl" w:eastAsia="es-MX"/>
        </w:rPr>
        <w:t xml:space="preserve"> 50% predial </w:t>
      </w:r>
      <w:proofErr w:type="spellStart"/>
      <w:r w:rsidR="00896A64" w:rsidRPr="009A7FD0">
        <w:rPr>
          <w:rFonts w:ascii="Arial" w:eastAsia="Calibri" w:hAnsi="Arial" w:cs="Arial"/>
          <w:sz w:val="24"/>
          <w:szCs w:val="24"/>
          <w:lang w:val="es-ES_tradnl" w:eastAsia="es-MX"/>
        </w:rPr>
        <w:t>Jub</w:t>
      </w:r>
      <w:proofErr w:type="spellEnd"/>
      <w:r w:rsidR="00896A64" w:rsidRPr="009A7FD0">
        <w:rPr>
          <w:rFonts w:ascii="Arial" w:eastAsia="Calibri" w:hAnsi="Arial" w:cs="Arial"/>
          <w:sz w:val="24"/>
          <w:szCs w:val="24"/>
          <w:lang w:val="es-ES_tradnl" w:eastAsia="es-MX"/>
        </w:rPr>
        <w:t xml:space="preserve">, </w:t>
      </w:r>
      <w:proofErr w:type="spellStart"/>
      <w:r w:rsidR="00896A64" w:rsidRPr="009A7FD0">
        <w:rPr>
          <w:rFonts w:ascii="Arial" w:eastAsia="Calibri" w:hAnsi="Arial" w:cs="Arial"/>
          <w:sz w:val="24"/>
          <w:szCs w:val="24"/>
          <w:lang w:val="es-ES_tradnl" w:eastAsia="es-MX"/>
        </w:rPr>
        <w:t>Pens</w:t>
      </w:r>
      <w:proofErr w:type="spellEnd"/>
      <w:r w:rsidR="00896A64" w:rsidRPr="009A7FD0">
        <w:rPr>
          <w:rFonts w:ascii="Arial" w:eastAsia="Calibri" w:hAnsi="Arial" w:cs="Arial"/>
          <w:sz w:val="24"/>
          <w:szCs w:val="24"/>
          <w:lang w:val="es-ES_tradnl" w:eastAsia="es-MX"/>
        </w:rPr>
        <w:t xml:space="preserve">. Y Adul May, </w:t>
      </w:r>
      <w:r w:rsidR="00896A64" w:rsidRPr="009A7FD0">
        <w:rPr>
          <w:rFonts w:ascii="Arial" w:eastAsia="Calibri" w:hAnsi="Arial" w:cs="Arial"/>
          <w:b/>
          <w:sz w:val="24"/>
          <w:szCs w:val="24"/>
          <w:lang w:val="es-ES_tradnl" w:eastAsia="es-MX"/>
        </w:rPr>
        <w:t>r).</w:t>
      </w:r>
      <w:r w:rsidR="00896A64">
        <w:rPr>
          <w:rFonts w:ascii="Arial" w:eastAsia="Calibri" w:hAnsi="Arial" w:cs="Arial"/>
          <w:sz w:val="24"/>
          <w:szCs w:val="24"/>
          <w:lang w:val="es-ES_tradnl" w:eastAsia="es-MX"/>
        </w:rPr>
        <w:t xml:space="preserve"> Recargos </w:t>
      </w:r>
      <w:r w:rsidR="00896A64" w:rsidRPr="009A7FD0">
        <w:rPr>
          <w:rFonts w:ascii="Arial" w:eastAsia="Calibri" w:hAnsi="Arial" w:cs="Arial"/>
          <w:sz w:val="24"/>
          <w:szCs w:val="24"/>
          <w:lang w:val="es-ES_tradnl" w:eastAsia="es-MX"/>
        </w:rPr>
        <w:t xml:space="preserve">predial y </w:t>
      </w:r>
      <w:r w:rsidR="00896A64" w:rsidRPr="00961ADF">
        <w:rPr>
          <w:rFonts w:ascii="Arial" w:eastAsia="Calibri" w:hAnsi="Arial" w:cs="Arial"/>
          <w:b/>
          <w:sz w:val="24"/>
          <w:szCs w:val="24"/>
          <w:lang w:val="es-ES_tradnl" w:eastAsia="es-MX"/>
        </w:rPr>
        <w:t>s).</w:t>
      </w:r>
      <w:r w:rsidR="00896A64">
        <w:rPr>
          <w:rFonts w:ascii="Arial" w:eastAsia="Calibri" w:hAnsi="Arial" w:cs="Arial"/>
          <w:sz w:val="24"/>
          <w:szCs w:val="24"/>
          <w:lang w:val="es-ES_tradnl" w:eastAsia="es-MX"/>
        </w:rPr>
        <w:t xml:space="preserve"> Redondeo</w:t>
      </w:r>
      <w:r w:rsidR="00390EF0">
        <w:rPr>
          <w:rFonts w:ascii="Arial" w:eastAsia="Calibri" w:hAnsi="Arial" w:cs="Arial"/>
          <w:sz w:val="24"/>
          <w:szCs w:val="24"/>
          <w:lang w:val="es-ES_tradnl" w:eastAsia="es-MX"/>
        </w:rPr>
        <w:t>;</w:t>
      </w:r>
      <w:r w:rsidRPr="00917FEA">
        <w:rPr>
          <w:rFonts w:ascii="Arial" w:eastAsia="Calibri" w:hAnsi="Arial" w:cs="Arial"/>
          <w:sz w:val="24"/>
          <w:szCs w:val="24"/>
          <w:lang w:val="es-ES_tradnl" w:eastAsia="es-MX"/>
        </w:rPr>
        <w:t xml:space="preserve"> surgió en el momento</w:t>
      </w:r>
      <w:r w:rsidR="002C26FF">
        <w:rPr>
          <w:rFonts w:ascii="Arial" w:eastAsia="Calibri" w:hAnsi="Arial" w:cs="Arial"/>
          <w:sz w:val="24"/>
          <w:szCs w:val="24"/>
          <w:lang w:val="es-ES_tradnl" w:eastAsia="es-MX"/>
        </w:rPr>
        <w:t xml:space="preserve"> </w:t>
      </w:r>
      <w:r w:rsidRPr="00917FEA">
        <w:rPr>
          <w:rFonts w:ascii="Arial" w:eastAsia="Calibri" w:hAnsi="Arial" w:cs="Arial"/>
          <w:sz w:val="24"/>
          <w:szCs w:val="24"/>
          <w:lang w:val="es-ES_tradnl" w:eastAsia="es-MX"/>
        </w:rPr>
        <w:t>en que se realizó la situación de hecho o derecho que de acuerdo con la ley dio origen a la misma, por lo que, la exigencia de pagar dichos montos nació con anterioridad y el</w:t>
      </w:r>
      <w:r w:rsidR="00896A64">
        <w:rPr>
          <w:rFonts w:ascii="Arial" w:eastAsia="Calibri" w:hAnsi="Arial" w:cs="Arial"/>
          <w:sz w:val="24"/>
          <w:szCs w:val="24"/>
          <w:lang w:val="es-ES_tradnl" w:eastAsia="es-MX"/>
        </w:rPr>
        <w:t xml:space="preserve"> formato único </w:t>
      </w:r>
      <w:r w:rsidR="007A7636">
        <w:rPr>
          <w:rFonts w:ascii="Arial" w:eastAsia="Calibri" w:hAnsi="Arial" w:cs="Arial"/>
          <w:sz w:val="24"/>
          <w:szCs w:val="24"/>
          <w:lang w:val="es-ES_tradnl" w:eastAsia="es-MX"/>
        </w:rPr>
        <w:t xml:space="preserve">de </w:t>
      </w:r>
      <w:r w:rsidR="007A7636">
        <w:rPr>
          <w:rFonts w:ascii="Arial" w:eastAsia="Calibri" w:hAnsi="Arial" w:cs="Arial"/>
          <w:sz w:val="24"/>
          <w:szCs w:val="24"/>
          <w:lang w:val="es-ES_tradnl" w:eastAsia="es-MX"/>
        </w:rPr>
        <w:lastRenderedPageBreak/>
        <w:t>liquidación</w:t>
      </w:r>
      <w:r w:rsidR="00896A64">
        <w:rPr>
          <w:rFonts w:ascii="Arial" w:eastAsia="Calibri" w:hAnsi="Arial" w:cs="Arial"/>
          <w:sz w:val="24"/>
          <w:szCs w:val="24"/>
          <w:lang w:val="es-ES_tradnl" w:eastAsia="es-MX"/>
        </w:rPr>
        <w:t xml:space="preserve"> </w:t>
      </w:r>
      <w:r w:rsidRPr="00917FEA">
        <w:rPr>
          <w:rFonts w:ascii="Arial" w:eastAsia="Calibri" w:hAnsi="Arial" w:cs="Arial"/>
          <w:sz w:val="24"/>
          <w:szCs w:val="24"/>
          <w:lang w:val="es-ES_tradnl" w:eastAsia="es-MX"/>
        </w:rPr>
        <w:t xml:space="preserve">simplemente </w:t>
      </w:r>
      <w:r w:rsidR="00256477">
        <w:rPr>
          <w:rFonts w:ascii="Arial" w:eastAsia="Calibri" w:hAnsi="Arial" w:cs="Arial"/>
          <w:sz w:val="24"/>
          <w:szCs w:val="24"/>
          <w:lang w:val="es-ES_tradnl" w:eastAsia="es-MX"/>
        </w:rPr>
        <w:t xml:space="preserve">es un guía </w:t>
      </w:r>
      <w:r w:rsidR="003078F0">
        <w:rPr>
          <w:rFonts w:ascii="Arial" w:eastAsia="Calibri" w:hAnsi="Arial" w:cs="Arial"/>
          <w:sz w:val="24"/>
          <w:szCs w:val="24"/>
          <w:lang w:val="es-ES_tradnl" w:eastAsia="es-MX"/>
        </w:rPr>
        <w:t>para</w:t>
      </w:r>
      <w:r w:rsidRPr="00917FEA">
        <w:rPr>
          <w:rFonts w:ascii="Arial" w:eastAsia="Calibri" w:hAnsi="Arial" w:cs="Arial"/>
          <w:sz w:val="24"/>
          <w:szCs w:val="24"/>
          <w:lang w:val="es-ES_tradnl" w:eastAsia="es-MX"/>
        </w:rPr>
        <w:t xml:space="preserve"> el cumplimiento de la obligación tributaria a cargo del contribuyente por tales conceptos.</w:t>
      </w:r>
    </w:p>
    <w:p w14:paraId="5C2FC0A7" w14:textId="77777777" w:rsidR="00917FEA" w:rsidRPr="00917FEA" w:rsidRDefault="007A7636" w:rsidP="0018713F">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r>
        <w:rPr>
          <w:rFonts w:ascii="Arial" w:eastAsia="Calibri" w:hAnsi="Arial" w:cs="Arial"/>
          <w:sz w:val="24"/>
          <w:szCs w:val="24"/>
          <w:lang w:val="es-ES_tradnl" w:eastAsia="es-MX"/>
        </w:rPr>
        <w:t xml:space="preserve">Así, el formato único de liquidación </w:t>
      </w:r>
      <w:r w:rsidR="00917FEA" w:rsidRPr="00917FEA">
        <w:rPr>
          <w:rFonts w:ascii="Arial" w:eastAsia="Calibri" w:hAnsi="Arial" w:cs="Arial"/>
          <w:sz w:val="24"/>
          <w:szCs w:val="24"/>
          <w:lang w:val="es-ES_tradnl" w:eastAsia="es-MX"/>
        </w:rPr>
        <w:t>es el documento en el</w:t>
      </w:r>
      <w:r w:rsidR="0018713F">
        <w:rPr>
          <w:rFonts w:ascii="Arial" w:eastAsia="Calibri" w:hAnsi="Arial" w:cs="Arial"/>
          <w:sz w:val="24"/>
          <w:szCs w:val="24"/>
          <w:lang w:val="es-ES_tradnl" w:eastAsia="es-MX"/>
        </w:rPr>
        <w:t xml:space="preserve"> que se contienen los conceptos de la </w:t>
      </w:r>
      <w:r w:rsidR="00917FEA" w:rsidRPr="00917FEA">
        <w:rPr>
          <w:rFonts w:ascii="Arial" w:eastAsia="Calibri" w:hAnsi="Arial" w:cs="Arial"/>
          <w:sz w:val="24"/>
          <w:szCs w:val="24"/>
          <w:lang w:val="es-ES_tradnl" w:eastAsia="es-MX"/>
        </w:rPr>
        <w:t>obligación tributaria a cargo del contri</w:t>
      </w:r>
      <w:r w:rsidR="00850FC4">
        <w:rPr>
          <w:rFonts w:ascii="Arial" w:eastAsia="Calibri" w:hAnsi="Arial" w:cs="Arial"/>
          <w:sz w:val="24"/>
          <w:szCs w:val="24"/>
          <w:lang w:val="es-ES_tradnl" w:eastAsia="es-MX"/>
        </w:rPr>
        <w:t xml:space="preserve">buyente </w:t>
      </w:r>
      <w:r w:rsidR="00917FEA" w:rsidRPr="00917FEA">
        <w:rPr>
          <w:rFonts w:ascii="Arial" w:eastAsia="Calibri" w:hAnsi="Arial" w:cs="Arial"/>
          <w:sz w:val="24"/>
          <w:szCs w:val="24"/>
          <w:lang w:val="es-ES_tradnl" w:eastAsia="es-MX"/>
        </w:rPr>
        <w:t xml:space="preserve">de tal forma que se trata del documento idóneo para demostrar </w:t>
      </w:r>
      <w:r w:rsidR="0018713F">
        <w:rPr>
          <w:rFonts w:ascii="Arial" w:eastAsia="Calibri" w:hAnsi="Arial" w:cs="Arial"/>
          <w:sz w:val="24"/>
          <w:szCs w:val="24"/>
          <w:lang w:val="es-ES_tradnl" w:eastAsia="es-MX"/>
        </w:rPr>
        <w:t>la existencia de la obligación</w:t>
      </w:r>
      <w:r w:rsidR="00917FEA" w:rsidRPr="00917FEA">
        <w:rPr>
          <w:rFonts w:ascii="Arial" w:eastAsia="Calibri" w:hAnsi="Arial" w:cs="Arial"/>
          <w:sz w:val="24"/>
          <w:szCs w:val="24"/>
          <w:lang w:val="es-ES_tradnl" w:eastAsia="es-MX"/>
        </w:rPr>
        <w:t xml:space="preserve"> obligación fiscal, </w:t>
      </w:r>
      <w:r w:rsidR="00917FEA" w:rsidRPr="00917FEA">
        <w:rPr>
          <w:rFonts w:ascii="Arial" w:eastAsia="Calibri" w:hAnsi="Arial" w:cs="Arial"/>
          <w:b/>
          <w:sz w:val="24"/>
          <w:szCs w:val="24"/>
          <w:lang w:val="es-ES_tradnl" w:eastAsia="es-MX"/>
        </w:rPr>
        <w:t>pero no para demostrar que la autoridad hacendaria hubiere realizado la determinación, liquidación y cobro de la contribución.</w:t>
      </w:r>
    </w:p>
    <w:p w14:paraId="2EFEA155" w14:textId="77777777" w:rsidR="00917FEA" w:rsidRPr="00917FEA" w:rsidRDefault="00917FEA" w:rsidP="00727240">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r w:rsidRPr="00917FEA">
        <w:rPr>
          <w:rFonts w:ascii="Arial" w:eastAsia="Calibri" w:hAnsi="Arial" w:cs="Arial"/>
          <w:sz w:val="24"/>
          <w:szCs w:val="24"/>
          <w:lang w:val="es-ES_tradnl" w:eastAsia="es-MX"/>
        </w:rPr>
        <w:t xml:space="preserve">Sin que pueda considerarse que el </w:t>
      </w:r>
      <w:r w:rsidR="00A25E2F">
        <w:rPr>
          <w:rFonts w:ascii="Arial" w:eastAsia="Calibri" w:hAnsi="Arial" w:cs="Arial"/>
          <w:sz w:val="24"/>
          <w:szCs w:val="24"/>
          <w:lang w:val="es-ES_tradnl" w:eastAsia="es-MX"/>
        </w:rPr>
        <w:t xml:space="preserve">formato </w:t>
      </w:r>
      <w:r w:rsidR="00E22F4E">
        <w:rPr>
          <w:rFonts w:ascii="Arial" w:eastAsia="Calibri" w:hAnsi="Arial" w:cs="Arial"/>
          <w:sz w:val="24"/>
          <w:szCs w:val="24"/>
          <w:lang w:val="es-ES_tradnl" w:eastAsia="es-MX"/>
        </w:rPr>
        <w:t xml:space="preserve">único </w:t>
      </w:r>
      <w:r w:rsidR="00A25E2F">
        <w:rPr>
          <w:rFonts w:ascii="Arial" w:eastAsia="Calibri" w:hAnsi="Arial" w:cs="Arial"/>
          <w:sz w:val="24"/>
          <w:szCs w:val="24"/>
          <w:lang w:val="es-ES_tradnl" w:eastAsia="es-MX"/>
        </w:rPr>
        <w:t xml:space="preserve">de liquidación </w:t>
      </w:r>
      <w:r w:rsidRPr="00917FEA">
        <w:rPr>
          <w:rFonts w:ascii="Arial" w:eastAsia="Calibri" w:hAnsi="Arial" w:cs="Arial"/>
          <w:sz w:val="24"/>
          <w:szCs w:val="24"/>
          <w:lang w:val="es-ES_tradnl" w:eastAsia="es-MX"/>
        </w:rPr>
        <w:t>implica y representa la liquidación y cobro de la contribución por parte de la autoridad demandada, lo que representa al acto impugnado en el juicio de nulidad; ya que el</w:t>
      </w:r>
      <w:r w:rsidR="00727240">
        <w:rPr>
          <w:rFonts w:ascii="Arial" w:eastAsia="Calibri" w:hAnsi="Arial" w:cs="Arial"/>
          <w:sz w:val="24"/>
          <w:szCs w:val="24"/>
          <w:lang w:val="es-ES_tradnl" w:eastAsia="es-MX"/>
        </w:rPr>
        <w:t xml:space="preserve"> formato único de liquidación </w:t>
      </w:r>
      <w:r w:rsidRPr="00917FEA">
        <w:rPr>
          <w:rFonts w:ascii="Arial" w:eastAsia="Calibri" w:hAnsi="Arial" w:cs="Arial"/>
          <w:sz w:val="24"/>
          <w:szCs w:val="24"/>
          <w:lang w:val="es-ES_tradnl" w:eastAsia="es-MX"/>
        </w:rPr>
        <w:t>ofrecido como prueba por el promovente, no desprende la actitud positiva, voluntaria y directa por parte de las autoridades demandadas en relación con la determinación, cálculo o exigencia coactiva del tributo, sino que solo se acredita la existencia</w:t>
      </w:r>
      <w:r w:rsidR="00727240">
        <w:rPr>
          <w:rFonts w:ascii="Arial" w:eastAsia="Calibri" w:hAnsi="Arial" w:cs="Arial"/>
          <w:sz w:val="24"/>
          <w:szCs w:val="24"/>
          <w:lang w:val="es-ES_tradnl" w:eastAsia="es-MX"/>
        </w:rPr>
        <w:t xml:space="preserve"> de la obligación</w:t>
      </w:r>
      <w:r w:rsidRPr="00917FEA">
        <w:rPr>
          <w:rFonts w:ascii="Arial" w:eastAsia="Calibri" w:hAnsi="Arial" w:cs="Arial"/>
          <w:sz w:val="24"/>
          <w:szCs w:val="24"/>
          <w:lang w:val="es-ES_tradnl" w:eastAsia="es-MX"/>
        </w:rPr>
        <w:t>, con la consecuente conducta pasiva de</w:t>
      </w:r>
      <w:r w:rsidR="00727240">
        <w:rPr>
          <w:rFonts w:ascii="Arial" w:eastAsia="Calibri" w:hAnsi="Arial" w:cs="Arial"/>
          <w:sz w:val="24"/>
          <w:szCs w:val="24"/>
          <w:lang w:val="es-ES_tradnl" w:eastAsia="es-MX"/>
        </w:rPr>
        <w:t xml:space="preserve"> la Tesorería Municipal al solo</w:t>
      </w:r>
      <w:r w:rsidRPr="00917FEA">
        <w:rPr>
          <w:rFonts w:ascii="Arial" w:eastAsia="Calibri" w:hAnsi="Arial" w:cs="Arial"/>
          <w:sz w:val="24"/>
          <w:szCs w:val="24"/>
          <w:lang w:val="es-ES_tradnl" w:eastAsia="es-MX"/>
        </w:rPr>
        <w:t xml:space="preserve"> expedir</w:t>
      </w:r>
      <w:r w:rsidR="00727240">
        <w:rPr>
          <w:rFonts w:ascii="Arial" w:eastAsia="Calibri" w:hAnsi="Arial" w:cs="Arial"/>
          <w:sz w:val="24"/>
          <w:szCs w:val="24"/>
          <w:lang w:val="es-ES_tradnl" w:eastAsia="es-MX"/>
        </w:rPr>
        <w:t xml:space="preserve"> el formato para su pago </w:t>
      </w:r>
      <w:r w:rsidRPr="00917FEA">
        <w:rPr>
          <w:rFonts w:ascii="Arial" w:eastAsia="Calibri" w:hAnsi="Arial" w:cs="Arial"/>
          <w:sz w:val="24"/>
          <w:szCs w:val="24"/>
          <w:lang w:val="es-ES_tradnl" w:eastAsia="es-MX"/>
        </w:rPr>
        <w:t>.</w:t>
      </w:r>
    </w:p>
    <w:p w14:paraId="79800B79" w14:textId="77777777" w:rsidR="00917FEA" w:rsidRPr="00917FEA" w:rsidRDefault="00917FEA" w:rsidP="00917FEA">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r w:rsidRPr="00917FEA">
        <w:rPr>
          <w:rFonts w:ascii="Arial" w:eastAsia="Calibri" w:hAnsi="Arial" w:cs="Arial"/>
          <w:sz w:val="24"/>
          <w:szCs w:val="24"/>
          <w:lang w:val="es-ES_tradnl" w:eastAsia="es-MX"/>
        </w:rPr>
        <w:t xml:space="preserve">Sirve de apoyo a lo anterior </w:t>
      </w:r>
      <w:r w:rsidR="00770337">
        <w:rPr>
          <w:rFonts w:ascii="Arial" w:eastAsia="Calibri" w:hAnsi="Arial" w:cs="Arial"/>
          <w:sz w:val="24"/>
          <w:szCs w:val="24"/>
          <w:lang w:val="es-ES_tradnl" w:eastAsia="es-MX"/>
        </w:rPr>
        <w:t xml:space="preserve">por analogía </w:t>
      </w:r>
      <w:r w:rsidRPr="00917FEA">
        <w:rPr>
          <w:rFonts w:ascii="Arial" w:eastAsia="Calibri" w:hAnsi="Arial" w:cs="Arial"/>
          <w:sz w:val="24"/>
          <w:szCs w:val="24"/>
          <w:lang w:val="es-ES_tradnl" w:eastAsia="es-MX"/>
        </w:rPr>
        <w:t xml:space="preserve">la Jurisprudencia con número de Registro digital: </w:t>
      </w:r>
      <w:proofErr w:type="gramStart"/>
      <w:r w:rsidRPr="00917FEA">
        <w:rPr>
          <w:rFonts w:ascii="Arial" w:eastAsia="Calibri" w:hAnsi="Arial" w:cs="Arial"/>
          <w:sz w:val="24"/>
          <w:szCs w:val="24"/>
          <w:lang w:val="es-ES_tradnl" w:eastAsia="es-MX"/>
        </w:rPr>
        <w:t>161068,  sustentada</w:t>
      </w:r>
      <w:proofErr w:type="gramEnd"/>
      <w:r w:rsidRPr="00917FEA">
        <w:rPr>
          <w:rFonts w:ascii="Arial" w:eastAsia="Calibri" w:hAnsi="Arial" w:cs="Arial"/>
          <w:sz w:val="24"/>
          <w:szCs w:val="24"/>
          <w:lang w:val="es-ES_tradnl" w:eastAsia="es-MX"/>
        </w:rPr>
        <w:t xml:space="preserve"> por la Segunda Sala de la Suprema Corte de Justicia de la Nación, Tesis: 2a./J. 140/2011, visible en el Semanario Judicial de la Federación y su Gaceta. Tomo XXXIV, Septiembre de 2011, página 1290, con el rubro y texto siguiente:</w:t>
      </w:r>
    </w:p>
    <w:p w14:paraId="404519BE" w14:textId="77777777" w:rsidR="00917FEA" w:rsidRPr="00917FEA" w:rsidRDefault="00917FEA" w:rsidP="00917FEA">
      <w:pPr>
        <w:widowControl w:val="0"/>
        <w:autoSpaceDE w:val="0"/>
        <w:autoSpaceDN w:val="0"/>
        <w:adjustRightInd w:val="0"/>
        <w:spacing w:line="276" w:lineRule="auto"/>
        <w:ind w:left="567" w:right="335" w:firstLine="567"/>
        <w:jc w:val="both"/>
        <w:rPr>
          <w:rFonts w:ascii="Arial" w:eastAsia="Calibri" w:hAnsi="Arial" w:cs="Arial"/>
          <w:i/>
          <w:sz w:val="24"/>
          <w:szCs w:val="24"/>
          <w:lang w:val="es-ES_tradnl" w:eastAsia="es-MX"/>
        </w:rPr>
      </w:pPr>
      <w:r w:rsidRPr="00917FEA">
        <w:rPr>
          <w:rFonts w:ascii="Arial" w:eastAsia="Calibri" w:hAnsi="Arial" w:cs="Arial"/>
          <w:i/>
          <w:sz w:val="24"/>
          <w:szCs w:val="24"/>
          <w:lang w:val="es-ES_tradnl" w:eastAsia="es-MX"/>
        </w:rPr>
        <w:t>“</w:t>
      </w:r>
      <w:r w:rsidRPr="00917FEA">
        <w:rPr>
          <w:rFonts w:ascii="Arial" w:eastAsia="Calibri" w:hAnsi="Arial" w:cs="Arial"/>
          <w:b/>
          <w:i/>
          <w:sz w:val="24"/>
          <w:szCs w:val="24"/>
          <w:lang w:val="es-ES_tradnl" w:eastAsia="es-MX"/>
        </w:rPr>
        <w:t>IMPUESTO SOBRE TRANSMISIONES PATRIMONIALES DE BIENES MUEBLES. EL RECIBO DE PAGO NO CONSTITUYE RESOLUCIÓN DEFINITIVA PARA EFECTOS DE LA PROCEDENCIA DEL JUICIO ADMINISTRATIVO (LEGISLACIÓN DEL ESTADO DE JALISCO).</w:t>
      </w:r>
      <w:r w:rsidRPr="00917FEA">
        <w:rPr>
          <w:rFonts w:ascii="Arial" w:eastAsia="Calibri" w:hAnsi="Arial" w:cs="Arial"/>
          <w:i/>
          <w:sz w:val="24"/>
          <w:szCs w:val="24"/>
          <w:lang w:val="es-ES_tradnl" w:eastAsia="es-MX"/>
        </w:rPr>
        <w:t xml:space="preserve"> La contribución citada está regulada en la Ley de Hacienda del Estado de Jalisco, de cuyo contenido deriva que constituye un impuesto que recae concretamente sobre la transmisión de la propiedad de bienes muebles o derechos sobre ellos cuya determinación, retención y entero corren, entre otros, a cargo del notario público que protocolizó el acto jurídico que motivó la </w:t>
      </w:r>
      <w:proofErr w:type="spellStart"/>
      <w:r w:rsidRPr="00917FEA">
        <w:rPr>
          <w:rFonts w:ascii="Arial" w:eastAsia="Calibri" w:hAnsi="Arial" w:cs="Arial"/>
          <w:i/>
          <w:sz w:val="24"/>
          <w:szCs w:val="24"/>
          <w:lang w:val="es-ES_tradnl" w:eastAsia="es-MX"/>
        </w:rPr>
        <w:t>causación</w:t>
      </w:r>
      <w:proofErr w:type="spellEnd"/>
      <w:r w:rsidRPr="00917FEA">
        <w:rPr>
          <w:rFonts w:ascii="Arial" w:eastAsia="Calibri" w:hAnsi="Arial" w:cs="Arial"/>
          <w:i/>
          <w:sz w:val="24"/>
          <w:szCs w:val="24"/>
          <w:lang w:val="es-ES_tradnl" w:eastAsia="es-MX"/>
        </w:rPr>
        <w:t xml:space="preserve"> del impuesto. Ahora bien, el recibo de pago de esa contribución no constituye resolución definitiva impugnable ante el Tribunal de lo Administrativo de esa entidad federativa, porque si bien es cierto que ampara el entero vinculado con el cumplimiento de una obligación fiscal, también lo es que la Ley de Justicia Administrativa prevé que el juicio administrativo procede contra resoluciones definitivas; carácter que no es atribuible al comprobante de pago aludido, porque la Secretaría de Finanzas local se reserva la facultad de intervenir, de oficio o a petición de parte, cuando advierta que el valor de operación consignado en el documento de que se trate, o en el avalúo pericial, conforme al cual se calculó la base del impuesto, sea notoriamente inferior al que le correspondería como valor real, supuesto en el que podrá practicar avalúo con los elementos de que disponga; y, además, porque contra dicha determinación procede el recurso de revocación cuya interposición es obligatoria antes de instar la vía administrativa, en términos del artículo 197 del Código Fiscal de esa </w:t>
      </w:r>
      <w:r w:rsidRPr="00917FEA">
        <w:rPr>
          <w:rFonts w:ascii="Arial" w:eastAsia="Calibri" w:hAnsi="Arial" w:cs="Arial"/>
          <w:i/>
          <w:sz w:val="24"/>
          <w:szCs w:val="24"/>
          <w:lang w:val="es-ES_tradnl" w:eastAsia="es-MX"/>
        </w:rPr>
        <w:lastRenderedPageBreak/>
        <w:t>entidad federativa.”</w:t>
      </w:r>
    </w:p>
    <w:p w14:paraId="35F9605F" w14:textId="77777777" w:rsidR="00917FEA" w:rsidRPr="00917FEA" w:rsidRDefault="00917FEA" w:rsidP="00917FEA">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r w:rsidRPr="00917FEA">
        <w:rPr>
          <w:rFonts w:ascii="Arial" w:eastAsia="Calibri" w:hAnsi="Arial" w:cs="Arial"/>
          <w:sz w:val="24"/>
          <w:szCs w:val="24"/>
          <w:lang w:val="es-ES_tradnl" w:eastAsia="es-MX"/>
        </w:rPr>
        <w:t>Así mismo, la Jurisprudencia con número de Registro digital: 168248, sustentada por la Segunda Sala de la Suprema Corte de Justicia de la Nación, Novena Época, Materias(s): Administrativa, Tesis: 2a./J. 182/2008, visible en el Semanario Judicial de la Federación y su Gaceta. Tomo XXVIII, Diciembre de 2008, página 294, con el rubro y texto siguiente:</w:t>
      </w:r>
    </w:p>
    <w:p w14:paraId="3AF2E7E4" w14:textId="77777777" w:rsidR="00917FEA" w:rsidRPr="00917FEA" w:rsidRDefault="00917FEA" w:rsidP="00917FEA">
      <w:pPr>
        <w:widowControl w:val="0"/>
        <w:autoSpaceDE w:val="0"/>
        <w:autoSpaceDN w:val="0"/>
        <w:adjustRightInd w:val="0"/>
        <w:spacing w:line="276" w:lineRule="auto"/>
        <w:ind w:left="567" w:right="476" w:firstLine="567"/>
        <w:jc w:val="both"/>
        <w:rPr>
          <w:rFonts w:ascii="Arial" w:eastAsia="Calibri" w:hAnsi="Arial" w:cs="Arial"/>
          <w:i/>
          <w:sz w:val="24"/>
          <w:szCs w:val="24"/>
          <w:lang w:val="es-ES_tradnl" w:eastAsia="es-MX"/>
        </w:rPr>
      </w:pPr>
      <w:r w:rsidRPr="00917FEA">
        <w:rPr>
          <w:rFonts w:ascii="Arial" w:eastAsia="Calibri" w:hAnsi="Arial" w:cs="Arial"/>
          <w:i/>
          <w:sz w:val="24"/>
          <w:szCs w:val="24"/>
          <w:lang w:val="es-ES_tradnl" w:eastAsia="es-MX"/>
        </w:rPr>
        <w:t>“</w:t>
      </w:r>
      <w:r w:rsidRPr="00917FEA">
        <w:rPr>
          <w:rFonts w:ascii="Arial" w:eastAsia="Calibri" w:hAnsi="Arial" w:cs="Arial"/>
          <w:b/>
          <w:i/>
          <w:sz w:val="24"/>
          <w:szCs w:val="24"/>
          <w:lang w:val="es-ES_tradnl" w:eastAsia="es-MX"/>
        </w:rPr>
        <w:t>TENENCIA O USO DE VEHÍCULOS. EL RECIBO DE PAGO RELATIVO NO CONSTITUYE UN ACTO DE AUTORIDAD PARA LOS EFECTOS DEL JUICIO DE AMPARO.</w:t>
      </w:r>
      <w:r w:rsidRPr="00917FEA">
        <w:rPr>
          <w:rFonts w:ascii="Arial" w:eastAsia="Calibri" w:hAnsi="Arial" w:cs="Arial"/>
          <w:i/>
          <w:sz w:val="24"/>
          <w:szCs w:val="24"/>
          <w:lang w:val="es-ES_tradnl" w:eastAsia="es-MX"/>
        </w:rPr>
        <w:t xml:space="preserve"> La Suprema Corte de Justicia de la Nación ha sostenido que el recibo de pago de un tributo no constituye un acto de autoridad para los efectos del juicio de amparo, pues lo único que acredita es la existencia de un acto de </w:t>
      </w:r>
      <w:proofErr w:type="spellStart"/>
      <w:r w:rsidRPr="00917FEA">
        <w:rPr>
          <w:rFonts w:ascii="Arial" w:eastAsia="Calibri" w:hAnsi="Arial" w:cs="Arial"/>
          <w:i/>
          <w:sz w:val="24"/>
          <w:szCs w:val="24"/>
          <w:lang w:val="es-ES_tradnl" w:eastAsia="es-MX"/>
        </w:rPr>
        <w:t>autoaplicación</w:t>
      </w:r>
      <w:proofErr w:type="spellEnd"/>
      <w:r w:rsidRPr="00917FEA">
        <w:rPr>
          <w:rFonts w:ascii="Arial" w:eastAsia="Calibri" w:hAnsi="Arial" w:cs="Arial"/>
          <w:i/>
          <w:sz w:val="24"/>
          <w:szCs w:val="24"/>
          <w:lang w:val="es-ES_tradnl" w:eastAsia="es-MX"/>
        </w:rPr>
        <w:t xml:space="preserve"> de la ley relativa. Asimismo, ha precisado que el recibo de pago del impuesto sobre tenencia o uso de vehículos solamente constituye el medio idóneo para acreditar el cumplimiento de la obligación correspondiente, pero no un acto de autoridad imputable a la autoridad fiscal. Conforme a lo anterior, las circunstancias particulares que hayan provocado el pago del impuesto indicado, consistentes en que al contribuyente, al acudir ante la autoridad a realizar algún trámite administrativo vinculado con la circulación del automóvil, se le haya determinado un adeudo por concepto de tenencia o uso de vehículos condicionando la prestación del servicio administrativo al pago correspondiente, en cumplimiento de la Ley del Impuesto sobre Tenencia o Uso de Vehículos, no desnaturaliza al recibo de pago en sí mismo, convirtiéndolo en esas circunstancias en un acto de autoridad para los efectos del juicio de amparo, sino que éste sigue conservando la naturaleza de un mero medio para acreditar el cumplimiento de la obligación tributaria. Lo anterior no implica desconocer que la negativa de la autoridad de proporcionar los servicios administrativos vinculados con la circulación de vehículos, por existir un adeudo relacionado con el impuesto aludido, así como la determinación del monto a pagar, son actos de autoridad para efectos del juicio de amparo.”</w:t>
      </w:r>
    </w:p>
    <w:p w14:paraId="13B6E554" w14:textId="77777777" w:rsidR="00E015E6" w:rsidRDefault="00E015E6" w:rsidP="00E015E6">
      <w:pPr>
        <w:pStyle w:val="Sinespaciado"/>
        <w:rPr>
          <w:lang w:val="es-ES_tradnl" w:eastAsia="es-MX"/>
        </w:rPr>
      </w:pPr>
    </w:p>
    <w:p w14:paraId="6A8896A3" w14:textId="55FFDF4C" w:rsidR="00917FEA" w:rsidRDefault="00917FEA" w:rsidP="008564B8">
      <w:pPr>
        <w:widowControl w:val="0"/>
        <w:autoSpaceDE w:val="0"/>
        <w:autoSpaceDN w:val="0"/>
        <w:adjustRightInd w:val="0"/>
        <w:spacing w:line="360" w:lineRule="auto"/>
        <w:ind w:firstLine="567"/>
        <w:jc w:val="both"/>
        <w:rPr>
          <w:rFonts w:ascii="Arial" w:eastAsia="Arial" w:hAnsi="Arial" w:cs="Arial"/>
          <w:b/>
          <w:sz w:val="24"/>
          <w:szCs w:val="24"/>
          <w:lang w:eastAsia="es-MX"/>
        </w:rPr>
      </w:pPr>
      <w:r w:rsidRPr="00917FEA">
        <w:rPr>
          <w:rFonts w:ascii="Arial" w:eastAsia="Calibri" w:hAnsi="Arial" w:cs="Arial"/>
          <w:sz w:val="24"/>
          <w:szCs w:val="24"/>
          <w:lang w:val="es-ES_tradnl" w:eastAsia="es-MX"/>
        </w:rPr>
        <w:t xml:space="preserve">En consecuencia, al haberse establecido que </w:t>
      </w:r>
      <w:r w:rsidR="008564B8">
        <w:rPr>
          <w:rFonts w:ascii="Arial" w:eastAsia="Calibri" w:hAnsi="Arial" w:cs="Arial"/>
          <w:sz w:val="24"/>
          <w:szCs w:val="24"/>
          <w:lang w:val="es-ES_tradnl" w:eastAsia="es-MX"/>
        </w:rPr>
        <w:t>formato</w:t>
      </w:r>
      <w:r w:rsidR="008564B8">
        <w:rPr>
          <w:rFonts w:ascii="Arial" w:eastAsia="Arial" w:hAnsi="Arial" w:cs="Arial"/>
          <w:sz w:val="24"/>
          <w:szCs w:val="24"/>
          <w:lang w:eastAsia="es-MX"/>
        </w:rPr>
        <w:t xml:space="preserve"> único de liquidación con número </w:t>
      </w:r>
      <w:r w:rsidR="00CE55F4">
        <w:rPr>
          <w:rFonts w:ascii="Arial" w:eastAsia="Arial" w:hAnsi="Arial" w:cs="Arial"/>
          <w:sz w:val="24"/>
          <w:szCs w:val="24"/>
          <w:lang w:eastAsia="es-MX"/>
        </w:rPr>
        <w:t>**********</w:t>
      </w:r>
      <w:r w:rsidR="008564B8">
        <w:rPr>
          <w:rFonts w:ascii="Arial" w:eastAsia="Arial" w:hAnsi="Arial" w:cs="Arial"/>
          <w:sz w:val="24"/>
          <w:szCs w:val="24"/>
          <w:lang w:eastAsia="es-MX"/>
        </w:rPr>
        <w:t xml:space="preserve"> de cinco de junio de dos mil diecinueve</w:t>
      </w:r>
      <w:r w:rsidR="008564B8" w:rsidRPr="00917FEA">
        <w:rPr>
          <w:rFonts w:ascii="Arial" w:eastAsia="Calibri" w:hAnsi="Arial" w:cs="Arial"/>
          <w:sz w:val="24"/>
          <w:szCs w:val="24"/>
          <w:lang w:val="es-ES_tradnl" w:eastAsia="es-MX"/>
        </w:rPr>
        <w:t xml:space="preserve">, expedido a nombre de </w:t>
      </w:r>
      <w:r w:rsidR="00CE55F4">
        <w:rPr>
          <w:rFonts w:ascii="Arial" w:eastAsia="Calibri" w:hAnsi="Arial" w:cs="Arial"/>
          <w:sz w:val="24"/>
          <w:szCs w:val="24"/>
          <w:lang w:val="es-ES_tradnl" w:eastAsia="es-MX"/>
        </w:rPr>
        <w:t>**********</w:t>
      </w:r>
      <w:r w:rsidR="008564B8" w:rsidRPr="00917FEA">
        <w:rPr>
          <w:rFonts w:ascii="Arial" w:eastAsia="Calibri" w:hAnsi="Arial" w:cs="Arial"/>
          <w:sz w:val="24"/>
          <w:szCs w:val="24"/>
          <w:lang w:val="es-ES_tradnl" w:eastAsia="es-MX"/>
        </w:rPr>
        <w:t>, por la Tesorería Municipal a través de la Unidad de Recaudación de rentas del Municipio de Oaxaca de Juárez, Oaxaca, por la cantidad de $</w:t>
      </w:r>
      <w:r w:rsidR="008564B8">
        <w:rPr>
          <w:rFonts w:ascii="Arial" w:eastAsia="Calibri" w:hAnsi="Arial" w:cs="Arial"/>
          <w:sz w:val="24"/>
          <w:szCs w:val="24"/>
          <w:lang w:val="es-ES_tradnl" w:eastAsia="es-MX"/>
        </w:rPr>
        <w:t>6,318.00 (Seis mil trecientos dieciocho pesos</w:t>
      </w:r>
      <w:r w:rsidR="008564B8" w:rsidRPr="00917FEA">
        <w:rPr>
          <w:rFonts w:ascii="Arial" w:eastAsia="Calibri" w:hAnsi="Arial" w:cs="Arial"/>
          <w:sz w:val="24"/>
          <w:szCs w:val="24"/>
          <w:lang w:val="es-ES_tradnl" w:eastAsia="es-MX"/>
        </w:rPr>
        <w:t xml:space="preserve"> 00/100 M.N.)</w:t>
      </w:r>
      <w:r w:rsidRPr="00917FEA">
        <w:rPr>
          <w:rFonts w:ascii="Arial" w:eastAsia="Calibri" w:hAnsi="Arial" w:cs="Arial"/>
          <w:sz w:val="24"/>
          <w:szCs w:val="24"/>
          <w:lang w:val="es-ES_tradnl" w:eastAsia="es-MX"/>
        </w:rPr>
        <w:t xml:space="preserve">, </w:t>
      </w:r>
      <w:r w:rsidRPr="00390EF0">
        <w:rPr>
          <w:rFonts w:ascii="Arial" w:eastAsia="Calibri" w:hAnsi="Arial" w:cs="Arial"/>
          <w:b/>
          <w:sz w:val="24"/>
          <w:szCs w:val="24"/>
          <w:lang w:val="es-ES_tradnl" w:eastAsia="es-MX"/>
        </w:rPr>
        <w:t>no es un acto impugnable para efectos del juicio contencioso administrativ</w:t>
      </w:r>
      <w:r w:rsidRPr="00917FEA">
        <w:rPr>
          <w:rFonts w:ascii="Arial" w:eastAsia="Calibri" w:hAnsi="Arial" w:cs="Arial"/>
          <w:sz w:val="24"/>
          <w:szCs w:val="24"/>
          <w:lang w:val="es-ES_tradnl" w:eastAsia="es-MX"/>
        </w:rPr>
        <w:t>o</w:t>
      </w:r>
      <w:r w:rsidRPr="00917FEA">
        <w:rPr>
          <w:rFonts w:ascii="Arial" w:eastAsia="Arial" w:hAnsi="Arial" w:cs="Arial"/>
          <w:sz w:val="24"/>
          <w:szCs w:val="24"/>
          <w:lang w:eastAsia="es-MX"/>
        </w:rPr>
        <w:t xml:space="preserve">, se actualiza la causal de improcedencia prevista en el artículo 161 fracción X, en relación con el diverso 133, fracción II, de la Ley de Procedimiento y Justicia Administrativa del Estado, por lo que, con fundamento en el artículo 162, fracción II, de la Ley citada, </w:t>
      </w:r>
      <w:r w:rsidRPr="00917FEA">
        <w:rPr>
          <w:rFonts w:ascii="Arial" w:eastAsia="Arial" w:hAnsi="Arial" w:cs="Arial"/>
          <w:b/>
          <w:sz w:val="24"/>
          <w:szCs w:val="24"/>
          <w:lang w:eastAsia="es-MX"/>
        </w:rPr>
        <w:t>SE SOBRESEE EL JUICIO.</w:t>
      </w:r>
    </w:p>
    <w:p w14:paraId="1507E43A" w14:textId="77777777" w:rsidR="00CF53D3" w:rsidRPr="00CF53D3" w:rsidRDefault="00CF53D3" w:rsidP="008564B8">
      <w:pPr>
        <w:widowControl w:val="0"/>
        <w:autoSpaceDE w:val="0"/>
        <w:autoSpaceDN w:val="0"/>
        <w:adjustRightInd w:val="0"/>
        <w:spacing w:line="360" w:lineRule="auto"/>
        <w:ind w:firstLine="567"/>
        <w:jc w:val="both"/>
        <w:rPr>
          <w:rFonts w:ascii="Arial" w:eastAsia="Calibri" w:hAnsi="Arial" w:cs="Arial"/>
          <w:sz w:val="24"/>
          <w:szCs w:val="24"/>
          <w:lang w:val="es-ES_tradnl" w:eastAsia="es-MX"/>
        </w:rPr>
      </w:pPr>
      <w:r>
        <w:rPr>
          <w:rFonts w:ascii="Arial" w:eastAsia="Arial" w:hAnsi="Arial" w:cs="Arial"/>
          <w:sz w:val="24"/>
          <w:szCs w:val="24"/>
          <w:lang w:eastAsia="es-MX"/>
        </w:rPr>
        <w:t xml:space="preserve">Dejando a salvo el derecho del actor para interponer </w:t>
      </w:r>
      <w:r w:rsidR="007C1666">
        <w:rPr>
          <w:rFonts w:ascii="Arial" w:eastAsia="Arial" w:hAnsi="Arial" w:cs="Arial"/>
          <w:sz w:val="24"/>
          <w:szCs w:val="24"/>
          <w:lang w:eastAsia="es-MX"/>
        </w:rPr>
        <w:t>juicio de nu</w:t>
      </w:r>
      <w:r w:rsidR="007340A6">
        <w:rPr>
          <w:rFonts w:ascii="Arial" w:eastAsia="Arial" w:hAnsi="Arial" w:cs="Arial"/>
          <w:sz w:val="24"/>
          <w:szCs w:val="24"/>
          <w:lang w:eastAsia="es-MX"/>
        </w:rPr>
        <w:t xml:space="preserve">lidad en contra de la resolución </w:t>
      </w:r>
      <w:r w:rsidR="00B978C5">
        <w:rPr>
          <w:rFonts w:ascii="Arial" w:eastAsia="Arial" w:hAnsi="Arial" w:cs="Arial"/>
          <w:sz w:val="24"/>
          <w:szCs w:val="24"/>
          <w:lang w:eastAsia="es-MX"/>
        </w:rPr>
        <w:t xml:space="preserve">definitiva </w:t>
      </w:r>
      <w:r w:rsidR="007340A6">
        <w:rPr>
          <w:rFonts w:ascii="Arial" w:eastAsia="Arial" w:hAnsi="Arial" w:cs="Arial"/>
          <w:sz w:val="24"/>
          <w:szCs w:val="24"/>
          <w:lang w:eastAsia="es-MX"/>
        </w:rPr>
        <w:t xml:space="preserve">que resuelva su solicitud de reducción presentada con fecha </w:t>
      </w:r>
      <w:r w:rsidR="00390EF0">
        <w:rPr>
          <w:rFonts w:ascii="Arial" w:eastAsia="Arial" w:hAnsi="Arial" w:cs="Arial"/>
          <w:sz w:val="24"/>
          <w:szCs w:val="24"/>
          <w:lang w:eastAsia="es-MX"/>
        </w:rPr>
        <w:t xml:space="preserve">quince de mayo de dos mil diecinueve </w:t>
      </w:r>
      <w:r w:rsidR="00A37804">
        <w:rPr>
          <w:rFonts w:ascii="Arial" w:eastAsia="Arial" w:hAnsi="Arial" w:cs="Arial"/>
          <w:sz w:val="24"/>
          <w:szCs w:val="24"/>
          <w:lang w:eastAsia="es-MX"/>
        </w:rPr>
        <w:t xml:space="preserve">o bien </w:t>
      </w:r>
      <w:r w:rsidR="008E097C">
        <w:rPr>
          <w:rFonts w:ascii="Arial" w:eastAsia="Arial" w:hAnsi="Arial" w:cs="Arial"/>
          <w:sz w:val="24"/>
          <w:szCs w:val="24"/>
          <w:lang w:eastAsia="es-MX"/>
        </w:rPr>
        <w:t xml:space="preserve">en contra de la negativa ficta. </w:t>
      </w:r>
    </w:p>
    <w:p w14:paraId="6ACB45F5" w14:textId="77777777" w:rsidR="00917FEA" w:rsidRPr="00917FEA" w:rsidRDefault="00917FEA" w:rsidP="00917FEA">
      <w:pPr>
        <w:spacing w:line="360" w:lineRule="auto"/>
        <w:ind w:right="51" w:firstLine="567"/>
        <w:jc w:val="both"/>
        <w:rPr>
          <w:rFonts w:ascii="Arial" w:eastAsia="Arial" w:hAnsi="Arial" w:cs="Arial"/>
          <w:sz w:val="24"/>
          <w:szCs w:val="24"/>
          <w:lang w:eastAsia="es-MX"/>
        </w:rPr>
      </w:pPr>
      <w:r w:rsidRPr="00917FEA">
        <w:rPr>
          <w:rFonts w:ascii="Arial" w:eastAsia="Arial" w:hAnsi="Arial" w:cs="Arial"/>
          <w:b/>
          <w:sz w:val="24"/>
          <w:szCs w:val="24"/>
          <w:lang w:eastAsia="es-MX"/>
        </w:rPr>
        <w:lastRenderedPageBreak/>
        <w:t xml:space="preserve">CUARTO. </w:t>
      </w:r>
      <w:r w:rsidRPr="00917FEA">
        <w:rPr>
          <w:rFonts w:ascii="Arial" w:eastAsia="Arial" w:hAnsi="Arial" w:cs="Arial"/>
          <w:sz w:val="24"/>
          <w:szCs w:val="24"/>
          <w:lang w:eastAsia="es-MX"/>
        </w:rPr>
        <w:t>Como se ha sobreseído el juicio respecto de los actos impugnados, esta juzgadora se encuentra impedida para entrar al fondo del asunto planteado, es decir, analizar los conceptos de impugnación expresados por la parte actora en su escrito de demanda.</w:t>
      </w:r>
    </w:p>
    <w:p w14:paraId="1347AD63" w14:textId="77777777" w:rsidR="00917FEA" w:rsidRPr="00917FEA" w:rsidRDefault="00917FEA" w:rsidP="00917FEA">
      <w:pPr>
        <w:spacing w:after="0" w:line="360" w:lineRule="auto"/>
        <w:ind w:firstLine="567"/>
        <w:jc w:val="both"/>
        <w:rPr>
          <w:rFonts w:ascii="Arial" w:eastAsia="Arial" w:hAnsi="Arial" w:cs="Arial"/>
          <w:sz w:val="10"/>
          <w:szCs w:val="10"/>
          <w:lang w:eastAsia="es-MX"/>
        </w:rPr>
      </w:pPr>
    </w:p>
    <w:p w14:paraId="3FD3594D" w14:textId="77777777" w:rsidR="00917FEA" w:rsidRPr="00917FEA" w:rsidRDefault="00917FEA" w:rsidP="00917FEA">
      <w:pPr>
        <w:spacing w:after="0" w:line="360" w:lineRule="auto"/>
        <w:ind w:firstLine="567"/>
        <w:jc w:val="both"/>
        <w:rPr>
          <w:rFonts w:ascii="Arial" w:eastAsia="Arial" w:hAnsi="Arial" w:cs="Arial"/>
          <w:sz w:val="24"/>
          <w:szCs w:val="24"/>
          <w:lang w:eastAsia="es-MX"/>
        </w:rPr>
      </w:pPr>
      <w:r w:rsidRPr="00917FEA">
        <w:rPr>
          <w:rFonts w:ascii="Arial" w:eastAsia="Arial" w:hAnsi="Arial" w:cs="Arial"/>
          <w:sz w:val="24"/>
          <w:szCs w:val="24"/>
          <w:lang w:eastAsia="es-MX"/>
        </w:rPr>
        <w:t>Sirve de referencia 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p>
    <w:p w14:paraId="2A15AA81" w14:textId="77777777" w:rsidR="00917FEA" w:rsidRPr="00917FEA" w:rsidRDefault="00917FEA" w:rsidP="00917FEA">
      <w:pPr>
        <w:spacing w:after="0"/>
        <w:ind w:left="567"/>
        <w:jc w:val="both"/>
        <w:rPr>
          <w:rFonts w:ascii="Arial" w:eastAsia="Arial" w:hAnsi="Arial" w:cs="Arial"/>
          <w:sz w:val="14"/>
          <w:szCs w:val="14"/>
          <w:lang w:eastAsia="es-MX"/>
        </w:rPr>
      </w:pPr>
    </w:p>
    <w:p w14:paraId="1C3ACDF0" w14:textId="77777777" w:rsidR="00917FEA" w:rsidRPr="00917FEA" w:rsidRDefault="00917FEA" w:rsidP="00917FEA">
      <w:pPr>
        <w:ind w:left="567" w:right="425"/>
        <w:jc w:val="both"/>
        <w:rPr>
          <w:rFonts w:ascii="Arial" w:eastAsia="Arial" w:hAnsi="Arial" w:cs="Arial"/>
          <w:i/>
          <w:lang w:eastAsia="es-MX"/>
        </w:rPr>
      </w:pPr>
      <w:r w:rsidRPr="00917FEA">
        <w:rPr>
          <w:rFonts w:ascii="Arial" w:eastAsia="Arial" w:hAnsi="Arial" w:cs="Arial"/>
          <w:i/>
          <w:lang w:eastAsia="es-MX"/>
        </w:rPr>
        <w:t>“</w:t>
      </w:r>
      <w:r w:rsidRPr="00917FEA">
        <w:rPr>
          <w:rFonts w:ascii="Arial" w:eastAsia="Arial" w:hAnsi="Arial" w:cs="Arial"/>
          <w:b/>
          <w:i/>
          <w:lang w:eastAsia="es-MX"/>
        </w:rPr>
        <w:t>CONCEPTOS DE ANULACIÓN. LA FALTA DE SU ANÁLISIS POR LA SALA FISCAL NO RESULTA ILEGAL, SI SE SOBRESEYÓ EN EL JUICIO DE NULIDAD</w:t>
      </w:r>
      <w:r w:rsidRPr="00917FEA">
        <w:rPr>
          <w:rFonts w:ascii="Arial" w:eastAsia="Arial" w:hAnsi="Arial" w:cs="Arial"/>
          <w:i/>
          <w:lang w:eastAsia="es-MX"/>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16FB3713" w14:textId="77777777" w:rsidR="00917FEA" w:rsidRPr="00917FEA" w:rsidRDefault="00917FEA" w:rsidP="00917FEA">
      <w:pPr>
        <w:tabs>
          <w:tab w:val="left" w:pos="567"/>
        </w:tabs>
        <w:spacing w:line="360" w:lineRule="auto"/>
        <w:ind w:right="51" w:firstLine="709"/>
        <w:jc w:val="both"/>
        <w:rPr>
          <w:rFonts w:ascii="Arial" w:eastAsia="Arial" w:hAnsi="Arial" w:cs="Arial"/>
          <w:sz w:val="24"/>
          <w:szCs w:val="24"/>
          <w:lang w:eastAsia="es-MX"/>
        </w:rPr>
      </w:pPr>
      <w:r w:rsidRPr="00917FEA">
        <w:rPr>
          <w:rFonts w:ascii="Arial" w:eastAsia="Arial" w:hAnsi="Arial" w:cs="Arial"/>
          <w:sz w:val="24"/>
          <w:szCs w:val="24"/>
          <w:lang w:eastAsia="es-MX"/>
        </w:rPr>
        <w:t xml:space="preserve">En mérito de lo expuesto y con fundamento en los artículos 161, fracción X, 162 fracción II y 207, de la Ley de Procedimiento y Justicia Administrativa para el Estado de Oaxaca, se: - - - - - - - - - - - - - - - - - - - - - - - </w:t>
      </w:r>
      <w:r w:rsidR="00390EF0">
        <w:rPr>
          <w:rFonts w:ascii="Arial" w:eastAsia="Arial" w:hAnsi="Arial" w:cs="Arial"/>
          <w:sz w:val="24"/>
          <w:szCs w:val="24"/>
          <w:lang w:eastAsia="es-MX"/>
        </w:rPr>
        <w:t xml:space="preserve">- - - - - - - - - - - - - - - -  </w:t>
      </w:r>
    </w:p>
    <w:p w14:paraId="3E7C80EF" w14:textId="77777777" w:rsidR="00917FEA" w:rsidRPr="00917FEA" w:rsidRDefault="00917FEA" w:rsidP="00917FEA">
      <w:pPr>
        <w:spacing w:before="240" w:after="0" w:line="360" w:lineRule="auto"/>
        <w:ind w:right="49" w:firstLine="708"/>
        <w:jc w:val="center"/>
        <w:rPr>
          <w:rFonts w:ascii="Arial" w:eastAsia="Arial" w:hAnsi="Arial" w:cs="Arial"/>
          <w:b/>
          <w:sz w:val="24"/>
          <w:szCs w:val="24"/>
          <w:lang w:eastAsia="es-MX"/>
        </w:rPr>
      </w:pPr>
      <w:r w:rsidRPr="00917FEA">
        <w:rPr>
          <w:rFonts w:ascii="Arial" w:eastAsia="Arial" w:hAnsi="Arial" w:cs="Arial"/>
          <w:b/>
          <w:sz w:val="24"/>
          <w:szCs w:val="24"/>
          <w:lang w:eastAsia="es-MX"/>
        </w:rPr>
        <w:t>R E S U E L V E</w:t>
      </w:r>
    </w:p>
    <w:p w14:paraId="496B3108" w14:textId="77777777" w:rsidR="00917FEA" w:rsidRPr="00917FEA" w:rsidRDefault="00917FEA" w:rsidP="00917FEA">
      <w:pPr>
        <w:spacing w:before="240" w:after="0" w:line="360" w:lineRule="auto"/>
        <w:ind w:right="49" w:firstLine="567"/>
        <w:jc w:val="both"/>
        <w:rPr>
          <w:rFonts w:ascii="Arial" w:eastAsia="Arial" w:hAnsi="Arial" w:cs="Arial"/>
          <w:sz w:val="24"/>
          <w:szCs w:val="24"/>
          <w:lang w:eastAsia="es-MX"/>
        </w:rPr>
      </w:pPr>
      <w:r w:rsidRPr="00917FEA">
        <w:rPr>
          <w:rFonts w:ascii="Arial" w:eastAsia="Arial" w:hAnsi="Arial" w:cs="Arial"/>
          <w:b/>
          <w:sz w:val="24"/>
          <w:szCs w:val="24"/>
          <w:lang w:eastAsia="es-MX"/>
        </w:rPr>
        <w:t>PRIMERO.</w:t>
      </w:r>
      <w:r w:rsidRPr="00917FEA">
        <w:rPr>
          <w:rFonts w:ascii="Arial" w:eastAsia="Arial" w:hAnsi="Arial" w:cs="Arial"/>
          <w:sz w:val="24"/>
          <w:szCs w:val="24"/>
          <w:lang w:eastAsia="es-MX"/>
        </w:rPr>
        <w:t xml:space="preserve"> Esta Sexta Sala Unitaria de este Tribunal de Justicia Administrativa para el Estado de Oaxaca, </w:t>
      </w:r>
      <w:r w:rsidRPr="00917FEA">
        <w:rPr>
          <w:rFonts w:ascii="Arial" w:eastAsia="Arial" w:hAnsi="Arial" w:cs="Arial"/>
          <w:b/>
          <w:sz w:val="24"/>
          <w:szCs w:val="24"/>
          <w:lang w:eastAsia="es-MX"/>
        </w:rPr>
        <w:t>es competente</w:t>
      </w:r>
      <w:r w:rsidRPr="00917FEA">
        <w:rPr>
          <w:rFonts w:ascii="Arial" w:eastAsia="Arial" w:hAnsi="Arial" w:cs="Arial"/>
          <w:sz w:val="24"/>
          <w:szCs w:val="24"/>
          <w:lang w:eastAsia="es-MX"/>
        </w:rPr>
        <w:t xml:space="preserve"> para conocer y resolver del presente asunto. - - - - - - - - - - - - - - - - - - - - - - - - - - - - - - - - - - </w:t>
      </w:r>
      <w:r w:rsidR="00390EF0">
        <w:rPr>
          <w:rFonts w:ascii="Arial" w:eastAsia="Arial" w:hAnsi="Arial" w:cs="Arial"/>
          <w:sz w:val="24"/>
          <w:szCs w:val="24"/>
          <w:lang w:eastAsia="es-MX"/>
        </w:rPr>
        <w:t xml:space="preserve">- - - </w:t>
      </w:r>
    </w:p>
    <w:p w14:paraId="3044E270" w14:textId="77777777" w:rsidR="00917FEA" w:rsidRPr="00917FEA" w:rsidRDefault="00917FEA" w:rsidP="00917FEA">
      <w:pPr>
        <w:spacing w:before="240" w:line="360" w:lineRule="auto"/>
        <w:ind w:right="49" w:firstLine="567"/>
        <w:jc w:val="both"/>
        <w:rPr>
          <w:rFonts w:ascii="Arial" w:eastAsia="Arial" w:hAnsi="Arial" w:cs="Arial"/>
          <w:sz w:val="24"/>
          <w:szCs w:val="24"/>
          <w:lang w:eastAsia="es-MX"/>
        </w:rPr>
      </w:pPr>
      <w:r w:rsidRPr="00917FEA">
        <w:rPr>
          <w:rFonts w:ascii="Arial" w:eastAsia="Arial" w:hAnsi="Arial" w:cs="Arial"/>
          <w:b/>
          <w:sz w:val="24"/>
          <w:szCs w:val="24"/>
          <w:lang w:eastAsia="es-MX"/>
        </w:rPr>
        <w:t>SEGUNDO.</w:t>
      </w:r>
      <w:r w:rsidRPr="00917FEA">
        <w:rPr>
          <w:rFonts w:ascii="Arial" w:eastAsia="Arial" w:hAnsi="Arial" w:cs="Arial"/>
          <w:sz w:val="24"/>
          <w:szCs w:val="24"/>
          <w:lang w:eastAsia="es-MX"/>
        </w:rPr>
        <w:t xml:space="preserve"> </w:t>
      </w:r>
      <w:r w:rsidRPr="00917FEA">
        <w:rPr>
          <w:rFonts w:ascii="Arial" w:eastAsia="Arial" w:hAnsi="Arial" w:cs="Arial"/>
          <w:b/>
          <w:sz w:val="24"/>
          <w:szCs w:val="24"/>
          <w:lang w:eastAsia="es-MX"/>
        </w:rPr>
        <w:t>La personalidad</w:t>
      </w:r>
      <w:r w:rsidRPr="00917FEA">
        <w:rPr>
          <w:rFonts w:ascii="Arial" w:eastAsia="Arial" w:hAnsi="Arial" w:cs="Arial"/>
          <w:sz w:val="24"/>
          <w:szCs w:val="24"/>
          <w:lang w:eastAsia="es-MX"/>
        </w:rPr>
        <w:t xml:space="preserve"> de las partes quedó acreditada en autos.- </w:t>
      </w:r>
      <w:r w:rsidR="00390EF0">
        <w:rPr>
          <w:rFonts w:ascii="Arial" w:eastAsia="Arial" w:hAnsi="Arial" w:cs="Arial"/>
          <w:sz w:val="24"/>
          <w:szCs w:val="24"/>
          <w:lang w:eastAsia="es-MX"/>
        </w:rPr>
        <w:t>-</w:t>
      </w:r>
    </w:p>
    <w:p w14:paraId="5DAFB70E" w14:textId="77777777" w:rsidR="00917FEA" w:rsidRPr="00917FEA" w:rsidRDefault="00917FEA" w:rsidP="00917FEA">
      <w:pPr>
        <w:spacing w:line="360" w:lineRule="auto"/>
        <w:ind w:right="51" w:firstLine="567"/>
        <w:jc w:val="both"/>
        <w:rPr>
          <w:rFonts w:ascii="Arial" w:eastAsia="Arial" w:hAnsi="Arial" w:cs="Arial"/>
          <w:color w:val="000000"/>
          <w:sz w:val="24"/>
          <w:szCs w:val="24"/>
          <w:lang w:eastAsia="es-MX"/>
        </w:rPr>
      </w:pPr>
      <w:r w:rsidRPr="00917FEA">
        <w:rPr>
          <w:rFonts w:ascii="Arial" w:eastAsia="Arial" w:hAnsi="Arial" w:cs="Arial"/>
          <w:b/>
          <w:sz w:val="24"/>
          <w:szCs w:val="24"/>
          <w:lang w:eastAsia="es-MX"/>
        </w:rPr>
        <w:t xml:space="preserve">TERCERO. </w:t>
      </w:r>
      <w:r w:rsidRPr="00917FEA">
        <w:rPr>
          <w:rFonts w:ascii="Arial" w:eastAsia="Arial" w:hAnsi="Arial" w:cs="Arial"/>
          <w:sz w:val="24"/>
          <w:szCs w:val="24"/>
          <w:lang w:eastAsia="es-MX"/>
        </w:rPr>
        <w:t>Al actualizarse</w:t>
      </w:r>
      <w:r w:rsidRPr="00917FEA">
        <w:rPr>
          <w:rFonts w:ascii="Arial" w:eastAsia="Arial" w:hAnsi="Arial" w:cs="Arial"/>
          <w:b/>
          <w:sz w:val="24"/>
          <w:szCs w:val="24"/>
          <w:lang w:eastAsia="es-MX"/>
        </w:rPr>
        <w:t xml:space="preserve"> </w:t>
      </w:r>
      <w:r w:rsidRPr="00917FEA">
        <w:rPr>
          <w:rFonts w:ascii="Arial" w:eastAsia="Arial" w:hAnsi="Arial" w:cs="Arial"/>
          <w:color w:val="000000"/>
          <w:sz w:val="24"/>
          <w:szCs w:val="24"/>
          <w:lang w:eastAsia="es-MX"/>
        </w:rPr>
        <w:t xml:space="preserve">la causal de improcedencia prevista en la fracción X del artículo 161, en relación con la fracción II del artículo 162, y 133 fracción II, de la Ley de la materia, se ordena </w:t>
      </w:r>
      <w:r w:rsidRPr="00917FEA">
        <w:rPr>
          <w:rFonts w:ascii="Arial" w:eastAsia="Arial" w:hAnsi="Arial" w:cs="Arial"/>
          <w:b/>
          <w:color w:val="000000"/>
          <w:sz w:val="24"/>
          <w:szCs w:val="24"/>
          <w:lang w:eastAsia="es-MX"/>
        </w:rPr>
        <w:t>SOBRESEER EL JUICIO</w:t>
      </w:r>
      <w:r w:rsidRPr="00917FEA">
        <w:rPr>
          <w:rFonts w:ascii="Arial" w:eastAsia="Arial" w:hAnsi="Arial" w:cs="Arial"/>
          <w:color w:val="000000"/>
          <w:sz w:val="24"/>
          <w:szCs w:val="24"/>
          <w:lang w:eastAsia="es-MX"/>
        </w:rPr>
        <w:t>, como se determinó en el considerando</w:t>
      </w:r>
      <w:r w:rsidRPr="00917FEA">
        <w:rPr>
          <w:rFonts w:ascii="Arial" w:eastAsia="Arial" w:hAnsi="Arial" w:cs="Arial"/>
          <w:b/>
          <w:color w:val="000000"/>
          <w:sz w:val="24"/>
          <w:szCs w:val="24"/>
          <w:lang w:eastAsia="es-MX"/>
        </w:rPr>
        <w:t xml:space="preserve"> tercero</w:t>
      </w:r>
      <w:r w:rsidRPr="00917FEA">
        <w:rPr>
          <w:rFonts w:ascii="Arial" w:eastAsia="Arial" w:hAnsi="Arial" w:cs="Arial"/>
          <w:color w:val="000000"/>
          <w:sz w:val="24"/>
          <w:szCs w:val="24"/>
          <w:lang w:eastAsia="es-MX"/>
        </w:rPr>
        <w:t xml:space="preserve"> de esta sentencia. - - - - - - - - - - - - </w:t>
      </w:r>
    </w:p>
    <w:p w14:paraId="390E8228" w14:textId="77777777" w:rsidR="00917FEA" w:rsidRPr="00917FEA" w:rsidRDefault="00917FEA" w:rsidP="00917FEA">
      <w:pPr>
        <w:widowControl w:val="0"/>
        <w:spacing w:line="360" w:lineRule="auto"/>
        <w:ind w:right="51" w:firstLine="567"/>
        <w:jc w:val="both"/>
        <w:rPr>
          <w:rFonts w:ascii="Arial" w:eastAsia="Arial" w:hAnsi="Arial" w:cs="Arial"/>
          <w:sz w:val="24"/>
          <w:szCs w:val="24"/>
          <w:lang w:eastAsia="es-MX"/>
        </w:rPr>
      </w:pPr>
      <w:r w:rsidRPr="00917FEA">
        <w:rPr>
          <w:rFonts w:ascii="Arial" w:eastAsia="Arial" w:hAnsi="Arial" w:cs="Arial"/>
          <w:b/>
          <w:sz w:val="24"/>
          <w:szCs w:val="24"/>
          <w:lang w:eastAsia="es-MX"/>
        </w:rPr>
        <w:t>CUARTO.</w:t>
      </w:r>
      <w:r w:rsidRPr="00917FEA">
        <w:rPr>
          <w:rFonts w:ascii="Arial" w:eastAsia="Arial" w:hAnsi="Arial" w:cs="Arial"/>
          <w:sz w:val="24"/>
          <w:szCs w:val="24"/>
          <w:lang w:eastAsia="es-MX"/>
        </w:rPr>
        <w:t xml:space="preserve"> Al sobreseerse el juicio, esta autoridad jurisdiccional se encuentra impedido para entrar al fondo del asunto como quedo precisado en el considerando </w:t>
      </w:r>
      <w:r w:rsidRPr="00917FEA">
        <w:rPr>
          <w:rFonts w:ascii="Arial" w:eastAsia="Arial" w:hAnsi="Arial" w:cs="Arial"/>
          <w:b/>
          <w:sz w:val="24"/>
          <w:szCs w:val="24"/>
          <w:lang w:eastAsia="es-MX"/>
        </w:rPr>
        <w:t>cuarto</w:t>
      </w:r>
      <w:r w:rsidRPr="00917FEA">
        <w:rPr>
          <w:rFonts w:ascii="Arial" w:eastAsia="Arial" w:hAnsi="Arial" w:cs="Arial"/>
          <w:sz w:val="24"/>
          <w:szCs w:val="24"/>
          <w:lang w:eastAsia="es-MX"/>
        </w:rPr>
        <w:t xml:space="preserve"> de esta sentencia. - - - - - - - - - - - - - - - - - - - - - - - </w:t>
      </w:r>
      <w:r w:rsidR="00390EF0">
        <w:rPr>
          <w:rFonts w:ascii="Arial" w:eastAsia="Arial" w:hAnsi="Arial" w:cs="Arial"/>
          <w:sz w:val="24"/>
          <w:szCs w:val="24"/>
          <w:lang w:eastAsia="es-MX"/>
        </w:rPr>
        <w:t xml:space="preserve">- - - - - - </w:t>
      </w:r>
    </w:p>
    <w:p w14:paraId="7CA40BD9" w14:textId="77777777" w:rsidR="00917FEA" w:rsidRPr="00917FEA" w:rsidRDefault="00917FEA" w:rsidP="00917FEA">
      <w:pPr>
        <w:spacing w:before="240" w:line="360" w:lineRule="auto"/>
        <w:ind w:right="49" w:firstLine="567"/>
        <w:jc w:val="both"/>
        <w:rPr>
          <w:rFonts w:ascii="Arial" w:eastAsia="Arial" w:hAnsi="Arial" w:cs="Arial"/>
          <w:sz w:val="24"/>
          <w:szCs w:val="24"/>
          <w:lang w:eastAsia="es-MX"/>
        </w:rPr>
      </w:pPr>
      <w:r w:rsidRPr="00917FEA">
        <w:rPr>
          <w:rFonts w:ascii="Arial" w:eastAsia="Arial" w:hAnsi="Arial" w:cs="Arial"/>
          <w:b/>
          <w:sz w:val="24"/>
          <w:szCs w:val="24"/>
          <w:lang w:eastAsia="es-MX"/>
        </w:rPr>
        <w:t xml:space="preserve">QUINTO. </w:t>
      </w:r>
      <w:r w:rsidRPr="00917FEA">
        <w:rPr>
          <w:rFonts w:ascii="Arial" w:eastAsia="Arial" w:hAnsi="Arial" w:cs="Arial"/>
          <w:sz w:val="24"/>
          <w:szCs w:val="24"/>
          <w:lang w:eastAsia="es-MX"/>
        </w:rPr>
        <w:t xml:space="preserve">Con fundamento en los artículos 172 fracción I y 173 fracciones I y II, de la Ley de Procedimiento y Justicia Administrativa para el Estado de Oaxaca, </w:t>
      </w:r>
      <w:r w:rsidRPr="00917FEA">
        <w:rPr>
          <w:rFonts w:ascii="Arial" w:eastAsia="Arial" w:hAnsi="Arial" w:cs="Arial"/>
          <w:b/>
          <w:sz w:val="24"/>
          <w:szCs w:val="24"/>
          <w:lang w:eastAsia="es-MX"/>
        </w:rPr>
        <w:t xml:space="preserve">NOTIFÍQUESE </w:t>
      </w:r>
      <w:r w:rsidRPr="00917FEA">
        <w:rPr>
          <w:rFonts w:ascii="Arial" w:eastAsia="Arial" w:hAnsi="Arial" w:cs="Arial"/>
          <w:sz w:val="24"/>
          <w:szCs w:val="24"/>
          <w:lang w:eastAsia="es-MX"/>
        </w:rPr>
        <w:t>personalmente a la parte actora</w:t>
      </w:r>
      <w:r w:rsidRPr="00917FEA">
        <w:rPr>
          <w:rFonts w:ascii="Arial" w:eastAsia="Arial" w:hAnsi="Arial" w:cs="Arial"/>
          <w:b/>
          <w:sz w:val="24"/>
          <w:szCs w:val="24"/>
          <w:lang w:eastAsia="es-MX"/>
        </w:rPr>
        <w:t xml:space="preserve"> </w:t>
      </w:r>
      <w:r w:rsidRPr="00917FEA">
        <w:rPr>
          <w:rFonts w:ascii="Arial" w:eastAsia="Arial" w:hAnsi="Arial" w:cs="Arial"/>
          <w:sz w:val="24"/>
          <w:szCs w:val="24"/>
          <w:lang w:eastAsia="es-MX"/>
        </w:rPr>
        <w:t>y por oficio a las autoridades demandadas.</w:t>
      </w:r>
      <w:r w:rsidRPr="00917FEA">
        <w:rPr>
          <w:rFonts w:ascii="Arial" w:eastAsia="Arial" w:hAnsi="Arial" w:cs="Arial"/>
          <w:b/>
          <w:sz w:val="24"/>
          <w:szCs w:val="24"/>
          <w:lang w:eastAsia="es-MX"/>
        </w:rPr>
        <w:t xml:space="preserve"> CÚMPLASE</w:t>
      </w:r>
      <w:r w:rsidRPr="00917FEA">
        <w:rPr>
          <w:rFonts w:ascii="Arial" w:eastAsia="Arial" w:hAnsi="Arial" w:cs="Arial"/>
          <w:sz w:val="24"/>
          <w:szCs w:val="24"/>
          <w:lang w:eastAsia="es-MX"/>
        </w:rPr>
        <w:t xml:space="preserve">. - - - - - - - - - - - - - - - - - - </w:t>
      </w:r>
      <w:r w:rsidR="00390EF0">
        <w:rPr>
          <w:rFonts w:ascii="Arial" w:eastAsia="Arial" w:hAnsi="Arial" w:cs="Arial"/>
          <w:sz w:val="24"/>
          <w:szCs w:val="24"/>
          <w:lang w:eastAsia="es-MX"/>
        </w:rPr>
        <w:t>- - - - - - - - - - -</w:t>
      </w:r>
    </w:p>
    <w:p w14:paraId="3C67836F" w14:textId="77777777" w:rsidR="00917FEA" w:rsidRPr="00917FEA" w:rsidRDefault="00917FEA" w:rsidP="00917FEA">
      <w:pPr>
        <w:spacing w:after="0" w:line="360" w:lineRule="auto"/>
        <w:ind w:right="49" w:firstLine="708"/>
        <w:jc w:val="both"/>
        <w:rPr>
          <w:rFonts w:ascii="Arial" w:eastAsia="Arial" w:hAnsi="Arial" w:cs="Arial"/>
          <w:sz w:val="24"/>
          <w:szCs w:val="24"/>
          <w:lang w:eastAsia="es-MX"/>
        </w:rPr>
      </w:pPr>
      <w:r w:rsidRPr="00917FEA">
        <w:rPr>
          <w:rFonts w:ascii="Arial" w:eastAsia="Arial" w:hAnsi="Arial" w:cs="Arial"/>
          <w:sz w:val="24"/>
          <w:szCs w:val="24"/>
          <w:lang w:eastAsia="es-MX"/>
        </w:rPr>
        <w:lastRenderedPageBreak/>
        <w:t>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 - - - - - - - - - - - - - - - - -</w:t>
      </w:r>
      <w:r w:rsidR="007D4E36">
        <w:rPr>
          <w:rFonts w:ascii="Arial" w:eastAsia="Arial" w:hAnsi="Arial" w:cs="Arial"/>
          <w:sz w:val="24"/>
          <w:szCs w:val="24"/>
          <w:lang w:eastAsia="es-MX"/>
        </w:rPr>
        <w:t xml:space="preserve"> - - -.</w:t>
      </w:r>
      <w:r w:rsidRPr="00917FEA">
        <w:rPr>
          <w:rFonts w:ascii="Arial" w:eastAsia="Arial" w:hAnsi="Arial" w:cs="Arial"/>
          <w:sz w:val="24"/>
          <w:szCs w:val="24"/>
          <w:lang w:eastAsia="es-MX"/>
        </w:rPr>
        <w:t xml:space="preserve"> </w:t>
      </w:r>
    </w:p>
    <w:p w14:paraId="6A2A200C" w14:textId="77777777" w:rsidR="00917FEA" w:rsidRDefault="00917FEA" w:rsidP="007F46BD">
      <w:pPr>
        <w:tabs>
          <w:tab w:val="left" w:pos="6946"/>
        </w:tabs>
        <w:spacing w:before="240" w:line="360" w:lineRule="auto"/>
        <w:ind w:right="-93" w:firstLine="567"/>
        <w:jc w:val="both"/>
        <w:rPr>
          <w:rFonts w:ascii="Arial" w:eastAsia="Arial" w:hAnsi="Arial" w:cs="Arial"/>
          <w:sz w:val="24"/>
          <w:szCs w:val="24"/>
        </w:rPr>
      </w:pPr>
    </w:p>
    <w:p w14:paraId="6D1C6DAF" w14:textId="77777777" w:rsidR="007F46BD" w:rsidRDefault="007F46BD" w:rsidP="0087499F">
      <w:pPr>
        <w:tabs>
          <w:tab w:val="center" w:pos="-1418"/>
          <w:tab w:val="center" w:pos="4419"/>
          <w:tab w:val="right" w:pos="8838"/>
        </w:tabs>
        <w:spacing w:after="240" w:line="360" w:lineRule="auto"/>
        <w:ind w:firstLine="709"/>
        <w:jc w:val="both"/>
        <w:rPr>
          <w:rFonts w:ascii="Arial" w:hAnsi="Arial" w:cs="Arial"/>
          <w:sz w:val="24"/>
          <w:szCs w:val="24"/>
        </w:rPr>
      </w:pPr>
    </w:p>
    <w:p w14:paraId="76A8C00B" w14:textId="77777777" w:rsidR="00351896" w:rsidRDefault="00351896" w:rsidP="0071256D">
      <w:pPr>
        <w:tabs>
          <w:tab w:val="center" w:pos="-1418"/>
          <w:tab w:val="center" w:pos="4419"/>
          <w:tab w:val="right" w:pos="8838"/>
        </w:tabs>
        <w:spacing w:after="240" w:line="360" w:lineRule="auto"/>
        <w:ind w:firstLine="709"/>
        <w:jc w:val="both"/>
        <w:rPr>
          <w:rFonts w:ascii="Arial" w:hAnsi="Arial" w:cs="Arial"/>
          <w:sz w:val="24"/>
          <w:szCs w:val="24"/>
        </w:rPr>
      </w:pPr>
    </w:p>
    <w:p w14:paraId="42DC4E5F" w14:textId="77777777" w:rsidR="00A60C16" w:rsidRPr="00440C48" w:rsidRDefault="00A60C16" w:rsidP="00A60C16">
      <w:pPr>
        <w:spacing w:line="360" w:lineRule="auto"/>
        <w:ind w:firstLine="709"/>
        <w:jc w:val="both"/>
        <w:rPr>
          <w:rFonts w:ascii="Arial" w:hAnsi="Arial" w:cs="Arial"/>
          <w:b/>
          <w:bCs/>
          <w:sz w:val="24"/>
          <w:szCs w:val="24"/>
        </w:rPr>
      </w:pPr>
    </w:p>
    <w:p w14:paraId="18B76D67" w14:textId="77777777" w:rsidR="00CD5F24" w:rsidRDefault="00CD5F24"/>
    <w:sectPr w:rsidR="00CD5F24" w:rsidSect="00390EF0">
      <w:headerReference w:type="default" r:id="rId7"/>
      <w:headerReference w:type="first" r:id="rId8"/>
      <w:pgSz w:w="12240" w:h="20160" w:code="5"/>
      <w:pgMar w:top="1417" w:right="1701" w:bottom="1417"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462E8" w14:textId="77777777" w:rsidR="00D914E6" w:rsidRDefault="00D914E6" w:rsidP="007F46BD">
      <w:pPr>
        <w:spacing w:after="0" w:line="240" w:lineRule="auto"/>
      </w:pPr>
      <w:r>
        <w:separator/>
      </w:r>
    </w:p>
  </w:endnote>
  <w:endnote w:type="continuationSeparator" w:id="0">
    <w:p w14:paraId="57A809D9" w14:textId="77777777" w:rsidR="00D914E6" w:rsidRDefault="00D914E6" w:rsidP="007F4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3271D" w14:textId="77777777" w:rsidR="00D914E6" w:rsidRDefault="00D914E6" w:rsidP="007F46BD">
      <w:pPr>
        <w:spacing w:after="0" w:line="240" w:lineRule="auto"/>
      </w:pPr>
      <w:r>
        <w:separator/>
      </w:r>
    </w:p>
  </w:footnote>
  <w:footnote w:type="continuationSeparator" w:id="0">
    <w:p w14:paraId="7866C7BF" w14:textId="77777777" w:rsidR="00D914E6" w:rsidRDefault="00D914E6" w:rsidP="007F46BD">
      <w:pPr>
        <w:spacing w:after="0" w:line="240" w:lineRule="auto"/>
      </w:pPr>
      <w:r>
        <w:continuationSeparator/>
      </w:r>
    </w:p>
  </w:footnote>
  <w:footnote w:id="1">
    <w:p w14:paraId="2256BD9B" w14:textId="77777777" w:rsidR="007F46BD" w:rsidRDefault="007F46BD" w:rsidP="007F46BD">
      <w:pPr>
        <w:pBdr>
          <w:top w:val="nil"/>
          <w:left w:val="nil"/>
          <w:bottom w:val="nil"/>
          <w:right w:val="nil"/>
          <w:between w:val="nil"/>
        </w:pBdr>
        <w:spacing w:after="0" w:line="240" w:lineRule="auto"/>
        <w:jc w:val="both"/>
        <w:rPr>
          <w:color w:val="000000"/>
          <w:sz w:val="20"/>
          <w:szCs w:val="20"/>
        </w:rPr>
      </w:pPr>
      <w:r>
        <w:rPr>
          <w:vertAlign w:val="superscript"/>
        </w:rPr>
        <w:footnoteRef/>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4B4A8FD" w14:textId="77777777" w:rsidR="00917FEA" w:rsidRDefault="00917FEA" w:rsidP="00917FEA">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51C3EF44" w14:textId="77777777" w:rsidR="00917FEA" w:rsidRDefault="00917FEA" w:rsidP="00917FEA">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418485"/>
      <w:docPartObj>
        <w:docPartGallery w:val="Page Numbers (Top of Page)"/>
        <w:docPartUnique/>
      </w:docPartObj>
    </w:sdtPr>
    <w:sdtContent>
      <w:p w14:paraId="1366DB48" w14:textId="73589945" w:rsidR="00390EF0" w:rsidRDefault="00390EF0">
        <w:pPr>
          <w:pStyle w:val="Encabezado"/>
          <w:jc w:val="center"/>
        </w:pPr>
        <w:r>
          <w:fldChar w:fldCharType="begin"/>
        </w:r>
        <w:r>
          <w:instrText>PAGE   \* MERGEFORMAT</w:instrText>
        </w:r>
        <w:r>
          <w:fldChar w:fldCharType="separate"/>
        </w:r>
        <w:r w:rsidRPr="00390EF0">
          <w:rPr>
            <w:noProof/>
            <w:lang w:val="es-ES"/>
          </w:rPr>
          <w:t>10</w:t>
        </w:r>
        <w:r>
          <w:fldChar w:fldCharType="end"/>
        </w:r>
      </w:p>
    </w:sdtContent>
  </w:sdt>
  <w:p w14:paraId="6BF707D6" w14:textId="28FCD21F" w:rsidR="00390EF0" w:rsidRDefault="00C37D8E">
    <w:pPr>
      <w:pStyle w:val="Encabezado"/>
    </w:pPr>
    <w:r>
      <w:rPr>
        <w:noProof/>
      </w:rPr>
      <mc:AlternateContent>
        <mc:Choice Requires="wps">
          <w:drawing>
            <wp:anchor distT="0" distB="0" distL="114300" distR="114300" simplePos="0" relativeHeight="251659264" behindDoc="1" locked="0" layoutInCell="1" allowOverlap="1" wp14:anchorId="0309F32D" wp14:editId="0615B207">
              <wp:simplePos x="0" y="0"/>
              <wp:positionH relativeFrom="page">
                <wp:align>left</wp:align>
              </wp:positionH>
              <wp:positionV relativeFrom="paragraph">
                <wp:posOffset>327025</wp:posOffset>
              </wp:positionV>
              <wp:extent cx="1009650" cy="997585"/>
              <wp:effectExtent l="0" t="0" r="19050" b="1206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D658EDC" w14:textId="77777777" w:rsidR="00C37D8E" w:rsidRPr="00035E13" w:rsidRDefault="00C37D8E" w:rsidP="00C37D8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2" o:spid="_x0000_s1026" type="#_x0000_t202" style="position:absolute;margin-left:0;margin-top:25.75pt;width:79.5pt;height:78.5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" fillcolor="window" strokeweight=".5pt">
              <v:path arrowok="t"/>
              <v:textbox>
                <w:txbxContent>
                  <w:p w14:paraId="1D658EDC" w14:textId="77777777" w:rsidR="00C37D8E" w:rsidRPr="00035E13" w:rsidRDefault="00C37D8E" w:rsidP="00C37D8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C4CEF" w14:textId="096D543C" w:rsidR="00C37D8E" w:rsidRDefault="00C37D8E">
    <w:pPr>
      <w:pStyle w:val="Encabezado"/>
    </w:pPr>
    <w:r>
      <w:rPr>
        <w:noProof/>
      </w:rPr>
      <mc:AlternateContent>
        <mc:Choice Requires="wps">
          <w:drawing>
            <wp:anchor distT="0" distB="0" distL="114300" distR="114300" simplePos="0" relativeHeight="251658240" behindDoc="1" locked="0" layoutInCell="1" allowOverlap="1" wp14:anchorId="0309F32D" wp14:editId="11385DCE">
              <wp:simplePos x="0" y="0"/>
              <wp:positionH relativeFrom="page">
                <wp:posOffset>85725</wp:posOffset>
              </wp:positionH>
              <wp:positionV relativeFrom="paragraph">
                <wp:posOffset>602615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04A04794" w14:textId="77777777" w:rsidR="00C37D8E" w:rsidRPr="00035E13" w:rsidRDefault="00C37D8E" w:rsidP="00C37D8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7" type="#_x0000_t202" style="position:absolute;margin-left:6.75pt;margin-top:47.45pt;width:79.5pt;height:78.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" fillcolor="window" strokeweight=".5pt">
              <v:path arrowok="t"/>
              <v:textbox>
                <w:txbxContent>
                  <w:p w14:paraId="04A04794" w14:textId="77777777" w:rsidR="00C37D8E" w:rsidRPr="00035E13" w:rsidRDefault="00C37D8E" w:rsidP="00C37D8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C16"/>
    <w:rsid w:val="00007555"/>
    <w:rsid w:val="00024152"/>
    <w:rsid w:val="00025219"/>
    <w:rsid w:val="00044051"/>
    <w:rsid w:val="00090DF8"/>
    <w:rsid w:val="000967E0"/>
    <w:rsid w:val="000A7ADC"/>
    <w:rsid w:val="000C7D85"/>
    <w:rsid w:val="001223C5"/>
    <w:rsid w:val="00131CAD"/>
    <w:rsid w:val="001503ED"/>
    <w:rsid w:val="0017317C"/>
    <w:rsid w:val="0018713F"/>
    <w:rsid w:val="001A3AC8"/>
    <w:rsid w:val="001B2A6E"/>
    <w:rsid w:val="001D00FC"/>
    <w:rsid w:val="001D0792"/>
    <w:rsid w:val="001D401B"/>
    <w:rsid w:val="00216277"/>
    <w:rsid w:val="002507EE"/>
    <w:rsid w:val="00253BD1"/>
    <w:rsid w:val="00256477"/>
    <w:rsid w:val="002723C1"/>
    <w:rsid w:val="00286971"/>
    <w:rsid w:val="002C26FF"/>
    <w:rsid w:val="002E784E"/>
    <w:rsid w:val="003078F0"/>
    <w:rsid w:val="00325E57"/>
    <w:rsid w:val="00335394"/>
    <w:rsid w:val="00346F3A"/>
    <w:rsid w:val="00351896"/>
    <w:rsid w:val="00390EF0"/>
    <w:rsid w:val="003C1515"/>
    <w:rsid w:val="003D0182"/>
    <w:rsid w:val="003E29EF"/>
    <w:rsid w:val="003E3D78"/>
    <w:rsid w:val="003F748B"/>
    <w:rsid w:val="0042596C"/>
    <w:rsid w:val="00443306"/>
    <w:rsid w:val="00483598"/>
    <w:rsid w:val="004B00BF"/>
    <w:rsid w:val="004B40C9"/>
    <w:rsid w:val="004D0870"/>
    <w:rsid w:val="004E4C83"/>
    <w:rsid w:val="00560C60"/>
    <w:rsid w:val="00591DD1"/>
    <w:rsid w:val="005C3FFF"/>
    <w:rsid w:val="005D1FA2"/>
    <w:rsid w:val="006203DC"/>
    <w:rsid w:val="006365BD"/>
    <w:rsid w:val="00650B8E"/>
    <w:rsid w:val="00667AA7"/>
    <w:rsid w:val="00683D2D"/>
    <w:rsid w:val="006872EB"/>
    <w:rsid w:val="00690971"/>
    <w:rsid w:val="00690F83"/>
    <w:rsid w:val="006B6DDD"/>
    <w:rsid w:val="0071256D"/>
    <w:rsid w:val="007220CC"/>
    <w:rsid w:val="00727240"/>
    <w:rsid w:val="0073307C"/>
    <w:rsid w:val="007340A6"/>
    <w:rsid w:val="00735AFC"/>
    <w:rsid w:val="007636DA"/>
    <w:rsid w:val="00770337"/>
    <w:rsid w:val="0077263D"/>
    <w:rsid w:val="007840EF"/>
    <w:rsid w:val="0079371B"/>
    <w:rsid w:val="007A7636"/>
    <w:rsid w:val="007C10D4"/>
    <w:rsid w:val="007C1666"/>
    <w:rsid w:val="007D4E36"/>
    <w:rsid w:val="007F45CF"/>
    <w:rsid w:val="007F46BD"/>
    <w:rsid w:val="00820BD5"/>
    <w:rsid w:val="00822FD6"/>
    <w:rsid w:val="008413CD"/>
    <w:rsid w:val="00850FC4"/>
    <w:rsid w:val="008564B8"/>
    <w:rsid w:val="0087499F"/>
    <w:rsid w:val="008872E9"/>
    <w:rsid w:val="00891DE9"/>
    <w:rsid w:val="00896A64"/>
    <w:rsid w:val="008B6750"/>
    <w:rsid w:val="008D7E2A"/>
    <w:rsid w:val="008E097C"/>
    <w:rsid w:val="008E47E9"/>
    <w:rsid w:val="00917FEA"/>
    <w:rsid w:val="00961ADF"/>
    <w:rsid w:val="00993786"/>
    <w:rsid w:val="009A7FD0"/>
    <w:rsid w:val="00A11BB3"/>
    <w:rsid w:val="00A25E2F"/>
    <w:rsid w:val="00A33F3E"/>
    <w:rsid w:val="00A37804"/>
    <w:rsid w:val="00A45EA2"/>
    <w:rsid w:val="00A53638"/>
    <w:rsid w:val="00A60C16"/>
    <w:rsid w:val="00A72385"/>
    <w:rsid w:val="00AB01FD"/>
    <w:rsid w:val="00AB3F84"/>
    <w:rsid w:val="00AB7A87"/>
    <w:rsid w:val="00AC15A2"/>
    <w:rsid w:val="00AF4187"/>
    <w:rsid w:val="00B06893"/>
    <w:rsid w:val="00B3156C"/>
    <w:rsid w:val="00B978C5"/>
    <w:rsid w:val="00BC3575"/>
    <w:rsid w:val="00BE4823"/>
    <w:rsid w:val="00C16CE0"/>
    <w:rsid w:val="00C20812"/>
    <w:rsid w:val="00C32B89"/>
    <w:rsid w:val="00C37D8E"/>
    <w:rsid w:val="00C539F3"/>
    <w:rsid w:val="00C56994"/>
    <w:rsid w:val="00CD2AC1"/>
    <w:rsid w:val="00CD5F24"/>
    <w:rsid w:val="00CE55F4"/>
    <w:rsid w:val="00CF53D3"/>
    <w:rsid w:val="00D45A39"/>
    <w:rsid w:val="00D70A12"/>
    <w:rsid w:val="00D914E6"/>
    <w:rsid w:val="00D97DB9"/>
    <w:rsid w:val="00DA35CE"/>
    <w:rsid w:val="00DA713C"/>
    <w:rsid w:val="00DD2192"/>
    <w:rsid w:val="00DD4C70"/>
    <w:rsid w:val="00DF4591"/>
    <w:rsid w:val="00E015E6"/>
    <w:rsid w:val="00E22F4E"/>
    <w:rsid w:val="00E2565C"/>
    <w:rsid w:val="00E26545"/>
    <w:rsid w:val="00E52215"/>
    <w:rsid w:val="00E613A0"/>
    <w:rsid w:val="00EA5E41"/>
    <w:rsid w:val="00ED05A4"/>
    <w:rsid w:val="00ED5DD5"/>
    <w:rsid w:val="00EF6850"/>
    <w:rsid w:val="00F338CD"/>
    <w:rsid w:val="00F43849"/>
    <w:rsid w:val="00F910B6"/>
    <w:rsid w:val="00F93113"/>
    <w:rsid w:val="00F95B46"/>
    <w:rsid w:val="00FA231E"/>
    <w:rsid w:val="00FA2F72"/>
    <w:rsid w:val="00FC3744"/>
    <w:rsid w:val="00FC38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1205A"/>
  <w15:chartTrackingRefBased/>
  <w15:docId w15:val="{BA4E7C6C-0A16-4523-8851-C96337A0E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4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60C1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0C16"/>
  </w:style>
  <w:style w:type="paragraph" w:styleId="Sinespaciado">
    <w:name w:val="No Spacing"/>
    <w:uiPriority w:val="1"/>
    <w:qFormat/>
    <w:rsid w:val="00A60C16"/>
    <w:pPr>
      <w:spacing w:after="0" w:line="240" w:lineRule="auto"/>
    </w:pPr>
  </w:style>
  <w:style w:type="paragraph" w:styleId="Piedepgina">
    <w:name w:val="footer"/>
    <w:basedOn w:val="Normal"/>
    <w:link w:val="PiedepginaCar"/>
    <w:uiPriority w:val="99"/>
    <w:unhideWhenUsed/>
    <w:rsid w:val="00390E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0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569775">
      <w:bodyDiv w:val="1"/>
      <w:marLeft w:val="0"/>
      <w:marRight w:val="0"/>
      <w:marTop w:val="0"/>
      <w:marBottom w:val="0"/>
      <w:divBdr>
        <w:top w:val="none" w:sz="0" w:space="0" w:color="auto"/>
        <w:left w:val="none" w:sz="0" w:space="0" w:color="auto"/>
        <w:bottom w:val="none" w:sz="0" w:space="0" w:color="auto"/>
        <w:right w:val="none" w:sz="0" w:space="0" w:color="auto"/>
      </w:divBdr>
    </w:div>
    <w:div w:id="98358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6D3E2-04A8-4300-903C-059FDE7B5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3917</Words>
  <Characters>21547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6</cp:revision>
  <dcterms:created xsi:type="dcterms:W3CDTF">2022-03-23T21:12:00Z</dcterms:created>
  <dcterms:modified xsi:type="dcterms:W3CDTF">2022-07-15T03:19:00Z</dcterms:modified>
</cp:coreProperties>
</file>