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CFCDCD" w:themeColor="background2" w:themeShade="E5"/>
  <w:body>
    <w:p w:rsidR="007323B6" w:rsidRPr="004B0D7E" w:rsidRDefault="007323B6" w:rsidP="007323B6">
      <w:pPr>
        <w:spacing w:after="0"/>
        <w:ind w:left="3686" w:right="51"/>
        <w:jc w:val="both"/>
        <w:rPr>
          <w:rFonts w:ascii="Arial" w:eastAsia="Times New Roman" w:hAnsi="Arial" w:cs="Arial"/>
          <w:b/>
          <w:sz w:val="27"/>
          <w:szCs w:val="27"/>
          <w:lang w:val="es-ES_tradnl" w:eastAsia="es-ES"/>
        </w:rPr>
      </w:pPr>
      <w:r w:rsidRPr="004B0D7E">
        <w:rPr>
          <w:rFonts w:ascii="Arial" w:eastAsia="Times New Roman" w:hAnsi="Arial" w:cs="Arial"/>
          <w:b/>
          <w:sz w:val="27"/>
          <w:szCs w:val="27"/>
          <w:lang w:val="es-ES_tradnl" w:eastAsia="es-ES"/>
        </w:rPr>
        <w:t>TRIBUNAL DE JUSTICIA ADMINISTRATIVA DEL ESTADO DE OAXACA.</w:t>
      </w:r>
    </w:p>
    <w:p w:rsidR="007323B6" w:rsidRPr="004B0D7E" w:rsidRDefault="007323B6" w:rsidP="007323B6">
      <w:pPr>
        <w:spacing w:after="0"/>
        <w:ind w:left="3686" w:right="51"/>
        <w:jc w:val="both"/>
        <w:rPr>
          <w:rFonts w:ascii="Arial" w:eastAsia="Times New Roman" w:hAnsi="Arial" w:cs="Arial"/>
          <w:b/>
          <w:sz w:val="27"/>
          <w:szCs w:val="27"/>
          <w:lang w:val="es-ES_tradnl" w:eastAsia="es-ES"/>
        </w:rPr>
      </w:pPr>
    </w:p>
    <w:p w:rsidR="007323B6" w:rsidRPr="004B0D7E" w:rsidRDefault="007323B6" w:rsidP="007323B6">
      <w:pPr>
        <w:spacing w:after="0"/>
        <w:ind w:left="3686" w:right="51"/>
        <w:jc w:val="both"/>
        <w:rPr>
          <w:rFonts w:ascii="Arial" w:eastAsia="Times New Roman" w:hAnsi="Arial" w:cs="Arial"/>
          <w:b/>
          <w:sz w:val="27"/>
          <w:szCs w:val="27"/>
          <w:lang w:val="es-ES_tradnl" w:eastAsia="es-ES"/>
        </w:rPr>
      </w:pPr>
      <w:r w:rsidRPr="004B0D7E">
        <w:rPr>
          <w:rFonts w:ascii="Arial" w:eastAsia="Times New Roman" w:hAnsi="Arial" w:cs="Arial"/>
          <w:b/>
          <w:sz w:val="27"/>
          <w:szCs w:val="27"/>
          <w:lang w:val="es-ES_tradnl" w:eastAsia="es-ES"/>
        </w:rPr>
        <w:t>SEXTA SALA UNITARIA DE PRIMERA INSTANCIA.</w:t>
      </w:r>
    </w:p>
    <w:p w:rsidR="007323B6" w:rsidRPr="004B0D7E" w:rsidRDefault="007323B6" w:rsidP="007323B6">
      <w:pPr>
        <w:spacing w:after="0"/>
        <w:ind w:left="3686" w:right="51"/>
        <w:jc w:val="both"/>
        <w:rPr>
          <w:rFonts w:ascii="Arial" w:eastAsia="Times New Roman" w:hAnsi="Arial" w:cs="Arial"/>
          <w:b/>
          <w:sz w:val="27"/>
          <w:szCs w:val="27"/>
          <w:lang w:val="es-ES_tradnl" w:eastAsia="es-ES"/>
        </w:rPr>
      </w:pPr>
    </w:p>
    <w:p w:rsidR="007323B6" w:rsidRPr="004B0D7E" w:rsidRDefault="007323B6" w:rsidP="007323B6">
      <w:pPr>
        <w:spacing w:after="0"/>
        <w:ind w:left="3686" w:right="51"/>
        <w:jc w:val="both"/>
        <w:rPr>
          <w:rFonts w:ascii="Arial" w:eastAsia="Times New Roman" w:hAnsi="Arial" w:cs="Arial"/>
          <w:bCs/>
          <w:sz w:val="27"/>
          <w:szCs w:val="27"/>
          <w:lang w:val="es-ES_tradnl" w:eastAsia="es-ES"/>
        </w:rPr>
      </w:pPr>
      <w:r w:rsidRPr="004B0D7E">
        <w:rPr>
          <w:rFonts w:ascii="Arial" w:eastAsia="Times New Roman" w:hAnsi="Arial" w:cs="Arial"/>
          <w:b/>
          <w:sz w:val="27"/>
          <w:szCs w:val="27"/>
          <w:lang w:val="es-ES_tradnl" w:eastAsia="es-ES"/>
        </w:rPr>
        <w:t xml:space="preserve">JUICIO DE NULIDAD: </w:t>
      </w:r>
      <w:r>
        <w:rPr>
          <w:rFonts w:ascii="Arial" w:eastAsia="Times New Roman" w:hAnsi="Arial" w:cs="Arial"/>
          <w:bCs/>
          <w:sz w:val="27"/>
          <w:szCs w:val="27"/>
          <w:lang w:val="es-ES_tradnl" w:eastAsia="es-ES"/>
        </w:rPr>
        <w:t>103</w:t>
      </w:r>
      <w:r w:rsidRPr="004B0D7E">
        <w:rPr>
          <w:rFonts w:ascii="Arial" w:eastAsia="Times New Roman" w:hAnsi="Arial" w:cs="Arial"/>
          <w:bCs/>
          <w:sz w:val="27"/>
          <w:szCs w:val="27"/>
          <w:lang w:val="es-ES_tradnl" w:eastAsia="es-ES"/>
        </w:rPr>
        <w:t>/</w:t>
      </w:r>
      <w:r>
        <w:rPr>
          <w:rFonts w:ascii="Arial" w:eastAsia="Times New Roman" w:hAnsi="Arial" w:cs="Arial"/>
          <w:bCs/>
          <w:sz w:val="27"/>
          <w:szCs w:val="27"/>
          <w:lang w:val="es-ES_tradnl" w:eastAsia="es-ES"/>
        </w:rPr>
        <w:t>2020</w:t>
      </w:r>
      <w:r w:rsidRPr="004B0D7E">
        <w:rPr>
          <w:rFonts w:ascii="Arial" w:eastAsia="Times New Roman" w:hAnsi="Arial" w:cs="Arial"/>
          <w:bCs/>
          <w:sz w:val="27"/>
          <w:szCs w:val="27"/>
          <w:lang w:val="es-ES_tradnl" w:eastAsia="es-ES"/>
        </w:rPr>
        <w:t xml:space="preserve">. </w:t>
      </w:r>
    </w:p>
    <w:p w:rsidR="007323B6" w:rsidRPr="004B0D7E" w:rsidRDefault="007323B6" w:rsidP="007323B6">
      <w:pPr>
        <w:spacing w:after="0"/>
        <w:ind w:left="3686" w:right="51"/>
        <w:jc w:val="both"/>
        <w:rPr>
          <w:rFonts w:ascii="Arial" w:eastAsia="Times New Roman" w:hAnsi="Arial" w:cs="Arial"/>
          <w:b/>
          <w:sz w:val="27"/>
          <w:szCs w:val="27"/>
          <w:lang w:val="es-ES_tradnl" w:eastAsia="es-ES"/>
        </w:rPr>
      </w:pPr>
    </w:p>
    <w:p w:rsidR="007323B6" w:rsidRPr="00390DB4" w:rsidRDefault="007323B6" w:rsidP="007323B6">
      <w:pPr>
        <w:spacing w:after="0"/>
        <w:ind w:left="3686" w:right="51"/>
        <w:jc w:val="both"/>
        <w:rPr>
          <w:rFonts w:ascii="Arial" w:eastAsia="Times New Roman" w:hAnsi="Arial" w:cs="Arial"/>
          <w:sz w:val="27"/>
          <w:szCs w:val="27"/>
          <w:lang w:val="es-ES_tradnl" w:eastAsia="es-ES"/>
        </w:rPr>
      </w:pPr>
      <w:r w:rsidRPr="004B0D7E">
        <w:rPr>
          <w:rFonts w:ascii="Arial" w:eastAsia="Times New Roman" w:hAnsi="Arial" w:cs="Arial"/>
          <w:b/>
          <w:sz w:val="27"/>
          <w:szCs w:val="27"/>
          <w:lang w:val="es-ES_tradnl" w:eastAsia="es-ES"/>
        </w:rPr>
        <w:t>ACTOR:</w:t>
      </w:r>
      <w:r>
        <w:rPr>
          <w:rFonts w:ascii="Arial" w:eastAsia="Times New Roman" w:hAnsi="Arial" w:cs="Arial"/>
          <w:b/>
          <w:sz w:val="27"/>
          <w:szCs w:val="27"/>
          <w:lang w:val="es-ES_tradnl" w:eastAsia="es-ES"/>
        </w:rPr>
        <w:t xml:space="preserve"> </w:t>
      </w:r>
      <w:r w:rsidR="005134B7">
        <w:rPr>
          <w:rFonts w:ascii="Arial" w:eastAsia="Times New Roman" w:hAnsi="Arial" w:cs="Arial"/>
          <w:bCs/>
          <w:sz w:val="27"/>
          <w:szCs w:val="27"/>
          <w:lang w:val="es-ES_tradnl" w:eastAsia="es-ES"/>
        </w:rPr>
        <w:t>**********</w:t>
      </w:r>
    </w:p>
    <w:p w:rsidR="007323B6" w:rsidRPr="004B0D7E" w:rsidRDefault="007323B6" w:rsidP="007323B6">
      <w:pPr>
        <w:spacing w:after="0"/>
        <w:ind w:left="3686" w:right="51"/>
        <w:jc w:val="both"/>
        <w:rPr>
          <w:rFonts w:ascii="Arial" w:eastAsia="Times New Roman" w:hAnsi="Arial" w:cs="Arial"/>
          <w:sz w:val="27"/>
          <w:szCs w:val="27"/>
          <w:lang w:val="es-ES_tradnl" w:eastAsia="es-ES"/>
        </w:rPr>
      </w:pPr>
    </w:p>
    <w:p w:rsidR="007323B6" w:rsidRPr="004B0D7E" w:rsidRDefault="007323B6" w:rsidP="007323B6">
      <w:pPr>
        <w:spacing w:after="0"/>
        <w:ind w:left="3686" w:right="51"/>
        <w:jc w:val="both"/>
        <w:rPr>
          <w:rFonts w:ascii="Arial" w:eastAsia="Times New Roman" w:hAnsi="Arial" w:cs="Arial"/>
          <w:sz w:val="27"/>
          <w:szCs w:val="27"/>
          <w:lang w:val="es-ES_tradnl" w:eastAsia="es-ES"/>
        </w:rPr>
      </w:pPr>
      <w:r w:rsidRPr="004B0D7E">
        <w:rPr>
          <w:rFonts w:ascii="Arial" w:eastAsia="Times New Roman" w:hAnsi="Arial" w:cs="Arial"/>
          <w:b/>
          <w:sz w:val="27"/>
          <w:szCs w:val="27"/>
          <w:lang w:val="es-ES_tradnl" w:eastAsia="es-ES"/>
        </w:rPr>
        <w:t xml:space="preserve">AUTORIDAD DEMANDADA: </w:t>
      </w:r>
      <w:r w:rsidRPr="00D75CC4">
        <w:rPr>
          <w:rFonts w:ascii="Arial" w:eastAsia="Times New Roman" w:hAnsi="Arial" w:cs="Arial"/>
          <w:sz w:val="27"/>
          <w:szCs w:val="27"/>
          <w:lang w:val="es-ES_tradnl" w:eastAsia="es-ES"/>
        </w:rPr>
        <w:t>DIRECTOR GENERAL DE LA OFICINA DE PENSIONES EL GOBIERNO DEL ESTADO DE OAXACA</w:t>
      </w:r>
      <w:r w:rsidRPr="004B0D7E">
        <w:rPr>
          <w:rFonts w:ascii="Arial" w:eastAsia="Times New Roman" w:hAnsi="Arial" w:cs="Arial"/>
          <w:sz w:val="27"/>
          <w:szCs w:val="27"/>
          <w:lang w:val="es-ES_tradnl" w:eastAsia="es-ES"/>
        </w:rPr>
        <w:t>.</w:t>
      </w:r>
    </w:p>
    <w:p w:rsidR="007323B6" w:rsidRPr="004B0D7E" w:rsidRDefault="007323B6" w:rsidP="007323B6">
      <w:pPr>
        <w:spacing w:after="0"/>
        <w:ind w:left="3969" w:right="51"/>
        <w:jc w:val="both"/>
        <w:rPr>
          <w:rFonts w:ascii="Arial" w:eastAsia="Times New Roman" w:hAnsi="Arial" w:cs="Arial"/>
          <w:sz w:val="27"/>
          <w:szCs w:val="27"/>
          <w:lang w:val="es-ES_tradnl" w:eastAsia="es-ES"/>
        </w:rPr>
      </w:pPr>
    </w:p>
    <w:p w:rsidR="007323B6" w:rsidRPr="004B0D7E" w:rsidRDefault="007323B6" w:rsidP="007323B6">
      <w:pPr>
        <w:widowControl w:val="0"/>
        <w:spacing w:after="0" w:line="240" w:lineRule="auto"/>
        <w:ind w:right="51"/>
        <w:rPr>
          <w:rFonts w:ascii="Arial" w:eastAsia="Times New Roman" w:hAnsi="Arial" w:cs="Arial"/>
          <w:color w:val="FF0000"/>
          <w:sz w:val="27"/>
          <w:szCs w:val="27"/>
          <w:lang w:val="es-ES" w:eastAsia="es-ES"/>
        </w:rPr>
      </w:pPr>
    </w:p>
    <w:p w:rsidR="007323B6" w:rsidRPr="004B0D7E" w:rsidRDefault="00390DB4" w:rsidP="007323B6">
      <w:pPr>
        <w:widowControl w:val="0"/>
        <w:spacing w:line="360" w:lineRule="auto"/>
        <w:ind w:right="51" w:firstLine="567"/>
        <w:jc w:val="both"/>
        <w:rPr>
          <w:rFonts w:ascii="Arial" w:eastAsia="Times New Roman" w:hAnsi="Arial" w:cs="Arial"/>
          <w:b/>
          <w:sz w:val="27"/>
          <w:szCs w:val="27"/>
          <w:lang w:val="es-ES" w:eastAsia="es-ES"/>
        </w:rPr>
      </w:pPr>
      <w:r>
        <w:rPr>
          <w:rFonts w:ascii="Arial" w:eastAsia="Times New Roman" w:hAnsi="Arial" w:cs="Arial"/>
          <w:b/>
          <w:sz w:val="27"/>
          <w:szCs w:val="27"/>
          <w:lang w:val="es-ES" w:eastAsia="es-ES"/>
        </w:rPr>
        <w:t>OAXACA DE JUÁREZ, OAXACA, CATORCE</w:t>
      </w:r>
      <w:r w:rsidR="007323B6" w:rsidRPr="004B0D7E">
        <w:rPr>
          <w:rFonts w:ascii="Arial" w:eastAsia="Times New Roman" w:hAnsi="Arial" w:cs="Arial"/>
          <w:b/>
          <w:sz w:val="27"/>
          <w:szCs w:val="27"/>
          <w:lang w:val="es-ES" w:eastAsia="es-ES"/>
        </w:rPr>
        <w:t xml:space="preserve"> DE </w:t>
      </w:r>
      <w:r w:rsidR="007323B6">
        <w:rPr>
          <w:rFonts w:ascii="Arial" w:eastAsia="Times New Roman" w:hAnsi="Arial" w:cs="Arial"/>
          <w:b/>
          <w:sz w:val="27"/>
          <w:szCs w:val="27"/>
          <w:lang w:val="es-ES" w:eastAsia="es-ES"/>
        </w:rPr>
        <w:t>OCTUBRE</w:t>
      </w:r>
      <w:r w:rsidR="007323B6" w:rsidRPr="004B0D7E">
        <w:rPr>
          <w:rFonts w:ascii="Arial" w:eastAsia="Times New Roman" w:hAnsi="Arial" w:cs="Arial"/>
          <w:b/>
          <w:sz w:val="27"/>
          <w:szCs w:val="27"/>
          <w:lang w:val="es-ES" w:eastAsia="es-ES"/>
        </w:rPr>
        <w:t xml:space="preserve"> DE DOS MIL VEINTE.</w:t>
      </w:r>
      <w:r w:rsidR="007323B6" w:rsidRPr="004B0D7E">
        <w:rPr>
          <w:sz w:val="27"/>
          <w:szCs w:val="27"/>
        </w:rPr>
        <w:t xml:space="preserve"> </w:t>
      </w:r>
    </w:p>
    <w:p w:rsidR="007323B6" w:rsidRPr="004B0D7E" w:rsidRDefault="007323B6" w:rsidP="007323B6">
      <w:pPr>
        <w:widowControl w:val="0"/>
        <w:spacing w:line="360" w:lineRule="auto"/>
        <w:ind w:right="51" w:firstLine="567"/>
        <w:jc w:val="both"/>
        <w:rPr>
          <w:rFonts w:ascii="Arial" w:eastAsia="Times New Roman" w:hAnsi="Arial" w:cs="Arial"/>
          <w:sz w:val="27"/>
          <w:szCs w:val="27"/>
          <w:lang w:val="es-ES" w:eastAsia="es-ES"/>
        </w:rPr>
      </w:pPr>
      <w:r w:rsidRPr="004B0D7E">
        <w:rPr>
          <w:rFonts w:ascii="Arial" w:eastAsia="Times New Roman" w:hAnsi="Arial" w:cs="Arial"/>
          <w:b/>
          <w:sz w:val="27"/>
          <w:szCs w:val="27"/>
          <w:lang w:val="es-ES_tradnl" w:eastAsia="es-ES"/>
        </w:rPr>
        <w:t xml:space="preserve">V I S T O S, </w:t>
      </w:r>
      <w:r w:rsidRPr="004B0D7E">
        <w:rPr>
          <w:rFonts w:ascii="Arial" w:eastAsia="Times New Roman" w:hAnsi="Arial" w:cs="Arial"/>
          <w:sz w:val="27"/>
          <w:szCs w:val="27"/>
          <w:lang w:val="es-ES_tradnl" w:eastAsia="es-ES"/>
        </w:rPr>
        <w:t xml:space="preserve">para resolver los autos del juicio de nulidad número </w:t>
      </w:r>
      <w:r>
        <w:rPr>
          <w:rFonts w:ascii="Arial" w:eastAsia="Times New Roman" w:hAnsi="Arial" w:cs="Arial"/>
          <w:b/>
          <w:bCs/>
          <w:sz w:val="27"/>
          <w:szCs w:val="27"/>
          <w:lang w:val="es-ES_tradnl" w:eastAsia="es-ES"/>
        </w:rPr>
        <w:t>103/2020</w:t>
      </w:r>
      <w:r w:rsidRPr="004B0D7E">
        <w:rPr>
          <w:rFonts w:ascii="Arial" w:eastAsia="Times New Roman" w:hAnsi="Arial" w:cs="Arial"/>
          <w:sz w:val="27"/>
          <w:szCs w:val="27"/>
          <w:lang w:val="es-ES_tradnl" w:eastAsia="es-ES"/>
        </w:rPr>
        <w:t xml:space="preserve">, interpuesto por </w:t>
      </w:r>
      <w:r w:rsidR="005134B7">
        <w:rPr>
          <w:rFonts w:ascii="Arial" w:eastAsia="Times New Roman" w:hAnsi="Arial" w:cs="Arial"/>
          <w:b/>
          <w:bCs/>
          <w:sz w:val="27"/>
          <w:szCs w:val="27"/>
          <w:lang w:val="es-ES_tradnl" w:eastAsia="es-ES"/>
        </w:rPr>
        <w:t>**********</w:t>
      </w:r>
      <w:r w:rsidRPr="004B0D7E">
        <w:rPr>
          <w:rFonts w:ascii="Arial" w:eastAsia="Times New Roman" w:hAnsi="Arial" w:cs="Arial"/>
          <w:sz w:val="27"/>
          <w:szCs w:val="27"/>
          <w:lang w:val="es-ES_tradnl" w:eastAsia="es-ES"/>
        </w:rPr>
        <w:t xml:space="preserve">, en contra del </w:t>
      </w:r>
      <w:r w:rsidRPr="00D75CC4">
        <w:rPr>
          <w:rFonts w:ascii="Arial" w:eastAsia="Times New Roman" w:hAnsi="Arial" w:cs="Arial"/>
          <w:b/>
          <w:sz w:val="27"/>
          <w:szCs w:val="27"/>
          <w:lang w:val="es-ES_tradnl" w:eastAsia="es-ES"/>
        </w:rPr>
        <w:t>DIRECTOR GENERAL DE LA OFICINA DE PENSIONES EL GOBIERNO DEL ESTADO DE OAXACA</w:t>
      </w:r>
      <w:r w:rsidRPr="004B0D7E">
        <w:rPr>
          <w:rFonts w:ascii="Arial" w:eastAsia="Times New Roman" w:hAnsi="Arial" w:cs="Arial"/>
          <w:sz w:val="27"/>
          <w:szCs w:val="27"/>
          <w:lang w:val="es-ES_tradnl" w:eastAsia="es-ES"/>
        </w:rPr>
        <w:t>, y</w:t>
      </w:r>
      <w:r>
        <w:rPr>
          <w:rFonts w:ascii="Arial" w:eastAsia="Times New Roman" w:hAnsi="Arial" w:cs="Arial"/>
          <w:sz w:val="27"/>
          <w:szCs w:val="27"/>
          <w:lang w:val="es-ES_tradnl" w:eastAsia="es-ES"/>
        </w:rPr>
        <w:t xml:space="preserve">; </w:t>
      </w:r>
    </w:p>
    <w:p w:rsidR="007323B6" w:rsidRPr="004B0D7E" w:rsidRDefault="007323B6" w:rsidP="007323B6">
      <w:pPr>
        <w:spacing w:line="360" w:lineRule="auto"/>
        <w:jc w:val="center"/>
        <w:rPr>
          <w:rFonts w:ascii="Arial" w:hAnsi="Arial" w:cs="Arial"/>
          <w:b/>
          <w:spacing w:val="-3"/>
          <w:sz w:val="27"/>
          <w:szCs w:val="27"/>
          <w:lang w:val="es-ES_tradnl"/>
        </w:rPr>
      </w:pPr>
      <w:r w:rsidRPr="004B0D7E">
        <w:rPr>
          <w:rFonts w:ascii="Arial" w:hAnsi="Arial" w:cs="Arial"/>
          <w:b/>
          <w:sz w:val="27"/>
          <w:szCs w:val="27"/>
        </w:rPr>
        <w:t>R E</w:t>
      </w:r>
      <w:r w:rsidRPr="004B0D7E">
        <w:rPr>
          <w:rFonts w:ascii="Arial" w:hAnsi="Arial" w:cs="Arial"/>
          <w:b/>
          <w:spacing w:val="-3"/>
          <w:sz w:val="27"/>
          <w:szCs w:val="27"/>
          <w:lang w:val="es-ES_tradnl"/>
        </w:rPr>
        <w:t xml:space="preserve"> S U L T A N D O:</w:t>
      </w:r>
    </w:p>
    <w:p w:rsidR="007323B6" w:rsidRPr="007E0DCC" w:rsidRDefault="005134B7" w:rsidP="007323B6">
      <w:pPr>
        <w:spacing w:line="360" w:lineRule="auto"/>
        <w:ind w:firstLine="567"/>
        <w:jc w:val="both"/>
        <w:rPr>
          <w:rFonts w:ascii="Arial" w:eastAsia="Times New Roman" w:hAnsi="Arial" w:cs="Arial"/>
          <w:bCs/>
          <w:sz w:val="24"/>
          <w:szCs w:val="24"/>
          <w:lang w:val="es-ES" w:eastAsia="es-ES"/>
        </w:rPr>
      </w:pPr>
      <w:r>
        <w:rPr>
          <w:noProof/>
          <w:lang w:eastAsia="es-MX"/>
        </w:rPr>
        <mc:AlternateContent>
          <mc:Choice Requires="wps">
            <w:drawing>
              <wp:anchor distT="0" distB="0" distL="114300" distR="114300" simplePos="0" relativeHeight="251659264" behindDoc="1" locked="0" layoutInCell="1" allowOverlap="1" wp14:anchorId="68045DE7" wp14:editId="0A9366AD">
                <wp:simplePos x="0" y="0"/>
                <wp:positionH relativeFrom="column">
                  <wp:posOffset>-1152939</wp:posOffset>
                </wp:positionH>
                <wp:positionV relativeFrom="paragraph">
                  <wp:posOffset>471474</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45DE7" id="_x0000_t202" coordsize="21600,21600" o:spt="202" path="m,l,21600r21600,l21600,xe">
                <v:stroke joinstyle="miter"/>
                <v:path gradientshapeok="t" o:connecttype="rect"/>
              </v:shapetype>
              <v:shape id="Cuadro de texto 5" o:spid="_x0000_s1026" type="#_x0000_t202" style="position:absolute;left:0;text-align:left;margin-left:-90.8pt;margin-top:37.1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sidRPr="004B0D7E">
        <w:rPr>
          <w:rFonts w:ascii="Arial" w:hAnsi="Arial" w:cs="Arial"/>
          <w:b/>
          <w:spacing w:val="-3"/>
          <w:sz w:val="27"/>
          <w:szCs w:val="27"/>
          <w:lang w:val="es-ES_tradnl"/>
        </w:rPr>
        <w:t>PRIMERO.-</w:t>
      </w:r>
      <w:r w:rsidR="007323B6" w:rsidRPr="00433D05">
        <w:rPr>
          <w:rFonts w:ascii="Arial" w:eastAsia="Times New Roman" w:hAnsi="Arial" w:cs="Arial"/>
          <w:bCs/>
          <w:sz w:val="24"/>
          <w:szCs w:val="24"/>
          <w:lang w:val="es-ES" w:eastAsia="es-ES"/>
        </w:rPr>
        <w:t xml:space="preserve"> </w:t>
      </w:r>
      <w:r w:rsidR="007323B6" w:rsidRPr="000A7AEA">
        <w:rPr>
          <w:rFonts w:ascii="Arial" w:eastAsia="Times New Roman" w:hAnsi="Arial" w:cs="Arial"/>
          <w:bCs/>
          <w:sz w:val="27"/>
          <w:szCs w:val="27"/>
          <w:lang w:val="es-ES" w:eastAsia="es-ES"/>
        </w:rPr>
        <w:t>Con fecha nueve de agosto de dos mil diecinueve (09/08/2019),</w:t>
      </w:r>
      <w:r w:rsidR="007323B6">
        <w:rPr>
          <w:rFonts w:ascii="Arial" w:eastAsia="Times New Roman" w:hAnsi="Arial" w:cs="Arial"/>
          <w:bCs/>
          <w:sz w:val="24"/>
          <w:szCs w:val="24"/>
          <w:lang w:val="es-ES" w:eastAsia="es-ES"/>
        </w:rPr>
        <w:t xml:space="preserve"> </w:t>
      </w:r>
      <w:r>
        <w:rPr>
          <w:rFonts w:ascii="Arial" w:eastAsia="Times New Roman" w:hAnsi="Arial" w:cs="Arial"/>
          <w:bCs/>
          <w:sz w:val="27"/>
          <w:szCs w:val="27"/>
          <w:lang w:val="es-ES_tradnl" w:eastAsia="es-ES"/>
        </w:rPr>
        <w:t>**********</w:t>
      </w:r>
      <w:r w:rsidR="007323B6" w:rsidRPr="00390DB4">
        <w:rPr>
          <w:rFonts w:ascii="Arial" w:hAnsi="Arial" w:cs="Arial"/>
          <w:bCs/>
          <w:spacing w:val="-3"/>
          <w:sz w:val="27"/>
          <w:szCs w:val="27"/>
          <w:lang w:val="es-ES_tradnl"/>
        </w:rPr>
        <w:t>,</w:t>
      </w:r>
      <w:r w:rsidR="007323B6">
        <w:rPr>
          <w:rFonts w:ascii="Arial" w:hAnsi="Arial" w:cs="Arial"/>
          <w:bCs/>
          <w:color w:val="FF0000"/>
          <w:spacing w:val="-3"/>
          <w:sz w:val="27"/>
          <w:szCs w:val="27"/>
          <w:lang w:val="es-ES_tradnl"/>
        </w:rPr>
        <w:t xml:space="preserve"> </w:t>
      </w:r>
      <w:r w:rsidR="007323B6" w:rsidRPr="00A32127">
        <w:rPr>
          <w:rFonts w:ascii="Arial" w:hAnsi="Arial" w:cs="Arial"/>
          <w:bCs/>
          <w:color w:val="000000" w:themeColor="text1"/>
          <w:spacing w:val="-3"/>
          <w:sz w:val="27"/>
          <w:szCs w:val="27"/>
          <w:lang w:val="es-ES_tradnl"/>
        </w:rPr>
        <w:t>por su propio derecho, presentó</w:t>
      </w:r>
      <w:r w:rsidR="007323B6">
        <w:rPr>
          <w:rFonts w:ascii="Arial" w:hAnsi="Arial" w:cs="Arial"/>
          <w:bCs/>
          <w:color w:val="000000" w:themeColor="text1"/>
          <w:spacing w:val="-3"/>
          <w:sz w:val="27"/>
          <w:szCs w:val="27"/>
          <w:lang w:val="es-ES_tradnl"/>
        </w:rPr>
        <w:t xml:space="preserve"> en la Oficialía de Partes de Términos de Primera y Segunda Instancia</w:t>
      </w:r>
      <w:r w:rsidR="007323B6" w:rsidRPr="00A32127">
        <w:rPr>
          <w:rFonts w:ascii="Arial" w:hAnsi="Arial" w:cs="Arial"/>
          <w:bCs/>
          <w:color w:val="000000" w:themeColor="text1"/>
          <w:spacing w:val="-3"/>
          <w:sz w:val="27"/>
          <w:szCs w:val="27"/>
          <w:lang w:val="es-ES_tradnl"/>
        </w:rPr>
        <w:t xml:space="preserve"> de este Tribunal, su escrito de demanda, en la cual</w:t>
      </w:r>
      <w:r w:rsidR="007323B6">
        <w:rPr>
          <w:rFonts w:ascii="Arial" w:hAnsi="Arial" w:cs="Arial"/>
          <w:bCs/>
          <w:color w:val="FF0000"/>
          <w:spacing w:val="-3"/>
          <w:sz w:val="27"/>
          <w:szCs w:val="27"/>
          <w:lang w:val="es-ES_tradnl"/>
        </w:rPr>
        <w:t xml:space="preserve"> </w:t>
      </w:r>
      <w:r w:rsidR="007323B6" w:rsidRPr="00C470FE">
        <w:rPr>
          <w:rFonts w:ascii="Arial" w:hAnsi="Arial" w:cs="Arial"/>
          <w:bCs/>
          <w:spacing w:val="-3"/>
          <w:sz w:val="27"/>
          <w:szCs w:val="27"/>
          <w:lang w:val="es-ES_tradnl"/>
        </w:rPr>
        <w:t xml:space="preserve">demandó la nulidad del oficio número </w:t>
      </w:r>
      <w:r w:rsidR="007323B6">
        <w:rPr>
          <w:rFonts w:ascii="Arial" w:hAnsi="Arial" w:cs="Arial"/>
          <w:bCs/>
          <w:spacing w:val="-3"/>
          <w:sz w:val="27"/>
          <w:szCs w:val="27"/>
          <w:lang w:val="es-ES_tradnl"/>
        </w:rPr>
        <w:t xml:space="preserve">OP/DG/DEP/1408/2019 </w:t>
      </w:r>
      <w:r w:rsidR="007323B6" w:rsidRPr="00C470FE">
        <w:rPr>
          <w:rFonts w:ascii="Arial" w:hAnsi="Arial" w:cs="Arial"/>
          <w:bCs/>
          <w:spacing w:val="-3"/>
          <w:sz w:val="27"/>
          <w:szCs w:val="27"/>
          <w:lang w:val="es-ES_tradnl"/>
        </w:rPr>
        <w:t xml:space="preserve">de fecha </w:t>
      </w:r>
      <w:r w:rsidR="007323B6">
        <w:rPr>
          <w:rFonts w:ascii="Arial" w:hAnsi="Arial" w:cs="Arial"/>
          <w:bCs/>
          <w:spacing w:val="-3"/>
          <w:sz w:val="27"/>
          <w:szCs w:val="27"/>
          <w:lang w:val="es-ES_tradnl"/>
        </w:rPr>
        <w:t>once de junio de dos mil diecinueve</w:t>
      </w:r>
      <w:r w:rsidR="007323B6" w:rsidRPr="00C470FE">
        <w:rPr>
          <w:rFonts w:ascii="Arial" w:hAnsi="Arial" w:cs="Arial"/>
          <w:bCs/>
          <w:spacing w:val="-3"/>
          <w:sz w:val="27"/>
          <w:szCs w:val="27"/>
          <w:lang w:val="es-ES_tradnl"/>
        </w:rPr>
        <w:t xml:space="preserve">, emitido por el Director General de la Oficina de Pensiones el Gobierno del </w:t>
      </w:r>
      <w:r w:rsidR="007323B6">
        <w:rPr>
          <w:rFonts w:ascii="Arial" w:hAnsi="Arial" w:cs="Arial"/>
          <w:bCs/>
          <w:spacing w:val="-3"/>
          <w:sz w:val="27"/>
          <w:szCs w:val="27"/>
          <w:lang w:val="es-ES_tradnl"/>
        </w:rPr>
        <w:t xml:space="preserve">Estado de Oaxaca, por lo que mediante </w:t>
      </w:r>
      <w:r w:rsidR="007323B6" w:rsidRPr="00C470FE">
        <w:rPr>
          <w:rFonts w:ascii="Arial" w:hAnsi="Arial" w:cs="Arial"/>
          <w:bCs/>
          <w:spacing w:val="-3"/>
          <w:sz w:val="27"/>
          <w:szCs w:val="27"/>
          <w:lang w:val="es-ES_tradnl"/>
        </w:rPr>
        <w:t xml:space="preserve"> acuerdo de fecha </w:t>
      </w:r>
      <w:r w:rsidR="007323B6">
        <w:rPr>
          <w:rFonts w:ascii="Arial" w:hAnsi="Arial" w:cs="Arial"/>
          <w:bCs/>
          <w:spacing w:val="-3"/>
          <w:sz w:val="27"/>
          <w:szCs w:val="27"/>
          <w:lang w:val="es-ES_tradnl"/>
        </w:rPr>
        <w:t>doce</w:t>
      </w:r>
      <w:r w:rsidR="007323B6" w:rsidRPr="00C470FE">
        <w:rPr>
          <w:rFonts w:ascii="Arial" w:hAnsi="Arial" w:cs="Arial"/>
          <w:bCs/>
          <w:spacing w:val="-3"/>
          <w:sz w:val="27"/>
          <w:szCs w:val="27"/>
          <w:lang w:val="es-ES_tradnl"/>
        </w:rPr>
        <w:t xml:space="preserve"> de </w:t>
      </w:r>
      <w:r w:rsidR="007323B6">
        <w:rPr>
          <w:rFonts w:ascii="Arial" w:hAnsi="Arial" w:cs="Arial"/>
          <w:bCs/>
          <w:spacing w:val="-3"/>
          <w:sz w:val="27"/>
          <w:szCs w:val="27"/>
          <w:lang w:val="es-ES_tradnl"/>
        </w:rPr>
        <w:t>agosto</w:t>
      </w:r>
      <w:r w:rsidR="007323B6" w:rsidRPr="00C470FE">
        <w:rPr>
          <w:rFonts w:ascii="Arial" w:hAnsi="Arial" w:cs="Arial"/>
          <w:bCs/>
          <w:spacing w:val="-3"/>
          <w:sz w:val="27"/>
          <w:szCs w:val="27"/>
          <w:lang w:val="es-ES_tradnl"/>
        </w:rPr>
        <w:t xml:space="preserve"> de dos mil diecinueve (</w:t>
      </w:r>
      <w:r w:rsidR="007323B6">
        <w:rPr>
          <w:rFonts w:ascii="Arial" w:hAnsi="Arial" w:cs="Arial"/>
          <w:bCs/>
          <w:spacing w:val="-3"/>
          <w:sz w:val="27"/>
          <w:szCs w:val="27"/>
          <w:lang w:val="es-ES_tradnl"/>
        </w:rPr>
        <w:t>12</w:t>
      </w:r>
      <w:r w:rsidR="007323B6" w:rsidRPr="00C470FE">
        <w:rPr>
          <w:rFonts w:ascii="Arial" w:hAnsi="Arial" w:cs="Arial"/>
          <w:bCs/>
          <w:spacing w:val="-3"/>
          <w:sz w:val="27"/>
          <w:szCs w:val="27"/>
          <w:lang w:val="es-ES_tradnl"/>
        </w:rPr>
        <w:t>/</w:t>
      </w:r>
      <w:r w:rsidR="007323B6">
        <w:rPr>
          <w:rFonts w:ascii="Arial" w:hAnsi="Arial" w:cs="Arial"/>
          <w:bCs/>
          <w:spacing w:val="-3"/>
          <w:sz w:val="27"/>
          <w:szCs w:val="27"/>
          <w:lang w:val="es-ES_tradnl"/>
        </w:rPr>
        <w:t>08</w:t>
      </w:r>
      <w:r w:rsidR="007323B6" w:rsidRPr="00C470FE">
        <w:rPr>
          <w:rFonts w:ascii="Arial" w:hAnsi="Arial" w:cs="Arial"/>
          <w:bCs/>
          <w:spacing w:val="-3"/>
          <w:sz w:val="27"/>
          <w:szCs w:val="27"/>
          <w:lang w:val="es-ES_tradnl"/>
        </w:rPr>
        <w:t xml:space="preserve">/2019), </w:t>
      </w:r>
      <w:r w:rsidR="007323B6">
        <w:rPr>
          <w:rFonts w:ascii="Arial" w:hAnsi="Arial" w:cs="Arial"/>
          <w:bCs/>
          <w:spacing w:val="-3"/>
          <w:sz w:val="27"/>
          <w:szCs w:val="27"/>
          <w:lang w:val="es-ES_tradnl"/>
        </w:rPr>
        <w:t xml:space="preserve">la entonces Séptima Sala Unitaria de este Tribunal, </w:t>
      </w:r>
      <w:r w:rsidR="007323B6" w:rsidRPr="000A7AEA">
        <w:rPr>
          <w:rFonts w:ascii="Arial" w:hAnsi="Arial" w:cs="Arial"/>
          <w:b/>
          <w:bCs/>
          <w:spacing w:val="-3"/>
          <w:sz w:val="27"/>
          <w:szCs w:val="27"/>
          <w:lang w:val="es-ES_tradnl"/>
        </w:rPr>
        <w:t>admitió</w:t>
      </w:r>
      <w:r w:rsidR="007323B6" w:rsidRPr="00C470FE">
        <w:rPr>
          <w:rFonts w:ascii="Arial" w:hAnsi="Arial" w:cs="Arial"/>
          <w:bCs/>
          <w:spacing w:val="-3"/>
          <w:sz w:val="27"/>
          <w:szCs w:val="27"/>
          <w:lang w:val="es-ES_tradnl"/>
        </w:rPr>
        <w:t xml:space="preserve"> a trámite la demanda de mérito, ordenándose notificar, emplazar y correr traslado a la autoridad demandada, a efecto de que realizara la contestación de la demanda instaurada en su contra, con el apercibimiento que en caso de no hacerlo dentro del término referido, se le tendría por contestada en sentido afirmativo, salvo prueba en contrario</w:t>
      </w:r>
      <w:r w:rsidR="007323B6" w:rsidRPr="004B0D7E">
        <w:rPr>
          <w:rFonts w:ascii="Arial" w:hAnsi="Arial" w:cs="Arial"/>
          <w:bCs/>
          <w:spacing w:val="-3"/>
          <w:sz w:val="27"/>
          <w:szCs w:val="27"/>
          <w:lang w:val="es-ES_tradnl"/>
        </w:rPr>
        <w:t xml:space="preserve">. </w:t>
      </w:r>
    </w:p>
    <w:p w:rsidR="007323B6" w:rsidRDefault="007323B6" w:rsidP="007323B6">
      <w:pPr>
        <w:spacing w:line="360" w:lineRule="auto"/>
        <w:ind w:firstLine="567"/>
        <w:jc w:val="both"/>
        <w:rPr>
          <w:rFonts w:ascii="Arial" w:hAnsi="Arial" w:cs="Arial"/>
          <w:bCs/>
          <w:spacing w:val="-3"/>
          <w:sz w:val="27"/>
          <w:szCs w:val="27"/>
          <w:lang w:val="es-ES_tradnl"/>
        </w:rPr>
      </w:pPr>
      <w:r w:rsidRPr="004B0D7E">
        <w:rPr>
          <w:rFonts w:ascii="Arial" w:hAnsi="Arial" w:cs="Arial"/>
          <w:b/>
          <w:spacing w:val="-3"/>
          <w:sz w:val="27"/>
          <w:szCs w:val="27"/>
          <w:lang w:val="es-ES_tradnl"/>
        </w:rPr>
        <w:lastRenderedPageBreak/>
        <w:t>SEGUNDO.-</w:t>
      </w:r>
      <w:r w:rsidRPr="004B0D7E">
        <w:rPr>
          <w:rFonts w:ascii="Arial" w:hAnsi="Arial" w:cs="Arial"/>
          <w:bCs/>
          <w:spacing w:val="-3"/>
          <w:sz w:val="27"/>
          <w:szCs w:val="27"/>
          <w:lang w:val="es-ES_tradnl"/>
        </w:rPr>
        <w:t xml:space="preserve"> </w:t>
      </w:r>
      <w:r w:rsidRPr="00186FAC">
        <w:rPr>
          <w:rFonts w:ascii="Arial" w:hAnsi="Arial" w:cs="Arial"/>
          <w:bCs/>
          <w:spacing w:val="-3"/>
          <w:sz w:val="27"/>
          <w:szCs w:val="27"/>
          <w:lang w:val="es-ES_tradnl"/>
        </w:rPr>
        <w:t xml:space="preserve">Mediante acuerdo de fecha </w:t>
      </w:r>
      <w:r>
        <w:rPr>
          <w:rFonts w:ascii="Arial" w:hAnsi="Arial" w:cs="Arial"/>
          <w:bCs/>
          <w:spacing w:val="-3"/>
          <w:sz w:val="27"/>
          <w:szCs w:val="27"/>
          <w:lang w:val="es-ES_tradnl"/>
        </w:rPr>
        <w:t>veintitrés de octubre</w:t>
      </w:r>
      <w:r w:rsidRPr="00186FAC">
        <w:rPr>
          <w:rFonts w:ascii="Arial" w:hAnsi="Arial" w:cs="Arial"/>
          <w:bCs/>
          <w:spacing w:val="-3"/>
          <w:sz w:val="27"/>
          <w:szCs w:val="27"/>
          <w:lang w:val="es-ES_tradnl"/>
        </w:rPr>
        <w:t xml:space="preserve"> de dos mil diecinueve </w:t>
      </w:r>
      <w:r>
        <w:rPr>
          <w:rFonts w:ascii="Arial" w:hAnsi="Arial" w:cs="Arial"/>
          <w:bCs/>
          <w:spacing w:val="-3"/>
          <w:sz w:val="27"/>
          <w:szCs w:val="27"/>
          <w:lang w:val="es-ES_tradnl"/>
        </w:rPr>
        <w:t>(23</w:t>
      </w:r>
      <w:r w:rsidRPr="00186FAC">
        <w:rPr>
          <w:rFonts w:ascii="Arial" w:hAnsi="Arial" w:cs="Arial"/>
          <w:bCs/>
          <w:spacing w:val="-3"/>
          <w:sz w:val="27"/>
          <w:szCs w:val="27"/>
          <w:lang w:val="es-ES_tradnl"/>
        </w:rPr>
        <w:t>/</w:t>
      </w:r>
      <w:r>
        <w:rPr>
          <w:rFonts w:ascii="Arial" w:hAnsi="Arial" w:cs="Arial"/>
          <w:bCs/>
          <w:spacing w:val="-3"/>
          <w:sz w:val="27"/>
          <w:szCs w:val="27"/>
          <w:lang w:val="es-ES_tradnl"/>
        </w:rPr>
        <w:t>10</w:t>
      </w:r>
      <w:r w:rsidRPr="00186FAC">
        <w:rPr>
          <w:rFonts w:ascii="Arial" w:hAnsi="Arial" w:cs="Arial"/>
          <w:bCs/>
          <w:spacing w:val="-3"/>
          <w:sz w:val="27"/>
          <w:szCs w:val="27"/>
          <w:lang w:val="es-ES_tradnl"/>
        </w:rPr>
        <w:t xml:space="preserve">/2019), </w:t>
      </w:r>
      <w:r>
        <w:rPr>
          <w:rFonts w:ascii="Arial" w:hAnsi="Arial" w:cs="Arial"/>
          <w:bCs/>
          <w:spacing w:val="-3"/>
          <w:sz w:val="27"/>
          <w:szCs w:val="27"/>
          <w:lang w:val="es-ES_tradnl"/>
        </w:rPr>
        <w:t xml:space="preserve">se tuvo al </w:t>
      </w:r>
      <w:r w:rsidRPr="00186FAC">
        <w:rPr>
          <w:rFonts w:ascii="Arial" w:hAnsi="Arial" w:cs="Arial"/>
          <w:bCs/>
          <w:spacing w:val="-3"/>
          <w:sz w:val="27"/>
          <w:szCs w:val="27"/>
          <w:lang w:val="es-ES_tradnl"/>
        </w:rPr>
        <w:t xml:space="preserve">Contador Público </w:t>
      </w:r>
      <w:r w:rsidRPr="00390DB4">
        <w:rPr>
          <w:rFonts w:ascii="Arial" w:hAnsi="Arial" w:cs="Arial"/>
          <w:bCs/>
          <w:spacing w:val="-3"/>
          <w:sz w:val="27"/>
          <w:szCs w:val="27"/>
          <w:lang w:val="es-ES_tradnl"/>
        </w:rPr>
        <w:t xml:space="preserve">JESÚS PARADA </w:t>
      </w:r>
      <w:proofErr w:type="spellStart"/>
      <w:r w:rsidRPr="00390DB4">
        <w:rPr>
          <w:rFonts w:ascii="Arial" w:hAnsi="Arial" w:cs="Arial"/>
          <w:bCs/>
          <w:spacing w:val="-3"/>
          <w:sz w:val="27"/>
          <w:szCs w:val="27"/>
          <w:lang w:val="es-ES_tradnl"/>
        </w:rPr>
        <w:t>PARADA</w:t>
      </w:r>
      <w:proofErr w:type="spellEnd"/>
      <w:r w:rsidRPr="00186FAC">
        <w:rPr>
          <w:rFonts w:ascii="Arial" w:hAnsi="Arial" w:cs="Arial"/>
          <w:bCs/>
          <w:spacing w:val="-3"/>
          <w:sz w:val="27"/>
          <w:szCs w:val="27"/>
          <w:lang w:val="es-ES_tradnl"/>
        </w:rPr>
        <w:t>, Director General de la Oficina de Pensiones del Estado de Oaxaca, contestando la demanda</w:t>
      </w:r>
      <w:r>
        <w:rPr>
          <w:rFonts w:ascii="Arial" w:hAnsi="Arial" w:cs="Arial"/>
          <w:bCs/>
          <w:spacing w:val="-3"/>
          <w:sz w:val="27"/>
          <w:szCs w:val="27"/>
          <w:lang w:val="es-ES_tradnl"/>
        </w:rPr>
        <w:t xml:space="preserve"> de nulidad</w:t>
      </w:r>
      <w:r w:rsidRPr="00186FAC">
        <w:rPr>
          <w:rFonts w:ascii="Arial" w:hAnsi="Arial" w:cs="Arial"/>
          <w:bCs/>
          <w:spacing w:val="-3"/>
          <w:sz w:val="27"/>
          <w:szCs w:val="27"/>
          <w:lang w:val="es-ES_tradnl"/>
        </w:rPr>
        <w:t xml:space="preserve"> en tiempo y forma, y en los términos en los que lo hizo, admitiéndose las pruebas que aportó, ordenándose correr traslado a la parte actora para los efectos legales correspondientes. </w:t>
      </w:r>
    </w:p>
    <w:p w:rsidR="007323B6" w:rsidRDefault="007323B6" w:rsidP="007323B6">
      <w:pPr>
        <w:spacing w:line="360" w:lineRule="auto"/>
        <w:ind w:firstLine="567"/>
        <w:jc w:val="both"/>
        <w:rPr>
          <w:rFonts w:ascii="Arial" w:hAnsi="Arial" w:cs="Arial"/>
          <w:bCs/>
          <w:spacing w:val="-3"/>
          <w:sz w:val="27"/>
          <w:szCs w:val="27"/>
          <w:lang w:val="es-ES_tradnl"/>
        </w:rPr>
      </w:pPr>
      <w:r w:rsidRPr="004B0D7E">
        <w:rPr>
          <w:rFonts w:ascii="Arial" w:hAnsi="Arial" w:cs="Arial"/>
          <w:b/>
          <w:spacing w:val="-3"/>
          <w:sz w:val="27"/>
          <w:szCs w:val="27"/>
          <w:lang w:val="es-ES_tradnl"/>
        </w:rPr>
        <w:t>TERCERO.-</w:t>
      </w:r>
      <w:r>
        <w:rPr>
          <w:rFonts w:ascii="Arial" w:hAnsi="Arial" w:cs="Arial"/>
          <w:bCs/>
          <w:spacing w:val="-3"/>
          <w:sz w:val="27"/>
          <w:szCs w:val="27"/>
          <w:lang w:val="es-ES_tradnl"/>
        </w:rPr>
        <w:t xml:space="preserve"> Mediante proveído de veintiocho de enero de dos mil veinte, se señaló día y hora para la celebración de la audiencia final.</w:t>
      </w:r>
    </w:p>
    <w:p w:rsidR="007323B6" w:rsidRPr="00B50F7E" w:rsidRDefault="005134B7" w:rsidP="007323B6">
      <w:pPr>
        <w:spacing w:line="360" w:lineRule="auto"/>
        <w:ind w:firstLine="567"/>
        <w:jc w:val="both"/>
        <w:rPr>
          <w:rFonts w:ascii="Arial" w:hAnsi="Arial" w:cs="Arial"/>
          <w:bCs/>
          <w:spacing w:val="-3"/>
          <w:sz w:val="27"/>
          <w:szCs w:val="27"/>
          <w:lang w:val="es-ES_tradnl"/>
        </w:rPr>
      </w:pPr>
      <w:r>
        <w:rPr>
          <w:noProof/>
          <w:lang w:eastAsia="es-MX"/>
        </w:rPr>
        <mc:AlternateContent>
          <mc:Choice Requires="wps">
            <w:drawing>
              <wp:anchor distT="0" distB="0" distL="114300" distR="114300" simplePos="0" relativeHeight="251675648" behindDoc="1" locked="0" layoutInCell="1" allowOverlap="1" wp14:anchorId="3CABE071" wp14:editId="28CE1EC7">
                <wp:simplePos x="0" y="0"/>
                <wp:positionH relativeFrom="column">
                  <wp:posOffset>5760720</wp:posOffset>
                </wp:positionH>
                <wp:positionV relativeFrom="paragraph">
                  <wp:posOffset>996950</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BE071" id="Cuadro de texto 10" o:spid="_x0000_s1027" type="#_x0000_t202" style="position:absolute;left:0;text-align:left;margin-left:453.6pt;margin-top:78.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f0ZgIAAOk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Pr>
          <w:rFonts w:ascii="Arial" w:hAnsi="Arial" w:cs="Arial"/>
          <w:b/>
          <w:bCs/>
          <w:spacing w:val="-3"/>
          <w:sz w:val="27"/>
          <w:szCs w:val="27"/>
          <w:lang w:val="es-ES_tradnl"/>
        </w:rPr>
        <w:t xml:space="preserve">CUARTO.- </w:t>
      </w:r>
      <w:r w:rsidR="007323B6">
        <w:rPr>
          <w:rFonts w:ascii="Arial" w:hAnsi="Arial" w:cs="Arial"/>
          <w:bCs/>
          <w:spacing w:val="-3"/>
          <w:sz w:val="27"/>
          <w:szCs w:val="27"/>
          <w:lang w:val="es-ES_tradnl"/>
        </w:rPr>
        <w:t xml:space="preserve"> Por auto de treinta y uno de agosto de dos mil veinte, se le hizo del conocimiento a las partes </w:t>
      </w:r>
      <w:r w:rsidR="007323B6" w:rsidRPr="003F240C">
        <w:rPr>
          <w:rFonts w:ascii="Arial" w:hAnsi="Arial" w:cs="Arial"/>
          <w:bCs/>
          <w:spacing w:val="-3"/>
          <w:sz w:val="27"/>
          <w:szCs w:val="27"/>
          <w:lang w:val="es-ES_tradnl"/>
        </w:rPr>
        <w:t xml:space="preserve">que mediante Acuerdo General </w:t>
      </w:r>
      <w:r w:rsidR="007323B6" w:rsidRPr="003F240C">
        <w:rPr>
          <w:rFonts w:ascii="Arial" w:hAnsi="Arial" w:cs="Arial"/>
          <w:b/>
          <w:bCs/>
          <w:spacing w:val="-3"/>
          <w:sz w:val="27"/>
          <w:szCs w:val="27"/>
          <w:lang w:val="es-ES_tradnl"/>
        </w:rPr>
        <w:t>AG/TJA/13/2020</w:t>
      </w:r>
      <w:r w:rsidR="007323B6" w:rsidRPr="003F240C">
        <w:rPr>
          <w:rFonts w:ascii="Arial" w:hAnsi="Arial" w:cs="Arial"/>
          <w:bCs/>
          <w:spacing w:val="-3"/>
          <w:sz w:val="27"/>
          <w:szCs w:val="27"/>
          <w:lang w:val="es-ES_tradnl"/>
        </w:rPr>
        <w:t>, del Pleno de este Tribunal, se determinó que los asuntos que se encontraran en trámite en el entonces Séptima Sala Unita</w:t>
      </w:r>
      <w:bookmarkStart w:id="0" w:name="_GoBack"/>
      <w:bookmarkEnd w:id="0"/>
      <w:r w:rsidR="007323B6" w:rsidRPr="003F240C">
        <w:rPr>
          <w:rFonts w:ascii="Arial" w:hAnsi="Arial" w:cs="Arial"/>
          <w:bCs/>
          <w:spacing w:val="-3"/>
          <w:sz w:val="27"/>
          <w:szCs w:val="27"/>
          <w:lang w:val="es-ES_tradnl"/>
        </w:rPr>
        <w:t xml:space="preserve">ria de este Tribunal, serían turnados de forma equitativa entre las Seis Sala Unitarias restantes, por lo que tocó conocer a esta </w:t>
      </w:r>
      <w:r w:rsidR="007323B6">
        <w:rPr>
          <w:rFonts w:ascii="Arial" w:hAnsi="Arial" w:cs="Arial"/>
          <w:bCs/>
          <w:spacing w:val="-3"/>
          <w:sz w:val="27"/>
          <w:szCs w:val="27"/>
          <w:lang w:val="es-ES_tradnl"/>
        </w:rPr>
        <w:t>Cuarta Sala, del expediente 078</w:t>
      </w:r>
      <w:r w:rsidR="007323B6" w:rsidRPr="003F240C">
        <w:rPr>
          <w:rFonts w:ascii="Arial" w:hAnsi="Arial" w:cs="Arial"/>
          <w:bCs/>
          <w:spacing w:val="-3"/>
          <w:sz w:val="27"/>
          <w:szCs w:val="27"/>
          <w:lang w:val="es-ES_tradnl"/>
        </w:rPr>
        <w:t>/2019, del índice de la Séptima Sala Unitaria, asignándo</w:t>
      </w:r>
      <w:r w:rsidR="007323B6">
        <w:rPr>
          <w:rFonts w:ascii="Arial" w:hAnsi="Arial" w:cs="Arial"/>
          <w:bCs/>
          <w:spacing w:val="-3"/>
          <w:sz w:val="27"/>
          <w:szCs w:val="27"/>
          <w:lang w:val="es-ES_tradnl"/>
        </w:rPr>
        <w:t>sele el número de expediente 103</w:t>
      </w:r>
      <w:r w:rsidR="007323B6" w:rsidRPr="003F240C">
        <w:rPr>
          <w:rFonts w:ascii="Arial" w:hAnsi="Arial" w:cs="Arial"/>
          <w:bCs/>
          <w:spacing w:val="-3"/>
          <w:sz w:val="27"/>
          <w:szCs w:val="27"/>
          <w:lang w:val="es-ES_tradnl"/>
        </w:rPr>
        <w:t>/2020; por lo que, se señaló día y hora para la c</w:t>
      </w:r>
      <w:r w:rsidR="007323B6">
        <w:rPr>
          <w:rFonts w:ascii="Arial" w:hAnsi="Arial" w:cs="Arial"/>
          <w:bCs/>
          <w:spacing w:val="-3"/>
          <w:sz w:val="27"/>
          <w:szCs w:val="27"/>
          <w:lang w:val="es-ES_tradnl"/>
        </w:rPr>
        <w:t>elebración de Audiencia final.</w:t>
      </w:r>
    </w:p>
    <w:p w:rsidR="007323B6" w:rsidRPr="004B0D7E" w:rsidRDefault="007323B6" w:rsidP="007323B6">
      <w:pPr>
        <w:spacing w:line="360" w:lineRule="auto"/>
        <w:ind w:firstLine="567"/>
        <w:jc w:val="both"/>
        <w:rPr>
          <w:rFonts w:ascii="Arial" w:hAnsi="Arial" w:cs="Arial"/>
          <w:bCs/>
          <w:spacing w:val="-3"/>
          <w:sz w:val="27"/>
          <w:szCs w:val="27"/>
          <w:lang w:val="es-ES_tradnl"/>
        </w:rPr>
      </w:pPr>
      <w:r>
        <w:rPr>
          <w:rFonts w:ascii="Arial" w:hAnsi="Arial" w:cs="Arial"/>
          <w:b/>
          <w:spacing w:val="-3"/>
          <w:sz w:val="27"/>
          <w:szCs w:val="27"/>
          <w:lang w:val="es-ES_tradnl"/>
        </w:rPr>
        <w:t>QUINTO</w:t>
      </w:r>
      <w:r w:rsidRPr="004B0D7E">
        <w:rPr>
          <w:rFonts w:ascii="Arial" w:hAnsi="Arial" w:cs="Arial"/>
          <w:b/>
          <w:spacing w:val="-3"/>
          <w:sz w:val="27"/>
          <w:szCs w:val="27"/>
          <w:lang w:val="es-ES_tradnl"/>
        </w:rPr>
        <w:t>.-</w:t>
      </w:r>
      <w:r w:rsidRPr="004B0D7E">
        <w:rPr>
          <w:rFonts w:ascii="Arial" w:hAnsi="Arial" w:cs="Arial"/>
          <w:bCs/>
          <w:spacing w:val="-3"/>
          <w:sz w:val="27"/>
          <w:szCs w:val="27"/>
          <w:lang w:val="es-ES_tradnl"/>
        </w:rPr>
        <w:t xml:space="preserve"> El </w:t>
      </w:r>
      <w:r>
        <w:rPr>
          <w:rFonts w:ascii="Arial" w:hAnsi="Arial" w:cs="Arial"/>
          <w:bCs/>
          <w:spacing w:val="-3"/>
          <w:sz w:val="27"/>
          <w:szCs w:val="27"/>
          <w:lang w:val="es-ES_tradnl"/>
        </w:rPr>
        <w:t>catorce</w:t>
      </w:r>
      <w:r w:rsidRPr="004B0D7E">
        <w:rPr>
          <w:rFonts w:ascii="Arial" w:hAnsi="Arial" w:cs="Arial"/>
          <w:bCs/>
          <w:spacing w:val="-3"/>
          <w:sz w:val="27"/>
          <w:szCs w:val="27"/>
          <w:lang w:val="es-ES_tradnl"/>
        </w:rPr>
        <w:t xml:space="preserve"> de </w:t>
      </w:r>
      <w:r>
        <w:rPr>
          <w:rFonts w:ascii="Arial" w:hAnsi="Arial" w:cs="Arial"/>
          <w:bCs/>
          <w:spacing w:val="-3"/>
          <w:sz w:val="27"/>
          <w:szCs w:val="27"/>
          <w:lang w:val="es-ES_tradnl"/>
        </w:rPr>
        <w:t>octubre</w:t>
      </w:r>
      <w:r w:rsidRPr="004B0D7E">
        <w:rPr>
          <w:rFonts w:ascii="Arial" w:hAnsi="Arial" w:cs="Arial"/>
          <w:bCs/>
          <w:spacing w:val="-3"/>
          <w:sz w:val="27"/>
          <w:szCs w:val="27"/>
          <w:lang w:val="es-ES_tradnl"/>
        </w:rPr>
        <w:t xml:space="preserve"> de dos mil veinte (</w:t>
      </w:r>
      <w:r>
        <w:rPr>
          <w:rFonts w:ascii="Arial" w:hAnsi="Arial" w:cs="Arial"/>
          <w:bCs/>
          <w:spacing w:val="-3"/>
          <w:sz w:val="27"/>
          <w:szCs w:val="27"/>
          <w:lang w:val="es-ES_tradnl"/>
        </w:rPr>
        <w:t>14</w:t>
      </w:r>
      <w:r w:rsidRPr="004B0D7E">
        <w:rPr>
          <w:rFonts w:ascii="Arial" w:hAnsi="Arial" w:cs="Arial"/>
          <w:bCs/>
          <w:spacing w:val="-3"/>
          <w:sz w:val="27"/>
          <w:szCs w:val="27"/>
          <w:lang w:val="es-ES_tradnl"/>
        </w:rPr>
        <w:t>/</w:t>
      </w:r>
      <w:r>
        <w:rPr>
          <w:rFonts w:ascii="Arial" w:hAnsi="Arial" w:cs="Arial"/>
          <w:bCs/>
          <w:spacing w:val="-3"/>
          <w:sz w:val="27"/>
          <w:szCs w:val="27"/>
          <w:lang w:val="es-ES_tradnl"/>
        </w:rPr>
        <w:t>10</w:t>
      </w:r>
      <w:r w:rsidRPr="004B0D7E">
        <w:rPr>
          <w:rFonts w:ascii="Arial" w:hAnsi="Arial" w:cs="Arial"/>
          <w:bCs/>
          <w:spacing w:val="-3"/>
          <w:sz w:val="27"/>
          <w:szCs w:val="27"/>
          <w:lang w:val="es-ES_tradnl"/>
        </w:rPr>
        <w:t xml:space="preserve">/2020) se </w:t>
      </w:r>
      <w:r>
        <w:rPr>
          <w:rFonts w:ascii="Arial" w:hAnsi="Arial" w:cs="Arial"/>
          <w:bCs/>
          <w:spacing w:val="-3"/>
          <w:sz w:val="27"/>
          <w:szCs w:val="27"/>
          <w:lang w:val="es-ES_tradnl"/>
        </w:rPr>
        <w:t>llevó a cabo la Audiencia final</w:t>
      </w:r>
      <w:r w:rsidRPr="004B0D7E">
        <w:rPr>
          <w:rFonts w:ascii="Arial" w:hAnsi="Arial" w:cs="Arial"/>
          <w:bCs/>
          <w:spacing w:val="-3"/>
          <w:sz w:val="27"/>
          <w:szCs w:val="27"/>
          <w:lang w:val="es-ES_tradnl"/>
        </w:rPr>
        <w:t>, en la que no se presentaron las partes, ni persona alguna que legalmente las representara, asent</w:t>
      </w:r>
      <w:r w:rsidR="00390DB4">
        <w:rPr>
          <w:rFonts w:ascii="Arial" w:hAnsi="Arial" w:cs="Arial"/>
          <w:bCs/>
          <w:spacing w:val="-3"/>
          <w:sz w:val="27"/>
          <w:szCs w:val="27"/>
          <w:lang w:val="es-ES_tradnl"/>
        </w:rPr>
        <w:t>ando el Secretario de Acuerdos</w:t>
      </w:r>
      <w:r w:rsidRPr="004B0D7E">
        <w:rPr>
          <w:rFonts w:ascii="Arial" w:hAnsi="Arial" w:cs="Arial"/>
          <w:bCs/>
          <w:spacing w:val="-3"/>
          <w:sz w:val="27"/>
          <w:szCs w:val="27"/>
          <w:lang w:val="es-ES_tradnl"/>
        </w:rPr>
        <w:t xml:space="preserve">, por lo que se citó a las partes oír sentencia dentro del término de ley, y; </w:t>
      </w:r>
    </w:p>
    <w:p w:rsidR="007323B6" w:rsidRPr="004B0D7E" w:rsidRDefault="007323B6" w:rsidP="007323B6">
      <w:pPr>
        <w:spacing w:line="360" w:lineRule="auto"/>
        <w:jc w:val="both"/>
        <w:rPr>
          <w:rFonts w:ascii="Arial" w:hAnsi="Arial" w:cs="Arial"/>
          <w:b/>
          <w:spacing w:val="-3"/>
          <w:sz w:val="27"/>
          <w:szCs w:val="27"/>
          <w:lang w:val="es-ES_tradnl"/>
        </w:rPr>
      </w:pPr>
      <w:r w:rsidRPr="004B0D7E">
        <w:rPr>
          <w:rFonts w:ascii="Arial" w:hAnsi="Arial" w:cs="Arial"/>
          <w:b/>
          <w:spacing w:val="-3"/>
          <w:sz w:val="27"/>
          <w:szCs w:val="27"/>
          <w:lang w:val="es-ES_tradnl"/>
        </w:rPr>
        <w:tab/>
      </w:r>
      <w:r w:rsidRPr="004B0D7E">
        <w:rPr>
          <w:rFonts w:ascii="Arial" w:hAnsi="Arial" w:cs="Arial"/>
          <w:b/>
          <w:spacing w:val="-3"/>
          <w:sz w:val="27"/>
          <w:szCs w:val="27"/>
          <w:lang w:val="es-ES_tradnl"/>
        </w:rPr>
        <w:tab/>
      </w:r>
      <w:r w:rsidRPr="004B0D7E">
        <w:rPr>
          <w:rFonts w:ascii="Arial" w:hAnsi="Arial" w:cs="Arial"/>
          <w:b/>
          <w:spacing w:val="-3"/>
          <w:sz w:val="27"/>
          <w:szCs w:val="27"/>
          <w:lang w:val="es-ES_tradnl"/>
        </w:rPr>
        <w:tab/>
      </w:r>
      <w:r w:rsidRPr="004B0D7E">
        <w:rPr>
          <w:rFonts w:ascii="Arial" w:hAnsi="Arial" w:cs="Arial"/>
          <w:b/>
          <w:spacing w:val="-3"/>
          <w:sz w:val="27"/>
          <w:szCs w:val="27"/>
          <w:lang w:val="es-ES_tradnl"/>
        </w:rPr>
        <w:tab/>
        <w:t>C O N S I D E R A N D O:</w:t>
      </w:r>
    </w:p>
    <w:p w:rsidR="007323B6" w:rsidRPr="004B0D7E" w:rsidRDefault="007323B6" w:rsidP="007323B6">
      <w:pPr>
        <w:spacing w:line="360" w:lineRule="auto"/>
        <w:ind w:firstLine="567"/>
        <w:jc w:val="both"/>
        <w:rPr>
          <w:rFonts w:ascii="Arial" w:hAnsi="Arial" w:cs="Arial"/>
          <w:sz w:val="27"/>
          <w:szCs w:val="27"/>
        </w:rPr>
      </w:pPr>
      <w:r w:rsidRPr="004B0D7E">
        <w:rPr>
          <w:rFonts w:ascii="Arial" w:hAnsi="Arial" w:cs="Arial"/>
          <w:b/>
          <w:sz w:val="27"/>
          <w:szCs w:val="27"/>
        </w:rPr>
        <w:t xml:space="preserve">PRIMERO. </w:t>
      </w:r>
      <w:r w:rsidRPr="004B0D7E">
        <w:rPr>
          <w:rFonts w:ascii="Arial" w:hAnsi="Arial" w:cs="Arial"/>
          <w:sz w:val="27"/>
          <w:szCs w:val="27"/>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7323B6" w:rsidRPr="004B0D7E" w:rsidRDefault="007323B6" w:rsidP="007323B6">
      <w:pPr>
        <w:spacing w:line="360" w:lineRule="auto"/>
        <w:ind w:firstLine="567"/>
        <w:jc w:val="both"/>
        <w:rPr>
          <w:rFonts w:ascii="Arial" w:hAnsi="Arial" w:cs="Arial"/>
          <w:bCs/>
          <w:snapToGrid w:val="0"/>
          <w:sz w:val="27"/>
          <w:szCs w:val="27"/>
        </w:rPr>
      </w:pPr>
      <w:r w:rsidRPr="004B0D7E">
        <w:rPr>
          <w:rFonts w:ascii="Arial" w:hAnsi="Arial" w:cs="Arial"/>
          <w:b/>
          <w:snapToGrid w:val="0"/>
          <w:sz w:val="27"/>
          <w:szCs w:val="27"/>
        </w:rPr>
        <w:t xml:space="preserve">SEGUNDO. </w:t>
      </w:r>
      <w:r w:rsidRPr="00AF2542">
        <w:rPr>
          <w:rFonts w:ascii="Arial" w:hAnsi="Arial" w:cs="Arial"/>
          <w:bCs/>
          <w:snapToGrid w:val="0"/>
          <w:sz w:val="27"/>
          <w:szCs w:val="27"/>
        </w:rPr>
        <w:t xml:space="preserve">La personalidad </w:t>
      </w:r>
      <w:proofErr w:type="gramStart"/>
      <w:r>
        <w:rPr>
          <w:rFonts w:ascii="Arial" w:hAnsi="Arial" w:cs="Arial"/>
          <w:bCs/>
          <w:snapToGrid w:val="0"/>
          <w:sz w:val="27"/>
          <w:szCs w:val="27"/>
        </w:rPr>
        <w:t xml:space="preserve">del </w:t>
      </w:r>
      <w:r w:rsidRPr="00AF2542">
        <w:rPr>
          <w:rFonts w:ascii="Arial" w:hAnsi="Arial" w:cs="Arial"/>
          <w:bCs/>
          <w:snapToGrid w:val="0"/>
          <w:sz w:val="27"/>
          <w:szCs w:val="27"/>
        </w:rPr>
        <w:t xml:space="preserve"> </w:t>
      </w:r>
      <w:r>
        <w:rPr>
          <w:rFonts w:ascii="Arial" w:hAnsi="Arial" w:cs="Arial"/>
          <w:bCs/>
          <w:snapToGrid w:val="0"/>
          <w:sz w:val="27"/>
          <w:szCs w:val="27"/>
        </w:rPr>
        <w:t>actor</w:t>
      </w:r>
      <w:proofErr w:type="gramEnd"/>
      <w:r w:rsidRPr="00AF2542">
        <w:rPr>
          <w:rFonts w:ascii="Arial" w:hAnsi="Arial" w:cs="Arial"/>
          <w:bCs/>
          <w:snapToGrid w:val="0"/>
          <w:sz w:val="27"/>
          <w:szCs w:val="27"/>
        </w:rPr>
        <w:t xml:space="preserve"> y de la autoridad demandada quedaron acreditadas en términos del artículo 148 y 151 de la Ley de Procedimiento y Justicia Administrativa para el Estado de Oaxaca</w:t>
      </w:r>
      <w:r w:rsidRPr="004B0D7E">
        <w:rPr>
          <w:rFonts w:ascii="Arial" w:hAnsi="Arial" w:cs="Arial"/>
          <w:bCs/>
          <w:snapToGrid w:val="0"/>
          <w:sz w:val="27"/>
          <w:szCs w:val="27"/>
        </w:rPr>
        <w:t>.</w:t>
      </w:r>
      <w:r>
        <w:rPr>
          <w:rFonts w:ascii="Arial" w:hAnsi="Arial" w:cs="Arial"/>
          <w:bCs/>
          <w:snapToGrid w:val="0"/>
          <w:sz w:val="27"/>
          <w:szCs w:val="27"/>
        </w:rPr>
        <w:t xml:space="preserve"> </w:t>
      </w:r>
    </w:p>
    <w:p w:rsidR="007323B6" w:rsidRDefault="007323B6" w:rsidP="007323B6">
      <w:pPr>
        <w:spacing w:line="360" w:lineRule="auto"/>
        <w:ind w:right="51" w:firstLine="567"/>
        <w:jc w:val="both"/>
        <w:rPr>
          <w:rFonts w:ascii="Arial" w:hAnsi="Arial" w:cs="Arial"/>
          <w:bCs/>
          <w:snapToGrid w:val="0"/>
          <w:sz w:val="27"/>
          <w:szCs w:val="27"/>
        </w:rPr>
      </w:pPr>
      <w:r w:rsidRPr="004B0D7E">
        <w:rPr>
          <w:rFonts w:ascii="Arial" w:hAnsi="Arial" w:cs="Arial"/>
          <w:b/>
          <w:snapToGrid w:val="0"/>
          <w:sz w:val="27"/>
          <w:szCs w:val="27"/>
        </w:rPr>
        <w:t>TERCERO.</w:t>
      </w:r>
      <w:r w:rsidRPr="004B0D7E">
        <w:rPr>
          <w:rFonts w:ascii="Arial" w:hAnsi="Arial" w:cs="Arial"/>
          <w:bCs/>
          <w:snapToGrid w:val="0"/>
          <w:sz w:val="27"/>
          <w:szCs w:val="27"/>
        </w:rPr>
        <w:t xml:space="preserve"> Previo </w:t>
      </w:r>
      <w:r>
        <w:rPr>
          <w:rFonts w:ascii="Arial" w:hAnsi="Arial" w:cs="Arial"/>
          <w:bCs/>
          <w:snapToGrid w:val="0"/>
          <w:sz w:val="27"/>
          <w:szCs w:val="27"/>
        </w:rPr>
        <w:t xml:space="preserve">al </w:t>
      </w:r>
      <w:r w:rsidRPr="004B0D7E">
        <w:rPr>
          <w:rFonts w:ascii="Arial" w:hAnsi="Arial" w:cs="Arial"/>
          <w:bCs/>
          <w:snapToGrid w:val="0"/>
          <w:sz w:val="27"/>
          <w:szCs w:val="27"/>
        </w:rPr>
        <w:t xml:space="preserve">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p>
    <w:p w:rsidR="007323B6" w:rsidRPr="004B0D7E"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Esta Sexta </w:t>
      </w:r>
      <w:r w:rsidRPr="004B0D7E">
        <w:rPr>
          <w:rFonts w:ascii="Arial" w:hAnsi="Arial" w:cs="Arial"/>
          <w:bCs/>
          <w:snapToGrid w:val="0"/>
          <w:sz w:val="27"/>
          <w:szCs w:val="27"/>
        </w:rPr>
        <w:t xml:space="preserve">Sala Unitaria de Primera Instancia del Tribunal de Justicia Administrativa para el Estado de Oaxaca, advierte que no se configura alguna causal de improcedencia o sobreseimiento por lo tanto, </w:t>
      </w:r>
      <w:r w:rsidRPr="004B0D7E">
        <w:rPr>
          <w:rFonts w:ascii="Arial" w:hAnsi="Arial" w:cs="Arial"/>
          <w:b/>
          <w:snapToGrid w:val="0"/>
          <w:sz w:val="27"/>
          <w:szCs w:val="27"/>
        </w:rPr>
        <w:t>NO SE SOBRESEE EL PRESENTE JUICIO</w:t>
      </w:r>
      <w:r w:rsidRPr="004B0D7E">
        <w:rPr>
          <w:rFonts w:ascii="Arial" w:hAnsi="Arial" w:cs="Arial"/>
          <w:bCs/>
          <w:snapToGrid w:val="0"/>
          <w:sz w:val="27"/>
          <w:szCs w:val="27"/>
        </w:rPr>
        <w:t xml:space="preserve">. </w:t>
      </w:r>
    </w:p>
    <w:p w:rsidR="007323B6" w:rsidRPr="00D75CC4" w:rsidRDefault="005134B7" w:rsidP="007323B6">
      <w:pPr>
        <w:spacing w:line="360" w:lineRule="auto"/>
        <w:ind w:right="51" w:firstLine="567"/>
        <w:jc w:val="both"/>
        <w:rPr>
          <w:rFonts w:ascii="Arial" w:hAnsi="Arial" w:cs="Arial"/>
          <w:bCs/>
          <w:snapToGrid w:val="0"/>
          <w:sz w:val="27"/>
          <w:szCs w:val="27"/>
        </w:rPr>
      </w:pPr>
      <w:r>
        <w:rPr>
          <w:noProof/>
          <w:lang w:eastAsia="es-MX"/>
        </w:rPr>
        <mc:AlternateContent>
          <mc:Choice Requires="wps">
            <w:drawing>
              <wp:anchor distT="0" distB="0" distL="114300" distR="114300" simplePos="0" relativeHeight="251661312" behindDoc="1" locked="0" layoutInCell="1" allowOverlap="1" wp14:anchorId="2310F59C" wp14:editId="5CAB1D17">
                <wp:simplePos x="0" y="0"/>
                <wp:positionH relativeFrom="column">
                  <wp:posOffset>-1133061</wp:posOffset>
                </wp:positionH>
                <wp:positionV relativeFrom="paragraph">
                  <wp:posOffset>272830</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0F59C" id="Cuadro de texto 2" o:spid="_x0000_s1028" type="#_x0000_t202" style="position:absolute;left:0;text-align:left;margin-left:-89.2pt;margin-top:21.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sidRPr="004B0D7E">
        <w:rPr>
          <w:rFonts w:ascii="Arial" w:hAnsi="Arial" w:cs="Arial"/>
          <w:b/>
          <w:snapToGrid w:val="0"/>
          <w:sz w:val="27"/>
          <w:szCs w:val="27"/>
        </w:rPr>
        <w:t xml:space="preserve">CUARTO.- </w:t>
      </w:r>
      <w:r w:rsidR="007323B6">
        <w:rPr>
          <w:rFonts w:ascii="Arial" w:hAnsi="Arial" w:cs="Arial"/>
          <w:bCs/>
          <w:snapToGrid w:val="0"/>
          <w:sz w:val="27"/>
          <w:szCs w:val="27"/>
        </w:rPr>
        <w:t>El</w:t>
      </w:r>
      <w:r w:rsidR="007323B6" w:rsidRPr="00D75CC4">
        <w:rPr>
          <w:rFonts w:ascii="Arial" w:hAnsi="Arial" w:cs="Arial"/>
          <w:bCs/>
          <w:snapToGrid w:val="0"/>
          <w:sz w:val="27"/>
          <w:szCs w:val="27"/>
        </w:rPr>
        <w:t xml:space="preserve"> accionante </w:t>
      </w:r>
      <w:r>
        <w:rPr>
          <w:rFonts w:ascii="Arial" w:hAnsi="Arial" w:cs="Arial"/>
          <w:bCs/>
          <w:snapToGrid w:val="0"/>
          <w:sz w:val="27"/>
          <w:szCs w:val="27"/>
        </w:rPr>
        <w:t>**********</w:t>
      </w:r>
      <w:r w:rsidR="007323B6" w:rsidRPr="00DE2FDD">
        <w:rPr>
          <w:rFonts w:ascii="Arial" w:hAnsi="Arial" w:cs="Arial"/>
          <w:bCs/>
          <w:snapToGrid w:val="0"/>
          <w:sz w:val="27"/>
          <w:szCs w:val="27"/>
        </w:rPr>
        <w:t>,</w:t>
      </w:r>
      <w:r w:rsidR="007323B6" w:rsidRPr="00D75CC4">
        <w:rPr>
          <w:rFonts w:ascii="Arial" w:hAnsi="Arial" w:cs="Arial"/>
          <w:bCs/>
          <w:snapToGrid w:val="0"/>
          <w:sz w:val="27"/>
          <w:szCs w:val="27"/>
        </w:rPr>
        <w:t xml:space="preserve"> por su propio derecho</w:t>
      </w:r>
      <w:r w:rsidR="007323B6">
        <w:rPr>
          <w:rFonts w:ascii="Arial" w:hAnsi="Arial" w:cs="Arial"/>
          <w:bCs/>
          <w:snapToGrid w:val="0"/>
          <w:sz w:val="27"/>
          <w:szCs w:val="27"/>
        </w:rPr>
        <w:t>,</w:t>
      </w:r>
      <w:r w:rsidR="007323B6" w:rsidRPr="00D75CC4">
        <w:rPr>
          <w:rFonts w:ascii="Arial" w:hAnsi="Arial" w:cs="Arial"/>
          <w:bCs/>
          <w:snapToGrid w:val="0"/>
          <w:sz w:val="27"/>
          <w:szCs w:val="27"/>
        </w:rPr>
        <w:t xml:space="preserve"> demandó la nulidad del oficio número </w:t>
      </w:r>
      <w:r w:rsidR="007323B6" w:rsidRPr="0054092B">
        <w:rPr>
          <w:rFonts w:ascii="Arial" w:hAnsi="Arial" w:cs="Arial"/>
          <w:b/>
          <w:bCs/>
          <w:snapToGrid w:val="0"/>
          <w:sz w:val="27"/>
          <w:szCs w:val="27"/>
        </w:rPr>
        <w:t>OP/DG/DEP/1408/2019</w:t>
      </w:r>
      <w:r w:rsidR="007323B6">
        <w:rPr>
          <w:rFonts w:ascii="Arial" w:hAnsi="Arial" w:cs="Arial"/>
          <w:bCs/>
          <w:snapToGrid w:val="0"/>
          <w:sz w:val="27"/>
          <w:szCs w:val="27"/>
        </w:rPr>
        <w:t>, de fecha once de junio de dos mil diecinueve</w:t>
      </w:r>
      <w:r w:rsidR="007323B6" w:rsidRPr="00D75CC4">
        <w:rPr>
          <w:rFonts w:ascii="Arial" w:hAnsi="Arial" w:cs="Arial"/>
          <w:bCs/>
          <w:snapToGrid w:val="0"/>
          <w:sz w:val="27"/>
          <w:szCs w:val="27"/>
        </w:rPr>
        <w:t xml:space="preserve">, emitido por el Director General de la Oficina de Pensiones el Gobierno del Estado de Oaxaca, en virtud de que a su consideración, este se emitió en contravención a las disposiciones legales, causándole </w:t>
      </w:r>
      <w:r w:rsidR="007323B6">
        <w:rPr>
          <w:rFonts w:ascii="Arial" w:hAnsi="Arial" w:cs="Arial"/>
          <w:bCs/>
          <w:snapToGrid w:val="0"/>
          <w:sz w:val="27"/>
          <w:szCs w:val="27"/>
        </w:rPr>
        <w:t>así un perjuicio directo.</w:t>
      </w:r>
    </w:p>
    <w:p w:rsidR="007323B6" w:rsidRPr="00D75CC4"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Ahora bien, esta Sala realiza</w:t>
      </w:r>
      <w:r w:rsidRPr="00D75CC4">
        <w:rPr>
          <w:rFonts w:ascii="Arial" w:hAnsi="Arial" w:cs="Arial"/>
          <w:bCs/>
          <w:snapToGrid w:val="0"/>
          <w:sz w:val="27"/>
          <w:szCs w:val="27"/>
        </w:rPr>
        <w:t xml:space="preserve"> el análisis de los conceptos de impugnación hechos valer por la parte actora, sin que </w:t>
      </w:r>
      <w:r>
        <w:rPr>
          <w:rFonts w:ascii="Arial" w:hAnsi="Arial" w:cs="Arial"/>
          <w:bCs/>
          <w:snapToGrid w:val="0"/>
          <w:sz w:val="27"/>
          <w:szCs w:val="27"/>
        </w:rPr>
        <w:t>se</w:t>
      </w:r>
      <w:r w:rsidRPr="00D75CC4">
        <w:rPr>
          <w:rFonts w:ascii="Arial" w:hAnsi="Arial" w:cs="Arial"/>
          <w:bCs/>
          <w:snapToGrid w:val="0"/>
          <w:sz w:val="27"/>
          <w:szCs w:val="27"/>
        </w:rPr>
        <w:t xml:space="preserve"> transcriba</w:t>
      </w:r>
      <w:r>
        <w:rPr>
          <w:rFonts w:ascii="Arial" w:hAnsi="Arial" w:cs="Arial"/>
          <w:bCs/>
          <w:snapToGrid w:val="0"/>
          <w:sz w:val="27"/>
          <w:szCs w:val="27"/>
        </w:rPr>
        <w:t>n</w:t>
      </w:r>
      <w:r w:rsidRPr="00D75CC4">
        <w:rPr>
          <w:rFonts w:ascii="Arial" w:hAnsi="Arial" w:cs="Arial"/>
          <w:bCs/>
          <w:snapToGrid w:val="0"/>
          <w:sz w:val="27"/>
          <w:szCs w:val="27"/>
        </w:rPr>
        <w:t xml:space="preserve"> dichos conceptos, esto en atención a la jurisprudencia número 2a</w:t>
      </w:r>
      <w:proofErr w:type="gramStart"/>
      <w:r w:rsidRPr="00D75CC4">
        <w:rPr>
          <w:rFonts w:ascii="Arial" w:hAnsi="Arial" w:cs="Arial"/>
          <w:bCs/>
          <w:snapToGrid w:val="0"/>
          <w:sz w:val="27"/>
          <w:szCs w:val="27"/>
        </w:rPr>
        <w:t>./</w:t>
      </w:r>
      <w:proofErr w:type="gramEnd"/>
      <w:r w:rsidRPr="00D75CC4">
        <w:rPr>
          <w:rFonts w:ascii="Arial" w:hAnsi="Arial" w:cs="Arial"/>
          <w:bCs/>
          <w:snapToGrid w:val="0"/>
          <w:sz w:val="27"/>
          <w:szCs w:val="27"/>
        </w:rPr>
        <w:t>J. 58/2010, con número de registro 164618 por la Segunda Sala de la Suprema Corte de Justicia de la Nación en el Semanario Judicial de la Federación y su Gaceta, Tomo XXXI, Mayo de 2010, Página 830, Novena Época, ba</w:t>
      </w:r>
      <w:r>
        <w:rPr>
          <w:rFonts w:ascii="Arial" w:hAnsi="Arial" w:cs="Arial"/>
          <w:bCs/>
          <w:snapToGrid w:val="0"/>
          <w:sz w:val="27"/>
          <w:szCs w:val="27"/>
        </w:rPr>
        <w:t>jo el rubro y texto siguiente:</w:t>
      </w:r>
    </w:p>
    <w:p w:rsidR="007323B6" w:rsidRPr="0054092B" w:rsidRDefault="007323B6" w:rsidP="007323B6">
      <w:pPr>
        <w:ind w:left="567" w:right="615"/>
        <w:jc w:val="both"/>
        <w:rPr>
          <w:rFonts w:ascii="Arial" w:hAnsi="Arial" w:cs="Arial"/>
          <w:bCs/>
          <w:i/>
          <w:snapToGrid w:val="0"/>
          <w:sz w:val="24"/>
          <w:szCs w:val="27"/>
        </w:rPr>
      </w:pPr>
      <w:r w:rsidRPr="0054092B">
        <w:rPr>
          <w:rFonts w:ascii="Arial" w:hAnsi="Arial" w:cs="Arial"/>
          <w:b/>
          <w:i/>
          <w:snapToGrid w:val="0"/>
          <w:sz w:val="24"/>
          <w:szCs w:val="27"/>
        </w:rPr>
        <w:t>CONCEPTOS DE VIOLACIÓN O AGRAVIOS. PARA CUMPLIR CON LOS PRINCIPIOS DE CONGRUENCIA Y EXHAUSTIVIDAD EN LAS SENTENCIAS DE AMPARO ES INNECESARIA SU TRANSCRIPCIÓN.</w:t>
      </w:r>
      <w:r w:rsidRPr="0054092B">
        <w:rPr>
          <w:rFonts w:ascii="Arial" w:hAnsi="Arial" w:cs="Arial"/>
          <w:bCs/>
          <w:i/>
          <w:snapToGrid w:val="0"/>
          <w:sz w:val="24"/>
          <w:szCs w:val="27"/>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54092B">
        <w:rPr>
          <w:rFonts w:ascii="Arial" w:hAnsi="Arial" w:cs="Arial"/>
          <w:bCs/>
          <w:i/>
          <w:snapToGrid w:val="0"/>
          <w:sz w:val="24"/>
          <w:szCs w:val="27"/>
        </w:rPr>
        <w:t>litis</w:t>
      </w:r>
      <w:proofErr w:type="spellEnd"/>
      <w:r w:rsidRPr="0054092B">
        <w:rPr>
          <w:rFonts w:ascii="Arial" w:hAnsi="Arial" w:cs="Arial"/>
          <w:bCs/>
          <w:i/>
          <w:snapToGrid w:val="0"/>
          <w:sz w:val="24"/>
          <w:szCs w:val="27"/>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7323B6" w:rsidRDefault="005134B7" w:rsidP="007323B6">
      <w:pPr>
        <w:spacing w:line="360" w:lineRule="auto"/>
        <w:ind w:right="51" w:firstLine="567"/>
        <w:jc w:val="both"/>
        <w:rPr>
          <w:rFonts w:ascii="Arial" w:hAnsi="Arial" w:cs="Arial"/>
          <w:bCs/>
          <w:snapToGrid w:val="0"/>
          <w:sz w:val="27"/>
          <w:szCs w:val="27"/>
        </w:rPr>
      </w:pPr>
      <w:r>
        <w:rPr>
          <w:noProof/>
          <w:lang w:eastAsia="es-MX"/>
        </w:rPr>
        <mc:AlternateContent>
          <mc:Choice Requires="wps">
            <w:drawing>
              <wp:anchor distT="0" distB="0" distL="114300" distR="114300" simplePos="0" relativeHeight="251663360" behindDoc="1" locked="0" layoutInCell="1" allowOverlap="1" wp14:anchorId="7FF94105" wp14:editId="18405980">
                <wp:simplePos x="0" y="0"/>
                <wp:positionH relativeFrom="column">
                  <wp:posOffset>5688418</wp:posOffset>
                </wp:positionH>
                <wp:positionV relativeFrom="paragraph">
                  <wp:posOffset>2944126</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94105" id="Cuadro de texto 3" o:spid="_x0000_s1029" type="#_x0000_t202" style="position:absolute;left:0;text-align:left;margin-left:447.9pt;margin-top:231.8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Pr>
          <w:rFonts w:ascii="Arial" w:hAnsi="Arial" w:cs="Arial"/>
          <w:bCs/>
          <w:snapToGrid w:val="0"/>
          <w:sz w:val="27"/>
          <w:szCs w:val="27"/>
        </w:rPr>
        <w:t>En ese tenor, el actor argumenta en sus conceptos de impugnación, que se debe de declarar la nulidad del acto impugnado en razón de que carece de los elementos y requisitos de validez exigidos por el artículo 17 de la Ley de Procedimiento y Justicia Administrativa para el Estado de Oaxaca, pues se configura una indebida fundamentación y motivación, en razón de que la autoridad fundamenta su decisión en el artículo 70 de la Ley de Pensiones para los empleados del Gobierno del Estado, anterior a la vigente, el cual resulta inaplicable al asunto por las características específicas de éste que impiden su adecuación o encuadre en la hipótesis normativa; además, que con su emisión se violenta lo previsto en el artículo 123 apartado b fracción XI de la Constitución Política de los Estados Unidos Mexicanos; asimismo, la autoridad demandada no observó lo dispuesto en el artículo 1° de la Constitución Federal, al negar la devolución de las cantidades descontadas a favor del fondo de pensiones, al señalar de que dichas cantidades habían prescrito a favor del mencionado fondo.</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En ese sentido, es importante destacar que el actor </w:t>
      </w:r>
      <w:r w:rsidR="005134B7">
        <w:rPr>
          <w:rFonts w:ascii="Arial" w:hAnsi="Arial" w:cs="Arial"/>
          <w:bCs/>
          <w:snapToGrid w:val="0"/>
          <w:sz w:val="27"/>
          <w:szCs w:val="27"/>
        </w:rPr>
        <w:t>**********</w:t>
      </w:r>
      <w:r>
        <w:rPr>
          <w:rFonts w:ascii="Arial" w:hAnsi="Arial" w:cs="Arial"/>
          <w:bCs/>
          <w:snapToGrid w:val="0"/>
          <w:sz w:val="27"/>
          <w:szCs w:val="27"/>
        </w:rPr>
        <w:t>, mediante escrito de treinta de mayo de dos mil diecinueve, recibido por la Dirección General de Pensiones del Estado el cuatro de junio de ese año, solicitó la devolución de las cantidades descontadas a su salario por concepto de aportación al Fondo de Pensiones, durante el periodo que laboró para el Gobierno del Estado.</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Por ello, mediante oficio número </w:t>
      </w:r>
      <w:r>
        <w:rPr>
          <w:rFonts w:ascii="Arial" w:hAnsi="Arial" w:cs="Arial"/>
          <w:b/>
          <w:bCs/>
          <w:snapToGrid w:val="0"/>
          <w:sz w:val="27"/>
          <w:szCs w:val="27"/>
        </w:rPr>
        <w:t>OP/DG/DPE/1408/2019</w:t>
      </w:r>
      <w:r>
        <w:rPr>
          <w:rFonts w:ascii="Arial" w:hAnsi="Arial" w:cs="Arial"/>
          <w:bCs/>
          <w:snapToGrid w:val="0"/>
          <w:sz w:val="27"/>
          <w:szCs w:val="27"/>
        </w:rPr>
        <w:t>, de once de junio de dos mil diecinueve, el Director General de la Oficina de Pensiones del Gobierno del Estado, dio contestación al escrito del actor, en el que le indicó que era improcedente la devolución de las cantidad descontadas a su salario durante el periodo que laboró para el Gobierno del Estado, en razón, que el artículo 70 de la Ley de Pensiones para los Empleados del Gobierno del Estado, anterior a la vigente, establecía que la devolución de los descuentos efectuados a favor del Fondo de Pensiones del Estado, deberían de ser reclamados dentro de los tres años siguientes a partir de la fecha que hubieran sido exigibles, pues de lo contrario prescribirían a favor de dicho fondo, indicándole que la última aportación al fondo de pensiones la realizó el veintiocho de diciembre de dos mil trece, por lo que su término de tres años para solicitar su devolución, concluía el veintiocho de enero de dos mil diecisiete y siendo que solicitó la devolución hasta el cuatro de junio de dos mil diecinueve, dichas cantidades ya habían prescrito a favor del Fondo de Pensiones.</w:t>
      </w:r>
    </w:p>
    <w:p w:rsidR="007323B6" w:rsidRDefault="005134B7" w:rsidP="007323B6">
      <w:pPr>
        <w:spacing w:line="360" w:lineRule="auto"/>
        <w:ind w:right="51" w:firstLine="567"/>
        <w:jc w:val="both"/>
        <w:rPr>
          <w:rFonts w:ascii="Arial" w:hAnsi="Arial" w:cs="Arial"/>
          <w:bCs/>
          <w:snapToGrid w:val="0"/>
          <w:sz w:val="27"/>
          <w:szCs w:val="27"/>
        </w:rPr>
      </w:pPr>
      <w:r>
        <w:rPr>
          <w:noProof/>
          <w:lang w:eastAsia="es-MX"/>
        </w:rPr>
        <mc:AlternateContent>
          <mc:Choice Requires="wps">
            <w:drawing>
              <wp:anchor distT="0" distB="0" distL="114300" distR="114300" simplePos="0" relativeHeight="251665408" behindDoc="1" locked="0" layoutInCell="1" allowOverlap="1" wp14:anchorId="19AE667F" wp14:editId="529EE6AF">
                <wp:simplePos x="0" y="0"/>
                <wp:positionH relativeFrom="column">
                  <wp:posOffset>-1148317</wp:posOffset>
                </wp:positionH>
                <wp:positionV relativeFrom="paragraph">
                  <wp:posOffset>1780230</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E667F" id="Cuadro de texto 4" o:spid="_x0000_s1030" type="#_x0000_t202" style="position:absolute;left:0;text-align:left;margin-left:-90.4pt;margin-top:140.2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Pr>
          <w:rFonts w:ascii="Arial" w:hAnsi="Arial" w:cs="Arial"/>
          <w:bCs/>
          <w:snapToGrid w:val="0"/>
          <w:sz w:val="27"/>
          <w:szCs w:val="27"/>
        </w:rPr>
        <w:t xml:space="preserve">Asimismo, se debe establecer </w:t>
      </w:r>
      <w:proofErr w:type="spellStart"/>
      <w:r w:rsidR="007323B6">
        <w:rPr>
          <w:rFonts w:ascii="Arial" w:hAnsi="Arial" w:cs="Arial"/>
          <w:bCs/>
          <w:snapToGrid w:val="0"/>
          <w:sz w:val="27"/>
          <w:szCs w:val="27"/>
        </w:rPr>
        <w:t>que</w:t>
      </w:r>
      <w:proofErr w:type="spellEnd"/>
      <w:r w:rsidR="007323B6">
        <w:rPr>
          <w:rFonts w:ascii="Arial" w:hAnsi="Arial" w:cs="Arial"/>
          <w:bCs/>
          <w:snapToGrid w:val="0"/>
          <w:sz w:val="27"/>
          <w:szCs w:val="27"/>
        </w:rPr>
        <w:t xml:space="preserve"> </w:t>
      </w:r>
      <w:r>
        <w:rPr>
          <w:rFonts w:ascii="Arial" w:hAnsi="Arial" w:cs="Arial"/>
          <w:bCs/>
          <w:snapToGrid w:val="0"/>
          <w:sz w:val="27"/>
          <w:szCs w:val="27"/>
        </w:rPr>
        <w:t>**********</w:t>
      </w:r>
      <w:r w:rsidR="007323B6">
        <w:rPr>
          <w:rFonts w:ascii="Arial" w:hAnsi="Arial" w:cs="Arial"/>
          <w:bCs/>
          <w:snapToGrid w:val="0"/>
          <w:sz w:val="27"/>
          <w:szCs w:val="27"/>
        </w:rPr>
        <w:t>, ingresó a laborar al Gobierno del Estado el uno de abril de mil novecientos noventa y tres, prestando sus servicios hasta el veintiocho de diciembre de dos mil trece, lo que se acredita con la constancia de servicios de cinco de mayo de dos mil diecinueve, emitida por la Jefa de la Unidad de Servicios al Personal de la Dirección de Recursos Humanos dependiente de la Secretaría de Administración del Gobierno del Estado, la cual al ser una documental expedida por un funcionario público en ejercicio de sus funciones, hace prueba plena en términos del artículo 203 de la Ley de Procedimiento y Justicia Administrativa para el Estado.</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Por lo tanto, si los descuentos fueron efectuados durante esa época, resulta aplicable la Ley de Pensiones para los Empleados del Gobierno del Estado de Oaxaca, publicada en el </w:t>
      </w:r>
      <w:r w:rsidRPr="00E36C09">
        <w:rPr>
          <w:rFonts w:ascii="Arial" w:hAnsi="Arial" w:cs="Arial"/>
          <w:bCs/>
          <w:snapToGrid w:val="0"/>
          <w:sz w:val="27"/>
          <w:szCs w:val="27"/>
        </w:rPr>
        <w:t xml:space="preserve">suplemento del Periódico Oficial del estado </w:t>
      </w:r>
      <w:r>
        <w:rPr>
          <w:rFonts w:ascii="Arial" w:hAnsi="Arial" w:cs="Arial"/>
          <w:bCs/>
          <w:snapToGrid w:val="0"/>
          <w:sz w:val="27"/>
          <w:szCs w:val="27"/>
        </w:rPr>
        <w:t>de Oaxaca, el sábado siete de junio de mil novecientos cincuenta y ocho, la cual estuvo vigente hasta el veintisiete de enero de dos mil doce y que en sus artículos 70 y 71, indica:</w:t>
      </w:r>
    </w:p>
    <w:p w:rsidR="007323B6" w:rsidRPr="00D25F8F" w:rsidRDefault="007323B6" w:rsidP="007323B6">
      <w:pPr>
        <w:ind w:right="51" w:firstLine="567"/>
        <w:jc w:val="both"/>
        <w:rPr>
          <w:rFonts w:ascii="Arial" w:hAnsi="Arial" w:cs="Arial"/>
          <w:bCs/>
          <w:i/>
          <w:snapToGrid w:val="0"/>
          <w:sz w:val="24"/>
          <w:szCs w:val="27"/>
        </w:rPr>
      </w:pPr>
      <w:r w:rsidRPr="00D25F8F">
        <w:rPr>
          <w:rFonts w:ascii="Arial" w:hAnsi="Arial" w:cs="Arial"/>
          <w:b/>
          <w:bCs/>
          <w:i/>
          <w:snapToGrid w:val="0"/>
          <w:sz w:val="24"/>
          <w:szCs w:val="27"/>
        </w:rPr>
        <w:t>Artículo 70</w:t>
      </w:r>
      <w:r w:rsidRPr="00D25F8F">
        <w:rPr>
          <w:rFonts w:ascii="Arial" w:hAnsi="Arial" w:cs="Arial"/>
          <w:bCs/>
          <w:i/>
          <w:snapToGrid w:val="0"/>
          <w:sz w:val="24"/>
          <w:szCs w:val="27"/>
        </w:rPr>
        <w:t>. Las prestaciones caídas, la devolución de descuentos, los intereses y cualquiera prestación a cargo del Fondo de Pensiones, que no se reclame dentro de los tres años siguientes a la fecha en que hubieren sido exigibles, prescribirán a favor de dicho fondo.</w:t>
      </w:r>
    </w:p>
    <w:p w:rsidR="007323B6" w:rsidRDefault="007323B6" w:rsidP="007323B6">
      <w:pPr>
        <w:ind w:right="51" w:firstLine="567"/>
        <w:jc w:val="both"/>
        <w:rPr>
          <w:rFonts w:ascii="Arial" w:hAnsi="Arial" w:cs="Arial"/>
          <w:bCs/>
          <w:snapToGrid w:val="0"/>
          <w:sz w:val="27"/>
          <w:szCs w:val="27"/>
        </w:rPr>
      </w:pPr>
      <w:r w:rsidRPr="00D25F8F">
        <w:rPr>
          <w:rFonts w:ascii="Arial" w:hAnsi="Arial" w:cs="Arial"/>
          <w:b/>
          <w:bCs/>
          <w:i/>
          <w:snapToGrid w:val="0"/>
          <w:sz w:val="24"/>
          <w:szCs w:val="27"/>
        </w:rPr>
        <w:t>Artículo 71.</w:t>
      </w:r>
      <w:r w:rsidRPr="00D25F8F">
        <w:rPr>
          <w:rFonts w:ascii="Arial" w:hAnsi="Arial" w:cs="Arial"/>
          <w:bCs/>
          <w:i/>
          <w:snapToGrid w:val="0"/>
          <w:sz w:val="24"/>
          <w:szCs w:val="27"/>
        </w:rPr>
        <w:t xml:space="preserve"> El trabajador que no tenga derecho a pensión y se separe, o sea separado definitivamente del servicio, tendrá derecho a que se le devuelvan los descuentos que se le hubieren hecho para el Fondo de Pensiones, deducidos los adeudos que tuviere pendientes con la Oficina de Pensiones. 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el ocho por ciento anual de intereses.</w:t>
      </w:r>
      <w:r w:rsidRPr="00D25F8F">
        <w:rPr>
          <w:rFonts w:ascii="Arial" w:hAnsi="Arial" w:cs="Arial"/>
          <w:bCs/>
          <w:snapToGrid w:val="0"/>
          <w:sz w:val="27"/>
          <w:szCs w:val="27"/>
        </w:rPr>
        <w:cr/>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De una interpretación armónica de los artículos transcritos, podemos advertir, que cuando un trabajador se separe o sea separado de su empleo en el Gobierno del Estado, tendrá el derecho de que se le devuelvan la cantidades descontadas que se hubieran efectuado a favor del Fondo de Pensiones, </w:t>
      </w:r>
      <w:r>
        <w:rPr>
          <w:rFonts w:ascii="Arial" w:hAnsi="Arial" w:cs="Arial"/>
          <w:b/>
          <w:bCs/>
          <w:snapToGrid w:val="0"/>
          <w:sz w:val="27"/>
          <w:szCs w:val="27"/>
        </w:rPr>
        <w:t xml:space="preserve">sin embargo </w:t>
      </w:r>
      <w:r>
        <w:rPr>
          <w:rFonts w:ascii="Arial" w:hAnsi="Arial" w:cs="Arial"/>
          <w:bCs/>
          <w:snapToGrid w:val="0"/>
          <w:sz w:val="27"/>
          <w:szCs w:val="27"/>
        </w:rPr>
        <w:t>dicha devolución deberá de solicitarse dentro del término de tres años siguientes a que hubieran sido exigible la devolución, pues en caso de no solicitarse, dicha cantidad prescribirá a favor del Fondo de Pensiones, y por lo tanto, será improcedente la devolución de las cantidades descontadas.</w:t>
      </w:r>
    </w:p>
    <w:p w:rsidR="007323B6" w:rsidRDefault="005134B7" w:rsidP="007323B6">
      <w:pPr>
        <w:spacing w:line="360" w:lineRule="auto"/>
        <w:ind w:right="51" w:firstLine="567"/>
        <w:jc w:val="both"/>
        <w:rPr>
          <w:rFonts w:ascii="Arial" w:hAnsi="Arial" w:cs="Arial"/>
          <w:bCs/>
          <w:snapToGrid w:val="0"/>
          <w:sz w:val="27"/>
          <w:szCs w:val="27"/>
        </w:rPr>
      </w:pPr>
      <w:r>
        <w:rPr>
          <w:noProof/>
          <w:lang w:eastAsia="es-MX"/>
        </w:rPr>
        <mc:AlternateContent>
          <mc:Choice Requires="wps">
            <w:drawing>
              <wp:anchor distT="0" distB="0" distL="114300" distR="114300" simplePos="0" relativeHeight="251667456" behindDoc="1" locked="0" layoutInCell="1" allowOverlap="1" wp14:anchorId="551DACBC" wp14:editId="6E788235">
                <wp:simplePos x="0" y="0"/>
                <wp:positionH relativeFrom="column">
                  <wp:posOffset>5709684</wp:posOffset>
                </wp:positionH>
                <wp:positionV relativeFrom="paragraph">
                  <wp:posOffset>1023517</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DACBC" id="Cuadro de texto 6" o:spid="_x0000_s1031" type="#_x0000_t202" style="position:absolute;left:0;text-align:left;margin-left:449.6pt;margin-top:80.6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Pr>
          <w:rFonts w:ascii="Arial" w:hAnsi="Arial" w:cs="Arial"/>
          <w:bCs/>
          <w:snapToGrid w:val="0"/>
          <w:sz w:val="27"/>
          <w:szCs w:val="27"/>
        </w:rPr>
        <w:t>En el presente caso, el último descuento al salario del actor, fue efectuado el veintiocho de diciembre de dos mil trece, por lo que a partir de esa fecha contaba con el término de tres años para solicitar la devolución de las cantidades descontadas a su pensión, los cuales concluyeron el veintiocho de enero de dos mil diecisiete.</w:t>
      </w:r>
      <w:r w:rsidRPr="005134B7">
        <w:rPr>
          <w:noProof/>
          <w:lang w:eastAsia="es-MX"/>
        </w:rPr>
        <w:t xml:space="preserve"> </w:t>
      </w:r>
    </w:p>
    <w:p w:rsidR="007323B6" w:rsidRPr="00D1570D"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Por lo que, en teoría, al no reclamar en tiempo la devolución de los descuentos efectuados, dichas cantidades pasaron a formar parte del p</w:t>
      </w:r>
      <w:r w:rsidRPr="00D1570D">
        <w:rPr>
          <w:rFonts w:ascii="Arial" w:hAnsi="Arial" w:cs="Arial"/>
          <w:bCs/>
          <w:snapToGrid w:val="0"/>
          <w:sz w:val="27"/>
          <w:szCs w:val="27"/>
        </w:rPr>
        <w:t>atrimonio de la Oficina de Pensiones del Gobierno del Estado, de manera definitiva.</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
          <w:bCs/>
          <w:snapToGrid w:val="0"/>
          <w:sz w:val="27"/>
          <w:szCs w:val="27"/>
        </w:rPr>
        <w:t xml:space="preserve">Sin embargo, </w:t>
      </w:r>
      <w:r>
        <w:rPr>
          <w:rFonts w:ascii="Arial" w:hAnsi="Arial" w:cs="Arial"/>
          <w:bCs/>
          <w:snapToGrid w:val="0"/>
          <w:sz w:val="27"/>
          <w:szCs w:val="27"/>
        </w:rPr>
        <w:t>el artículo 1° de la Constitución Política de los Estados Unidos Mexicanos, indica:</w:t>
      </w:r>
    </w:p>
    <w:p w:rsidR="007323B6" w:rsidRPr="003D4D1B" w:rsidRDefault="007323B6" w:rsidP="007323B6">
      <w:pPr>
        <w:ind w:left="426" w:right="51" w:firstLine="567"/>
        <w:jc w:val="both"/>
        <w:rPr>
          <w:rFonts w:ascii="Arial" w:hAnsi="Arial" w:cs="Arial"/>
          <w:bCs/>
          <w:i/>
          <w:snapToGrid w:val="0"/>
          <w:sz w:val="24"/>
          <w:szCs w:val="27"/>
        </w:rPr>
      </w:pPr>
      <w:r w:rsidRPr="003D4D1B">
        <w:rPr>
          <w:rFonts w:ascii="Arial" w:hAnsi="Arial" w:cs="Arial"/>
          <w:b/>
          <w:bCs/>
          <w:i/>
          <w:snapToGrid w:val="0"/>
          <w:sz w:val="24"/>
          <w:szCs w:val="27"/>
        </w:rPr>
        <w:t>Artículo 1o.</w:t>
      </w:r>
      <w:r w:rsidRPr="003D4D1B">
        <w:rPr>
          <w:rFonts w:ascii="Arial" w:hAnsi="Arial" w:cs="Arial"/>
          <w:bCs/>
          <w:i/>
          <w:snapToGrid w:val="0"/>
          <w:sz w:val="24"/>
          <w:szCs w:val="27"/>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7323B6" w:rsidRPr="003D4D1B" w:rsidRDefault="007323B6" w:rsidP="007323B6">
      <w:pPr>
        <w:ind w:left="426" w:right="51" w:firstLine="567"/>
        <w:jc w:val="both"/>
        <w:rPr>
          <w:rFonts w:ascii="Arial" w:hAnsi="Arial" w:cs="Arial"/>
          <w:bCs/>
          <w:i/>
          <w:snapToGrid w:val="0"/>
          <w:sz w:val="24"/>
          <w:szCs w:val="27"/>
        </w:rPr>
      </w:pPr>
      <w:r w:rsidRPr="003D4D1B">
        <w:rPr>
          <w:rFonts w:ascii="Arial" w:hAnsi="Arial" w:cs="Arial"/>
          <w:bCs/>
          <w:i/>
          <w:snapToGrid w:val="0"/>
          <w:sz w:val="24"/>
          <w:szCs w:val="27"/>
        </w:rPr>
        <w:t>Las normas relativas a los derechos humanos se interpretarán de conformidad con esta Constitución y con los tratados internacionales de la materia favoreciendo en todo tiempo a las personas la protección más amplia.</w:t>
      </w:r>
    </w:p>
    <w:p w:rsidR="007323B6" w:rsidRPr="003D4D1B" w:rsidRDefault="007323B6" w:rsidP="007323B6">
      <w:pPr>
        <w:ind w:left="426" w:right="51" w:firstLine="567"/>
        <w:jc w:val="both"/>
        <w:rPr>
          <w:rFonts w:ascii="Arial" w:hAnsi="Arial" w:cs="Arial"/>
          <w:bCs/>
          <w:i/>
          <w:snapToGrid w:val="0"/>
          <w:sz w:val="24"/>
          <w:szCs w:val="27"/>
        </w:rPr>
      </w:pPr>
      <w:r w:rsidRPr="003D4D1B">
        <w:rPr>
          <w:rFonts w:ascii="Arial" w:hAnsi="Arial" w:cs="Arial"/>
          <w:bCs/>
          <w:i/>
          <w:snapToGrid w:val="0"/>
          <w:sz w:val="24"/>
          <w:szCs w:val="27"/>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Dicho precepto constitucional, obliga a este Juzgador a </w:t>
      </w:r>
      <w:r w:rsidRPr="00C24C51">
        <w:rPr>
          <w:rFonts w:ascii="Arial" w:hAnsi="Arial" w:cs="Arial"/>
          <w:bCs/>
          <w:snapToGrid w:val="0"/>
          <w:sz w:val="27"/>
          <w:szCs w:val="27"/>
        </w:rPr>
        <w:t>promover, respetar, proteger y garantizar los derechos humanos</w:t>
      </w:r>
      <w:r>
        <w:rPr>
          <w:rFonts w:ascii="Arial" w:hAnsi="Arial" w:cs="Arial"/>
          <w:bCs/>
          <w:snapToGrid w:val="0"/>
          <w:sz w:val="27"/>
          <w:szCs w:val="27"/>
        </w:rPr>
        <w:t xml:space="preserve"> de los gobernados, de conformidad con los principios de universalidad, indivisibilidad, interdependencia y progresividad; además, que las normas relativas que reconozcan </w:t>
      </w:r>
      <w:r w:rsidRPr="00C24C51">
        <w:rPr>
          <w:rFonts w:ascii="Arial" w:hAnsi="Arial" w:cs="Arial"/>
          <w:bCs/>
          <w:snapToGrid w:val="0"/>
          <w:sz w:val="27"/>
          <w:szCs w:val="27"/>
        </w:rPr>
        <w:t xml:space="preserve">los derechos humanos </w:t>
      </w:r>
      <w:r>
        <w:rPr>
          <w:rFonts w:ascii="Arial" w:hAnsi="Arial" w:cs="Arial"/>
          <w:bCs/>
          <w:snapToGrid w:val="0"/>
          <w:sz w:val="27"/>
          <w:szCs w:val="27"/>
        </w:rPr>
        <w:t xml:space="preserve">de los administrados, </w:t>
      </w:r>
      <w:r w:rsidRPr="00C24C51">
        <w:rPr>
          <w:rFonts w:ascii="Arial" w:hAnsi="Arial" w:cs="Arial"/>
          <w:bCs/>
          <w:snapToGrid w:val="0"/>
          <w:sz w:val="27"/>
          <w:szCs w:val="27"/>
        </w:rPr>
        <w:t xml:space="preserve">se interpretarán de conformidad </w:t>
      </w:r>
      <w:r>
        <w:rPr>
          <w:rFonts w:ascii="Arial" w:hAnsi="Arial" w:cs="Arial"/>
          <w:bCs/>
          <w:snapToGrid w:val="0"/>
          <w:sz w:val="27"/>
          <w:szCs w:val="27"/>
        </w:rPr>
        <w:t xml:space="preserve">con la Constitución Federal y los Tratados Internacionales suscritos y ratificados por el Estado Mexicano, </w:t>
      </w:r>
      <w:r w:rsidRPr="00C24C51">
        <w:rPr>
          <w:rFonts w:ascii="Arial" w:hAnsi="Arial" w:cs="Arial"/>
          <w:bCs/>
          <w:snapToGrid w:val="0"/>
          <w:sz w:val="27"/>
          <w:szCs w:val="27"/>
        </w:rPr>
        <w:t>favoreciendo en todo tiempo a las personas la protección más amplia</w:t>
      </w:r>
      <w:r>
        <w:rPr>
          <w:rFonts w:ascii="Arial" w:hAnsi="Arial" w:cs="Arial"/>
          <w:bCs/>
          <w:snapToGrid w:val="0"/>
          <w:sz w:val="27"/>
          <w:szCs w:val="27"/>
        </w:rPr>
        <w:t>, es decir, que</w:t>
      </w:r>
      <w:r w:rsidRPr="009F6472">
        <w:rPr>
          <w:rFonts w:ascii="Arial" w:hAnsi="Arial" w:cs="Arial"/>
          <w:bCs/>
          <w:snapToGrid w:val="0"/>
          <w:sz w:val="27"/>
          <w:szCs w:val="27"/>
        </w:rPr>
        <w:t xml:space="preserve"> en caso de que un juez o autoridad tenga que elegir qué norma aplicar a un determinado caso, deberá elegir la que más favorezca a la persona, sin importar si se trata de la Constitución, un tratado internacional o una ley</w:t>
      </w:r>
    </w:p>
    <w:p w:rsidR="007323B6" w:rsidRDefault="005134B7" w:rsidP="007323B6">
      <w:pPr>
        <w:spacing w:line="360" w:lineRule="auto"/>
        <w:ind w:right="51" w:firstLine="567"/>
        <w:jc w:val="both"/>
        <w:rPr>
          <w:rFonts w:ascii="Arial" w:hAnsi="Arial" w:cs="Arial"/>
          <w:bCs/>
          <w:snapToGrid w:val="0"/>
          <w:sz w:val="27"/>
          <w:szCs w:val="27"/>
        </w:rPr>
      </w:pPr>
      <w:r>
        <w:rPr>
          <w:noProof/>
          <w:lang w:eastAsia="es-MX"/>
        </w:rPr>
        <mc:AlternateContent>
          <mc:Choice Requires="wps">
            <w:drawing>
              <wp:anchor distT="0" distB="0" distL="114300" distR="114300" simplePos="0" relativeHeight="251669504" behindDoc="1" locked="0" layoutInCell="1" allowOverlap="1" wp14:anchorId="377F0507" wp14:editId="1EF0AE8B">
                <wp:simplePos x="0" y="0"/>
                <wp:positionH relativeFrom="column">
                  <wp:posOffset>-1116419</wp:posOffset>
                </wp:positionH>
                <wp:positionV relativeFrom="paragraph">
                  <wp:posOffset>1614701</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F0507" id="Cuadro de texto 7" o:spid="_x0000_s1032" type="#_x0000_t202" style="position:absolute;left:0;text-align:left;margin-left:-87.9pt;margin-top:127.1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Pr>
          <w:rFonts w:ascii="Arial" w:hAnsi="Arial" w:cs="Arial"/>
          <w:bCs/>
          <w:snapToGrid w:val="0"/>
          <w:sz w:val="27"/>
          <w:szCs w:val="27"/>
        </w:rPr>
        <w:t xml:space="preserve">En ese sentido, este Juzgador considera que el artículo 70 de la </w:t>
      </w:r>
      <w:r w:rsidR="007323B6" w:rsidRPr="00185B02">
        <w:rPr>
          <w:rFonts w:ascii="Arial" w:hAnsi="Arial" w:cs="Arial"/>
          <w:bCs/>
          <w:snapToGrid w:val="0"/>
          <w:sz w:val="27"/>
          <w:szCs w:val="27"/>
        </w:rPr>
        <w:t>Ley de Pensiones para los Empleados del</w:t>
      </w:r>
      <w:r w:rsidR="007323B6">
        <w:rPr>
          <w:rFonts w:ascii="Arial" w:hAnsi="Arial" w:cs="Arial"/>
          <w:bCs/>
          <w:snapToGrid w:val="0"/>
          <w:sz w:val="27"/>
          <w:szCs w:val="27"/>
        </w:rPr>
        <w:t xml:space="preserve"> Gobierno del Estado de Oaxaca</w:t>
      </w:r>
      <w:r w:rsidR="007323B6" w:rsidRPr="00185B02">
        <w:rPr>
          <w:rFonts w:ascii="Arial" w:hAnsi="Arial" w:cs="Arial"/>
          <w:bCs/>
          <w:snapToGrid w:val="0"/>
          <w:sz w:val="27"/>
          <w:szCs w:val="27"/>
        </w:rPr>
        <w:t>, vigente hasta el veintisiete de enero de dos mil doce</w:t>
      </w:r>
      <w:r w:rsidR="007323B6">
        <w:rPr>
          <w:rFonts w:ascii="Arial" w:hAnsi="Arial" w:cs="Arial"/>
          <w:bCs/>
          <w:snapToGrid w:val="0"/>
          <w:sz w:val="27"/>
          <w:szCs w:val="27"/>
        </w:rPr>
        <w:t xml:space="preserve">, es contrario a lo establecido en el artículo 123 de la Constitución Política de los Estados Unidos Mexicanos, pues no </w:t>
      </w:r>
      <w:r w:rsidR="007323B6" w:rsidRPr="00D1570D">
        <w:rPr>
          <w:rFonts w:ascii="Arial" w:hAnsi="Arial" w:cs="Arial"/>
          <w:bCs/>
          <w:snapToGrid w:val="0"/>
          <w:sz w:val="27"/>
          <w:szCs w:val="27"/>
        </w:rPr>
        <w:t xml:space="preserve">señala con precisión alguna el momento en el cual empezará a correr el plazo de tres años para que hacer efectiva la prescripción, </w:t>
      </w:r>
      <w:r w:rsidR="007323B6">
        <w:rPr>
          <w:rFonts w:ascii="Arial" w:hAnsi="Arial" w:cs="Arial"/>
          <w:bCs/>
          <w:snapToGrid w:val="0"/>
          <w:sz w:val="27"/>
          <w:szCs w:val="27"/>
        </w:rPr>
        <w:t xml:space="preserve">ya que únicamente se limita a señalar que manera genérica que dicho lapso se contará a partir de que dichas cantidades sean exigibles, así también, no contempla </w:t>
      </w:r>
      <w:r w:rsidR="007323B6" w:rsidRPr="00D1570D">
        <w:rPr>
          <w:rFonts w:ascii="Arial" w:hAnsi="Arial" w:cs="Arial"/>
          <w:bCs/>
          <w:snapToGrid w:val="0"/>
          <w:sz w:val="27"/>
          <w:szCs w:val="27"/>
        </w:rPr>
        <w:t xml:space="preserve">un aviso oportuno al trabajador o a sus beneficiarios, por lo tanto, genera una evidente incertidumbre jurídica en contra del trabajador, ante el desconocimiento de cuál es el momento idóneo para solicitar la devolución de los descuentos que le fueron hechos y de qué forma se va a computar </w:t>
      </w:r>
      <w:r w:rsidR="007323B6">
        <w:rPr>
          <w:rFonts w:ascii="Arial" w:hAnsi="Arial" w:cs="Arial"/>
          <w:bCs/>
          <w:snapToGrid w:val="0"/>
          <w:sz w:val="27"/>
          <w:szCs w:val="27"/>
        </w:rPr>
        <w:t>ese plazo</w:t>
      </w:r>
      <w:r w:rsidR="007323B6" w:rsidRPr="00D1570D">
        <w:rPr>
          <w:rFonts w:ascii="Arial" w:hAnsi="Arial" w:cs="Arial"/>
          <w:bCs/>
          <w:snapToGrid w:val="0"/>
          <w:sz w:val="27"/>
          <w:szCs w:val="27"/>
        </w:rPr>
        <w:t>.</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Por lo que, haciendo una interpretación extensiva del artículo 71 de la </w:t>
      </w:r>
      <w:r w:rsidRPr="00185B02">
        <w:rPr>
          <w:rFonts w:ascii="Arial" w:hAnsi="Arial" w:cs="Arial"/>
          <w:bCs/>
          <w:snapToGrid w:val="0"/>
          <w:sz w:val="27"/>
          <w:szCs w:val="27"/>
        </w:rPr>
        <w:t>Ley de Pensiones para los Empleados del</w:t>
      </w:r>
      <w:r>
        <w:rPr>
          <w:rFonts w:ascii="Arial" w:hAnsi="Arial" w:cs="Arial"/>
          <w:bCs/>
          <w:snapToGrid w:val="0"/>
          <w:sz w:val="27"/>
          <w:szCs w:val="27"/>
        </w:rPr>
        <w:t xml:space="preserve"> Gobierno del Estado de Oaxaca</w:t>
      </w:r>
      <w:r w:rsidRPr="00185B02">
        <w:rPr>
          <w:rFonts w:ascii="Arial" w:hAnsi="Arial" w:cs="Arial"/>
          <w:bCs/>
          <w:snapToGrid w:val="0"/>
          <w:sz w:val="27"/>
          <w:szCs w:val="27"/>
        </w:rPr>
        <w:t>, vigente hasta el veintisiete de enero de dos mil doce</w:t>
      </w:r>
      <w:r>
        <w:rPr>
          <w:rFonts w:ascii="Arial" w:hAnsi="Arial" w:cs="Arial"/>
          <w:bCs/>
          <w:snapToGrid w:val="0"/>
          <w:sz w:val="27"/>
          <w:szCs w:val="27"/>
        </w:rPr>
        <w:t>,  a la luz del principio pro persona contemplado en el artículo 1° Constitucional, podemos concluir que este artículo señala que todo</w:t>
      </w:r>
      <w:r w:rsidRPr="00E637D7">
        <w:rPr>
          <w:rFonts w:ascii="Arial" w:hAnsi="Arial" w:cs="Arial"/>
          <w:bCs/>
          <w:snapToGrid w:val="0"/>
          <w:sz w:val="27"/>
          <w:szCs w:val="27"/>
        </w:rPr>
        <w:t xml:space="preserve"> trabajador </w:t>
      </w:r>
      <w:r>
        <w:rPr>
          <w:rFonts w:ascii="Arial" w:hAnsi="Arial" w:cs="Arial"/>
          <w:bCs/>
          <w:snapToGrid w:val="0"/>
          <w:sz w:val="27"/>
          <w:szCs w:val="27"/>
        </w:rPr>
        <w:t xml:space="preserve">que </w:t>
      </w:r>
      <w:r w:rsidRPr="00E637D7">
        <w:rPr>
          <w:rFonts w:ascii="Arial" w:hAnsi="Arial" w:cs="Arial"/>
          <w:bCs/>
          <w:snapToGrid w:val="0"/>
          <w:sz w:val="27"/>
          <w:szCs w:val="27"/>
        </w:rPr>
        <w:t>se separe o sea separado de su empleo en el Gobierno del Estado, tendrá el derecho de que se le devuelvan la cantidades descontadas que se hubieran efectuado a favor del Fondo de Pensiones</w:t>
      </w:r>
      <w:r>
        <w:rPr>
          <w:rFonts w:ascii="Arial" w:hAnsi="Arial" w:cs="Arial"/>
          <w:bCs/>
          <w:snapToGrid w:val="0"/>
          <w:sz w:val="27"/>
          <w:szCs w:val="27"/>
        </w:rPr>
        <w:t>, sin establecerse un plazo determinado para reclamar la devolución y sin exigir mayores requisitos que solicitarlo mediante escrito dirigido a la autoridad competente y acreditar que no se tienen adeudos con la Oficina de Pensiones del Estado.</w:t>
      </w:r>
    </w:p>
    <w:p w:rsidR="007323B6" w:rsidRDefault="005134B7" w:rsidP="007323B6">
      <w:pPr>
        <w:spacing w:line="360" w:lineRule="auto"/>
        <w:ind w:right="51" w:firstLine="567"/>
        <w:jc w:val="both"/>
        <w:rPr>
          <w:rFonts w:ascii="Arial" w:hAnsi="Arial" w:cs="Arial"/>
          <w:bCs/>
          <w:snapToGrid w:val="0"/>
          <w:sz w:val="27"/>
          <w:szCs w:val="27"/>
        </w:rPr>
      </w:pPr>
      <w:r>
        <w:rPr>
          <w:noProof/>
          <w:lang w:eastAsia="es-MX"/>
        </w:rPr>
        <mc:AlternateContent>
          <mc:Choice Requires="wps">
            <w:drawing>
              <wp:anchor distT="0" distB="0" distL="114300" distR="114300" simplePos="0" relativeHeight="251671552" behindDoc="1" locked="0" layoutInCell="1" allowOverlap="1" wp14:anchorId="069F245A" wp14:editId="224232B7">
                <wp:simplePos x="0" y="0"/>
                <wp:positionH relativeFrom="column">
                  <wp:posOffset>5699052</wp:posOffset>
                </wp:positionH>
                <wp:positionV relativeFrom="paragraph">
                  <wp:posOffset>2880965</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F245A" id="Cuadro de texto 8" o:spid="_x0000_s1033" type="#_x0000_t202" style="position:absolute;left:0;text-align:left;margin-left:448.75pt;margin-top:226.8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Pr>
          <w:rFonts w:ascii="Arial" w:hAnsi="Arial" w:cs="Arial"/>
          <w:bCs/>
          <w:snapToGrid w:val="0"/>
          <w:sz w:val="27"/>
          <w:szCs w:val="27"/>
        </w:rPr>
        <w:t xml:space="preserve">De ahí, que en el presente asunto no se debe aplicar el artículo 70 de la </w:t>
      </w:r>
      <w:r w:rsidR="007323B6" w:rsidRPr="00D97268">
        <w:rPr>
          <w:rFonts w:ascii="Arial" w:hAnsi="Arial" w:cs="Arial"/>
          <w:bCs/>
          <w:snapToGrid w:val="0"/>
          <w:sz w:val="27"/>
          <w:szCs w:val="27"/>
        </w:rPr>
        <w:t>Ley de Pensiones para los Empleados del Gobierno del Estado de Oaxaca, vigente hasta el veintisiete de enero de dos mil doce</w:t>
      </w:r>
      <w:r w:rsidR="007323B6">
        <w:rPr>
          <w:rFonts w:ascii="Arial" w:hAnsi="Arial" w:cs="Arial"/>
          <w:bCs/>
          <w:snapToGrid w:val="0"/>
          <w:sz w:val="27"/>
          <w:szCs w:val="27"/>
        </w:rPr>
        <w:t xml:space="preserve">, por contravenir la Constitución Federal; y en su lugar aplicar de manera extensiva el artículo 71 de la Legislación citada, por resultar más benéfico para el actor </w:t>
      </w:r>
      <w:r>
        <w:rPr>
          <w:rFonts w:ascii="Arial" w:hAnsi="Arial" w:cs="Arial"/>
          <w:bCs/>
          <w:snapToGrid w:val="0"/>
          <w:sz w:val="27"/>
          <w:szCs w:val="27"/>
        </w:rPr>
        <w:t>**********</w:t>
      </w:r>
      <w:r w:rsidR="007323B6">
        <w:rPr>
          <w:rFonts w:ascii="Arial" w:hAnsi="Arial" w:cs="Arial"/>
          <w:bCs/>
          <w:snapToGrid w:val="0"/>
          <w:sz w:val="27"/>
          <w:szCs w:val="27"/>
        </w:rPr>
        <w:t>, ya que, no debemos de perder de vista, que las cantidades que le fueron descontadas al salario que percibió como trabajador en activo del Gobierno del Estado de Oaxaca, servirían para en su momento se integra la pensión por jubilación a la que resultare beneficiado, por lo que es indudable, que si dichas cantidades no fueron utilizadas para la finalidad señalada, deben de regresar al patrimonio del actor.</w:t>
      </w:r>
      <w:r w:rsidRPr="005134B7">
        <w:rPr>
          <w:noProof/>
          <w:lang w:eastAsia="es-MX"/>
        </w:rPr>
        <w:t xml:space="preserve"> </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En consecuencia, resultan </w:t>
      </w:r>
      <w:r>
        <w:rPr>
          <w:rFonts w:ascii="Arial" w:hAnsi="Arial" w:cs="Arial"/>
          <w:b/>
          <w:bCs/>
          <w:snapToGrid w:val="0"/>
          <w:sz w:val="27"/>
          <w:szCs w:val="27"/>
        </w:rPr>
        <w:t xml:space="preserve">fundados </w:t>
      </w:r>
      <w:r>
        <w:rPr>
          <w:rFonts w:ascii="Arial" w:hAnsi="Arial" w:cs="Arial"/>
          <w:bCs/>
          <w:snapToGrid w:val="0"/>
          <w:sz w:val="27"/>
          <w:szCs w:val="27"/>
        </w:rPr>
        <w:t xml:space="preserve">los conceptos de impugnación del actor, suplidos en sus deficiencias, pues la autoridad demandada fundó su determinación en un artículo incompatible con lo establecido en la Constitución Política de los Estados Unidos Mexicanos, con lo que se acredita una indebida fundamentación y motivación del acto administrativo impugnado, pues dicho artículo es </w:t>
      </w:r>
      <w:r w:rsidRPr="007772F0">
        <w:rPr>
          <w:rFonts w:ascii="Arial" w:hAnsi="Arial" w:cs="Arial"/>
          <w:bCs/>
          <w:snapToGrid w:val="0"/>
          <w:sz w:val="27"/>
          <w:szCs w:val="27"/>
        </w:rPr>
        <w:t xml:space="preserve">inaplicable al </w:t>
      </w:r>
      <w:r>
        <w:rPr>
          <w:rFonts w:ascii="Arial" w:hAnsi="Arial" w:cs="Arial"/>
          <w:bCs/>
          <w:snapToGrid w:val="0"/>
          <w:sz w:val="27"/>
          <w:szCs w:val="27"/>
        </w:rPr>
        <w:t xml:space="preserve">presente </w:t>
      </w:r>
      <w:r w:rsidRPr="007772F0">
        <w:rPr>
          <w:rFonts w:ascii="Arial" w:hAnsi="Arial" w:cs="Arial"/>
          <w:bCs/>
          <w:snapToGrid w:val="0"/>
          <w:sz w:val="27"/>
          <w:szCs w:val="27"/>
        </w:rPr>
        <w:t>asunto por las características específicas de éste que impiden su adecuación o encuadre</w:t>
      </w:r>
      <w:r>
        <w:rPr>
          <w:rFonts w:ascii="Arial" w:hAnsi="Arial" w:cs="Arial"/>
          <w:bCs/>
          <w:snapToGrid w:val="0"/>
          <w:sz w:val="27"/>
          <w:szCs w:val="27"/>
        </w:rPr>
        <w:t>.</w:t>
      </w:r>
    </w:p>
    <w:p w:rsidR="007323B6" w:rsidRDefault="007323B6" w:rsidP="007323B6">
      <w:pPr>
        <w:spacing w:line="360" w:lineRule="auto"/>
        <w:ind w:right="51" w:firstLine="567"/>
        <w:jc w:val="both"/>
        <w:rPr>
          <w:rFonts w:ascii="Arial" w:hAnsi="Arial" w:cs="Arial"/>
          <w:bCs/>
          <w:snapToGrid w:val="0"/>
          <w:sz w:val="27"/>
          <w:szCs w:val="27"/>
        </w:rPr>
      </w:pPr>
      <w:r>
        <w:rPr>
          <w:rFonts w:ascii="Arial" w:hAnsi="Arial" w:cs="Arial"/>
          <w:bCs/>
          <w:snapToGrid w:val="0"/>
          <w:sz w:val="27"/>
          <w:szCs w:val="27"/>
        </w:rPr>
        <w:t xml:space="preserve">Por lo que, se declara la </w:t>
      </w:r>
      <w:r>
        <w:rPr>
          <w:rFonts w:ascii="Arial" w:hAnsi="Arial" w:cs="Arial"/>
          <w:b/>
          <w:bCs/>
          <w:snapToGrid w:val="0"/>
          <w:sz w:val="27"/>
          <w:szCs w:val="27"/>
        </w:rPr>
        <w:t xml:space="preserve">NULIDAD </w:t>
      </w:r>
      <w:r>
        <w:rPr>
          <w:rFonts w:ascii="Arial" w:hAnsi="Arial" w:cs="Arial"/>
          <w:bCs/>
          <w:snapToGrid w:val="0"/>
          <w:sz w:val="27"/>
          <w:szCs w:val="27"/>
        </w:rPr>
        <w:t xml:space="preserve">del oficio </w:t>
      </w:r>
      <w:r>
        <w:rPr>
          <w:rFonts w:ascii="Arial" w:hAnsi="Arial" w:cs="Arial"/>
          <w:b/>
          <w:bCs/>
          <w:snapToGrid w:val="0"/>
          <w:sz w:val="27"/>
          <w:szCs w:val="27"/>
        </w:rPr>
        <w:t>OP/DG/DPE/1408/2019</w:t>
      </w:r>
      <w:r>
        <w:rPr>
          <w:rFonts w:ascii="Arial" w:hAnsi="Arial" w:cs="Arial"/>
          <w:bCs/>
          <w:snapToGrid w:val="0"/>
          <w:sz w:val="27"/>
          <w:szCs w:val="27"/>
        </w:rPr>
        <w:t xml:space="preserve">, de once de junio de dos mil diecinueve, </w:t>
      </w:r>
      <w:r>
        <w:rPr>
          <w:rFonts w:ascii="Arial" w:hAnsi="Arial" w:cs="Arial"/>
          <w:b/>
          <w:bCs/>
          <w:snapToGrid w:val="0"/>
          <w:sz w:val="27"/>
          <w:szCs w:val="27"/>
        </w:rPr>
        <w:t>PARA EL EFECTO</w:t>
      </w:r>
      <w:r>
        <w:rPr>
          <w:rFonts w:ascii="Arial" w:hAnsi="Arial" w:cs="Arial"/>
          <w:bCs/>
          <w:snapToGrid w:val="0"/>
          <w:sz w:val="27"/>
          <w:szCs w:val="27"/>
        </w:rPr>
        <w:t xml:space="preserve"> de que la autoridad demandada </w:t>
      </w:r>
      <w:r>
        <w:rPr>
          <w:rFonts w:ascii="Arial" w:hAnsi="Arial" w:cs="Arial"/>
          <w:b/>
          <w:bCs/>
          <w:snapToGrid w:val="0"/>
          <w:sz w:val="27"/>
          <w:szCs w:val="27"/>
        </w:rPr>
        <w:t xml:space="preserve">Director General de la Oficina de Pensiones del Gobierno del Estado, </w:t>
      </w:r>
      <w:r>
        <w:rPr>
          <w:rFonts w:ascii="Arial" w:hAnsi="Arial" w:cs="Arial"/>
          <w:bCs/>
          <w:snapToGrid w:val="0"/>
          <w:sz w:val="27"/>
          <w:szCs w:val="27"/>
        </w:rPr>
        <w:t xml:space="preserve">emita otro acto administrativo en el que aplique a favor del administrado la interpretación extensiva del artículo 71 de la Ley </w:t>
      </w:r>
      <w:r w:rsidRPr="00D97268">
        <w:rPr>
          <w:rFonts w:ascii="Arial" w:hAnsi="Arial" w:cs="Arial"/>
          <w:bCs/>
          <w:snapToGrid w:val="0"/>
          <w:sz w:val="27"/>
          <w:szCs w:val="27"/>
        </w:rPr>
        <w:t>de Pensiones para los Empleados del Gobierno del Estado de Oaxaca, vigente hasta el veintisiete de enero de dos mil doce</w:t>
      </w:r>
      <w:r>
        <w:rPr>
          <w:rFonts w:ascii="Arial" w:hAnsi="Arial" w:cs="Arial"/>
          <w:bCs/>
          <w:snapToGrid w:val="0"/>
          <w:sz w:val="27"/>
          <w:szCs w:val="27"/>
        </w:rPr>
        <w:t xml:space="preserve">, y realice la devolución al actor </w:t>
      </w:r>
      <w:r w:rsidR="005134B7">
        <w:rPr>
          <w:rFonts w:ascii="Arial" w:hAnsi="Arial" w:cs="Arial"/>
          <w:b/>
          <w:bCs/>
          <w:snapToGrid w:val="0"/>
          <w:sz w:val="27"/>
          <w:szCs w:val="27"/>
        </w:rPr>
        <w:t>**********</w:t>
      </w:r>
      <w:r>
        <w:rPr>
          <w:rFonts w:ascii="Arial" w:hAnsi="Arial" w:cs="Arial"/>
          <w:b/>
          <w:bCs/>
          <w:snapToGrid w:val="0"/>
          <w:sz w:val="27"/>
          <w:szCs w:val="27"/>
        </w:rPr>
        <w:t xml:space="preserve">, </w:t>
      </w:r>
      <w:r>
        <w:rPr>
          <w:rFonts w:ascii="Arial" w:hAnsi="Arial" w:cs="Arial"/>
          <w:bCs/>
          <w:snapToGrid w:val="0"/>
          <w:sz w:val="27"/>
          <w:szCs w:val="27"/>
        </w:rPr>
        <w:t>de las cantidades descontadas a favor del Fondo de Pensiones del Gobierno del Estado durante todo el tiempo que laboró en el Gobierno del Estado de Oaxaca.</w:t>
      </w:r>
    </w:p>
    <w:p w:rsidR="007323B6" w:rsidRDefault="007323B6" w:rsidP="007323B6">
      <w:pPr>
        <w:spacing w:line="360" w:lineRule="auto"/>
        <w:ind w:right="51" w:firstLine="567"/>
        <w:jc w:val="both"/>
        <w:rPr>
          <w:rFonts w:ascii="Arial" w:hAnsi="Arial" w:cs="Arial"/>
          <w:bCs/>
          <w:snapToGrid w:val="0"/>
          <w:sz w:val="27"/>
          <w:szCs w:val="27"/>
        </w:rPr>
      </w:pPr>
      <w:r w:rsidRPr="00092E1F">
        <w:rPr>
          <w:rFonts w:ascii="Arial" w:hAnsi="Arial" w:cs="Arial"/>
          <w:bCs/>
          <w:snapToGrid w:val="0"/>
          <w:sz w:val="27"/>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7"/>
          <w:szCs w:val="27"/>
        </w:rPr>
        <w:t>;</w:t>
      </w:r>
    </w:p>
    <w:p w:rsidR="007323B6" w:rsidRPr="004B0D7E" w:rsidRDefault="007323B6" w:rsidP="007323B6">
      <w:pPr>
        <w:spacing w:line="360" w:lineRule="auto"/>
        <w:ind w:right="51" w:firstLine="567"/>
        <w:jc w:val="center"/>
        <w:rPr>
          <w:rFonts w:ascii="Arial" w:hAnsi="Arial" w:cs="Arial"/>
          <w:b/>
          <w:sz w:val="27"/>
          <w:szCs w:val="27"/>
        </w:rPr>
      </w:pPr>
      <w:r w:rsidRPr="004B0D7E">
        <w:rPr>
          <w:rFonts w:ascii="Arial" w:hAnsi="Arial" w:cs="Arial"/>
          <w:b/>
          <w:sz w:val="27"/>
          <w:szCs w:val="27"/>
        </w:rPr>
        <w:t>R E S U E L V E:</w:t>
      </w:r>
    </w:p>
    <w:p w:rsidR="007323B6" w:rsidRPr="004B0D7E" w:rsidRDefault="007323B6" w:rsidP="007323B6">
      <w:pPr>
        <w:widowControl w:val="0"/>
        <w:spacing w:after="120" w:line="360" w:lineRule="auto"/>
        <w:ind w:right="51" w:firstLine="708"/>
        <w:jc w:val="both"/>
        <w:rPr>
          <w:rFonts w:ascii="Arial" w:eastAsia="Times New Roman" w:hAnsi="Arial" w:cs="Arial"/>
          <w:sz w:val="27"/>
          <w:szCs w:val="27"/>
          <w:lang w:val="es-ES" w:eastAsia="es-ES"/>
        </w:rPr>
      </w:pPr>
      <w:r w:rsidRPr="004B0D7E">
        <w:rPr>
          <w:rFonts w:ascii="Arial" w:hAnsi="Arial" w:cs="Arial"/>
          <w:b/>
          <w:sz w:val="27"/>
          <w:szCs w:val="27"/>
        </w:rPr>
        <w:t>PRIMERO</w:t>
      </w:r>
      <w:r w:rsidRPr="004B0D7E">
        <w:rPr>
          <w:rFonts w:cs="Arial"/>
          <w:i/>
          <w:sz w:val="27"/>
          <w:szCs w:val="27"/>
        </w:rPr>
        <w:t>.</w:t>
      </w:r>
      <w:r w:rsidRPr="004B0D7E">
        <w:rPr>
          <w:rFonts w:cs="Arial"/>
          <w:sz w:val="27"/>
          <w:szCs w:val="27"/>
        </w:rPr>
        <w:t xml:space="preserve"> </w:t>
      </w:r>
      <w:r w:rsidRPr="004B0D7E">
        <w:rPr>
          <w:rFonts w:ascii="Arial" w:eastAsia="Times New Roman" w:hAnsi="Arial" w:cs="Arial"/>
          <w:sz w:val="27"/>
          <w:szCs w:val="27"/>
          <w:lang w:val="es-ES" w:eastAsia="es-ES"/>
        </w:rPr>
        <w:t xml:space="preserve">Esta </w:t>
      </w:r>
      <w:r>
        <w:rPr>
          <w:rFonts w:ascii="Arial" w:eastAsia="Times New Roman" w:hAnsi="Arial" w:cs="Arial"/>
          <w:sz w:val="27"/>
          <w:szCs w:val="27"/>
          <w:lang w:val="es-ES" w:eastAsia="es-ES"/>
        </w:rPr>
        <w:t>Sexta</w:t>
      </w:r>
      <w:r w:rsidRPr="004B0D7E">
        <w:rPr>
          <w:rFonts w:ascii="Arial" w:eastAsia="Times New Roman" w:hAnsi="Arial" w:cs="Arial"/>
          <w:sz w:val="27"/>
          <w:szCs w:val="27"/>
          <w:lang w:eastAsia="es-ES"/>
        </w:rPr>
        <w:t xml:space="preserve"> </w:t>
      </w:r>
      <w:r w:rsidRPr="004B0D7E">
        <w:rPr>
          <w:rFonts w:ascii="Arial" w:eastAsia="Times New Roman" w:hAnsi="Arial" w:cs="Arial"/>
          <w:sz w:val="27"/>
          <w:szCs w:val="27"/>
          <w:lang w:val="es-ES" w:eastAsia="es-ES"/>
        </w:rPr>
        <w:t>Sala</w:t>
      </w:r>
      <w:r w:rsidRPr="004B0D7E">
        <w:rPr>
          <w:rFonts w:ascii="Arial" w:eastAsia="Times New Roman" w:hAnsi="Arial" w:cs="Arial"/>
          <w:sz w:val="27"/>
          <w:szCs w:val="27"/>
          <w:lang w:eastAsia="es-ES"/>
        </w:rPr>
        <w:t xml:space="preserve"> Unitaria </w:t>
      </w:r>
      <w:r w:rsidRPr="004B0D7E">
        <w:rPr>
          <w:rFonts w:ascii="Arial" w:eastAsia="Times New Roman" w:hAnsi="Arial" w:cs="Arial"/>
          <w:sz w:val="27"/>
          <w:szCs w:val="27"/>
          <w:lang w:val="es-ES" w:eastAsia="es-ES"/>
        </w:rPr>
        <w:t>del Tribunal de Justicia Administrativa del Estado de Oaxaca, es competente para conocer y resolver el presente juicio.</w:t>
      </w:r>
      <w:r w:rsidRPr="009A5429">
        <w:rPr>
          <w:rFonts w:ascii="Arial" w:hAnsi="Arial" w:cs="Arial"/>
          <w:bCs/>
          <w:snapToGrid w:val="0"/>
          <w:sz w:val="27"/>
          <w:szCs w:val="27"/>
        </w:rPr>
        <w:t xml:space="preserve"> </w:t>
      </w:r>
    </w:p>
    <w:p w:rsidR="007323B6" w:rsidRPr="004B0D7E" w:rsidRDefault="007323B6" w:rsidP="007323B6">
      <w:pPr>
        <w:pStyle w:val="Sangra2detindependiente1"/>
        <w:spacing w:after="240" w:line="360" w:lineRule="auto"/>
        <w:ind w:right="51" w:firstLine="567"/>
        <w:rPr>
          <w:rFonts w:cs="Arial"/>
          <w:b w:val="0"/>
          <w:bCs/>
          <w:i w:val="0"/>
          <w:sz w:val="27"/>
          <w:szCs w:val="27"/>
        </w:rPr>
      </w:pPr>
      <w:r w:rsidRPr="004B0D7E">
        <w:rPr>
          <w:rFonts w:cs="Arial"/>
          <w:i w:val="0"/>
          <w:sz w:val="27"/>
          <w:szCs w:val="27"/>
        </w:rPr>
        <w:t xml:space="preserve">SEGUNDO. </w:t>
      </w:r>
      <w:r w:rsidRPr="004B0D7E">
        <w:rPr>
          <w:rFonts w:cs="Arial"/>
          <w:b w:val="0"/>
          <w:bCs/>
          <w:i w:val="0"/>
          <w:sz w:val="27"/>
          <w:szCs w:val="27"/>
        </w:rPr>
        <w:t>La personalidad de las partes quedó asentada en autos, dentro del considerando SEGUNDO de la presente resolución.</w:t>
      </w:r>
      <w:r w:rsidRPr="009A5429">
        <w:t xml:space="preserve"> </w:t>
      </w:r>
    </w:p>
    <w:p w:rsidR="007323B6" w:rsidRPr="004B0D7E" w:rsidRDefault="005134B7" w:rsidP="007323B6">
      <w:pPr>
        <w:pStyle w:val="Sangra2detindependiente1"/>
        <w:spacing w:after="240" w:line="360" w:lineRule="auto"/>
        <w:ind w:right="51" w:firstLine="567"/>
        <w:rPr>
          <w:rFonts w:cs="Arial"/>
          <w:b w:val="0"/>
          <w:bCs/>
          <w:i w:val="0"/>
          <w:sz w:val="27"/>
          <w:szCs w:val="27"/>
        </w:rPr>
      </w:pPr>
      <w:r>
        <w:rPr>
          <w:noProof/>
        </w:rPr>
        <mc:AlternateContent>
          <mc:Choice Requires="wps">
            <w:drawing>
              <wp:anchor distT="0" distB="0" distL="114300" distR="114300" simplePos="0" relativeHeight="251673600" behindDoc="1" locked="0" layoutInCell="1" allowOverlap="1" wp14:anchorId="21848816" wp14:editId="746582AA">
                <wp:simplePos x="0" y="0"/>
                <wp:positionH relativeFrom="column">
                  <wp:posOffset>-1137684</wp:posOffset>
                </wp:positionH>
                <wp:positionV relativeFrom="paragraph">
                  <wp:posOffset>202107</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48816" id="Cuadro de texto 9" o:spid="_x0000_s1034" type="#_x0000_t202" style="position:absolute;left:0;text-align:left;margin-left:-89.6pt;margin-top:15.9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" fillcolor="window" strokeweight=".5pt">
                <v:path arrowok="t"/>
                <v:textbox>
                  <w:txbxContent>
                    <w:p w:rsidR="005134B7" w:rsidRPr="00035E13" w:rsidRDefault="005134B7" w:rsidP="005134B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23B6" w:rsidRPr="004B0D7E">
        <w:rPr>
          <w:rFonts w:cs="Arial"/>
          <w:i w:val="0"/>
          <w:sz w:val="27"/>
          <w:szCs w:val="27"/>
        </w:rPr>
        <w:t>TERCERO.</w:t>
      </w:r>
      <w:r w:rsidR="007323B6" w:rsidRPr="004B0D7E">
        <w:rPr>
          <w:rFonts w:cs="Arial"/>
          <w:b w:val="0"/>
          <w:bCs/>
          <w:i w:val="0"/>
          <w:sz w:val="27"/>
          <w:szCs w:val="27"/>
        </w:rPr>
        <w:t xml:space="preserve"> Esta Sala advierte que, en el presente juicio no se configura alguna causal de improcedencia o sobreseimiento, por lo tanto, </w:t>
      </w:r>
      <w:r w:rsidR="007323B6" w:rsidRPr="004B0D7E">
        <w:rPr>
          <w:rFonts w:cs="Arial"/>
          <w:i w:val="0"/>
          <w:sz w:val="27"/>
          <w:szCs w:val="27"/>
        </w:rPr>
        <w:t>NO SE SOBRESEE.</w:t>
      </w:r>
      <w:r w:rsidR="007323B6" w:rsidRPr="009A5429">
        <w:t xml:space="preserve"> </w:t>
      </w:r>
    </w:p>
    <w:p w:rsidR="007323B6" w:rsidRPr="004B0D7E" w:rsidRDefault="007323B6" w:rsidP="007323B6">
      <w:pPr>
        <w:pStyle w:val="Sangra2detindependiente1"/>
        <w:spacing w:after="240" w:line="360" w:lineRule="auto"/>
        <w:ind w:right="51" w:firstLine="567"/>
        <w:rPr>
          <w:rFonts w:cs="Arial"/>
          <w:i w:val="0"/>
          <w:sz w:val="27"/>
          <w:szCs w:val="27"/>
        </w:rPr>
      </w:pPr>
      <w:r w:rsidRPr="004B0D7E">
        <w:rPr>
          <w:rFonts w:cs="Arial"/>
          <w:i w:val="0"/>
          <w:sz w:val="27"/>
          <w:szCs w:val="27"/>
        </w:rPr>
        <w:t>CUARTO.</w:t>
      </w:r>
      <w:r w:rsidRPr="004B0D7E">
        <w:rPr>
          <w:rFonts w:cs="Arial"/>
          <w:b w:val="0"/>
          <w:bCs/>
          <w:i w:val="0"/>
          <w:sz w:val="27"/>
          <w:szCs w:val="27"/>
        </w:rPr>
        <w:t xml:space="preserve"> </w:t>
      </w:r>
      <w:r w:rsidRPr="00040A70">
        <w:rPr>
          <w:rFonts w:cs="Arial"/>
          <w:b w:val="0"/>
          <w:bCs/>
          <w:i w:val="0"/>
          <w:snapToGrid w:val="0"/>
          <w:sz w:val="27"/>
          <w:szCs w:val="27"/>
        </w:rPr>
        <w:t>Se declara la</w:t>
      </w:r>
      <w:r w:rsidRPr="00040A70">
        <w:rPr>
          <w:rFonts w:cs="Arial"/>
          <w:bCs/>
          <w:i w:val="0"/>
          <w:snapToGrid w:val="0"/>
          <w:sz w:val="27"/>
          <w:szCs w:val="27"/>
        </w:rPr>
        <w:t xml:space="preserve"> NULIDAD </w:t>
      </w:r>
      <w:r w:rsidRPr="00040A70">
        <w:rPr>
          <w:rFonts w:cs="Arial"/>
          <w:b w:val="0"/>
          <w:bCs/>
          <w:i w:val="0"/>
          <w:snapToGrid w:val="0"/>
          <w:sz w:val="27"/>
          <w:szCs w:val="27"/>
        </w:rPr>
        <w:t>del oficio</w:t>
      </w:r>
      <w:r w:rsidRPr="00040A70">
        <w:rPr>
          <w:rFonts w:cs="Arial"/>
          <w:bCs/>
          <w:i w:val="0"/>
          <w:snapToGrid w:val="0"/>
          <w:sz w:val="27"/>
          <w:szCs w:val="27"/>
        </w:rPr>
        <w:t xml:space="preserve"> OP/DG/DPE/1408/2019, </w:t>
      </w:r>
      <w:r w:rsidRPr="00040A70">
        <w:rPr>
          <w:rFonts w:cs="Arial"/>
          <w:b w:val="0"/>
          <w:bCs/>
          <w:i w:val="0"/>
          <w:snapToGrid w:val="0"/>
          <w:sz w:val="27"/>
          <w:szCs w:val="27"/>
        </w:rPr>
        <w:t>de once de junio de dos mil diecinueve</w:t>
      </w:r>
      <w:r w:rsidRPr="00040A70">
        <w:rPr>
          <w:rFonts w:cs="Arial"/>
          <w:bCs/>
          <w:i w:val="0"/>
          <w:snapToGrid w:val="0"/>
          <w:sz w:val="27"/>
          <w:szCs w:val="27"/>
        </w:rPr>
        <w:t>, PARA EL EFECTO</w:t>
      </w:r>
      <w:r w:rsidRPr="00040A70">
        <w:rPr>
          <w:rFonts w:cs="Arial"/>
          <w:b w:val="0"/>
          <w:bCs/>
          <w:i w:val="0"/>
          <w:sz w:val="27"/>
          <w:szCs w:val="27"/>
        </w:rPr>
        <w:t xml:space="preserve">, </w:t>
      </w:r>
      <w:r>
        <w:rPr>
          <w:rFonts w:cs="Arial"/>
          <w:b w:val="0"/>
          <w:bCs/>
          <w:i w:val="0"/>
          <w:sz w:val="27"/>
          <w:szCs w:val="27"/>
        </w:rPr>
        <w:t xml:space="preserve">de que el </w:t>
      </w:r>
      <w:r>
        <w:rPr>
          <w:rFonts w:cs="Arial"/>
          <w:bCs/>
          <w:i w:val="0"/>
          <w:sz w:val="27"/>
          <w:szCs w:val="27"/>
        </w:rPr>
        <w:t xml:space="preserve">Director General de la Oficina de Pensiones del Gobierno del Estado, </w:t>
      </w:r>
      <w:r>
        <w:rPr>
          <w:rFonts w:cs="Arial"/>
          <w:b w:val="0"/>
          <w:bCs/>
          <w:i w:val="0"/>
          <w:sz w:val="27"/>
          <w:szCs w:val="27"/>
        </w:rPr>
        <w:t>cumpla con lo expuesto</w:t>
      </w:r>
      <w:r w:rsidRPr="004B0D7E">
        <w:rPr>
          <w:rFonts w:cs="Arial"/>
          <w:b w:val="0"/>
          <w:bCs/>
          <w:i w:val="0"/>
          <w:sz w:val="27"/>
          <w:szCs w:val="27"/>
        </w:rPr>
        <w:t xml:space="preserve"> en </w:t>
      </w:r>
      <w:r>
        <w:rPr>
          <w:rFonts w:cs="Arial"/>
          <w:b w:val="0"/>
          <w:bCs/>
          <w:i w:val="0"/>
          <w:sz w:val="27"/>
          <w:szCs w:val="27"/>
        </w:rPr>
        <w:t>el considerando</w:t>
      </w:r>
      <w:r w:rsidRPr="004B0D7E">
        <w:rPr>
          <w:rFonts w:cs="Arial"/>
          <w:b w:val="0"/>
          <w:bCs/>
          <w:i w:val="0"/>
          <w:sz w:val="27"/>
          <w:szCs w:val="27"/>
        </w:rPr>
        <w:t xml:space="preserve"> </w:t>
      </w:r>
      <w:r>
        <w:rPr>
          <w:rFonts w:cs="Arial"/>
          <w:b w:val="0"/>
          <w:bCs/>
          <w:i w:val="0"/>
          <w:sz w:val="27"/>
          <w:szCs w:val="27"/>
        </w:rPr>
        <w:t xml:space="preserve">CUARTO </w:t>
      </w:r>
      <w:r w:rsidRPr="004B0D7E">
        <w:rPr>
          <w:rFonts w:cs="Arial"/>
          <w:b w:val="0"/>
          <w:bCs/>
          <w:i w:val="0"/>
          <w:sz w:val="27"/>
          <w:szCs w:val="27"/>
        </w:rPr>
        <w:t>de esta sentencia.</w:t>
      </w:r>
    </w:p>
    <w:p w:rsidR="007323B6" w:rsidRPr="004B0D7E" w:rsidRDefault="007323B6" w:rsidP="007323B6">
      <w:pPr>
        <w:pStyle w:val="Sangra2detindependiente1"/>
        <w:spacing w:line="360" w:lineRule="auto"/>
        <w:ind w:right="51" w:firstLine="567"/>
        <w:rPr>
          <w:rFonts w:cs="Arial"/>
          <w:b w:val="0"/>
          <w:i w:val="0"/>
          <w:sz w:val="27"/>
          <w:szCs w:val="27"/>
          <w:lang w:val="es-MX"/>
        </w:rPr>
      </w:pPr>
      <w:r w:rsidRPr="004B0D7E">
        <w:rPr>
          <w:rFonts w:cs="Arial"/>
          <w:bCs/>
          <w:i w:val="0"/>
          <w:sz w:val="27"/>
          <w:szCs w:val="27"/>
          <w:lang w:val="es-MX"/>
        </w:rPr>
        <w:t>QUINTO.</w:t>
      </w:r>
      <w:r w:rsidRPr="004B0D7E">
        <w:rPr>
          <w:rFonts w:cs="Arial"/>
          <w:b w:val="0"/>
          <w:i w:val="0"/>
          <w:sz w:val="27"/>
          <w:szCs w:val="27"/>
          <w:lang w:val="es-MX"/>
        </w:rPr>
        <w:t xml:space="preserve"> Conforme a </w:t>
      </w:r>
      <w:r>
        <w:rPr>
          <w:rFonts w:cs="Arial"/>
          <w:b w:val="0"/>
          <w:i w:val="0"/>
          <w:sz w:val="27"/>
          <w:szCs w:val="27"/>
          <w:lang w:val="es-MX"/>
        </w:rPr>
        <w:t>lo dispuesto en los artículos 172 fracción I y 17</w:t>
      </w:r>
      <w:r w:rsidRPr="004B0D7E">
        <w:rPr>
          <w:rFonts w:cs="Arial"/>
          <w:b w:val="0"/>
          <w:i w:val="0"/>
          <w:sz w:val="27"/>
          <w:szCs w:val="27"/>
          <w:lang w:val="es-MX"/>
        </w:rPr>
        <w:t xml:space="preserve">3 fracciones I y II de la Ley de </w:t>
      </w:r>
      <w:r>
        <w:rPr>
          <w:rFonts w:cs="Arial"/>
          <w:b w:val="0"/>
          <w:i w:val="0"/>
          <w:sz w:val="27"/>
          <w:szCs w:val="27"/>
          <w:lang w:val="es-MX"/>
        </w:rPr>
        <w:t xml:space="preserve">Procedimiento y </w:t>
      </w:r>
      <w:r w:rsidRPr="004B0D7E">
        <w:rPr>
          <w:rFonts w:cs="Arial"/>
          <w:b w:val="0"/>
          <w:i w:val="0"/>
          <w:sz w:val="27"/>
          <w:szCs w:val="27"/>
          <w:lang w:val="es-MX"/>
        </w:rPr>
        <w:t xml:space="preserve">Justicia Administrativa para el Estado de Oaxaca, </w:t>
      </w:r>
      <w:r w:rsidRPr="004B0D7E">
        <w:rPr>
          <w:rFonts w:cs="Arial"/>
          <w:bCs/>
          <w:i w:val="0"/>
          <w:sz w:val="27"/>
          <w:szCs w:val="27"/>
          <w:lang w:val="es-MX"/>
        </w:rPr>
        <w:t>NOTIFÍQUESE y CÚMPLASE</w:t>
      </w:r>
      <w:r w:rsidRPr="004B0D7E">
        <w:rPr>
          <w:rFonts w:cs="Arial"/>
          <w:b w:val="0"/>
          <w:i w:val="0"/>
          <w:sz w:val="27"/>
          <w:szCs w:val="27"/>
          <w:lang w:val="es-MX"/>
        </w:rPr>
        <w:t>.</w:t>
      </w:r>
      <w:r>
        <w:rPr>
          <w:rFonts w:cs="Arial"/>
          <w:b w:val="0"/>
          <w:i w:val="0"/>
          <w:sz w:val="27"/>
          <w:szCs w:val="27"/>
          <w:lang w:val="es-MX"/>
        </w:rPr>
        <w:t xml:space="preserve"> </w:t>
      </w:r>
    </w:p>
    <w:p w:rsidR="007323B6" w:rsidRPr="004B0D7E" w:rsidRDefault="007323B6" w:rsidP="007323B6">
      <w:pPr>
        <w:pStyle w:val="Sangra2detindependiente1"/>
        <w:spacing w:line="360" w:lineRule="auto"/>
        <w:ind w:right="51" w:firstLine="567"/>
        <w:rPr>
          <w:rFonts w:cs="Arial"/>
          <w:i w:val="0"/>
          <w:sz w:val="27"/>
          <w:szCs w:val="27"/>
        </w:rPr>
      </w:pPr>
    </w:p>
    <w:p w:rsidR="007323B6" w:rsidRPr="00E7761E" w:rsidRDefault="007323B6" w:rsidP="007323B6">
      <w:pPr>
        <w:spacing w:line="360" w:lineRule="auto"/>
        <w:ind w:firstLine="567"/>
        <w:jc w:val="both"/>
        <w:rPr>
          <w:rFonts w:ascii="Arial" w:hAnsi="Arial" w:cs="Arial"/>
          <w:sz w:val="27"/>
          <w:szCs w:val="27"/>
        </w:rPr>
      </w:pPr>
      <w:bookmarkStart w:id="1" w:name="_Hlk49196234"/>
      <w:r w:rsidRPr="00E7761E">
        <w:rPr>
          <w:rFonts w:ascii="Arial" w:hAnsi="Arial" w:cs="Arial"/>
          <w:sz w:val="27"/>
          <w:szCs w:val="27"/>
        </w:rPr>
        <w:t xml:space="preserve">Así lo </w:t>
      </w:r>
      <w:r>
        <w:rPr>
          <w:rFonts w:ascii="Arial" w:hAnsi="Arial" w:cs="Arial"/>
          <w:sz w:val="27"/>
          <w:szCs w:val="27"/>
        </w:rPr>
        <w:t>resolvió</w:t>
      </w:r>
      <w:r w:rsidRPr="00E7761E">
        <w:rPr>
          <w:rFonts w:ascii="Arial" w:hAnsi="Arial" w:cs="Arial"/>
          <w:sz w:val="27"/>
          <w:szCs w:val="27"/>
        </w:rPr>
        <w:t xml:space="preserve"> y firma el </w:t>
      </w:r>
      <w:r w:rsidRPr="00E7761E">
        <w:rPr>
          <w:rFonts w:ascii="Arial" w:hAnsi="Arial" w:cs="Arial"/>
          <w:b/>
          <w:sz w:val="27"/>
          <w:szCs w:val="27"/>
        </w:rPr>
        <w:t>Licenciado</w:t>
      </w:r>
      <w:r w:rsidRPr="00E7761E">
        <w:rPr>
          <w:rFonts w:ascii="Arial" w:hAnsi="Arial" w:cs="Arial"/>
          <w:sz w:val="27"/>
          <w:szCs w:val="27"/>
        </w:rPr>
        <w:t xml:space="preserve"> </w:t>
      </w:r>
      <w:r w:rsidRPr="00E7761E">
        <w:rPr>
          <w:rFonts w:ascii="Arial" w:hAnsi="Arial" w:cs="Arial"/>
          <w:b/>
          <w:sz w:val="27"/>
          <w:szCs w:val="27"/>
        </w:rPr>
        <w:t xml:space="preserve">RENATO GABRIEL IBÁÑEZ CASTELLANOS, </w:t>
      </w:r>
      <w:r w:rsidRPr="00E7761E">
        <w:rPr>
          <w:rFonts w:ascii="Arial" w:hAnsi="Arial" w:cs="Arial"/>
          <w:sz w:val="27"/>
          <w:szCs w:val="27"/>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titular de la Sala, quien actúa con la licenciada </w:t>
      </w:r>
      <w:r w:rsidRPr="00E7761E">
        <w:rPr>
          <w:rFonts w:ascii="Arial" w:hAnsi="Arial" w:cs="Arial"/>
          <w:b/>
          <w:sz w:val="27"/>
          <w:szCs w:val="27"/>
        </w:rPr>
        <w:t>DULCE ELOÍSA HUERTA CONTRERAS</w:t>
      </w:r>
      <w:r w:rsidRPr="00E7761E">
        <w:rPr>
          <w:rFonts w:ascii="Arial" w:hAnsi="Arial" w:cs="Arial"/>
          <w:sz w:val="27"/>
          <w:szCs w:val="27"/>
        </w:rPr>
        <w:t xml:space="preserve">, Actuaria que autoriza y da fe. </w:t>
      </w:r>
      <w:bookmarkEnd w:id="1"/>
    </w:p>
    <w:p w:rsidR="007323B6" w:rsidRDefault="007323B6" w:rsidP="007323B6">
      <w:pPr>
        <w:spacing w:line="360" w:lineRule="auto"/>
        <w:ind w:firstLine="567"/>
        <w:jc w:val="both"/>
        <w:rPr>
          <w:rFonts w:ascii="Tahoma" w:hAnsi="Tahoma" w:cs="Tahoma"/>
          <w:sz w:val="24"/>
          <w:szCs w:val="24"/>
        </w:rPr>
      </w:pPr>
    </w:p>
    <w:p w:rsidR="007323B6" w:rsidRDefault="007323B6" w:rsidP="007323B6">
      <w:pPr>
        <w:spacing w:line="360" w:lineRule="auto"/>
        <w:ind w:firstLine="567"/>
        <w:jc w:val="both"/>
        <w:rPr>
          <w:rFonts w:ascii="Tahoma" w:hAnsi="Tahoma" w:cs="Tahoma"/>
          <w:sz w:val="24"/>
          <w:szCs w:val="24"/>
        </w:rPr>
      </w:pPr>
    </w:p>
    <w:p w:rsidR="007323B6" w:rsidRDefault="007323B6" w:rsidP="007323B6">
      <w:pPr>
        <w:spacing w:line="360" w:lineRule="auto"/>
        <w:ind w:firstLine="567"/>
        <w:jc w:val="both"/>
        <w:rPr>
          <w:rFonts w:ascii="Tahoma" w:hAnsi="Tahoma" w:cs="Tahoma"/>
          <w:sz w:val="24"/>
          <w:szCs w:val="24"/>
        </w:rPr>
      </w:pPr>
    </w:p>
    <w:p w:rsidR="007323B6" w:rsidRPr="00872927" w:rsidRDefault="007323B6" w:rsidP="007323B6">
      <w:pPr>
        <w:spacing w:line="360" w:lineRule="auto"/>
        <w:ind w:firstLine="567"/>
        <w:jc w:val="both"/>
        <w:rPr>
          <w:rFonts w:ascii="Tahoma" w:hAnsi="Tahoma" w:cs="Tahoma"/>
        </w:rPr>
      </w:pPr>
    </w:p>
    <w:p w:rsidR="00346DC8" w:rsidRDefault="00346DC8"/>
    <w:sectPr w:rsidR="00346DC8" w:rsidSect="007C7CEE">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2C5" w:rsidRDefault="00D352C5" w:rsidP="00390DB4">
      <w:pPr>
        <w:spacing w:after="0" w:line="240" w:lineRule="auto"/>
      </w:pPr>
      <w:r>
        <w:separator/>
      </w:r>
    </w:p>
  </w:endnote>
  <w:endnote w:type="continuationSeparator" w:id="0">
    <w:p w:rsidR="00D352C5" w:rsidRDefault="00D352C5" w:rsidP="00390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7C7CEE">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134B7" w:rsidRPr="005134B7">
          <w:rPr>
            <w:rFonts w:ascii="Arial" w:hAnsi="Arial" w:cs="Arial"/>
            <w:noProof/>
            <w:sz w:val="24"/>
            <w:szCs w:val="24"/>
            <w:lang w:val="es-ES"/>
          </w:rPr>
          <w:t>10</w:t>
        </w:r>
        <w:r w:rsidRPr="00604752">
          <w:rPr>
            <w:rFonts w:ascii="Arial" w:hAnsi="Arial" w:cs="Arial"/>
            <w:sz w:val="24"/>
            <w:szCs w:val="24"/>
          </w:rPr>
          <w:fldChar w:fldCharType="end"/>
        </w:r>
      </w:p>
    </w:sdtContent>
  </w:sdt>
  <w:p w:rsidR="0076338B" w:rsidRDefault="00D352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2C5" w:rsidRDefault="00D352C5" w:rsidP="00390DB4">
      <w:pPr>
        <w:spacing w:after="0" w:line="240" w:lineRule="auto"/>
      </w:pPr>
      <w:r>
        <w:separator/>
      </w:r>
    </w:p>
  </w:footnote>
  <w:footnote w:type="continuationSeparator" w:id="0">
    <w:p w:rsidR="00D352C5" w:rsidRDefault="00D352C5" w:rsidP="00390D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3B6"/>
    <w:rsid w:val="00092ACA"/>
    <w:rsid w:val="001B7053"/>
    <w:rsid w:val="002C1213"/>
    <w:rsid w:val="002F308D"/>
    <w:rsid w:val="00346DC8"/>
    <w:rsid w:val="00351E17"/>
    <w:rsid w:val="00390DB4"/>
    <w:rsid w:val="003A7FDD"/>
    <w:rsid w:val="005134B7"/>
    <w:rsid w:val="005649EC"/>
    <w:rsid w:val="005A16F5"/>
    <w:rsid w:val="00605068"/>
    <w:rsid w:val="00611445"/>
    <w:rsid w:val="007323B6"/>
    <w:rsid w:val="007C7CEE"/>
    <w:rsid w:val="00A25056"/>
    <w:rsid w:val="00A60CA8"/>
    <w:rsid w:val="00A97EF3"/>
    <w:rsid w:val="00B23FE8"/>
    <w:rsid w:val="00B91E2C"/>
    <w:rsid w:val="00D22623"/>
    <w:rsid w:val="00D352C5"/>
    <w:rsid w:val="00DD21D9"/>
    <w:rsid w:val="00DE2FDD"/>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0A0BAC-71AD-43EC-AD6B-43FF43CB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3B6"/>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23B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23B6"/>
  </w:style>
  <w:style w:type="paragraph" w:styleId="Piedepgina">
    <w:name w:val="footer"/>
    <w:basedOn w:val="Normal"/>
    <w:link w:val="PiedepginaCar"/>
    <w:uiPriority w:val="99"/>
    <w:unhideWhenUsed/>
    <w:rsid w:val="007323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23B6"/>
  </w:style>
  <w:style w:type="paragraph" w:customStyle="1" w:styleId="Sangra2detindependiente1">
    <w:name w:val="Sangría 2 de t. independiente1"/>
    <w:basedOn w:val="Normal"/>
    <w:rsid w:val="007323B6"/>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3036</Words>
  <Characters>16700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19697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dcterms:created xsi:type="dcterms:W3CDTF">2021-04-06T18:12:00Z</dcterms:created>
  <dcterms:modified xsi:type="dcterms:W3CDTF">2021-04-06T18:12:00Z</dcterms:modified>
</cp:coreProperties>
</file>