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B72" w:rsidRDefault="006D3B72" w:rsidP="006D3B72">
      <w:pPr>
        <w:pStyle w:val="Encabezado"/>
        <w:tabs>
          <w:tab w:val="left" w:pos="708"/>
        </w:tabs>
        <w:ind w:left="3402"/>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6D3B72" w:rsidRDefault="006D3B72" w:rsidP="006D3B72">
      <w:pPr>
        <w:pStyle w:val="Encabezado"/>
        <w:ind w:left="4248"/>
        <w:jc w:val="both"/>
        <w:rPr>
          <w:rFonts w:ascii="Arial" w:hAnsi="Arial" w:cs="Arial"/>
          <w:b/>
          <w:sz w:val="26"/>
          <w:szCs w:val="26"/>
        </w:rPr>
      </w:pPr>
    </w:p>
    <w:p w:rsidR="006D3B72" w:rsidRDefault="006D3B72" w:rsidP="006D3B72">
      <w:pPr>
        <w:pStyle w:val="Encabezado"/>
        <w:tabs>
          <w:tab w:val="left" w:pos="708"/>
        </w:tabs>
        <w:ind w:left="2832" w:right="-93" w:firstLine="570"/>
        <w:jc w:val="both"/>
        <w:rPr>
          <w:rFonts w:ascii="Arial" w:hAnsi="Arial" w:cs="Arial"/>
          <w:b/>
          <w:sz w:val="26"/>
          <w:szCs w:val="26"/>
        </w:rPr>
      </w:pPr>
      <w:r>
        <w:rPr>
          <w:rFonts w:ascii="Arial" w:hAnsi="Arial" w:cs="Arial"/>
          <w:b/>
          <w:sz w:val="26"/>
          <w:szCs w:val="26"/>
        </w:rPr>
        <w:t>EXPEDIENTE: 104/2019</w:t>
      </w:r>
    </w:p>
    <w:p w:rsidR="006D3B72" w:rsidRDefault="006D3B72" w:rsidP="006D3B72">
      <w:pPr>
        <w:pStyle w:val="Encabezado"/>
        <w:tabs>
          <w:tab w:val="clear" w:pos="4419"/>
          <w:tab w:val="center" w:pos="8931"/>
        </w:tabs>
        <w:jc w:val="both"/>
        <w:rPr>
          <w:rFonts w:ascii="Arial" w:hAnsi="Arial" w:cs="Arial"/>
          <w:b/>
          <w:sz w:val="26"/>
          <w:szCs w:val="26"/>
        </w:rPr>
      </w:pPr>
    </w:p>
    <w:p w:rsidR="006D3B72" w:rsidRDefault="006D3B72" w:rsidP="006D3B72">
      <w:pPr>
        <w:pStyle w:val="Encabezado"/>
        <w:tabs>
          <w:tab w:val="left" w:pos="708"/>
        </w:tabs>
        <w:ind w:left="3402"/>
        <w:rPr>
          <w:rFonts w:ascii="Arial" w:hAnsi="Arial" w:cs="Arial"/>
          <w:b/>
          <w:sz w:val="26"/>
          <w:szCs w:val="26"/>
        </w:rPr>
      </w:pPr>
      <w:r>
        <w:rPr>
          <w:rFonts w:ascii="Arial" w:hAnsi="Arial" w:cs="Arial"/>
          <w:b/>
          <w:sz w:val="26"/>
          <w:szCs w:val="26"/>
        </w:rPr>
        <w:t xml:space="preserve">ACTOR: </w:t>
      </w:r>
      <w:r>
        <w:rPr>
          <w:rFonts w:ascii="Arial" w:hAnsi="Arial" w:cs="Arial"/>
          <w:sz w:val="24"/>
          <w:szCs w:val="24"/>
        </w:rPr>
        <w:t>**********</w:t>
      </w:r>
    </w:p>
    <w:p w:rsidR="006D3B72" w:rsidRDefault="006D3B72" w:rsidP="006D3B72">
      <w:pPr>
        <w:pStyle w:val="Encabezado"/>
        <w:ind w:left="4248"/>
        <w:jc w:val="both"/>
        <w:rPr>
          <w:rFonts w:ascii="Arial" w:hAnsi="Arial" w:cs="Arial"/>
          <w:b/>
          <w:sz w:val="26"/>
          <w:szCs w:val="26"/>
        </w:rPr>
      </w:pPr>
    </w:p>
    <w:p w:rsidR="006D3B72" w:rsidRDefault="006D3B72" w:rsidP="006D3B72">
      <w:pPr>
        <w:pStyle w:val="Encabezado"/>
        <w:tabs>
          <w:tab w:val="center" w:pos="-1418"/>
        </w:tabs>
        <w:ind w:left="3402"/>
        <w:jc w:val="both"/>
        <w:rPr>
          <w:rFonts w:ascii="Arial" w:hAnsi="Arial" w:cs="Arial"/>
          <w:b/>
          <w:sz w:val="26"/>
          <w:szCs w:val="26"/>
        </w:rPr>
      </w:pPr>
      <w:r>
        <w:rPr>
          <w:rFonts w:ascii="Arial" w:hAnsi="Arial" w:cs="Arial"/>
          <w:b/>
          <w:sz w:val="26"/>
          <w:szCs w:val="26"/>
        </w:rPr>
        <w:t>DEMANDADA: JEFE DE LA UNIDAD JURÍDICA DEL INSTITUTO CATASTRAL DEL ESTADO DE OAXACA.</w:t>
      </w:r>
    </w:p>
    <w:p w:rsidR="006D3B72" w:rsidRDefault="006D3B72" w:rsidP="006D3B72">
      <w:pPr>
        <w:pStyle w:val="Encabezado"/>
        <w:tabs>
          <w:tab w:val="center" w:pos="-1418"/>
        </w:tabs>
        <w:ind w:left="3540"/>
        <w:jc w:val="both"/>
        <w:rPr>
          <w:rFonts w:ascii="Arial" w:hAnsi="Arial" w:cs="Arial"/>
          <w:b/>
          <w:sz w:val="26"/>
          <w:szCs w:val="26"/>
        </w:rPr>
      </w:pPr>
    </w:p>
    <w:p w:rsidR="006D3B72" w:rsidRDefault="006D3B72" w:rsidP="006D3B72">
      <w:pPr>
        <w:pStyle w:val="Encabezado"/>
        <w:tabs>
          <w:tab w:val="center" w:pos="-1418"/>
        </w:tabs>
        <w:ind w:left="3402"/>
        <w:jc w:val="both"/>
        <w:rPr>
          <w:rFonts w:ascii="Arial" w:hAnsi="Arial" w:cs="Arial"/>
          <w:b/>
          <w:sz w:val="26"/>
          <w:szCs w:val="26"/>
        </w:rPr>
      </w:pPr>
      <w:r>
        <w:rPr>
          <w:rFonts w:ascii="Arial" w:hAnsi="Arial" w:cs="Arial"/>
          <w:b/>
          <w:sz w:val="26"/>
          <w:szCs w:val="26"/>
        </w:rPr>
        <w:t>MAGISTRADO. ENRIQUE PACHECO MARTÍNEZ.</w:t>
      </w:r>
    </w:p>
    <w:p w:rsidR="006D3B72" w:rsidRDefault="006D3B72" w:rsidP="006D3B72">
      <w:pPr>
        <w:pStyle w:val="Encabezado"/>
        <w:tabs>
          <w:tab w:val="center" w:pos="-1418"/>
        </w:tabs>
        <w:ind w:left="3540"/>
        <w:jc w:val="both"/>
        <w:rPr>
          <w:rFonts w:ascii="Arial" w:hAnsi="Arial" w:cs="Arial"/>
          <w:b/>
          <w:sz w:val="26"/>
          <w:szCs w:val="26"/>
        </w:rPr>
      </w:pPr>
    </w:p>
    <w:p w:rsidR="006D3B72" w:rsidRDefault="006D3B72" w:rsidP="006D3B72">
      <w:pPr>
        <w:pStyle w:val="Encabezado"/>
        <w:tabs>
          <w:tab w:val="center" w:pos="-1418"/>
        </w:tabs>
        <w:ind w:left="3402"/>
        <w:jc w:val="both"/>
        <w:rPr>
          <w:rFonts w:ascii="Arial" w:hAnsi="Arial" w:cs="Arial"/>
          <w:b/>
          <w:sz w:val="26"/>
          <w:szCs w:val="26"/>
        </w:rPr>
      </w:pPr>
      <w:r>
        <w:rPr>
          <w:rFonts w:ascii="Arial" w:hAnsi="Arial" w:cs="Arial"/>
          <w:b/>
          <w:sz w:val="26"/>
          <w:szCs w:val="26"/>
        </w:rPr>
        <w:t>SECRETARIO. LICENCIADO RENATO GABRIEL IBÁÑEZ CASTELLANOS.</w:t>
      </w:r>
    </w:p>
    <w:p w:rsidR="006D3B72" w:rsidRDefault="006D3B72" w:rsidP="006D3B72">
      <w:pPr>
        <w:spacing w:line="360" w:lineRule="auto"/>
        <w:jc w:val="both"/>
        <w:rPr>
          <w:rFonts w:ascii="Arial" w:hAnsi="Arial" w:cs="Arial"/>
          <w:b/>
          <w:sz w:val="26"/>
          <w:szCs w:val="26"/>
        </w:rPr>
      </w:pPr>
    </w:p>
    <w:p w:rsidR="006D3B72" w:rsidRDefault="006D3B72" w:rsidP="006D3B72">
      <w:pPr>
        <w:pStyle w:val="Encabezado"/>
        <w:spacing w:line="360" w:lineRule="auto"/>
        <w:jc w:val="both"/>
        <w:rPr>
          <w:rFonts w:ascii="Arial" w:hAnsi="Arial" w:cs="Arial"/>
          <w:b/>
          <w:sz w:val="26"/>
          <w:szCs w:val="26"/>
        </w:rPr>
      </w:pPr>
      <w:r>
        <w:rPr>
          <w:rFonts w:ascii="Arial" w:hAnsi="Arial" w:cs="Arial"/>
          <w:b/>
          <w:sz w:val="26"/>
          <w:szCs w:val="26"/>
        </w:rPr>
        <w:t xml:space="preserve">OAXACA DE JUÁREZ, OAXACA A </w:t>
      </w:r>
      <w:r>
        <w:rPr>
          <w:rFonts w:ascii="Arial" w:hAnsi="Arial" w:cs="Arial"/>
          <w:b/>
          <w:sz w:val="26"/>
          <w:szCs w:val="26"/>
        </w:rPr>
        <w:tab/>
        <w:t xml:space="preserve">QUINCE DE DICIEMBRE DE DOS MIL VEINTE. - - - - - - - - - - - - - - - - - - - - - - - - - </w:t>
      </w:r>
      <w:r>
        <w:rPr>
          <w:rFonts w:ascii="Arial" w:hAnsi="Arial" w:cs="Arial"/>
          <w:b/>
          <w:sz w:val="26"/>
          <w:szCs w:val="26"/>
        </w:rPr>
        <w:t xml:space="preserve">- - - - - - - - - - - - - - - - - - - - - - - - </w:t>
      </w:r>
    </w:p>
    <w:p w:rsidR="006D3B72" w:rsidRDefault="006D3B72" w:rsidP="006D3B72">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104/2019</w:t>
      </w:r>
      <w:r>
        <w:rPr>
          <w:rFonts w:ascii="Arial" w:hAnsi="Arial" w:cs="Arial"/>
          <w:sz w:val="26"/>
          <w:szCs w:val="26"/>
        </w:rPr>
        <w:t xml:space="preserve">, promovido por </w:t>
      </w:r>
      <w:r>
        <w:rPr>
          <w:rFonts w:ascii="Arial" w:hAnsi="Arial" w:cs="Arial"/>
          <w:sz w:val="24"/>
          <w:szCs w:val="24"/>
        </w:rPr>
        <w:t>**********</w:t>
      </w:r>
      <w:r>
        <w:rPr>
          <w:rFonts w:ascii="Arial" w:hAnsi="Arial" w:cs="Arial"/>
          <w:b/>
          <w:sz w:val="26"/>
          <w:szCs w:val="26"/>
        </w:rPr>
        <w:t xml:space="preserve">, APODERADO LEGAL DE </w:t>
      </w:r>
      <w:r>
        <w:rPr>
          <w:rFonts w:ascii="Arial" w:hAnsi="Arial" w:cs="Arial"/>
          <w:sz w:val="24"/>
          <w:szCs w:val="24"/>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JEFE DE LA UNIDAD JURÍDICA DEL INSTITUTO CATASTRAL DEL ESTADO DE OAXACA</w:t>
      </w:r>
      <w:r>
        <w:rPr>
          <w:rFonts w:ascii="Arial" w:hAnsi="Arial" w:cs="Arial"/>
          <w:sz w:val="26"/>
          <w:szCs w:val="26"/>
        </w:rPr>
        <w:t xml:space="preserve">.- - - - - - - - - - - - - - - - - - - - - - - - - - - - - - - - - - - </w:t>
      </w:r>
    </w:p>
    <w:p w:rsidR="006D3B72" w:rsidRDefault="006D3B72" w:rsidP="006D3B72">
      <w:pPr>
        <w:spacing w:before="240" w:line="360" w:lineRule="auto"/>
        <w:jc w:val="center"/>
        <w:rPr>
          <w:rFonts w:ascii="Arial" w:hAnsi="Arial" w:cs="Arial"/>
          <w:b/>
          <w:sz w:val="26"/>
          <w:szCs w:val="26"/>
        </w:rPr>
      </w:pPr>
      <w:r>
        <w:rPr>
          <w:rFonts w:ascii="Arial" w:hAnsi="Arial" w:cs="Arial"/>
          <w:b/>
          <w:sz w:val="26"/>
          <w:szCs w:val="26"/>
        </w:rPr>
        <w:t>R E S U L T A N D O:</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veintitrés de septiembre de dos mil diecinueve, en Oficialía de Partes Común de este Tribunal, </w:t>
      </w:r>
      <w:r>
        <w:rPr>
          <w:rFonts w:ascii="Arial" w:hAnsi="Arial" w:cs="Arial"/>
          <w:sz w:val="24"/>
          <w:szCs w:val="24"/>
        </w:rPr>
        <w:t>**********</w:t>
      </w:r>
      <w:r>
        <w:rPr>
          <w:rFonts w:ascii="Arial" w:hAnsi="Arial" w:cs="Arial"/>
          <w:sz w:val="26"/>
          <w:szCs w:val="26"/>
        </w:rPr>
        <w:t xml:space="preserve">, Apoderado Legal de </w:t>
      </w:r>
      <w:r>
        <w:rPr>
          <w:rFonts w:ascii="Arial" w:hAnsi="Arial" w:cs="Arial"/>
          <w:sz w:val="24"/>
          <w:szCs w:val="24"/>
        </w:rPr>
        <w:t>**********</w:t>
      </w:r>
      <w:r>
        <w:rPr>
          <w:rFonts w:ascii="Arial" w:hAnsi="Arial" w:cs="Arial"/>
          <w:sz w:val="26"/>
          <w:szCs w:val="26"/>
        </w:rPr>
        <w:t xml:space="preserve">, demandó la nulidad lisa y llana de la resolución contenida en el oficio </w:t>
      </w:r>
      <w:r>
        <w:rPr>
          <w:rFonts w:ascii="Arial" w:hAnsi="Arial" w:cs="Arial"/>
          <w:sz w:val="24"/>
          <w:szCs w:val="24"/>
        </w:rPr>
        <w:t>**********</w:t>
      </w:r>
      <w:r>
        <w:rPr>
          <w:rFonts w:ascii="Arial" w:hAnsi="Arial" w:cs="Arial"/>
          <w:sz w:val="26"/>
          <w:szCs w:val="26"/>
        </w:rPr>
        <w:t xml:space="preserve">de veinte de mayo de dos mil diecinueve, emitida por el Jefe de la Unidad Jurídica del Instituto Catastral del Estado de Oaxaca.- - - - </w:t>
      </w:r>
      <w:r>
        <w:rPr>
          <w:rFonts w:ascii="Arial" w:hAnsi="Arial" w:cs="Arial"/>
          <w:sz w:val="26"/>
          <w:szCs w:val="26"/>
        </w:rPr>
        <w:t xml:space="preserve">- - - - - - - - - - - - - - - - - - - - - - - - - - - - - - - - - - - - - - -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acuerdo de veinticuatro de septiembre de dos mil diecinueve; se ordenó reservar la admisión de la demanda, y se ordenó girar oficio al Magistrado de la Quinta Sala Unitaria, para que dentro del plazo de tres días hábiles remitiera copias certificadas del auto </w:t>
      </w:r>
      <w:proofErr w:type="spellStart"/>
      <w:r>
        <w:rPr>
          <w:rFonts w:ascii="Arial" w:hAnsi="Arial" w:cs="Arial"/>
          <w:sz w:val="26"/>
          <w:szCs w:val="26"/>
        </w:rPr>
        <w:t>admisorio</w:t>
      </w:r>
      <w:proofErr w:type="spellEnd"/>
      <w:r>
        <w:rPr>
          <w:rFonts w:ascii="Arial" w:hAnsi="Arial" w:cs="Arial"/>
          <w:sz w:val="26"/>
          <w:szCs w:val="26"/>
        </w:rPr>
        <w:t xml:space="preserve">, escrito de demanda, sentencia, auto en el que haya causado ejecutoria, nuevo acto dictado por la demandada, acuerdo por el que se haya tenido por cumplida la sentencia, así como de las constancias solicitadas por el actor mediante escrito de diecinueve de septiembre.- - - - - - - - - - - - - - - - - - </w:t>
      </w:r>
      <w:r>
        <w:rPr>
          <w:rFonts w:ascii="Arial" w:hAnsi="Arial" w:cs="Arial"/>
          <w:sz w:val="26"/>
          <w:szCs w:val="26"/>
        </w:rPr>
        <w:t>- - - -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TERCERO. </w:t>
      </w:r>
      <w:r>
        <w:rPr>
          <w:rFonts w:ascii="Arial" w:hAnsi="Arial" w:cs="Arial"/>
          <w:sz w:val="26"/>
          <w:szCs w:val="26"/>
        </w:rPr>
        <w:t xml:space="preserve">Por auto de veintinueve de noviembre de dos mil diecinueve, una vez cumplido el requerimiento realizado al Magistrado de la Quinta Sala Unitaria de este Tribunal; se admitió a trámite la demanda en contra de la resolución contenida en el oficio </w:t>
      </w:r>
      <w:r>
        <w:rPr>
          <w:rFonts w:ascii="Arial" w:hAnsi="Arial" w:cs="Arial"/>
          <w:sz w:val="24"/>
          <w:szCs w:val="24"/>
        </w:rPr>
        <w:t>**********</w:t>
      </w:r>
      <w:r>
        <w:rPr>
          <w:rFonts w:ascii="Arial" w:hAnsi="Arial" w:cs="Arial"/>
          <w:sz w:val="26"/>
          <w:szCs w:val="26"/>
        </w:rPr>
        <w:t xml:space="preserve">de veinte de mayo de dos mil diecinueve, emitida por el Jefe de la Unidad Jurídica del Instituto Catastral del Estado de Oaxaca; se ordenó notificar, emplazar y correr traslado a dicha autoridad, para que dentro del plazo de nueve días hábiles produjera su contestación, con el percibimiento, que en el caso de no hacerlo dentro del plazo concedido, se les tendría contestando la demanda en sentido afirmativo, y de no referirse a todos los hechos, se le tendrían como ciertos; se admitieron las pruebas ofrecidas por el actor.- - </w:t>
      </w:r>
      <w:r>
        <w:rPr>
          <w:rFonts w:ascii="Arial" w:hAnsi="Arial" w:cs="Arial"/>
          <w:sz w:val="26"/>
          <w:szCs w:val="26"/>
        </w:rPr>
        <w:t>- - - - - - - - - - - -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Mediante auto de dieciocho de febrero de dos mil veinte, se tuvo al Jefe de la Unidad Jurídica del Instituto Catastral del Estado de Oaxaca, dando contestación a la demanda entablada en su contra; por ofrecidas y admitidas sus pruebas; se ordenó correr traslado a la parte actora con las copias de la contestación, para los efectos legales correspondientes; se señaló fecha y hora para la celebración de la audiencia final.- - - - - -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Mediante proveído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 (COVIT 19).- - - - - - - - - - - - -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Mediante auto de veinticuatro de agosto 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SÉPTIMO. </w:t>
      </w:r>
      <w:r>
        <w:rPr>
          <w:rFonts w:ascii="Arial" w:hAnsi="Arial" w:cs="Arial"/>
          <w:sz w:val="26"/>
          <w:szCs w:val="26"/>
        </w:rPr>
        <w:t xml:space="preserve">Por auto de cinco de octubre de dos mil veinte, se señaló fecha para la celebración de la audiencia final.- - - - - - - - - - - - - - - - - -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tres de noviembre de dos mil veinte, se prorrogó la celebración de la audiencia final; al no haberse podido llevar a cabo; dada las suspensión de plazos y términos acordada por el Pleno de este Tribunal, </w:t>
      </w:r>
      <w:r>
        <w:rPr>
          <w:rFonts w:ascii="Arial" w:hAnsi="Arial" w:cs="Arial"/>
          <w:sz w:val="26"/>
          <w:szCs w:val="26"/>
        </w:rPr>
        <w:lastRenderedPageBreak/>
        <w:t>como medida necesaria para limitar la propagación y contagio generado por el SARS-COV (COVIT 19).- - - - - - - - - - - - - - - - - - - - - - - - - - - - - - - - -</w:t>
      </w:r>
      <w:r>
        <w:rPr>
          <w:rFonts w:ascii="Arial" w:hAnsi="Arial" w:cs="Arial"/>
          <w:sz w:val="26"/>
          <w:szCs w:val="26"/>
        </w:rPr>
        <w:t xml:space="preserve">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 xml:space="preserve">Finalmente, el nueve de noviembre de dos mil veinte, se llevó a cabo la audiencia final, sin comparecencia de las partes ni persona alguna que legalmente las representara; se desahogaron las pruebas de las partes, se abrió el periodo de alegatos, se dio cuenta que ninguna de las partes presentó escrito de alegatos, por lo que se declaró precluído su derecho, declarándose cerrada la etapa de instrucción; y, por último se citó a las partes para oír sentencia, misma que ahora se pronuncia.- - - - - - - - - - </w:t>
      </w:r>
      <w:r>
        <w:rPr>
          <w:rFonts w:ascii="Arial" w:hAnsi="Arial" w:cs="Arial"/>
          <w:sz w:val="26"/>
          <w:szCs w:val="26"/>
        </w:rPr>
        <w:t>- - - - - - - - -</w:t>
      </w:r>
    </w:p>
    <w:p w:rsidR="006D3B72" w:rsidRDefault="006D3B72" w:rsidP="006D3B72">
      <w:pPr>
        <w:spacing w:before="240" w:line="360" w:lineRule="auto"/>
        <w:jc w:val="center"/>
        <w:rPr>
          <w:rFonts w:ascii="Arial" w:hAnsi="Arial" w:cs="Arial"/>
          <w:b/>
          <w:sz w:val="26"/>
          <w:szCs w:val="26"/>
        </w:rPr>
      </w:pPr>
      <w:r>
        <w:rPr>
          <w:rFonts w:ascii="Arial" w:hAnsi="Arial" w:cs="Arial"/>
          <w:b/>
          <w:sz w:val="26"/>
          <w:szCs w:val="26"/>
        </w:rPr>
        <w:t>C O N S I D E R A N D O:</w:t>
      </w:r>
    </w:p>
    <w:p w:rsidR="006D3B72" w:rsidRDefault="006D3B72" w:rsidP="006D3B72">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121 de la Ley de Procedimiento y Justicia Administrativa para el Estado de Oaxaca</w:t>
      </w:r>
      <w:r>
        <w:rPr>
          <w:rFonts w:ascii="Arial" w:hAnsi="Arial" w:cs="Arial"/>
          <w:sz w:val="26"/>
          <w:szCs w:val="26"/>
        </w:rPr>
        <w:t>, por tratarse de un juicio de nulidad promovido en contra de una autoridad administrativa de carácter estatal.- - - - - - - - - - - - -</w:t>
      </w:r>
      <w:r>
        <w:rPr>
          <w:rFonts w:ascii="Arial" w:hAnsi="Arial" w:cs="Arial"/>
          <w:sz w:val="26"/>
          <w:szCs w:val="26"/>
        </w:rPr>
        <w:t xml:space="preserve"> - - - - - -</w:t>
      </w:r>
    </w:p>
    <w:p w:rsidR="006D3B72" w:rsidRDefault="006D3B72" w:rsidP="006D3B72">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 xml:space="preserve">de las partes quedó acreditada, toda vez que la parte actora </w:t>
      </w:r>
      <w:r>
        <w:rPr>
          <w:rFonts w:ascii="Arial" w:hAnsi="Arial" w:cs="Arial"/>
          <w:sz w:val="24"/>
          <w:szCs w:val="24"/>
        </w:rPr>
        <w:t>**********</w:t>
      </w:r>
      <w:r>
        <w:rPr>
          <w:rFonts w:ascii="Arial" w:hAnsi="Arial" w:cs="Arial"/>
          <w:sz w:val="26"/>
          <w:szCs w:val="26"/>
        </w:rPr>
        <w:t xml:space="preserve">, promovió el juicio en su calidad de apoderado legal de </w:t>
      </w:r>
      <w:r>
        <w:rPr>
          <w:rFonts w:ascii="Arial" w:hAnsi="Arial" w:cs="Arial"/>
          <w:sz w:val="24"/>
          <w:szCs w:val="24"/>
        </w:rPr>
        <w:t>**********</w:t>
      </w:r>
      <w:r>
        <w:rPr>
          <w:rFonts w:ascii="Arial" w:hAnsi="Arial" w:cs="Arial"/>
          <w:sz w:val="26"/>
          <w:szCs w:val="26"/>
        </w:rPr>
        <w:t>, conforme lo previsto por el artículo 148 primer párrafo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la de la autoridad demandada no fue impugnada, acreditándose así en términos del artículo 151</w:t>
      </w:r>
      <w:r>
        <w:rPr>
          <w:rStyle w:val="Refdenotaalpie"/>
          <w:rFonts w:ascii="Arial" w:hAnsi="Arial" w:cs="Arial"/>
          <w:sz w:val="26"/>
          <w:szCs w:val="26"/>
        </w:rPr>
        <w:footnoteReference w:id="2"/>
      </w:r>
      <w:r>
        <w:rPr>
          <w:rFonts w:ascii="Arial" w:hAnsi="Arial" w:cs="Arial"/>
          <w:sz w:val="26"/>
          <w:szCs w:val="26"/>
        </w:rPr>
        <w:t xml:space="preserve"> de la Ley en cita.- - - - - - - - - - - - - - - - - - - - - - - - - - - - - - - - </w:t>
      </w:r>
    </w:p>
    <w:p w:rsidR="006D3B72" w:rsidRDefault="006D3B72" w:rsidP="006D3B72">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t>TERCERO. Causales de Improcedencia y Sobreseimiento</w:t>
      </w:r>
      <w:r>
        <w:rPr>
          <w:rFonts w:ascii="Arial" w:hAnsi="Arial" w:cs="Arial"/>
          <w:sz w:val="26"/>
          <w:szCs w:val="26"/>
        </w:rPr>
        <w:t xml:space="preserve">. Considerando que son de orden público y de estudio preferente a cualquier </w:t>
      </w:r>
      <w:r>
        <w:rPr>
          <w:rFonts w:ascii="Arial" w:hAnsi="Arial" w:cs="Arial"/>
          <w:sz w:val="26"/>
          <w:szCs w:val="26"/>
        </w:rPr>
        <w:lastRenderedPageBreak/>
        <w:t>otra cuestión y derivado del imperioso estudio oficioso que especifica el artículo 161 última parte</w:t>
      </w:r>
      <w:r>
        <w:rPr>
          <w:rStyle w:val="Refdenotaalpie"/>
          <w:rFonts w:ascii="Arial" w:hAnsi="Arial" w:cs="Arial"/>
          <w:sz w:val="26"/>
          <w:szCs w:val="26"/>
        </w:rPr>
        <w:footnoteReference w:id="3"/>
      </w:r>
      <w:r>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Pr>
          <w:rFonts w:ascii="Arial" w:hAnsi="Arial" w:cs="Arial"/>
          <w:b/>
          <w:sz w:val="26"/>
          <w:szCs w:val="26"/>
        </w:rPr>
        <w:t>no se sobresee</w:t>
      </w:r>
      <w:r>
        <w:rPr>
          <w:rFonts w:ascii="Arial" w:hAnsi="Arial" w:cs="Arial"/>
          <w:sz w:val="26"/>
          <w:szCs w:val="26"/>
        </w:rPr>
        <w:t xml:space="preserve"> el juicio. - - - - - - - - - - - - - - - - - - - - - - - - - - - - - - - - - - - - - - - - - - - - - - -</w:t>
      </w:r>
      <w:r>
        <w:rPr>
          <w:rFonts w:ascii="Arial" w:hAnsi="Arial" w:cs="Arial"/>
          <w:sz w:val="26"/>
          <w:szCs w:val="26"/>
        </w:rPr>
        <w:t xml:space="preserve"> - - - - -</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6D3B72" w:rsidRDefault="006D3B72" w:rsidP="006D3B72">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6D3B72" w:rsidRDefault="006D3B72" w:rsidP="006D3B72">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El actor </w:t>
      </w:r>
      <w:r>
        <w:rPr>
          <w:rFonts w:ascii="Arial" w:hAnsi="Arial" w:cs="Arial"/>
          <w:sz w:val="24"/>
          <w:szCs w:val="24"/>
        </w:rPr>
        <w:t>**********</w:t>
      </w:r>
      <w:r>
        <w:rPr>
          <w:rFonts w:ascii="Arial" w:hAnsi="Arial" w:cs="Arial"/>
          <w:sz w:val="26"/>
          <w:szCs w:val="26"/>
        </w:rPr>
        <w:t xml:space="preserve">, Apoderado Legal de </w:t>
      </w:r>
      <w:r>
        <w:rPr>
          <w:rFonts w:ascii="Arial" w:hAnsi="Arial" w:cs="Arial"/>
          <w:sz w:val="24"/>
          <w:szCs w:val="24"/>
        </w:rPr>
        <w:t>**********</w:t>
      </w:r>
      <w:r>
        <w:rPr>
          <w:rFonts w:ascii="Arial" w:hAnsi="Arial" w:cs="Arial"/>
          <w:sz w:val="26"/>
          <w:szCs w:val="26"/>
        </w:rPr>
        <w:t xml:space="preserve">, demandó la nulidad de la resolución contenida en el oficio </w:t>
      </w:r>
      <w:r>
        <w:rPr>
          <w:rFonts w:ascii="Arial" w:hAnsi="Arial" w:cs="Arial"/>
          <w:sz w:val="24"/>
          <w:szCs w:val="24"/>
        </w:rPr>
        <w:t>**********</w:t>
      </w:r>
      <w:r>
        <w:rPr>
          <w:rFonts w:ascii="Arial" w:hAnsi="Arial" w:cs="Arial"/>
          <w:sz w:val="26"/>
          <w:szCs w:val="26"/>
        </w:rPr>
        <w:t xml:space="preserve"> de veinte de mayo de dos mil diecinueve, emitida por el Jefe de la Unidad Jurídica del Instituto Catastral del Estado de Oaxaca.- - - - - - - - - - - - - - - - - - - - - - - - - - - - - - - - </w:t>
      </w:r>
    </w:p>
    <w:p w:rsidR="006D3B72" w:rsidRDefault="006D3B72" w:rsidP="006D3B7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Alega en inicio ilegalidad de la consideración sostenida por la autoridad demandada en el sentido de que la solicitud de trámite catastral de integración al padrón catastral, no contiene el requisito que exige la fracción I del artículo 50 del Reglamento de la Ley de Catastro, porque se encuentra </w:t>
      </w:r>
      <w:r>
        <w:rPr>
          <w:rFonts w:ascii="Arial" w:hAnsi="Arial" w:cs="Arial"/>
          <w:sz w:val="26"/>
          <w:szCs w:val="26"/>
        </w:rPr>
        <w:lastRenderedPageBreak/>
        <w:t xml:space="preserve">firmada y sella por el notario público número 105 en el Estado; afirmando al respecto, que contrario a lo señalado, dicha solicitud se realizó en acatamiento a lo establecido por el artículo 68 fracción I de la Ley de Catastro del Estado de Oaxaca, así como por lo dispuesto por el artículo 50 del Reglamento de la Ley de Catastro.- - - - - - - - - - - - - - - - - - - - - - - - - </w:t>
      </w:r>
      <w:r>
        <w:rPr>
          <w:rFonts w:ascii="Arial" w:hAnsi="Arial" w:cs="Arial"/>
          <w:sz w:val="26"/>
          <w:szCs w:val="26"/>
        </w:rPr>
        <w:t>- - - - -</w:t>
      </w:r>
    </w:p>
    <w:p w:rsidR="006D3B72" w:rsidRDefault="006D3B72" w:rsidP="006D3B72">
      <w:pPr>
        <w:pStyle w:val="Sinespaciado"/>
        <w:spacing w:before="240" w:line="360" w:lineRule="auto"/>
        <w:ind w:firstLine="708"/>
        <w:jc w:val="both"/>
        <w:rPr>
          <w:rFonts w:ascii="Arial" w:hAnsi="Arial" w:cs="Arial"/>
          <w:sz w:val="26"/>
          <w:szCs w:val="26"/>
        </w:rPr>
      </w:pPr>
      <w:r>
        <w:rPr>
          <w:rFonts w:ascii="Arial" w:hAnsi="Arial" w:cs="Arial"/>
          <w:sz w:val="26"/>
          <w:szCs w:val="26"/>
        </w:rPr>
        <w:t>Al respecto señala la demandada, que no le asiste la razón al actor, porque conforme lo previsto por el artículo 50 fracción I del Reglamento de la Ley de Catastro para el Estado de Oaxaca, para el trámite de integración al padrón catastral, la solicitud de trámite debe ser firmada por el contribuyente, y no por el Notario Público.- - - - - - - - - - - - - - - - - - - - - - -</w:t>
      </w:r>
      <w:r>
        <w:rPr>
          <w:rFonts w:ascii="Arial" w:hAnsi="Arial" w:cs="Arial"/>
          <w:sz w:val="26"/>
          <w:szCs w:val="26"/>
        </w:rPr>
        <w:t xml:space="preserve"> - - - - - - - - - - - - -</w:t>
      </w:r>
    </w:p>
    <w:p w:rsidR="006D3B72" w:rsidRDefault="006D3B72" w:rsidP="006D3B72">
      <w:pPr>
        <w:pStyle w:val="Sinespaciado"/>
        <w:spacing w:before="240" w:after="240" w:line="360" w:lineRule="auto"/>
        <w:ind w:firstLine="708"/>
        <w:jc w:val="both"/>
        <w:rPr>
          <w:rFonts w:ascii="Arial" w:hAnsi="Arial" w:cs="Arial"/>
          <w:sz w:val="26"/>
          <w:szCs w:val="26"/>
        </w:rPr>
      </w:pPr>
      <w:r>
        <w:rPr>
          <w:rFonts w:ascii="Arial" w:hAnsi="Arial" w:cs="Arial"/>
          <w:sz w:val="26"/>
          <w:szCs w:val="26"/>
        </w:rPr>
        <w:t>El artículo 50 del Reglamento de la Ley de Catastro para el Estado de Oaxaca, establece:</w:t>
      </w:r>
    </w:p>
    <w:p w:rsidR="006D3B72" w:rsidRDefault="006D3B72" w:rsidP="006D3B72">
      <w:pPr>
        <w:pStyle w:val="Textonotapie"/>
        <w:spacing w:line="360" w:lineRule="auto"/>
        <w:ind w:left="1134" w:right="618"/>
        <w:rPr>
          <w:rFonts w:ascii="Arial" w:hAnsi="Arial" w:cs="Arial"/>
          <w:i/>
          <w:sz w:val="24"/>
          <w:szCs w:val="24"/>
        </w:rPr>
      </w:pPr>
      <w:r>
        <w:rPr>
          <w:rFonts w:ascii="Arial" w:hAnsi="Arial" w:cs="Arial"/>
          <w:i/>
          <w:sz w:val="24"/>
          <w:szCs w:val="24"/>
        </w:rPr>
        <w:t>“</w:t>
      </w:r>
      <w:r>
        <w:rPr>
          <w:rFonts w:ascii="Arial" w:hAnsi="Arial" w:cs="Arial"/>
          <w:b/>
          <w:i/>
          <w:sz w:val="24"/>
          <w:szCs w:val="24"/>
        </w:rPr>
        <w:t xml:space="preserve">ARTÍCULO 50.- </w:t>
      </w:r>
      <w:r>
        <w:rPr>
          <w:rFonts w:ascii="Arial" w:hAnsi="Arial" w:cs="Arial"/>
          <w:i/>
          <w:sz w:val="24"/>
          <w:szCs w:val="24"/>
        </w:rPr>
        <w:t>Para el trámite de integración al padrón catastral deberá presentar lo siguiente:</w:t>
      </w:r>
    </w:p>
    <w:p w:rsidR="006D3B72" w:rsidRDefault="006D3B72" w:rsidP="006D3B72">
      <w:pPr>
        <w:pStyle w:val="Textonotapie"/>
        <w:spacing w:line="360" w:lineRule="auto"/>
        <w:ind w:left="1134" w:right="618"/>
        <w:rPr>
          <w:rFonts w:ascii="Arial" w:hAnsi="Arial" w:cs="Arial"/>
          <w:i/>
          <w:sz w:val="24"/>
          <w:szCs w:val="24"/>
        </w:rPr>
      </w:pPr>
      <w:r>
        <w:rPr>
          <w:rFonts w:ascii="Arial" w:hAnsi="Arial" w:cs="Arial"/>
          <w:i/>
          <w:sz w:val="24"/>
          <w:szCs w:val="24"/>
        </w:rPr>
        <w:t xml:space="preserve">   I. Solicitud de trámite catastral </w:t>
      </w:r>
      <w:proofErr w:type="spellStart"/>
      <w:r>
        <w:rPr>
          <w:rFonts w:ascii="Arial" w:hAnsi="Arial" w:cs="Arial"/>
          <w:i/>
          <w:sz w:val="24"/>
          <w:szCs w:val="24"/>
        </w:rPr>
        <w:t>requisitada</w:t>
      </w:r>
      <w:proofErr w:type="spellEnd"/>
      <w:r>
        <w:rPr>
          <w:rFonts w:ascii="Arial" w:hAnsi="Arial" w:cs="Arial"/>
          <w:i/>
          <w:sz w:val="24"/>
          <w:szCs w:val="24"/>
        </w:rPr>
        <w:t xml:space="preserve"> a máquina o impresa, firmada por el contribuyente;</w:t>
      </w:r>
    </w:p>
    <w:p w:rsidR="006D3B72" w:rsidRDefault="006D3B72" w:rsidP="006D3B72">
      <w:pPr>
        <w:pStyle w:val="Textonotapie"/>
        <w:spacing w:line="360" w:lineRule="auto"/>
        <w:ind w:left="1134" w:right="618"/>
        <w:rPr>
          <w:rFonts w:ascii="Arial" w:hAnsi="Arial" w:cs="Arial"/>
          <w:i/>
          <w:sz w:val="24"/>
          <w:szCs w:val="24"/>
        </w:rPr>
      </w:pPr>
      <w:r>
        <w:rPr>
          <w:rFonts w:ascii="Arial" w:hAnsi="Arial" w:cs="Arial"/>
          <w:i/>
          <w:sz w:val="24"/>
          <w:szCs w:val="24"/>
        </w:rPr>
        <w:t xml:space="preserve">   II. Copia del antecedente de posesión o propiedad;</w:t>
      </w:r>
    </w:p>
    <w:p w:rsidR="006D3B72" w:rsidRDefault="006D3B72" w:rsidP="006D3B72">
      <w:pPr>
        <w:pStyle w:val="Textonotapie"/>
        <w:spacing w:line="360" w:lineRule="auto"/>
        <w:ind w:left="1134" w:right="618"/>
        <w:rPr>
          <w:rFonts w:ascii="Arial" w:hAnsi="Arial" w:cs="Arial"/>
          <w:i/>
          <w:sz w:val="24"/>
          <w:szCs w:val="24"/>
        </w:rPr>
      </w:pPr>
      <w:r>
        <w:rPr>
          <w:rFonts w:ascii="Arial" w:hAnsi="Arial" w:cs="Arial"/>
          <w:i/>
          <w:sz w:val="24"/>
          <w:szCs w:val="24"/>
        </w:rPr>
        <w:t xml:space="preserve">   III. Croquis de localización;</w:t>
      </w:r>
    </w:p>
    <w:p w:rsidR="006D3B72" w:rsidRDefault="006D3B72" w:rsidP="006D3B72">
      <w:pPr>
        <w:pStyle w:val="Textonotapie"/>
        <w:spacing w:line="360" w:lineRule="auto"/>
        <w:ind w:left="1134" w:right="618"/>
        <w:rPr>
          <w:rFonts w:ascii="Arial" w:hAnsi="Arial" w:cs="Arial"/>
          <w:i/>
          <w:sz w:val="24"/>
          <w:szCs w:val="24"/>
        </w:rPr>
      </w:pPr>
      <w:r>
        <w:rPr>
          <w:rFonts w:ascii="Arial" w:hAnsi="Arial" w:cs="Arial"/>
          <w:i/>
          <w:sz w:val="24"/>
          <w:szCs w:val="24"/>
        </w:rPr>
        <w:t xml:space="preserve">   IV. Copia de identificación oficial vigente del titular;</w:t>
      </w:r>
    </w:p>
    <w:p w:rsidR="006D3B72" w:rsidRDefault="006D3B72" w:rsidP="006D3B72">
      <w:pPr>
        <w:pStyle w:val="Textonotapie"/>
        <w:spacing w:line="360" w:lineRule="auto"/>
        <w:ind w:left="1134" w:right="618"/>
        <w:rPr>
          <w:rFonts w:ascii="Arial" w:hAnsi="Arial" w:cs="Arial"/>
          <w:i/>
          <w:sz w:val="24"/>
          <w:szCs w:val="24"/>
        </w:rPr>
      </w:pPr>
      <w:r>
        <w:rPr>
          <w:rFonts w:ascii="Arial" w:hAnsi="Arial" w:cs="Arial"/>
          <w:i/>
          <w:sz w:val="24"/>
          <w:szCs w:val="24"/>
        </w:rPr>
        <w:t xml:space="preserve">   V. Avalúos catastral e inmobiliario certificados, practicados por el perito con registro ante el Instituto Catastral del Estado de Oaxaca; y</w:t>
      </w:r>
    </w:p>
    <w:p w:rsidR="006D3B72" w:rsidRDefault="006D3B72" w:rsidP="006D3B72">
      <w:pPr>
        <w:pStyle w:val="Textonotapie"/>
        <w:spacing w:line="360" w:lineRule="auto"/>
        <w:ind w:left="1134" w:right="618"/>
        <w:rPr>
          <w:i/>
          <w:sz w:val="24"/>
          <w:szCs w:val="24"/>
        </w:rPr>
      </w:pPr>
      <w:r>
        <w:rPr>
          <w:rFonts w:ascii="Arial" w:hAnsi="Arial" w:cs="Arial"/>
          <w:i/>
          <w:sz w:val="24"/>
          <w:szCs w:val="24"/>
        </w:rPr>
        <w:t xml:space="preserve">   VI. Los demás documentos que resulten necesarios para la tramitación.</w:t>
      </w:r>
      <w:r>
        <w:rPr>
          <w:rFonts w:ascii="Arial" w:hAnsi="Arial" w:cs="Arial"/>
          <w:i/>
          <w:sz w:val="26"/>
          <w:szCs w:val="26"/>
        </w:rPr>
        <w:t>”</w:t>
      </w:r>
    </w:p>
    <w:p w:rsidR="006D3B72" w:rsidRDefault="006D3B72" w:rsidP="006D3B72">
      <w:pPr>
        <w:pStyle w:val="Sinespaciado"/>
        <w:spacing w:before="240" w:after="240" w:line="360" w:lineRule="auto"/>
        <w:ind w:firstLine="708"/>
        <w:jc w:val="both"/>
        <w:rPr>
          <w:rFonts w:ascii="Arial" w:hAnsi="Arial" w:cs="Arial"/>
          <w:sz w:val="26"/>
          <w:szCs w:val="26"/>
        </w:rPr>
      </w:pPr>
      <w:r>
        <w:rPr>
          <w:rFonts w:ascii="Arial" w:hAnsi="Arial" w:cs="Arial"/>
          <w:sz w:val="26"/>
          <w:szCs w:val="26"/>
        </w:rPr>
        <w:t>De la anterior transcripción se obtiene que entre los requisitos que deberán cumplirse para el trámite de integración al padrón catastral de un bien inmueble; se encuentra, que la solicitud del trámite, deberá estar firmada por el contribuyente; lo cual no se cumplió; pues del análisis a la copia certificada de la solicitud de trámite catastral folio 1167 de tres de julio de dos mil diecisiete, (agregada a foja 32 del presente expediente), la que tiene pleno valor probatorio conforme lo dispuesto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al ser </w:t>
      </w:r>
      <w:r>
        <w:rPr>
          <w:rFonts w:ascii="Arial" w:hAnsi="Arial" w:cs="Arial"/>
          <w:sz w:val="26"/>
          <w:szCs w:val="26"/>
        </w:rPr>
        <w:lastRenderedPageBreak/>
        <w:t>un documento público, emitido por funcionario público en el uso de sus facultades; se tiene que en el rubro correspondiente a los datos del contribuyente, únicamente se escribió el nombre “</w:t>
      </w:r>
      <w:r>
        <w:rPr>
          <w:rFonts w:ascii="Arial" w:hAnsi="Arial" w:cs="Arial"/>
          <w:sz w:val="24"/>
          <w:szCs w:val="24"/>
        </w:rPr>
        <w:t>**********</w:t>
      </w:r>
      <w:r>
        <w:rPr>
          <w:rFonts w:ascii="Arial" w:hAnsi="Arial" w:cs="Arial"/>
          <w:sz w:val="26"/>
          <w:szCs w:val="26"/>
        </w:rPr>
        <w:t xml:space="preserve">”, pero en la parte donde se debió estampar la firma, </w:t>
      </w:r>
      <w:r>
        <w:rPr>
          <w:rFonts w:ascii="Arial" w:hAnsi="Arial" w:cs="Arial"/>
          <w:sz w:val="26"/>
          <w:szCs w:val="26"/>
          <w:u w:val="single"/>
        </w:rPr>
        <w:t>se dejó en blanco</w:t>
      </w:r>
      <w:r>
        <w:rPr>
          <w:rFonts w:ascii="Arial" w:hAnsi="Arial" w:cs="Arial"/>
          <w:sz w:val="26"/>
          <w:szCs w:val="26"/>
        </w:rPr>
        <w:t xml:space="preserve">; incumpliéndose así con lo anteriormente indicado, de que la solicitud debe contener la firma del contribuyente; sin que se justificará la razón del porqué la ausencia de dicho requisito indispensable para la validez del trámite, conforme lo establecen los artículos 6 segundo párrafo y 52 de la Ley de Catastro para el Estado de Oaxaca; en los que se dispone que los trámite se deberán realizar conforme los formatos oficial que expida el Instituto Catastral, acompañando los documentos que señala su Ley y Reglamento, para su admisión a trámite.- - </w:t>
      </w:r>
    </w:p>
    <w:p w:rsidR="006D3B72" w:rsidRDefault="006D3B72" w:rsidP="006D3B72">
      <w:pPr>
        <w:pStyle w:val="Sinespaciado"/>
        <w:spacing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ARTÍCULO 6.-</w:t>
      </w:r>
      <w:r>
        <w:rPr>
          <w:rFonts w:ascii="Arial" w:hAnsi="Arial" w:cs="Arial"/>
          <w:i/>
          <w:sz w:val="24"/>
          <w:szCs w:val="24"/>
        </w:rPr>
        <w:t>…</w:t>
      </w:r>
    </w:p>
    <w:p w:rsidR="006D3B72" w:rsidRDefault="006D3B72" w:rsidP="006D3B72">
      <w:pPr>
        <w:pStyle w:val="Sinespaciado"/>
        <w:spacing w:line="360" w:lineRule="auto"/>
        <w:ind w:left="1134" w:right="616"/>
        <w:jc w:val="both"/>
        <w:rPr>
          <w:rFonts w:ascii="Arial" w:hAnsi="Arial" w:cs="Arial"/>
          <w:i/>
          <w:sz w:val="24"/>
          <w:szCs w:val="24"/>
        </w:rPr>
      </w:pPr>
      <w:r>
        <w:rPr>
          <w:rFonts w:ascii="Arial" w:hAnsi="Arial" w:cs="Arial"/>
          <w:i/>
          <w:sz w:val="24"/>
          <w:szCs w:val="24"/>
        </w:rPr>
        <w:t>…</w:t>
      </w:r>
    </w:p>
    <w:p w:rsidR="006D3B72" w:rsidRDefault="006D3B72" w:rsidP="006D3B72">
      <w:pPr>
        <w:pStyle w:val="Sinespaciado"/>
        <w:spacing w:line="360" w:lineRule="auto"/>
        <w:ind w:left="1134" w:right="616"/>
        <w:jc w:val="both"/>
        <w:rPr>
          <w:rFonts w:ascii="Arial" w:hAnsi="Arial" w:cs="Arial"/>
          <w:i/>
          <w:iCs/>
          <w:color w:val="000000"/>
          <w:sz w:val="24"/>
          <w:szCs w:val="24"/>
        </w:rPr>
      </w:pPr>
      <w:r>
        <w:rPr>
          <w:rFonts w:ascii="Arial" w:hAnsi="Arial" w:cs="Arial"/>
          <w:i/>
          <w:iCs/>
          <w:color w:val="000000"/>
          <w:sz w:val="24"/>
          <w:szCs w:val="24"/>
        </w:rPr>
        <w:t>Las manifestaciones o avisos deberán hacerse en un plazo de treinta días naturales contados a partir de la expedición de los documentos en los que se haga constar la posesión, propiedad o la fecha de celebración de los actos traslativos de domino, por medio de los tramites de integración al Padrón Catastral, traslado de domino, cesión de derechos, corrección o actualización de datos, medidas, construcción y fraccionamiento, subdivisión y fusión de bienes inmuebles en los formatos oficiales que para el caso expida el Instituto Catastral del Estado de Oaxaca, acompañando los documentos o planos que señala esta ley y su Reglamento.”</w:t>
      </w:r>
    </w:p>
    <w:p w:rsidR="006D3B72" w:rsidRDefault="006D3B72" w:rsidP="006D3B72">
      <w:pPr>
        <w:pStyle w:val="Sinespaciado"/>
        <w:spacing w:line="360" w:lineRule="auto"/>
        <w:ind w:left="1134" w:right="616"/>
        <w:jc w:val="both"/>
        <w:rPr>
          <w:rFonts w:ascii="Arial" w:hAnsi="Arial" w:cs="Arial"/>
          <w:i/>
          <w:sz w:val="24"/>
          <w:szCs w:val="24"/>
        </w:rPr>
      </w:pPr>
    </w:p>
    <w:p w:rsidR="006D3B72" w:rsidRDefault="006D3B72" w:rsidP="006D3B72">
      <w:pPr>
        <w:pStyle w:val="Sinespaciado"/>
        <w:spacing w:line="360" w:lineRule="auto"/>
        <w:ind w:left="1134" w:right="616"/>
        <w:jc w:val="both"/>
        <w:rPr>
          <w:rFonts w:ascii="Arial" w:hAnsi="Arial" w:cs="Arial"/>
          <w:i/>
          <w:color w:val="000000"/>
          <w:sz w:val="24"/>
          <w:szCs w:val="24"/>
        </w:rPr>
      </w:pPr>
      <w:r>
        <w:rPr>
          <w:rFonts w:ascii="Arial" w:hAnsi="Arial" w:cs="Arial"/>
          <w:i/>
          <w:sz w:val="24"/>
          <w:szCs w:val="24"/>
        </w:rPr>
        <w:t>“</w:t>
      </w:r>
      <w:r>
        <w:rPr>
          <w:rFonts w:ascii="Arial" w:hAnsi="Arial" w:cs="Arial"/>
          <w:b/>
          <w:i/>
          <w:sz w:val="24"/>
          <w:szCs w:val="24"/>
        </w:rPr>
        <w:t>ARTÍCULO 52</w:t>
      </w:r>
      <w:r>
        <w:rPr>
          <w:rFonts w:ascii="Arial" w:hAnsi="Arial" w:cs="Arial"/>
          <w:i/>
          <w:sz w:val="24"/>
          <w:szCs w:val="24"/>
        </w:rPr>
        <w:t xml:space="preserve">.- </w:t>
      </w:r>
      <w:r>
        <w:rPr>
          <w:rFonts w:ascii="Arial" w:hAnsi="Arial" w:cs="Arial"/>
          <w:i/>
          <w:color w:val="000000"/>
          <w:sz w:val="24"/>
          <w:szCs w:val="24"/>
        </w:rPr>
        <w:t>Cuando en las manifestaciones o avisos a que se refiere esta Ley no se expresen los datos o no se acompañen los documentos o planos también requeridos, el Instituto Catastral del Estado de Oaxaca no las admitirá para su trámite.</w:t>
      </w:r>
    </w:p>
    <w:p w:rsidR="006D3B72" w:rsidRDefault="006D3B72" w:rsidP="006D3B72">
      <w:pPr>
        <w:pStyle w:val="Sinespaciado"/>
        <w:spacing w:line="360" w:lineRule="auto"/>
        <w:ind w:left="1134" w:right="616"/>
        <w:jc w:val="both"/>
        <w:rPr>
          <w:rFonts w:ascii="Arial" w:hAnsi="Arial" w:cs="Arial"/>
          <w:i/>
          <w:color w:val="000000"/>
          <w:sz w:val="24"/>
          <w:szCs w:val="24"/>
        </w:rPr>
      </w:pPr>
    </w:p>
    <w:p w:rsidR="006D3B72" w:rsidRDefault="006D3B72" w:rsidP="006D3B72">
      <w:pPr>
        <w:pStyle w:val="Sinespaciado"/>
        <w:spacing w:line="360" w:lineRule="auto"/>
        <w:ind w:left="1134" w:right="616"/>
        <w:jc w:val="both"/>
        <w:rPr>
          <w:rFonts w:ascii="Arial" w:hAnsi="Arial" w:cs="Arial"/>
          <w:i/>
          <w:sz w:val="24"/>
          <w:szCs w:val="24"/>
        </w:rPr>
      </w:pPr>
      <w:r>
        <w:rPr>
          <w:rFonts w:ascii="Arial" w:hAnsi="Arial" w:cs="Arial"/>
          <w:i/>
          <w:color w:val="000000"/>
          <w:sz w:val="24"/>
          <w:szCs w:val="24"/>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r>
        <w:rPr>
          <w:rFonts w:ascii="Arial" w:hAnsi="Arial" w:cs="Arial"/>
          <w:i/>
          <w:color w:val="000000"/>
          <w:sz w:val="26"/>
          <w:szCs w:val="26"/>
        </w:rPr>
        <w:t>”</w:t>
      </w:r>
    </w:p>
    <w:p w:rsidR="006D3B72" w:rsidRDefault="006D3B72" w:rsidP="006D3B72">
      <w:pPr>
        <w:pStyle w:val="Sinespaciado"/>
        <w:spacing w:before="240" w:after="240" w:line="360" w:lineRule="auto"/>
        <w:ind w:firstLine="708"/>
        <w:jc w:val="both"/>
        <w:rPr>
          <w:rFonts w:ascii="Arial" w:hAnsi="Arial" w:cs="Arial"/>
          <w:sz w:val="26"/>
          <w:szCs w:val="26"/>
        </w:rPr>
      </w:pPr>
      <w:r>
        <w:rPr>
          <w:rFonts w:ascii="Arial" w:hAnsi="Arial" w:cs="Arial"/>
          <w:sz w:val="26"/>
          <w:szCs w:val="26"/>
        </w:rPr>
        <w:lastRenderedPageBreak/>
        <w:t xml:space="preserve">Siendo de este modo </w:t>
      </w:r>
      <w:r>
        <w:rPr>
          <w:rFonts w:ascii="Arial" w:hAnsi="Arial" w:cs="Arial"/>
          <w:b/>
          <w:sz w:val="26"/>
          <w:szCs w:val="26"/>
        </w:rPr>
        <w:t>infundadas</w:t>
      </w:r>
      <w:r>
        <w:rPr>
          <w:rFonts w:ascii="Arial" w:hAnsi="Arial" w:cs="Arial"/>
          <w:sz w:val="26"/>
          <w:szCs w:val="26"/>
        </w:rPr>
        <w:t xml:space="preserve"> las alegaciones plasmadas por el actor, pues como ya se precisó en líneas precedentes, para el trámite de integración al padrón catastral de un bien inmueble, se debe de cumplir con diversos requisitos previstos, como el de que la solicitud </w:t>
      </w:r>
      <w:r>
        <w:rPr>
          <w:rFonts w:ascii="Arial" w:hAnsi="Arial" w:cs="Arial"/>
          <w:b/>
          <w:sz w:val="26"/>
          <w:szCs w:val="26"/>
        </w:rPr>
        <w:t>debe</w:t>
      </w:r>
      <w:r>
        <w:rPr>
          <w:rFonts w:ascii="Arial" w:hAnsi="Arial" w:cs="Arial"/>
          <w:sz w:val="26"/>
          <w:szCs w:val="26"/>
        </w:rPr>
        <w:t xml:space="preserve"> estar firmada por el contribuyente.- - - - - - - - - - - - - - - - - - - - - - - - - - - - - - - - - - - - - - - - -</w:t>
      </w:r>
    </w:p>
    <w:p w:rsidR="006D3B72" w:rsidRDefault="006D3B72" w:rsidP="006D3B7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En su concepto de impugnación marcado como segundo manifiesta el demandante, que en la fracción II del artículo 50 del Reglamento de la Ley de Catastro para el Estado de Oaxaca, no se establece que se tenga que acompañar copia certificada o el original del antecede de propiedad; esta parte de su alegaciones, también es </w:t>
      </w:r>
      <w:r>
        <w:rPr>
          <w:rFonts w:ascii="Arial" w:hAnsi="Arial" w:cs="Arial"/>
          <w:b/>
          <w:sz w:val="26"/>
          <w:szCs w:val="26"/>
        </w:rPr>
        <w:t>infundada;</w:t>
      </w:r>
      <w:r>
        <w:rPr>
          <w:rFonts w:ascii="Arial" w:hAnsi="Arial" w:cs="Arial"/>
          <w:sz w:val="26"/>
          <w:szCs w:val="26"/>
        </w:rPr>
        <w:t xml:space="preserve"> ello es así, pues de la lectura integral a la resolución materia del presente juicio de inconformidad, se advierte que la demandada determinó el incumplimiento de la fracción II del citado artículo 50, porque la autoridad municipal que la expidió carece de facultades para ello; y no porque se haya exhibido copia simple del antecede de propiedad como lo indica el actor.- - - - - - - - - - - - - - - - - - - - - - </w:t>
      </w:r>
      <w:r>
        <w:rPr>
          <w:rFonts w:ascii="Arial" w:hAnsi="Arial" w:cs="Arial"/>
          <w:sz w:val="26"/>
          <w:szCs w:val="26"/>
        </w:rPr>
        <w:t xml:space="preserve">- - - - - - - </w:t>
      </w:r>
    </w:p>
    <w:p w:rsidR="006D3B72" w:rsidRDefault="006D3B72" w:rsidP="006D3B72">
      <w:pPr>
        <w:pStyle w:val="Sinespaciado"/>
        <w:spacing w:before="240" w:line="360" w:lineRule="auto"/>
        <w:ind w:firstLine="708"/>
        <w:jc w:val="both"/>
        <w:rPr>
          <w:rFonts w:ascii="Arial" w:hAnsi="Arial" w:cs="Arial"/>
          <w:sz w:val="26"/>
          <w:szCs w:val="26"/>
        </w:rPr>
      </w:pPr>
      <w:r>
        <w:rPr>
          <w:rFonts w:ascii="Arial" w:hAnsi="Arial" w:cs="Arial"/>
          <w:sz w:val="26"/>
          <w:szCs w:val="26"/>
        </w:rPr>
        <w:t>Por último, se duele de la determinación emitida por la demandada en el sentido de que es improcedente integrar al padrón catastral el bien inmueble del que dice ser poseedor el actor, porque de los datos que existen en el Sistema de Información Territorial a cargo del Instituto Catastral, se localizó que ya se le asignó clave catastral a un inmueble ubicado en el mismo lugar del que ostenta el demandante; y que  no puede asignar a un mismo inmueble dos claves catastrales, porque conforme lo previsto por el artículo  17 fracción VIII de la Ley de Catastro, es atribución del Instituto asignar clave catastral a cada inmueble.- - - - - - - - - - - - - - - -</w:t>
      </w:r>
      <w:r>
        <w:rPr>
          <w:rFonts w:ascii="Arial" w:hAnsi="Arial" w:cs="Arial"/>
          <w:sz w:val="26"/>
          <w:szCs w:val="26"/>
        </w:rPr>
        <w:t xml:space="preserve"> - - - - - - - - - - - - - - - - - - - - -</w:t>
      </w:r>
    </w:p>
    <w:p w:rsidR="006D3B72" w:rsidRDefault="006D3B72" w:rsidP="006D3B7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 bien como lo alega el actor, ni en la Ley de Catastro ni en su Reglamento, se establece que por duplicidad de registros o asignación de claves catastrales, será improcedente el trámite de integración al padrón; cabe puntualizar, que resulta ocioso analizar, sus alegaciones, pues como ya ha quedado precisado en la presente sentencia, el actor fue omiso en dar cumplimiento a los requisitos establecidos para la procedencia del trámite realizado, siendo así inconcuso legal la determinación adoptada por la autoridad demandada, de confirmar la improcedencia del trámite catastral presentado con fecha cinco de julio de dos mil diecisiete, por el Licenciado </w:t>
      </w:r>
      <w:r>
        <w:rPr>
          <w:rFonts w:ascii="Arial" w:hAnsi="Arial" w:cs="Arial"/>
          <w:sz w:val="24"/>
          <w:szCs w:val="24"/>
        </w:rPr>
        <w:t>**********</w:t>
      </w:r>
      <w:r>
        <w:rPr>
          <w:rFonts w:ascii="Arial" w:hAnsi="Arial" w:cs="Arial"/>
          <w:sz w:val="26"/>
          <w:szCs w:val="26"/>
        </w:rPr>
        <w:t xml:space="preserve">, notario público </w:t>
      </w:r>
      <w:r>
        <w:rPr>
          <w:rFonts w:ascii="Arial" w:hAnsi="Arial" w:cs="Arial"/>
          <w:sz w:val="24"/>
          <w:szCs w:val="24"/>
        </w:rPr>
        <w:t xml:space="preserve">********** </w:t>
      </w:r>
      <w:r>
        <w:rPr>
          <w:rFonts w:ascii="Arial" w:hAnsi="Arial" w:cs="Arial"/>
          <w:sz w:val="26"/>
          <w:szCs w:val="26"/>
        </w:rPr>
        <w:t xml:space="preserve">en el Estado; pues como el mismo actor lo </w:t>
      </w:r>
      <w:r>
        <w:rPr>
          <w:rFonts w:ascii="Arial" w:hAnsi="Arial" w:cs="Arial"/>
          <w:sz w:val="26"/>
          <w:szCs w:val="26"/>
        </w:rPr>
        <w:lastRenderedPageBreak/>
        <w:t xml:space="preserve">sostiene en sus alegaciones, la solicitud indicada, es improcedente, al no haberse cumplido con uno de los requisitos previstos por el artículo 50 del Reglamento de la Ley de Catastro para el Estado de Oaxaca.- - - - - - - - - - - </w:t>
      </w:r>
    </w:p>
    <w:p w:rsidR="006D3B72" w:rsidRDefault="006D3B72" w:rsidP="006D3B72">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i/>
          <w:sz w:val="24"/>
          <w:szCs w:val="24"/>
        </w:rPr>
        <w:t>a falta de presentación de los documentos citados en el artículo 50 del reglamento de la Ley de Catastro para el Estado de Oaxaca, no se puede dar seguimiento al procedimiento de Solicitud de Trámite Catastral de integración al Padrón Catastral.</w:t>
      </w:r>
      <w:r>
        <w:rPr>
          <w:rFonts w:ascii="Arial" w:hAnsi="Arial" w:cs="Arial"/>
          <w:sz w:val="26"/>
          <w:szCs w:val="26"/>
        </w:rPr>
        <w:t>”</w:t>
      </w:r>
    </w:p>
    <w:p w:rsidR="006D3B72" w:rsidRDefault="006D3B72" w:rsidP="006D3B72">
      <w:pPr>
        <w:spacing w:before="240" w:line="360" w:lineRule="auto"/>
        <w:ind w:right="-283" w:firstLine="567"/>
        <w:jc w:val="both"/>
        <w:rPr>
          <w:rFonts w:ascii="Arial" w:hAnsi="Arial" w:cs="Arial"/>
          <w:sz w:val="26"/>
          <w:szCs w:val="26"/>
        </w:rPr>
      </w:pPr>
      <w:r>
        <w:rPr>
          <w:rFonts w:ascii="Arial" w:hAnsi="Arial" w:cs="Arial"/>
          <w:sz w:val="26"/>
          <w:szCs w:val="26"/>
        </w:rPr>
        <w:t xml:space="preserve">Por todo lo anteriormente expuesto, y ante lo equivocado de las alegaciones planteadas por el actor en sus conceptos de impugnación, se acredita la legalidad del acto impugnado; por lo que se declara la </w:t>
      </w:r>
      <w:r>
        <w:rPr>
          <w:rFonts w:ascii="Arial" w:hAnsi="Arial" w:cs="Arial"/>
          <w:b/>
          <w:sz w:val="26"/>
          <w:szCs w:val="26"/>
        </w:rPr>
        <w:t xml:space="preserve">VALIDEZ </w:t>
      </w:r>
      <w:r>
        <w:rPr>
          <w:rFonts w:ascii="Arial" w:hAnsi="Arial" w:cs="Arial"/>
          <w:sz w:val="26"/>
          <w:szCs w:val="26"/>
        </w:rPr>
        <w:t xml:space="preserve">de la resolución contenida en el oficio </w:t>
      </w:r>
      <w:r>
        <w:rPr>
          <w:rFonts w:ascii="Arial" w:hAnsi="Arial" w:cs="Arial"/>
          <w:sz w:val="24"/>
          <w:szCs w:val="24"/>
        </w:rPr>
        <w:t xml:space="preserve">********** </w:t>
      </w:r>
      <w:r>
        <w:rPr>
          <w:rFonts w:ascii="Arial" w:hAnsi="Arial" w:cs="Arial"/>
          <w:sz w:val="26"/>
          <w:szCs w:val="26"/>
        </w:rPr>
        <w:t>de veinte de mayo de dos mil diecinueve, emitida por el Jefe de la Unidad Jurídica del Instituto Cata</w:t>
      </w:r>
      <w:r w:rsidRPr="006D3B72">
        <w:rPr>
          <w:rFonts w:ascii="Arial" w:hAnsi="Arial" w:cs="Arial"/>
          <w:sz w:val="24"/>
          <w:szCs w:val="26"/>
        </w:rPr>
        <w:t xml:space="preserve">stral del Estado de Oaxaca.- - - - - - - - - - - - - - - - - - - - - - - - - - - - - - </w:t>
      </w:r>
      <w:r>
        <w:rPr>
          <w:rFonts w:ascii="Arial" w:hAnsi="Arial" w:cs="Arial"/>
          <w:sz w:val="24"/>
          <w:szCs w:val="26"/>
        </w:rPr>
        <w:t>- - - - - - - - - - - - - - - - - - -</w:t>
      </w:r>
    </w:p>
    <w:p w:rsidR="006D3B72" w:rsidRDefault="006D3B72" w:rsidP="006D3B72">
      <w:pPr>
        <w:spacing w:before="240" w:line="360" w:lineRule="auto"/>
        <w:ind w:right="49" w:firstLine="567"/>
        <w:jc w:val="both"/>
        <w:rPr>
          <w:rFonts w:ascii="Arial" w:hAnsi="Arial" w:cs="Arial"/>
          <w:sz w:val="26"/>
          <w:szCs w:val="26"/>
        </w:rPr>
      </w:pPr>
      <w:r>
        <w:rPr>
          <w:rFonts w:ascii="Arial" w:hAnsi="Arial" w:cs="Arial"/>
          <w:sz w:val="26"/>
          <w:szCs w:val="26"/>
        </w:rPr>
        <w:t xml:space="preserve">Por lo expuesto y con fundamento en los artículos 207 y 209 de Ley de Procedimiento y Justicia Administrativa para el Estado de Oaxaca, se:- - - </w:t>
      </w:r>
      <w:r>
        <w:rPr>
          <w:rFonts w:ascii="Arial" w:hAnsi="Arial" w:cs="Arial"/>
          <w:sz w:val="26"/>
          <w:szCs w:val="26"/>
        </w:rPr>
        <w:t xml:space="preserve">- - </w:t>
      </w:r>
    </w:p>
    <w:p w:rsidR="006D3B72" w:rsidRDefault="006D3B72" w:rsidP="006D3B72">
      <w:pPr>
        <w:spacing w:before="240" w:line="360" w:lineRule="auto"/>
        <w:ind w:right="49"/>
        <w:jc w:val="center"/>
        <w:rPr>
          <w:rFonts w:ascii="Arial" w:hAnsi="Arial" w:cs="Arial"/>
          <w:b/>
          <w:sz w:val="26"/>
          <w:szCs w:val="26"/>
        </w:rPr>
      </w:pPr>
      <w:r>
        <w:rPr>
          <w:rFonts w:ascii="Arial" w:hAnsi="Arial" w:cs="Arial"/>
          <w:b/>
          <w:sz w:val="26"/>
          <w:szCs w:val="26"/>
        </w:rPr>
        <w:t>R E S U E L V E:</w:t>
      </w:r>
    </w:p>
    <w:p w:rsidR="006D3B72" w:rsidRDefault="006D3B72" w:rsidP="006D3B72">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fue competente para conocer y resolver del presente asunto - - - - - - - - - - - - - - - - - - - - - - - - - - - - - - - - - - </w:t>
      </w:r>
    </w:p>
    <w:p w:rsidR="006D3B72" w:rsidRDefault="006D3B72" w:rsidP="006D3B72">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No se actualizaron causales de improcedencia por lo que </w:t>
      </w:r>
      <w:r>
        <w:rPr>
          <w:rFonts w:ascii="Arial" w:hAnsi="Arial" w:cs="Arial"/>
          <w:b/>
          <w:sz w:val="26"/>
          <w:szCs w:val="26"/>
        </w:rPr>
        <w:t>no se sobresee el juicio</w:t>
      </w:r>
      <w:r>
        <w:rPr>
          <w:rFonts w:ascii="Arial" w:hAnsi="Arial" w:cs="Arial"/>
          <w:sz w:val="26"/>
          <w:szCs w:val="26"/>
        </w:rPr>
        <w:t xml:space="preserve">. -  - - - - - - - - - - - - - - - - - - - - - - - - - - - - - - - - - -  </w:t>
      </w:r>
    </w:p>
    <w:p w:rsidR="006D3B72" w:rsidRDefault="006D3B72" w:rsidP="006D3B72">
      <w:pPr>
        <w:spacing w:before="240" w:line="360" w:lineRule="auto"/>
        <w:ind w:right="49" w:firstLine="708"/>
        <w:jc w:val="both"/>
        <w:rPr>
          <w:rFonts w:ascii="Arial" w:eastAsiaTheme="minorHAnsi" w:hAnsi="Arial" w:cs="Arial"/>
          <w:sz w:val="26"/>
          <w:szCs w:val="26"/>
          <w:lang w:eastAsia="en-US"/>
        </w:rPr>
      </w:pPr>
      <w:r>
        <w:rPr>
          <w:rFonts w:ascii="Arial" w:hAnsi="Arial" w:cs="Arial"/>
          <w:b/>
          <w:sz w:val="26"/>
          <w:szCs w:val="26"/>
        </w:rPr>
        <w:t xml:space="preserve">TERCERO. </w:t>
      </w:r>
      <w:r>
        <w:rPr>
          <w:rFonts w:ascii="Arial" w:hAnsi="Arial" w:cs="Arial"/>
          <w:sz w:val="26"/>
          <w:szCs w:val="26"/>
        </w:rPr>
        <w:t xml:space="preserve">Se declara la </w:t>
      </w:r>
      <w:r>
        <w:rPr>
          <w:rFonts w:ascii="Arial" w:hAnsi="Arial" w:cs="Arial"/>
          <w:b/>
          <w:noProof/>
          <w:sz w:val="26"/>
          <w:szCs w:val="26"/>
        </w:rPr>
        <w:t xml:space="preserve">VALIDEZ </w:t>
      </w:r>
      <w:r>
        <w:rPr>
          <w:rFonts w:ascii="Arial" w:hAnsi="Arial" w:cs="Arial"/>
          <w:sz w:val="26"/>
          <w:szCs w:val="26"/>
        </w:rPr>
        <w:t xml:space="preserve">de la resolución contenida en el oficio </w:t>
      </w:r>
      <w:r>
        <w:rPr>
          <w:rFonts w:ascii="Arial" w:hAnsi="Arial" w:cs="Arial"/>
          <w:sz w:val="24"/>
          <w:szCs w:val="24"/>
        </w:rPr>
        <w:t>**********</w:t>
      </w:r>
      <w:r>
        <w:rPr>
          <w:rFonts w:ascii="Arial" w:hAnsi="Arial" w:cs="Arial"/>
          <w:sz w:val="26"/>
          <w:szCs w:val="26"/>
        </w:rPr>
        <w:t>de veinte de mayo de dos mil diecinueve, emitida por el Jefe de la Unidad Jurídica del Instituto Catastral del Estado de Oaxaca,</w:t>
      </w:r>
      <w:r>
        <w:rPr>
          <w:rFonts w:ascii="Arial" w:hAnsi="Arial" w:cs="Arial"/>
          <w:noProof/>
          <w:sz w:val="26"/>
          <w:szCs w:val="26"/>
        </w:rPr>
        <w:t xml:space="preserve"> por las razones expuestas en el considerando que antecede</w:t>
      </w:r>
      <w:r>
        <w:rPr>
          <w:rFonts w:ascii="Arial" w:hAnsi="Arial" w:cs="Arial"/>
          <w:sz w:val="26"/>
          <w:szCs w:val="26"/>
        </w:rPr>
        <w:t xml:space="preserve">.- - - - - </w:t>
      </w:r>
      <w:r>
        <w:rPr>
          <w:rFonts w:ascii="Arial" w:hAnsi="Arial" w:cs="Arial"/>
          <w:sz w:val="26"/>
          <w:szCs w:val="26"/>
        </w:rPr>
        <w:t>- - - - - - - - - - -</w:t>
      </w:r>
    </w:p>
    <w:p w:rsidR="006D3B72" w:rsidRDefault="006D3B72" w:rsidP="006D3B72">
      <w:pPr>
        <w:spacing w:before="240" w:line="360" w:lineRule="auto"/>
        <w:ind w:right="49"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Con fundamento en los artículos 172 fracción I y 173 fracciones I y II, de la Ley de Procedimiento y Justicia Administrativa para el Estado de Oaxaca, </w:t>
      </w:r>
      <w:r>
        <w:rPr>
          <w:rFonts w:ascii="Arial" w:hAnsi="Arial" w:cs="Arial"/>
          <w:b/>
          <w:sz w:val="26"/>
          <w:szCs w:val="26"/>
        </w:rPr>
        <w:t xml:space="preserve">NOTIFÍQUESE </w:t>
      </w:r>
      <w:r>
        <w:rPr>
          <w:rFonts w:ascii="Arial" w:hAnsi="Arial" w:cs="Arial"/>
          <w:sz w:val="26"/>
          <w:szCs w:val="26"/>
        </w:rPr>
        <w:t>personalmente al actor</w:t>
      </w:r>
      <w:r>
        <w:rPr>
          <w:rFonts w:ascii="Arial" w:hAnsi="Arial" w:cs="Arial"/>
          <w:b/>
          <w:sz w:val="26"/>
          <w:szCs w:val="26"/>
        </w:rPr>
        <w:t xml:space="preserve"> </w:t>
      </w:r>
      <w:r>
        <w:rPr>
          <w:rFonts w:ascii="Arial" w:hAnsi="Arial" w:cs="Arial"/>
          <w:sz w:val="26"/>
          <w:szCs w:val="26"/>
        </w:rPr>
        <w:t>y por oficio a la autoridad demandada.</w:t>
      </w:r>
      <w:r>
        <w:rPr>
          <w:rFonts w:ascii="Arial" w:hAnsi="Arial" w:cs="Arial"/>
          <w:b/>
          <w:iCs/>
          <w:sz w:val="26"/>
          <w:szCs w:val="26"/>
        </w:rPr>
        <w:t xml:space="preserve"> CÚMPLASE</w:t>
      </w:r>
      <w:r>
        <w:rPr>
          <w:rFonts w:ascii="Arial" w:hAnsi="Arial" w:cs="Arial"/>
          <w:sz w:val="26"/>
          <w:szCs w:val="26"/>
        </w:rPr>
        <w:t xml:space="preserve">. - - - - - - - - - - - - - - - - - - - - - - - - - - - - </w:t>
      </w:r>
    </w:p>
    <w:p w:rsidR="006D3B72" w:rsidRDefault="006D3B72" w:rsidP="006D3B72">
      <w:pPr>
        <w:spacing w:line="360" w:lineRule="auto"/>
        <w:ind w:right="49" w:firstLine="708"/>
        <w:jc w:val="both"/>
        <w:rPr>
          <w:rFonts w:ascii="Arial" w:hAnsi="Arial" w:cs="Arial"/>
          <w:sz w:val="26"/>
          <w:szCs w:val="26"/>
        </w:rPr>
      </w:pPr>
      <w:r>
        <w:rPr>
          <w:rFonts w:ascii="Arial" w:hAnsi="Arial" w:cs="Arial"/>
          <w:sz w:val="26"/>
          <w:szCs w:val="26"/>
        </w:rPr>
        <w:t xml:space="preserve">Así lo resolvió y firmó el Titular de la Primera Sala Unitaria de Primera Instancia del Tribunal de Justicia Administrativa del Estado de Oaxaca, Magistrado Enrique Pacheco Martínez, quien actúa ante el Licenciado </w:t>
      </w:r>
      <w:r>
        <w:rPr>
          <w:rFonts w:ascii="Arial" w:hAnsi="Arial" w:cs="Arial"/>
          <w:sz w:val="26"/>
          <w:szCs w:val="26"/>
        </w:rPr>
        <w:lastRenderedPageBreak/>
        <w:t xml:space="preserve">Renato Gabriel Ibáñez Castellanos, Secretario de Acuerdos, que autoriza y da fe.- - - - - - - - - - - - - - - - - - - - - - - - - - - - - - - - - - - - - - - - - - - - - - - </w:t>
      </w:r>
      <w:r>
        <w:rPr>
          <w:rFonts w:ascii="Arial" w:hAnsi="Arial" w:cs="Arial"/>
          <w:sz w:val="26"/>
          <w:szCs w:val="26"/>
        </w:rPr>
        <w:t>- - - -</w:t>
      </w:r>
      <w:bookmarkStart w:id="0" w:name="_GoBack"/>
      <w:bookmarkEnd w:id="0"/>
    </w:p>
    <w:p w:rsidR="00CC7ADF" w:rsidRPr="006D3B72" w:rsidRDefault="00CC7ADF" w:rsidP="006D3B72"/>
    <w:sectPr w:rsidR="00CC7ADF" w:rsidRPr="006D3B72"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E69" w:rsidRDefault="00402E69" w:rsidP="00CC7ADF">
      <w:r>
        <w:separator/>
      </w:r>
    </w:p>
  </w:endnote>
  <w:endnote w:type="continuationSeparator" w:id="0">
    <w:p w:rsidR="00402E69" w:rsidRDefault="00402E69"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E69" w:rsidRDefault="00402E69" w:rsidP="00CC7ADF">
      <w:r>
        <w:separator/>
      </w:r>
    </w:p>
  </w:footnote>
  <w:footnote w:type="continuationSeparator" w:id="0">
    <w:p w:rsidR="00402E69" w:rsidRDefault="00402E69" w:rsidP="00CC7ADF">
      <w:r>
        <w:continuationSeparator/>
      </w:r>
    </w:p>
  </w:footnote>
  <w:footnote w:id="1">
    <w:p w:rsidR="006D3B72" w:rsidRDefault="006D3B72" w:rsidP="006D3B72">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rsidR="006D3B72" w:rsidRDefault="006D3B72" w:rsidP="006D3B7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6D3B72" w:rsidRDefault="006D3B72" w:rsidP="006D3B72">
      <w:pPr>
        <w:pStyle w:val="Textonotapie"/>
      </w:pPr>
      <w:r>
        <w:rPr>
          <w:rStyle w:val="Refdenotaalpie"/>
        </w:rPr>
        <w:footnoteRef/>
      </w:r>
      <w:r>
        <w:t xml:space="preserve"> “</w:t>
      </w:r>
      <w:r>
        <w:rPr>
          <w:b/>
        </w:rPr>
        <w:t>ARTÍCULO 161.</w:t>
      </w:r>
      <w:proofErr w:type="gramStart"/>
      <w:r>
        <w:rPr>
          <w:b/>
        </w:rPr>
        <w:t xml:space="preserve">- </w:t>
      </w:r>
      <w:r>
        <w:t>…</w:t>
      </w:r>
      <w:proofErr w:type="gramEnd"/>
    </w:p>
    <w:p w:rsidR="006D3B72" w:rsidRDefault="006D3B72" w:rsidP="006D3B72">
      <w:pPr>
        <w:pStyle w:val="Textonotapie"/>
      </w:pPr>
      <w:r>
        <w:t xml:space="preserve">   …</w:t>
      </w:r>
    </w:p>
    <w:p w:rsidR="006D3B72" w:rsidRDefault="006D3B72" w:rsidP="006D3B72">
      <w:pPr>
        <w:pStyle w:val="Textonotapie"/>
      </w:pPr>
      <w:r>
        <w:t xml:space="preserve">   Las causales de improcedencia deben ser examinadas de oficio.”</w:t>
      </w:r>
    </w:p>
  </w:footnote>
  <w:footnote w:id="4">
    <w:p w:rsidR="006D3B72" w:rsidRDefault="006D3B72" w:rsidP="006D3B7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6D3B72" w:rsidRDefault="006D3B72" w:rsidP="006D3B7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6D3B72" w:rsidRDefault="006D3B72" w:rsidP="006D3B72">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C1E6F"/>
    <w:rsid w:val="003117A3"/>
    <w:rsid w:val="00402E69"/>
    <w:rsid w:val="00417FB7"/>
    <w:rsid w:val="00422C2C"/>
    <w:rsid w:val="00443B91"/>
    <w:rsid w:val="00557D3F"/>
    <w:rsid w:val="00642052"/>
    <w:rsid w:val="006D3B72"/>
    <w:rsid w:val="00845058"/>
    <w:rsid w:val="0084773D"/>
    <w:rsid w:val="0096153A"/>
    <w:rsid w:val="00A0203E"/>
    <w:rsid w:val="00AB2B08"/>
    <w:rsid w:val="00BC10AD"/>
    <w:rsid w:val="00BD31BE"/>
    <w:rsid w:val="00CC7ADF"/>
    <w:rsid w:val="00E3503E"/>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AC994-BD3A-4346-95E6-E46DF37B5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2776</Words>
  <Characters>15271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2021-07-08T19:02:00Z</dcterms:created>
  <dcterms:modified xsi:type="dcterms:W3CDTF">2021-07-08T19:02:00Z</dcterms:modified>
</cp:coreProperties>
</file>