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00000001" w14:textId="77777777" w:rsidR="002354BD" w:rsidRDefault="00A93088">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color w:val="000000"/>
          <w:sz w:val="24"/>
          <w:szCs w:val="24"/>
        </w:rPr>
      </w:pPr>
      <w:r>
        <w:rPr>
          <w:rFonts w:ascii="Arial" w:eastAsia="Arial" w:hAnsi="Arial" w:cs="Arial"/>
          <w:b/>
          <w:color w:val="000000"/>
          <w:sz w:val="24"/>
          <w:szCs w:val="24"/>
        </w:rPr>
        <w:t>SEXTA SALA UNITARIA DE PRIMERA INSTANCIA DEL TRIBUNAL DE JUSTICIA ADMINISTRATIVA DEL ESTADO DE OAXACA</w:t>
      </w:r>
    </w:p>
    <w:p w14:paraId="00000002" w14:textId="77777777" w:rsidR="002354BD" w:rsidRDefault="002354BD">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color w:val="000000"/>
          <w:sz w:val="24"/>
          <w:szCs w:val="24"/>
        </w:rPr>
      </w:pPr>
    </w:p>
    <w:p w14:paraId="00000003" w14:textId="1E420CB5" w:rsidR="002354BD" w:rsidRDefault="000B2E4A">
      <w:pPr>
        <w:pBdr>
          <w:top w:val="nil"/>
          <w:left w:val="nil"/>
          <w:bottom w:val="nil"/>
          <w:right w:val="nil"/>
          <w:between w:val="nil"/>
        </w:pBdr>
        <w:tabs>
          <w:tab w:val="center" w:pos="4419"/>
          <w:tab w:val="right" w:pos="8838"/>
        </w:tabs>
        <w:spacing w:after="0" w:line="240" w:lineRule="auto"/>
        <w:ind w:left="2410" w:right="-93" w:firstLine="570"/>
        <w:jc w:val="both"/>
        <w:rPr>
          <w:rFonts w:ascii="Arial" w:eastAsia="Arial" w:hAnsi="Arial" w:cs="Arial"/>
          <w:b/>
          <w:color w:val="000000"/>
          <w:sz w:val="24"/>
          <w:szCs w:val="24"/>
        </w:rPr>
      </w:pPr>
      <w:r>
        <w:rPr>
          <w:rFonts w:ascii="Arial" w:eastAsia="Arial" w:hAnsi="Arial" w:cs="Arial"/>
          <w:b/>
          <w:color w:val="000000"/>
          <w:sz w:val="24"/>
          <w:szCs w:val="24"/>
        </w:rPr>
        <w:t>EXPEDIENTE: 00104/2019</w:t>
      </w:r>
    </w:p>
    <w:p w14:paraId="00000004" w14:textId="77777777" w:rsidR="002354BD" w:rsidRDefault="002354BD">
      <w:pPr>
        <w:pBdr>
          <w:top w:val="nil"/>
          <w:left w:val="nil"/>
          <w:bottom w:val="nil"/>
          <w:right w:val="nil"/>
          <w:between w:val="nil"/>
        </w:pBdr>
        <w:tabs>
          <w:tab w:val="center" w:pos="4419"/>
          <w:tab w:val="right" w:pos="8838"/>
          <w:tab w:val="center" w:pos="8931"/>
        </w:tabs>
        <w:spacing w:after="0" w:line="240" w:lineRule="auto"/>
        <w:ind w:left="2977"/>
        <w:jc w:val="both"/>
        <w:rPr>
          <w:rFonts w:ascii="Arial" w:eastAsia="Arial" w:hAnsi="Arial" w:cs="Arial"/>
          <w:b/>
          <w:color w:val="000000"/>
          <w:sz w:val="24"/>
          <w:szCs w:val="24"/>
        </w:rPr>
      </w:pPr>
    </w:p>
    <w:p w14:paraId="00000005" w14:textId="58B816EF" w:rsidR="002354BD" w:rsidRPr="000B2E4A" w:rsidRDefault="000B2E4A" w:rsidP="004C6BB6">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color w:val="FF0000"/>
          <w:sz w:val="24"/>
          <w:szCs w:val="24"/>
        </w:rPr>
      </w:pPr>
      <w:r>
        <w:rPr>
          <w:rFonts w:ascii="Arial" w:eastAsia="Arial" w:hAnsi="Arial" w:cs="Arial"/>
          <w:b/>
          <w:color w:val="000000"/>
          <w:sz w:val="24"/>
          <w:szCs w:val="24"/>
        </w:rPr>
        <w:t xml:space="preserve">ACTOR: </w:t>
      </w:r>
      <w:r w:rsidR="00FD2A78">
        <w:rPr>
          <w:rFonts w:ascii="Arial" w:eastAsia="Arial" w:hAnsi="Arial" w:cs="Arial"/>
          <w:color w:val="FF0000"/>
          <w:sz w:val="24"/>
          <w:szCs w:val="24"/>
        </w:rPr>
        <w:t>**********</w:t>
      </w:r>
      <w:r w:rsidRPr="000B2E4A">
        <w:rPr>
          <w:rFonts w:ascii="Arial" w:eastAsia="Arial" w:hAnsi="Arial" w:cs="Arial"/>
          <w:color w:val="FF0000"/>
          <w:sz w:val="24"/>
          <w:szCs w:val="24"/>
        </w:rPr>
        <w:t xml:space="preserve"> Y OTRO.</w:t>
      </w:r>
    </w:p>
    <w:p w14:paraId="00000006" w14:textId="77777777" w:rsidR="002354BD" w:rsidRDefault="002354BD">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color w:val="000000"/>
          <w:sz w:val="24"/>
          <w:szCs w:val="24"/>
        </w:rPr>
      </w:pPr>
    </w:p>
    <w:p w14:paraId="6A1A2671" w14:textId="12A3851B" w:rsidR="000B2E4A" w:rsidRDefault="000B2E4A">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Pr>
          <w:rFonts w:ascii="Arial" w:eastAsia="Arial" w:hAnsi="Arial" w:cs="Arial"/>
          <w:color w:val="000000"/>
          <w:sz w:val="24"/>
          <w:szCs w:val="24"/>
        </w:rPr>
        <w:t xml:space="preserve">POLICÍA VIAL CON NÚMERO ESTADÍSTICO </w:t>
      </w:r>
      <w:r w:rsidR="004C6BB6">
        <w:rPr>
          <w:rFonts w:ascii="Arial" w:eastAsia="Arial" w:hAnsi="Arial" w:cs="Arial"/>
          <w:color w:val="000000"/>
          <w:sz w:val="24"/>
          <w:szCs w:val="24"/>
        </w:rPr>
        <w:t>PV-318 ADSCRITO A LA DIRECCIÓN GENERAL DE LA POLICÍA VIAL ESTATAL.</w:t>
      </w:r>
    </w:p>
    <w:p w14:paraId="6E0D6333" w14:textId="77777777" w:rsidR="004C6BB6" w:rsidRPr="000B2E4A" w:rsidRDefault="004C6BB6">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color w:val="000000"/>
          <w:sz w:val="24"/>
          <w:szCs w:val="24"/>
        </w:rPr>
      </w:pPr>
    </w:p>
    <w:p w14:paraId="00000007" w14:textId="77777777" w:rsidR="002354BD" w:rsidRDefault="00A93088">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8" w14:textId="77777777" w:rsidR="002354BD" w:rsidRDefault="002354BD">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p>
    <w:p w14:paraId="00000009" w14:textId="77777777" w:rsidR="002354BD" w:rsidRDefault="00A93088">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r>
        <w:rPr>
          <w:rFonts w:ascii="Arial" w:eastAsia="Arial" w:hAnsi="Arial" w:cs="Arial"/>
          <w:b/>
          <w:color w:val="000000"/>
          <w:sz w:val="24"/>
          <w:szCs w:val="24"/>
        </w:rPr>
        <w:t xml:space="preserve">SECRETARIO: </w:t>
      </w:r>
      <w:r>
        <w:rPr>
          <w:rFonts w:ascii="Arial" w:eastAsia="Arial" w:hAnsi="Arial" w:cs="Arial"/>
          <w:color w:val="000000"/>
          <w:sz w:val="24"/>
          <w:szCs w:val="24"/>
        </w:rPr>
        <w:t>LICENCIADO RENATO GABRIEL IBÁÑEZ CASTELLANOS.</w:t>
      </w:r>
    </w:p>
    <w:p w14:paraId="0000000A" w14:textId="77777777" w:rsidR="002354BD" w:rsidRDefault="002354BD">
      <w:pPr>
        <w:spacing w:after="0" w:line="360" w:lineRule="auto"/>
        <w:jc w:val="both"/>
        <w:rPr>
          <w:rFonts w:ascii="Arial" w:eastAsia="Arial" w:hAnsi="Arial" w:cs="Arial"/>
          <w:b/>
          <w:sz w:val="24"/>
          <w:szCs w:val="24"/>
        </w:rPr>
      </w:pPr>
    </w:p>
    <w:p w14:paraId="0000000B" w14:textId="30B60791" w:rsidR="002354BD" w:rsidRDefault="00A93088" w:rsidP="004C6BB6">
      <w:pPr>
        <w:spacing w:after="0" w:line="360" w:lineRule="auto"/>
        <w:jc w:val="both"/>
        <w:rPr>
          <w:rFonts w:ascii="Arial" w:eastAsia="Arial" w:hAnsi="Arial" w:cs="Arial"/>
          <w:b/>
          <w:sz w:val="24"/>
          <w:szCs w:val="24"/>
        </w:rPr>
      </w:pPr>
      <w:r>
        <w:rPr>
          <w:rFonts w:ascii="Arial" w:eastAsia="Arial" w:hAnsi="Arial" w:cs="Arial"/>
          <w:b/>
          <w:sz w:val="24"/>
          <w:szCs w:val="24"/>
        </w:rPr>
        <w:t xml:space="preserve">OAXACA DE JUÁREZ, OAXACA, </w:t>
      </w:r>
      <w:r w:rsidR="00BA4AD2">
        <w:rPr>
          <w:rFonts w:ascii="Arial" w:eastAsia="Arial" w:hAnsi="Arial" w:cs="Arial"/>
          <w:b/>
          <w:sz w:val="24"/>
          <w:szCs w:val="24"/>
        </w:rPr>
        <w:t>TREINTA</w:t>
      </w:r>
      <w:r w:rsidR="004C6BB6">
        <w:rPr>
          <w:rFonts w:ascii="Arial" w:eastAsia="Arial" w:hAnsi="Arial" w:cs="Arial"/>
          <w:b/>
          <w:sz w:val="24"/>
          <w:szCs w:val="24"/>
        </w:rPr>
        <w:t xml:space="preserve"> DE MAYO</w:t>
      </w:r>
      <w:r w:rsidR="0015307A">
        <w:rPr>
          <w:rFonts w:ascii="Arial" w:eastAsia="Arial" w:hAnsi="Arial" w:cs="Arial"/>
          <w:b/>
          <w:sz w:val="24"/>
          <w:szCs w:val="24"/>
        </w:rPr>
        <w:t xml:space="preserve"> DE DOS MIL VEINTIDÓS</w:t>
      </w:r>
      <w:r>
        <w:rPr>
          <w:rFonts w:ascii="Arial" w:eastAsia="Arial" w:hAnsi="Arial" w:cs="Arial"/>
          <w:b/>
          <w:sz w:val="24"/>
          <w:szCs w:val="24"/>
        </w:rPr>
        <w:t>. - - - - - - - - - - - - - - - - - - - - - - - - - - - -</w:t>
      </w:r>
      <w:r w:rsidR="00A66459">
        <w:rPr>
          <w:rFonts w:ascii="Arial" w:eastAsia="Arial" w:hAnsi="Arial" w:cs="Arial"/>
          <w:b/>
          <w:sz w:val="24"/>
          <w:szCs w:val="24"/>
        </w:rPr>
        <w:t xml:space="preserve"> - - - - - - - - - - - - - - - </w:t>
      </w:r>
      <w:r w:rsidR="004C6BB6">
        <w:rPr>
          <w:rFonts w:ascii="Arial" w:eastAsia="Arial" w:hAnsi="Arial" w:cs="Arial"/>
          <w:b/>
          <w:sz w:val="24"/>
          <w:szCs w:val="24"/>
        </w:rPr>
        <w:t xml:space="preserve">- - - - </w:t>
      </w:r>
    </w:p>
    <w:p w14:paraId="0000000C" w14:textId="7A91815B" w:rsidR="002354BD" w:rsidRDefault="00A93088">
      <w:pPr>
        <w:pBdr>
          <w:top w:val="nil"/>
          <w:left w:val="nil"/>
          <w:bottom w:val="nil"/>
          <w:right w:val="nil"/>
          <w:between w:val="nil"/>
        </w:pBdr>
        <w:tabs>
          <w:tab w:val="center" w:pos="4419"/>
          <w:tab w:val="right" w:pos="8838"/>
        </w:tabs>
        <w:spacing w:before="240" w:after="240" w:line="360" w:lineRule="auto"/>
        <w:jc w:val="both"/>
        <w:rPr>
          <w:rFonts w:ascii="Arial" w:eastAsia="Arial" w:hAnsi="Arial" w:cs="Arial"/>
          <w:color w:val="000000"/>
          <w:sz w:val="24"/>
          <w:szCs w:val="24"/>
        </w:rPr>
      </w:pPr>
      <w:r>
        <w:rPr>
          <w:rFonts w:ascii="Arial" w:eastAsia="Arial" w:hAnsi="Arial" w:cs="Arial"/>
          <w:b/>
          <w:color w:val="000000"/>
          <w:sz w:val="24"/>
          <w:szCs w:val="24"/>
        </w:rPr>
        <w:tab/>
      </w:r>
      <w:r w:rsidR="00637882">
        <w:rPr>
          <w:rFonts w:ascii="Arial" w:eastAsia="Arial" w:hAnsi="Arial" w:cs="Arial"/>
          <w:b/>
          <w:color w:val="000000"/>
          <w:sz w:val="24"/>
          <w:szCs w:val="24"/>
        </w:rPr>
        <w:t xml:space="preserve">          </w:t>
      </w:r>
      <w:r>
        <w:rPr>
          <w:rFonts w:ascii="Arial" w:eastAsia="Arial" w:hAnsi="Arial" w:cs="Arial"/>
          <w:color w:val="000000"/>
          <w:sz w:val="24"/>
          <w:szCs w:val="24"/>
        </w:rPr>
        <w:t xml:space="preserve">Una vez </w:t>
      </w:r>
      <w:r>
        <w:rPr>
          <w:rFonts w:ascii="Arial" w:eastAsia="Arial" w:hAnsi="Arial" w:cs="Arial"/>
          <w:b/>
          <w:color w:val="000000"/>
          <w:sz w:val="24"/>
          <w:szCs w:val="24"/>
        </w:rPr>
        <w:t>VISTOS</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 xml:space="preserve">para resolver los autos del juicio de nulidad de número </w:t>
      </w:r>
      <w:r w:rsidR="00637882">
        <w:rPr>
          <w:rFonts w:ascii="Arial" w:eastAsia="Arial" w:hAnsi="Arial" w:cs="Arial"/>
          <w:b/>
          <w:color w:val="000000"/>
          <w:sz w:val="24"/>
          <w:szCs w:val="24"/>
        </w:rPr>
        <w:t>0104/2019</w:t>
      </w:r>
      <w:r>
        <w:rPr>
          <w:rFonts w:ascii="Arial" w:eastAsia="Arial" w:hAnsi="Arial" w:cs="Arial"/>
          <w:color w:val="000000"/>
          <w:sz w:val="24"/>
          <w:szCs w:val="24"/>
        </w:rPr>
        <w:t xml:space="preserve">, promovido por </w:t>
      </w:r>
      <w:r w:rsidR="00FD2A78">
        <w:rPr>
          <w:rFonts w:ascii="Arial" w:eastAsia="Arial" w:hAnsi="Arial" w:cs="Arial"/>
          <w:b/>
          <w:color w:val="FF0000"/>
          <w:sz w:val="24"/>
          <w:szCs w:val="24"/>
        </w:rPr>
        <w:t>**********</w:t>
      </w:r>
      <w:r w:rsidR="00637882">
        <w:rPr>
          <w:rFonts w:ascii="Arial" w:eastAsia="Arial" w:hAnsi="Arial" w:cs="Arial"/>
          <w:b/>
          <w:color w:val="FF0000"/>
          <w:sz w:val="24"/>
          <w:szCs w:val="24"/>
        </w:rPr>
        <w:t xml:space="preserve"> Y </w:t>
      </w:r>
      <w:r w:rsidR="00FD2A78">
        <w:rPr>
          <w:rFonts w:ascii="Arial" w:eastAsia="Arial" w:hAnsi="Arial" w:cs="Arial"/>
          <w:b/>
          <w:color w:val="FF0000"/>
          <w:sz w:val="24"/>
          <w:szCs w:val="24"/>
        </w:rPr>
        <w:t>**********</w:t>
      </w:r>
      <w:r w:rsidR="00637882">
        <w:rPr>
          <w:rFonts w:ascii="Arial" w:eastAsia="Arial" w:hAnsi="Arial" w:cs="Arial"/>
          <w:b/>
          <w:color w:val="FF0000"/>
          <w:sz w:val="24"/>
          <w:szCs w:val="24"/>
        </w:rPr>
        <w:t xml:space="preserve"> </w:t>
      </w:r>
      <w:r w:rsidR="00637882">
        <w:rPr>
          <w:rFonts w:ascii="Arial" w:eastAsia="Arial" w:hAnsi="Arial" w:cs="Arial"/>
          <w:color w:val="000000" w:themeColor="text1"/>
          <w:sz w:val="24"/>
          <w:szCs w:val="24"/>
        </w:rPr>
        <w:t xml:space="preserve">en representación de la persona moral denominada </w:t>
      </w:r>
      <w:r w:rsidR="00FD2A78">
        <w:rPr>
          <w:rFonts w:ascii="Arial" w:eastAsia="Arial" w:hAnsi="Arial" w:cs="Arial"/>
          <w:color w:val="FF0000"/>
          <w:sz w:val="24"/>
          <w:szCs w:val="24"/>
        </w:rPr>
        <w:t>**********</w:t>
      </w:r>
      <w:r>
        <w:rPr>
          <w:rFonts w:ascii="Arial" w:eastAsia="Arial" w:hAnsi="Arial" w:cs="Arial"/>
          <w:color w:val="000000"/>
          <w:sz w:val="24"/>
          <w:szCs w:val="24"/>
        </w:rPr>
        <w:t>, en contra del</w:t>
      </w:r>
      <w:r>
        <w:rPr>
          <w:rFonts w:ascii="Arial" w:eastAsia="Arial" w:hAnsi="Arial" w:cs="Arial"/>
          <w:b/>
          <w:color w:val="000000"/>
          <w:sz w:val="24"/>
          <w:szCs w:val="24"/>
        </w:rPr>
        <w:t xml:space="preserve"> POLICIA V</w:t>
      </w:r>
      <w:r w:rsidR="00637882">
        <w:rPr>
          <w:rFonts w:ascii="Arial" w:eastAsia="Arial" w:hAnsi="Arial" w:cs="Arial"/>
          <w:b/>
          <w:color w:val="000000"/>
          <w:sz w:val="24"/>
          <w:szCs w:val="24"/>
        </w:rPr>
        <w:t>IAL CON NÚMERO ESTADÍSTICO PV-318</w:t>
      </w:r>
      <w:r>
        <w:rPr>
          <w:rFonts w:ascii="Arial" w:eastAsia="Arial" w:hAnsi="Arial" w:cs="Arial"/>
          <w:b/>
          <w:color w:val="000000"/>
          <w:sz w:val="24"/>
          <w:szCs w:val="24"/>
        </w:rPr>
        <w:t>, ADSCRITO A LA DIRECCIÓN GENERAL DE LA POLICÍA VIAL ESTATAL</w:t>
      </w:r>
      <w:r>
        <w:rPr>
          <w:rFonts w:ascii="Arial" w:eastAsia="Arial" w:hAnsi="Arial" w:cs="Arial"/>
          <w:color w:val="000000"/>
          <w:sz w:val="24"/>
          <w:szCs w:val="24"/>
        </w:rPr>
        <w:t xml:space="preserve">. </w:t>
      </w:r>
      <w:r w:rsidR="00FD2A78">
        <w:rPr>
          <w:rFonts w:ascii="Arial" w:eastAsia="Arial" w:hAnsi="Arial" w:cs="Arial"/>
          <w:color w:val="000000"/>
          <w:sz w:val="24"/>
          <w:szCs w:val="24"/>
        </w:rPr>
        <w:t xml:space="preserve">- - - - - - - - - - - - - - - - - - - - - - - - - - - - - - - </w:t>
      </w:r>
    </w:p>
    <w:p w14:paraId="0000000D" w14:textId="77777777" w:rsidR="002354BD" w:rsidRDefault="00A93088">
      <w:pPr>
        <w:spacing w:line="360" w:lineRule="auto"/>
        <w:jc w:val="center"/>
        <w:rPr>
          <w:rFonts w:ascii="Arial" w:eastAsia="Arial" w:hAnsi="Arial" w:cs="Arial"/>
          <w:b/>
          <w:sz w:val="24"/>
          <w:szCs w:val="24"/>
        </w:rPr>
      </w:pPr>
      <w:r>
        <w:rPr>
          <w:rFonts w:ascii="Arial" w:eastAsia="Arial" w:hAnsi="Arial" w:cs="Arial"/>
          <w:b/>
          <w:sz w:val="24"/>
          <w:szCs w:val="24"/>
        </w:rPr>
        <w:t>A N T E C E D E N T E S</w:t>
      </w:r>
    </w:p>
    <w:p w14:paraId="66D0DBF5" w14:textId="6E10E7AE" w:rsidR="00B962B1" w:rsidRDefault="00A93088">
      <w:pPr>
        <w:spacing w:line="360" w:lineRule="auto"/>
        <w:ind w:firstLine="709"/>
        <w:jc w:val="both"/>
        <w:rPr>
          <w:rFonts w:ascii="Arial" w:eastAsia="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Mediante auto de </w:t>
      </w:r>
      <w:r w:rsidR="00B962B1">
        <w:rPr>
          <w:rFonts w:ascii="Arial" w:eastAsia="Arial" w:hAnsi="Arial" w:cs="Arial"/>
          <w:sz w:val="24"/>
          <w:szCs w:val="24"/>
        </w:rPr>
        <w:t>veinticinco de septiembre de dos mil diecinueve</w:t>
      </w:r>
      <w:r>
        <w:rPr>
          <w:rFonts w:ascii="Arial" w:eastAsia="Arial" w:hAnsi="Arial" w:cs="Arial"/>
          <w:sz w:val="24"/>
          <w:szCs w:val="24"/>
        </w:rPr>
        <w:t xml:space="preserve">, </w:t>
      </w:r>
      <w:r w:rsidR="00B962B1">
        <w:rPr>
          <w:rFonts w:ascii="Arial" w:eastAsia="Arial" w:hAnsi="Arial" w:cs="Arial"/>
          <w:sz w:val="24"/>
          <w:szCs w:val="24"/>
        </w:rPr>
        <w:t xml:space="preserve">se </w:t>
      </w:r>
      <w:r w:rsidR="00B962B1">
        <w:rPr>
          <w:rFonts w:ascii="Arial" w:eastAsia="Arial" w:hAnsi="Arial" w:cs="Arial"/>
          <w:b/>
          <w:sz w:val="24"/>
          <w:szCs w:val="24"/>
        </w:rPr>
        <w:t xml:space="preserve">admitió a trámite </w:t>
      </w:r>
      <w:r w:rsidR="00B962B1">
        <w:rPr>
          <w:rFonts w:ascii="Arial" w:eastAsia="Arial" w:hAnsi="Arial" w:cs="Arial"/>
          <w:sz w:val="24"/>
          <w:szCs w:val="24"/>
        </w:rPr>
        <w:t xml:space="preserve">la demanda de nulidad </w:t>
      </w:r>
      <w:r w:rsidR="0092580B">
        <w:rPr>
          <w:rFonts w:ascii="Arial" w:eastAsia="Arial" w:hAnsi="Arial" w:cs="Arial"/>
          <w:sz w:val="24"/>
          <w:szCs w:val="24"/>
        </w:rPr>
        <w:t xml:space="preserve">de los actores </w:t>
      </w:r>
      <w:r w:rsidR="00B962B1">
        <w:rPr>
          <w:rFonts w:ascii="Arial" w:eastAsia="Arial" w:hAnsi="Arial" w:cs="Arial"/>
          <w:sz w:val="24"/>
          <w:szCs w:val="24"/>
        </w:rPr>
        <w:t>en contra del Policía Vial con número estadístico PV-318, adscrito a la Dirección General de la Polic</w:t>
      </w:r>
      <w:r w:rsidR="0092580B">
        <w:rPr>
          <w:rFonts w:ascii="Arial" w:eastAsia="Arial" w:hAnsi="Arial" w:cs="Arial"/>
          <w:sz w:val="24"/>
          <w:szCs w:val="24"/>
        </w:rPr>
        <w:t>ía Vial Estatal. Así también, se requirió a la Dirección General de Tránsito del Estado, para que dentro del plazo de tres días hábiles, informara la adscripción del citado Policía V</w:t>
      </w:r>
      <w:r w:rsidR="001527A9">
        <w:rPr>
          <w:rFonts w:ascii="Arial" w:eastAsia="Arial" w:hAnsi="Arial" w:cs="Arial"/>
          <w:sz w:val="24"/>
          <w:szCs w:val="24"/>
        </w:rPr>
        <w:t xml:space="preserve">ial, lo anterior para que esta Sala Unitaria estuviera en condiciones de </w:t>
      </w:r>
      <w:r w:rsidR="009C7735">
        <w:rPr>
          <w:rFonts w:ascii="Arial" w:eastAsia="Arial" w:hAnsi="Arial" w:cs="Arial"/>
          <w:sz w:val="24"/>
          <w:szCs w:val="24"/>
        </w:rPr>
        <w:t>notificar a dicha autoridad, y que esta a su vez, pudiera contestar la demanda de nulidad promovida en su contra.</w:t>
      </w:r>
    </w:p>
    <w:p w14:paraId="7B0E27F9" w14:textId="5EA7935E" w:rsidR="00D97677" w:rsidRDefault="00D97677">
      <w:pPr>
        <w:spacing w:line="360" w:lineRule="auto"/>
        <w:ind w:firstLine="709"/>
        <w:jc w:val="both"/>
        <w:rPr>
          <w:rFonts w:ascii="Arial" w:eastAsia="Arial" w:hAnsi="Arial" w:cs="Arial"/>
          <w:sz w:val="24"/>
          <w:szCs w:val="24"/>
        </w:rPr>
      </w:pPr>
      <w:r>
        <w:rPr>
          <w:rFonts w:ascii="Arial" w:eastAsia="Arial" w:hAnsi="Arial" w:cs="Arial"/>
          <w:sz w:val="24"/>
          <w:szCs w:val="24"/>
        </w:rPr>
        <w:t xml:space="preserve">En el mismo auto, se requirió a la Primera y Cuarta Salas Unitarias de Primera Instancia de este Tribunal, para que dentro del plazo de tres días hábiles remitieran a esta Juzgadora, copias certificadas de las sentencias dictadas en los expedientes 0109/2018 y 0109/2018, </w:t>
      </w:r>
      <w:r w:rsidR="00257243">
        <w:rPr>
          <w:rFonts w:ascii="Arial" w:eastAsia="Arial" w:hAnsi="Arial" w:cs="Arial"/>
          <w:sz w:val="24"/>
          <w:szCs w:val="24"/>
        </w:rPr>
        <w:t>de sus respectivo</w:t>
      </w:r>
      <w:r w:rsidR="003035E9">
        <w:rPr>
          <w:rFonts w:ascii="Arial" w:eastAsia="Arial" w:hAnsi="Arial" w:cs="Arial"/>
          <w:sz w:val="24"/>
          <w:szCs w:val="24"/>
        </w:rPr>
        <w:t>s</w:t>
      </w:r>
      <w:r w:rsidR="00257243">
        <w:rPr>
          <w:rFonts w:ascii="Arial" w:eastAsia="Arial" w:hAnsi="Arial" w:cs="Arial"/>
          <w:sz w:val="24"/>
          <w:szCs w:val="24"/>
        </w:rPr>
        <w:t xml:space="preserve"> índices.</w:t>
      </w:r>
    </w:p>
    <w:p w14:paraId="0000000F" w14:textId="1A202717" w:rsidR="002354BD" w:rsidRDefault="009C7735" w:rsidP="003854DD">
      <w:pPr>
        <w:spacing w:line="360" w:lineRule="auto"/>
        <w:ind w:firstLine="709"/>
        <w:jc w:val="both"/>
        <w:rPr>
          <w:rFonts w:ascii="Arial" w:eastAsia="Arial" w:hAnsi="Arial" w:cs="Arial"/>
          <w:sz w:val="24"/>
          <w:szCs w:val="24"/>
        </w:rPr>
      </w:pPr>
      <w:r>
        <w:rPr>
          <w:rFonts w:ascii="Arial" w:eastAsia="Arial" w:hAnsi="Arial" w:cs="Arial"/>
          <w:b/>
          <w:sz w:val="24"/>
          <w:szCs w:val="24"/>
        </w:rPr>
        <w:t xml:space="preserve">SEGUNDO. </w:t>
      </w:r>
      <w:r w:rsidR="00F868C2">
        <w:rPr>
          <w:rFonts w:ascii="Arial" w:eastAsia="Arial" w:hAnsi="Arial" w:cs="Arial"/>
          <w:sz w:val="24"/>
          <w:szCs w:val="24"/>
        </w:rPr>
        <w:t xml:space="preserve">Por acuerdo de dieciocho de marzo de dos mil veinte, el Encargo del Departamento Jurídico de la Dirección General de la Policía Vial Estatal, cumplió con el requerimiento efectuado en autos, e informó que el </w:t>
      </w:r>
      <w:r w:rsidR="00F868C2">
        <w:rPr>
          <w:rFonts w:ascii="Arial" w:eastAsia="Arial" w:hAnsi="Arial" w:cs="Arial"/>
          <w:sz w:val="24"/>
          <w:szCs w:val="24"/>
        </w:rPr>
        <w:lastRenderedPageBreak/>
        <w:t>Policía Vial con número estad</w:t>
      </w:r>
      <w:r w:rsidR="00627569">
        <w:rPr>
          <w:rFonts w:ascii="Arial" w:eastAsia="Arial" w:hAnsi="Arial" w:cs="Arial"/>
          <w:sz w:val="24"/>
          <w:szCs w:val="24"/>
        </w:rPr>
        <w:t xml:space="preserve">ístico PV-318, de </w:t>
      </w:r>
      <w:r w:rsidR="00F868C2">
        <w:rPr>
          <w:rFonts w:ascii="Arial" w:eastAsia="Arial" w:hAnsi="Arial" w:cs="Arial"/>
          <w:sz w:val="24"/>
          <w:szCs w:val="24"/>
        </w:rPr>
        <w:t xml:space="preserve">la Dirección General de la Policía Vial Estatal, </w:t>
      </w:r>
      <w:r w:rsidR="00627569">
        <w:rPr>
          <w:rFonts w:ascii="Arial" w:eastAsia="Arial" w:hAnsi="Arial" w:cs="Arial"/>
          <w:sz w:val="24"/>
          <w:szCs w:val="24"/>
        </w:rPr>
        <w:t xml:space="preserve">se encontraba adscrito </w:t>
      </w:r>
      <w:r w:rsidR="003854DD">
        <w:rPr>
          <w:rFonts w:ascii="Arial" w:eastAsia="Arial" w:hAnsi="Arial" w:cs="Arial"/>
          <w:sz w:val="24"/>
          <w:szCs w:val="24"/>
        </w:rPr>
        <w:t>en Santa Cruz Huatulco</w:t>
      </w:r>
      <w:r w:rsidR="00A93088">
        <w:rPr>
          <w:rFonts w:ascii="Arial" w:eastAsia="Arial" w:hAnsi="Arial" w:cs="Arial"/>
          <w:sz w:val="24"/>
          <w:szCs w:val="24"/>
        </w:rPr>
        <w:t xml:space="preserve">; por lo tanto, se ordenó notificar, emplazar y correrle traslado a la citada autoridad, </w:t>
      </w:r>
      <w:r w:rsidR="003854DD">
        <w:rPr>
          <w:rFonts w:ascii="Arial" w:eastAsia="Arial" w:hAnsi="Arial" w:cs="Arial"/>
          <w:sz w:val="24"/>
          <w:szCs w:val="24"/>
        </w:rPr>
        <w:t xml:space="preserve">en el domicilio que ocupa la Delegación Regional en Santa Cruz, Huatulco, y se concedió </w:t>
      </w:r>
      <w:r w:rsidR="00A93088">
        <w:rPr>
          <w:rFonts w:ascii="Arial" w:eastAsia="Arial" w:hAnsi="Arial" w:cs="Arial"/>
          <w:sz w:val="24"/>
          <w:szCs w:val="24"/>
        </w:rPr>
        <w:t>el plazo de nueve días hábiles</w:t>
      </w:r>
      <w:r w:rsidR="003854DD">
        <w:rPr>
          <w:rFonts w:ascii="Arial" w:eastAsia="Arial" w:hAnsi="Arial" w:cs="Arial"/>
          <w:sz w:val="24"/>
          <w:szCs w:val="24"/>
        </w:rPr>
        <w:t xml:space="preserve"> para que</w:t>
      </w:r>
      <w:r w:rsidR="00A93088">
        <w:rPr>
          <w:rFonts w:ascii="Arial" w:eastAsia="Arial" w:hAnsi="Arial" w:cs="Arial"/>
          <w:sz w:val="24"/>
          <w:szCs w:val="24"/>
        </w:rPr>
        <w:t xml:space="preserve"> produjera su contestación</w:t>
      </w:r>
      <w:r w:rsidR="003854DD">
        <w:rPr>
          <w:rFonts w:ascii="Arial" w:eastAsia="Arial" w:hAnsi="Arial" w:cs="Arial"/>
          <w:sz w:val="24"/>
          <w:szCs w:val="24"/>
        </w:rPr>
        <w:t xml:space="preserve"> a la demanda de nulidad</w:t>
      </w:r>
      <w:r w:rsidR="00A93088">
        <w:rPr>
          <w:rFonts w:ascii="Arial" w:eastAsia="Arial" w:hAnsi="Arial" w:cs="Arial"/>
          <w:sz w:val="24"/>
          <w:szCs w:val="24"/>
        </w:rPr>
        <w:t>, con el apercibimiento que de no hacerlo dentro de dicho p</w:t>
      </w:r>
      <w:r w:rsidR="003854DD">
        <w:rPr>
          <w:rFonts w:ascii="Arial" w:eastAsia="Arial" w:hAnsi="Arial" w:cs="Arial"/>
          <w:sz w:val="24"/>
          <w:szCs w:val="24"/>
        </w:rPr>
        <w:t xml:space="preserve">lazo, se le tendría contestándola </w:t>
      </w:r>
      <w:r w:rsidR="00A93088">
        <w:rPr>
          <w:rFonts w:ascii="Arial" w:eastAsia="Arial" w:hAnsi="Arial" w:cs="Arial"/>
          <w:sz w:val="24"/>
          <w:szCs w:val="24"/>
        </w:rPr>
        <w:t>en sentido afirmativo.</w:t>
      </w:r>
    </w:p>
    <w:p w14:paraId="6FB8F59D" w14:textId="6F313C8E" w:rsidR="004F28F8" w:rsidRDefault="00A93088">
      <w:pPr>
        <w:spacing w:line="360" w:lineRule="auto"/>
        <w:ind w:firstLine="709"/>
        <w:jc w:val="both"/>
        <w:rPr>
          <w:rFonts w:ascii="Arial" w:eastAsia="Arial" w:hAnsi="Arial" w:cs="Arial"/>
          <w:sz w:val="24"/>
          <w:szCs w:val="24"/>
        </w:rPr>
      </w:pPr>
      <w:r>
        <w:rPr>
          <w:rFonts w:ascii="Arial" w:eastAsia="Arial" w:hAnsi="Arial" w:cs="Arial"/>
          <w:b/>
          <w:sz w:val="24"/>
          <w:szCs w:val="24"/>
        </w:rPr>
        <w:t xml:space="preserve">TERCERO. </w:t>
      </w:r>
      <w:r w:rsidR="004F28F8">
        <w:rPr>
          <w:rFonts w:ascii="Arial" w:eastAsia="Arial" w:hAnsi="Arial" w:cs="Arial"/>
          <w:sz w:val="24"/>
          <w:szCs w:val="24"/>
        </w:rPr>
        <w:t xml:space="preserve">Mediante proveído de </w:t>
      </w:r>
      <w:r w:rsidR="00991107">
        <w:rPr>
          <w:rFonts w:ascii="Arial" w:eastAsia="Arial" w:hAnsi="Arial" w:cs="Arial"/>
          <w:sz w:val="24"/>
          <w:szCs w:val="24"/>
        </w:rPr>
        <w:t xml:space="preserve">seis de mayo de dos mil veintiuno, se le hizo del conocimiento a las partes la habilitación de la Licenciada </w:t>
      </w:r>
      <w:r w:rsidR="00287D7D">
        <w:rPr>
          <w:rFonts w:ascii="Arial" w:eastAsia="Arial" w:hAnsi="Arial" w:cs="Arial"/>
          <w:sz w:val="24"/>
          <w:szCs w:val="24"/>
        </w:rPr>
        <w:t>Adriana Arcega Ordoñez, para tramitar y resolver los asuntos sustanciados en esta Sala Unitaria. En el mismo auto, se acordó el oficio TJAO/1ªSUPI/900/2020, por medio del cual el Magistrado Titular de la Primera Sala Unitaria de Primera Instancia de este Tribunal, dio cumplimiento a la ordenado mediante acuerdo de veinticinco de septiembre de dos mil veinte.</w:t>
      </w:r>
    </w:p>
    <w:p w14:paraId="2483A3D9" w14:textId="2BA9F74A" w:rsidR="0095781A" w:rsidRDefault="00287D7D" w:rsidP="0095781A">
      <w:pPr>
        <w:spacing w:line="360" w:lineRule="auto"/>
        <w:ind w:firstLine="709"/>
        <w:jc w:val="both"/>
        <w:rPr>
          <w:rFonts w:ascii="Arial" w:eastAsia="Arial" w:hAnsi="Arial" w:cs="Arial"/>
          <w:sz w:val="24"/>
          <w:szCs w:val="24"/>
        </w:rPr>
      </w:pPr>
      <w:r>
        <w:rPr>
          <w:rFonts w:ascii="Arial" w:eastAsia="Arial" w:hAnsi="Arial" w:cs="Arial"/>
          <w:b/>
          <w:sz w:val="24"/>
          <w:szCs w:val="24"/>
        </w:rPr>
        <w:t xml:space="preserve">CUARTO. </w:t>
      </w:r>
      <w:r w:rsidR="00C7669B">
        <w:rPr>
          <w:rFonts w:ascii="Arial" w:eastAsia="Arial" w:hAnsi="Arial" w:cs="Arial"/>
          <w:sz w:val="24"/>
          <w:szCs w:val="24"/>
        </w:rPr>
        <w:t xml:space="preserve">Por auto de quince de julio de dos mil veintiuno, </w:t>
      </w:r>
      <w:r w:rsidR="00DE1BDA">
        <w:rPr>
          <w:rFonts w:ascii="Arial" w:eastAsia="Arial" w:hAnsi="Arial" w:cs="Arial"/>
          <w:sz w:val="24"/>
          <w:szCs w:val="24"/>
        </w:rPr>
        <w:t xml:space="preserve">se hizo constar </w:t>
      </w:r>
      <w:r w:rsidR="00E73627">
        <w:rPr>
          <w:rFonts w:ascii="Arial" w:eastAsia="Arial" w:hAnsi="Arial" w:cs="Arial"/>
          <w:sz w:val="24"/>
          <w:szCs w:val="24"/>
        </w:rPr>
        <w:t xml:space="preserve">la imposibilidad para que el Policía Vial con número estadístico PV-318, adscrito a la Dirección General de la Policía Vial Estatal, produjera su contestación de la demanda de nulidad, </w:t>
      </w:r>
      <w:r w:rsidR="005478D1">
        <w:rPr>
          <w:rFonts w:ascii="Arial" w:eastAsia="Arial" w:hAnsi="Arial" w:cs="Arial"/>
          <w:sz w:val="24"/>
          <w:szCs w:val="24"/>
        </w:rPr>
        <w:t xml:space="preserve">por lo que se requirió al </w:t>
      </w:r>
      <w:r w:rsidR="005478D1">
        <w:rPr>
          <w:rFonts w:ascii="Arial" w:eastAsia="Arial" w:hAnsi="Arial" w:cs="Arial"/>
          <w:b/>
          <w:sz w:val="24"/>
          <w:szCs w:val="24"/>
        </w:rPr>
        <w:t xml:space="preserve">Director General de la Policía Vial Estatal de la Secretaría de Seguridad Pública del Estado, </w:t>
      </w:r>
      <w:r w:rsidR="0095781A">
        <w:rPr>
          <w:rFonts w:ascii="Arial" w:eastAsia="Arial" w:hAnsi="Arial" w:cs="Arial"/>
          <w:sz w:val="24"/>
          <w:szCs w:val="24"/>
        </w:rPr>
        <w:t>para que en su calidad de superior jerárquico y dentro del plazo de nueve días hábiles produjera su contestación a la demanda de nulidad, con el apercibimiento que de no hacerlo dentro de dicho plazo, se le tendría contestándola en sentido afirmativo.</w:t>
      </w:r>
    </w:p>
    <w:p w14:paraId="1CC1DEB4" w14:textId="4FC9568D" w:rsidR="00BF58EC" w:rsidRDefault="00BF58EC" w:rsidP="00BF58EC">
      <w:pPr>
        <w:spacing w:line="360" w:lineRule="auto"/>
        <w:ind w:firstLine="709"/>
        <w:jc w:val="both"/>
        <w:rPr>
          <w:rFonts w:ascii="Arial" w:eastAsia="Arial" w:hAnsi="Arial" w:cs="Arial"/>
          <w:sz w:val="24"/>
          <w:szCs w:val="24"/>
        </w:rPr>
      </w:pPr>
      <w:r>
        <w:rPr>
          <w:rFonts w:ascii="Arial" w:eastAsia="Arial" w:hAnsi="Arial" w:cs="Arial"/>
          <w:sz w:val="24"/>
          <w:szCs w:val="24"/>
        </w:rPr>
        <w:t>En el mismo acuerdo, se acordó el oficio TJAE/4ªS.U./782/2021, por medio del cual el Magistrado Titular de la Cuarta Sala Unitaria de Primera Instancia de este Tribunal, dio cumplimiento a la ordenado mediante acuerdo de veinticinco de septiembre de dos mil veinte.</w:t>
      </w:r>
    </w:p>
    <w:p w14:paraId="00000012" w14:textId="59826AD4" w:rsidR="002354BD" w:rsidRDefault="0095781A" w:rsidP="00692F6E">
      <w:pPr>
        <w:spacing w:line="360" w:lineRule="auto"/>
        <w:ind w:firstLine="709"/>
        <w:jc w:val="both"/>
        <w:rPr>
          <w:rFonts w:ascii="Arial" w:eastAsia="Arial" w:hAnsi="Arial" w:cs="Arial"/>
          <w:sz w:val="24"/>
          <w:szCs w:val="24"/>
        </w:rPr>
      </w:pPr>
      <w:r>
        <w:rPr>
          <w:rFonts w:ascii="Arial" w:eastAsia="Arial" w:hAnsi="Arial" w:cs="Arial"/>
          <w:b/>
          <w:sz w:val="24"/>
          <w:szCs w:val="24"/>
        </w:rPr>
        <w:t xml:space="preserve">QUINTO. </w:t>
      </w:r>
      <w:r w:rsidR="00692F6E">
        <w:rPr>
          <w:rFonts w:ascii="Arial" w:eastAsia="Arial" w:hAnsi="Arial" w:cs="Arial"/>
          <w:sz w:val="24"/>
          <w:szCs w:val="24"/>
        </w:rPr>
        <w:t>Mediante proveído de catorce de octubre de dos mil veintiuno</w:t>
      </w:r>
      <w:r w:rsidR="00A93088">
        <w:rPr>
          <w:rFonts w:ascii="Arial" w:eastAsia="Arial" w:hAnsi="Arial" w:cs="Arial"/>
          <w:sz w:val="24"/>
          <w:szCs w:val="24"/>
        </w:rPr>
        <w:t xml:space="preserve">, </w:t>
      </w:r>
      <w:r w:rsidR="00692F6E">
        <w:rPr>
          <w:rFonts w:ascii="Arial" w:eastAsia="Arial" w:hAnsi="Arial" w:cs="Arial"/>
          <w:sz w:val="24"/>
          <w:szCs w:val="24"/>
        </w:rPr>
        <w:t xml:space="preserve">el </w:t>
      </w:r>
      <w:r w:rsidR="00692F6E">
        <w:rPr>
          <w:rFonts w:ascii="Arial" w:eastAsia="Arial" w:hAnsi="Arial" w:cs="Arial"/>
          <w:b/>
          <w:sz w:val="24"/>
          <w:szCs w:val="24"/>
        </w:rPr>
        <w:t>Director General de la Policía Vial Estatal de la Secretaría de Seguridad Pública del Estado</w:t>
      </w:r>
      <w:r w:rsidR="00692F6E">
        <w:rPr>
          <w:rFonts w:ascii="Arial" w:eastAsia="Arial" w:hAnsi="Arial" w:cs="Arial"/>
          <w:sz w:val="24"/>
          <w:szCs w:val="24"/>
        </w:rPr>
        <w:t xml:space="preserve"> </w:t>
      </w:r>
      <w:r w:rsidR="00A93088">
        <w:rPr>
          <w:rFonts w:ascii="Arial" w:eastAsia="Arial" w:hAnsi="Arial" w:cs="Arial"/>
          <w:sz w:val="24"/>
          <w:szCs w:val="24"/>
        </w:rPr>
        <w:t>contestó la demanda entablada en su contra, y le fueron admitidas las pruebas que ofreció, ordenándose notificar y correr traslado a la parte actora con las copias de la</w:t>
      </w:r>
      <w:r w:rsidR="0015307A">
        <w:rPr>
          <w:rFonts w:ascii="Arial" w:eastAsia="Arial" w:hAnsi="Arial" w:cs="Arial"/>
          <w:sz w:val="24"/>
          <w:szCs w:val="24"/>
        </w:rPr>
        <w:t xml:space="preserve"> contestación de </w:t>
      </w:r>
      <w:r w:rsidR="00A93088">
        <w:rPr>
          <w:rFonts w:ascii="Arial" w:eastAsia="Arial" w:hAnsi="Arial" w:cs="Arial"/>
          <w:sz w:val="24"/>
          <w:szCs w:val="24"/>
        </w:rPr>
        <w:t>demanda y anexos, para los efectos legales a que hubiera l</w:t>
      </w:r>
      <w:r w:rsidR="00692F6E">
        <w:rPr>
          <w:rFonts w:ascii="Arial" w:eastAsia="Arial" w:hAnsi="Arial" w:cs="Arial"/>
          <w:sz w:val="24"/>
          <w:szCs w:val="24"/>
        </w:rPr>
        <w:t>ugar; señalándose día</w:t>
      </w:r>
      <w:r w:rsidR="00A93088">
        <w:rPr>
          <w:rFonts w:ascii="Arial" w:eastAsia="Arial" w:hAnsi="Arial" w:cs="Arial"/>
          <w:sz w:val="24"/>
          <w:szCs w:val="24"/>
        </w:rPr>
        <w:t xml:space="preserve"> y hora para la celebración de la audiencia final.</w:t>
      </w:r>
    </w:p>
    <w:p w14:paraId="00000013" w14:textId="465733B7" w:rsidR="002354BD" w:rsidRDefault="00692F6E">
      <w:pPr>
        <w:spacing w:line="360" w:lineRule="auto"/>
        <w:ind w:firstLine="709"/>
        <w:jc w:val="both"/>
        <w:rPr>
          <w:rFonts w:ascii="Arial" w:eastAsia="Arial" w:hAnsi="Arial" w:cs="Arial"/>
          <w:sz w:val="24"/>
          <w:szCs w:val="24"/>
        </w:rPr>
      </w:pPr>
      <w:r>
        <w:rPr>
          <w:rFonts w:ascii="Arial" w:eastAsia="Arial" w:hAnsi="Arial" w:cs="Arial"/>
          <w:b/>
          <w:sz w:val="24"/>
          <w:szCs w:val="24"/>
        </w:rPr>
        <w:t>SEXTO</w:t>
      </w:r>
      <w:r w:rsidR="00A93088">
        <w:rPr>
          <w:rFonts w:ascii="Arial" w:eastAsia="Arial" w:hAnsi="Arial" w:cs="Arial"/>
          <w:b/>
          <w:sz w:val="24"/>
          <w:szCs w:val="24"/>
        </w:rPr>
        <w:t xml:space="preserve">. </w:t>
      </w:r>
      <w:r>
        <w:rPr>
          <w:rFonts w:ascii="Arial" w:eastAsia="Arial" w:hAnsi="Arial" w:cs="Arial"/>
          <w:sz w:val="24"/>
          <w:szCs w:val="24"/>
        </w:rPr>
        <w:t>El dieciocho</w:t>
      </w:r>
      <w:r w:rsidR="00A93088">
        <w:rPr>
          <w:rFonts w:ascii="Arial" w:eastAsia="Arial" w:hAnsi="Arial" w:cs="Arial"/>
          <w:sz w:val="24"/>
          <w:szCs w:val="24"/>
        </w:rPr>
        <w:t xml:space="preserve"> de noviembre de dos mil veintiuno, se llevó a cabo la audiencia final, sin comparecencia de las partes ni persona alguna que legalmente las representara, se desahogaron las pruebas de las partes, y se abrió el periodo de alegatos,</w:t>
      </w:r>
      <w:r w:rsidR="00E155A4">
        <w:rPr>
          <w:rFonts w:ascii="Arial" w:eastAsia="Arial" w:hAnsi="Arial" w:cs="Arial"/>
          <w:sz w:val="24"/>
          <w:szCs w:val="24"/>
        </w:rPr>
        <w:t xml:space="preserve"> en donde se hizo constar que ninguna de las </w:t>
      </w:r>
      <w:r w:rsidR="00E155A4">
        <w:rPr>
          <w:rFonts w:ascii="Arial" w:eastAsia="Arial" w:hAnsi="Arial" w:cs="Arial"/>
          <w:sz w:val="24"/>
          <w:szCs w:val="24"/>
        </w:rPr>
        <w:lastRenderedPageBreak/>
        <w:t>partes no ofreció escrito de alegatos</w:t>
      </w:r>
      <w:r w:rsidR="00A93088">
        <w:rPr>
          <w:rFonts w:ascii="Arial" w:eastAsia="Arial" w:hAnsi="Arial" w:cs="Arial"/>
          <w:sz w:val="24"/>
          <w:szCs w:val="24"/>
        </w:rPr>
        <w:t>, por lo que se decla</w:t>
      </w:r>
      <w:r w:rsidR="00E155A4">
        <w:rPr>
          <w:rFonts w:ascii="Arial" w:eastAsia="Arial" w:hAnsi="Arial" w:cs="Arial"/>
          <w:sz w:val="24"/>
          <w:szCs w:val="24"/>
        </w:rPr>
        <w:t>ró precluido el derecho que tuvieron</w:t>
      </w:r>
      <w:r w:rsidR="00A93088">
        <w:rPr>
          <w:rFonts w:ascii="Arial" w:eastAsia="Arial" w:hAnsi="Arial" w:cs="Arial"/>
          <w:sz w:val="24"/>
          <w:szCs w:val="24"/>
        </w:rPr>
        <w:t xml:space="preserve"> para hacerlo, declarándose cerrada la etapa de instrucción; y, por último se citó a las partes para oír sentencia.</w:t>
      </w:r>
    </w:p>
    <w:p w14:paraId="00000014" w14:textId="43BF312A" w:rsidR="002354BD" w:rsidRDefault="00B668EE">
      <w:pPr>
        <w:spacing w:line="360" w:lineRule="auto"/>
        <w:ind w:firstLine="709"/>
        <w:jc w:val="both"/>
        <w:rPr>
          <w:rFonts w:ascii="Arial" w:eastAsia="Arial" w:hAnsi="Arial" w:cs="Arial"/>
          <w:sz w:val="24"/>
          <w:szCs w:val="24"/>
        </w:rPr>
      </w:pPr>
      <w:r>
        <w:rPr>
          <w:rFonts w:ascii="Arial" w:eastAsia="Arial" w:hAnsi="Arial" w:cs="Arial"/>
          <w:b/>
          <w:sz w:val="24"/>
          <w:szCs w:val="24"/>
        </w:rPr>
        <w:t>SÉPTIMO</w:t>
      </w:r>
      <w:r w:rsidR="00A93088">
        <w:rPr>
          <w:rFonts w:ascii="Arial" w:eastAsia="Arial" w:hAnsi="Arial" w:cs="Arial"/>
          <w:b/>
          <w:sz w:val="24"/>
          <w:szCs w:val="24"/>
        </w:rPr>
        <w:t xml:space="preserve">. </w:t>
      </w:r>
      <w:r w:rsidR="009072CC">
        <w:rPr>
          <w:rFonts w:ascii="Arial" w:eastAsia="Arial" w:hAnsi="Arial" w:cs="Arial"/>
          <w:sz w:val="24"/>
          <w:szCs w:val="24"/>
        </w:rPr>
        <w:t>Por auto de trece</w:t>
      </w:r>
      <w:r w:rsidR="00A93088">
        <w:rPr>
          <w:rFonts w:ascii="Arial" w:eastAsia="Arial" w:hAnsi="Arial" w:cs="Arial"/>
          <w:sz w:val="24"/>
          <w:szCs w:val="24"/>
        </w:rPr>
        <w:t xml:space="preserve"> de diciembre de dos mil veintiuno, se le comunicó a las partes, la designación de la Maestra Camelia Gaspar Martínez, como Magistrada del Tribunal de Justicia Administrativa del Estado de Oaxaca y su adscripción como Titular de esta Sexta Sala Unitaria de Primera Instancia; por lo que, se ordenó dar vista a las partes para que dentro del término de tres días hábiles, manifestaran si existía algún impedimento para que la titular de esta Sala resolviera el fondo del asunto. Por lo tanto, una vez notificadas las partes, se ordenó turnar el expediente para el dictado de la sentencia definitiva, misma que ahora se pronuncia.- - - - - - - - - - - - - - - - - - - - - - - - - - </w:t>
      </w:r>
    </w:p>
    <w:p w14:paraId="00000015" w14:textId="77777777" w:rsidR="002354BD" w:rsidRDefault="00A93088">
      <w:pPr>
        <w:spacing w:line="360" w:lineRule="auto"/>
        <w:ind w:firstLine="709"/>
        <w:jc w:val="center"/>
        <w:rPr>
          <w:rFonts w:ascii="Arial" w:eastAsia="Arial" w:hAnsi="Arial" w:cs="Arial"/>
          <w:b/>
          <w:sz w:val="24"/>
          <w:szCs w:val="24"/>
        </w:rPr>
      </w:pPr>
      <w:r>
        <w:rPr>
          <w:rFonts w:ascii="Arial" w:eastAsia="Arial" w:hAnsi="Arial" w:cs="Arial"/>
          <w:b/>
          <w:sz w:val="24"/>
          <w:szCs w:val="24"/>
        </w:rPr>
        <w:t>C O N S I D E R A N D O</w:t>
      </w:r>
    </w:p>
    <w:p w14:paraId="00000016" w14:textId="03FF26BD"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PRIMERO. </w:t>
      </w:r>
      <w:r w:rsidR="0088172E">
        <w:rPr>
          <w:rFonts w:ascii="Arial" w:eastAsia="Arial" w:hAnsi="Arial" w:cs="Arial"/>
          <w:b/>
          <w:sz w:val="24"/>
          <w:szCs w:val="24"/>
        </w:rPr>
        <w:t xml:space="preserve">Competencia. </w:t>
      </w:r>
      <w:r>
        <w:rPr>
          <w:rFonts w:ascii="Arial" w:eastAsia="Arial" w:hAnsi="Arial" w:cs="Arial"/>
          <w:sz w:val="24"/>
          <w:szCs w:val="24"/>
        </w:rPr>
        <w:t xml:space="preserve">Esta Sexta Sala Unitaria del Tribunal de Justicia Administrativa del Estado de Oaxaca, </w:t>
      </w:r>
      <w:r>
        <w:rPr>
          <w:rFonts w:ascii="Arial" w:eastAsia="Arial" w:hAnsi="Arial" w:cs="Arial"/>
          <w:b/>
          <w:sz w:val="24"/>
          <w:szCs w:val="24"/>
        </w:rPr>
        <w:t>es competente</w:t>
      </w:r>
      <w:r>
        <w:rPr>
          <w:rFonts w:ascii="Arial" w:eastAsia="Arial" w:hAnsi="Arial" w:cs="Arial"/>
          <w:sz w:val="24"/>
          <w:szCs w:val="24"/>
        </w:rPr>
        <w:t xml:space="preserve"> para conocer del presente asunto en términos de lo dispuesto por </w:t>
      </w:r>
      <w:r>
        <w:rPr>
          <w:rFonts w:ascii="Arial" w:eastAsia="Arial" w:hAnsi="Arial" w:cs="Arial"/>
          <w:color w:val="000000"/>
          <w:sz w:val="24"/>
          <w:szCs w:val="24"/>
        </w:rPr>
        <w:t>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Pr>
          <w:rFonts w:ascii="Arial" w:eastAsia="Arial" w:hAnsi="Arial" w:cs="Arial"/>
          <w:sz w:val="24"/>
          <w:szCs w:val="24"/>
        </w:rPr>
        <w:t xml:space="preserve">, por tratarse de un juicio de nulidad promovido en contra de una autoridad administrativa de </w:t>
      </w:r>
      <w:r>
        <w:rPr>
          <w:rFonts w:ascii="Arial" w:eastAsia="Arial" w:hAnsi="Arial" w:cs="Arial"/>
          <w:b/>
          <w:sz w:val="24"/>
          <w:szCs w:val="24"/>
        </w:rPr>
        <w:t>carácter estatal</w:t>
      </w:r>
      <w:r>
        <w:rPr>
          <w:rFonts w:ascii="Arial" w:eastAsia="Arial" w:hAnsi="Arial" w:cs="Arial"/>
          <w:sz w:val="24"/>
          <w:szCs w:val="24"/>
        </w:rPr>
        <w:t>.</w:t>
      </w:r>
    </w:p>
    <w:p w14:paraId="08101D90" w14:textId="6BB643D4" w:rsidR="00845124" w:rsidRDefault="00A93088" w:rsidP="00845124">
      <w:pPr>
        <w:spacing w:line="360" w:lineRule="auto"/>
        <w:ind w:right="-93" w:firstLine="709"/>
        <w:jc w:val="both"/>
        <w:rPr>
          <w:rFonts w:ascii="Arial" w:eastAsia="Arial" w:hAnsi="Arial" w:cs="Arial"/>
          <w:sz w:val="24"/>
          <w:szCs w:val="24"/>
        </w:rPr>
      </w:pPr>
      <w:r w:rsidRPr="0088172E">
        <w:rPr>
          <w:rFonts w:ascii="Arial" w:eastAsia="Arial" w:hAnsi="Arial" w:cs="Arial"/>
          <w:b/>
          <w:sz w:val="24"/>
          <w:szCs w:val="24"/>
        </w:rPr>
        <w:t>SEGUNDO</w:t>
      </w:r>
      <w:r>
        <w:rPr>
          <w:rFonts w:ascii="Arial" w:eastAsia="Arial" w:hAnsi="Arial" w:cs="Arial"/>
          <w:b/>
          <w:sz w:val="24"/>
          <w:szCs w:val="24"/>
        </w:rPr>
        <w:t xml:space="preserve">. </w:t>
      </w:r>
      <w:r w:rsidR="0088172E">
        <w:rPr>
          <w:rFonts w:ascii="Arial" w:eastAsia="Arial" w:hAnsi="Arial" w:cs="Arial"/>
          <w:b/>
          <w:sz w:val="24"/>
          <w:szCs w:val="24"/>
        </w:rPr>
        <w:t xml:space="preserve">Personalidad. </w:t>
      </w:r>
      <w:r>
        <w:rPr>
          <w:rFonts w:ascii="Arial" w:eastAsia="Arial" w:hAnsi="Arial" w:cs="Arial"/>
          <w:sz w:val="24"/>
          <w:szCs w:val="24"/>
        </w:rPr>
        <w:t xml:space="preserve">La </w:t>
      </w:r>
      <w:r>
        <w:rPr>
          <w:rFonts w:ascii="Arial" w:eastAsia="Arial" w:hAnsi="Arial" w:cs="Arial"/>
          <w:b/>
          <w:sz w:val="24"/>
          <w:szCs w:val="24"/>
        </w:rPr>
        <w:t xml:space="preserve">personalidad </w:t>
      </w:r>
      <w:r w:rsidR="0088172E">
        <w:rPr>
          <w:rFonts w:ascii="Arial" w:eastAsia="Arial" w:hAnsi="Arial" w:cs="Arial"/>
          <w:sz w:val="24"/>
          <w:szCs w:val="24"/>
        </w:rPr>
        <w:t xml:space="preserve">de la parte actora quedó acreditada en términos del artículo 148 de la Ley de Procedimiento y Justicia Administrativa para el Estado, en virtud de que </w:t>
      </w:r>
      <w:r w:rsidR="00FD2A78">
        <w:rPr>
          <w:rFonts w:ascii="Arial" w:eastAsia="Arial" w:hAnsi="Arial" w:cs="Arial"/>
          <w:b/>
          <w:color w:val="FF0000"/>
          <w:sz w:val="24"/>
          <w:szCs w:val="24"/>
        </w:rPr>
        <w:t>**********</w:t>
      </w:r>
      <w:r w:rsidR="0088172E" w:rsidRPr="006279C8">
        <w:rPr>
          <w:rFonts w:ascii="Arial" w:eastAsia="Arial" w:hAnsi="Arial" w:cs="Arial"/>
          <w:b/>
          <w:color w:val="FF0000"/>
          <w:sz w:val="24"/>
          <w:szCs w:val="24"/>
        </w:rPr>
        <w:t xml:space="preserve"> </w:t>
      </w:r>
      <w:r w:rsidR="0088172E">
        <w:rPr>
          <w:rFonts w:ascii="Arial" w:eastAsia="Arial" w:hAnsi="Arial" w:cs="Arial"/>
          <w:sz w:val="24"/>
          <w:szCs w:val="24"/>
        </w:rPr>
        <w:t xml:space="preserve">promovió el juicio por propio derecho, y </w:t>
      </w:r>
      <w:r w:rsidR="00FD2A78">
        <w:rPr>
          <w:rFonts w:ascii="Arial" w:eastAsia="Arial" w:hAnsi="Arial" w:cs="Arial"/>
          <w:b/>
          <w:color w:val="FF0000"/>
          <w:sz w:val="24"/>
          <w:szCs w:val="24"/>
        </w:rPr>
        <w:t>**********</w:t>
      </w:r>
      <w:r w:rsidR="0088172E">
        <w:rPr>
          <w:rFonts w:ascii="Arial" w:eastAsia="Arial" w:hAnsi="Arial" w:cs="Arial"/>
          <w:sz w:val="24"/>
          <w:szCs w:val="24"/>
        </w:rPr>
        <w:t xml:space="preserve">, promovió el juicio de nulidad en representación de la persona moral denominada </w:t>
      </w:r>
      <w:r w:rsidR="0076506A">
        <w:rPr>
          <w:rFonts w:ascii="Arial" w:eastAsia="Arial" w:hAnsi="Arial" w:cs="Arial"/>
          <w:b/>
          <w:color w:val="FF0000"/>
          <w:sz w:val="24"/>
          <w:szCs w:val="24"/>
        </w:rPr>
        <w:t>**********</w:t>
      </w:r>
      <w:r w:rsidR="0088172E">
        <w:rPr>
          <w:rFonts w:ascii="Arial" w:eastAsia="Arial" w:hAnsi="Arial" w:cs="Arial"/>
          <w:sz w:val="24"/>
          <w:szCs w:val="24"/>
        </w:rPr>
        <w:t xml:space="preserve">, lo que acreditó con las copias certificadas del instrumento notarial número </w:t>
      </w:r>
      <w:r w:rsidR="0076506A">
        <w:rPr>
          <w:rFonts w:ascii="Arial" w:eastAsia="Arial" w:hAnsi="Arial" w:cs="Arial"/>
          <w:color w:val="FF0000"/>
          <w:sz w:val="24"/>
          <w:szCs w:val="24"/>
        </w:rPr>
        <w:t>**********</w:t>
      </w:r>
      <w:r w:rsidR="00DC4044">
        <w:rPr>
          <w:rFonts w:ascii="Arial" w:eastAsia="Arial" w:hAnsi="Arial" w:cs="Arial"/>
          <w:sz w:val="24"/>
          <w:szCs w:val="24"/>
        </w:rPr>
        <w:t xml:space="preserve">, </w:t>
      </w:r>
      <w:r w:rsidR="006279C8">
        <w:rPr>
          <w:rFonts w:ascii="Arial" w:eastAsia="Arial" w:hAnsi="Arial" w:cs="Arial"/>
          <w:sz w:val="24"/>
          <w:szCs w:val="24"/>
        </w:rPr>
        <w:t xml:space="preserve">volumen </w:t>
      </w:r>
      <w:r w:rsidR="0076506A">
        <w:rPr>
          <w:rFonts w:ascii="Arial" w:eastAsia="Arial" w:hAnsi="Arial" w:cs="Arial"/>
          <w:color w:val="FF0000"/>
          <w:sz w:val="24"/>
          <w:szCs w:val="24"/>
        </w:rPr>
        <w:t>**********</w:t>
      </w:r>
      <w:r w:rsidR="006279C8">
        <w:rPr>
          <w:rFonts w:ascii="Arial" w:eastAsia="Arial" w:hAnsi="Arial" w:cs="Arial"/>
          <w:sz w:val="24"/>
          <w:szCs w:val="24"/>
        </w:rPr>
        <w:t>, de dieciséis de julio de dos mil quince, del Protocolo del Notario Público número</w:t>
      </w:r>
      <w:r w:rsidR="00845124">
        <w:rPr>
          <w:rFonts w:ascii="Arial" w:eastAsia="Arial" w:hAnsi="Arial" w:cs="Arial"/>
          <w:sz w:val="24"/>
          <w:szCs w:val="24"/>
        </w:rPr>
        <w:t xml:space="preserve"> setenta y uno en el Estado.</w:t>
      </w:r>
    </w:p>
    <w:p w14:paraId="00000017" w14:textId="4D6274A6" w:rsidR="002354BD" w:rsidRDefault="00845124" w:rsidP="00845124">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Por otra parte, la personalidad </w:t>
      </w:r>
      <w:r w:rsidR="00A93088">
        <w:rPr>
          <w:rFonts w:ascii="Arial" w:eastAsia="Arial" w:hAnsi="Arial" w:cs="Arial"/>
          <w:sz w:val="24"/>
          <w:szCs w:val="24"/>
        </w:rPr>
        <w:t xml:space="preserve">de la </w:t>
      </w:r>
      <w:r w:rsidR="00A93088">
        <w:rPr>
          <w:rFonts w:ascii="Arial" w:eastAsia="Arial" w:hAnsi="Arial" w:cs="Arial"/>
          <w:b/>
          <w:sz w:val="24"/>
          <w:szCs w:val="24"/>
        </w:rPr>
        <w:t>autoridad demandada</w:t>
      </w:r>
      <w:r w:rsidR="00A93088">
        <w:rPr>
          <w:rFonts w:ascii="Arial" w:eastAsia="Arial" w:hAnsi="Arial" w:cs="Arial"/>
          <w:sz w:val="24"/>
          <w:szCs w:val="24"/>
        </w:rPr>
        <w:t xml:space="preserve"> no fue impugnada, acreditándose así en términos del artículo 151</w:t>
      </w:r>
      <w:r w:rsidR="00A93088">
        <w:rPr>
          <w:rFonts w:ascii="Arial" w:eastAsia="Arial" w:hAnsi="Arial" w:cs="Arial"/>
          <w:sz w:val="24"/>
          <w:szCs w:val="24"/>
          <w:vertAlign w:val="superscript"/>
        </w:rPr>
        <w:footnoteReference w:id="1"/>
      </w:r>
      <w:r w:rsidR="00A93088">
        <w:rPr>
          <w:rFonts w:ascii="Arial" w:eastAsia="Arial" w:hAnsi="Arial" w:cs="Arial"/>
          <w:sz w:val="24"/>
          <w:szCs w:val="24"/>
        </w:rPr>
        <w:t xml:space="preserve"> de la Ley en cita.</w:t>
      </w:r>
    </w:p>
    <w:p w14:paraId="00000018" w14:textId="77777777" w:rsidR="002354BD" w:rsidRDefault="00A93088">
      <w:pPr>
        <w:spacing w:line="360" w:lineRule="auto"/>
        <w:ind w:right="51" w:firstLine="567"/>
        <w:jc w:val="both"/>
        <w:rPr>
          <w:rFonts w:ascii="Arial" w:eastAsia="Arial" w:hAnsi="Arial" w:cs="Arial"/>
          <w:sz w:val="24"/>
          <w:szCs w:val="24"/>
        </w:rPr>
      </w:pPr>
      <w:r>
        <w:rPr>
          <w:rFonts w:ascii="Arial" w:eastAsia="Arial" w:hAnsi="Arial" w:cs="Arial"/>
          <w:b/>
          <w:sz w:val="24"/>
          <w:szCs w:val="24"/>
        </w:rPr>
        <w:lastRenderedPageBreak/>
        <w:t>TERCERO. Causales de Improcedencia y Sobreseimiento</w:t>
      </w:r>
      <w:r>
        <w:rPr>
          <w:rFonts w:ascii="Arial" w:eastAsia="Arial" w:hAnsi="Arial" w:cs="Arial"/>
          <w:sz w:val="24"/>
          <w:szCs w:val="24"/>
        </w:rPr>
        <w:t>. Ahora bien, las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juzgador se vería impedido para resolver la controversia sometida a su jurisdicción. Esto, porque conforme al artículo 17 párrafo segundo de la Constitución Política de los Estados Unidos Mexicanos</w:t>
      </w:r>
      <w:r>
        <w:rPr>
          <w:rFonts w:ascii="Arial" w:eastAsia="Arial" w:hAnsi="Arial" w:cs="Arial"/>
          <w:sz w:val="24"/>
          <w:szCs w:val="24"/>
          <w:vertAlign w:val="superscript"/>
        </w:rPr>
        <w:footnoteReference w:id="2"/>
      </w:r>
      <w:r>
        <w:rPr>
          <w:rFonts w:ascii="Arial" w:eastAsia="Arial" w:hAnsi="Arial" w:cs="Arial"/>
          <w:sz w:val="24"/>
          <w:szCs w:val="24"/>
        </w:rPr>
        <w:t>, es el deber de las autoridades ajustarse a los mecanismos jurídicos establecidos por el legislador para el ejercicio de jurisdicción.</w:t>
      </w:r>
    </w:p>
    <w:p w14:paraId="00000019" w14:textId="77777777" w:rsidR="002354BD" w:rsidRDefault="00A93088">
      <w:pPr>
        <w:spacing w:line="360" w:lineRule="auto"/>
        <w:ind w:right="51" w:firstLine="567"/>
        <w:jc w:val="both"/>
        <w:rPr>
          <w:rFonts w:ascii="Arial" w:eastAsia="Arial" w:hAnsi="Arial" w:cs="Arial"/>
          <w:sz w:val="24"/>
          <w:szCs w:val="24"/>
        </w:rPr>
      </w:pPr>
      <w:r>
        <w:rPr>
          <w:rFonts w:ascii="Arial" w:eastAsia="Arial" w:hAnsi="Arial" w:cs="Arial"/>
          <w:sz w:val="24"/>
          <w:szCs w:val="24"/>
        </w:rPr>
        <w:t>Por esta razón, se estima que las causales de improcedencia y sobreseimiento del juicio, al ser de orden público, debe estudiarse de oficio aun cuando las partes no lo hayan propuesto a la resolutora, ya que, de actualizarse las hipótesis normativas, ello impide la resolución de fondo del asunto y deberá decretarse su sobreseimiento, en términos de los artículos 161 y 162, de la Ley de la materia.</w:t>
      </w:r>
    </w:p>
    <w:p w14:paraId="30209977" w14:textId="58D20471" w:rsidR="009E23A9" w:rsidRDefault="00A93088" w:rsidP="00ED13CE">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En ese sentido, la </w:t>
      </w:r>
      <w:r>
        <w:rPr>
          <w:rFonts w:ascii="Arial" w:eastAsia="Arial" w:hAnsi="Arial" w:cs="Arial"/>
          <w:b/>
          <w:sz w:val="24"/>
          <w:szCs w:val="24"/>
        </w:rPr>
        <w:t xml:space="preserve">autoridad demandada </w:t>
      </w:r>
      <w:r>
        <w:rPr>
          <w:rFonts w:ascii="Arial" w:eastAsia="Arial" w:hAnsi="Arial" w:cs="Arial"/>
          <w:sz w:val="24"/>
          <w:szCs w:val="24"/>
        </w:rPr>
        <w:t>hace valer como causal de improcedencia</w:t>
      </w:r>
      <w:r w:rsidR="002557F3">
        <w:rPr>
          <w:rFonts w:ascii="Arial" w:eastAsia="Arial" w:hAnsi="Arial" w:cs="Arial"/>
          <w:sz w:val="24"/>
          <w:szCs w:val="24"/>
        </w:rPr>
        <w:t xml:space="preserve"> la contenida en la fracción V </w:t>
      </w:r>
      <w:r>
        <w:rPr>
          <w:rFonts w:ascii="Arial" w:eastAsia="Arial" w:hAnsi="Arial" w:cs="Arial"/>
          <w:sz w:val="24"/>
          <w:szCs w:val="24"/>
        </w:rPr>
        <w:t xml:space="preserve">del artículo 161 de la Ley de Procedimiento y Justicia Administrativa para el Estado, argumentando que </w:t>
      </w:r>
      <w:r w:rsidR="009E23A9">
        <w:rPr>
          <w:rFonts w:ascii="Arial" w:eastAsia="Arial" w:hAnsi="Arial" w:cs="Arial"/>
          <w:sz w:val="24"/>
          <w:szCs w:val="24"/>
        </w:rPr>
        <w:t xml:space="preserve">el acto impugnado se encuentra consumado de un modo irreparable, en virtud </w:t>
      </w:r>
      <w:r w:rsidR="00863442">
        <w:rPr>
          <w:rFonts w:ascii="Arial" w:eastAsia="Arial" w:hAnsi="Arial" w:cs="Arial"/>
          <w:sz w:val="24"/>
          <w:szCs w:val="24"/>
        </w:rPr>
        <w:t>de que el actor cubrió la multa impuesta por la infracción incurrida.</w:t>
      </w:r>
    </w:p>
    <w:p w14:paraId="0000001B" w14:textId="0C3F44E6" w:rsidR="002354BD" w:rsidRDefault="00ED13CE">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Ahora, </w:t>
      </w:r>
      <w:r w:rsidR="00A93088">
        <w:rPr>
          <w:rFonts w:ascii="Arial" w:eastAsia="Arial" w:hAnsi="Arial" w:cs="Arial"/>
          <w:sz w:val="24"/>
          <w:szCs w:val="24"/>
        </w:rPr>
        <w:t xml:space="preserve">el artículo 161 </w:t>
      </w:r>
      <w:r w:rsidR="00B56826">
        <w:rPr>
          <w:rFonts w:ascii="Arial" w:eastAsia="Arial" w:hAnsi="Arial" w:cs="Arial"/>
          <w:sz w:val="24"/>
          <w:szCs w:val="24"/>
        </w:rPr>
        <w:t>fracciones V</w:t>
      </w:r>
      <w:r w:rsidR="00A93088">
        <w:rPr>
          <w:rFonts w:ascii="Arial" w:eastAsia="Arial" w:hAnsi="Arial" w:cs="Arial"/>
          <w:sz w:val="24"/>
          <w:szCs w:val="24"/>
        </w:rPr>
        <w:t>, de la Ley de Procedimiento y Justicia Administrativa del Estado, señala:</w:t>
      </w:r>
    </w:p>
    <w:p w14:paraId="0000001C" w14:textId="77777777" w:rsidR="002354BD" w:rsidRDefault="00A93088">
      <w:pPr>
        <w:spacing w:line="240" w:lineRule="auto"/>
        <w:ind w:left="567" w:right="283" w:firstLine="567"/>
        <w:jc w:val="both"/>
        <w:rPr>
          <w:rFonts w:ascii="Arial" w:eastAsia="Arial" w:hAnsi="Arial" w:cs="Arial"/>
          <w:i/>
        </w:rPr>
      </w:pPr>
      <w:r>
        <w:rPr>
          <w:rFonts w:ascii="Arial" w:eastAsia="Arial" w:hAnsi="Arial" w:cs="Arial"/>
          <w:i/>
        </w:rPr>
        <w:t>“</w:t>
      </w:r>
      <w:r>
        <w:rPr>
          <w:rFonts w:ascii="Arial" w:eastAsia="Arial" w:hAnsi="Arial" w:cs="Arial"/>
          <w:b/>
          <w:i/>
        </w:rPr>
        <w:t>ARTÍCULO 161.-</w:t>
      </w:r>
      <w:r>
        <w:rPr>
          <w:rFonts w:ascii="Arial" w:eastAsia="Arial" w:hAnsi="Arial" w:cs="Arial"/>
          <w:i/>
        </w:rPr>
        <w:t xml:space="preserve"> Es improcedente el juicio ante el Tribunal contra actos:</w:t>
      </w:r>
    </w:p>
    <w:p w14:paraId="0000001D" w14:textId="77777777" w:rsidR="002354BD" w:rsidRDefault="00A93088">
      <w:pPr>
        <w:spacing w:line="240" w:lineRule="auto"/>
        <w:ind w:left="567" w:right="283" w:firstLine="567"/>
        <w:jc w:val="both"/>
        <w:rPr>
          <w:rFonts w:ascii="Arial" w:eastAsia="Arial" w:hAnsi="Arial" w:cs="Arial"/>
          <w:i/>
        </w:rPr>
      </w:pPr>
      <w:r>
        <w:rPr>
          <w:rFonts w:ascii="Arial" w:eastAsia="Arial" w:hAnsi="Arial" w:cs="Arial"/>
          <w:i/>
        </w:rPr>
        <w:t>(…)</w:t>
      </w:r>
    </w:p>
    <w:p w14:paraId="0000001E" w14:textId="4762B0AC" w:rsidR="002354BD" w:rsidRDefault="00F033AE">
      <w:pPr>
        <w:spacing w:line="240" w:lineRule="auto"/>
        <w:ind w:left="567" w:right="283" w:firstLine="567"/>
        <w:jc w:val="both"/>
        <w:rPr>
          <w:rFonts w:ascii="Arial" w:eastAsia="Arial" w:hAnsi="Arial" w:cs="Arial"/>
          <w:i/>
        </w:rPr>
      </w:pPr>
      <w:r>
        <w:rPr>
          <w:rFonts w:ascii="Arial" w:eastAsia="Arial" w:hAnsi="Arial" w:cs="Arial"/>
          <w:i/>
        </w:rPr>
        <w:t>V</w:t>
      </w:r>
      <w:r w:rsidR="00A93088">
        <w:rPr>
          <w:rFonts w:ascii="Arial" w:eastAsia="Arial" w:hAnsi="Arial" w:cs="Arial"/>
          <w:i/>
        </w:rPr>
        <w:t xml:space="preserve">. </w:t>
      </w:r>
      <w:r w:rsidR="00B56826" w:rsidRPr="00B56826">
        <w:rPr>
          <w:rFonts w:ascii="Arial" w:eastAsia="Arial" w:hAnsi="Arial" w:cs="Arial"/>
          <w:i/>
        </w:rPr>
        <w:t>Contra actos consumados de un modo irreparable;</w:t>
      </w:r>
      <w:r w:rsidR="00A93088">
        <w:rPr>
          <w:rFonts w:ascii="Arial" w:eastAsia="Arial" w:hAnsi="Arial" w:cs="Arial"/>
          <w:i/>
        </w:rPr>
        <w:t>”</w:t>
      </w:r>
    </w:p>
    <w:p w14:paraId="1C700608" w14:textId="7E8B9377" w:rsidR="007B0802" w:rsidRPr="00907629" w:rsidRDefault="00907629" w:rsidP="007B0802">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En términos del artículo transcrito, </w:t>
      </w:r>
      <w:r w:rsidRPr="00907629">
        <w:rPr>
          <w:rFonts w:ascii="Arial" w:eastAsia="Arial" w:hAnsi="Arial" w:cs="Arial"/>
          <w:sz w:val="24"/>
          <w:szCs w:val="24"/>
        </w:rPr>
        <w:t>los actos consumados de modo irreparable</w:t>
      </w:r>
      <w:r w:rsidR="007B0802">
        <w:rPr>
          <w:rFonts w:ascii="Arial" w:eastAsia="Arial" w:hAnsi="Arial" w:cs="Arial"/>
          <w:sz w:val="24"/>
          <w:szCs w:val="24"/>
        </w:rPr>
        <w:t xml:space="preserve"> </w:t>
      </w:r>
      <w:r w:rsidRPr="00907629">
        <w:rPr>
          <w:rFonts w:ascii="Arial" w:eastAsia="Arial" w:hAnsi="Arial" w:cs="Arial"/>
          <w:sz w:val="24"/>
          <w:szCs w:val="24"/>
        </w:rPr>
        <w:t>son aquéllos que al realizarse en todos y cada uno de sus efectos y consecuencias, física y</w:t>
      </w:r>
      <w:r w:rsidR="007B0802">
        <w:rPr>
          <w:rFonts w:ascii="Arial" w:eastAsia="Arial" w:hAnsi="Arial" w:cs="Arial"/>
          <w:sz w:val="24"/>
          <w:szCs w:val="24"/>
        </w:rPr>
        <w:t xml:space="preserve"> </w:t>
      </w:r>
      <w:r w:rsidRPr="00907629">
        <w:rPr>
          <w:rFonts w:ascii="Arial" w:eastAsia="Arial" w:hAnsi="Arial" w:cs="Arial"/>
          <w:sz w:val="24"/>
          <w:szCs w:val="24"/>
        </w:rPr>
        <w:t>materialmente ya no pueden ser restituidos al estado en que se encontraban antes de las</w:t>
      </w:r>
      <w:r w:rsidR="007B0802">
        <w:rPr>
          <w:rFonts w:ascii="Arial" w:eastAsia="Arial" w:hAnsi="Arial" w:cs="Arial"/>
          <w:sz w:val="24"/>
          <w:szCs w:val="24"/>
        </w:rPr>
        <w:t xml:space="preserve"> violaciones reclamadas.</w:t>
      </w:r>
    </w:p>
    <w:p w14:paraId="4435C98F" w14:textId="43F9350E" w:rsidR="00655BB4" w:rsidRDefault="00907629" w:rsidP="005A7BF4">
      <w:pPr>
        <w:spacing w:line="360" w:lineRule="auto"/>
        <w:ind w:right="51" w:firstLine="567"/>
        <w:jc w:val="both"/>
        <w:rPr>
          <w:rFonts w:ascii="Arial" w:eastAsia="Arial" w:hAnsi="Arial" w:cs="Arial"/>
          <w:sz w:val="24"/>
          <w:szCs w:val="24"/>
        </w:rPr>
      </w:pPr>
      <w:r w:rsidRPr="00907629">
        <w:rPr>
          <w:rFonts w:ascii="Arial" w:eastAsia="Arial" w:hAnsi="Arial" w:cs="Arial"/>
          <w:sz w:val="24"/>
          <w:szCs w:val="24"/>
        </w:rPr>
        <w:t>En esta tesitura, para determinar si se está en</w:t>
      </w:r>
      <w:r w:rsidR="007B0802">
        <w:rPr>
          <w:rFonts w:ascii="Arial" w:eastAsia="Arial" w:hAnsi="Arial" w:cs="Arial"/>
          <w:sz w:val="24"/>
          <w:szCs w:val="24"/>
        </w:rPr>
        <w:t xml:space="preserve"> presencia de un acto consumado </w:t>
      </w:r>
      <w:r w:rsidRPr="00907629">
        <w:rPr>
          <w:rFonts w:ascii="Arial" w:eastAsia="Arial" w:hAnsi="Arial" w:cs="Arial"/>
          <w:sz w:val="24"/>
          <w:szCs w:val="24"/>
        </w:rPr>
        <w:t xml:space="preserve">de modo reparable o irreparable, se debe de atender a los efectos </w:t>
      </w:r>
      <w:r w:rsidRPr="00907629">
        <w:rPr>
          <w:rFonts w:ascii="Arial" w:eastAsia="Arial" w:hAnsi="Arial" w:cs="Arial"/>
          <w:sz w:val="24"/>
          <w:szCs w:val="24"/>
        </w:rPr>
        <w:lastRenderedPageBreak/>
        <w:t>y consecuencias de su</w:t>
      </w:r>
      <w:r w:rsidR="007B0802">
        <w:rPr>
          <w:rFonts w:ascii="Arial" w:eastAsia="Arial" w:hAnsi="Arial" w:cs="Arial"/>
          <w:sz w:val="24"/>
          <w:szCs w:val="24"/>
        </w:rPr>
        <w:t xml:space="preserve"> ejecución, es decir, los actos consumados de </w:t>
      </w:r>
      <w:r w:rsidR="00A20A50">
        <w:rPr>
          <w:rFonts w:ascii="Arial" w:eastAsia="Arial" w:hAnsi="Arial" w:cs="Arial"/>
          <w:sz w:val="24"/>
          <w:szCs w:val="24"/>
        </w:rPr>
        <w:t xml:space="preserve">modo irreparable </w:t>
      </w:r>
      <w:r w:rsidRPr="00907629">
        <w:rPr>
          <w:rFonts w:ascii="Arial" w:eastAsia="Arial" w:hAnsi="Arial" w:cs="Arial"/>
          <w:sz w:val="24"/>
          <w:szCs w:val="24"/>
        </w:rPr>
        <w:t>hacen improcedente el juicio de</w:t>
      </w:r>
      <w:r w:rsidR="005A7BF4">
        <w:rPr>
          <w:rFonts w:ascii="Arial" w:eastAsia="Arial" w:hAnsi="Arial" w:cs="Arial"/>
          <w:sz w:val="24"/>
          <w:szCs w:val="24"/>
        </w:rPr>
        <w:t xml:space="preserve"> nulidad</w:t>
      </w:r>
      <w:r w:rsidRPr="00907629">
        <w:rPr>
          <w:rFonts w:ascii="Arial" w:eastAsia="Arial" w:hAnsi="Arial" w:cs="Arial"/>
          <w:sz w:val="24"/>
          <w:szCs w:val="24"/>
        </w:rPr>
        <w:t xml:space="preserve"> po</w:t>
      </w:r>
      <w:r w:rsidR="005A7BF4">
        <w:rPr>
          <w:rFonts w:ascii="Arial" w:eastAsia="Arial" w:hAnsi="Arial" w:cs="Arial"/>
          <w:sz w:val="24"/>
          <w:szCs w:val="24"/>
        </w:rPr>
        <w:t>rque ni física ni materialmente</w:t>
      </w:r>
      <w:r w:rsidRPr="00907629">
        <w:rPr>
          <w:rFonts w:ascii="Arial" w:eastAsia="Arial" w:hAnsi="Arial" w:cs="Arial"/>
          <w:sz w:val="24"/>
          <w:szCs w:val="24"/>
        </w:rPr>
        <w:t xml:space="preserve"> puede obtenerse la</w:t>
      </w:r>
      <w:r w:rsidR="005A7BF4">
        <w:rPr>
          <w:rFonts w:ascii="Arial" w:eastAsia="Arial" w:hAnsi="Arial" w:cs="Arial"/>
          <w:sz w:val="24"/>
          <w:szCs w:val="24"/>
        </w:rPr>
        <w:t xml:space="preserve"> </w:t>
      </w:r>
      <w:r w:rsidRPr="00907629">
        <w:rPr>
          <w:rFonts w:ascii="Arial" w:eastAsia="Arial" w:hAnsi="Arial" w:cs="Arial"/>
          <w:sz w:val="24"/>
          <w:szCs w:val="24"/>
        </w:rPr>
        <w:t xml:space="preserve">restitución </w:t>
      </w:r>
      <w:r w:rsidR="005A7BF4">
        <w:rPr>
          <w:rFonts w:ascii="Arial" w:eastAsia="Arial" w:hAnsi="Arial" w:cs="Arial"/>
          <w:sz w:val="24"/>
          <w:szCs w:val="24"/>
        </w:rPr>
        <w:t>ocasionada por el acto impugnado</w:t>
      </w:r>
      <w:r w:rsidRPr="00907629">
        <w:rPr>
          <w:rFonts w:ascii="Arial" w:eastAsia="Arial" w:hAnsi="Arial" w:cs="Arial"/>
          <w:sz w:val="24"/>
          <w:szCs w:val="24"/>
        </w:rPr>
        <w:t>. Lo que significa que la naturaleza de los actos consumados</w:t>
      </w:r>
      <w:r w:rsidR="005A7BF4">
        <w:rPr>
          <w:rFonts w:ascii="Arial" w:eastAsia="Arial" w:hAnsi="Arial" w:cs="Arial"/>
          <w:sz w:val="24"/>
          <w:szCs w:val="24"/>
        </w:rPr>
        <w:t xml:space="preserve"> </w:t>
      </w:r>
      <w:r w:rsidRPr="00907629">
        <w:rPr>
          <w:rFonts w:ascii="Arial" w:eastAsia="Arial" w:hAnsi="Arial" w:cs="Arial"/>
          <w:sz w:val="24"/>
          <w:szCs w:val="24"/>
        </w:rPr>
        <w:t>debe atender a la reparabilidad f</w:t>
      </w:r>
      <w:r w:rsidR="005A7BF4">
        <w:rPr>
          <w:rFonts w:ascii="Arial" w:eastAsia="Arial" w:hAnsi="Arial" w:cs="Arial"/>
          <w:sz w:val="24"/>
          <w:szCs w:val="24"/>
        </w:rPr>
        <w:t xml:space="preserve">ísica y material de los mismos, </w:t>
      </w:r>
      <w:r w:rsidRPr="00907629">
        <w:rPr>
          <w:rFonts w:ascii="Arial" w:eastAsia="Arial" w:hAnsi="Arial" w:cs="Arial"/>
          <w:sz w:val="24"/>
          <w:szCs w:val="24"/>
        </w:rPr>
        <w:t>es decir, al hecho de que el gobernado pueda gozar jurídica y nuevamente del derecho que tiene</w:t>
      </w:r>
      <w:r w:rsidR="005A7BF4">
        <w:rPr>
          <w:rFonts w:ascii="Arial" w:eastAsia="Arial" w:hAnsi="Arial" w:cs="Arial"/>
          <w:sz w:val="24"/>
          <w:szCs w:val="24"/>
        </w:rPr>
        <w:t xml:space="preserve"> </w:t>
      </w:r>
      <w:r w:rsidRPr="00907629">
        <w:rPr>
          <w:rFonts w:ascii="Arial" w:eastAsia="Arial" w:hAnsi="Arial" w:cs="Arial"/>
          <w:sz w:val="24"/>
          <w:szCs w:val="24"/>
        </w:rPr>
        <w:t>tutelado, y que le fue transgredido, igual que antes de las violaciones cometidas</w:t>
      </w:r>
      <w:r w:rsidR="005A7BF4">
        <w:rPr>
          <w:rFonts w:ascii="Arial" w:eastAsia="Arial" w:hAnsi="Arial" w:cs="Arial"/>
          <w:sz w:val="24"/>
          <w:szCs w:val="24"/>
        </w:rPr>
        <w:t>.</w:t>
      </w:r>
    </w:p>
    <w:p w14:paraId="0EFF10AC" w14:textId="651F1862" w:rsidR="00355A36" w:rsidRDefault="00D21514" w:rsidP="00AA16B0">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En el presente caso, los actores demandan la nulidad del acta de infracción con número de folio </w:t>
      </w:r>
      <w:r w:rsidR="0076506A">
        <w:rPr>
          <w:rFonts w:ascii="Arial" w:eastAsia="Arial" w:hAnsi="Arial" w:cs="Arial"/>
          <w:b/>
          <w:color w:val="FF0000"/>
          <w:sz w:val="24"/>
          <w:szCs w:val="24"/>
        </w:rPr>
        <w:t>**********</w:t>
      </w:r>
      <w:r w:rsidR="00C30CC8" w:rsidRPr="00355A36">
        <w:rPr>
          <w:rFonts w:ascii="Arial" w:eastAsia="Arial" w:hAnsi="Arial" w:cs="Arial"/>
          <w:color w:val="FF0000"/>
          <w:sz w:val="24"/>
          <w:szCs w:val="24"/>
        </w:rPr>
        <w:t xml:space="preserve"> </w:t>
      </w:r>
      <w:r w:rsidR="00C30CC8">
        <w:rPr>
          <w:rFonts w:ascii="Arial" w:eastAsia="Arial" w:hAnsi="Arial" w:cs="Arial"/>
          <w:sz w:val="24"/>
          <w:szCs w:val="24"/>
        </w:rPr>
        <w:t xml:space="preserve">de nueve de agosto de dos mil diecinueve, </w:t>
      </w:r>
      <w:r w:rsidR="007711F5">
        <w:rPr>
          <w:rFonts w:ascii="Arial" w:eastAsia="Arial" w:hAnsi="Arial" w:cs="Arial"/>
          <w:sz w:val="24"/>
          <w:szCs w:val="24"/>
        </w:rPr>
        <w:t xml:space="preserve">el cual </w:t>
      </w:r>
      <w:r w:rsidR="00C30CC8">
        <w:rPr>
          <w:rFonts w:ascii="Arial" w:eastAsia="Arial" w:hAnsi="Arial" w:cs="Arial"/>
          <w:sz w:val="24"/>
          <w:szCs w:val="24"/>
        </w:rPr>
        <w:t xml:space="preserve">no reúne las características de un acto </w:t>
      </w:r>
      <w:r w:rsidR="007711F5">
        <w:rPr>
          <w:rFonts w:ascii="Arial" w:eastAsia="Arial" w:hAnsi="Arial" w:cs="Arial"/>
          <w:sz w:val="24"/>
          <w:szCs w:val="24"/>
        </w:rPr>
        <w:t>consumado de modo irreparabl</w:t>
      </w:r>
      <w:r w:rsidR="00355A36">
        <w:rPr>
          <w:rFonts w:ascii="Arial" w:eastAsia="Arial" w:hAnsi="Arial" w:cs="Arial"/>
          <w:sz w:val="24"/>
          <w:szCs w:val="24"/>
        </w:rPr>
        <w:t>e, en virtud de que las supuestas</w:t>
      </w:r>
      <w:r w:rsidR="007711F5">
        <w:rPr>
          <w:rFonts w:ascii="Arial" w:eastAsia="Arial" w:hAnsi="Arial" w:cs="Arial"/>
          <w:sz w:val="24"/>
          <w:szCs w:val="24"/>
        </w:rPr>
        <w:t xml:space="preserve"> violaciones cometidas por el acto impugnado, pueden ser reparadas con la sentencia favorable que en su caso de dicte, </w:t>
      </w:r>
      <w:r w:rsidR="00355A36">
        <w:rPr>
          <w:rFonts w:ascii="Arial" w:eastAsia="Arial" w:hAnsi="Arial" w:cs="Arial"/>
          <w:sz w:val="24"/>
          <w:szCs w:val="24"/>
        </w:rPr>
        <w:t xml:space="preserve">retrotrayendo los efectos al momento de su emisión y </w:t>
      </w:r>
      <w:r w:rsidR="007711F5">
        <w:rPr>
          <w:rFonts w:ascii="Arial" w:eastAsia="Arial" w:hAnsi="Arial" w:cs="Arial"/>
          <w:sz w:val="24"/>
          <w:szCs w:val="24"/>
        </w:rPr>
        <w:t xml:space="preserve">ordenando a la autoridad demandada cancelar el acta de infracción </w:t>
      </w:r>
      <w:r w:rsidR="00355A36">
        <w:rPr>
          <w:rFonts w:ascii="Arial" w:eastAsia="Arial" w:hAnsi="Arial" w:cs="Arial"/>
          <w:sz w:val="24"/>
          <w:szCs w:val="24"/>
        </w:rPr>
        <w:t>de su sistema digital, la devolución de la multa pagada con motivo de la infracción o en su caso ordenando la liberación y entrega de la garantía retenida con motivo de la infracci</w:t>
      </w:r>
      <w:r w:rsidR="00AA16B0">
        <w:rPr>
          <w:rFonts w:ascii="Arial" w:eastAsia="Arial" w:hAnsi="Arial" w:cs="Arial"/>
          <w:sz w:val="24"/>
          <w:szCs w:val="24"/>
        </w:rPr>
        <w:t>ón, lo que ocasionaría que los gobernados pudieran gozar nuevamente de los derechos que le fueron transgredidos.</w:t>
      </w:r>
    </w:p>
    <w:p w14:paraId="22230EA8" w14:textId="0B79EE64" w:rsidR="00AA16B0" w:rsidRPr="00C30CC8" w:rsidRDefault="00AA16B0" w:rsidP="00AA16B0">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Por lo que, el hecho </w:t>
      </w:r>
      <w:r w:rsidR="00894BF0">
        <w:rPr>
          <w:rFonts w:ascii="Arial" w:eastAsia="Arial" w:hAnsi="Arial" w:cs="Arial"/>
          <w:sz w:val="24"/>
          <w:szCs w:val="24"/>
        </w:rPr>
        <w:t xml:space="preserve">de que los actores hayan realizado el pago de la multa generada por el acta de infracción </w:t>
      </w:r>
      <w:r w:rsidR="007B3B92">
        <w:rPr>
          <w:rFonts w:ascii="Arial" w:eastAsia="Arial" w:hAnsi="Arial" w:cs="Arial"/>
          <w:sz w:val="24"/>
          <w:szCs w:val="24"/>
        </w:rPr>
        <w:t xml:space="preserve">con número de folio </w:t>
      </w:r>
      <w:r w:rsidR="0076506A">
        <w:rPr>
          <w:rFonts w:ascii="Arial" w:eastAsia="Arial" w:hAnsi="Arial" w:cs="Arial"/>
          <w:b/>
          <w:color w:val="FF0000"/>
          <w:sz w:val="24"/>
          <w:szCs w:val="24"/>
        </w:rPr>
        <w:t>**********</w:t>
      </w:r>
      <w:r w:rsidR="007B3B92" w:rsidRPr="00355A36">
        <w:rPr>
          <w:rFonts w:ascii="Arial" w:eastAsia="Arial" w:hAnsi="Arial" w:cs="Arial"/>
          <w:color w:val="FF0000"/>
          <w:sz w:val="24"/>
          <w:szCs w:val="24"/>
        </w:rPr>
        <w:t xml:space="preserve"> </w:t>
      </w:r>
      <w:r w:rsidR="007B3B92">
        <w:rPr>
          <w:rFonts w:ascii="Arial" w:eastAsia="Arial" w:hAnsi="Arial" w:cs="Arial"/>
          <w:sz w:val="24"/>
          <w:szCs w:val="24"/>
        </w:rPr>
        <w:t xml:space="preserve">de nueve de agosto de dos mil diecinueve, </w:t>
      </w:r>
      <w:r w:rsidR="00926386">
        <w:rPr>
          <w:rFonts w:ascii="Arial" w:eastAsia="Arial" w:hAnsi="Arial" w:cs="Arial"/>
          <w:sz w:val="24"/>
          <w:szCs w:val="24"/>
        </w:rPr>
        <w:t>no ocasiona que el acto impugnado sea co</w:t>
      </w:r>
      <w:r w:rsidR="00567174">
        <w:rPr>
          <w:rFonts w:ascii="Arial" w:eastAsia="Arial" w:hAnsi="Arial" w:cs="Arial"/>
          <w:sz w:val="24"/>
          <w:szCs w:val="24"/>
        </w:rPr>
        <w:t xml:space="preserve">nsumado de un modo irreparable, pues como ya se dijo, al declararse la nulidad del acto administrativo, se puede </w:t>
      </w:r>
      <w:r w:rsidR="0076506A">
        <w:rPr>
          <w:rFonts w:ascii="Arial" w:eastAsia="Arial" w:hAnsi="Arial" w:cs="Arial"/>
          <w:sz w:val="24"/>
          <w:szCs w:val="24"/>
        </w:rPr>
        <w:t>obtener física</w:t>
      </w:r>
      <w:r w:rsidR="00567174">
        <w:rPr>
          <w:rFonts w:ascii="Arial" w:eastAsia="Arial" w:hAnsi="Arial" w:cs="Arial"/>
          <w:sz w:val="24"/>
          <w:szCs w:val="24"/>
        </w:rPr>
        <w:t xml:space="preserve"> y materialmente</w:t>
      </w:r>
      <w:r w:rsidR="00567174" w:rsidRPr="00907629">
        <w:rPr>
          <w:rFonts w:ascii="Arial" w:eastAsia="Arial" w:hAnsi="Arial" w:cs="Arial"/>
          <w:sz w:val="24"/>
          <w:szCs w:val="24"/>
        </w:rPr>
        <w:t xml:space="preserve"> la</w:t>
      </w:r>
      <w:r w:rsidR="00567174">
        <w:rPr>
          <w:rFonts w:ascii="Arial" w:eastAsia="Arial" w:hAnsi="Arial" w:cs="Arial"/>
          <w:sz w:val="24"/>
          <w:szCs w:val="24"/>
        </w:rPr>
        <w:t xml:space="preserve"> </w:t>
      </w:r>
      <w:r w:rsidR="00567174" w:rsidRPr="00907629">
        <w:rPr>
          <w:rFonts w:ascii="Arial" w:eastAsia="Arial" w:hAnsi="Arial" w:cs="Arial"/>
          <w:sz w:val="24"/>
          <w:szCs w:val="24"/>
        </w:rPr>
        <w:t xml:space="preserve">restitución </w:t>
      </w:r>
      <w:r w:rsidR="00567174">
        <w:rPr>
          <w:rFonts w:ascii="Arial" w:eastAsia="Arial" w:hAnsi="Arial" w:cs="Arial"/>
          <w:sz w:val="24"/>
          <w:szCs w:val="24"/>
        </w:rPr>
        <w:t>ocasionada por el acto impugnado</w:t>
      </w:r>
    </w:p>
    <w:p w14:paraId="00000023" w14:textId="1E60DBF6" w:rsidR="002354BD" w:rsidRDefault="00567174">
      <w:pPr>
        <w:spacing w:line="360" w:lineRule="auto"/>
        <w:ind w:firstLine="567"/>
        <w:jc w:val="both"/>
        <w:rPr>
          <w:rFonts w:ascii="Arial" w:eastAsia="Arial" w:hAnsi="Arial" w:cs="Arial"/>
          <w:b/>
          <w:sz w:val="24"/>
          <w:szCs w:val="24"/>
        </w:rPr>
      </w:pPr>
      <w:r>
        <w:rPr>
          <w:rFonts w:ascii="Arial" w:eastAsia="Arial" w:hAnsi="Arial" w:cs="Arial"/>
          <w:sz w:val="24"/>
          <w:szCs w:val="24"/>
        </w:rPr>
        <w:t>Por tal razón</w:t>
      </w:r>
      <w:r w:rsidR="00A93088">
        <w:rPr>
          <w:rFonts w:ascii="Arial" w:eastAsia="Arial" w:hAnsi="Arial" w:cs="Arial"/>
          <w:sz w:val="24"/>
          <w:szCs w:val="24"/>
        </w:rPr>
        <w:t>, no se configura la causal de improcedencia solicitada por la autoridad demandada</w:t>
      </w:r>
      <w:r>
        <w:rPr>
          <w:rFonts w:ascii="Arial" w:eastAsia="Arial" w:hAnsi="Arial" w:cs="Arial"/>
          <w:sz w:val="24"/>
          <w:szCs w:val="24"/>
        </w:rPr>
        <w:t>;</w:t>
      </w:r>
      <w:r w:rsidR="00A93088">
        <w:rPr>
          <w:rFonts w:ascii="Arial" w:eastAsia="Arial" w:hAnsi="Arial" w:cs="Arial"/>
          <w:sz w:val="24"/>
          <w:szCs w:val="24"/>
        </w:rPr>
        <w:t xml:space="preserve"> y en consecuencia</w:t>
      </w:r>
      <w:r>
        <w:rPr>
          <w:rFonts w:ascii="Arial" w:eastAsia="Arial" w:hAnsi="Arial" w:cs="Arial"/>
          <w:sz w:val="24"/>
          <w:szCs w:val="24"/>
        </w:rPr>
        <w:t>, al no actualizarse ninguna causal de improcedencia y sobreseimiento,</w:t>
      </w:r>
      <w:r w:rsidR="00A93088">
        <w:rPr>
          <w:rFonts w:ascii="Arial" w:eastAsia="Arial" w:hAnsi="Arial" w:cs="Arial"/>
          <w:sz w:val="24"/>
          <w:szCs w:val="24"/>
        </w:rPr>
        <w:t xml:space="preserve"> </w:t>
      </w:r>
      <w:r w:rsidR="00A93088">
        <w:rPr>
          <w:rFonts w:ascii="Arial" w:eastAsia="Arial" w:hAnsi="Arial" w:cs="Arial"/>
          <w:b/>
          <w:sz w:val="24"/>
          <w:szCs w:val="24"/>
        </w:rPr>
        <w:t>NO SE SOBRESEE EL JUICIO.</w:t>
      </w:r>
    </w:p>
    <w:p w14:paraId="4E8D9DAA" w14:textId="77777777" w:rsidR="004E4D1B" w:rsidRDefault="00A93088">
      <w:pPr>
        <w:spacing w:after="0" w:line="360" w:lineRule="auto"/>
        <w:ind w:right="-93" w:firstLine="709"/>
        <w:jc w:val="both"/>
        <w:rPr>
          <w:rFonts w:ascii="Arial" w:eastAsia="Arial" w:hAnsi="Arial" w:cs="Arial"/>
          <w:sz w:val="24"/>
          <w:szCs w:val="24"/>
        </w:rPr>
      </w:pPr>
      <w:r>
        <w:rPr>
          <w:rFonts w:ascii="Arial" w:eastAsia="Arial" w:hAnsi="Arial" w:cs="Arial"/>
          <w:b/>
          <w:sz w:val="24"/>
          <w:szCs w:val="24"/>
        </w:rPr>
        <w:t xml:space="preserve"> CUARTO. </w:t>
      </w:r>
      <w:r>
        <w:rPr>
          <w:rFonts w:ascii="Arial" w:eastAsia="Arial" w:hAnsi="Arial" w:cs="Arial"/>
          <w:sz w:val="24"/>
          <w:szCs w:val="24"/>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599D1162" w14:textId="77777777" w:rsidR="004E4D1B" w:rsidRDefault="004E4D1B" w:rsidP="004E4D1B">
      <w:pPr>
        <w:spacing w:line="360" w:lineRule="auto"/>
        <w:ind w:right="51" w:firstLine="567"/>
        <w:jc w:val="both"/>
        <w:rPr>
          <w:rFonts w:ascii="Arial" w:eastAsia="Arial" w:hAnsi="Arial" w:cs="Arial"/>
          <w:color w:val="000000"/>
          <w:sz w:val="24"/>
          <w:szCs w:val="24"/>
        </w:rPr>
      </w:pPr>
      <w:r>
        <w:rPr>
          <w:rFonts w:ascii="Arial" w:eastAsia="Arial" w:hAnsi="Arial" w:cs="Arial"/>
          <w:color w:val="000000"/>
          <w:sz w:val="24"/>
          <w:szCs w:val="24"/>
        </w:rPr>
        <w:t>Sirve de apoyo a lo anterior la jurisprudencia de datos, rubro y texto siguientes:</w:t>
      </w:r>
    </w:p>
    <w:p w14:paraId="79B0B0B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Registro digital: </w:t>
      </w:r>
      <w:r>
        <w:rPr>
          <w:rFonts w:ascii="Arial" w:eastAsia="Arial" w:hAnsi="Arial" w:cs="Arial"/>
          <w:color w:val="000000"/>
        </w:rPr>
        <w:t>164618</w:t>
      </w:r>
    </w:p>
    <w:p w14:paraId="0A79688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Pr>
          <w:rFonts w:ascii="Arial" w:eastAsia="Arial" w:hAnsi="Arial" w:cs="Arial"/>
          <w:color w:val="000000"/>
        </w:rPr>
        <w:t>Segunda Sala</w:t>
      </w:r>
    </w:p>
    <w:p w14:paraId="6EACC90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Novena Época</w:t>
      </w:r>
    </w:p>
    <w:p w14:paraId="75AA0423"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Materia(s): </w:t>
      </w:r>
      <w:r>
        <w:rPr>
          <w:rFonts w:ascii="Arial" w:eastAsia="Arial" w:hAnsi="Arial" w:cs="Arial"/>
          <w:color w:val="000000"/>
        </w:rPr>
        <w:t>Común</w:t>
      </w:r>
    </w:p>
    <w:p w14:paraId="166D9BD8"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lastRenderedPageBreak/>
        <w:t xml:space="preserve">Tesis: </w:t>
      </w:r>
      <w:r>
        <w:rPr>
          <w:rFonts w:ascii="Arial" w:eastAsia="Arial" w:hAnsi="Arial" w:cs="Arial"/>
          <w:color w:val="000000"/>
        </w:rPr>
        <w:t>2a./J. 58/2010</w:t>
      </w:r>
    </w:p>
    <w:p w14:paraId="06005AF4"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Fuente: </w:t>
      </w:r>
      <w:r>
        <w:rPr>
          <w:rFonts w:ascii="Arial" w:eastAsia="Arial" w:hAnsi="Arial" w:cs="Arial"/>
          <w:color w:val="000000"/>
        </w:rPr>
        <w:t>Semanario Judicial de la Federación y su Gaceta.</w:t>
      </w:r>
      <w:r>
        <w:rPr>
          <w:rFonts w:ascii="Arial" w:eastAsia="Arial" w:hAnsi="Arial" w:cs="Arial"/>
          <w:color w:val="000000"/>
        </w:rPr>
        <w:br/>
        <w:t>Tomo XXXI, Mayo de 2010, página 830</w:t>
      </w:r>
    </w:p>
    <w:p w14:paraId="56ADFFEE" w14:textId="77777777" w:rsidR="004E4D1B" w:rsidRDefault="004E4D1B" w:rsidP="004E4D1B">
      <w:pPr>
        <w:spacing w:after="0" w:line="240" w:lineRule="auto"/>
        <w:ind w:left="567" w:right="332"/>
        <w:jc w:val="both"/>
        <w:rPr>
          <w:rFonts w:ascii="Arial" w:eastAsia="Arial" w:hAnsi="Arial" w:cs="Arial"/>
          <w:color w:val="000000"/>
        </w:rPr>
      </w:pPr>
    </w:p>
    <w:p w14:paraId="6C403DA0" w14:textId="77777777" w:rsidR="004E4D1B" w:rsidRDefault="004E4D1B" w:rsidP="004E4D1B">
      <w:pPr>
        <w:spacing w:after="0" w:line="240" w:lineRule="auto"/>
        <w:ind w:left="567" w:right="332"/>
        <w:jc w:val="both"/>
        <w:rPr>
          <w:rFonts w:ascii="Arial" w:eastAsia="Arial" w:hAnsi="Arial" w:cs="Arial"/>
          <w:b/>
          <w:bCs/>
          <w:color w:val="000000"/>
        </w:rPr>
      </w:pPr>
      <w:r>
        <w:rPr>
          <w:rFonts w:ascii="Arial" w:eastAsia="Arial" w:hAnsi="Arial" w:cs="Arial"/>
          <w:b/>
          <w:bCs/>
          <w:color w:val="000000"/>
        </w:rPr>
        <w:t>CONCEPTOS DE VIOLACIÓN O AGRAVIOS. PARA CUMPLIR CON LOS PRINCIPIOS DE CONGRUENCIA Y EXHAUSTIVIDAD EN LAS SENTENCIAS DE AMPARO ES INNECESARIA SU TRANSCRIPCIÓN.</w:t>
      </w:r>
    </w:p>
    <w:p w14:paraId="7789201A" w14:textId="77777777" w:rsidR="004E4D1B" w:rsidRDefault="004E4D1B" w:rsidP="004E4D1B">
      <w:pPr>
        <w:spacing w:after="0" w:line="240" w:lineRule="auto"/>
        <w:ind w:left="567" w:right="332"/>
        <w:jc w:val="both"/>
        <w:rPr>
          <w:rFonts w:ascii="Arial" w:eastAsia="Arial" w:hAnsi="Arial" w:cs="Arial"/>
          <w:b/>
          <w:bCs/>
          <w:color w:val="000000"/>
        </w:rPr>
      </w:pPr>
    </w:p>
    <w:p w14:paraId="62A184BF"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color w:val="00000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96E849A" w14:textId="77777777" w:rsidR="004E4D1B" w:rsidRDefault="004E4D1B" w:rsidP="004E4D1B">
      <w:pPr>
        <w:spacing w:after="0" w:line="240" w:lineRule="auto"/>
        <w:ind w:left="567" w:right="332"/>
        <w:jc w:val="both"/>
        <w:rPr>
          <w:rFonts w:ascii="Arial" w:eastAsia="Arial" w:hAnsi="Arial" w:cs="Arial"/>
          <w:color w:val="000000"/>
        </w:rPr>
      </w:pPr>
    </w:p>
    <w:p w14:paraId="4FE1F364"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2A432F4D" w14:textId="77777777" w:rsidR="004E4D1B" w:rsidRDefault="004E4D1B" w:rsidP="004E4D1B">
      <w:pPr>
        <w:spacing w:after="0" w:line="240" w:lineRule="auto"/>
        <w:ind w:left="567" w:right="332"/>
        <w:jc w:val="both"/>
        <w:rPr>
          <w:rFonts w:ascii="Arial" w:eastAsia="Arial" w:hAnsi="Arial" w:cs="Arial"/>
          <w:color w:val="000000"/>
        </w:rPr>
      </w:pPr>
    </w:p>
    <w:p w14:paraId="6E7A6CF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color w:val="000000"/>
        </w:rPr>
        <w:t>Tesis de jurisprudencia 58/2010. Aprobada por la Segunda Sala de este Alto Tribunal, en sesión privada del doce de mayo de dos mil diez.</w:t>
      </w:r>
    </w:p>
    <w:p w14:paraId="00000026" w14:textId="77777777" w:rsidR="002354BD" w:rsidRDefault="002354BD">
      <w:pPr>
        <w:spacing w:after="0" w:line="360" w:lineRule="auto"/>
        <w:ind w:right="-93"/>
        <w:jc w:val="both"/>
        <w:rPr>
          <w:rFonts w:ascii="Arial" w:eastAsia="Arial" w:hAnsi="Arial" w:cs="Arial"/>
          <w:b/>
          <w:sz w:val="24"/>
          <w:szCs w:val="24"/>
        </w:rPr>
      </w:pPr>
    </w:p>
    <w:p w14:paraId="00000027" w14:textId="7E1B08FF" w:rsidR="002354BD" w:rsidRDefault="00A93088" w:rsidP="00C96414">
      <w:pPr>
        <w:spacing w:line="360" w:lineRule="auto"/>
        <w:ind w:right="-93" w:firstLine="709"/>
        <w:jc w:val="both"/>
        <w:rPr>
          <w:rFonts w:ascii="Arial" w:eastAsia="Arial" w:hAnsi="Arial" w:cs="Arial"/>
          <w:sz w:val="24"/>
          <w:szCs w:val="24"/>
        </w:rPr>
      </w:pPr>
      <w:bookmarkStart w:id="0" w:name="_heading=h.gjdgxs" w:colFirst="0" w:colLast="0"/>
      <w:bookmarkEnd w:id="0"/>
      <w:r>
        <w:rPr>
          <w:rFonts w:ascii="Arial" w:eastAsia="Arial" w:hAnsi="Arial" w:cs="Arial"/>
          <w:b/>
          <w:sz w:val="24"/>
          <w:szCs w:val="24"/>
        </w:rPr>
        <w:t>QUINTO. Análisis del fondo del asunto</w:t>
      </w:r>
      <w:r>
        <w:rPr>
          <w:rFonts w:ascii="Arial" w:eastAsia="Arial" w:hAnsi="Arial" w:cs="Arial"/>
          <w:sz w:val="24"/>
          <w:szCs w:val="24"/>
        </w:rPr>
        <w:t>.</w:t>
      </w:r>
      <w:r>
        <w:rPr>
          <w:rFonts w:ascii="Arial" w:eastAsia="Arial" w:hAnsi="Arial" w:cs="Arial"/>
          <w:b/>
          <w:sz w:val="24"/>
          <w:szCs w:val="24"/>
        </w:rPr>
        <w:t xml:space="preserve"> </w:t>
      </w:r>
      <w:r w:rsidR="00C96414">
        <w:rPr>
          <w:rFonts w:ascii="Arial" w:eastAsia="Arial" w:hAnsi="Arial" w:cs="Arial"/>
          <w:sz w:val="24"/>
          <w:szCs w:val="24"/>
        </w:rPr>
        <w:t xml:space="preserve">Los actores </w:t>
      </w:r>
      <w:r w:rsidR="00FD2A78">
        <w:rPr>
          <w:rFonts w:ascii="Arial" w:eastAsia="Arial" w:hAnsi="Arial" w:cs="Arial"/>
          <w:b/>
          <w:color w:val="FF0000"/>
          <w:sz w:val="24"/>
          <w:szCs w:val="24"/>
        </w:rPr>
        <w:t>**********</w:t>
      </w:r>
      <w:r w:rsidR="00C96414" w:rsidRPr="006279C8">
        <w:rPr>
          <w:rFonts w:ascii="Arial" w:eastAsia="Arial" w:hAnsi="Arial" w:cs="Arial"/>
          <w:b/>
          <w:color w:val="FF0000"/>
          <w:sz w:val="24"/>
          <w:szCs w:val="24"/>
        </w:rPr>
        <w:t xml:space="preserve"> </w:t>
      </w:r>
      <w:r w:rsidR="00C96414">
        <w:rPr>
          <w:rFonts w:ascii="Arial" w:eastAsia="Arial" w:hAnsi="Arial" w:cs="Arial"/>
          <w:sz w:val="24"/>
          <w:szCs w:val="24"/>
        </w:rPr>
        <w:t xml:space="preserve">y </w:t>
      </w:r>
      <w:r w:rsidR="00FD2A78">
        <w:rPr>
          <w:rFonts w:ascii="Arial" w:eastAsia="Arial" w:hAnsi="Arial" w:cs="Arial"/>
          <w:b/>
          <w:color w:val="FF0000"/>
          <w:sz w:val="24"/>
          <w:szCs w:val="24"/>
        </w:rPr>
        <w:t>**********</w:t>
      </w:r>
      <w:r w:rsidR="00C96414">
        <w:rPr>
          <w:rFonts w:ascii="Arial" w:eastAsia="Arial" w:hAnsi="Arial" w:cs="Arial"/>
          <w:sz w:val="24"/>
          <w:szCs w:val="24"/>
        </w:rPr>
        <w:t xml:space="preserve">, en representación de la persona moral denominada </w:t>
      </w:r>
      <w:r w:rsidR="0076506A">
        <w:rPr>
          <w:rFonts w:ascii="Arial" w:eastAsia="Arial" w:hAnsi="Arial" w:cs="Arial"/>
          <w:b/>
          <w:color w:val="FF0000"/>
          <w:sz w:val="24"/>
          <w:szCs w:val="24"/>
        </w:rPr>
        <w:t>**********</w:t>
      </w:r>
      <w:r w:rsidR="00C96414">
        <w:rPr>
          <w:rFonts w:ascii="Arial" w:eastAsia="Arial" w:hAnsi="Arial" w:cs="Arial"/>
          <w:sz w:val="24"/>
          <w:szCs w:val="24"/>
        </w:rPr>
        <w:t>, demandaron</w:t>
      </w:r>
      <w:r>
        <w:rPr>
          <w:rFonts w:ascii="Arial" w:eastAsia="Arial" w:hAnsi="Arial" w:cs="Arial"/>
          <w:sz w:val="24"/>
          <w:szCs w:val="24"/>
        </w:rPr>
        <w:t xml:space="preserve"> la nulidad del acta de infracción con número de folio </w:t>
      </w:r>
      <w:r w:rsidR="0076506A">
        <w:rPr>
          <w:rFonts w:ascii="Arial" w:eastAsia="Arial" w:hAnsi="Arial" w:cs="Arial"/>
          <w:color w:val="FF0000"/>
          <w:sz w:val="24"/>
          <w:szCs w:val="24"/>
        </w:rPr>
        <w:t>**********</w:t>
      </w:r>
      <w:r>
        <w:rPr>
          <w:rFonts w:ascii="Arial" w:eastAsia="Arial" w:hAnsi="Arial" w:cs="Arial"/>
          <w:sz w:val="24"/>
          <w:szCs w:val="24"/>
        </w:rPr>
        <w:t xml:space="preserve"> de </w:t>
      </w:r>
      <w:r w:rsidR="00C96414">
        <w:rPr>
          <w:rFonts w:ascii="Arial" w:eastAsia="Arial" w:hAnsi="Arial" w:cs="Arial"/>
          <w:sz w:val="24"/>
          <w:szCs w:val="24"/>
        </w:rPr>
        <w:t>nueve de agosto de dos mil diecinueve</w:t>
      </w:r>
      <w:r>
        <w:rPr>
          <w:rFonts w:ascii="Arial" w:eastAsia="Arial" w:hAnsi="Arial" w:cs="Arial"/>
          <w:sz w:val="24"/>
          <w:szCs w:val="24"/>
        </w:rPr>
        <w:t xml:space="preserve">, emitida por </w:t>
      </w:r>
      <w:r w:rsidR="00C96414">
        <w:rPr>
          <w:rFonts w:ascii="Arial" w:eastAsia="Arial" w:hAnsi="Arial" w:cs="Arial"/>
          <w:sz w:val="24"/>
          <w:szCs w:val="24"/>
        </w:rPr>
        <w:t xml:space="preserve">el </w:t>
      </w:r>
      <w:r>
        <w:rPr>
          <w:rFonts w:ascii="Arial" w:eastAsia="Arial" w:hAnsi="Arial" w:cs="Arial"/>
          <w:sz w:val="24"/>
          <w:szCs w:val="24"/>
        </w:rPr>
        <w:t>Policía Vi</w:t>
      </w:r>
      <w:r w:rsidR="00C96414">
        <w:rPr>
          <w:rFonts w:ascii="Arial" w:eastAsia="Arial" w:hAnsi="Arial" w:cs="Arial"/>
          <w:sz w:val="24"/>
          <w:szCs w:val="24"/>
        </w:rPr>
        <w:t xml:space="preserve">al con número estadístico PV-318 </w:t>
      </w:r>
      <w:r>
        <w:rPr>
          <w:rFonts w:ascii="Arial" w:eastAsia="Arial" w:hAnsi="Arial" w:cs="Arial"/>
          <w:sz w:val="24"/>
          <w:szCs w:val="24"/>
        </w:rPr>
        <w:t>adscrito a la Dirección de Tránsito del Estado de la Dirección General de la Policía Vial Estatal de la Secretaría de Seguridad Pública del Estado de Oaxaca.</w:t>
      </w:r>
    </w:p>
    <w:p w14:paraId="7D9184D2" w14:textId="190040C7" w:rsidR="00461EED" w:rsidRDefault="00461EED" w:rsidP="00C96414">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Por ello, se procede a analizar los conceptos de impugnación </w:t>
      </w:r>
      <w:r w:rsidR="00B70382">
        <w:rPr>
          <w:rFonts w:ascii="Arial" w:eastAsia="Arial" w:hAnsi="Arial" w:cs="Arial"/>
          <w:b/>
          <w:sz w:val="24"/>
          <w:szCs w:val="24"/>
        </w:rPr>
        <w:t>SEGUNDO</w:t>
      </w:r>
      <w:r>
        <w:rPr>
          <w:rFonts w:ascii="Arial" w:eastAsia="Arial" w:hAnsi="Arial" w:cs="Arial"/>
          <w:b/>
          <w:sz w:val="24"/>
          <w:szCs w:val="24"/>
        </w:rPr>
        <w:t xml:space="preserve"> Y SEXTO</w:t>
      </w:r>
      <w:r>
        <w:rPr>
          <w:rFonts w:ascii="Arial" w:eastAsia="Arial" w:hAnsi="Arial" w:cs="Arial"/>
          <w:sz w:val="24"/>
          <w:szCs w:val="24"/>
        </w:rPr>
        <w:t>, por ser los conceptos de impugnación que de resultar fundados, otorgaría mayor beneficio a los actores.</w:t>
      </w:r>
    </w:p>
    <w:p w14:paraId="73983571" w14:textId="07C76607" w:rsidR="00461EED" w:rsidRDefault="00461EED" w:rsidP="00C96414">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En dichos conceptos de impugnación, </w:t>
      </w:r>
      <w:r w:rsidR="004C0D54">
        <w:rPr>
          <w:rFonts w:ascii="Arial" w:eastAsia="Arial" w:hAnsi="Arial" w:cs="Arial"/>
          <w:sz w:val="24"/>
          <w:szCs w:val="24"/>
        </w:rPr>
        <w:t xml:space="preserve">los actores refutan la falta de fundamentación y motivación de la autoridad que emitió el acta de infracción </w:t>
      </w:r>
      <w:r w:rsidR="0076506A">
        <w:rPr>
          <w:rFonts w:ascii="Arial" w:eastAsia="Arial" w:hAnsi="Arial" w:cs="Arial"/>
          <w:b/>
          <w:color w:val="FF0000"/>
          <w:sz w:val="24"/>
          <w:szCs w:val="24"/>
        </w:rPr>
        <w:t>**********</w:t>
      </w:r>
      <w:r w:rsidR="004C0D54">
        <w:rPr>
          <w:rFonts w:ascii="Arial" w:eastAsia="Arial" w:hAnsi="Arial" w:cs="Arial"/>
          <w:sz w:val="24"/>
          <w:szCs w:val="24"/>
        </w:rPr>
        <w:t xml:space="preserve"> de nueve de agosto de dos mil diecinueve, </w:t>
      </w:r>
      <w:r w:rsidR="00EC3219">
        <w:rPr>
          <w:rFonts w:ascii="Arial" w:eastAsia="Arial" w:hAnsi="Arial" w:cs="Arial"/>
          <w:sz w:val="24"/>
          <w:szCs w:val="24"/>
        </w:rPr>
        <w:t>indicando que el Policía Vial con número estadístico PV-318, adscrito a la Dirección General de la Policía Vial Estatal</w:t>
      </w:r>
      <w:r w:rsidR="00B12DB2">
        <w:rPr>
          <w:rFonts w:ascii="Arial" w:eastAsia="Arial" w:hAnsi="Arial" w:cs="Arial"/>
          <w:sz w:val="24"/>
          <w:szCs w:val="24"/>
        </w:rPr>
        <w:t xml:space="preserve">, fundó su competencia en la Ley de Tránsito Reformada, cuando esta ya había sido abrogada por la Ley de </w:t>
      </w:r>
      <w:r w:rsidR="00B70382">
        <w:rPr>
          <w:rFonts w:ascii="Arial" w:eastAsia="Arial" w:hAnsi="Arial" w:cs="Arial"/>
          <w:sz w:val="24"/>
          <w:szCs w:val="24"/>
        </w:rPr>
        <w:t xml:space="preserve">Tránsito, Movilidad y Vialidad </w:t>
      </w:r>
      <w:r w:rsidR="00B70382">
        <w:rPr>
          <w:rFonts w:ascii="Arial" w:eastAsia="Arial" w:hAnsi="Arial" w:cs="Arial"/>
          <w:sz w:val="24"/>
          <w:szCs w:val="24"/>
        </w:rPr>
        <w:lastRenderedPageBreak/>
        <w:t>del Estado de Oaxaca; además, que el acta de infracción impugnada es ilegal en virtud de que en ella no se indicaron de forma precisa los preceptos legales que apoyen la competencia material y territorial del Policía Via</w:t>
      </w:r>
      <w:r w:rsidR="00111EA8">
        <w:rPr>
          <w:rFonts w:ascii="Arial" w:eastAsia="Arial" w:hAnsi="Arial" w:cs="Arial"/>
          <w:sz w:val="24"/>
          <w:szCs w:val="24"/>
        </w:rPr>
        <w:t>l, pues ninguno de los artículos que cita en el acto impugnado, prevé la existencia de la figura de policía vial.</w:t>
      </w:r>
    </w:p>
    <w:p w14:paraId="2AF955A3" w14:textId="56628A1E" w:rsidR="00111EA8" w:rsidRDefault="00111EA8" w:rsidP="00C96414">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Por lo que, esta juzgadora considera que </w:t>
      </w:r>
      <w:r w:rsidRPr="00111EA8">
        <w:rPr>
          <w:rFonts w:ascii="Arial" w:eastAsia="Arial" w:hAnsi="Arial" w:cs="Arial"/>
          <w:b/>
          <w:sz w:val="24"/>
          <w:szCs w:val="24"/>
        </w:rPr>
        <w:t>son sustancialmente fundados</w:t>
      </w:r>
      <w:r>
        <w:rPr>
          <w:rFonts w:ascii="Arial" w:eastAsia="Arial" w:hAnsi="Arial" w:cs="Arial"/>
          <w:sz w:val="24"/>
          <w:szCs w:val="24"/>
        </w:rPr>
        <w:t xml:space="preserve"> los conceptos de impugnación en análisis, por las siguientes consideraciones:</w:t>
      </w:r>
    </w:p>
    <w:p w14:paraId="1D598EBF" w14:textId="6574E6F8" w:rsidR="00111EA8" w:rsidRDefault="00111EA8" w:rsidP="00C96414">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El Policía Vial con número estadístico PV-318, adscrito a la Dirección General de la Policía Vial Estatal, al emitir el acta de infracción de infracción </w:t>
      </w:r>
      <w:r w:rsidR="0076506A">
        <w:rPr>
          <w:rFonts w:ascii="Arial" w:eastAsia="Arial" w:hAnsi="Arial" w:cs="Arial"/>
          <w:b/>
          <w:color w:val="FF0000"/>
          <w:sz w:val="24"/>
          <w:szCs w:val="24"/>
        </w:rPr>
        <w:t>**********</w:t>
      </w:r>
      <w:r>
        <w:rPr>
          <w:rFonts w:ascii="Arial" w:eastAsia="Arial" w:hAnsi="Arial" w:cs="Arial"/>
          <w:sz w:val="24"/>
          <w:szCs w:val="24"/>
        </w:rPr>
        <w:t xml:space="preserve"> de nueve de agosto de dos mil diecinueve, fundó su competencia de la siguiente manera:</w:t>
      </w:r>
    </w:p>
    <w:p w14:paraId="1CE49035" w14:textId="1B56AADD" w:rsidR="00730330" w:rsidRPr="00730330" w:rsidRDefault="00730330" w:rsidP="00730330">
      <w:pPr>
        <w:spacing w:line="360" w:lineRule="auto"/>
        <w:ind w:right="51" w:firstLine="567"/>
        <w:jc w:val="both"/>
        <w:rPr>
          <w:rFonts w:ascii="Arial" w:eastAsiaTheme="minorHAnsi" w:hAnsi="Arial" w:cs="Arial"/>
          <w:sz w:val="24"/>
          <w:szCs w:val="24"/>
          <w:lang w:eastAsia="en-US"/>
        </w:rPr>
      </w:pPr>
      <w:r>
        <w:rPr>
          <w:rFonts w:ascii="Arial" w:eastAsiaTheme="minorHAnsi" w:hAnsi="Arial" w:cs="Arial"/>
          <w:i/>
          <w:sz w:val="24"/>
          <w:szCs w:val="24"/>
          <w:lang w:eastAsia="en-US"/>
        </w:rPr>
        <w:t xml:space="preserve">“Conforme a lo establecido en </w:t>
      </w:r>
      <w:r w:rsidRPr="00730330">
        <w:rPr>
          <w:rFonts w:ascii="Arial" w:eastAsiaTheme="minorHAnsi" w:hAnsi="Arial" w:cs="Arial"/>
          <w:i/>
          <w:sz w:val="24"/>
          <w:szCs w:val="24"/>
          <w:lang w:eastAsia="en-US"/>
        </w:rPr>
        <w:t xml:space="preserve">los artículos 21, párrafos cuarto y octavo de la Constitución Política del Estado Libre y Soberano de Oaxaca; 1, 2, 3, 6 y 47, fracción XXXI de la Ley del Sistema Estatal de Seguridad Pública de Oaxaca; </w:t>
      </w:r>
      <w:r w:rsidRPr="00730330">
        <w:rPr>
          <w:rFonts w:ascii="Arial" w:eastAsiaTheme="minorHAnsi" w:hAnsi="Arial" w:cs="Arial"/>
          <w:b/>
          <w:i/>
          <w:sz w:val="24"/>
          <w:szCs w:val="24"/>
          <w:lang w:eastAsia="en-US"/>
        </w:rPr>
        <w:t>1, 2, 3, 8 fracciones I y VIII; 9 fracción I; 10, fracciones I, V y VI; 11 fracciones II, III y IV: 12 fracciones III y IV; y 30 fracciones I, II, III y V, de la Ley de Tránsito Reformada</w:t>
      </w:r>
      <w:r w:rsidRPr="00730330">
        <w:rPr>
          <w:rFonts w:ascii="Arial" w:eastAsiaTheme="minorHAnsi" w:hAnsi="Arial" w:cs="Arial"/>
          <w:i/>
          <w:sz w:val="24"/>
          <w:szCs w:val="24"/>
          <w:lang w:eastAsia="en-US"/>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p>
    <w:p w14:paraId="56CEE489" w14:textId="0EEA19F7" w:rsidR="00053D29" w:rsidRDefault="00053D29" w:rsidP="00053D29">
      <w:pPr>
        <w:spacing w:line="360" w:lineRule="auto"/>
        <w:ind w:firstLine="567"/>
        <w:jc w:val="both"/>
        <w:rPr>
          <w:rFonts w:ascii="Arial" w:eastAsiaTheme="minorHAnsi" w:hAnsi="Arial" w:cs="Arial"/>
          <w:sz w:val="24"/>
          <w:szCs w:val="24"/>
          <w:lang w:eastAsia="en-US"/>
        </w:rPr>
      </w:pPr>
      <w:r w:rsidRPr="00053D29">
        <w:rPr>
          <w:rFonts w:ascii="Arial" w:eastAsia="Times New Roman" w:hAnsi="Arial" w:cs="Arial"/>
          <w:sz w:val="24"/>
          <w:szCs w:val="24"/>
          <w:lang w:val="es-ES" w:eastAsia="en-US"/>
        </w:rPr>
        <w:t>De lo anterior se advierte, que la autoridad deman</w:t>
      </w:r>
      <w:r>
        <w:rPr>
          <w:rFonts w:ascii="Arial" w:eastAsia="Times New Roman" w:hAnsi="Arial" w:cs="Arial"/>
          <w:sz w:val="24"/>
          <w:szCs w:val="24"/>
          <w:lang w:val="es-ES" w:eastAsia="en-US"/>
        </w:rPr>
        <w:t xml:space="preserve">dada, fundó su competencia en lo dispuesto por los artículos </w:t>
      </w:r>
      <w:r w:rsidRPr="00053D29">
        <w:rPr>
          <w:rFonts w:ascii="Arial" w:eastAsiaTheme="minorHAnsi" w:hAnsi="Arial" w:cs="Arial"/>
          <w:sz w:val="24"/>
          <w:szCs w:val="24"/>
          <w:lang w:eastAsia="en-US"/>
        </w:rPr>
        <w:t>1, 2, 3, 8 fracciones I y VIII; 9 fracción I; 10, fracciones I, V y VI; 11 fracciones II, III y IV: 12 fracciones III y IV; y 30 fracciones I, II, III y V, de la Ley de Tránsito Reformada</w:t>
      </w:r>
      <w:r>
        <w:rPr>
          <w:rFonts w:ascii="Arial" w:eastAsiaTheme="minorHAnsi" w:hAnsi="Arial" w:cs="Arial"/>
          <w:sz w:val="24"/>
          <w:szCs w:val="24"/>
          <w:lang w:eastAsia="en-US"/>
        </w:rPr>
        <w:t>, los cuales establecen:</w:t>
      </w:r>
    </w:p>
    <w:p w14:paraId="7FB93666" w14:textId="596D8CB0" w:rsidR="00053D29"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w:t>
      </w:r>
      <w:r w:rsidR="00053D29" w:rsidRPr="007C16BF">
        <w:rPr>
          <w:rFonts w:ascii="Arial" w:eastAsia="Times New Roman" w:hAnsi="Arial" w:cs="Arial"/>
          <w:b/>
          <w:i/>
          <w:szCs w:val="24"/>
          <w:lang w:val="es-ES" w:eastAsia="en-US"/>
        </w:rPr>
        <w:t>Artículo 1o.-</w:t>
      </w:r>
      <w:r w:rsidR="00053D29" w:rsidRPr="007C16BF">
        <w:rPr>
          <w:rFonts w:ascii="Arial" w:eastAsia="Times New Roman" w:hAnsi="Arial" w:cs="Arial"/>
          <w:i/>
          <w:szCs w:val="24"/>
          <w:lang w:val="es-ES" w:eastAsia="en-US"/>
        </w:rPr>
        <w:t xml:space="preserve"> La presente Ley tiene por objeto establecer las bases y requisitos a que se sujetarán la circulación de las personas, el manejo y el tránsito de vehículos y semovientes y los servicios públicos de transporte de pasajeros y de carga en las vías públicas del Estado de Oaxaca, que no sean de jurisdicción federal, considerados como actividades de interés público.</w:t>
      </w:r>
    </w:p>
    <w:p w14:paraId="738E628D" w14:textId="78432289"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Por tal motivo, cuando por cualquier causa se suspenda la prestación de tales servicios, el Ejecutivo del Estado podrá intervenir las empresas para la reanudación de los propios servicios.</w:t>
      </w:r>
    </w:p>
    <w:p w14:paraId="7ABCB781" w14:textId="6AA9AD29"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2o.-</w:t>
      </w:r>
      <w:r w:rsidRPr="007C16BF">
        <w:rPr>
          <w:rFonts w:ascii="Arial" w:eastAsia="Times New Roman" w:hAnsi="Arial" w:cs="Arial"/>
          <w:i/>
          <w:szCs w:val="24"/>
          <w:lang w:val="es-ES" w:eastAsia="en-US"/>
        </w:rPr>
        <w:t xml:space="preserve"> La aplicación de esta Ley y sus Reglamentos, corresponde al Titular del Poder Ejecutivo del Estado por conducto de la Secretaría de Transporte y sus correspondientes Direcciones de Tránsito y de Transporte. Lo anterior sin menoscabo de las facultades y atribuciones de los Municipios en materia de tránsito.</w:t>
      </w:r>
    </w:p>
    <w:p w14:paraId="34D8C281"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lastRenderedPageBreak/>
        <w:t>Artículo 3o.-</w:t>
      </w:r>
      <w:r w:rsidRPr="007C16BF">
        <w:rPr>
          <w:rFonts w:ascii="Arial" w:eastAsia="Times New Roman" w:hAnsi="Arial" w:cs="Arial"/>
          <w:i/>
          <w:szCs w:val="24"/>
          <w:lang w:val="es-ES" w:eastAsia="en-US"/>
        </w:rPr>
        <w:t xml:space="preserve"> La Dirección de Tránsito del Estado se integra por:</w:t>
      </w:r>
    </w:p>
    <w:p w14:paraId="7AAAA567"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 Un Director.</w:t>
      </w:r>
    </w:p>
    <w:p w14:paraId="7F9858C0"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 Un Sub-Director.</w:t>
      </w:r>
    </w:p>
    <w:p w14:paraId="1291B32A"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III.- Delegados Foráneos de Tránsito.</w:t>
      </w:r>
    </w:p>
    <w:p w14:paraId="7A931E02"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IV.- Agentes de Policía de Tránsito, y</w:t>
      </w:r>
    </w:p>
    <w:p w14:paraId="7B29D555" w14:textId="2EC6A582"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 Auxiliares de la Dirección de Tránsito.</w:t>
      </w:r>
    </w:p>
    <w:p w14:paraId="7B42335E" w14:textId="77777777"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9°.-</w:t>
      </w:r>
      <w:r w:rsidRPr="007C16BF">
        <w:rPr>
          <w:rFonts w:ascii="Arial" w:eastAsia="Times New Roman" w:hAnsi="Arial" w:cs="Arial"/>
          <w:i/>
          <w:szCs w:val="24"/>
          <w:lang w:val="es-ES" w:eastAsia="en-US"/>
        </w:rPr>
        <w:t xml:space="preserve"> Son atribuciones y obligaciones del Subdirector de Tránsito:</w:t>
      </w:r>
    </w:p>
    <w:p w14:paraId="43B35DBA" w14:textId="32ADB428"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 Suplir al Director de Tránsito en todas sus atribuciones y obligaciones, en las faltas temporales de éste;</w:t>
      </w:r>
    </w:p>
    <w:p w14:paraId="136A15D0" w14:textId="77777777"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10.-</w:t>
      </w:r>
      <w:r w:rsidRPr="007C16BF">
        <w:rPr>
          <w:rFonts w:ascii="Arial" w:eastAsia="Times New Roman" w:hAnsi="Arial" w:cs="Arial"/>
          <w:i/>
          <w:szCs w:val="24"/>
          <w:lang w:val="es-ES" w:eastAsia="en-US"/>
        </w:rPr>
        <w:t xml:space="preserve"> Son atribuciones y obligaciones de los Delegados Foráneos de Tránsito:</w:t>
      </w:r>
    </w:p>
    <w:p w14:paraId="4CE53135" w14:textId="1372DB94"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 Cumplir y hacer cumplir las disposiciones de esta Ley y sus reglamentos, así como las que dicten en materia de tránsito el Gobernador del Estado y el Director General de Tránsito.</w:t>
      </w:r>
    </w:p>
    <w:p w14:paraId="089E3381" w14:textId="5AE28355"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w:t>
      </w:r>
    </w:p>
    <w:p w14:paraId="3CCD6FA8" w14:textId="1428F001"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 Levantar infracciones e imponer las sanciones a que se refieren las fracciones I y II del artículo 30 de esta Ley.</w:t>
      </w:r>
    </w:p>
    <w:p w14:paraId="385E7EB4" w14:textId="0F8BB5E9"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VI.- Dar cuenta al Director de Tránsito, proporcionándole los elementos de prueba que hubiere obtenido, de todos aquellos casos que ameriten las sanciones a que se refieren las Fracciones III y IV del artículo 30 de esta Ley; y</w:t>
      </w:r>
    </w:p>
    <w:p w14:paraId="7DCE5347" w14:textId="53C61FD3"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12.-</w:t>
      </w:r>
      <w:r w:rsidRPr="007C16BF">
        <w:rPr>
          <w:rFonts w:ascii="Arial" w:eastAsia="Times New Roman" w:hAnsi="Arial" w:cs="Arial"/>
          <w:i/>
          <w:szCs w:val="24"/>
          <w:lang w:val="es-ES" w:eastAsia="en-US"/>
        </w:rPr>
        <w:t xml:space="preserve"> Corresponde a los peritos en manejo y tránsito de vehículos:</w:t>
      </w:r>
    </w:p>
    <w:p w14:paraId="72BFC754" w14:textId="034E5BE0"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w:t>
      </w:r>
    </w:p>
    <w:p w14:paraId="173EBDF2" w14:textId="15B01DF6"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III.- Dictaminar sobre las causas probables de los accidentes de tránsito y sobre la presunta responsabilidad de las personas.</w:t>
      </w:r>
    </w:p>
    <w:p w14:paraId="78FA3555" w14:textId="110CF593"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 xml:space="preserve">IV.- Levantar infracciones. </w:t>
      </w:r>
    </w:p>
    <w:p w14:paraId="4F46F7B1" w14:textId="5EB58F3A"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30.-</w:t>
      </w:r>
      <w:r w:rsidRPr="007C16BF">
        <w:rPr>
          <w:rFonts w:ascii="Arial" w:eastAsia="Times New Roman" w:hAnsi="Arial" w:cs="Arial"/>
          <w:i/>
          <w:szCs w:val="24"/>
          <w:lang w:val="es-ES" w:eastAsia="en-US"/>
        </w:rPr>
        <w:t xml:space="preserve"> Las violaciones a las disposiciones de esta Ley y sus reglamentos, se sancionarán con:</w:t>
      </w:r>
    </w:p>
    <w:p w14:paraId="3F8A4508" w14:textId="4F7F714B"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 Multa de 1 a 100 veces el monto del salario mínimo diario vigente en la zona correspondiente en el Estado.</w:t>
      </w:r>
    </w:p>
    <w:p w14:paraId="3687168E" w14:textId="58973C11"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 Suspensión de licencias para el manejo y tránsito de vehículos.</w:t>
      </w:r>
    </w:p>
    <w:p w14:paraId="0950FEDF" w14:textId="77790679"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III.- Cancelación de licencias para el manejo y tránsito de vehículos.</w:t>
      </w:r>
    </w:p>
    <w:p w14:paraId="3CE833E3" w14:textId="59C1BB5E"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w:t>
      </w:r>
    </w:p>
    <w:p w14:paraId="0E39C831" w14:textId="156FC15E"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 Arresto.”</w:t>
      </w:r>
    </w:p>
    <w:p w14:paraId="04A7B7AC" w14:textId="59879C1A" w:rsidR="00053D29" w:rsidRPr="00053D29" w:rsidRDefault="007C16BF" w:rsidP="00157BA7">
      <w:pPr>
        <w:spacing w:line="360" w:lineRule="auto"/>
        <w:ind w:firstLine="567"/>
        <w:jc w:val="both"/>
        <w:rPr>
          <w:rFonts w:ascii="Arial" w:eastAsia="Times New Roman" w:hAnsi="Arial" w:cs="Arial"/>
          <w:bCs/>
          <w:sz w:val="24"/>
          <w:szCs w:val="24"/>
          <w:lang w:val="es-ES" w:eastAsia="en-US"/>
        </w:rPr>
      </w:pPr>
      <w:r>
        <w:rPr>
          <w:rFonts w:ascii="Arial" w:eastAsia="Times New Roman" w:hAnsi="Arial" w:cs="Arial"/>
          <w:sz w:val="24"/>
          <w:szCs w:val="24"/>
          <w:lang w:val="es-ES" w:eastAsia="en-US"/>
        </w:rPr>
        <w:t xml:space="preserve">Ahora bien, </w:t>
      </w:r>
      <w:r w:rsidR="00053D29" w:rsidRPr="00053D29">
        <w:rPr>
          <w:rFonts w:ascii="Arial" w:eastAsia="Times New Roman" w:hAnsi="Arial" w:cs="Arial"/>
          <w:bCs/>
          <w:sz w:val="24"/>
          <w:szCs w:val="24"/>
          <w:lang w:val="es-ES" w:eastAsia="en-US"/>
        </w:rPr>
        <w:t>los artículos primero y segundo transitorios de la Ley de Tránsito, Movilidad y Vialidad del Estado de Oaxaca</w:t>
      </w:r>
      <w:r w:rsidR="00157BA7">
        <w:rPr>
          <w:rStyle w:val="Refdenotaalpie"/>
          <w:rFonts w:ascii="Arial" w:eastAsia="Times New Roman" w:hAnsi="Arial" w:cs="Arial"/>
          <w:bCs/>
          <w:sz w:val="24"/>
          <w:szCs w:val="24"/>
          <w:lang w:val="es-ES" w:eastAsia="en-US"/>
        </w:rPr>
        <w:footnoteReference w:id="3"/>
      </w:r>
      <w:r w:rsidR="00053D29" w:rsidRPr="00053D29">
        <w:rPr>
          <w:rFonts w:ascii="Arial" w:eastAsia="Times New Roman" w:hAnsi="Arial" w:cs="Arial"/>
          <w:bCs/>
          <w:sz w:val="24"/>
          <w:szCs w:val="24"/>
          <w:lang w:val="es-ES" w:eastAsia="en-US"/>
        </w:rPr>
        <w:t>, publicada en el Periódico Oficial del Estado, el once de abril de dos mil dieciséis, establecen:</w:t>
      </w:r>
    </w:p>
    <w:p w14:paraId="313E05BF" w14:textId="77777777" w:rsidR="00053D29" w:rsidRPr="00053D29" w:rsidRDefault="00053D29" w:rsidP="00053D29">
      <w:pPr>
        <w:ind w:left="851" w:right="283"/>
        <w:jc w:val="both"/>
        <w:rPr>
          <w:rFonts w:ascii="Arial" w:eastAsia="Times New Roman" w:hAnsi="Arial" w:cs="Arial"/>
          <w:i/>
          <w:color w:val="000000"/>
          <w:lang w:eastAsia="en-US"/>
        </w:rPr>
      </w:pPr>
      <w:r w:rsidRPr="00053D29">
        <w:rPr>
          <w:rFonts w:ascii="Arial" w:eastAsia="Times New Roman" w:hAnsi="Arial" w:cs="Arial"/>
          <w:b/>
          <w:i/>
          <w:color w:val="000000"/>
          <w:lang w:eastAsia="en-US"/>
        </w:rPr>
        <w:lastRenderedPageBreak/>
        <w:t>“…PRIMERO.</w:t>
      </w:r>
      <w:r w:rsidRPr="00053D29">
        <w:rPr>
          <w:rFonts w:ascii="Arial" w:eastAsia="Times New Roman" w:hAnsi="Arial" w:cs="Arial"/>
          <w:i/>
          <w:color w:val="000000"/>
          <w:lang w:eastAsia="en-US"/>
        </w:rPr>
        <w:t xml:space="preserve"> La presente Ley entrará en vigor al día siguiente de su publicación en el Periódico Oficial del Gobierno del Estado.</w:t>
      </w:r>
    </w:p>
    <w:p w14:paraId="336F3612" w14:textId="77777777" w:rsidR="00053D29" w:rsidRPr="00053D29" w:rsidRDefault="00053D29" w:rsidP="00053D29">
      <w:pPr>
        <w:ind w:left="851" w:right="283"/>
        <w:jc w:val="both"/>
        <w:rPr>
          <w:rFonts w:ascii="Arial" w:eastAsia="Times New Roman" w:hAnsi="Arial" w:cs="Arial"/>
          <w:i/>
          <w:color w:val="000000"/>
          <w:lang w:eastAsia="en-US"/>
        </w:rPr>
      </w:pPr>
      <w:r w:rsidRPr="00053D29">
        <w:rPr>
          <w:rFonts w:ascii="Arial" w:eastAsia="Times New Roman" w:hAnsi="Arial" w:cs="Arial"/>
          <w:b/>
          <w:i/>
          <w:color w:val="000000"/>
          <w:lang w:eastAsia="en-US"/>
        </w:rPr>
        <w:t>SEGUNDO.</w:t>
      </w:r>
      <w:r w:rsidRPr="00053D29">
        <w:rPr>
          <w:rFonts w:ascii="Arial" w:eastAsia="Times New Roman" w:hAnsi="Arial" w:cs="Arial"/>
          <w:i/>
          <w:color w:val="000000"/>
          <w:lang w:eastAsia="en-US"/>
        </w:rPr>
        <w:t xml:space="preserve"> </w:t>
      </w:r>
      <w:r w:rsidRPr="00053D29">
        <w:rPr>
          <w:rFonts w:ascii="Arial" w:eastAsia="Times New Roman" w:hAnsi="Arial" w:cs="Arial"/>
          <w:b/>
          <w:i/>
          <w:color w:val="000000"/>
          <w:lang w:eastAsia="en-US"/>
        </w:rPr>
        <w:t>Se abroga la Ley de Tránsito Reformada</w:t>
      </w:r>
      <w:r w:rsidRPr="00053D29">
        <w:rPr>
          <w:rFonts w:ascii="Arial" w:eastAsia="Times New Roman" w:hAnsi="Arial" w:cs="Arial"/>
          <w:i/>
          <w:color w:val="000000"/>
          <w:lang w:eastAsia="en-US"/>
        </w:rPr>
        <w:t>, publicada en el Periódico Oficial Órgano del Gobierno Constitucional del Estado Libre y Soberano de Oaxaca, con fecha 5 de julio de 1969…”</w:t>
      </w:r>
    </w:p>
    <w:p w14:paraId="4C7A2788" w14:textId="77777777" w:rsidR="00053D29" w:rsidRPr="00053D29" w:rsidRDefault="00053D29" w:rsidP="00053D29">
      <w:pPr>
        <w:spacing w:after="0"/>
        <w:ind w:left="851" w:right="283"/>
        <w:jc w:val="both"/>
        <w:rPr>
          <w:rFonts w:ascii="Arial" w:eastAsia="Times New Roman" w:hAnsi="Arial" w:cs="Arial"/>
          <w:b/>
          <w:i/>
          <w:color w:val="000000"/>
          <w:sz w:val="21"/>
          <w:szCs w:val="21"/>
          <w:lang w:eastAsia="en-US"/>
        </w:rPr>
      </w:pPr>
      <w:r w:rsidRPr="00053D29">
        <w:rPr>
          <w:rFonts w:ascii="Arial" w:eastAsia="Times New Roman" w:hAnsi="Arial" w:cs="Arial"/>
          <w:b/>
          <w:i/>
          <w:color w:val="000000"/>
          <w:sz w:val="21"/>
          <w:szCs w:val="21"/>
          <w:lang w:eastAsia="en-US"/>
        </w:rPr>
        <w:t>(Énfasis añadido)</w:t>
      </w:r>
    </w:p>
    <w:p w14:paraId="054B61D4" w14:textId="77777777" w:rsidR="00053D29" w:rsidRPr="00053D29" w:rsidRDefault="00053D29" w:rsidP="00053D29">
      <w:pPr>
        <w:spacing w:after="0"/>
        <w:ind w:left="851" w:right="283"/>
        <w:jc w:val="both"/>
        <w:rPr>
          <w:rFonts w:ascii="Arial" w:eastAsia="Times New Roman" w:hAnsi="Arial" w:cs="Arial"/>
          <w:b/>
          <w:i/>
          <w:color w:val="000000"/>
          <w:sz w:val="21"/>
          <w:szCs w:val="21"/>
          <w:lang w:eastAsia="en-US"/>
        </w:rPr>
      </w:pPr>
    </w:p>
    <w:p w14:paraId="37F4B831" w14:textId="77777777" w:rsidR="00053D29" w:rsidRPr="00053D29" w:rsidRDefault="00053D29" w:rsidP="00053D29">
      <w:pPr>
        <w:spacing w:line="360" w:lineRule="auto"/>
        <w:ind w:firstLine="567"/>
        <w:jc w:val="both"/>
        <w:rPr>
          <w:rFonts w:ascii="Arial" w:eastAsia="Times New Roman" w:hAnsi="Arial" w:cs="Arial"/>
          <w:b/>
          <w:bCs/>
          <w:sz w:val="24"/>
          <w:szCs w:val="24"/>
          <w:lang w:val="es-ES" w:eastAsia="en-US"/>
        </w:rPr>
      </w:pPr>
      <w:r w:rsidRPr="00053D29">
        <w:rPr>
          <w:rFonts w:ascii="Arial" w:eastAsia="Times New Roman" w:hAnsi="Arial" w:cs="Arial"/>
          <w:sz w:val="24"/>
          <w:szCs w:val="24"/>
          <w:lang w:val="es-ES" w:eastAsia="en-US"/>
        </w:rPr>
        <w:t>De los artículos transcritos, se advierte que la Ley de Tránsito, Movilidad y Vialidad del Estado de Oaxaca, entró</w:t>
      </w:r>
      <w:r w:rsidRPr="00053D29">
        <w:rPr>
          <w:rFonts w:ascii="Arial" w:eastAsia="Times New Roman" w:hAnsi="Arial" w:cs="Arial"/>
          <w:bCs/>
          <w:sz w:val="24"/>
          <w:szCs w:val="24"/>
          <w:lang w:val="es-ES" w:eastAsia="en-US"/>
        </w:rPr>
        <w:t xml:space="preserve"> en vigor al día siguiente de su publicación en el periódico oficial del Gobierno del Estado, esto es, </w:t>
      </w:r>
      <w:r w:rsidRPr="00053D29">
        <w:rPr>
          <w:rFonts w:ascii="Arial" w:eastAsia="Times New Roman" w:hAnsi="Arial" w:cs="Arial"/>
          <w:b/>
          <w:bCs/>
          <w:sz w:val="24"/>
          <w:szCs w:val="24"/>
          <w:lang w:val="es-ES" w:eastAsia="en-US"/>
        </w:rPr>
        <w:t xml:space="preserve">el doce de abril de dos mil dieciséis; por lo tanto, a partir de ese momento quedaba abrogada la Ley de Tránsito Reformada. </w:t>
      </w:r>
    </w:p>
    <w:p w14:paraId="42DE6DE1" w14:textId="7E47EC03" w:rsidR="00EA0ED2" w:rsidRDefault="00053D29" w:rsidP="00E55107">
      <w:pPr>
        <w:spacing w:line="360" w:lineRule="auto"/>
        <w:ind w:right="-143" w:firstLine="567"/>
        <w:jc w:val="both"/>
        <w:rPr>
          <w:rFonts w:ascii="Arial" w:eastAsia="Times New Roman" w:hAnsi="Arial" w:cs="Arial"/>
          <w:bCs/>
          <w:color w:val="000000"/>
          <w:sz w:val="24"/>
          <w:szCs w:val="24"/>
          <w:lang w:val="es-ES" w:eastAsia="en-US"/>
        </w:rPr>
      </w:pPr>
      <w:r w:rsidRPr="00053D29">
        <w:rPr>
          <w:rFonts w:ascii="Arial" w:eastAsia="Times New Roman" w:hAnsi="Arial" w:cs="Arial"/>
          <w:bCs/>
          <w:sz w:val="24"/>
          <w:szCs w:val="24"/>
          <w:lang w:val="es-ES" w:eastAsia="en-US"/>
        </w:rPr>
        <w:t>Al respecto, cabe precisar</w:t>
      </w:r>
      <w:r w:rsidRPr="00053D29">
        <w:rPr>
          <w:rFonts w:ascii="Arial" w:eastAsia="Times New Roman" w:hAnsi="Arial" w:cs="Arial"/>
          <w:bCs/>
          <w:color w:val="FF0000"/>
          <w:sz w:val="24"/>
          <w:szCs w:val="24"/>
          <w:lang w:val="es-ES" w:eastAsia="en-US"/>
        </w:rPr>
        <w:t xml:space="preserve"> </w:t>
      </w:r>
      <w:r w:rsidRPr="00053D29">
        <w:rPr>
          <w:rFonts w:ascii="Arial" w:eastAsia="Times New Roman" w:hAnsi="Arial" w:cs="Arial"/>
          <w:bCs/>
          <w:color w:val="000000"/>
          <w:sz w:val="24"/>
          <w:szCs w:val="24"/>
          <w:lang w:val="es-ES" w:eastAsia="en-US"/>
        </w:rPr>
        <w:t xml:space="preserve">que, </w:t>
      </w:r>
      <w:r w:rsidRPr="00053D29">
        <w:rPr>
          <w:rFonts w:ascii="Arial" w:eastAsia="Times New Roman" w:hAnsi="Arial" w:cs="Arial"/>
          <w:b/>
          <w:bCs/>
          <w:color w:val="000000"/>
          <w:sz w:val="24"/>
          <w:szCs w:val="24"/>
          <w:lang w:val="es-ES" w:eastAsia="en-US"/>
        </w:rPr>
        <w:t>abrogación</w:t>
      </w:r>
      <w:r w:rsidR="00E55107">
        <w:rPr>
          <w:rFonts w:ascii="Arial" w:eastAsia="Times New Roman" w:hAnsi="Arial" w:cs="Arial"/>
          <w:bCs/>
          <w:color w:val="000000"/>
          <w:sz w:val="24"/>
          <w:szCs w:val="24"/>
          <w:lang w:val="es-ES" w:eastAsia="en-US"/>
        </w:rPr>
        <w:t xml:space="preserve"> es definida como </w:t>
      </w:r>
      <w:r w:rsidRPr="00053D29">
        <w:rPr>
          <w:rFonts w:ascii="Arial" w:eastAsia="Times New Roman" w:hAnsi="Arial" w:cs="Arial"/>
          <w:bCs/>
          <w:i/>
          <w:color w:val="000000"/>
          <w:sz w:val="24"/>
          <w:szCs w:val="24"/>
          <w:lang w:val="es-ES" w:eastAsia="en-US"/>
        </w:rPr>
        <w:t>la supresión total de la vigencia y, por tanto, de la obligatoriedad de una ley</w:t>
      </w:r>
      <w:r w:rsidRPr="00053D29">
        <w:rPr>
          <w:rFonts w:ascii="Arial" w:eastAsia="Times New Roman" w:hAnsi="Arial" w:cs="Arial"/>
          <w:bCs/>
          <w:color w:val="000000"/>
          <w:sz w:val="24"/>
          <w:szCs w:val="24"/>
          <w:lang w:val="es-ES" w:eastAsia="en-US"/>
        </w:rPr>
        <w:t>”.</w:t>
      </w:r>
      <w:r w:rsidR="00E55107">
        <w:rPr>
          <w:rFonts w:ascii="Arial" w:eastAsia="Times New Roman" w:hAnsi="Arial" w:cs="Arial"/>
          <w:bCs/>
          <w:color w:val="000000"/>
          <w:sz w:val="24"/>
          <w:szCs w:val="24"/>
          <w:lang w:val="es-ES" w:eastAsia="en-US"/>
        </w:rPr>
        <w:t xml:space="preserve"> </w:t>
      </w:r>
      <w:r w:rsidR="00EA0ED2">
        <w:rPr>
          <w:rFonts w:ascii="Arial" w:eastAsia="Times New Roman" w:hAnsi="Arial" w:cs="Arial"/>
          <w:bCs/>
          <w:color w:val="000000"/>
          <w:sz w:val="24"/>
          <w:szCs w:val="24"/>
          <w:lang w:val="es-ES" w:eastAsia="en-US"/>
        </w:rPr>
        <w:t xml:space="preserve">Así </w:t>
      </w:r>
      <w:r w:rsidR="00464EEB">
        <w:rPr>
          <w:rFonts w:ascii="Arial" w:eastAsia="Times New Roman" w:hAnsi="Arial" w:cs="Arial"/>
          <w:bCs/>
          <w:color w:val="000000"/>
          <w:sz w:val="24"/>
          <w:szCs w:val="24"/>
          <w:lang w:val="es-ES" w:eastAsia="en-US"/>
        </w:rPr>
        <w:t xml:space="preserve">mismo, </w:t>
      </w:r>
      <w:r w:rsidR="00E55107">
        <w:rPr>
          <w:rFonts w:ascii="Arial" w:eastAsia="Times New Roman" w:hAnsi="Arial" w:cs="Arial"/>
          <w:bCs/>
          <w:color w:val="000000"/>
          <w:sz w:val="24"/>
          <w:szCs w:val="24"/>
          <w:lang w:val="es-ES" w:eastAsia="en-US"/>
        </w:rPr>
        <w:t>el artículo 8 del Código Civil del Estado, establece:</w:t>
      </w:r>
    </w:p>
    <w:p w14:paraId="64C896A4" w14:textId="751E44A5" w:rsidR="00E55107" w:rsidRPr="00053D29" w:rsidRDefault="00E55107" w:rsidP="00E55107">
      <w:pPr>
        <w:spacing w:line="360" w:lineRule="auto"/>
        <w:ind w:left="567" w:right="283" w:firstLine="567"/>
        <w:jc w:val="both"/>
        <w:rPr>
          <w:rFonts w:ascii="Arial" w:eastAsia="Times New Roman" w:hAnsi="Arial" w:cs="Arial"/>
          <w:bCs/>
          <w:i/>
          <w:color w:val="000000"/>
          <w:sz w:val="24"/>
          <w:szCs w:val="24"/>
          <w:lang w:val="es-ES" w:eastAsia="en-US"/>
        </w:rPr>
      </w:pPr>
      <w:r w:rsidRPr="00E55107">
        <w:rPr>
          <w:rFonts w:ascii="Arial" w:eastAsia="Times New Roman" w:hAnsi="Arial" w:cs="Arial"/>
          <w:bCs/>
          <w:i/>
          <w:color w:val="000000"/>
          <w:sz w:val="24"/>
          <w:szCs w:val="24"/>
          <w:lang w:val="es-ES" w:eastAsia="en-US"/>
        </w:rPr>
        <w:t>“</w:t>
      </w:r>
      <w:r w:rsidRPr="00E55107">
        <w:rPr>
          <w:rFonts w:ascii="Arial" w:eastAsia="Times New Roman" w:hAnsi="Arial" w:cs="Arial"/>
          <w:b/>
          <w:bCs/>
          <w:i/>
          <w:color w:val="000000"/>
          <w:sz w:val="24"/>
          <w:szCs w:val="24"/>
          <w:lang w:val="es-ES" w:eastAsia="en-US"/>
        </w:rPr>
        <w:t>Artículo 8°.-</w:t>
      </w:r>
      <w:r w:rsidRPr="00E55107">
        <w:rPr>
          <w:rFonts w:ascii="Arial" w:eastAsia="Times New Roman" w:hAnsi="Arial" w:cs="Arial"/>
          <w:bCs/>
          <w:i/>
          <w:color w:val="000000"/>
          <w:sz w:val="24"/>
          <w:szCs w:val="24"/>
          <w:lang w:val="es-ES" w:eastAsia="en-US"/>
        </w:rPr>
        <w:t xml:space="preserve"> La ley sólo queda abrogada o derogada por otra posterior que así lo declare expresamente, o que contenga disposiciones total o parcialmente incompatibles con la ley anterior.”</w:t>
      </w:r>
    </w:p>
    <w:p w14:paraId="5DD3B57C" w14:textId="0B238A6A" w:rsidR="003F394E" w:rsidRPr="003F394E" w:rsidRDefault="003F394E" w:rsidP="003F394E">
      <w:pPr>
        <w:spacing w:line="360" w:lineRule="auto"/>
        <w:ind w:firstLine="567"/>
        <w:jc w:val="both"/>
        <w:rPr>
          <w:rFonts w:ascii="Arial" w:eastAsia="Times New Roman" w:hAnsi="Arial" w:cs="Arial"/>
          <w:bCs/>
          <w:color w:val="000000"/>
          <w:sz w:val="24"/>
          <w:szCs w:val="24"/>
          <w:lang w:eastAsia="en-US"/>
        </w:rPr>
      </w:pPr>
      <w:r>
        <w:rPr>
          <w:rFonts w:ascii="Arial" w:eastAsia="Times New Roman" w:hAnsi="Arial" w:cs="Arial"/>
          <w:bCs/>
          <w:color w:val="000000"/>
          <w:sz w:val="24"/>
          <w:szCs w:val="24"/>
          <w:lang w:eastAsia="en-US"/>
        </w:rPr>
        <w:t>Por ello,</w:t>
      </w:r>
      <w:r w:rsidRPr="003F394E">
        <w:rPr>
          <w:rFonts w:ascii="Arial" w:eastAsia="Times New Roman" w:hAnsi="Arial" w:cs="Arial"/>
          <w:bCs/>
          <w:color w:val="000000"/>
          <w:sz w:val="24"/>
          <w:szCs w:val="24"/>
          <w:lang w:eastAsia="en-US"/>
        </w:rPr>
        <w:t xml:space="preserve"> la ley sólo queda abrogada o derogada por otra posterior que así lo declare </w:t>
      </w:r>
      <w:r w:rsidRPr="003F394E">
        <w:rPr>
          <w:rFonts w:ascii="Arial" w:eastAsia="Times New Roman" w:hAnsi="Arial" w:cs="Arial"/>
          <w:b/>
          <w:bCs/>
          <w:color w:val="000000"/>
          <w:sz w:val="24"/>
          <w:szCs w:val="24"/>
          <w:lang w:eastAsia="en-US"/>
        </w:rPr>
        <w:t>expresamente</w:t>
      </w:r>
      <w:r w:rsidRPr="003F394E">
        <w:rPr>
          <w:rFonts w:ascii="Arial" w:eastAsia="Times New Roman" w:hAnsi="Arial" w:cs="Arial"/>
          <w:bCs/>
          <w:color w:val="000000"/>
          <w:sz w:val="24"/>
          <w:szCs w:val="24"/>
          <w:lang w:eastAsia="en-US"/>
        </w:rPr>
        <w:t xml:space="preserve"> o que contenga disposiciones total o parcialmente inc</w:t>
      </w:r>
      <w:r>
        <w:rPr>
          <w:rFonts w:ascii="Arial" w:eastAsia="Times New Roman" w:hAnsi="Arial" w:cs="Arial"/>
          <w:bCs/>
          <w:color w:val="000000"/>
          <w:sz w:val="24"/>
          <w:szCs w:val="24"/>
          <w:lang w:eastAsia="en-US"/>
        </w:rPr>
        <w:t>ompatibles con la ley anterior.</w:t>
      </w:r>
    </w:p>
    <w:p w14:paraId="21C238CB" w14:textId="1940E3B8" w:rsidR="003F394E" w:rsidRPr="003F394E" w:rsidRDefault="003F394E" w:rsidP="003F394E">
      <w:pPr>
        <w:spacing w:line="360" w:lineRule="auto"/>
        <w:ind w:firstLine="567"/>
        <w:jc w:val="both"/>
        <w:rPr>
          <w:rFonts w:ascii="Arial" w:eastAsia="Times New Roman" w:hAnsi="Arial" w:cs="Arial"/>
          <w:bCs/>
          <w:color w:val="000000"/>
          <w:sz w:val="24"/>
          <w:szCs w:val="24"/>
          <w:lang w:eastAsia="en-US"/>
        </w:rPr>
      </w:pPr>
      <w:r w:rsidRPr="003F394E">
        <w:rPr>
          <w:rFonts w:ascii="Arial" w:eastAsia="Times New Roman" w:hAnsi="Arial" w:cs="Arial"/>
          <w:bCs/>
          <w:color w:val="000000"/>
          <w:sz w:val="24"/>
          <w:szCs w:val="24"/>
          <w:lang w:eastAsia="en-US"/>
        </w:rPr>
        <w:t xml:space="preserve">De lo anterior se deducen dos clases de derogación, </w:t>
      </w:r>
      <w:r w:rsidRPr="003F394E">
        <w:rPr>
          <w:rFonts w:ascii="Arial" w:eastAsia="Times New Roman" w:hAnsi="Arial" w:cs="Arial"/>
          <w:b/>
          <w:bCs/>
          <w:color w:val="000000"/>
          <w:sz w:val="24"/>
          <w:szCs w:val="24"/>
          <w:lang w:eastAsia="en-US"/>
        </w:rPr>
        <w:t>expresa</w:t>
      </w:r>
      <w:r w:rsidRPr="003F394E">
        <w:rPr>
          <w:rFonts w:ascii="Arial" w:eastAsia="Times New Roman" w:hAnsi="Arial" w:cs="Arial"/>
          <w:bCs/>
          <w:color w:val="000000"/>
          <w:sz w:val="24"/>
          <w:szCs w:val="24"/>
          <w:lang w:eastAsia="en-US"/>
        </w:rPr>
        <w:t xml:space="preserve">, cuando en una ley se declara la supresión total o parcial de otra anterior que regía sobre la misma materia, y </w:t>
      </w:r>
      <w:r w:rsidRPr="003F394E">
        <w:rPr>
          <w:rFonts w:ascii="Arial" w:eastAsia="Times New Roman" w:hAnsi="Arial" w:cs="Arial"/>
          <w:b/>
          <w:bCs/>
          <w:color w:val="000000"/>
          <w:sz w:val="24"/>
          <w:szCs w:val="24"/>
          <w:lang w:eastAsia="en-US"/>
        </w:rPr>
        <w:t>tácita</w:t>
      </w:r>
      <w:r w:rsidRPr="003F394E">
        <w:rPr>
          <w:rFonts w:ascii="Arial" w:eastAsia="Times New Roman" w:hAnsi="Arial" w:cs="Arial"/>
          <w:bCs/>
          <w:color w:val="000000"/>
          <w:sz w:val="24"/>
          <w:szCs w:val="24"/>
          <w:lang w:eastAsia="en-US"/>
        </w:rPr>
        <w:t>, cuando queda abolida una norma jurídica al emitirse una nueva ley que la sustituya o que contenga preceptos contradictorios.</w:t>
      </w:r>
    </w:p>
    <w:p w14:paraId="4FDDF6DE" w14:textId="3DE77AA3" w:rsidR="00053D29" w:rsidRPr="00053D29" w:rsidRDefault="00053D29" w:rsidP="004F04A3">
      <w:pPr>
        <w:spacing w:line="360" w:lineRule="auto"/>
        <w:ind w:firstLine="567"/>
        <w:jc w:val="both"/>
        <w:rPr>
          <w:rFonts w:ascii="Arial" w:eastAsia="Times New Roman" w:hAnsi="Arial" w:cs="Arial"/>
          <w:bCs/>
          <w:color w:val="000000"/>
          <w:sz w:val="24"/>
          <w:szCs w:val="24"/>
          <w:lang w:val="es-ES" w:eastAsia="en-US"/>
        </w:rPr>
      </w:pPr>
      <w:r w:rsidRPr="00053D29">
        <w:rPr>
          <w:rFonts w:ascii="Arial" w:eastAsia="Times New Roman" w:hAnsi="Arial" w:cs="Arial"/>
          <w:bCs/>
          <w:color w:val="000000"/>
          <w:sz w:val="24"/>
          <w:szCs w:val="24"/>
          <w:lang w:val="es-ES" w:eastAsia="en-US"/>
        </w:rPr>
        <w:t xml:space="preserve">Por lo tanto, </w:t>
      </w:r>
      <w:r w:rsidR="00045FEC">
        <w:rPr>
          <w:rFonts w:ascii="Arial" w:eastAsia="Times New Roman" w:hAnsi="Arial" w:cs="Arial"/>
          <w:bCs/>
          <w:color w:val="000000"/>
          <w:sz w:val="24"/>
          <w:szCs w:val="24"/>
          <w:lang w:val="es-ES" w:eastAsia="en-US"/>
        </w:rPr>
        <w:t>en términos del artículo trans</w:t>
      </w:r>
      <w:r w:rsidR="004F04A3">
        <w:rPr>
          <w:rFonts w:ascii="Arial" w:eastAsia="Times New Roman" w:hAnsi="Arial" w:cs="Arial"/>
          <w:bCs/>
          <w:color w:val="000000"/>
          <w:sz w:val="24"/>
          <w:szCs w:val="24"/>
          <w:lang w:val="es-ES" w:eastAsia="en-US"/>
        </w:rPr>
        <w:t>crito, se actualizó</w:t>
      </w:r>
      <w:r w:rsidR="00045FEC">
        <w:rPr>
          <w:rFonts w:ascii="Arial" w:eastAsia="Times New Roman" w:hAnsi="Arial" w:cs="Arial"/>
          <w:bCs/>
          <w:color w:val="000000"/>
          <w:sz w:val="24"/>
          <w:szCs w:val="24"/>
          <w:lang w:val="es-ES" w:eastAsia="en-US"/>
        </w:rPr>
        <w:t xml:space="preserve"> una </w:t>
      </w:r>
      <w:r w:rsidR="00045FEC" w:rsidRPr="00045FEC">
        <w:rPr>
          <w:rFonts w:ascii="Arial" w:eastAsia="Times New Roman" w:hAnsi="Arial" w:cs="Arial"/>
          <w:b/>
          <w:bCs/>
          <w:color w:val="000000"/>
          <w:sz w:val="24"/>
          <w:szCs w:val="24"/>
          <w:lang w:val="es-ES" w:eastAsia="en-US"/>
        </w:rPr>
        <w:t>abrogación</w:t>
      </w:r>
      <w:r w:rsidR="00045FEC">
        <w:rPr>
          <w:rFonts w:ascii="Arial" w:eastAsia="Times New Roman" w:hAnsi="Arial" w:cs="Arial"/>
          <w:bCs/>
          <w:color w:val="000000"/>
          <w:sz w:val="24"/>
          <w:szCs w:val="24"/>
          <w:lang w:val="es-ES" w:eastAsia="en-US"/>
        </w:rPr>
        <w:t xml:space="preserve"> </w:t>
      </w:r>
      <w:r w:rsidR="004F04A3">
        <w:rPr>
          <w:rFonts w:ascii="Arial" w:eastAsia="Times New Roman" w:hAnsi="Arial" w:cs="Arial"/>
          <w:b/>
          <w:bCs/>
          <w:color w:val="000000"/>
          <w:sz w:val="24"/>
          <w:szCs w:val="24"/>
          <w:lang w:val="es-ES" w:eastAsia="en-US"/>
        </w:rPr>
        <w:t xml:space="preserve">expresa </w:t>
      </w:r>
      <w:r w:rsidR="00045FEC">
        <w:rPr>
          <w:rFonts w:ascii="Arial" w:eastAsia="Times New Roman" w:hAnsi="Arial" w:cs="Arial"/>
          <w:bCs/>
          <w:color w:val="000000"/>
          <w:sz w:val="24"/>
          <w:szCs w:val="24"/>
          <w:lang w:val="es-ES" w:eastAsia="en-US"/>
        </w:rPr>
        <w:t xml:space="preserve">de la Ley de Tránsito Reformada, </w:t>
      </w:r>
      <w:r w:rsidR="004F04A3">
        <w:rPr>
          <w:rFonts w:ascii="Arial" w:eastAsia="Times New Roman" w:hAnsi="Arial" w:cs="Arial"/>
          <w:bCs/>
          <w:color w:val="000000"/>
          <w:sz w:val="24"/>
          <w:szCs w:val="24"/>
          <w:lang w:val="es-ES" w:eastAsia="en-US"/>
        </w:rPr>
        <w:t xml:space="preserve">por la </w:t>
      </w:r>
      <w:r w:rsidRPr="00053D29">
        <w:rPr>
          <w:rFonts w:ascii="Arial" w:eastAsia="Times New Roman" w:hAnsi="Arial" w:cs="Arial"/>
          <w:bCs/>
          <w:color w:val="000000"/>
          <w:sz w:val="24"/>
          <w:szCs w:val="24"/>
          <w:lang w:val="es-ES" w:eastAsia="en-US"/>
        </w:rPr>
        <w:t xml:space="preserve"> Ley de Tránsito, Movilidad y Vialidad del Estado de Oaxaca, esto es, suprimió totalmente la vigencia de este ordenamiento legal;</w:t>
      </w:r>
      <w:r w:rsidRPr="00053D29">
        <w:rPr>
          <w:rFonts w:ascii="Arial" w:eastAsia="Times New Roman" w:hAnsi="Arial" w:cs="Arial"/>
          <w:bCs/>
          <w:color w:val="FF0000"/>
          <w:sz w:val="24"/>
          <w:szCs w:val="24"/>
          <w:lang w:val="es-ES" w:eastAsia="en-US"/>
        </w:rPr>
        <w:t xml:space="preserve"> </w:t>
      </w:r>
      <w:r w:rsidRPr="00053D29">
        <w:rPr>
          <w:rFonts w:ascii="Arial" w:eastAsia="Times New Roman" w:hAnsi="Arial" w:cs="Arial"/>
          <w:bCs/>
          <w:color w:val="000000"/>
          <w:sz w:val="24"/>
          <w:szCs w:val="24"/>
          <w:lang w:val="es-ES" w:eastAsia="en-US"/>
        </w:rPr>
        <w:t>resulta inconcuso que con la entrada en vigor la Ley de Tránsito, Movilidad y Vialidad del Estado de Oaxaca</w:t>
      </w:r>
      <w:r w:rsidR="0075483C">
        <w:rPr>
          <w:rFonts w:ascii="Arial" w:eastAsia="Times New Roman" w:hAnsi="Arial" w:cs="Arial"/>
          <w:bCs/>
          <w:color w:val="000000"/>
          <w:sz w:val="24"/>
          <w:szCs w:val="24"/>
          <w:lang w:val="es-ES" w:eastAsia="en-US"/>
        </w:rPr>
        <w:t xml:space="preserve"> (</w:t>
      </w:r>
      <w:r w:rsidRPr="00053D29">
        <w:rPr>
          <w:rFonts w:ascii="Arial" w:eastAsia="Times New Roman" w:hAnsi="Arial" w:cs="Arial"/>
          <w:bCs/>
          <w:color w:val="000000"/>
          <w:sz w:val="24"/>
          <w:szCs w:val="24"/>
          <w:lang w:val="es-ES" w:eastAsia="en-US"/>
        </w:rPr>
        <w:t xml:space="preserve">la cual </w:t>
      </w:r>
      <w:r w:rsidR="0075483C">
        <w:rPr>
          <w:rFonts w:ascii="Arial" w:eastAsia="Times New Roman" w:hAnsi="Arial" w:cs="Arial"/>
          <w:bCs/>
          <w:color w:val="000000"/>
          <w:sz w:val="24"/>
          <w:szCs w:val="24"/>
          <w:lang w:val="es-ES" w:eastAsia="en-US"/>
        </w:rPr>
        <w:t xml:space="preserve">cambió de denominación </w:t>
      </w:r>
      <w:r w:rsidRPr="00053D29">
        <w:rPr>
          <w:rFonts w:ascii="Arial" w:eastAsia="Times New Roman" w:hAnsi="Arial" w:cs="Arial"/>
          <w:bCs/>
          <w:color w:val="000000"/>
          <w:sz w:val="24"/>
          <w:szCs w:val="24"/>
          <w:lang w:val="es-ES" w:eastAsia="en-US"/>
        </w:rPr>
        <w:t xml:space="preserve">mediante decreto publicado en el Periódico Oficial del Estado, </w:t>
      </w:r>
      <w:r w:rsidR="0075483C">
        <w:rPr>
          <w:rFonts w:ascii="Arial" w:eastAsia="Times New Roman" w:hAnsi="Arial" w:cs="Arial"/>
          <w:bCs/>
          <w:color w:val="000000"/>
          <w:sz w:val="24"/>
          <w:szCs w:val="24"/>
          <w:lang w:val="es-ES" w:eastAsia="en-US"/>
        </w:rPr>
        <w:t>el quince</w:t>
      </w:r>
      <w:r w:rsidRPr="00053D29">
        <w:rPr>
          <w:rFonts w:ascii="Arial" w:eastAsia="Times New Roman" w:hAnsi="Arial" w:cs="Arial"/>
          <w:bCs/>
          <w:color w:val="000000"/>
          <w:sz w:val="24"/>
          <w:szCs w:val="24"/>
          <w:lang w:val="es-ES" w:eastAsia="en-US"/>
        </w:rPr>
        <w:t xml:space="preserve"> de febrero del año dos mil veinte, siendo ahora la denominación: “Ley de Tránsito </w:t>
      </w:r>
      <w:r w:rsidR="0075483C">
        <w:rPr>
          <w:rFonts w:ascii="Arial" w:eastAsia="Times New Roman" w:hAnsi="Arial" w:cs="Arial"/>
          <w:bCs/>
          <w:color w:val="000000"/>
          <w:sz w:val="24"/>
          <w:szCs w:val="24"/>
          <w:lang w:val="es-ES" w:eastAsia="en-US"/>
        </w:rPr>
        <w:t>y Vialidad de Estado de Oaxaca)</w:t>
      </w:r>
      <w:r w:rsidRPr="00053D29">
        <w:rPr>
          <w:rFonts w:ascii="Arial" w:eastAsia="Times New Roman" w:hAnsi="Arial" w:cs="Arial"/>
          <w:bCs/>
          <w:color w:val="000000"/>
          <w:sz w:val="24"/>
          <w:szCs w:val="24"/>
          <w:lang w:val="es-ES" w:eastAsia="en-US"/>
        </w:rPr>
        <w:t>, dejó de estar vigente la</w:t>
      </w:r>
      <w:r w:rsidRPr="00053D29">
        <w:rPr>
          <w:rFonts w:ascii="Arial" w:eastAsia="Times New Roman" w:hAnsi="Arial" w:cs="Arial"/>
          <w:bCs/>
          <w:color w:val="FF0000"/>
          <w:sz w:val="24"/>
          <w:szCs w:val="24"/>
          <w:lang w:val="es-ES" w:eastAsia="en-US"/>
        </w:rPr>
        <w:t xml:space="preserve"> </w:t>
      </w:r>
      <w:r w:rsidRPr="00053D29">
        <w:rPr>
          <w:rFonts w:ascii="Arial" w:eastAsia="Times New Roman" w:hAnsi="Arial" w:cs="Arial"/>
          <w:bCs/>
          <w:color w:val="000000"/>
          <w:sz w:val="24"/>
          <w:szCs w:val="24"/>
          <w:lang w:val="es-ES" w:eastAsia="en-US"/>
        </w:rPr>
        <w:t>Ley de Tránsito Reformada.</w:t>
      </w:r>
    </w:p>
    <w:p w14:paraId="11547E5D" w14:textId="2BCCC803" w:rsidR="00053D29" w:rsidRPr="00053D29" w:rsidRDefault="00053D29" w:rsidP="00053D29">
      <w:pPr>
        <w:spacing w:line="360" w:lineRule="auto"/>
        <w:ind w:firstLine="567"/>
        <w:jc w:val="both"/>
        <w:rPr>
          <w:rFonts w:ascii="Arial" w:eastAsia="Times New Roman" w:hAnsi="Arial" w:cs="Arial"/>
          <w:b/>
          <w:color w:val="000000"/>
          <w:sz w:val="24"/>
          <w:szCs w:val="24"/>
          <w:lang w:val="es-ES" w:eastAsia="en-US"/>
        </w:rPr>
      </w:pPr>
      <w:r w:rsidRPr="00053D29">
        <w:rPr>
          <w:rFonts w:ascii="Arial" w:eastAsia="Times New Roman" w:hAnsi="Arial" w:cs="Arial"/>
          <w:bCs/>
          <w:color w:val="000000"/>
          <w:sz w:val="24"/>
          <w:szCs w:val="24"/>
          <w:lang w:val="es-ES" w:eastAsia="en-US"/>
        </w:rPr>
        <w:t xml:space="preserve">En ese orden de ideas, y de una interpretación a contrario sensu del artículo segundo transitorio de la entonces Ley de Tránsito, Movilidad y Vialidad del Estado de Oaxaca, </w:t>
      </w:r>
      <w:r w:rsidRPr="00053D29">
        <w:rPr>
          <w:rFonts w:ascii="Arial" w:eastAsia="Times New Roman" w:hAnsi="Arial" w:cs="Arial"/>
          <w:b/>
          <w:bCs/>
          <w:color w:val="000000"/>
          <w:sz w:val="24"/>
          <w:szCs w:val="24"/>
          <w:lang w:val="es-ES" w:eastAsia="en-US"/>
        </w:rPr>
        <w:t>no podía seguirse aplicando</w:t>
      </w:r>
      <w:r w:rsidRPr="00053D29">
        <w:rPr>
          <w:rFonts w:ascii="Arial" w:eastAsia="Times New Roman" w:hAnsi="Arial" w:cs="Arial"/>
          <w:bCs/>
          <w:color w:val="000000"/>
          <w:sz w:val="24"/>
          <w:szCs w:val="24"/>
          <w:lang w:val="es-ES" w:eastAsia="en-US"/>
        </w:rPr>
        <w:t xml:space="preserve"> la Ley de Tránsito Reformada, ya que había perdido su vigencia y con ello su fuerza </w:t>
      </w:r>
      <w:r w:rsidRPr="00053D29">
        <w:rPr>
          <w:rFonts w:ascii="Arial" w:eastAsia="Times New Roman" w:hAnsi="Arial" w:cs="Arial"/>
          <w:bCs/>
          <w:color w:val="000000"/>
          <w:sz w:val="24"/>
          <w:szCs w:val="24"/>
          <w:lang w:val="es-ES" w:eastAsia="en-US"/>
        </w:rPr>
        <w:lastRenderedPageBreak/>
        <w:t xml:space="preserve">vinculante al haber entrado en vigor la Ley de Tránsito, Movilidad y Vialidad del Estado de Oaxaca, el doce de abril de dos mil dieciséis, </w:t>
      </w:r>
      <w:r w:rsidRPr="00053D29">
        <w:rPr>
          <w:rFonts w:ascii="Arial" w:eastAsia="Times New Roman" w:hAnsi="Arial" w:cs="Arial"/>
          <w:b/>
          <w:color w:val="000000"/>
          <w:sz w:val="24"/>
          <w:szCs w:val="24"/>
          <w:lang w:val="es-ES" w:eastAsia="en-US"/>
        </w:rPr>
        <w:t xml:space="preserve">y el acta de infracción fue emitida </w:t>
      </w:r>
      <w:bookmarkStart w:id="1" w:name="_Hlk98340146"/>
      <w:r w:rsidRPr="00053D29">
        <w:rPr>
          <w:rFonts w:ascii="Arial" w:eastAsia="Times New Roman" w:hAnsi="Arial" w:cs="Arial"/>
          <w:b/>
          <w:color w:val="000000"/>
          <w:sz w:val="24"/>
          <w:szCs w:val="24"/>
          <w:lang w:val="es-ES" w:eastAsia="en-US"/>
        </w:rPr>
        <w:t>el</w:t>
      </w:r>
      <w:r w:rsidRPr="00053D29">
        <w:rPr>
          <w:rFonts w:ascii="Arial" w:eastAsia="Times New Roman" w:hAnsi="Arial" w:cs="Arial"/>
          <w:b/>
          <w:bCs/>
          <w:color w:val="000000"/>
          <w:sz w:val="24"/>
          <w:szCs w:val="24"/>
          <w:lang w:val="es-ES" w:eastAsia="en-US"/>
        </w:rPr>
        <w:t xml:space="preserve"> </w:t>
      </w:r>
      <w:bookmarkEnd w:id="1"/>
      <w:r w:rsidR="0075483C">
        <w:rPr>
          <w:rFonts w:ascii="Arial" w:eastAsia="Times New Roman" w:hAnsi="Arial" w:cs="Arial"/>
          <w:b/>
          <w:bCs/>
          <w:color w:val="000000"/>
          <w:sz w:val="24"/>
          <w:szCs w:val="24"/>
          <w:lang w:val="es-ES" w:eastAsia="en-US"/>
        </w:rPr>
        <w:t>nueve de agosto de dos mil diecinueve</w:t>
      </w:r>
      <w:r w:rsidRPr="00053D29">
        <w:rPr>
          <w:rFonts w:ascii="Arial" w:eastAsia="Times New Roman" w:hAnsi="Arial" w:cs="Arial"/>
          <w:b/>
          <w:color w:val="000000"/>
          <w:sz w:val="24"/>
          <w:szCs w:val="24"/>
          <w:lang w:val="es-ES" w:eastAsia="en-US"/>
        </w:rPr>
        <w:t>.</w:t>
      </w:r>
    </w:p>
    <w:p w14:paraId="718075D9" w14:textId="7C9A6A81" w:rsidR="00053D29" w:rsidRPr="00053D29" w:rsidRDefault="00053D29" w:rsidP="00053D29">
      <w:pPr>
        <w:spacing w:line="360" w:lineRule="auto"/>
        <w:ind w:firstLine="567"/>
        <w:jc w:val="both"/>
        <w:rPr>
          <w:rFonts w:ascii="Arial" w:eastAsia="Times New Roman" w:hAnsi="Arial" w:cs="Arial"/>
          <w:b/>
          <w:bCs/>
          <w:color w:val="000000"/>
          <w:sz w:val="24"/>
          <w:szCs w:val="24"/>
          <w:lang w:eastAsia="en-US"/>
        </w:rPr>
      </w:pPr>
      <w:r w:rsidRPr="00053D29">
        <w:rPr>
          <w:rFonts w:ascii="Arial" w:eastAsia="Times New Roman" w:hAnsi="Arial" w:cs="Arial"/>
          <w:color w:val="000000"/>
          <w:sz w:val="24"/>
          <w:szCs w:val="24"/>
          <w:lang w:val="es-ES" w:eastAsia="en-US"/>
        </w:rPr>
        <w:t>Bajo esa tesitura</w:t>
      </w:r>
      <w:r w:rsidRPr="00053D29">
        <w:rPr>
          <w:rFonts w:ascii="Arial" w:eastAsia="Times New Roman" w:hAnsi="Arial" w:cs="Arial"/>
          <w:color w:val="000000"/>
          <w:sz w:val="24"/>
          <w:szCs w:val="24"/>
          <w:lang w:eastAsia="en-US"/>
        </w:rPr>
        <w:t xml:space="preserve">, se advierte que el </w:t>
      </w:r>
      <w:r w:rsidRPr="00053D29">
        <w:rPr>
          <w:rFonts w:ascii="Arial" w:eastAsia="Times New Roman" w:hAnsi="Arial" w:cs="Arial"/>
          <w:sz w:val="24"/>
          <w:szCs w:val="24"/>
          <w:lang w:val="es-ES_tradnl" w:eastAsia="es-ES"/>
        </w:rPr>
        <w:t>Policía Vial Estatal adscrito a la Dirección General de la Policía Vial Estatal</w:t>
      </w:r>
      <w:r w:rsidRPr="00053D29">
        <w:rPr>
          <w:rFonts w:ascii="Arial" w:eastAsia="Times New Roman" w:hAnsi="Arial" w:cs="Arial"/>
          <w:bCs/>
          <w:sz w:val="24"/>
          <w:szCs w:val="24"/>
          <w:lang w:val="es-ES_tradnl" w:eastAsia="es-ES"/>
        </w:rPr>
        <w:t>,</w:t>
      </w:r>
      <w:r w:rsidRPr="00053D29">
        <w:rPr>
          <w:rFonts w:ascii="Arial" w:eastAsia="Times New Roman" w:hAnsi="Arial" w:cs="Arial"/>
          <w:color w:val="000000"/>
          <w:sz w:val="24"/>
          <w:szCs w:val="24"/>
          <w:lang w:eastAsia="en-US"/>
        </w:rPr>
        <w:t xml:space="preserve"> al levantar el acta de infracción con número de folio </w:t>
      </w:r>
      <w:r w:rsidR="0076506A">
        <w:rPr>
          <w:rFonts w:ascii="Arial" w:eastAsia="Times New Roman" w:hAnsi="Arial" w:cs="Arial"/>
          <w:color w:val="000000"/>
          <w:sz w:val="24"/>
          <w:szCs w:val="24"/>
          <w:lang w:eastAsia="en-US"/>
        </w:rPr>
        <w:t>**********</w:t>
      </w:r>
      <w:r w:rsidRPr="00053D29">
        <w:rPr>
          <w:rFonts w:ascii="Arial" w:eastAsia="Times New Roman" w:hAnsi="Arial" w:cs="Arial"/>
          <w:color w:val="000000"/>
          <w:sz w:val="24"/>
          <w:szCs w:val="24"/>
          <w:lang w:eastAsia="en-US"/>
        </w:rPr>
        <w:t xml:space="preserve">, de </w:t>
      </w:r>
      <w:r w:rsidR="0075483C">
        <w:rPr>
          <w:rFonts w:ascii="Arial" w:eastAsia="Times New Roman" w:hAnsi="Arial" w:cs="Arial"/>
          <w:color w:val="000000"/>
          <w:sz w:val="24"/>
          <w:szCs w:val="24"/>
          <w:lang w:eastAsia="en-US"/>
        </w:rPr>
        <w:t>nueve de agosto de dos mil diecinueve</w:t>
      </w:r>
      <w:r w:rsidRPr="00053D29">
        <w:rPr>
          <w:rFonts w:ascii="Arial" w:eastAsia="Times New Roman" w:hAnsi="Arial" w:cs="Arial"/>
          <w:color w:val="000000"/>
          <w:sz w:val="24"/>
          <w:szCs w:val="24"/>
          <w:lang w:eastAsia="en-US"/>
        </w:rPr>
        <w:t xml:space="preserve">, citó como sustento legal de su competencia los artículos </w:t>
      </w:r>
      <w:r w:rsidRPr="00053D29">
        <w:rPr>
          <w:rFonts w:ascii="Arial" w:eastAsiaTheme="minorHAnsi" w:hAnsi="Arial" w:cs="Arial"/>
          <w:sz w:val="24"/>
          <w:szCs w:val="24"/>
          <w:lang w:eastAsia="en-US"/>
        </w:rPr>
        <w:t>1, 2, 3, 8 fracciones I y VIII; 9 fracción I; 10, fracciones I, V y VI; 11 fracciones II, III y IV; 12 fracciones III y IV; y 30 fracciones I, II, III y V, de la Ley de Tránsito Reformada</w:t>
      </w:r>
      <w:r w:rsidRPr="00053D29">
        <w:rPr>
          <w:rFonts w:ascii="Arial" w:eastAsia="Times New Roman" w:hAnsi="Arial" w:cs="Arial"/>
          <w:b/>
          <w:color w:val="000000"/>
          <w:sz w:val="24"/>
          <w:szCs w:val="24"/>
          <w:lang w:eastAsia="en-US"/>
        </w:rPr>
        <w:t>, cuando éstos</w:t>
      </w:r>
      <w:r w:rsidRPr="00053D29">
        <w:rPr>
          <w:rFonts w:ascii="Arial" w:eastAsia="Times New Roman" w:hAnsi="Arial" w:cs="Arial"/>
          <w:color w:val="000000"/>
          <w:sz w:val="24"/>
          <w:szCs w:val="24"/>
          <w:lang w:eastAsia="en-US"/>
        </w:rPr>
        <w:t xml:space="preserve"> </w:t>
      </w:r>
      <w:r w:rsidRPr="00053D29">
        <w:rPr>
          <w:rFonts w:ascii="Arial" w:eastAsia="Times New Roman" w:hAnsi="Arial" w:cs="Arial"/>
          <w:b/>
          <w:bCs/>
          <w:color w:val="000000"/>
          <w:sz w:val="24"/>
          <w:szCs w:val="24"/>
          <w:lang w:eastAsia="en-US"/>
        </w:rPr>
        <w:t xml:space="preserve">ya no se encontraban vigentes. </w:t>
      </w:r>
    </w:p>
    <w:p w14:paraId="6835EB48" w14:textId="599FC4F3" w:rsidR="00053D29" w:rsidRDefault="00053D29" w:rsidP="00053D29">
      <w:pPr>
        <w:spacing w:line="360" w:lineRule="auto"/>
        <w:ind w:right="51" w:firstLine="567"/>
        <w:jc w:val="both"/>
        <w:rPr>
          <w:rFonts w:ascii="Arial" w:eastAsiaTheme="minorHAnsi" w:hAnsi="Arial" w:cs="Arial"/>
          <w:sz w:val="24"/>
          <w:szCs w:val="24"/>
          <w:lang w:eastAsia="en-US"/>
        </w:rPr>
      </w:pPr>
      <w:r w:rsidRPr="00053D29">
        <w:rPr>
          <w:rFonts w:ascii="Arial" w:eastAsiaTheme="minorHAnsi" w:hAnsi="Arial" w:cs="Arial"/>
          <w:bCs/>
          <w:sz w:val="24"/>
          <w:szCs w:val="24"/>
          <w:lang w:eastAsia="en-US"/>
        </w:rPr>
        <w:t xml:space="preserve">Esto es así, porque como ya se dijo, el acta de infracción fue emitida el </w:t>
      </w:r>
      <w:r w:rsidR="0075483C">
        <w:rPr>
          <w:rFonts w:ascii="Arial" w:eastAsia="Times New Roman" w:hAnsi="Arial" w:cs="Arial"/>
          <w:bCs/>
          <w:color w:val="000000"/>
          <w:sz w:val="24"/>
          <w:szCs w:val="24"/>
          <w:lang w:val="es-ES" w:eastAsia="en-US"/>
        </w:rPr>
        <w:t>nueve de agosto de dos mil diecinueve</w:t>
      </w:r>
      <w:r w:rsidRPr="00053D29">
        <w:rPr>
          <w:rFonts w:ascii="Arial" w:eastAsiaTheme="minorHAnsi" w:hAnsi="Arial" w:cs="Arial"/>
          <w:bCs/>
          <w:sz w:val="24"/>
          <w:szCs w:val="24"/>
          <w:lang w:eastAsia="en-US"/>
        </w:rPr>
        <w:t xml:space="preserve">, cuando ya había sido </w:t>
      </w:r>
      <w:r w:rsidRPr="00053D29">
        <w:rPr>
          <w:rFonts w:ascii="Arial" w:eastAsiaTheme="minorHAnsi" w:hAnsi="Arial" w:cs="Arial"/>
          <w:sz w:val="24"/>
          <w:szCs w:val="24"/>
          <w:lang w:eastAsia="en-US"/>
        </w:rPr>
        <w:t>abrogada</w:t>
      </w:r>
      <w:r w:rsidRPr="00053D29">
        <w:rPr>
          <w:rFonts w:ascii="Arial" w:eastAsiaTheme="minorHAnsi" w:hAnsi="Arial" w:cs="Arial"/>
          <w:bCs/>
          <w:sz w:val="24"/>
          <w:szCs w:val="24"/>
          <w:lang w:eastAsia="en-US"/>
        </w:rPr>
        <w:t xml:space="preserve"> Ley de Tránsito Reformada, esto es, desde el doce de abril de dos mil dieciséis; de este modo, </w:t>
      </w:r>
      <w:r w:rsidRPr="00053D29">
        <w:rPr>
          <w:rFonts w:ascii="Arial" w:eastAsiaTheme="minorHAnsi" w:hAnsi="Arial" w:cs="Arial"/>
          <w:sz w:val="24"/>
          <w:szCs w:val="24"/>
          <w:lang w:eastAsia="en-US"/>
        </w:rPr>
        <w:t xml:space="preserve">se hace evidente que el acto de autoridad que se analiza, </w:t>
      </w:r>
      <w:r w:rsidRPr="00053D29">
        <w:rPr>
          <w:rFonts w:ascii="Arial" w:eastAsiaTheme="minorHAnsi" w:hAnsi="Arial" w:cs="Arial"/>
          <w:b/>
          <w:sz w:val="24"/>
          <w:szCs w:val="24"/>
          <w:lang w:eastAsia="en-US"/>
        </w:rPr>
        <w:t xml:space="preserve">incumple </w:t>
      </w:r>
      <w:r w:rsidRPr="00053D29">
        <w:rPr>
          <w:rFonts w:ascii="Arial" w:eastAsiaTheme="minorHAnsi" w:hAnsi="Arial" w:cs="Arial"/>
          <w:sz w:val="24"/>
          <w:szCs w:val="24"/>
          <w:lang w:eastAsia="en-US"/>
        </w:rPr>
        <w:t>con el requisito formal de una correcta fundamentación y en cuanto a la competencia de la autoridad que lo emitió.</w:t>
      </w:r>
    </w:p>
    <w:p w14:paraId="61538CCB" w14:textId="7867F1B8" w:rsidR="0075483C" w:rsidRPr="00053D29" w:rsidRDefault="0075483C" w:rsidP="00053D29">
      <w:pPr>
        <w:spacing w:line="360" w:lineRule="auto"/>
        <w:ind w:right="51" w:firstLine="567"/>
        <w:jc w:val="both"/>
        <w:rPr>
          <w:rFonts w:ascii="Arial" w:eastAsiaTheme="minorHAnsi" w:hAnsi="Arial" w:cs="Arial"/>
          <w:bCs/>
          <w:sz w:val="24"/>
          <w:szCs w:val="24"/>
          <w:lang w:eastAsia="en-US"/>
        </w:rPr>
      </w:pPr>
      <w:r>
        <w:rPr>
          <w:rFonts w:ascii="Arial" w:eastAsiaTheme="minorHAnsi" w:hAnsi="Arial" w:cs="Arial"/>
          <w:sz w:val="24"/>
          <w:szCs w:val="24"/>
          <w:lang w:eastAsia="en-US"/>
        </w:rPr>
        <w:t xml:space="preserve">Sin que sea óbice a lo anterior, el hecho de que la autoridad demandada haya </w:t>
      </w:r>
      <w:r w:rsidR="00DC3C28">
        <w:rPr>
          <w:rFonts w:ascii="Arial" w:eastAsiaTheme="minorHAnsi" w:hAnsi="Arial" w:cs="Arial"/>
          <w:sz w:val="24"/>
          <w:szCs w:val="24"/>
          <w:lang w:eastAsia="en-US"/>
        </w:rPr>
        <w:t xml:space="preserve">invocado en el apartado de “observaciones” del acto impugnado, lo siguiente: </w:t>
      </w:r>
      <w:r w:rsidR="00DC3C28" w:rsidRPr="00DC3C28">
        <w:rPr>
          <w:rFonts w:ascii="Arial" w:eastAsiaTheme="minorHAnsi" w:hAnsi="Arial" w:cs="Arial"/>
          <w:i/>
          <w:sz w:val="24"/>
          <w:szCs w:val="24"/>
          <w:lang w:eastAsia="en-US"/>
        </w:rPr>
        <w:t>“art. 1,2,3,4 18, fracción V y 39 de la LIMV, Del Estado de Oaxaca</w:t>
      </w:r>
      <w:r w:rsidR="005E7A6C" w:rsidRPr="00DC3C28">
        <w:rPr>
          <w:rFonts w:ascii="Arial" w:eastAsiaTheme="minorHAnsi" w:hAnsi="Arial" w:cs="Arial"/>
          <w:i/>
          <w:sz w:val="24"/>
          <w:szCs w:val="24"/>
          <w:lang w:eastAsia="en-US"/>
        </w:rPr>
        <w:t>”</w:t>
      </w:r>
      <w:r w:rsidR="005E7A6C">
        <w:rPr>
          <w:rFonts w:ascii="Arial" w:eastAsiaTheme="minorHAnsi" w:hAnsi="Arial" w:cs="Arial"/>
          <w:i/>
          <w:sz w:val="24"/>
          <w:szCs w:val="24"/>
          <w:lang w:eastAsia="en-US"/>
        </w:rPr>
        <w:t xml:space="preserve">, </w:t>
      </w:r>
      <w:r w:rsidR="005E7A6C">
        <w:rPr>
          <w:rFonts w:ascii="Arial" w:eastAsiaTheme="minorHAnsi" w:hAnsi="Arial" w:cs="Arial"/>
          <w:sz w:val="24"/>
          <w:szCs w:val="24"/>
          <w:lang w:eastAsia="en-US"/>
        </w:rPr>
        <w:t>en</w:t>
      </w:r>
      <w:r w:rsidR="00C35B03">
        <w:rPr>
          <w:rFonts w:ascii="Arial" w:eastAsiaTheme="minorHAnsi" w:hAnsi="Arial" w:cs="Arial"/>
          <w:sz w:val="24"/>
          <w:szCs w:val="24"/>
          <w:lang w:eastAsia="en-US"/>
        </w:rPr>
        <w:t xml:space="preserve"> virtud de que no especifica con claridad a que Ley está haciendo referencia.</w:t>
      </w:r>
    </w:p>
    <w:p w14:paraId="1CD1DC94" w14:textId="2F726756" w:rsidR="00C96414" w:rsidRDefault="00053D29" w:rsidP="009F4F70">
      <w:pPr>
        <w:spacing w:line="360" w:lineRule="auto"/>
        <w:ind w:firstLine="567"/>
        <w:jc w:val="both"/>
        <w:rPr>
          <w:rFonts w:ascii="Arial" w:eastAsia="Times New Roman" w:hAnsi="Arial" w:cs="Arial"/>
          <w:color w:val="000000"/>
          <w:sz w:val="24"/>
          <w:szCs w:val="24"/>
          <w:lang w:val="es-ES_tradnl" w:eastAsia="en-US"/>
        </w:rPr>
      </w:pPr>
      <w:r w:rsidRPr="00053D29">
        <w:rPr>
          <w:rFonts w:ascii="Arial" w:eastAsia="Times New Roman" w:hAnsi="Arial" w:cs="Arial"/>
          <w:color w:val="000000"/>
          <w:sz w:val="24"/>
          <w:szCs w:val="24"/>
          <w:lang w:eastAsia="en-US"/>
        </w:rPr>
        <w:t xml:space="preserve">Por lo tanto, al configurarse, una </w:t>
      </w:r>
      <w:r w:rsidR="00C35B03">
        <w:rPr>
          <w:rFonts w:ascii="Arial" w:eastAsia="Times New Roman" w:hAnsi="Arial" w:cs="Arial"/>
          <w:b/>
          <w:color w:val="000000"/>
          <w:sz w:val="24"/>
          <w:szCs w:val="24"/>
          <w:lang w:eastAsia="en-US"/>
        </w:rPr>
        <w:t>indebida</w:t>
      </w:r>
      <w:r w:rsidRPr="00053D29">
        <w:rPr>
          <w:rFonts w:ascii="Arial" w:eastAsia="Times New Roman" w:hAnsi="Arial" w:cs="Arial"/>
          <w:b/>
          <w:color w:val="000000"/>
          <w:sz w:val="24"/>
          <w:szCs w:val="24"/>
          <w:lang w:eastAsia="en-US"/>
        </w:rPr>
        <w:t xml:space="preserve"> fundamentación</w:t>
      </w:r>
      <w:r w:rsidRPr="00053D29">
        <w:rPr>
          <w:rFonts w:ascii="Arial" w:eastAsia="Times New Roman" w:hAnsi="Arial" w:cs="Arial"/>
          <w:color w:val="000000"/>
          <w:sz w:val="24"/>
          <w:szCs w:val="24"/>
          <w:lang w:eastAsia="en-US"/>
        </w:rPr>
        <w:t xml:space="preserve"> respecto de la competencia </w:t>
      </w:r>
      <w:r w:rsidR="009F4F70">
        <w:rPr>
          <w:rFonts w:ascii="Arial" w:eastAsia="Times New Roman" w:hAnsi="Arial" w:cs="Arial"/>
          <w:color w:val="000000"/>
          <w:sz w:val="24"/>
          <w:szCs w:val="24"/>
          <w:lang w:eastAsia="en-US"/>
        </w:rPr>
        <w:t xml:space="preserve">material y territorial </w:t>
      </w:r>
      <w:r w:rsidRPr="00053D29">
        <w:rPr>
          <w:rFonts w:ascii="Arial" w:eastAsia="Times New Roman" w:hAnsi="Arial" w:cs="Arial"/>
          <w:color w:val="000000"/>
          <w:sz w:val="24"/>
          <w:szCs w:val="24"/>
          <w:lang w:eastAsia="en-US"/>
        </w:rPr>
        <w:t>de la autoridad demandada</w:t>
      </w:r>
      <w:r w:rsidRPr="00053D29">
        <w:rPr>
          <w:rFonts w:ascii="Arial" w:eastAsiaTheme="minorHAnsi" w:hAnsi="Arial" w:cs="Arial"/>
          <w:sz w:val="24"/>
          <w:szCs w:val="24"/>
          <w:lang w:eastAsia="en-US"/>
        </w:rPr>
        <w:t xml:space="preserve">, </w:t>
      </w:r>
      <w:r w:rsidR="00C35B03">
        <w:rPr>
          <w:rFonts w:ascii="Arial" w:eastAsiaTheme="minorHAnsi" w:hAnsi="Arial" w:cs="Arial"/>
          <w:sz w:val="24"/>
          <w:szCs w:val="24"/>
          <w:lang w:eastAsia="en-US"/>
        </w:rPr>
        <w:t xml:space="preserve">por lo que, </w:t>
      </w:r>
      <w:r w:rsidRPr="00053D29">
        <w:rPr>
          <w:rFonts w:ascii="Arial" w:eastAsiaTheme="minorHAnsi" w:hAnsi="Arial" w:cs="Arial"/>
          <w:sz w:val="24"/>
          <w:szCs w:val="24"/>
          <w:lang w:eastAsia="en-US"/>
        </w:rPr>
        <w:t>procede con fundamento en el artículo 208 fracción I, de la Ley de Procedimiento y Justicia Administrativa para el Estado</w:t>
      </w:r>
      <w:r w:rsidRPr="00053D29">
        <w:rPr>
          <w:rFonts w:ascii="Arial" w:eastAsia="Times New Roman" w:hAnsi="Arial" w:cs="Arial"/>
          <w:color w:val="000000"/>
          <w:sz w:val="24"/>
          <w:szCs w:val="24"/>
          <w:lang w:eastAsia="en-US"/>
        </w:rPr>
        <w:t xml:space="preserve">, declarar la </w:t>
      </w:r>
      <w:r w:rsidRPr="00053D29">
        <w:rPr>
          <w:rFonts w:ascii="Arial" w:eastAsia="Times New Roman" w:hAnsi="Arial" w:cs="Arial"/>
          <w:b/>
          <w:color w:val="000000"/>
          <w:sz w:val="24"/>
          <w:szCs w:val="24"/>
          <w:lang w:eastAsia="en-US"/>
        </w:rPr>
        <w:t xml:space="preserve">NULIDAD LISA Y LLANA </w:t>
      </w:r>
      <w:r w:rsidRPr="00053D29">
        <w:rPr>
          <w:rFonts w:ascii="Arial" w:eastAsia="Times New Roman" w:hAnsi="Arial" w:cs="Arial"/>
          <w:color w:val="000000"/>
          <w:sz w:val="24"/>
          <w:szCs w:val="24"/>
          <w:lang w:eastAsia="en-US"/>
        </w:rPr>
        <w:t xml:space="preserve">del acta de infracción con número de folio </w:t>
      </w:r>
      <w:r w:rsidR="0076506A">
        <w:rPr>
          <w:rFonts w:ascii="Arial" w:eastAsia="Times New Roman" w:hAnsi="Arial" w:cs="Arial"/>
          <w:b/>
          <w:bCs/>
          <w:color w:val="FF0000"/>
          <w:sz w:val="24"/>
          <w:szCs w:val="24"/>
          <w:lang w:eastAsia="en-US"/>
        </w:rPr>
        <w:t>**********</w:t>
      </w:r>
      <w:r w:rsidRPr="00053D29">
        <w:rPr>
          <w:rFonts w:ascii="Arial" w:eastAsia="Times New Roman" w:hAnsi="Arial" w:cs="Arial"/>
          <w:b/>
          <w:bCs/>
          <w:color w:val="FF0000"/>
          <w:sz w:val="24"/>
          <w:szCs w:val="24"/>
          <w:lang w:eastAsia="en-US"/>
        </w:rPr>
        <w:t>,</w:t>
      </w:r>
      <w:r w:rsidRPr="00053D29">
        <w:rPr>
          <w:rFonts w:ascii="Arial" w:eastAsia="Times New Roman" w:hAnsi="Arial" w:cs="Arial"/>
          <w:bCs/>
          <w:color w:val="000000"/>
          <w:sz w:val="24"/>
          <w:szCs w:val="24"/>
          <w:lang w:eastAsia="en-US"/>
        </w:rPr>
        <w:t xml:space="preserve"> de </w:t>
      </w:r>
      <w:r w:rsidR="00C35B03">
        <w:rPr>
          <w:rFonts w:ascii="Arial" w:eastAsia="Times New Roman" w:hAnsi="Arial" w:cs="Arial"/>
          <w:bCs/>
          <w:color w:val="000000"/>
          <w:sz w:val="24"/>
          <w:szCs w:val="24"/>
          <w:lang w:eastAsia="en-US"/>
        </w:rPr>
        <w:t>nueve de agosto de dos mil diecinueve</w:t>
      </w:r>
      <w:r w:rsidRPr="00053D29">
        <w:rPr>
          <w:rFonts w:ascii="Arial" w:eastAsiaTheme="minorHAnsi" w:hAnsi="Arial" w:cs="Arial"/>
          <w:bCs/>
          <w:sz w:val="24"/>
          <w:szCs w:val="24"/>
          <w:lang w:eastAsia="en-US"/>
        </w:rPr>
        <w:t>,</w:t>
      </w:r>
      <w:r w:rsidRPr="00053D29">
        <w:rPr>
          <w:rFonts w:ascii="Arial" w:eastAsia="Times New Roman" w:hAnsi="Arial" w:cs="Arial"/>
          <w:bCs/>
          <w:color w:val="000000"/>
          <w:sz w:val="24"/>
          <w:szCs w:val="24"/>
          <w:lang w:eastAsia="en-US"/>
        </w:rPr>
        <w:t xml:space="preserve"> </w:t>
      </w:r>
      <w:r w:rsidRPr="00053D29">
        <w:rPr>
          <w:rFonts w:ascii="Arial" w:eastAsia="Times New Roman" w:hAnsi="Arial" w:cs="Arial"/>
          <w:color w:val="000000"/>
          <w:sz w:val="24"/>
          <w:szCs w:val="24"/>
          <w:lang w:eastAsia="en-US"/>
        </w:rPr>
        <w:t xml:space="preserve">levantada por el </w:t>
      </w:r>
      <w:r w:rsidRPr="00053D29">
        <w:rPr>
          <w:rFonts w:ascii="Arial" w:eastAsia="Times New Roman" w:hAnsi="Arial" w:cs="Arial"/>
          <w:bCs/>
          <w:sz w:val="24"/>
          <w:szCs w:val="24"/>
          <w:lang w:val="es-ES" w:eastAsia="es-ES"/>
        </w:rPr>
        <w:t>Policía Vial Estatal PV-</w:t>
      </w:r>
      <w:r w:rsidR="00C35B03">
        <w:rPr>
          <w:rFonts w:ascii="Arial" w:eastAsia="Times New Roman" w:hAnsi="Arial" w:cs="Arial"/>
          <w:bCs/>
          <w:sz w:val="24"/>
          <w:szCs w:val="24"/>
          <w:lang w:val="es-ES" w:eastAsia="es-ES"/>
        </w:rPr>
        <w:t>318</w:t>
      </w:r>
      <w:r w:rsidRPr="00053D29">
        <w:rPr>
          <w:rFonts w:ascii="Arial" w:eastAsia="Times New Roman" w:hAnsi="Arial" w:cs="Arial"/>
          <w:bCs/>
          <w:sz w:val="24"/>
          <w:szCs w:val="24"/>
          <w:lang w:val="es-ES" w:eastAsia="es-ES"/>
        </w:rPr>
        <w:t xml:space="preserve">, </w:t>
      </w:r>
      <w:r w:rsidRPr="00053D29">
        <w:rPr>
          <w:rFonts w:ascii="Arial" w:eastAsia="Times New Roman" w:hAnsi="Arial" w:cs="Arial"/>
          <w:sz w:val="24"/>
          <w:szCs w:val="24"/>
          <w:lang w:val="es-ES_tradnl" w:eastAsia="es-ES"/>
        </w:rPr>
        <w:t>adscrito a la Dirección General de la Policía Vial Estatal.</w:t>
      </w:r>
    </w:p>
    <w:p w14:paraId="65F2503B" w14:textId="77777777" w:rsidR="009F4F70" w:rsidRDefault="009F4F70" w:rsidP="009F4F70">
      <w:pPr>
        <w:tabs>
          <w:tab w:val="center" w:pos="-1418"/>
          <w:tab w:val="center" w:pos="4419"/>
          <w:tab w:val="right" w:pos="8838"/>
        </w:tabs>
        <w:spacing w:after="240" w:line="360" w:lineRule="auto"/>
        <w:ind w:firstLine="709"/>
        <w:jc w:val="both"/>
        <w:rPr>
          <w:rFonts w:ascii="Arial" w:eastAsia="Arial" w:hAnsi="Arial" w:cs="Arial"/>
          <w:spacing w:val="1"/>
          <w:sz w:val="24"/>
          <w:szCs w:val="24"/>
        </w:rPr>
      </w:pPr>
      <w:r>
        <w:rPr>
          <w:rFonts w:ascii="Arial" w:eastAsia="Arial" w:hAnsi="Arial" w:cs="Arial"/>
          <w:spacing w:val="1"/>
          <w:sz w:val="24"/>
          <w:szCs w:val="24"/>
        </w:rPr>
        <w:t>Son aplicables en lo conducente los siguientes criterios, cuyos datos, rubros y textos son los siguientes:</w:t>
      </w:r>
    </w:p>
    <w:p w14:paraId="55A76E8F" w14:textId="77777777" w:rsidR="009F4F70" w:rsidRPr="009F4F70" w:rsidRDefault="009F4F70" w:rsidP="009F4F70">
      <w:pPr>
        <w:spacing w:line="360" w:lineRule="auto"/>
        <w:ind w:firstLine="567"/>
        <w:jc w:val="both"/>
        <w:rPr>
          <w:rFonts w:ascii="Arial" w:eastAsia="Times New Roman" w:hAnsi="Arial" w:cs="Arial"/>
          <w:color w:val="000000"/>
          <w:sz w:val="24"/>
          <w:szCs w:val="24"/>
          <w:lang w:eastAsia="en-US"/>
        </w:rPr>
      </w:pPr>
    </w:p>
    <w:p w14:paraId="1349473B"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Registro digital: 177347</w:t>
      </w:r>
    </w:p>
    <w:p w14:paraId="7D3E6FC2"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Instancia: Segunda Sala</w:t>
      </w:r>
    </w:p>
    <w:p w14:paraId="5F5250B3"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Novena Época</w:t>
      </w:r>
    </w:p>
    <w:p w14:paraId="73EEBA2B"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Materias(s): Administrativa</w:t>
      </w:r>
    </w:p>
    <w:p w14:paraId="2868E6FA"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Tesis: 2a./J. 115/2005</w:t>
      </w:r>
    </w:p>
    <w:p w14:paraId="5B71D943" w14:textId="77777777" w:rsidR="009F4F70" w:rsidRPr="009F4F70" w:rsidRDefault="009F4F70" w:rsidP="009F4F70">
      <w:pPr>
        <w:spacing w:after="0" w:line="240" w:lineRule="auto"/>
        <w:ind w:left="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Fuente: Semanario Judicial de la Federación y su Gaceta. Tomo XXII, Septiembre de 2005, página 310</w:t>
      </w:r>
    </w:p>
    <w:p w14:paraId="1CE85C71" w14:textId="1BFCD5A8" w:rsid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Tipo: Jurisprudencia</w:t>
      </w:r>
    </w:p>
    <w:p w14:paraId="0478CE07"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p>
    <w:p w14:paraId="5AD20BA1" w14:textId="505AF300" w:rsid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b/>
          <w:i/>
          <w:color w:val="000000"/>
          <w:szCs w:val="24"/>
          <w:lang w:val="es-ES_tradnl" w:eastAsia="en-US"/>
        </w:rPr>
        <w:lastRenderedPageBreak/>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w:t>
      </w:r>
      <w:r w:rsidRPr="009F4F70">
        <w:rPr>
          <w:rFonts w:ascii="Arial" w:eastAsia="Times New Roman" w:hAnsi="Arial" w:cs="Arial"/>
          <w:i/>
          <w:color w:val="000000"/>
          <w:szCs w:val="24"/>
          <w:lang w:val="es-ES_tradnl" w:eastAsia="en-US"/>
        </w:rPr>
        <w:t xml:space="preserve">De lo dispuesto en la tesis de jurisprudencia P./J. 10/94 del Tribunal en </w:t>
      </w:r>
      <w:proofErr w:type="gramStart"/>
      <w:r w:rsidRPr="009F4F70">
        <w:rPr>
          <w:rFonts w:ascii="Arial" w:eastAsia="Times New Roman" w:hAnsi="Arial" w:cs="Arial"/>
          <w:i/>
          <w:color w:val="000000"/>
          <w:szCs w:val="24"/>
          <w:lang w:val="es-ES_tradnl" w:eastAsia="en-US"/>
        </w:rPr>
        <w:t>Pleno  de</w:t>
      </w:r>
      <w:proofErr w:type="gramEnd"/>
      <w:r w:rsidRPr="009F4F70">
        <w:rPr>
          <w:rFonts w:ascii="Arial" w:eastAsia="Times New Roman" w:hAnsi="Arial" w:cs="Arial"/>
          <w:i/>
          <w:color w:val="000000"/>
          <w:szCs w:val="24"/>
          <w:lang w:val="es-ES_tradnl" w:eastAsia="en-US"/>
        </w:rPr>
        <w:t xml:space="preserv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29848397" w14:textId="77777777" w:rsidR="009F4F70" w:rsidRPr="009F4F70" w:rsidRDefault="009F4F70" w:rsidP="009F4F70">
      <w:pPr>
        <w:spacing w:after="0" w:line="360" w:lineRule="auto"/>
        <w:ind w:firstLine="567"/>
        <w:jc w:val="both"/>
        <w:rPr>
          <w:rFonts w:ascii="Arial" w:eastAsia="Times New Roman" w:hAnsi="Arial" w:cs="Arial"/>
          <w:b/>
          <w:i/>
          <w:color w:val="000000"/>
          <w:szCs w:val="24"/>
          <w:lang w:val="es-ES_tradnl" w:eastAsia="en-US"/>
        </w:rPr>
      </w:pPr>
    </w:p>
    <w:p w14:paraId="0A26C345" w14:textId="07485A31"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 xml:space="preserve">Contradicción de tesis 114/2005-SS. Entre las sustentadas por el Segundo Tribunal Colegiado en Materia de Trabajo del Tercer Circuito, el Tercer Tribunal Colegiado del Vigésimo Tercer Circuito y el Primer Tribunal Colegiado en Materia </w:t>
      </w:r>
      <w:r w:rsidRPr="009F4F70">
        <w:rPr>
          <w:rFonts w:ascii="Arial" w:eastAsia="Times New Roman" w:hAnsi="Arial" w:cs="Arial"/>
          <w:i/>
          <w:color w:val="000000"/>
          <w:szCs w:val="24"/>
          <w:lang w:val="es-ES_tradnl" w:eastAsia="en-US"/>
        </w:rPr>
        <w:lastRenderedPageBreak/>
        <w:t>Administrativa del Tercer Circuito. 2 de septiembre de 2005. Cinco votos. Ponente: Genaro David Góngora Pimentel. Secretario: Alfredo Aragón Jiménez Castro.</w:t>
      </w:r>
    </w:p>
    <w:p w14:paraId="0C1DE2F8" w14:textId="77777777"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Tesis de jurisprudencia 115/2005. Aprobada por la Segunda Sala de este Alto Tribunal, en sesión privada del nueve de septiembre de dos mil cinco.</w:t>
      </w:r>
    </w:p>
    <w:p w14:paraId="673D6908" w14:textId="77777777" w:rsidR="009F4F70" w:rsidRDefault="009F4F70" w:rsidP="009F4F70">
      <w:pPr>
        <w:spacing w:line="360" w:lineRule="auto"/>
        <w:ind w:firstLine="567"/>
        <w:jc w:val="both"/>
        <w:rPr>
          <w:rFonts w:ascii="Arial" w:eastAsia="Times New Roman" w:hAnsi="Arial" w:cs="Arial"/>
          <w:color w:val="000000"/>
          <w:sz w:val="24"/>
          <w:szCs w:val="24"/>
          <w:lang w:val="es-ES_tradnl" w:eastAsia="en-US"/>
        </w:rPr>
      </w:pPr>
    </w:p>
    <w:p w14:paraId="57545A57" w14:textId="1A558B82"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Suprema Corte de Justicia de la Nación</w:t>
      </w:r>
    </w:p>
    <w:p w14:paraId="5A1AA3C1"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Registro digital: 205463</w:t>
      </w:r>
    </w:p>
    <w:p w14:paraId="4B090F62"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Instancia: Pleno</w:t>
      </w:r>
    </w:p>
    <w:p w14:paraId="35A00E80"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Octava Época</w:t>
      </w:r>
    </w:p>
    <w:p w14:paraId="58590D8E"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Materias(s): Común</w:t>
      </w:r>
    </w:p>
    <w:p w14:paraId="6B69DE3E"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 xml:space="preserve">Tesis: P./J. 10/94         </w:t>
      </w:r>
    </w:p>
    <w:p w14:paraId="577FF2AC" w14:textId="77777777" w:rsidR="009F4F70" w:rsidRPr="009F4F70" w:rsidRDefault="009F4F70" w:rsidP="009F4F70">
      <w:pPr>
        <w:spacing w:after="0" w:line="240" w:lineRule="auto"/>
        <w:ind w:left="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Fuente: Gaceta del Semanario Judicial de la Federación. Núm. 77, Mayo de 1994, página 12</w:t>
      </w:r>
    </w:p>
    <w:p w14:paraId="6DF181F0" w14:textId="4CA4B256" w:rsid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Tipo: Jurisprudencia</w:t>
      </w:r>
    </w:p>
    <w:p w14:paraId="5F6C71FC"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p>
    <w:p w14:paraId="2A52DB39" w14:textId="4F92C537" w:rsid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b/>
          <w:i/>
          <w:color w:val="000000"/>
          <w:szCs w:val="24"/>
          <w:lang w:val="es-ES_tradnl" w:eastAsia="en-US"/>
        </w:rPr>
        <w:t>COMPETENCIA. SU FUNDAMENTACION ES REQUISITO ESENCIAL DEL ACTO DE AUTORIDAD</w:t>
      </w:r>
      <w:r w:rsidRPr="009F4F70">
        <w:rPr>
          <w:rFonts w:ascii="Arial" w:eastAsia="Times New Roman" w:hAnsi="Arial" w:cs="Arial"/>
          <w:i/>
          <w:color w:val="000000"/>
          <w:szCs w:val="24"/>
          <w:lang w:val="es-ES_tradnl" w:eastAsia="en-US"/>
        </w:rPr>
        <w:t>. 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14:paraId="5E5DC85B" w14:textId="77777777"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p>
    <w:p w14:paraId="6A67F46F" w14:textId="02E2946A" w:rsid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Contradicción de tesis 29/90. Entre las sustentadas por el Tercer Tribunal Colegiado en Materia Administrativa del Primer Circuito y el Tribunal (en la actualidad Primero) Colegiado del Décimo Tercer Circuito. 17 de junio de 1992. Unanimidad de dieciocho votos. Ponente: Carlos de Silva Nava. Secretario: Jorge D. Guzmán González.</w:t>
      </w:r>
    </w:p>
    <w:p w14:paraId="4EDC35E8" w14:textId="77777777"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p>
    <w:p w14:paraId="00000043" w14:textId="370EE7A3"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Por lo tanto y para estar en condiciones de restituir al administrado en el pleno goce de sus derechos afectados, </w:t>
      </w:r>
      <w:r>
        <w:rPr>
          <w:rFonts w:ascii="Arial" w:eastAsia="Arial" w:hAnsi="Arial" w:cs="Arial"/>
          <w:b/>
          <w:sz w:val="24"/>
          <w:szCs w:val="24"/>
        </w:rPr>
        <w:t xml:space="preserve">se ordena </w:t>
      </w:r>
      <w:r>
        <w:rPr>
          <w:rFonts w:ascii="Arial" w:eastAsia="Arial" w:hAnsi="Arial" w:cs="Arial"/>
          <w:sz w:val="24"/>
          <w:szCs w:val="24"/>
        </w:rPr>
        <w:t xml:space="preserve">a </w:t>
      </w:r>
      <w:r w:rsidR="009F4F70">
        <w:rPr>
          <w:rFonts w:ascii="Arial" w:eastAsia="Arial" w:hAnsi="Arial" w:cs="Arial"/>
          <w:sz w:val="24"/>
          <w:szCs w:val="24"/>
        </w:rPr>
        <w:t xml:space="preserve">la </w:t>
      </w:r>
      <w:r w:rsidR="009F4F70">
        <w:rPr>
          <w:rFonts w:ascii="Arial" w:eastAsia="Arial" w:hAnsi="Arial" w:cs="Arial"/>
          <w:b/>
          <w:sz w:val="24"/>
          <w:szCs w:val="24"/>
        </w:rPr>
        <w:t>autoridad demandada</w:t>
      </w:r>
      <w:r>
        <w:rPr>
          <w:rFonts w:ascii="Arial" w:eastAsia="Arial" w:hAnsi="Arial" w:cs="Arial"/>
          <w:sz w:val="24"/>
          <w:szCs w:val="24"/>
        </w:rPr>
        <w:t xml:space="preserve">, proceda a la cancelación de la citada acta de infracción, del sistema </w:t>
      </w:r>
      <w:r w:rsidR="00D4148E">
        <w:rPr>
          <w:rFonts w:ascii="Arial" w:eastAsia="Arial" w:hAnsi="Arial" w:cs="Arial"/>
          <w:sz w:val="24"/>
          <w:szCs w:val="24"/>
        </w:rPr>
        <w:t xml:space="preserve">digital </w:t>
      </w:r>
      <w:r>
        <w:rPr>
          <w:rFonts w:ascii="Arial" w:eastAsia="Arial" w:hAnsi="Arial" w:cs="Arial"/>
          <w:sz w:val="24"/>
          <w:szCs w:val="24"/>
        </w:rPr>
        <w:t>correspondiente.</w:t>
      </w:r>
    </w:p>
    <w:p w14:paraId="1346D7A8" w14:textId="6C00A182" w:rsidR="006032E1" w:rsidRDefault="00570704" w:rsidP="006032E1">
      <w:pPr>
        <w:spacing w:line="360" w:lineRule="auto"/>
        <w:ind w:right="-93" w:firstLine="709"/>
        <w:jc w:val="both"/>
        <w:rPr>
          <w:rFonts w:ascii="Arial" w:hAnsi="Arial" w:cs="Arial"/>
          <w:sz w:val="24"/>
          <w:szCs w:val="24"/>
        </w:rPr>
      </w:pPr>
      <w:r>
        <w:rPr>
          <w:rFonts w:ascii="Arial" w:hAnsi="Arial" w:cs="Arial"/>
          <w:b/>
          <w:bCs/>
          <w:sz w:val="24"/>
          <w:szCs w:val="24"/>
        </w:rPr>
        <w:t xml:space="preserve">SEXTO. </w:t>
      </w:r>
      <w:r w:rsidR="006032E1">
        <w:rPr>
          <w:rFonts w:ascii="Arial" w:hAnsi="Arial" w:cs="Arial"/>
          <w:bCs/>
          <w:sz w:val="24"/>
          <w:szCs w:val="24"/>
        </w:rPr>
        <w:t xml:space="preserve">Asimismo, </w:t>
      </w:r>
      <w:r w:rsidR="006032E1">
        <w:rPr>
          <w:rFonts w:ascii="Arial" w:hAnsi="Arial" w:cs="Arial"/>
          <w:b/>
          <w:bCs/>
          <w:sz w:val="24"/>
          <w:szCs w:val="24"/>
        </w:rPr>
        <w:t>se ordena</w:t>
      </w:r>
      <w:r w:rsidR="006032E1">
        <w:rPr>
          <w:rFonts w:ascii="Arial" w:hAnsi="Arial" w:cs="Arial"/>
          <w:bCs/>
          <w:sz w:val="24"/>
          <w:szCs w:val="24"/>
        </w:rPr>
        <w:t xml:space="preserve"> a la </w:t>
      </w:r>
      <w:r w:rsidR="006032E1">
        <w:rPr>
          <w:rFonts w:ascii="Arial" w:hAnsi="Arial" w:cs="Arial"/>
          <w:b/>
          <w:bCs/>
          <w:sz w:val="24"/>
          <w:szCs w:val="24"/>
        </w:rPr>
        <w:t>autoridad demandada</w:t>
      </w:r>
      <w:r w:rsidR="006032E1">
        <w:rPr>
          <w:rFonts w:ascii="Arial" w:hAnsi="Arial" w:cs="Arial"/>
          <w:sz w:val="24"/>
          <w:szCs w:val="24"/>
        </w:rPr>
        <w:t xml:space="preserve">, realice las gestiones correspondientes ante la Secretaría de Finanzas del Estado de </w:t>
      </w:r>
      <w:r w:rsidR="006032E1">
        <w:rPr>
          <w:rFonts w:ascii="Arial" w:hAnsi="Arial" w:cs="Arial"/>
          <w:sz w:val="24"/>
          <w:szCs w:val="24"/>
        </w:rPr>
        <w:lastRenderedPageBreak/>
        <w:t xml:space="preserve">Oaxaca, a través de su área correspondiente, para que se realice a la persona moral denominada </w:t>
      </w:r>
      <w:r w:rsidR="0076506A">
        <w:rPr>
          <w:rFonts w:ascii="Arial" w:eastAsia="Arial" w:hAnsi="Arial" w:cs="Arial"/>
          <w:b/>
          <w:color w:val="FF0000"/>
          <w:sz w:val="24"/>
          <w:szCs w:val="24"/>
        </w:rPr>
        <w:t>**********</w:t>
      </w:r>
      <w:r w:rsidR="006032E1">
        <w:rPr>
          <w:rFonts w:ascii="Arial" w:eastAsia="Arial" w:hAnsi="Arial" w:cs="Arial"/>
          <w:b/>
          <w:color w:val="FF0000"/>
          <w:sz w:val="24"/>
          <w:szCs w:val="24"/>
        </w:rPr>
        <w:t xml:space="preserve">, </w:t>
      </w:r>
      <w:r w:rsidR="006032E1">
        <w:rPr>
          <w:rFonts w:ascii="Arial" w:eastAsia="Arial" w:hAnsi="Arial" w:cs="Arial"/>
          <w:sz w:val="24"/>
          <w:szCs w:val="24"/>
        </w:rPr>
        <w:t xml:space="preserve">por conducto de su representante legal, </w:t>
      </w:r>
      <w:r w:rsidR="006032E1">
        <w:rPr>
          <w:rFonts w:ascii="Arial" w:hAnsi="Arial" w:cs="Arial"/>
          <w:sz w:val="24"/>
          <w:szCs w:val="24"/>
        </w:rPr>
        <w:t xml:space="preserve">la devolución de la cantidad de $12,673.00 (doce mil seiscientos setenta y tres pesos  00/100 M.N.), pagada con motivo de la infracción que fue levantada y declarada nula, como consta del formato de pago folio </w:t>
      </w:r>
      <w:r w:rsidR="005E7A6C">
        <w:rPr>
          <w:rFonts w:ascii="Arial" w:hAnsi="Arial" w:cs="Arial"/>
          <w:sz w:val="24"/>
          <w:szCs w:val="24"/>
        </w:rPr>
        <w:t>**********</w:t>
      </w:r>
      <w:r w:rsidR="006032E1">
        <w:rPr>
          <w:rFonts w:ascii="Arial" w:hAnsi="Arial" w:cs="Arial"/>
          <w:sz w:val="24"/>
          <w:szCs w:val="24"/>
        </w:rPr>
        <w:t xml:space="preserve"> de veintiuno de agosto de dos mil diecinueve, (foja 33) en el que se advierte asentado el nombre de </w:t>
      </w:r>
      <w:r w:rsidR="0076506A">
        <w:rPr>
          <w:rFonts w:ascii="Arial" w:eastAsia="Arial" w:hAnsi="Arial" w:cs="Arial"/>
          <w:b/>
          <w:color w:val="FF0000"/>
          <w:sz w:val="24"/>
          <w:szCs w:val="24"/>
        </w:rPr>
        <w:t>**********</w:t>
      </w:r>
      <w:r w:rsidR="005E7A6C">
        <w:rPr>
          <w:rFonts w:ascii="Arial" w:hAnsi="Arial" w:cs="Arial"/>
          <w:sz w:val="24"/>
          <w:szCs w:val="24"/>
        </w:rPr>
        <w:t>.</w:t>
      </w:r>
    </w:p>
    <w:p w14:paraId="6EBEC46E" w14:textId="77777777" w:rsidR="006032E1" w:rsidRDefault="006032E1" w:rsidP="006032E1">
      <w:pPr>
        <w:spacing w:before="240" w:after="0" w:line="360" w:lineRule="auto"/>
        <w:ind w:right="49" w:firstLine="708"/>
        <w:jc w:val="both"/>
        <w:rPr>
          <w:rFonts w:ascii="Arial" w:hAnsi="Arial" w:cs="Arial"/>
          <w:sz w:val="24"/>
          <w:szCs w:val="24"/>
        </w:rPr>
      </w:pPr>
      <w:r>
        <w:rPr>
          <w:rFonts w:ascii="Arial" w:hAnsi="Arial" w:cs="Arial"/>
          <w:sz w:val="24"/>
          <w:szCs w:val="24"/>
        </w:rPr>
        <w:t xml:space="preserve">Al respecto, resulta aplicable la Jurisprudencia de la Séptima Época con número de registro 252103, de los Tribunales Colegiados de Circuito, publicado en el Semanario Judicial de la Federación, 121-126 sexta parte, materia común, página 280, de rubro y texto siguientes: </w:t>
      </w:r>
    </w:p>
    <w:p w14:paraId="6011A0BA" w14:textId="1F6C1EFB" w:rsidR="0052123C" w:rsidRDefault="006032E1" w:rsidP="006032E1">
      <w:pPr>
        <w:spacing w:before="240" w:after="0" w:line="240" w:lineRule="auto"/>
        <w:ind w:right="49" w:firstLine="708"/>
        <w:jc w:val="both"/>
        <w:rPr>
          <w:rFonts w:ascii="Arial" w:hAnsi="Arial" w:cs="Arial"/>
          <w:i/>
          <w:iCs/>
        </w:rPr>
      </w:pPr>
      <w:r>
        <w:rPr>
          <w:rFonts w:ascii="Arial" w:hAnsi="Arial" w:cs="Arial"/>
          <w:i/>
          <w:iCs/>
        </w:rPr>
        <w:t>“</w:t>
      </w:r>
      <w:r>
        <w:rPr>
          <w:rFonts w:ascii="Arial" w:hAnsi="Arial" w:cs="Arial"/>
          <w:b/>
          <w:bCs/>
          <w:i/>
          <w:iCs/>
        </w:rPr>
        <w:t>ACTOS VICIADOS, FRUTOS DE</w:t>
      </w:r>
      <w:r>
        <w:rPr>
          <w:rFonts w:ascii="Arial" w:hAnsi="Arial" w:cs="Arial"/>
          <w:i/>
          <w:iCs/>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11ED3A42" w14:textId="77777777" w:rsidR="006032E1" w:rsidRPr="006032E1" w:rsidRDefault="006032E1" w:rsidP="006032E1">
      <w:pPr>
        <w:spacing w:before="240" w:after="0" w:line="240" w:lineRule="auto"/>
        <w:ind w:right="49" w:firstLine="708"/>
        <w:jc w:val="both"/>
        <w:rPr>
          <w:rFonts w:ascii="Arial" w:hAnsi="Arial" w:cs="Arial"/>
          <w:i/>
          <w:iCs/>
        </w:rPr>
      </w:pPr>
    </w:p>
    <w:p w14:paraId="00000044"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Por lo expuesto y con fundamento en los artículos 207 fracciones I, II y III, 208 fracción VI y 209 de la Ley de Procedimiento y Justicia Administrativa para el Estado de Oaxaca, se; - - - - - - - - - - - - - - - - - - - - - - - - - - - - - - - - - -</w:t>
      </w:r>
    </w:p>
    <w:p w14:paraId="00000045" w14:textId="77777777" w:rsidR="002354BD" w:rsidRDefault="00A93088">
      <w:pPr>
        <w:spacing w:before="240" w:line="360" w:lineRule="auto"/>
        <w:ind w:right="-93"/>
        <w:jc w:val="center"/>
        <w:rPr>
          <w:rFonts w:ascii="Arial" w:eastAsia="Arial" w:hAnsi="Arial" w:cs="Arial"/>
          <w:b/>
          <w:sz w:val="24"/>
          <w:szCs w:val="24"/>
        </w:rPr>
      </w:pPr>
      <w:r>
        <w:rPr>
          <w:rFonts w:ascii="Arial" w:eastAsia="Arial" w:hAnsi="Arial" w:cs="Arial"/>
          <w:b/>
          <w:sz w:val="24"/>
          <w:szCs w:val="24"/>
        </w:rPr>
        <w:t>R E S U E L V E:</w:t>
      </w:r>
    </w:p>
    <w:p w14:paraId="00000046" w14:textId="4CBA1751"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Esta Sexta Sala Unitaria de este Tribunal de Justicia Administrativa para el Estado de Oaxaca, </w:t>
      </w:r>
      <w:r w:rsidR="006032E1">
        <w:rPr>
          <w:rFonts w:ascii="Arial" w:eastAsia="Arial" w:hAnsi="Arial" w:cs="Arial"/>
          <w:b/>
          <w:sz w:val="24"/>
          <w:szCs w:val="24"/>
        </w:rPr>
        <w:t>es</w:t>
      </w:r>
      <w:r>
        <w:rPr>
          <w:rFonts w:ascii="Arial" w:eastAsia="Arial" w:hAnsi="Arial" w:cs="Arial"/>
          <w:b/>
          <w:sz w:val="24"/>
          <w:szCs w:val="24"/>
        </w:rPr>
        <w:t xml:space="preserve"> competente</w:t>
      </w:r>
      <w:r>
        <w:rPr>
          <w:rFonts w:ascii="Arial" w:eastAsia="Arial" w:hAnsi="Arial" w:cs="Arial"/>
          <w:sz w:val="24"/>
          <w:szCs w:val="24"/>
        </w:rPr>
        <w:t xml:space="preserve"> para conocer y resolver del presente asunto. - - - - - - - - - - - - - - - - - - - - - - - - - - - - - - - - - - -</w:t>
      </w:r>
    </w:p>
    <w:p w14:paraId="00000047"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La</w:t>
      </w:r>
      <w:r>
        <w:rPr>
          <w:rFonts w:ascii="Arial" w:eastAsia="Arial" w:hAnsi="Arial" w:cs="Arial"/>
          <w:b/>
          <w:sz w:val="24"/>
          <w:szCs w:val="24"/>
        </w:rPr>
        <w:t xml:space="preserve"> personalidad</w:t>
      </w:r>
      <w:r>
        <w:rPr>
          <w:rFonts w:ascii="Arial" w:eastAsia="Arial" w:hAnsi="Arial" w:cs="Arial"/>
          <w:sz w:val="24"/>
          <w:szCs w:val="24"/>
        </w:rPr>
        <w:t xml:space="preserve"> de las partes quedó acreditada en autos.</w:t>
      </w:r>
    </w:p>
    <w:p w14:paraId="00000048"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TERCERO. </w:t>
      </w:r>
      <w:r>
        <w:rPr>
          <w:rFonts w:ascii="Arial" w:eastAsia="Arial" w:hAnsi="Arial" w:cs="Arial"/>
          <w:sz w:val="24"/>
          <w:szCs w:val="24"/>
        </w:rPr>
        <w:t xml:space="preserve">No se actualizaron causales de improcedencia y sobreseimiento en el presente asunto, por lo que </w:t>
      </w:r>
      <w:r>
        <w:rPr>
          <w:rFonts w:ascii="Arial" w:eastAsia="Arial" w:hAnsi="Arial" w:cs="Arial"/>
          <w:b/>
          <w:sz w:val="24"/>
          <w:szCs w:val="24"/>
        </w:rPr>
        <w:t>no se sobresee</w:t>
      </w:r>
      <w:r>
        <w:rPr>
          <w:rFonts w:ascii="Arial" w:eastAsia="Arial" w:hAnsi="Arial" w:cs="Arial"/>
          <w:sz w:val="24"/>
          <w:szCs w:val="24"/>
        </w:rPr>
        <w:t xml:space="preserve"> el juicio. - -</w:t>
      </w:r>
    </w:p>
    <w:p w14:paraId="00000049" w14:textId="1083006C"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CUARTO. </w:t>
      </w:r>
      <w:r>
        <w:rPr>
          <w:rFonts w:ascii="Arial" w:eastAsia="Arial" w:hAnsi="Arial" w:cs="Arial"/>
          <w:sz w:val="24"/>
          <w:szCs w:val="24"/>
        </w:rPr>
        <w:t xml:space="preserve">Se declara la </w:t>
      </w:r>
      <w:r>
        <w:rPr>
          <w:rFonts w:ascii="Arial" w:eastAsia="Arial" w:hAnsi="Arial" w:cs="Arial"/>
          <w:b/>
          <w:sz w:val="24"/>
          <w:szCs w:val="24"/>
        </w:rPr>
        <w:t>NULIDAD</w:t>
      </w:r>
      <w:r>
        <w:rPr>
          <w:rFonts w:ascii="Arial" w:eastAsia="Arial" w:hAnsi="Arial" w:cs="Arial"/>
          <w:sz w:val="24"/>
          <w:szCs w:val="24"/>
        </w:rPr>
        <w:t xml:space="preserve"> </w:t>
      </w:r>
      <w:r>
        <w:rPr>
          <w:rFonts w:ascii="Arial" w:eastAsia="Arial" w:hAnsi="Arial" w:cs="Arial"/>
          <w:b/>
          <w:sz w:val="24"/>
          <w:szCs w:val="24"/>
        </w:rPr>
        <w:t>LISA Y LLANA</w:t>
      </w:r>
      <w:r>
        <w:rPr>
          <w:rFonts w:ascii="Arial" w:eastAsia="Arial" w:hAnsi="Arial" w:cs="Arial"/>
          <w:sz w:val="24"/>
          <w:szCs w:val="24"/>
        </w:rPr>
        <w:t xml:space="preserve"> del acta de infracción de tránsito con número de </w:t>
      </w:r>
      <w:r w:rsidR="0076506A">
        <w:rPr>
          <w:rFonts w:ascii="Arial" w:eastAsia="Times New Roman" w:hAnsi="Arial" w:cs="Arial"/>
          <w:b/>
          <w:bCs/>
          <w:color w:val="FF0000"/>
          <w:sz w:val="24"/>
          <w:szCs w:val="24"/>
          <w:lang w:eastAsia="en-US"/>
        </w:rPr>
        <w:t>**********</w:t>
      </w:r>
      <w:r w:rsidR="006032E1" w:rsidRPr="00053D29">
        <w:rPr>
          <w:rFonts w:ascii="Arial" w:eastAsia="Times New Roman" w:hAnsi="Arial" w:cs="Arial"/>
          <w:b/>
          <w:bCs/>
          <w:color w:val="FF0000"/>
          <w:sz w:val="24"/>
          <w:szCs w:val="24"/>
          <w:lang w:eastAsia="en-US"/>
        </w:rPr>
        <w:t>,</w:t>
      </w:r>
      <w:r w:rsidR="006032E1" w:rsidRPr="00053D29">
        <w:rPr>
          <w:rFonts w:ascii="Arial" w:eastAsia="Times New Roman" w:hAnsi="Arial" w:cs="Arial"/>
          <w:bCs/>
          <w:color w:val="000000"/>
          <w:sz w:val="24"/>
          <w:szCs w:val="24"/>
          <w:lang w:eastAsia="en-US"/>
        </w:rPr>
        <w:t xml:space="preserve"> de </w:t>
      </w:r>
      <w:r w:rsidR="006032E1">
        <w:rPr>
          <w:rFonts w:ascii="Arial" w:eastAsia="Times New Roman" w:hAnsi="Arial" w:cs="Arial"/>
          <w:bCs/>
          <w:color w:val="000000"/>
          <w:sz w:val="24"/>
          <w:szCs w:val="24"/>
          <w:lang w:eastAsia="en-US"/>
        </w:rPr>
        <w:t>nueve de agosto de dos mil diecinueve</w:t>
      </w:r>
      <w:r w:rsidR="006032E1" w:rsidRPr="00053D29">
        <w:rPr>
          <w:rFonts w:ascii="Arial" w:eastAsiaTheme="minorHAnsi" w:hAnsi="Arial" w:cs="Arial"/>
          <w:bCs/>
          <w:sz w:val="24"/>
          <w:szCs w:val="24"/>
          <w:lang w:eastAsia="en-US"/>
        </w:rPr>
        <w:t>,</w:t>
      </w:r>
      <w:r w:rsidR="006032E1" w:rsidRPr="00053D29">
        <w:rPr>
          <w:rFonts w:ascii="Arial" w:eastAsia="Times New Roman" w:hAnsi="Arial" w:cs="Arial"/>
          <w:bCs/>
          <w:color w:val="000000"/>
          <w:sz w:val="24"/>
          <w:szCs w:val="24"/>
          <w:lang w:eastAsia="en-US"/>
        </w:rPr>
        <w:t xml:space="preserve"> </w:t>
      </w:r>
      <w:r w:rsidR="006032E1" w:rsidRPr="00053D29">
        <w:rPr>
          <w:rFonts w:ascii="Arial" w:eastAsia="Times New Roman" w:hAnsi="Arial" w:cs="Arial"/>
          <w:color w:val="000000"/>
          <w:sz w:val="24"/>
          <w:szCs w:val="24"/>
          <w:lang w:eastAsia="en-US"/>
        </w:rPr>
        <w:t xml:space="preserve">levantada por el </w:t>
      </w:r>
      <w:r w:rsidR="006032E1" w:rsidRPr="00053D29">
        <w:rPr>
          <w:rFonts w:ascii="Arial" w:eastAsia="Times New Roman" w:hAnsi="Arial" w:cs="Arial"/>
          <w:bCs/>
          <w:sz w:val="24"/>
          <w:szCs w:val="24"/>
          <w:lang w:val="es-ES" w:eastAsia="es-ES"/>
        </w:rPr>
        <w:t>Policía Vial Estatal PV-</w:t>
      </w:r>
      <w:r w:rsidR="006032E1">
        <w:rPr>
          <w:rFonts w:ascii="Arial" w:eastAsia="Times New Roman" w:hAnsi="Arial" w:cs="Arial"/>
          <w:bCs/>
          <w:sz w:val="24"/>
          <w:szCs w:val="24"/>
          <w:lang w:val="es-ES" w:eastAsia="es-ES"/>
        </w:rPr>
        <w:t>318</w:t>
      </w:r>
      <w:r w:rsidR="006032E1" w:rsidRPr="00053D29">
        <w:rPr>
          <w:rFonts w:ascii="Arial" w:eastAsia="Times New Roman" w:hAnsi="Arial" w:cs="Arial"/>
          <w:bCs/>
          <w:sz w:val="24"/>
          <w:szCs w:val="24"/>
          <w:lang w:val="es-ES" w:eastAsia="es-ES"/>
        </w:rPr>
        <w:t xml:space="preserve">, </w:t>
      </w:r>
      <w:r w:rsidR="006032E1" w:rsidRPr="00053D29">
        <w:rPr>
          <w:rFonts w:ascii="Arial" w:eastAsia="Times New Roman" w:hAnsi="Arial" w:cs="Arial"/>
          <w:sz w:val="24"/>
          <w:szCs w:val="24"/>
          <w:lang w:val="es-ES_tradnl" w:eastAsia="es-ES"/>
        </w:rPr>
        <w:t>adscrito a la Dirección General de la Policía Vial Estatal</w:t>
      </w:r>
      <w:r>
        <w:rPr>
          <w:rFonts w:ascii="Arial" w:eastAsia="Arial" w:hAnsi="Arial" w:cs="Arial"/>
          <w:sz w:val="24"/>
          <w:szCs w:val="24"/>
        </w:rPr>
        <w:t xml:space="preserve">; </w:t>
      </w:r>
      <w:r w:rsidR="005E7A6C">
        <w:rPr>
          <w:rFonts w:ascii="Arial" w:eastAsia="Arial" w:hAnsi="Arial" w:cs="Arial"/>
          <w:sz w:val="24"/>
          <w:szCs w:val="24"/>
        </w:rPr>
        <w:t>y,</w:t>
      </w:r>
      <w:r>
        <w:rPr>
          <w:rFonts w:ascii="Arial" w:eastAsia="Arial" w:hAnsi="Arial" w:cs="Arial"/>
          <w:sz w:val="24"/>
          <w:szCs w:val="24"/>
        </w:rPr>
        <w:t xml:space="preserve"> en consecuencia, se le restituye en el pleno goce de sus derechos afectados, como quedó precisado en el considerando que antecede. - - - - - - - - - - - - - - - </w:t>
      </w:r>
      <w:r w:rsidR="006032E1">
        <w:rPr>
          <w:rFonts w:ascii="Arial" w:eastAsia="Arial" w:hAnsi="Arial" w:cs="Arial"/>
          <w:sz w:val="24"/>
          <w:szCs w:val="24"/>
        </w:rPr>
        <w:t xml:space="preserve">- - - - - - - - - - - - - - - - - - - - - - - - - - - - - - - - - - </w:t>
      </w:r>
    </w:p>
    <w:p w14:paraId="0000004A" w14:textId="09C871C2" w:rsidR="002354BD" w:rsidRDefault="00A93088">
      <w:pPr>
        <w:spacing w:line="360" w:lineRule="auto"/>
        <w:ind w:right="-93" w:firstLine="709"/>
        <w:jc w:val="both"/>
        <w:rPr>
          <w:rFonts w:ascii="Arial" w:eastAsia="Arial" w:hAnsi="Arial" w:cs="Arial"/>
          <w:b/>
          <w:sz w:val="24"/>
          <w:szCs w:val="24"/>
        </w:rPr>
      </w:pPr>
      <w:r>
        <w:rPr>
          <w:rFonts w:ascii="Arial" w:eastAsia="Arial" w:hAnsi="Arial" w:cs="Arial"/>
          <w:b/>
          <w:sz w:val="24"/>
          <w:szCs w:val="24"/>
        </w:rPr>
        <w:t xml:space="preserve">QUINTO. </w:t>
      </w:r>
      <w:r>
        <w:rPr>
          <w:rFonts w:ascii="Arial" w:eastAsia="Arial" w:hAnsi="Arial" w:cs="Arial"/>
          <w:sz w:val="24"/>
          <w:szCs w:val="24"/>
        </w:rPr>
        <w:t xml:space="preserve">Con fundamento en los artículos 172 fracción I y 173 fracciones I y II de la Ley de Procedimiento y Justicia Administrativa para el </w:t>
      </w:r>
      <w:r>
        <w:rPr>
          <w:rFonts w:ascii="Arial" w:eastAsia="Arial" w:hAnsi="Arial" w:cs="Arial"/>
          <w:sz w:val="24"/>
          <w:szCs w:val="24"/>
        </w:rPr>
        <w:lastRenderedPageBreak/>
        <w:t xml:space="preserve">Estado de Oaxaca, </w:t>
      </w:r>
      <w:r w:rsidR="006032E1">
        <w:rPr>
          <w:rFonts w:ascii="Arial" w:eastAsia="Arial" w:hAnsi="Arial" w:cs="Arial"/>
          <w:b/>
          <w:sz w:val="24"/>
          <w:szCs w:val="24"/>
        </w:rPr>
        <w:t xml:space="preserve">notifíquese personalmente a los </w:t>
      </w:r>
      <w:r>
        <w:rPr>
          <w:rFonts w:ascii="Arial" w:eastAsia="Arial" w:hAnsi="Arial" w:cs="Arial"/>
          <w:b/>
          <w:sz w:val="24"/>
          <w:szCs w:val="24"/>
        </w:rPr>
        <w:t>actor</w:t>
      </w:r>
      <w:r w:rsidR="006032E1">
        <w:rPr>
          <w:rFonts w:ascii="Arial" w:eastAsia="Arial" w:hAnsi="Arial" w:cs="Arial"/>
          <w:b/>
          <w:sz w:val="24"/>
          <w:szCs w:val="24"/>
        </w:rPr>
        <w:t>es</w:t>
      </w:r>
      <w:r>
        <w:rPr>
          <w:rFonts w:ascii="Arial" w:eastAsia="Arial" w:hAnsi="Arial" w:cs="Arial"/>
          <w:b/>
          <w:sz w:val="24"/>
          <w:szCs w:val="24"/>
        </w:rPr>
        <w:t xml:space="preserve"> y por oficio a la autoridad demandada</w:t>
      </w:r>
      <w:r>
        <w:rPr>
          <w:rFonts w:ascii="Arial" w:eastAsia="Arial" w:hAnsi="Arial" w:cs="Arial"/>
          <w:sz w:val="24"/>
          <w:szCs w:val="24"/>
        </w:rPr>
        <w:t>, cúmplase. - - - - - - - - - - - - - - -</w:t>
      </w:r>
      <w:r w:rsidR="00AE6FAC">
        <w:rPr>
          <w:rFonts w:ascii="Arial" w:eastAsia="Arial" w:hAnsi="Arial" w:cs="Arial"/>
          <w:sz w:val="24"/>
          <w:szCs w:val="24"/>
        </w:rPr>
        <w:t xml:space="preserve"> - - - - - - - - - - - - - - </w:t>
      </w:r>
    </w:p>
    <w:p w14:paraId="0000004B" w14:textId="75A26C16"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Así lo resolvió y firma la Magistrada Camelia Gaspar Martínez, titular de la Sexta Sala Unitaria de Primera Instancia del Tribunal de Justicia Administrativa del Estado de Oaxaca, quien actúa asistida del Licenciado Renato Gabriel Ibáñez Castellanos, Secretario de Acuerdos adscrito a esta Sala, quien autoriza y da fe.- - - - - - - - - - - - - - - - - - - - - - - - - - - - - -</w:t>
      </w:r>
      <w:r w:rsidR="002A432C">
        <w:rPr>
          <w:rFonts w:ascii="Arial" w:eastAsia="Arial" w:hAnsi="Arial" w:cs="Arial"/>
          <w:sz w:val="24"/>
          <w:szCs w:val="24"/>
        </w:rPr>
        <w:t xml:space="preserve"> - - - - - - -</w:t>
      </w:r>
    </w:p>
    <w:p w14:paraId="0D86B1C4" w14:textId="77777777" w:rsidR="00053D29" w:rsidRDefault="00053D29">
      <w:pPr>
        <w:spacing w:line="360" w:lineRule="auto"/>
        <w:ind w:right="-93" w:firstLine="709"/>
        <w:jc w:val="both"/>
        <w:rPr>
          <w:rFonts w:ascii="Arial" w:eastAsia="Arial" w:hAnsi="Arial" w:cs="Arial"/>
          <w:sz w:val="24"/>
          <w:szCs w:val="24"/>
        </w:rPr>
      </w:pPr>
    </w:p>
    <w:p w14:paraId="035E71AA" w14:textId="77777777" w:rsidR="00053D29" w:rsidRDefault="00053D29">
      <w:pPr>
        <w:spacing w:line="360" w:lineRule="auto"/>
        <w:ind w:right="-93" w:firstLine="709"/>
        <w:jc w:val="both"/>
        <w:rPr>
          <w:rFonts w:ascii="Arial" w:eastAsia="Arial" w:hAnsi="Arial" w:cs="Arial"/>
          <w:sz w:val="24"/>
          <w:szCs w:val="24"/>
        </w:rPr>
      </w:pPr>
    </w:p>
    <w:sectPr w:rsidR="00053D29">
      <w:headerReference w:type="default" r:id="rId8"/>
      <w:pgSz w:w="12240" w:h="20160"/>
      <w:pgMar w:top="1701" w:right="1325" w:bottom="1985" w:left="269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EB7F7" w14:textId="77777777" w:rsidR="001562FE" w:rsidRDefault="001562FE">
      <w:pPr>
        <w:spacing w:after="0" w:line="240" w:lineRule="auto"/>
      </w:pPr>
      <w:r>
        <w:separator/>
      </w:r>
    </w:p>
  </w:endnote>
  <w:endnote w:type="continuationSeparator" w:id="0">
    <w:p w14:paraId="454390AD" w14:textId="77777777" w:rsidR="001562FE" w:rsidRDefault="00156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45B8F" w14:textId="77777777" w:rsidR="001562FE" w:rsidRDefault="001562FE">
      <w:pPr>
        <w:spacing w:after="0" w:line="240" w:lineRule="auto"/>
      </w:pPr>
      <w:r>
        <w:separator/>
      </w:r>
    </w:p>
  </w:footnote>
  <w:footnote w:type="continuationSeparator" w:id="0">
    <w:p w14:paraId="65124597" w14:textId="77777777" w:rsidR="001562FE" w:rsidRDefault="001562FE">
      <w:pPr>
        <w:spacing w:after="0" w:line="240" w:lineRule="auto"/>
      </w:pPr>
      <w:r>
        <w:continuationSeparator/>
      </w:r>
    </w:p>
  </w:footnote>
  <w:footnote w:id="1">
    <w:p w14:paraId="0000004C" w14:textId="77777777" w:rsidR="002354BD" w:rsidRDefault="00A93088">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0000004D" w14:textId="77777777" w:rsidR="002354BD" w:rsidRDefault="00A93088">
      <w:pP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000004E" w14:textId="77777777" w:rsidR="002354BD" w:rsidRDefault="00A93088">
      <w:pP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 w:id="3">
    <w:p w14:paraId="427C7925" w14:textId="03C2F5ED" w:rsidR="00157BA7" w:rsidRPr="00157BA7" w:rsidRDefault="00157BA7" w:rsidP="00EA0ED2">
      <w:pPr>
        <w:pStyle w:val="Textonotapie"/>
        <w:jc w:val="both"/>
        <w:rPr>
          <w:b/>
        </w:rPr>
      </w:pPr>
      <w:r>
        <w:rPr>
          <w:rStyle w:val="Refdenotaalpie"/>
        </w:rPr>
        <w:footnoteRef/>
      </w:r>
      <w:r>
        <w:t xml:space="preserve"> Denominación que tenía en la época de emisión del acto impugnado, en virtud de que mediante decreto número 1262, publicado en el Periódico Oficial del Estado el quince de febrero de dos mil vente, dicha ley cambio de nombre, denominándose actualmente </w:t>
      </w:r>
      <w:r>
        <w:rPr>
          <w:b/>
        </w:rPr>
        <w:t>Ley de Tránsito y Vialidad del Estado.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6" w14:textId="65A977E8" w:rsidR="002354BD" w:rsidRDefault="00FD2A78">
    <w:pPr>
      <w:pBdr>
        <w:top w:val="nil"/>
        <w:left w:val="nil"/>
        <w:bottom w:val="nil"/>
        <w:right w:val="nil"/>
        <w:between w:val="nil"/>
      </w:pBdr>
      <w:tabs>
        <w:tab w:val="center" w:pos="4419"/>
        <w:tab w:val="right" w:pos="8838"/>
      </w:tabs>
      <w:spacing w:after="0" w:line="240" w:lineRule="auto"/>
      <w:jc w:val="center"/>
      <w:rPr>
        <w:color w:val="000000"/>
      </w:rPr>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3169E915" wp14:editId="378FA23E">
              <wp:simplePos x="0" y="0"/>
              <wp:positionH relativeFrom="leftMargin">
                <wp:posOffset>34290</wp:posOffset>
              </wp:positionH>
              <wp:positionV relativeFrom="paragraph">
                <wp:posOffset>-391160</wp:posOffset>
              </wp:positionV>
              <wp:extent cx="1009650" cy="91440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14400"/>
                      </a:xfrm>
                      <a:prstGeom prst="rect">
                        <a:avLst/>
                      </a:prstGeom>
                      <a:solidFill>
                        <a:sysClr val="window" lastClr="FFFFFF"/>
                      </a:solidFill>
                      <a:ln w="6350">
                        <a:solidFill>
                          <a:prstClr val="black"/>
                        </a:solidFill>
                      </a:ln>
                      <a:effectLst/>
                    </wps:spPr>
                    <wps:txbx>
                      <w:txbxContent>
                        <w:p w14:paraId="6A39D0BE" w14:textId="77777777" w:rsidR="00FD2A78" w:rsidRDefault="00FD2A78" w:rsidP="00FD2A78">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69E915" id="_x0000_t202" coordsize="21600,21600" o:spt="202" path="m,l,21600r21600,l21600,xe">
              <v:stroke joinstyle="miter"/>
              <v:path gradientshapeok="t" o:connecttype="rect"/>
            </v:shapetype>
            <v:shape id="Cuadro de texto 1" o:spid="_x0000_s1026" type="#_x0000_t202" style="position:absolute;left:0;text-align:left;margin-left:2.7pt;margin-top:-30.8pt;width:79.5pt;height:1in;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" fillcolor="window" strokeweight=".5pt">
              <v:path arrowok="t"/>
              <v:textbox>
                <w:txbxContent>
                  <w:p w14:paraId="6A39D0BE" w14:textId="77777777" w:rsidR="00FD2A78" w:rsidRDefault="00FD2A78" w:rsidP="00FD2A78">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r w:rsidR="00A93088">
      <w:rPr>
        <w:color w:val="000000"/>
      </w:rPr>
      <w:fldChar w:fldCharType="begin"/>
    </w:r>
    <w:r w:rsidR="00A93088">
      <w:rPr>
        <w:color w:val="000000"/>
      </w:rPr>
      <w:instrText>PAGE</w:instrText>
    </w:r>
    <w:r w:rsidR="00A93088">
      <w:rPr>
        <w:color w:val="000000"/>
      </w:rPr>
      <w:fldChar w:fldCharType="separate"/>
    </w:r>
    <w:r w:rsidR="00BA4AD2">
      <w:rPr>
        <w:noProof/>
        <w:color w:val="000000"/>
      </w:rPr>
      <w:t>3</w:t>
    </w:r>
    <w:r w:rsidR="00A93088">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4BD"/>
    <w:rsid w:val="00045FEC"/>
    <w:rsid w:val="00053D29"/>
    <w:rsid w:val="000B2E4A"/>
    <w:rsid w:val="00111EA8"/>
    <w:rsid w:val="001527A9"/>
    <w:rsid w:val="0015307A"/>
    <w:rsid w:val="001562FE"/>
    <w:rsid w:val="00157BA7"/>
    <w:rsid w:val="002354BD"/>
    <w:rsid w:val="002557F3"/>
    <w:rsid w:val="00257243"/>
    <w:rsid w:val="00287D7D"/>
    <w:rsid w:val="002A432C"/>
    <w:rsid w:val="003035E9"/>
    <w:rsid w:val="00355A36"/>
    <w:rsid w:val="003854DD"/>
    <w:rsid w:val="003F394E"/>
    <w:rsid w:val="00461EED"/>
    <w:rsid w:val="00464EEB"/>
    <w:rsid w:val="004C0D54"/>
    <w:rsid w:val="004C6BB6"/>
    <w:rsid w:val="004E4D1B"/>
    <w:rsid w:val="004F04A3"/>
    <w:rsid w:val="004F28F8"/>
    <w:rsid w:val="0052123C"/>
    <w:rsid w:val="005478D1"/>
    <w:rsid w:val="00567174"/>
    <w:rsid w:val="00570704"/>
    <w:rsid w:val="005A7BF4"/>
    <w:rsid w:val="005E7A6C"/>
    <w:rsid w:val="006032E1"/>
    <w:rsid w:val="00627569"/>
    <w:rsid w:val="006279C8"/>
    <w:rsid w:val="00637882"/>
    <w:rsid w:val="00655BB4"/>
    <w:rsid w:val="00692F6E"/>
    <w:rsid w:val="00730330"/>
    <w:rsid w:val="0075483C"/>
    <w:rsid w:val="0076506A"/>
    <w:rsid w:val="007711F5"/>
    <w:rsid w:val="007A5E14"/>
    <w:rsid w:val="007B0802"/>
    <w:rsid w:val="007B3B92"/>
    <w:rsid w:val="007C16BF"/>
    <w:rsid w:val="00845124"/>
    <w:rsid w:val="00863442"/>
    <w:rsid w:val="0088172E"/>
    <w:rsid w:val="00894BF0"/>
    <w:rsid w:val="009072CC"/>
    <w:rsid w:val="00907629"/>
    <w:rsid w:val="0092580B"/>
    <w:rsid w:val="00926386"/>
    <w:rsid w:val="0095781A"/>
    <w:rsid w:val="00991107"/>
    <w:rsid w:val="009C7735"/>
    <w:rsid w:val="009D6DF3"/>
    <w:rsid w:val="009E23A9"/>
    <w:rsid w:val="009F4F70"/>
    <w:rsid w:val="00A20A50"/>
    <w:rsid w:val="00A66459"/>
    <w:rsid w:val="00A93088"/>
    <w:rsid w:val="00AA16B0"/>
    <w:rsid w:val="00AE6FAC"/>
    <w:rsid w:val="00B12DB2"/>
    <w:rsid w:val="00B231EB"/>
    <w:rsid w:val="00B56826"/>
    <w:rsid w:val="00B668EE"/>
    <w:rsid w:val="00B70382"/>
    <w:rsid w:val="00B962B1"/>
    <w:rsid w:val="00BA4AD2"/>
    <w:rsid w:val="00BA4E27"/>
    <w:rsid w:val="00BB06E8"/>
    <w:rsid w:val="00BF58EC"/>
    <w:rsid w:val="00C04E6E"/>
    <w:rsid w:val="00C30CC8"/>
    <w:rsid w:val="00C35B03"/>
    <w:rsid w:val="00C7669B"/>
    <w:rsid w:val="00C96414"/>
    <w:rsid w:val="00D21514"/>
    <w:rsid w:val="00D4148E"/>
    <w:rsid w:val="00D97677"/>
    <w:rsid w:val="00DC3C28"/>
    <w:rsid w:val="00DC4044"/>
    <w:rsid w:val="00DE1BDA"/>
    <w:rsid w:val="00E155A4"/>
    <w:rsid w:val="00E241D0"/>
    <w:rsid w:val="00E55107"/>
    <w:rsid w:val="00E73627"/>
    <w:rsid w:val="00EA0ED2"/>
    <w:rsid w:val="00EC3219"/>
    <w:rsid w:val="00ED13CE"/>
    <w:rsid w:val="00F033AE"/>
    <w:rsid w:val="00F868C2"/>
    <w:rsid w:val="00FD2A7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23D89"/>
  <w15:docId w15:val="{276F3158-C403-4AEB-8C2B-AB46D8B5F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04"/>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Piedepgina">
    <w:name w:val="footer"/>
    <w:basedOn w:val="Normal"/>
    <w:link w:val="PiedepginaCar"/>
    <w:uiPriority w:val="99"/>
    <w:unhideWhenUsed/>
    <w:rsid w:val="007C54B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C54B6"/>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369789">
      <w:bodyDiv w:val="1"/>
      <w:marLeft w:val="0"/>
      <w:marRight w:val="0"/>
      <w:marTop w:val="0"/>
      <w:marBottom w:val="0"/>
      <w:divBdr>
        <w:top w:val="none" w:sz="0" w:space="0" w:color="auto"/>
        <w:left w:val="none" w:sz="0" w:space="0" w:color="auto"/>
        <w:bottom w:val="none" w:sz="0" w:space="0" w:color="auto"/>
        <w:right w:val="none" w:sz="0" w:space="0" w:color="auto"/>
      </w:divBdr>
    </w:div>
    <w:div w:id="1119181637">
      <w:bodyDiv w:val="1"/>
      <w:marLeft w:val="0"/>
      <w:marRight w:val="0"/>
      <w:marTop w:val="0"/>
      <w:marBottom w:val="0"/>
      <w:divBdr>
        <w:top w:val="none" w:sz="0" w:space="0" w:color="auto"/>
        <w:left w:val="none" w:sz="0" w:space="0" w:color="auto"/>
        <w:bottom w:val="none" w:sz="0" w:space="0" w:color="auto"/>
        <w:right w:val="none" w:sz="0" w:space="0" w:color="auto"/>
      </w:divBdr>
    </w:div>
    <w:div w:id="1155758774">
      <w:bodyDiv w:val="1"/>
      <w:marLeft w:val="0"/>
      <w:marRight w:val="0"/>
      <w:marTop w:val="0"/>
      <w:marBottom w:val="0"/>
      <w:divBdr>
        <w:top w:val="none" w:sz="0" w:space="0" w:color="auto"/>
        <w:left w:val="none" w:sz="0" w:space="0" w:color="auto"/>
        <w:bottom w:val="none" w:sz="0" w:space="0" w:color="auto"/>
        <w:right w:val="none" w:sz="0" w:space="0" w:color="auto"/>
      </w:divBdr>
    </w:div>
    <w:div w:id="1529367734">
      <w:bodyDiv w:val="1"/>
      <w:marLeft w:val="0"/>
      <w:marRight w:val="0"/>
      <w:marTop w:val="0"/>
      <w:marBottom w:val="0"/>
      <w:divBdr>
        <w:top w:val="none" w:sz="0" w:space="0" w:color="auto"/>
        <w:left w:val="none" w:sz="0" w:space="0" w:color="auto"/>
        <w:bottom w:val="none" w:sz="0" w:space="0" w:color="auto"/>
        <w:right w:val="none" w:sz="0" w:space="0" w:color="auto"/>
      </w:divBdr>
    </w:div>
    <w:div w:id="1700810868">
      <w:bodyDiv w:val="1"/>
      <w:marLeft w:val="0"/>
      <w:marRight w:val="0"/>
      <w:marTop w:val="0"/>
      <w:marBottom w:val="0"/>
      <w:divBdr>
        <w:top w:val="none" w:sz="0" w:space="0" w:color="auto"/>
        <w:left w:val="none" w:sz="0" w:space="0" w:color="auto"/>
        <w:bottom w:val="none" w:sz="0" w:space="0" w:color="auto"/>
        <w:right w:val="none" w:sz="0" w:space="0" w:color="auto"/>
      </w:divBdr>
    </w:div>
    <w:div w:id="1719817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fH39A7oddLk2R01THzT6FTsWkWQ==">AMUW2mUIqoWaBgc+rciHJwzUUE4rg6ZiVnTeHMGcU5MQlIiA7WYgwjLyml7tC8zQG6ZlRWyAUkaDGvNrDk4agwIj0bTY+xjItUqlYxnN7Xg9+SkxMzkVHEQXTmh3SQanhcboG97KoovC</go:docsCustomData>
</go:gDocsCustomXmlDataStorage>
</file>

<file path=customXml/itemProps1.xml><?xml version="1.0" encoding="utf-8"?>
<ds:datastoreItem xmlns:ds="http://schemas.openxmlformats.org/officeDocument/2006/customXml" ds:itemID="{E4558471-D172-46C9-80AC-21C9E89EE85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914</TotalTime>
  <Pages>14</Pages>
  <Words>5151</Words>
  <Characters>28335</Characters>
  <Application>Microsoft Office Word</Application>
  <DocSecurity>0</DocSecurity>
  <Lines>236</Lines>
  <Paragraphs>66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dc:creator>
  <cp:lastModifiedBy>FERNANDO MARTINEZ</cp:lastModifiedBy>
  <cp:revision>63</cp:revision>
  <dcterms:created xsi:type="dcterms:W3CDTF">2022-01-19T18:01:00Z</dcterms:created>
  <dcterms:modified xsi:type="dcterms:W3CDTF">2022-10-14T20:20:00Z</dcterms:modified>
</cp:coreProperties>
</file>