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D71804" w14:textId="77777777" w:rsidR="00B92449" w:rsidRDefault="00B92449" w:rsidP="00B92449">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14:paraId="42C13E06" w14:textId="77777777" w:rsidR="00B92449" w:rsidRDefault="00B92449" w:rsidP="00B92449">
      <w:pPr>
        <w:spacing w:line="360" w:lineRule="auto"/>
        <w:jc w:val="both"/>
        <w:rPr>
          <w:rFonts w:ascii="Arial" w:hAnsi="Arial" w:cs="Arial"/>
          <w:b/>
          <w:sz w:val="24"/>
          <w:szCs w:val="24"/>
        </w:rPr>
      </w:pPr>
      <w:r>
        <w:rPr>
          <w:rFonts w:ascii="Arial" w:hAnsi="Arial" w:cs="Arial"/>
          <w:b/>
          <w:sz w:val="24"/>
          <w:szCs w:val="24"/>
        </w:rPr>
        <w:t>OAXACA DE JUÁREZ, OAXACA; A VEINTI</w:t>
      </w:r>
      <w:r w:rsidR="00236040">
        <w:rPr>
          <w:rFonts w:ascii="Arial" w:hAnsi="Arial" w:cs="Arial"/>
          <w:b/>
          <w:sz w:val="24"/>
          <w:szCs w:val="24"/>
        </w:rPr>
        <w:t>OCHO</w:t>
      </w:r>
      <w:r>
        <w:rPr>
          <w:rFonts w:ascii="Arial" w:hAnsi="Arial" w:cs="Arial"/>
          <w:b/>
          <w:sz w:val="24"/>
          <w:szCs w:val="24"/>
        </w:rPr>
        <w:t xml:space="preserve"> DE NOVIEMBRE DEL AÑO DOS MIL DIECINUEVE (</w:t>
      </w:r>
      <w:r w:rsidR="00236040">
        <w:rPr>
          <w:rFonts w:ascii="Arial" w:hAnsi="Arial" w:cs="Arial"/>
          <w:b/>
          <w:sz w:val="24"/>
          <w:szCs w:val="24"/>
        </w:rPr>
        <w:t>28</w:t>
      </w:r>
      <w:r>
        <w:rPr>
          <w:rFonts w:ascii="Arial" w:hAnsi="Arial" w:cs="Arial"/>
          <w:b/>
          <w:sz w:val="24"/>
          <w:szCs w:val="24"/>
        </w:rPr>
        <w:t xml:space="preserve">/11/2019). - - - - - - - - - - - - - - - - - - - </w:t>
      </w:r>
      <w:r w:rsidR="00236040">
        <w:rPr>
          <w:rFonts w:ascii="Arial" w:hAnsi="Arial" w:cs="Arial"/>
          <w:b/>
          <w:sz w:val="24"/>
          <w:szCs w:val="24"/>
        </w:rPr>
        <w:t xml:space="preserve">- - - - - </w:t>
      </w:r>
    </w:p>
    <w:p w14:paraId="0A754D97" w14:textId="50DB3BE1" w:rsidR="00B92449" w:rsidRDefault="00B92449" w:rsidP="00B92449">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0105/2017, promovido por  </w:t>
      </w:r>
      <w:r w:rsidR="003B776D">
        <w:rPr>
          <w:rFonts w:ascii="Arial" w:hAnsi="Arial" w:cs="Arial"/>
          <w:sz w:val="24"/>
          <w:szCs w:val="24"/>
        </w:rPr>
        <w:t>***** ***** *****</w:t>
      </w:r>
      <w:r>
        <w:rPr>
          <w:rFonts w:ascii="Arial" w:hAnsi="Arial" w:cs="Arial"/>
          <w:sz w:val="24"/>
          <w:szCs w:val="24"/>
        </w:rPr>
        <w:t xml:space="preserve">, solicitando la nulidad de la resolución con número de control </w:t>
      </w:r>
      <w:r w:rsidR="003B776D">
        <w:rPr>
          <w:rFonts w:ascii="Arial" w:hAnsi="Arial" w:cs="Arial"/>
          <w:sz w:val="24"/>
          <w:szCs w:val="24"/>
        </w:rPr>
        <w:t>**********</w:t>
      </w:r>
      <w:r>
        <w:rPr>
          <w:rFonts w:ascii="Arial" w:hAnsi="Arial" w:cs="Arial"/>
          <w:sz w:val="24"/>
          <w:szCs w:val="24"/>
        </w:rPr>
        <w:t xml:space="preserve">, expedida con fecha ocho de agosto de dos mil diecisiete (08/08/2017), mediante la cual la Directora de Ingresos y Recaudación de la Secretaría de Finanzas del Poder Ejecutivo del Estado, le impuso una  multa consistente en $3,775.00 (TRES MIL SETECIENTOS SETENTA Y CINCO PESOS 00/100 M.N.), al considerar que incurrió en la omisión de inscripción al registro estatal de contribuyentes; y, - - - - - - - - - - - </w:t>
      </w:r>
      <w:r w:rsidR="003B776D">
        <w:rPr>
          <w:rFonts w:ascii="Arial" w:hAnsi="Arial" w:cs="Arial"/>
          <w:sz w:val="24"/>
          <w:szCs w:val="24"/>
        </w:rPr>
        <w:t>- - - - - - - - - - - - - - - - -</w:t>
      </w:r>
      <w:r w:rsidR="003B776D">
        <w:rPr>
          <w:rFonts w:ascii="Arial" w:hAnsi="Arial" w:cs="Arial"/>
          <w:sz w:val="24"/>
          <w:szCs w:val="24"/>
        </w:rPr>
        <w:t xml:space="preserve"> </w:t>
      </w:r>
    </w:p>
    <w:p w14:paraId="512E526D" w14:textId="77777777" w:rsidR="00B92449" w:rsidRDefault="00B92449" w:rsidP="00B92449">
      <w:pPr>
        <w:spacing w:line="360" w:lineRule="auto"/>
        <w:jc w:val="center"/>
        <w:rPr>
          <w:rFonts w:ascii="Arial" w:hAnsi="Arial" w:cs="Arial"/>
          <w:b/>
          <w:sz w:val="24"/>
          <w:szCs w:val="24"/>
        </w:rPr>
      </w:pPr>
      <w:r>
        <w:rPr>
          <w:rFonts w:ascii="Arial" w:hAnsi="Arial" w:cs="Arial"/>
          <w:b/>
          <w:sz w:val="24"/>
          <w:szCs w:val="24"/>
        </w:rPr>
        <w:t>R E S U L T A N D O</w:t>
      </w:r>
    </w:p>
    <w:p w14:paraId="791CFEC1" w14:textId="77777777" w:rsidR="00B92449" w:rsidRDefault="00B92449" w:rsidP="00B92449">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Con fecha once de octubre de dos mil diecisiete (11/10/2017), se recibió el escrito de demanda en la Oficialía de Partes de este Tribunal y con fecha doce del mismo mes y año (12/010/2017), se tuvo por admitida a trámite, ordenándose emplazar a Juicio a la autoridad demandada. - - - - - - - - - - - - - - - - - - - - - - - - - - - - - - - - - - - - - - - - - - - - -</w:t>
      </w:r>
      <w:r w:rsidR="0099265D">
        <w:rPr>
          <w:rFonts w:ascii="Arial" w:hAnsi="Arial" w:cs="Arial"/>
          <w:sz w:val="24"/>
          <w:szCs w:val="24"/>
        </w:rPr>
        <w:t xml:space="preserve"> - -</w:t>
      </w:r>
    </w:p>
    <w:p w14:paraId="6866262D" w14:textId="77777777" w:rsidR="00B92449" w:rsidRDefault="00B92449" w:rsidP="00B92449">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veintinueve de enero de dos mil dieciocho (29/01/2018), se tuvo a la demandada Directora de Ingresos y Recaudación  de la Secretaría de Finanzas del Poder Ejecutivo del Estado, por conducto de la Directora de lo Contencioso de esa Secretaría, contestando en tiempo la demanda, por lo que con fecha veintiuno de mayo de dos mil diecinueve (21/05/2019) se señaló fecha y hora para la audiencia final.- - - - - - - - - - - - </w:t>
      </w:r>
      <w:r w:rsidR="00FB7682">
        <w:rPr>
          <w:rFonts w:ascii="Arial" w:hAnsi="Arial" w:cs="Arial"/>
          <w:sz w:val="24"/>
          <w:szCs w:val="24"/>
        </w:rPr>
        <w:t xml:space="preserve">- </w:t>
      </w:r>
    </w:p>
    <w:p w14:paraId="31D37420" w14:textId="77777777" w:rsidR="00B92449" w:rsidRDefault="00B92449" w:rsidP="00B92449">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doce de septiembre de dos mil diecinueve (12/09/2019),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sin que compareciera ninguna de las partes, se desahogaron pruebas, y no se recibió escrito de alegatos, quedando el asunto integrado y en estado de resolución; y, - - - - - - - - - - - -</w:t>
      </w:r>
      <w:r w:rsidR="00E81789">
        <w:rPr>
          <w:rFonts w:ascii="Arial" w:hAnsi="Arial" w:cs="Arial"/>
          <w:sz w:val="24"/>
          <w:szCs w:val="24"/>
        </w:rPr>
        <w:t xml:space="preserve"> - </w:t>
      </w:r>
    </w:p>
    <w:p w14:paraId="181AB90F" w14:textId="77777777" w:rsidR="00B92449" w:rsidRDefault="00B92449" w:rsidP="00B92449">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543A2839" w14:textId="77777777" w:rsidR="00B92449" w:rsidRDefault="00B92449" w:rsidP="00B92449">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lo Contencioso Administrativo y de Cuentas,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111, fracción VII, segunda parte, de la Constitución Política del Estado Libre y Soberano de Oaxaca, en que se designó a este </w:t>
      </w:r>
      <w:r>
        <w:rPr>
          <w:rFonts w:ascii="Arial" w:hAnsi="Arial" w:cs="Arial"/>
          <w:sz w:val="24"/>
          <w:szCs w:val="24"/>
        </w:rPr>
        <w:lastRenderedPageBreak/>
        <w:t xml:space="preserve">Órgano como la máxima autoridad jurisdiccional en materia de Fiscalización, Rendición de Cuentas, Responsabilidad de los Servidores Públicos, Combate a la Corrupción e Impartición de Justicia Administrativa; artículos 81, 82 fracción IV, 84, 92, 96 fracción I, todos de la Ley de Justicia Administrativa para el Estado de Oaxaca, y Transitorio Quinto de 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 - - - - - - - - - - - - - - - - - - - - - - - - - - - - - - - </w:t>
      </w:r>
      <w:r w:rsidR="00280C38">
        <w:rPr>
          <w:rFonts w:ascii="Arial" w:hAnsi="Arial" w:cs="Arial"/>
          <w:sz w:val="24"/>
          <w:szCs w:val="24"/>
        </w:rPr>
        <w:t xml:space="preserve">- - - - - - - - - </w:t>
      </w:r>
    </w:p>
    <w:p w14:paraId="56260040" w14:textId="77777777" w:rsidR="00B92449" w:rsidRDefault="00B92449" w:rsidP="00B92449">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173 de la Ley de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0AE48686" w14:textId="6194A9A9" w:rsidR="00B92449" w:rsidRDefault="00B92449" w:rsidP="00B92449">
      <w:pPr>
        <w:spacing w:line="360" w:lineRule="auto"/>
        <w:ind w:firstLine="708"/>
        <w:jc w:val="both"/>
        <w:rPr>
          <w:rFonts w:ascii="Arial" w:hAnsi="Arial" w:cs="Arial"/>
          <w:sz w:val="24"/>
          <w:szCs w:val="24"/>
        </w:rPr>
      </w:pPr>
      <w:r>
        <w:rPr>
          <w:rFonts w:ascii="Arial" w:hAnsi="Arial" w:cs="Arial"/>
          <w:sz w:val="24"/>
          <w:szCs w:val="24"/>
        </w:rPr>
        <w:t>La</w:t>
      </w:r>
      <w:r w:rsidRPr="00A17FFD">
        <w:rPr>
          <w:rFonts w:ascii="Arial" w:hAnsi="Arial" w:cs="Arial"/>
          <w:sz w:val="24"/>
          <w:szCs w:val="24"/>
        </w:rPr>
        <w:t xml:space="preserve"> prueba DOCUMENTAL ofrecida</w:t>
      </w:r>
      <w:r>
        <w:rPr>
          <w:rFonts w:ascii="Arial" w:hAnsi="Arial" w:cs="Arial"/>
          <w:sz w:val="24"/>
          <w:szCs w:val="24"/>
        </w:rPr>
        <w:t xml:space="preserve"> y admitida</w:t>
      </w:r>
      <w:r w:rsidRPr="00A17FFD">
        <w:rPr>
          <w:rFonts w:ascii="Arial" w:hAnsi="Arial" w:cs="Arial"/>
          <w:sz w:val="24"/>
          <w:szCs w:val="24"/>
        </w:rPr>
        <w:t xml:space="preserve"> </w:t>
      </w:r>
      <w:r>
        <w:rPr>
          <w:rFonts w:ascii="Arial" w:hAnsi="Arial" w:cs="Arial"/>
          <w:sz w:val="24"/>
          <w:szCs w:val="24"/>
        </w:rPr>
        <w:t xml:space="preserve">al </w:t>
      </w:r>
      <w:r w:rsidRPr="00A17FFD">
        <w:rPr>
          <w:rFonts w:ascii="Arial" w:hAnsi="Arial" w:cs="Arial"/>
          <w:sz w:val="24"/>
          <w:szCs w:val="24"/>
        </w:rPr>
        <w:t xml:space="preserve">actor </w:t>
      </w:r>
      <w:r w:rsidR="003B776D">
        <w:rPr>
          <w:rFonts w:ascii="Arial" w:hAnsi="Arial" w:cs="Arial"/>
          <w:sz w:val="24"/>
          <w:szCs w:val="24"/>
        </w:rPr>
        <w:t>***** ***** *****</w:t>
      </w:r>
      <w:r>
        <w:rPr>
          <w:rFonts w:ascii="Arial" w:hAnsi="Arial" w:cs="Arial"/>
          <w:sz w:val="24"/>
          <w:szCs w:val="24"/>
        </w:rPr>
        <w:t xml:space="preserve">, </w:t>
      </w:r>
      <w:r w:rsidRPr="002F7C74">
        <w:rPr>
          <w:rFonts w:ascii="Arial" w:hAnsi="Arial" w:cs="Arial"/>
          <w:sz w:val="24"/>
          <w:szCs w:val="24"/>
        </w:rPr>
        <w:t>consiste</w:t>
      </w:r>
      <w:r>
        <w:rPr>
          <w:rFonts w:ascii="Arial" w:hAnsi="Arial" w:cs="Arial"/>
          <w:sz w:val="24"/>
          <w:szCs w:val="24"/>
        </w:rPr>
        <w:t>nte</w:t>
      </w:r>
      <w:r w:rsidRPr="002F7C74">
        <w:rPr>
          <w:rFonts w:ascii="Arial" w:hAnsi="Arial" w:cs="Arial"/>
          <w:sz w:val="24"/>
          <w:szCs w:val="24"/>
        </w:rPr>
        <w:t xml:space="preserve"> </w:t>
      </w:r>
      <w:r w:rsidRPr="00FA6C23">
        <w:rPr>
          <w:rFonts w:ascii="Arial" w:hAnsi="Arial" w:cs="Arial"/>
          <w:sz w:val="24"/>
          <w:szCs w:val="24"/>
        </w:rPr>
        <w:t>en</w:t>
      </w:r>
      <w:r>
        <w:rPr>
          <w:rFonts w:ascii="Arial" w:hAnsi="Arial" w:cs="Arial"/>
          <w:b/>
          <w:sz w:val="24"/>
          <w:szCs w:val="24"/>
        </w:rPr>
        <w:t xml:space="preserve"> </w:t>
      </w:r>
      <w:r w:rsidRPr="001D7A1B">
        <w:rPr>
          <w:rFonts w:ascii="Arial" w:hAnsi="Arial" w:cs="Arial"/>
          <w:sz w:val="24"/>
          <w:szCs w:val="24"/>
        </w:rPr>
        <w:t>Original de</w:t>
      </w:r>
      <w:r>
        <w:rPr>
          <w:rFonts w:ascii="Arial" w:hAnsi="Arial" w:cs="Arial"/>
          <w:b/>
          <w:sz w:val="24"/>
          <w:szCs w:val="24"/>
        </w:rPr>
        <w:t xml:space="preserve"> </w:t>
      </w:r>
      <w:r w:rsidRPr="008F475F">
        <w:rPr>
          <w:rFonts w:ascii="Arial" w:hAnsi="Arial" w:cs="Arial"/>
          <w:sz w:val="24"/>
          <w:szCs w:val="24"/>
        </w:rPr>
        <w:t>multa</w:t>
      </w:r>
      <w:r>
        <w:rPr>
          <w:rFonts w:ascii="Arial" w:hAnsi="Arial" w:cs="Arial"/>
          <w:sz w:val="24"/>
          <w:szCs w:val="24"/>
        </w:rPr>
        <w:t xml:space="preserve"> impuesta </w:t>
      </w:r>
      <w:r w:rsidRPr="008F475F">
        <w:rPr>
          <w:rFonts w:ascii="Arial" w:hAnsi="Arial" w:cs="Arial"/>
          <w:sz w:val="24"/>
          <w:szCs w:val="24"/>
        </w:rPr>
        <w:t>por</w:t>
      </w:r>
      <w:r>
        <w:rPr>
          <w:rFonts w:ascii="Arial" w:hAnsi="Arial" w:cs="Arial"/>
          <w:b/>
          <w:sz w:val="24"/>
          <w:szCs w:val="24"/>
        </w:rPr>
        <w:t xml:space="preserve"> </w:t>
      </w:r>
      <w:r w:rsidRPr="007B0711">
        <w:rPr>
          <w:rFonts w:ascii="Arial" w:hAnsi="Arial" w:cs="Arial"/>
          <w:sz w:val="24"/>
          <w:szCs w:val="24"/>
        </w:rPr>
        <w:t xml:space="preserve">infracción con número de folio </w:t>
      </w:r>
      <w:r w:rsidR="003B776D">
        <w:rPr>
          <w:rFonts w:ascii="Arial" w:hAnsi="Arial" w:cs="Arial"/>
          <w:sz w:val="24"/>
          <w:szCs w:val="24"/>
        </w:rPr>
        <w:t>**********</w:t>
      </w:r>
      <w:r w:rsidRPr="007B0711">
        <w:rPr>
          <w:rFonts w:ascii="Arial" w:hAnsi="Arial" w:cs="Arial"/>
          <w:sz w:val="24"/>
          <w:szCs w:val="24"/>
        </w:rPr>
        <w:t xml:space="preserve"> de fecha </w:t>
      </w:r>
      <w:r>
        <w:rPr>
          <w:rFonts w:ascii="Arial" w:hAnsi="Arial" w:cs="Arial"/>
          <w:sz w:val="24"/>
          <w:szCs w:val="24"/>
        </w:rPr>
        <w:t>ocho de agosto de dos mil diecisiete (08/08/2017)</w:t>
      </w:r>
      <w:r w:rsidRPr="007B0711">
        <w:rPr>
          <w:rFonts w:ascii="Arial" w:hAnsi="Arial" w:cs="Arial"/>
          <w:sz w:val="24"/>
          <w:szCs w:val="24"/>
        </w:rPr>
        <w:t>, emitida por</w:t>
      </w:r>
      <w:r>
        <w:rPr>
          <w:rFonts w:ascii="Arial" w:hAnsi="Arial" w:cs="Arial"/>
          <w:sz w:val="24"/>
          <w:szCs w:val="24"/>
        </w:rPr>
        <w:t xml:space="preserve"> la Directora de Ingresos y Recaudación de la Secretaría de Finanzas (documento que hizo suyo la autoridad demandada).</w:t>
      </w:r>
    </w:p>
    <w:p w14:paraId="7C096C09" w14:textId="77777777" w:rsidR="00B92449" w:rsidRDefault="00B92449" w:rsidP="00B92449">
      <w:pPr>
        <w:spacing w:line="360" w:lineRule="auto"/>
        <w:ind w:firstLine="708"/>
        <w:jc w:val="both"/>
        <w:rPr>
          <w:rFonts w:ascii="Arial" w:hAnsi="Arial" w:cs="Arial"/>
          <w:sz w:val="24"/>
          <w:szCs w:val="24"/>
        </w:rPr>
      </w:pPr>
      <w:r>
        <w:rPr>
          <w:rFonts w:ascii="Arial" w:hAnsi="Arial" w:cs="Arial"/>
          <w:sz w:val="24"/>
          <w:szCs w:val="24"/>
        </w:rPr>
        <w:t>Por lo que respecta a la autoridad demandada</w:t>
      </w:r>
      <w:r w:rsidRPr="00C82AC0">
        <w:rPr>
          <w:rFonts w:ascii="Arial" w:hAnsi="Arial" w:cs="Arial"/>
          <w:sz w:val="24"/>
          <w:szCs w:val="24"/>
        </w:rPr>
        <w:t xml:space="preserve"> </w:t>
      </w:r>
      <w:r>
        <w:rPr>
          <w:rFonts w:ascii="Arial" w:hAnsi="Arial" w:cs="Arial"/>
          <w:sz w:val="24"/>
          <w:szCs w:val="24"/>
        </w:rPr>
        <w:t>Directora de Ingresos y Recaudación de la Secretaría de Finanzas del Poder Ejecutivo del Estado de Oaxaca, mediante proveído de veintinueve de enero de dos mil dieciocho (29/01/2018), se le admitió copia certificada de nombramiento y toma de protesta de ley, expedido a favor de MARÍA DE LOURDES VALDEZ AGUILAR, Directora de lo Contencioso de la Secretaría de Finanzas del Poder Ejecutivo del Estado de Oaxaca.</w:t>
      </w:r>
    </w:p>
    <w:p w14:paraId="10829FAA" w14:textId="77777777" w:rsidR="00B92449" w:rsidRDefault="00B92449" w:rsidP="00B92449">
      <w:pPr>
        <w:spacing w:line="360" w:lineRule="auto"/>
        <w:ind w:firstLine="708"/>
        <w:jc w:val="both"/>
        <w:rPr>
          <w:rFonts w:ascii="Arial" w:hAnsi="Arial" w:cs="Arial"/>
          <w:sz w:val="24"/>
          <w:szCs w:val="24"/>
        </w:rPr>
      </w:pPr>
      <w:r>
        <w:rPr>
          <w:rFonts w:ascii="Arial" w:hAnsi="Arial" w:cs="Arial"/>
          <w:sz w:val="24"/>
          <w:szCs w:val="24"/>
        </w:rPr>
        <w:t xml:space="preserve">Al original de la multa remitida por el actor, así como a la copia certificada del nombramiento de la demandada, se les concede </w:t>
      </w:r>
      <w:r w:rsidRPr="00B85A38">
        <w:rPr>
          <w:rFonts w:ascii="Arial" w:hAnsi="Arial" w:cs="Arial"/>
          <w:b/>
          <w:sz w:val="24"/>
          <w:szCs w:val="24"/>
        </w:rPr>
        <w:t>valor probatorio pleno</w:t>
      </w:r>
      <w:r>
        <w:rPr>
          <w:rFonts w:ascii="Arial" w:hAnsi="Arial" w:cs="Arial"/>
          <w:sz w:val="24"/>
          <w:szCs w:val="24"/>
        </w:rPr>
        <w:t xml:space="preserve">, en razón de que respecto al primero aparte de ser un documento original y público, la autoridad demandada lo hizo suyo al contestar la demanda, circunstancia que pone de manifiesto su existencia y veracidad de su contenido, y el nombramiento fue certificado por el Notario </w:t>
      </w:r>
      <w:r>
        <w:rPr>
          <w:rFonts w:ascii="Arial" w:hAnsi="Arial" w:cs="Arial"/>
          <w:sz w:val="24"/>
          <w:szCs w:val="24"/>
        </w:rPr>
        <w:lastRenderedPageBreak/>
        <w:t>Público Número Diecinueve en el Estado</w:t>
      </w:r>
      <w:r w:rsidRPr="003D18EC">
        <w:rPr>
          <w:rFonts w:ascii="Arial" w:hAnsi="Arial" w:cs="Arial"/>
          <w:sz w:val="24"/>
          <w:szCs w:val="24"/>
        </w:rPr>
        <w:t xml:space="preserve">, quien </w:t>
      </w:r>
      <w:r>
        <w:rPr>
          <w:rFonts w:ascii="Arial" w:hAnsi="Arial" w:cs="Arial"/>
          <w:sz w:val="24"/>
          <w:szCs w:val="24"/>
        </w:rPr>
        <w:t xml:space="preserve">hizo constar que cotejó </w:t>
      </w:r>
      <w:r w:rsidRPr="003D18EC">
        <w:rPr>
          <w:rFonts w:ascii="Arial" w:hAnsi="Arial" w:cs="Arial"/>
          <w:sz w:val="24"/>
          <w:szCs w:val="24"/>
        </w:rPr>
        <w:t>con su original, en uso de la fe pública</w:t>
      </w:r>
      <w:r>
        <w:rPr>
          <w:rFonts w:ascii="Arial" w:hAnsi="Arial" w:cs="Arial"/>
          <w:sz w:val="24"/>
          <w:szCs w:val="24"/>
        </w:rPr>
        <w:t xml:space="preserve"> que le confiere a los Notarios, el artículo 2 y 87, ambos de la Ley del Notariado para el Estado de Oaxaca, circunstancias que generan convicción sobre la existencia y contenido de dicho documento. 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14:paraId="7E34031D" w14:textId="77777777" w:rsidR="00B92449" w:rsidRDefault="00B92449" w:rsidP="00B92449">
      <w:pPr>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cumplen con los requisitos de validez y eficacia, quedando de manifiesto la veracidad de su contenido, de conformidad a lo que establece el citado </w:t>
      </w:r>
      <w:r w:rsidRPr="00FC32DC">
        <w:rPr>
          <w:rFonts w:ascii="Arial" w:hAnsi="Arial" w:cs="Arial"/>
          <w:sz w:val="24"/>
          <w:szCs w:val="24"/>
        </w:rPr>
        <w:t>artículo 173 fracción I de la Ley de Justicia Administrativa para el Estado de Oaxaca</w:t>
      </w:r>
      <w:r>
        <w:rPr>
          <w:rFonts w:ascii="Arial" w:hAnsi="Arial" w:cs="Arial"/>
          <w:sz w:val="24"/>
          <w:szCs w:val="24"/>
        </w:rPr>
        <w:t>.</w:t>
      </w:r>
    </w:p>
    <w:p w14:paraId="2C685EE1" w14:textId="77777777" w:rsidR="00B92449" w:rsidRDefault="00B92449" w:rsidP="00B92449">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demandada, se constituye de la totalidad de las pruebas recabadas en el presente Juicio, y con ellas se conforma el contenido del enjuiciamiento, porque los hechos contenidos en las documentales son afirmaciones expresas.</w:t>
      </w:r>
    </w:p>
    <w:p w14:paraId="3B0CB495" w14:textId="77777777" w:rsidR="00B92449" w:rsidRDefault="00B92449" w:rsidP="00B92449">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únicamente por la autoridad demandada,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w:t>
      </w:r>
      <w:r w:rsidR="00280C38">
        <w:rPr>
          <w:rFonts w:ascii="Arial" w:hAnsi="Arial" w:cs="Arial"/>
          <w:sz w:val="24"/>
          <w:szCs w:val="24"/>
        </w:rPr>
        <w:t>- -</w:t>
      </w:r>
    </w:p>
    <w:p w14:paraId="71787F9C" w14:textId="77777777" w:rsidR="00B92449" w:rsidRPr="003D18EC" w:rsidRDefault="00B92449" w:rsidP="00B92449">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Esta Juzgadora, no realiza la transcripción de los agravios vertidos por la</w:t>
      </w:r>
      <w:r>
        <w:rPr>
          <w:rFonts w:ascii="Arial" w:hAnsi="Arial" w:cs="Arial"/>
          <w:sz w:val="24"/>
        </w:rPr>
        <w:t xml:space="preserve"> parte</w:t>
      </w:r>
      <w:r w:rsidRPr="00653BD0">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 xml:space="preserve">CONCEPTOS DE VIOLACIÓN O AGRAVIOS. PARA CUMPLIR </w:t>
      </w:r>
      <w:r w:rsidRPr="00653BD0">
        <w:rPr>
          <w:rFonts w:ascii="Arial" w:hAnsi="Arial" w:cs="Arial"/>
          <w:i/>
          <w:sz w:val="24"/>
        </w:rPr>
        <w:lastRenderedPageBreak/>
        <w:t>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w:t>
      </w:r>
      <w:r w:rsidRPr="003D18EC">
        <w:rPr>
          <w:rFonts w:ascii="Arial" w:hAnsi="Arial" w:cs="Arial"/>
          <w:sz w:val="24"/>
        </w:rPr>
        <w:t xml:space="preserve">- - - - - - </w:t>
      </w:r>
      <w:r w:rsidR="00CC0343">
        <w:rPr>
          <w:rFonts w:ascii="Arial" w:hAnsi="Arial" w:cs="Arial"/>
          <w:sz w:val="24"/>
        </w:rPr>
        <w:t xml:space="preserve">- - - - - - - - - - - - - - - - </w:t>
      </w:r>
    </w:p>
    <w:p w14:paraId="36C46874" w14:textId="3DD08806" w:rsidR="00B92449" w:rsidRDefault="00B92449" w:rsidP="00B92449">
      <w:pPr>
        <w:tabs>
          <w:tab w:val="center" w:pos="4574"/>
        </w:tabs>
        <w:spacing w:line="360" w:lineRule="auto"/>
        <w:ind w:firstLine="708"/>
        <w:jc w:val="both"/>
        <w:rPr>
          <w:rFonts w:ascii="Arial" w:hAnsi="Arial" w:cs="Arial"/>
          <w:sz w:val="24"/>
          <w:szCs w:val="24"/>
        </w:rPr>
      </w:pPr>
      <w:r w:rsidRPr="003D18EC">
        <w:rPr>
          <w:rFonts w:ascii="Arial" w:hAnsi="Arial" w:cs="Arial"/>
          <w:b/>
          <w:sz w:val="24"/>
          <w:szCs w:val="24"/>
        </w:rPr>
        <w:t xml:space="preserve">CUARTO.- </w:t>
      </w:r>
      <w:r>
        <w:rPr>
          <w:rFonts w:ascii="Arial" w:hAnsi="Arial" w:cs="Arial"/>
          <w:sz w:val="24"/>
          <w:szCs w:val="24"/>
        </w:rPr>
        <w:t>La personalidad del</w:t>
      </w:r>
      <w:r w:rsidRPr="003D18EC">
        <w:rPr>
          <w:rFonts w:ascii="Arial" w:hAnsi="Arial" w:cs="Arial"/>
          <w:sz w:val="24"/>
          <w:szCs w:val="24"/>
        </w:rPr>
        <w:t xml:space="preserve"> C. </w:t>
      </w:r>
      <w:r w:rsidR="003B776D">
        <w:rPr>
          <w:rFonts w:ascii="Arial" w:hAnsi="Arial" w:cs="Arial"/>
          <w:sz w:val="24"/>
          <w:szCs w:val="24"/>
        </w:rPr>
        <w:t>***** ***** *****</w:t>
      </w:r>
      <w:r w:rsidRPr="003D18EC">
        <w:rPr>
          <w:rFonts w:ascii="Arial" w:hAnsi="Arial" w:cs="Arial"/>
          <w:sz w:val="24"/>
          <w:szCs w:val="24"/>
        </w:rPr>
        <w:t>, quedó legalmente acreditada en términos de</w:t>
      </w:r>
      <w:r>
        <w:rPr>
          <w:rFonts w:ascii="Arial" w:hAnsi="Arial" w:cs="Arial"/>
          <w:sz w:val="24"/>
          <w:szCs w:val="24"/>
        </w:rPr>
        <w:t xml:space="preserve"> </w:t>
      </w:r>
      <w:r w:rsidRPr="003D18EC">
        <w:rPr>
          <w:rFonts w:ascii="Arial" w:hAnsi="Arial" w:cs="Arial"/>
          <w:sz w:val="24"/>
          <w:szCs w:val="24"/>
        </w:rPr>
        <w:t>l</w:t>
      </w:r>
      <w:r>
        <w:rPr>
          <w:rFonts w:ascii="Arial" w:hAnsi="Arial" w:cs="Arial"/>
          <w:sz w:val="24"/>
          <w:szCs w:val="24"/>
        </w:rPr>
        <w:t>os</w:t>
      </w:r>
      <w:r w:rsidRPr="003D18EC">
        <w:rPr>
          <w:rFonts w:ascii="Arial" w:hAnsi="Arial" w:cs="Arial"/>
          <w:sz w:val="24"/>
          <w:szCs w:val="24"/>
        </w:rPr>
        <w:t xml:space="preserve"> artículo</w:t>
      </w:r>
      <w:r>
        <w:rPr>
          <w:rFonts w:ascii="Arial" w:hAnsi="Arial" w:cs="Arial"/>
          <w:sz w:val="24"/>
          <w:szCs w:val="24"/>
        </w:rPr>
        <w:t>s</w:t>
      </w:r>
      <w:r w:rsidRPr="003D18EC">
        <w:rPr>
          <w:rFonts w:ascii="Arial" w:hAnsi="Arial" w:cs="Arial"/>
          <w:sz w:val="24"/>
          <w:szCs w:val="24"/>
        </w:rPr>
        <w:t xml:space="preserve"> </w:t>
      </w:r>
      <w:r>
        <w:rPr>
          <w:rFonts w:ascii="Arial" w:hAnsi="Arial" w:cs="Arial"/>
          <w:sz w:val="24"/>
          <w:szCs w:val="24"/>
        </w:rPr>
        <w:t xml:space="preserve">133 fracción I inciso a) y 134 ambos </w:t>
      </w:r>
      <w:r w:rsidRPr="003D18EC">
        <w:rPr>
          <w:rFonts w:ascii="Arial" w:hAnsi="Arial" w:cs="Arial"/>
          <w:sz w:val="24"/>
          <w:szCs w:val="24"/>
        </w:rPr>
        <w:t xml:space="preserve">de la Ley de Justicia Administrativa para el Estado de Oaxaca, pues </w:t>
      </w:r>
      <w:r>
        <w:rPr>
          <w:rFonts w:ascii="Arial" w:hAnsi="Arial" w:cs="Arial"/>
          <w:sz w:val="24"/>
          <w:szCs w:val="24"/>
        </w:rPr>
        <w:t xml:space="preserve">su nombre aparece plasmado en el oficio de requerimiento de obligaciones que impugna mediante el cual se le impuso una multa al considerar que fue omiso al cumplimiento de obligaciones fiscales, con lo que sin duda su interés jurídico y legítimo en este Juicio quedó demostrado. </w:t>
      </w:r>
    </w:p>
    <w:p w14:paraId="27E7E975" w14:textId="77777777" w:rsidR="00B92449" w:rsidRDefault="00B92449" w:rsidP="00B92449">
      <w:pPr>
        <w:pStyle w:val="corte4fondo"/>
        <w:ind w:right="51" w:firstLine="567"/>
        <w:rPr>
          <w:b/>
          <w:bCs/>
          <w:szCs w:val="24"/>
        </w:rPr>
      </w:pPr>
      <w:r>
        <w:rPr>
          <w:b/>
          <w:sz w:val="24"/>
        </w:rPr>
        <w:t>La autoridad demandada</w:t>
      </w:r>
      <w:r w:rsidRPr="00020347">
        <w:rPr>
          <w:sz w:val="24"/>
        </w:rPr>
        <w:t xml:space="preserve"> </w:t>
      </w:r>
      <w:r>
        <w:rPr>
          <w:sz w:val="24"/>
        </w:rPr>
        <w:t xml:space="preserve">Directora de Ingresos y Recaudación de la Secretaría de Finanzas del Poder Ejecutivo del Estado, quedó legalmente representados en este Juicio por </w:t>
      </w:r>
      <w:r>
        <w:rPr>
          <w:bCs/>
          <w:sz w:val="24"/>
          <w:szCs w:val="24"/>
        </w:rPr>
        <w:t xml:space="preserve">la </w:t>
      </w:r>
      <w:r w:rsidRPr="006B2CDA">
        <w:rPr>
          <w:sz w:val="24"/>
          <w:szCs w:val="24"/>
        </w:rPr>
        <w:t xml:space="preserve">Directora de lo Contencioso de </w:t>
      </w:r>
      <w:r>
        <w:rPr>
          <w:sz w:val="24"/>
          <w:szCs w:val="24"/>
        </w:rPr>
        <w:t xml:space="preserve">esa </w:t>
      </w:r>
      <w:r w:rsidRPr="006B2CDA">
        <w:rPr>
          <w:sz w:val="24"/>
          <w:szCs w:val="24"/>
        </w:rPr>
        <w:t>Secretaría</w:t>
      </w:r>
      <w:r w:rsidRPr="006B2CDA">
        <w:rPr>
          <w:bCs/>
          <w:sz w:val="24"/>
          <w:szCs w:val="24"/>
        </w:rPr>
        <w:t xml:space="preserve">, </w:t>
      </w:r>
      <w:r>
        <w:rPr>
          <w:bCs/>
          <w:sz w:val="24"/>
          <w:szCs w:val="24"/>
        </w:rPr>
        <w:t xml:space="preserve">quien </w:t>
      </w:r>
      <w:r w:rsidRPr="006B2CDA">
        <w:rPr>
          <w:sz w:val="24"/>
          <w:szCs w:val="24"/>
        </w:rPr>
        <w:t>exhibió copia debidamente</w:t>
      </w:r>
      <w:r>
        <w:rPr>
          <w:sz w:val="24"/>
          <w:szCs w:val="24"/>
        </w:rPr>
        <w:t xml:space="preserve"> certificada de su nombramiento y Protesta de Ley, documento</w:t>
      </w:r>
      <w:r w:rsidRPr="006B2CDA">
        <w:rPr>
          <w:sz w:val="24"/>
          <w:szCs w:val="24"/>
        </w:rPr>
        <w:t xml:space="preserve"> que surte efecto probatorio pleno </w:t>
      </w:r>
      <w:r>
        <w:rPr>
          <w:sz w:val="24"/>
          <w:szCs w:val="24"/>
        </w:rPr>
        <w:t xml:space="preserve">como se expuso en el considerando correspondiente y con el que sin duda colma los requisitos dispuestos en el numeral 120 de la Ley de Justicia Administrativa para el Estado de Oaxaca. </w:t>
      </w:r>
      <w:r w:rsidRPr="006B2CDA">
        <w:rPr>
          <w:snapToGrid w:val="0"/>
          <w:sz w:val="24"/>
          <w:szCs w:val="24"/>
        </w:rPr>
        <w:t xml:space="preserve">- </w:t>
      </w:r>
      <w:r>
        <w:rPr>
          <w:snapToGrid w:val="0"/>
          <w:sz w:val="24"/>
          <w:szCs w:val="24"/>
        </w:rPr>
        <w:t xml:space="preserve">- - - - - - - - - - - - - - - - - </w:t>
      </w:r>
      <w:r w:rsidR="00FD6A8A">
        <w:rPr>
          <w:snapToGrid w:val="0"/>
          <w:sz w:val="24"/>
          <w:szCs w:val="24"/>
        </w:rPr>
        <w:t>- - - - - - - - - - - - - - - - - -</w:t>
      </w:r>
    </w:p>
    <w:p w14:paraId="06F3F3A4" w14:textId="77777777" w:rsidR="00B92449" w:rsidRPr="00CC21B7" w:rsidRDefault="00B92449" w:rsidP="00B92449">
      <w:pPr>
        <w:pStyle w:val="corte4fondoCarCarCar"/>
        <w:ind w:firstLine="708"/>
        <w:rPr>
          <w:rFonts w:cs="Arial"/>
          <w:sz w:val="24"/>
          <w:lang w:val="es-ES_tradnl"/>
        </w:rPr>
      </w:pPr>
    </w:p>
    <w:p w14:paraId="57D68EA7" w14:textId="77777777" w:rsidR="00B92449" w:rsidRDefault="00B92449" w:rsidP="00B92449">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los artículos 131 y 132, de la ley de la materia. </w:t>
      </w:r>
    </w:p>
    <w:p w14:paraId="5D2B7FB9" w14:textId="77777777" w:rsidR="00B92449" w:rsidRDefault="00B92449" w:rsidP="00B92449">
      <w:pPr>
        <w:pStyle w:val="corte4fondoCarCarCar"/>
        <w:spacing w:before="240"/>
        <w:ind w:firstLine="708"/>
        <w:rPr>
          <w:rFonts w:cs="Arial"/>
          <w:sz w:val="24"/>
        </w:rPr>
      </w:pPr>
      <w:r>
        <w:rPr>
          <w:rFonts w:cs="Arial"/>
          <w:bCs/>
          <w:sz w:val="24"/>
        </w:rPr>
        <w:t>La autoridad demandada no hizo valer causales de improcedencia y esta Juzgadora no advierte que se actualice alguna causa que impida estudiar el fondo de este asunto, consecuentemente,</w:t>
      </w:r>
      <w:r>
        <w:rPr>
          <w:rFonts w:cs="Arial"/>
          <w:sz w:val="24"/>
        </w:rPr>
        <w:t xml:space="preserve"> </w:t>
      </w:r>
      <w:r w:rsidRPr="00D1740B">
        <w:rPr>
          <w:rFonts w:cs="Arial"/>
          <w:b/>
          <w:sz w:val="24"/>
        </w:rPr>
        <w:t>NO SE SOBRESEE</w:t>
      </w:r>
      <w:r>
        <w:rPr>
          <w:rFonts w:cs="Arial"/>
          <w:b/>
          <w:sz w:val="24"/>
        </w:rPr>
        <w:t xml:space="preserve"> ESTE JUICIO</w:t>
      </w:r>
      <w:r>
        <w:rPr>
          <w:rFonts w:cs="Arial"/>
          <w:sz w:val="24"/>
        </w:rPr>
        <w:t xml:space="preserve">. - - - - - - - - - - - - - - - - - - - - - - - - - - - - - - - - - - - - - - - - - - - - </w:t>
      </w:r>
      <w:r w:rsidR="00D27503">
        <w:rPr>
          <w:rFonts w:cs="Arial"/>
          <w:sz w:val="24"/>
        </w:rPr>
        <w:t xml:space="preserve">- </w:t>
      </w:r>
    </w:p>
    <w:p w14:paraId="68CFBAFD" w14:textId="77777777" w:rsidR="00B92449" w:rsidRDefault="00B92449" w:rsidP="00B92449">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Pr="006D7488">
        <w:rPr>
          <w:rFonts w:ascii="Arial" w:hAnsi="Arial" w:cs="Arial"/>
          <w:b/>
          <w:sz w:val="24"/>
          <w:szCs w:val="24"/>
        </w:rPr>
        <w:t>SEXTO.-</w:t>
      </w:r>
      <w:r>
        <w:rPr>
          <w:rFonts w:ascii="Arial" w:hAnsi="Arial" w:cs="Arial"/>
          <w:b/>
          <w:sz w:val="24"/>
          <w:szCs w:val="24"/>
        </w:rPr>
        <w:t xml:space="preserve"> </w:t>
      </w:r>
      <w:r w:rsidRPr="00D751F6">
        <w:rPr>
          <w:rFonts w:ascii="Arial" w:hAnsi="Arial" w:cs="Arial"/>
          <w:sz w:val="24"/>
          <w:szCs w:val="24"/>
        </w:rPr>
        <w:t xml:space="preserve">Del estudio de las constancias que obran en autos, se logra </w:t>
      </w:r>
      <w:r>
        <w:rPr>
          <w:rFonts w:ascii="Arial" w:hAnsi="Arial" w:cs="Arial"/>
          <w:sz w:val="24"/>
          <w:szCs w:val="24"/>
        </w:rPr>
        <w:t xml:space="preserve">advertir que </w:t>
      </w:r>
      <w:r w:rsidRPr="00A3661C">
        <w:rPr>
          <w:rFonts w:ascii="Arial" w:hAnsi="Arial" w:cs="Arial"/>
          <w:sz w:val="24"/>
          <w:szCs w:val="24"/>
        </w:rPr>
        <w:t xml:space="preserve">la multa </w:t>
      </w:r>
      <w:r>
        <w:rPr>
          <w:rFonts w:ascii="Arial" w:hAnsi="Arial" w:cs="Arial"/>
          <w:sz w:val="24"/>
          <w:szCs w:val="24"/>
        </w:rPr>
        <w:t xml:space="preserve">impuesta al actor </w:t>
      </w:r>
      <w:r w:rsidRPr="00990C8C">
        <w:rPr>
          <w:rFonts w:ascii="Arial" w:hAnsi="Arial" w:cs="Arial"/>
          <w:b/>
          <w:sz w:val="24"/>
          <w:szCs w:val="24"/>
        </w:rPr>
        <w:t>no está fundada y tampoco motivada</w:t>
      </w:r>
      <w:r w:rsidRPr="00A3661C">
        <w:rPr>
          <w:rFonts w:ascii="Arial" w:hAnsi="Arial" w:cs="Arial"/>
          <w:sz w:val="24"/>
          <w:szCs w:val="24"/>
        </w:rPr>
        <w:t xml:space="preserve">, </w:t>
      </w:r>
      <w:r w:rsidRPr="009C458B">
        <w:rPr>
          <w:rFonts w:ascii="Arial" w:hAnsi="Arial" w:cs="Arial"/>
          <w:sz w:val="24"/>
          <w:szCs w:val="24"/>
        </w:rPr>
        <w:t>es</w:t>
      </w:r>
      <w:r>
        <w:rPr>
          <w:rFonts w:ascii="Arial" w:hAnsi="Arial" w:cs="Arial"/>
          <w:sz w:val="24"/>
          <w:szCs w:val="24"/>
        </w:rPr>
        <w:t>to es</w:t>
      </w:r>
      <w:r w:rsidRPr="009C458B">
        <w:rPr>
          <w:rFonts w:ascii="Arial" w:hAnsi="Arial" w:cs="Arial"/>
          <w:sz w:val="24"/>
          <w:szCs w:val="24"/>
        </w:rPr>
        <w:t xml:space="preserve"> así,</w:t>
      </w:r>
      <w:r>
        <w:rPr>
          <w:rFonts w:ascii="Arial" w:hAnsi="Arial" w:cs="Arial"/>
          <w:b/>
          <w:sz w:val="24"/>
          <w:szCs w:val="24"/>
        </w:rPr>
        <w:t xml:space="preserve"> </w:t>
      </w:r>
      <w:r>
        <w:rPr>
          <w:rFonts w:ascii="Arial" w:hAnsi="Arial" w:cs="Arial"/>
          <w:sz w:val="24"/>
          <w:szCs w:val="24"/>
        </w:rPr>
        <w:t xml:space="preserve">porque la autoridad demandada le impuso una multa por la cantidad de 3,775.00 (TRES MIL SETECIENTOS SETENTA Y CINCO PESOS 00/100M.N.), tratando de motivarla de la siguiente manera: </w:t>
      </w:r>
      <w:r w:rsidRPr="00EA0D0D">
        <w:rPr>
          <w:rFonts w:ascii="Arial" w:hAnsi="Arial" w:cs="Arial"/>
          <w:i/>
          <w:sz w:val="24"/>
          <w:szCs w:val="24"/>
        </w:rPr>
        <w:t xml:space="preserve">“…2.- </w:t>
      </w:r>
      <w:r w:rsidRPr="00EA0D0D">
        <w:rPr>
          <w:rFonts w:ascii="Arial" w:hAnsi="Arial" w:cs="Arial"/>
          <w:i/>
          <w:sz w:val="24"/>
          <w:szCs w:val="24"/>
        </w:rPr>
        <w:lastRenderedPageBreak/>
        <w:t xml:space="preserve">Esta autoridad fiscal identificó que es sujeto obligado a inscribirse en el Registro Estatal de </w:t>
      </w:r>
      <w:r w:rsidRPr="00AF0110">
        <w:rPr>
          <w:rFonts w:ascii="Arial" w:hAnsi="Arial" w:cs="Arial"/>
          <w:i/>
          <w:sz w:val="24"/>
          <w:szCs w:val="24"/>
        </w:rPr>
        <w:t>Contrib</w:t>
      </w:r>
      <w:r>
        <w:rPr>
          <w:rFonts w:ascii="Arial" w:hAnsi="Arial" w:cs="Arial"/>
          <w:i/>
          <w:sz w:val="24"/>
          <w:szCs w:val="24"/>
        </w:rPr>
        <w:t>uyentes del Estado de Oaxaca, p</w:t>
      </w:r>
      <w:r w:rsidRPr="00AF0110">
        <w:rPr>
          <w:rFonts w:ascii="Arial" w:hAnsi="Arial" w:cs="Arial"/>
          <w:i/>
          <w:sz w:val="24"/>
          <w:szCs w:val="24"/>
        </w:rPr>
        <w:t>o</w:t>
      </w:r>
      <w:r>
        <w:rPr>
          <w:rFonts w:ascii="Arial" w:hAnsi="Arial" w:cs="Arial"/>
          <w:i/>
          <w:sz w:val="24"/>
          <w:szCs w:val="24"/>
        </w:rPr>
        <w:t>r</w:t>
      </w:r>
      <w:r w:rsidRPr="00AF0110">
        <w:rPr>
          <w:rFonts w:ascii="Arial" w:hAnsi="Arial" w:cs="Arial"/>
          <w:i/>
          <w:sz w:val="24"/>
          <w:szCs w:val="24"/>
        </w:rPr>
        <w:t xml:space="preserve"> realizar actividades vinculadas al Impuesto por Remuneración al Trabajo Personal, lo anterior</w:t>
      </w:r>
      <w:r w:rsidRPr="00EA0D0D">
        <w:rPr>
          <w:rFonts w:ascii="Arial" w:hAnsi="Arial" w:cs="Arial"/>
          <w:i/>
          <w:sz w:val="24"/>
          <w:szCs w:val="24"/>
        </w:rPr>
        <w:t xml:space="preserve"> como resultado del intercambio de información que realiza la Dirección de Ingresos y Recaudación, con Dependencias y Organismos Públicos en el ámbito Estatal y Federal, con fundamento en los artículos 96, 97 primer párrafo y 98 del Código Fiscal del Estado de Oaxaca. 3.- Considerando que la Dirección de Ingresos y Recaudación de la Secretaría de Finanzas lo ha identificado como sujeto obligado al pago del Impuesto sobre Erogaciones por Remuneraciones al Trabajo Personal, y habiendo transcurrido el plazo de un mes que señala la disposición legal para realizar la solicitud de registro; n</w:t>
      </w:r>
      <w:r>
        <w:rPr>
          <w:rFonts w:ascii="Arial" w:hAnsi="Arial" w:cs="Arial"/>
          <w:i/>
          <w:sz w:val="24"/>
          <w:szCs w:val="24"/>
        </w:rPr>
        <w:t>o</w:t>
      </w:r>
      <w:r w:rsidRPr="00EA0D0D">
        <w:rPr>
          <w:rFonts w:ascii="Arial" w:hAnsi="Arial" w:cs="Arial"/>
          <w:i/>
          <w:sz w:val="24"/>
          <w:szCs w:val="24"/>
        </w:rPr>
        <w:t xml:space="preserve"> exista constancia en esta Secretaría que haya dado cumplimiento ha</w:t>
      </w:r>
      <w:r>
        <w:rPr>
          <w:rFonts w:ascii="Arial" w:hAnsi="Arial" w:cs="Arial"/>
          <w:i/>
          <w:sz w:val="24"/>
          <w:szCs w:val="24"/>
        </w:rPr>
        <w:t xml:space="preserve"> (.sic)</w:t>
      </w:r>
      <w:r w:rsidRPr="00EA0D0D">
        <w:rPr>
          <w:rFonts w:ascii="Arial" w:hAnsi="Arial" w:cs="Arial"/>
          <w:i/>
          <w:sz w:val="24"/>
          <w:szCs w:val="24"/>
        </w:rPr>
        <w:t xml:space="preserve"> esta obligación, su conducta actualiza la hipótesis normativa prevista en el artículo 268 fracción I del Código Fiscal para el Estado de Oaxaca vigente, motivo por el cual se hace acreedor a la sanción establecida en el mismo artículo</w:t>
      </w:r>
      <w:r>
        <w:rPr>
          <w:rFonts w:ascii="Arial" w:hAnsi="Arial" w:cs="Arial"/>
          <w:i/>
          <w:sz w:val="24"/>
          <w:szCs w:val="24"/>
        </w:rPr>
        <w:t>,</w:t>
      </w:r>
      <w:r>
        <w:rPr>
          <w:rFonts w:ascii="Arial" w:hAnsi="Arial" w:cs="Arial"/>
          <w:sz w:val="24"/>
          <w:szCs w:val="24"/>
        </w:rPr>
        <w:t>…”.</w:t>
      </w:r>
    </w:p>
    <w:p w14:paraId="04457380" w14:textId="77777777" w:rsidR="00B92449" w:rsidRDefault="00B92449" w:rsidP="00B92449">
      <w:pPr>
        <w:tabs>
          <w:tab w:val="center" w:pos="4574"/>
        </w:tabs>
        <w:spacing w:line="360" w:lineRule="auto"/>
        <w:ind w:firstLine="708"/>
        <w:jc w:val="both"/>
        <w:rPr>
          <w:rFonts w:ascii="Arial" w:hAnsi="Arial" w:cs="Arial"/>
          <w:sz w:val="24"/>
          <w:szCs w:val="24"/>
        </w:rPr>
      </w:pPr>
      <w:r>
        <w:rPr>
          <w:rFonts w:ascii="Arial" w:hAnsi="Arial" w:cs="Arial"/>
          <w:sz w:val="24"/>
          <w:szCs w:val="24"/>
        </w:rPr>
        <w:tab/>
        <w:t xml:space="preserve">Por </w:t>
      </w:r>
      <w:r w:rsidRPr="00F4415C">
        <w:rPr>
          <w:rFonts w:ascii="Arial" w:hAnsi="Arial" w:cs="Arial"/>
          <w:b/>
          <w:sz w:val="24"/>
          <w:szCs w:val="24"/>
        </w:rPr>
        <w:t>fundamentación</w:t>
      </w:r>
      <w:r>
        <w:rPr>
          <w:rFonts w:ascii="Arial" w:hAnsi="Arial" w:cs="Arial"/>
          <w:sz w:val="24"/>
          <w:szCs w:val="24"/>
        </w:rPr>
        <w:t xml:space="preserve"> del acto de autoridad, debe atenderse al precepto legal aplicable al caso concreto, debiendo precisarse el párrafo, la fracción, el inciso o sub-inciso, circunstancias que permitan al administrado, conocer </w:t>
      </w:r>
      <w:r w:rsidRPr="00CB32B0">
        <w:rPr>
          <w:rFonts w:ascii="Arial" w:hAnsi="Arial" w:cs="Arial"/>
          <w:sz w:val="24"/>
          <w:szCs w:val="24"/>
        </w:rPr>
        <w:t>los preceptos en que la autoridad sustentó su ac</w:t>
      </w:r>
      <w:r>
        <w:rPr>
          <w:rFonts w:ascii="Arial" w:hAnsi="Arial" w:cs="Arial"/>
          <w:sz w:val="24"/>
          <w:szCs w:val="24"/>
        </w:rPr>
        <w:t xml:space="preserve">tuar, a fin de poder combatirlos; por </w:t>
      </w:r>
      <w:r w:rsidRPr="00F4415C">
        <w:rPr>
          <w:rFonts w:ascii="Arial" w:hAnsi="Arial" w:cs="Arial"/>
          <w:b/>
          <w:sz w:val="24"/>
          <w:szCs w:val="24"/>
        </w:rPr>
        <w:t>motivación</w:t>
      </w:r>
      <w:r>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F4415C">
        <w:rPr>
          <w:rFonts w:ascii="Arial" w:hAnsi="Arial" w:cs="Arial"/>
          <w:b/>
          <w:sz w:val="24"/>
          <w:szCs w:val="24"/>
        </w:rPr>
        <w:t>configuración de las hipótesis normativas</w:t>
      </w:r>
      <w:r>
        <w:rPr>
          <w:rFonts w:ascii="Arial" w:hAnsi="Arial" w:cs="Arial"/>
          <w:sz w:val="24"/>
          <w:szCs w:val="24"/>
        </w:rPr>
        <w:t>.</w:t>
      </w:r>
    </w:p>
    <w:p w14:paraId="776CA514" w14:textId="77777777" w:rsidR="00B92449" w:rsidRDefault="00B92449" w:rsidP="00B9244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el caso particular, la autoridad demandada identificó dos hechos que atribuye al actor, </w:t>
      </w:r>
      <w:r w:rsidRPr="008B7649">
        <w:rPr>
          <w:rFonts w:ascii="Arial" w:hAnsi="Arial" w:cs="Arial"/>
          <w:b/>
          <w:sz w:val="24"/>
          <w:szCs w:val="24"/>
        </w:rPr>
        <w:t>el primero</w:t>
      </w:r>
      <w:r>
        <w:rPr>
          <w:rFonts w:ascii="Arial" w:hAnsi="Arial" w:cs="Arial"/>
          <w:b/>
          <w:sz w:val="24"/>
          <w:szCs w:val="24"/>
        </w:rPr>
        <w:t>,</w:t>
      </w:r>
      <w:r>
        <w:rPr>
          <w:rFonts w:ascii="Arial" w:hAnsi="Arial" w:cs="Arial"/>
          <w:sz w:val="24"/>
          <w:szCs w:val="24"/>
        </w:rPr>
        <w:t xml:space="preserve"> consistente en que es un sujeto que realiza actividades vinculadas al Impuesto sobre erogaciones por remuneraciones al Trabajo Personal; </w:t>
      </w:r>
      <w:r w:rsidRPr="007253FB">
        <w:rPr>
          <w:rFonts w:ascii="Arial" w:hAnsi="Arial" w:cs="Arial"/>
          <w:b/>
          <w:sz w:val="24"/>
          <w:szCs w:val="24"/>
        </w:rPr>
        <w:t>el segundo</w:t>
      </w:r>
      <w:r>
        <w:rPr>
          <w:rFonts w:ascii="Arial" w:hAnsi="Arial" w:cs="Arial"/>
          <w:sz w:val="24"/>
          <w:szCs w:val="24"/>
        </w:rPr>
        <w:t xml:space="preserve">, se refiere a que debido a esa actividad que le atribuye, estaba obligado a inscribirse en el Registro Estatal de Contribuyentes del Estado de Oaxaca, circunstancia por la que le fue impuesta una multa, al no acreditar su inscripción. </w:t>
      </w:r>
    </w:p>
    <w:p w14:paraId="1E05D738" w14:textId="77777777" w:rsidR="00B92449" w:rsidRDefault="00B92449" w:rsidP="00B9244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w:t>
      </w:r>
      <w:r w:rsidRPr="009F38E8">
        <w:rPr>
          <w:rFonts w:ascii="Arial" w:hAnsi="Arial" w:cs="Arial"/>
          <w:b/>
          <w:sz w:val="24"/>
          <w:szCs w:val="24"/>
        </w:rPr>
        <w:t>por lo que respecta al primer acto</w:t>
      </w:r>
      <w:r>
        <w:rPr>
          <w:rFonts w:ascii="Arial" w:hAnsi="Arial" w:cs="Arial"/>
          <w:sz w:val="24"/>
          <w:szCs w:val="24"/>
        </w:rPr>
        <w:t xml:space="preserve">, </w:t>
      </w:r>
      <w:r w:rsidRPr="00ED19DB">
        <w:rPr>
          <w:rFonts w:ascii="Arial" w:hAnsi="Arial" w:cs="Arial"/>
          <w:b/>
          <w:sz w:val="24"/>
          <w:szCs w:val="24"/>
        </w:rPr>
        <w:t>no se advierte</w:t>
      </w:r>
      <w:r>
        <w:rPr>
          <w:rFonts w:ascii="Arial" w:hAnsi="Arial" w:cs="Arial"/>
          <w:sz w:val="24"/>
          <w:szCs w:val="24"/>
        </w:rPr>
        <w:t xml:space="preserve"> cual es la actividad concreta que éste realiza, para que la demandada considerara esa vinculación al pago del Impuesto que describe, máxime, que el impuesto </w:t>
      </w:r>
      <w:r w:rsidRPr="005A57ED">
        <w:rPr>
          <w:rFonts w:ascii="Arial" w:hAnsi="Arial" w:cs="Arial"/>
          <w:sz w:val="24"/>
          <w:szCs w:val="24"/>
        </w:rPr>
        <w:t>que refiere (Erogaciones por Remuneraciones al Trabajo Personal),</w:t>
      </w:r>
      <w:r>
        <w:rPr>
          <w:rFonts w:ascii="Arial" w:hAnsi="Arial" w:cs="Arial"/>
          <w:sz w:val="24"/>
          <w:szCs w:val="24"/>
        </w:rPr>
        <w:t xml:space="preserve"> se establece en el artículo 63 de la Ley Estatal de Hacienda, y contiene dos </w:t>
      </w:r>
      <w:r>
        <w:rPr>
          <w:rFonts w:ascii="Arial" w:hAnsi="Arial" w:cs="Arial"/>
          <w:sz w:val="24"/>
          <w:szCs w:val="24"/>
        </w:rPr>
        <w:lastRenderedPageBreak/>
        <w:t>fracciones, con supuestos diferenciados uno de otro, además, identifica otros conceptos que comprenden las remuneraciones al trabajo personal, al prescribir: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w:t>
      </w:r>
      <w:proofErr w:type="spellStart"/>
      <w:r w:rsidRPr="004C11FE">
        <w:rPr>
          <w:rFonts w:ascii="Arial" w:hAnsi="Arial" w:cs="Arial"/>
          <w:i/>
          <w:sz w:val="24"/>
          <w:szCs w:val="24"/>
        </w:rPr>
        <w:t>aún</w:t>
      </w:r>
      <w:proofErr w:type="spellEnd"/>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Pr>
          <w:rFonts w:ascii="Arial" w:hAnsi="Arial" w:cs="Arial"/>
          <w:i/>
          <w:sz w:val="24"/>
          <w:szCs w:val="24"/>
        </w:rPr>
        <w:t xml:space="preserve">; </w:t>
      </w:r>
      <w:r w:rsidRPr="00990C8C">
        <w:rPr>
          <w:rFonts w:ascii="Arial" w:hAnsi="Arial" w:cs="Arial"/>
          <w:sz w:val="24"/>
          <w:szCs w:val="24"/>
        </w:rPr>
        <w:t>l</w:t>
      </w:r>
      <w:r w:rsidRPr="0036286C">
        <w:rPr>
          <w:rFonts w:ascii="Arial" w:hAnsi="Arial" w:cs="Arial"/>
          <w:sz w:val="24"/>
          <w:szCs w:val="24"/>
        </w:rPr>
        <w:t>uego</w:t>
      </w:r>
      <w:r>
        <w:rPr>
          <w:rFonts w:ascii="Arial" w:hAnsi="Arial" w:cs="Arial"/>
          <w:sz w:val="24"/>
          <w:szCs w:val="24"/>
        </w:rPr>
        <w:t xml:space="preserve"> entonces, resulta necesario establecer que esa norma se actualizó con la conducta realizada por la parte actora, lo que en el presente asunto no ocurrió, de ahí la falta de motivación para la configuración en la hipótesis normativa, por lo que al primer acto se refiere, pues </w:t>
      </w:r>
      <w:r w:rsidRPr="0036286C">
        <w:rPr>
          <w:rFonts w:ascii="Arial" w:hAnsi="Arial" w:cs="Arial"/>
          <w:sz w:val="24"/>
          <w:szCs w:val="24"/>
        </w:rPr>
        <w:t>no basta</w:t>
      </w:r>
      <w:r>
        <w:rPr>
          <w:rFonts w:ascii="Arial" w:hAnsi="Arial" w:cs="Arial"/>
          <w:i/>
          <w:sz w:val="24"/>
          <w:szCs w:val="24"/>
        </w:rPr>
        <w:t xml:space="preserve"> </w:t>
      </w:r>
      <w:r>
        <w:rPr>
          <w:rFonts w:ascii="Arial" w:hAnsi="Arial" w:cs="Arial"/>
          <w:sz w:val="24"/>
          <w:szCs w:val="24"/>
        </w:rPr>
        <w:t>que la autoridad demandada cite la hipótesis normativa, para considerar que con ello motivó el acto emitido.</w:t>
      </w:r>
    </w:p>
    <w:p w14:paraId="611E48FF" w14:textId="77777777" w:rsidR="00B92449" w:rsidRDefault="00B92449" w:rsidP="00B9244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al </w:t>
      </w:r>
      <w:r w:rsidRPr="00F70146">
        <w:rPr>
          <w:rFonts w:ascii="Arial" w:hAnsi="Arial" w:cs="Arial"/>
          <w:b/>
          <w:sz w:val="24"/>
          <w:szCs w:val="24"/>
        </w:rPr>
        <w:t xml:space="preserve">segundo </w:t>
      </w:r>
      <w:r>
        <w:rPr>
          <w:rFonts w:ascii="Arial" w:hAnsi="Arial" w:cs="Arial"/>
          <w:b/>
          <w:sz w:val="24"/>
          <w:szCs w:val="24"/>
        </w:rPr>
        <w:t>hecho</w:t>
      </w:r>
      <w:r>
        <w:rPr>
          <w:rFonts w:ascii="Arial" w:hAnsi="Arial" w:cs="Arial"/>
          <w:sz w:val="24"/>
          <w:szCs w:val="24"/>
        </w:rPr>
        <w:t xml:space="preserve"> que se atribuye al actor, consistente en la omisión de inscribirse en el Registro Estatal de Contribuyentes del Estado de Oaxaca, </w:t>
      </w:r>
      <w:r w:rsidRPr="00F70146">
        <w:rPr>
          <w:rFonts w:ascii="Arial" w:hAnsi="Arial" w:cs="Arial"/>
          <w:b/>
          <w:sz w:val="24"/>
          <w:szCs w:val="24"/>
        </w:rPr>
        <w:t>tampoco se encuentra motivado</w:t>
      </w:r>
      <w:r>
        <w:rPr>
          <w:rFonts w:ascii="Arial" w:hAnsi="Arial" w:cs="Arial"/>
          <w:sz w:val="24"/>
          <w:szCs w:val="24"/>
        </w:rPr>
        <w:t xml:space="preserve">, porque la autoridad afirma que trascurrió un mes, que es el plazo que señala la ley para realizar la solicitud de registro, sin embargo, se toma en cuenta  que además de no precisar la conducta, también omitió precisar, la fecha que </w:t>
      </w:r>
      <w:r>
        <w:rPr>
          <w:rFonts w:ascii="Arial" w:hAnsi="Arial" w:cs="Arial"/>
          <w:sz w:val="24"/>
          <w:szCs w:val="24"/>
        </w:rPr>
        <w:lastRenderedPageBreak/>
        <w:t>tomó en consideración como inicio y fin de dicho periodo, esto es, debió citar la fecha exacta a partir de la cual se encontraba obligada la actora, circunstancia que trascendió en su perjuicio, pues la dejó en estado de indefensión, impidiéndole conocer los hechos y la fecha de inicio del plazo que tenía para alegar en su favor.</w:t>
      </w:r>
    </w:p>
    <w:p w14:paraId="61E34DAE" w14:textId="77777777" w:rsidR="00B92449" w:rsidRDefault="00B92449" w:rsidP="00B9244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También se toma en cuenta que la autoridad demandada señaló en la resolución impugnada, que las conductas atribuidas al actor fueron identificadas como resultado del intercambio de información que realiza la Dirección de Ingresos y Recaudación con Dependencias y Organismos Públicos en el ámbito estatal y federal; sin embargo, debe tomarse en cuenta, que la demandada aun cuando se encuentra facultada para </w:t>
      </w:r>
      <w:r w:rsidRPr="00A3254E">
        <w:rPr>
          <w:rFonts w:ascii="Arial" w:hAnsi="Arial" w:cs="Arial"/>
          <w:sz w:val="24"/>
          <w:szCs w:val="24"/>
        </w:rPr>
        <w:t xml:space="preserve">solicitar la colaboración a diversas autoridades </w:t>
      </w:r>
      <w:r>
        <w:rPr>
          <w:rFonts w:ascii="Arial" w:hAnsi="Arial" w:cs="Arial"/>
          <w:sz w:val="24"/>
          <w:szCs w:val="24"/>
        </w:rPr>
        <w:t>en</w:t>
      </w:r>
      <w:r w:rsidRPr="00A3254E">
        <w:rPr>
          <w:rFonts w:ascii="Arial" w:hAnsi="Arial" w:cs="Arial"/>
          <w:sz w:val="24"/>
          <w:szCs w:val="24"/>
        </w:rPr>
        <w:t xml:space="preserve"> el ejercicio de sus funciones, </w:t>
      </w:r>
      <w:r>
        <w:rPr>
          <w:rFonts w:ascii="Arial" w:hAnsi="Arial" w:cs="Arial"/>
          <w:sz w:val="24"/>
          <w:szCs w:val="24"/>
        </w:rPr>
        <w:t xml:space="preserve">en el caso concreto, </w:t>
      </w:r>
      <w:r w:rsidRPr="00E758E1">
        <w:rPr>
          <w:rFonts w:ascii="Arial" w:hAnsi="Arial" w:cs="Arial"/>
          <w:b/>
          <w:sz w:val="24"/>
          <w:szCs w:val="24"/>
        </w:rPr>
        <w:t>omitió plasmar</w:t>
      </w:r>
      <w:r>
        <w:rPr>
          <w:rFonts w:ascii="Arial" w:hAnsi="Arial" w:cs="Arial"/>
          <w:b/>
          <w:sz w:val="24"/>
          <w:szCs w:val="24"/>
        </w:rPr>
        <w:t>,</w:t>
      </w:r>
      <w:r>
        <w:rPr>
          <w:rFonts w:ascii="Arial" w:hAnsi="Arial" w:cs="Arial"/>
          <w:sz w:val="24"/>
          <w:szCs w:val="24"/>
        </w:rPr>
        <w:t xml:space="preserve"> cual es la dependencia o autoridad específica, con la que intercambió información y de cuyo trámite logró identificar al actor como sujeto obligado, circunstancia que también pone manifiesto la falta de motivación de la resolución impugnada.</w:t>
      </w:r>
    </w:p>
    <w:p w14:paraId="6827ED64" w14:textId="77777777" w:rsidR="00B92449" w:rsidRDefault="00B92449" w:rsidP="00B92449">
      <w:pPr>
        <w:tabs>
          <w:tab w:val="center" w:pos="4574"/>
        </w:tabs>
        <w:spacing w:line="360" w:lineRule="auto"/>
        <w:ind w:firstLine="708"/>
        <w:jc w:val="both"/>
        <w:rPr>
          <w:rFonts w:ascii="Arial" w:hAnsi="Arial" w:cs="Arial"/>
          <w:sz w:val="24"/>
          <w:szCs w:val="24"/>
        </w:rPr>
      </w:pPr>
      <w:r>
        <w:rPr>
          <w:rFonts w:ascii="Arial" w:hAnsi="Arial" w:cs="Arial"/>
          <w:sz w:val="24"/>
          <w:szCs w:val="24"/>
        </w:rPr>
        <w:t>Aunado a lo anterior, e</w:t>
      </w:r>
      <w:r w:rsidRPr="00A3254E">
        <w:rPr>
          <w:rFonts w:ascii="Arial" w:hAnsi="Arial" w:cs="Arial"/>
          <w:sz w:val="24"/>
          <w:szCs w:val="24"/>
        </w:rPr>
        <w:t>l Código Fiscal para el Estado de Oaxaca</w:t>
      </w:r>
      <w:r>
        <w:rPr>
          <w:rFonts w:ascii="Arial" w:hAnsi="Arial" w:cs="Arial"/>
          <w:sz w:val="24"/>
          <w:szCs w:val="24"/>
        </w:rPr>
        <w:t>,</w:t>
      </w:r>
      <w:r w:rsidRPr="00A3254E">
        <w:rPr>
          <w:rFonts w:ascii="Arial" w:hAnsi="Arial" w:cs="Arial"/>
          <w:sz w:val="24"/>
          <w:szCs w:val="24"/>
        </w:rPr>
        <w:t xml:space="preserve"> en el que </w:t>
      </w:r>
      <w:r>
        <w:rPr>
          <w:rFonts w:ascii="Arial" w:hAnsi="Arial" w:cs="Arial"/>
          <w:sz w:val="24"/>
          <w:szCs w:val="24"/>
        </w:rPr>
        <w:t xml:space="preserve">la demandada </w:t>
      </w:r>
      <w:r w:rsidRPr="00A3254E">
        <w:rPr>
          <w:rFonts w:ascii="Arial" w:hAnsi="Arial" w:cs="Arial"/>
          <w:sz w:val="24"/>
          <w:szCs w:val="24"/>
        </w:rPr>
        <w:t>funda</w:t>
      </w:r>
      <w:r>
        <w:rPr>
          <w:rFonts w:ascii="Arial" w:hAnsi="Arial" w:cs="Arial"/>
          <w:sz w:val="24"/>
          <w:szCs w:val="24"/>
        </w:rPr>
        <w:t xml:space="preserve"> su actuar, impone la obligación de respetar el derecho de audiencia del actor previo al acto de autoridad, y es precisamente en el artículo 97 segundo párrafo del Código en cita, en el que prescribe tal obligación: “</w:t>
      </w:r>
      <w:r w:rsidRPr="00054B23">
        <w:rPr>
          <w:rFonts w:ascii="Arial" w:hAnsi="Arial" w:cs="Arial"/>
          <w:i/>
          <w:sz w:val="24"/>
          <w:szCs w:val="24"/>
        </w:rPr>
        <w:t xml:space="preserve">ARTÍCULO 97… Cuando el afectado no tenga conocimiento de los expedientes o documentos que hubieren sido proporcionados por otras autoridades y éstos vayan a utilizarse para motivar las resoluciones de la autoridad fiscal, </w:t>
      </w:r>
      <w:r w:rsidRPr="00C9219F">
        <w:rPr>
          <w:rFonts w:ascii="Arial" w:hAnsi="Arial" w:cs="Arial"/>
          <w:b/>
          <w:i/>
          <w:sz w:val="24"/>
          <w:szCs w:val="24"/>
        </w:rPr>
        <w:t>dichas autoridades deberán correr traslado al afectado, concediéndole un plazo de quince días para que manifieste lo que a su derecho convenga</w:t>
      </w:r>
      <w:r w:rsidRPr="00054B23">
        <w:rPr>
          <w:rFonts w:ascii="Arial" w:hAnsi="Arial" w:cs="Arial"/>
          <w:i/>
          <w:sz w:val="24"/>
          <w:szCs w:val="24"/>
        </w:rPr>
        <w:t>, y en su caso presente los documentos que desvirtúen los hechos que hubieren informados por las referidas autoridades</w:t>
      </w:r>
      <w:r w:rsidRPr="00054B23">
        <w:rPr>
          <w:rFonts w:ascii="Arial" w:hAnsi="Arial" w:cs="Arial"/>
          <w:sz w:val="24"/>
          <w:szCs w:val="24"/>
        </w:rPr>
        <w:t>.</w:t>
      </w:r>
      <w:r>
        <w:rPr>
          <w:rFonts w:ascii="Arial" w:hAnsi="Arial" w:cs="Arial"/>
          <w:sz w:val="24"/>
          <w:szCs w:val="24"/>
        </w:rPr>
        <w:t>” (Lo resaltado es por esta autoridad); además, en el artículo 113 del mismo ordenamiento legal, se establece el derecho del actor a ser oído, previo a la emisión del acto privativo, al prescribir: “</w:t>
      </w:r>
      <w:r w:rsidRPr="00FD6646">
        <w:rPr>
          <w:rFonts w:ascii="Arial" w:hAnsi="Arial" w:cs="Arial"/>
          <w:i/>
          <w:sz w:val="24"/>
          <w:szCs w:val="24"/>
        </w:rPr>
        <w:t xml:space="preserve">ARTÍCULO 113. Los hechos que se conozcan con motivo del ejercicio de las facultades de comprobación previstas en este Código o en las leyes fiscales realizadas por las autoridades fiscales, o bien que consten en los expedientes, documentos o bases de datos que lleven, tengan acceso o en su poder dichas autoridades, así como aquéllos proporcionados por terceros relacionados con el contribuyente, responsables solidarios, o por otras autoridades, podrán servir para motivar las resoluciones de la Secretaría y cualquier otra autoridad u </w:t>
      </w:r>
      <w:r w:rsidRPr="00FD6646">
        <w:rPr>
          <w:rFonts w:ascii="Arial" w:hAnsi="Arial" w:cs="Arial"/>
          <w:i/>
          <w:sz w:val="24"/>
          <w:szCs w:val="24"/>
        </w:rPr>
        <w:lastRenderedPageBreak/>
        <w:t xml:space="preserve">organismo descentralizado o desconcentrado competente en materia de contribuciones estatales. </w:t>
      </w:r>
      <w:r w:rsidRPr="00972766">
        <w:rPr>
          <w:rFonts w:ascii="Arial" w:hAnsi="Arial" w:cs="Arial"/>
          <w:b/>
          <w:i/>
          <w:sz w:val="24"/>
          <w:szCs w:val="24"/>
        </w:rPr>
        <w:t>Cuando las autoridades fiscales emitan resoluciones con base a la información señalada</w:t>
      </w:r>
      <w:r w:rsidRPr="00FD6646">
        <w:rPr>
          <w:rFonts w:ascii="Arial" w:hAnsi="Arial" w:cs="Arial"/>
          <w:i/>
          <w:sz w:val="24"/>
          <w:szCs w:val="24"/>
        </w:rPr>
        <w:t xml:space="preserve"> en el párrafo anterior, excepto tratándose de hechos conocidos en el ejercicio directo ante el contribuyente de sus facultades de comprobación, y </w:t>
      </w:r>
      <w:r w:rsidRPr="00972766">
        <w:rPr>
          <w:rFonts w:ascii="Arial" w:hAnsi="Arial" w:cs="Arial"/>
          <w:b/>
          <w:i/>
          <w:sz w:val="24"/>
          <w:szCs w:val="24"/>
        </w:rPr>
        <w:t>previamente a la emisión de la resolución</w:t>
      </w:r>
      <w:r w:rsidRPr="00FD6646">
        <w:rPr>
          <w:rFonts w:ascii="Arial" w:hAnsi="Arial" w:cs="Arial"/>
          <w:i/>
          <w:sz w:val="24"/>
          <w:szCs w:val="24"/>
        </w:rPr>
        <w:t xml:space="preserve"> que corresponda, </w:t>
      </w:r>
      <w:r w:rsidRPr="00972766">
        <w:rPr>
          <w:rFonts w:ascii="Arial" w:hAnsi="Arial" w:cs="Arial"/>
          <w:b/>
          <w:i/>
          <w:sz w:val="24"/>
          <w:szCs w:val="24"/>
        </w:rPr>
        <w:t>deberán correr traslado al interesado de los elementos que integren el expediente respectivo</w:t>
      </w:r>
      <w:r w:rsidRPr="00FD6646">
        <w:rPr>
          <w:rFonts w:ascii="Arial" w:hAnsi="Arial" w:cs="Arial"/>
          <w:i/>
          <w:sz w:val="24"/>
          <w:szCs w:val="24"/>
        </w:rPr>
        <w:t>, concediendo un plazo de quince días al contribuyente para que manifieste lo que a su derecho corresponda, lo cual deberá formar parte del expediente respectivo.</w:t>
      </w:r>
      <w:r>
        <w:rPr>
          <w:rFonts w:ascii="Arial" w:hAnsi="Arial" w:cs="Arial"/>
          <w:sz w:val="24"/>
          <w:szCs w:val="24"/>
        </w:rPr>
        <w:t>” (Lo resaltado no es de origen).</w:t>
      </w:r>
    </w:p>
    <w:p w14:paraId="5ECB05B8" w14:textId="77777777" w:rsidR="00B92449" w:rsidRPr="0005010A" w:rsidRDefault="00B92449" w:rsidP="00B92449">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De lo transcrito se advierte, la violación al derecho que tenía la parte  actora, de conocer el expediente administrativo previo a la emisión del acto de autoridad, precisamente para manifestar lo que considerará en su defensa, porque la demandada, sin dar a conocer trámite alguno, determinó imponerle una multa, cuando el artículo 102 del mismo ordenamiento fiscal, establece una conducta distinta, y con ello asegurar los derechos del contribuyente, los cuales se encuentran reconocidos y protegidos en el artículo 49 del Código Fiscal en cita; luego entonces, con el proceder de la autoridad demandada, se violentó el derecho de defensa del actor, como ya se ha dicho, al dejar de observar el artículo 1º, segundo párrafo de la Constitución Política de los Estados Unidos Mexicanos, que impone a la autoridad demandada, la obligación de interpretar los derechos humanos, buscando siempre la protección más amplia en beneficio de las personas, protección que encuentra eco en el ámbito local, en el artículo 91 del Código Fiscal para el Estado de Oaxaca. </w:t>
      </w:r>
    </w:p>
    <w:p w14:paraId="2DA74F5E" w14:textId="77777777" w:rsidR="00B92449" w:rsidRPr="003D18EC" w:rsidRDefault="00B92449" w:rsidP="00B92449">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En relatadas consideraciones, el actuar de la autoridad demandada, violentó la obligación que le impone el artículo 122 del Código Fiscal para el Estado de Oaxaca, porque no observó la disposición de fundar y motivar sus actos, afectando el derecho de defensa del actor, al privarle de la oportunidad de alegar en su defensa, tal como se encuentra previsto en el artículo 49 del Código Fiscal referido, y como consecuencia, trasgredió la garantía de audiencia del actor establecida en el artículo 14 de la Constitución </w:t>
      </w:r>
      <w:r w:rsidRPr="00B21593">
        <w:rPr>
          <w:rFonts w:ascii="Arial" w:hAnsi="Arial" w:cs="Arial"/>
          <w:sz w:val="24"/>
          <w:szCs w:val="24"/>
        </w:rPr>
        <w:t>Política de los Estados Unidos Mexicanos, consistente en otorgar al gobernado</w:t>
      </w:r>
      <w:r w:rsidRPr="00116239">
        <w:rPr>
          <w:rFonts w:ascii="Arial" w:hAnsi="Arial" w:cs="Arial"/>
          <w:sz w:val="24"/>
          <w:szCs w:val="24"/>
        </w:rPr>
        <w:t xml:space="preserve"> la oportunidad de defensa previamente al acto privativo</w:t>
      </w:r>
      <w:r>
        <w:rPr>
          <w:rFonts w:ascii="Arial" w:hAnsi="Arial" w:cs="Arial"/>
          <w:sz w:val="24"/>
          <w:szCs w:val="24"/>
        </w:rPr>
        <w:t>.</w:t>
      </w:r>
    </w:p>
    <w:p w14:paraId="069C95BB" w14:textId="1B8C9207" w:rsidR="00B92449" w:rsidRDefault="00B92449" w:rsidP="00B92449">
      <w:pPr>
        <w:tabs>
          <w:tab w:val="left" w:pos="284"/>
          <w:tab w:val="left" w:pos="567"/>
        </w:tabs>
        <w:spacing w:before="240" w:line="360" w:lineRule="auto"/>
        <w:jc w:val="both"/>
        <w:rPr>
          <w:rFonts w:ascii="Arial" w:hAnsi="Arial" w:cs="Arial"/>
          <w:i/>
          <w:sz w:val="24"/>
          <w:szCs w:val="24"/>
        </w:rPr>
      </w:pPr>
      <w:r w:rsidRPr="003D18EC">
        <w:rPr>
          <w:rFonts w:ascii="Arial" w:hAnsi="Arial" w:cs="Arial"/>
          <w:sz w:val="24"/>
          <w:szCs w:val="24"/>
        </w:rPr>
        <w:tab/>
        <w:t xml:space="preserve">     </w:t>
      </w:r>
      <w:r w:rsidRPr="00EA069D">
        <w:rPr>
          <w:rFonts w:ascii="Arial" w:hAnsi="Arial" w:cs="Arial"/>
          <w:sz w:val="24"/>
          <w:szCs w:val="24"/>
        </w:rPr>
        <w:t xml:space="preserve">Razones toda ellas por las que se declara la </w:t>
      </w:r>
      <w:r w:rsidRPr="00EA069D">
        <w:rPr>
          <w:rFonts w:ascii="Arial" w:hAnsi="Arial" w:cs="Arial"/>
          <w:b/>
          <w:sz w:val="24"/>
          <w:szCs w:val="24"/>
        </w:rPr>
        <w:t>NULIDAD</w:t>
      </w:r>
      <w:r w:rsidRPr="00EA069D">
        <w:rPr>
          <w:rFonts w:ascii="Arial" w:hAnsi="Arial" w:cs="Arial"/>
          <w:sz w:val="24"/>
          <w:szCs w:val="24"/>
        </w:rPr>
        <w:t xml:space="preserve"> de los actos impugnados, consistentes en la multa por infracción relacionada con la </w:t>
      </w:r>
      <w:r>
        <w:rPr>
          <w:rFonts w:ascii="Arial" w:hAnsi="Arial" w:cs="Arial"/>
          <w:sz w:val="24"/>
          <w:szCs w:val="24"/>
        </w:rPr>
        <w:t>omisión de inscribirse al registro estatal de contribuyentes</w:t>
      </w:r>
      <w:r w:rsidRPr="00EA069D">
        <w:rPr>
          <w:rFonts w:ascii="Arial" w:hAnsi="Arial" w:cs="Arial"/>
          <w:sz w:val="24"/>
          <w:szCs w:val="24"/>
        </w:rPr>
        <w:t xml:space="preserve">, con número de </w:t>
      </w:r>
      <w:r w:rsidRPr="00EA069D">
        <w:rPr>
          <w:rFonts w:ascii="Arial" w:hAnsi="Arial" w:cs="Arial"/>
          <w:sz w:val="24"/>
          <w:szCs w:val="24"/>
        </w:rPr>
        <w:lastRenderedPageBreak/>
        <w:t>control</w:t>
      </w:r>
      <w:r w:rsidRPr="00EA069D">
        <w:rPr>
          <w:rFonts w:ascii="Arial" w:hAnsi="Arial" w:cs="Arial"/>
          <w:b/>
          <w:sz w:val="24"/>
          <w:szCs w:val="24"/>
        </w:rPr>
        <w:t xml:space="preserve"> </w:t>
      </w:r>
      <w:r w:rsidR="003B776D">
        <w:rPr>
          <w:rFonts w:ascii="Arial" w:hAnsi="Arial" w:cs="Arial"/>
          <w:sz w:val="24"/>
          <w:szCs w:val="24"/>
        </w:rPr>
        <w:t>**********</w:t>
      </w:r>
      <w:r w:rsidRPr="00EA069D">
        <w:rPr>
          <w:rFonts w:ascii="Arial" w:hAnsi="Arial" w:cs="Arial"/>
          <w:sz w:val="24"/>
          <w:szCs w:val="24"/>
        </w:rPr>
        <w:t xml:space="preserve">, impuesta por la </w:t>
      </w:r>
      <w:proofErr w:type="gramStart"/>
      <w:r w:rsidRPr="00EA069D">
        <w:rPr>
          <w:rFonts w:ascii="Arial" w:hAnsi="Arial" w:cs="Arial"/>
          <w:sz w:val="24"/>
          <w:szCs w:val="24"/>
        </w:rPr>
        <w:t>Directora</w:t>
      </w:r>
      <w:proofErr w:type="gramEnd"/>
      <w:r w:rsidRPr="00EA069D">
        <w:rPr>
          <w:rFonts w:ascii="Arial" w:hAnsi="Arial" w:cs="Arial"/>
          <w:sz w:val="24"/>
          <w:szCs w:val="24"/>
        </w:rPr>
        <w:t xml:space="preserve"> de ingresos y Recaudación de la Secretaría de Finanzas del Poder Ejecutivo del Estado, </w:t>
      </w:r>
      <w:r>
        <w:rPr>
          <w:rFonts w:ascii="Arial" w:hAnsi="Arial" w:cs="Arial"/>
          <w:sz w:val="24"/>
          <w:szCs w:val="24"/>
        </w:rPr>
        <w:t>lo anterior de conformidad con lo dispuesto en los artículos 178 fracción II, y 179 de la Ley de Justicia Administrativa para el Estado de Oaxaca. Tal es el criterio sustentado en la Jurisprudencia de la Suprema Corte de Justicia de la Nación, bajo los datos de identificación: Semanario Judicial de la Federación y su Gaceta, Tomo XXXII, Octubre de 2010, Novena Época, pág. 2785, registro 163603, Jurisprudencia (Administrativa), Tribunales Colegiados de Circuito, y bajo el rubro: “</w:t>
      </w:r>
      <w:r w:rsidRPr="00DF077A">
        <w:rPr>
          <w:rFonts w:ascii="Arial" w:hAnsi="Arial" w:cs="Arial"/>
          <w:i/>
          <w:sz w:val="24"/>
          <w:szCs w:val="24"/>
        </w:rPr>
        <w:t>MULTAS DERIVADAS DE LA VERIFICACIÓN DEL CUMPLIMIENTO DE OBLIGACIONES FISCALES DE LOS CONTRIBUYENTES. SU NULIDAD POR VICIOS FORMALES DEBE SER LISA Y LLANA, AL HABER ORIGINADO CON MOTIVO DEL EJERCICIO DE FACULTADES DISCRECIONALES DE LA AUTORIDAD.”</w:t>
      </w:r>
    </w:p>
    <w:p w14:paraId="4028CC79" w14:textId="77777777" w:rsidR="00B92449" w:rsidRDefault="00B92449" w:rsidP="00B9244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14:paraId="783917DE" w14:textId="77777777" w:rsidR="00B92449" w:rsidRDefault="00B92449" w:rsidP="00B9244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177, 178 y 179 de la Ley de Justicia Administrativa para el Estado, se: - - - - - - - </w:t>
      </w:r>
      <w:r w:rsidR="00B97D1F">
        <w:rPr>
          <w:rFonts w:ascii="Arial" w:hAnsi="Arial" w:cs="Arial"/>
          <w:sz w:val="24"/>
          <w:szCs w:val="24"/>
        </w:rPr>
        <w:t>- -</w:t>
      </w:r>
    </w:p>
    <w:p w14:paraId="41559EA7" w14:textId="77777777" w:rsidR="00B92449" w:rsidRDefault="00B92449" w:rsidP="00B92449">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0CB44204" w14:textId="77777777" w:rsidR="00B92449" w:rsidRDefault="00B92449" w:rsidP="00B92449">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DE4BFA">
        <w:rPr>
          <w:rFonts w:ascii="Arial" w:hAnsi="Arial" w:cs="Arial"/>
          <w:sz w:val="24"/>
          <w:szCs w:val="24"/>
        </w:rPr>
        <w:t>-</w:t>
      </w:r>
    </w:p>
    <w:p w14:paraId="7A5542A8" w14:textId="77777777" w:rsidR="00B92449" w:rsidRPr="003D18EC" w:rsidRDefault="00B92449" w:rsidP="00B92449">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w:t>
      </w:r>
      <w:r w:rsidRPr="003D18EC">
        <w:rPr>
          <w:rFonts w:ascii="Arial" w:hAnsi="Arial" w:cs="Arial"/>
          <w:sz w:val="24"/>
          <w:szCs w:val="24"/>
        </w:rPr>
        <w:t xml:space="preserve">EL JUICIO, en términos del considerando QUINTO de esta resolución.- - - - - - - - - - - - - - - - - - - - - - - - - - - - - - - - - - </w:t>
      </w:r>
      <w:r w:rsidR="00DE4BFA">
        <w:rPr>
          <w:rFonts w:ascii="Arial" w:hAnsi="Arial" w:cs="Arial"/>
          <w:sz w:val="24"/>
          <w:szCs w:val="24"/>
        </w:rPr>
        <w:t>- - - - - - - - -</w:t>
      </w:r>
    </w:p>
    <w:p w14:paraId="33EB1181" w14:textId="376112B7" w:rsidR="00B92449" w:rsidRDefault="00B92449" w:rsidP="00B92449">
      <w:pPr>
        <w:tabs>
          <w:tab w:val="center" w:pos="4574"/>
        </w:tabs>
        <w:spacing w:line="360" w:lineRule="auto"/>
        <w:ind w:firstLine="708"/>
        <w:jc w:val="both"/>
        <w:rPr>
          <w:rFonts w:ascii="Arial" w:hAnsi="Arial" w:cs="Arial"/>
          <w:sz w:val="24"/>
          <w:szCs w:val="24"/>
        </w:rPr>
      </w:pPr>
      <w:proofErr w:type="gramStart"/>
      <w:r w:rsidRPr="003D18EC">
        <w:rPr>
          <w:rFonts w:ascii="Arial" w:hAnsi="Arial" w:cs="Arial"/>
          <w:b/>
          <w:sz w:val="24"/>
          <w:szCs w:val="24"/>
        </w:rPr>
        <w:t>TERCERO.-</w:t>
      </w:r>
      <w:proofErr w:type="gramEnd"/>
      <w:r w:rsidRPr="003D18EC">
        <w:rPr>
          <w:rFonts w:ascii="Arial" w:hAnsi="Arial" w:cs="Arial"/>
          <w:sz w:val="24"/>
          <w:szCs w:val="24"/>
        </w:rPr>
        <w:t xml:space="preserve"> Se declara la NULIDAD </w:t>
      </w:r>
      <w:r>
        <w:rPr>
          <w:rFonts w:ascii="Arial" w:hAnsi="Arial" w:cs="Arial"/>
          <w:sz w:val="24"/>
          <w:szCs w:val="24"/>
        </w:rPr>
        <w:t>de</w:t>
      </w:r>
      <w:r w:rsidRPr="003D18EC">
        <w:rPr>
          <w:rFonts w:ascii="Arial" w:hAnsi="Arial" w:cs="Arial"/>
          <w:sz w:val="24"/>
          <w:szCs w:val="24"/>
        </w:rPr>
        <w:t xml:space="preserve">l acto impugnado, consistente en </w:t>
      </w:r>
      <w:r w:rsidRPr="00EA069D">
        <w:rPr>
          <w:rFonts w:ascii="Arial" w:hAnsi="Arial" w:cs="Arial"/>
          <w:sz w:val="24"/>
          <w:szCs w:val="24"/>
        </w:rPr>
        <w:t xml:space="preserve">la multa por infracción relacionada con la </w:t>
      </w:r>
      <w:r>
        <w:rPr>
          <w:rFonts w:ascii="Arial" w:hAnsi="Arial" w:cs="Arial"/>
          <w:sz w:val="24"/>
          <w:szCs w:val="24"/>
        </w:rPr>
        <w:t>omisión de inscribirse al registro estatal de contribuyentes</w:t>
      </w:r>
      <w:r w:rsidRPr="00EA069D">
        <w:rPr>
          <w:rFonts w:ascii="Arial" w:hAnsi="Arial" w:cs="Arial"/>
          <w:sz w:val="24"/>
          <w:szCs w:val="24"/>
        </w:rPr>
        <w:t>, con número de control</w:t>
      </w:r>
      <w:r w:rsidRPr="00EA069D">
        <w:rPr>
          <w:rFonts w:ascii="Arial" w:hAnsi="Arial" w:cs="Arial"/>
          <w:b/>
          <w:sz w:val="24"/>
          <w:szCs w:val="24"/>
        </w:rPr>
        <w:t xml:space="preserve"> </w:t>
      </w:r>
      <w:r w:rsidR="003B776D">
        <w:rPr>
          <w:rFonts w:ascii="Arial" w:hAnsi="Arial" w:cs="Arial"/>
          <w:sz w:val="24"/>
          <w:szCs w:val="24"/>
        </w:rPr>
        <w:t>**********</w:t>
      </w:r>
      <w:r w:rsidRPr="00EA069D">
        <w:rPr>
          <w:rFonts w:ascii="Arial" w:hAnsi="Arial" w:cs="Arial"/>
          <w:sz w:val="24"/>
          <w:szCs w:val="24"/>
        </w:rPr>
        <w:t xml:space="preserve">, impuesta por la </w:t>
      </w:r>
      <w:r w:rsidRPr="00EA069D">
        <w:rPr>
          <w:rFonts w:ascii="Arial" w:hAnsi="Arial" w:cs="Arial"/>
          <w:sz w:val="24"/>
          <w:szCs w:val="24"/>
        </w:rPr>
        <w:lastRenderedPageBreak/>
        <w:t xml:space="preserve">Directora de ingresos y Recaudación de la Secretaría de Finanzas </w:t>
      </w:r>
      <w:r>
        <w:rPr>
          <w:rFonts w:ascii="Arial" w:hAnsi="Arial" w:cs="Arial"/>
          <w:sz w:val="24"/>
          <w:szCs w:val="24"/>
        </w:rPr>
        <w:t>del Poder Ejecutivo del Estado</w:t>
      </w:r>
      <w:r w:rsidRPr="003D18EC">
        <w:rPr>
          <w:rFonts w:ascii="Arial" w:hAnsi="Arial" w:cs="Arial"/>
          <w:sz w:val="24"/>
          <w:szCs w:val="24"/>
        </w:rPr>
        <w:t>;</w:t>
      </w:r>
      <w:r>
        <w:rPr>
          <w:rFonts w:ascii="Arial" w:hAnsi="Arial" w:cs="Arial"/>
          <w:sz w:val="24"/>
          <w:szCs w:val="24"/>
        </w:rPr>
        <w:t xml:space="preserve"> lo anterior en términos precisados en el considerando SEXTO de esta resolución. - - - - - </w:t>
      </w:r>
      <w:r w:rsidR="008E2F4C">
        <w:rPr>
          <w:rFonts w:ascii="Arial" w:hAnsi="Arial" w:cs="Arial"/>
          <w:sz w:val="24"/>
          <w:szCs w:val="24"/>
        </w:rPr>
        <w:t>- - - - - - - - - - - - - - - - -</w:t>
      </w:r>
      <w:r w:rsidR="003B776D">
        <w:rPr>
          <w:rFonts w:ascii="Arial" w:hAnsi="Arial" w:cs="Arial"/>
          <w:sz w:val="24"/>
          <w:szCs w:val="24"/>
        </w:rPr>
        <w:t xml:space="preserve"> </w:t>
      </w:r>
      <w:r w:rsidR="003B776D" w:rsidRPr="00441770">
        <w:rPr>
          <w:rFonts w:ascii="Arial" w:hAnsi="Arial" w:cs="Arial"/>
          <w:sz w:val="24"/>
          <w:szCs w:val="24"/>
        </w:rPr>
        <w:t>- -</w:t>
      </w:r>
      <w:r w:rsidR="003B776D">
        <w:rPr>
          <w:rFonts w:ascii="Arial" w:hAnsi="Arial" w:cs="Arial"/>
          <w:b/>
          <w:sz w:val="24"/>
          <w:szCs w:val="24"/>
        </w:rPr>
        <w:t xml:space="preserve"> </w:t>
      </w:r>
      <w:r w:rsidR="003B776D" w:rsidRPr="00174519">
        <w:rPr>
          <w:rFonts w:ascii="Arial" w:hAnsi="Arial" w:cs="Arial"/>
          <w:sz w:val="24"/>
          <w:szCs w:val="24"/>
        </w:rPr>
        <w:t xml:space="preserve">- </w:t>
      </w:r>
      <w:r w:rsidR="003B776D">
        <w:rPr>
          <w:rFonts w:ascii="Arial" w:hAnsi="Arial" w:cs="Arial"/>
          <w:sz w:val="24"/>
          <w:szCs w:val="24"/>
        </w:rPr>
        <w:t xml:space="preserve">- - - - - - - - - - - </w:t>
      </w:r>
    </w:p>
    <w:p w14:paraId="5C0B600C" w14:textId="77777777" w:rsidR="00B92449" w:rsidRDefault="00B92449" w:rsidP="00B92449">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142 fracción I y 143 fracciones I y II, de la Ley de Justicia Administrativa para el Estado,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w:t>
      </w:r>
      <w:r>
        <w:rPr>
          <w:rFonts w:ascii="Arial" w:hAnsi="Arial" w:cs="Arial"/>
          <w:sz w:val="24"/>
          <w:szCs w:val="24"/>
        </w:rPr>
        <w:t>- - - -</w:t>
      </w:r>
      <w:r w:rsidR="00DB42D5">
        <w:rPr>
          <w:rFonts w:ascii="Arial" w:hAnsi="Arial" w:cs="Arial"/>
          <w:sz w:val="24"/>
          <w:szCs w:val="24"/>
        </w:rPr>
        <w:t xml:space="preserve"> - - - - - - - -</w:t>
      </w:r>
    </w:p>
    <w:p w14:paraId="3B709290" w14:textId="77777777" w:rsidR="00B92449" w:rsidRPr="00746184" w:rsidRDefault="00B92449" w:rsidP="00B9244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AD14A8">
        <w:rPr>
          <w:rFonts w:ascii="Arial" w:hAnsi="Arial" w:cs="Arial"/>
          <w:sz w:val="24"/>
          <w:szCs w:val="24"/>
        </w:rPr>
        <w:t xml:space="preserve">- - - - - - - - - - - </w:t>
      </w:r>
    </w:p>
    <w:p w14:paraId="68B36EDC" w14:textId="77777777" w:rsidR="0048608F" w:rsidRPr="004D36EF" w:rsidRDefault="0048608F" w:rsidP="004D36EF"/>
    <w:sectPr w:rsidR="0048608F" w:rsidRPr="004D36EF" w:rsidSect="0069526B">
      <w:headerReference w:type="even" r:id="rId7"/>
      <w:headerReference w:type="default" r:id="rId8"/>
      <w:footerReference w:type="default" r:id="rId9"/>
      <w:headerReference w:type="first" r:id="rId10"/>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B86CB7" w14:textId="77777777" w:rsidR="008C5FB8" w:rsidRDefault="008C5FB8" w:rsidP="007A5B5E">
      <w:pPr>
        <w:spacing w:after="0" w:line="240" w:lineRule="auto"/>
      </w:pPr>
      <w:r>
        <w:separator/>
      </w:r>
    </w:p>
  </w:endnote>
  <w:endnote w:type="continuationSeparator" w:id="0">
    <w:p w14:paraId="49A54F24" w14:textId="77777777" w:rsidR="008C5FB8" w:rsidRDefault="008C5FB8"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rPr>
      <w:id w:val="1759631255"/>
      <w:docPartObj>
        <w:docPartGallery w:val="Page Numbers (Bottom of Page)"/>
        <w:docPartUnique/>
      </w:docPartObj>
    </w:sdtPr>
    <w:sdtEndPr/>
    <w:sdtContent>
      <w:p w14:paraId="28D6E05E" w14:textId="77777777" w:rsidR="00A4373C" w:rsidRPr="007D2760" w:rsidRDefault="00440D9A"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3B12E227" wp14:editId="5E7AD85E">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1947A4B" w14:textId="77777777"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69526B" w:rsidRPr="0069526B">
                                <w:rPr>
                                  <w:noProof/>
                                  <w:color w:val="000000" w:themeColor="text1"/>
                                  <w:lang w:val="es-ES"/>
                                </w:rPr>
                                <w:t>10</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12E227"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21947A4B" w14:textId="77777777"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69526B" w:rsidRPr="0069526B">
                          <w:rPr>
                            <w:noProof/>
                            <w:color w:val="000000" w:themeColor="text1"/>
                            <w:lang w:val="es-ES"/>
                          </w:rPr>
                          <w:t>10</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B0D1E0" w14:textId="77777777" w:rsidR="008C5FB8" w:rsidRDefault="008C5FB8" w:rsidP="007A5B5E">
      <w:pPr>
        <w:spacing w:after="0" w:line="240" w:lineRule="auto"/>
      </w:pPr>
      <w:r>
        <w:separator/>
      </w:r>
    </w:p>
  </w:footnote>
  <w:footnote w:type="continuationSeparator" w:id="0">
    <w:p w14:paraId="5ABB3338" w14:textId="77777777" w:rsidR="008C5FB8" w:rsidRDefault="008C5FB8"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8D1CC4" w14:textId="77777777" w:rsidR="00A4373C" w:rsidRDefault="003B776D">
    <w:pPr>
      <w:pStyle w:val="Encabezado"/>
    </w:pPr>
    <w:r>
      <w:rPr>
        <w:noProof/>
        <w:lang w:eastAsia="es-MX"/>
      </w:rPr>
      <w:pict w14:anchorId="5891EC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9F42B8" w14:textId="57136633" w:rsidR="00A4373C" w:rsidRDefault="00440D9A"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712F31B4" wp14:editId="6587D280">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7FBC7466" w14:textId="77777777" w:rsidR="00A4373C" w:rsidRDefault="00440D9A" w:rsidP="009F5E77">
                          <w:r>
                            <w:rPr>
                              <w:noProof/>
                              <w:lang w:eastAsia="es-MX"/>
                            </w:rPr>
                            <w:drawing>
                              <wp:inline distT="0" distB="0" distL="0" distR="0" wp14:anchorId="24A4B5FA" wp14:editId="5DE605E5">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12F31B4"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7FBC7466" w14:textId="77777777" w:rsidR="00A4373C" w:rsidRDefault="00440D9A" w:rsidP="009F5E77">
                    <w:r>
                      <w:rPr>
                        <w:noProof/>
                        <w:lang w:eastAsia="es-MX"/>
                      </w:rPr>
                      <w:drawing>
                        <wp:inline distT="0" distB="0" distL="0" distR="0" wp14:anchorId="24A4B5FA" wp14:editId="5DE605E5">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4D36EF">
      <w:rPr>
        <w:rFonts w:ascii="Bookman Old Style" w:hAnsi="Bookman Old Style"/>
        <w:b/>
        <w:sz w:val="24"/>
        <w:szCs w:val="24"/>
      </w:rPr>
      <w:t>105</w:t>
    </w:r>
    <w:r w:rsidRPr="00391F24">
      <w:rPr>
        <w:rFonts w:ascii="Bookman Old Style" w:hAnsi="Bookman Old Style"/>
        <w:b/>
        <w:sz w:val="24"/>
        <w:szCs w:val="24"/>
      </w:rPr>
      <w:t>/</w:t>
    </w:r>
    <w:r w:rsidRPr="002F2D7B">
      <w:rPr>
        <w:rFonts w:ascii="Bookman Old Style" w:hAnsi="Bookman Old Style"/>
        <w:b/>
        <w:sz w:val="24"/>
        <w:szCs w:val="24"/>
      </w:rPr>
      <w:t>201</w:t>
    </w:r>
    <w:r w:rsidR="004D36EF">
      <w:rPr>
        <w:rFonts w:ascii="Bookman Old Style" w:hAnsi="Bookman Old Style"/>
        <w:b/>
        <w:sz w:val="24"/>
        <w:szCs w:val="24"/>
      </w:rPr>
      <w:t>7</w:t>
    </w:r>
  </w:p>
  <w:p w14:paraId="59CF7D3C" w14:textId="1E44840D" w:rsidR="00A4373C" w:rsidRPr="00071C38" w:rsidRDefault="003B776D" w:rsidP="00C3581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776" behindDoc="1" locked="0" layoutInCell="1" allowOverlap="1" wp14:anchorId="45184DE3" wp14:editId="219148B6">
              <wp:simplePos x="0" y="0"/>
              <wp:positionH relativeFrom="column">
                <wp:posOffset>-1238250</wp:posOffset>
              </wp:positionH>
              <wp:positionV relativeFrom="paragraph">
                <wp:posOffset>4743450</wp:posOffset>
              </wp:positionV>
              <wp:extent cx="1137285" cy="1304925"/>
              <wp:effectExtent l="0" t="0" r="2476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304925"/>
                      </a:xfrm>
                      <a:prstGeom prst="rect">
                        <a:avLst/>
                      </a:prstGeom>
                      <a:solidFill>
                        <a:srgbClr val="FFFFFF"/>
                      </a:solidFill>
                      <a:ln w="9525">
                        <a:solidFill>
                          <a:srgbClr val="000000"/>
                        </a:solidFill>
                        <a:miter lim="800000"/>
                        <a:headEnd/>
                        <a:tailEnd/>
                      </a:ln>
                    </wps:spPr>
                    <wps:txbx>
                      <w:txbxContent>
                        <w:p w14:paraId="4192E7B7" w14:textId="77777777" w:rsidR="003B776D" w:rsidRDefault="003B776D" w:rsidP="003B776D">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184DE3" id="Cuadro de texto 4" o:spid="_x0000_s1027" type="#_x0000_t202" style="position:absolute;left:0;text-align:left;margin-left:-97.5pt;margin-top:373.5pt;width:89.55pt;height:102.7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">
              <v:textbox>
                <w:txbxContent>
                  <w:p w14:paraId="4192E7B7" w14:textId="77777777" w:rsidR="003B776D" w:rsidRDefault="003B776D" w:rsidP="003B776D">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v:textbox>
            </v:shape>
          </w:pict>
        </mc:Fallback>
      </mc:AlternateContent>
    </w:r>
    <w:r w:rsidR="00440D9A">
      <w:rPr>
        <w:noProof/>
        <w:lang w:eastAsia="es-MX"/>
      </w:rPr>
      <w:drawing>
        <wp:anchor distT="0" distB="0" distL="114300" distR="114300" simplePos="0" relativeHeight="251663360" behindDoc="1" locked="0" layoutInCell="1" allowOverlap="1" wp14:anchorId="27BA965B" wp14:editId="3C26E458">
          <wp:simplePos x="0" y="0"/>
          <wp:positionH relativeFrom="column">
            <wp:posOffset>-30480</wp:posOffset>
          </wp:positionH>
          <wp:positionV relativeFrom="paragraph">
            <wp:posOffset>3049270</wp:posOffset>
          </wp:positionV>
          <wp:extent cx="5257800" cy="4533900"/>
          <wp:effectExtent l="0" t="0" r="0" b="0"/>
          <wp:wrapNone/>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74C6A3" w14:textId="77777777" w:rsidR="00A4373C" w:rsidRDefault="003B776D">
    <w:pPr>
      <w:pStyle w:val="Encabezado"/>
    </w:pPr>
    <w:r>
      <w:rPr>
        <w:noProof/>
        <w:lang w:eastAsia="es-MX"/>
      </w:rPr>
      <w:pict w14:anchorId="29CB85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1"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2E71"/>
    <w:rsid w:val="000054A2"/>
    <w:rsid w:val="00010528"/>
    <w:rsid w:val="000125A9"/>
    <w:rsid w:val="00012762"/>
    <w:rsid w:val="00022D97"/>
    <w:rsid w:val="00023964"/>
    <w:rsid w:val="000268AE"/>
    <w:rsid w:val="00033A92"/>
    <w:rsid w:val="00034A10"/>
    <w:rsid w:val="00037568"/>
    <w:rsid w:val="00041042"/>
    <w:rsid w:val="00043943"/>
    <w:rsid w:val="00045647"/>
    <w:rsid w:val="00047223"/>
    <w:rsid w:val="00054DF6"/>
    <w:rsid w:val="00056EEE"/>
    <w:rsid w:val="000606E5"/>
    <w:rsid w:val="00062DC6"/>
    <w:rsid w:val="000679B2"/>
    <w:rsid w:val="00067DE1"/>
    <w:rsid w:val="000740B4"/>
    <w:rsid w:val="00080379"/>
    <w:rsid w:val="00085C5D"/>
    <w:rsid w:val="00086629"/>
    <w:rsid w:val="000920FC"/>
    <w:rsid w:val="00092B13"/>
    <w:rsid w:val="000A1953"/>
    <w:rsid w:val="000A3141"/>
    <w:rsid w:val="000A3C52"/>
    <w:rsid w:val="000A749A"/>
    <w:rsid w:val="000A7EF7"/>
    <w:rsid w:val="000B07FD"/>
    <w:rsid w:val="000B41EC"/>
    <w:rsid w:val="000C2D07"/>
    <w:rsid w:val="000C5A57"/>
    <w:rsid w:val="000D332F"/>
    <w:rsid w:val="000D7002"/>
    <w:rsid w:val="000F2A5A"/>
    <w:rsid w:val="000F682D"/>
    <w:rsid w:val="0010130E"/>
    <w:rsid w:val="0010171D"/>
    <w:rsid w:val="00102428"/>
    <w:rsid w:val="00103E7F"/>
    <w:rsid w:val="001062D2"/>
    <w:rsid w:val="001130B3"/>
    <w:rsid w:val="0011343F"/>
    <w:rsid w:val="001138F8"/>
    <w:rsid w:val="00117886"/>
    <w:rsid w:val="00121484"/>
    <w:rsid w:val="00124E09"/>
    <w:rsid w:val="001323F3"/>
    <w:rsid w:val="00132D25"/>
    <w:rsid w:val="00150601"/>
    <w:rsid w:val="00150787"/>
    <w:rsid w:val="00154E74"/>
    <w:rsid w:val="00160942"/>
    <w:rsid w:val="00164320"/>
    <w:rsid w:val="0016706C"/>
    <w:rsid w:val="00185A8C"/>
    <w:rsid w:val="0019193E"/>
    <w:rsid w:val="001A273D"/>
    <w:rsid w:val="001A3488"/>
    <w:rsid w:val="001A420D"/>
    <w:rsid w:val="001B0015"/>
    <w:rsid w:val="001B31AA"/>
    <w:rsid w:val="001B3EDE"/>
    <w:rsid w:val="001C581E"/>
    <w:rsid w:val="001D595D"/>
    <w:rsid w:val="001D7D72"/>
    <w:rsid w:val="001E7EB8"/>
    <w:rsid w:val="002019F1"/>
    <w:rsid w:val="00215CFB"/>
    <w:rsid w:val="00225794"/>
    <w:rsid w:val="002273C1"/>
    <w:rsid w:val="00227673"/>
    <w:rsid w:val="00227B0E"/>
    <w:rsid w:val="00231BB4"/>
    <w:rsid w:val="00236040"/>
    <w:rsid w:val="00237BFA"/>
    <w:rsid w:val="00242030"/>
    <w:rsid w:val="002476D8"/>
    <w:rsid w:val="00256213"/>
    <w:rsid w:val="00260406"/>
    <w:rsid w:val="00264419"/>
    <w:rsid w:val="00266D60"/>
    <w:rsid w:val="00273025"/>
    <w:rsid w:val="00274840"/>
    <w:rsid w:val="00277F55"/>
    <w:rsid w:val="00280C38"/>
    <w:rsid w:val="00282C25"/>
    <w:rsid w:val="00284F95"/>
    <w:rsid w:val="0028642F"/>
    <w:rsid w:val="002A1A88"/>
    <w:rsid w:val="002A70E2"/>
    <w:rsid w:val="002B1091"/>
    <w:rsid w:val="002B7125"/>
    <w:rsid w:val="002C3F59"/>
    <w:rsid w:val="002D049B"/>
    <w:rsid w:val="002D1C5C"/>
    <w:rsid w:val="002D50CB"/>
    <w:rsid w:val="002E0A6B"/>
    <w:rsid w:val="002E2D06"/>
    <w:rsid w:val="002E45CD"/>
    <w:rsid w:val="002F0DE0"/>
    <w:rsid w:val="002F510D"/>
    <w:rsid w:val="002F7E67"/>
    <w:rsid w:val="00314069"/>
    <w:rsid w:val="0032191E"/>
    <w:rsid w:val="003232EF"/>
    <w:rsid w:val="00324531"/>
    <w:rsid w:val="00334280"/>
    <w:rsid w:val="0034172C"/>
    <w:rsid w:val="0034623D"/>
    <w:rsid w:val="003605D0"/>
    <w:rsid w:val="00362621"/>
    <w:rsid w:val="00362B10"/>
    <w:rsid w:val="00362B9F"/>
    <w:rsid w:val="0036559B"/>
    <w:rsid w:val="00367CD8"/>
    <w:rsid w:val="00372164"/>
    <w:rsid w:val="00372348"/>
    <w:rsid w:val="003739C0"/>
    <w:rsid w:val="00375885"/>
    <w:rsid w:val="00375B6F"/>
    <w:rsid w:val="0037735A"/>
    <w:rsid w:val="0038465F"/>
    <w:rsid w:val="00387429"/>
    <w:rsid w:val="00387F33"/>
    <w:rsid w:val="00391F24"/>
    <w:rsid w:val="00393A57"/>
    <w:rsid w:val="003A4548"/>
    <w:rsid w:val="003A6F4F"/>
    <w:rsid w:val="003A766C"/>
    <w:rsid w:val="003B1785"/>
    <w:rsid w:val="003B1E1B"/>
    <w:rsid w:val="003B3C3C"/>
    <w:rsid w:val="003B776D"/>
    <w:rsid w:val="003C5391"/>
    <w:rsid w:val="003C5C1B"/>
    <w:rsid w:val="003E104E"/>
    <w:rsid w:val="003E3AE3"/>
    <w:rsid w:val="003E525F"/>
    <w:rsid w:val="003E6BD1"/>
    <w:rsid w:val="003E6DFB"/>
    <w:rsid w:val="003F5F1A"/>
    <w:rsid w:val="003F7700"/>
    <w:rsid w:val="003F7AB5"/>
    <w:rsid w:val="00402CA6"/>
    <w:rsid w:val="00407214"/>
    <w:rsid w:val="00412725"/>
    <w:rsid w:val="00413B0F"/>
    <w:rsid w:val="00414063"/>
    <w:rsid w:val="00420019"/>
    <w:rsid w:val="00427547"/>
    <w:rsid w:val="004319A5"/>
    <w:rsid w:val="00433354"/>
    <w:rsid w:val="00433706"/>
    <w:rsid w:val="00433716"/>
    <w:rsid w:val="00434450"/>
    <w:rsid w:val="00434D4A"/>
    <w:rsid w:val="00440D9A"/>
    <w:rsid w:val="00440DC5"/>
    <w:rsid w:val="0044490A"/>
    <w:rsid w:val="00446E39"/>
    <w:rsid w:val="00454AEC"/>
    <w:rsid w:val="004667D8"/>
    <w:rsid w:val="00473912"/>
    <w:rsid w:val="00475A77"/>
    <w:rsid w:val="00476F7D"/>
    <w:rsid w:val="004847B0"/>
    <w:rsid w:val="00485500"/>
    <w:rsid w:val="0048552C"/>
    <w:rsid w:val="0048608F"/>
    <w:rsid w:val="004B074C"/>
    <w:rsid w:val="004B524C"/>
    <w:rsid w:val="004B768F"/>
    <w:rsid w:val="004C1605"/>
    <w:rsid w:val="004C5180"/>
    <w:rsid w:val="004C7B48"/>
    <w:rsid w:val="004D36EF"/>
    <w:rsid w:val="004D3942"/>
    <w:rsid w:val="004D49E7"/>
    <w:rsid w:val="004D7A34"/>
    <w:rsid w:val="004E21EE"/>
    <w:rsid w:val="004F162F"/>
    <w:rsid w:val="004F74B5"/>
    <w:rsid w:val="00502478"/>
    <w:rsid w:val="00502589"/>
    <w:rsid w:val="00502D4F"/>
    <w:rsid w:val="00504FCD"/>
    <w:rsid w:val="005221FE"/>
    <w:rsid w:val="00522A4F"/>
    <w:rsid w:val="00522C05"/>
    <w:rsid w:val="0052369A"/>
    <w:rsid w:val="00524EF5"/>
    <w:rsid w:val="00533998"/>
    <w:rsid w:val="00536197"/>
    <w:rsid w:val="005401D7"/>
    <w:rsid w:val="00542573"/>
    <w:rsid w:val="00544394"/>
    <w:rsid w:val="00553A79"/>
    <w:rsid w:val="00555EC8"/>
    <w:rsid w:val="005650AD"/>
    <w:rsid w:val="00566511"/>
    <w:rsid w:val="00571121"/>
    <w:rsid w:val="00572C64"/>
    <w:rsid w:val="00580EEB"/>
    <w:rsid w:val="0058166F"/>
    <w:rsid w:val="0058281B"/>
    <w:rsid w:val="0059235B"/>
    <w:rsid w:val="00594EC0"/>
    <w:rsid w:val="005A1832"/>
    <w:rsid w:val="005A3B1A"/>
    <w:rsid w:val="005A7099"/>
    <w:rsid w:val="005A776C"/>
    <w:rsid w:val="005A7853"/>
    <w:rsid w:val="005B1B32"/>
    <w:rsid w:val="005B211C"/>
    <w:rsid w:val="005B3800"/>
    <w:rsid w:val="005B63A5"/>
    <w:rsid w:val="005B6473"/>
    <w:rsid w:val="005C4441"/>
    <w:rsid w:val="005C5DF2"/>
    <w:rsid w:val="005C7798"/>
    <w:rsid w:val="005E0299"/>
    <w:rsid w:val="005E1297"/>
    <w:rsid w:val="005E1383"/>
    <w:rsid w:val="005E583E"/>
    <w:rsid w:val="00604785"/>
    <w:rsid w:val="006050EC"/>
    <w:rsid w:val="00605FD1"/>
    <w:rsid w:val="00606A66"/>
    <w:rsid w:val="006179D5"/>
    <w:rsid w:val="006224F4"/>
    <w:rsid w:val="00627280"/>
    <w:rsid w:val="00631E6F"/>
    <w:rsid w:val="00633B84"/>
    <w:rsid w:val="0063702E"/>
    <w:rsid w:val="00640240"/>
    <w:rsid w:val="006406B1"/>
    <w:rsid w:val="00641999"/>
    <w:rsid w:val="00644003"/>
    <w:rsid w:val="006532EB"/>
    <w:rsid w:val="006635AF"/>
    <w:rsid w:val="00665C49"/>
    <w:rsid w:val="006663FA"/>
    <w:rsid w:val="00667494"/>
    <w:rsid w:val="006675F6"/>
    <w:rsid w:val="00671276"/>
    <w:rsid w:val="006715DA"/>
    <w:rsid w:val="006720CF"/>
    <w:rsid w:val="00674769"/>
    <w:rsid w:val="00674CC7"/>
    <w:rsid w:val="00680A5D"/>
    <w:rsid w:val="00682104"/>
    <w:rsid w:val="0069526B"/>
    <w:rsid w:val="006A11E3"/>
    <w:rsid w:val="006A1E8F"/>
    <w:rsid w:val="006A28D2"/>
    <w:rsid w:val="006A673B"/>
    <w:rsid w:val="006A6B10"/>
    <w:rsid w:val="006B5994"/>
    <w:rsid w:val="006B5E0A"/>
    <w:rsid w:val="006C1E72"/>
    <w:rsid w:val="006C54F2"/>
    <w:rsid w:val="006C74D9"/>
    <w:rsid w:val="006D0360"/>
    <w:rsid w:val="006D192F"/>
    <w:rsid w:val="006D317A"/>
    <w:rsid w:val="006D6A52"/>
    <w:rsid w:val="006E0198"/>
    <w:rsid w:val="006E1063"/>
    <w:rsid w:val="006E10CA"/>
    <w:rsid w:val="006E1531"/>
    <w:rsid w:val="006E5138"/>
    <w:rsid w:val="006F0A48"/>
    <w:rsid w:val="006F51F4"/>
    <w:rsid w:val="006F5239"/>
    <w:rsid w:val="0071474B"/>
    <w:rsid w:val="00714E8F"/>
    <w:rsid w:val="0071537A"/>
    <w:rsid w:val="00723AAA"/>
    <w:rsid w:val="00726144"/>
    <w:rsid w:val="007312A2"/>
    <w:rsid w:val="00732829"/>
    <w:rsid w:val="007536F9"/>
    <w:rsid w:val="00755D85"/>
    <w:rsid w:val="00766AB5"/>
    <w:rsid w:val="0076779D"/>
    <w:rsid w:val="00770A31"/>
    <w:rsid w:val="00772907"/>
    <w:rsid w:val="007846E5"/>
    <w:rsid w:val="0078531B"/>
    <w:rsid w:val="00787149"/>
    <w:rsid w:val="0079545D"/>
    <w:rsid w:val="007A22EE"/>
    <w:rsid w:val="007A43ED"/>
    <w:rsid w:val="007A44BA"/>
    <w:rsid w:val="007A5119"/>
    <w:rsid w:val="007A5B5E"/>
    <w:rsid w:val="007A774E"/>
    <w:rsid w:val="007A7A48"/>
    <w:rsid w:val="007B3EBE"/>
    <w:rsid w:val="007B4FFD"/>
    <w:rsid w:val="007C6008"/>
    <w:rsid w:val="007C6B9D"/>
    <w:rsid w:val="007C6EFA"/>
    <w:rsid w:val="007C7D73"/>
    <w:rsid w:val="007D55ED"/>
    <w:rsid w:val="007E2943"/>
    <w:rsid w:val="007E41A0"/>
    <w:rsid w:val="007E51B4"/>
    <w:rsid w:val="007E66DC"/>
    <w:rsid w:val="007F0760"/>
    <w:rsid w:val="007F2831"/>
    <w:rsid w:val="007F60E9"/>
    <w:rsid w:val="008144D8"/>
    <w:rsid w:val="00814D65"/>
    <w:rsid w:val="00820232"/>
    <w:rsid w:val="0082288F"/>
    <w:rsid w:val="00836BB6"/>
    <w:rsid w:val="00836D84"/>
    <w:rsid w:val="008405F9"/>
    <w:rsid w:val="00846D5B"/>
    <w:rsid w:val="00850F70"/>
    <w:rsid w:val="00851860"/>
    <w:rsid w:val="00854294"/>
    <w:rsid w:val="00856A4E"/>
    <w:rsid w:val="00863FE3"/>
    <w:rsid w:val="008846DD"/>
    <w:rsid w:val="00890C8B"/>
    <w:rsid w:val="008911C8"/>
    <w:rsid w:val="00896F1B"/>
    <w:rsid w:val="008973C3"/>
    <w:rsid w:val="008A0DB8"/>
    <w:rsid w:val="008A4EBD"/>
    <w:rsid w:val="008B4928"/>
    <w:rsid w:val="008C2010"/>
    <w:rsid w:val="008C5FB8"/>
    <w:rsid w:val="008D17E8"/>
    <w:rsid w:val="008D2F2D"/>
    <w:rsid w:val="008D6A15"/>
    <w:rsid w:val="008E2F4C"/>
    <w:rsid w:val="008E656B"/>
    <w:rsid w:val="008F378D"/>
    <w:rsid w:val="008F4675"/>
    <w:rsid w:val="008F4EA9"/>
    <w:rsid w:val="008F5460"/>
    <w:rsid w:val="00900837"/>
    <w:rsid w:val="00900CAE"/>
    <w:rsid w:val="0090118B"/>
    <w:rsid w:val="009015F9"/>
    <w:rsid w:val="009032BC"/>
    <w:rsid w:val="00904443"/>
    <w:rsid w:val="0090463C"/>
    <w:rsid w:val="00913A5B"/>
    <w:rsid w:val="009146E9"/>
    <w:rsid w:val="009151E7"/>
    <w:rsid w:val="009156C4"/>
    <w:rsid w:val="009178C8"/>
    <w:rsid w:val="0092037B"/>
    <w:rsid w:val="00926315"/>
    <w:rsid w:val="0092754C"/>
    <w:rsid w:val="0093030F"/>
    <w:rsid w:val="0093147D"/>
    <w:rsid w:val="0093785B"/>
    <w:rsid w:val="00944386"/>
    <w:rsid w:val="00944597"/>
    <w:rsid w:val="00953189"/>
    <w:rsid w:val="009575F5"/>
    <w:rsid w:val="009755FD"/>
    <w:rsid w:val="0099265D"/>
    <w:rsid w:val="009963CC"/>
    <w:rsid w:val="009963D8"/>
    <w:rsid w:val="009972DA"/>
    <w:rsid w:val="009A10C0"/>
    <w:rsid w:val="009A23EA"/>
    <w:rsid w:val="009A3359"/>
    <w:rsid w:val="009B3A19"/>
    <w:rsid w:val="009B7578"/>
    <w:rsid w:val="009B7B93"/>
    <w:rsid w:val="009C5F23"/>
    <w:rsid w:val="009D23D6"/>
    <w:rsid w:val="009D6D39"/>
    <w:rsid w:val="009F2123"/>
    <w:rsid w:val="00A057F6"/>
    <w:rsid w:val="00A068EB"/>
    <w:rsid w:val="00A13F37"/>
    <w:rsid w:val="00A17ABB"/>
    <w:rsid w:val="00A206A3"/>
    <w:rsid w:val="00A2218D"/>
    <w:rsid w:val="00A3160F"/>
    <w:rsid w:val="00A357D2"/>
    <w:rsid w:val="00A371D5"/>
    <w:rsid w:val="00A377F9"/>
    <w:rsid w:val="00A37DF5"/>
    <w:rsid w:val="00A44239"/>
    <w:rsid w:val="00A47699"/>
    <w:rsid w:val="00A51258"/>
    <w:rsid w:val="00A56A2F"/>
    <w:rsid w:val="00A57E36"/>
    <w:rsid w:val="00A811AE"/>
    <w:rsid w:val="00A879E4"/>
    <w:rsid w:val="00A917BE"/>
    <w:rsid w:val="00A968B7"/>
    <w:rsid w:val="00A97BC6"/>
    <w:rsid w:val="00AA3699"/>
    <w:rsid w:val="00AA4103"/>
    <w:rsid w:val="00AA62AE"/>
    <w:rsid w:val="00AA7145"/>
    <w:rsid w:val="00AA796F"/>
    <w:rsid w:val="00AB1630"/>
    <w:rsid w:val="00AB5C18"/>
    <w:rsid w:val="00AC05A6"/>
    <w:rsid w:val="00AD14A8"/>
    <w:rsid w:val="00AD723C"/>
    <w:rsid w:val="00AE579E"/>
    <w:rsid w:val="00AF5B34"/>
    <w:rsid w:val="00B00359"/>
    <w:rsid w:val="00B044C2"/>
    <w:rsid w:val="00B103A0"/>
    <w:rsid w:val="00B11332"/>
    <w:rsid w:val="00B22B25"/>
    <w:rsid w:val="00B22DC7"/>
    <w:rsid w:val="00B26A51"/>
    <w:rsid w:val="00B37BED"/>
    <w:rsid w:val="00B438E5"/>
    <w:rsid w:val="00B4639E"/>
    <w:rsid w:val="00B46E86"/>
    <w:rsid w:val="00B53C8F"/>
    <w:rsid w:val="00B600ED"/>
    <w:rsid w:val="00B61077"/>
    <w:rsid w:val="00B61428"/>
    <w:rsid w:val="00B70C05"/>
    <w:rsid w:val="00B7407D"/>
    <w:rsid w:val="00B81C77"/>
    <w:rsid w:val="00B86059"/>
    <w:rsid w:val="00B92449"/>
    <w:rsid w:val="00B94C99"/>
    <w:rsid w:val="00B97A95"/>
    <w:rsid w:val="00B97D1F"/>
    <w:rsid w:val="00BA251A"/>
    <w:rsid w:val="00BB4F0B"/>
    <w:rsid w:val="00BC5D03"/>
    <w:rsid w:val="00BD0DA4"/>
    <w:rsid w:val="00BD28DD"/>
    <w:rsid w:val="00BD7507"/>
    <w:rsid w:val="00BE1DD4"/>
    <w:rsid w:val="00BE26D9"/>
    <w:rsid w:val="00BE3865"/>
    <w:rsid w:val="00BF2E0E"/>
    <w:rsid w:val="00C046EC"/>
    <w:rsid w:val="00C13B09"/>
    <w:rsid w:val="00C15DB6"/>
    <w:rsid w:val="00C201E1"/>
    <w:rsid w:val="00C20B6F"/>
    <w:rsid w:val="00C225DB"/>
    <w:rsid w:val="00C3005E"/>
    <w:rsid w:val="00C33CED"/>
    <w:rsid w:val="00C349DF"/>
    <w:rsid w:val="00C37DF5"/>
    <w:rsid w:val="00C41270"/>
    <w:rsid w:val="00C44DDE"/>
    <w:rsid w:val="00C50828"/>
    <w:rsid w:val="00C519F2"/>
    <w:rsid w:val="00C56B89"/>
    <w:rsid w:val="00C5781F"/>
    <w:rsid w:val="00C633E9"/>
    <w:rsid w:val="00C6716F"/>
    <w:rsid w:val="00C67280"/>
    <w:rsid w:val="00C7097E"/>
    <w:rsid w:val="00C73D2E"/>
    <w:rsid w:val="00C753F3"/>
    <w:rsid w:val="00C81E73"/>
    <w:rsid w:val="00C86A96"/>
    <w:rsid w:val="00CB0191"/>
    <w:rsid w:val="00CB1103"/>
    <w:rsid w:val="00CB466F"/>
    <w:rsid w:val="00CB5CCC"/>
    <w:rsid w:val="00CB731B"/>
    <w:rsid w:val="00CC0343"/>
    <w:rsid w:val="00CC7806"/>
    <w:rsid w:val="00CD140A"/>
    <w:rsid w:val="00CD3746"/>
    <w:rsid w:val="00CD43CA"/>
    <w:rsid w:val="00CD6397"/>
    <w:rsid w:val="00CD707F"/>
    <w:rsid w:val="00D11FEF"/>
    <w:rsid w:val="00D266C0"/>
    <w:rsid w:val="00D27503"/>
    <w:rsid w:val="00D300B5"/>
    <w:rsid w:val="00D341B7"/>
    <w:rsid w:val="00D35A3C"/>
    <w:rsid w:val="00D35CB2"/>
    <w:rsid w:val="00D36878"/>
    <w:rsid w:val="00D44940"/>
    <w:rsid w:val="00D4537E"/>
    <w:rsid w:val="00D459CC"/>
    <w:rsid w:val="00D5194F"/>
    <w:rsid w:val="00D52AE9"/>
    <w:rsid w:val="00D54271"/>
    <w:rsid w:val="00D54B83"/>
    <w:rsid w:val="00D55CA1"/>
    <w:rsid w:val="00D67F35"/>
    <w:rsid w:val="00D80489"/>
    <w:rsid w:val="00D8282E"/>
    <w:rsid w:val="00D841BC"/>
    <w:rsid w:val="00D8770B"/>
    <w:rsid w:val="00DA2E36"/>
    <w:rsid w:val="00DB142A"/>
    <w:rsid w:val="00DB42D5"/>
    <w:rsid w:val="00DC0E04"/>
    <w:rsid w:val="00DC104E"/>
    <w:rsid w:val="00DC14DE"/>
    <w:rsid w:val="00DC24B5"/>
    <w:rsid w:val="00DD3263"/>
    <w:rsid w:val="00DE04F5"/>
    <w:rsid w:val="00DE3267"/>
    <w:rsid w:val="00DE45DF"/>
    <w:rsid w:val="00DE4BFA"/>
    <w:rsid w:val="00DF1654"/>
    <w:rsid w:val="00DF431D"/>
    <w:rsid w:val="00DF5113"/>
    <w:rsid w:val="00DF596A"/>
    <w:rsid w:val="00E05E49"/>
    <w:rsid w:val="00E27318"/>
    <w:rsid w:val="00E278E3"/>
    <w:rsid w:val="00E3025F"/>
    <w:rsid w:val="00E355F4"/>
    <w:rsid w:val="00E452E5"/>
    <w:rsid w:val="00E5122D"/>
    <w:rsid w:val="00E5150B"/>
    <w:rsid w:val="00E551C5"/>
    <w:rsid w:val="00E578BA"/>
    <w:rsid w:val="00E619E9"/>
    <w:rsid w:val="00E61FB2"/>
    <w:rsid w:val="00E64E5F"/>
    <w:rsid w:val="00E70AF2"/>
    <w:rsid w:val="00E764E3"/>
    <w:rsid w:val="00E76510"/>
    <w:rsid w:val="00E81789"/>
    <w:rsid w:val="00E90C31"/>
    <w:rsid w:val="00E91751"/>
    <w:rsid w:val="00E9337C"/>
    <w:rsid w:val="00E974F8"/>
    <w:rsid w:val="00EA20B7"/>
    <w:rsid w:val="00EA2229"/>
    <w:rsid w:val="00EA5B8C"/>
    <w:rsid w:val="00EA6EFA"/>
    <w:rsid w:val="00EB268D"/>
    <w:rsid w:val="00EC616C"/>
    <w:rsid w:val="00ED0588"/>
    <w:rsid w:val="00ED0959"/>
    <w:rsid w:val="00ED2A23"/>
    <w:rsid w:val="00ED5611"/>
    <w:rsid w:val="00EE3204"/>
    <w:rsid w:val="00EE66A3"/>
    <w:rsid w:val="00EE69CB"/>
    <w:rsid w:val="00EE7010"/>
    <w:rsid w:val="00EF0DD2"/>
    <w:rsid w:val="00EF77C0"/>
    <w:rsid w:val="00F0095B"/>
    <w:rsid w:val="00F00D08"/>
    <w:rsid w:val="00F1260F"/>
    <w:rsid w:val="00F13121"/>
    <w:rsid w:val="00F14EC5"/>
    <w:rsid w:val="00F2100B"/>
    <w:rsid w:val="00F21161"/>
    <w:rsid w:val="00F228AA"/>
    <w:rsid w:val="00F24B6D"/>
    <w:rsid w:val="00F25B5E"/>
    <w:rsid w:val="00F2726B"/>
    <w:rsid w:val="00F35133"/>
    <w:rsid w:val="00F4521C"/>
    <w:rsid w:val="00F57AB8"/>
    <w:rsid w:val="00F652B5"/>
    <w:rsid w:val="00F65989"/>
    <w:rsid w:val="00F668A7"/>
    <w:rsid w:val="00F66A57"/>
    <w:rsid w:val="00F767DC"/>
    <w:rsid w:val="00F82D42"/>
    <w:rsid w:val="00F85C13"/>
    <w:rsid w:val="00F85E9E"/>
    <w:rsid w:val="00F869F5"/>
    <w:rsid w:val="00F9203A"/>
    <w:rsid w:val="00F93C6D"/>
    <w:rsid w:val="00F965D8"/>
    <w:rsid w:val="00F969CE"/>
    <w:rsid w:val="00FA2DE8"/>
    <w:rsid w:val="00FB7682"/>
    <w:rsid w:val="00FC45EE"/>
    <w:rsid w:val="00FC47E6"/>
    <w:rsid w:val="00FC4F6A"/>
    <w:rsid w:val="00FD3894"/>
    <w:rsid w:val="00FD6A8A"/>
    <w:rsid w:val="00FE2437"/>
    <w:rsid w:val="00FE673E"/>
    <w:rsid w:val="00FF3E3A"/>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6DCB707"/>
  <w15:docId w15:val="{31D944B6-C008-4FD5-BAD9-0DAE59D09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44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300</TotalTime>
  <Pages>10</Pages>
  <Words>3653</Words>
  <Characters>20096</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547</cp:revision>
  <cp:lastPrinted>2019-12-02T19:23:00Z</cp:lastPrinted>
  <dcterms:created xsi:type="dcterms:W3CDTF">2019-07-08T16:38:00Z</dcterms:created>
  <dcterms:modified xsi:type="dcterms:W3CDTF">2020-08-04T16:00:00Z</dcterms:modified>
</cp:coreProperties>
</file>