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64B" w:rsidRDefault="00AC164B" w:rsidP="00AC164B">
      <w:pPr>
        <w:pStyle w:val="Encabezado"/>
        <w:tabs>
          <w:tab w:val="left" w:pos="708"/>
        </w:tabs>
        <w:ind w:left="3402"/>
        <w:jc w:val="both"/>
        <w:rPr>
          <w:rFonts w:ascii="Arial" w:hAnsi="Arial" w:cs="Arial"/>
          <w:b/>
          <w:sz w:val="26"/>
          <w:szCs w:val="26"/>
        </w:rPr>
      </w:pPr>
      <w:r>
        <w:rPr>
          <w:rFonts w:ascii="Arial" w:hAnsi="Arial" w:cs="Arial"/>
          <w:b/>
          <w:sz w:val="26"/>
          <w:szCs w:val="26"/>
        </w:rPr>
        <w:t>PRIMERA SALA UNITARIA DE PRIMERA INSTANCIA DEL TRIBUNAL DE JUSTICIA ADMINISTRATIVA DEL ESTADO DE OAXACA.</w:t>
      </w:r>
    </w:p>
    <w:p w:rsidR="00AC164B" w:rsidRDefault="00AC164B" w:rsidP="00AC164B">
      <w:pPr>
        <w:pStyle w:val="Encabezado"/>
        <w:ind w:left="4248"/>
        <w:jc w:val="both"/>
        <w:rPr>
          <w:rFonts w:ascii="Arial" w:hAnsi="Arial" w:cs="Arial"/>
          <w:b/>
          <w:sz w:val="26"/>
          <w:szCs w:val="26"/>
        </w:rPr>
      </w:pPr>
    </w:p>
    <w:p w:rsidR="00AC164B" w:rsidRDefault="00AC164B" w:rsidP="00AC164B">
      <w:pPr>
        <w:pStyle w:val="Encabezado"/>
        <w:tabs>
          <w:tab w:val="left" w:pos="708"/>
        </w:tabs>
        <w:ind w:left="2832" w:right="-93" w:firstLine="570"/>
        <w:jc w:val="both"/>
        <w:rPr>
          <w:rFonts w:ascii="Arial" w:hAnsi="Arial" w:cs="Arial"/>
          <w:b/>
          <w:sz w:val="26"/>
          <w:szCs w:val="26"/>
        </w:rPr>
      </w:pPr>
      <w:r>
        <w:rPr>
          <w:rFonts w:ascii="Arial" w:hAnsi="Arial" w:cs="Arial"/>
          <w:b/>
          <w:sz w:val="26"/>
          <w:szCs w:val="26"/>
        </w:rPr>
        <w:t>EXPEDIENTE: 105/2019</w:t>
      </w:r>
    </w:p>
    <w:p w:rsidR="00AC164B" w:rsidRDefault="00AC164B" w:rsidP="00AC164B">
      <w:pPr>
        <w:pStyle w:val="Encabezado"/>
        <w:tabs>
          <w:tab w:val="clear" w:pos="4419"/>
          <w:tab w:val="center" w:pos="8931"/>
        </w:tabs>
        <w:jc w:val="both"/>
        <w:rPr>
          <w:rFonts w:ascii="Arial" w:hAnsi="Arial" w:cs="Arial"/>
          <w:b/>
          <w:sz w:val="26"/>
          <w:szCs w:val="26"/>
        </w:rPr>
      </w:pPr>
    </w:p>
    <w:p w:rsidR="00AC164B" w:rsidRDefault="00AC164B" w:rsidP="00AC164B">
      <w:pPr>
        <w:pStyle w:val="Encabezado"/>
        <w:tabs>
          <w:tab w:val="left" w:pos="708"/>
        </w:tabs>
        <w:ind w:left="3402"/>
        <w:jc w:val="both"/>
        <w:rPr>
          <w:rFonts w:ascii="Arial" w:hAnsi="Arial" w:cs="Arial"/>
          <w:b/>
          <w:sz w:val="26"/>
          <w:szCs w:val="26"/>
        </w:rPr>
      </w:pPr>
      <w:r>
        <w:rPr>
          <w:rFonts w:ascii="Arial" w:hAnsi="Arial" w:cs="Arial"/>
          <w:b/>
          <w:sz w:val="26"/>
          <w:szCs w:val="26"/>
        </w:rPr>
        <w:t xml:space="preserve">ACTOR: </w:t>
      </w:r>
      <w:r>
        <w:rPr>
          <w:rFonts w:ascii="Arial" w:hAnsi="Arial" w:cs="Arial"/>
          <w:sz w:val="24"/>
          <w:szCs w:val="24"/>
        </w:rPr>
        <w:t>**********</w:t>
      </w:r>
    </w:p>
    <w:p w:rsidR="00AC164B" w:rsidRDefault="00AC164B" w:rsidP="00AC164B">
      <w:pPr>
        <w:pStyle w:val="Encabezado"/>
        <w:ind w:left="4248"/>
        <w:jc w:val="both"/>
        <w:rPr>
          <w:rFonts w:ascii="Arial" w:hAnsi="Arial" w:cs="Arial"/>
          <w:b/>
          <w:sz w:val="26"/>
          <w:szCs w:val="26"/>
        </w:rPr>
      </w:pPr>
    </w:p>
    <w:p w:rsidR="00AC164B" w:rsidRDefault="00AC164B" w:rsidP="00AC164B">
      <w:pPr>
        <w:pStyle w:val="Encabezado"/>
        <w:tabs>
          <w:tab w:val="center" w:pos="-1418"/>
        </w:tabs>
        <w:ind w:left="3402"/>
        <w:jc w:val="both"/>
        <w:rPr>
          <w:rFonts w:ascii="Arial" w:hAnsi="Arial" w:cs="Arial"/>
          <w:b/>
          <w:sz w:val="26"/>
          <w:szCs w:val="26"/>
        </w:rPr>
      </w:pPr>
      <w:r>
        <w:rPr>
          <w:rFonts w:ascii="Arial" w:hAnsi="Arial" w:cs="Arial"/>
          <w:b/>
          <w:sz w:val="26"/>
          <w:szCs w:val="26"/>
        </w:rPr>
        <w:t>DEMANDADA: DIRECTORA DE INGRESOS Y RECAUDACIÓN DE LA SUBSECRETARÍA DE INGRESOS DE LA SECRETARÍA DE FINANZAS DEL PODER EJECUTIVO DEL ESTADO DE OAXACA.</w:t>
      </w:r>
    </w:p>
    <w:p w:rsidR="00AC164B" w:rsidRDefault="00AC164B" w:rsidP="00AC164B">
      <w:pPr>
        <w:pStyle w:val="Encabezado"/>
        <w:tabs>
          <w:tab w:val="center" w:pos="-1418"/>
        </w:tabs>
        <w:ind w:left="3540"/>
        <w:jc w:val="both"/>
        <w:rPr>
          <w:rFonts w:ascii="Arial" w:hAnsi="Arial" w:cs="Arial"/>
          <w:b/>
          <w:sz w:val="26"/>
          <w:szCs w:val="26"/>
        </w:rPr>
      </w:pPr>
    </w:p>
    <w:p w:rsidR="00AC164B" w:rsidRDefault="00AC164B" w:rsidP="00AC164B">
      <w:pPr>
        <w:pStyle w:val="Encabezado"/>
        <w:tabs>
          <w:tab w:val="center" w:pos="-1418"/>
        </w:tabs>
        <w:ind w:left="3402"/>
        <w:jc w:val="both"/>
        <w:rPr>
          <w:rFonts w:ascii="Arial" w:hAnsi="Arial" w:cs="Arial"/>
          <w:b/>
          <w:sz w:val="26"/>
          <w:szCs w:val="26"/>
        </w:rPr>
      </w:pPr>
      <w:r>
        <w:rPr>
          <w:rFonts w:ascii="Arial" w:hAnsi="Arial" w:cs="Arial"/>
          <w:b/>
          <w:sz w:val="26"/>
          <w:szCs w:val="26"/>
        </w:rPr>
        <w:t>MAGISTRADO. ENRIQUE PACHECO MARTÍNEZ.</w:t>
      </w:r>
    </w:p>
    <w:p w:rsidR="00AC164B" w:rsidRDefault="00AC164B" w:rsidP="00AC164B">
      <w:pPr>
        <w:pStyle w:val="Encabezado"/>
        <w:tabs>
          <w:tab w:val="center" w:pos="-1418"/>
        </w:tabs>
        <w:ind w:left="3540"/>
        <w:jc w:val="both"/>
        <w:rPr>
          <w:rFonts w:ascii="Arial" w:hAnsi="Arial" w:cs="Arial"/>
          <w:b/>
          <w:sz w:val="26"/>
          <w:szCs w:val="26"/>
        </w:rPr>
      </w:pPr>
    </w:p>
    <w:p w:rsidR="00AC164B" w:rsidRDefault="00AC164B" w:rsidP="00AC164B">
      <w:pPr>
        <w:pStyle w:val="Encabezado"/>
        <w:tabs>
          <w:tab w:val="center" w:pos="-1418"/>
        </w:tabs>
        <w:ind w:left="3402"/>
        <w:jc w:val="both"/>
        <w:rPr>
          <w:rFonts w:ascii="Arial" w:hAnsi="Arial" w:cs="Arial"/>
          <w:b/>
          <w:sz w:val="26"/>
          <w:szCs w:val="26"/>
        </w:rPr>
      </w:pPr>
      <w:r>
        <w:rPr>
          <w:rFonts w:ascii="Arial" w:hAnsi="Arial" w:cs="Arial"/>
          <w:b/>
          <w:sz w:val="26"/>
          <w:szCs w:val="26"/>
        </w:rPr>
        <w:t>SECRETARIO. RENATO GABRIEL IBAÑEZ CASTELLANOS.</w:t>
      </w:r>
    </w:p>
    <w:p w:rsidR="00AC164B" w:rsidRDefault="00AC164B" w:rsidP="00AC164B">
      <w:pPr>
        <w:spacing w:line="360" w:lineRule="auto"/>
        <w:jc w:val="both"/>
        <w:rPr>
          <w:rFonts w:ascii="Arial" w:hAnsi="Arial" w:cs="Arial"/>
          <w:b/>
          <w:sz w:val="26"/>
          <w:szCs w:val="26"/>
        </w:rPr>
      </w:pPr>
    </w:p>
    <w:p w:rsidR="00AC164B" w:rsidRDefault="00AC164B" w:rsidP="00AC164B">
      <w:pPr>
        <w:pStyle w:val="Encabezado"/>
        <w:spacing w:line="360" w:lineRule="auto"/>
        <w:jc w:val="both"/>
        <w:rPr>
          <w:rFonts w:ascii="Arial" w:hAnsi="Arial" w:cs="Arial"/>
          <w:b/>
          <w:sz w:val="26"/>
          <w:szCs w:val="26"/>
        </w:rPr>
      </w:pPr>
      <w:r>
        <w:rPr>
          <w:rFonts w:ascii="Arial" w:hAnsi="Arial" w:cs="Arial"/>
          <w:b/>
          <w:sz w:val="26"/>
          <w:szCs w:val="26"/>
        </w:rPr>
        <w:t>OAXACA DE JUÁREZ, OAXACA A QUINCE DE DICIEMBRE DE DOS MIL VEINTE. - - - - -</w:t>
      </w:r>
      <w:r>
        <w:rPr>
          <w:rFonts w:ascii="Arial" w:hAnsi="Arial" w:cs="Arial"/>
          <w:b/>
          <w:sz w:val="26"/>
          <w:szCs w:val="26"/>
        </w:rPr>
        <w:t xml:space="preserve"> - - - - - - - - - - - - - - - - - - - - - - - - - - - - - - - - - - - - - - - - - - - -</w:t>
      </w:r>
    </w:p>
    <w:p w:rsidR="00AC164B" w:rsidRDefault="00AC164B" w:rsidP="00AC164B">
      <w:pPr>
        <w:spacing w:before="240" w:line="360" w:lineRule="auto"/>
        <w:ind w:firstLine="567"/>
        <w:jc w:val="both"/>
        <w:rPr>
          <w:rFonts w:ascii="Arial" w:hAnsi="Arial" w:cs="Arial"/>
          <w:b/>
          <w:sz w:val="26"/>
          <w:szCs w:val="26"/>
        </w:rPr>
      </w:pPr>
      <w:r>
        <w:rPr>
          <w:rFonts w:ascii="Arial" w:hAnsi="Arial" w:cs="Arial"/>
          <w:b/>
          <w:sz w:val="26"/>
          <w:szCs w:val="26"/>
        </w:rPr>
        <w:t xml:space="preserve">VISTOS, </w:t>
      </w:r>
      <w:r>
        <w:rPr>
          <w:rFonts w:ascii="Arial" w:hAnsi="Arial" w:cs="Arial"/>
          <w:sz w:val="26"/>
          <w:szCs w:val="26"/>
        </w:rPr>
        <w:t xml:space="preserve">para resolver los autos del juicio de nulidad de número </w:t>
      </w:r>
      <w:r>
        <w:rPr>
          <w:rFonts w:ascii="Arial" w:hAnsi="Arial" w:cs="Arial"/>
          <w:b/>
          <w:sz w:val="26"/>
          <w:szCs w:val="26"/>
        </w:rPr>
        <w:t>105/2019</w:t>
      </w:r>
      <w:r>
        <w:rPr>
          <w:rFonts w:ascii="Arial" w:hAnsi="Arial" w:cs="Arial"/>
          <w:sz w:val="26"/>
          <w:szCs w:val="26"/>
        </w:rPr>
        <w:t xml:space="preserve">, promovido por </w:t>
      </w:r>
      <w:r>
        <w:rPr>
          <w:rFonts w:ascii="Arial" w:hAnsi="Arial" w:cs="Arial"/>
          <w:sz w:val="24"/>
          <w:szCs w:val="24"/>
        </w:rPr>
        <w:t>**********</w:t>
      </w:r>
      <w:r>
        <w:rPr>
          <w:rFonts w:ascii="Arial" w:hAnsi="Arial" w:cs="Arial"/>
          <w:b/>
          <w:sz w:val="26"/>
          <w:szCs w:val="26"/>
        </w:rPr>
        <w:t>, APODERADO LEGAL DE LA PERSONA MORAL “</w:t>
      </w:r>
      <w:r>
        <w:rPr>
          <w:rFonts w:ascii="Arial" w:hAnsi="Arial" w:cs="Arial"/>
          <w:sz w:val="24"/>
          <w:szCs w:val="24"/>
        </w:rPr>
        <w:t>**********</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DIRECTORA DE INGRESOS Y RECAUDACIÓN DE LA SUBSECRETARÍA DE INGRESOS DE LA SECRETARÍA DE FINANZAS DEL PODER EJECUTIVO DEL ESTADO DE OAXACA</w:t>
      </w:r>
      <w:r>
        <w:rPr>
          <w:rFonts w:ascii="Arial" w:hAnsi="Arial" w:cs="Arial"/>
          <w:sz w:val="26"/>
          <w:szCs w:val="26"/>
        </w:rPr>
        <w:t xml:space="preserve">.- - - - - - - - - - - - - - - - - - - - - - - - - - - - - - - - - - - - - - - - - - - - </w:t>
      </w:r>
      <w:r>
        <w:rPr>
          <w:rFonts w:ascii="Arial" w:hAnsi="Arial" w:cs="Arial"/>
          <w:sz w:val="26"/>
          <w:szCs w:val="26"/>
        </w:rPr>
        <w:t xml:space="preserve">- - - - </w:t>
      </w:r>
    </w:p>
    <w:p w:rsidR="00AC164B" w:rsidRDefault="00AC164B" w:rsidP="00AC164B">
      <w:pPr>
        <w:spacing w:before="240" w:line="360" w:lineRule="auto"/>
        <w:jc w:val="center"/>
        <w:rPr>
          <w:rFonts w:ascii="Arial" w:hAnsi="Arial" w:cs="Arial"/>
          <w:b/>
          <w:sz w:val="26"/>
          <w:szCs w:val="26"/>
        </w:rPr>
      </w:pPr>
      <w:r>
        <w:rPr>
          <w:rFonts w:ascii="Arial" w:hAnsi="Arial" w:cs="Arial"/>
          <w:b/>
          <w:sz w:val="26"/>
          <w:szCs w:val="26"/>
        </w:rPr>
        <w:t>R E S U L T A N D O:</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Por escrito recibido el veintitrés de septiembre de dos mil diecinueve, en Oficialía de Partes Común de este Tribunal, </w:t>
      </w:r>
      <w:r>
        <w:rPr>
          <w:rFonts w:ascii="Arial" w:hAnsi="Arial" w:cs="Arial"/>
          <w:sz w:val="24"/>
          <w:szCs w:val="24"/>
        </w:rPr>
        <w:t>**********</w:t>
      </w:r>
      <w:r>
        <w:rPr>
          <w:rFonts w:ascii="Arial" w:hAnsi="Arial" w:cs="Arial"/>
          <w:sz w:val="26"/>
          <w:szCs w:val="26"/>
        </w:rPr>
        <w:t>, Apoderado Legal de la Persona Moral “</w:t>
      </w:r>
      <w:r>
        <w:rPr>
          <w:rFonts w:ascii="Arial" w:hAnsi="Arial" w:cs="Arial"/>
          <w:sz w:val="24"/>
          <w:szCs w:val="24"/>
        </w:rPr>
        <w:t>**********</w:t>
      </w:r>
      <w:r>
        <w:rPr>
          <w:rFonts w:ascii="Arial" w:hAnsi="Arial" w:cs="Arial"/>
          <w:sz w:val="26"/>
          <w:szCs w:val="26"/>
        </w:rPr>
        <w:t xml:space="preserve">”, demandó la nulidad lisa y llana de la resolución contenida en el oficio con número de control </w:t>
      </w:r>
      <w:r>
        <w:rPr>
          <w:rFonts w:ascii="Arial" w:hAnsi="Arial" w:cs="Arial"/>
          <w:sz w:val="24"/>
          <w:szCs w:val="24"/>
        </w:rPr>
        <w:t>**********</w:t>
      </w:r>
      <w:r>
        <w:rPr>
          <w:rFonts w:ascii="Arial" w:hAnsi="Arial" w:cs="Arial"/>
          <w:sz w:val="26"/>
          <w:szCs w:val="26"/>
        </w:rPr>
        <w:t xml:space="preserve"> de veinticinco de junio de dos mil diecinueve, emitido por la Directora de Ingresos y Recaudación de La Subsecretaría de Ingresos de la Secretaría de Finanzas del Poder Ejecutivo del Estado de Oaxaca.- - - - - - - - - - - - - - - -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Por acuerdo de veinticuatro de septiembre de dos mil diecinueve, se admitió a trámite la demanda; se ordenó notificar, emplazar y correr traslado a la demandada, para que dentro del plazo de nueve días </w:t>
      </w:r>
      <w:r>
        <w:rPr>
          <w:rFonts w:ascii="Arial" w:hAnsi="Arial" w:cs="Arial"/>
          <w:sz w:val="26"/>
          <w:szCs w:val="26"/>
        </w:rPr>
        <w:lastRenderedPageBreak/>
        <w:t xml:space="preserve">hábiles produjeran su contestación, requiriéndola para que al momento de dar contestación remitiera copias certificadas de todo el expediente administrativo o de los antecedes del cual deriva el acto impugnado, con el apercibimiento, que de no hacerlo dentro del plazo concedido, se les tendría contestando la demanda en sentido afirmativo, y de no referirse a todos los hechos, se les tendrían como ciertos; se tuvieron por ofrecidas y admitidas las pruebas del actor.- - - - - - - - - - - - - - - - - - - - - - - - - - - - - - - - - - - - </w:t>
      </w:r>
      <w:r>
        <w:rPr>
          <w:rFonts w:ascii="Arial" w:hAnsi="Arial" w:cs="Arial"/>
          <w:sz w:val="26"/>
          <w:szCs w:val="26"/>
        </w:rPr>
        <w:t>-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Mediante auto de catorce de noviembre de dos mil diecinueve, se tuvo a la demandada, dando contestación a la demanda entablada en su contra; por ofrecidas y admitidas sus pruebas; se ordenó notificar y correr traslado a la parte actora con las copias de la demanda y anexos, para que dentro del plazo de cinco días ampliara su demanda, con el apercibimiento que de no hacerlo dentro del plazo legal concedido, se le tendría por precluído su derecho.- - - - - - - - - - - - - - - - - - - - - - - - - - - -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trece de diciembre de dos mil diecinueve, se tuvo a la parte actora ampliando su demanda; por lo que se </w:t>
      </w:r>
      <w:r>
        <w:rPr>
          <w:rFonts w:ascii="Arial" w:hAnsi="Arial" w:cs="Arial"/>
          <w:sz w:val="26"/>
          <w:szCs w:val="26"/>
        </w:rPr>
        <w:t>ordenó</w:t>
      </w:r>
      <w:r>
        <w:rPr>
          <w:rFonts w:ascii="Arial" w:hAnsi="Arial" w:cs="Arial"/>
          <w:sz w:val="26"/>
          <w:szCs w:val="26"/>
        </w:rPr>
        <w:t xml:space="preserve"> correr traslado a la autoridad demandada, para que dentro del plazo de cinco días hábiles, formulara su contestación a la ampliación de la demanda, con el apercibimiento que de no hacerlo dentro del plazo legal concedido, se declararía por precluído su derecho y se le tendría contestando en sentido afirmativo, salvo prueba en contrario.- - - - - - - - - - - - - - - - - - - - - - - - - -</w:t>
      </w:r>
      <w:r>
        <w:rPr>
          <w:rFonts w:ascii="Arial" w:hAnsi="Arial" w:cs="Arial"/>
          <w:sz w:val="26"/>
          <w:szCs w:val="26"/>
        </w:rPr>
        <w:t xml:space="preserve">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proveído de veintinueve de enero de dos mil veinte, se tuvo a la demandada, dando contestación a la ampliación de la demanda, así como por admitidas las pruebas que ofreció; se señaló fecha y hora para la </w:t>
      </w:r>
      <w:proofErr w:type="gramStart"/>
      <w:r>
        <w:rPr>
          <w:rFonts w:ascii="Arial" w:hAnsi="Arial" w:cs="Arial"/>
          <w:sz w:val="26"/>
          <w:szCs w:val="26"/>
        </w:rPr>
        <w:t>celebración  de</w:t>
      </w:r>
      <w:proofErr w:type="gramEnd"/>
      <w:r>
        <w:rPr>
          <w:rFonts w:ascii="Arial" w:hAnsi="Arial" w:cs="Arial"/>
          <w:sz w:val="26"/>
          <w:szCs w:val="26"/>
        </w:rPr>
        <w:t xml:space="preserve"> la audiencia final.- - - - - - - - - - - - - - - - - - - - - - - - - - - -</w:t>
      </w:r>
      <w:r>
        <w:rPr>
          <w:rFonts w:ascii="Arial" w:hAnsi="Arial" w:cs="Arial"/>
          <w:sz w:val="26"/>
          <w:szCs w:val="26"/>
        </w:rPr>
        <w:t xml:space="preserve"> -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 (COVIT 19).- - - - - - - - - - - - - - - - - - - - - - - - - - - - - - - - -</w:t>
      </w:r>
      <w:r>
        <w:rPr>
          <w:rFonts w:ascii="Arial" w:hAnsi="Arial" w:cs="Arial"/>
          <w:sz w:val="26"/>
          <w:szCs w:val="26"/>
        </w:rPr>
        <w:t xml:space="preserve"> - -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Mediante auto de veintiuno de agosto de dos mil veinte; se hizo del conocimiento de las partes del cambio del titular de la Sala, requiriéndoseles para que dentro del plazo de tres días, manifestaran algún </w:t>
      </w:r>
      <w:r>
        <w:rPr>
          <w:rFonts w:ascii="Arial" w:hAnsi="Arial" w:cs="Arial"/>
          <w:sz w:val="26"/>
          <w:szCs w:val="26"/>
        </w:rPr>
        <w:lastRenderedPageBreak/>
        <w:t xml:space="preserve">impedimento para que el nuevo titular resuelva sobre el fondo del asunto, con el apercibimiento que en caso de incumplir, se continuaría con los trámites del juicio; dejando sin efecto el señalamiento de la audiencia de ley.- - - - -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 xml:space="preserve">Por auto de tres de noviembre de dos mil veinte, se señaló fecha para la celebración de la audiencia final.- - - - - - - - - - - - - - - - - - - -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NOVENO. </w:t>
      </w:r>
      <w:r>
        <w:rPr>
          <w:rFonts w:ascii="Arial" w:hAnsi="Arial" w:cs="Arial"/>
          <w:sz w:val="26"/>
          <w:szCs w:val="26"/>
        </w:rPr>
        <w:t>Finalmente, el diecinueve de noviembre de dos mil veinte, se llevó a cabo la audiencia final, sin comparecencia de las partes ni persona alguna que legalmente las representara; se desahogaron las pruebas de las partes, se abrió el periodo de alegatos, se dio cuenta que ninguna de las partes presentaron escrito de alegatos, por lo que se declaró por precluído su derecho correspondiente; declarándose cerrada la etapa de instrucción; y, por último se citó a las partes para oír sentencia, misma que ahora se pronuncia.- - - - - - - - - - - - - - - - - - - - - - - - - - - - - - - - - - - - - -</w:t>
      </w:r>
      <w:r>
        <w:rPr>
          <w:rFonts w:ascii="Arial" w:hAnsi="Arial" w:cs="Arial"/>
          <w:sz w:val="26"/>
          <w:szCs w:val="26"/>
        </w:rPr>
        <w:t xml:space="preserve"> - - - - - - - - - - </w:t>
      </w:r>
    </w:p>
    <w:p w:rsidR="00AC164B" w:rsidRDefault="00AC164B" w:rsidP="00AC164B">
      <w:pPr>
        <w:pStyle w:val="Encabezado"/>
        <w:spacing w:before="240"/>
        <w:ind w:left="4248" w:hanging="4248"/>
        <w:jc w:val="center"/>
        <w:rPr>
          <w:rFonts w:ascii="Arial" w:hAnsi="Arial" w:cs="Arial"/>
          <w:b/>
          <w:sz w:val="26"/>
          <w:szCs w:val="26"/>
        </w:rPr>
      </w:pPr>
      <w:r>
        <w:rPr>
          <w:rFonts w:ascii="Arial" w:hAnsi="Arial" w:cs="Arial"/>
          <w:b/>
          <w:sz w:val="26"/>
          <w:szCs w:val="26"/>
        </w:rPr>
        <w:t>C O N S I D E R A N D O:</w:t>
      </w:r>
    </w:p>
    <w:p w:rsidR="00AC164B" w:rsidRDefault="00AC164B" w:rsidP="00AC164B">
      <w:pPr>
        <w:spacing w:before="240" w:line="360" w:lineRule="auto"/>
        <w:ind w:right="-93"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Esta Primera Sala Unitaria del Tribunal de Justicia Administrativa del Estado de Oaxaca, es competente para conocer del presente asunto en términos de lo dispuesto por </w:t>
      </w:r>
      <w:r>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Pr>
          <w:rFonts w:ascii="Arial" w:hAnsi="Arial" w:cs="Arial"/>
          <w:sz w:val="26"/>
          <w:szCs w:val="26"/>
        </w:rPr>
        <w:t xml:space="preserve">, por tratarse de un juicio de nulidad promovido en contra de una autoridad administrativa de carácter Fiscal.- - - - </w:t>
      </w:r>
      <w:r>
        <w:rPr>
          <w:rFonts w:ascii="Arial" w:hAnsi="Arial" w:cs="Arial"/>
          <w:sz w:val="26"/>
          <w:szCs w:val="26"/>
        </w:rPr>
        <w:t>- - - - - - - - - -</w:t>
      </w:r>
    </w:p>
    <w:p w:rsidR="00AC164B" w:rsidRDefault="00AC164B" w:rsidP="00AC164B">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La </w:t>
      </w:r>
      <w:r>
        <w:rPr>
          <w:rFonts w:ascii="Arial" w:hAnsi="Arial" w:cs="Arial"/>
          <w:b/>
          <w:sz w:val="26"/>
          <w:szCs w:val="26"/>
        </w:rPr>
        <w:t xml:space="preserve">personalidad </w:t>
      </w:r>
      <w:r>
        <w:rPr>
          <w:rFonts w:ascii="Arial" w:hAnsi="Arial" w:cs="Arial"/>
          <w:sz w:val="26"/>
          <w:szCs w:val="26"/>
        </w:rPr>
        <w:t xml:space="preserve">de las partes quedó acreditada, toda vez que la parte actora </w:t>
      </w:r>
      <w:r>
        <w:rPr>
          <w:rFonts w:ascii="Arial" w:hAnsi="Arial" w:cs="Arial"/>
          <w:sz w:val="24"/>
          <w:szCs w:val="24"/>
        </w:rPr>
        <w:t>**********</w:t>
      </w:r>
      <w:r>
        <w:rPr>
          <w:rFonts w:ascii="Arial" w:hAnsi="Arial" w:cs="Arial"/>
          <w:sz w:val="26"/>
          <w:szCs w:val="26"/>
        </w:rPr>
        <w:t>, promovió el juicio en su calidad de apoderado legal de la persona moral denominada “</w:t>
      </w:r>
      <w:r>
        <w:rPr>
          <w:rFonts w:ascii="Arial" w:hAnsi="Arial" w:cs="Arial"/>
          <w:sz w:val="24"/>
          <w:szCs w:val="24"/>
        </w:rPr>
        <w:t>**********</w:t>
      </w:r>
      <w:r>
        <w:rPr>
          <w:rFonts w:ascii="Arial" w:hAnsi="Arial" w:cs="Arial"/>
          <w:sz w:val="26"/>
          <w:szCs w:val="26"/>
        </w:rPr>
        <w:t>”, conforme lo previsto por el artículo 148 primer párrafo</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y la de la autoridad demandada no </w:t>
      </w:r>
      <w:r>
        <w:rPr>
          <w:rFonts w:ascii="Arial" w:hAnsi="Arial" w:cs="Arial"/>
          <w:sz w:val="26"/>
          <w:szCs w:val="26"/>
        </w:rPr>
        <w:lastRenderedPageBreak/>
        <w:t>fue impugnada, acreditándose así en términos del artículo 151</w:t>
      </w:r>
      <w:r>
        <w:rPr>
          <w:rStyle w:val="Refdenotaalpie"/>
          <w:rFonts w:ascii="Arial" w:hAnsi="Arial" w:cs="Arial"/>
          <w:sz w:val="26"/>
          <w:szCs w:val="26"/>
        </w:rPr>
        <w:footnoteReference w:id="2"/>
      </w:r>
      <w:r>
        <w:rPr>
          <w:rFonts w:ascii="Arial" w:hAnsi="Arial" w:cs="Arial"/>
          <w:sz w:val="26"/>
          <w:szCs w:val="26"/>
        </w:rPr>
        <w:t xml:space="preserve"> de la Ley en cita.- - - - - - - - - - - - - - - - - - - - - - - - - - - - - - - - - - - - - - - - - - - - - - - - -</w:t>
      </w:r>
      <w:r>
        <w:rPr>
          <w:rFonts w:ascii="Arial" w:hAnsi="Arial" w:cs="Arial"/>
          <w:sz w:val="26"/>
          <w:szCs w:val="26"/>
        </w:rPr>
        <w:t xml:space="preserve"> - -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TERCERO. Causales de Improcedencia y Sobreseimiento</w:t>
      </w:r>
      <w:r>
        <w:rPr>
          <w:rFonts w:ascii="Arial" w:hAnsi="Arial" w:cs="Arial"/>
          <w:sz w:val="26"/>
          <w:szCs w:val="26"/>
        </w:rPr>
        <w:t>. La autoridad demandada, no hizo valer alguna en el presente juicio; sin embargo, considerando que son de orden público y de estudio preferente a cualquier otra cuestión y derivado del imperioso estudio oficioso que especifica el artículo 161 última parte</w:t>
      </w:r>
      <w:r>
        <w:rPr>
          <w:rStyle w:val="Refdenotaalpie"/>
          <w:rFonts w:ascii="Arial" w:hAnsi="Arial" w:cs="Arial"/>
          <w:sz w:val="26"/>
          <w:szCs w:val="26"/>
        </w:rPr>
        <w:footnoteReference w:id="3"/>
      </w:r>
      <w:r>
        <w:rPr>
          <w:rFonts w:ascii="Arial" w:hAnsi="Arial" w:cs="Arial"/>
          <w:sz w:val="26"/>
          <w:szCs w:val="26"/>
        </w:rPr>
        <w:t xml:space="preserve"> de la Ley de la materia respecto a dichas causales, se establece que esta Sala no advierte que en el presente caso, se actualice causal de improcedencia ni sobreseimiento alguna, consecuentemente </w:t>
      </w:r>
      <w:r>
        <w:rPr>
          <w:rFonts w:ascii="Arial" w:hAnsi="Arial" w:cs="Arial"/>
          <w:b/>
          <w:sz w:val="26"/>
          <w:szCs w:val="26"/>
        </w:rPr>
        <w:t>no se sobresee</w:t>
      </w:r>
      <w:r>
        <w:rPr>
          <w:rFonts w:ascii="Arial" w:hAnsi="Arial" w:cs="Arial"/>
          <w:sz w:val="26"/>
          <w:szCs w:val="26"/>
        </w:rPr>
        <w:t xml:space="preserve"> el juicio. - - - - - - - - - - - - - - - - - - - - - - - </w:t>
      </w:r>
      <w:r>
        <w:rPr>
          <w:rFonts w:ascii="Arial" w:hAnsi="Arial" w:cs="Arial"/>
          <w:sz w:val="26"/>
          <w:szCs w:val="26"/>
        </w:rPr>
        <w:t>- - - - - - - - - - - - - - - - - - -</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AC164B" w:rsidRDefault="00AC164B" w:rsidP="00AC164B">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AC164B" w:rsidRDefault="00AC164B" w:rsidP="00AC164B">
      <w:pPr>
        <w:spacing w:before="240" w:line="360" w:lineRule="auto"/>
        <w:ind w:firstLine="567"/>
        <w:jc w:val="both"/>
        <w:rPr>
          <w:rFonts w:ascii="Arial" w:hAnsi="Arial" w:cs="Arial"/>
          <w:sz w:val="26"/>
          <w:szCs w:val="26"/>
        </w:rPr>
      </w:pPr>
      <w:r>
        <w:rPr>
          <w:rFonts w:ascii="Arial" w:hAnsi="Arial" w:cs="Arial"/>
          <w:b/>
          <w:sz w:val="26"/>
          <w:szCs w:val="26"/>
        </w:rPr>
        <w:lastRenderedPageBreak/>
        <w:t xml:space="preserve">QUINTO. </w:t>
      </w:r>
      <w:r>
        <w:rPr>
          <w:rFonts w:ascii="Arial" w:hAnsi="Arial" w:cs="Arial"/>
          <w:sz w:val="26"/>
          <w:szCs w:val="26"/>
        </w:rPr>
        <w:t xml:space="preserve">El actor </w:t>
      </w:r>
      <w:r>
        <w:rPr>
          <w:rFonts w:ascii="Arial" w:hAnsi="Arial" w:cs="Arial"/>
          <w:sz w:val="24"/>
          <w:szCs w:val="24"/>
        </w:rPr>
        <w:t>**********</w:t>
      </w:r>
      <w:r>
        <w:rPr>
          <w:rFonts w:ascii="Arial" w:hAnsi="Arial" w:cs="Arial"/>
          <w:sz w:val="26"/>
          <w:szCs w:val="26"/>
        </w:rPr>
        <w:t>, Apoderado Legal de la persona moral “</w:t>
      </w:r>
      <w:r>
        <w:rPr>
          <w:rFonts w:ascii="Arial" w:hAnsi="Arial" w:cs="Arial"/>
          <w:sz w:val="24"/>
          <w:szCs w:val="24"/>
        </w:rPr>
        <w:t xml:space="preserve">**********” </w:t>
      </w:r>
      <w:r>
        <w:rPr>
          <w:rFonts w:ascii="Arial" w:hAnsi="Arial" w:cs="Arial"/>
          <w:sz w:val="26"/>
          <w:szCs w:val="26"/>
        </w:rPr>
        <w:t xml:space="preserve">demandó la nulidad de la multa por infracción relacionada con la presentación de declaraciones del impuesto sobre erogaciones por remuneraciones al trabajo personal, con número de control </w:t>
      </w:r>
      <w:r>
        <w:rPr>
          <w:rFonts w:ascii="Arial" w:hAnsi="Arial" w:cs="Arial"/>
          <w:sz w:val="24"/>
          <w:szCs w:val="24"/>
        </w:rPr>
        <w:t>**********</w:t>
      </w:r>
      <w:r>
        <w:rPr>
          <w:rFonts w:ascii="Arial" w:hAnsi="Arial" w:cs="Arial"/>
          <w:sz w:val="26"/>
          <w:szCs w:val="26"/>
        </w:rPr>
        <w:t xml:space="preserve"> de veinticinco de junio de dos mil diecinueve, emitida por la Directora de Ingresos y Recaudación de la Subsecretaría de Ingresos de la Secretaría de Finanzas del Gobierno del Estado de Oaxaca.- - - - - - - - - - - - - - - - - - - - - - - - - - -</w:t>
      </w:r>
      <w:r>
        <w:rPr>
          <w:rFonts w:ascii="Arial" w:hAnsi="Arial" w:cs="Arial"/>
          <w:sz w:val="26"/>
          <w:szCs w:val="26"/>
        </w:rPr>
        <w:t xml:space="preserve"> - - </w:t>
      </w:r>
    </w:p>
    <w:p w:rsidR="00AC164B" w:rsidRDefault="00AC164B" w:rsidP="00AC164B">
      <w:pPr>
        <w:pStyle w:val="Sinespaciado"/>
        <w:spacing w:before="240" w:line="360" w:lineRule="auto"/>
        <w:ind w:firstLine="708"/>
        <w:jc w:val="both"/>
        <w:rPr>
          <w:rFonts w:ascii="Arial" w:hAnsi="Arial" w:cs="Arial"/>
          <w:sz w:val="26"/>
          <w:szCs w:val="26"/>
        </w:rPr>
      </w:pPr>
      <w:r>
        <w:rPr>
          <w:rFonts w:ascii="Arial" w:hAnsi="Arial" w:cs="Arial"/>
          <w:sz w:val="26"/>
          <w:szCs w:val="26"/>
        </w:rPr>
        <w:t>Pues cuestión de método, se analiza el concepto de impugnación marcado como tercero; en el que el demandante señala que la resolución que impugna es ilegal, al no encontrarse debidamente fundada y motivada, como lo disponen los artículos 16 de la Constitución Política de los Estados Unidos Mexicanos; 2 párrafo tercero y 14 de la Constitución Política del estado Libre y Soberano del Estado de Oaxaca; en relación con el artículo 122 fracción IV del Código Fiscal para el Estado de Oaxaca; porque la demandada no citó los dispositivos legales que le concedan facultades para la realización de los actos que dieron origen y respecto de los cuales apoya la emisión e imposición de la sanción emitida en contra de su representada; es decir, no citó el precepto legal, que le faculta para realizar revisiones de manera minuciosa en el Registro Estatal de Contribuyentes con que cuenta la Secretaría de Finanzas del Poder Ejecutivo del Estado de Oaxaca.- - - - -</w:t>
      </w:r>
      <w:r>
        <w:rPr>
          <w:rFonts w:ascii="Arial" w:hAnsi="Arial" w:cs="Arial"/>
          <w:sz w:val="26"/>
          <w:szCs w:val="26"/>
        </w:rPr>
        <w:t xml:space="preserve"> - -</w:t>
      </w:r>
    </w:p>
    <w:p w:rsidR="00AC164B" w:rsidRDefault="00AC164B" w:rsidP="00AC164B">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Al respecto la autoridad demandada por conducto de la Directora de lo Contencioso de la Procuraduría Fiscal de la Subsecretaría de Ingresos de la Secretaría de Finanzas del Poder Ejecutivo del Estado de Oaxaca, únicamente se </w:t>
      </w:r>
      <w:proofErr w:type="spellStart"/>
      <w:r>
        <w:rPr>
          <w:rFonts w:ascii="Arial" w:hAnsi="Arial" w:cs="Arial"/>
          <w:sz w:val="26"/>
          <w:szCs w:val="26"/>
        </w:rPr>
        <w:t>concreto</w:t>
      </w:r>
      <w:proofErr w:type="spellEnd"/>
      <w:r>
        <w:rPr>
          <w:rFonts w:ascii="Arial" w:hAnsi="Arial" w:cs="Arial"/>
          <w:sz w:val="26"/>
          <w:szCs w:val="26"/>
        </w:rPr>
        <w:t xml:space="preserve"> a señalar que son infundados los conceptos de impugnación planteados, porque la autoridad fiscal fundó y motivó el acto impugnado de conformidad con las leyes esenciales del procedimiento, en cuanto a la competencia.- - - - - - - - - - - - - - - - - - - - - - - - - - - - - - - - - - -</w:t>
      </w:r>
      <w:r>
        <w:rPr>
          <w:rFonts w:ascii="Arial" w:hAnsi="Arial" w:cs="Arial"/>
          <w:sz w:val="26"/>
          <w:szCs w:val="26"/>
        </w:rPr>
        <w:t xml:space="preserve"> - - -</w:t>
      </w:r>
    </w:p>
    <w:p w:rsidR="00AC164B" w:rsidRDefault="00AC164B" w:rsidP="00AC164B">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al acto impugnado multa por infracción relacionada con la presentación de declaraciones del impuesto sobre erogaciones por remuneraciones al trabajo personal, con número de control </w:t>
      </w:r>
      <w:r>
        <w:rPr>
          <w:rFonts w:ascii="Arial" w:hAnsi="Arial" w:cs="Arial"/>
          <w:sz w:val="24"/>
          <w:szCs w:val="24"/>
        </w:rPr>
        <w:t>**********</w:t>
      </w:r>
      <w:r>
        <w:rPr>
          <w:rFonts w:ascii="Arial" w:hAnsi="Arial" w:cs="Arial"/>
          <w:sz w:val="26"/>
          <w:szCs w:val="26"/>
        </w:rPr>
        <w:t xml:space="preserve"> de veinticinco de junio de dos mil diecinueve, agregada a (foja 35) y a la que se le otorga pleno valor probatorio conforme lo previsto por el artículo 203 </w:t>
      </w:r>
      <w:proofErr w:type="gramStart"/>
      <w:r>
        <w:rPr>
          <w:rFonts w:ascii="Arial" w:hAnsi="Arial" w:cs="Arial"/>
          <w:sz w:val="26"/>
          <w:szCs w:val="26"/>
        </w:rPr>
        <w:t>fracción</w:t>
      </w:r>
      <w:proofErr w:type="gramEnd"/>
      <w:r>
        <w:rPr>
          <w:rFonts w:ascii="Arial" w:hAnsi="Arial" w:cs="Arial"/>
          <w:sz w:val="26"/>
          <w:szCs w:val="26"/>
        </w:rPr>
        <w:t xml:space="preserve">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w:t>
      </w:r>
      <w:r>
        <w:rPr>
          <w:rFonts w:ascii="Arial" w:hAnsi="Arial" w:cs="Arial"/>
          <w:sz w:val="26"/>
          <w:szCs w:val="26"/>
        </w:rPr>
        <w:lastRenderedPageBreak/>
        <w:t>de Oaxaca; se obtiene que la demandada, para fundar su competencia para determinar el crédito fiscal en análisis citó:</w:t>
      </w:r>
    </w:p>
    <w:p w:rsidR="00AC164B" w:rsidRDefault="00AC164B" w:rsidP="00AC164B">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Pr>
          <w:rFonts w:ascii="Arial" w:hAnsi="Arial" w:cs="Arial"/>
          <w:i/>
          <w:sz w:val="24"/>
          <w:szCs w:val="24"/>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 63, 64, 65, 66 y 69 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rsidR="00AC164B" w:rsidRDefault="00AC164B" w:rsidP="00AC164B">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Sin embargo, fue omisa en indicar lo dispuesto por el artículo 97 del Código Fiscal para el Estado de Oaxaca, precepto legal del que deriva la competencia de la autoridad demandada para emitir el acto impugnado, al ser el que contiene su facultad para realizar revisiones a las bases de datos que tenga en su poder y poder utilizarlo como motivación de las resoluciones que emita; como a continuación se ve del texto del referido precepto legal:- - - - - </w:t>
      </w:r>
    </w:p>
    <w:p w:rsidR="00AC164B" w:rsidRDefault="00AC164B" w:rsidP="00AC164B">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Pr>
          <w:rFonts w:ascii="Arial" w:hAnsi="Arial" w:cs="Arial"/>
          <w:b/>
          <w:i/>
          <w:sz w:val="24"/>
          <w:szCs w:val="24"/>
        </w:rPr>
        <w:t>ARTÍCULO 97</w:t>
      </w:r>
      <w:r>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rsidR="00AC164B" w:rsidRDefault="00AC164B" w:rsidP="00AC164B">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Ello, tomando en consideración que fue la propia demandada quien en su acto precisó:- - - - - - - - - - - - - - - - - - - - - - - - - - - - - - - - - - - - - - - - - - </w:t>
      </w:r>
      <w:r>
        <w:rPr>
          <w:rFonts w:ascii="Arial" w:hAnsi="Arial" w:cs="Arial"/>
          <w:sz w:val="26"/>
          <w:szCs w:val="26"/>
        </w:rPr>
        <w:t xml:space="preserve">- - </w:t>
      </w:r>
    </w:p>
    <w:p w:rsidR="00AC164B" w:rsidRDefault="00AC164B" w:rsidP="00AC164B">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i/>
          <w:sz w:val="24"/>
          <w:szCs w:val="24"/>
        </w:rPr>
        <w:t>se realizó una revisión minuciosa en el Registro Estatal de Contribuyentes con que cuenta la Secretaría; la cual contiene los registros contables en materia de declaraciones y pagos</w:t>
      </w:r>
      <w:r>
        <w:rPr>
          <w:rFonts w:ascii="Arial" w:hAnsi="Arial" w:cs="Arial"/>
          <w:sz w:val="26"/>
          <w:szCs w:val="26"/>
        </w:rPr>
        <w:t>”</w:t>
      </w:r>
    </w:p>
    <w:p w:rsidR="00AC164B" w:rsidRDefault="00AC164B" w:rsidP="00AC164B">
      <w:pPr>
        <w:pStyle w:val="Sinespaciado"/>
        <w:spacing w:before="240" w:line="360" w:lineRule="auto"/>
        <w:ind w:firstLine="1134"/>
        <w:jc w:val="both"/>
        <w:rPr>
          <w:rFonts w:ascii="Arial" w:hAnsi="Arial" w:cs="Arial"/>
          <w:sz w:val="26"/>
          <w:szCs w:val="26"/>
        </w:rPr>
      </w:pPr>
      <w:r>
        <w:rPr>
          <w:rFonts w:ascii="Arial" w:hAnsi="Arial" w:cs="Arial"/>
          <w:sz w:val="26"/>
          <w:szCs w:val="26"/>
        </w:rPr>
        <w:t>Por lo que al haber ejecutado tal señalamiento, es que se encontraba obligada a citar el fundamento legal que la facultad para realizar la refreída revisión, y así cumplir con su obligación de fundar y motivar debidamente su competencia, como lo consagra el artículo 16</w:t>
      </w:r>
      <w:r>
        <w:rPr>
          <w:rStyle w:val="Refdenotaalpie"/>
          <w:rFonts w:ascii="Arial" w:hAnsi="Arial" w:cs="Arial"/>
          <w:sz w:val="26"/>
          <w:szCs w:val="26"/>
        </w:rPr>
        <w:footnoteReference w:id="5"/>
      </w:r>
      <w:r>
        <w:rPr>
          <w:rFonts w:ascii="Arial" w:hAnsi="Arial" w:cs="Arial"/>
          <w:sz w:val="26"/>
          <w:szCs w:val="26"/>
        </w:rPr>
        <w:t xml:space="preserve"> de la Constitución Política de los Estados Unidos Mexicanos; mismo que establece que todo acto de autoridad debe estar suficientemente fundado y motivado; entendiéndose por fundamentación a que debe expresarse con precisión 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entonces el acto administrativo resulte legal.- - - - - - </w:t>
      </w:r>
    </w:p>
    <w:p w:rsidR="00AC164B" w:rsidRDefault="00AC164B" w:rsidP="00AC164B">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el Segundo Tribunal Colegiado del Quinto Circuito, en su octava época, publicada en la Gaceta del Semanario Judicial de la Federación, bajo el número 54, de junio de 1992, y visible a página 49, bajo el rubro y texto del tenor literal siguientes: - - - - - - - - - - - - - - - - - - - - - - -  - - - -  - - - - </w:t>
      </w:r>
      <w:r>
        <w:rPr>
          <w:rFonts w:ascii="Arial" w:hAnsi="Arial" w:cs="Arial"/>
          <w:sz w:val="26"/>
          <w:szCs w:val="26"/>
        </w:rPr>
        <w:t xml:space="preserve">- - - - </w:t>
      </w:r>
    </w:p>
    <w:p w:rsidR="00AC164B" w:rsidRDefault="00AC164B" w:rsidP="00AC164B">
      <w:pPr>
        <w:spacing w:after="120" w:line="360" w:lineRule="auto"/>
        <w:ind w:left="1134" w:right="777"/>
        <w:jc w:val="both"/>
        <w:rPr>
          <w:rFonts w:ascii="Arial" w:hAnsi="Arial" w:cs="Arial"/>
          <w:i/>
          <w:sz w:val="22"/>
          <w:szCs w:val="22"/>
        </w:rPr>
      </w:pPr>
      <w:r>
        <w:t>“</w:t>
      </w:r>
      <w:r>
        <w:rPr>
          <w:rFonts w:ascii="Arial" w:hAnsi="Arial" w:cs="Arial"/>
          <w:b/>
          <w:i/>
          <w:sz w:val="24"/>
          <w:szCs w:val="24"/>
        </w:rPr>
        <w:t>FUNDAMENTACIÓN Y MOTIVACIÓN</w:t>
      </w:r>
      <w:r>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w:t>
      </w:r>
      <w:r>
        <w:rPr>
          <w:rFonts w:ascii="Arial" w:hAnsi="Arial" w:cs="Arial"/>
          <w:i/>
          <w:sz w:val="24"/>
          <w:szCs w:val="24"/>
        </w:rPr>
        <w:lastRenderedPageBreak/>
        <w:t>normas aplicables, es decir, que en el caso concreto se configuren las hipótesis normativas.</w:t>
      </w:r>
      <w:r>
        <w:rPr>
          <w:rFonts w:ascii="Arial" w:hAnsi="Arial" w:cs="Arial"/>
          <w:i/>
        </w:rPr>
        <w:t>”</w:t>
      </w:r>
    </w:p>
    <w:p w:rsidR="00AC164B" w:rsidRDefault="00AC164B" w:rsidP="00AC164B">
      <w:pPr>
        <w:tabs>
          <w:tab w:val="left" w:pos="9072"/>
        </w:tabs>
        <w:autoSpaceDE w:val="0"/>
        <w:autoSpaceDN w:val="0"/>
        <w:adjustRightInd w:val="0"/>
        <w:spacing w:before="240" w:line="360" w:lineRule="auto"/>
        <w:ind w:right="-283" w:firstLine="709"/>
        <w:jc w:val="both"/>
        <w:rPr>
          <w:rFonts w:ascii="Arial" w:hAnsi="Arial" w:cs="Arial"/>
          <w:bCs/>
          <w:sz w:val="26"/>
          <w:szCs w:val="26"/>
        </w:rPr>
      </w:pPr>
      <w:r>
        <w:rPr>
          <w:rFonts w:ascii="Arial" w:hAnsi="Arial" w:cs="Arial"/>
          <w:bCs/>
          <w:sz w:val="26"/>
          <w:szCs w:val="26"/>
        </w:rPr>
        <w:t>Así como, la tesis aislada sustentada por el Tercer Tribunal Colegiado en materia Administrativa del Primer Circuito, publicada en el Semanario Judicial de la Federación, en la Séptima Época, volumen 205-216, sexta parte, página 112, Materia Administrativa, bajo el rubro y texto siguientes:</w:t>
      </w:r>
      <w:r>
        <w:rPr>
          <w:rFonts w:ascii="Arial" w:hAnsi="Arial" w:cs="Arial"/>
          <w:sz w:val="26"/>
          <w:szCs w:val="26"/>
        </w:rPr>
        <w:t xml:space="preserve"> - - - - - - - - </w:t>
      </w:r>
    </w:p>
    <w:p w:rsidR="00AC164B" w:rsidRDefault="00AC164B" w:rsidP="00AC164B">
      <w:pPr>
        <w:pStyle w:val="Sinespaciado"/>
        <w:spacing w:line="360" w:lineRule="auto"/>
        <w:ind w:left="1134" w:right="760"/>
        <w:jc w:val="both"/>
        <w:rPr>
          <w:rFonts w:ascii="Arial" w:hAnsi="Arial" w:cs="Arial"/>
          <w:bCs/>
          <w:sz w:val="26"/>
          <w:szCs w:val="26"/>
          <w:lang w:val="es-ES"/>
        </w:rPr>
      </w:pPr>
      <w:r>
        <w:rPr>
          <w:rFonts w:ascii="Arial" w:hAnsi="Arial" w:cs="Arial"/>
          <w:sz w:val="26"/>
          <w:szCs w:val="26"/>
          <w:lang w:val="es-ES"/>
        </w:rPr>
        <w:t>“</w:t>
      </w:r>
      <w:r>
        <w:rPr>
          <w:rFonts w:ascii="Arial" w:hAnsi="Arial" w:cs="Arial"/>
          <w:b/>
          <w:i/>
          <w:sz w:val="24"/>
          <w:szCs w:val="24"/>
          <w:lang w:eastAsia="es-MX"/>
        </w:rPr>
        <w:t>COMPETENCIA DE LA AUTORIDAD ADMINISTRATIVA EMISORA DE UNA RESOLUCION. DEBE FUNDARSE EN EL CUERPO MISMO DEL DOCUMENTO</w:t>
      </w:r>
      <w:r>
        <w:rPr>
          <w:rFonts w:ascii="Arial" w:hAnsi="Arial" w:cs="Arial"/>
          <w:i/>
          <w:sz w:val="24"/>
          <w:szCs w:val="24"/>
          <w:lang w:eastAsia="es-MX"/>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w:t>
      </w:r>
      <w:r>
        <w:rPr>
          <w:rFonts w:ascii="Arial" w:hAnsi="Arial" w:cs="Arial"/>
          <w:i/>
          <w:sz w:val="24"/>
          <w:szCs w:val="24"/>
          <w:lang w:eastAsia="es-MX"/>
        </w:rPr>
        <w:lastRenderedPageBreak/>
        <w:t>(motivación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lang w:val="es-ES"/>
        </w:rPr>
        <w:t>”</w:t>
      </w:r>
    </w:p>
    <w:p w:rsidR="00AC164B" w:rsidRDefault="00AC164B" w:rsidP="00AC164B">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Lo anterior evidencia que la demandada incumplió con la obligación que tiene de fundar y motivar su acto, pues omite citar el precepto legal que lo faculta para emitir el acto impugnado, transgrediendo con ello, lo dispuesto por el artículo 17 fracción V</w:t>
      </w:r>
      <w:r>
        <w:rPr>
          <w:rStyle w:val="Refdenotaalpie"/>
          <w:rFonts w:ascii="Arial" w:hAnsi="Arial" w:cs="Arial"/>
          <w:sz w:val="26"/>
          <w:szCs w:val="26"/>
        </w:rPr>
        <w:footnoteReference w:id="6"/>
      </w:r>
      <w:r>
        <w:rPr>
          <w:rFonts w:ascii="Arial" w:hAnsi="Arial" w:cs="Arial"/>
          <w:sz w:val="26"/>
          <w:szCs w:val="26"/>
        </w:rPr>
        <w:t xml:space="preserve"> de la Ley de Procedimiento y Justicia Administrativa para el Estado de Oaxaca; y con ello su </w:t>
      </w:r>
      <w:r>
        <w:rPr>
          <w:rFonts w:ascii="Arial" w:hAnsi="Arial" w:cs="Arial"/>
          <w:bCs/>
          <w:sz w:val="26"/>
          <w:szCs w:val="26"/>
          <w:lang w:val="es-ES"/>
        </w:rPr>
        <w:t xml:space="preserve">validez; por lo que, resulta procedente declarar la </w:t>
      </w:r>
      <w:r>
        <w:rPr>
          <w:rFonts w:ascii="Arial" w:hAnsi="Arial" w:cs="Arial"/>
          <w:b/>
          <w:bCs/>
          <w:sz w:val="26"/>
          <w:szCs w:val="26"/>
          <w:lang w:val="es-ES"/>
        </w:rPr>
        <w:t>NULIDAD LISA Y LLANA</w:t>
      </w:r>
      <w:r>
        <w:rPr>
          <w:rFonts w:ascii="Arial" w:hAnsi="Arial" w:cs="Arial"/>
          <w:bCs/>
          <w:sz w:val="26"/>
          <w:szCs w:val="26"/>
          <w:lang w:val="es-ES"/>
        </w:rPr>
        <w:t xml:space="preserve"> de la </w:t>
      </w:r>
      <w:r>
        <w:rPr>
          <w:rFonts w:ascii="Arial" w:hAnsi="Arial" w:cs="Arial"/>
          <w:sz w:val="26"/>
          <w:szCs w:val="26"/>
        </w:rPr>
        <w:t xml:space="preserve">multa por infracción relacionada con la presentación de declaraciones del impuesto sobre erogaciones por remuneraciones al trabajo personal, con número de control </w:t>
      </w:r>
      <w:r>
        <w:rPr>
          <w:rFonts w:ascii="Arial" w:hAnsi="Arial" w:cs="Arial"/>
          <w:sz w:val="24"/>
          <w:szCs w:val="24"/>
        </w:rPr>
        <w:t>**********</w:t>
      </w:r>
      <w:r>
        <w:rPr>
          <w:rFonts w:ascii="Arial" w:hAnsi="Arial" w:cs="Arial"/>
          <w:sz w:val="26"/>
          <w:szCs w:val="26"/>
        </w:rPr>
        <w:t xml:space="preserve"> de veinticinco de junio de dos mil diecinueve</w:t>
      </w:r>
      <w:r>
        <w:rPr>
          <w:rFonts w:ascii="Arial" w:hAnsi="Arial" w:cs="Arial"/>
          <w:bCs/>
          <w:sz w:val="26"/>
          <w:szCs w:val="26"/>
        </w:rPr>
        <w:t xml:space="preserve">.- - - </w:t>
      </w:r>
      <w:r>
        <w:rPr>
          <w:rFonts w:ascii="Arial" w:hAnsi="Arial" w:cs="Arial"/>
          <w:bCs/>
          <w:sz w:val="26"/>
          <w:szCs w:val="26"/>
        </w:rPr>
        <w:t xml:space="preserve">- - - - - - - - </w:t>
      </w:r>
    </w:p>
    <w:p w:rsidR="00AC164B" w:rsidRDefault="00AC164B" w:rsidP="00AC164B">
      <w:pPr>
        <w:autoSpaceDE w:val="0"/>
        <w:autoSpaceDN w:val="0"/>
        <w:adjustRightInd w:val="0"/>
        <w:spacing w:before="240" w:line="360" w:lineRule="auto"/>
        <w:ind w:right="283" w:firstLine="708"/>
        <w:jc w:val="both"/>
        <w:rPr>
          <w:rFonts w:ascii="Arial" w:hAnsi="Arial" w:cs="Arial"/>
          <w:bCs/>
          <w:sz w:val="26"/>
          <w:szCs w:val="26"/>
        </w:rPr>
      </w:pPr>
      <w:r>
        <w:rPr>
          <w:rFonts w:ascii="Arial" w:hAnsi="Arial" w:cs="Arial"/>
          <w:bCs/>
          <w:sz w:val="26"/>
          <w:szCs w:val="26"/>
        </w:rPr>
        <w:t xml:space="preserve">Cabe puntualizar que como se ha declarado la nulidad lisa y llana del acto impugnado, resulta innecesario el análisis de los restantes conceptos de impugnación, virtud que de hacerlo en nada variaría el resultado del fallo, pues con el ya estudiado y resultar fundado, fue suficiente para declarar la nulidad del acto impugnado, pretensión principal de la actora.- </w:t>
      </w:r>
    </w:p>
    <w:p w:rsidR="00AC164B" w:rsidRDefault="00AC164B" w:rsidP="00AC164B">
      <w:pPr>
        <w:autoSpaceDE w:val="0"/>
        <w:autoSpaceDN w:val="0"/>
        <w:adjustRightInd w:val="0"/>
        <w:spacing w:line="360" w:lineRule="auto"/>
        <w:ind w:right="283" w:firstLine="567"/>
        <w:jc w:val="both"/>
        <w:rPr>
          <w:rFonts w:ascii="Arial" w:hAnsi="Arial" w:cs="Arial"/>
          <w:bCs/>
          <w:sz w:val="26"/>
          <w:szCs w:val="26"/>
        </w:rPr>
      </w:pPr>
      <w:r>
        <w:rPr>
          <w:rFonts w:ascii="Arial" w:hAnsi="Arial" w:cs="Arial"/>
          <w:bCs/>
          <w:sz w:val="26"/>
          <w:szCs w:val="26"/>
        </w:rPr>
        <w:lastRenderedPageBreak/>
        <w:t>Al respecto es aplicable la Jurisprudencia 1.2°.AJ./23 del Segundo Tribunal Colegiado  en materia Administrativa del Primer Circuito, publicada en el semanario Judicial de la Federación, del mes de agosto de 1999, página 647, que establece:</w:t>
      </w:r>
      <w:r>
        <w:rPr>
          <w:rFonts w:ascii="Arial" w:hAnsi="Arial" w:cs="Arial"/>
          <w:sz w:val="26"/>
          <w:szCs w:val="26"/>
        </w:rPr>
        <w:t xml:space="preserve"> - - - - - - - - - - - - - - - - - - - - - - - - - - - </w:t>
      </w:r>
      <w:r>
        <w:rPr>
          <w:rFonts w:ascii="Arial" w:hAnsi="Arial" w:cs="Arial"/>
          <w:sz w:val="26"/>
          <w:szCs w:val="26"/>
        </w:rPr>
        <w:t xml:space="preserve">- - </w:t>
      </w:r>
    </w:p>
    <w:p w:rsidR="00AC164B" w:rsidRDefault="00AC164B" w:rsidP="00AC164B">
      <w:pPr>
        <w:autoSpaceDE w:val="0"/>
        <w:autoSpaceDN w:val="0"/>
        <w:adjustRightInd w:val="0"/>
        <w:spacing w:before="240" w:line="360" w:lineRule="auto"/>
        <w:ind w:left="1134" w:right="616"/>
        <w:jc w:val="both"/>
        <w:rPr>
          <w:rFonts w:ascii="Arial" w:hAnsi="Arial" w:cs="Arial"/>
          <w:bCs/>
          <w:sz w:val="26"/>
          <w:szCs w:val="26"/>
          <w:lang w:val="es-MX"/>
        </w:rPr>
      </w:pPr>
      <w:r>
        <w:rPr>
          <w:rFonts w:ascii="Arial" w:hAnsi="Arial" w:cs="Arial"/>
          <w:bCs/>
          <w:sz w:val="26"/>
          <w:szCs w:val="26"/>
        </w:rPr>
        <w:t>“</w:t>
      </w:r>
      <w:r>
        <w:rPr>
          <w:rFonts w:ascii="Arial" w:hAnsi="Arial" w:cs="Arial"/>
          <w:b/>
          <w:bCs/>
          <w:i/>
        </w:rPr>
        <w:t>CONCEPTOS DE ANULACION. LA EXIGENCIA DE EXAMINARLOS EXHAUSTIVAMENTE DEBE PONDERARSE A LA LUZ DE CADA CONTROVERSIA EN PARTICULAR</w:t>
      </w:r>
      <w:r>
        <w:rPr>
          <w:rFonts w:ascii="Arial" w:hAnsi="Arial" w:cs="Arial"/>
          <w:bCs/>
          <w:i/>
          <w:sz w:val="26"/>
          <w:szCs w:val="26"/>
        </w:rPr>
        <w:t xml:space="preserve">. </w:t>
      </w:r>
      <w:r>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Pr>
          <w:rFonts w:ascii="Arial" w:hAnsi="Arial" w:cs="Arial"/>
          <w:bCs/>
          <w:i/>
          <w:sz w:val="24"/>
          <w:szCs w:val="24"/>
        </w:rPr>
        <w:t>litis</w:t>
      </w:r>
      <w:proofErr w:type="spellEnd"/>
      <w:r>
        <w:rPr>
          <w:rFonts w:ascii="Arial" w:hAnsi="Arial" w:cs="Arial"/>
          <w:bCs/>
          <w:i/>
          <w:sz w:val="24"/>
          <w:szCs w:val="24"/>
        </w:rPr>
        <w:t xml:space="preserve">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Pr>
          <w:rFonts w:ascii="Arial" w:hAnsi="Arial" w:cs="Arial"/>
          <w:bCs/>
          <w:sz w:val="26"/>
          <w:szCs w:val="26"/>
        </w:rPr>
        <w:t>”</w:t>
      </w:r>
    </w:p>
    <w:p w:rsidR="00AC164B" w:rsidRDefault="00AC164B" w:rsidP="00AC164B">
      <w:pPr>
        <w:spacing w:before="240" w:line="360" w:lineRule="auto"/>
        <w:ind w:right="49" w:firstLine="708"/>
        <w:jc w:val="both"/>
        <w:rPr>
          <w:rFonts w:ascii="Arial" w:hAnsi="Arial" w:cs="Arial"/>
          <w:sz w:val="26"/>
          <w:szCs w:val="26"/>
        </w:rPr>
      </w:pPr>
      <w:r>
        <w:rPr>
          <w:rFonts w:ascii="Arial" w:hAnsi="Arial" w:cs="Arial"/>
          <w:sz w:val="26"/>
          <w:szCs w:val="26"/>
        </w:rPr>
        <w:t xml:space="preserve">Por lo expuesto y con fundamento en los artículos 207, 208 fracción II y 209 de Ley de Procedimiento y Justicia Administrativa para el Estado de Oaxaca, se; - - - - - - - - - - - - - - - - - - - - - - - - - - - - - - - - - - - - - - - - - - - - - </w:t>
      </w:r>
    </w:p>
    <w:p w:rsidR="00AC164B" w:rsidRDefault="00AC164B" w:rsidP="00AC164B">
      <w:pPr>
        <w:spacing w:before="240" w:line="360" w:lineRule="auto"/>
        <w:ind w:right="49" w:firstLine="708"/>
        <w:jc w:val="center"/>
        <w:rPr>
          <w:rFonts w:ascii="Arial" w:hAnsi="Arial" w:cs="Arial"/>
          <w:b/>
          <w:sz w:val="26"/>
          <w:szCs w:val="26"/>
        </w:rPr>
      </w:pPr>
      <w:r>
        <w:rPr>
          <w:rFonts w:ascii="Arial" w:hAnsi="Arial" w:cs="Arial"/>
          <w:b/>
          <w:sz w:val="26"/>
          <w:szCs w:val="26"/>
        </w:rPr>
        <w:t>R E S U E L V E:</w:t>
      </w:r>
    </w:p>
    <w:p w:rsidR="00AC164B" w:rsidRDefault="00AC164B" w:rsidP="00AC164B">
      <w:pPr>
        <w:spacing w:before="24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Esta Primera Sala Unitaria de este Tribunal de Justicia Administrativa para el Estado de Oaxaca, fue competente para conocer y resolver del presente asunto. - - - - - - - - - - - - - - - - - - - - - - - - - - - - - - - - - - </w:t>
      </w:r>
    </w:p>
    <w:p w:rsidR="00AC164B" w:rsidRDefault="00AC164B" w:rsidP="00AC164B">
      <w:pPr>
        <w:spacing w:before="240" w:line="360" w:lineRule="auto"/>
        <w:ind w:right="49" w:firstLine="567"/>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La personalidad de las partes quedó acreditada en autos.- - - - - - - - -- - - - - - - - - - - - - - - - - - - - - - - - - - - - - - - - - - - - - - - - - -</w:t>
      </w:r>
      <w:r>
        <w:rPr>
          <w:rFonts w:ascii="Arial" w:hAnsi="Arial" w:cs="Arial"/>
          <w:sz w:val="26"/>
          <w:szCs w:val="26"/>
        </w:rPr>
        <w:t xml:space="preserve"> - - - - - </w:t>
      </w:r>
    </w:p>
    <w:p w:rsidR="00AC164B" w:rsidRDefault="00AC164B" w:rsidP="00AC164B">
      <w:pPr>
        <w:spacing w:before="240" w:line="360" w:lineRule="auto"/>
        <w:ind w:right="49"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No se actualizaron causales de improcedencia y sobreseimiento en el presente asunto, por lo que no se sobresee el juicio. - </w:t>
      </w:r>
    </w:p>
    <w:p w:rsidR="00AC164B" w:rsidRDefault="00AC164B" w:rsidP="00AC164B">
      <w:pPr>
        <w:spacing w:before="240" w:line="360" w:lineRule="auto"/>
        <w:ind w:right="49" w:firstLine="708"/>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Se declara la </w:t>
      </w:r>
      <w:r>
        <w:rPr>
          <w:rFonts w:ascii="Arial" w:hAnsi="Arial" w:cs="Arial"/>
          <w:b/>
          <w:sz w:val="26"/>
          <w:szCs w:val="26"/>
        </w:rPr>
        <w:t>NULIDAD</w:t>
      </w:r>
      <w:r>
        <w:rPr>
          <w:rFonts w:ascii="Arial" w:hAnsi="Arial" w:cs="Arial"/>
          <w:sz w:val="26"/>
          <w:szCs w:val="26"/>
        </w:rPr>
        <w:t xml:space="preserve"> </w:t>
      </w:r>
      <w:r>
        <w:rPr>
          <w:rFonts w:ascii="Arial" w:hAnsi="Arial" w:cs="Arial"/>
          <w:b/>
          <w:sz w:val="26"/>
          <w:szCs w:val="26"/>
        </w:rPr>
        <w:t>LISA Y LLANA</w:t>
      </w:r>
      <w:r>
        <w:rPr>
          <w:rFonts w:ascii="Arial" w:hAnsi="Arial" w:cs="Arial"/>
          <w:sz w:val="26"/>
          <w:szCs w:val="26"/>
        </w:rPr>
        <w:t xml:space="preserve"> </w:t>
      </w:r>
      <w:r>
        <w:rPr>
          <w:rFonts w:ascii="Arial" w:hAnsi="Arial" w:cs="Arial"/>
          <w:bCs/>
          <w:sz w:val="26"/>
          <w:szCs w:val="26"/>
        </w:rPr>
        <w:t xml:space="preserve">de la </w:t>
      </w:r>
      <w:r>
        <w:rPr>
          <w:rFonts w:ascii="Arial" w:hAnsi="Arial" w:cs="Arial"/>
          <w:sz w:val="26"/>
          <w:szCs w:val="26"/>
        </w:rPr>
        <w:t xml:space="preserve">multa por infracción relacionada con la presentación de declaraciones del impuesto sobre erogaciones por remuneraciones al trabajo personal, con número de control </w:t>
      </w:r>
      <w:r>
        <w:rPr>
          <w:rFonts w:ascii="Arial" w:hAnsi="Arial" w:cs="Arial"/>
          <w:sz w:val="24"/>
          <w:szCs w:val="24"/>
        </w:rPr>
        <w:t>**********</w:t>
      </w:r>
      <w:r>
        <w:rPr>
          <w:rFonts w:ascii="Arial" w:hAnsi="Arial" w:cs="Arial"/>
          <w:sz w:val="26"/>
          <w:szCs w:val="26"/>
        </w:rPr>
        <w:t xml:space="preserve"> de veinticinco de junio de dos mil diecinueve.- - </w:t>
      </w:r>
      <w:proofErr w:type="gramStart"/>
      <w:r>
        <w:rPr>
          <w:rFonts w:ascii="Arial" w:hAnsi="Arial" w:cs="Arial"/>
          <w:sz w:val="26"/>
          <w:szCs w:val="26"/>
        </w:rPr>
        <w:t xml:space="preserve">- </w:t>
      </w:r>
      <w:r>
        <w:rPr>
          <w:rFonts w:ascii="Arial" w:hAnsi="Arial" w:cs="Arial"/>
          <w:sz w:val="26"/>
          <w:szCs w:val="26"/>
        </w:rPr>
        <w:t xml:space="preserve"> -</w:t>
      </w:r>
      <w:proofErr w:type="gramEnd"/>
      <w:r>
        <w:rPr>
          <w:rFonts w:ascii="Arial" w:hAnsi="Arial" w:cs="Arial"/>
          <w:sz w:val="26"/>
          <w:szCs w:val="26"/>
        </w:rPr>
        <w:t xml:space="preserve"> - - - - - - </w:t>
      </w:r>
    </w:p>
    <w:p w:rsidR="00AC164B" w:rsidRDefault="00AC164B" w:rsidP="00AC164B">
      <w:pPr>
        <w:spacing w:before="240" w:line="360" w:lineRule="auto"/>
        <w:ind w:right="49" w:firstLine="567"/>
        <w:jc w:val="both"/>
        <w:rPr>
          <w:rFonts w:ascii="Arial" w:hAnsi="Arial" w:cs="Arial"/>
          <w:sz w:val="26"/>
          <w:szCs w:val="26"/>
        </w:rPr>
      </w:pPr>
      <w:r>
        <w:rPr>
          <w:rFonts w:ascii="Arial" w:hAnsi="Arial" w:cs="Arial"/>
          <w:b/>
          <w:sz w:val="26"/>
          <w:szCs w:val="26"/>
        </w:rPr>
        <w:lastRenderedPageBreak/>
        <w:t xml:space="preserve">QUINTO.- </w:t>
      </w:r>
      <w:r>
        <w:rPr>
          <w:rFonts w:ascii="Arial" w:hAnsi="Arial" w:cs="Arial"/>
          <w:sz w:val="26"/>
          <w:szCs w:val="26"/>
        </w:rPr>
        <w:t xml:space="preserve">Con fundamento en los artículos 172 fracción I y 173 fracciones I y II, de la Ley de Procedimiento y Justicia Administrativa para el Estado de Oaxaca, </w:t>
      </w:r>
      <w:r>
        <w:rPr>
          <w:rFonts w:ascii="Arial" w:hAnsi="Arial" w:cs="Arial"/>
          <w:b/>
          <w:sz w:val="26"/>
          <w:szCs w:val="26"/>
        </w:rPr>
        <w:t xml:space="preserve">NOTIFÍQUESE </w:t>
      </w:r>
      <w:r>
        <w:rPr>
          <w:rFonts w:ascii="Arial" w:hAnsi="Arial" w:cs="Arial"/>
          <w:sz w:val="26"/>
          <w:szCs w:val="26"/>
        </w:rPr>
        <w:t>personalmente al actor</w:t>
      </w:r>
      <w:r>
        <w:rPr>
          <w:rFonts w:ascii="Arial" w:hAnsi="Arial" w:cs="Arial"/>
          <w:b/>
          <w:sz w:val="26"/>
          <w:szCs w:val="26"/>
        </w:rPr>
        <w:t xml:space="preserve"> </w:t>
      </w:r>
      <w:r>
        <w:rPr>
          <w:rFonts w:ascii="Arial" w:hAnsi="Arial" w:cs="Arial"/>
          <w:sz w:val="26"/>
          <w:szCs w:val="26"/>
        </w:rPr>
        <w:t>y por oficio a las autoridades demandadas.</w:t>
      </w:r>
      <w:r>
        <w:rPr>
          <w:rFonts w:ascii="Arial" w:hAnsi="Arial" w:cs="Arial"/>
          <w:b/>
          <w:iCs/>
          <w:sz w:val="26"/>
          <w:szCs w:val="26"/>
        </w:rPr>
        <w:t xml:space="preserve"> CÚMPLASE</w:t>
      </w:r>
      <w:r>
        <w:rPr>
          <w:rFonts w:ascii="Arial" w:hAnsi="Arial" w:cs="Arial"/>
          <w:sz w:val="26"/>
          <w:szCs w:val="26"/>
        </w:rPr>
        <w:t xml:space="preserve">. - - - - - - - - - - - - - - - - - - - - - - - - - - </w:t>
      </w:r>
    </w:p>
    <w:p w:rsidR="00AC164B" w:rsidRDefault="00AC164B" w:rsidP="00AC164B">
      <w:pPr>
        <w:spacing w:line="360" w:lineRule="auto"/>
        <w:ind w:right="49" w:firstLine="708"/>
        <w:jc w:val="both"/>
        <w:rPr>
          <w:rFonts w:ascii="Arial" w:hAnsi="Arial" w:cs="Arial"/>
          <w:sz w:val="26"/>
          <w:szCs w:val="26"/>
        </w:rPr>
      </w:pPr>
      <w:r>
        <w:rPr>
          <w:rFonts w:ascii="Arial" w:hAnsi="Arial" w:cs="Arial"/>
          <w:sz w:val="26"/>
          <w:szCs w:val="26"/>
        </w:rPr>
        <w:t xml:space="preserve">Así lo resolvió y firmó el Titular de la Primera Sala Unitaria de Primera Instancia del Tribunal de Justicia Administrativa del Estado de Oaxaca, Magistrado Enrique Pacheco Martínez, quien actúa ante el Licenciado Renato Gabriel Ibáñez Castellanos, Secretario de Acuerdos, que autoriza y da fe.- - - - - - - - - - - - - - - - - - - - - - - - - - - - - - - - - - - - - - - - - - - - - - - </w:t>
      </w:r>
      <w:r>
        <w:rPr>
          <w:rFonts w:ascii="Arial" w:hAnsi="Arial" w:cs="Arial"/>
          <w:sz w:val="26"/>
          <w:szCs w:val="26"/>
        </w:rPr>
        <w:t>- - - -</w:t>
      </w:r>
      <w:bookmarkStart w:id="0" w:name="_GoBack"/>
      <w:bookmarkEnd w:id="0"/>
    </w:p>
    <w:p w:rsidR="00CC7ADF" w:rsidRPr="00AC164B" w:rsidRDefault="00CC7ADF" w:rsidP="00AC164B"/>
    <w:sectPr w:rsidR="00CC7ADF" w:rsidRPr="00AC164B"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394" w:rsidRDefault="003F2394" w:rsidP="00CC7ADF">
      <w:r>
        <w:separator/>
      </w:r>
    </w:p>
  </w:endnote>
  <w:endnote w:type="continuationSeparator" w:id="0">
    <w:p w:rsidR="003F2394" w:rsidRDefault="003F2394"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394" w:rsidRDefault="003F2394" w:rsidP="00CC7ADF">
      <w:r>
        <w:separator/>
      </w:r>
    </w:p>
  </w:footnote>
  <w:footnote w:type="continuationSeparator" w:id="0">
    <w:p w:rsidR="003F2394" w:rsidRDefault="003F2394" w:rsidP="00CC7ADF">
      <w:r>
        <w:continuationSeparator/>
      </w:r>
    </w:p>
  </w:footnote>
  <w:footnote w:id="1">
    <w:p w:rsidR="00AC164B" w:rsidRDefault="00AC164B" w:rsidP="00AC164B">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rsidR="00AC164B" w:rsidRDefault="00AC164B" w:rsidP="00AC164B">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rsidR="00AC164B" w:rsidRDefault="00AC164B" w:rsidP="00AC164B">
      <w:pPr>
        <w:pStyle w:val="Textonotapie"/>
      </w:pPr>
      <w:r>
        <w:rPr>
          <w:rStyle w:val="Refdenotaalpie"/>
        </w:rPr>
        <w:footnoteRef/>
      </w:r>
      <w:r>
        <w:t xml:space="preserve"> “</w:t>
      </w:r>
      <w:r>
        <w:rPr>
          <w:b/>
        </w:rPr>
        <w:t>ARTÍCULO 161.</w:t>
      </w:r>
      <w:proofErr w:type="gramStart"/>
      <w:r>
        <w:rPr>
          <w:b/>
        </w:rPr>
        <w:t xml:space="preserve">- </w:t>
      </w:r>
      <w:r>
        <w:t>…</w:t>
      </w:r>
      <w:proofErr w:type="gramEnd"/>
    </w:p>
    <w:p w:rsidR="00AC164B" w:rsidRDefault="00AC164B" w:rsidP="00AC164B">
      <w:pPr>
        <w:pStyle w:val="Textonotapie"/>
      </w:pPr>
      <w:r>
        <w:t xml:space="preserve">   …</w:t>
      </w:r>
    </w:p>
    <w:p w:rsidR="00AC164B" w:rsidRDefault="00AC164B" w:rsidP="00AC164B">
      <w:pPr>
        <w:pStyle w:val="Textonotapie"/>
      </w:pPr>
      <w:r>
        <w:t xml:space="preserve">   Las causales de improcedencia deben ser examinadas de oficio.”</w:t>
      </w:r>
    </w:p>
  </w:footnote>
  <w:footnote w:id="4">
    <w:p w:rsidR="00AC164B" w:rsidRDefault="00AC164B" w:rsidP="00AC164B">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AC164B" w:rsidRDefault="00AC164B" w:rsidP="00AC164B">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AC164B" w:rsidRDefault="00AC164B" w:rsidP="00AC164B">
      <w:pPr>
        <w:pStyle w:val="Textonotapie"/>
        <w:jc w:val="both"/>
      </w:pPr>
      <w:r>
        <w:t xml:space="preserve">   …”</w:t>
      </w:r>
    </w:p>
  </w:footnote>
  <w:footnote w:id="5">
    <w:p w:rsidR="00AC164B" w:rsidRDefault="00AC164B" w:rsidP="00AC164B">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6">
    <w:p w:rsidR="00AC164B" w:rsidRDefault="00AC164B" w:rsidP="00AC164B">
      <w:pPr>
        <w:pStyle w:val="Sinespaciado"/>
        <w:jc w:val="both"/>
        <w:rPr>
          <w:sz w:val="20"/>
          <w:szCs w:val="20"/>
        </w:rPr>
      </w:pPr>
      <w:r>
        <w:rPr>
          <w:rStyle w:val="Refdenotaalpie"/>
        </w:rPr>
        <w:footnoteRef/>
      </w:r>
      <w:r>
        <w:t xml:space="preserve"> “</w:t>
      </w:r>
      <w:r>
        <w:rPr>
          <w:sz w:val="20"/>
          <w:szCs w:val="20"/>
        </w:rPr>
        <w:t>ARTÍCULO 17.- Son elementos y requisitos de validez del acto administrativo:</w:t>
      </w:r>
    </w:p>
    <w:p w:rsidR="00AC164B" w:rsidRDefault="00AC164B" w:rsidP="00AC164B">
      <w:pPr>
        <w:pStyle w:val="Sinespaciado"/>
        <w:jc w:val="both"/>
        <w:rPr>
          <w:sz w:val="20"/>
          <w:szCs w:val="20"/>
        </w:rPr>
      </w:pPr>
      <w:r>
        <w:rPr>
          <w:sz w:val="20"/>
          <w:szCs w:val="20"/>
        </w:rPr>
        <w:t xml:space="preserve">   …</w:t>
      </w:r>
    </w:p>
    <w:p w:rsidR="00AC164B" w:rsidRDefault="00AC164B" w:rsidP="00AC164B">
      <w:pPr>
        <w:pStyle w:val="Sinespaciado"/>
        <w:jc w:val="both"/>
        <w:rPr>
          <w:sz w:val="20"/>
          <w:szCs w:val="20"/>
        </w:rPr>
      </w:pPr>
      <w:r>
        <w:rPr>
          <w:sz w:val="20"/>
          <w:szCs w:val="20"/>
        </w:rPr>
        <w:t xml:space="preserve">   V. Estar fundado y motivado;</w:t>
      </w:r>
    </w:p>
    <w:p w:rsidR="00AC164B" w:rsidRDefault="00AC164B" w:rsidP="00AC164B">
      <w:pPr>
        <w:pStyle w:val="Sinespaciado"/>
        <w:jc w:val="both"/>
      </w:pP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74C9C"/>
    <w:rsid w:val="001C1E6F"/>
    <w:rsid w:val="002B61A1"/>
    <w:rsid w:val="003117A3"/>
    <w:rsid w:val="00325895"/>
    <w:rsid w:val="003F2394"/>
    <w:rsid w:val="00417FB7"/>
    <w:rsid w:val="00422C2C"/>
    <w:rsid w:val="00443B91"/>
    <w:rsid w:val="00557D3F"/>
    <w:rsid w:val="00642052"/>
    <w:rsid w:val="006D3B72"/>
    <w:rsid w:val="00845058"/>
    <w:rsid w:val="0084773D"/>
    <w:rsid w:val="0096153A"/>
    <w:rsid w:val="00AB2B08"/>
    <w:rsid w:val="00AC164B"/>
    <w:rsid w:val="00BC10AD"/>
    <w:rsid w:val="00BD31BE"/>
    <w:rsid w:val="00CC7ADF"/>
    <w:rsid w:val="00E3503E"/>
    <w:rsid w:val="00E453F9"/>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89150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228E6-055E-4FE5-8B1E-7E83B8E0C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3468</Words>
  <Characters>19078</Characters>
  <Application>Microsoft Office Word</Application>
  <DocSecurity>0</DocSecurity>
  <Lines>158</Lines>
  <Paragraphs>45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2021-07-08T19:06:00Z</dcterms:created>
  <dcterms:modified xsi:type="dcterms:W3CDTF">2021-07-08T19:06:00Z</dcterms:modified>
</cp:coreProperties>
</file>