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13FC" w:rsidRDefault="002F13FC" w:rsidP="002F13FC">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2F13FC" w:rsidRDefault="002F13FC" w:rsidP="002F13FC">
      <w:pPr>
        <w:spacing w:line="360" w:lineRule="auto"/>
        <w:jc w:val="both"/>
        <w:rPr>
          <w:rFonts w:ascii="Arial" w:hAnsi="Arial" w:cs="Arial"/>
          <w:b/>
          <w:sz w:val="24"/>
          <w:szCs w:val="24"/>
        </w:rPr>
      </w:pPr>
      <w:r>
        <w:rPr>
          <w:rFonts w:ascii="Arial" w:hAnsi="Arial" w:cs="Arial"/>
          <w:b/>
          <w:sz w:val="24"/>
          <w:szCs w:val="24"/>
        </w:rPr>
        <w:t xml:space="preserve">OAXACA DE JUÁREZ, OAXACA; A </w:t>
      </w:r>
      <w:r w:rsidR="00265C4E">
        <w:rPr>
          <w:rFonts w:ascii="Arial" w:hAnsi="Arial" w:cs="Arial"/>
          <w:b/>
          <w:sz w:val="24"/>
          <w:szCs w:val="24"/>
        </w:rPr>
        <w:t>DOCE DE DICIEMBRE</w:t>
      </w:r>
      <w:r>
        <w:rPr>
          <w:rFonts w:ascii="Arial" w:hAnsi="Arial" w:cs="Arial"/>
          <w:b/>
          <w:sz w:val="24"/>
          <w:szCs w:val="24"/>
        </w:rPr>
        <w:t xml:space="preserve"> DEL AÑO DOS MIL DIECIOCHO (</w:t>
      </w:r>
      <w:r w:rsidR="00265C4E">
        <w:rPr>
          <w:rFonts w:ascii="Arial" w:hAnsi="Arial" w:cs="Arial"/>
          <w:b/>
          <w:sz w:val="24"/>
          <w:szCs w:val="24"/>
        </w:rPr>
        <w:t>12/12</w:t>
      </w:r>
      <w:r>
        <w:rPr>
          <w:rFonts w:ascii="Arial" w:hAnsi="Arial" w:cs="Arial"/>
          <w:b/>
          <w:sz w:val="24"/>
          <w:szCs w:val="24"/>
        </w:rPr>
        <w:t xml:space="preserve">/2018). - - - - - - - - - - - - - - - - - - - - </w:t>
      </w:r>
      <w:r w:rsidR="00265C4E">
        <w:rPr>
          <w:rFonts w:ascii="Arial" w:hAnsi="Arial" w:cs="Arial"/>
          <w:b/>
          <w:sz w:val="24"/>
          <w:szCs w:val="24"/>
        </w:rPr>
        <w:t xml:space="preserve">- - - - - - - - - - - - - </w:t>
      </w:r>
    </w:p>
    <w:p w:rsidR="002F13FC" w:rsidRDefault="002F13FC" w:rsidP="002F13FC">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109/2017, promovido por la C. </w:t>
      </w:r>
      <w:r w:rsidR="00B32554">
        <w:rPr>
          <w:rFonts w:ascii="Arial" w:hAnsi="Arial" w:cs="Arial"/>
          <w:sz w:val="24"/>
          <w:szCs w:val="24"/>
        </w:rPr>
        <w:t>***** ***** ***** *****</w:t>
      </w:r>
      <w:r>
        <w:rPr>
          <w:rFonts w:ascii="Arial" w:hAnsi="Arial" w:cs="Arial"/>
          <w:sz w:val="24"/>
          <w:szCs w:val="24"/>
        </w:rPr>
        <w:t xml:space="preserve">, solicitando la nulidad de la resolución con número de control </w:t>
      </w:r>
      <w:r w:rsidR="00B32554">
        <w:rPr>
          <w:rFonts w:ascii="Arial" w:hAnsi="Arial" w:cs="Arial"/>
          <w:sz w:val="24"/>
          <w:szCs w:val="24"/>
        </w:rPr>
        <w:t>**********</w:t>
      </w:r>
      <w:r>
        <w:rPr>
          <w:rFonts w:ascii="Arial" w:hAnsi="Arial" w:cs="Arial"/>
          <w:sz w:val="24"/>
          <w:szCs w:val="24"/>
        </w:rPr>
        <w:t xml:space="preserve">, expedida con fecha ocho de agosto de dos mil diecisiete (08/08/2017), en el cual la que la Directora de Ingresos y Recaudación de la Secretaría de Finanzas del Poder Ejecutivo del Estado, le impuso una multa, consistente en la cantidad de $3,775.00 (TRES MIL SETECIENTOS SETENTA Y CINCO PESOS 00/100 M.N.) por la omisión de inscribirse al registro estatal de contribuyentes; y, - - - </w:t>
      </w:r>
      <w:r w:rsidR="00B32554">
        <w:rPr>
          <w:rFonts w:ascii="Arial" w:hAnsi="Arial" w:cs="Arial"/>
          <w:sz w:val="24"/>
          <w:szCs w:val="24"/>
        </w:rPr>
        <w:t>- - - - - - - - - - - - - - - - - - - - - - - - - - -</w:t>
      </w:r>
      <w:bookmarkStart w:id="0" w:name="_GoBack"/>
      <w:bookmarkEnd w:id="0"/>
    </w:p>
    <w:p w:rsidR="002F13FC" w:rsidRDefault="002F13FC" w:rsidP="002F13FC">
      <w:pPr>
        <w:spacing w:line="360" w:lineRule="auto"/>
        <w:jc w:val="center"/>
        <w:rPr>
          <w:rFonts w:ascii="Arial" w:hAnsi="Arial" w:cs="Arial"/>
          <w:b/>
          <w:sz w:val="24"/>
          <w:szCs w:val="24"/>
        </w:rPr>
      </w:pPr>
      <w:r>
        <w:rPr>
          <w:rFonts w:ascii="Arial" w:hAnsi="Arial" w:cs="Arial"/>
          <w:b/>
          <w:sz w:val="24"/>
          <w:szCs w:val="24"/>
        </w:rPr>
        <w:t>R E S U L T A N D O</w:t>
      </w:r>
    </w:p>
    <w:p w:rsidR="002F13FC" w:rsidRDefault="002F13FC" w:rsidP="002F13FC">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diecisiete de octubre de dos mil diecisiete (17/10/2017), se recibió el escrito de demanda en la Oficialía de Partes de este Tribunal y con fecha veintitrés del mismo mes y año (23/10/2017), se tuvo por admitida a trámite, ordenándose emplazar a Juicio a la autoridad demandada. - - - - - - - - - - - - - - - - - - - - - - - - - - - - - - - - - - - - - - - - - - - - - </w:t>
      </w:r>
      <w:r w:rsidR="00596393">
        <w:rPr>
          <w:rFonts w:ascii="Arial" w:hAnsi="Arial" w:cs="Arial"/>
          <w:sz w:val="24"/>
          <w:szCs w:val="24"/>
        </w:rPr>
        <w:t xml:space="preserve">- - </w:t>
      </w:r>
    </w:p>
    <w:p w:rsidR="002F13FC" w:rsidRDefault="002F13FC" w:rsidP="002F13FC">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doce de marzo de dos mil dieciocho (12/03/2018), se tuvo a la demandada Directora de Ingresos y Recaudación de la Secretaría de Finanzas del Poder Ejecutivo del Estado, contestando en tiempo la demanda, por conducto de la Directora de lo Contencioso de dicha Secretaría, además, se señaló fecha y hora para llevar a cabo la audiencia final.- - - - - - - - - - - - - - - - - - - - - - - - - - - - - - - - - - - - - - - - - - - -</w:t>
      </w:r>
      <w:r w:rsidR="00792601">
        <w:rPr>
          <w:rFonts w:ascii="Arial" w:hAnsi="Arial" w:cs="Arial"/>
          <w:sz w:val="24"/>
          <w:szCs w:val="24"/>
        </w:rPr>
        <w:t xml:space="preserve"> - - - - - - - - - </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veintiocho de junio de dos mil dieciocho (28/06/2018),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EA19B9">
        <w:rPr>
          <w:rFonts w:ascii="Arial" w:hAnsi="Arial" w:cs="Arial"/>
          <w:sz w:val="24"/>
          <w:szCs w:val="24"/>
        </w:rPr>
        <w:t xml:space="preserve">- - - - - - - - - - </w:t>
      </w:r>
    </w:p>
    <w:p w:rsidR="002F13FC" w:rsidRDefault="002F13FC" w:rsidP="002F13FC">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w:t>
      </w:r>
      <w:r>
        <w:rPr>
          <w:rFonts w:ascii="Arial" w:hAnsi="Arial" w:cs="Arial"/>
          <w:sz w:val="24"/>
          <w:szCs w:val="24"/>
        </w:rPr>
        <w:lastRenderedPageBreak/>
        <w:t xml:space="preserve">Cuentas, Responsabilidad de los Servidores Públicos, Combate a la Corrupción e Impartición de Justicia Administrativa; artículos 119, 120 fracción I,132 fracción II, 133 fracción II, 146 y 1240,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 - - - - - - - - - - - - - - - - - - - - - - - - - - - - - - - </w:t>
      </w:r>
      <w:r w:rsidR="00B15E6E">
        <w:rPr>
          <w:rFonts w:ascii="Arial" w:hAnsi="Arial" w:cs="Arial"/>
          <w:sz w:val="24"/>
          <w:szCs w:val="24"/>
        </w:rPr>
        <w:t xml:space="preserve">- - - - - - - - - </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C. </w:t>
      </w:r>
      <w:r w:rsidR="00B32554">
        <w:rPr>
          <w:rFonts w:ascii="Arial" w:hAnsi="Arial" w:cs="Arial"/>
          <w:sz w:val="24"/>
          <w:szCs w:val="24"/>
        </w:rPr>
        <w:t>***** ***** ***** *****</w:t>
      </w:r>
      <w:r w:rsidRPr="002F7C74">
        <w:rPr>
          <w:rFonts w:ascii="Arial" w:hAnsi="Arial" w:cs="Arial"/>
          <w:sz w:val="24"/>
          <w:szCs w:val="24"/>
        </w:rPr>
        <w:t xml:space="preserve">, consiste </w:t>
      </w:r>
      <w:r w:rsidRPr="00FA6C23">
        <w:rPr>
          <w:rFonts w:ascii="Arial" w:hAnsi="Arial" w:cs="Arial"/>
          <w:sz w:val="24"/>
          <w:szCs w:val="24"/>
        </w:rPr>
        <w:t>en</w:t>
      </w:r>
      <w:r>
        <w:rPr>
          <w:rFonts w:ascii="Arial" w:hAnsi="Arial" w:cs="Arial"/>
          <w:sz w:val="24"/>
          <w:szCs w:val="24"/>
        </w:rPr>
        <w:t xml:space="preserve"> el </w:t>
      </w:r>
      <w:r w:rsidRPr="00FA6C23">
        <w:rPr>
          <w:rFonts w:ascii="Arial" w:hAnsi="Arial" w:cs="Arial"/>
          <w:sz w:val="24"/>
          <w:szCs w:val="24"/>
        </w:rPr>
        <w:t xml:space="preserve">Original de oficio con número de control </w:t>
      </w:r>
      <w:r w:rsidR="00B32554">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ocho</w:t>
      </w:r>
      <w:r w:rsidRPr="00FA6C23">
        <w:rPr>
          <w:rFonts w:ascii="Arial" w:hAnsi="Arial" w:cs="Arial"/>
          <w:sz w:val="24"/>
          <w:szCs w:val="24"/>
        </w:rPr>
        <w:t xml:space="preserve"> de</w:t>
      </w:r>
      <w:r>
        <w:rPr>
          <w:rFonts w:ascii="Arial" w:hAnsi="Arial" w:cs="Arial"/>
          <w:sz w:val="24"/>
          <w:szCs w:val="24"/>
        </w:rPr>
        <w:t xml:space="preserve"> agosto de dos mil diecisiete (08</w:t>
      </w:r>
      <w:r w:rsidRPr="00FA6C23">
        <w:rPr>
          <w:rFonts w:ascii="Arial" w:hAnsi="Arial" w:cs="Arial"/>
          <w:sz w:val="24"/>
          <w:szCs w:val="24"/>
        </w:rPr>
        <w:t>/08/2017), expedido por la Directora de Ingresos y Recaudación de la Secretaría de Finanzas del Poder Ejecutivo del Estado</w:t>
      </w:r>
      <w:r>
        <w:rPr>
          <w:rFonts w:ascii="Arial" w:hAnsi="Arial" w:cs="Arial"/>
          <w:sz w:val="24"/>
          <w:szCs w:val="24"/>
        </w:rPr>
        <w:t xml:space="preserve"> (prueba que hizo suya la autoridad demandada).</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se le admitió la documental consistente en copia certificada de constancia de notificación del servicio postal mexicano del </w:t>
      </w:r>
      <w:r w:rsidRPr="00FA6C23">
        <w:rPr>
          <w:rFonts w:ascii="Arial" w:hAnsi="Arial" w:cs="Arial"/>
          <w:sz w:val="24"/>
          <w:szCs w:val="24"/>
        </w:rPr>
        <w:t xml:space="preserve">oficio con número de control </w:t>
      </w:r>
      <w:r w:rsidR="00B32554">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ocho</w:t>
      </w:r>
      <w:r w:rsidRPr="00FA6C23">
        <w:rPr>
          <w:rFonts w:ascii="Arial" w:hAnsi="Arial" w:cs="Arial"/>
          <w:sz w:val="24"/>
          <w:szCs w:val="24"/>
        </w:rPr>
        <w:t xml:space="preserve"> de</w:t>
      </w:r>
      <w:r>
        <w:rPr>
          <w:rFonts w:ascii="Arial" w:hAnsi="Arial" w:cs="Arial"/>
          <w:sz w:val="24"/>
          <w:szCs w:val="24"/>
        </w:rPr>
        <w:t xml:space="preserve"> agosto de dos mil diecisiete (08</w:t>
      </w:r>
      <w:r w:rsidRPr="00FA6C23">
        <w:rPr>
          <w:rFonts w:ascii="Arial" w:hAnsi="Arial" w:cs="Arial"/>
          <w:sz w:val="24"/>
          <w:szCs w:val="24"/>
        </w:rPr>
        <w:t>/08/2017)</w:t>
      </w:r>
      <w:r>
        <w:rPr>
          <w:rFonts w:ascii="Arial" w:hAnsi="Arial" w:cs="Arial"/>
          <w:sz w:val="24"/>
          <w:szCs w:val="24"/>
        </w:rPr>
        <w:t>.</w:t>
      </w:r>
    </w:p>
    <w:p w:rsidR="002F13FC" w:rsidRDefault="002F13FC" w:rsidP="002F13FC">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a la copia certificada de la constancia de notificación de éste,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firma de la persona que lo emite, además del sello de la dependencia a la que pertenece, y por lo que respecta al acuse de recibo,</w:t>
      </w:r>
      <w:r w:rsidRPr="005D7D19">
        <w:rPr>
          <w:rFonts w:ascii="Arial" w:hAnsi="Arial" w:cs="Arial"/>
          <w:sz w:val="24"/>
          <w:szCs w:val="24"/>
        </w:rPr>
        <w:t xml:space="preserve"> </w:t>
      </w:r>
      <w:r>
        <w:rPr>
          <w:rFonts w:ascii="Arial" w:hAnsi="Arial" w:cs="Arial"/>
          <w:sz w:val="24"/>
          <w:szCs w:val="24"/>
        </w:rPr>
        <w:t xml:space="preserve">se advierte que se trata de papelería oficial de la Secretaría de Finanzas del Gobierno del Estado, aunado a que en el fueron estampados el nombre del remitente y destinatario, así como el número de control del oficio (acto impugnado), y el sello estampado por la oficina de correos; documento que fue certificado por una persona con facultades para ello, como es la Directora de Ingresos y Recaudación de la Secretaría de Finanzas, circunstancias que </w:t>
      </w:r>
      <w:r>
        <w:rPr>
          <w:rFonts w:ascii="Arial" w:hAnsi="Arial" w:cs="Arial"/>
          <w:sz w:val="24"/>
          <w:szCs w:val="24"/>
        </w:rPr>
        <w:lastRenderedPageBreak/>
        <w:t>generan convicción sobre la existencia y contenido de los documentos que se analizan, de ahí el valor otorgado.</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2F13FC" w:rsidRDefault="002F13FC" w:rsidP="002F13FC">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se constituye de la totalidad de las pruebas recabadas en el presente Juicio, y con ellas se confirma el contenido del enjuiciamiento, porque los hechos contenidos en las documentales son afirmaciones expresadas por ellas.</w:t>
      </w:r>
    </w:p>
    <w:p w:rsidR="002F13FC" w:rsidRDefault="002F13FC" w:rsidP="002F13FC">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únicamente por la autoridad demandada,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sidR="005F398D">
        <w:rPr>
          <w:rFonts w:ascii="Arial" w:hAnsi="Arial" w:cs="Arial"/>
          <w:sz w:val="24"/>
          <w:szCs w:val="24"/>
        </w:rPr>
        <w:t xml:space="preserve">- </w:t>
      </w:r>
    </w:p>
    <w:p w:rsidR="002F13FC" w:rsidRDefault="002F13FC" w:rsidP="002F13FC">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w:t>
      </w:r>
      <w:r w:rsidRPr="00653BD0">
        <w:rPr>
          <w:rFonts w:ascii="Arial" w:hAnsi="Arial" w:cs="Arial"/>
          <w:i/>
          <w:sz w:val="24"/>
        </w:rPr>
        <w:lastRenderedPageBreak/>
        <w:t>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D73B64">
        <w:rPr>
          <w:rFonts w:cs="Arial"/>
          <w:sz w:val="24"/>
        </w:rPr>
        <w:t>- -</w:t>
      </w:r>
    </w:p>
    <w:p w:rsidR="002F13FC" w:rsidRPr="0088668B" w:rsidRDefault="002F13FC" w:rsidP="002F13FC">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 la parte actora C. </w:t>
      </w:r>
      <w:r w:rsidR="00B32554">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acto que impugna, que consiste en la imposición de una multa, y al sentirse afectado, inició el presente Juicio en defensa de sus derechos, por lo que su interés legítimo y jurídico quedó justificado en este asunto</w:t>
      </w:r>
      <w:r w:rsidRPr="0040254C">
        <w:rPr>
          <w:rFonts w:ascii="Arial" w:hAnsi="Arial" w:cs="Arial"/>
          <w:sz w:val="24"/>
          <w:szCs w:val="24"/>
        </w:rPr>
        <w:t>.</w:t>
      </w:r>
    </w:p>
    <w:p w:rsidR="002F13FC" w:rsidRPr="00CD56C1" w:rsidRDefault="002F13FC" w:rsidP="002F13FC">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quien quedó legalmente representada en este Juicio por la Directora de lo Contencioso de dicha Secretaría,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 - </w:t>
      </w:r>
      <w:r>
        <w:rPr>
          <w:rFonts w:ascii="Arial" w:hAnsi="Arial" w:cs="Arial"/>
          <w:sz w:val="24"/>
        </w:rPr>
        <w:t>- - - - - - - - - - - - - - - - - - - - - - - - - - - - - - - - -</w:t>
      </w:r>
      <w:r w:rsidR="0016188C">
        <w:rPr>
          <w:rFonts w:ascii="Arial" w:hAnsi="Arial" w:cs="Arial"/>
          <w:sz w:val="24"/>
        </w:rPr>
        <w:t xml:space="preserve"> - - - - - - - - - - - - - - - - </w:t>
      </w:r>
    </w:p>
    <w:p w:rsidR="002F13FC" w:rsidRPr="00E053AE" w:rsidRDefault="002F13FC" w:rsidP="002F13FC">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2F13FC" w:rsidRPr="00E053AE" w:rsidRDefault="002F13FC" w:rsidP="002F13FC">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w:t>
      </w:r>
      <w:r>
        <w:rPr>
          <w:rFonts w:ascii="Arial" w:hAnsi="Arial" w:cs="Arial"/>
          <w:bCs/>
          <w:sz w:val="24"/>
        </w:rPr>
        <w:t xml:space="preserve">no hizo valer causales de improcedencia, y </w:t>
      </w:r>
      <w:r w:rsidRPr="00E053AE">
        <w:rPr>
          <w:rFonts w:ascii="Arial" w:hAnsi="Arial" w:cs="Arial"/>
          <w:bCs/>
          <w:sz w:val="24"/>
        </w:rPr>
        <w:t>esta Juzgadora tampoco 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EC0DE0">
        <w:rPr>
          <w:rFonts w:ascii="Arial" w:hAnsi="Arial" w:cs="Arial"/>
          <w:sz w:val="24"/>
        </w:rPr>
        <w:t xml:space="preserve">- </w:t>
      </w:r>
    </w:p>
    <w:p w:rsidR="002F13FC" w:rsidRDefault="002F13FC" w:rsidP="002F13FC">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0F419A">
        <w:rPr>
          <w:rFonts w:ascii="Arial" w:hAnsi="Arial" w:cs="Arial"/>
          <w:b/>
          <w:sz w:val="24"/>
          <w:szCs w:val="24"/>
        </w:rPr>
        <w:t xml:space="preserve">      </w:t>
      </w:r>
      <w:r w:rsidRPr="006D7488">
        <w:rPr>
          <w:rFonts w:ascii="Arial" w:hAnsi="Arial" w:cs="Arial"/>
          <w:b/>
          <w:sz w:val="24"/>
          <w:szCs w:val="24"/>
        </w:rPr>
        <w:t>SEXTO.-</w:t>
      </w:r>
      <w:r w:rsidR="000F419A">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w:t>
      </w:r>
      <w:r>
        <w:rPr>
          <w:rFonts w:ascii="Arial" w:hAnsi="Arial" w:cs="Arial"/>
          <w:sz w:val="24"/>
          <w:szCs w:val="24"/>
        </w:rPr>
        <w:t xml:space="preserve">datos </w:t>
      </w:r>
      <w:r w:rsidRPr="00321C1D">
        <w:rPr>
          <w:rFonts w:ascii="Arial" w:hAnsi="Arial" w:cs="Arial"/>
          <w:sz w:val="24"/>
          <w:szCs w:val="24"/>
        </w:rPr>
        <w:t xml:space="preserve">con los que es posible concluir que son </w:t>
      </w:r>
      <w:r>
        <w:rPr>
          <w:rFonts w:ascii="Arial" w:hAnsi="Arial" w:cs="Arial"/>
          <w:b/>
          <w:sz w:val="24"/>
          <w:szCs w:val="24"/>
        </w:rPr>
        <w:t xml:space="preserve">fundados los agravios </w:t>
      </w:r>
      <w:r>
        <w:rPr>
          <w:rFonts w:ascii="Arial" w:hAnsi="Arial" w:cs="Arial"/>
          <w:sz w:val="24"/>
          <w:szCs w:val="24"/>
        </w:rPr>
        <w:t xml:space="preserve">expuestos por </w:t>
      </w:r>
      <w:r w:rsidRPr="00321C1D">
        <w:rPr>
          <w:rFonts w:ascii="Arial" w:hAnsi="Arial" w:cs="Arial"/>
          <w:sz w:val="24"/>
          <w:szCs w:val="24"/>
        </w:rPr>
        <w:t>l</w:t>
      </w:r>
      <w:r>
        <w:rPr>
          <w:rFonts w:ascii="Arial" w:hAnsi="Arial" w:cs="Arial"/>
          <w:sz w:val="24"/>
          <w:szCs w:val="24"/>
        </w:rPr>
        <w:t>a parte</w:t>
      </w:r>
      <w:r w:rsidRPr="00321C1D">
        <w:rPr>
          <w:rFonts w:ascii="Arial" w:hAnsi="Arial" w:cs="Arial"/>
          <w:sz w:val="24"/>
          <w:szCs w:val="24"/>
        </w:rPr>
        <w:t xml:space="preserve"> actor</w:t>
      </w:r>
      <w:r>
        <w:rPr>
          <w:rFonts w:ascii="Arial" w:hAnsi="Arial" w:cs="Arial"/>
          <w:sz w:val="24"/>
          <w:szCs w:val="24"/>
        </w:rPr>
        <w:t>a</w:t>
      </w:r>
      <w:r w:rsidRPr="00321C1D">
        <w:rPr>
          <w:rFonts w:ascii="Arial" w:hAnsi="Arial" w:cs="Arial"/>
          <w:sz w:val="24"/>
          <w:szCs w:val="24"/>
        </w:rPr>
        <w:t>.</w:t>
      </w:r>
      <w:r>
        <w:rPr>
          <w:rFonts w:ascii="Arial" w:hAnsi="Arial" w:cs="Arial"/>
          <w:b/>
          <w:sz w:val="24"/>
          <w:szCs w:val="24"/>
        </w:rPr>
        <w:t xml:space="preserve"> </w:t>
      </w:r>
    </w:p>
    <w:p w:rsidR="002F13FC" w:rsidRDefault="002F13FC" w:rsidP="002F13FC">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0B0417">
        <w:rPr>
          <w:rFonts w:ascii="Arial" w:hAnsi="Arial" w:cs="Arial"/>
          <w:sz w:val="24"/>
          <w:szCs w:val="24"/>
        </w:rPr>
        <w:t>Respecto a</w:t>
      </w:r>
      <w:r>
        <w:rPr>
          <w:rFonts w:ascii="Arial" w:hAnsi="Arial" w:cs="Arial"/>
          <w:sz w:val="24"/>
          <w:szCs w:val="24"/>
        </w:rPr>
        <w:t xml:space="preserve"> la notificación de la resolución </w:t>
      </w:r>
      <w:r w:rsidRPr="009A47E3">
        <w:rPr>
          <w:rFonts w:ascii="Arial" w:hAnsi="Arial" w:cs="Arial"/>
          <w:sz w:val="24"/>
          <w:szCs w:val="24"/>
        </w:rPr>
        <w:t>con número de control</w:t>
      </w:r>
      <w:r>
        <w:rPr>
          <w:rFonts w:ascii="Arial" w:hAnsi="Arial" w:cs="Arial"/>
          <w:b/>
          <w:sz w:val="24"/>
          <w:szCs w:val="24"/>
        </w:rPr>
        <w:t xml:space="preserve"> </w:t>
      </w:r>
      <w:r w:rsidR="00B32554">
        <w:rPr>
          <w:rFonts w:ascii="Arial" w:hAnsi="Arial" w:cs="Arial"/>
          <w:sz w:val="24"/>
          <w:szCs w:val="24"/>
        </w:rPr>
        <w:t>**********</w:t>
      </w:r>
      <w:r>
        <w:rPr>
          <w:rFonts w:ascii="Arial" w:hAnsi="Arial" w:cs="Arial"/>
          <w:sz w:val="24"/>
          <w:szCs w:val="24"/>
        </w:rPr>
        <w:t xml:space="preserve">, expedida con fecha ocho de agosto de dos mil diecisiete (08/08/2017), resulta ilegal, porque el acto en estudio encuadra en el supuesto que dispone el artículo 134 fracción IV del Código Fiscal para el Estado de Oaxaca, es decir, se trata de un acto administrativo que puede ser recurrido, y en ese supuesto, la forma en que debió notificarse dicho acto </w:t>
      </w:r>
      <w:r>
        <w:rPr>
          <w:rFonts w:ascii="Arial" w:hAnsi="Arial" w:cs="Arial"/>
          <w:sz w:val="24"/>
          <w:szCs w:val="24"/>
        </w:rPr>
        <w:lastRenderedPageBreak/>
        <w:t xml:space="preserve">administrativo es personal, pues así expresamente lo dispone la Ley para ese caso en particular, circunstancia que se reafirma en el artículo 135 de dicho ordenamiento legal, el cual dispone que los actos administrativos distintos a los señalados en el numeral 134, podrán ser notificados por correo ordinario o telegrama; y si bien es cierto que el referido Código Fiscal prevé en su artículo 132 último párrafo, que las notificaciones por correo certificado se consideraran notificaciones personales, lo cierto es, que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 xml:space="preserve">la correspondencia registrada sea entregada únicamente al destinatario o su representante legal </w:t>
      </w:r>
      <w:r>
        <w:rPr>
          <w:rFonts w:ascii="Arial" w:hAnsi="Arial" w:cs="Arial"/>
          <w:sz w:val="24"/>
          <w:szCs w:val="24"/>
        </w:rPr>
        <w:t>en su domicilio, que la firma de recepción sea plasmada por el destinatario en un documento especial, la cual será entregada al remitente como constancia del acto, solo de esa forma puede garantizarse que esa pieza postal fue recibida por el destinatario y que esa circunstancia será uno de los medios para autentificar la legalidad de ese acto procesal (seguridad jurídica), circunstancias de las que se desapartó la notificación efectuada a la parte actora, pues ésta sostiene que la notificación no le fue entregada de forma personal, y esa circunstancia se tiene por cierta, pues del acuse de recibo remitido por la autoridad demandada se advierte que quien firmó dicho documento fue una persona distinta del actor, sin que se encuentre justificado en este asunto que sea su representante legal, por lo que al no haberse efectuado de forma personal sin duda escapa de las consideraciones referidas por el más alto Tribunal del País.</w:t>
      </w:r>
    </w:p>
    <w:p w:rsidR="002F13FC" w:rsidRDefault="002F13FC" w:rsidP="002F13F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el caso particular como lo refirió la parte actora y se tuvo por cierto en el párrafo que antecede, la multa impuesta no fue notificada de forma personal, pues fue remitida a través del servicio postal mexicano y entregada por el personal de dicha institución a una persona distinta de la actora, y con el actuar de la autoridad demandada, se violentó lo dispuesto en el artículo 134 fracción IV y 135 del Código Fiscal para el Estado de Oaxaca, al no realizar la notificación de forma personal, además, la notificación que se realizó por correo certificado con acuse de recibo, también resulta ilegal, pues como ya se dijo, no fue entendida con la propia actora o bien con su representante legal, pues no existe prueba en este Juicio que justifique lo contrario, consecuentemente la notificación del acto impugnado </w:t>
      </w:r>
      <w:r w:rsidRPr="003D18EC">
        <w:rPr>
          <w:rFonts w:ascii="Arial" w:hAnsi="Arial" w:cs="Arial"/>
          <w:sz w:val="24"/>
          <w:szCs w:val="24"/>
        </w:rPr>
        <w:t>resulta ilegal</w:t>
      </w:r>
      <w:r>
        <w:rPr>
          <w:rFonts w:ascii="Arial" w:hAnsi="Arial" w:cs="Arial"/>
          <w:sz w:val="24"/>
          <w:szCs w:val="24"/>
        </w:rPr>
        <w:t xml:space="preserve">. Sirve de apoyo a lo anterior la Jurisprudencia con datos de identificación: </w:t>
      </w:r>
      <w:r>
        <w:rPr>
          <w:rFonts w:ascii="Arial" w:hAnsi="Arial" w:cs="Arial"/>
          <w:sz w:val="24"/>
          <w:szCs w:val="24"/>
        </w:rPr>
        <w:lastRenderedPageBreak/>
        <w:t>Semanario Judicial de la Federación y su Gaceta, Tomo XXII, Septiembre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rsidR="002F13FC" w:rsidRDefault="002F13FC" w:rsidP="002F13FC">
      <w:pPr>
        <w:tabs>
          <w:tab w:val="left" w:pos="284"/>
          <w:tab w:val="left" w:pos="567"/>
        </w:tabs>
        <w:spacing w:before="240" w:line="360" w:lineRule="auto"/>
        <w:jc w:val="both"/>
        <w:rPr>
          <w:rFonts w:ascii="Arial" w:hAnsi="Arial" w:cs="Arial"/>
          <w:sz w:val="24"/>
          <w:szCs w:val="24"/>
        </w:rPr>
      </w:pPr>
      <w:r w:rsidRPr="00A3661C">
        <w:rPr>
          <w:rFonts w:ascii="Arial" w:hAnsi="Arial" w:cs="Arial"/>
          <w:sz w:val="24"/>
          <w:szCs w:val="24"/>
        </w:rPr>
        <w:tab/>
        <w:t xml:space="preserve"> El agravio consistente en que la multa no está fundad</w:t>
      </w:r>
      <w:r>
        <w:rPr>
          <w:rFonts w:ascii="Arial" w:hAnsi="Arial" w:cs="Arial"/>
          <w:sz w:val="24"/>
          <w:szCs w:val="24"/>
        </w:rPr>
        <w:t>a</w:t>
      </w:r>
      <w:r w:rsidRPr="00A3661C">
        <w:rPr>
          <w:rFonts w:ascii="Arial" w:hAnsi="Arial" w:cs="Arial"/>
          <w:sz w:val="24"/>
          <w:szCs w:val="24"/>
        </w:rPr>
        <w:t xml:space="preserve"> y motivada, </w:t>
      </w:r>
      <w:r w:rsidRPr="003F6A32">
        <w:rPr>
          <w:rFonts w:ascii="Arial" w:hAnsi="Arial" w:cs="Arial"/>
          <w:b/>
          <w:sz w:val="24"/>
          <w:szCs w:val="24"/>
        </w:rPr>
        <w:t>también es fundado</w:t>
      </w:r>
      <w:r w:rsidRPr="00A3661C">
        <w:rPr>
          <w:rFonts w:ascii="Arial" w:hAnsi="Arial" w:cs="Arial"/>
          <w:sz w:val="24"/>
          <w:szCs w:val="24"/>
        </w:rPr>
        <w:t>,</w:t>
      </w:r>
      <w:r>
        <w:rPr>
          <w:rFonts w:ascii="Arial" w:hAnsi="Arial" w:cs="Arial"/>
          <w:b/>
          <w:sz w:val="24"/>
          <w:szCs w:val="24"/>
        </w:rPr>
        <w:t xml:space="preserve"> </w:t>
      </w:r>
      <w:r w:rsidRPr="009C458B">
        <w:rPr>
          <w:rFonts w:ascii="Arial" w:hAnsi="Arial" w:cs="Arial"/>
          <w:sz w:val="24"/>
          <w:szCs w:val="24"/>
        </w:rPr>
        <w:t>es</w:t>
      </w:r>
      <w:r>
        <w:rPr>
          <w:rFonts w:ascii="Arial" w:hAnsi="Arial" w:cs="Arial"/>
          <w:sz w:val="24"/>
          <w:szCs w:val="24"/>
        </w:rPr>
        <w:t>to es</w:t>
      </w:r>
      <w:r w:rsidRPr="009C458B">
        <w:rPr>
          <w:rFonts w:ascii="Arial" w:hAnsi="Arial" w:cs="Arial"/>
          <w:sz w:val="24"/>
          <w:szCs w:val="24"/>
        </w:rPr>
        <w:t xml:space="preserve"> así,</w:t>
      </w:r>
      <w:r>
        <w:rPr>
          <w:rFonts w:ascii="Arial" w:hAnsi="Arial" w:cs="Arial"/>
          <w:b/>
          <w:sz w:val="24"/>
          <w:szCs w:val="24"/>
        </w:rPr>
        <w:t xml:space="preserve"> </w:t>
      </w:r>
      <w:r>
        <w:rPr>
          <w:rFonts w:ascii="Arial" w:hAnsi="Arial" w:cs="Arial"/>
          <w:sz w:val="24"/>
          <w:szCs w:val="24"/>
        </w:rPr>
        <w:t xml:space="preserve">porque la autoridad demandada le impuso una multa al actor por la cantidad de 3,775.00 (TRES MIL SETECIENTOS SETENTA Y CINCO PESOS 00/100M.N.), motivándolo de la siguiente manera: </w:t>
      </w:r>
      <w:r w:rsidRPr="00EA0D0D">
        <w:rPr>
          <w:rFonts w:ascii="Arial" w:hAnsi="Arial" w:cs="Arial"/>
          <w:i/>
          <w:sz w:val="24"/>
          <w:szCs w:val="24"/>
        </w:rPr>
        <w:t xml:space="preserve">“…2.- Esta autoridad fiscal identificó que es sujeto obligado a inscribirse en el 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Remuneración al Trabajo Personal, lo anterior</w:t>
      </w:r>
      <w:r w:rsidRPr="00EA0D0D">
        <w:rPr>
          <w:rFonts w:ascii="Arial" w:hAnsi="Arial" w:cs="Arial"/>
          <w:i/>
          <w:sz w:val="24"/>
          <w:szCs w:val="24"/>
        </w:rPr>
        <w:t xml:space="preserve"> como resultado del intercambio de información que realiza la Dirección de Ingresos y Recaudación, con Dependencias y Organismos Públicos en el ámbito Estatal y Federal, con fundamento en los artículos 96, 97 primer párrafo y 98 del Código Fiscal del Estado de Oaxaca. 3.-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w:t>
      </w:r>
      <w:r>
        <w:rPr>
          <w:rFonts w:ascii="Arial" w:hAnsi="Arial" w:cs="Arial"/>
          <w:i/>
          <w:sz w:val="24"/>
          <w:szCs w:val="24"/>
        </w:rPr>
        <w:t>o</w:t>
      </w:r>
      <w:r w:rsidRPr="00EA0D0D">
        <w:rPr>
          <w:rFonts w:ascii="Arial" w:hAnsi="Arial" w:cs="Arial"/>
          <w:i/>
          <w:sz w:val="24"/>
          <w:szCs w:val="24"/>
        </w:rPr>
        <w:t xml:space="preserve"> exista constancia en esta Secretaría que haya dado cumplimiento ha</w:t>
      </w:r>
      <w:r>
        <w:rPr>
          <w:rFonts w:ascii="Arial" w:hAnsi="Arial" w:cs="Arial"/>
          <w:i/>
          <w:sz w:val="24"/>
          <w:szCs w:val="24"/>
        </w:rPr>
        <w:t xml:space="preserve"> (.sic)</w:t>
      </w:r>
      <w:r w:rsidRPr="00EA0D0D">
        <w:rPr>
          <w:rFonts w:ascii="Arial" w:hAnsi="Arial" w:cs="Arial"/>
          <w:i/>
          <w:sz w:val="24"/>
          <w:szCs w:val="24"/>
        </w:rPr>
        <w:t xml:space="preserve"> esta obligación, su conducta actualiza la hipótesis normativa prevista en el artículo 268 fracción I del Código Fiscal para el Estado de Oaxaca vigente, motivo por el cual se hace acreedor a la sanción establecida en el mismo artículo</w:t>
      </w:r>
      <w:r>
        <w:rPr>
          <w:rFonts w:ascii="Arial" w:hAnsi="Arial" w:cs="Arial"/>
          <w:i/>
          <w:sz w:val="24"/>
          <w:szCs w:val="24"/>
        </w:rPr>
        <w:t>,</w:t>
      </w:r>
      <w:r>
        <w:rPr>
          <w:rFonts w:ascii="Arial" w:hAnsi="Arial" w:cs="Arial"/>
          <w:sz w:val="24"/>
          <w:szCs w:val="24"/>
        </w:rPr>
        <w:t>…”.</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Ahora bien, 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se advierte que la autoridad demandada identificó dos hechos que atribuye a la actora,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w:t>
      </w:r>
      <w:r>
        <w:rPr>
          <w:rFonts w:ascii="Arial" w:hAnsi="Arial" w:cs="Arial"/>
          <w:sz w:val="24"/>
          <w:szCs w:val="24"/>
        </w:rPr>
        <w:lastRenderedPageBreak/>
        <w:t xml:space="preserve">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estaba obligado a inscribirse en el Registro Estatal de Contribuyentes del Estado de Oaxaca, circunstancia por la que se le impuso una multa, pues no acreditó su inscripción. </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atribuido a la actora, </w:t>
      </w:r>
      <w:r w:rsidRPr="00ED19DB">
        <w:rPr>
          <w:rFonts w:ascii="Arial" w:hAnsi="Arial" w:cs="Arial"/>
          <w:b/>
          <w:sz w:val="24"/>
          <w:szCs w:val="24"/>
        </w:rPr>
        <w:t>no se advierte</w:t>
      </w:r>
      <w:r>
        <w:rPr>
          <w:rFonts w:ascii="Arial" w:hAnsi="Arial" w:cs="Arial"/>
          <w:sz w:val="24"/>
          <w:szCs w:val="24"/>
        </w:rPr>
        <w:t xml:space="preserve">, cual es la actividad concreta que ésta realiza, precisamente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contiene dos fracciones, con supuestos diferentes uno de otro,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w:t>
      </w:r>
      <w:r w:rsidRPr="00B84429">
        <w:rPr>
          <w:rFonts w:ascii="Arial" w:hAnsi="Arial" w:cs="Arial"/>
          <w:sz w:val="24"/>
          <w:szCs w:val="24"/>
        </w:rPr>
        <w:t>L</w:t>
      </w:r>
      <w:r w:rsidRPr="0036286C">
        <w:rPr>
          <w:rFonts w:ascii="Arial" w:hAnsi="Arial" w:cs="Arial"/>
          <w:sz w:val="24"/>
          <w:szCs w:val="24"/>
        </w:rPr>
        <w:t>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cite la hipótesis normativa, para considerar que </w:t>
      </w:r>
      <w:r>
        <w:rPr>
          <w:rFonts w:ascii="Arial" w:hAnsi="Arial" w:cs="Arial"/>
          <w:sz w:val="24"/>
          <w:szCs w:val="24"/>
        </w:rPr>
        <w:lastRenderedPageBreak/>
        <w:t>con ello motivó el acto emitido, porque es necesario establecer que esa norma se actualizaba con la conducta realizada por la parte actora, de ahí la falta de motivación y de la configuración en la hipótesis normativa, por lo que al primer acto se refiere.</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Pr>
          <w:rFonts w:ascii="Arial" w:hAnsi="Arial" w:cs="Arial"/>
          <w:sz w:val="24"/>
          <w:szCs w:val="24"/>
        </w:rPr>
        <w:t xml:space="preserve"> que se atribuye a la actora, consistente en la omisión de inscribirse en el Registro Estatal de Contribuyentes del Estado de Oaxaca, </w:t>
      </w:r>
      <w:r w:rsidRPr="00F70146">
        <w:rPr>
          <w:rFonts w:ascii="Arial" w:hAnsi="Arial" w:cs="Arial"/>
          <w:b/>
          <w:sz w:val="24"/>
          <w:szCs w:val="24"/>
        </w:rPr>
        <w:t>tampoco se encuentra motivado</w:t>
      </w:r>
      <w:r>
        <w:rPr>
          <w:rFonts w:ascii="Arial" w:hAnsi="Arial" w:cs="Arial"/>
          <w:sz w:val="24"/>
          <w:szCs w:val="24"/>
        </w:rPr>
        <w:t>, porque a decir de la autoridad, trascurrió un mes, que es el plazo que señala la ley para realizar la solicitud de registro, sin embargo, omitió precisar la fecha que tomó en consideración como inicio y fin de dicho periodo, esto es, debió citar la fecha exacta a partir de la cual se encontraba obligada la actora, circunstancia que trascendió en su perjuicio, pues la dejó en estado de indefensión, porque le impidió conocer los hechos y el plazo que tenía para alegar en su favor.</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se toma en cuenta que si bien es cierto que la autoridad demandada señaló en la resolución impugnada, que las conductas atribuidas a la actora fueron identificadas como resultado del intercambio de información que realiza la Dirección de Ingresos y Recaudación con Dependencias y Organismos Públicos en el ámbito estatal y federal; sin embargo, debe tomarse en cuenta, que efectivamente la demandada se encuentra facultada para </w:t>
      </w:r>
      <w:r w:rsidRPr="00A3254E">
        <w:rPr>
          <w:rFonts w:ascii="Arial" w:hAnsi="Arial" w:cs="Arial"/>
          <w:sz w:val="24"/>
          <w:szCs w:val="24"/>
        </w:rPr>
        <w:t xml:space="preserve">solicitar la colaboración a diversas autoridades para el ejercicio de sus funciones, </w:t>
      </w:r>
      <w:r>
        <w:rPr>
          <w:rFonts w:ascii="Arial" w:hAnsi="Arial" w:cs="Arial"/>
          <w:sz w:val="24"/>
          <w:szCs w:val="24"/>
        </w:rPr>
        <w:t xml:space="preserve">pero en el caso concreto, </w:t>
      </w:r>
      <w:r w:rsidRPr="00E758E1">
        <w:rPr>
          <w:rFonts w:ascii="Arial" w:hAnsi="Arial" w:cs="Arial"/>
          <w:b/>
          <w:sz w:val="24"/>
          <w:szCs w:val="24"/>
        </w:rPr>
        <w:t>omitió plasmar</w:t>
      </w:r>
      <w:r>
        <w:rPr>
          <w:rFonts w:ascii="Arial" w:hAnsi="Arial" w:cs="Arial"/>
          <w:b/>
          <w:sz w:val="24"/>
          <w:szCs w:val="24"/>
        </w:rPr>
        <w:t>,</w:t>
      </w:r>
      <w:r>
        <w:rPr>
          <w:rFonts w:ascii="Arial" w:hAnsi="Arial" w:cs="Arial"/>
          <w:sz w:val="24"/>
          <w:szCs w:val="24"/>
        </w:rPr>
        <w:t xml:space="preserve"> cual es la dependencia o autoridad específica con la que intercambió información y de cuyo trámite logró identificar al actor como sujeto obligado, circunstancia que también pone manifiesto la falta de motivación de la resolución impugnada.</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e</w:t>
      </w:r>
      <w:r w:rsidRPr="00A3254E">
        <w:rPr>
          <w:rFonts w:ascii="Arial" w:hAnsi="Arial" w:cs="Arial"/>
          <w:sz w:val="24"/>
          <w:szCs w:val="24"/>
        </w:rPr>
        <w:t>l Código Fiscal para el Estado de Oaxaca</w:t>
      </w:r>
      <w:r>
        <w:rPr>
          <w:rFonts w:ascii="Arial" w:hAnsi="Arial" w:cs="Arial"/>
          <w:sz w:val="24"/>
          <w:szCs w:val="24"/>
        </w:rPr>
        <w:t>,</w:t>
      </w:r>
      <w:r w:rsidRPr="00A3254E">
        <w:rPr>
          <w:rFonts w:ascii="Arial" w:hAnsi="Arial" w:cs="Arial"/>
          <w:sz w:val="24"/>
          <w:szCs w:val="24"/>
        </w:rPr>
        <w:t xml:space="preserve"> en el que </w:t>
      </w:r>
      <w:r>
        <w:rPr>
          <w:rFonts w:ascii="Arial" w:hAnsi="Arial" w:cs="Arial"/>
          <w:sz w:val="24"/>
          <w:szCs w:val="24"/>
        </w:rPr>
        <w:t xml:space="preserve">la demandada </w:t>
      </w:r>
      <w:r w:rsidRPr="00A3254E">
        <w:rPr>
          <w:rFonts w:ascii="Arial" w:hAnsi="Arial" w:cs="Arial"/>
          <w:sz w:val="24"/>
          <w:szCs w:val="24"/>
        </w:rPr>
        <w:t>funda</w:t>
      </w:r>
      <w:r>
        <w:rPr>
          <w:rFonts w:ascii="Arial" w:hAnsi="Arial" w:cs="Arial"/>
          <w:sz w:val="24"/>
          <w:szCs w:val="24"/>
        </w:rPr>
        <w:t xml:space="preserve"> su actuar, impone la obligación de respetar el derecho de audiencia de la actora previo al acto de autoridad, y es precisamente en el artículo 97 segundo párrafo del Código en cita, en el que prescribe tal obligación: “</w:t>
      </w:r>
      <w:r w:rsidRPr="00054B23">
        <w:rPr>
          <w:rFonts w:ascii="Arial" w:hAnsi="Arial" w:cs="Arial"/>
          <w:i/>
          <w:sz w:val="24"/>
          <w:szCs w:val="24"/>
        </w:rPr>
        <w:t xml:space="preserve">ARTÍCULO 97… Cuando el afectado no tenga conocimiento de los expedientes o documentos que hubieren sido proporcionados por otras autoridades y éstos vayan a utilizarse para motivar las resoluciones de la autoridad fiscal, </w:t>
      </w:r>
      <w:r w:rsidRPr="00C9219F">
        <w:rPr>
          <w:rFonts w:ascii="Arial" w:hAnsi="Arial" w:cs="Arial"/>
          <w:b/>
          <w:i/>
          <w:sz w:val="24"/>
          <w:szCs w:val="24"/>
        </w:rPr>
        <w:t>dichas autoridades deberán correr traslado al afectado, concediéndole un plazo de quince días para que manifieste lo que a su derecho convenga</w:t>
      </w:r>
      <w:r w:rsidRPr="00054B23">
        <w:rPr>
          <w:rFonts w:ascii="Arial" w:hAnsi="Arial" w:cs="Arial"/>
          <w:i/>
          <w:sz w:val="24"/>
          <w:szCs w:val="24"/>
        </w:rPr>
        <w:t xml:space="preserve">, y en su caso presente los documentos que desvirtúen los hechos que hubieren informados por las </w:t>
      </w:r>
      <w:r w:rsidRPr="00054B23">
        <w:rPr>
          <w:rFonts w:ascii="Arial" w:hAnsi="Arial" w:cs="Arial"/>
          <w:i/>
          <w:sz w:val="24"/>
          <w:szCs w:val="24"/>
        </w:rPr>
        <w:lastRenderedPageBreak/>
        <w:t>referidas autoridades</w:t>
      </w:r>
      <w:r w:rsidRPr="00054B23">
        <w:rPr>
          <w:rFonts w:ascii="Arial" w:hAnsi="Arial" w:cs="Arial"/>
          <w:sz w:val="24"/>
          <w:szCs w:val="24"/>
        </w:rPr>
        <w:t>.</w:t>
      </w:r>
      <w:r>
        <w:rPr>
          <w:rFonts w:ascii="Arial" w:hAnsi="Arial" w:cs="Arial"/>
          <w:sz w:val="24"/>
          <w:szCs w:val="24"/>
        </w:rPr>
        <w:t>” (Lo resaltado es por esta autoridad); además, en el artículo 113 del mismo ordenamiento legal, se establece el derecho del actor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(Lo resaltado no es de origen).</w:t>
      </w:r>
    </w:p>
    <w:p w:rsidR="002F13FC" w:rsidRPr="0005010A" w:rsidRDefault="002F13FC" w:rsidP="002F13FC">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De lo transcrito se advierte, la violación al derecho que tenía la parte  actora, de conocer el expediente administrativo, previo a la emisión del acto de autoridad, precisamente para manifestar lo que considerará en su defensa, porque la demandada, sin trámite alguno, determinó imponerle una multa, cuando el artículo 102 del mismo ordenamiento fiscal, establecía una conducta distinta, y con ello asegurar los derechos del contribuyente, los cuales se encuentran reconocidos y protegidos en el artículo 49 del Código Fiscal en cita, por lo que con el proceder de la autoridad demandada, se violentó el derecho de defensa de la actora, como ya se ha dicho, al dejar de observar el artículo 1º, segundo párrafo de la Constitución Política de los Estados Unidos Mexicanos, que impone a la autoridad demandada, la obligación de interpretar los derechos humanos, buscando siempre la protección más amplia en beneficio de las personas, protección que encuentra eco en el ámbito local, en el artículo 91 del Código Fiscal para el Estado de Oaxaca. </w:t>
      </w:r>
    </w:p>
    <w:p w:rsidR="002F13FC" w:rsidRDefault="002F13FC" w:rsidP="002F13FC">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ab/>
        <w:t xml:space="preserve">    En relatadas consideraciones, el actuar de la autoridad demandada, violentó la obligación que le impone el artículo 122 del Código Fiscal para el Estado de Oaxaca, porque no observó la disposición de fundar y motivar sus actos, afectando el derecho de defensa de la actora, al privarle de la oportunidad de alegar en su defensa, tal como se encuentra previsto en el artículo 49 del Código Fiscal referido, y como consecuencia, trasgredió la garantía de audiencia de la actora establecida en el artículo 14 de la Constitución Política de los Estados Unidos Mexicanos, </w:t>
      </w:r>
      <w:r w:rsidRPr="00116239">
        <w:rPr>
          <w:rFonts w:ascii="Arial" w:hAnsi="Arial" w:cs="Arial"/>
          <w:sz w:val="24"/>
          <w:szCs w:val="24"/>
        </w:rPr>
        <w:t>consiste</w:t>
      </w:r>
      <w:r>
        <w:rPr>
          <w:rFonts w:ascii="Arial" w:hAnsi="Arial" w:cs="Arial"/>
          <w:sz w:val="24"/>
          <w:szCs w:val="24"/>
        </w:rPr>
        <w:t>nte</w:t>
      </w:r>
      <w:r w:rsidRPr="00116239">
        <w:rPr>
          <w:rFonts w:ascii="Arial" w:hAnsi="Arial" w:cs="Arial"/>
          <w:sz w:val="24"/>
          <w:szCs w:val="24"/>
        </w:rPr>
        <w:t xml:space="preserve"> en otorgar al gobernado la oportunidad de defensa previamente al acto privativo</w:t>
      </w:r>
      <w:r>
        <w:rPr>
          <w:rFonts w:ascii="Arial" w:hAnsi="Arial" w:cs="Arial"/>
          <w:sz w:val="24"/>
          <w:szCs w:val="24"/>
        </w:rPr>
        <w:t>.</w:t>
      </w:r>
    </w:p>
    <w:p w:rsidR="002F13FC" w:rsidRDefault="002F13FC" w:rsidP="002F13FC">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B32554">
        <w:rPr>
          <w:rFonts w:ascii="Arial" w:hAnsi="Arial" w:cs="Arial"/>
          <w:sz w:val="24"/>
          <w:szCs w:val="24"/>
        </w:rPr>
        <w:t>**********</w:t>
      </w:r>
      <w:r>
        <w:rPr>
          <w:rFonts w:ascii="Arial" w:hAnsi="Arial" w:cs="Arial"/>
          <w:sz w:val="24"/>
          <w:szCs w:val="24"/>
        </w:rPr>
        <w:t>, expedida con fecha ocho de agosto de dos mil diecisiete (08/08/2017), en la que la Directora de Ingresos y Recaudación de la Secretaría de Finanzas del Poder Ejecutivo del Estado, impuso a la actora, una multa consistente en $3,775.00 (TRES MIL SETECIENTOS SETENTA Y CINCO PESOS 00/100 M.N.), por la omisión de inscribirse al registro estatal de contribuyentes, así como de la notificación de la misma, efectuada a través del servicio postal mexicano, lo anterior de conformidad con lo dispuesto en los artículos 208 fracción II, y 209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DE ANULACIÓN. LA EXIGENCIA DE EXAMINARLOS </w:t>
      </w:r>
      <w:r>
        <w:rPr>
          <w:rFonts w:ascii="Arial" w:hAnsi="Arial" w:cs="Arial"/>
          <w:i/>
          <w:sz w:val="24"/>
          <w:szCs w:val="24"/>
        </w:rPr>
        <w:lastRenderedPageBreak/>
        <w:t>EXHAUSTIVAMENTE DEBE PONDERARSE A LA LUZ DE CADA CONTROVERSIA EN PARTICULAR”</w:t>
      </w:r>
      <w:r>
        <w:rPr>
          <w:rFonts w:ascii="Arial" w:hAnsi="Arial" w:cs="Arial"/>
          <w:sz w:val="24"/>
          <w:szCs w:val="24"/>
        </w:rPr>
        <w:t>.</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0F419A">
        <w:rPr>
          <w:rFonts w:ascii="Arial" w:hAnsi="Arial" w:cs="Arial"/>
          <w:sz w:val="24"/>
          <w:szCs w:val="24"/>
        </w:rPr>
        <w:t xml:space="preserve">- - - </w:t>
      </w:r>
    </w:p>
    <w:p w:rsidR="002F13FC" w:rsidRDefault="002F13FC" w:rsidP="002F13FC">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967BF7">
        <w:rPr>
          <w:rFonts w:ascii="Arial" w:hAnsi="Arial" w:cs="Arial"/>
          <w:sz w:val="24"/>
          <w:szCs w:val="24"/>
        </w:rPr>
        <w:t xml:space="preserve">- </w:t>
      </w:r>
    </w:p>
    <w:p w:rsidR="002F13FC" w:rsidRDefault="002F13FC" w:rsidP="002F13F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0E172F">
        <w:rPr>
          <w:rFonts w:ascii="Arial" w:hAnsi="Arial" w:cs="Arial"/>
          <w:sz w:val="24"/>
          <w:szCs w:val="24"/>
        </w:rPr>
        <w:t>- - - - - - - - -</w:t>
      </w:r>
    </w:p>
    <w:p w:rsidR="002F13FC" w:rsidRDefault="002F13FC" w:rsidP="002F13FC">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B32554">
        <w:rPr>
          <w:rFonts w:ascii="Arial" w:hAnsi="Arial" w:cs="Arial"/>
          <w:sz w:val="24"/>
          <w:szCs w:val="24"/>
        </w:rPr>
        <w:t>**********</w:t>
      </w:r>
      <w:r>
        <w:rPr>
          <w:rFonts w:ascii="Arial" w:hAnsi="Arial" w:cs="Arial"/>
          <w:sz w:val="24"/>
          <w:szCs w:val="24"/>
        </w:rPr>
        <w:t xml:space="preserve">, expedida con fecha ocho de agosto de dos mil diecisiete (08/08/2017), en la que la Directora de Ingresos y Recaudación de la Secretaría de Finanzas del Poder Ejecutivo del Estado, impuso a la actora una multa consistente en $3,775.00 (TRES MIL SETECIENTOS SETENTA Y CINCO PESOS 00/100 M.N.), por la omisión de inscribirse al registro estatal de contribuyentes, así como de la notificación efectuada a través del servicio postal mexicano; lo anterior en términos precisados en el considerando SEXTO de esta resolución. - - - - - - - - - - - - - - - - - - - - - - - - - </w:t>
      </w:r>
      <w:r w:rsidR="005F17F5">
        <w:rPr>
          <w:rFonts w:ascii="Arial" w:hAnsi="Arial" w:cs="Arial"/>
          <w:sz w:val="24"/>
          <w:szCs w:val="24"/>
        </w:rPr>
        <w:t xml:space="preserve">- - - - - - - - - - - </w:t>
      </w:r>
    </w:p>
    <w:p w:rsidR="002F13FC" w:rsidRDefault="002F13FC" w:rsidP="002F13FC">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2F13FC" w:rsidRPr="00746184" w:rsidRDefault="002F13FC" w:rsidP="002F13F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6F7A4C">
        <w:rPr>
          <w:rFonts w:ascii="Arial" w:hAnsi="Arial" w:cs="Arial"/>
          <w:sz w:val="24"/>
          <w:szCs w:val="24"/>
        </w:rPr>
        <w:t xml:space="preserve">- - - - - - - - - - - </w:t>
      </w:r>
    </w:p>
    <w:p w:rsidR="0001581F" w:rsidRPr="006A1B47" w:rsidRDefault="005E6A5F" w:rsidP="006A1B47">
      <w:r w:rsidRPr="006A1B47">
        <w:t xml:space="preserve"> </w:t>
      </w:r>
    </w:p>
    <w:sectPr w:rsidR="0001581F" w:rsidRPr="006A1B47" w:rsidSect="00B32554">
      <w:headerReference w:type="even" r:id="rId8"/>
      <w:headerReference w:type="default" r:id="rId9"/>
      <w:footerReference w:type="default" r:id="rId10"/>
      <w:headerReference w:type="first" r:id="rId11"/>
      <w:pgSz w:w="12240" w:h="20160" w:code="5"/>
      <w:pgMar w:top="851" w:right="1701" w:bottom="2552"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B20" w:rsidRDefault="00FC5B20" w:rsidP="00D833EF">
      <w:pPr>
        <w:spacing w:after="0" w:line="240" w:lineRule="auto"/>
      </w:pPr>
      <w:r>
        <w:separator/>
      </w:r>
    </w:p>
  </w:endnote>
  <w:endnote w:type="continuationSeparator" w:id="0">
    <w:p w:rsidR="00FC5B20" w:rsidRDefault="00FC5B20"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FC5B20"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B4023" w:rsidRPr="002B4023">
                      <w:rPr>
                        <w:noProof/>
                        <w:color w:val="000000" w:themeColor="text1"/>
                        <w:lang w:val="es-ES"/>
                      </w:rPr>
                      <w:t>11</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B20" w:rsidRDefault="00FC5B20" w:rsidP="00D833EF">
      <w:pPr>
        <w:spacing w:after="0" w:line="240" w:lineRule="auto"/>
      </w:pPr>
      <w:r>
        <w:separator/>
      </w:r>
    </w:p>
  </w:footnote>
  <w:footnote w:type="continuationSeparator" w:id="0">
    <w:p w:rsidR="00FC5B20" w:rsidRDefault="00FC5B20"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B32554">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1.05pt;margin-top:303.7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B32554" w:rsidRPr="003B6E97" w:rsidRDefault="00B32554" w:rsidP="00B32554">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27516"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B32554"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27517"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B32554" w:rsidRPr="003B6E97" w:rsidRDefault="00B32554" w:rsidP="00B32554">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FC5B20">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53C335B3" wp14:editId="02EFF909">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6A1B47">
      <w:rPr>
        <w:rFonts w:ascii="Bookman Old Style" w:hAnsi="Bookman Old Style"/>
        <w:b/>
      </w:rPr>
      <w:t>109</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6A1B47">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31C4E2CC" wp14:editId="693D7131">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B32554">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27515"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212E5"/>
    <w:rsid w:val="000230A8"/>
    <w:rsid w:val="0002391C"/>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4E90"/>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72F"/>
    <w:rsid w:val="000E191A"/>
    <w:rsid w:val="000E2332"/>
    <w:rsid w:val="000E3003"/>
    <w:rsid w:val="000E5724"/>
    <w:rsid w:val="000E7798"/>
    <w:rsid w:val="000F00FD"/>
    <w:rsid w:val="000F0DF5"/>
    <w:rsid w:val="000F2454"/>
    <w:rsid w:val="000F419A"/>
    <w:rsid w:val="000F46CA"/>
    <w:rsid w:val="000F6265"/>
    <w:rsid w:val="000F7052"/>
    <w:rsid w:val="001005E9"/>
    <w:rsid w:val="00102843"/>
    <w:rsid w:val="00104882"/>
    <w:rsid w:val="001054C2"/>
    <w:rsid w:val="00105734"/>
    <w:rsid w:val="001059A6"/>
    <w:rsid w:val="0011041F"/>
    <w:rsid w:val="001134C2"/>
    <w:rsid w:val="00115EDC"/>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88C"/>
    <w:rsid w:val="00161D1B"/>
    <w:rsid w:val="00162359"/>
    <w:rsid w:val="00162C58"/>
    <w:rsid w:val="00164AA8"/>
    <w:rsid w:val="001663C9"/>
    <w:rsid w:val="001668A9"/>
    <w:rsid w:val="00167C6E"/>
    <w:rsid w:val="00171F13"/>
    <w:rsid w:val="00172B78"/>
    <w:rsid w:val="0017492D"/>
    <w:rsid w:val="00174E3A"/>
    <w:rsid w:val="001753F4"/>
    <w:rsid w:val="001759E7"/>
    <w:rsid w:val="00176156"/>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D73"/>
    <w:rsid w:val="001B6F5D"/>
    <w:rsid w:val="001B706D"/>
    <w:rsid w:val="001B7736"/>
    <w:rsid w:val="001B7DA1"/>
    <w:rsid w:val="001C0C04"/>
    <w:rsid w:val="001C240D"/>
    <w:rsid w:val="001C25F4"/>
    <w:rsid w:val="001D0503"/>
    <w:rsid w:val="001D1158"/>
    <w:rsid w:val="001D1E27"/>
    <w:rsid w:val="001D2F32"/>
    <w:rsid w:val="001D4E29"/>
    <w:rsid w:val="001D5505"/>
    <w:rsid w:val="001D5F52"/>
    <w:rsid w:val="001E0CF9"/>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51BF"/>
    <w:rsid w:val="00226A51"/>
    <w:rsid w:val="002300D8"/>
    <w:rsid w:val="00231F31"/>
    <w:rsid w:val="00233665"/>
    <w:rsid w:val="00233A6C"/>
    <w:rsid w:val="00235314"/>
    <w:rsid w:val="00237957"/>
    <w:rsid w:val="00241C5A"/>
    <w:rsid w:val="0024411B"/>
    <w:rsid w:val="0024420B"/>
    <w:rsid w:val="002451B9"/>
    <w:rsid w:val="00247A83"/>
    <w:rsid w:val="0025252D"/>
    <w:rsid w:val="00252A11"/>
    <w:rsid w:val="002538B9"/>
    <w:rsid w:val="002572B3"/>
    <w:rsid w:val="00263082"/>
    <w:rsid w:val="00263788"/>
    <w:rsid w:val="002659DA"/>
    <w:rsid w:val="00265C4E"/>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023"/>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13FC"/>
    <w:rsid w:val="002F2DFE"/>
    <w:rsid w:val="002F3178"/>
    <w:rsid w:val="002F3630"/>
    <w:rsid w:val="002F6FC6"/>
    <w:rsid w:val="002F7471"/>
    <w:rsid w:val="002F7672"/>
    <w:rsid w:val="00301DC8"/>
    <w:rsid w:val="00303BB7"/>
    <w:rsid w:val="00304E8C"/>
    <w:rsid w:val="00310272"/>
    <w:rsid w:val="003116AE"/>
    <w:rsid w:val="00313EF7"/>
    <w:rsid w:val="0031596B"/>
    <w:rsid w:val="00316755"/>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34B7"/>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7DC"/>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22F"/>
    <w:rsid w:val="00445F50"/>
    <w:rsid w:val="00446850"/>
    <w:rsid w:val="00447909"/>
    <w:rsid w:val="004512AA"/>
    <w:rsid w:val="00451302"/>
    <w:rsid w:val="004514D6"/>
    <w:rsid w:val="00453D34"/>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3AB"/>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B030F"/>
    <w:rsid w:val="004B6C11"/>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0DBB"/>
    <w:rsid w:val="004F1D48"/>
    <w:rsid w:val="004F275F"/>
    <w:rsid w:val="004F6929"/>
    <w:rsid w:val="004F720A"/>
    <w:rsid w:val="004F7EA1"/>
    <w:rsid w:val="00500204"/>
    <w:rsid w:val="00500916"/>
    <w:rsid w:val="00500DFA"/>
    <w:rsid w:val="0050135B"/>
    <w:rsid w:val="005025EE"/>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36DF0"/>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67E62"/>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6393"/>
    <w:rsid w:val="00597FF5"/>
    <w:rsid w:val="005A07C7"/>
    <w:rsid w:val="005A0BC7"/>
    <w:rsid w:val="005A0CCF"/>
    <w:rsid w:val="005A1ADB"/>
    <w:rsid w:val="005A1E12"/>
    <w:rsid w:val="005A2299"/>
    <w:rsid w:val="005A4D23"/>
    <w:rsid w:val="005A57EC"/>
    <w:rsid w:val="005A61DA"/>
    <w:rsid w:val="005A6D47"/>
    <w:rsid w:val="005A715B"/>
    <w:rsid w:val="005B0762"/>
    <w:rsid w:val="005B140A"/>
    <w:rsid w:val="005B3911"/>
    <w:rsid w:val="005B4887"/>
    <w:rsid w:val="005B4E57"/>
    <w:rsid w:val="005B6479"/>
    <w:rsid w:val="005C2328"/>
    <w:rsid w:val="005C3403"/>
    <w:rsid w:val="005C3A51"/>
    <w:rsid w:val="005C3E64"/>
    <w:rsid w:val="005C5F0E"/>
    <w:rsid w:val="005C61AA"/>
    <w:rsid w:val="005C7B48"/>
    <w:rsid w:val="005C7C34"/>
    <w:rsid w:val="005D21A4"/>
    <w:rsid w:val="005D4280"/>
    <w:rsid w:val="005D46EA"/>
    <w:rsid w:val="005D47E6"/>
    <w:rsid w:val="005D52DA"/>
    <w:rsid w:val="005D69CD"/>
    <w:rsid w:val="005E12E4"/>
    <w:rsid w:val="005E15AB"/>
    <w:rsid w:val="005E6A5F"/>
    <w:rsid w:val="005E7415"/>
    <w:rsid w:val="005F09CB"/>
    <w:rsid w:val="005F1556"/>
    <w:rsid w:val="005F17F5"/>
    <w:rsid w:val="005F2F71"/>
    <w:rsid w:val="005F398D"/>
    <w:rsid w:val="005F4D36"/>
    <w:rsid w:val="005F4EF8"/>
    <w:rsid w:val="00600FF3"/>
    <w:rsid w:val="00601425"/>
    <w:rsid w:val="00602922"/>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AE0"/>
    <w:rsid w:val="00653ECC"/>
    <w:rsid w:val="0065437C"/>
    <w:rsid w:val="0065549E"/>
    <w:rsid w:val="00656243"/>
    <w:rsid w:val="006570C5"/>
    <w:rsid w:val="006571CA"/>
    <w:rsid w:val="006653EB"/>
    <w:rsid w:val="00666064"/>
    <w:rsid w:val="0067019B"/>
    <w:rsid w:val="00671130"/>
    <w:rsid w:val="00672388"/>
    <w:rsid w:val="00672C96"/>
    <w:rsid w:val="006752CD"/>
    <w:rsid w:val="00675A1C"/>
    <w:rsid w:val="0067674E"/>
    <w:rsid w:val="00677AFD"/>
    <w:rsid w:val="006802D6"/>
    <w:rsid w:val="006808CF"/>
    <w:rsid w:val="00680ABC"/>
    <w:rsid w:val="00680CE2"/>
    <w:rsid w:val="00681CD9"/>
    <w:rsid w:val="00681DF0"/>
    <w:rsid w:val="006826DB"/>
    <w:rsid w:val="006846CF"/>
    <w:rsid w:val="00684E1D"/>
    <w:rsid w:val="006856C9"/>
    <w:rsid w:val="006902B9"/>
    <w:rsid w:val="00690580"/>
    <w:rsid w:val="00691DB4"/>
    <w:rsid w:val="0069316A"/>
    <w:rsid w:val="00693A6D"/>
    <w:rsid w:val="00693AB5"/>
    <w:rsid w:val="006942B7"/>
    <w:rsid w:val="006960B8"/>
    <w:rsid w:val="00696DB3"/>
    <w:rsid w:val="006972FD"/>
    <w:rsid w:val="006A1B47"/>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05BF"/>
    <w:rsid w:val="006D291D"/>
    <w:rsid w:val="006D3D8C"/>
    <w:rsid w:val="006D6340"/>
    <w:rsid w:val="006D6DFE"/>
    <w:rsid w:val="006E0A18"/>
    <w:rsid w:val="006E1F29"/>
    <w:rsid w:val="006E47CD"/>
    <w:rsid w:val="006E54D8"/>
    <w:rsid w:val="006E58B6"/>
    <w:rsid w:val="006E7CC9"/>
    <w:rsid w:val="006F1333"/>
    <w:rsid w:val="006F183A"/>
    <w:rsid w:val="006F3651"/>
    <w:rsid w:val="006F3F14"/>
    <w:rsid w:val="006F7A4C"/>
    <w:rsid w:val="007014CB"/>
    <w:rsid w:val="00701AC5"/>
    <w:rsid w:val="007020BC"/>
    <w:rsid w:val="00702230"/>
    <w:rsid w:val="007027AD"/>
    <w:rsid w:val="00702F02"/>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10C0"/>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AC3"/>
    <w:rsid w:val="00787EC9"/>
    <w:rsid w:val="007901A9"/>
    <w:rsid w:val="00791B67"/>
    <w:rsid w:val="00792601"/>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67BF7"/>
    <w:rsid w:val="00970C17"/>
    <w:rsid w:val="00973F6E"/>
    <w:rsid w:val="0097537F"/>
    <w:rsid w:val="00975B6A"/>
    <w:rsid w:val="00977D2F"/>
    <w:rsid w:val="0098080E"/>
    <w:rsid w:val="00981503"/>
    <w:rsid w:val="00983F0E"/>
    <w:rsid w:val="00984399"/>
    <w:rsid w:val="009848E5"/>
    <w:rsid w:val="00986451"/>
    <w:rsid w:val="00986A39"/>
    <w:rsid w:val="00986BF8"/>
    <w:rsid w:val="00990710"/>
    <w:rsid w:val="00990DB4"/>
    <w:rsid w:val="00992676"/>
    <w:rsid w:val="00996D47"/>
    <w:rsid w:val="009A1AF0"/>
    <w:rsid w:val="009A223E"/>
    <w:rsid w:val="009A2B2B"/>
    <w:rsid w:val="009A35C0"/>
    <w:rsid w:val="009A4890"/>
    <w:rsid w:val="009A4EEB"/>
    <w:rsid w:val="009A52BA"/>
    <w:rsid w:val="009A571C"/>
    <w:rsid w:val="009A6DD2"/>
    <w:rsid w:val="009B0A68"/>
    <w:rsid w:val="009B15E1"/>
    <w:rsid w:val="009B1C88"/>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1C2"/>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3550C"/>
    <w:rsid w:val="00A40563"/>
    <w:rsid w:val="00A4083C"/>
    <w:rsid w:val="00A41A92"/>
    <w:rsid w:val="00A45D2C"/>
    <w:rsid w:val="00A475E1"/>
    <w:rsid w:val="00A5186E"/>
    <w:rsid w:val="00A5189F"/>
    <w:rsid w:val="00A51E4F"/>
    <w:rsid w:val="00A52E57"/>
    <w:rsid w:val="00A535FA"/>
    <w:rsid w:val="00A55B92"/>
    <w:rsid w:val="00A55EB8"/>
    <w:rsid w:val="00A62983"/>
    <w:rsid w:val="00A6662A"/>
    <w:rsid w:val="00A67207"/>
    <w:rsid w:val="00A73074"/>
    <w:rsid w:val="00A7400D"/>
    <w:rsid w:val="00A74A5F"/>
    <w:rsid w:val="00A7542B"/>
    <w:rsid w:val="00A76E72"/>
    <w:rsid w:val="00A778DA"/>
    <w:rsid w:val="00A8098F"/>
    <w:rsid w:val="00A81304"/>
    <w:rsid w:val="00A82957"/>
    <w:rsid w:val="00A8414C"/>
    <w:rsid w:val="00A85BF7"/>
    <w:rsid w:val="00A86E75"/>
    <w:rsid w:val="00A8741A"/>
    <w:rsid w:val="00A87EAE"/>
    <w:rsid w:val="00A87F18"/>
    <w:rsid w:val="00A921F9"/>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AF70EB"/>
    <w:rsid w:val="00B00F66"/>
    <w:rsid w:val="00B02C3B"/>
    <w:rsid w:val="00B055EB"/>
    <w:rsid w:val="00B06442"/>
    <w:rsid w:val="00B10267"/>
    <w:rsid w:val="00B107D0"/>
    <w:rsid w:val="00B109BA"/>
    <w:rsid w:val="00B10A2B"/>
    <w:rsid w:val="00B15E6E"/>
    <w:rsid w:val="00B172A6"/>
    <w:rsid w:val="00B22262"/>
    <w:rsid w:val="00B23E60"/>
    <w:rsid w:val="00B25D89"/>
    <w:rsid w:val="00B27EB1"/>
    <w:rsid w:val="00B30FD8"/>
    <w:rsid w:val="00B311B5"/>
    <w:rsid w:val="00B32554"/>
    <w:rsid w:val="00B33658"/>
    <w:rsid w:val="00B3389F"/>
    <w:rsid w:val="00B35960"/>
    <w:rsid w:val="00B42B9C"/>
    <w:rsid w:val="00B43FC1"/>
    <w:rsid w:val="00B4438C"/>
    <w:rsid w:val="00B446B5"/>
    <w:rsid w:val="00B50DCD"/>
    <w:rsid w:val="00B51181"/>
    <w:rsid w:val="00B514C0"/>
    <w:rsid w:val="00B51BAA"/>
    <w:rsid w:val="00B52E6F"/>
    <w:rsid w:val="00B5534B"/>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04A"/>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41FE"/>
    <w:rsid w:val="00C91953"/>
    <w:rsid w:val="00C931CE"/>
    <w:rsid w:val="00C933EF"/>
    <w:rsid w:val="00C94B2A"/>
    <w:rsid w:val="00CA0232"/>
    <w:rsid w:val="00CA31D9"/>
    <w:rsid w:val="00CA32A4"/>
    <w:rsid w:val="00CA4DAA"/>
    <w:rsid w:val="00CB0014"/>
    <w:rsid w:val="00CB10D9"/>
    <w:rsid w:val="00CB12F2"/>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0BDB"/>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3B64"/>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574D"/>
    <w:rsid w:val="00DE61A0"/>
    <w:rsid w:val="00DE638A"/>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4B5"/>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9B9"/>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0DE0"/>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5468"/>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5B20"/>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45946542"/>
  <w15:docId w15:val="{C6E0365A-D98C-4FAC-9D56-7CB68CC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462FB-7D74-4EBD-BF42-6E2BBD58D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3881</TotalTime>
  <Pages>11</Pages>
  <Words>4298</Words>
  <Characters>23642</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853</cp:revision>
  <cp:lastPrinted>2018-12-12T19:06:00Z</cp:lastPrinted>
  <dcterms:created xsi:type="dcterms:W3CDTF">2016-06-06T18:19:00Z</dcterms:created>
  <dcterms:modified xsi:type="dcterms:W3CDTF">2019-04-10T15:53:00Z</dcterms:modified>
</cp:coreProperties>
</file>